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11D2" w:rsidR="00DF098E" w:rsidP="008111D2" w:rsidRDefault="00DF098E" w14:paraId="2FCE73FC" w14:textId="4F3D0097">
      <w:pPr>
        <w:spacing w:after="0" w:line="240" w:lineRule="auto"/>
        <w:jc w:val="center"/>
        <w:rPr>
          <w:szCs w:val="24"/>
        </w:rPr>
      </w:pPr>
      <w:bookmarkStart w:name="_GoBack" w:id="0"/>
      <w:bookmarkEnd w:id="0"/>
    </w:p>
    <w:p w:rsidRPr="008111D2" w:rsidR="007D6E75" w:rsidP="008111D2" w:rsidRDefault="007D6E75" w14:paraId="1E445122" w14:textId="77777777">
      <w:pPr>
        <w:spacing w:after="0" w:line="240" w:lineRule="auto"/>
        <w:jc w:val="center"/>
        <w:rPr>
          <w:szCs w:val="24"/>
        </w:rPr>
      </w:pPr>
    </w:p>
    <w:p w:rsidRPr="00364E8C" w:rsidR="00521033" w:rsidP="00364E8C" w:rsidRDefault="00521033" w14:paraId="7BA39BDE" w14:textId="77777777">
      <w:pPr>
        <w:spacing w:after="0"/>
        <w:jc w:val="center"/>
        <w:rPr>
          <w:rFonts w:cs="Times New Roman"/>
          <w:szCs w:val="24"/>
        </w:rPr>
      </w:pPr>
      <w:r w:rsidRPr="00364E8C">
        <w:rPr>
          <w:rFonts w:cs="Times New Roman"/>
          <w:szCs w:val="24"/>
        </w:rPr>
        <w:t>Clearance for Medicaid and CHIP State Plan, Waiver, and Program Submissions</w:t>
      </w:r>
    </w:p>
    <w:p w:rsidRPr="008111D2" w:rsidR="009E3FAC" w:rsidP="00364E8C" w:rsidRDefault="00521033" w14:paraId="37D127B4" w14:textId="3F889823">
      <w:pPr>
        <w:spacing w:after="0"/>
        <w:jc w:val="center"/>
        <w:rPr>
          <w:rFonts w:cs="Times New Roman"/>
          <w:szCs w:val="24"/>
        </w:rPr>
      </w:pPr>
      <w:r w:rsidRPr="00364E8C">
        <w:rPr>
          <w:rFonts w:cs="Times New Roman"/>
          <w:szCs w:val="24"/>
        </w:rPr>
        <w:t>(CMS-10398, OMB 0938-1148)</w:t>
      </w:r>
    </w:p>
    <w:p w:rsidR="007D6E75" w:rsidP="008111D2" w:rsidRDefault="007D6E75" w14:paraId="6DED056C" w14:textId="77777777">
      <w:pPr>
        <w:spacing w:after="0" w:line="240" w:lineRule="auto"/>
        <w:jc w:val="center"/>
        <w:rPr>
          <w:b/>
          <w:szCs w:val="24"/>
        </w:rPr>
      </w:pPr>
    </w:p>
    <w:p w:rsidRPr="008111D2" w:rsidR="00521033" w:rsidP="008111D2" w:rsidRDefault="00521033" w14:paraId="16083A33" w14:textId="77777777">
      <w:pPr>
        <w:spacing w:after="0" w:line="240" w:lineRule="auto"/>
        <w:jc w:val="center"/>
        <w:rPr>
          <w:b/>
          <w:szCs w:val="24"/>
        </w:rPr>
      </w:pPr>
    </w:p>
    <w:p w:rsidR="007D6E75" w:rsidP="008111D2" w:rsidRDefault="0030516A" w14:paraId="38F5E2B1" w14:textId="56F69053">
      <w:pPr>
        <w:spacing w:after="0" w:line="240" w:lineRule="auto"/>
        <w:jc w:val="center"/>
        <w:rPr>
          <w:b/>
          <w:szCs w:val="24"/>
        </w:rPr>
      </w:pPr>
      <w:r>
        <w:rPr>
          <w:b/>
          <w:szCs w:val="24"/>
        </w:rPr>
        <w:t xml:space="preserve">Generic </w:t>
      </w:r>
      <w:r w:rsidR="00521033">
        <w:rPr>
          <w:b/>
          <w:szCs w:val="24"/>
        </w:rPr>
        <w:t>Information Collection #</w:t>
      </w:r>
      <w:r w:rsidR="00133ACD">
        <w:rPr>
          <w:b/>
          <w:szCs w:val="24"/>
        </w:rPr>
        <w:t>7</w:t>
      </w:r>
      <w:r w:rsidR="001D0262">
        <w:rPr>
          <w:b/>
          <w:szCs w:val="24"/>
        </w:rPr>
        <w:t>3</w:t>
      </w:r>
    </w:p>
    <w:p w:rsidRPr="008111D2" w:rsidR="007D6E75" w:rsidP="008111D2" w:rsidRDefault="00133ACD" w14:paraId="4C066DDA" w14:textId="48E2E7ED">
      <w:pPr>
        <w:spacing w:after="0" w:line="240" w:lineRule="auto"/>
        <w:jc w:val="center"/>
        <w:rPr>
          <w:szCs w:val="24"/>
        </w:rPr>
      </w:pPr>
      <w:r>
        <w:rPr>
          <w:rFonts w:cs="Times New Roman"/>
          <w:b/>
          <w:bCs/>
        </w:rPr>
        <w:t>Supplemental Payment Reporting under the Consolidated Appropriations Act, 2021</w:t>
      </w:r>
    </w:p>
    <w:p w:rsidRPr="008111D2" w:rsidR="007D6E75" w:rsidP="008111D2" w:rsidRDefault="0030516A" w14:paraId="2DB11DF6" w14:textId="036154B4">
      <w:pPr>
        <w:spacing w:after="0" w:line="240" w:lineRule="auto"/>
        <w:jc w:val="center"/>
        <w:rPr>
          <w:szCs w:val="24"/>
        </w:rPr>
      </w:pPr>
      <w:r>
        <w:rPr>
          <w:szCs w:val="24"/>
        </w:rPr>
        <w:t xml:space="preserve">December </w:t>
      </w:r>
      <w:r w:rsidR="0006169D">
        <w:rPr>
          <w:szCs w:val="24"/>
        </w:rPr>
        <w:t>2021</w:t>
      </w:r>
    </w:p>
    <w:p w:rsidRPr="008111D2" w:rsidR="007D6E75" w:rsidP="008111D2" w:rsidRDefault="007D6E75" w14:paraId="7ED73111" w14:textId="77777777">
      <w:pPr>
        <w:spacing w:after="0" w:line="240" w:lineRule="auto"/>
        <w:jc w:val="center"/>
        <w:rPr>
          <w:szCs w:val="24"/>
        </w:rPr>
      </w:pPr>
    </w:p>
    <w:p w:rsidRPr="008111D2" w:rsidR="007D6E75" w:rsidP="008111D2" w:rsidRDefault="007D6E75" w14:paraId="20825D0D" w14:textId="77777777">
      <w:pPr>
        <w:spacing w:after="0" w:line="240" w:lineRule="auto"/>
        <w:jc w:val="center"/>
        <w:rPr>
          <w:szCs w:val="24"/>
        </w:rPr>
      </w:pPr>
      <w:r w:rsidRPr="008111D2">
        <w:rPr>
          <w:szCs w:val="24"/>
        </w:rPr>
        <w:t>Center for Medicaid and CHIP Services (CMCS)</w:t>
      </w:r>
    </w:p>
    <w:p w:rsidRPr="008111D2" w:rsidR="007D6E75" w:rsidP="008111D2" w:rsidRDefault="007D6E75" w14:paraId="44388993"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48029BAD" w14:textId="77777777">
      <w:pPr>
        <w:spacing w:after="0" w:line="240" w:lineRule="auto"/>
        <w:rPr>
          <w:szCs w:val="24"/>
        </w:rPr>
        <w:sectPr w:rsidRPr="008111D2" w:rsidR="007D6E75" w:rsidSect="007D6E75">
          <w:pgSz w:w="12240" w:h="15840" w:code="1"/>
          <w:pgMar w:top="1440" w:right="1440" w:bottom="1440" w:left="1440" w:header="720" w:footer="720" w:gutter="0"/>
          <w:cols w:space="720"/>
          <w:vAlign w:val="center"/>
          <w:docGrid w:linePitch="360"/>
        </w:sectPr>
      </w:pPr>
    </w:p>
    <w:p w:rsidR="002C2DEF" w:rsidP="008F385E" w:rsidRDefault="002C2DEF" w14:paraId="03C10196" w14:textId="5AB8DF0A">
      <w:pPr>
        <w:spacing w:after="0" w:line="240" w:lineRule="auto"/>
        <w:rPr>
          <w:i/>
        </w:rPr>
      </w:pPr>
    </w:p>
    <w:p w:rsidR="0006169D" w:rsidP="008F385E" w:rsidRDefault="0006169D" w14:paraId="015156C8" w14:textId="101433BC">
      <w:pPr>
        <w:spacing w:after="0" w:line="240" w:lineRule="auto"/>
        <w:rPr>
          <w:bCs/>
        </w:rPr>
      </w:pPr>
      <w:r w:rsidRPr="00C24611">
        <w:rPr>
          <w:bCs/>
        </w:rPr>
        <w:t xml:space="preserve">CMS is implementing section 202 of the Consolidated Appropriations Act of 2021 by adding a new form </w:t>
      </w:r>
      <w:r w:rsidR="00A32C0A">
        <w:rPr>
          <w:bCs/>
        </w:rPr>
        <w:t xml:space="preserve">to the CMS-64 </w:t>
      </w:r>
      <w:r w:rsidRPr="00C24611">
        <w:rPr>
          <w:bCs/>
        </w:rPr>
        <w:t>in the MBES system for states to report all supplemental payments. </w:t>
      </w:r>
      <w:r w:rsidR="00225AAE">
        <w:rPr>
          <w:bCs/>
        </w:rPr>
        <w:t xml:space="preserve">CMS will add </w:t>
      </w:r>
      <w:r w:rsidR="00A32C0A">
        <w:rPr>
          <w:bCs/>
        </w:rPr>
        <w:t xml:space="preserve">this </w:t>
      </w:r>
      <w:r w:rsidR="00225AAE">
        <w:rPr>
          <w:bCs/>
        </w:rPr>
        <w:t>additional form that state</w:t>
      </w:r>
      <w:r w:rsidR="00DE0A7E">
        <w:rPr>
          <w:bCs/>
        </w:rPr>
        <w:t>s</w:t>
      </w:r>
      <w:r w:rsidR="00225AAE">
        <w:rPr>
          <w:bCs/>
        </w:rPr>
        <w:t xml:space="preserve"> will fill out with the required information.  </w:t>
      </w:r>
      <w:r w:rsidR="00A32C0A">
        <w:rPr>
          <w:bCs/>
        </w:rPr>
        <w:t>The i</w:t>
      </w:r>
      <w:r w:rsidR="00ED4A0E">
        <w:rPr>
          <w:bCs/>
        </w:rPr>
        <w:t xml:space="preserve">nformation collection will begin </w:t>
      </w:r>
      <w:r w:rsidR="00DE0A7E">
        <w:rPr>
          <w:bCs/>
        </w:rPr>
        <w:t xml:space="preserve">for quarter 1 of Federal Fiscal Year 2022 (1 October 2021) </w:t>
      </w:r>
      <w:r w:rsidR="00A32C0A">
        <w:rPr>
          <w:bCs/>
        </w:rPr>
        <w:t xml:space="preserve">and states will begin reporting these data </w:t>
      </w:r>
      <w:r w:rsidR="00DE0A7E">
        <w:rPr>
          <w:bCs/>
        </w:rPr>
        <w:t>on 15 January 2022.</w:t>
      </w:r>
    </w:p>
    <w:p w:rsidR="0006169D" w:rsidP="008F385E" w:rsidRDefault="0006169D" w14:paraId="13590F9E" w14:textId="77777777">
      <w:pPr>
        <w:spacing w:after="0" w:line="240" w:lineRule="auto"/>
        <w:rPr>
          <w:i/>
        </w:rPr>
      </w:pPr>
    </w:p>
    <w:p w:rsidRPr="00F54374" w:rsidR="007D6E75" w:rsidP="00F54374" w:rsidRDefault="007D6E75" w14:paraId="6C2CBE38" w14:textId="77777777">
      <w:pPr>
        <w:pStyle w:val="Heading1"/>
      </w:pPr>
      <w:r w:rsidRPr="00F54374">
        <w:t>A. Background</w:t>
      </w:r>
    </w:p>
    <w:p w:rsidR="00FE6027" w:rsidP="008111D2" w:rsidRDefault="00FE6027" w14:paraId="0B8A5A4A" w14:textId="77777777">
      <w:pPr>
        <w:spacing w:after="0" w:line="240" w:lineRule="auto"/>
        <w:rPr>
          <w:szCs w:val="24"/>
        </w:rPr>
      </w:pPr>
    </w:p>
    <w:p w:rsidR="009B19E8" w:rsidP="008111D2" w:rsidRDefault="009B19E8" w14:paraId="55B68ABE" w14:textId="77777777">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E40535" w:rsidP="00133ACD" w:rsidRDefault="00E40535" w14:paraId="531C7BD2" w14:textId="77777777">
      <w:pPr>
        <w:rPr>
          <w:bCs/>
        </w:rPr>
      </w:pPr>
    </w:p>
    <w:p w:rsidRPr="00C24611" w:rsidR="00133ACD" w:rsidP="00133ACD" w:rsidRDefault="00133ACD" w14:paraId="1E76A7D0" w14:textId="686057FD">
      <w:pPr>
        <w:rPr>
          <w:bCs/>
        </w:rPr>
      </w:pPr>
      <w:r w:rsidRPr="00C24611">
        <w:rPr>
          <w:bCs/>
        </w:rPr>
        <w:t xml:space="preserve">Through passage of Division CC, Title II, Section 202 of the CAA, Congress added subsection (bb) to section 1903 of the Act, which requires the Secretary of Health and Human Services to establish a system for states to submit reports on supplemental payments as defined in section 1903(bb)(2) of the Act, no later than October 1, 2021.  States are required to submit “reports, as determined appropriate by the Secretary, on supplemental payment data, as a requirement for a State plan or State plan amendment [SPA] that would provide for a supplemental payment” as required by section 1903(bb)(1) of the Act.  </w:t>
      </w:r>
    </w:p>
    <w:p w:rsidR="00133ACD" w:rsidP="00133ACD" w:rsidRDefault="00133ACD" w14:paraId="35EE933E" w14:textId="120875BD">
      <w:pPr>
        <w:rPr>
          <w:bCs/>
        </w:rPr>
      </w:pPr>
      <w:r w:rsidRPr="00C24611">
        <w:rPr>
          <w:bCs/>
        </w:rPr>
        <w:t xml:space="preserve">CMS is implementing section 202 of the Consolidated Appropriations Act of 2021 by adding </w:t>
      </w:r>
      <w:r w:rsidR="0030516A">
        <w:rPr>
          <w:bCs/>
        </w:rPr>
        <w:t xml:space="preserve">new screens </w:t>
      </w:r>
      <w:r w:rsidR="00C66D6B">
        <w:rPr>
          <w:bCs/>
        </w:rPr>
        <w:t>to the CMS-64</w:t>
      </w:r>
      <w:r w:rsidRPr="00C24611">
        <w:rPr>
          <w:bCs/>
        </w:rPr>
        <w:t xml:space="preserve"> in the MBES system for states to report all supplemental payments.  The target release date of the new CMS-64 form is Dec. 31, 2021, and states will be expected to use the form starting for their </w:t>
      </w:r>
      <w:r w:rsidR="002278BC">
        <w:rPr>
          <w:bCs/>
        </w:rPr>
        <w:t xml:space="preserve">first </w:t>
      </w:r>
      <w:r w:rsidRPr="00C24611">
        <w:rPr>
          <w:bCs/>
        </w:rPr>
        <w:t>quarter Federal fiscal year 202</w:t>
      </w:r>
      <w:r w:rsidR="002278BC">
        <w:rPr>
          <w:bCs/>
        </w:rPr>
        <w:t>2</w:t>
      </w:r>
      <w:r w:rsidRPr="00C24611">
        <w:rPr>
          <w:bCs/>
        </w:rPr>
        <w:t xml:space="preserve"> expenditures beginning </w:t>
      </w:r>
      <w:r w:rsidR="002278BC">
        <w:rPr>
          <w:bCs/>
        </w:rPr>
        <w:t xml:space="preserve">on 15 January </w:t>
      </w:r>
      <w:r w:rsidRPr="00C24611">
        <w:rPr>
          <w:bCs/>
        </w:rPr>
        <w:t xml:space="preserve">2022.  The statute requires CMS to set up a data collection system for all state supplemental payments.  CMS is starting the PRA process in order to </w:t>
      </w:r>
      <w:proofErr w:type="gramStart"/>
      <w:r w:rsidRPr="00C24611">
        <w:rPr>
          <w:bCs/>
        </w:rPr>
        <w:t>be in compliance with</w:t>
      </w:r>
      <w:proofErr w:type="gramEnd"/>
      <w:r w:rsidRPr="00C24611">
        <w:rPr>
          <w:bCs/>
        </w:rPr>
        <w:t xml:space="preserve"> </w:t>
      </w:r>
      <w:r w:rsidR="00C24611">
        <w:rPr>
          <w:bCs/>
        </w:rPr>
        <w:t xml:space="preserve">the </w:t>
      </w:r>
      <w:r w:rsidRPr="00C24611">
        <w:rPr>
          <w:bCs/>
        </w:rPr>
        <w:t>statute.</w:t>
      </w:r>
    </w:p>
    <w:p w:rsidRPr="00B63E7E" w:rsidR="00C66D6B" w:rsidP="00B63E7E" w:rsidRDefault="00C66D6B" w14:paraId="5CF8C2AA" w14:textId="61980916">
      <w:pPr>
        <w:autoSpaceDE w:val="0"/>
        <w:autoSpaceDN w:val="0"/>
        <w:adjustRightInd w:val="0"/>
        <w:rPr>
          <w:rFonts w:eastAsia="Calibri"/>
          <w:b/>
          <w:bCs/>
          <w:szCs w:val="24"/>
        </w:rPr>
      </w:pPr>
      <w:r w:rsidRPr="00C66D6B">
        <w:rPr>
          <w:bCs/>
          <w:sz w:val="22"/>
        </w:rPr>
        <w:t>CMS is basing its auth</w:t>
      </w:r>
      <w:r w:rsidRPr="00E379B3">
        <w:rPr>
          <w:bCs/>
          <w:sz w:val="22"/>
        </w:rPr>
        <w:t xml:space="preserve">ority on State Medicaid Director’s Letter </w:t>
      </w:r>
      <w:r w:rsidRPr="00222AD8" w:rsidR="00B63E7E">
        <w:rPr>
          <w:rFonts w:eastAsia="Calibri"/>
          <w:bCs/>
          <w:szCs w:val="24"/>
        </w:rPr>
        <w:t>SMD# 21</w:t>
      </w:r>
      <w:r w:rsidRPr="002976FC" w:rsidR="00B63E7E">
        <w:rPr>
          <w:rFonts w:eastAsia="Calibri"/>
          <w:bCs/>
          <w:szCs w:val="24"/>
        </w:rPr>
        <w:t>-</w:t>
      </w:r>
      <w:r w:rsidRPr="002976FC" w:rsidR="00B96231">
        <w:rPr>
          <w:rFonts w:eastAsia="Calibri"/>
          <w:bCs/>
          <w:szCs w:val="24"/>
        </w:rPr>
        <w:t>TBD</w:t>
      </w:r>
      <w:r w:rsidR="00B63E7E">
        <w:rPr>
          <w:rFonts w:eastAsia="Calibri"/>
          <w:b/>
          <w:bCs/>
          <w:szCs w:val="24"/>
        </w:rPr>
        <w:t xml:space="preserve"> </w:t>
      </w:r>
      <w:r w:rsidRPr="00C24611">
        <w:rPr>
          <w:rFonts w:cs="Times New Roman"/>
          <w:bCs/>
        </w:rPr>
        <w:t>New Supplemental Payment Reporting and Medicaid Disproportionate Share Hospital Requirements under the Consolidated Appropriations Act, 2021</w:t>
      </w:r>
      <w:r w:rsidR="0030516A">
        <w:rPr>
          <w:rFonts w:cs="Times New Roman"/>
          <w:bCs/>
        </w:rPr>
        <w:t xml:space="preserve"> (attached)</w:t>
      </w:r>
    </w:p>
    <w:p w:rsidRPr="008111D2" w:rsidR="009B19E8" w:rsidP="00F54374" w:rsidRDefault="009B19E8" w14:paraId="56F58E43" w14:textId="77777777">
      <w:pPr>
        <w:pStyle w:val="Heading1"/>
      </w:pPr>
    </w:p>
    <w:p w:rsidRPr="008111D2" w:rsidR="007D6E75" w:rsidP="00F54374" w:rsidRDefault="007D6E75" w14:paraId="255F881E" w14:textId="77777777">
      <w:pPr>
        <w:pStyle w:val="Heading1"/>
      </w:pPr>
      <w:r w:rsidRPr="008111D2">
        <w:t>B. Description of Information Collection</w:t>
      </w:r>
    </w:p>
    <w:p w:rsidR="00FE6027" w:rsidP="00E83C3E" w:rsidRDefault="00FE6027" w14:paraId="5CF5B054" w14:textId="77777777">
      <w:pPr>
        <w:spacing w:after="0" w:line="240" w:lineRule="auto"/>
      </w:pPr>
    </w:p>
    <w:p w:rsidR="00ED4A0E" w:rsidP="00225AAE" w:rsidRDefault="00ED4A0E" w14:paraId="5C50C3B4" w14:textId="1201147D">
      <w:pPr>
        <w:rPr>
          <w:bCs/>
        </w:rPr>
      </w:pPr>
    </w:p>
    <w:p w:rsidR="00225AAE" w:rsidP="00225AAE" w:rsidRDefault="00225AAE" w14:paraId="4E38E694" w14:textId="17A8E7B1">
      <w:pPr>
        <w:rPr>
          <w:bCs/>
        </w:rPr>
      </w:pPr>
      <w:r w:rsidRPr="00C24611">
        <w:rPr>
          <w:bCs/>
        </w:rPr>
        <w:t xml:space="preserve">In accordance with section 1903(bb) of the Act, </w:t>
      </w:r>
      <w:r w:rsidR="00E379B3">
        <w:rPr>
          <w:bCs/>
        </w:rPr>
        <w:t xml:space="preserve">and follow-up policy guidance by CMS in its </w:t>
      </w:r>
      <w:r w:rsidRPr="002976FC" w:rsidR="00E379B3">
        <w:rPr>
          <w:bCs/>
        </w:rPr>
        <w:t>SMDL #21-</w:t>
      </w:r>
      <w:r w:rsidRPr="002976FC" w:rsidR="00222AD8">
        <w:rPr>
          <w:bCs/>
        </w:rPr>
        <w:t>TBD</w:t>
      </w:r>
      <w:r w:rsidR="00E379B3">
        <w:rPr>
          <w:bCs/>
        </w:rPr>
        <w:t xml:space="preserve">, the 50 </w:t>
      </w:r>
      <w:r w:rsidRPr="00C24611">
        <w:rPr>
          <w:bCs/>
        </w:rPr>
        <w:t>states</w:t>
      </w:r>
      <w:r w:rsidR="00E379B3">
        <w:rPr>
          <w:bCs/>
        </w:rPr>
        <w:t>, the District of Columbia, Guam, Puerto Rico, and the Virgin Islands (54 entities, hereafter referred to as states)</w:t>
      </w:r>
      <w:r w:rsidRPr="00C24611">
        <w:rPr>
          <w:bCs/>
        </w:rPr>
        <w:t xml:space="preserve"> will be required to report the following information to CMS through the </w:t>
      </w:r>
      <w:r w:rsidR="00091DE4">
        <w:rPr>
          <w:bCs/>
        </w:rPr>
        <w:t xml:space="preserve">additional </w:t>
      </w:r>
      <w:r w:rsidRPr="00C24611">
        <w:rPr>
          <w:bCs/>
        </w:rPr>
        <w:t>form being added to the CMS-64 expenditure reporting form</w:t>
      </w:r>
      <w:r w:rsidR="00E379B3">
        <w:rPr>
          <w:bCs/>
        </w:rPr>
        <w:t xml:space="preserve"> in the MBES system</w:t>
      </w:r>
      <w:r w:rsidR="009B12BF">
        <w:rPr>
          <w:bCs/>
        </w:rPr>
        <w:t>, quarterly or 4 times per year</w:t>
      </w:r>
      <w:r w:rsidRPr="00C24611">
        <w:rPr>
          <w:bCs/>
        </w:rPr>
        <w:t xml:space="preserve">.  </w:t>
      </w:r>
    </w:p>
    <w:p w:rsidR="00F00B66" w:rsidP="009D7C21" w:rsidRDefault="009D7C21" w14:paraId="5688E303" w14:textId="77777777">
      <w:pPr>
        <w:spacing w:after="0" w:line="240" w:lineRule="auto"/>
        <w:rPr>
          <w:rFonts w:eastAsia="Times New Roman"/>
          <w:bCs/>
          <w:szCs w:val="24"/>
        </w:rPr>
      </w:pPr>
      <w:r>
        <w:rPr>
          <w:rFonts w:eastAsia="Times New Roman"/>
          <w:bCs/>
          <w:szCs w:val="24"/>
        </w:rPr>
        <w:t>Specifically, we will ask for the</w:t>
      </w:r>
      <w:r w:rsidR="00F00B66">
        <w:rPr>
          <w:rFonts w:eastAsia="Times New Roman"/>
          <w:bCs/>
          <w:szCs w:val="24"/>
        </w:rPr>
        <w:t xml:space="preserve"> following 14 fillable items for each supplemental payment made, and 1 narrative item:</w:t>
      </w:r>
    </w:p>
    <w:p w:rsidR="00C24611" w:rsidP="00C24611" w:rsidRDefault="00C24611" w14:paraId="012C7ABC" w14:textId="77777777">
      <w:pPr>
        <w:spacing w:after="0" w:line="240" w:lineRule="auto"/>
        <w:rPr>
          <w:rFonts w:eastAsia="Times New Roman"/>
          <w:bCs/>
          <w:szCs w:val="24"/>
        </w:rPr>
      </w:pPr>
    </w:p>
    <w:p w:rsidR="00443DCF" w:rsidP="009D7C21" w:rsidRDefault="00443DCF" w14:paraId="09486BDC" w14:textId="79670B61">
      <w:pPr>
        <w:spacing w:after="0" w:line="240" w:lineRule="auto"/>
        <w:rPr>
          <w:rFonts w:eastAsia="Times New Roman"/>
          <w:bCs/>
          <w:szCs w:val="24"/>
        </w:rPr>
      </w:pPr>
      <w:r>
        <w:rPr>
          <w:rFonts w:eastAsia="Times New Roman"/>
          <w:bCs/>
          <w:szCs w:val="24"/>
        </w:rPr>
        <w:t xml:space="preserve">14 </w:t>
      </w:r>
      <w:r w:rsidR="00F00B66">
        <w:rPr>
          <w:rFonts w:eastAsia="Times New Roman"/>
          <w:bCs/>
          <w:szCs w:val="24"/>
        </w:rPr>
        <w:t xml:space="preserve">Fillable items: Provider name, National </w:t>
      </w:r>
      <w:r w:rsidRPr="00457BC1" w:rsidR="00F00B66">
        <w:rPr>
          <w:rFonts w:eastAsia="Times New Roman"/>
          <w:bCs/>
          <w:szCs w:val="24"/>
        </w:rPr>
        <w:t xml:space="preserve">Provider Identification, Medicare Identification, Medicaid </w:t>
      </w:r>
      <w:r w:rsidRPr="00C24611" w:rsidR="00F00B66">
        <w:rPr>
          <w:rFonts w:eastAsia="Times New Roman"/>
          <w:bCs/>
          <w:szCs w:val="24"/>
        </w:rPr>
        <w:t>Identification, other state identification (if applicable), ownership</w:t>
      </w:r>
      <w:r w:rsidR="00F00B66">
        <w:rPr>
          <w:rFonts w:eastAsia="Times New Roman"/>
          <w:bCs/>
          <w:szCs w:val="24"/>
        </w:rPr>
        <w:t xml:space="preserve"> category, service type, narrative category, CMS-64 form where supplemental payment is referenced, expenditure type, waiver type (if applicable), waiver number (if applicable), option to update prior period (if applicable), </w:t>
      </w:r>
      <w:r w:rsidR="00C24611">
        <w:rPr>
          <w:rFonts w:eastAsia="Times New Roman"/>
          <w:bCs/>
          <w:szCs w:val="24"/>
        </w:rPr>
        <w:t xml:space="preserve">and </w:t>
      </w:r>
      <w:r w:rsidR="00F00B66">
        <w:rPr>
          <w:rFonts w:eastAsia="Times New Roman"/>
          <w:bCs/>
          <w:szCs w:val="24"/>
        </w:rPr>
        <w:t>supplemental payment amount.</w:t>
      </w:r>
    </w:p>
    <w:p w:rsidR="00351B43" w:rsidP="009D7C21" w:rsidRDefault="00351B43" w14:paraId="63E0F580" w14:textId="77777777">
      <w:pPr>
        <w:spacing w:after="0" w:line="240" w:lineRule="auto"/>
        <w:rPr>
          <w:rFonts w:eastAsia="Times New Roman"/>
          <w:bCs/>
          <w:szCs w:val="24"/>
        </w:rPr>
      </w:pPr>
    </w:p>
    <w:p w:rsidR="00F00B66" w:rsidP="009D7C21" w:rsidRDefault="00443DCF" w14:paraId="4D11C7D1" w14:textId="37EEE80C">
      <w:pPr>
        <w:spacing w:after="0" w:line="240" w:lineRule="auto"/>
        <w:rPr>
          <w:rFonts w:eastAsia="Times New Roman"/>
          <w:bCs/>
          <w:szCs w:val="24"/>
        </w:rPr>
      </w:pPr>
      <w:r>
        <w:rPr>
          <w:rFonts w:eastAsia="Times New Roman"/>
          <w:bCs/>
          <w:szCs w:val="24"/>
        </w:rPr>
        <w:t xml:space="preserve">1 </w:t>
      </w:r>
      <w:r w:rsidR="00F00B66">
        <w:rPr>
          <w:rFonts w:eastAsia="Times New Roman"/>
          <w:bCs/>
          <w:szCs w:val="24"/>
        </w:rPr>
        <w:t>Narrative item</w:t>
      </w:r>
      <w:r>
        <w:rPr>
          <w:rFonts w:eastAsia="Times New Roman"/>
          <w:bCs/>
          <w:szCs w:val="24"/>
        </w:rPr>
        <w:t xml:space="preserve"> </w:t>
      </w:r>
      <w:r w:rsidR="00351B43">
        <w:rPr>
          <w:rFonts w:eastAsia="Times New Roman"/>
          <w:bCs/>
          <w:szCs w:val="24"/>
        </w:rPr>
        <w:t xml:space="preserve">describing the supplemental payment, </w:t>
      </w:r>
      <w:r>
        <w:rPr>
          <w:rFonts w:eastAsia="Times New Roman"/>
          <w:bCs/>
          <w:szCs w:val="24"/>
        </w:rPr>
        <w:t>to include the following information</w:t>
      </w:r>
      <w:r w:rsidR="00507048">
        <w:rPr>
          <w:rFonts w:eastAsia="Times New Roman"/>
          <w:bCs/>
          <w:szCs w:val="24"/>
        </w:rPr>
        <w:t xml:space="preserve"> </w:t>
      </w:r>
      <w:r w:rsidRPr="00457BC1" w:rsidR="00524AE1">
        <w:rPr>
          <w:rFonts w:eastAsia="Times New Roman"/>
          <w:bCs/>
          <w:szCs w:val="24"/>
        </w:rPr>
        <w:t>(per ser</w:t>
      </w:r>
      <w:r w:rsidRPr="00C24611" w:rsidR="00507048">
        <w:rPr>
          <w:rFonts w:eastAsia="Times New Roman"/>
          <w:bCs/>
          <w:szCs w:val="24"/>
        </w:rPr>
        <w:t>v</w:t>
      </w:r>
      <w:r w:rsidRPr="00457BC1" w:rsidR="00524AE1">
        <w:rPr>
          <w:rFonts w:eastAsia="Times New Roman"/>
          <w:bCs/>
          <w:szCs w:val="24"/>
        </w:rPr>
        <w:t>ice category</w:t>
      </w:r>
      <w:r w:rsidRPr="00C24611" w:rsidR="00351B43">
        <w:rPr>
          <w:rFonts w:eastAsia="Times New Roman"/>
          <w:bCs/>
          <w:szCs w:val="24"/>
        </w:rPr>
        <w:t xml:space="preserve"> (9 possibilities)</w:t>
      </w:r>
      <w:r w:rsidRPr="00457BC1" w:rsidR="00524AE1">
        <w:rPr>
          <w:rFonts w:eastAsia="Times New Roman"/>
          <w:bCs/>
          <w:szCs w:val="24"/>
        </w:rPr>
        <w:t xml:space="preserve"> and ow</w:t>
      </w:r>
      <w:r w:rsidRPr="00C24611" w:rsidR="00351B43">
        <w:rPr>
          <w:rFonts w:eastAsia="Times New Roman"/>
          <w:bCs/>
          <w:szCs w:val="24"/>
        </w:rPr>
        <w:t>n</w:t>
      </w:r>
      <w:r w:rsidRPr="00457BC1" w:rsidR="00524AE1">
        <w:rPr>
          <w:rFonts w:eastAsia="Times New Roman"/>
          <w:bCs/>
          <w:szCs w:val="24"/>
        </w:rPr>
        <w:t>ership type</w:t>
      </w:r>
      <w:r w:rsidRPr="00C24611" w:rsidR="00351B43">
        <w:rPr>
          <w:rFonts w:eastAsia="Times New Roman"/>
          <w:bCs/>
          <w:szCs w:val="24"/>
        </w:rPr>
        <w:t xml:space="preserve"> (3 possibilities), or about 27 possible narratives per quarterly report</w:t>
      </w:r>
      <w:r w:rsidRPr="00457BC1" w:rsidR="00524AE1">
        <w:rPr>
          <w:rFonts w:eastAsia="Times New Roman"/>
          <w:bCs/>
          <w:szCs w:val="24"/>
        </w:rPr>
        <w:t>)</w:t>
      </w:r>
      <w:r w:rsidRPr="00457BC1" w:rsidR="00F00B66">
        <w:rPr>
          <w:rFonts w:eastAsia="Times New Roman"/>
          <w:bCs/>
          <w:szCs w:val="24"/>
        </w:rPr>
        <w:t>:</w:t>
      </w:r>
      <w:r w:rsidR="00F00B66">
        <w:rPr>
          <w:rFonts w:eastAsia="Times New Roman"/>
          <w:bCs/>
          <w:szCs w:val="24"/>
        </w:rPr>
        <w:t xml:space="preserve"> </w:t>
      </w:r>
    </w:p>
    <w:p w:rsidRPr="00CE5718" w:rsidR="00443DCF" w:rsidP="00443DCF" w:rsidRDefault="00443DCF" w14:paraId="0CB75FF1" w14:textId="77777777">
      <w:pPr>
        <w:pStyle w:val="ListParagraph"/>
        <w:numPr>
          <w:ilvl w:val="0"/>
          <w:numId w:val="13"/>
        </w:numPr>
        <w:spacing w:after="0" w:line="240" w:lineRule="auto"/>
        <w:contextualSpacing w:val="0"/>
        <w:rPr>
          <w:rFonts w:ascii="Times New Roman" w:hAnsi="Times New Roman" w:eastAsia="Times New Roman"/>
          <w:bCs/>
          <w:sz w:val="24"/>
          <w:szCs w:val="24"/>
        </w:rPr>
      </w:pPr>
      <w:bookmarkStart w:name="_Hlk84937268" w:id="1"/>
      <w:r w:rsidRPr="00CE5718">
        <w:rPr>
          <w:rFonts w:ascii="Times New Roman" w:hAnsi="Times New Roman" w:eastAsia="Times New Roman"/>
          <w:bCs/>
          <w:sz w:val="24"/>
          <w:szCs w:val="24"/>
        </w:rPr>
        <w:t>An explanation of how supplemental payments made under the state plan or a state plan amendment will result in payments that are consistent with section 1902(a)(30)(A) of the Act, including standards with respect to efficiency, economy, quality of care, and access, along with the stated purpose and intended effects of the supplemental payment.</w:t>
      </w:r>
    </w:p>
    <w:p w:rsidRPr="00CE5718" w:rsidR="00443DCF" w:rsidP="00443DCF" w:rsidRDefault="00443DCF" w14:paraId="71E85838" w14:textId="77777777">
      <w:pPr>
        <w:pStyle w:val="ListParagraph"/>
        <w:numPr>
          <w:ilvl w:val="0"/>
          <w:numId w:val="13"/>
        </w:numPr>
        <w:spacing w:after="0" w:line="240" w:lineRule="auto"/>
        <w:contextualSpacing w:val="0"/>
        <w:rPr>
          <w:rFonts w:ascii="Times New Roman" w:hAnsi="Times New Roman" w:eastAsia="Times New Roman"/>
          <w:bCs/>
          <w:sz w:val="24"/>
          <w:szCs w:val="24"/>
        </w:rPr>
      </w:pPr>
      <w:r w:rsidRPr="00CE5718">
        <w:rPr>
          <w:rFonts w:ascii="Times New Roman" w:hAnsi="Times New Roman" w:eastAsia="Times New Roman"/>
          <w:bCs/>
          <w:sz w:val="24"/>
          <w:szCs w:val="24"/>
        </w:rPr>
        <w:t>The criteria used to determine which providers are eligible to receive the supplemental payment.</w:t>
      </w:r>
    </w:p>
    <w:p w:rsidRPr="00CE5718" w:rsidR="00443DCF" w:rsidP="00443DCF" w:rsidRDefault="00443DCF" w14:paraId="798D5AF8" w14:textId="77777777">
      <w:pPr>
        <w:pStyle w:val="ListParagraph"/>
        <w:numPr>
          <w:ilvl w:val="0"/>
          <w:numId w:val="13"/>
        </w:numPr>
        <w:spacing w:after="0" w:line="240" w:lineRule="auto"/>
        <w:contextualSpacing w:val="0"/>
        <w:rPr>
          <w:rFonts w:ascii="Times New Roman" w:hAnsi="Times New Roman" w:eastAsia="Times New Roman"/>
          <w:bCs/>
          <w:sz w:val="24"/>
          <w:szCs w:val="24"/>
        </w:rPr>
      </w:pPr>
      <w:r w:rsidRPr="00CE5718">
        <w:rPr>
          <w:rFonts w:ascii="Times New Roman" w:hAnsi="Times New Roman" w:eastAsia="Times New Roman"/>
          <w:bCs/>
          <w:sz w:val="24"/>
          <w:szCs w:val="24"/>
        </w:rPr>
        <w:t>A comprehensive description of the methodology used to calculate the amount of, and distribute, the supplemental payment to each eligible provider, including:</w:t>
      </w:r>
    </w:p>
    <w:bookmarkEnd w:id="1"/>
    <w:p w:rsidRPr="00CE5718" w:rsidR="00443DCF" w:rsidP="00443DCF" w:rsidRDefault="00443DCF" w14:paraId="3EE7DB66" w14:textId="77777777">
      <w:pPr>
        <w:pStyle w:val="ListParagraph"/>
        <w:numPr>
          <w:ilvl w:val="1"/>
          <w:numId w:val="13"/>
        </w:numPr>
        <w:spacing w:after="0" w:line="240" w:lineRule="auto"/>
        <w:contextualSpacing w:val="0"/>
        <w:rPr>
          <w:rFonts w:ascii="Times New Roman" w:hAnsi="Times New Roman" w:eastAsiaTheme="minorHAnsi"/>
          <w:bCs/>
          <w:sz w:val="24"/>
          <w:szCs w:val="24"/>
        </w:rPr>
      </w:pPr>
      <w:r w:rsidRPr="00CE5718">
        <w:rPr>
          <w:rFonts w:ascii="Times New Roman" w:hAnsi="Times New Roman"/>
          <w:bCs/>
          <w:sz w:val="24"/>
          <w:szCs w:val="24"/>
        </w:rPr>
        <w:t>data on the amount of the supplemental payment made to each eligible provider, if known, or if the total amount is distributed using a formula for one or more fiscal years, data on the total amount of supplemental payments for the fiscal year(s) available to all providers eligible to receive a supplemental payment;</w:t>
      </w:r>
    </w:p>
    <w:p w:rsidRPr="00CE5718" w:rsidR="00443DCF" w:rsidP="00443DCF" w:rsidRDefault="00443DCF" w14:paraId="5FD8A2E8" w14:textId="77777777">
      <w:pPr>
        <w:pStyle w:val="ListParagraph"/>
        <w:numPr>
          <w:ilvl w:val="1"/>
          <w:numId w:val="13"/>
        </w:numPr>
        <w:spacing w:after="0" w:line="240" w:lineRule="auto"/>
        <w:contextualSpacing w:val="0"/>
        <w:rPr>
          <w:rFonts w:ascii="Times New Roman" w:hAnsi="Times New Roman"/>
          <w:bCs/>
          <w:sz w:val="24"/>
          <w:szCs w:val="24"/>
        </w:rPr>
      </w:pPr>
      <w:r w:rsidRPr="00CE5718">
        <w:rPr>
          <w:rFonts w:ascii="Times New Roman" w:hAnsi="Times New Roman"/>
          <w:bCs/>
          <w:sz w:val="24"/>
          <w:szCs w:val="24"/>
        </w:rPr>
        <w:t>if applicable, the specific criteria with respect to Medicaid service, utilization, or cost data to be used as the basis for calculations regarding the amount or distribution of the supplemental payment; and</w:t>
      </w:r>
    </w:p>
    <w:p w:rsidRPr="00CE5718" w:rsidR="00443DCF" w:rsidP="00443DCF" w:rsidRDefault="00443DCF" w14:paraId="14EE89BB" w14:textId="77777777">
      <w:pPr>
        <w:pStyle w:val="ListParagraph"/>
        <w:numPr>
          <w:ilvl w:val="1"/>
          <w:numId w:val="13"/>
        </w:numPr>
        <w:spacing w:after="0" w:line="240" w:lineRule="auto"/>
        <w:contextualSpacing w:val="0"/>
        <w:rPr>
          <w:rFonts w:ascii="Times New Roman" w:hAnsi="Times New Roman"/>
          <w:bCs/>
          <w:sz w:val="24"/>
          <w:szCs w:val="24"/>
        </w:rPr>
      </w:pPr>
      <w:r w:rsidRPr="00CE5718">
        <w:rPr>
          <w:rFonts w:ascii="Times New Roman" w:hAnsi="Times New Roman"/>
          <w:bCs/>
          <w:sz w:val="24"/>
          <w:szCs w:val="24"/>
        </w:rPr>
        <w:t>the timing of the supplemental payment made to each eligible provider.</w:t>
      </w:r>
    </w:p>
    <w:p w:rsidRPr="0030707A" w:rsidR="00443DCF" w:rsidP="0030707A" w:rsidRDefault="00351B43" w14:paraId="549A0FBD" w14:textId="7BAB1DA6">
      <w:pPr>
        <w:pStyle w:val="ListParagraph"/>
        <w:numPr>
          <w:ilvl w:val="1"/>
          <w:numId w:val="13"/>
        </w:numPr>
        <w:rPr>
          <w:rFonts w:ascii="Times New Roman" w:hAnsi="Times New Roman" w:eastAsia="Times New Roman"/>
          <w:bCs/>
          <w:sz w:val="24"/>
          <w:szCs w:val="24"/>
        </w:rPr>
      </w:pPr>
      <w:bookmarkStart w:name="_Hlk89848054" w:id="2"/>
      <w:bookmarkStart w:name="_Hlk84942129" w:id="3"/>
      <w:r w:rsidRPr="0030707A">
        <w:rPr>
          <w:rFonts w:ascii="Times New Roman" w:hAnsi="Times New Roman" w:eastAsia="Times New Roman"/>
          <w:bCs/>
          <w:sz w:val="24"/>
          <w:szCs w:val="24"/>
        </w:rPr>
        <w:t xml:space="preserve">(if applicable) </w:t>
      </w:r>
      <w:r w:rsidRPr="0030707A" w:rsidR="00470325">
        <w:rPr>
          <w:rFonts w:ascii="Times New Roman" w:hAnsi="Times New Roman" w:eastAsia="Times New Roman"/>
          <w:bCs/>
          <w:sz w:val="24"/>
          <w:szCs w:val="24"/>
        </w:rPr>
        <w:t>an assurance that the total Medicaid payments made to an inpatient hospital provider, including the supplemental payment, will not exceed upper payment limits, as applicable.</w:t>
      </w:r>
      <w:bookmarkEnd w:id="2"/>
    </w:p>
    <w:bookmarkEnd w:id="3"/>
    <w:p w:rsidR="00D05405" w:rsidP="00D4736A" w:rsidRDefault="00D05405" w14:paraId="51F00CAF" w14:textId="77777777">
      <w:pPr>
        <w:spacing w:after="0" w:line="240" w:lineRule="auto"/>
      </w:pPr>
    </w:p>
    <w:p w:rsidR="00646549" w:rsidP="009B12BF" w:rsidRDefault="009B12BF" w14:paraId="13C4399C" w14:textId="42037419">
      <w:pPr>
        <w:rPr>
          <w:bCs/>
        </w:rPr>
      </w:pPr>
      <w:r>
        <w:rPr>
          <w:bCs/>
        </w:rPr>
        <w:t xml:space="preserve">The collection instrument will </w:t>
      </w:r>
      <w:r w:rsidR="006211E1">
        <w:rPr>
          <w:bCs/>
        </w:rPr>
        <w:t xml:space="preserve">be </w:t>
      </w:r>
      <w:r>
        <w:rPr>
          <w:bCs/>
        </w:rPr>
        <w:t>an Excel type spreadsheet</w:t>
      </w:r>
      <w:r w:rsidR="006211E1">
        <w:rPr>
          <w:bCs/>
        </w:rPr>
        <w:t xml:space="preserve"> in an online format</w:t>
      </w:r>
      <w:r w:rsidR="00646549">
        <w:rPr>
          <w:bCs/>
        </w:rPr>
        <w:t>, which will create one report per quarter</w:t>
      </w:r>
      <w:r w:rsidR="00351B43">
        <w:rPr>
          <w:bCs/>
        </w:rPr>
        <w:t>, and be a part of the MBES system</w:t>
      </w:r>
      <w:r>
        <w:rPr>
          <w:bCs/>
        </w:rPr>
        <w:t xml:space="preserve">. </w:t>
      </w:r>
    </w:p>
    <w:p w:rsidR="00443DCF" w:rsidP="00D4736A" w:rsidRDefault="00443DCF" w14:paraId="761457B8" w14:textId="77777777">
      <w:pPr>
        <w:spacing w:after="0" w:line="240" w:lineRule="auto"/>
      </w:pPr>
    </w:p>
    <w:p w:rsidRPr="008111D2" w:rsidR="007D6E75" w:rsidP="00F54374" w:rsidRDefault="007D6E75" w14:paraId="3DAA61E7" w14:textId="77777777">
      <w:pPr>
        <w:pStyle w:val="Heading1"/>
      </w:pPr>
      <w:r w:rsidRPr="008111D2">
        <w:lastRenderedPageBreak/>
        <w:t>C. Deviations from Generic Request</w:t>
      </w:r>
    </w:p>
    <w:p w:rsidR="00FE6027" w:rsidP="008111D2" w:rsidRDefault="00FE6027" w14:paraId="4C7A9D4E" w14:textId="77777777">
      <w:pPr>
        <w:spacing w:after="0" w:line="240" w:lineRule="auto"/>
        <w:rPr>
          <w:szCs w:val="24"/>
        </w:rPr>
      </w:pPr>
    </w:p>
    <w:p w:rsidRPr="008111D2" w:rsidR="007D6E75" w:rsidP="008111D2" w:rsidRDefault="009B19E8" w14:paraId="16F190A1" w14:textId="77777777">
      <w:pPr>
        <w:spacing w:after="0" w:line="240" w:lineRule="auto"/>
        <w:rPr>
          <w:szCs w:val="24"/>
        </w:rPr>
      </w:pPr>
      <w:r w:rsidRPr="008111D2">
        <w:rPr>
          <w:szCs w:val="24"/>
        </w:rPr>
        <w:t>No deviations are requested.</w:t>
      </w:r>
    </w:p>
    <w:p w:rsidRPr="008111D2" w:rsidR="008111D2" w:rsidP="00F54374" w:rsidRDefault="008111D2" w14:paraId="4C463B6B" w14:textId="77777777">
      <w:pPr>
        <w:pStyle w:val="Heading1"/>
      </w:pPr>
    </w:p>
    <w:p w:rsidR="007D6E75" w:rsidP="00F54374" w:rsidRDefault="007D6E75" w14:paraId="3D6243EC" w14:textId="77777777">
      <w:pPr>
        <w:pStyle w:val="Heading1"/>
      </w:pPr>
      <w:r w:rsidRPr="008111D2">
        <w:t>D. Burden Hour Deduction</w:t>
      </w:r>
    </w:p>
    <w:p w:rsidR="00FE6027" w:rsidP="00FE6027" w:rsidRDefault="00FE6027" w14:paraId="7DD49C95" w14:textId="77777777">
      <w:pPr>
        <w:spacing w:after="0" w:line="240" w:lineRule="auto"/>
      </w:pPr>
    </w:p>
    <w:p w:rsidRPr="00FE6027" w:rsidR="00A467D7" w:rsidP="00FE6027" w:rsidRDefault="00A467D7" w14:paraId="5EB6B702" w14:textId="31CEB66F">
      <w:pPr>
        <w:spacing w:after="0" w:line="240" w:lineRule="auto"/>
      </w:pPr>
      <w:r>
        <w:t>The total approved burden ceiling of the generic ICR is 154,104 hours, and CMS previously requested to use 116,020 hours, leaving our burden ceiling at 38,084 hours.</w:t>
      </w:r>
    </w:p>
    <w:p w:rsidR="00CB7E59" w:rsidP="008111D2" w:rsidRDefault="00CB7E59" w14:paraId="5B175EEB" w14:textId="77777777">
      <w:pPr>
        <w:spacing w:after="0" w:line="240" w:lineRule="auto"/>
        <w:rPr>
          <w:szCs w:val="24"/>
        </w:rPr>
      </w:pPr>
    </w:p>
    <w:p w:rsidR="00CB7E59" w:rsidP="008111D2" w:rsidRDefault="00CB7E59" w14:paraId="2AA15243" w14:textId="77777777">
      <w:pPr>
        <w:spacing w:after="0" w:line="240" w:lineRule="auto"/>
        <w:rPr>
          <w:i/>
          <w:szCs w:val="24"/>
        </w:rPr>
      </w:pPr>
      <w:r>
        <w:rPr>
          <w:i/>
          <w:szCs w:val="24"/>
        </w:rPr>
        <w:t>Wage Estimates</w:t>
      </w:r>
    </w:p>
    <w:p w:rsidR="00CB7E59" w:rsidP="008111D2" w:rsidRDefault="00CB7E59" w14:paraId="09DD959B" w14:textId="77777777">
      <w:pPr>
        <w:spacing w:after="0" w:line="240" w:lineRule="auto"/>
        <w:rPr>
          <w:szCs w:val="24"/>
        </w:rPr>
      </w:pPr>
    </w:p>
    <w:p w:rsidRPr="002C64B6" w:rsidR="00CB7E59" w:rsidP="008111D2" w:rsidRDefault="00CB7E59" w14:paraId="14C116CE" w14:textId="008125C8">
      <w:pPr>
        <w:spacing w:after="0" w:line="240" w:lineRule="auto"/>
        <w:rPr>
          <w:szCs w:val="24"/>
        </w:rPr>
      </w:pPr>
      <w:r w:rsidRPr="002C64B6">
        <w:rPr>
          <w:szCs w:val="24"/>
        </w:rPr>
        <w:t>To derive average costs, we are using data from the U.S. Bureau of Labor Statistics’ May 20</w:t>
      </w:r>
      <w:r w:rsidR="007A1E46">
        <w:rPr>
          <w:szCs w:val="24"/>
        </w:rPr>
        <w:t>20</w:t>
      </w:r>
      <w:r w:rsidRPr="002C64B6">
        <w:rPr>
          <w:szCs w:val="24"/>
        </w:rPr>
        <w:t xml:space="preserve"> National Occupational Employment and Wage Estimates for all salary estimates (</w:t>
      </w:r>
      <w:hyperlink w:tooltip="http://www.bls.gov/oes/current/oes_nat.htm" w:history="1" r:id="rId8">
        <w:r w:rsidRPr="006B2A45">
          <w:rPr>
            <w:rStyle w:val="Hyperlink"/>
            <w:color w:val="1F497D" w:themeColor="text2"/>
            <w:szCs w:val="24"/>
          </w:rPr>
          <w:t>http://www.bls.gov/oes/current/oes_nat.htm</w:t>
        </w:r>
      </w:hyperlink>
      <w:r w:rsidRPr="002C64B6">
        <w:rPr>
          <w:szCs w:val="24"/>
        </w:rPr>
        <w:t xml:space="preserve">). In this regard, the following table presents </w:t>
      </w:r>
      <w:r w:rsidR="0030516A">
        <w:rPr>
          <w:szCs w:val="24"/>
        </w:rPr>
        <w:t xml:space="preserve">BLS’ </w:t>
      </w:r>
      <w:r w:rsidRPr="002C64B6">
        <w:rPr>
          <w:szCs w:val="24"/>
        </w:rPr>
        <w:t xml:space="preserve">mean hourly wage, </w:t>
      </w:r>
      <w:r w:rsidR="0030516A">
        <w:rPr>
          <w:szCs w:val="24"/>
        </w:rPr>
        <w:t xml:space="preserve">and our estimated </w:t>
      </w:r>
      <w:r w:rsidRPr="002C64B6">
        <w:rPr>
          <w:szCs w:val="24"/>
        </w:rPr>
        <w:t xml:space="preserve">cost of fringe benefits (calculated at 100 percent of salary), and </w:t>
      </w:r>
      <w:r w:rsidR="0030516A">
        <w:rPr>
          <w:szCs w:val="24"/>
        </w:rPr>
        <w:t xml:space="preserve">our </w:t>
      </w:r>
      <w:r w:rsidRPr="002C64B6">
        <w:rPr>
          <w:szCs w:val="24"/>
        </w:rPr>
        <w:t>adjusted hourly wage.</w:t>
      </w:r>
    </w:p>
    <w:p w:rsidRPr="002C64B6" w:rsidR="00CB7E59" w:rsidP="008111D2" w:rsidRDefault="00CB7E59" w14:paraId="4E9498DA" w14:textId="77777777">
      <w:pPr>
        <w:spacing w:after="0" w:line="240" w:lineRule="auto"/>
        <w:rPr>
          <w:szCs w:val="24"/>
        </w:rPr>
      </w:pPr>
    </w:p>
    <w:tbl>
      <w:tblPr>
        <w:tblStyle w:val="TableGrid"/>
        <w:tblW w:w="0" w:type="auto"/>
        <w:tblLook w:val="04A0" w:firstRow="1" w:lastRow="0" w:firstColumn="1" w:lastColumn="0" w:noHBand="0" w:noVBand="1"/>
      </w:tblPr>
      <w:tblGrid>
        <w:gridCol w:w="3235"/>
        <w:gridCol w:w="1425"/>
        <w:gridCol w:w="1185"/>
        <w:gridCol w:w="1620"/>
        <w:gridCol w:w="1885"/>
      </w:tblGrid>
      <w:tr w:rsidR="00A76DAA" w:rsidTr="00A76DAA" w14:paraId="594AE705" w14:textId="77777777">
        <w:tc>
          <w:tcPr>
            <w:tcW w:w="3235" w:type="dxa"/>
          </w:tcPr>
          <w:p w:rsidR="00A76DAA" w:rsidP="008111D2" w:rsidRDefault="00A76DAA" w14:paraId="4180411D" w14:textId="3BEDCB65">
            <w:pPr>
              <w:rPr>
                <w:szCs w:val="24"/>
              </w:rPr>
            </w:pPr>
            <w:r w:rsidRPr="002E2118">
              <w:rPr>
                <w:rFonts w:cs="Times New Roman"/>
                <w:b/>
                <w:szCs w:val="24"/>
              </w:rPr>
              <w:t>Occupation Title</w:t>
            </w:r>
          </w:p>
        </w:tc>
        <w:tc>
          <w:tcPr>
            <w:tcW w:w="1425" w:type="dxa"/>
          </w:tcPr>
          <w:p w:rsidR="00A76DAA" w:rsidP="008111D2" w:rsidRDefault="00A76DAA" w14:paraId="704ED032" w14:textId="1CF332A8">
            <w:pPr>
              <w:rPr>
                <w:szCs w:val="24"/>
              </w:rPr>
            </w:pPr>
            <w:r w:rsidRPr="002E2118">
              <w:rPr>
                <w:rFonts w:cs="Times New Roman"/>
                <w:b/>
                <w:szCs w:val="24"/>
              </w:rPr>
              <w:t>Occupation Code</w:t>
            </w:r>
          </w:p>
        </w:tc>
        <w:tc>
          <w:tcPr>
            <w:tcW w:w="1185" w:type="dxa"/>
          </w:tcPr>
          <w:p w:rsidR="00A76DAA" w:rsidP="008111D2" w:rsidRDefault="00A76DAA" w14:paraId="1A960620" w14:textId="365171E9">
            <w:pPr>
              <w:rPr>
                <w:szCs w:val="24"/>
              </w:rPr>
            </w:pPr>
            <w:r w:rsidRPr="002E2118">
              <w:rPr>
                <w:rFonts w:cs="Times New Roman"/>
                <w:b/>
                <w:szCs w:val="24"/>
              </w:rPr>
              <w:t>Mean Hourly Wage</w:t>
            </w:r>
          </w:p>
        </w:tc>
        <w:tc>
          <w:tcPr>
            <w:tcW w:w="1620" w:type="dxa"/>
          </w:tcPr>
          <w:p w:rsidR="00A76DAA" w:rsidP="008111D2" w:rsidRDefault="00A76DAA" w14:paraId="0875CC20" w14:textId="47A374F5">
            <w:pPr>
              <w:rPr>
                <w:szCs w:val="24"/>
              </w:rPr>
            </w:pPr>
            <w:r w:rsidRPr="002E2118">
              <w:rPr>
                <w:rFonts w:cs="Times New Roman"/>
                <w:b/>
                <w:szCs w:val="24"/>
              </w:rPr>
              <w:t>Fringe Benefit</w:t>
            </w:r>
            <w:r>
              <w:rPr>
                <w:rFonts w:cs="Times New Roman"/>
                <w:b/>
                <w:szCs w:val="24"/>
              </w:rPr>
              <w:t>s and Overhead</w:t>
            </w:r>
          </w:p>
        </w:tc>
        <w:tc>
          <w:tcPr>
            <w:tcW w:w="1885" w:type="dxa"/>
          </w:tcPr>
          <w:p w:rsidR="00A76DAA" w:rsidP="008111D2" w:rsidRDefault="00A76DAA" w14:paraId="2A249A94" w14:textId="69788601">
            <w:pPr>
              <w:rPr>
                <w:szCs w:val="24"/>
              </w:rPr>
            </w:pPr>
            <w:r>
              <w:rPr>
                <w:rFonts w:cs="Times New Roman"/>
                <w:b/>
                <w:szCs w:val="24"/>
              </w:rPr>
              <w:t xml:space="preserve">Adjusted </w:t>
            </w:r>
            <w:r w:rsidRPr="002E2118">
              <w:rPr>
                <w:rFonts w:cs="Times New Roman"/>
                <w:b/>
                <w:szCs w:val="24"/>
              </w:rPr>
              <w:t>Hourly Wage</w:t>
            </w:r>
          </w:p>
        </w:tc>
      </w:tr>
      <w:tr w:rsidR="00A76DAA" w:rsidTr="00A76DAA" w14:paraId="446311F3" w14:textId="77777777">
        <w:tc>
          <w:tcPr>
            <w:tcW w:w="3235" w:type="dxa"/>
          </w:tcPr>
          <w:p w:rsidR="00A76DAA" w:rsidP="008111D2" w:rsidRDefault="00A76DAA" w14:paraId="298DA10E" w14:textId="1C320793">
            <w:pPr>
              <w:rPr>
                <w:szCs w:val="24"/>
              </w:rPr>
            </w:pPr>
            <w:r>
              <w:rPr>
                <w:szCs w:val="24"/>
              </w:rPr>
              <w:t xml:space="preserve">Data Entry </w:t>
            </w:r>
            <w:proofErr w:type="spellStart"/>
            <w:r>
              <w:rPr>
                <w:szCs w:val="24"/>
              </w:rPr>
              <w:t>Keyers</w:t>
            </w:r>
            <w:proofErr w:type="spellEnd"/>
          </w:p>
        </w:tc>
        <w:tc>
          <w:tcPr>
            <w:tcW w:w="1425" w:type="dxa"/>
          </w:tcPr>
          <w:p w:rsidR="00A76DAA" w:rsidP="008111D2" w:rsidRDefault="00A76DAA" w14:paraId="396861B0" w14:textId="3FC5A58F">
            <w:pPr>
              <w:rPr>
                <w:szCs w:val="24"/>
              </w:rPr>
            </w:pPr>
            <w:r>
              <w:rPr>
                <w:szCs w:val="24"/>
              </w:rPr>
              <w:t>43-9021</w:t>
            </w:r>
          </w:p>
        </w:tc>
        <w:tc>
          <w:tcPr>
            <w:tcW w:w="1185" w:type="dxa"/>
          </w:tcPr>
          <w:p w:rsidR="00A76DAA" w:rsidP="008111D2" w:rsidRDefault="00A76DAA" w14:paraId="74788157" w14:textId="0749EA0E">
            <w:pPr>
              <w:rPr>
                <w:szCs w:val="24"/>
              </w:rPr>
            </w:pPr>
            <w:r>
              <w:rPr>
                <w:rFonts w:cs="Times New Roman"/>
                <w:szCs w:val="24"/>
              </w:rPr>
              <w:t>$17.24/</w:t>
            </w:r>
            <w:proofErr w:type="spellStart"/>
            <w:r>
              <w:rPr>
                <w:rFonts w:cs="Times New Roman"/>
                <w:szCs w:val="24"/>
              </w:rPr>
              <w:t>hr</w:t>
            </w:r>
            <w:proofErr w:type="spellEnd"/>
          </w:p>
        </w:tc>
        <w:tc>
          <w:tcPr>
            <w:tcW w:w="1620" w:type="dxa"/>
          </w:tcPr>
          <w:p w:rsidR="00A76DAA" w:rsidP="008111D2" w:rsidRDefault="00A76DAA" w14:paraId="4E06CFBB" w14:textId="39A4C7D2">
            <w:pPr>
              <w:rPr>
                <w:szCs w:val="24"/>
              </w:rPr>
            </w:pPr>
            <w:r>
              <w:rPr>
                <w:rFonts w:cs="Times New Roman"/>
                <w:szCs w:val="24"/>
              </w:rPr>
              <w:t>$17.24/</w:t>
            </w:r>
            <w:proofErr w:type="spellStart"/>
            <w:r>
              <w:rPr>
                <w:rFonts w:cs="Times New Roman"/>
                <w:szCs w:val="24"/>
              </w:rPr>
              <w:t>hr</w:t>
            </w:r>
            <w:proofErr w:type="spellEnd"/>
          </w:p>
        </w:tc>
        <w:tc>
          <w:tcPr>
            <w:tcW w:w="1885" w:type="dxa"/>
          </w:tcPr>
          <w:p w:rsidR="00A76DAA" w:rsidP="008111D2" w:rsidRDefault="00A76DAA" w14:paraId="765C0CC6" w14:textId="44614DD8">
            <w:pPr>
              <w:rPr>
                <w:szCs w:val="24"/>
              </w:rPr>
            </w:pPr>
            <w:r>
              <w:rPr>
                <w:rFonts w:cs="Times New Roman"/>
                <w:szCs w:val="24"/>
              </w:rPr>
              <w:t>$34.48/</w:t>
            </w:r>
            <w:proofErr w:type="spellStart"/>
            <w:r>
              <w:rPr>
                <w:rFonts w:cs="Times New Roman"/>
                <w:szCs w:val="24"/>
              </w:rPr>
              <w:t>hr</w:t>
            </w:r>
            <w:proofErr w:type="spellEnd"/>
          </w:p>
        </w:tc>
      </w:tr>
      <w:tr w:rsidR="00A76DAA" w:rsidTr="00A76DAA" w14:paraId="2E2F4DB0" w14:textId="77777777">
        <w:tc>
          <w:tcPr>
            <w:tcW w:w="3235" w:type="dxa"/>
          </w:tcPr>
          <w:p w:rsidR="00A76DAA" w:rsidP="008111D2" w:rsidRDefault="00A76DAA" w14:paraId="27B4613C" w14:textId="09389C91">
            <w:pPr>
              <w:rPr>
                <w:szCs w:val="24"/>
              </w:rPr>
            </w:pPr>
            <w:r>
              <w:rPr>
                <w:szCs w:val="24"/>
              </w:rPr>
              <w:t>General and Operations Managers</w:t>
            </w:r>
          </w:p>
        </w:tc>
        <w:tc>
          <w:tcPr>
            <w:tcW w:w="1425" w:type="dxa"/>
          </w:tcPr>
          <w:p w:rsidR="00A76DAA" w:rsidP="008111D2" w:rsidRDefault="00A76DAA" w14:paraId="4E02F8FD" w14:textId="0B4F98CB">
            <w:pPr>
              <w:rPr>
                <w:szCs w:val="24"/>
              </w:rPr>
            </w:pPr>
            <w:r>
              <w:rPr>
                <w:szCs w:val="24"/>
              </w:rPr>
              <w:t>11-1021</w:t>
            </w:r>
          </w:p>
        </w:tc>
        <w:tc>
          <w:tcPr>
            <w:tcW w:w="1185" w:type="dxa"/>
          </w:tcPr>
          <w:p w:rsidR="00A76DAA" w:rsidP="008111D2" w:rsidRDefault="00A76DAA" w14:paraId="6316D29B" w14:textId="0FA1922B">
            <w:pPr>
              <w:rPr>
                <w:szCs w:val="24"/>
              </w:rPr>
            </w:pPr>
            <w:r>
              <w:rPr>
                <w:rFonts w:cs="Times New Roman"/>
                <w:szCs w:val="24"/>
              </w:rPr>
              <w:t>$60.45/</w:t>
            </w:r>
            <w:proofErr w:type="spellStart"/>
            <w:r>
              <w:rPr>
                <w:rFonts w:cs="Times New Roman"/>
                <w:szCs w:val="24"/>
              </w:rPr>
              <w:t>hr</w:t>
            </w:r>
            <w:proofErr w:type="spellEnd"/>
          </w:p>
        </w:tc>
        <w:tc>
          <w:tcPr>
            <w:tcW w:w="1620" w:type="dxa"/>
          </w:tcPr>
          <w:p w:rsidR="00A76DAA" w:rsidP="008111D2" w:rsidRDefault="00A76DAA" w14:paraId="7D9A7632" w14:textId="44713697">
            <w:pPr>
              <w:rPr>
                <w:szCs w:val="24"/>
              </w:rPr>
            </w:pPr>
            <w:r>
              <w:rPr>
                <w:rFonts w:cs="Times New Roman"/>
                <w:szCs w:val="24"/>
              </w:rPr>
              <w:t>$60.45/</w:t>
            </w:r>
            <w:proofErr w:type="spellStart"/>
            <w:r>
              <w:rPr>
                <w:rFonts w:cs="Times New Roman"/>
                <w:szCs w:val="24"/>
              </w:rPr>
              <w:t>hr</w:t>
            </w:r>
            <w:proofErr w:type="spellEnd"/>
          </w:p>
        </w:tc>
        <w:tc>
          <w:tcPr>
            <w:tcW w:w="1885" w:type="dxa"/>
          </w:tcPr>
          <w:p w:rsidR="00A76DAA" w:rsidP="008111D2" w:rsidRDefault="00A76DAA" w14:paraId="29B55FF7" w14:textId="07F76BE9">
            <w:pPr>
              <w:rPr>
                <w:szCs w:val="24"/>
              </w:rPr>
            </w:pPr>
            <w:r>
              <w:rPr>
                <w:rFonts w:cs="Times New Roman"/>
                <w:szCs w:val="24"/>
              </w:rPr>
              <w:t>$120.90/</w:t>
            </w:r>
            <w:proofErr w:type="spellStart"/>
            <w:r>
              <w:rPr>
                <w:rFonts w:cs="Times New Roman"/>
                <w:szCs w:val="24"/>
              </w:rPr>
              <w:t>hr</w:t>
            </w:r>
            <w:proofErr w:type="spellEnd"/>
          </w:p>
        </w:tc>
      </w:tr>
      <w:tr w:rsidR="00A76DAA" w:rsidTr="00A76DAA" w14:paraId="0859CF74" w14:textId="77777777">
        <w:tc>
          <w:tcPr>
            <w:tcW w:w="3235" w:type="dxa"/>
          </w:tcPr>
          <w:p w:rsidR="00A76DAA" w:rsidP="008111D2" w:rsidRDefault="00A76DAA" w14:paraId="67C4334D" w14:textId="7712D06D">
            <w:pPr>
              <w:rPr>
                <w:szCs w:val="24"/>
              </w:rPr>
            </w:pPr>
            <w:r>
              <w:rPr>
                <w:szCs w:val="24"/>
              </w:rPr>
              <w:t>Social Science Research Assistants</w:t>
            </w:r>
          </w:p>
        </w:tc>
        <w:tc>
          <w:tcPr>
            <w:tcW w:w="1425" w:type="dxa"/>
          </w:tcPr>
          <w:p w:rsidR="00A76DAA" w:rsidP="008111D2" w:rsidRDefault="00A76DAA" w14:paraId="6CF0ED0F" w14:textId="2D9B8687">
            <w:pPr>
              <w:rPr>
                <w:szCs w:val="24"/>
              </w:rPr>
            </w:pPr>
            <w:r>
              <w:rPr>
                <w:szCs w:val="24"/>
              </w:rPr>
              <w:t>19-4061</w:t>
            </w:r>
          </w:p>
        </w:tc>
        <w:tc>
          <w:tcPr>
            <w:tcW w:w="1185" w:type="dxa"/>
          </w:tcPr>
          <w:p w:rsidR="00A76DAA" w:rsidP="008111D2" w:rsidRDefault="00A76DAA" w14:paraId="71C33B5A" w14:textId="6099035D">
            <w:pPr>
              <w:rPr>
                <w:szCs w:val="24"/>
              </w:rPr>
            </w:pPr>
            <w:r>
              <w:rPr>
                <w:rFonts w:cs="Times New Roman"/>
                <w:szCs w:val="24"/>
              </w:rPr>
              <w:t>$25.75/</w:t>
            </w:r>
            <w:proofErr w:type="spellStart"/>
            <w:r>
              <w:rPr>
                <w:rFonts w:cs="Times New Roman"/>
                <w:szCs w:val="24"/>
              </w:rPr>
              <w:t>hr</w:t>
            </w:r>
            <w:proofErr w:type="spellEnd"/>
          </w:p>
        </w:tc>
        <w:tc>
          <w:tcPr>
            <w:tcW w:w="1620" w:type="dxa"/>
          </w:tcPr>
          <w:p w:rsidR="00A76DAA" w:rsidP="008111D2" w:rsidRDefault="00A76DAA" w14:paraId="69C8E2E7" w14:textId="6922F201">
            <w:pPr>
              <w:rPr>
                <w:szCs w:val="24"/>
              </w:rPr>
            </w:pPr>
            <w:r>
              <w:rPr>
                <w:rFonts w:cs="Times New Roman"/>
                <w:szCs w:val="24"/>
              </w:rPr>
              <w:t>$25.75/</w:t>
            </w:r>
            <w:proofErr w:type="spellStart"/>
            <w:r>
              <w:rPr>
                <w:rFonts w:cs="Times New Roman"/>
                <w:szCs w:val="24"/>
              </w:rPr>
              <w:t>hr</w:t>
            </w:r>
            <w:proofErr w:type="spellEnd"/>
          </w:p>
        </w:tc>
        <w:tc>
          <w:tcPr>
            <w:tcW w:w="1885" w:type="dxa"/>
          </w:tcPr>
          <w:p w:rsidR="00A76DAA" w:rsidP="008111D2" w:rsidRDefault="00A76DAA" w14:paraId="5AB5B7D2" w14:textId="72AB113F">
            <w:pPr>
              <w:rPr>
                <w:szCs w:val="24"/>
              </w:rPr>
            </w:pPr>
            <w:r>
              <w:rPr>
                <w:rFonts w:cs="Times New Roman"/>
                <w:szCs w:val="24"/>
              </w:rPr>
              <w:t>$51.50/</w:t>
            </w:r>
            <w:proofErr w:type="spellStart"/>
            <w:r>
              <w:rPr>
                <w:rFonts w:cs="Times New Roman"/>
                <w:szCs w:val="24"/>
              </w:rPr>
              <w:t>hr</w:t>
            </w:r>
            <w:proofErr w:type="spellEnd"/>
          </w:p>
        </w:tc>
      </w:tr>
    </w:tbl>
    <w:p w:rsidR="00CB7E59" w:rsidP="008111D2" w:rsidRDefault="00CB7E59" w14:paraId="03D50CE8" w14:textId="2910EFEE">
      <w:pPr>
        <w:spacing w:after="0" w:line="240" w:lineRule="auto"/>
        <w:rPr>
          <w:szCs w:val="24"/>
        </w:rPr>
      </w:pPr>
      <w:r w:rsidRPr="002C64B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B7E59" w:rsidP="008111D2" w:rsidRDefault="00CB7E59" w14:paraId="1F5CDEA0" w14:textId="77777777">
      <w:pPr>
        <w:spacing w:after="0" w:line="240" w:lineRule="auto"/>
        <w:rPr>
          <w:szCs w:val="24"/>
        </w:rPr>
      </w:pPr>
    </w:p>
    <w:p w:rsidR="00CB7E59" w:rsidP="008111D2" w:rsidRDefault="0030516A" w14:paraId="3BAD0457" w14:textId="580FAA66">
      <w:pPr>
        <w:spacing w:after="0" w:line="240" w:lineRule="auto"/>
        <w:rPr>
          <w:i/>
          <w:szCs w:val="24"/>
        </w:rPr>
      </w:pPr>
      <w:r w:rsidRPr="00A801C3">
        <w:rPr>
          <w:i/>
          <w:szCs w:val="24"/>
        </w:rPr>
        <w:t>Collection of information Requirements and Associated Burden</w:t>
      </w:r>
    </w:p>
    <w:p w:rsidR="0030516A" w:rsidP="008111D2" w:rsidRDefault="0030516A" w14:paraId="6C08FD51" w14:textId="77777777">
      <w:pPr>
        <w:spacing w:after="0" w:line="240" w:lineRule="auto"/>
        <w:rPr>
          <w:szCs w:val="24"/>
        </w:rPr>
      </w:pPr>
    </w:p>
    <w:p w:rsidR="00646549" w:rsidP="008111D2" w:rsidRDefault="00646549" w14:paraId="6172726D" w14:textId="5C54C5B7">
      <w:pPr>
        <w:spacing w:after="0" w:line="240" w:lineRule="auto"/>
        <w:rPr>
          <w:bCs/>
        </w:rPr>
      </w:pPr>
      <w:r>
        <w:rPr>
          <w:bCs/>
        </w:rPr>
        <w:t>The collection instrument will be an Excel type spreadsheet in an online format, which will create one report per quarter.</w:t>
      </w:r>
    </w:p>
    <w:p w:rsidRPr="00C24611" w:rsidR="00646549" w:rsidP="008111D2" w:rsidRDefault="00646549" w14:paraId="3B31E69B" w14:textId="77777777">
      <w:pPr>
        <w:spacing w:after="0" w:line="240" w:lineRule="auto"/>
        <w:rPr>
          <w:bCs/>
        </w:rPr>
      </w:pPr>
    </w:p>
    <w:p w:rsidR="00102092" w:rsidP="00646549" w:rsidRDefault="00646549" w14:paraId="042A2944" w14:textId="6C5026AB">
      <w:pPr>
        <w:rPr>
          <w:bCs/>
        </w:rPr>
      </w:pPr>
      <w:r>
        <w:rPr>
          <w:bCs/>
        </w:rPr>
        <w:t>We think most of the data will be available in the state’s</w:t>
      </w:r>
      <w:r w:rsidR="00102092">
        <w:rPr>
          <w:bCs/>
        </w:rPr>
        <w:t xml:space="preserve"> IT</w:t>
      </w:r>
      <w:r>
        <w:rPr>
          <w:bCs/>
        </w:rPr>
        <w:t xml:space="preserve"> data </w:t>
      </w:r>
      <w:r w:rsidR="00102092">
        <w:rPr>
          <w:bCs/>
        </w:rPr>
        <w:t xml:space="preserve">systems </w:t>
      </w:r>
      <w:r>
        <w:rPr>
          <w:bCs/>
        </w:rPr>
        <w:t xml:space="preserve">and able to be queried and downloaded into the spreadsheets, much like </w:t>
      </w:r>
      <w:r w:rsidR="00102092">
        <w:rPr>
          <w:bCs/>
        </w:rPr>
        <w:t xml:space="preserve">the required </w:t>
      </w:r>
      <w:r>
        <w:rPr>
          <w:bCs/>
        </w:rPr>
        <w:t>Upper Payment Limit (UPL) demonstrations, which are estimated at 40 hours per year for 1 annual report. The UPL demonstrations cover most of the service type</w:t>
      </w:r>
      <w:r w:rsidR="00102092">
        <w:rPr>
          <w:bCs/>
        </w:rPr>
        <w:t>s</w:t>
      </w:r>
      <w:r>
        <w:rPr>
          <w:bCs/>
        </w:rPr>
        <w:t xml:space="preserve"> where we are aware and require general reporting of supplemental payments, however, there are other services like ground emergency medical transportation where </w:t>
      </w:r>
      <w:r w:rsidR="00102092">
        <w:rPr>
          <w:bCs/>
        </w:rPr>
        <w:t xml:space="preserve">we </w:t>
      </w:r>
      <w:r>
        <w:rPr>
          <w:bCs/>
        </w:rPr>
        <w:t xml:space="preserve">are aware of supplemental payments, but we have never collected information on individual providers. </w:t>
      </w:r>
      <w:r w:rsidR="00102092">
        <w:rPr>
          <w:bCs/>
        </w:rPr>
        <w:t xml:space="preserve">We estimate about a </w:t>
      </w:r>
      <w:r w:rsidR="009F2C59">
        <w:rPr>
          <w:bCs/>
        </w:rPr>
        <w:t xml:space="preserve">quarter </w:t>
      </w:r>
      <w:r w:rsidR="00102092">
        <w:rPr>
          <w:bCs/>
        </w:rPr>
        <w:t xml:space="preserve">of </w:t>
      </w:r>
      <w:r w:rsidR="009F2C59">
        <w:rPr>
          <w:bCs/>
        </w:rPr>
        <w:t xml:space="preserve">all </w:t>
      </w:r>
      <w:r w:rsidR="00102092">
        <w:rPr>
          <w:bCs/>
        </w:rPr>
        <w:t xml:space="preserve">providers in the UPL demonstrations receive supplemental payments in a year, but we recognize that there are additional services and providers that receive supplemental payments.  We therefore estimate the </w:t>
      </w:r>
      <w:r w:rsidR="00102092">
        <w:rPr>
          <w:bCs/>
        </w:rPr>
        <w:lastRenderedPageBreak/>
        <w:t xml:space="preserve">burden for each report to be </w:t>
      </w:r>
      <w:r w:rsidR="009F2C59">
        <w:rPr>
          <w:bCs/>
        </w:rPr>
        <w:t xml:space="preserve">more than a quarter </w:t>
      </w:r>
      <w:r w:rsidR="00102092">
        <w:rPr>
          <w:bCs/>
        </w:rPr>
        <w:t>of the UPL demonstrations</w:t>
      </w:r>
      <w:r w:rsidR="009F2C59">
        <w:rPr>
          <w:bCs/>
        </w:rPr>
        <w:t>’</w:t>
      </w:r>
      <w:r w:rsidR="00102092">
        <w:rPr>
          <w:bCs/>
        </w:rPr>
        <w:t xml:space="preserve"> burden, or </w:t>
      </w:r>
      <w:r w:rsidR="009F2C59">
        <w:rPr>
          <w:bCs/>
        </w:rPr>
        <w:t>15</w:t>
      </w:r>
      <w:r w:rsidR="00102092">
        <w:rPr>
          <w:bCs/>
        </w:rPr>
        <w:t xml:space="preserve"> hours per </w:t>
      </w:r>
      <w:r w:rsidR="009F2C59">
        <w:rPr>
          <w:bCs/>
        </w:rPr>
        <w:t xml:space="preserve">quarterly </w:t>
      </w:r>
      <w:r w:rsidR="00102092">
        <w:rPr>
          <w:bCs/>
        </w:rPr>
        <w:t>report</w:t>
      </w:r>
      <w:r w:rsidR="009F2C59">
        <w:rPr>
          <w:bCs/>
        </w:rPr>
        <w:t>, for a total of 60 hours per year</w:t>
      </w:r>
      <w:r w:rsidR="0030516A">
        <w:rPr>
          <w:bCs/>
        </w:rPr>
        <w:t xml:space="preserve"> per state</w:t>
      </w:r>
      <w:r w:rsidR="009F2C59">
        <w:rPr>
          <w:bCs/>
        </w:rPr>
        <w:t>.</w:t>
      </w:r>
    </w:p>
    <w:p w:rsidRPr="00A801C3" w:rsidR="0030516A" w:rsidP="0030516A" w:rsidRDefault="0030516A" w14:paraId="7C398CB0" w14:textId="39E5F42C">
      <w:pPr>
        <w:spacing w:after="0" w:line="240" w:lineRule="auto"/>
        <w:rPr>
          <w:rFonts w:cs="Times New Roman"/>
          <w:szCs w:val="24"/>
        </w:rPr>
      </w:pPr>
      <w:r w:rsidRPr="00A801C3">
        <w:t xml:space="preserve">There is a potential universe of 54 respondents submitting one response.  CMS has determined that the Commonwealth of the Northern Marianas Islands and American Samoa are exempt from reporting due to their Medicaid J waivers.  In aggregate, we estimate a burden of 3,240 hours (60 </w:t>
      </w:r>
      <w:proofErr w:type="spellStart"/>
      <w:r w:rsidRPr="00A801C3">
        <w:t>hr</w:t>
      </w:r>
      <w:proofErr w:type="spellEnd"/>
      <w:r w:rsidRPr="00A801C3">
        <w:t>/year x 54 responses/year).</w:t>
      </w:r>
    </w:p>
    <w:p w:rsidRPr="00A801C3" w:rsidR="0030516A" w:rsidP="0030516A" w:rsidRDefault="0030516A" w14:paraId="46D735EC" w14:textId="77777777">
      <w:pPr>
        <w:spacing w:after="0" w:line="240" w:lineRule="auto"/>
        <w:rPr>
          <w:rFonts w:cs="Times New Roman"/>
          <w:szCs w:val="24"/>
        </w:rPr>
      </w:pPr>
    </w:p>
    <w:p w:rsidRPr="00A801C3" w:rsidR="0030516A" w:rsidP="0030516A" w:rsidRDefault="0030516A" w14:paraId="493C6D7C" w14:textId="337E60D1">
      <w:pPr>
        <w:spacing w:after="0" w:line="240" w:lineRule="auto"/>
        <w:rPr>
          <w:rFonts w:cs="Times New Roman"/>
          <w:szCs w:val="24"/>
        </w:rPr>
      </w:pPr>
      <w:r w:rsidRPr="00A801C3">
        <w:rPr>
          <w:rFonts w:cs="Times New Roman"/>
          <w:szCs w:val="24"/>
        </w:rPr>
        <w:t xml:space="preserve">CMS expects that there will be three separate steps for a state to complete one response. We expect that a Data Entry </w:t>
      </w:r>
      <w:proofErr w:type="spellStart"/>
      <w:r w:rsidRPr="00A801C3">
        <w:rPr>
          <w:rFonts w:cs="Times New Roman"/>
          <w:szCs w:val="24"/>
        </w:rPr>
        <w:t>Keyers</w:t>
      </w:r>
      <w:proofErr w:type="spellEnd"/>
      <w:r w:rsidRPr="00A801C3">
        <w:rPr>
          <w:rFonts w:cs="Times New Roman"/>
          <w:szCs w:val="24"/>
        </w:rPr>
        <w:t xml:space="preserve"> would need 50 hours at $34.48/</w:t>
      </w:r>
      <w:proofErr w:type="spellStart"/>
      <w:r w:rsidRPr="00A801C3">
        <w:rPr>
          <w:rFonts w:cs="Times New Roman"/>
          <w:szCs w:val="24"/>
        </w:rPr>
        <w:t>hr</w:t>
      </w:r>
      <w:proofErr w:type="spellEnd"/>
      <w:r w:rsidRPr="00A801C3">
        <w:rPr>
          <w:rFonts w:cs="Times New Roman"/>
          <w:szCs w:val="24"/>
        </w:rPr>
        <w:t xml:space="preserve"> to complete the reports, a Social Science Research Assistant would need 9 hours at $51.50/</w:t>
      </w:r>
      <w:proofErr w:type="spellStart"/>
      <w:r w:rsidRPr="00A801C3">
        <w:rPr>
          <w:rFonts w:cs="Times New Roman"/>
          <w:szCs w:val="24"/>
        </w:rPr>
        <w:t>hr</w:t>
      </w:r>
      <w:proofErr w:type="spellEnd"/>
      <w:r w:rsidRPr="00A801C3">
        <w:rPr>
          <w:rFonts w:cs="Times New Roman"/>
          <w:szCs w:val="24"/>
        </w:rPr>
        <w:t xml:space="preserve"> to complete the reports, and a General and Operations Manager would need 1 hour at $120.90/</w:t>
      </w:r>
      <w:proofErr w:type="spellStart"/>
      <w:r w:rsidRPr="00A801C3">
        <w:rPr>
          <w:rFonts w:cs="Times New Roman"/>
          <w:szCs w:val="24"/>
        </w:rPr>
        <w:t>hr</w:t>
      </w:r>
      <w:proofErr w:type="spellEnd"/>
      <w:r w:rsidRPr="00A801C3">
        <w:rPr>
          <w:rFonts w:cs="Times New Roman"/>
          <w:szCs w:val="24"/>
        </w:rPr>
        <w:t xml:space="preserve"> to complete the reports.</w:t>
      </w:r>
    </w:p>
    <w:p w:rsidRPr="00A801C3" w:rsidR="0030516A" w:rsidP="0030516A" w:rsidRDefault="0030516A" w14:paraId="2E410437" w14:textId="77777777">
      <w:pPr>
        <w:spacing w:after="0" w:line="240" w:lineRule="auto"/>
        <w:rPr>
          <w:i/>
          <w:szCs w:val="24"/>
        </w:rPr>
      </w:pPr>
    </w:p>
    <w:p w:rsidRPr="00A801C3" w:rsidR="0030516A" w:rsidP="0030516A" w:rsidRDefault="0030516A" w14:paraId="0F4B877A" w14:textId="2AD73045">
      <w:pPr>
        <w:spacing w:after="0" w:line="240" w:lineRule="auto"/>
        <w:rPr>
          <w:szCs w:val="24"/>
        </w:rPr>
      </w:pPr>
      <w:r w:rsidRPr="00A801C3">
        <w:rPr>
          <w:szCs w:val="24"/>
        </w:rPr>
        <w:t xml:space="preserve">In aggregate, we estimate an annual cost of $124,654 [54 states x ((50 </w:t>
      </w:r>
      <w:proofErr w:type="spellStart"/>
      <w:r w:rsidRPr="00A801C3">
        <w:rPr>
          <w:szCs w:val="24"/>
        </w:rPr>
        <w:t>hr</w:t>
      </w:r>
      <w:proofErr w:type="spellEnd"/>
      <w:r w:rsidRPr="00A801C3">
        <w:rPr>
          <w:szCs w:val="24"/>
        </w:rPr>
        <w:t xml:space="preserve"> x $34.48/</w:t>
      </w:r>
      <w:proofErr w:type="spellStart"/>
      <w:r w:rsidRPr="00A801C3">
        <w:rPr>
          <w:szCs w:val="24"/>
        </w:rPr>
        <w:t>hr</w:t>
      </w:r>
      <w:proofErr w:type="spellEnd"/>
      <w:r w:rsidRPr="00A801C3">
        <w:rPr>
          <w:szCs w:val="24"/>
        </w:rPr>
        <w:t xml:space="preserve">) + (9 </w:t>
      </w:r>
      <w:proofErr w:type="spellStart"/>
      <w:r w:rsidRPr="00A801C3">
        <w:rPr>
          <w:szCs w:val="24"/>
        </w:rPr>
        <w:t>hr</w:t>
      </w:r>
      <w:proofErr w:type="spellEnd"/>
      <w:r w:rsidRPr="00A801C3">
        <w:rPr>
          <w:szCs w:val="24"/>
        </w:rPr>
        <w:t xml:space="preserve"> x $51.50/</w:t>
      </w:r>
      <w:proofErr w:type="spellStart"/>
      <w:r w:rsidRPr="00A801C3">
        <w:rPr>
          <w:szCs w:val="24"/>
        </w:rPr>
        <w:t>hr</w:t>
      </w:r>
      <w:proofErr w:type="spellEnd"/>
      <w:r w:rsidRPr="00A801C3">
        <w:rPr>
          <w:szCs w:val="24"/>
        </w:rPr>
        <w:t xml:space="preserve">) + (1 </w:t>
      </w:r>
      <w:proofErr w:type="spellStart"/>
      <w:r w:rsidRPr="00A801C3">
        <w:rPr>
          <w:szCs w:val="24"/>
        </w:rPr>
        <w:t>hr</w:t>
      </w:r>
      <w:proofErr w:type="spellEnd"/>
      <w:r w:rsidRPr="00A801C3">
        <w:rPr>
          <w:szCs w:val="24"/>
        </w:rPr>
        <w:t xml:space="preserve"> x $120.90/</w:t>
      </w:r>
      <w:proofErr w:type="spellStart"/>
      <w:r w:rsidRPr="00A801C3">
        <w:rPr>
          <w:szCs w:val="24"/>
        </w:rPr>
        <w:t>hr</w:t>
      </w:r>
      <w:proofErr w:type="spellEnd"/>
      <w:r w:rsidRPr="00A801C3">
        <w:rPr>
          <w:szCs w:val="24"/>
        </w:rPr>
        <w:t>))].</w:t>
      </w:r>
    </w:p>
    <w:p w:rsidR="0030516A" w:rsidP="008111D2" w:rsidRDefault="0030516A" w14:paraId="0E19611A" w14:textId="77777777">
      <w:pPr>
        <w:spacing w:after="0" w:line="240" w:lineRule="auto"/>
        <w:rPr>
          <w:i/>
          <w:szCs w:val="24"/>
        </w:rPr>
      </w:pPr>
    </w:p>
    <w:p w:rsidRPr="00C24611" w:rsidR="00B16D8B" w:rsidP="008111D2" w:rsidRDefault="00B16D8B" w14:paraId="3B93B570" w14:textId="5F991076">
      <w:pPr>
        <w:spacing w:after="0" w:line="240" w:lineRule="auto"/>
        <w:rPr>
          <w:i/>
          <w:szCs w:val="24"/>
        </w:rPr>
      </w:pPr>
      <w:r w:rsidRPr="00C24611">
        <w:rPr>
          <w:i/>
          <w:szCs w:val="24"/>
        </w:rPr>
        <w:t>Information Collection Instruments and Instruction/Guidance Documents</w:t>
      </w:r>
    </w:p>
    <w:p w:rsidR="00B16D8B" w:rsidP="008111D2" w:rsidRDefault="00B16D8B" w14:paraId="2CA468FF" w14:textId="77777777">
      <w:pPr>
        <w:spacing w:after="0" w:line="240" w:lineRule="auto"/>
        <w:rPr>
          <w:i/>
          <w:szCs w:val="24"/>
        </w:rPr>
      </w:pPr>
    </w:p>
    <w:p w:rsidRPr="00F51D27" w:rsidR="0030516A" w:rsidP="00F51D27" w:rsidRDefault="0030516A" w14:paraId="0754AF53" w14:textId="36933567">
      <w:pPr>
        <w:spacing w:after="0" w:line="240" w:lineRule="auto"/>
        <w:rPr>
          <w:rFonts w:cs="Times New Roman"/>
          <w:bCs/>
          <w:szCs w:val="24"/>
        </w:rPr>
      </w:pPr>
      <w:r w:rsidRPr="00F51D27">
        <w:rPr>
          <w:rFonts w:cs="Times New Roman"/>
          <w:bCs/>
          <w:szCs w:val="24"/>
        </w:rPr>
        <w:t>Collection of information online screen shots in pdf format:</w:t>
      </w:r>
    </w:p>
    <w:p w:rsidRPr="00F51D27" w:rsidR="0030516A" w:rsidP="00F51D27" w:rsidRDefault="0030516A" w14:paraId="476BF95B" w14:textId="4466FD7E">
      <w:pPr>
        <w:pStyle w:val="ListParagraph"/>
        <w:numPr>
          <w:ilvl w:val="0"/>
          <w:numId w:val="16"/>
        </w:numPr>
        <w:spacing w:after="0" w:line="240" w:lineRule="auto"/>
        <w:rPr>
          <w:rFonts w:ascii="Times New Roman" w:hAnsi="Times New Roman"/>
          <w:bCs/>
          <w:sz w:val="24"/>
          <w:szCs w:val="24"/>
        </w:rPr>
      </w:pPr>
      <w:r w:rsidRPr="00F51D27">
        <w:rPr>
          <w:rFonts w:ascii="Times New Roman" w:hAnsi="Times New Roman"/>
          <w:bCs/>
          <w:sz w:val="24"/>
          <w:szCs w:val="24"/>
        </w:rPr>
        <w:t>CMS-64.SPVNarr Mockup (new)</w:t>
      </w:r>
    </w:p>
    <w:p w:rsidRPr="00F51D27" w:rsidR="0030516A" w:rsidP="00F51D27" w:rsidRDefault="0030516A" w14:paraId="59862568" w14:textId="7C48E564">
      <w:pPr>
        <w:pStyle w:val="ListParagraph"/>
        <w:numPr>
          <w:ilvl w:val="0"/>
          <w:numId w:val="16"/>
        </w:numPr>
        <w:spacing w:after="0" w:line="240" w:lineRule="auto"/>
        <w:rPr>
          <w:rFonts w:ascii="Times New Roman" w:hAnsi="Times New Roman"/>
          <w:bCs/>
          <w:sz w:val="24"/>
          <w:szCs w:val="24"/>
        </w:rPr>
      </w:pPr>
      <w:r w:rsidRPr="00F51D27">
        <w:rPr>
          <w:rFonts w:ascii="Times New Roman" w:hAnsi="Times New Roman"/>
          <w:bCs/>
          <w:sz w:val="24"/>
          <w:szCs w:val="24"/>
        </w:rPr>
        <w:t>CMS-64 Payment detail Form Mockup 508 (new)</w:t>
      </w:r>
    </w:p>
    <w:p w:rsidRPr="00F51D27" w:rsidR="0030516A" w:rsidP="00F51D27" w:rsidRDefault="0030516A" w14:paraId="139528F6" w14:textId="1DA332B6">
      <w:pPr>
        <w:pStyle w:val="ListParagraph"/>
        <w:numPr>
          <w:ilvl w:val="0"/>
          <w:numId w:val="16"/>
        </w:numPr>
        <w:spacing w:after="0" w:line="240" w:lineRule="auto"/>
        <w:rPr>
          <w:rFonts w:ascii="Times New Roman" w:hAnsi="Times New Roman"/>
          <w:bCs/>
          <w:sz w:val="24"/>
          <w:szCs w:val="24"/>
        </w:rPr>
      </w:pPr>
      <w:r w:rsidRPr="00F51D27">
        <w:rPr>
          <w:rFonts w:ascii="Times New Roman" w:hAnsi="Times New Roman"/>
          <w:bCs/>
          <w:sz w:val="24"/>
          <w:szCs w:val="24"/>
        </w:rPr>
        <w:t>CMS-64 Provider Info Mockup 508 (new)</w:t>
      </w:r>
    </w:p>
    <w:p w:rsidRPr="00222AD8" w:rsidR="0030516A" w:rsidP="00222AD8" w:rsidRDefault="00222AD8" w14:paraId="53D469AA" w14:textId="433FC954">
      <w:pPr>
        <w:pStyle w:val="ListParagraph"/>
        <w:numPr>
          <w:ilvl w:val="0"/>
          <w:numId w:val="16"/>
        </w:numPr>
        <w:spacing w:after="0" w:line="240" w:lineRule="auto"/>
        <w:rPr>
          <w:rFonts w:ascii="Times New Roman" w:hAnsi="Times New Roman"/>
          <w:bCs/>
          <w:sz w:val="24"/>
          <w:szCs w:val="24"/>
        </w:rPr>
      </w:pPr>
      <w:r w:rsidRPr="002976FC">
        <w:rPr>
          <w:rFonts w:ascii="Times New Roman" w:hAnsi="Times New Roman"/>
          <w:bCs/>
          <w:sz w:val="24"/>
          <w:szCs w:val="24"/>
        </w:rPr>
        <w:t>(SMDL) 21-TBD</w:t>
      </w:r>
      <w:r>
        <w:rPr>
          <w:rFonts w:ascii="Times New Roman" w:hAnsi="Times New Roman"/>
          <w:bCs/>
          <w:sz w:val="24"/>
          <w:szCs w:val="24"/>
        </w:rPr>
        <w:t xml:space="preserve">, </w:t>
      </w:r>
      <w:r w:rsidRPr="00222AD8" w:rsidR="0030516A">
        <w:rPr>
          <w:rFonts w:ascii="Times New Roman" w:hAnsi="Times New Roman"/>
          <w:sz w:val="24"/>
          <w:szCs w:val="24"/>
        </w:rPr>
        <w:t>New Supplemental Payment Reporting and Medicaid Disproportionate Share Hospital Requirements under the Consolidated Appropriations Act, 2021</w:t>
      </w:r>
    </w:p>
    <w:p w:rsidRPr="00222AD8" w:rsidR="002009B2" w:rsidP="008111D2" w:rsidRDefault="002009B2" w14:paraId="2EB58D98" w14:textId="77777777">
      <w:pPr>
        <w:spacing w:after="0" w:line="240" w:lineRule="auto"/>
        <w:rPr>
          <w:rFonts w:cs="Times New Roman"/>
          <w:szCs w:val="24"/>
        </w:rPr>
      </w:pPr>
    </w:p>
    <w:p w:rsidR="007D6E75" w:rsidP="00F54374" w:rsidRDefault="007D6E75" w14:paraId="303D4ECE" w14:textId="77777777">
      <w:pPr>
        <w:pStyle w:val="Heading1"/>
      </w:pPr>
      <w:r w:rsidRPr="008111D2">
        <w:t>E. Timeline</w:t>
      </w:r>
    </w:p>
    <w:p w:rsidR="006E36C8" w:rsidP="00364E8C" w:rsidRDefault="006E36C8" w14:paraId="5A59D664" w14:textId="77777777">
      <w:pPr>
        <w:spacing w:after="0" w:line="240" w:lineRule="auto"/>
        <w:rPr>
          <w:szCs w:val="24"/>
        </w:rPr>
      </w:pPr>
    </w:p>
    <w:p w:rsidRPr="00844C6E" w:rsidR="00416496" w:rsidP="00844C6E" w:rsidRDefault="00844C6E" w14:paraId="57E237C1" w14:textId="64817E19">
      <w:pPr>
        <w:spacing w:after="0" w:line="240" w:lineRule="auto"/>
        <w:rPr>
          <w:rFonts w:cs="Times New Roman"/>
          <w:szCs w:val="24"/>
        </w:rPr>
      </w:pPr>
      <w:r w:rsidRPr="00844C6E">
        <w:rPr>
          <w:rFonts w:cs="Times New Roman"/>
        </w:rPr>
        <w:t>The SMDL was cleared by OMB on December 7, 2021. We request approval of this collection of information request on or soon after December 8</w:t>
      </w:r>
      <w:r w:rsidR="005714CF">
        <w:rPr>
          <w:rFonts w:cs="Times New Roman"/>
        </w:rPr>
        <w:t>, 2021,</w:t>
      </w:r>
      <w:r w:rsidRPr="00844C6E">
        <w:rPr>
          <w:rFonts w:cs="Times New Roman"/>
        </w:rPr>
        <w:t xml:space="preserve"> so States can receive the letter and the reporting instruments at the same time</w:t>
      </w:r>
      <w:r>
        <w:rPr>
          <w:rFonts w:cs="Times New Roman"/>
        </w:rPr>
        <w:t>.</w:t>
      </w:r>
    </w:p>
    <w:sectPr w:rsidRPr="00844C6E" w:rsidR="0041649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9760E" w14:textId="77777777" w:rsidR="004B0AD2" w:rsidRDefault="004B0AD2" w:rsidP="008111D2">
      <w:pPr>
        <w:spacing w:after="0" w:line="240" w:lineRule="auto"/>
      </w:pPr>
      <w:r>
        <w:separator/>
      </w:r>
    </w:p>
  </w:endnote>
  <w:endnote w:type="continuationSeparator" w:id="0">
    <w:p w14:paraId="3AB497E4" w14:textId="77777777" w:rsidR="004B0AD2" w:rsidRDefault="004B0A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D690F" w14:textId="77777777" w:rsidR="004B0AD2" w:rsidRDefault="004B0AD2" w:rsidP="008111D2">
      <w:pPr>
        <w:spacing w:after="0" w:line="240" w:lineRule="auto"/>
      </w:pPr>
      <w:r>
        <w:separator/>
      </w:r>
    </w:p>
  </w:footnote>
  <w:footnote w:type="continuationSeparator" w:id="0">
    <w:p w14:paraId="20BB610D" w14:textId="77777777" w:rsidR="004B0AD2" w:rsidRDefault="004B0AD2" w:rsidP="00811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526E"/>
    <w:multiLevelType w:val="hybridMultilevel"/>
    <w:tmpl w:val="BFB2B534"/>
    <w:lvl w:ilvl="0" w:tplc="8FECB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55AE5"/>
    <w:multiLevelType w:val="hybridMultilevel"/>
    <w:tmpl w:val="DC487646"/>
    <w:lvl w:ilvl="0" w:tplc="04090001">
      <w:start w:val="1"/>
      <w:numFmt w:val="bullet"/>
      <w:lvlText w:val=""/>
      <w:lvlJc w:val="left"/>
      <w:pPr>
        <w:ind w:left="360" w:hanging="360"/>
      </w:pPr>
      <w:rPr>
        <w:rFonts w:ascii="Symbol" w:hAnsi="Symbol" w:hint="default"/>
      </w:rPr>
    </w:lvl>
    <w:lvl w:ilvl="1" w:tplc="F3A234F4">
      <w:numFmt w:val="bullet"/>
      <w:lvlText w:val="•"/>
      <w:lvlJc w:val="left"/>
      <w:pPr>
        <w:ind w:left="1440" w:hanging="720"/>
      </w:pPr>
      <w:rPr>
        <w:rFonts w:ascii="Calibri" w:eastAsia="Calibr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172D51"/>
    <w:multiLevelType w:val="hybridMultilevel"/>
    <w:tmpl w:val="9D72B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6B032D"/>
    <w:multiLevelType w:val="hybridMultilevel"/>
    <w:tmpl w:val="BADE4B82"/>
    <w:lvl w:ilvl="0" w:tplc="5AA28B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14"/>
  </w:num>
  <w:num w:numId="5">
    <w:abstractNumId w:val="4"/>
  </w:num>
  <w:num w:numId="6">
    <w:abstractNumId w:val="5"/>
  </w:num>
  <w:num w:numId="7">
    <w:abstractNumId w:val="6"/>
  </w:num>
  <w:num w:numId="8">
    <w:abstractNumId w:val="12"/>
  </w:num>
  <w:num w:numId="9">
    <w:abstractNumId w:val="1"/>
  </w:num>
  <w:num w:numId="10">
    <w:abstractNumId w:val="15"/>
  </w:num>
  <w:num w:numId="11">
    <w:abstractNumId w:val="3"/>
  </w:num>
  <w:num w:numId="12">
    <w:abstractNumId w:val="11"/>
  </w:num>
  <w:num w:numId="13">
    <w:abstractNumId w:val="2"/>
  </w:num>
  <w:num w:numId="14">
    <w:abstractNumId w:val="0"/>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13753"/>
    <w:rsid w:val="000336C4"/>
    <w:rsid w:val="000362BD"/>
    <w:rsid w:val="00043D0E"/>
    <w:rsid w:val="0004768A"/>
    <w:rsid w:val="00051700"/>
    <w:rsid w:val="0006169D"/>
    <w:rsid w:val="000712B4"/>
    <w:rsid w:val="0007774B"/>
    <w:rsid w:val="00091DE4"/>
    <w:rsid w:val="000D1CFD"/>
    <w:rsid w:val="000D7C29"/>
    <w:rsid w:val="000E55DA"/>
    <w:rsid w:val="00102092"/>
    <w:rsid w:val="00111672"/>
    <w:rsid w:val="001213D3"/>
    <w:rsid w:val="00122C0E"/>
    <w:rsid w:val="00125AC4"/>
    <w:rsid w:val="00127D20"/>
    <w:rsid w:val="00133ACD"/>
    <w:rsid w:val="00175A39"/>
    <w:rsid w:val="00185CB4"/>
    <w:rsid w:val="001A1FC6"/>
    <w:rsid w:val="001D0262"/>
    <w:rsid w:val="001D197A"/>
    <w:rsid w:val="001E1FA0"/>
    <w:rsid w:val="001E66B6"/>
    <w:rsid w:val="001F0B86"/>
    <w:rsid w:val="001F2628"/>
    <w:rsid w:val="0020026D"/>
    <w:rsid w:val="002009B2"/>
    <w:rsid w:val="00221FE1"/>
    <w:rsid w:val="00222AD8"/>
    <w:rsid w:val="00222B4F"/>
    <w:rsid w:val="00225AAE"/>
    <w:rsid w:val="002278BC"/>
    <w:rsid w:val="00252D20"/>
    <w:rsid w:val="00262B47"/>
    <w:rsid w:val="00270765"/>
    <w:rsid w:val="00270DCC"/>
    <w:rsid w:val="0027114C"/>
    <w:rsid w:val="00273208"/>
    <w:rsid w:val="00292D52"/>
    <w:rsid w:val="00294833"/>
    <w:rsid w:val="002976FC"/>
    <w:rsid w:val="002C2DEF"/>
    <w:rsid w:val="002C64B6"/>
    <w:rsid w:val="002D39AC"/>
    <w:rsid w:val="0030516A"/>
    <w:rsid w:val="0030707A"/>
    <w:rsid w:val="003248D0"/>
    <w:rsid w:val="00325F87"/>
    <w:rsid w:val="00335313"/>
    <w:rsid w:val="003516CA"/>
    <w:rsid w:val="00351B43"/>
    <w:rsid w:val="00354322"/>
    <w:rsid w:val="003627C8"/>
    <w:rsid w:val="00364E8C"/>
    <w:rsid w:val="003918B4"/>
    <w:rsid w:val="003C7FE8"/>
    <w:rsid w:val="003E6441"/>
    <w:rsid w:val="003F3418"/>
    <w:rsid w:val="003F4D04"/>
    <w:rsid w:val="00405CF9"/>
    <w:rsid w:val="00416496"/>
    <w:rsid w:val="00432C17"/>
    <w:rsid w:val="00443DCF"/>
    <w:rsid w:val="004441CF"/>
    <w:rsid w:val="004500E1"/>
    <w:rsid w:val="00457BC1"/>
    <w:rsid w:val="00465B2D"/>
    <w:rsid w:val="00467E98"/>
    <w:rsid w:val="00470325"/>
    <w:rsid w:val="00474257"/>
    <w:rsid w:val="00475EF8"/>
    <w:rsid w:val="00483058"/>
    <w:rsid w:val="00492D39"/>
    <w:rsid w:val="004A0A30"/>
    <w:rsid w:val="004A33C2"/>
    <w:rsid w:val="004B0AD2"/>
    <w:rsid w:val="004B13E8"/>
    <w:rsid w:val="004F7425"/>
    <w:rsid w:val="00507048"/>
    <w:rsid w:val="00521033"/>
    <w:rsid w:val="0052333E"/>
    <w:rsid w:val="00524AE1"/>
    <w:rsid w:val="00544F1C"/>
    <w:rsid w:val="005714CF"/>
    <w:rsid w:val="00597229"/>
    <w:rsid w:val="005A5E62"/>
    <w:rsid w:val="005B6A37"/>
    <w:rsid w:val="005C00B3"/>
    <w:rsid w:val="005C580D"/>
    <w:rsid w:val="005C73AF"/>
    <w:rsid w:val="005D001F"/>
    <w:rsid w:val="005D09F0"/>
    <w:rsid w:val="005E312B"/>
    <w:rsid w:val="005E3B79"/>
    <w:rsid w:val="005E52BE"/>
    <w:rsid w:val="005E70B4"/>
    <w:rsid w:val="006026DA"/>
    <w:rsid w:val="00610A2E"/>
    <w:rsid w:val="00613E26"/>
    <w:rsid w:val="006211E1"/>
    <w:rsid w:val="0063765F"/>
    <w:rsid w:val="00646549"/>
    <w:rsid w:val="00647812"/>
    <w:rsid w:val="00685368"/>
    <w:rsid w:val="006930B1"/>
    <w:rsid w:val="006A7890"/>
    <w:rsid w:val="006B2A45"/>
    <w:rsid w:val="006C0B96"/>
    <w:rsid w:val="006C4626"/>
    <w:rsid w:val="006C6C40"/>
    <w:rsid w:val="006C7304"/>
    <w:rsid w:val="006D6A5D"/>
    <w:rsid w:val="006D7F8B"/>
    <w:rsid w:val="006E36C8"/>
    <w:rsid w:val="006E37F0"/>
    <w:rsid w:val="006E55F5"/>
    <w:rsid w:val="006F4FF9"/>
    <w:rsid w:val="00707666"/>
    <w:rsid w:val="0071650B"/>
    <w:rsid w:val="00716824"/>
    <w:rsid w:val="00723A9E"/>
    <w:rsid w:val="0075741C"/>
    <w:rsid w:val="007740A1"/>
    <w:rsid w:val="00777B0D"/>
    <w:rsid w:val="007A1E46"/>
    <w:rsid w:val="007D6E75"/>
    <w:rsid w:val="007E4D20"/>
    <w:rsid w:val="007F1711"/>
    <w:rsid w:val="00802598"/>
    <w:rsid w:val="008111D2"/>
    <w:rsid w:val="00821AD3"/>
    <w:rsid w:val="00836E8F"/>
    <w:rsid w:val="008424B0"/>
    <w:rsid w:val="00844C6E"/>
    <w:rsid w:val="00873459"/>
    <w:rsid w:val="0088756F"/>
    <w:rsid w:val="008C11BC"/>
    <w:rsid w:val="008D52D1"/>
    <w:rsid w:val="008E6143"/>
    <w:rsid w:val="008F2AED"/>
    <w:rsid w:val="008F385E"/>
    <w:rsid w:val="009004E1"/>
    <w:rsid w:val="0092638D"/>
    <w:rsid w:val="009369F3"/>
    <w:rsid w:val="00944715"/>
    <w:rsid w:val="0095297C"/>
    <w:rsid w:val="009571FF"/>
    <w:rsid w:val="00985145"/>
    <w:rsid w:val="009903AB"/>
    <w:rsid w:val="00992D6C"/>
    <w:rsid w:val="009B12BF"/>
    <w:rsid w:val="009B19E8"/>
    <w:rsid w:val="009B575A"/>
    <w:rsid w:val="009C2F36"/>
    <w:rsid w:val="009D48B9"/>
    <w:rsid w:val="009D7C21"/>
    <w:rsid w:val="009E3FAC"/>
    <w:rsid w:val="009F2C59"/>
    <w:rsid w:val="00A011DF"/>
    <w:rsid w:val="00A12A91"/>
    <w:rsid w:val="00A138F7"/>
    <w:rsid w:val="00A32C0A"/>
    <w:rsid w:val="00A467D7"/>
    <w:rsid w:val="00A67235"/>
    <w:rsid w:val="00A718B4"/>
    <w:rsid w:val="00A76DAA"/>
    <w:rsid w:val="00AA37EC"/>
    <w:rsid w:val="00AB01BC"/>
    <w:rsid w:val="00AB45B3"/>
    <w:rsid w:val="00AC0263"/>
    <w:rsid w:val="00AE1BD8"/>
    <w:rsid w:val="00B151B4"/>
    <w:rsid w:val="00B16D8B"/>
    <w:rsid w:val="00B37FCE"/>
    <w:rsid w:val="00B43BBD"/>
    <w:rsid w:val="00B532F3"/>
    <w:rsid w:val="00B5663D"/>
    <w:rsid w:val="00B63E7E"/>
    <w:rsid w:val="00B87957"/>
    <w:rsid w:val="00B96231"/>
    <w:rsid w:val="00BB109D"/>
    <w:rsid w:val="00BD1BCC"/>
    <w:rsid w:val="00BD32FA"/>
    <w:rsid w:val="00BD7112"/>
    <w:rsid w:val="00C2142E"/>
    <w:rsid w:val="00C24611"/>
    <w:rsid w:val="00C30AA5"/>
    <w:rsid w:val="00C42C57"/>
    <w:rsid w:val="00C62AB7"/>
    <w:rsid w:val="00C66D6B"/>
    <w:rsid w:val="00C94C5E"/>
    <w:rsid w:val="00CA414B"/>
    <w:rsid w:val="00CB241F"/>
    <w:rsid w:val="00CB5768"/>
    <w:rsid w:val="00CB646D"/>
    <w:rsid w:val="00CB7E59"/>
    <w:rsid w:val="00CF6C1D"/>
    <w:rsid w:val="00D01558"/>
    <w:rsid w:val="00D05405"/>
    <w:rsid w:val="00D12ABB"/>
    <w:rsid w:val="00D215B4"/>
    <w:rsid w:val="00D21C78"/>
    <w:rsid w:val="00D25AD5"/>
    <w:rsid w:val="00D42E31"/>
    <w:rsid w:val="00D46C38"/>
    <w:rsid w:val="00D4736A"/>
    <w:rsid w:val="00D52DD7"/>
    <w:rsid w:val="00D955B5"/>
    <w:rsid w:val="00D95986"/>
    <w:rsid w:val="00DA4035"/>
    <w:rsid w:val="00DC2B98"/>
    <w:rsid w:val="00DD794C"/>
    <w:rsid w:val="00DE0A7E"/>
    <w:rsid w:val="00DF098E"/>
    <w:rsid w:val="00DF2A38"/>
    <w:rsid w:val="00E379B3"/>
    <w:rsid w:val="00E40535"/>
    <w:rsid w:val="00E528F3"/>
    <w:rsid w:val="00E83C3E"/>
    <w:rsid w:val="00E93F3F"/>
    <w:rsid w:val="00E95828"/>
    <w:rsid w:val="00EA4AB1"/>
    <w:rsid w:val="00EB0B56"/>
    <w:rsid w:val="00EB1115"/>
    <w:rsid w:val="00EC68D0"/>
    <w:rsid w:val="00ED4A0E"/>
    <w:rsid w:val="00EE1AD1"/>
    <w:rsid w:val="00EF3A74"/>
    <w:rsid w:val="00F00B66"/>
    <w:rsid w:val="00F01D40"/>
    <w:rsid w:val="00F04F6D"/>
    <w:rsid w:val="00F303E4"/>
    <w:rsid w:val="00F34393"/>
    <w:rsid w:val="00F4153A"/>
    <w:rsid w:val="00F51D27"/>
    <w:rsid w:val="00F54374"/>
    <w:rsid w:val="00F81063"/>
    <w:rsid w:val="00F9412F"/>
    <w:rsid w:val="00FB3D21"/>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15:docId w15:val="{8B7CEF4B-A5E8-4D97-B3D1-CF3C8FE2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character" w:styleId="UnresolvedMention">
    <w:name w:val="Unresolved Mention"/>
    <w:basedOn w:val="DefaultParagraphFont"/>
    <w:uiPriority w:val="99"/>
    <w:semiHidden/>
    <w:unhideWhenUsed/>
    <w:rsid w:val="007A1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59050455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382364114">
      <w:bodyDiv w:val="1"/>
      <w:marLeft w:val="0"/>
      <w:marRight w:val="0"/>
      <w:marTop w:val="0"/>
      <w:marBottom w:val="0"/>
      <w:divBdr>
        <w:top w:val="none" w:sz="0" w:space="0" w:color="auto"/>
        <w:left w:val="none" w:sz="0" w:space="0" w:color="auto"/>
        <w:bottom w:val="none" w:sz="0" w:space="0" w:color="auto"/>
        <w:right w:val="none" w:sz="0" w:space="0" w:color="auto"/>
      </w:divBdr>
    </w:div>
    <w:div w:id="156941858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849632129">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64714161">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7181-03B1-44A5-99AE-430E83FD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2</cp:revision>
  <cp:lastPrinted>2014-06-27T18:10:00Z</cp:lastPrinted>
  <dcterms:created xsi:type="dcterms:W3CDTF">2021-12-08T16:59:00Z</dcterms:created>
  <dcterms:modified xsi:type="dcterms:W3CDTF">2021-12-08T16:59:00Z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