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593" w:rsidR="00253B99" w:rsidP="008111D2" w:rsidRDefault="002F6357" w14:paraId="3AFF71FB" w14:textId="2CD45825">
      <w:pPr>
        <w:spacing w:after="0" w:line="240" w:lineRule="auto"/>
        <w:jc w:val="center"/>
        <w:rPr>
          <w:rFonts w:cs="Times New Roman"/>
          <w:sz w:val="32"/>
          <w:szCs w:val="32"/>
        </w:rPr>
      </w:pPr>
      <w:r w:rsidRPr="00D22593">
        <w:rPr>
          <w:rFonts w:cs="Times New Roman"/>
          <w:sz w:val="32"/>
          <w:szCs w:val="32"/>
        </w:rPr>
        <w:t xml:space="preserve">Generic </w:t>
      </w:r>
      <w:r w:rsidRPr="00D22593" w:rsidR="00253B99">
        <w:rPr>
          <w:rFonts w:cs="Times New Roman"/>
          <w:sz w:val="32"/>
          <w:szCs w:val="32"/>
        </w:rPr>
        <w:t>Supporting</w:t>
      </w:r>
      <w:r w:rsidRPr="00D22593" w:rsidR="00BB6559">
        <w:rPr>
          <w:rFonts w:cs="Times New Roman"/>
          <w:sz w:val="32"/>
          <w:szCs w:val="32"/>
        </w:rPr>
        <w:t xml:space="preserve"> </w:t>
      </w:r>
      <w:r w:rsidRPr="00D22593" w:rsidR="00253B99">
        <w:rPr>
          <w:rFonts w:cs="Times New Roman"/>
          <w:sz w:val="32"/>
          <w:szCs w:val="32"/>
        </w:rPr>
        <w:t>Statement</w:t>
      </w:r>
    </w:p>
    <w:p w:rsidRPr="00ED41BB" w:rsidR="00253B99" w:rsidP="008111D2" w:rsidRDefault="00253B99" w14:paraId="74C4819F" w14:textId="77777777">
      <w:pPr>
        <w:spacing w:after="0" w:line="240" w:lineRule="auto"/>
        <w:jc w:val="center"/>
        <w:rPr>
          <w:szCs w:val="24"/>
        </w:rPr>
      </w:pPr>
    </w:p>
    <w:p w:rsidRPr="00ED41BB" w:rsidR="007D6E75" w:rsidP="2868D657" w:rsidRDefault="00B54634" w14:paraId="31ADAFFE" w14:textId="77777777">
      <w:pPr>
        <w:spacing w:after="0" w:line="240" w:lineRule="auto"/>
        <w:jc w:val="center"/>
        <w:rPr>
          <w:szCs w:val="24"/>
        </w:rPr>
      </w:pPr>
      <w:r w:rsidRPr="00855E3B">
        <w:t>Generic Clearance for Medicaid and CHIP State Plan, Waiver, and Program Submissions</w:t>
      </w:r>
    </w:p>
    <w:p w:rsidRPr="00ED41BB" w:rsidR="00DF098E" w:rsidP="2868D657" w:rsidRDefault="007D6E75" w14:paraId="6F45673B" w14:textId="77777777">
      <w:pPr>
        <w:spacing w:after="0" w:line="240" w:lineRule="auto"/>
        <w:jc w:val="center"/>
        <w:rPr>
          <w:szCs w:val="24"/>
        </w:rPr>
      </w:pPr>
      <w:r w:rsidRPr="00855E3B">
        <w:t>(CMS-10398, OMB 0938-1148)</w:t>
      </w:r>
    </w:p>
    <w:p w:rsidRPr="00ED41BB" w:rsidR="007D6E75" w:rsidP="008111D2" w:rsidRDefault="007D6E75" w14:paraId="549638F8" w14:textId="77777777">
      <w:pPr>
        <w:spacing w:after="0" w:line="240" w:lineRule="auto"/>
        <w:jc w:val="center"/>
        <w:rPr>
          <w:szCs w:val="24"/>
        </w:rPr>
      </w:pPr>
    </w:p>
    <w:p w:rsidRPr="0022758E" w:rsidR="007F3C76" w:rsidP="00855E3B" w:rsidRDefault="002A68E9" w14:paraId="221469B9" w14:textId="5D556793">
      <w:pPr>
        <w:spacing w:after="0" w:line="240" w:lineRule="auto"/>
        <w:jc w:val="center"/>
        <w:rPr>
          <w:rFonts w:cs="Times New Roman"/>
        </w:rPr>
      </w:pPr>
      <w:r w:rsidRPr="0022758E">
        <w:rPr>
          <w:rFonts w:cs="Times New Roman"/>
        </w:rPr>
        <w:t xml:space="preserve">Generic </w:t>
      </w:r>
      <w:r w:rsidRPr="0022758E" w:rsidR="00CB646D">
        <w:rPr>
          <w:rFonts w:cs="Times New Roman"/>
        </w:rPr>
        <w:t xml:space="preserve">Information Collection </w:t>
      </w:r>
      <w:r w:rsidRPr="0022758E" w:rsidR="00AA1107">
        <w:rPr>
          <w:rFonts w:cs="Times New Roman"/>
        </w:rPr>
        <w:t>#</w:t>
      </w:r>
      <w:r w:rsidRPr="0022758E" w:rsidR="00371756">
        <w:rPr>
          <w:rFonts w:cs="Times New Roman"/>
        </w:rPr>
        <w:t>71</w:t>
      </w:r>
      <w:r w:rsidR="0022758E">
        <w:rPr>
          <w:rFonts w:cs="Times New Roman"/>
        </w:rPr>
        <w:t xml:space="preserve"> (New)</w:t>
      </w:r>
    </w:p>
    <w:p w:rsidRPr="0022758E" w:rsidR="00B45B81" w:rsidP="000A3FC7" w:rsidRDefault="0022758E" w14:paraId="0B51AA81" w14:textId="0032A0B8">
      <w:pPr>
        <w:spacing w:after="0" w:line="240" w:lineRule="auto"/>
        <w:jc w:val="center"/>
        <w:rPr>
          <w:rFonts w:cs="Times New Roman"/>
          <w:szCs w:val="24"/>
        </w:rPr>
      </w:pPr>
      <w:r w:rsidRPr="0022758E">
        <w:rPr>
          <w:rFonts w:eastAsia="Calibri" w:cs="Times New Roman"/>
          <w:szCs w:val="24"/>
        </w:rPr>
        <w:t xml:space="preserve">Reporting Requirements for State Planning Grants for Qualifying Community-Based Mobile Crisis Intervention Services During the COVID–19 Emergency </w:t>
      </w:r>
    </w:p>
    <w:p w:rsidR="001D09B1" w:rsidP="007F3C76" w:rsidRDefault="001D09B1" w14:paraId="249D4A69" w14:textId="2E52A147">
      <w:pPr>
        <w:spacing w:after="0" w:line="240" w:lineRule="auto"/>
        <w:jc w:val="center"/>
        <w:rPr>
          <w:rFonts w:cs="Times New Roman"/>
          <w:b/>
          <w:szCs w:val="24"/>
        </w:rPr>
      </w:pPr>
    </w:p>
    <w:p w:rsidRPr="008111D2" w:rsidR="009E3FAC" w:rsidP="008111D2" w:rsidRDefault="009E3FAC" w14:paraId="413C6494" w14:textId="77777777">
      <w:pPr>
        <w:spacing w:after="0" w:line="240" w:lineRule="auto"/>
        <w:jc w:val="center"/>
        <w:rPr>
          <w:rFonts w:cs="Times New Roman"/>
          <w:szCs w:val="24"/>
        </w:rPr>
      </w:pPr>
    </w:p>
    <w:p w:rsidRPr="008111D2" w:rsidR="007D6E75" w:rsidP="008111D2" w:rsidRDefault="007D6E75" w14:paraId="44EB51B7" w14:textId="77777777">
      <w:pPr>
        <w:spacing w:after="0" w:line="240" w:lineRule="auto"/>
        <w:jc w:val="center"/>
        <w:rPr>
          <w:b/>
          <w:szCs w:val="24"/>
        </w:rPr>
      </w:pPr>
    </w:p>
    <w:p w:rsidRPr="008111D2" w:rsidR="007D6E75" w:rsidP="008111D2" w:rsidRDefault="007D6E75" w14:paraId="12AAAC0E" w14:textId="77777777">
      <w:pPr>
        <w:spacing w:after="0" w:line="240" w:lineRule="auto"/>
        <w:jc w:val="center"/>
        <w:rPr>
          <w:b/>
          <w:szCs w:val="24"/>
        </w:rPr>
      </w:pPr>
    </w:p>
    <w:p w:rsidRPr="008111D2" w:rsidR="007D6E75" w:rsidP="008111D2" w:rsidRDefault="007D6E75" w14:paraId="38974F02" w14:textId="77777777">
      <w:pPr>
        <w:spacing w:after="0" w:line="240" w:lineRule="auto"/>
        <w:jc w:val="center"/>
        <w:rPr>
          <w:szCs w:val="24"/>
        </w:rPr>
      </w:pPr>
    </w:p>
    <w:p w:rsidRPr="008111D2" w:rsidR="007D6E75" w:rsidP="008111D2" w:rsidRDefault="007D6E75" w14:paraId="1FBEC2DD" w14:textId="77777777">
      <w:pPr>
        <w:spacing w:after="0" w:line="240" w:lineRule="auto"/>
        <w:jc w:val="center"/>
        <w:rPr>
          <w:szCs w:val="24"/>
        </w:rPr>
      </w:pPr>
    </w:p>
    <w:p w:rsidRPr="008111D2" w:rsidR="007D6E75" w:rsidP="008111D2" w:rsidRDefault="007D6E75" w14:paraId="74466888" w14:textId="77777777">
      <w:pPr>
        <w:spacing w:after="0" w:line="240" w:lineRule="auto"/>
        <w:jc w:val="center"/>
        <w:rPr>
          <w:szCs w:val="24"/>
        </w:rPr>
      </w:pPr>
    </w:p>
    <w:p w:rsidRPr="008111D2" w:rsidR="007D6E75" w:rsidP="2868D657" w:rsidRDefault="007D6E75" w14:paraId="4C2517DA" w14:textId="77777777">
      <w:pPr>
        <w:spacing w:after="0" w:line="240" w:lineRule="auto"/>
        <w:jc w:val="center"/>
        <w:rPr>
          <w:szCs w:val="24"/>
        </w:rPr>
      </w:pPr>
      <w:r w:rsidRPr="00855E3B">
        <w:t>Center for Medicaid and CHIP Services (CMCS)</w:t>
      </w:r>
    </w:p>
    <w:p w:rsidRPr="008111D2" w:rsidR="007D6E75" w:rsidP="2868D657" w:rsidRDefault="007D6E75" w14:paraId="4610D625" w14:textId="77777777">
      <w:pPr>
        <w:spacing w:after="0" w:line="240" w:lineRule="auto"/>
        <w:jc w:val="center"/>
        <w:rPr>
          <w:szCs w:val="24"/>
        </w:rPr>
        <w:sectPr w:rsidRPr="008111D2" w:rsidR="007D6E75" w:rsidSect="005155F1">
          <w:footerReference w:type="default" r:id="rId13"/>
          <w:pgSz w:w="12240" w:h="15840" w:code="1"/>
          <w:pgMar w:top="1440" w:right="1080" w:bottom="1440" w:left="1080" w:header="720" w:footer="720" w:gutter="0"/>
          <w:cols w:space="720"/>
          <w:vAlign w:val="center"/>
          <w:titlePg/>
          <w:docGrid w:linePitch="360"/>
        </w:sectPr>
      </w:pPr>
      <w:r w:rsidRPr="00855E3B">
        <w:t>Centers for Me</w:t>
      </w:r>
      <w:r w:rsidRPr="00855E3B" w:rsidR="005E6549">
        <w:t>dicare &amp; Medicaid Services (CMS</w:t>
      </w:r>
      <w:r w:rsidRPr="00855E3B" w:rsidR="00344DDB">
        <w:t>)</w:t>
      </w:r>
    </w:p>
    <w:p w:rsidRPr="00443F76" w:rsidR="00A34954" w:rsidP="00A6747A" w:rsidRDefault="00802400" w14:paraId="0EF41C04" w14:textId="77777777">
      <w:pPr>
        <w:pStyle w:val="Heading1"/>
        <w:numPr>
          <w:ilvl w:val="0"/>
          <w:numId w:val="2"/>
        </w:numPr>
      </w:pPr>
      <w:r>
        <w:lastRenderedPageBreak/>
        <w:t>Background</w:t>
      </w:r>
      <w:r w:rsidR="00344DDB">
        <w:t xml:space="preserve"> </w:t>
      </w:r>
    </w:p>
    <w:p w:rsidR="00150C54" w:rsidP="00150C54" w:rsidRDefault="00150C54" w14:paraId="45E37F5F" w14:textId="77777777">
      <w:pPr>
        <w:spacing w:after="0" w:line="240" w:lineRule="auto"/>
        <w:rPr>
          <w:i/>
          <w:szCs w:val="24"/>
        </w:rPr>
      </w:pPr>
    </w:p>
    <w:p w:rsidRPr="00855E3B" w:rsidR="00B45B81" w:rsidP="00855E3B" w:rsidRDefault="00892724" w14:paraId="5C773E89" w14:textId="257B1146">
      <w:pPr>
        <w:spacing w:line="240" w:lineRule="auto"/>
        <w:rPr>
          <w:rFonts w:cs="Times New Roman"/>
        </w:rPr>
      </w:pPr>
      <w:r w:rsidRPr="00855E3B">
        <w:rPr>
          <w:rFonts w:cs="Times New Roman"/>
        </w:rPr>
        <w:t>The Centers for Medicare &amp; Medicaid Services (CMS) work</w:t>
      </w:r>
      <w:r w:rsidRPr="00855E3B" w:rsidR="00E64716">
        <w:rPr>
          <w:rFonts w:cs="Times New Roman"/>
        </w:rPr>
        <w:t>s</w:t>
      </w:r>
      <w:r w:rsidRPr="00855E3B">
        <w:rPr>
          <w:rFonts w:cs="Times New Roman"/>
        </w:rPr>
        <w:t xml:space="preserve"> in partnership with </w:t>
      </w:r>
      <w:r w:rsidRPr="00855E3B" w:rsidR="00986189">
        <w:rPr>
          <w:rFonts w:cs="Times New Roman"/>
        </w:rPr>
        <w:t xml:space="preserve">states </w:t>
      </w:r>
      <w:r w:rsidRPr="00855E3B">
        <w:rPr>
          <w:rFonts w:cs="Times New Roman"/>
        </w:rPr>
        <w:t xml:space="preserve">to implement </w:t>
      </w:r>
      <w:r w:rsidRPr="00855E3B" w:rsidR="00E64716">
        <w:rPr>
          <w:rFonts w:cs="Times New Roman"/>
        </w:rPr>
        <w:t xml:space="preserve">the </w:t>
      </w:r>
      <w:r w:rsidRPr="00855E3B">
        <w:rPr>
          <w:rFonts w:cs="Times New Roman"/>
        </w:rPr>
        <w:t xml:space="preserve">Medicaid and the Children’s Health Insurance Program (CHIP). </w:t>
      </w:r>
      <w:r w:rsidRPr="00855E3B" w:rsidR="001C27F4">
        <w:rPr>
          <w:rFonts w:cs="Times New Roman"/>
        </w:rPr>
        <w:t xml:space="preserve"> </w:t>
      </w:r>
      <w:r w:rsidRPr="00855E3B">
        <w:rPr>
          <w:rFonts w:cs="Times New Roman"/>
        </w:rPr>
        <w:t xml:space="preserve">Together these programs provide health coverage to millions of Americans. Medicaid and CHIP are based in </w:t>
      </w:r>
      <w:r w:rsidRPr="00855E3B" w:rsidR="00986189">
        <w:rPr>
          <w:rFonts w:cs="Times New Roman"/>
        </w:rPr>
        <w:t xml:space="preserve">federal </w:t>
      </w:r>
      <w:r w:rsidRPr="00855E3B">
        <w:rPr>
          <w:rFonts w:cs="Times New Roman"/>
        </w:rPr>
        <w:t xml:space="preserve">statute, associated regulations and policy guidance, and the approved </w:t>
      </w:r>
      <w:r w:rsidRPr="00855E3B" w:rsidR="00986189">
        <w:rPr>
          <w:rFonts w:cs="Times New Roman"/>
        </w:rPr>
        <w:t>Medicaid s</w:t>
      </w:r>
      <w:r w:rsidRPr="00855E3B">
        <w:rPr>
          <w:rFonts w:cs="Times New Roman"/>
        </w:rPr>
        <w:t xml:space="preserve">tate plan documents that serve as a contract between CMS and </w:t>
      </w:r>
      <w:r w:rsidRPr="00855E3B" w:rsidR="00986189">
        <w:rPr>
          <w:rFonts w:cs="Times New Roman"/>
        </w:rPr>
        <w:t>states</w:t>
      </w:r>
      <w:r w:rsidRPr="00855E3B">
        <w:rPr>
          <w:rFonts w:cs="Times New Roman"/>
        </w:rPr>
        <w:t xml:space="preserve"> about how Medicaid and CHIP will be operated in that </w:t>
      </w:r>
      <w:r w:rsidRPr="00855E3B" w:rsidR="00986189">
        <w:rPr>
          <w:rFonts w:cs="Times New Roman"/>
        </w:rPr>
        <w:t>s</w:t>
      </w:r>
      <w:r w:rsidRPr="00855E3B">
        <w:rPr>
          <w:rFonts w:cs="Times New Roman"/>
        </w:rPr>
        <w:t xml:space="preserve">tate. CMS works collaboratively with </w:t>
      </w:r>
      <w:r w:rsidRPr="00855E3B" w:rsidR="00986189">
        <w:rPr>
          <w:rFonts w:cs="Times New Roman"/>
        </w:rPr>
        <w:t>states</w:t>
      </w:r>
      <w:r w:rsidRPr="00855E3B">
        <w:rPr>
          <w:rFonts w:cs="Times New Roman"/>
        </w:rPr>
        <w:t xml:space="preserve"> in the ongoing management of programs and policies, and CMS continues to develop implementing guidance and templates for </w:t>
      </w:r>
      <w:r w:rsidRPr="00855E3B" w:rsidR="00986189">
        <w:rPr>
          <w:rFonts w:cs="Times New Roman"/>
        </w:rPr>
        <w:t>s</w:t>
      </w:r>
      <w:r w:rsidRPr="00855E3B">
        <w:rPr>
          <w:rFonts w:cs="Times New Roman"/>
        </w:rPr>
        <w:t xml:space="preserve">tates to use to elect new options available or to comply with new statutory provisions. </w:t>
      </w:r>
      <w:r w:rsidRPr="00855E3B" w:rsidR="001C27F4">
        <w:rPr>
          <w:rFonts w:cs="Times New Roman"/>
        </w:rPr>
        <w:t xml:space="preserve"> </w:t>
      </w:r>
      <w:r w:rsidRPr="00855E3B">
        <w:rPr>
          <w:rFonts w:cs="Times New Roman"/>
        </w:rPr>
        <w:t xml:space="preserve">CMS also continues to work with </w:t>
      </w:r>
      <w:r w:rsidRPr="00855E3B" w:rsidR="00986189">
        <w:rPr>
          <w:rFonts w:cs="Times New Roman"/>
        </w:rPr>
        <w:t>states</w:t>
      </w:r>
      <w:r w:rsidRPr="00855E3B">
        <w:rPr>
          <w:rFonts w:cs="Times New Roman"/>
        </w:rPr>
        <w:t xml:space="preserve"> through other methods to further the goals of health reform, including </w:t>
      </w:r>
      <w:r w:rsidRPr="00855E3B" w:rsidR="00986189">
        <w:rPr>
          <w:rFonts w:cs="Times New Roman"/>
        </w:rPr>
        <w:t xml:space="preserve">waiver </w:t>
      </w:r>
      <w:r w:rsidRPr="00855E3B">
        <w:rPr>
          <w:rFonts w:cs="Times New Roman"/>
        </w:rPr>
        <w:t>program</w:t>
      </w:r>
      <w:r w:rsidRPr="00855E3B" w:rsidR="00986189">
        <w:rPr>
          <w:rFonts w:cs="Times New Roman"/>
        </w:rPr>
        <w:t>s</w:t>
      </w:r>
      <w:r w:rsidRPr="00855E3B">
        <w:rPr>
          <w:rFonts w:cs="Times New Roman"/>
        </w:rPr>
        <w:t xml:space="preserve"> and demonstrations, and technical assistance initiatives.</w:t>
      </w:r>
    </w:p>
    <w:p w:rsidRPr="00855E3B" w:rsidR="00B45B81" w:rsidRDefault="00B45B81" w14:paraId="4E6038BC" w14:textId="5E916D50">
      <w:pPr>
        <w:pStyle w:val="PlainText"/>
        <w:rPr>
          <w:rFonts w:ascii="Times New Roman" w:hAnsi="Times New Roman" w:cs="Times New Roman"/>
          <w:sz w:val="24"/>
          <w:szCs w:val="24"/>
        </w:rPr>
      </w:pPr>
      <w:r w:rsidRPr="000F0C26">
        <w:rPr>
          <w:rFonts w:ascii="Times New Roman" w:hAnsi="Times New Roman" w:eastAsia="Times" w:cs="Times New Roman"/>
          <w:sz w:val="24"/>
          <w:szCs w:val="24"/>
        </w:rPr>
        <w:t xml:space="preserve">On March 11, 2021, </w:t>
      </w:r>
      <w:r w:rsidRPr="000F0C26" w:rsidR="00B43E71">
        <w:rPr>
          <w:rFonts w:ascii="Times New Roman" w:hAnsi="Times New Roman" w:eastAsia="Times" w:cs="Times New Roman"/>
          <w:sz w:val="24"/>
          <w:szCs w:val="24"/>
        </w:rPr>
        <w:t xml:space="preserve">President Biden signed the American Rescue Plan Act of 2021 (ARP) (Pub. L. 117-2).  This action represents the largest expansion of health coverage for the American people since the Affordable Care Act in 2010, and has a significant and immediate impact on state Medicaid programs and beneficiaries.  </w:t>
      </w:r>
      <w:r w:rsidRPr="000F0C26">
        <w:rPr>
          <w:rFonts w:ascii="Times New Roman" w:hAnsi="Times New Roman" w:eastAsia="Times" w:cs="Times New Roman"/>
          <w:sz w:val="24"/>
          <w:szCs w:val="24"/>
        </w:rPr>
        <w:t>Section 981</w:t>
      </w:r>
      <w:r w:rsidRPr="000F0C26" w:rsidR="001A1305">
        <w:rPr>
          <w:rFonts w:ascii="Times New Roman" w:hAnsi="Times New Roman" w:eastAsia="Times" w:cs="Times New Roman"/>
          <w:sz w:val="24"/>
          <w:szCs w:val="24"/>
        </w:rPr>
        <w:t>3</w:t>
      </w:r>
      <w:r w:rsidRPr="000F0C26">
        <w:rPr>
          <w:rFonts w:ascii="Times New Roman" w:hAnsi="Times New Roman" w:eastAsia="Times" w:cs="Times New Roman"/>
          <w:sz w:val="24"/>
          <w:szCs w:val="24"/>
        </w:rPr>
        <w:t xml:space="preserve"> of the </w:t>
      </w:r>
      <w:r w:rsidRPr="000F0C26" w:rsidR="00325D26">
        <w:rPr>
          <w:rFonts w:ascii="Times New Roman" w:hAnsi="Times New Roman" w:eastAsia="Times" w:cs="Times New Roman"/>
          <w:sz w:val="24"/>
          <w:szCs w:val="24"/>
        </w:rPr>
        <w:t>ARP</w:t>
      </w:r>
      <w:r w:rsidRPr="000F0C26">
        <w:rPr>
          <w:rFonts w:ascii="Times New Roman" w:hAnsi="Times New Roman" w:eastAsia="Times" w:cs="Times New Roman"/>
          <w:sz w:val="24"/>
          <w:szCs w:val="24"/>
        </w:rPr>
        <w:t xml:space="preserve"> provides </w:t>
      </w:r>
      <w:r w:rsidRPr="000F0C26" w:rsidR="001A1305">
        <w:rPr>
          <w:rFonts w:ascii="Times New Roman" w:hAnsi="Times New Roman" w:eastAsia="Times New Roman" w:cs="Times New Roman"/>
          <w:color w:val="212121"/>
          <w:sz w:val="24"/>
          <w:szCs w:val="24"/>
          <w:lang w:val="en"/>
        </w:rPr>
        <w:t xml:space="preserve">planning grants to state Medicaid agencies to support the implementation of a new state plan option, community-based mobile crisis intervention services for Medicaid recipients in the community who are experiencing a mental health or substance use disorder (MH/SUD) crisis. </w:t>
      </w:r>
      <w:r w:rsidR="006D4867">
        <w:rPr>
          <w:rFonts w:ascii="Times New Roman" w:hAnsi="Times New Roman" w:eastAsia="Times New Roman" w:cs="Times New Roman"/>
          <w:color w:val="212121"/>
          <w:sz w:val="24"/>
          <w:szCs w:val="24"/>
          <w:lang w:val="en"/>
        </w:rPr>
        <w:t xml:space="preserve"> </w:t>
      </w:r>
      <w:r w:rsidRPr="006D4867" w:rsidR="006D4867">
        <w:rPr>
          <w:rFonts w:ascii="Times New Roman" w:hAnsi="Times New Roman" w:eastAsia="Times New Roman" w:cs="Times New Roman"/>
          <w:color w:val="212121"/>
          <w:sz w:val="24"/>
          <w:szCs w:val="24"/>
          <w:lang w:val="en"/>
        </w:rPr>
        <w:t xml:space="preserve">States may use planning grant funds </w:t>
      </w:r>
      <w:r w:rsidR="006D4867">
        <w:rPr>
          <w:rFonts w:ascii="Times New Roman" w:hAnsi="Times New Roman" w:eastAsia="Times New Roman" w:cs="Times New Roman"/>
          <w:color w:val="212121"/>
          <w:sz w:val="24"/>
          <w:szCs w:val="24"/>
          <w:lang w:val="en"/>
        </w:rPr>
        <w:t>for</w:t>
      </w:r>
      <w:r w:rsidRPr="006D4867" w:rsidR="006D4867">
        <w:rPr>
          <w:rFonts w:ascii="Times New Roman" w:hAnsi="Times New Roman" w:eastAsia="Times New Roman" w:cs="Times New Roman"/>
          <w:color w:val="212121"/>
          <w:sz w:val="24"/>
          <w:szCs w:val="24"/>
          <w:lang w:val="en"/>
        </w:rPr>
        <w:t xml:space="preserve"> activities </w:t>
      </w:r>
      <w:r w:rsidR="003C528B">
        <w:rPr>
          <w:rFonts w:ascii="Times New Roman" w:hAnsi="Times New Roman" w:eastAsia="Times New Roman" w:cs="Times New Roman"/>
          <w:color w:val="212121"/>
          <w:sz w:val="24"/>
          <w:szCs w:val="24"/>
          <w:lang w:val="en"/>
        </w:rPr>
        <w:t>to build and strengthen the capacity to</w:t>
      </w:r>
      <w:r w:rsidRPr="006D4867" w:rsidR="006D4867">
        <w:rPr>
          <w:rFonts w:ascii="Times New Roman" w:hAnsi="Times New Roman" w:eastAsia="Times New Roman" w:cs="Times New Roman"/>
          <w:color w:val="212121"/>
          <w:sz w:val="24"/>
          <w:szCs w:val="24"/>
          <w:lang w:val="en"/>
        </w:rPr>
        <w:t xml:space="preserve"> provid</w:t>
      </w:r>
      <w:r w:rsidR="003C528B">
        <w:rPr>
          <w:rFonts w:ascii="Times New Roman" w:hAnsi="Times New Roman" w:eastAsia="Times New Roman" w:cs="Times New Roman"/>
          <w:color w:val="212121"/>
          <w:sz w:val="24"/>
          <w:szCs w:val="24"/>
          <w:lang w:val="en"/>
        </w:rPr>
        <w:t>e</w:t>
      </w:r>
      <w:r w:rsidRPr="006D4867" w:rsidR="006D4867">
        <w:rPr>
          <w:rFonts w:ascii="Times New Roman" w:hAnsi="Times New Roman" w:eastAsia="Times New Roman" w:cs="Times New Roman"/>
          <w:color w:val="212121"/>
          <w:sz w:val="24"/>
          <w:szCs w:val="24"/>
          <w:lang w:val="en"/>
        </w:rPr>
        <w:t xml:space="preserve"> qualifying community-based mobile crisis intervention services that meet the conditions specified in section 1947(b) of the Social Security Act (the Act).</w:t>
      </w:r>
    </w:p>
    <w:p w:rsidRPr="000F0C26" w:rsidR="00CD2AA4" w:rsidP="00631F0F" w:rsidRDefault="00CD2AA4" w14:paraId="3A229786" w14:textId="77777777">
      <w:pPr>
        <w:autoSpaceDE w:val="0"/>
        <w:autoSpaceDN w:val="0"/>
        <w:adjustRightInd w:val="0"/>
        <w:spacing w:after="0" w:line="240" w:lineRule="auto"/>
        <w:rPr>
          <w:rFonts w:cs="Times New Roman"/>
          <w:color w:val="000000"/>
          <w:szCs w:val="24"/>
          <w:highlight w:val="yellow"/>
        </w:rPr>
      </w:pPr>
    </w:p>
    <w:p w:rsidRPr="00855E3B" w:rsidR="005556AE" w:rsidRDefault="005556AE" w14:paraId="5DD8A6AF" w14:textId="77777777">
      <w:pPr>
        <w:pStyle w:val="Heading1"/>
        <w:numPr>
          <w:ilvl w:val="0"/>
          <w:numId w:val="2"/>
        </w:numPr>
        <w:rPr>
          <w:rFonts w:cs="Times New Roman"/>
        </w:rPr>
      </w:pPr>
      <w:r w:rsidRPr="00855E3B">
        <w:rPr>
          <w:rFonts w:cs="Times New Roman"/>
        </w:rPr>
        <w:t>Description of Information Collection</w:t>
      </w:r>
    </w:p>
    <w:p w:rsidRPr="000F0C26" w:rsidR="00CD2AA4" w:rsidP="0082047B" w:rsidRDefault="00CD2AA4" w14:paraId="19F331FF"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rsidRPr="00855E3B" w:rsidR="00F025AC" w:rsidP="00855E3B" w:rsidRDefault="006D4867" w14:paraId="64D38A1E" w14:textId="35F71E0A">
      <w:pPr>
        <w:spacing w:after="0" w:line="240" w:lineRule="auto"/>
        <w:contextualSpacing/>
        <w:rPr>
          <w:rFonts w:cs="Times New Roman"/>
        </w:rPr>
      </w:pPr>
      <w:r w:rsidRPr="00855E3B">
        <w:rPr>
          <w:rFonts w:cs="Times New Roman"/>
        </w:rPr>
        <w:t>ARP section 981</w:t>
      </w:r>
      <w:r w:rsidR="003C528B">
        <w:rPr>
          <w:rFonts w:cs="Times New Roman"/>
        </w:rPr>
        <w:t>3</w:t>
      </w:r>
      <w:r w:rsidRPr="00855E3B">
        <w:rPr>
          <w:rFonts w:cs="Times New Roman"/>
        </w:rPr>
        <w:t xml:space="preserve"> planning grantees</w:t>
      </w:r>
      <w:r w:rsidRPr="00855E3B" w:rsidR="00F025AC">
        <w:rPr>
          <w:rFonts w:cs="Times New Roman"/>
        </w:rPr>
        <w:t xml:space="preserve"> must submit quarterly progress reports and a final progress report.</w:t>
      </w:r>
      <w:r w:rsidRPr="00855E3B" w:rsidR="001C27F4">
        <w:rPr>
          <w:rFonts w:cs="Times New Roman"/>
        </w:rPr>
        <w:t xml:space="preserve"> </w:t>
      </w:r>
      <w:r w:rsidRPr="00855E3B" w:rsidR="00F025AC">
        <w:rPr>
          <w:rFonts w:cs="Times New Roman"/>
        </w:rPr>
        <w:t xml:space="preserve"> These reports should include narrative updates on planning grant activities</w:t>
      </w:r>
      <w:r w:rsidRPr="00855E3B">
        <w:rPr>
          <w:rFonts w:cs="Times New Roman"/>
        </w:rPr>
        <w:t>,</w:t>
      </w:r>
      <w:r w:rsidRPr="00855E3B" w:rsidR="00F025AC">
        <w:rPr>
          <w:rFonts w:cs="Times New Roman"/>
        </w:rPr>
        <w:t xml:space="preserve"> as well as information on each recipient</w:t>
      </w:r>
      <w:r w:rsidRPr="00855E3B">
        <w:rPr>
          <w:rFonts w:cs="Times New Roman"/>
        </w:rPr>
        <w:t>’</w:t>
      </w:r>
      <w:r w:rsidRPr="00855E3B" w:rsidR="00F025AC">
        <w:rPr>
          <w:rFonts w:cs="Times New Roman"/>
        </w:rPr>
        <w:t>s approved work plan</w:t>
      </w:r>
      <w:r w:rsidR="00E716CC">
        <w:rPr>
          <w:rFonts w:cs="Times New Roman"/>
        </w:rPr>
        <w:t>,</w:t>
      </w:r>
      <w:r w:rsidRPr="00855E3B" w:rsidR="00F025AC">
        <w:rPr>
          <w:rFonts w:cs="Times New Roman"/>
        </w:rPr>
        <w:t xml:space="preserve"> as specified in each recipient</w:t>
      </w:r>
      <w:r w:rsidRPr="00855E3B">
        <w:rPr>
          <w:rFonts w:cs="Times New Roman"/>
        </w:rPr>
        <w:t>’</w:t>
      </w:r>
      <w:r w:rsidRPr="00855E3B" w:rsidR="00F025AC">
        <w:rPr>
          <w:rFonts w:cs="Times New Roman"/>
        </w:rPr>
        <w:t xml:space="preserve">s approved application in accordance with the </w:t>
      </w:r>
      <w:r w:rsidRPr="00855E3B" w:rsidR="001C27F4">
        <w:rPr>
          <w:rFonts w:cs="Times New Roman"/>
        </w:rPr>
        <w:t>“</w:t>
      </w:r>
      <w:r w:rsidRPr="00855E3B" w:rsidR="00F025AC">
        <w:rPr>
          <w:rFonts w:cs="Times New Roman"/>
        </w:rPr>
        <w:t>Section 9813 State Planning Grants for Mobile Crisis Intervention Services Cooperative Agreement</w:t>
      </w:r>
      <w:r w:rsidRPr="00855E3B" w:rsidR="009969D4">
        <w:rPr>
          <w:rFonts w:cs="Times New Roman"/>
        </w:rPr>
        <w:t>.</w:t>
      </w:r>
      <w:r w:rsidRPr="00855E3B" w:rsidR="001C27F4">
        <w:rPr>
          <w:rFonts w:cs="Times New Roman"/>
        </w:rPr>
        <w:t>”</w:t>
      </w:r>
    </w:p>
    <w:p w:rsidRPr="000F0C26" w:rsidR="00520256" w:rsidP="00520256" w:rsidRDefault="00520256" w14:paraId="717FC02F" w14:textId="5D9EB9B1">
      <w:pPr>
        <w:spacing w:after="0" w:line="240" w:lineRule="auto"/>
        <w:contextualSpacing/>
        <w:rPr>
          <w:rFonts w:cs="Times New Roman"/>
          <w:szCs w:val="24"/>
        </w:rPr>
      </w:pPr>
    </w:p>
    <w:p w:rsidRPr="00855E3B" w:rsidR="00CD2AA4" w:rsidP="00855E3B" w:rsidRDefault="00520256" w14:paraId="2779133A" w14:textId="40F555F7">
      <w:pPr>
        <w:spacing w:after="0" w:line="240" w:lineRule="auto"/>
        <w:contextualSpacing/>
        <w:rPr>
          <w:rFonts w:cs="Times New Roman"/>
        </w:rPr>
      </w:pPr>
      <w:r w:rsidRPr="00855E3B">
        <w:rPr>
          <w:rFonts w:cs="Times New Roman"/>
        </w:rPr>
        <w:t xml:space="preserve">In order to ensure maximum state flexibility and to reduce the reporting burden on states as much as possible, states will submit </w:t>
      </w:r>
      <w:r w:rsidRPr="00855E3B" w:rsidR="006D4867">
        <w:rPr>
          <w:rFonts w:cs="Times New Roman"/>
        </w:rPr>
        <w:t>quarterly and final progress reports</w:t>
      </w:r>
      <w:r w:rsidRPr="00855E3B">
        <w:rPr>
          <w:rFonts w:cs="Times New Roman"/>
        </w:rPr>
        <w:t xml:space="preserve"> in their own preferred format.</w:t>
      </w:r>
      <w:r w:rsidRPr="00855E3B" w:rsidR="006D4867">
        <w:rPr>
          <w:rFonts w:cs="Times New Roman"/>
        </w:rPr>
        <w:t xml:space="preserve">  </w:t>
      </w:r>
      <w:r w:rsidRPr="00855E3B" w:rsidR="00712740">
        <w:rPr>
          <w:rFonts w:cs="Times New Roman"/>
        </w:rPr>
        <w:t xml:space="preserve">CMS will not require states to use a </w:t>
      </w:r>
      <w:r w:rsidRPr="00855E3B" w:rsidR="00C50E0E">
        <w:rPr>
          <w:rFonts w:cs="Times New Roman"/>
        </w:rPr>
        <w:t>standardized template or form.</w:t>
      </w:r>
    </w:p>
    <w:p w:rsidRPr="000F0C26" w:rsidR="00520256" w:rsidP="00310E8E" w:rsidRDefault="00520256" w14:paraId="46B02F35" w14:textId="77777777">
      <w:pPr>
        <w:spacing w:after="0" w:line="240" w:lineRule="auto"/>
        <w:contextualSpacing/>
        <w:rPr>
          <w:rFonts w:cs="Times New Roman"/>
          <w:szCs w:val="24"/>
        </w:rPr>
      </w:pPr>
    </w:p>
    <w:p w:rsidRPr="00855E3B" w:rsidR="007D6E75" w:rsidRDefault="003F3CE7" w14:paraId="66528621" w14:textId="77777777">
      <w:pPr>
        <w:pStyle w:val="Heading1"/>
        <w:rPr>
          <w:rFonts w:cs="Times New Roman"/>
        </w:rPr>
      </w:pPr>
      <w:r w:rsidRPr="00855E3B">
        <w:rPr>
          <w:rFonts w:cs="Times New Roman"/>
        </w:rPr>
        <w:t>C</w:t>
      </w:r>
      <w:r w:rsidRPr="00855E3B" w:rsidR="007D6E75">
        <w:rPr>
          <w:rFonts w:cs="Times New Roman"/>
        </w:rPr>
        <w:t>. Deviations from Generic Request</w:t>
      </w:r>
    </w:p>
    <w:p w:rsidRPr="000F0C26" w:rsidR="00150C54" w:rsidP="00AB0285" w:rsidRDefault="00150C54" w14:paraId="06F09F5F" w14:textId="77777777">
      <w:pPr>
        <w:spacing w:after="0" w:line="240" w:lineRule="auto"/>
        <w:rPr>
          <w:rFonts w:cs="Times New Roman"/>
          <w:szCs w:val="24"/>
        </w:rPr>
      </w:pPr>
    </w:p>
    <w:p w:rsidRPr="00855E3B" w:rsidR="00EE7851" w:rsidP="00855E3B" w:rsidRDefault="009B19E8" w14:paraId="341112F8" w14:textId="50319602">
      <w:pPr>
        <w:spacing w:line="240" w:lineRule="auto"/>
        <w:rPr>
          <w:rFonts w:cs="Times New Roman"/>
        </w:rPr>
      </w:pPr>
      <w:r w:rsidRPr="00855E3B">
        <w:rPr>
          <w:rFonts w:cs="Times New Roman"/>
        </w:rPr>
        <w:t xml:space="preserve">No deviations </w:t>
      </w:r>
      <w:r w:rsidRPr="00855E3B" w:rsidR="00DE1DFF">
        <w:rPr>
          <w:rFonts w:cs="Times New Roman"/>
        </w:rPr>
        <w:t>from the generic PRA request</w:t>
      </w:r>
      <w:r w:rsidRPr="00855E3B">
        <w:rPr>
          <w:rFonts w:cs="Times New Roman"/>
        </w:rPr>
        <w:t>.</w:t>
      </w:r>
    </w:p>
    <w:p w:rsidRPr="00855E3B" w:rsidR="00462F95" w:rsidRDefault="003F3CE7" w14:paraId="2B8EF38D" w14:textId="7DB5513D">
      <w:pPr>
        <w:pStyle w:val="Heading1"/>
        <w:rPr>
          <w:rFonts w:cs="Times New Roman"/>
        </w:rPr>
      </w:pPr>
      <w:r w:rsidRPr="00855E3B">
        <w:rPr>
          <w:rFonts w:cs="Times New Roman"/>
        </w:rPr>
        <w:t>D</w:t>
      </w:r>
      <w:r w:rsidRPr="00855E3B" w:rsidR="007D6E75">
        <w:rPr>
          <w:rFonts w:cs="Times New Roman"/>
        </w:rPr>
        <w:t>. Burden Hour Deduction</w:t>
      </w:r>
    </w:p>
    <w:p w:rsidRPr="000F0C26" w:rsidR="0094112C" w:rsidP="00F72E6A" w:rsidRDefault="0094112C" w14:paraId="2E607DE3" w14:textId="77777777">
      <w:pPr>
        <w:spacing w:after="0" w:line="240" w:lineRule="auto"/>
        <w:rPr>
          <w:rFonts w:cs="Times New Roman"/>
          <w:szCs w:val="24"/>
        </w:rPr>
      </w:pPr>
    </w:p>
    <w:p w:rsidRPr="00855E3B" w:rsidR="00C866C4" w:rsidP="00855E3B" w:rsidRDefault="00C866C4" w14:paraId="6BF68EA5" w14:textId="71E9E82C">
      <w:pPr>
        <w:pStyle w:val="MarkforTableTitle"/>
        <w:spacing w:after="0"/>
        <w:rPr>
          <w:rFonts w:ascii="Times New Roman" w:hAnsi="Times New Roman"/>
          <w:i/>
          <w:iCs/>
          <w:sz w:val="24"/>
          <w:szCs w:val="24"/>
        </w:rPr>
      </w:pPr>
      <w:r w:rsidRPr="00855E3B">
        <w:rPr>
          <w:rFonts w:ascii="Times New Roman" w:hAnsi="Times New Roman"/>
          <w:i/>
          <w:iCs/>
          <w:sz w:val="24"/>
          <w:szCs w:val="24"/>
        </w:rPr>
        <w:t>Wage Estimates</w:t>
      </w:r>
    </w:p>
    <w:p w:rsidRPr="000F0C26" w:rsidR="00C866C4" w:rsidP="00C866C4" w:rsidRDefault="00C866C4" w14:paraId="357CC271" w14:textId="01A0492F">
      <w:pPr>
        <w:pStyle w:val="NormalSS"/>
        <w:spacing w:after="0"/>
        <w:rPr>
          <w:szCs w:val="24"/>
        </w:rPr>
      </w:pPr>
    </w:p>
    <w:p w:rsidRPr="00855E3B" w:rsidR="00C866C4" w:rsidP="00855E3B" w:rsidRDefault="00C866C4" w14:paraId="0935EB9C" w14:textId="5A5B1EC8">
      <w:pPr>
        <w:spacing w:after="0" w:line="240" w:lineRule="auto"/>
        <w:rPr>
          <w:rFonts w:cs="Times New Roman"/>
        </w:rPr>
      </w:pPr>
      <w:r w:rsidRPr="00855E3B">
        <w:rPr>
          <w:rFonts w:cs="Times New Roman"/>
        </w:rPr>
        <w:t>To derive average costs, we are using data from the U.S. Bureau of Labor Statistics’ May 20</w:t>
      </w:r>
      <w:r w:rsidRPr="00855E3B" w:rsidR="006F16C2">
        <w:rPr>
          <w:rFonts w:cs="Times New Roman"/>
        </w:rPr>
        <w:t>20</w:t>
      </w:r>
      <w:r w:rsidRPr="00855E3B">
        <w:rPr>
          <w:rFonts w:cs="Times New Roman"/>
        </w:rPr>
        <w:t xml:space="preserve"> National Occupational Employment and Wage Estimates for all salary estimates (</w:t>
      </w:r>
      <w:hyperlink w:tooltip="http://www.bls.gov/oes/current/oes_nat.htm" w:history="1" r:id="rId14">
        <w:r w:rsidRPr="00855E3B">
          <w:rPr>
            <w:rStyle w:val="Hyperlink"/>
            <w:rFonts w:cs="Times New Roman"/>
          </w:rPr>
          <w:t>http://www.bls.gov/oes/current/oes_nat.htm</w:t>
        </w:r>
      </w:hyperlink>
      <w:r w:rsidRPr="00855E3B">
        <w:rPr>
          <w:rFonts w:cs="Times New Roman"/>
        </w:rPr>
        <w:t xml:space="preserve">). In this regard, the following table presents the </w:t>
      </w:r>
      <w:r w:rsidRPr="00855E3B">
        <w:rPr>
          <w:rFonts w:cs="Times New Roman"/>
        </w:rPr>
        <w:lastRenderedPageBreak/>
        <w:t>mean hourly wage, the cost of fringe benefits and overhead (calculated at 100 percent of salary), and the adjusted hourly wage.</w:t>
      </w:r>
    </w:p>
    <w:p w:rsidRPr="000F0C26" w:rsidR="006244F7" w:rsidP="00E016CC" w:rsidRDefault="006244F7" w14:paraId="15D88839" w14:textId="77777777">
      <w:pPr>
        <w:pStyle w:val="NormalSS"/>
        <w:spacing w:after="0"/>
        <w:rPr>
          <w:szCs w:val="24"/>
        </w:rPr>
      </w:pPr>
    </w:p>
    <w:tbl>
      <w:tblPr>
        <w:tblW w:w="0" w:type="auto"/>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Pr="000F0C26" w:rsidR="00C866C4" w:rsidTr="006A1B66" w14:paraId="40285026" w14:textId="77777777">
        <w:trPr>
          <w:trHeight w:val="686"/>
          <w:tblHeader/>
        </w:trPr>
        <w:tc>
          <w:tcPr>
            <w:tcW w:w="3056" w:type="dxa"/>
          </w:tcPr>
          <w:p w:rsidRPr="00855E3B" w:rsidR="00C866C4" w:rsidRDefault="00C866C4" w14:paraId="6CCB52FB" w14:textId="77777777">
            <w:pPr>
              <w:pStyle w:val="TableParagraph"/>
              <w:rPr>
                <w:b/>
                <w:bCs/>
                <w:sz w:val="24"/>
                <w:szCs w:val="24"/>
              </w:rPr>
            </w:pPr>
            <w:r w:rsidRPr="00855E3B">
              <w:rPr>
                <w:b/>
                <w:bCs/>
                <w:sz w:val="24"/>
                <w:szCs w:val="24"/>
              </w:rPr>
              <w:t>Occupation Title</w:t>
            </w:r>
          </w:p>
        </w:tc>
        <w:tc>
          <w:tcPr>
            <w:tcW w:w="1746" w:type="dxa"/>
          </w:tcPr>
          <w:p w:rsidRPr="00855E3B" w:rsidR="00C866C4" w:rsidRDefault="00C866C4" w14:paraId="4F3B4C43" w14:textId="77777777">
            <w:pPr>
              <w:pStyle w:val="TableParagraph"/>
              <w:ind w:right="245"/>
              <w:jc w:val="center"/>
              <w:rPr>
                <w:b/>
                <w:bCs/>
                <w:sz w:val="24"/>
                <w:szCs w:val="24"/>
              </w:rPr>
            </w:pPr>
            <w:r w:rsidRPr="00855E3B">
              <w:rPr>
                <w:b/>
                <w:bCs/>
                <w:sz w:val="24"/>
                <w:szCs w:val="24"/>
              </w:rPr>
              <w:t>Occupation Code</w:t>
            </w:r>
          </w:p>
        </w:tc>
        <w:tc>
          <w:tcPr>
            <w:tcW w:w="1314" w:type="dxa"/>
          </w:tcPr>
          <w:p w:rsidRPr="00855E3B" w:rsidR="00C866C4" w:rsidRDefault="00C866C4" w14:paraId="30E98187" w14:textId="6782A539">
            <w:pPr>
              <w:pStyle w:val="TableParagraph"/>
              <w:ind w:right="325"/>
              <w:jc w:val="center"/>
              <w:rPr>
                <w:b/>
                <w:bCs/>
                <w:sz w:val="24"/>
                <w:szCs w:val="24"/>
              </w:rPr>
            </w:pPr>
            <w:r w:rsidRPr="00855E3B">
              <w:rPr>
                <w:b/>
                <w:bCs/>
                <w:sz w:val="24"/>
                <w:szCs w:val="24"/>
              </w:rPr>
              <w:t>Mean Hourly Wage ($/</w:t>
            </w:r>
            <w:r w:rsidRPr="00855E3B" w:rsidR="0056166F">
              <w:rPr>
                <w:b/>
                <w:bCs/>
                <w:sz w:val="24"/>
                <w:szCs w:val="24"/>
              </w:rPr>
              <w:t>hr</w:t>
            </w:r>
            <w:r w:rsidRPr="00855E3B">
              <w:rPr>
                <w:b/>
                <w:bCs/>
                <w:sz w:val="24"/>
                <w:szCs w:val="24"/>
              </w:rPr>
              <w:t>)</w:t>
            </w:r>
          </w:p>
        </w:tc>
        <w:tc>
          <w:tcPr>
            <w:tcW w:w="1530" w:type="dxa"/>
            <w:tcBorders>
              <w:right w:val="single" w:color="000000" w:themeColor="text1" w:sz="3" w:space="0"/>
            </w:tcBorders>
          </w:tcPr>
          <w:p w:rsidRPr="00855E3B" w:rsidR="00C866C4" w:rsidRDefault="00C866C4" w14:paraId="091AF40F" w14:textId="1C4BE521">
            <w:pPr>
              <w:pStyle w:val="TableParagraph"/>
              <w:ind w:left="76" w:right="149"/>
              <w:jc w:val="center"/>
              <w:rPr>
                <w:b/>
                <w:bCs/>
                <w:sz w:val="24"/>
                <w:szCs w:val="24"/>
              </w:rPr>
            </w:pPr>
            <w:r w:rsidRPr="00855E3B">
              <w:rPr>
                <w:b/>
                <w:bCs/>
                <w:sz w:val="24"/>
                <w:szCs w:val="24"/>
              </w:rPr>
              <w:t>Fringe Benefits and Overhead ($/</w:t>
            </w:r>
            <w:r w:rsidRPr="00855E3B" w:rsidR="0056166F">
              <w:rPr>
                <w:b/>
                <w:bCs/>
                <w:sz w:val="24"/>
                <w:szCs w:val="24"/>
              </w:rPr>
              <w:t>hr</w:t>
            </w:r>
            <w:r w:rsidRPr="00855E3B">
              <w:rPr>
                <w:b/>
                <w:bCs/>
                <w:sz w:val="24"/>
                <w:szCs w:val="24"/>
              </w:rPr>
              <w:t>)</w:t>
            </w:r>
          </w:p>
        </w:tc>
        <w:tc>
          <w:tcPr>
            <w:tcW w:w="1588" w:type="dxa"/>
            <w:tcBorders>
              <w:left w:val="single" w:color="000000" w:themeColor="text1" w:sz="3" w:space="0"/>
            </w:tcBorders>
          </w:tcPr>
          <w:p w:rsidRPr="00855E3B" w:rsidR="00C866C4" w:rsidRDefault="00C866C4" w14:paraId="6A119905" w14:textId="59FC0EB9">
            <w:pPr>
              <w:pStyle w:val="TableParagraph"/>
              <w:ind w:right="317"/>
              <w:jc w:val="center"/>
              <w:rPr>
                <w:b/>
                <w:bCs/>
                <w:sz w:val="24"/>
                <w:szCs w:val="24"/>
              </w:rPr>
            </w:pPr>
            <w:r w:rsidRPr="00855E3B">
              <w:rPr>
                <w:b/>
                <w:bCs/>
                <w:sz w:val="24"/>
                <w:szCs w:val="24"/>
              </w:rPr>
              <w:t>Adjusted Hourly Wage ($/</w:t>
            </w:r>
            <w:r w:rsidRPr="00855E3B" w:rsidR="0056166F">
              <w:rPr>
                <w:b/>
                <w:bCs/>
                <w:sz w:val="24"/>
                <w:szCs w:val="24"/>
              </w:rPr>
              <w:t>hr</w:t>
            </w:r>
            <w:r w:rsidRPr="00855E3B">
              <w:rPr>
                <w:b/>
                <w:bCs/>
                <w:sz w:val="24"/>
                <w:szCs w:val="24"/>
              </w:rPr>
              <w:t>)</w:t>
            </w:r>
          </w:p>
        </w:tc>
      </w:tr>
      <w:tr w:rsidRPr="000F0C26" w:rsidR="00C866C4" w:rsidTr="00855E3B" w14:paraId="4B499406" w14:textId="77777777">
        <w:trPr>
          <w:trHeight w:val="365"/>
        </w:trPr>
        <w:tc>
          <w:tcPr>
            <w:tcW w:w="3056" w:type="dxa"/>
          </w:tcPr>
          <w:p w:rsidRPr="000F0C26" w:rsidR="00C866C4" w:rsidP="00C866C4" w:rsidRDefault="00C866C4" w14:paraId="5000C9D0" w14:textId="77777777">
            <w:pPr>
              <w:pStyle w:val="TableParagraph"/>
              <w:ind w:left="38"/>
              <w:rPr>
                <w:sz w:val="24"/>
                <w:szCs w:val="24"/>
              </w:rPr>
            </w:pPr>
            <w:r w:rsidRPr="000F0C26">
              <w:rPr>
                <w:sz w:val="24"/>
                <w:szCs w:val="24"/>
              </w:rPr>
              <w:t>Health services manager</w:t>
            </w:r>
          </w:p>
        </w:tc>
        <w:tc>
          <w:tcPr>
            <w:tcW w:w="1746" w:type="dxa"/>
          </w:tcPr>
          <w:p w:rsidRPr="000F0C26" w:rsidR="00C866C4" w:rsidP="00C866C4" w:rsidRDefault="00C866C4" w14:paraId="494B1BB6" w14:textId="77777777">
            <w:pPr>
              <w:pStyle w:val="TableParagraph"/>
              <w:ind w:left="88"/>
              <w:jc w:val="center"/>
              <w:rPr>
                <w:sz w:val="24"/>
                <w:szCs w:val="24"/>
              </w:rPr>
            </w:pPr>
            <w:r w:rsidRPr="000F0C26">
              <w:rPr>
                <w:sz w:val="24"/>
                <w:szCs w:val="24"/>
              </w:rPr>
              <w:t>11-9111</w:t>
            </w:r>
          </w:p>
        </w:tc>
        <w:tc>
          <w:tcPr>
            <w:tcW w:w="1314" w:type="dxa"/>
          </w:tcPr>
          <w:p w:rsidRPr="000F0C26" w:rsidR="00C866C4" w:rsidP="006E2436" w:rsidRDefault="00735436" w14:paraId="6172E537" w14:textId="508880D1">
            <w:pPr>
              <w:pStyle w:val="TableParagraph"/>
              <w:ind w:left="77"/>
              <w:jc w:val="center"/>
              <w:rPr>
                <w:sz w:val="24"/>
                <w:szCs w:val="24"/>
              </w:rPr>
            </w:pPr>
            <w:r w:rsidRPr="000F0C26">
              <w:rPr>
                <w:sz w:val="24"/>
                <w:szCs w:val="24"/>
              </w:rPr>
              <w:t>5</w:t>
            </w:r>
            <w:r w:rsidR="006E2436">
              <w:rPr>
                <w:sz w:val="24"/>
                <w:szCs w:val="24"/>
              </w:rPr>
              <w:t>7.12</w:t>
            </w:r>
          </w:p>
        </w:tc>
        <w:tc>
          <w:tcPr>
            <w:tcW w:w="1530" w:type="dxa"/>
            <w:tcBorders>
              <w:right w:val="single" w:color="000000" w:themeColor="text1" w:sz="3" w:space="0"/>
            </w:tcBorders>
          </w:tcPr>
          <w:p w:rsidRPr="000F0C26" w:rsidR="00C866C4" w:rsidP="006E2436" w:rsidRDefault="00735436" w14:paraId="0FD04F7E" w14:textId="09C74578">
            <w:pPr>
              <w:pStyle w:val="TableParagraph"/>
              <w:ind w:left="95"/>
              <w:jc w:val="center"/>
              <w:rPr>
                <w:sz w:val="24"/>
                <w:szCs w:val="24"/>
              </w:rPr>
            </w:pPr>
            <w:r w:rsidRPr="000F0C26">
              <w:rPr>
                <w:sz w:val="24"/>
                <w:szCs w:val="24"/>
              </w:rPr>
              <w:t>5</w:t>
            </w:r>
            <w:r w:rsidR="006E2436">
              <w:rPr>
                <w:sz w:val="24"/>
                <w:szCs w:val="24"/>
              </w:rPr>
              <w:t>7.12</w:t>
            </w:r>
          </w:p>
        </w:tc>
        <w:tc>
          <w:tcPr>
            <w:tcW w:w="1588" w:type="dxa"/>
            <w:tcBorders>
              <w:left w:val="single" w:color="000000" w:themeColor="text1" w:sz="3" w:space="0"/>
            </w:tcBorders>
          </w:tcPr>
          <w:p w:rsidRPr="000F0C26" w:rsidR="00C866C4" w:rsidP="006E2436" w:rsidRDefault="006E2436" w14:paraId="45864673" w14:textId="3CC0AF96">
            <w:pPr>
              <w:pStyle w:val="TableParagraph"/>
              <w:ind w:left="62"/>
              <w:jc w:val="center"/>
              <w:rPr>
                <w:sz w:val="24"/>
                <w:szCs w:val="24"/>
              </w:rPr>
            </w:pPr>
            <w:r>
              <w:rPr>
                <w:sz w:val="24"/>
                <w:szCs w:val="24"/>
              </w:rPr>
              <w:t>114.24</w:t>
            </w:r>
          </w:p>
        </w:tc>
      </w:tr>
    </w:tbl>
    <w:p w:rsidRPr="000F0C26" w:rsidR="00C866C4" w:rsidP="00E016CC" w:rsidRDefault="00C866C4" w14:paraId="4DAB19EC" w14:textId="47C2E0EB">
      <w:pPr>
        <w:pStyle w:val="NormalSS"/>
        <w:spacing w:after="0"/>
        <w:ind w:firstLine="0"/>
        <w:rPr>
          <w:szCs w:val="24"/>
        </w:rPr>
      </w:pPr>
    </w:p>
    <w:p w:rsidRPr="00855E3B" w:rsidR="00C866C4" w:rsidP="00855E3B" w:rsidRDefault="00C866C4" w14:paraId="180121DC" w14:textId="71C98FBD">
      <w:pPr>
        <w:spacing w:after="0" w:line="240" w:lineRule="auto"/>
        <w:rPr>
          <w:rFonts w:cs="Times New Roman"/>
        </w:rPr>
      </w:pPr>
      <w:r w:rsidRPr="00855E3B">
        <w:rPr>
          <w:rFonts w:cs="Times New Roman"/>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0F0C26" w:rsidR="00C866C4" w:rsidP="004F1DDE" w:rsidRDefault="00C866C4" w14:paraId="1A3B7ACE" w14:textId="6C76B775">
      <w:pPr>
        <w:pStyle w:val="NormalSS"/>
        <w:spacing w:after="0"/>
        <w:ind w:firstLine="0"/>
        <w:rPr>
          <w:szCs w:val="24"/>
        </w:rPr>
      </w:pPr>
    </w:p>
    <w:p w:rsidRPr="00855E3B" w:rsidR="00C866C4" w:rsidP="00855E3B" w:rsidRDefault="00E02680" w14:paraId="0D73E118" w14:textId="70B76692">
      <w:pPr>
        <w:pStyle w:val="NormalSS"/>
        <w:spacing w:after="0"/>
        <w:ind w:firstLine="0"/>
        <w:rPr>
          <w:i/>
          <w:iCs/>
        </w:rPr>
      </w:pPr>
      <w:r w:rsidRPr="00855E3B">
        <w:rPr>
          <w:i/>
          <w:iCs/>
        </w:rPr>
        <w:t xml:space="preserve">Collection of Information </w:t>
      </w:r>
      <w:r w:rsidRPr="00855E3B" w:rsidR="00CA6AEA">
        <w:rPr>
          <w:i/>
          <w:iCs/>
        </w:rPr>
        <w:t xml:space="preserve">Requirements and Associated </w:t>
      </w:r>
      <w:r w:rsidRPr="00855E3B" w:rsidR="00C866C4">
        <w:rPr>
          <w:i/>
          <w:iCs/>
        </w:rPr>
        <w:t>Burden Estimates</w:t>
      </w:r>
    </w:p>
    <w:p w:rsidR="00C866C4" w:rsidP="001411B6" w:rsidRDefault="00C866C4" w14:paraId="561323D6" w14:textId="1B70E774">
      <w:pPr>
        <w:pStyle w:val="NormalSS"/>
        <w:spacing w:after="0"/>
        <w:ind w:firstLine="0"/>
        <w:rPr>
          <w:szCs w:val="24"/>
        </w:rPr>
      </w:pPr>
    </w:p>
    <w:p w:rsidRPr="0022051D" w:rsidR="0022051D" w:rsidP="0022051D" w:rsidRDefault="0022051D" w14:paraId="4EB0F11E" w14:textId="77777777">
      <w:pPr>
        <w:pStyle w:val="H3AlphaNoTOC"/>
        <w:rPr>
          <w:rFonts w:ascii="Times New Roman" w:hAnsi="Times New Roman"/>
          <w:i/>
          <w:iCs/>
          <w:color w:val="auto"/>
          <w:sz w:val="24"/>
          <w:szCs w:val="24"/>
          <w:u w:val="single"/>
        </w:rPr>
      </w:pPr>
      <w:r w:rsidRPr="0022051D">
        <w:rPr>
          <w:rFonts w:ascii="Times New Roman" w:hAnsi="Times New Roman"/>
          <w:i/>
          <w:iCs/>
          <w:color w:val="auto"/>
          <w:sz w:val="24"/>
          <w:szCs w:val="24"/>
          <w:u w:val="single"/>
        </w:rPr>
        <w:t>High-level Assumptions</w:t>
      </w:r>
    </w:p>
    <w:p w:rsidRPr="00855E3B" w:rsidR="0022051D" w:rsidP="0022051D" w:rsidRDefault="0022051D" w14:paraId="751EE1FD" w14:textId="77777777">
      <w:pPr>
        <w:numPr>
          <w:ilvl w:val="0"/>
          <w:numId w:val="3"/>
        </w:numPr>
        <w:spacing w:after="0" w:line="240" w:lineRule="auto"/>
        <w:rPr>
          <w:rFonts w:cs="Times New Roman"/>
        </w:rPr>
      </w:pPr>
      <w:r w:rsidRPr="00855E3B">
        <w:rPr>
          <w:rFonts w:cs="Times New Roman"/>
        </w:rPr>
        <w:t xml:space="preserve">Twenty states will submit applications and be awarded planning grants. </w:t>
      </w:r>
    </w:p>
    <w:p w:rsidRPr="00855E3B" w:rsidR="0022051D" w:rsidP="0022051D" w:rsidRDefault="0022051D" w14:paraId="3CD09BCC" w14:textId="77777777">
      <w:pPr>
        <w:numPr>
          <w:ilvl w:val="0"/>
          <w:numId w:val="3"/>
        </w:numPr>
        <w:spacing w:after="0" w:line="240" w:lineRule="auto"/>
        <w:rPr>
          <w:rFonts w:cs="Times New Roman"/>
        </w:rPr>
      </w:pPr>
      <w:r w:rsidRPr="00855E3B">
        <w:rPr>
          <w:rFonts w:cs="Times New Roman"/>
        </w:rPr>
        <w:t xml:space="preserve">Each grantee will submit up to 8 quarterly progress reports (the </w:t>
      </w:r>
      <w:r>
        <w:rPr>
          <w:rFonts w:cs="Times New Roman"/>
        </w:rPr>
        <w:t>last</w:t>
      </w:r>
      <w:r w:rsidRPr="00855E3B">
        <w:rPr>
          <w:rFonts w:cs="Times New Roman"/>
        </w:rPr>
        <w:t xml:space="preserve"> quarterly progress report is the final report summarizing progress) for a total of up to 160 submissions. </w:t>
      </w:r>
    </w:p>
    <w:p w:rsidRPr="00855E3B" w:rsidR="0022051D" w:rsidP="0022051D" w:rsidRDefault="0022051D" w14:paraId="29F5C8BD" w14:textId="77777777">
      <w:pPr>
        <w:numPr>
          <w:ilvl w:val="0"/>
          <w:numId w:val="3"/>
        </w:numPr>
        <w:spacing w:after="0" w:line="240" w:lineRule="auto"/>
        <w:rPr>
          <w:rFonts w:cs="Times New Roman"/>
        </w:rPr>
      </w:pPr>
      <w:r w:rsidRPr="00855E3B">
        <w:rPr>
          <w:rFonts w:cs="Times New Roman"/>
        </w:rPr>
        <w:t xml:space="preserve">The project may span two years.  </w:t>
      </w:r>
    </w:p>
    <w:p w:rsidRPr="00855E3B" w:rsidR="0022051D" w:rsidP="0022051D" w:rsidRDefault="0022051D" w14:paraId="5522B627" w14:textId="77777777">
      <w:pPr>
        <w:numPr>
          <w:ilvl w:val="0"/>
          <w:numId w:val="3"/>
        </w:numPr>
        <w:spacing w:after="0" w:line="240" w:lineRule="auto"/>
        <w:rPr>
          <w:rFonts w:cs="Times New Roman"/>
        </w:rPr>
      </w:pPr>
      <w:r w:rsidRPr="00855E3B">
        <w:rPr>
          <w:rFonts w:cs="Times New Roman"/>
        </w:rPr>
        <w:t>All reports are completed by a health services manager.</w:t>
      </w:r>
    </w:p>
    <w:p w:rsidR="0022051D" w:rsidP="001411B6" w:rsidRDefault="0022051D" w14:paraId="0CEE9DB1" w14:textId="4B8F47D3">
      <w:pPr>
        <w:pStyle w:val="NormalSS"/>
        <w:spacing w:after="0"/>
        <w:ind w:firstLine="0"/>
        <w:rPr>
          <w:szCs w:val="24"/>
        </w:rPr>
      </w:pPr>
    </w:p>
    <w:p w:rsidRPr="0022051D" w:rsidR="0022051D" w:rsidP="001411B6" w:rsidRDefault="0022051D" w14:paraId="52C34BA8" w14:textId="666CD4D6">
      <w:pPr>
        <w:pStyle w:val="NormalSS"/>
        <w:spacing w:after="0"/>
        <w:ind w:firstLine="0"/>
        <w:rPr>
          <w:szCs w:val="24"/>
          <w:u w:val="single"/>
        </w:rPr>
      </w:pPr>
      <w:r w:rsidRPr="0022051D">
        <w:rPr>
          <w:i/>
          <w:iCs/>
          <w:u w:val="single"/>
        </w:rPr>
        <w:t>Burden Estimates</w:t>
      </w:r>
    </w:p>
    <w:p w:rsidRPr="000F0C26" w:rsidR="0022051D" w:rsidP="001411B6" w:rsidRDefault="0022051D" w14:paraId="1321CDCA" w14:textId="77777777">
      <w:pPr>
        <w:pStyle w:val="NormalSS"/>
        <w:spacing w:after="0"/>
        <w:ind w:firstLine="0"/>
        <w:rPr>
          <w:szCs w:val="24"/>
        </w:rPr>
      </w:pPr>
    </w:p>
    <w:p w:rsidRPr="00855E3B" w:rsidR="00551DDF" w:rsidP="00855E3B" w:rsidRDefault="0094112C" w14:paraId="0D8B4649" w14:textId="6E3D55EB">
      <w:pPr>
        <w:spacing w:after="0" w:line="240" w:lineRule="auto"/>
        <w:rPr>
          <w:rFonts w:cs="Times New Roman"/>
          <w:color w:val="000000"/>
        </w:rPr>
      </w:pPr>
      <w:r w:rsidRPr="00855E3B">
        <w:rPr>
          <w:rFonts w:cs="Times New Roman"/>
          <w:color w:val="000000"/>
        </w:rPr>
        <w:t>States will</w:t>
      </w:r>
      <w:r w:rsidRPr="00855E3B" w:rsidR="000F0C26">
        <w:rPr>
          <w:rFonts w:cs="Times New Roman"/>
          <w:color w:val="000000"/>
        </w:rPr>
        <w:t xml:space="preserve"> </w:t>
      </w:r>
      <w:r w:rsidRPr="00855E3B" w:rsidR="0013310A">
        <w:rPr>
          <w:rFonts w:cs="Times New Roman"/>
          <w:color w:val="000000"/>
        </w:rPr>
        <w:t>submit the first quarterly progress report</w:t>
      </w:r>
      <w:r w:rsidRPr="00855E3B" w:rsidR="007B43B5">
        <w:rPr>
          <w:rFonts w:cs="Times New Roman"/>
          <w:color w:val="000000"/>
        </w:rPr>
        <w:t xml:space="preserve"> by</w:t>
      </w:r>
      <w:r w:rsidRPr="00855E3B" w:rsidR="0013310A">
        <w:rPr>
          <w:rFonts w:cs="Times New Roman"/>
          <w:color w:val="000000"/>
        </w:rPr>
        <w:t xml:space="preserve"> December 31, 2021.</w:t>
      </w:r>
    </w:p>
    <w:p w:rsidR="00551DDF" w:rsidP="001411B6" w:rsidRDefault="00551DDF" w14:paraId="05298EAF" w14:textId="16DC28FE">
      <w:pPr>
        <w:pStyle w:val="NormalSS"/>
        <w:spacing w:after="0"/>
        <w:ind w:firstLine="0"/>
        <w:rPr>
          <w:szCs w:val="24"/>
        </w:rPr>
      </w:pPr>
    </w:p>
    <w:p w:rsidR="00C0564A" w:rsidP="00F72E6A" w:rsidRDefault="00F72E6A" w14:paraId="0029F207" w14:textId="74408B4F">
      <w:pPr>
        <w:ind w:right="88"/>
        <w:contextualSpacing/>
        <w:rPr>
          <w:rFonts w:eastAsia="Calibri"/>
          <w:szCs w:val="24"/>
        </w:rPr>
      </w:pPr>
      <w:r>
        <w:rPr>
          <w:rFonts w:eastAsia="Calibri"/>
          <w:szCs w:val="24"/>
        </w:rPr>
        <w:t>Each recipient will be required to submit quarterly progress reports</w:t>
      </w:r>
      <w:r w:rsidRPr="00EE3C11">
        <w:rPr>
          <w:rFonts w:eastAsia="Calibri"/>
          <w:szCs w:val="24"/>
        </w:rPr>
        <w:t xml:space="preserve"> </w:t>
      </w:r>
      <w:r>
        <w:rPr>
          <w:rFonts w:eastAsia="Calibri"/>
          <w:szCs w:val="24"/>
        </w:rPr>
        <w:t xml:space="preserve">and a final progress report. These reports should include narrative updates on planning grant activities as well as information on each recipient’s approved work plan as specified in each recipient’s approved application in accordance with the </w:t>
      </w:r>
      <w:r>
        <w:rPr>
          <w:rFonts w:eastAsia="Times"/>
          <w:szCs w:val="24"/>
        </w:rPr>
        <w:t>Section 9813</w:t>
      </w:r>
      <w:r w:rsidRPr="00BD17E0">
        <w:rPr>
          <w:rFonts w:eastAsia="Times"/>
          <w:szCs w:val="24"/>
        </w:rPr>
        <w:t xml:space="preserve"> </w:t>
      </w:r>
      <w:r w:rsidRPr="00AB024B">
        <w:rPr>
          <w:rFonts w:eastAsia="Calibri"/>
          <w:szCs w:val="24"/>
        </w:rPr>
        <w:t>State Planning Grants for Qualifying Community-Based Mobile Crisis Intervention Services</w:t>
      </w:r>
      <w:r>
        <w:rPr>
          <w:rFonts w:eastAsia="Calibri"/>
          <w:szCs w:val="24"/>
        </w:rPr>
        <w:t>.</w:t>
      </w:r>
    </w:p>
    <w:p w:rsidRPr="000F0C26" w:rsidR="00F72E6A" w:rsidP="00F72E6A" w:rsidRDefault="00F72E6A" w14:paraId="6B2D3B3A" w14:textId="77777777">
      <w:pPr>
        <w:ind w:right="88"/>
        <w:contextualSpacing/>
      </w:pPr>
    </w:p>
    <w:p w:rsidRPr="00855E3B" w:rsidR="00712995" w:rsidP="00855E3B" w:rsidRDefault="00C0564A" w14:paraId="4D12907B" w14:textId="6D401F57">
      <w:pPr>
        <w:spacing w:after="0" w:line="240" w:lineRule="auto"/>
        <w:rPr>
          <w:rFonts w:cs="Times New Roman"/>
        </w:rPr>
      </w:pPr>
      <w:r>
        <w:rPr>
          <w:rFonts w:cs="Times New Roman"/>
        </w:rPr>
        <w:t>For years 1 and 2 w</w:t>
      </w:r>
      <w:r w:rsidRPr="00855E3B" w:rsidR="00AC47F0">
        <w:rPr>
          <w:rFonts w:cs="Times New Roman"/>
        </w:rPr>
        <w:t xml:space="preserve">e </w:t>
      </w:r>
      <w:r w:rsidRPr="00855E3B" w:rsidR="007B0B37">
        <w:rPr>
          <w:rFonts w:cs="Times New Roman"/>
        </w:rPr>
        <w:t xml:space="preserve">project </w:t>
      </w:r>
      <w:r w:rsidRPr="00855E3B" w:rsidR="0013310A">
        <w:rPr>
          <w:rFonts w:cs="Times New Roman"/>
        </w:rPr>
        <w:t>20</w:t>
      </w:r>
      <w:r w:rsidRPr="00855E3B" w:rsidR="00AC47F0">
        <w:rPr>
          <w:rFonts w:cs="Times New Roman"/>
        </w:rPr>
        <w:t xml:space="preserve"> state</w:t>
      </w:r>
      <w:r w:rsidRPr="00855E3B" w:rsidR="007B0B37">
        <w:rPr>
          <w:rFonts w:cs="Times New Roman"/>
        </w:rPr>
        <w:t xml:space="preserve"> respondents</w:t>
      </w:r>
      <w:r w:rsidRPr="00855E3B" w:rsidR="00AC47F0">
        <w:rPr>
          <w:rFonts w:cs="Times New Roman"/>
        </w:rPr>
        <w:t>.</w:t>
      </w:r>
      <w:r w:rsidRPr="00855E3B" w:rsidR="00712995">
        <w:rPr>
          <w:rFonts w:cs="Times New Roman"/>
        </w:rPr>
        <w:t xml:space="preserve">  </w:t>
      </w:r>
      <w:r w:rsidRPr="00855E3B" w:rsidR="00435652">
        <w:rPr>
          <w:rFonts w:cs="Times New Roman"/>
        </w:rPr>
        <w:t>We estimate i</w:t>
      </w:r>
      <w:r w:rsidRPr="00855E3B" w:rsidR="00C44E39">
        <w:rPr>
          <w:rFonts w:cs="Times New Roman"/>
        </w:rPr>
        <w:t>t</w:t>
      </w:r>
      <w:r w:rsidRPr="00855E3B" w:rsidR="00435652">
        <w:rPr>
          <w:rFonts w:cs="Times New Roman"/>
        </w:rPr>
        <w:t xml:space="preserve"> would take </w:t>
      </w:r>
      <w:r w:rsidRPr="00855E3B" w:rsidR="00712995">
        <w:rPr>
          <w:rFonts w:cs="Times New Roman"/>
        </w:rPr>
        <w:t>4</w:t>
      </w:r>
      <w:r w:rsidRPr="00855E3B" w:rsidR="00435652">
        <w:rPr>
          <w:rFonts w:cs="Times New Roman"/>
        </w:rPr>
        <w:t xml:space="preserve"> hours (per state)</w:t>
      </w:r>
      <w:r w:rsidRPr="00855E3B" w:rsidR="003E428B">
        <w:rPr>
          <w:rFonts w:cs="Times New Roman"/>
        </w:rPr>
        <w:t xml:space="preserve"> </w:t>
      </w:r>
      <w:r w:rsidRPr="00855E3B" w:rsidR="007B0B37">
        <w:rPr>
          <w:rFonts w:cs="Times New Roman"/>
        </w:rPr>
        <w:t>at $1</w:t>
      </w:r>
      <w:r w:rsidR="006E2436">
        <w:rPr>
          <w:rFonts w:cs="Times New Roman"/>
        </w:rPr>
        <w:t>14.24</w:t>
      </w:r>
      <w:r w:rsidRPr="00855E3B" w:rsidR="007B0B37">
        <w:rPr>
          <w:rFonts w:cs="Times New Roman"/>
        </w:rPr>
        <w:t xml:space="preserve">/hr for a </w:t>
      </w:r>
      <w:r w:rsidRPr="00855E3B" w:rsidR="007B0B37">
        <w:rPr>
          <w:rFonts w:cs="Times New Roman"/>
          <w:color w:val="000000"/>
        </w:rPr>
        <w:t>health services manager</w:t>
      </w:r>
      <w:r w:rsidRPr="00855E3B" w:rsidR="007B0B37">
        <w:rPr>
          <w:rFonts w:cs="Times New Roman"/>
        </w:rPr>
        <w:t xml:space="preserve"> </w:t>
      </w:r>
      <w:r w:rsidRPr="00855E3B" w:rsidR="003E428B">
        <w:rPr>
          <w:rFonts w:cs="Times New Roman"/>
        </w:rPr>
        <w:t xml:space="preserve">to </w:t>
      </w:r>
      <w:r w:rsidRPr="00855E3B" w:rsidR="0013310A">
        <w:rPr>
          <w:rFonts w:cs="Times New Roman"/>
        </w:rPr>
        <w:t>complete each quarter</w:t>
      </w:r>
      <w:r w:rsidRPr="00855E3B" w:rsidR="00C73885">
        <w:rPr>
          <w:rFonts w:cs="Times New Roman"/>
        </w:rPr>
        <w:t xml:space="preserve">ly progress report.  </w:t>
      </w:r>
      <w:r w:rsidRPr="00855E3B" w:rsidR="00712995">
        <w:rPr>
          <w:rFonts w:cs="Times New Roman"/>
        </w:rPr>
        <w:t xml:space="preserve">We estimate a </w:t>
      </w:r>
      <w:r w:rsidRPr="00855E3B" w:rsidR="0E9FB4DC">
        <w:rPr>
          <w:rFonts w:cs="Times New Roman"/>
        </w:rPr>
        <w:t xml:space="preserve">total </w:t>
      </w:r>
      <w:r w:rsidRPr="00855E3B" w:rsidR="00712995">
        <w:rPr>
          <w:rFonts w:cs="Times New Roman"/>
        </w:rPr>
        <w:t xml:space="preserve">burden of </w:t>
      </w:r>
      <w:r w:rsidRPr="00855E3B" w:rsidR="7C6E82DF">
        <w:rPr>
          <w:rFonts w:cs="Times New Roman"/>
        </w:rPr>
        <w:t>640</w:t>
      </w:r>
      <w:r w:rsidRPr="00855E3B" w:rsidR="00712995">
        <w:rPr>
          <w:rFonts w:cs="Times New Roman"/>
        </w:rPr>
        <w:t xml:space="preserve"> hours (</w:t>
      </w:r>
      <w:r w:rsidRPr="00855E3B" w:rsidR="000F0C26">
        <w:rPr>
          <w:rFonts w:cs="Times New Roman"/>
        </w:rPr>
        <w:t>20</w:t>
      </w:r>
      <w:r w:rsidRPr="00855E3B" w:rsidR="003B7FB4">
        <w:rPr>
          <w:rFonts w:cs="Times New Roman"/>
        </w:rPr>
        <w:t xml:space="preserve"> </w:t>
      </w:r>
      <w:r w:rsidRPr="00855E3B" w:rsidR="00712995">
        <w:rPr>
          <w:rFonts w:cs="Times New Roman"/>
        </w:rPr>
        <w:t>states</w:t>
      </w:r>
      <w:r w:rsidRPr="00855E3B" w:rsidR="00C73885">
        <w:rPr>
          <w:rFonts w:cs="Times New Roman"/>
        </w:rPr>
        <w:t xml:space="preserve"> x </w:t>
      </w:r>
      <w:r>
        <w:rPr>
          <w:rFonts w:cs="Times New Roman"/>
        </w:rPr>
        <w:t>4</w:t>
      </w:r>
      <w:r w:rsidRPr="00855E3B" w:rsidR="00C73885">
        <w:rPr>
          <w:rFonts w:cs="Times New Roman"/>
        </w:rPr>
        <w:t xml:space="preserve"> </w:t>
      </w:r>
      <w:r w:rsidRPr="00855E3B" w:rsidR="000F0C26">
        <w:rPr>
          <w:rFonts w:cs="Times New Roman"/>
        </w:rPr>
        <w:t>reports</w:t>
      </w:r>
      <w:r w:rsidRPr="00855E3B" w:rsidR="00712995">
        <w:rPr>
          <w:rFonts w:cs="Times New Roman"/>
        </w:rPr>
        <w:t xml:space="preserve"> x 4 hr</w:t>
      </w:r>
      <w:r>
        <w:rPr>
          <w:rFonts w:cs="Times New Roman"/>
        </w:rPr>
        <w:t>/report x 2 years</w:t>
      </w:r>
      <w:r w:rsidRPr="00855E3B" w:rsidR="00712995">
        <w:rPr>
          <w:rFonts w:cs="Times New Roman"/>
        </w:rPr>
        <w:t>) at a cost of $</w:t>
      </w:r>
      <w:r w:rsidR="00A05AF6">
        <w:rPr>
          <w:rFonts w:cs="Times New Roman"/>
        </w:rPr>
        <w:t>73,113.60</w:t>
      </w:r>
      <w:r w:rsidRPr="00855E3B" w:rsidR="00712995">
        <w:rPr>
          <w:rFonts w:cs="Times New Roman"/>
        </w:rPr>
        <w:t xml:space="preserve"> (</w:t>
      </w:r>
      <w:r w:rsidRPr="00855E3B" w:rsidR="7ABD7B98">
        <w:rPr>
          <w:rFonts w:cs="Times New Roman"/>
        </w:rPr>
        <w:t>640</w:t>
      </w:r>
      <w:r w:rsidRPr="00855E3B" w:rsidR="000F0C26">
        <w:rPr>
          <w:rFonts w:cs="Times New Roman"/>
        </w:rPr>
        <w:t xml:space="preserve"> </w:t>
      </w:r>
      <w:r w:rsidRPr="00855E3B" w:rsidR="00712995">
        <w:rPr>
          <w:rFonts w:cs="Times New Roman"/>
        </w:rPr>
        <w:t>hr x $1</w:t>
      </w:r>
      <w:r w:rsidR="00A05AF6">
        <w:rPr>
          <w:rFonts w:cs="Times New Roman"/>
        </w:rPr>
        <w:t>14.24</w:t>
      </w:r>
      <w:r w:rsidRPr="00855E3B" w:rsidR="00712995">
        <w:rPr>
          <w:rFonts w:cs="Times New Roman"/>
        </w:rPr>
        <w:t>/hr).</w:t>
      </w:r>
    </w:p>
    <w:p w:rsidRPr="000F0C26" w:rsidR="00A64CD1" w:rsidP="00E93FBA" w:rsidRDefault="00A64CD1" w14:paraId="5D94D6EB" w14:textId="77777777">
      <w:pPr>
        <w:pStyle w:val="BodyText"/>
        <w:rPr>
          <w:sz w:val="24"/>
          <w:szCs w:val="24"/>
        </w:rPr>
      </w:pPr>
    </w:p>
    <w:p w:rsidR="00F72E6A" w:rsidP="00855E3B" w:rsidRDefault="00F72E6A" w14:paraId="06F9B9E5" w14:textId="77777777">
      <w:pPr>
        <w:spacing w:after="0" w:line="240" w:lineRule="auto"/>
        <w:rPr>
          <w:rFonts w:cs="Times New Roman"/>
          <w:i/>
          <w:iCs/>
        </w:rPr>
      </w:pPr>
    </w:p>
    <w:p w:rsidR="00F72E6A" w:rsidP="00855E3B" w:rsidRDefault="00F72E6A" w14:paraId="500D6A99" w14:textId="77777777">
      <w:pPr>
        <w:spacing w:after="0" w:line="240" w:lineRule="auto"/>
        <w:rPr>
          <w:rFonts w:cs="Times New Roman"/>
          <w:i/>
          <w:iCs/>
        </w:rPr>
      </w:pPr>
    </w:p>
    <w:p w:rsidR="00F72E6A" w:rsidP="00855E3B" w:rsidRDefault="00F72E6A" w14:paraId="68210768" w14:textId="77777777">
      <w:pPr>
        <w:spacing w:after="0" w:line="240" w:lineRule="auto"/>
        <w:rPr>
          <w:rFonts w:cs="Times New Roman"/>
          <w:i/>
          <w:iCs/>
        </w:rPr>
      </w:pPr>
    </w:p>
    <w:p w:rsidR="00F72E6A" w:rsidP="00855E3B" w:rsidRDefault="00F72E6A" w14:paraId="46D6A4E0" w14:textId="77777777">
      <w:pPr>
        <w:spacing w:after="0" w:line="240" w:lineRule="auto"/>
        <w:rPr>
          <w:rFonts w:cs="Times New Roman"/>
          <w:i/>
          <w:iCs/>
        </w:rPr>
      </w:pPr>
    </w:p>
    <w:p w:rsidR="00F72E6A" w:rsidP="00855E3B" w:rsidRDefault="00F72E6A" w14:paraId="6EDE805F" w14:textId="77777777">
      <w:pPr>
        <w:spacing w:after="0" w:line="240" w:lineRule="auto"/>
        <w:rPr>
          <w:rFonts w:cs="Times New Roman"/>
          <w:i/>
          <w:iCs/>
        </w:rPr>
      </w:pPr>
    </w:p>
    <w:p w:rsidRPr="00855E3B" w:rsidR="00490409" w:rsidP="00855E3B" w:rsidRDefault="00490409" w14:paraId="4090A633" w14:textId="3F0C6E43">
      <w:pPr>
        <w:spacing w:after="0" w:line="240" w:lineRule="auto"/>
        <w:rPr>
          <w:rFonts w:cs="Times New Roman"/>
          <w:i/>
          <w:iCs/>
        </w:rPr>
      </w:pPr>
      <w:r w:rsidRPr="00855E3B">
        <w:rPr>
          <w:rFonts w:cs="Times New Roman"/>
          <w:i/>
          <w:iCs/>
        </w:rPr>
        <w:lastRenderedPageBreak/>
        <w:t xml:space="preserve">Summary of </w:t>
      </w:r>
      <w:r w:rsidR="003259D7">
        <w:rPr>
          <w:rFonts w:cs="Times New Roman"/>
          <w:i/>
          <w:iCs/>
        </w:rPr>
        <w:t xml:space="preserve">Annual </w:t>
      </w:r>
      <w:r w:rsidRPr="00855E3B">
        <w:rPr>
          <w:rFonts w:cs="Times New Roman"/>
          <w:i/>
          <w:iCs/>
        </w:rPr>
        <w:t>Collection of Information Requirements and Burden Estimates</w:t>
      </w:r>
    </w:p>
    <w:p w:rsidRPr="000F0C26" w:rsidR="00A64CD1" w:rsidP="004D521F" w:rsidRDefault="00A64CD1" w14:paraId="39153011" w14:textId="77777777">
      <w:pPr>
        <w:spacing w:after="0" w:line="240" w:lineRule="auto"/>
        <w:rPr>
          <w:rFonts w:cs="Times New Roman"/>
          <w:i/>
          <w:szCs w:val="24"/>
        </w:rPr>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350"/>
        <w:gridCol w:w="1350"/>
        <w:gridCol w:w="1080"/>
        <w:gridCol w:w="1350"/>
        <w:gridCol w:w="1391"/>
      </w:tblGrid>
      <w:tr w:rsidRPr="000F0C26" w:rsidR="004D521F" w:rsidTr="41C38F36" w14:paraId="6437D505" w14:textId="77777777">
        <w:trPr>
          <w:trHeight w:val="800"/>
          <w:tblHeader/>
        </w:trPr>
        <w:tc>
          <w:tcPr>
            <w:tcW w:w="1530" w:type="dxa"/>
            <w:shd w:val="clear" w:color="auto" w:fill="auto"/>
          </w:tcPr>
          <w:p w:rsidRPr="00855E3B" w:rsidR="004D521F" w:rsidP="00855E3B" w:rsidRDefault="004D521F" w14:paraId="1EB59A59" w14:textId="77777777">
            <w:pPr>
              <w:spacing w:after="0" w:line="240" w:lineRule="auto"/>
              <w:jc w:val="center"/>
              <w:rPr>
                <w:rFonts w:cs="Times New Roman"/>
              </w:rPr>
            </w:pPr>
            <w:r w:rsidRPr="00855E3B">
              <w:rPr>
                <w:rFonts w:cs="Times New Roman"/>
              </w:rPr>
              <w:t>Requirement</w:t>
            </w:r>
          </w:p>
        </w:tc>
        <w:tc>
          <w:tcPr>
            <w:tcW w:w="1530" w:type="dxa"/>
            <w:shd w:val="clear" w:color="auto" w:fill="auto"/>
          </w:tcPr>
          <w:p w:rsidRPr="00855E3B" w:rsidR="004D521F" w:rsidP="00855E3B" w:rsidRDefault="00880774" w14:paraId="37EEFE82" w14:textId="2D835E81">
            <w:pPr>
              <w:spacing w:after="0" w:line="240" w:lineRule="auto"/>
              <w:jc w:val="center"/>
              <w:rPr>
                <w:rFonts w:cs="Times New Roman"/>
              </w:rPr>
            </w:pPr>
            <w:r w:rsidRPr="00855E3B">
              <w:rPr>
                <w:rFonts w:cs="Times New Roman"/>
              </w:rPr>
              <w:t xml:space="preserve">No. </w:t>
            </w:r>
            <w:r w:rsidRPr="00855E3B" w:rsidR="004D521F">
              <w:rPr>
                <w:rFonts w:cs="Times New Roman"/>
              </w:rPr>
              <w:t>Respondents</w:t>
            </w:r>
          </w:p>
        </w:tc>
        <w:tc>
          <w:tcPr>
            <w:tcW w:w="1350" w:type="dxa"/>
            <w:shd w:val="clear" w:color="auto" w:fill="auto"/>
          </w:tcPr>
          <w:p w:rsidRPr="00855E3B" w:rsidR="004D521F" w:rsidP="00855E3B" w:rsidRDefault="004D521F" w14:paraId="66A68137" w14:textId="77777777">
            <w:pPr>
              <w:spacing w:after="0" w:line="240" w:lineRule="auto"/>
              <w:jc w:val="center"/>
              <w:rPr>
                <w:rFonts w:cs="Times New Roman"/>
              </w:rPr>
            </w:pPr>
            <w:r w:rsidRPr="00855E3B">
              <w:rPr>
                <w:rFonts w:cs="Times New Roman"/>
              </w:rPr>
              <w:t>Total Responses</w:t>
            </w:r>
          </w:p>
        </w:tc>
        <w:tc>
          <w:tcPr>
            <w:tcW w:w="1350" w:type="dxa"/>
            <w:shd w:val="clear" w:color="auto" w:fill="auto"/>
          </w:tcPr>
          <w:p w:rsidRPr="00855E3B" w:rsidR="004D521F" w:rsidP="00855E3B" w:rsidRDefault="009C2C6E" w14:paraId="1CB7F978" w14:textId="01A6337A">
            <w:pPr>
              <w:spacing w:after="0" w:line="240" w:lineRule="auto"/>
              <w:jc w:val="center"/>
              <w:rPr>
                <w:rFonts w:cs="Times New Roman"/>
              </w:rPr>
            </w:pPr>
            <w:r w:rsidRPr="00855E3B">
              <w:rPr>
                <w:rFonts w:cs="Times New Roman"/>
              </w:rPr>
              <w:t>Time</w:t>
            </w:r>
            <w:r w:rsidRPr="00855E3B" w:rsidR="004D521F">
              <w:rPr>
                <w:rFonts w:cs="Times New Roman"/>
              </w:rPr>
              <w:t xml:space="preserve"> per Response (</w:t>
            </w:r>
            <w:r w:rsidRPr="00855E3B" w:rsidR="00490409">
              <w:rPr>
                <w:rFonts w:cs="Times New Roman"/>
              </w:rPr>
              <w:t>h</w:t>
            </w:r>
            <w:r w:rsidRPr="00855E3B" w:rsidR="007B0B37">
              <w:rPr>
                <w:rFonts w:cs="Times New Roman"/>
              </w:rPr>
              <w:t>r</w:t>
            </w:r>
            <w:r w:rsidRPr="00855E3B" w:rsidR="004D521F">
              <w:rPr>
                <w:rFonts w:cs="Times New Roman"/>
              </w:rPr>
              <w:t>)</w:t>
            </w:r>
          </w:p>
        </w:tc>
        <w:tc>
          <w:tcPr>
            <w:tcW w:w="1080" w:type="dxa"/>
          </w:tcPr>
          <w:p w:rsidRPr="00855E3B" w:rsidR="004D521F" w:rsidP="00855E3B" w:rsidRDefault="00880774" w14:paraId="58EA25F1" w14:textId="30664879">
            <w:pPr>
              <w:spacing w:after="0" w:line="240" w:lineRule="auto"/>
              <w:jc w:val="center"/>
              <w:rPr>
                <w:rFonts w:cs="Times New Roman"/>
              </w:rPr>
            </w:pPr>
            <w:r w:rsidRPr="00855E3B">
              <w:rPr>
                <w:rFonts w:cs="Times New Roman"/>
              </w:rPr>
              <w:t>Total Time</w:t>
            </w:r>
            <w:r w:rsidRPr="00855E3B" w:rsidR="004D521F">
              <w:rPr>
                <w:rFonts w:cs="Times New Roman"/>
              </w:rPr>
              <w:t xml:space="preserve"> (h</w:t>
            </w:r>
            <w:r w:rsidRPr="00855E3B" w:rsidR="007B0B37">
              <w:rPr>
                <w:rFonts w:cs="Times New Roman"/>
              </w:rPr>
              <w:t>r</w:t>
            </w:r>
            <w:r w:rsidRPr="00855E3B" w:rsidR="004D521F">
              <w:rPr>
                <w:rFonts w:cs="Times New Roman"/>
              </w:rPr>
              <w:t>)</w:t>
            </w:r>
          </w:p>
        </w:tc>
        <w:tc>
          <w:tcPr>
            <w:tcW w:w="1350" w:type="dxa"/>
          </w:tcPr>
          <w:p w:rsidRPr="00855E3B" w:rsidR="004D521F" w:rsidP="00855E3B" w:rsidRDefault="004D521F" w14:paraId="29BE74FB" w14:textId="6DF8481B">
            <w:pPr>
              <w:spacing w:after="0" w:line="240" w:lineRule="auto"/>
              <w:jc w:val="center"/>
              <w:rPr>
                <w:rFonts w:cs="Times New Roman"/>
              </w:rPr>
            </w:pPr>
            <w:r w:rsidRPr="00855E3B">
              <w:rPr>
                <w:rFonts w:cs="Times New Roman"/>
              </w:rPr>
              <w:t xml:space="preserve">Labor </w:t>
            </w:r>
            <w:r w:rsidRPr="00855E3B" w:rsidR="007B0B37">
              <w:rPr>
                <w:rFonts w:cs="Times New Roman"/>
              </w:rPr>
              <w:t>C</w:t>
            </w:r>
            <w:r w:rsidRPr="00855E3B">
              <w:rPr>
                <w:rFonts w:cs="Times New Roman"/>
              </w:rPr>
              <w:t>ost ($/hr)</w:t>
            </w:r>
          </w:p>
        </w:tc>
        <w:tc>
          <w:tcPr>
            <w:tcW w:w="1391" w:type="dxa"/>
            <w:shd w:val="clear" w:color="auto" w:fill="auto"/>
          </w:tcPr>
          <w:p w:rsidRPr="00855E3B" w:rsidR="004D521F" w:rsidP="00855E3B" w:rsidRDefault="004D521F" w14:paraId="0A9A8047" w14:textId="3B84B0CD">
            <w:pPr>
              <w:spacing w:after="0" w:line="240" w:lineRule="auto"/>
              <w:jc w:val="center"/>
              <w:rPr>
                <w:rFonts w:cs="Times New Roman"/>
              </w:rPr>
            </w:pPr>
            <w:r w:rsidRPr="00855E3B">
              <w:rPr>
                <w:rFonts w:cs="Times New Roman"/>
              </w:rPr>
              <w:t>Total Cost ($)</w:t>
            </w:r>
          </w:p>
        </w:tc>
      </w:tr>
      <w:tr w:rsidRPr="000F0C26" w:rsidR="00457DE7" w:rsidTr="41C38F36" w14:paraId="42DAFA72" w14:textId="77777777">
        <w:trPr>
          <w:trHeight w:val="800"/>
          <w:tblHeader/>
        </w:trPr>
        <w:tc>
          <w:tcPr>
            <w:tcW w:w="1530" w:type="dxa"/>
            <w:shd w:val="clear" w:color="auto" w:fill="auto"/>
          </w:tcPr>
          <w:p w:rsidRPr="00855E3B" w:rsidR="00457DE7" w:rsidP="00855E3B" w:rsidRDefault="00457DE7" w14:paraId="7F77EF5F" w14:textId="3812F9FD">
            <w:pPr>
              <w:spacing w:after="0" w:line="240" w:lineRule="auto"/>
              <w:rPr>
                <w:rFonts w:eastAsia="Calibri" w:cs="Times New Roman"/>
              </w:rPr>
            </w:pPr>
            <w:r w:rsidRPr="00855E3B">
              <w:rPr>
                <w:rFonts w:eastAsia="Calibri" w:cs="Times New Roman"/>
              </w:rPr>
              <w:t xml:space="preserve">Quarterly </w:t>
            </w:r>
            <w:r w:rsidRPr="00855E3B" w:rsidR="00CA1F5C">
              <w:rPr>
                <w:rFonts w:eastAsia="Calibri" w:cs="Times New Roman"/>
              </w:rPr>
              <w:t>and Final Progress Report</w:t>
            </w:r>
            <w:r w:rsidRPr="00855E3B" w:rsidR="34724E6F">
              <w:rPr>
                <w:rFonts w:eastAsia="Calibri" w:cs="Times New Roman"/>
              </w:rPr>
              <w:t xml:space="preserve"> </w:t>
            </w:r>
            <w:r w:rsidRPr="00855E3B" w:rsidR="4157F4B4">
              <w:rPr>
                <w:rFonts w:eastAsia="Calibri" w:cs="Times New Roman"/>
              </w:rPr>
              <w:t>– Year 1</w:t>
            </w:r>
          </w:p>
        </w:tc>
        <w:tc>
          <w:tcPr>
            <w:tcW w:w="1530" w:type="dxa"/>
            <w:shd w:val="clear" w:color="auto" w:fill="auto"/>
          </w:tcPr>
          <w:p w:rsidRPr="00855E3B" w:rsidR="00457DE7" w:rsidP="00855E3B" w:rsidRDefault="00CA1F5C" w14:paraId="37270B12" w14:textId="3E6F5079">
            <w:pPr>
              <w:spacing w:after="0" w:line="240" w:lineRule="auto"/>
              <w:jc w:val="center"/>
              <w:rPr>
                <w:rFonts w:cs="Times New Roman"/>
              </w:rPr>
            </w:pPr>
            <w:r w:rsidRPr="00855E3B">
              <w:rPr>
                <w:rFonts w:cs="Times New Roman"/>
              </w:rPr>
              <w:t>20</w:t>
            </w:r>
          </w:p>
        </w:tc>
        <w:tc>
          <w:tcPr>
            <w:tcW w:w="1350" w:type="dxa"/>
            <w:shd w:val="clear" w:color="auto" w:fill="auto"/>
          </w:tcPr>
          <w:p w:rsidRPr="00855E3B" w:rsidR="00457DE7" w:rsidP="00855E3B" w:rsidRDefault="003C4812" w14:paraId="6FE0793E" w14:textId="481FF52B">
            <w:pPr>
              <w:spacing w:after="0" w:line="240" w:lineRule="auto"/>
              <w:jc w:val="center"/>
              <w:rPr>
                <w:rFonts w:cs="Times New Roman"/>
              </w:rPr>
            </w:pPr>
            <w:r w:rsidRPr="00855E3B">
              <w:rPr>
                <w:rFonts w:cs="Times New Roman"/>
              </w:rPr>
              <w:t>80</w:t>
            </w:r>
          </w:p>
        </w:tc>
        <w:tc>
          <w:tcPr>
            <w:tcW w:w="1350" w:type="dxa"/>
            <w:shd w:val="clear" w:color="auto" w:fill="auto"/>
          </w:tcPr>
          <w:p w:rsidRPr="00855E3B" w:rsidR="00457DE7" w:rsidP="00855E3B" w:rsidRDefault="00CA1F5C" w14:paraId="11983936" w14:textId="45C7AAE3">
            <w:pPr>
              <w:spacing w:after="0" w:line="240" w:lineRule="auto"/>
              <w:jc w:val="center"/>
              <w:rPr>
                <w:rFonts w:cs="Times New Roman"/>
              </w:rPr>
            </w:pPr>
            <w:r w:rsidRPr="00855E3B">
              <w:rPr>
                <w:rFonts w:cs="Times New Roman"/>
              </w:rPr>
              <w:t>4</w:t>
            </w:r>
          </w:p>
        </w:tc>
        <w:tc>
          <w:tcPr>
            <w:tcW w:w="1080" w:type="dxa"/>
          </w:tcPr>
          <w:p w:rsidRPr="00855E3B" w:rsidR="00457DE7" w:rsidP="00855E3B" w:rsidRDefault="003C4812" w14:paraId="17D77F7F" w14:textId="28453847">
            <w:pPr>
              <w:spacing w:after="0" w:line="240" w:lineRule="auto"/>
              <w:jc w:val="center"/>
              <w:rPr>
                <w:rFonts w:cs="Times New Roman"/>
              </w:rPr>
            </w:pPr>
            <w:r w:rsidRPr="00855E3B">
              <w:rPr>
                <w:rFonts w:cs="Times New Roman"/>
              </w:rPr>
              <w:t>320</w:t>
            </w:r>
          </w:p>
        </w:tc>
        <w:tc>
          <w:tcPr>
            <w:tcW w:w="1350" w:type="dxa"/>
          </w:tcPr>
          <w:p w:rsidRPr="00855E3B" w:rsidR="00457DE7" w:rsidP="00A05AF6" w:rsidRDefault="00457DE7" w14:paraId="4142EB6D" w14:textId="4FFF4637">
            <w:pPr>
              <w:spacing w:after="0" w:line="240" w:lineRule="auto"/>
              <w:jc w:val="center"/>
              <w:rPr>
                <w:rFonts w:cs="Times New Roman"/>
              </w:rPr>
            </w:pPr>
            <w:r w:rsidRPr="00855E3B">
              <w:rPr>
                <w:rFonts w:cs="Times New Roman"/>
              </w:rPr>
              <w:t>1</w:t>
            </w:r>
            <w:r w:rsidR="00A05AF6">
              <w:rPr>
                <w:rFonts w:cs="Times New Roman"/>
              </w:rPr>
              <w:t>14.24</w:t>
            </w:r>
          </w:p>
        </w:tc>
        <w:tc>
          <w:tcPr>
            <w:tcW w:w="1391" w:type="dxa"/>
            <w:shd w:val="clear" w:color="auto" w:fill="auto"/>
          </w:tcPr>
          <w:p w:rsidRPr="00855E3B" w:rsidR="00457DE7" w:rsidP="00A05AF6" w:rsidRDefault="0009506A" w14:paraId="3F4E8898" w14:textId="54E2575F">
            <w:pPr>
              <w:spacing w:after="0" w:line="240" w:lineRule="auto"/>
              <w:jc w:val="center"/>
              <w:rPr>
                <w:rFonts w:cs="Times New Roman"/>
              </w:rPr>
            </w:pPr>
            <w:r>
              <w:rPr>
                <w:rFonts w:cs="Times New Roman"/>
              </w:rPr>
              <w:t>36,557</w:t>
            </w:r>
          </w:p>
        </w:tc>
      </w:tr>
      <w:tr w:rsidR="0E9FB4DC" w:rsidTr="41C38F36" w14:paraId="4737DBF1" w14:textId="77777777">
        <w:trPr>
          <w:trHeight w:val="800"/>
          <w:tblHeader/>
        </w:trPr>
        <w:tc>
          <w:tcPr>
            <w:tcW w:w="1530" w:type="dxa"/>
            <w:shd w:val="clear" w:color="auto" w:fill="auto"/>
          </w:tcPr>
          <w:p w:rsidRPr="00855E3B" w:rsidR="0E9FB4DC" w:rsidRDefault="34724E6F" w14:paraId="5E794DDE" w14:textId="5F765116">
            <w:pPr>
              <w:rPr>
                <w:rFonts w:eastAsia="Calibri" w:cs="Times New Roman"/>
              </w:rPr>
            </w:pPr>
            <w:r w:rsidRPr="00855E3B">
              <w:rPr>
                <w:rFonts w:eastAsia="Calibri" w:cs="Times New Roman"/>
              </w:rPr>
              <w:t>Quarterly and Final Progress Report</w:t>
            </w:r>
            <w:r w:rsidRPr="00855E3B" w:rsidR="4157F4B4">
              <w:rPr>
                <w:rFonts w:eastAsia="Calibri" w:cs="Times New Roman"/>
              </w:rPr>
              <w:t xml:space="preserve"> – Year 2</w:t>
            </w:r>
          </w:p>
        </w:tc>
        <w:tc>
          <w:tcPr>
            <w:tcW w:w="1530" w:type="dxa"/>
            <w:shd w:val="clear" w:color="auto" w:fill="auto"/>
          </w:tcPr>
          <w:p w:rsidRPr="00855E3B" w:rsidR="0E9FB4DC" w:rsidP="00855E3B" w:rsidRDefault="2FF2E403" w14:paraId="46B1A56A" w14:textId="337F5B6E">
            <w:pPr>
              <w:jc w:val="center"/>
              <w:rPr>
                <w:rFonts w:cs="Times New Roman"/>
              </w:rPr>
            </w:pPr>
            <w:r w:rsidRPr="00855E3B">
              <w:rPr>
                <w:rFonts w:cs="Times New Roman"/>
              </w:rPr>
              <w:t xml:space="preserve">20 </w:t>
            </w:r>
          </w:p>
        </w:tc>
        <w:tc>
          <w:tcPr>
            <w:tcW w:w="1350" w:type="dxa"/>
            <w:shd w:val="clear" w:color="auto" w:fill="auto"/>
          </w:tcPr>
          <w:p w:rsidRPr="00855E3B" w:rsidR="0E9FB4DC" w:rsidP="00855E3B" w:rsidRDefault="2FF2E403" w14:paraId="16DE2480" w14:textId="148E95C9">
            <w:pPr>
              <w:jc w:val="center"/>
              <w:rPr>
                <w:rFonts w:cs="Times New Roman"/>
              </w:rPr>
            </w:pPr>
            <w:r w:rsidRPr="00855E3B">
              <w:rPr>
                <w:rFonts w:cs="Times New Roman"/>
              </w:rPr>
              <w:t>80</w:t>
            </w:r>
          </w:p>
        </w:tc>
        <w:tc>
          <w:tcPr>
            <w:tcW w:w="1350" w:type="dxa"/>
            <w:shd w:val="clear" w:color="auto" w:fill="auto"/>
          </w:tcPr>
          <w:p w:rsidRPr="00855E3B" w:rsidR="0E9FB4DC" w:rsidP="00855E3B" w:rsidRDefault="2FF2E403" w14:paraId="3B66BDB2" w14:textId="67B2E84E">
            <w:pPr>
              <w:jc w:val="center"/>
              <w:rPr>
                <w:rFonts w:cs="Times New Roman"/>
              </w:rPr>
            </w:pPr>
            <w:r w:rsidRPr="00855E3B">
              <w:rPr>
                <w:rFonts w:cs="Times New Roman"/>
              </w:rPr>
              <w:t>4</w:t>
            </w:r>
          </w:p>
        </w:tc>
        <w:tc>
          <w:tcPr>
            <w:tcW w:w="1080" w:type="dxa"/>
          </w:tcPr>
          <w:p w:rsidRPr="00855E3B" w:rsidR="0E9FB4DC" w:rsidP="00855E3B" w:rsidRDefault="2FF2E403" w14:paraId="2DEDE7A4" w14:textId="66A07E13">
            <w:pPr>
              <w:jc w:val="center"/>
              <w:rPr>
                <w:rFonts w:cs="Times New Roman"/>
              </w:rPr>
            </w:pPr>
            <w:r w:rsidRPr="00855E3B">
              <w:rPr>
                <w:rFonts w:cs="Times New Roman"/>
              </w:rPr>
              <w:t>320</w:t>
            </w:r>
          </w:p>
        </w:tc>
        <w:tc>
          <w:tcPr>
            <w:tcW w:w="1350" w:type="dxa"/>
          </w:tcPr>
          <w:p w:rsidRPr="00855E3B" w:rsidR="0E9FB4DC" w:rsidP="0009506A" w:rsidRDefault="2FF2E403" w14:paraId="7B5F294E" w14:textId="61EC36A3">
            <w:pPr>
              <w:jc w:val="center"/>
              <w:rPr>
                <w:rFonts w:cs="Times New Roman"/>
              </w:rPr>
            </w:pPr>
            <w:r w:rsidRPr="00855E3B">
              <w:rPr>
                <w:rFonts w:cs="Times New Roman"/>
              </w:rPr>
              <w:t>1</w:t>
            </w:r>
            <w:r w:rsidR="00A05AF6">
              <w:rPr>
                <w:rFonts w:cs="Times New Roman"/>
              </w:rPr>
              <w:t>14.24</w:t>
            </w:r>
          </w:p>
        </w:tc>
        <w:tc>
          <w:tcPr>
            <w:tcW w:w="1391" w:type="dxa"/>
            <w:shd w:val="clear" w:color="auto" w:fill="auto"/>
          </w:tcPr>
          <w:p w:rsidRPr="00855E3B" w:rsidR="0E9FB4DC" w:rsidP="00A05AF6" w:rsidRDefault="00A05AF6" w14:paraId="2E586028" w14:textId="4B5CD018">
            <w:pPr>
              <w:jc w:val="center"/>
              <w:rPr>
                <w:rFonts w:cs="Times New Roman"/>
              </w:rPr>
            </w:pPr>
            <w:r>
              <w:rPr>
                <w:rFonts w:cs="Times New Roman"/>
              </w:rPr>
              <w:t>3</w:t>
            </w:r>
            <w:r w:rsidR="0009506A">
              <w:rPr>
                <w:rFonts w:cs="Times New Roman"/>
              </w:rPr>
              <w:t>6,557</w:t>
            </w:r>
          </w:p>
        </w:tc>
      </w:tr>
      <w:tr w:rsidRPr="000F0C26" w:rsidR="00457DE7" w:rsidTr="41C38F36" w14:paraId="0B3AB3ED" w14:textId="77777777">
        <w:trPr>
          <w:trHeight w:val="350"/>
          <w:tblHeader/>
        </w:trPr>
        <w:tc>
          <w:tcPr>
            <w:tcW w:w="1530" w:type="dxa"/>
            <w:shd w:val="clear" w:color="auto" w:fill="D9D9D9" w:themeFill="background1" w:themeFillShade="D9"/>
          </w:tcPr>
          <w:p w:rsidRPr="00855E3B" w:rsidR="00457DE7" w:rsidP="00855E3B" w:rsidRDefault="00457DE7" w14:paraId="61F9C446" w14:textId="5E7BA58D">
            <w:pPr>
              <w:spacing w:after="0" w:line="240" w:lineRule="auto"/>
              <w:rPr>
                <w:rFonts w:eastAsia="Calibri" w:cs="Times New Roman"/>
                <w:b/>
                <w:bCs/>
              </w:rPr>
            </w:pPr>
            <w:r w:rsidRPr="00855E3B">
              <w:rPr>
                <w:rFonts w:eastAsia="Calibri" w:cs="Times New Roman"/>
                <w:b/>
                <w:bCs/>
              </w:rPr>
              <w:t>TOTAL</w:t>
            </w:r>
          </w:p>
        </w:tc>
        <w:tc>
          <w:tcPr>
            <w:tcW w:w="1530" w:type="dxa"/>
            <w:shd w:val="clear" w:color="auto" w:fill="D9D9D9" w:themeFill="background1" w:themeFillShade="D9"/>
          </w:tcPr>
          <w:p w:rsidRPr="00855E3B" w:rsidR="00457DE7" w:rsidP="00855E3B" w:rsidRDefault="002B7359" w14:paraId="45EBA365" w14:textId="21957021">
            <w:pPr>
              <w:spacing w:after="0" w:line="240" w:lineRule="auto"/>
              <w:jc w:val="center"/>
              <w:rPr>
                <w:rFonts w:cs="Times New Roman"/>
                <w:b/>
                <w:bCs/>
              </w:rPr>
            </w:pPr>
            <w:r>
              <w:rPr>
                <w:rFonts w:cs="Times New Roman"/>
                <w:b/>
                <w:bCs/>
              </w:rPr>
              <w:t>2</w:t>
            </w:r>
            <w:r w:rsidRPr="00855E3B" w:rsidR="6E77F636">
              <w:rPr>
                <w:rFonts w:cs="Times New Roman"/>
                <w:b/>
                <w:bCs/>
              </w:rPr>
              <w:t>0</w:t>
            </w:r>
          </w:p>
        </w:tc>
        <w:tc>
          <w:tcPr>
            <w:tcW w:w="1350" w:type="dxa"/>
            <w:shd w:val="clear" w:color="auto" w:fill="D9D9D9" w:themeFill="background1" w:themeFillShade="D9"/>
          </w:tcPr>
          <w:p w:rsidRPr="00855E3B" w:rsidR="00457DE7" w:rsidP="00855E3B" w:rsidRDefault="6E77F636" w14:paraId="7BE83E18" w14:textId="4079F517">
            <w:pPr>
              <w:spacing w:after="0" w:line="240" w:lineRule="auto"/>
              <w:jc w:val="center"/>
              <w:rPr>
                <w:rFonts w:cs="Times New Roman"/>
                <w:b/>
                <w:bCs/>
              </w:rPr>
            </w:pPr>
            <w:r w:rsidRPr="00855E3B">
              <w:rPr>
                <w:rFonts w:cs="Times New Roman"/>
                <w:b/>
                <w:bCs/>
              </w:rPr>
              <w:t>160</w:t>
            </w:r>
          </w:p>
        </w:tc>
        <w:tc>
          <w:tcPr>
            <w:tcW w:w="1350" w:type="dxa"/>
            <w:shd w:val="clear" w:color="auto" w:fill="D9D9D9" w:themeFill="background1" w:themeFillShade="D9"/>
          </w:tcPr>
          <w:p w:rsidRPr="00855E3B" w:rsidR="00457DE7" w:rsidP="00855E3B" w:rsidRDefault="742CF25B" w14:paraId="17A307D9" w14:textId="71B40D6C">
            <w:pPr>
              <w:spacing w:after="0" w:line="240" w:lineRule="auto"/>
              <w:jc w:val="center"/>
              <w:rPr>
                <w:rFonts w:cs="Times New Roman"/>
                <w:b/>
                <w:bCs/>
              </w:rPr>
            </w:pPr>
            <w:r w:rsidRPr="00855E3B">
              <w:rPr>
                <w:rFonts w:cs="Times New Roman"/>
                <w:b/>
                <w:bCs/>
              </w:rPr>
              <w:t>8</w:t>
            </w:r>
          </w:p>
        </w:tc>
        <w:tc>
          <w:tcPr>
            <w:tcW w:w="1080" w:type="dxa"/>
            <w:shd w:val="clear" w:color="auto" w:fill="D9D9D9" w:themeFill="background1" w:themeFillShade="D9"/>
          </w:tcPr>
          <w:p w:rsidRPr="00855E3B" w:rsidR="00457DE7" w:rsidP="00855E3B" w:rsidRDefault="742CF25B" w14:paraId="6470BD50" w14:textId="17CCAF1C">
            <w:pPr>
              <w:spacing w:after="0" w:line="240" w:lineRule="auto"/>
              <w:jc w:val="center"/>
              <w:rPr>
                <w:rFonts w:cs="Times New Roman"/>
                <w:b/>
                <w:bCs/>
              </w:rPr>
            </w:pPr>
            <w:r w:rsidRPr="00855E3B">
              <w:rPr>
                <w:rFonts w:cs="Times New Roman"/>
                <w:b/>
                <w:bCs/>
              </w:rPr>
              <w:t>640</w:t>
            </w:r>
          </w:p>
        </w:tc>
        <w:tc>
          <w:tcPr>
            <w:tcW w:w="1350" w:type="dxa"/>
            <w:shd w:val="clear" w:color="auto" w:fill="D9D9D9" w:themeFill="background1" w:themeFillShade="D9"/>
          </w:tcPr>
          <w:p w:rsidRPr="00855E3B" w:rsidR="00457DE7" w:rsidP="00A05AF6" w:rsidRDefault="00457DE7" w14:paraId="541B89B7" w14:textId="4D0B946D">
            <w:pPr>
              <w:spacing w:after="0" w:line="240" w:lineRule="auto"/>
              <w:jc w:val="center"/>
              <w:rPr>
                <w:rFonts w:cs="Times New Roman"/>
                <w:b/>
                <w:bCs/>
              </w:rPr>
            </w:pPr>
            <w:r w:rsidRPr="00855E3B">
              <w:rPr>
                <w:rFonts w:cs="Times New Roman"/>
                <w:b/>
                <w:bCs/>
              </w:rPr>
              <w:t>1</w:t>
            </w:r>
            <w:r w:rsidR="00A05AF6">
              <w:rPr>
                <w:rFonts w:cs="Times New Roman"/>
                <w:b/>
                <w:bCs/>
              </w:rPr>
              <w:t>14.24</w:t>
            </w:r>
          </w:p>
        </w:tc>
        <w:tc>
          <w:tcPr>
            <w:tcW w:w="1391" w:type="dxa"/>
            <w:shd w:val="clear" w:color="auto" w:fill="D9D9D9" w:themeFill="background1" w:themeFillShade="D9"/>
          </w:tcPr>
          <w:p w:rsidRPr="00855E3B" w:rsidR="00457DE7" w:rsidP="00A05AF6" w:rsidRDefault="0009506A" w14:paraId="3F7F21A6" w14:textId="461CC24A">
            <w:pPr>
              <w:spacing w:after="0" w:line="240" w:lineRule="auto"/>
              <w:jc w:val="center"/>
              <w:rPr>
                <w:rFonts w:cs="Times New Roman"/>
                <w:b/>
                <w:bCs/>
              </w:rPr>
            </w:pPr>
            <w:r>
              <w:rPr>
                <w:rFonts w:cs="Times New Roman"/>
                <w:b/>
                <w:bCs/>
              </w:rPr>
              <w:t>73,114</w:t>
            </w:r>
          </w:p>
        </w:tc>
      </w:tr>
    </w:tbl>
    <w:p w:rsidRPr="000F0C26" w:rsidR="00590312" w:rsidP="009A4B47" w:rsidRDefault="00590312" w14:paraId="6F042E2E" w14:textId="77777777">
      <w:pPr>
        <w:spacing w:after="0" w:line="240" w:lineRule="auto"/>
        <w:rPr>
          <w:rFonts w:cs="Times New Roman"/>
          <w:i/>
          <w:szCs w:val="24"/>
        </w:rPr>
      </w:pPr>
    </w:p>
    <w:p w:rsidRPr="00855E3B" w:rsidR="009333CB" w:rsidP="009A4B47" w:rsidRDefault="009333CB" w14:paraId="203CC2B2" w14:textId="4DCB4C1A">
      <w:pPr>
        <w:spacing w:after="0" w:line="240" w:lineRule="auto"/>
        <w:rPr>
          <w:rFonts w:cs="Times New Roman"/>
          <w:i/>
          <w:iCs/>
        </w:rPr>
      </w:pPr>
      <w:r w:rsidRPr="00855E3B">
        <w:rPr>
          <w:rFonts w:cs="Times New Roman"/>
          <w:i/>
          <w:iCs/>
        </w:rPr>
        <w:t>Information Collection Instruments and Instruction/Guidance Documents</w:t>
      </w:r>
    </w:p>
    <w:p w:rsidRPr="000F0C26" w:rsidR="009333CB" w:rsidP="009A4B47" w:rsidRDefault="009333CB" w14:paraId="5605F736" w14:textId="77777777">
      <w:pPr>
        <w:pStyle w:val="BodyText"/>
        <w:rPr>
          <w:sz w:val="24"/>
          <w:szCs w:val="24"/>
        </w:rPr>
      </w:pPr>
    </w:p>
    <w:p w:rsidRPr="00855E3B" w:rsidR="00FE1749" w:rsidP="009A4B47" w:rsidRDefault="00B71923" w14:paraId="75857EE0" w14:textId="516C98F4">
      <w:pPr>
        <w:pStyle w:val="BodyText"/>
        <w:rPr>
          <w:i w:val="0"/>
          <w:sz w:val="24"/>
          <w:szCs w:val="24"/>
        </w:rPr>
      </w:pPr>
      <w:r>
        <w:rPr>
          <w:i w:val="0"/>
          <w:sz w:val="24"/>
          <w:szCs w:val="24"/>
        </w:rPr>
        <w:t>The c</w:t>
      </w:r>
      <w:r w:rsidRPr="2868D657" w:rsidR="007E688D">
        <w:rPr>
          <w:i w:val="0"/>
          <w:sz w:val="24"/>
          <w:szCs w:val="24"/>
        </w:rPr>
        <w:t xml:space="preserve">ollection </w:t>
      </w:r>
      <w:r>
        <w:rPr>
          <w:i w:val="0"/>
          <w:sz w:val="24"/>
          <w:szCs w:val="24"/>
        </w:rPr>
        <w:t xml:space="preserve">of information </w:t>
      </w:r>
      <w:r w:rsidRPr="2868D657" w:rsidR="007E688D">
        <w:rPr>
          <w:i w:val="0"/>
          <w:sz w:val="24"/>
          <w:szCs w:val="24"/>
        </w:rPr>
        <w:t xml:space="preserve">requirements are detailed in Section </w:t>
      </w:r>
      <w:r w:rsidRPr="2868D657" w:rsidR="0013310A">
        <w:rPr>
          <w:i w:val="0"/>
          <w:sz w:val="24"/>
          <w:szCs w:val="24"/>
        </w:rPr>
        <w:t>F</w:t>
      </w:r>
      <w:r w:rsidRPr="2868D657" w:rsidR="007E688D">
        <w:rPr>
          <w:i w:val="0"/>
          <w:sz w:val="24"/>
          <w:szCs w:val="24"/>
        </w:rPr>
        <w:t xml:space="preserve"> of the corresponding</w:t>
      </w:r>
      <w:r w:rsidRPr="2868D657" w:rsidR="000F0C26">
        <w:rPr>
          <w:i w:val="0"/>
          <w:sz w:val="24"/>
          <w:szCs w:val="24"/>
        </w:rPr>
        <w:t xml:space="preserve"> </w:t>
      </w:r>
      <w:r w:rsidRPr="2868D657" w:rsidR="006A7ABF">
        <w:rPr>
          <w:i w:val="0"/>
          <w:sz w:val="24"/>
          <w:szCs w:val="24"/>
        </w:rPr>
        <w:t>Notice of Funding Opportunity</w:t>
      </w:r>
      <w:r w:rsidRPr="2868D657" w:rsidR="007E688D">
        <w:rPr>
          <w:i w:val="0"/>
          <w:sz w:val="24"/>
          <w:szCs w:val="24"/>
        </w:rPr>
        <w:t>.</w:t>
      </w:r>
    </w:p>
    <w:p w:rsidRPr="000F0C26" w:rsidR="007E688D" w:rsidP="009A4B47" w:rsidRDefault="007E688D" w14:paraId="44481CFB" w14:textId="77777777">
      <w:pPr>
        <w:pStyle w:val="BodyText"/>
        <w:rPr>
          <w:i w:val="0"/>
          <w:sz w:val="24"/>
          <w:szCs w:val="24"/>
        </w:rPr>
      </w:pPr>
    </w:p>
    <w:p w:rsidRPr="00855E3B" w:rsidR="00737C80" w:rsidP="009A4B47" w:rsidRDefault="003F3CE7" w14:paraId="24F3F593" w14:textId="77777777">
      <w:pPr>
        <w:pStyle w:val="Heading1"/>
        <w:rPr>
          <w:rFonts w:cs="Times New Roman"/>
        </w:rPr>
      </w:pPr>
      <w:r w:rsidRPr="00855E3B">
        <w:rPr>
          <w:rFonts w:cs="Times New Roman"/>
        </w:rPr>
        <w:t>E</w:t>
      </w:r>
      <w:r w:rsidRPr="00855E3B" w:rsidR="007D6E75">
        <w:rPr>
          <w:rFonts w:cs="Times New Roman"/>
        </w:rPr>
        <w:t>. Timeline</w:t>
      </w:r>
    </w:p>
    <w:p w:rsidR="00443F76" w:rsidP="009A4B47" w:rsidRDefault="00443F76" w14:paraId="3E20D4D4" w14:textId="646DDB1E">
      <w:pPr>
        <w:spacing w:after="0" w:line="240" w:lineRule="auto"/>
        <w:rPr>
          <w:rFonts w:cs="Times New Roman"/>
          <w:szCs w:val="24"/>
        </w:rPr>
      </w:pPr>
    </w:p>
    <w:p w:rsidR="00BD2595" w:rsidP="009A4B47" w:rsidRDefault="00714A2D" w14:paraId="657BEEDB" w14:textId="3A18C444">
      <w:pPr>
        <w:spacing w:after="0" w:line="240" w:lineRule="auto"/>
        <w:rPr>
          <w:rFonts w:cs="Times New Roman"/>
          <w:szCs w:val="24"/>
        </w:rPr>
      </w:pPr>
      <w:r>
        <w:rPr>
          <w:rFonts w:cs="Times New Roman"/>
          <w:szCs w:val="24"/>
        </w:rPr>
        <w:t xml:space="preserve">The 14-day notice published </w:t>
      </w:r>
      <w:r w:rsidR="00450FBD">
        <w:rPr>
          <w:rFonts w:cs="Times New Roman"/>
          <w:szCs w:val="24"/>
        </w:rPr>
        <w:t xml:space="preserve">in the Federal Register </w:t>
      </w:r>
      <w:r>
        <w:rPr>
          <w:rFonts w:cs="Times New Roman"/>
          <w:szCs w:val="24"/>
        </w:rPr>
        <w:t xml:space="preserve">on </w:t>
      </w:r>
      <w:r w:rsidRPr="00714A2D">
        <w:rPr>
          <w:rFonts w:cs="Times New Roman"/>
          <w:szCs w:val="24"/>
        </w:rPr>
        <w:t>May 17, 2021</w:t>
      </w:r>
      <w:r>
        <w:rPr>
          <w:rFonts w:cs="Times New Roman"/>
          <w:szCs w:val="24"/>
        </w:rPr>
        <w:t xml:space="preserve"> (86 FR </w:t>
      </w:r>
      <w:r w:rsidRPr="00714A2D">
        <w:rPr>
          <w:rFonts w:cs="Times New Roman"/>
          <w:szCs w:val="24"/>
        </w:rPr>
        <w:t>26734</w:t>
      </w:r>
      <w:r>
        <w:rPr>
          <w:rFonts w:cs="Times New Roman"/>
          <w:szCs w:val="24"/>
        </w:rPr>
        <w:t>)</w:t>
      </w:r>
      <w:r w:rsidR="00E90E59">
        <w:rPr>
          <w:rFonts w:cs="Times New Roman"/>
          <w:szCs w:val="24"/>
        </w:rPr>
        <w:t>. C</w:t>
      </w:r>
      <w:bookmarkStart w:name="_GoBack" w:id="0"/>
      <w:bookmarkEnd w:id="0"/>
      <w:r w:rsidRPr="00714A2D">
        <w:rPr>
          <w:rFonts w:cs="Times New Roman"/>
          <w:szCs w:val="24"/>
        </w:rPr>
        <w:t xml:space="preserve">omments </w:t>
      </w:r>
      <w:r w:rsidR="005A0567">
        <w:rPr>
          <w:rFonts w:cs="Times New Roman"/>
          <w:szCs w:val="24"/>
        </w:rPr>
        <w:t xml:space="preserve">were due </w:t>
      </w:r>
      <w:r w:rsidRPr="00714A2D">
        <w:rPr>
          <w:rFonts w:cs="Times New Roman"/>
          <w:szCs w:val="24"/>
        </w:rPr>
        <w:t>by</w:t>
      </w:r>
      <w:r>
        <w:rPr>
          <w:rFonts w:cs="Times New Roman"/>
          <w:szCs w:val="24"/>
        </w:rPr>
        <w:t xml:space="preserve"> </w:t>
      </w:r>
      <w:r w:rsidRPr="00714A2D">
        <w:rPr>
          <w:rFonts w:cs="Times New Roman"/>
          <w:szCs w:val="24"/>
        </w:rPr>
        <w:t>June 1, 2021.</w:t>
      </w:r>
      <w:r w:rsidR="005A0567">
        <w:rPr>
          <w:rFonts w:cs="Times New Roman"/>
          <w:szCs w:val="24"/>
        </w:rPr>
        <w:t xml:space="preserve"> No comments were received.</w:t>
      </w:r>
    </w:p>
    <w:p w:rsidRPr="000F0C26" w:rsidR="00BD2595" w:rsidP="009A4B47" w:rsidRDefault="00BD2595" w14:paraId="3C128D3A" w14:textId="77777777">
      <w:pPr>
        <w:spacing w:after="0" w:line="240" w:lineRule="auto"/>
        <w:rPr>
          <w:rFonts w:cs="Times New Roman"/>
          <w:szCs w:val="24"/>
        </w:rPr>
      </w:pPr>
    </w:p>
    <w:p w:rsidR="006952F1" w:rsidP="009A4B47" w:rsidRDefault="00F72E6A" w14:paraId="10F0BA55" w14:textId="462AE82F">
      <w:pPr>
        <w:autoSpaceDE w:val="0"/>
        <w:autoSpaceDN w:val="0"/>
        <w:adjustRightInd w:val="0"/>
        <w:spacing w:after="0" w:line="240" w:lineRule="auto"/>
        <w:rPr>
          <w:rFonts w:cs="Times New Roman"/>
        </w:rPr>
      </w:pPr>
      <w:r w:rsidRPr="00F72E6A">
        <w:rPr>
          <w:rFonts w:cs="Times New Roman"/>
          <w:szCs w:val="24"/>
        </w:rPr>
        <w:t>A</w:t>
      </w:r>
      <w:r w:rsidRPr="00F72E6A">
        <w:rPr>
          <w:rFonts w:cs="Times New Roman"/>
        </w:rPr>
        <w:t xml:space="preserve">pplicants will apply for the </w:t>
      </w:r>
      <w:r w:rsidRPr="00F72E6A">
        <w:rPr>
          <w:rFonts w:eastAsia="DeVinne-Italic" w:cs="Times New Roman"/>
          <w:i/>
          <w:iCs/>
          <w:szCs w:val="24"/>
        </w:rPr>
        <w:t xml:space="preserve">American Rescue Plan Act (ARP) of 2021: </w:t>
      </w:r>
      <w:r w:rsidRPr="00F72E6A">
        <w:rPr>
          <w:rFonts w:eastAsia="Times" w:cs="Times New Roman"/>
          <w:i/>
          <w:szCs w:val="24"/>
        </w:rPr>
        <w:t xml:space="preserve">Section 9813 </w:t>
      </w:r>
      <w:r w:rsidRPr="00F72E6A">
        <w:rPr>
          <w:rFonts w:eastAsia="DeVinne-Italic" w:cs="Times New Roman"/>
          <w:i/>
          <w:iCs/>
          <w:szCs w:val="24"/>
        </w:rPr>
        <w:t xml:space="preserve">State Planning Grants for Qualifying Community-Based Mobile Crisis Intervention Services </w:t>
      </w:r>
      <w:r w:rsidRPr="00F72E6A">
        <w:rPr>
          <w:rFonts w:cs="Times New Roman"/>
        </w:rPr>
        <w:t>via the standard format on grants.gov beginning June 30, 2021.</w:t>
      </w:r>
    </w:p>
    <w:p w:rsidRPr="000F0C26" w:rsidR="00450FBD" w:rsidP="009A4B47" w:rsidRDefault="00450FBD" w14:paraId="771A2BDC" w14:textId="77777777">
      <w:pPr>
        <w:autoSpaceDE w:val="0"/>
        <w:autoSpaceDN w:val="0"/>
        <w:adjustRightInd w:val="0"/>
        <w:spacing w:after="0" w:line="240" w:lineRule="auto"/>
        <w:rPr>
          <w:i/>
          <w:szCs w:val="24"/>
        </w:rPr>
      </w:pPr>
    </w:p>
    <w:sectPr w:rsidRPr="000F0C26" w:rsidR="00450FBD" w:rsidSect="00855E3B">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FFD11" w14:textId="77777777" w:rsidR="00591B4E" w:rsidRDefault="00591B4E" w:rsidP="008111D2">
      <w:pPr>
        <w:spacing w:after="0" w:line="240" w:lineRule="auto"/>
      </w:pPr>
      <w:r>
        <w:separator/>
      </w:r>
    </w:p>
  </w:endnote>
  <w:endnote w:type="continuationSeparator" w:id="0">
    <w:p w14:paraId="79AE0669" w14:textId="77777777" w:rsidR="00591B4E" w:rsidRDefault="00591B4E" w:rsidP="008111D2">
      <w:pPr>
        <w:spacing w:after="0" w:line="240" w:lineRule="auto"/>
      </w:pPr>
      <w:r>
        <w:continuationSeparator/>
      </w:r>
    </w:p>
  </w:endnote>
  <w:endnote w:type="continuationNotice" w:id="1">
    <w:p w14:paraId="33FC6741" w14:textId="77777777" w:rsidR="00591B4E" w:rsidRDefault="00591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DeVinne-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466845"/>
      <w:docPartObj>
        <w:docPartGallery w:val="Page Numbers (Bottom of Page)"/>
        <w:docPartUnique/>
      </w:docPartObj>
    </w:sdtPr>
    <w:sdtEndPr>
      <w:rPr>
        <w:noProof/>
      </w:rPr>
    </w:sdtEndPr>
    <w:sdtContent>
      <w:p w14:paraId="042A2214" w14:textId="7CB8537B" w:rsidR="005155F1" w:rsidRDefault="005155F1">
        <w:pPr>
          <w:pStyle w:val="Footer"/>
          <w:jc w:val="center"/>
        </w:pPr>
        <w:r>
          <w:fldChar w:fldCharType="begin"/>
        </w:r>
        <w:r>
          <w:instrText xml:space="preserve"> PAGE   \* MERGEFORMAT </w:instrText>
        </w:r>
        <w:r>
          <w:fldChar w:fldCharType="separate"/>
        </w:r>
        <w:r w:rsidR="00E90E5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5E987" w14:textId="77777777" w:rsidR="00591B4E" w:rsidRDefault="00591B4E" w:rsidP="008111D2">
      <w:pPr>
        <w:spacing w:after="0" w:line="240" w:lineRule="auto"/>
      </w:pPr>
      <w:r>
        <w:separator/>
      </w:r>
    </w:p>
  </w:footnote>
  <w:footnote w:type="continuationSeparator" w:id="0">
    <w:p w14:paraId="041993F7" w14:textId="77777777" w:rsidR="00591B4E" w:rsidRDefault="00591B4E" w:rsidP="008111D2">
      <w:pPr>
        <w:spacing w:after="0" w:line="240" w:lineRule="auto"/>
      </w:pPr>
      <w:r>
        <w:continuationSeparator/>
      </w:r>
    </w:p>
  </w:footnote>
  <w:footnote w:type="continuationNotice" w:id="1">
    <w:p w14:paraId="240C2760" w14:textId="77777777" w:rsidR="00591B4E" w:rsidRDefault="00591B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195"/>
    <w:multiLevelType w:val="hybridMultilevel"/>
    <w:tmpl w:val="3F88BC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103C7"/>
    <w:multiLevelType w:val="hybridMultilevel"/>
    <w:tmpl w:val="7BB4064E"/>
    <w:lvl w:ilvl="0" w:tplc="68341F26">
      <w:start w:val="1"/>
      <w:numFmt w:val="decimal"/>
      <w:lvlText w:val="%1."/>
      <w:lvlJc w:val="left"/>
      <w:pPr>
        <w:ind w:left="810" w:hanging="72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DD2C31"/>
    <w:multiLevelType w:val="hybridMultilevel"/>
    <w:tmpl w:val="B98CCBF2"/>
    <w:lvl w:ilvl="0" w:tplc="34703C6E">
      <w:start w:val="1"/>
      <w:numFmt w:val="decimal"/>
      <w:lvlText w:val="%1."/>
      <w:lvlJc w:val="left"/>
      <w:pPr>
        <w:ind w:left="1080" w:hanging="72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43655"/>
    <w:multiLevelType w:val="hybridMultilevel"/>
    <w:tmpl w:val="3CF2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F50D1E"/>
    <w:multiLevelType w:val="hybridMultilevel"/>
    <w:tmpl w:val="F8E65A98"/>
    <w:lvl w:ilvl="0" w:tplc="D77A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423B8"/>
    <w:multiLevelType w:val="hybridMultilevel"/>
    <w:tmpl w:val="FAB21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3BC3F43"/>
    <w:multiLevelType w:val="hybridMultilevel"/>
    <w:tmpl w:val="7EFE7A4A"/>
    <w:lvl w:ilvl="0" w:tplc="F66E78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F5E3E"/>
    <w:multiLevelType w:val="hybridMultilevel"/>
    <w:tmpl w:val="956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93E37"/>
    <w:multiLevelType w:val="hybridMultilevel"/>
    <w:tmpl w:val="230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2"/>
  </w:num>
  <w:num w:numId="5">
    <w:abstractNumId w:val="1"/>
  </w:num>
  <w:num w:numId="6">
    <w:abstractNumId w:val="7"/>
  </w:num>
  <w:num w:numId="7">
    <w:abstractNumId w:val="6"/>
  </w:num>
  <w:num w:numId="8">
    <w:abstractNumId w:val="3"/>
  </w:num>
  <w:num w:numId="9">
    <w:abstractNumId w:val="10"/>
  </w:num>
  <w:num w:numId="10">
    <w:abstractNumId w:val="4"/>
  </w:num>
  <w:num w:numId="11">
    <w:abstractNumId w:val="8"/>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12D5"/>
    <w:rsid w:val="000036F5"/>
    <w:rsid w:val="00003C46"/>
    <w:rsid w:val="00004F77"/>
    <w:rsid w:val="0000589A"/>
    <w:rsid w:val="000061C4"/>
    <w:rsid w:val="00006294"/>
    <w:rsid w:val="00006D62"/>
    <w:rsid w:val="00011FEE"/>
    <w:rsid w:val="00013454"/>
    <w:rsid w:val="00014CB8"/>
    <w:rsid w:val="00015FB5"/>
    <w:rsid w:val="00016C77"/>
    <w:rsid w:val="0002120D"/>
    <w:rsid w:val="00027E8F"/>
    <w:rsid w:val="0003161D"/>
    <w:rsid w:val="00031BF7"/>
    <w:rsid w:val="00034FFD"/>
    <w:rsid w:val="000362BD"/>
    <w:rsid w:val="00037992"/>
    <w:rsid w:val="00043D0E"/>
    <w:rsid w:val="00046ABB"/>
    <w:rsid w:val="000548DE"/>
    <w:rsid w:val="00055754"/>
    <w:rsid w:val="0005612E"/>
    <w:rsid w:val="00063E11"/>
    <w:rsid w:val="000643E3"/>
    <w:rsid w:val="00065F43"/>
    <w:rsid w:val="000712B4"/>
    <w:rsid w:val="000722FE"/>
    <w:rsid w:val="00073A18"/>
    <w:rsid w:val="000778D8"/>
    <w:rsid w:val="0008164F"/>
    <w:rsid w:val="00081947"/>
    <w:rsid w:val="00084B8E"/>
    <w:rsid w:val="00084BF8"/>
    <w:rsid w:val="000876D9"/>
    <w:rsid w:val="00087B5B"/>
    <w:rsid w:val="0009506A"/>
    <w:rsid w:val="00096C8E"/>
    <w:rsid w:val="00097D8E"/>
    <w:rsid w:val="000A3364"/>
    <w:rsid w:val="000A3FC7"/>
    <w:rsid w:val="000A442A"/>
    <w:rsid w:val="000A48DC"/>
    <w:rsid w:val="000A5959"/>
    <w:rsid w:val="000B20AE"/>
    <w:rsid w:val="000B23D2"/>
    <w:rsid w:val="000B28B2"/>
    <w:rsid w:val="000B3656"/>
    <w:rsid w:val="000B4AA9"/>
    <w:rsid w:val="000C2A0D"/>
    <w:rsid w:val="000C2B1A"/>
    <w:rsid w:val="000C349A"/>
    <w:rsid w:val="000D194E"/>
    <w:rsid w:val="000D1C46"/>
    <w:rsid w:val="000D1CFD"/>
    <w:rsid w:val="000D3F37"/>
    <w:rsid w:val="000E318C"/>
    <w:rsid w:val="000E3C91"/>
    <w:rsid w:val="000E4824"/>
    <w:rsid w:val="000E55DA"/>
    <w:rsid w:val="000E6C4E"/>
    <w:rsid w:val="000E7BF6"/>
    <w:rsid w:val="000F0C26"/>
    <w:rsid w:val="000F362E"/>
    <w:rsid w:val="000F51AA"/>
    <w:rsid w:val="000F708D"/>
    <w:rsid w:val="001003E5"/>
    <w:rsid w:val="00101173"/>
    <w:rsid w:val="00101C09"/>
    <w:rsid w:val="00103F7E"/>
    <w:rsid w:val="00105F65"/>
    <w:rsid w:val="0010672B"/>
    <w:rsid w:val="00107E26"/>
    <w:rsid w:val="00110200"/>
    <w:rsid w:val="00111672"/>
    <w:rsid w:val="00112577"/>
    <w:rsid w:val="00113D59"/>
    <w:rsid w:val="0011549A"/>
    <w:rsid w:val="00117707"/>
    <w:rsid w:val="001213D3"/>
    <w:rsid w:val="0012257B"/>
    <w:rsid w:val="00122C0E"/>
    <w:rsid w:val="00131629"/>
    <w:rsid w:val="00131E5A"/>
    <w:rsid w:val="0013310A"/>
    <w:rsid w:val="00134C47"/>
    <w:rsid w:val="001353BD"/>
    <w:rsid w:val="001356ED"/>
    <w:rsid w:val="00137BE3"/>
    <w:rsid w:val="001411B6"/>
    <w:rsid w:val="001417FA"/>
    <w:rsid w:val="00142432"/>
    <w:rsid w:val="00144638"/>
    <w:rsid w:val="00147447"/>
    <w:rsid w:val="001503BF"/>
    <w:rsid w:val="00150737"/>
    <w:rsid w:val="00150B48"/>
    <w:rsid w:val="00150C54"/>
    <w:rsid w:val="00151312"/>
    <w:rsid w:val="00153271"/>
    <w:rsid w:val="00154A68"/>
    <w:rsid w:val="00161FA7"/>
    <w:rsid w:val="00163201"/>
    <w:rsid w:val="0016497A"/>
    <w:rsid w:val="00164E4A"/>
    <w:rsid w:val="00165097"/>
    <w:rsid w:val="00165F61"/>
    <w:rsid w:val="00172248"/>
    <w:rsid w:val="00173249"/>
    <w:rsid w:val="0017390D"/>
    <w:rsid w:val="001756A8"/>
    <w:rsid w:val="00175A39"/>
    <w:rsid w:val="0018057C"/>
    <w:rsid w:val="00181585"/>
    <w:rsid w:val="00181D3E"/>
    <w:rsid w:val="00184079"/>
    <w:rsid w:val="00185CB4"/>
    <w:rsid w:val="001877E8"/>
    <w:rsid w:val="001904B6"/>
    <w:rsid w:val="00190705"/>
    <w:rsid w:val="00193435"/>
    <w:rsid w:val="001948CD"/>
    <w:rsid w:val="0019625C"/>
    <w:rsid w:val="0019638B"/>
    <w:rsid w:val="00196A4A"/>
    <w:rsid w:val="001A1305"/>
    <w:rsid w:val="001A1FC6"/>
    <w:rsid w:val="001B1B30"/>
    <w:rsid w:val="001B26B8"/>
    <w:rsid w:val="001B3A3D"/>
    <w:rsid w:val="001B42DB"/>
    <w:rsid w:val="001C27F4"/>
    <w:rsid w:val="001C63B7"/>
    <w:rsid w:val="001C6FEB"/>
    <w:rsid w:val="001D04AC"/>
    <w:rsid w:val="001D0641"/>
    <w:rsid w:val="001D069B"/>
    <w:rsid w:val="001D09B1"/>
    <w:rsid w:val="001D197A"/>
    <w:rsid w:val="001D1C35"/>
    <w:rsid w:val="001D5FEE"/>
    <w:rsid w:val="001D6DCB"/>
    <w:rsid w:val="001E124A"/>
    <w:rsid w:val="001E1D01"/>
    <w:rsid w:val="001E1FA0"/>
    <w:rsid w:val="001E66B6"/>
    <w:rsid w:val="001F0AB5"/>
    <w:rsid w:val="001F2403"/>
    <w:rsid w:val="001F2628"/>
    <w:rsid w:val="001F322B"/>
    <w:rsid w:val="001F50DC"/>
    <w:rsid w:val="001F78DF"/>
    <w:rsid w:val="0020026D"/>
    <w:rsid w:val="00200AD7"/>
    <w:rsid w:val="00202A6F"/>
    <w:rsid w:val="00203975"/>
    <w:rsid w:val="00203D75"/>
    <w:rsid w:val="0020641C"/>
    <w:rsid w:val="0021213D"/>
    <w:rsid w:val="00214F31"/>
    <w:rsid w:val="00214F96"/>
    <w:rsid w:val="00215C25"/>
    <w:rsid w:val="0022051D"/>
    <w:rsid w:val="00220D31"/>
    <w:rsid w:val="00220D55"/>
    <w:rsid w:val="00221B90"/>
    <w:rsid w:val="002221A3"/>
    <w:rsid w:val="00222B4F"/>
    <w:rsid w:val="0022382E"/>
    <w:rsid w:val="00223FCC"/>
    <w:rsid w:val="0022758E"/>
    <w:rsid w:val="00227CC6"/>
    <w:rsid w:val="00227E28"/>
    <w:rsid w:val="00230F3D"/>
    <w:rsid w:val="0023194C"/>
    <w:rsid w:val="00235691"/>
    <w:rsid w:val="002516FF"/>
    <w:rsid w:val="00252D20"/>
    <w:rsid w:val="00253B99"/>
    <w:rsid w:val="002544FD"/>
    <w:rsid w:val="00260F63"/>
    <w:rsid w:val="00262B47"/>
    <w:rsid w:val="00265DA7"/>
    <w:rsid w:val="00270765"/>
    <w:rsid w:val="0027114C"/>
    <w:rsid w:val="00273038"/>
    <w:rsid w:val="002743A6"/>
    <w:rsid w:val="00275034"/>
    <w:rsid w:val="00283534"/>
    <w:rsid w:val="00284582"/>
    <w:rsid w:val="00286070"/>
    <w:rsid w:val="0028799E"/>
    <w:rsid w:val="00292AD5"/>
    <w:rsid w:val="00294A0D"/>
    <w:rsid w:val="002A0D2E"/>
    <w:rsid w:val="002A0E26"/>
    <w:rsid w:val="002A1FBE"/>
    <w:rsid w:val="002A2B1F"/>
    <w:rsid w:val="002A3350"/>
    <w:rsid w:val="002A3FD2"/>
    <w:rsid w:val="002A4CA6"/>
    <w:rsid w:val="002A68E9"/>
    <w:rsid w:val="002B324D"/>
    <w:rsid w:val="002B3F1C"/>
    <w:rsid w:val="002B7359"/>
    <w:rsid w:val="002C17E7"/>
    <w:rsid w:val="002C2A69"/>
    <w:rsid w:val="002C33BF"/>
    <w:rsid w:val="002C3976"/>
    <w:rsid w:val="002C3A2C"/>
    <w:rsid w:val="002C4DFD"/>
    <w:rsid w:val="002C62E4"/>
    <w:rsid w:val="002C7F64"/>
    <w:rsid w:val="002D0890"/>
    <w:rsid w:val="002D129A"/>
    <w:rsid w:val="002D3ED9"/>
    <w:rsid w:val="002D549A"/>
    <w:rsid w:val="002D5D20"/>
    <w:rsid w:val="002D682A"/>
    <w:rsid w:val="002D697B"/>
    <w:rsid w:val="002D72F2"/>
    <w:rsid w:val="002E16EF"/>
    <w:rsid w:val="002E20A2"/>
    <w:rsid w:val="002E2865"/>
    <w:rsid w:val="002E568A"/>
    <w:rsid w:val="002F07B1"/>
    <w:rsid w:val="002F6357"/>
    <w:rsid w:val="002F6BE3"/>
    <w:rsid w:val="002F74C2"/>
    <w:rsid w:val="002F77FB"/>
    <w:rsid w:val="003011E1"/>
    <w:rsid w:val="003064F9"/>
    <w:rsid w:val="00310922"/>
    <w:rsid w:val="00310E8E"/>
    <w:rsid w:val="00311631"/>
    <w:rsid w:val="0031362E"/>
    <w:rsid w:val="00313740"/>
    <w:rsid w:val="00314673"/>
    <w:rsid w:val="0031732B"/>
    <w:rsid w:val="00323F99"/>
    <w:rsid w:val="003248D0"/>
    <w:rsid w:val="00324C1F"/>
    <w:rsid w:val="003259D7"/>
    <w:rsid w:val="00325D26"/>
    <w:rsid w:val="00325F87"/>
    <w:rsid w:val="0033349B"/>
    <w:rsid w:val="00335313"/>
    <w:rsid w:val="0033679F"/>
    <w:rsid w:val="00337ECD"/>
    <w:rsid w:val="00341C42"/>
    <w:rsid w:val="003444B4"/>
    <w:rsid w:val="00344B11"/>
    <w:rsid w:val="00344D4E"/>
    <w:rsid w:val="00344DDB"/>
    <w:rsid w:val="003459D9"/>
    <w:rsid w:val="003513EB"/>
    <w:rsid w:val="00355EAF"/>
    <w:rsid w:val="0035669B"/>
    <w:rsid w:val="0035711F"/>
    <w:rsid w:val="00357D62"/>
    <w:rsid w:val="00360C3A"/>
    <w:rsid w:val="00362735"/>
    <w:rsid w:val="003627C8"/>
    <w:rsid w:val="003672C1"/>
    <w:rsid w:val="00371756"/>
    <w:rsid w:val="00371CF2"/>
    <w:rsid w:val="003767AA"/>
    <w:rsid w:val="003767DA"/>
    <w:rsid w:val="00382733"/>
    <w:rsid w:val="003844CF"/>
    <w:rsid w:val="003847FD"/>
    <w:rsid w:val="003865CE"/>
    <w:rsid w:val="00386C4B"/>
    <w:rsid w:val="00387465"/>
    <w:rsid w:val="003918B4"/>
    <w:rsid w:val="00391F70"/>
    <w:rsid w:val="003927DF"/>
    <w:rsid w:val="00393D9F"/>
    <w:rsid w:val="003940DC"/>
    <w:rsid w:val="003A6CA3"/>
    <w:rsid w:val="003A75D0"/>
    <w:rsid w:val="003B03F9"/>
    <w:rsid w:val="003B0828"/>
    <w:rsid w:val="003B2452"/>
    <w:rsid w:val="003B299C"/>
    <w:rsid w:val="003B38DD"/>
    <w:rsid w:val="003B5152"/>
    <w:rsid w:val="003B5B51"/>
    <w:rsid w:val="003B68E7"/>
    <w:rsid w:val="003B7FB4"/>
    <w:rsid w:val="003C0B23"/>
    <w:rsid w:val="003C2CA5"/>
    <w:rsid w:val="003C3780"/>
    <w:rsid w:val="003C47A3"/>
    <w:rsid w:val="003C4812"/>
    <w:rsid w:val="003C528B"/>
    <w:rsid w:val="003C78F4"/>
    <w:rsid w:val="003C7CBF"/>
    <w:rsid w:val="003D14A3"/>
    <w:rsid w:val="003D1A0C"/>
    <w:rsid w:val="003D374C"/>
    <w:rsid w:val="003D390F"/>
    <w:rsid w:val="003D3E0E"/>
    <w:rsid w:val="003D5E9C"/>
    <w:rsid w:val="003D6F5F"/>
    <w:rsid w:val="003E257D"/>
    <w:rsid w:val="003E428B"/>
    <w:rsid w:val="003E4ED1"/>
    <w:rsid w:val="003E59EF"/>
    <w:rsid w:val="003E5F5B"/>
    <w:rsid w:val="003F3168"/>
    <w:rsid w:val="003F3CE5"/>
    <w:rsid w:val="003F3CE7"/>
    <w:rsid w:val="003F4D04"/>
    <w:rsid w:val="003F573D"/>
    <w:rsid w:val="003F655A"/>
    <w:rsid w:val="004009F1"/>
    <w:rsid w:val="00403E71"/>
    <w:rsid w:val="00405CF5"/>
    <w:rsid w:val="00405CF9"/>
    <w:rsid w:val="00406440"/>
    <w:rsid w:val="00406D28"/>
    <w:rsid w:val="00411DE9"/>
    <w:rsid w:val="0041543F"/>
    <w:rsid w:val="00421D81"/>
    <w:rsid w:val="00422A85"/>
    <w:rsid w:val="00423962"/>
    <w:rsid w:val="00424ABD"/>
    <w:rsid w:val="00424ED4"/>
    <w:rsid w:val="004259C2"/>
    <w:rsid w:val="00425E80"/>
    <w:rsid w:val="004272E0"/>
    <w:rsid w:val="0043142D"/>
    <w:rsid w:val="00432BF7"/>
    <w:rsid w:val="00432C17"/>
    <w:rsid w:val="00435652"/>
    <w:rsid w:val="00436365"/>
    <w:rsid w:val="00436C40"/>
    <w:rsid w:val="00437FE6"/>
    <w:rsid w:val="00440809"/>
    <w:rsid w:val="00441D67"/>
    <w:rsid w:val="00442975"/>
    <w:rsid w:val="00443F76"/>
    <w:rsid w:val="004468DD"/>
    <w:rsid w:val="004502D6"/>
    <w:rsid w:val="00450FBD"/>
    <w:rsid w:val="004522CE"/>
    <w:rsid w:val="0045367A"/>
    <w:rsid w:val="00454007"/>
    <w:rsid w:val="00454BBE"/>
    <w:rsid w:val="004566C6"/>
    <w:rsid w:val="00456FF9"/>
    <w:rsid w:val="00457DE7"/>
    <w:rsid w:val="00462F95"/>
    <w:rsid w:val="00465B2D"/>
    <w:rsid w:val="00467E98"/>
    <w:rsid w:val="00472269"/>
    <w:rsid w:val="00472839"/>
    <w:rsid w:val="00474257"/>
    <w:rsid w:val="00475EF8"/>
    <w:rsid w:val="0047638B"/>
    <w:rsid w:val="00476395"/>
    <w:rsid w:val="00481E7B"/>
    <w:rsid w:val="00483058"/>
    <w:rsid w:val="004833FA"/>
    <w:rsid w:val="004847B2"/>
    <w:rsid w:val="00484BCD"/>
    <w:rsid w:val="00485FD9"/>
    <w:rsid w:val="0048686E"/>
    <w:rsid w:val="00487D6E"/>
    <w:rsid w:val="00490409"/>
    <w:rsid w:val="00491981"/>
    <w:rsid w:val="004A04A0"/>
    <w:rsid w:val="004A0A30"/>
    <w:rsid w:val="004A2DC7"/>
    <w:rsid w:val="004A420A"/>
    <w:rsid w:val="004A4B76"/>
    <w:rsid w:val="004B0333"/>
    <w:rsid w:val="004B05F7"/>
    <w:rsid w:val="004B13E8"/>
    <w:rsid w:val="004B5A02"/>
    <w:rsid w:val="004B74CC"/>
    <w:rsid w:val="004B7A73"/>
    <w:rsid w:val="004B7E26"/>
    <w:rsid w:val="004C4FD2"/>
    <w:rsid w:val="004C7294"/>
    <w:rsid w:val="004D0857"/>
    <w:rsid w:val="004D2D4E"/>
    <w:rsid w:val="004D345C"/>
    <w:rsid w:val="004D4A22"/>
    <w:rsid w:val="004D4CCB"/>
    <w:rsid w:val="004D521F"/>
    <w:rsid w:val="004D528A"/>
    <w:rsid w:val="004D614D"/>
    <w:rsid w:val="004E5356"/>
    <w:rsid w:val="004E6C57"/>
    <w:rsid w:val="004E7B1A"/>
    <w:rsid w:val="004E7DA0"/>
    <w:rsid w:val="004F1DDE"/>
    <w:rsid w:val="004F30DF"/>
    <w:rsid w:val="004F61D1"/>
    <w:rsid w:val="005027AA"/>
    <w:rsid w:val="00503ED0"/>
    <w:rsid w:val="00507A1D"/>
    <w:rsid w:val="00507C11"/>
    <w:rsid w:val="005111D2"/>
    <w:rsid w:val="005155F1"/>
    <w:rsid w:val="00515B67"/>
    <w:rsid w:val="00520256"/>
    <w:rsid w:val="0052333E"/>
    <w:rsid w:val="0052692B"/>
    <w:rsid w:val="005273BC"/>
    <w:rsid w:val="005313AB"/>
    <w:rsid w:val="00534233"/>
    <w:rsid w:val="00534726"/>
    <w:rsid w:val="00534EB0"/>
    <w:rsid w:val="00535665"/>
    <w:rsid w:val="005373DE"/>
    <w:rsid w:val="005410C8"/>
    <w:rsid w:val="00542537"/>
    <w:rsid w:val="00545B68"/>
    <w:rsid w:val="00551DDF"/>
    <w:rsid w:val="005556AE"/>
    <w:rsid w:val="00560697"/>
    <w:rsid w:val="0056166F"/>
    <w:rsid w:val="00566EDA"/>
    <w:rsid w:val="0057392B"/>
    <w:rsid w:val="005742B3"/>
    <w:rsid w:val="00574C42"/>
    <w:rsid w:val="005750B0"/>
    <w:rsid w:val="005757F3"/>
    <w:rsid w:val="00584BB1"/>
    <w:rsid w:val="005851B3"/>
    <w:rsid w:val="00590312"/>
    <w:rsid w:val="00590C22"/>
    <w:rsid w:val="00590E8B"/>
    <w:rsid w:val="00591B4E"/>
    <w:rsid w:val="005926C5"/>
    <w:rsid w:val="00595CFA"/>
    <w:rsid w:val="00597229"/>
    <w:rsid w:val="005A018D"/>
    <w:rsid w:val="005A0567"/>
    <w:rsid w:val="005A149C"/>
    <w:rsid w:val="005A3468"/>
    <w:rsid w:val="005A5A92"/>
    <w:rsid w:val="005A6E88"/>
    <w:rsid w:val="005A72FC"/>
    <w:rsid w:val="005A7F50"/>
    <w:rsid w:val="005B1D52"/>
    <w:rsid w:val="005B2ACF"/>
    <w:rsid w:val="005B4861"/>
    <w:rsid w:val="005B4F1B"/>
    <w:rsid w:val="005B5382"/>
    <w:rsid w:val="005B5B9F"/>
    <w:rsid w:val="005B64D7"/>
    <w:rsid w:val="005B6A37"/>
    <w:rsid w:val="005C2BE1"/>
    <w:rsid w:val="005C3919"/>
    <w:rsid w:val="005C4FE2"/>
    <w:rsid w:val="005C57D9"/>
    <w:rsid w:val="005C580D"/>
    <w:rsid w:val="005C5C57"/>
    <w:rsid w:val="005C6140"/>
    <w:rsid w:val="005D001F"/>
    <w:rsid w:val="005D0E99"/>
    <w:rsid w:val="005D197A"/>
    <w:rsid w:val="005D2BBC"/>
    <w:rsid w:val="005E0425"/>
    <w:rsid w:val="005E0785"/>
    <w:rsid w:val="005E0B1F"/>
    <w:rsid w:val="005E21F1"/>
    <w:rsid w:val="005E3B79"/>
    <w:rsid w:val="005E4F89"/>
    <w:rsid w:val="005E52BE"/>
    <w:rsid w:val="005E6549"/>
    <w:rsid w:val="005F5475"/>
    <w:rsid w:val="005F5AC4"/>
    <w:rsid w:val="005F5AC7"/>
    <w:rsid w:val="006026DA"/>
    <w:rsid w:val="006027C5"/>
    <w:rsid w:val="00604DA2"/>
    <w:rsid w:val="0060557D"/>
    <w:rsid w:val="006064E5"/>
    <w:rsid w:val="00607AC6"/>
    <w:rsid w:val="00611183"/>
    <w:rsid w:val="00612488"/>
    <w:rsid w:val="00612496"/>
    <w:rsid w:val="00614F8C"/>
    <w:rsid w:val="006153DE"/>
    <w:rsid w:val="006172CD"/>
    <w:rsid w:val="00621F8D"/>
    <w:rsid w:val="0062222B"/>
    <w:rsid w:val="00623AA6"/>
    <w:rsid w:val="0062438C"/>
    <w:rsid w:val="006244F7"/>
    <w:rsid w:val="00625CF0"/>
    <w:rsid w:val="00631F0F"/>
    <w:rsid w:val="00631FDE"/>
    <w:rsid w:val="0063494B"/>
    <w:rsid w:val="00635952"/>
    <w:rsid w:val="00637B35"/>
    <w:rsid w:val="00637BAB"/>
    <w:rsid w:val="00641F60"/>
    <w:rsid w:val="00643782"/>
    <w:rsid w:val="006446AC"/>
    <w:rsid w:val="006458A5"/>
    <w:rsid w:val="00647812"/>
    <w:rsid w:val="00650047"/>
    <w:rsid w:val="006515BD"/>
    <w:rsid w:val="00651B6C"/>
    <w:rsid w:val="006558EA"/>
    <w:rsid w:val="00660108"/>
    <w:rsid w:val="00661F4D"/>
    <w:rsid w:val="00663288"/>
    <w:rsid w:val="00663509"/>
    <w:rsid w:val="006639CF"/>
    <w:rsid w:val="00663EE5"/>
    <w:rsid w:val="00665F73"/>
    <w:rsid w:val="00666717"/>
    <w:rsid w:val="006672EF"/>
    <w:rsid w:val="00667CF1"/>
    <w:rsid w:val="00670707"/>
    <w:rsid w:val="00680B64"/>
    <w:rsid w:val="00682FAE"/>
    <w:rsid w:val="00685368"/>
    <w:rsid w:val="00687A9B"/>
    <w:rsid w:val="00692092"/>
    <w:rsid w:val="00694307"/>
    <w:rsid w:val="006946AB"/>
    <w:rsid w:val="00694FC7"/>
    <w:rsid w:val="006952F1"/>
    <w:rsid w:val="00696395"/>
    <w:rsid w:val="00697145"/>
    <w:rsid w:val="00697650"/>
    <w:rsid w:val="006A13CF"/>
    <w:rsid w:val="006A1987"/>
    <w:rsid w:val="006A1B66"/>
    <w:rsid w:val="006A200D"/>
    <w:rsid w:val="006A290A"/>
    <w:rsid w:val="006A3AF2"/>
    <w:rsid w:val="006A584D"/>
    <w:rsid w:val="006A6679"/>
    <w:rsid w:val="006A7ABF"/>
    <w:rsid w:val="006B1E9A"/>
    <w:rsid w:val="006B4702"/>
    <w:rsid w:val="006C0B96"/>
    <w:rsid w:val="006C12A3"/>
    <w:rsid w:val="006C1B73"/>
    <w:rsid w:val="006C3092"/>
    <w:rsid w:val="006C3C92"/>
    <w:rsid w:val="006C43CA"/>
    <w:rsid w:val="006C4626"/>
    <w:rsid w:val="006C64E3"/>
    <w:rsid w:val="006D017D"/>
    <w:rsid w:val="006D24AA"/>
    <w:rsid w:val="006D360E"/>
    <w:rsid w:val="006D3742"/>
    <w:rsid w:val="006D3C34"/>
    <w:rsid w:val="006D4867"/>
    <w:rsid w:val="006D4B10"/>
    <w:rsid w:val="006D4BEB"/>
    <w:rsid w:val="006D6A5D"/>
    <w:rsid w:val="006D7006"/>
    <w:rsid w:val="006D7353"/>
    <w:rsid w:val="006E1C18"/>
    <w:rsid w:val="006E1E10"/>
    <w:rsid w:val="006E2436"/>
    <w:rsid w:val="006E2A21"/>
    <w:rsid w:val="006F087C"/>
    <w:rsid w:val="006F16C2"/>
    <w:rsid w:val="006F24FB"/>
    <w:rsid w:val="006F2918"/>
    <w:rsid w:val="006F4FDA"/>
    <w:rsid w:val="006F4FF9"/>
    <w:rsid w:val="006F51D0"/>
    <w:rsid w:val="00702396"/>
    <w:rsid w:val="007028EB"/>
    <w:rsid w:val="00707666"/>
    <w:rsid w:val="00707A87"/>
    <w:rsid w:val="007105DC"/>
    <w:rsid w:val="00712740"/>
    <w:rsid w:val="00712995"/>
    <w:rsid w:val="00714597"/>
    <w:rsid w:val="00714A2D"/>
    <w:rsid w:val="00715FC4"/>
    <w:rsid w:val="0071650B"/>
    <w:rsid w:val="00716824"/>
    <w:rsid w:val="00723A9E"/>
    <w:rsid w:val="007244F6"/>
    <w:rsid w:val="00726491"/>
    <w:rsid w:val="00726C5D"/>
    <w:rsid w:val="00733737"/>
    <w:rsid w:val="00735436"/>
    <w:rsid w:val="00736F77"/>
    <w:rsid w:val="00737C80"/>
    <w:rsid w:val="00741197"/>
    <w:rsid w:val="007417CF"/>
    <w:rsid w:val="007512FD"/>
    <w:rsid w:val="00752A0A"/>
    <w:rsid w:val="00753C11"/>
    <w:rsid w:val="0075405D"/>
    <w:rsid w:val="00754077"/>
    <w:rsid w:val="00754985"/>
    <w:rsid w:val="00754BC0"/>
    <w:rsid w:val="00756A3D"/>
    <w:rsid w:val="00757452"/>
    <w:rsid w:val="007600F4"/>
    <w:rsid w:val="007605B7"/>
    <w:rsid w:val="0076633A"/>
    <w:rsid w:val="00772992"/>
    <w:rsid w:val="00777B46"/>
    <w:rsid w:val="00777BFF"/>
    <w:rsid w:val="00777EFC"/>
    <w:rsid w:val="00786CB3"/>
    <w:rsid w:val="00792DAA"/>
    <w:rsid w:val="00794E0C"/>
    <w:rsid w:val="00796EF3"/>
    <w:rsid w:val="007A014E"/>
    <w:rsid w:val="007A5704"/>
    <w:rsid w:val="007A76F4"/>
    <w:rsid w:val="007B0B37"/>
    <w:rsid w:val="007B0FDD"/>
    <w:rsid w:val="007B22F4"/>
    <w:rsid w:val="007B255E"/>
    <w:rsid w:val="007B43B5"/>
    <w:rsid w:val="007B4604"/>
    <w:rsid w:val="007B7699"/>
    <w:rsid w:val="007C3683"/>
    <w:rsid w:val="007C3C26"/>
    <w:rsid w:val="007C458F"/>
    <w:rsid w:val="007C7391"/>
    <w:rsid w:val="007C74AD"/>
    <w:rsid w:val="007D0D81"/>
    <w:rsid w:val="007D39C5"/>
    <w:rsid w:val="007D39FD"/>
    <w:rsid w:val="007D4C31"/>
    <w:rsid w:val="007D67B8"/>
    <w:rsid w:val="007D6E75"/>
    <w:rsid w:val="007E2946"/>
    <w:rsid w:val="007E5B8F"/>
    <w:rsid w:val="007E5C16"/>
    <w:rsid w:val="007E688D"/>
    <w:rsid w:val="007E72EC"/>
    <w:rsid w:val="007E73ED"/>
    <w:rsid w:val="007E785B"/>
    <w:rsid w:val="007F1711"/>
    <w:rsid w:val="007F3C76"/>
    <w:rsid w:val="007F4938"/>
    <w:rsid w:val="007F7620"/>
    <w:rsid w:val="007F7EC5"/>
    <w:rsid w:val="00802400"/>
    <w:rsid w:val="00802598"/>
    <w:rsid w:val="00803247"/>
    <w:rsid w:val="00804226"/>
    <w:rsid w:val="00804B02"/>
    <w:rsid w:val="008111D2"/>
    <w:rsid w:val="00814400"/>
    <w:rsid w:val="00814ACB"/>
    <w:rsid w:val="00814FF0"/>
    <w:rsid w:val="00815DFA"/>
    <w:rsid w:val="008177DE"/>
    <w:rsid w:val="0082047B"/>
    <w:rsid w:val="00820E43"/>
    <w:rsid w:val="00822582"/>
    <w:rsid w:val="00827F0A"/>
    <w:rsid w:val="008325D0"/>
    <w:rsid w:val="008366CF"/>
    <w:rsid w:val="00836E8F"/>
    <w:rsid w:val="008379E3"/>
    <w:rsid w:val="008408DB"/>
    <w:rsid w:val="0084192B"/>
    <w:rsid w:val="00844D65"/>
    <w:rsid w:val="008463F4"/>
    <w:rsid w:val="00846B8F"/>
    <w:rsid w:val="00846F80"/>
    <w:rsid w:val="00850D26"/>
    <w:rsid w:val="00850D75"/>
    <w:rsid w:val="008528D3"/>
    <w:rsid w:val="008529BF"/>
    <w:rsid w:val="0085404A"/>
    <w:rsid w:val="00854309"/>
    <w:rsid w:val="00855E3B"/>
    <w:rsid w:val="00856AFD"/>
    <w:rsid w:val="008606C2"/>
    <w:rsid w:val="00864B8A"/>
    <w:rsid w:val="00867343"/>
    <w:rsid w:val="008721C1"/>
    <w:rsid w:val="00873459"/>
    <w:rsid w:val="00875352"/>
    <w:rsid w:val="00875CAE"/>
    <w:rsid w:val="00875D3F"/>
    <w:rsid w:val="008800D7"/>
    <w:rsid w:val="00880774"/>
    <w:rsid w:val="00880BC5"/>
    <w:rsid w:val="0088476C"/>
    <w:rsid w:val="0088756F"/>
    <w:rsid w:val="008910E3"/>
    <w:rsid w:val="0089164A"/>
    <w:rsid w:val="008924BC"/>
    <w:rsid w:val="00892724"/>
    <w:rsid w:val="00892B25"/>
    <w:rsid w:val="008A27CB"/>
    <w:rsid w:val="008B248F"/>
    <w:rsid w:val="008B2C95"/>
    <w:rsid w:val="008B3BE6"/>
    <w:rsid w:val="008B6835"/>
    <w:rsid w:val="008B73D2"/>
    <w:rsid w:val="008C0950"/>
    <w:rsid w:val="008C11BC"/>
    <w:rsid w:val="008D2A22"/>
    <w:rsid w:val="008D4082"/>
    <w:rsid w:val="008D4975"/>
    <w:rsid w:val="008D4EB3"/>
    <w:rsid w:val="008D52D1"/>
    <w:rsid w:val="008D6E16"/>
    <w:rsid w:val="008E06FE"/>
    <w:rsid w:val="008E0BF5"/>
    <w:rsid w:val="008E4617"/>
    <w:rsid w:val="008E6143"/>
    <w:rsid w:val="008F08FD"/>
    <w:rsid w:val="008F2AED"/>
    <w:rsid w:val="008F31BE"/>
    <w:rsid w:val="008F5E1B"/>
    <w:rsid w:val="008F5E28"/>
    <w:rsid w:val="008F5FF4"/>
    <w:rsid w:val="008F6D39"/>
    <w:rsid w:val="008F7C09"/>
    <w:rsid w:val="009004E1"/>
    <w:rsid w:val="00901B45"/>
    <w:rsid w:val="009047C0"/>
    <w:rsid w:val="00904ABB"/>
    <w:rsid w:val="00906782"/>
    <w:rsid w:val="009073C6"/>
    <w:rsid w:val="0090766C"/>
    <w:rsid w:val="00911EAB"/>
    <w:rsid w:val="009160CB"/>
    <w:rsid w:val="00916ACC"/>
    <w:rsid w:val="00917FD0"/>
    <w:rsid w:val="00921262"/>
    <w:rsid w:val="00921518"/>
    <w:rsid w:val="00921608"/>
    <w:rsid w:val="009217D6"/>
    <w:rsid w:val="00921AB7"/>
    <w:rsid w:val="0092380B"/>
    <w:rsid w:val="009240DA"/>
    <w:rsid w:val="0092430E"/>
    <w:rsid w:val="00927BB1"/>
    <w:rsid w:val="00927BE3"/>
    <w:rsid w:val="0093224D"/>
    <w:rsid w:val="009333CB"/>
    <w:rsid w:val="009354C2"/>
    <w:rsid w:val="00935DCA"/>
    <w:rsid w:val="009378C1"/>
    <w:rsid w:val="0094112C"/>
    <w:rsid w:val="009414AD"/>
    <w:rsid w:val="009472B4"/>
    <w:rsid w:val="00950B92"/>
    <w:rsid w:val="0095297C"/>
    <w:rsid w:val="00954934"/>
    <w:rsid w:val="009558F4"/>
    <w:rsid w:val="00960481"/>
    <w:rsid w:val="00963F03"/>
    <w:rsid w:val="00966155"/>
    <w:rsid w:val="00970D1A"/>
    <w:rsid w:val="009727F8"/>
    <w:rsid w:val="0097398E"/>
    <w:rsid w:val="00976353"/>
    <w:rsid w:val="00977516"/>
    <w:rsid w:val="00986189"/>
    <w:rsid w:val="0098626A"/>
    <w:rsid w:val="009903AB"/>
    <w:rsid w:val="00993A91"/>
    <w:rsid w:val="00994F98"/>
    <w:rsid w:val="009968BB"/>
    <w:rsid w:val="009969D4"/>
    <w:rsid w:val="009A0C35"/>
    <w:rsid w:val="009A3029"/>
    <w:rsid w:val="009A31CA"/>
    <w:rsid w:val="009A3D84"/>
    <w:rsid w:val="009A4B47"/>
    <w:rsid w:val="009A7609"/>
    <w:rsid w:val="009B19E8"/>
    <w:rsid w:val="009B32D5"/>
    <w:rsid w:val="009B4F3A"/>
    <w:rsid w:val="009B6B42"/>
    <w:rsid w:val="009C15AE"/>
    <w:rsid w:val="009C239A"/>
    <w:rsid w:val="009C292F"/>
    <w:rsid w:val="009C2C6E"/>
    <w:rsid w:val="009C2EFB"/>
    <w:rsid w:val="009C2F36"/>
    <w:rsid w:val="009C39F2"/>
    <w:rsid w:val="009C62D1"/>
    <w:rsid w:val="009C6359"/>
    <w:rsid w:val="009D1A53"/>
    <w:rsid w:val="009E1BC7"/>
    <w:rsid w:val="009E3403"/>
    <w:rsid w:val="009E3FAC"/>
    <w:rsid w:val="009E422B"/>
    <w:rsid w:val="009E4BCA"/>
    <w:rsid w:val="009F0256"/>
    <w:rsid w:val="009F1DAC"/>
    <w:rsid w:val="009F1F61"/>
    <w:rsid w:val="009F3B94"/>
    <w:rsid w:val="009F44BD"/>
    <w:rsid w:val="009F49FC"/>
    <w:rsid w:val="009F5C4B"/>
    <w:rsid w:val="00A02CD6"/>
    <w:rsid w:val="00A0361F"/>
    <w:rsid w:val="00A045F2"/>
    <w:rsid w:val="00A04F7E"/>
    <w:rsid w:val="00A05AF6"/>
    <w:rsid w:val="00A07819"/>
    <w:rsid w:val="00A10F75"/>
    <w:rsid w:val="00A12183"/>
    <w:rsid w:val="00A12A80"/>
    <w:rsid w:val="00A13797"/>
    <w:rsid w:val="00A138F7"/>
    <w:rsid w:val="00A13E0E"/>
    <w:rsid w:val="00A15460"/>
    <w:rsid w:val="00A2132C"/>
    <w:rsid w:val="00A2154C"/>
    <w:rsid w:val="00A23A01"/>
    <w:rsid w:val="00A2678D"/>
    <w:rsid w:val="00A278B1"/>
    <w:rsid w:val="00A27F7B"/>
    <w:rsid w:val="00A3035A"/>
    <w:rsid w:val="00A34954"/>
    <w:rsid w:val="00A356D4"/>
    <w:rsid w:val="00A35716"/>
    <w:rsid w:val="00A3663B"/>
    <w:rsid w:val="00A409B8"/>
    <w:rsid w:val="00A4283B"/>
    <w:rsid w:val="00A42EF4"/>
    <w:rsid w:val="00A445B8"/>
    <w:rsid w:val="00A46E37"/>
    <w:rsid w:val="00A548CA"/>
    <w:rsid w:val="00A551BC"/>
    <w:rsid w:val="00A6078E"/>
    <w:rsid w:val="00A64CD1"/>
    <w:rsid w:val="00A65452"/>
    <w:rsid w:val="00A6747A"/>
    <w:rsid w:val="00A6749D"/>
    <w:rsid w:val="00A67602"/>
    <w:rsid w:val="00A70F2B"/>
    <w:rsid w:val="00A718B4"/>
    <w:rsid w:val="00A71A0C"/>
    <w:rsid w:val="00A73BC8"/>
    <w:rsid w:val="00A742F4"/>
    <w:rsid w:val="00A760B7"/>
    <w:rsid w:val="00A771F4"/>
    <w:rsid w:val="00A772C0"/>
    <w:rsid w:val="00A8062F"/>
    <w:rsid w:val="00A83A42"/>
    <w:rsid w:val="00A85109"/>
    <w:rsid w:val="00A85B29"/>
    <w:rsid w:val="00A90245"/>
    <w:rsid w:val="00A91007"/>
    <w:rsid w:val="00A92C7E"/>
    <w:rsid w:val="00A93EA7"/>
    <w:rsid w:val="00A9704C"/>
    <w:rsid w:val="00AA10A1"/>
    <w:rsid w:val="00AA1107"/>
    <w:rsid w:val="00AA37EC"/>
    <w:rsid w:val="00AA46DE"/>
    <w:rsid w:val="00AA495B"/>
    <w:rsid w:val="00AB01BC"/>
    <w:rsid w:val="00AB0285"/>
    <w:rsid w:val="00AB1116"/>
    <w:rsid w:val="00AB2888"/>
    <w:rsid w:val="00AB5366"/>
    <w:rsid w:val="00AB6185"/>
    <w:rsid w:val="00AC1AB9"/>
    <w:rsid w:val="00AC47F0"/>
    <w:rsid w:val="00AD183B"/>
    <w:rsid w:val="00AE1BD8"/>
    <w:rsid w:val="00AE235B"/>
    <w:rsid w:val="00AE24CA"/>
    <w:rsid w:val="00AE4F4B"/>
    <w:rsid w:val="00AE4F5B"/>
    <w:rsid w:val="00AF0EB9"/>
    <w:rsid w:val="00B000F8"/>
    <w:rsid w:val="00B00A5B"/>
    <w:rsid w:val="00B00BC6"/>
    <w:rsid w:val="00B06EA8"/>
    <w:rsid w:val="00B1443D"/>
    <w:rsid w:val="00B144CB"/>
    <w:rsid w:val="00B151B4"/>
    <w:rsid w:val="00B20438"/>
    <w:rsid w:val="00B2287F"/>
    <w:rsid w:val="00B22DC8"/>
    <w:rsid w:val="00B22E2D"/>
    <w:rsid w:val="00B30430"/>
    <w:rsid w:val="00B31715"/>
    <w:rsid w:val="00B32E2A"/>
    <w:rsid w:val="00B34D07"/>
    <w:rsid w:val="00B378DB"/>
    <w:rsid w:val="00B40AA0"/>
    <w:rsid w:val="00B42174"/>
    <w:rsid w:val="00B43BBD"/>
    <w:rsid w:val="00B43E71"/>
    <w:rsid w:val="00B45B81"/>
    <w:rsid w:val="00B469A3"/>
    <w:rsid w:val="00B46E67"/>
    <w:rsid w:val="00B51646"/>
    <w:rsid w:val="00B529B9"/>
    <w:rsid w:val="00B532F3"/>
    <w:rsid w:val="00B53477"/>
    <w:rsid w:val="00B53C9E"/>
    <w:rsid w:val="00B54634"/>
    <w:rsid w:val="00B5668C"/>
    <w:rsid w:val="00B56D33"/>
    <w:rsid w:val="00B5736F"/>
    <w:rsid w:val="00B607D8"/>
    <w:rsid w:val="00B66512"/>
    <w:rsid w:val="00B666BC"/>
    <w:rsid w:val="00B6730C"/>
    <w:rsid w:val="00B70582"/>
    <w:rsid w:val="00B71923"/>
    <w:rsid w:val="00B76CC9"/>
    <w:rsid w:val="00B80253"/>
    <w:rsid w:val="00B80CBA"/>
    <w:rsid w:val="00B82377"/>
    <w:rsid w:val="00B85A7B"/>
    <w:rsid w:val="00B865AF"/>
    <w:rsid w:val="00B8682E"/>
    <w:rsid w:val="00B86AAB"/>
    <w:rsid w:val="00B87957"/>
    <w:rsid w:val="00B91242"/>
    <w:rsid w:val="00B95670"/>
    <w:rsid w:val="00B9719C"/>
    <w:rsid w:val="00BA0E4E"/>
    <w:rsid w:val="00BA14B9"/>
    <w:rsid w:val="00BA3121"/>
    <w:rsid w:val="00BA35B2"/>
    <w:rsid w:val="00BA3ECB"/>
    <w:rsid w:val="00BA610D"/>
    <w:rsid w:val="00BA7680"/>
    <w:rsid w:val="00BB0760"/>
    <w:rsid w:val="00BB109D"/>
    <w:rsid w:val="00BB19C1"/>
    <w:rsid w:val="00BB1BB1"/>
    <w:rsid w:val="00BB1CC7"/>
    <w:rsid w:val="00BB3522"/>
    <w:rsid w:val="00BB6559"/>
    <w:rsid w:val="00BB67A8"/>
    <w:rsid w:val="00BB6AEF"/>
    <w:rsid w:val="00BB6BC5"/>
    <w:rsid w:val="00BB79A8"/>
    <w:rsid w:val="00BC188F"/>
    <w:rsid w:val="00BC1A74"/>
    <w:rsid w:val="00BC40CE"/>
    <w:rsid w:val="00BD0065"/>
    <w:rsid w:val="00BD02EB"/>
    <w:rsid w:val="00BD1124"/>
    <w:rsid w:val="00BD1E9D"/>
    <w:rsid w:val="00BD2595"/>
    <w:rsid w:val="00BD32FA"/>
    <w:rsid w:val="00BD7D3A"/>
    <w:rsid w:val="00BE0BC4"/>
    <w:rsid w:val="00BE117F"/>
    <w:rsid w:val="00BE2D56"/>
    <w:rsid w:val="00BE51D8"/>
    <w:rsid w:val="00BE6E2E"/>
    <w:rsid w:val="00BF1C57"/>
    <w:rsid w:val="00BF1D4B"/>
    <w:rsid w:val="00BF60BE"/>
    <w:rsid w:val="00BF76F7"/>
    <w:rsid w:val="00C0172F"/>
    <w:rsid w:val="00C03C6D"/>
    <w:rsid w:val="00C03D62"/>
    <w:rsid w:val="00C0488A"/>
    <w:rsid w:val="00C0564A"/>
    <w:rsid w:val="00C0692E"/>
    <w:rsid w:val="00C20B45"/>
    <w:rsid w:val="00C2142E"/>
    <w:rsid w:val="00C242C3"/>
    <w:rsid w:val="00C325E1"/>
    <w:rsid w:val="00C3485F"/>
    <w:rsid w:val="00C44E39"/>
    <w:rsid w:val="00C46B1C"/>
    <w:rsid w:val="00C47A7D"/>
    <w:rsid w:val="00C50E0E"/>
    <w:rsid w:val="00C52E3D"/>
    <w:rsid w:val="00C63B57"/>
    <w:rsid w:val="00C65564"/>
    <w:rsid w:val="00C66D7A"/>
    <w:rsid w:val="00C704EA"/>
    <w:rsid w:val="00C70CFF"/>
    <w:rsid w:val="00C71A75"/>
    <w:rsid w:val="00C73885"/>
    <w:rsid w:val="00C7631F"/>
    <w:rsid w:val="00C77262"/>
    <w:rsid w:val="00C80713"/>
    <w:rsid w:val="00C8105A"/>
    <w:rsid w:val="00C81071"/>
    <w:rsid w:val="00C8355D"/>
    <w:rsid w:val="00C84FD4"/>
    <w:rsid w:val="00C8592B"/>
    <w:rsid w:val="00C85C81"/>
    <w:rsid w:val="00C866C4"/>
    <w:rsid w:val="00C903C4"/>
    <w:rsid w:val="00C94C5E"/>
    <w:rsid w:val="00C96CB9"/>
    <w:rsid w:val="00CA1801"/>
    <w:rsid w:val="00CA1F5C"/>
    <w:rsid w:val="00CA414B"/>
    <w:rsid w:val="00CA5C2F"/>
    <w:rsid w:val="00CA65E1"/>
    <w:rsid w:val="00CA68C2"/>
    <w:rsid w:val="00CA6AEA"/>
    <w:rsid w:val="00CB1C45"/>
    <w:rsid w:val="00CB241F"/>
    <w:rsid w:val="00CB58E7"/>
    <w:rsid w:val="00CB646D"/>
    <w:rsid w:val="00CB7DDC"/>
    <w:rsid w:val="00CC0C59"/>
    <w:rsid w:val="00CC0E51"/>
    <w:rsid w:val="00CC2F0D"/>
    <w:rsid w:val="00CC5EED"/>
    <w:rsid w:val="00CD22D7"/>
    <w:rsid w:val="00CD2AA4"/>
    <w:rsid w:val="00CD47ED"/>
    <w:rsid w:val="00CD6891"/>
    <w:rsid w:val="00CD71C1"/>
    <w:rsid w:val="00CD7F74"/>
    <w:rsid w:val="00CE787E"/>
    <w:rsid w:val="00CE7C0B"/>
    <w:rsid w:val="00CF4335"/>
    <w:rsid w:val="00CF494F"/>
    <w:rsid w:val="00CF62F9"/>
    <w:rsid w:val="00CF6C1D"/>
    <w:rsid w:val="00D013CD"/>
    <w:rsid w:val="00D02857"/>
    <w:rsid w:val="00D12225"/>
    <w:rsid w:val="00D12A26"/>
    <w:rsid w:val="00D12ABB"/>
    <w:rsid w:val="00D12AEE"/>
    <w:rsid w:val="00D1439E"/>
    <w:rsid w:val="00D15962"/>
    <w:rsid w:val="00D201ED"/>
    <w:rsid w:val="00D215B4"/>
    <w:rsid w:val="00D2212F"/>
    <w:rsid w:val="00D22593"/>
    <w:rsid w:val="00D2500E"/>
    <w:rsid w:val="00D31AF8"/>
    <w:rsid w:val="00D324D8"/>
    <w:rsid w:val="00D358CE"/>
    <w:rsid w:val="00D37480"/>
    <w:rsid w:val="00D4002B"/>
    <w:rsid w:val="00D41767"/>
    <w:rsid w:val="00D42E31"/>
    <w:rsid w:val="00D463DC"/>
    <w:rsid w:val="00D46C38"/>
    <w:rsid w:val="00D4736A"/>
    <w:rsid w:val="00D50434"/>
    <w:rsid w:val="00D51371"/>
    <w:rsid w:val="00D53D14"/>
    <w:rsid w:val="00D54419"/>
    <w:rsid w:val="00D56C59"/>
    <w:rsid w:val="00D57BFE"/>
    <w:rsid w:val="00D61183"/>
    <w:rsid w:val="00D6777B"/>
    <w:rsid w:val="00D704F5"/>
    <w:rsid w:val="00D74158"/>
    <w:rsid w:val="00D811C1"/>
    <w:rsid w:val="00D82C21"/>
    <w:rsid w:val="00D8648D"/>
    <w:rsid w:val="00D87E83"/>
    <w:rsid w:val="00D91161"/>
    <w:rsid w:val="00DA31AF"/>
    <w:rsid w:val="00DA419D"/>
    <w:rsid w:val="00DA4A30"/>
    <w:rsid w:val="00DA5C73"/>
    <w:rsid w:val="00DB4077"/>
    <w:rsid w:val="00DB54AB"/>
    <w:rsid w:val="00DB7215"/>
    <w:rsid w:val="00DC0431"/>
    <w:rsid w:val="00DC1A81"/>
    <w:rsid w:val="00DC3020"/>
    <w:rsid w:val="00DC6D2A"/>
    <w:rsid w:val="00DD794C"/>
    <w:rsid w:val="00DE1DFF"/>
    <w:rsid w:val="00DE2D44"/>
    <w:rsid w:val="00DE6E47"/>
    <w:rsid w:val="00DF0890"/>
    <w:rsid w:val="00DF098E"/>
    <w:rsid w:val="00DF14A0"/>
    <w:rsid w:val="00DF646A"/>
    <w:rsid w:val="00DF78D5"/>
    <w:rsid w:val="00E016CC"/>
    <w:rsid w:val="00E017CE"/>
    <w:rsid w:val="00E02680"/>
    <w:rsid w:val="00E0310E"/>
    <w:rsid w:val="00E06360"/>
    <w:rsid w:val="00E071E1"/>
    <w:rsid w:val="00E07860"/>
    <w:rsid w:val="00E12201"/>
    <w:rsid w:val="00E134EC"/>
    <w:rsid w:val="00E1369E"/>
    <w:rsid w:val="00E236CD"/>
    <w:rsid w:val="00E23F27"/>
    <w:rsid w:val="00E265ED"/>
    <w:rsid w:val="00E26F1C"/>
    <w:rsid w:val="00E30C39"/>
    <w:rsid w:val="00E32ECF"/>
    <w:rsid w:val="00E342EA"/>
    <w:rsid w:val="00E34602"/>
    <w:rsid w:val="00E3682E"/>
    <w:rsid w:val="00E4039D"/>
    <w:rsid w:val="00E41E72"/>
    <w:rsid w:val="00E41EF9"/>
    <w:rsid w:val="00E43AA8"/>
    <w:rsid w:val="00E44703"/>
    <w:rsid w:val="00E44CFE"/>
    <w:rsid w:val="00E53B53"/>
    <w:rsid w:val="00E53D51"/>
    <w:rsid w:val="00E54FE9"/>
    <w:rsid w:val="00E5517D"/>
    <w:rsid w:val="00E60D81"/>
    <w:rsid w:val="00E6250E"/>
    <w:rsid w:val="00E64716"/>
    <w:rsid w:val="00E65ED9"/>
    <w:rsid w:val="00E6764A"/>
    <w:rsid w:val="00E716CC"/>
    <w:rsid w:val="00E72C6F"/>
    <w:rsid w:val="00E7522B"/>
    <w:rsid w:val="00E77B33"/>
    <w:rsid w:val="00E80247"/>
    <w:rsid w:val="00E81F48"/>
    <w:rsid w:val="00E831F7"/>
    <w:rsid w:val="00E83C3E"/>
    <w:rsid w:val="00E90E59"/>
    <w:rsid w:val="00E92573"/>
    <w:rsid w:val="00E93F3F"/>
    <w:rsid w:val="00E93FBA"/>
    <w:rsid w:val="00E94A5B"/>
    <w:rsid w:val="00E97E5B"/>
    <w:rsid w:val="00EA4AB1"/>
    <w:rsid w:val="00EB1115"/>
    <w:rsid w:val="00EB1143"/>
    <w:rsid w:val="00EB59C6"/>
    <w:rsid w:val="00EB7FBA"/>
    <w:rsid w:val="00EC0BE9"/>
    <w:rsid w:val="00EC24DC"/>
    <w:rsid w:val="00EC3C86"/>
    <w:rsid w:val="00EC451C"/>
    <w:rsid w:val="00EC7578"/>
    <w:rsid w:val="00EC796D"/>
    <w:rsid w:val="00ED41BB"/>
    <w:rsid w:val="00ED51CF"/>
    <w:rsid w:val="00EE11B4"/>
    <w:rsid w:val="00EE1AD1"/>
    <w:rsid w:val="00EE4256"/>
    <w:rsid w:val="00EE58CD"/>
    <w:rsid w:val="00EE5F43"/>
    <w:rsid w:val="00EE7851"/>
    <w:rsid w:val="00EF34E9"/>
    <w:rsid w:val="00EF3873"/>
    <w:rsid w:val="00EF3A74"/>
    <w:rsid w:val="00EF44CF"/>
    <w:rsid w:val="00EF4D5F"/>
    <w:rsid w:val="00F009F1"/>
    <w:rsid w:val="00F01D40"/>
    <w:rsid w:val="00F02098"/>
    <w:rsid w:val="00F025AC"/>
    <w:rsid w:val="00F04F6D"/>
    <w:rsid w:val="00F07F04"/>
    <w:rsid w:val="00F12C36"/>
    <w:rsid w:val="00F130D0"/>
    <w:rsid w:val="00F17481"/>
    <w:rsid w:val="00F20EE7"/>
    <w:rsid w:val="00F2212E"/>
    <w:rsid w:val="00F24CE8"/>
    <w:rsid w:val="00F24D0F"/>
    <w:rsid w:val="00F26D0D"/>
    <w:rsid w:val="00F303E4"/>
    <w:rsid w:val="00F34393"/>
    <w:rsid w:val="00F36BDB"/>
    <w:rsid w:val="00F42E2A"/>
    <w:rsid w:val="00F451B7"/>
    <w:rsid w:val="00F464EE"/>
    <w:rsid w:val="00F53E06"/>
    <w:rsid w:val="00F54374"/>
    <w:rsid w:val="00F56BF9"/>
    <w:rsid w:val="00F63705"/>
    <w:rsid w:val="00F65437"/>
    <w:rsid w:val="00F679ED"/>
    <w:rsid w:val="00F72DE4"/>
    <w:rsid w:val="00F72E6A"/>
    <w:rsid w:val="00F74076"/>
    <w:rsid w:val="00F7439B"/>
    <w:rsid w:val="00F77570"/>
    <w:rsid w:val="00F82BC4"/>
    <w:rsid w:val="00F85CCE"/>
    <w:rsid w:val="00F87359"/>
    <w:rsid w:val="00F91233"/>
    <w:rsid w:val="00F9295B"/>
    <w:rsid w:val="00F92F05"/>
    <w:rsid w:val="00F97C05"/>
    <w:rsid w:val="00FA0A35"/>
    <w:rsid w:val="00FA26EA"/>
    <w:rsid w:val="00FA2A71"/>
    <w:rsid w:val="00FB0571"/>
    <w:rsid w:val="00FB0945"/>
    <w:rsid w:val="00FB1238"/>
    <w:rsid w:val="00FB17C9"/>
    <w:rsid w:val="00FB2846"/>
    <w:rsid w:val="00FB28C3"/>
    <w:rsid w:val="00FB3D21"/>
    <w:rsid w:val="00FC4AC5"/>
    <w:rsid w:val="00FC5417"/>
    <w:rsid w:val="00FC585C"/>
    <w:rsid w:val="00FD22A3"/>
    <w:rsid w:val="00FE1749"/>
    <w:rsid w:val="00FE4F27"/>
    <w:rsid w:val="00FE644A"/>
    <w:rsid w:val="00FF0D41"/>
    <w:rsid w:val="00FF1DF7"/>
    <w:rsid w:val="00FF3C15"/>
    <w:rsid w:val="058C7367"/>
    <w:rsid w:val="0E9FB4DC"/>
    <w:rsid w:val="221B0E62"/>
    <w:rsid w:val="25423E96"/>
    <w:rsid w:val="2868D657"/>
    <w:rsid w:val="2FF2E403"/>
    <w:rsid w:val="34724E6F"/>
    <w:rsid w:val="3B6B182F"/>
    <w:rsid w:val="4157F4B4"/>
    <w:rsid w:val="41C38F36"/>
    <w:rsid w:val="6E77F636"/>
    <w:rsid w:val="742CF25B"/>
    <w:rsid w:val="7ABD7B98"/>
    <w:rsid w:val="7C6E82DF"/>
    <w:rsid w:val="7F95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449"/>
  <w15:docId w15:val="{2B1EE645-A095-44C6-8053-A239DC0F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aliases w:val="Char18"/>
    <w:basedOn w:val="Normal"/>
    <w:link w:val="FootnoteTextChar"/>
    <w:uiPriority w:val="99"/>
    <w:unhideWhenUsed/>
    <w:qFormat/>
    <w:rsid w:val="00F54374"/>
    <w:pPr>
      <w:spacing w:after="0" w:line="240" w:lineRule="auto"/>
    </w:pPr>
    <w:rPr>
      <w:rFonts w:asciiTheme="minorHAnsi" w:hAnsiTheme="minorHAnsi"/>
      <w:sz w:val="20"/>
      <w:szCs w:val="20"/>
    </w:rPr>
  </w:style>
  <w:style w:type="character" w:customStyle="1" w:styleId="FootnoteTextChar">
    <w:name w:val="Footnote Text Char"/>
    <w:aliases w:val="Char18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 w:type="paragraph" w:styleId="PlainText">
    <w:name w:val="Plain Text"/>
    <w:basedOn w:val="Normal"/>
    <w:link w:val="PlainTextChar"/>
    <w:uiPriority w:val="99"/>
    <w:unhideWhenUsed/>
    <w:rsid w:val="00CD2AA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CD2A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284773248">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86BD667422D0544B6F94B86251EB463" ma:contentTypeVersion="36" ma:contentTypeDescription="Create a new document." ma:contentTypeScope="" ma:versionID="5b5a30e81920fd9e9bcf5952f395128b">
  <xsd:schema xmlns:xsd="http://www.w3.org/2001/XMLSchema" xmlns:xs="http://www.w3.org/2001/XMLSchema" xmlns:p="http://schemas.microsoft.com/office/2006/metadata/properties" xmlns:ns2="b3cee9db-bc69-4511-ae25-55dffccd7c29" xmlns:ns3="http://schemas.microsoft.com/sharepoint/v3/fields" xmlns:ns4="8841fce2-954a-4291-8f22-7fe20897870b" xmlns:ns5="144ea41b-304c-4c03-99c4-debb02094f92" targetNamespace="http://schemas.microsoft.com/office/2006/metadata/properties" ma:root="true" ma:fieldsID="d75861778194a5bed9f302980274cd83" ns2:_="" ns3:_="" ns4:_="" ns5:_="">
    <xsd:import namespace="b3cee9db-bc69-4511-ae25-55dffccd7c29"/>
    <xsd:import namespace="http://schemas.microsoft.com/sharepoint/v3/fields"/>
    <xsd:import namespace="8841fce2-954a-4291-8f22-7fe20897870b"/>
    <xsd:import namespace="144ea41b-304c-4c03-99c4-debb02094f92"/>
    <xsd:element name="properties">
      <xsd:complexType>
        <xsd:sequence>
          <xsd:element name="documentManagement">
            <xsd:complexType>
              <xsd:all>
                <xsd:element ref="ns2:State_x002f_Territory" minOccurs="0"/>
                <xsd:element ref="ns2:Status"/>
                <xsd:element ref="ns2:PriorityLevel"/>
                <xsd:element ref="ns3:_DCDateCreated" minOccurs="0"/>
                <xsd:element ref="ns2:Category1" minOccurs="0"/>
                <xsd:element ref="ns2:Subcategory" minOccurs="0"/>
                <xsd:element ref="ns2:BusinessLineSubcategory" minOccurs="0"/>
                <xsd:element ref="ns2:TopCategory"/>
                <xsd:element ref="ns2:DocumentType"/>
                <xsd:element ref="ns2:PopulationType" minOccurs="0"/>
                <xsd:element ref="ns2:BusinessLine"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ee9db-bc69-4511-ae25-55dffccd7c29" elementFormDefault="qualified">
    <xsd:import namespace="http://schemas.microsoft.com/office/2006/documentManagement/types"/>
    <xsd:import namespace="http://schemas.microsoft.com/office/infopath/2007/PartnerControls"/>
    <xsd:element name="State_x002f_Territory" ma:index="8" nillable="true" ma:displayName="State/Territory" ma:list="{37fd0ec8-96d3-4071-84ad-0cc3c09bef93}" ma:internalName="State_x002f_Territory" ma:showField="Title">
      <xsd:complexType>
        <xsd:complexContent>
          <xsd:extension base="dms:MultiChoiceLookup">
            <xsd:sequence>
              <xsd:element name="Value" type="dms:Lookup" maxOccurs="unbounded" minOccurs="0" nillable="true"/>
            </xsd:sequence>
          </xsd:extension>
        </xsd:complexContent>
      </xsd:complexType>
    </xsd:element>
    <xsd:element name="Status" ma:index="9" ma:displayName="Status" ma:default="Not Applicable" ma:format="Dropdown" ma:internalName="Status">
      <xsd:simpleType>
        <xsd:restriction base="dms:Choice">
          <xsd:enumeration value="Draft"/>
          <xsd:enumeration value="Under Review for Input"/>
          <xsd:enumeration value="Final"/>
          <xsd:enumeration value="Approved"/>
          <xsd:enumeration value="Archive"/>
          <xsd:enumeration value="Not Applicable"/>
        </xsd:restriction>
      </xsd:simpleType>
    </xsd:element>
    <xsd:element name="PriorityLevel" ma:index="10" ma:displayName="Priority Level" ma:default="Not Applicable" ma:format="Dropdown" ma:internalName="PriorityLevel">
      <xsd:simpleType>
        <xsd:restriction base="dms:Choice">
          <xsd:enumeration value="Low"/>
          <xsd:enumeration value="Medium"/>
          <xsd:enumeration value="High"/>
          <xsd:enumeration value="Urgent"/>
          <xsd:enumeration value="Not Applicable"/>
        </xsd:restriction>
      </xsd:simpleType>
    </xsd:element>
    <xsd:element name="Category1" ma:index="12" nillable="true" ma:displayName="Category" ma:list="{0441aa20-a95d-4930-932c-13a4f10de688}" ma:internalName="Category1" ma:showField="Title">
      <xsd:simpleType>
        <xsd:restriction base="dms:Lookup"/>
      </xsd:simpleType>
    </xsd:element>
    <xsd:element name="Subcategory" ma:index="13" nillable="true" ma:displayName="SubCategoryLevel1" ma:list="{264d6624-f705-4ef5-b300-62152c26e921}" ma:internalName="Subcategory" ma:readOnly="false" ma:showField="Title">
      <xsd:simpleType>
        <xsd:restriction base="dms:Lookup"/>
      </xsd:simpleType>
    </xsd:element>
    <xsd:element name="BusinessLineSubcategory" ma:index="14" nillable="true" ma:displayName="Business Line Subcategory" ma:hidden="true" ma:list="{e05a58f6-5e86-4947-9484-c1d55093bbbf}" ma:internalName="BusinessLineSubcategory" ma:readOnly="false" ma:showField="Title">
      <xsd:simpleType>
        <xsd:restriction base="dms:Lookup"/>
      </xsd:simpleType>
    </xsd:element>
    <xsd:element name="TopCategory" ma:index="15" ma:displayName="TopCategory" ma:list="{80e92dab-299b-4369-a75c-ddd9c7f2e556}" ma:internalName="TopCategory" ma:readOnly="false" ma:showField="Title">
      <xsd:simpleType>
        <xsd:restriction base="dms:Lookup"/>
      </xsd:simpleType>
    </xsd:element>
    <xsd:element name="DocumentType" ma:index="16" ma:displayName="Document Type" ma:default="Other/Not Applicable" ma:format="Dropdown" ma:internalName="DocumentType">
      <xsd:simpleType>
        <xsd:restriction base="dms:Choice">
          <xsd:enumeration value="Applications/Awards/Terms &amp; Conditions"/>
          <xsd:enumeration value="Budgetary"/>
          <xsd:enumeration value="Communications"/>
          <xsd:enumeration value="Corrective Action Plan"/>
          <xsd:enumeration value="Deliverable"/>
          <xsd:enumeration value="FOA (Funding Opportunity Announcement)"/>
          <xsd:enumeration value="Meeting Notes"/>
          <xsd:enumeration value="Modifications and Revisions"/>
          <xsd:enumeration value="Needs Assessment"/>
          <xsd:enumeration value="OGC Opinions"/>
          <xsd:enumeration value="Operational Protocol"/>
          <xsd:enumeration value="Panel Review"/>
          <xsd:enumeration value="Policy"/>
          <xsd:enumeration value="Project Management"/>
          <xsd:enumeration value="PRA Package (Paperwork Reduction Act)"/>
          <xsd:enumeration value="Report"/>
          <xsd:enumeration value="Site Visit"/>
          <xsd:enumeration value="Statute/Regulation"/>
          <xsd:enumeration value="Template"/>
          <xsd:enumeration value="Webinar"/>
          <xsd:enumeration value="Work Plan"/>
          <xsd:enumeration value="Other/Not Applicable"/>
        </xsd:restriction>
      </xsd:simpleType>
    </xsd:element>
    <xsd:element name="PopulationType" ma:index="17" nillable="true" ma:displayName="Population Type" ma:default="Other/Not Applicable" ma:internalName="PopulationType">
      <xsd:complexType>
        <xsd:complexContent>
          <xsd:extension base="dms:MultiChoice">
            <xsd:sequence>
              <xsd:element name="Value" maxOccurs="unbounded" minOccurs="0" nillable="true">
                <xsd:simpleType>
                  <xsd:restriction base="dms:Choice">
                    <xsd:enumeration value="Aging"/>
                    <xsd:enumeration value="Children"/>
                    <xsd:enumeration value="Homeless"/>
                    <xsd:enumeration value="Intellectual/Developmental Disability (TBI, Alzheimer’s, Autism, Cerebral Palsy, etc.)"/>
                    <xsd:enumeration value="Mental/Behavior Health and Substance Use Disorder"/>
                    <xsd:enumeration value="Physical Disability"/>
                    <xsd:enumeration value="All"/>
                    <xsd:enumeration value="Other/Not Applicable"/>
                  </xsd:restriction>
                </xsd:simpleType>
              </xsd:element>
            </xsd:sequence>
          </xsd:extension>
        </xsd:complexContent>
      </xsd:complexType>
    </xsd:element>
    <xsd:element name="BusinessLine" ma:index="18" nillable="true" ma:displayName="Business Line" ma:list="{7726571c-aa49-4592-a4cf-eda2fe11fd51}" ma:internalName="BusinessLine"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41fce2-954a-4291-8f22-7fe2089787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CMCS-438938332-1995</_dlc_DocId>
    <_dlc_DocIdUrl xmlns="144ea41b-304c-4c03-99c4-debb02094f92">
      <Url>https://share.cms.gov/center/CMCS/DEHPG/DCST/_layouts/15/DocIdRedir.aspx?ID=CMCS-438938332-1995</Url>
      <Description>CMCS-438938332-1995</Description>
    </_dlc_DocIdUrl>
    <DocumentType xmlns="b3cee9db-bc69-4511-ae25-55dffccd7c29">Other/Not Applicable</DocumentType>
    <BusinessLineSubcategory xmlns="b3cee9db-bc69-4511-ae25-55dffccd7c29" xsi:nil="true"/>
    <BusinessLine xmlns="b3cee9db-bc69-4511-ae25-55dffccd7c29"/>
    <PriorityLevel xmlns="b3cee9db-bc69-4511-ae25-55dffccd7c29">Not Applicable</PriorityLevel>
    <Category1 xmlns="b3cee9db-bc69-4511-ae25-55dffccd7c29" xsi:nil="true"/>
    <TopCategory xmlns="b3cee9db-bc69-4511-ae25-55dffccd7c29">1</TopCategory>
    <State_x002f_Territory xmlns="b3cee9db-bc69-4511-ae25-55dffccd7c29"/>
    <Status xmlns="b3cee9db-bc69-4511-ae25-55dffccd7c29">Not Applicable</Status>
    <_DCDateCreated xmlns="http://schemas.microsoft.com/sharepoint/v3/fields" xsi:nil="true"/>
    <Subcategory xmlns="b3cee9db-bc69-4511-ae25-55dffccd7c29" xsi:nil="true"/>
    <PopulationType xmlns="b3cee9db-bc69-4511-ae25-55dffccd7c29">
      <Value>Other/Not Applicable</Value>
    </Population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9BE7F-7138-466F-9BFC-D9B7338133E7}">
  <ds:schemaRefs>
    <ds:schemaRef ds:uri="http://schemas.microsoft.com/sharepoint/events"/>
  </ds:schemaRefs>
</ds:datastoreItem>
</file>

<file path=customXml/itemProps2.xml><?xml version="1.0" encoding="utf-8"?>
<ds:datastoreItem xmlns:ds="http://schemas.openxmlformats.org/officeDocument/2006/customXml" ds:itemID="{5C422B79-A3C1-4173-B2C5-0413434AA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ee9db-bc69-4511-ae25-55dffccd7c29"/>
    <ds:schemaRef ds:uri="http://schemas.microsoft.com/sharepoint/v3/fields"/>
    <ds:schemaRef ds:uri="8841fce2-954a-4291-8f22-7fe20897870b"/>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AFE7C-E5A7-40A2-A8F4-52D4ACE9196B}">
  <ds:schemaRefs>
    <ds:schemaRef ds:uri="http://schemas.microsoft.com/sharepoint/v3/contenttype/forms"/>
  </ds:schemaRefs>
</ds:datastoreItem>
</file>

<file path=customXml/itemProps4.xml><?xml version="1.0" encoding="utf-8"?>
<ds:datastoreItem xmlns:ds="http://schemas.openxmlformats.org/officeDocument/2006/customXml" ds:itemID="{8B15DF99-D98D-4FC9-A20A-FF1BAD046C35}">
  <ds:schemaRefs>
    <ds:schemaRef ds:uri="Microsoft.SharePoint.Taxonomy.ContentTypeSync"/>
  </ds:schemaRefs>
</ds:datastoreItem>
</file>

<file path=customXml/itemProps5.xml><?xml version="1.0" encoding="utf-8"?>
<ds:datastoreItem xmlns:ds="http://schemas.openxmlformats.org/officeDocument/2006/customXml" ds:itemID="{DE629E92-A25A-41E1-9918-D98AE927CEFF}">
  <ds:schemaRefs>
    <ds:schemaRef ds:uri="8841fce2-954a-4291-8f22-7fe20897870b"/>
    <ds:schemaRef ds:uri="http://purl.org/dc/dcmitype/"/>
    <ds:schemaRef ds:uri="http://schemas.microsoft.com/sharepoint/v3/field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b3cee9db-bc69-4511-ae25-55dffccd7c29"/>
    <ds:schemaRef ds:uri="http://schemas.microsoft.com/office/2006/metadata/properties"/>
    <ds:schemaRef ds:uri="http://purl.org/dc/terms/"/>
    <ds:schemaRef ds:uri="144ea41b-304c-4c03-99c4-debb02094f92"/>
    <ds:schemaRef ds:uri="http://www.w3.org/XML/1998/namespace"/>
  </ds:schemaRefs>
</ds:datastoreItem>
</file>

<file path=customXml/itemProps6.xml><?xml version="1.0" encoding="utf-8"?>
<ds:datastoreItem xmlns:ds="http://schemas.openxmlformats.org/officeDocument/2006/customXml" ds:itemID="{533D4BEF-9E74-4639-B7A2-4A67F60B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16</cp:revision>
  <cp:lastPrinted>2019-09-23T14:24:00Z</cp:lastPrinted>
  <dcterms:created xsi:type="dcterms:W3CDTF">2021-05-11T19:14:00Z</dcterms:created>
  <dcterms:modified xsi:type="dcterms:W3CDTF">2021-06-02T11:51:00Z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0x010100E86BD667422D0544B6F94B86251EB463</vt:lpwstr>
  </property>
  <property fmtid="{D5CDD505-2E9C-101B-9397-08002B2CF9AE}" pid="4" name="Comments">
    <vt:lpwstr/>
  </property>
  <property fmtid="{D5CDD505-2E9C-101B-9397-08002B2CF9AE}" pid="5" name="_dlc_DocIdItemGuid">
    <vt:lpwstr>41488a79-4e35-4158-b09e-edf3d666f073</vt:lpwstr>
  </property>
</Properties>
</file>