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5704C" w:rsidRPr="00B44357" w:rsidP="21A325E7" w14:paraId="2D846FEC" w14:textId="77777777">
      <w:pPr>
        <w:pStyle w:val="Heading1"/>
        <w:numPr>
          <w:ilvl w:val="0"/>
          <w:numId w:val="0"/>
        </w:numPr>
        <w:rPr>
          <w:b w:val="0"/>
        </w:rPr>
      </w:pPr>
      <w:r w:rsidRPr="00B44357">
        <w:rPr>
          <w:b w:val="0"/>
        </w:rPr>
        <w:t>Supporting Statement – Part B</w:t>
      </w:r>
    </w:p>
    <w:p w:rsidR="0005704C" w:rsidRPr="00B44357" w:rsidP="21A325E7" w14:paraId="4CC66ABA" w14:textId="78D29559">
      <w:pPr>
        <w:jc w:val="center"/>
      </w:pPr>
      <w:r w:rsidRPr="00B44357">
        <w:t>Collection</w:t>
      </w:r>
      <w:r w:rsidR="0054238E">
        <w:t xml:space="preserve"> </w:t>
      </w:r>
      <w:r w:rsidRPr="00B44357">
        <w:t>of Information Employing Statistical Methods</w:t>
      </w:r>
    </w:p>
    <w:p w:rsidR="0005704C" w:rsidRPr="00B44357" w:rsidP="00D74FF4" w14:paraId="72F95209" w14:textId="77777777">
      <w:pPr>
        <w:pStyle w:val="Heading2"/>
        <w:rPr>
          <w:iCs/>
        </w:rPr>
      </w:pPr>
      <w:bookmarkStart w:id="0" w:name="_Toc429570390"/>
      <w:bookmarkStart w:id="1" w:name="_Toc410331701"/>
      <w:bookmarkStart w:id="2" w:name="_Toc410331595"/>
      <w:bookmarkStart w:id="3" w:name="_Toc433627269"/>
      <w:r w:rsidRPr="00FA3051">
        <w:t>Respondent Universe and Sampling Method</w:t>
      </w:r>
      <w:bookmarkEnd w:id="0"/>
      <w:bookmarkEnd w:id="1"/>
      <w:bookmarkEnd w:id="2"/>
      <w:r w:rsidRPr="00FA3051">
        <w:t>s</w:t>
      </w:r>
      <w:bookmarkEnd w:id="3"/>
    </w:p>
    <w:p w:rsidR="009762B7" w:rsidP="21A325E7" w14:paraId="7F18E48A" w14:textId="7F9E5770">
      <w:pPr>
        <w:ind w:left="360"/>
      </w:pPr>
      <w:r w:rsidRPr="00FA3051">
        <w:t xml:space="preserve">The </w:t>
      </w:r>
      <w:r w:rsidRPr="004D6CDE" w:rsidR="00FA2DDE">
        <w:t xml:space="preserve">purpose of this data collection is to gather data </w:t>
      </w:r>
      <w:r w:rsidR="00262365">
        <w:t xml:space="preserve">from </w:t>
      </w:r>
      <w:r w:rsidR="0014026B">
        <w:t xml:space="preserve">healthcare </w:t>
      </w:r>
      <w:r w:rsidRPr="004D6CDE" w:rsidR="00FA2DDE">
        <w:t>provider</w:t>
      </w:r>
      <w:r w:rsidR="0014026B">
        <w:t>s</w:t>
      </w:r>
      <w:r w:rsidRPr="004D6CDE" w:rsidR="00FA2DDE">
        <w:t xml:space="preserve"> </w:t>
      </w:r>
      <w:r w:rsidR="009A5892">
        <w:t>who received service</w:t>
      </w:r>
      <w:r>
        <w:t>s</w:t>
      </w:r>
      <w:r w:rsidR="009A5892">
        <w:t xml:space="preserve"> from </w:t>
      </w:r>
      <w:r w:rsidR="008B764C">
        <w:t xml:space="preserve">the </w:t>
      </w:r>
      <w:r w:rsidRPr="005477E5" w:rsidR="009A5892">
        <w:rPr>
          <w:spacing w:val="-7"/>
        </w:rPr>
        <w:t xml:space="preserve">Centers for Medicare &amp; Medicaid Services (CMS) </w:t>
      </w:r>
      <w:r w:rsidR="006B5F39">
        <w:rPr>
          <w:spacing w:val="-7"/>
        </w:rPr>
        <w:t xml:space="preserve">through the </w:t>
      </w:r>
      <w:r w:rsidRPr="005477E5" w:rsidR="009A5892">
        <w:rPr>
          <w:spacing w:val="-7"/>
        </w:rPr>
        <w:t>Network of Quality Improvement and Innovation Contractors (NQIIC)</w:t>
      </w:r>
      <w:r w:rsidR="006B5F39">
        <w:rPr>
          <w:spacing w:val="-7"/>
        </w:rPr>
        <w:t xml:space="preserve"> plus</w:t>
      </w:r>
      <w:r w:rsidR="009A5892">
        <w:rPr>
          <w:spacing w:val="-7"/>
        </w:rPr>
        <w:t xml:space="preserve"> those who are eligible but did not receive the</w:t>
      </w:r>
      <w:r w:rsidR="00A4793B">
        <w:rPr>
          <w:spacing w:val="-7"/>
        </w:rPr>
        <w:t>se</w:t>
      </w:r>
      <w:r w:rsidR="009A5892">
        <w:rPr>
          <w:spacing w:val="-7"/>
        </w:rPr>
        <w:t xml:space="preserve"> service</w:t>
      </w:r>
      <w:r w:rsidR="00A4793B">
        <w:rPr>
          <w:spacing w:val="-7"/>
        </w:rPr>
        <w:t>s</w:t>
      </w:r>
      <w:r>
        <w:rPr>
          <w:spacing w:val="-7"/>
        </w:rPr>
        <w:t>. The information collected</w:t>
      </w:r>
      <w:r w:rsidR="009A5892">
        <w:rPr>
          <w:spacing w:val="-7"/>
        </w:rPr>
        <w:t xml:space="preserve"> will enable the </w:t>
      </w:r>
      <w:r w:rsidRPr="00FA3051" w:rsidR="59E2628A">
        <w:t xml:space="preserve">Independent Evaluation Contractor (IEC) </w:t>
      </w:r>
      <w:r w:rsidR="009A5892">
        <w:t xml:space="preserve">to </w:t>
      </w:r>
      <w:r w:rsidR="00D971EB">
        <w:t>answer</w:t>
      </w:r>
      <w:r w:rsidR="000E2B13">
        <w:t xml:space="preserve"> the following</w:t>
      </w:r>
      <w:r w:rsidR="00D971EB">
        <w:t xml:space="preserve"> core research questions</w:t>
      </w:r>
      <w:r w:rsidR="000E2B13">
        <w:t xml:space="preserve">: </w:t>
      </w:r>
      <w:r w:rsidR="002337A8">
        <w:t xml:space="preserve"> </w:t>
      </w:r>
      <w:r>
        <w:t>H</w:t>
      </w:r>
      <w:r w:rsidRPr="004D6CDE" w:rsidR="002337A8">
        <w:t xml:space="preserve">ow satisfied are </w:t>
      </w:r>
      <w:r w:rsidR="002337A8">
        <w:t>healthcare providers</w:t>
      </w:r>
      <w:r w:rsidRPr="004D6CDE" w:rsidR="002337A8">
        <w:t xml:space="preserve"> with </w:t>
      </w:r>
      <w:r>
        <w:t>NQIIC</w:t>
      </w:r>
      <w:r w:rsidR="000E2B13">
        <w:t>-provided</w:t>
      </w:r>
      <w:r>
        <w:t xml:space="preserve"> services and resources</w:t>
      </w:r>
      <w:r w:rsidR="002337A8">
        <w:t xml:space="preserve">? </w:t>
      </w:r>
      <w:r w:rsidRPr="004D6CDE" w:rsidR="002337A8">
        <w:t xml:space="preserve">How do </w:t>
      </w:r>
      <w:r w:rsidR="002337A8">
        <w:t>healthcare providers</w:t>
      </w:r>
      <w:r w:rsidRPr="004D6CDE" w:rsidR="002337A8">
        <w:t xml:space="preserve"> that do not engage </w:t>
      </w:r>
      <w:r>
        <w:t xml:space="preserve">with </w:t>
      </w:r>
      <w:r w:rsidRPr="004D6CDE" w:rsidR="002337A8">
        <w:t>NQIIC</w:t>
      </w:r>
      <w:r>
        <w:t xml:space="preserve"> contractors </w:t>
      </w:r>
      <w:r w:rsidRPr="004D6CDE" w:rsidR="002337A8">
        <w:t>meet their quality improvement goals?</w:t>
      </w:r>
      <w:r w:rsidRPr="004D6CDE" w:rsidR="00FA2DDE">
        <w:t xml:space="preserve"> </w:t>
      </w:r>
      <w:r>
        <w:t>W</w:t>
      </w:r>
      <w:r w:rsidR="002337A8">
        <w:t xml:space="preserve">hat are </w:t>
      </w:r>
      <w:r w:rsidRPr="004D6CDE" w:rsidR="00FA2DDE">
        <w:t xml:space="preserve">the barriers </w:t>
      </w:r>
      <w:r w:rsidR="000E2B13">
        <w:t xml:space="preserve">to </w:t>
      </w:r>
      <w:r w:rsidRPr="004D6CDE" w:rsidR="00FA2DDE">
        <w:t xml:space="preserve"> participation with NQIIC</w:t>
      </w:r>
      <w:r w:rsidR="000E2B13">
        <w:t xml:space="preserve"> contractors</w:t>
      </w:r>
      <w:r w:rsidR="004F0AEC">
        <w:t>?</w:t>
      </w:r>
      <w:r w:rsidR="001954BE">
        <w:t xml:space="preserve"> </w:t>
      </w:r>
    </w:p>
    <w:p w:rsidR="009762B7" w:rsidP="21A325E7" w14:paraId="3E959D24" w14:textId="77777777">
      <w:pPr>
        <w:ind w:left="360"/>
      </w:pPr>
    </w:p>
    <w:p w:rsidR="00C039F8" w:rsidRPr="00FA3051" w:rsidP="00C039F8" w14:paraId="10A35DD2" w14:textId="198C862C">
      <w:pPr>
        <w:ind w:left="360"/>
        <w:rPr>
          <w:sz w:val="20"/>
          <w:szCs w:val="20"/>
        </w:rPr>
      </w:pPr>
      <w:r>
        <w:t>Nursing homes (NH), hospitals, and outpatient clinicians</w:t>
      </w:r>
      <w:r w:rsidRPr="00685AFB">
        <w:t xml:space="preserve"> are served by different types</w:t>
      </w:r>
      <w:r>
        <w:t xml:space="preserve"> of contractors under the </w:t>
      </w:r>
      <w:r w:rsidRPr="00685AFB">
        <w:t>NQIIC</w:t>
      </w:r>
      <w:r>
        <w:t xml:space="preserve"> contracts:</w:t>
      </w:r>
      <w:r w:rsidRPr="00685AFB">
        <w:t xml:space="preserve"> </w:t>
      </w:r>
      <w:r w:rsidR="00A60CD6">
        <w:t>NHs</w:t>
      </w:r>
      <w:r w:rsidRPr="00685AFB">
        <w:t xml:space="preserve"> </w:t>
      </w:r>
      <w:r>
        <w:t>and outpatient clinicians</w:t>
      </w:r>
      <w:r w:rsidRPr="00685AFB">
        <w:t xml:space="preserve"> are supported by Quality Innovation Network-Quality Improvement Organization</w:t>
      </w:r>
      <w:r>
        <w:t>s</w:t>
      </w:r>
      <w:r w:rsidRPr="00685AFB">
        <w:t xml:space="preserve"> (QIN-QIOs) and hospitals are supported by Hospital Quality Improvement Contractors (HQICs).</w:t>
      </w:r>
      <w:r>
        <w:t xml:space="preserve"> </w:t>
      </w:r>
      <w:r w:rsidR="00867552">
        <w:t xml:space="preserve">Furthermore, </w:t>
      </w:r>
      <w:r w:rsidR="00A60CD6">
        <w:t xml:space="preserve">QIN-QIOs provided services to </w:t>
      </w:r>
      <w:r w:rsidR="0034434A">
        <w:t>its</w:t>
      </w:r>
      <w:r w:rsidR="00A60CD6">
        <w:t xml:space="preserve"> enrolled NHs</w:t>
      </w:r>
      <w:r w:rsidR="00B66DFD">
        <w:t xml:space="preserve"> through three initiatives: Long-Term Care </w:t>
      </w:r>
      <w:r w:rsidR="003F7DBF">
        <w:t xml:space="preserve">Nursing Home (LTC-NH), </w:t>
      </w:r>
      <w:r w:rsidR="003F7DBF">
        <w:t>Targrted</w:t>
      </w:r>
      <w:r w:rsidR="003F7DBF">
        <w:t xml:space="preserve"> Response Quality I</w:t>
      </w:r>
      <w:r w:rsidR="00CC2EB2">
        <w:t>mprovement Initiative (TR-QII) for COVID</w:t>
      </w:r>
      <w:r w:rsidR="003E19C0">
        <w:t xml:space="preserve">-19 infection control and </w:t>
      </w:r>
      <w:r w:rsidR="00CD36A7">
        <w:t xml:space="preserve">vaccination referral, </w:t>
      </w:r>
      <w:r w:rsidR="00092797">
        <w:t>and Partnership for Community Health (PCH).</w:t>
      </w:r>
      <w:r>
        <w:t xml:space="preserve"> </w:t>
      </w:r>
    </w:p>
    <w:p w:rsidR="00C039F8" w:rsidP="21A325E7" w14:paraId="7D3BC8A5" w14:textId="77777777">
      <w:pPr>
        <w:ind w:left="360"/>
      </w:pPr>
    </w:p>
    <w:p w:rsidR="00110816" w:rsidP="00D30A38" w14:paraId="23164666" w14:textId="6DFD30EE">
      <w:pPr>
        <w:ind w:left="360"/>
      </w:pPr>
      <w:r>
        <w:t>T</w:t>
      </w:r>
      <w:r w:rsidRPr="00FA3051" w:rsidR="0014026B">
        <w:t xml:space="preserve">he </w:t>
      </w:r>
      <w:r w:rsidR="009A5892">
        <w:t xml:space="preserve">IEC </w:t>
      </w:r>
      <w:r w:rsidRPr="00FA3051" w:rsidR="1E7E5C20">
        <w:t xml:space="preserve">will </w:t>
      </w:r>
      <w:r w:rsidRPr="00FA3051" w:rsidR="16A1826B">
        <w:t>recruit</w:t>
      </w:r>
      <w:r w:rsidRPr="00FA3051" w:rsidR="1E7E5C20">
        <w:t xml:space="preserve"> </w:t>
      </w:r>
      <w:r w:rsidR="002F5156">
        <w:t>three</w:t>
      </w:r>
      <w:r w:rsidRPr="00FA3051" w:rsidR="002F5156">
        <w:t xml:space="preserve"> </w:t>
      </w:r>
      <w:r w:rsidRPr="00FA3051" w:rsidR="16A1826B">
        <w:t>distinct groups</w:t>
      </w:r>
      <w:r w:rsidRPr="00FA3051" w:rsidR="59E2628A">
        <w:t xml:space="preserve"> </w:t>
      </w:r>
      <w:r w:rsidR="006B5F39">
        <w:t xml:space="preserve">of </w:t>
      </w:r>
      <w:r w:rsidRPr="00FA3051" w:rsidR="16A1826B">
        <w:t xml:space="preserve">healthcare </w:t>
      </w:r>
      <w:r w:rsidR="006B5F39">
        <w:t xml:space="preserve">providers </w:t>
      </w:r>
      <w:r w:rsidRPr="00FA3051" w:rsidR="59E2628A">
        <w:t xml:space="preserve">for </w:t>
      </w:r>
      <w:r w:rsidRPr="00FA3051" w:rsidR="23156947">
        <w:t xml:space="preserve">participation in </w:t>
      </w:r>
      <w:r w:rsidRPr="00FA3051" w:rsidR="59E2628A">
        <w:t>the survey</w:t>
      </w:r>
      <w:r w:rsidR="009A4E36">
        <w:t>s</w:t>
      </w:r>
      <w:r w:rsidRPr="00FA3051" w:rsidR="16A1826B">
        <w:t>: nursing home administrators</w:t>
      </w:r>
      <w:r w:rsidR="002F5156">
        <w:t xml:space="preserve">, </w:t>
      </w:r>
      <w:r w:rsidRPr="00FA3051" w:rsidR="16A1826B">
        <w:t>hospital administrators</w:t>
      </w:r>
      <w:r w:rsidR="002F5156">
        <w:t>, and outpatient clinicians</w:t>
      </w:r>
      <w:r w:rsidRPr="00FA3051" w:rsidR="16A1826B">
        <w:t xml:space="preserve">. </w:t>
      </w:r>
      <w:r w:rsidR="004E5940">
        <w:t xml:space="preserve">The </w:t>
      </w:r>
      <w:r w:rsidRPr="00FA3051" w:rsidR="004E5940">
        <w:t>target samples</w:t>
      </w:r>
      <w:r w:rsidR="004E5940">
        <w:t xml:space="preserve"> for </w:t>
      </w:r>
      <w:r w:rsidR="000F15E8">
        <w:t>NH</w:t>
      </w:r>
      <w:r w:rsidRPr="00FA3051" w:rsidR="004E5940">
        <w:t xml:space="preserve"> survey will be divided into t</w:t>
      </w:r>
      <w:r w:rsidR="000F15E8">
        <w:t>hree</w:t>
      </w:r>
      <w:r w:rsidR="004E5940">
        <w:t xml:space="preserve"> groups</w:t>
      </w:r>
      <w:r w:rsidRPr="00FA3051" w:rsidR="004E5940">
        <w:t xml:space="preserve">: 1) administrators of </w:t>
      </w:r>
      <w:r w:rsidR="000F15E8">
        <w:t>NH</w:t>
      </w:r>
      <w:r w:rsidR="00CB5E0E">
        <w:t xml:space="preserve">s </w:t>
      </w:r>
      <w:r w:rsidRPr="00FA3051" w:rsidR="004E5940">
        <w:t xml:space="preserve">that are </w:t>
      </w:r>
      <w:r w:rsidR="009A31E9">
        <w:t xml:space="preserve">not covered by any QIN-QIO services or only </w:t>
      </w:r>
      <w:r w:rsidR="00CB5E0E">
        <w:t xml:space="preserve">covered </w:t>
      </w:r>
      <w:r w:rsidR="0072668B">
        <w:t xml:space="preserve">by </w:t>
      </w:r>
      <w:r w:rsidR="00CB5E0E">
        <w:t>one out of three QIN-QIO initiatives</w:t>
      </w:r>
      <w:r w:rsidR="009A31E9">
        <w:t xml:space="preserve">. 2) </w:t>
      </w:r>
      <w:r w:rsidR="004E5940">
        <w:t xml:space="preserve"> </w:t>
      </w:r>
      <w:r w:rsidRPr="00FA3051" w:rsidR="0072668B">
        <w:t xml:space="preserve">administrators of </w:t>
      </w:r>
      <w:r w:rsidR="0072668B">
        <w:t xml:space="preserve">NHs </w:t>
      </w:r>
      <w:r w:rsidRPr="00FA3051" w:rsidR="0072668B">
        <w:t xml:space="preserve">that are </w:t>
      </w:r>
      <w:r w:rsidR="0072668B">
        <w:t xml:space="preserve">covered by two out of three QIN-QIO initiatives. 3) </w:t>
      </w:r>
      <w:r w:rsidRPr="00FA3051" w:rsidR="0072668B">
        <w:t xml:space="preserve">administrators of </w:t>
      </w:r>
      <w:r w:rsidR="0072668B">
        <w:t xml:space="preserve">NHs </w:t>
      </w:r>
      <w:r w:rsidRPr="00FA3051" w:rsidR="0072668B">
        <w:t xml:space="preserve">that are </w:t>
      </w:r>
      <w:r w:rsidR="0072668B">
        <w:t>covered by all three QIN-QIO initiatives</w:t>
      </w:r>
      <w:r w:rsidRPr="00685AFB" w:rsidR="004E5940">
        <w:t xml:space="preserve">. </w:t>
      </w:r>
      <w:r w:rsidR="00F31A79">
        <w:t xml:space="preserve">The </w:t>
      </w:r>
      <w:r w:rsidRPr="00FA3051" w:rsidR="00F31A79">
        <w:t>target samples</w:t>
      </w:r>
      <w:r w:rsidR="00F31A79">
        <w:t xml:space="preserve"> for </w:t>
      </w:r>
      <w:r w:rsidR="00711122">
        <w:t>hospital and outpatient clinician</w:t>
      </w:r>
      <w:r w:rsidRPr="00FA3051" w:rsidR="003F3610">
        <w:t xml:space="preserve"> </w:t>
      </w:r>
      <w:r w:rsidRPr="00FA3051" w:rsidR="16A1826B">
        <w:t>survey</w:t>
      </w:r>
      <w:r w:rsidRPr="00FA3051" w:rsidR="3DD75BF2">
        <w:t>s</w:t>
      </w:r>
      <w:r w:rsidRPr="00FA3051" w:rsidR="16A1826B">
        <w:t xml:space="preserve"> will be divided into two</w:t>
      </w:r>
      <w:r w:rsidR="00F31A79">
        <w:t xml:space="preserve"> groups</w:t>
      </w:r>
      <w:r w:rsidRPr="00FA3051" w:rsidR="0A1E1DE7">
        <w:t>:</w:t>
      </w:r>
      <w:r w:rsidRPr="00FA3051" w:rsidR="16A1826B">
        <w:t xml:space="preserve"> 1) </w:t>
      </w:r>
      <w:r w:rsidRPr="00FA3051" w:rsidR="73A5B91F">
        <w:t xml:space="preserve">administrators </w:t>
      </w:r>
      <w:r w:rsidRPr="00FA3051" w:rsidR="3DD75BF2">
        <w:t xml:space="preserve">of </w:t>
      </w:r>
      <w:r w:rsidR="00711122">
        <w:t>hospitals</w:t>
      </w:r>
      <w:r w:rsidRPr="00FA3051" w:rsidR="00711122">
        <w:t xml:space="preserve"> </w:t>
      </w:r>
      <w:r w:rsidR="003F3610">
        <w:t xml:space="preserve">or outpatient clinicians </w:t>
      </w:r>
      <w:r w:rsidRPr="00FA3051" w:rsidR="3DD75BF2">
        <w:t xml:space="preserve">that </w:t>
      </w:r>
      <w:r w:rsidRPr="00FA3051" w:rsidR="1E7E5C20">
        <w:t xml:space="preserve">are </w:t>
      </w:r>
      <w:r w:rsidR="00B36E99">
        <w:t xml:space="preserve">supported by </w:t>
      </w:r>
      <w:r w:rsidRPr="00685AFB" w:rsidR="1E7E5C20">
        <w:t xml:space="preserve">the </w:t>
      </w:r>
      <w:r w:rsidRPr="00685AFB" w:rsidR="279A5F5F">
        <w:t xml:space="preserve">CMS </w:t>
      </w:r>
      <w:r w:rsidRPr="00685AFB" w:rsidR="00B36E99">
        <w:t>NQIIC</w:t>
      </w:r>
      <w:r w:rsidR="00262365">
        <w:t xml:space="preserve"> contractors</w:t>
      </w:r>
      <w:r w:rsidRPr="00685AFB" w:rsidR="00315103">
        <w:t>,</w:t>
      </w:r>
      <w:r w:rsidRPr="00685AFB" w:rsidR="00007F73">
        <w:t xml:space="preserve"> </w:t>
      </w:r>
      <w:r w:rsidRPr="00685AFB" w:rsidR="1E7E5C20">
        <w:t xml:space="preserve">and </w:t>
      </w:r>
      <w:r w:rsidRPr="00685AFB" w:rsidR="16A1826B">
        <w:t xml:space="preserve">2) </w:t>
      </w:r>
      <w:r w:rsidRPr="00685AFB" w:rsidR="1E7E5C20">
        <w:t xml:space="preserve">administrators </w:t>
      </w:r>
      <w:r w:rsidRPr="00685AFB" w:rsidR="3DD75BF2">
        <w:t xml:space="preserve">of </w:t>
      </w:r>
      <w:r w:rsidR="000F3EE1">
        <w:t>hospitals</w:t>
      </w:r>
      <w:r w:rsidRPr="00685AFB" w:rsidR="000F3EE1">
        <w:t xml:space="preserve"> </w:t>
      </w:r>
      <w:r w:rsidR="003F3610">
        <w:t xml:space="preserve">or outpatient clinicians </w:t>
      </w:r>
      <w:r w:rsidRPr="00685AFB" w:rsidR="3DD75BF2">
        <w:t>with no</w:t>
      </w:r>
      <w:r w:rsidRPr="00685AFB" w:rsidR="00852082">
        <w:t xml:space="preserve"> </w:t>
      </w:r>
      <w:r w:rsidRPr="00685AFB" w:rsidR="529E8C60">
        <w:t>or</w:t>
      </w:r>
      <w:r w:rsidRPr="00685AFB" w:rsidR="3DD75BF2">
        <w:t xml:space="preserve"> low </w:t>
      </w:r>
      <w:r w:rsidRPr="00685AFB" w:rsidR="1E7E5C20">
        <w:t>participat</w:t>
      </w:r>
      <w:r w:rsidRPr="00685AFB" w:rsidR="3DD75BF2">
        <w:t xml:space="preserve">ion </w:t>
      </w:r>
      <w:r w:rsidR="006B5F39">
        <w:t>with</w:t>
      </w:r>
      <w:r w:rsidRPr="00685AFB" w:rsidR="006B5F39">
        <w:t xml:space="preserve"> </w:t>
      </w:r>
      <w:r w:rsidRPr="00685AFB" w:rsidR="3DD75BF2">
        <w:t>the</w:t>
      </w:r>
      <w:r w:rsidRPr="00685AFB" w:rsidR="23156947">
        <w:t>se</w:t>
      </w:r>
      <w:r w:rsidRPr="00685AFB" w:rsidR="3DD75BF2">
        <w:t xml:space="preserve"> </w:t>
      </w:r>
      <w:r w:rsidR="006B5F39">
        <w:t>contractors</w:t>
      </w:r>
      <w:r w:rsidRPr="00685AFB" w:rsidR="73A5B91F">
        <w:t xml:space="preserve">. </w:t>
      </w:r>
    </w:p>
    <w:p w:rsidR="0005704C" w:rsidRPr="00B44357" w:rsidP="00D74FF4" w14:paraId="13C8A24C" w14:textId="77777777">
      <w:pPr>
        <w:pStyle w:val="Heading3"/>
        <w:rPr>
          <w:i w:val="0"/>
          <w:iCs/>
        </w:rPr>
      </w:pPr>
      <w:bookmarkStart w:id="4" w:name="_Toc433627271"/>
      <w:bookmarkStart w:id="5" w:name="_Toc429570392"/>
      <w:bookmarkStart w:id="6" w:name="_Toc410331703"/>
      <w:bookmarkStart w:id="7" w:name="_Toc410331597"/>
      <w:r w:rsidRPr="00B44357">
        <w:rPr>
          <w:i w:val="0"/>
          <w:iCs/>
        </w:rPr>
        <w:t>Sampling Method</w:t>
      </w:r>
      <w:bookmarkEnd w:id="4"/>
      <w:bookmarkEnd w:id="5"/>
      <w:bookmarkEnd w:id="6"/>
      <w:bookmarkEnd w:id="7"/>
    </w:p>
    <w:p w:rsidR="003F3610" w:rsidRPr="00B44357" w:rsidP="003F3610" w14:paraId="3867221C" w14:textId="1EAA7D03">
      <w:pPr>
        <w:ind w:left="720"/>
        <w:rPr>
          <w:iCs/>
        </w:rPr>
      </w:pPr>
      <w:r>
        <w:t>For Nursing Home and Hospital Survey</w:t>
      </w:r>
      <w:r w:rsidR="001F3FCB">
        <w:t>s</w:t>
      </w:r>
      <w:r>
        <w:t>, t</w:t>
      </w:r>
      <w:r w:rsidRPr="00FA3051" w:rsidR="001624DB">
        <w:t>he sample universe will be the nursing home and hospital administrators</w:t>
      </w:r>
      <w:r w:rsidRPr="00FA3051" w:rsidR="0039026D">
        <w:t xml:space="preserve"> who</w:t>
      </w:r>
      <w:r w:rsidRPr="00FA3051" w:rsidR="001624DB">
        <w:t xml:space="preserve"> are most familiar with the quality improvement initiatives of the</w:t>
      </w:r>
      <w:r w:rsidRPr="00FA3051" w:rsidR="0039026D">
        <w:t>ir</w:t>
      </w:r>
      <w:r w:rsidRPr="00FA3051" w:rsidR="001624DB">
        <w:t xml:space="preserve"> organization</w:t>
      </w:r>
      <w:r w:rsidRPr="00FA3051" w:rsidR="0039026D">
        <w:t>s</w:t>
      </w:r>
      <w:r w:rsidRPr="00FA3051" w:rsidR="001624DB">
        <w:t xml:space="preserve"> and </w:t>
      </w:r>
      <w:r w:rsidRPr="00FA3051" w:rsidR="00B13BB9">
        <w:t xml:space="preserve">who </w:t>
      </w:r>
      <w:r w:rsidRPr="00FA3051" w:rsidR="001624DB">
        <w:t xml:space="preserve">represent organizations that are qualified to participate in the </w:t>
      </w:r>
      <w:r w:rsidR="000E2B13">
        <w:t>quality improvement networks</w:t>
      </w:r>
      <w:r w:rsidRPr="00FA3051" w:rsidR="001624DB">
        <w:t xml:space="preserve"> being evaluated. Currently</w:t>
      </w:r>
      <w:r w:rsidRPr="00FA3051" w:rsidR="0039026D">
        <w:t>,</w:t>
      </w:r>
      <w:r w:rsidRPr="00FA3051" w:rsidR="001624DB">
        <w:t xml:space="preserve"> </w:t>
      </w:r>
      <w:r w:rsidRPr="00FA3051" w:rsidR="00B13BB9">
        <w:t>IEC</w:t>
      </w:r>
      <w:r w:rsidRPr="00FA3051" w:rsidR="001624DB">
        <w:t xml:space="preserve"> estimate</w:t>
      </w:r>
      <w:r w:rsidRPr="00FA3051" w:rsidR="00B13BB9">
        <w:t>s</w:t>
      </w:r>
      <w:r w:rsidRPr="00FA3051" w:rsidR="001624DB">
        <w:t xml:space="preserve"> that </w:t>
      </w:r>
      <w:r w:rsidR="000D0EC1">
        <w:t>15,498</w:t>
      </w:r>
      <w:r w:rsidRPr="00FA3051" w:rsidR="001817AB">
        <w:t xml:space="preserve"> </w:t>
      </w:r>
      <w:r w:rsidR="000D0EC1">
        <w:t>NHs</w:t>
      </w:r>
      <w:r w:rsidRPr="00FA3051" w:rsidR="001624DB">
        <w:t xml:space="preserve"> and </w:t>
      </w:r>
      <w:r w:rsidRPr="00F374D8" w:rsidR="00474D9F">
        <w:t>2</w:t>
      </w:r>
      <w:r w:rsidRPr="00F374D8" w:rsidR="005430BF">
        <w:t>,</w:t>
      </w:r>
      <w:r w:rsidR="48E0FE8A">
        <w:t>6</w:t>
      </w:r>
      <w:r w:rsidR="00107CD2">
        <w:t>38</w:t>
      </w:r>
      <w:r w:rsidRPr="00F374D8" w:rsidR="00746F6B">
        <w:t xml:space="preserve"> </w:t>
      </w:r>
      <w:r w:rsidRPr="00F374D8" w:rsidR="001624DB">
        <w:t>hospitals qualify to participate in the</w:t>
      </w:r>
      <w:r w:rsidRPr="00F374D8" w:rsidR="0039026D">
        <w:t>se</w:t>
      </w:r>
      <w:r w:rsidRPr="00F374D8" w:rsidR="001624DB">
        <w:t xml:space="preserve"> programs.</w:t>
      </w:r>
      <w:r w:rsidRPr="00FA3051" w:rsidR="001624DB">
        <w:t xml:space="preserve"> </w:t>
      </w:r>
      <w:r>
        <w:rPr>
          <w:iCs/>
        </w:rPr>
        <w:t xml:space="preserve">For </w:t>
      </w:r>
      <w:r w:rsidR="00B24E04">
        <w:rPr>
          <w:iCs/>
        </w:rPr>
        <w:t xml:space="preserve">the </w:t>
      </w:r>
      <w:r>
        <w:rPr>
          <w:iCs/>
        </w:rPr>
        <w:t xml:space="preserve">Outpatient Clinician Survey, </w:t>
      </w:r>
      <w:r>
        <w:t>t</w:t>
      </w:r>
      <w:r w:rsidRPr="00FA3051">
        <w:t xml:space="preserve">he sample universe will be </w:t>
      </w:r>
      <w:r>
        <w:t xml:space="preserve">outpatient clinicians who provide services within the zip codes defining the 519 QIN-QIO </w:t>
      </w:r>
      <w:r w:rsidR="00B35BB9">
        <w:t>enrolled communities</w:t>
      </w:r>
      <w:r>
        <w:t xml:space="preserve"> (as of July 2021) and who are familiar with the </w:t>
      </w:r>
      <w:r w:rsidRPr="00FA3051">
        <w:t>the</w:t>
      </w:r>
      <w:r w:rsidRPr="00FA3051">
        <w:t xml:space="preserve"> quality improvement </w:t>
      </w:r>
      <w:r w:rsidRPr="00FA3051">
        <w:t xml:space="preserve">initiatives of their </w:t>
      </w:r>
      <w:r>
        <w:t xml:space="preserve">employment </w:t>
      </w:r>
      <w:r w:rsidRPr="00FA3051">
        <w:t>organizations</w:t>
      </w:r>
      <w:r>
        <w:t>.</w:t>
      </w:r>
      <w:r w:rsidRPr="00FA3051">
        <w:t xml:space="preserve"> Currently, </w:t>
      </w:r>
      <w:r w:rsidR="00C656E3">
        <w:t xml:space="preserve">the </w:t>
      </w:r>
      <w:r w:rsidRPr="00FA3051">
        <w:t xml:space="preserve">IEC estimates that </w:t>
      </w:r>
      <w:r>
        <w:t>671,535</w:t>
      </w:r>
      <w:r w:rsidRPr="00FA3051">
        <w:t xml:space="preserve"> </w:t>
      </w:r>
      <w:r>
        <w:t xml:space="preserve">individual healthcare providers are located within the 519 </w:t>
      </w:r>
      <w:r w:rsidR="002A30C4">
        <w:t>communities</w:t>
      </w:r>
      <w:r>
        <w:t>.</w:t>
      </w:r>
      <w:r>
        <w:rPr>
          <w:rStyle w:val="FootnoteReference"/>
          <w:vertAlign w:val="superscript"/>
        </w:rPr>
        <w:footnoteReference w:id="3"/>
      </w:r>
      <w:r>
        <w:t xml:space="preserve"> </w:t>
      </w:r>
    </w:p>
    <w:p w:rsidR="003F3610" w:rsidP="21A325E7" w14:paraId="00F53AA3" w14:textId="77777777">
      <w:pPr>
        <w:ind w:left="720"/>
      </w:pPr>
    </w:p>
    <w:p w:rsidR="00090195" w:rsidRPr="00B44357" w:rsidP="21A325E7" w14:paraId="666EDCED" w14:textId="0AB1F49A">
      <w:pPr>
        <w:ind w:left="720"/>
        <w:rPr>
          <w:iCs/>
        </w:rPr>
      </w:pPr>
      <w:r w:rsidRPr="00FA3051">
        <w:t>IEC maintains a list of all qualifying and enrolled nursing homes</w:t>
      </w:r>
      <w:r w:rsidR="002B3C8E">
        <w:t xml:space="preserve">, </w:t>
      </w:r>
      <w:r w:rsidRPr="00FA3051">
        <w:t>hospitals</w:t>
      </w:r>
      <w:r w:rsidR="002B3C8E">
        <w:t>, and outpatient clinicians</w:t>
      </w:r>
      <w:r w:rsidR="008C1F01">
        <w:t xml:space="preserve"> provided by CMS or NQIIC contractors</w:t>
      </w:r>
      <w:r w:rsidRPr="00FA3051">
        <w:t xml:space="preserve">. Prior to sampling, IEC will </w:t>
      </w:r>
      <w:r w:rsidR="002B3C8E">
        <w:t xml:space="preserve">utilize the most updated enrollment data and </w:t>
      </w:r>
      <w:r w:rsidRPr="00FA3051" w:rsidR="002B3C8E">
        <w:t xml:space="preserve">remove any </w:t>
      </w:r>
      <w:r w:rsidR="002B3C8E">
        <w:t xml:space="preserve">individual </w:t>
      </w:r>
      <w:r w:rsidR="00864D44">
        <w:t>outpatient clinician</w:t>
      </w:r>
      <w:r w:rsidRPr="00FA3051" w:rsidR="002B3C8E">
        <w:t xml:space="preserve"> that have been </w:t>
      </w:r>
      <w:r w:rsidR="002B3C8E">
        <w:t>deactivated</w:t>
      </w:r>
      <w:r w:rsidRPr="00FA3051" w:rsidR="002B3C8E">
        <w:t xml:space="preserve"> </w:t>
      </w:r>
      <w:r w:rsidR="002B3C8E">
        <w:t>or</w:t>
      </w:r>
      <w:r w:rsidRPr="00FA3051">
        <w:t xml:space="preserve"> facilities that have been closed from </w:t>
      </w:r>
      <w:r w:rsidR="00B24E04">
        <w:t xml:space="preserve">the </w:t>
      </w:r>
      <w:r w:rsidR="002210E9">
        <w:t>sample frame</w:t>
      </w:r>
      <w:r w:rsidRPr="00FA3051">
        <w:t xml:space="preserve"> so that all nursing homes</w:t>
      </w:r>
      <w:r w:rsidR="002B3C8E">
        <w:t xml:space="preserve">, </w:t>
      </w:r>
      <w:r w:rsidRPr="00FA3051">
        <w:t>hospitals</w:t>
      </w:r>
      <w:r w:rsidR="002B3C8E">
        <w:t>, and outpatient clinicians</w:t>
      </w:r>
      <w:r w:rsidRPr="00FA3051">
        <w:t xml:space="preserve"> in the sample will </w:t>
      </w:r>
      <w:r w:rsidR="005E5C2C">
        <w:t xml:space="preserve">represent </w:t>
      </w:r>
      <w:r w:rsidRPr="00FA3051">
        <w:t>active billing facilities</w:t>
      </w:r>
      <w:r w:rsidR="008128CF">
        <w:t xml:space="preserve"> or providers</w:t>
      </w:r>
      <w:r w:rsidRPr="00FA3051">
        <w:t>.</w:t>
      </w:r>
    </w:p>
    <w:p w:rsidR="003F3610" w:rsidRPr="00B44357" w:rsidP="21A325E7" w14:paraId="4C9FB0C1" w14:textId="77777777">
      <w:pPr>
        <w:ind w:left="720"/>
        <w:rPr>
          <w:iCs/>
        </w:rPr>
      </w:pPr>
    </w:p>
    <w:p w:rsidR="00945A18" w:rsidRPr="00B44357" w:rsidP="21A325E7" w14:paraId="130709E4" w14:textId="231136BA">
      <w:pPr>
        <w:ind w:left="720"/>
        <w:rPr>
          <w:iCs/>
        </w:rPr>
      </w:pPr>
      <w:r w:rsidRPr="00FA3051">
        <w:t xml:space="preserve">Among the qualifying nursing homes and hospitals, a certain portion will not be enrolled in </w:t>
      </w:r>
      <w:r w:rsidR="00315103">
        <w:t>an</w:t>
      </w:r>
      <w:r w:rsidRPr="00FA3051">
        <w:t xml:space="preserve"> </w:t>
      </w:r>
      <w:r w:rsidRPr="00FA3051" w:rsidR="306D1026">
        <w:t>NQIIC</w:t>
      </w:r>
      <w:r w:rsidR="006C17E9">
        <w:t xml:space="preserve"> </w:t>
      </w:r>
      <w:r w:rsidRPr="00FA3051" w:rsidR="1A61792B">
        <w:t>p</w:t>
      </w:r>
      <w:r w:rsidRPr="00FA3051">
        <w:t>rogram. The size of this target subpopulation is small for nursing homes (</w:t>
      </w:r>
      <w:r w:rsidR="0032440C">
        <w:t>84</w:t>
      </w:r>
      <w:r w:rsidRPr="00FA3051">
        <w:t xml:space="preserve"> nursing homes</w:t>
      </w:r>
      <w:r w:rsidR="78A7E77A">
        <w:t>)</w:t>
      </w:r>
      <w:r w:rsidR="14740F84">
        <w:t xml:space="preserve">. </w:t>
      </w:r>
      <w:r w:rsidR="62287D77">
        <w:t>Since non-enrollment is such a small proportion of qualified nursing homes (1</w:t>
      </w:r>
      <w:r w:rsidR="00031AF8">
        <w:t>.9</w:t>
      </w:r>
      <w:r w:rsidR="62287D77">
        <w:t>%), this group w</w:t>
      </w:r>
      <w:r w:rsidR="001FD542">
        <w:t xml:space="preserve">ill be combined with nursing homes that are enrolled in the </w:t>
      </w:r>
      <w:r w:rsidR="157543F5">
        <w:t>program but have low or no participation.</w:t>
      </w:r>
      <w:r w:rsidR="00CF26C6">
        <w:t xml:space="preserve"> </w:t>
      </w:r>
      <w:r w:rsidR="00C57F95">
        <w:t>T</w:t>
      </w:r>
      <w:r w:rsidRPr="00FA3051">
        <w:t xml:space="preserve">he determination of </w:t>
      </w:r>
      <w:r w:rsidR="00D96DDE">
        <w:t>nursing home</w:t>
      </w:r>
      <w:r w:rsidR="00020228">
        <w:t xml:space="preserve">s </w:t>
      </w:r>
      <w:r w:rsidR="00610AA2">
        <w:t xml:space="preserve">with </w:t>
      </w:r>
      <w:r w:rsidRPr="00FA3051">
        <w:t xml:space="preserve">low participation </w:t>
      </w:r>
      <w:r w:rsidR="000E2B13">
        <w:t>with the</w:t>
      </w:r>
      <w:r w:rsidR="00163045">
        <w:t xml:space="preserve"> QIN-QIOs</w:t>
      </w:r>
      <w:r w:rsidRPr="00FA3051" w:rsidR="61858AAD">
        <w:t xml:space="preserve"> </w:t>
      </w:r>
      <w:r w:rsidRPr="00FA3051">
        <w:t>will be made using updated participation data when the final sample is drawn</w:t>
      </w:r>
      <w:r w:rsidR="007A0C9A">
        <w:t>.</w:t>
      </w:r>
      <w:r>
        <w:rPr>
          <w:rStyle w:val="FootnoteReference"/>
          <w:vertAlign w:val="superscript"/>
        </w:rPr>
        <w:footnoteReference w:id="4"/>
      </w:r>
      <w:r w:rsidRPr="00FA3051">
        <w:t xml:space="preserve"> </w:t>
      </w:r>
      <w:r w:rsidR="00323B56">
        <w:t xml:space="preserve">The </w:t>
      </w:r>
      <w:r w:rsidR="00CD196E">
        <w:t xml:space="preserve">participation data </w:t>
      </w:r>
      <w:r w:rsidR="008F4191">
        <w:t xml:space="preserve">for each nursing home enrolled </w:t>
      </w:r>
      <w:r w:rsidR="0068177C">
        <w:t>by a QIN-QIO</w:t>
      </w:r>
      <w:r w:rsidR="008F4191">
        <w:t xml:space="preserve"> </w:t>
      </w:r>
      <w:r w:rsidR="00093603">
        <w:t>is</w:t>
      </w:r>
      <w:r w:rsidR="00045AEF">
        <w:t xml:space="preserve"> continuously updated</w:t>
      </w:r>
      <w:r w:rsidR="008F4191">
        <w:t xml:space="preserve"> by</w:t>
      </w:r>
      <w:r w:rsidR="00A703B8">
        <w:t xml:space="preserve"> </w:t>
      </w:r>
      <w:r w:rsidR="000E0460">
        <w:t>the contractors</w:t>
      </w:r>
      <w:r w:rsidRPr="00FA3051" w:rsidR="00A703B8">
        <w:t xml:space="preserve"> in </w:t>
      </w:r>
      <w:r w:rsidR="00B46A02">
        <w:t>a</w:t>
      </w:r>
      <w:r w:rsidRPr="00FA3051" w:rsidR="00A703B8">
        <w:t xml:space="preserve"> </w:t>
      </w:r>
      <w:r w:rsidR="00593FF1">
        <w:t>dataset</w:t>
      </w:r>
      <w:r w:rsidR="00BB7841">
        <w:t xml:space="preserve"> housed in </w:t>
      </w:r>
      <w:r w:rsidR="00E307B8">
        <w:t>CMS</w:t>
      </w:r>
      <w:r w:rsidR="00AC7D64">
        <w:t>’ host environment</w:t>
      </w:r>
      <w:r w:rsidRPr="00FA3051" w:rsidR="00A703B8">
        <w:t xml:space="preserve">. </w:t>
      </w:r>
      <w:r w:rsidR="00D10610">
        <w:t xml:space="preserve">The data </w:t>
      </w:r>
      <w:r w:rsidR="002626E6">
        <w:t xml:space="preserve">describes each </w:t>
      </w:r>
      <w:r w:rsidR="00F465A6">
        <w:t xml:space="preserve">encounter between </w:t>
      </w:r>
      <w:r w:rsidR="005E5C61">
        <w:t>the QIN-QIO and nursing home</w:t>
      </w:r>
      <w:r w:rsidR="00427C9A">
        <w:t xml:space="preserve"> and includes fields </w:t>
      </w:r>
      <w:r w:rsidR="00F5788F">
        <w:t xml:space="preserve">for </w:t>
      </w:r>
      <w:r w:rsidR="00B46698">
        <w:t>time</w:t>
      </w:r>
      <w:r w:rsidR="00D2354B">
        <w:t xml:space="preserve"> spent</w:t>
      </w:r>
      <w:r w:rsidR="00B46698">
        <w:t xml:space="preserve"> (in hours)</w:t>
      </w:r>
      <w:r w:rsidR="00A8764F">
        <w:t>.</w:t>
      </w:r>
      <w:r w:rsidR="00B46698">
        <w:t xml:space="preserve"> </w:t>
      </w:r>
      <w:r w:rsidR="00AE2340">
        <w:t xml:space="preserve">Additional information on participation will be </w:t>
      </w:r>
      <w:r w:rsidR="00A704FA">
        <w:t xml:space="preserve">sourced </w:t>
      </w:r>
      <w:r w:rsidR="007B3302">
        <w:t>f</w:t>
      </w:r>
      <w:r w:rsidR="00D924AE">
        <w:t xml:space="preserve">rom records </w:t>
      </w:r>
      <w:r w:rsidR="00B458E9">
        <w:t xml:space="preserve">of </w:t>
      </w:r>
      <w:r w:rsidR="00A574CE">
        <w:t xml:space="preserve">nursing home </w:t>
      </w:r>
      <w:r w:rsidR="008B261A">
        <w:t xml:space="preserve">management and staff </w:t>
      </w:r>
      <w:r w:rsidR="001E6F54">
        <w:t xml:space="preserve">who completed training </w:t>
      </w:r>
      <w:r w:rsidR="006F2854">
        <w:t xml:space="preserve">in a series of </w:t>
      </w:r>
      <w:r w:rsidR="00926375">
        <w:t xml:space="preserve">online modules </w:t>
      </w:r>
      <w:r w:rsidR="0011547B">
        <w:t xml:space="preserve">focused on </w:t>
      </w:r>
      <w:r w:rsidR="00792902">
        <w:t xml:space="preserve">preventing and containing </w:t>
      </w:r>
      <w:r w:rsidR="00D218F1">
        <w:t xml:space="preserve">COVID-19 </w:t>
      </w:r>
      <w:r w:rsidR="009D3ED5">
        <w:t xml:space="preserve">infections </w:t>
      </w:r>
      <w:r w:rsidR="00881A03">
        <w:t xml:space="preserve">hosted by </w:t>
      </w:r>
      <w:r w:rsidR="00173962">
        <w:t xml:space="preserve">CMS and </w:t>
      </w:r>
      <w:r w:rsidR="005206D8">
        <w:t>promoted by QIN-QIOs</w:t>
      </w:r>
      <w:r w:rsidR="00823B18">
        <w:t>.</w:t>
      </w:r>
      <w:r w:rsidR="00F71E74">
        <w:t xml:space="preserve"> </w:t>
      </w:r>
      <w:r w:rsidR="007B691D">
        <w:t>For the hospital sampl</w:t>
      </w:r>
      <w:r w:rsidR="005D18BC">
        <w:t xml:space="preserve">es, </w:t>
      </w:r>
      <w:r w:rsidR="0009006F">
        <w:t>t</w:t>
      </w:r>
      <w:r w:rsidR="00F71E74">
        <w:t>here are 673 hospitals</w:t>
      </w:r>
      <w:r w:rsidR="00070E79">
        <w:t xml:space="preserve"> </w:t>
      </w:r>
      <w:r w:rsidR="00F71E74">
        <w:t xml:space="preserve">that are eligible for the program and </w:t>
      </w:r>
      <w:r w:rsidR="00AC77AF">
        <w:t xml:space="preserve">are </w:t>
      </w:r>
      <w:r w:rsidR="00F71E74">
        <w:t>not enrolled</w:t>
      </w:r>
      <w:r w:rsidR="00A3411E">
        <w:t xml:space="preserve">, which is sufficient </w:t>
      </w:r>
      <w:r w:rsidR="00501411">
        <w:t xml:space="preserve">to meet the </w:t>
      </w:r>
      <w:r w:rsidR="008B5795">
        <w:t xml:space="preserve">needs </w:t>
      </w:r>
      <w:r w:rsidR="00A01A17">
        <w:t>of the sample design</w:t>
      </w:r>
      <w:r w:rsidR="00F71E74">
        <w:t xml:space="preserve">. </w:t>
      </w:r>
      <w:r w:rsidR="0EFBE561">
        <w:t>There is currently no data available that can be used to gauge the level of participa</w:t>
      </w:r>
      <w:r w:rsidR="36323472">
        <w:t xml:space="preserve">tion of enrolled </w:t>
      </w:r>
      <w:r w:rsidR="0D855B6C">
        <w:t>hospitals,</w:t>
      </w:r>
      <w:r w:rsidR="7B9F1978">
        <w:t xml:space="preserve"> but level of engagement is measured in the survey questionnaire</w:t>
      </w:r>
      <w:r w:rsidR="36323472">
        <w:t xml:space="preserve">. Therefore, the sample </w:t>
      </w:r>
      <w:r w:rsidR="5995321F">
        <w:t>that would be allocated</w:t>
      </w:r>
      <w:r w:rsidR="00685841">
        <w:t xml:space="preserve"> </w:t>
      </w:r>
      <w:r w:rsidR="5995321F">
        <w:t>to the low participation group was combin</w:t>
      </w:r>
      <w:r w:rsidR="0DC3400C">
        <w:t xml:space="preserve">ed </w:t>
      </w:r>
      <w:r w:rsidR="00D640C8">
        <w:t xml:space="preserve">with the </w:t>
      </w:r>
      <w:r w:rsidR="0DC3400C">
        <w:t>moderate to high participation group.</w:t>
      </w:r>
    </w:p>
    <w:p w:rsidR="0005704C" w:rsidRPr="00B44357" w:rsidP="21A325E7" w14:paraId="10131FDC" w14:textId="52BA3512">
      <w:pPr>
        <w:ind w:left="720"/>
        <w:rPr>
          <w:iCs/>
        </w:rPr>
      </w:pPr>
    </w:p>
    <w:p w:rsidR="00E153F5" w:rsidRPr="00905557" w:rsidP="00702A36" w14:paraId="4801064F" w14:textId="70F83805">
      <w:pPr>
        <w:ind w:left="720"/>
      </w:pPr>
      <w:bookmarkStart w:id="8" w:name="_Hlk115758519"/>
      <w:r w:rsidRPr="00FA3051">
        <w:t>For  the nursing h</w:t>
      </w:r>
      <w:r w:rsidRPr="00FA3051" w:rsidR="12F2E1C2">
        <w:t>o</w:t>
      </w:r>
      <w:r w:rsidRPr="00FA3051">
        <w:t xml:space="preserve">me </w:t>
      </w:r>
      <w:r w:rsidR="66CC2D92">
        <w:t>survey</w:t>
      </w:r>
      <w:r w:rsidRPr="00FA3051" w:rsidR="1B92ABFF">
        <w:t>,</w:t>
      </w:r>
      <w:r w:rsidRPr="00FA3051">
        <w:t xml:space="preserve"> </w:t>
      </w:r>
      <w:r w:rsidR="00701F67">
        <w:t xml:space="preserve">the </w:t>
      </w:r>
      <w:r w:rsidR="00670E72">
        <w:t xml:space="preserve">IEC </w:t>
      </w:r>
      <w:r w:rsidRPr="00FA3051" w:rsidR="00670E72">
        <w:rPr>
          <w:iCs/>
        </w:rPr>
        <w:t xml:space="preserve">will </w:t>
      </w:r>
      <w:r w:rsidR="00C258CA">
        <w:rPr>
          <w:iCs/>
        </w:rPr>
        <w:t xml:space="preserve">collect </w:t>
      </w:r>
      <w:r w:rsidR="00496391">
        <w:rPr>
          <w:iCs/>
        </w:rPr>
        <w:t>1</w:t>
      </w:r>
      <w:r w:rsidR="00C258CA">
        <w:rPr>
          <w:iCs/>
        </w:rPr>
        <w:t xml:space="preserve">50 completed surveys from administrators </w:t>
      </w:r>
      <w:r w:rsidR="004378E7">
        <w:rPr>
          <w:iCs/>
        </w:rPr>
        <w:t xml:space="preserve">of facilities </w:t>
      </w:r>
      <w:r w:rsidRPr="00FA3051" w:rsidR="0092507E">
        <w:t xml:space="preserve">that are </w:t>
      </w:r>
      <w:r w:rsidR="0092507E">
        <w:t>not covered by any QIN-QIO services or only covered by one out of three QIN-QIO initiatives</w:t>
      </w:r>
      <w:r w:rsidR="00796A3A">
        <w:t xml:space="preserve"> (</w:t>
      </w:r>
      <w:r w:rsidR="004A6A5A">
        <w:t>LTC-NH, TR-QII, and PCH</w:t>
      </w:r>
      <w:r w:rsidR="00796A3A">
        <w:t>)</w:t>
      </w:r>
      <w:r w:rsidR="00702A36">
        <w:t xml:space="preserve">, 200 completed responses from </w:t>
      </w:r>
      <w:r w:rsidRPr="00FA3051" w:rsidR="0092507E">
        <w:t xml:space="preserve">administrators of </w:t>
      </w:r>
      <w:r w:rsidR="0092507E">
        <w:t xml:space="preserve">NHs </w:t>
      </w:r>
      <w:r w:rsidRPr="00FA3051" w:rsidR="0092507E">
        <w:t xml:space="preserve">that are </w:t>
      </w:r>
      <w:r w:rsidR="0092507E">
        <w:t>covered by two out of three QIN-QIO initiatives</w:t>
      </w:r>
      <w:r w:rsidR="00702A36">
        <w:t xml:space="preserve">, </w:t>
      </w:r>
      <w:r w:rsidR="001D61C5">
        <w:t>a</w:t>
      </w:r>
      <w:r w:rsidR="58CBD489">
        <w:t xml:space="preserve">n additional target of </w:t>
      </w:r>
      <w:r w:rsidR="001D61C5">
        <w:t>1</w:t>
      </w:r>
      <w:r w:rsidR="58CBD489">
        <w:t>50 completed surveys will be allocated to</w:t>
      </w:r>
      <w:r w:rsidR="40E48523">
        <w:t xml:space="preserve"> nursing homes that are </w:t>
      </w:r>
      <w:r w:rsidR="001D61C5">
        <w:t>covered by all three QIN-QIO ini</w:t>
      </w:r>
      <w:r w:rsidR="005E7283">
        <w:t>tiatives.</w:t>
      </w:r>
      <w:r w:rsidR="224BA863">
        <w:t xml:space="preserve"> For hospitals</w:t>
      </w:r>
      <w:r w:rsidR="4E714572">
        <w:t>,</w:t>
      </w:r>
      <w:r w:rsidR="00701F67">
        <w:t xml:space="preserve"> the</w:t>
      </w:r>
      <w:r w:rsidR="4E714572">
        <w:t xml:space="preserve"> </w:t>
      </w:r>
      <w:r w:rsidR="5F5A5A55">
        <w:t>IEC will seek</w:t>
      </w:r>
      <w:r w:rsidR="257422EE">
        <w:t xml:space="preserve"> a target of </w:t>
      </w:r>
      <w:r w:rsidR="004805FC">
        <w:t>280</w:t>
      </w:r>
      <w:r w:rsidR="6815C98C">
        <w:t xml:space="preserve"> </w:t>
      </w:r>
      <w:r w:rsidR="257422EE">
        <w:t xml:space="preserve">completes </w:t>
      </w:r>
      <w:r w:rsidR="0E401687">
        <w:t>among hospitals that are enrolled (regardless of participation level)</w:t>
      </w:r>
      <w:r w:rsidR="470AF530">
        <w:t xml:space="preserve">. An additional target of </w:t>
      </w:r>
      <w:r w:rsidR="004805FC">
        <w:t>220</w:t>
      </w:r>
      <w:r w:rsidR="22DF5928">
        <w:t xml:space="preserve"> </w:t>
      </w:r>
      <w:r w:rsidR="470AF530">
        <w:t>completed surveys will be allocated to hospitals that qualify but are not enrolled</w:t>
      </w:r>
      <w:r w:rsidR="336717E6">
        <w:t>.</w:t>
      </w:r>
      <w:r w:rsidR="58CBD489">
        <w:t xml:space="preserve"> </w:t>
      </w:r>
      <w:r w:rsidR="004805FC">
        <w:t>For outpatient clinicians,</w:t>
      </w:r>
      <w:r w:rsidR="00986B80">
        <w:t xml:space="preserve"> the</w:t>
      </w:r>
      <w:r w:rsidR="004805FC">
        <w:t xml:space="preserve"> IEC </w:t>
      </w:r>
      <w:r w:rsidRPr="00FA3051" w:rsidR="004805FC">
        <w:rPr>
          <w:iCs/>
        </w:rPr>
        <w:t xml:space="preserve">will </w:t>
      </w:r>
      <w:r w:rsidR="004805FC">
        <w:rPr>
          <w:iCs/>
        </w:rPr>
        <w:t xml:space="preserve">collect 450 completed surveys annually from individual providers actively enrolled with QIN-QIOs through </w:t>
      </w:r>
      <w:r w:rsidR="000D37B0">
        <w:rPr>
          <w:iCs/>
        </w:rPr>
        <w:t>pa</w:t>
      </w:r>
      <w:r w:rsidR="005E0066">
        <w:rPr>
          <w:iCs/>
        </w:rPr>
        <w:t>rtnership for community health</w:t>
      </w:r>
      <w:r w:rsidR="004805FC">
        <w:rPr>
          <w:iCs/>
        </w:rPr>
        <w:t xml:space="preserve"> programs</w:t>
      </w:r>
      <w:r w:rsidRPr="000E6EBD" w:rsidR="004805FC">
        <w:rPr>
          <w:iCs/>
        </w:rPr>
        <w:t xml:space="preserve">. </w:t>
      </w:r>
      <w:r w:rsidR="004805FC">
        <w:t xml:space="preserve">An additional target of 450 completed </w:t>
      </w:r>
      <w:r w:rsidR="004805FC">
        <w:t>surveys will be allocated to individual providers who are in the comparison group (i.e., not enrolled by</w:t>
      </w:r>
      <w:r w:rsidR="1531C2BF">
        <w:t xml:space="preserve"> a </w:t>
      </w:r>
      <w:r w:rsidR="004805FC">
        <w:t>QIN-QIO).</w:t>
      </w:r>
    </w:p>
    <w:p w:rsidR="001624DB" w:rsidRPr="00B44357" w:rsidP="007A0C9A" w14:paraId="1453285B" w14:textId="089B21EB">
      <w:pPr>
        <w:pStyle w:val="Caption"/>
        <w:rPr>
          <w:b w:val="0"/>
        </w:rPr>
      </w:pPr>
      <w:bookmarkStart w:id="9" w:name="_Ref449625004"/>
      <w:bookmarkEnd w:id="8"/>
      <w:r w:rsidRPr="00B44357">
        <w:rPr>
          <w:b w:val="0"/>
        </w:rPr>
        <w:t xml:space="preserve">Table </w:t>
      </w:r>
      <w:r w:rsidRPr="00B44357">
        <w:rPr>
          <w:b w:val="0"/>
        </w:rPr>
        <w:fldChar w:fldCharType="begin"/>
      </w:r>
      <w:r w:rsidRPr="00B44357">
        <w:rPr>
          <w:b w:val="0"/>
        </w:rPr>
        <w:instrText>SEQ Table \* ARABIC</w:instrText>
      </w:r>
      <w:r w:rsidRPr="00B44357">
        <w:rPr>
          <w:b w:val="0"/>
        </w:rPr>
        <w:fldChar w:fldCharType="separate"/>
      </w:r>
      <w:r w:rsidRPr="00B44357" w:rsidR="000C3B05">
        <w:rPr>
          <w:b w:val="0"/>
        </w:rPr>
        <w:t>1</w:t>
      </w:r>
      <w:r w:rsidRPr="00B44357">
        <w:rPr>
          <w:b w:val="0"/>
        </w:rPr>
        <w:fldChar w:fldCharType="end"/>
      </w:r>
      <w:bookmarkEnd w:id="9"/>
      <w:r w:rsidRPr="1C6BFF89" w:rsidR="31071DD5">
        <w:rPr>
          <w:b w:val="0"/>
        </w:rPr>
        <w:t>a</w:t>
      </w:r>
      <w:r w:rsidR="3246E91F">
        <w:rPr>
          <w:b w:val="0"/>
        </w:rPr>
        <w:t>:</w:t>
      </w:r>
      <w:r w:rsidRPr="00B44357">
        <w:rPr>
          <w:b w:val="0"/>
        </w:rPr>
        <w:t xml:space="preserve"> Summary of Sample Targets </w:t>
      </w:r>
      <w:r w:rsidR="00BE71D9">
        <w:rPr>
          <w:b w:val="0"/>
        </w:rPr>
        <w:t xml:space="preserve">for Nursing Homes </w:t>
      </w:r>
      <w:r w:rsidRPr="00B44357">
        <w:rPr>
          <w:b w:val="0"/>
        </w:rPr>
        <w:t>by Strata</w:t>
      </w:r>
    </w:p>
    <w:tbl>
      <w:tblPr>
        <w:tblStyle w:val="TableGrid"/>
        <w:tblW w:w="5000" w:type="pct"/>
        <w:tblLook w:val="04A0"/>
      </w:tblPr>
      <w:tblGrid>
        <w:gridCol w:w="3254"/>
        <w:gridCol w:w="1872"/>
        <w:gridCol w:w="4224"/>
      </w:tblGrid>
      <w:tr w14:paraId="43728688" w14:textId="77777777" w:rsidTr="00E0032D">
        <w:tblPrEx>
          <w:tblW w:w="5000" w:type="pct"/>
          <w:tblLook w:val="04A0"/>
        </w:tblPrEx>
        <w:trPr>
          <w:trHeight w:val="269"/>
          <w:tblHeader/>
        </w:trPr>
        <w:tc>
          <w:tcPr>
            <w:tcW w:w="1740" w:type="pct"/>
            <w:shd w:val="clear" w:color="auto" w:fill="D0CECE" w:themeFill="background2" w:themeFillShade="E6"/>
            <w:vAlign w:val="center"/>
          </w:tcPr>
          <w:p w:rsidR="003A7295" w:rsidRPr="00E0032D" w:rsidP="009F042E" w14:paraId="394B5786" w14:textId="035B4F7C">
            <w:pPr>
              <w:rPr>
                <w:rFonts w:eastAsia="Calibri" w:asciiTheme="majorHAnsi" w:hAnsiTheme="majorHAnsi" w:cstheme="majorHAnsi"/>
                <w:b/>
                <w:bCs/>
                <w:color w:val="000000" w:themeColor="text1"/>
                <w:sz w:val="22"/>
                <w:szCs w:val="22"/>
              </w:rPr>
            </w:pPr>
            <w:r w:rsidRPr="00E0032D">
              <w:rPr>
                <w:rFonts w:eastAsia="Calibri" w:asciiTheme="majorHAnsi" w:hAnsiTheme="majorHAnsi" w:cstheme="majorHAnsi"/>
                <w:b/>
                <w:bCs/>
                <w:color w:val="000000" w:themeColor="text1"/>
                <w:sz w:val="22"/>
                <w:szCs w:val="22"/>
              </w:rPr>
              <w:t>Strata</w:t>
            </w:r>
          </w:p>
        </w:tc>
        <w:tc>
          <w:tcPr>
            <w:tcW w:w="1001" w:type="pct"/>
            <w:tcBorders>
              <w:top w:val="single" w:sz="4" w:space="0" w:color="auto"/>
              <w:bottom w:val="single" w:sz="4" w:space="0" w:color="auto"/>
              <w:right w:val="single" w:sz="4" w:space="0" w:color="auto"/>
            </w:tcBorders>
            <w:shd w:val="clear" w:color="auto" w:fill="D0CECE" w:themeFill="background2" w:themeFillShade="E6"/>
            <w:vAlign w:val="center"/>
          </w:tcPr>
          <w:p w:rsidR="003A7295" w:rsidRPr="00E0032D" w:rsidP="009F042E" w14:paraId="24B447AB" w14:textId="6104EA10">
            <w:pPr>
              <w:rPr>
                <w:rFonts w:eastAsia="Calibri" w:asciiTheme="majorHAnsi" w:hAnsiTheme="majorHAnsi" w:cstheme="majorHAnsi"/>
                <w:b/>
                <w:bCs/>
                <w:color w:val="000000" w:themeColor="text1"/>
                <w:sz w:val="22"/>
                <w:szCs w:val="22"/>
              </w:rPr>
            </w:pPr>
            <w:r w:rsidRPr="00E0032D">
              <w:rPr>
                <w:rFonts w:eastAsia="Calibri" w:asciiTheme="majorHAnsi" w:hAnsiTheme="majorHAnsi" w:cstheme="majorHAnsi"/>
                <w:b/>
                <w:bCs/>
                <w:color w:val="000000" w:themeColor="text1"/>
                <w:sz w:val="22"/>
                <w:szCs w:val="22"/>
              </w:rPr>
              <w:t>Nursing Homes</w:t>
            </w:r>
          </w:p>
        </w:tc>
        <w:tc>
          <w:tcPr>
            <w:tcW w:w="2259"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3A7295" w:rsidRPr="00E0032D" w:rsidP="009F042E" w14:paraId="4DE31604" w14:textId="1494537D">
            <w:pPr>
              <w:rPr>
                <w:rFonts w:eastAsia="Calibri" w:asciiTheme="majorHAnsi" w:hAnsiTheme="majorHAnsi" w:cstheme="majorHAnsi"/>
                <w:b/>
                <w:bCs/>
                <w:color w:val="000000" w:themeColor="text1"/>
                <w:sz w:val="22"/>
                <w:szCs w:val="22"/>
              </w:rPr>
            </w:pPr>
            <w:r w:rsidRPr="00E0032D">
              <w:rPr>
                <w:rFonts w:eastAsia="Calibri" w:asciiTheme="majorHAnsi" w:hAnsiTheme="majorHAnsi" w:cstheme="majorHAnsi"/>
                <w:b/>
                <w:bCs/>
                <w:color w:val="000000" w:themeColor="text1"/>
                <w:sz w:val="22"/>
                <w:szCs w:val="22"/>
              </w:rPr>
              <w:t>Description</w:t>
            </w:r>
          </w:p>
        </w:tc>
      </w:tr>
      <w:tr w14:paraId="3F2F7EFF" w14:textId="77777777" w:rsidTr="009F042E">
        <w:tblPrEx>
          <w:tblW w:w="5000" w:type="pct"/>
          <w:tblLook w:val="04A0"/>
        </w:tblPrEx>
        <w:trPr>
          <w:trHeight w:val="600"/>
        </w:trPr>
        <w:tc>
          <w:tcPr>
            <w:tcW w:w="1740" w:type="pct"/>
            <w:vAlign w:val="center"/>
          </w:tcPr>
          <w:p w:rsidR="003A7295" w:rsidRPr="00AE1E2E" w:rsidP="000D1D71" w14:paraId="643F7CDC" w14:textId="55CF3070">
            <w:pPr>
              <w:rPr>
                <w:rFonts w:asciiTheme="majorHAnsi" w:hAnsiTheme="majorHAnsi" w:cstheme="majorHAnsi"/>
              </w:rPr>
            </w:pPr>
            <w:r w:rsidRPr="00546A51">
              <w:rPr>
                <w:rFonts w:eastAsia="Calibri" w:asciiTheme="majorHAnsi" w:hAnsiTheme="majorHAnsi" w:cstheme="majorHAnsi"/>
                <w:color w:val="000000" w:themeColor="text1"/>
                <w:sz w:val="22"/>
                <w:szCs w:val="22"/>
              </w:rPr>
              <w:t xml:space="preserve">Enrolled High </w:t>
            </w:r>
            <w:r w:rsidRPr="00B434C8" w:rsidR="00992652">
              <w:rPr>
                <w:rFonts w:eastAsia="Calibri" w:asciiTheme="majorHAnsi" w:hAnsiTheme="majorHAnsi" w:cstheme="majorHAnsi"/>
                <w:color w:val="000000" w:themeColor="text1"/>
                <w:sz w:val="22"/>
                <w:szCs w:val="22"/>
              </w:rPr>
              <w:t xml:space="preserve">Level of </w:t>
            </w:r>
            <w:r w:rsidRPr="00794437">
              <w:rPr>
                <w:rFonts w:eastAsia="Calibri" w:asciiTheme="majorHAnsi" w:hAnsiTheme="majorHAnsi" w:cstheme="majorHAnsi"/>
                <w:color w:val="000000" w:themeColor="text1"/>
                <w:sz w:val="22"/>
                <w:szCs w:val="22"/>
              </w:rPr>
              <w:t>Participation</w:t>
            </w:r>
          </w:p>
        </w:tc>
        <w:tc>
          <w:tcPr>
            <w:tcW w:w="1001" w:type="pct"/>
            <w:tcBorders>
              <w:top w:val="single" w:sz="4" w:space="0" w:color="auto"/>
              <w:bottom w:val="single" w:sz="4" w:space="0" w:color="auto"/>
              <w:right w:val="single" w:sz="4" w:space="0" w:color="auto"/>
            </w:tcBorders>
            <w:vAlign w:val="center"/>
          </w:tcPr>
          <w:p w:rsidR="003A7295" w:rsidRPr="00A34749" w:rsidP="009F042E" w14:paraId="0C1727E9" w14:textId="08821F91">
            <w:pPr>
              <w:rPr>
                <w:rFonts w:eastAsia="Calibri" w:asciiTheme="majorHAnsi" w:hAnsiTheme="majorHAnsi" w:cstheme="majorHAnsi"/>
                <w:color w:val="000000" w:themeColor="text1"/>
                <w:sz w:val="22"/>
                <w:szCs w:val="22"/>
              </w:rPr>
            </w:pPr>
            <w:r>
              <w:rPr>
                <w:rFonts w:eastAsia="Calibri" w:asciiTheme="majorHAnsi" w:hAnsiTheme="majorHAnsi" w:cstheme="majorHAnsi"/>
                <w:color w:val="000000" w:themeColor="text1"/>
                <w:sz w:val="22"/>
                <w:szCs w:val="22"/>
              </w:rPr>
              <w:t>1</w:t>
            </w:r>
            <w:r w:rsidRPr="00A34749">
              <w:rPr>
                <w:rFonts w:eastAsia="Calibri" w:asciiTheme="majorHAnsi" w:hAnsiTheme="majorHAnsi" w:cstheme="majorHAnsi"/>
                <w:color w:val="000000" w:themeColor="text1"/>
                <w:sz w:val="22"/>
                <w:szCs w:val="22"/>
              </w:rPr>
              <w:t>50</w:t>
            </w:r>
          </w:p>
        </w:tc>
        <w:tc>
          <w:tcPr>
            <w:tcW w:w="2259" w:type="pct"/>
            <w:tcBorders>
              <w:top w:val="single" w:sz="4" w:space="0" w:color="auto"/>
              <w:left w:val="single" w:sz="4" w:space="0" w:color="auto"/>
              <w:bottom w:val="single" w:sz="4" w:space="0" w:color="auto"/>
              <w:right w:val="single" w:sz="4" w:space="0" w:color="auto"/>
            </w:tcBorders>
            <w:vAlign w:val="center"/>
          </w:tcPr>
          <w:p w:rsidR="003A7295" w:rsidRPr="00A34749" w:rsidP="000D1D71" w14:paraId="13C90D4D" w14:textId="5B1B11F2">
            <w:pPr>
              <w:rPr>
                <w:rFonts w:asciiTheme="majorHAnsi" w:hAnsiTheme="majorHAnsi" w:cstheme="majorHAnsi"/>
              </w:rPr>
            </w:pPr>
            <w:r w:rsidRPr="00A34749">
              <w:rPr>
                <w:rFonts w:eastAsia="Calibri" w:asciiTheme="majorHAnsi" w:hAnsiTheme="majorHAnsi" w:cstheme="majorHAnsi"/>
                <w:color w:val="000000" w:themeColor="text1"/>
                <w:sz w:val="22"/>
                <w:szCs w:val="22"/>
              </w:rPr>
              <w:t xml:space="preserve">Enrolled </w:t>
            </w:r>
            <w:r w:rsidR="000D1D71">
              <w:rPr>
                <w:rFonts w:eastAsia="Calibri" w:asciiTheme="majorHAnsi" w:hAnsiTheme="majorHAnsi" w:cstheme="majorHAnsi"/>
                <w:color w:val="000000" w:themeColor="text1"/>
                <w:sz w:val="22"/>
                <w:szCs w:val="22"/>
              </w:rPr>
              <w:t>with all three QIN-QIO initiatives</w:t>
            </w:r>
          </w:p>
        </w:tc>
      </w:tr>
      <w:tr w14:paraId="589D30AD" w14:textId="77777777" w:rsidTr="009F042E">
        <w:tblPrEx>
          <w:tblW w:w="5000" w:type="pct"/>
          <w:tblLook w:val="04A0"/>
        </w:tblPrEx>
        <w:trPr>
          <w:trHeight w:val="600"/>
        </w:trPr>
        <w:tc>
          <w:tcPr>
            <w:tcW w:w="1740" w:type="pct"/>
            <w:vAlign w:val="center"/>
          </w:tcPr>
          <w:p w:rsidR="001735F4" w:rsidRPr="00546A51" w:rsidP="000D1D71" w14:paraId="6E10E1D9" w14:textId="6DB052DB">
            <w:pPr>
              <w:rPr>
                <w:rFonts w:eastAsia="Calibri" w:asciiTheme="majorHAnsi" w:hAnsiTheme="majorHAnsi" w:cstheme="majorHAnsi"/>
                <w:color w:val="000000" w:themeColor="text1"/>
                <w:sz w:val="22"/>
                <w:szCs w:val="22"/>
              </w:rPr>
            </w:pPr>
            <w:r w:rsidRPr="00546A51">
              <w:rPr>
                <w:rFonts w:eastAsia="Calibri" w:asciiTheme="majorHAnsi" w:hAnsiTheme="majorHAnsi" w:cstheme="majorHAnsi"/>
                <w:color w:val="000000" w:themeColor="text1"/>
                <w:sz w:val="22"/>
                <w:szCs w:val="22"/>
              </w:rPr>
              <w:t xml:space="preserve">Enrolled </w:t>
            </w:r>
            <w:r>
              <w:rPr>
                <w:rFonts w:eastAsia="Calibri" w:asciiTheme="majorHAnsi" w:hAnsiTheme="majorHAnsi" w:cstheme="majorHAnsi"/>
                <w:color w:val="000000" w:themeColor="text1"/>
                <w:sz w:val="22"/>
                <w:szCs w:val="22"/>
              </w:rPr>
              <w:t>Moderate</w:t>
            </w:r>
            <w:r w:rsidRPr="00546A51">
              <w:rPr>
                <w:rFonts w:eastAsia="Calibri" w:asciiTheme="majorHAnsi" w:hAnsiTheme="majorHAnsi" w:cstheme="majorHAnsi"/>
                <w:color w:val="000000" w:themeColor="text1"/>
                <w:sz w:val="22"/>
                <w:szCs w:val="22"/>
              </w:rPr>
              <w:t xml:space="preserve"> </w:t>
            </w:r>
            <w:r w:rsidRPr="00B434C8">
              <w:rPr>
                <w:rFonts w:eastAsia="Calibri" w:asciiTheme="majorHAnsi" w:hAnsiTheme="majorHAnsi" w:cstheme="majorHAnsi"/>
                <w:color w:val="000000" w:themeColor="text1"/>
                <w:sz w:val="22"/>
                <w:szCs w:val="22"/>
              </w:rPr>
              <w:t xml:space="preserve">Level of </w:t>
            </w:r>
            <w:r w:rsidRPr="00794437">
              <w:rPr>
                <w:rFonts w:eastAsia="Calibri" w:asciiTheme="majorHAnsi" w:hAnsiTheme="majorHAnsi" w:cstheme="majorHAnsi"/>
                <w:color w:val="000000" w:themeColor="text1"/>
                <w:sz w:val="22"/>
                <w:szCs w:val="22"/>
              </w:rPr>
              <w:t>Participation</w:t>
            </w:r>
          </w:p>
        </w:tc>
        <w:tc>
          <w:tcPr>
            <w:tcW w:w="1001" w:type="pct"/>
            <w:tcBorders>
              <w:top w:val="single" w:sz="4" w:space="0" w:color="auto"/>
              <w:left w:val="single" w:sz="4" w:space="0" w:color="auto"/>
              <w:bottom w:val="single" w:sz="4" w:space="0" w:color="auto"/>
              <w:right w:val="single" w:sz="4" w:space="0" w:color="auto"/>
            </w:tcBorders>
            <w:vAlign w:val="center"/>
          </w:tcPr>
          <w:p w:rsidR="001735F4" w:rsidP="009F042E" w14:paraId="18B5330D" w14:textId="740F6AEE">
            <w:pPr>
              <w:rPr>
                <w:rFonts w:eastAsia="Calibri" w:asciiTheme="majorHAnsi" w:hAnsiTheme="majorHAnsi" w:cstheme="majorHAnsi"/>
                <w:color w:val="000000" w:themeColor="text1"/>
                <w:sz w:val="22"/>
                <w:szCs w:val="22"/>
              </w:rPr>
            </w:pPr>
            <w:r>
              <w:rPr>
                <w:rFonts w:eastAsia="Calibri" w:asciiTheme="majorHAnsi" w:hAnsiTheme="majorHAnsi" w:cstheme="majorHAnsi"/>
                <w:color w:val="000000" w:themeColor="text1"/>
                <w:sz w:val="22"/>
                <w:szCs w:val="22"/>
              </w:rPr>
              <w:t>200</w:t>
            </w:r>
          </w:p>
        </w:tc>
        <w:tc>
          <w:tcPr>
            <w:tcW w:w="2259" w:type="pct"/>
            <w:tcBorders>
              <w:top w:val="single" w:sz="4" w:space="0" w:color="auto"/>
              <w:left w:val="single" w:sz="4" w:space="0" w:color="auto"/>
              <w:bottom w:val="single" w:sz="4" w:space="0" w:color="auto"/>
              <w:right w:val="single" w:sz="4" w:space="0" w:color="auto"/>
            </w:tcBorders>
            <w:vAlign w:val="center"/>
          </w:tcPr>
          <w:p w:rsidR="001735F4" w:rsidRPr="005A4D5A" w:rsidP="000D1D71" w14:paraId="7A743EE1" w14:textId="6A432812">
            <w:pPr>
              <w:rPr>
                <w:rFonts w:eastAsia="Calibri" w:asciiTheme="majorHAnsi" w:hAnsiTheme="majorHAnsi" w:cstheme="majorHAnsi"/>
                <w:color w:val="000000" w:themeColor="text1"/>
                <w:sz w:val="22"/>
                <w:szCs w:val="22"/>
              </w:rPr>
            </w:pPr>
            <w:r w:rsidRPr="00A34749">
              <w:rPr>
                <w:rFonts w:eastAsia="Calibri" w:asciiTheme="majorHAnsi" w:hAnsiTheme="majorHAnsi" w:cstheme="majorHAnsi"/>
                <w:color w:val="000000" w:themeColor="text1"/>
                <w:sz w:val="22"/>
                <w:szCs w:val="22"/>
              </w:rPr>
              <w:t xml:space="preserve">Enrolled </w:t>
            </w:r>
            <w:r>
              <w:rPr>
                <w:rFonts w:eastAsia="Calibri" w:asciiTheme="majorHAnsi" w:hAnsiTheme="majorHAnsi" w:cstheme="majorHAnsi"/>
                <w:color w:val="000000" w:themeColor="text1"/>
                <w:sz w:val="22"/>
                <w:szCs w:val="22"/>
              </w:rPr>
              <w:t>with two out of three QIN-QIO initiatives</w:t>
            </w:r>
          </w:p>
        </w:tc>
      </w:tr>
      <w:tr w14:paraId="6A9D422D" w14:textId="77777777" w:rsidTr="009F042E">
        <w:tblPrEx>
          <w:tblW w:w="5000" w:type="pct"/>
          <w:tblLook w:val="04A0"/>
        </w:tblPrEx>
        <w:trPr>
          <w:trHeight w:val="485"/>
        </w:trPr>
        <w:tc>
          <w:tcPr>
            <w:tcW w:w="1740" w:type="pct"/>
            <w:vAlign w:val="center"/>
          </w:tcPr>
          <w:p w:rsidR="003A7295" w:rsidRPr="00794437" w:rsidP="000D1D71" w14:paraId="12DE0494" w14:textId="388C6880">
            <w:pPr>
              <w:rPr>
                <w:rFonts w:eastAsia="Calibri" w:asciiTheme="majorHAnsi" w:hAnsiTheme="majorHAnsi" w:cstheme="majorHAnsi"/>
                <w:color w:val="000000" w:themeColor="text1"/>
                <w:sz w:val="22"/>
                <w:szCs w:val="22"/>
              </w:rPr>
            </w:pPr>
            <w:r w:rsidRPr="00546A51">
              <w:rPr>
                <w:rFonts w:eastAsia="Calibri" w:asciiTheme="majorHAnsi" w:hAnsiTheme="majorHAnsi" w:cstheme="majorHAnsi"/>
                <w:color w:val="000000" w:themeColor="text1"/>
                <w:sz w:val="22"/>
                <w:szCs w:val="22"/>
              </w:rPr>
              <w:t>Enrolled Low Participation</w:t>
            </w:r>
            <w:r w:rsidRPr="00546A51" w:rsidR="1598A980">
              <w:rPr>
                <w:rFonts w:eastAsia="Calibri" w:asciiTheme="majorHAnsi" w:hAnsiTheme="majorHAnsi" w:cstheme="majorHAnsi"/>
                <w:color w:val="000000" w:themeColor="text1"/>
                <w:sz w:val="22"/>
                <w:szCs w:val="22"/>
              </w:rPr>
              <w:t xml:space="preserve"> </w:t>
            </w:r>
            <w:r w:rsidR="00260696">
              <w:rPr>
                <w:rFonts w:eastAsia="Calibri" w:asciiTheme="majorHAnsi" w:hAnsiTheme="majorHAnsi" w:cstheme="majorHAnsi"/>
                <w:color w:val="000000" w:themeColor="text1"/>
                <w:sz w:val="22"/>
                <w:szCs w:val="22"/>
              </w:rPr>
              <w:t>or</w:t>
            </w:r>
            <w:r w:rsidRPr="00546A51" w:rsidR="1598A980">
              <w:rPr>
                <w:rFonts w:eastAsia="Calibri" w:asciiTheme="majorHAnsi" w:hAnsiTheme="majorHAnsi" w:cstheme="majorHAnsi"/>
                <w:color w:val="000000" w:themeColor="text1"/>
                <w:sz w:val="22"/>
                <w:szCs w:val="22"/>
              </w:rPr>
              <w:t xml:space="preserve"> Not Enrolled</w:t>
            </w:r>
          </w:p>
        </w:tc>
        <w:tc>
          <w:tcPr>
            <w:tcW w:w="1001" w:type="pct"/>
            <w:tcBorders>
              <w:top w:val="single" w:sz="4" w:space="0" w:color="auto"/>
              <w:left w:val="single" w:sz="4" w:space="0" w:color="auto"/>
              <w:bottom w:val="single" w:sz="4" w:space="0" w:color="auto"/>
              <w:right w:val="single" w:sz="4" w:space="0" w:color="auto"/>
            </w:tcBorders>
            <w:vAlign w:val="center"/>
          </w:tcPr>
          <w:p w:rsidR="003A7295" w:rsidRPr="00AE1E2E" w:rsidP="009F042E" w14:paraId="0251ED4D" w14:textId="7D91CC70">
            <w:pPr>
              <w:rPr>
                <w:rFonts w:eastAsia="Calibri" w:asciiTheme="majorHAnsi" w:hAnsiTheme="majorHAnsi" w:cstheme="majorHAnsi"/>
                <w:color w:val="000000" w:themeColor="text1"/>
                <w:sz w:val="22"/>
                <w:szCs w:val="22"/>
              </w:rPr>
            </w:pPr>
            <w:r>
              <w:rPr>
                <w:rFonts w:eastAsia="Calibri" w:asciiTheme="majorHAnsi" w:hAnsiTheme="majorHAnsi" w:cstheme="majorHAnsi"/>
                <w:color w:val="000000" w:themeColor="text1"/>
                <w:sz w:val="22"/>
                <w:szCs w:val="22"/>
              </w:rPr>
              <w:t>1</w:t>
            </w:r>
            <w:r w:rsidRPr="00AE1E2E">
              <w:rPr>
                <w:rFonts w:eastAsia="Calibri" w:asciiTheme="majorHAnsi" w:hAnsiTheme="majorHAnsi" w:cstheme="majorHAnsi"/>
                <w:color w:val="000000" w:themeColor="text1"/>
                <w:sz w:val="22"/>
                <w:szCs w:val="22"/>
              </w:rPr>
              <w:t>50</w:t>
            </w:r>
          </w:p>
        </w:tc>
        <w:tc>
          <w:tcPr>
            <w:tcW w:w="2259" w:type="pct"/>
            <w:tcBorders>
              <w:top w:val="single" w:sz="4" w:space="0" w:color="auto"/>
              <w:left w:val="single" w:sz="4" w:space="0" w:color="auto"/>
              <w:bottom w:val="single" w:sz="4" w:space="0" w:color="auto"/>
              <w:right w:val="single" w:sz="4" w:space="0" w:color="auto"/>
            </w:tcBorders>
            <w:vAlign w:val="center"/>
          </w:tcPr>
          <w:p w:rsidR="003A7295" w:rsidRPr="000C74D5" w:rsidP="00DC6662" w14:paraId="30493BB2" w14:textId="0694B774">
            <w:pPr>
              <w:rPr>
                <w:rFonts w:eastAsia="Calibri" w:asciiTheme="majorHAnsi" w:hAnsiTheme="majorHAnsi" w:cstheme="majorHAnsi"/>
                <w:color w:val="000000" w:themeColor="text1"/>
              </w:rPr>
            </w:pPr>
            <w:r w:rsidRPr="005A4D5A">
              <w:rPr>
                <w:rFonts w:eastAsia="Calibri" w:asciiTheme="majorHAnsi" w:hAnsiTheme="majorHAnsi" w:cstheme="majorHAnsi"/>
                <w:color w:val="000000" w:themeColor="text1"/>
                <w:sz w:val="22"/>
                <w:szCs w:val="22"/>
              </w:rPr>
              <w:t>Enrolled</w:t>
            </w:r>
            <w:r w:rsidR="00004AB4">
              <w:rPr>
                <w:rFonts w:eastAsia="Calibri" w:asciiTheme="majorHAnsi" w:hAnsiTheme="majorHAnsi" w:cstheme="majorHAnsi"/>
                <w:color w:val="000000" w:themeColor="text1"/>
                <w:sz w:val="22"/>
                <w:szCs w:val="22"/>
              </w:rPr>
              <w:t xml:space="preserve"> with only one out of three QIN-QIO initiatives</w:t>
            </w:r>
            <w:r w:rsidRPr="005A4D5A">
              <w:rPr>
                <w:rFonts w:eastAsia="Calibri" w:asciiTheme="majorHAnsi" w:hAnsiTheme="majorHAnsi" w:cstheme="majorHAnsi"/>
                <w:color w:val="000000" w:themeColor="text1"/>
                <w:sz w:val="22"/>
                <w:szCs w:val="22"/>
              </w:rPr>
              <w:t xml:space="preserve"> </w:t>
            </w:r>
            <w:r w:rsidR="00260696">
              <w:rPr>
                <w:rFonts w:eastAsia="Calibri" w:asciiTheme="majorHAnsi" w:hAnsiTheme="majorHAnsi" w:cstheme="majorHAnsi"/>
                <w:color w:val="000000" w:themeColor="text1"/>
                <w:sz w:val="22"/>
                <w:szCs w:val="22"/>
              </w:rPr>
              <w:t>or</w:t>
            </w:r>
            <w:r w:rsidRPr="00546A51" w:rsidR="0437914E">
              <w:rPr>
                <w:rFonts w:eastAsia="Calibri" w:asciiTheme="majorHAnsi" w:hAnsiTheme="majorHAnsi" w:cstheme="majorHAnsi"/>
                <w:color w:val="000000" w:themeColor="text1"/>
                <w:sz w:val="22"/>
                <w:szCs w:val="22"/>
              </w:rPr>
              <w:t xml:space="preserve"> </w:t>
            </w:r>
            <w:r w:rsidRPr="00546A51" w:rsidR="1862E9A4">
              <w:rPr>
                <w:rFonts w:eastAsia="Calibri" w:asciiTheme="majorHAnsi" w:hAnsiTheme="majorHAnsi" w:cstheme="majorHAnsi"/>
                <w:color w:val="000000" w:themeColor="text1"/>
                <w:sz w:val="22"/>
                <w:szCs w:val="22"/>
              </w:rPr>
              <w:t>qualifying</w:t>
            </w:r>
            <w:r w:rsidRPr="00B434C8" w:rsidR="0437914E">
              <w:rPr>
                <w:rFonts w:eastAsia="Calibri" w:asciiTheme="majorHAnsi" w:hAnsiTheme="majorHAnsi" w:cstheme="majorHAnsi"/>
                <w:color w:val="000000" w:themeColor="text1"/>
                <w:sz w:val="22"/>
                <w:szCs w:val="22"/>
              </w:rPr>
              <w:t xml:space="preserve"> but not enrolled</w:t>
            </w:r>
          </w:p>
        </w:tc>
      </w:tr>
      <w:tr w14:paraId="6284245B" w14:textId="77777777" w:rsidTr="009F042E">
        <w:tblPrEx>
          <w:tblW w:w="5000" w:type="pct"/>
          <w:tblLook w:val="04A0"/>
        </w:tblPrEx>
        <w:trPr>
          <w:trHeight w:val="300"/>
        </w:trPr>
        <w:tc>
          <w:tcPr>
            <w:tcW w:w="1740" w:type="pct"/>
            <w:vAlign w:val="center"/>
          </w:tcPr>
          <w:p w:rsidR="003A7295" w:rsidRPr="000C74D5" w:rsidP="000D1D71" w14:paraId="58DEBF01" w14:textId="40B2C651">
            <w:pPr>
              <w:rPr>
                <w:rFonts w:asciiTheme="majorHAnsi" w:hAnsiTheme="majorHAnsi" w:cstheme="majorHAnsi"/>
              </w:rPr>
            </w:pPr>
            <w:r w:rsidRPr="000C74D5">
              <w:rPr>
                <w:rFonts w:eastAsia="Calibri" w:asciiTheme="majorHAnsi" w:hAnsiTheme="majorHAnsi" w:cstheme="majorHAnsi"/>
                <w:color w:val="000000" w:themeColor="text1"/>
                <w:sz w:val="22"/>
                <w:szCs w:val="22"/>
              </w:rPr>
              <w:t>Total</w:t>
            </w:r>
          </w:p>
        </w:tc>
        <w:tc>
          <w:tcPr>
            <w:tcW w:w="1001" w:type="pct"/>
            <w:tcBorders>
              <w:top w:val="nil"/>
              <w:left w:val="single" w:sz="4" w:space="0" w:color="auto"/>
              <w:bottom w:val="single" w:sz="4" w:space="0" w:color="auto"/>
              <w:right w:val="single" w:sz="4" w:space="0" w:color="auto"/>
            </w:tcBorders>
            <w:vAlign w:val="center"/>
          </w:tcPr>
          <w:p w:rsidR="003A7295" w:rsidRPr="000C74D5" w:rsidP="009F042E" w14:paraId="3FC1C507" w14:textId="256EDCCE">
            <w:pPr>
              <w:rPr>
                <w:rFonts w:eastAsia="Calibri" w:asciiTheme="majorHAnsi" w:hAnsiTheme="majorHAnsi" w:cstheme="majorHAnsi"/>
                <w:color w:val="000000" w:themeColor="text1"/>
                <w:sz w:val="22"/>
                <w:szCs w:val="22"/>
              </w:rPr>
            </w:pPr>
            <w:r w:rsidRPr="000C74D5">
              <w:rPr>
                <w:rFonts w:eastAsia="Calibri" w:asciiTheme="majorHAnsi" w:hAnsiTheme="majorHAnsi" w:cstheme="majorHAnsi"/>
                <w:color w:val="000000" w:themeColor="text1"/>
                <w:sz w:val="22"/>
                <w:szCs w:val="22"/>
              </w:rPr>
              <w:t>500</w:t>
            </w:r>
          </w:p>
        </w:tc>
        <w:tc>
          <w:tcPr>
            <w:tcW w:w="2259" w:type="pct"/>
            <w:tcBorders>
              <w:top w:val="single" w:sz="4" w:space="0" w:color="auto"/>
              <w:left w:val="single" w:sz="4" w:space="0" w:color="auto"/>
              <w:bottom w:val="single" w:sz="4" w:space="0" w:color="auto"/>
              <w:right w:val="single" w:sz="4" w:space="0" w:color="auto"/>
            </w:tcBorders>
            <w:vAlign w:val="center"/>
          </w:tcPr>
          <w:p w:rsidR="003A7295" w:rsidRPr="000C74D5" w:rsidP="000D1D71" w14:paraId="030935B3" w14:textId="74885869">
            <w:pPr>
              <w:rPr>
                <w:rFonts w:eastAsia="Calibri" w:asciiTheme="majorHAnsi" w:hAnsiTheme="majorHAnsi" w:cstheme="majorHAnsi"/>
                <w:color w:val="000000" w:themeColor="text1"/>
                <w:sz w:val="22"/>
                <w:szCs w:val="22"/>
              </w:rPr>
            </w:pPr>
          </w:p>
        </w:tc>
      </w:tr>
    </w:tbl>
    <w:p w:rsidR="009C4C3F" w:rsidRPr="00B44357" w:rsidP="007A0C9A" w14:paraId="3EE5B9E9" w14:textId="4240DF4E">
      <w:pPr>
        <w:pStyle w:val="Caption"/>
        <w:rPr>
          <w:b w:val="0"/>
        </w:rPr>
      </w:pPr>
      <w:r w:rsidRPr="00B44357">
        <w:rPr>
          <w:b w:val="0"/>
        </w:rPr>
        <w:t xml:space="preserve">Table </w:t>
      </w:r>
      <w:r w:rsidRPr="00B44357">
        <w:rPr>
          <w:b w:val="0"/>
        </w:rPr>
        <w:fldChar w:fldCharType="begin"/>
      </w:r>
      <w:r w:rsidRPr="00B44357">
        <w:rPr>
          <w:b w:val="0"/>
        </w:rPr>
        <w:instrText>SEQ Table \* ARABIC</w:instrText>
      </w:r>
      <w:r w:rsidRPr="00B44357">
        <w:rPr>
          <w:b w:val="0"/>
        </w:rPr>
        <w:fldChar w:fldCharType="separate"/>
      </w:r>
      <w:r w:rsidRPr="00B44357">
        <w:rPr>
          <w:b w:val="0"/>
          <w:noProof/>
        </w:rPr>
        <w:t>1</w:t>
      </w:r>
      <w:r w:rsidRPr="00B44357">
        <w:rPr>
          <w:b w:val="0"/>
        </w:rPr>
        <w:fldChar w:fldCharType="end"/>
      </w:r>
      <w:r w:rsidRPr="1C6BFF89" w:rsidR="14DA68B2">
        <w:rPr>
          <w:b w:val="0"/>
        </w:rPr>
        <w:t>b</w:t>
      </w:r>
      <w:r w:rsidR="0FEB4A86">
        <w:rPr>
          <w:b w:val="0"/>
        </w:rPr>
        <w:t>:</w:t>
      </w:r>
      <w:r w:rsidRPr="00B44357">
        <w:rPr>
          <w:b w:val="0"/>
        </w:rPr>
        <w:t xml:space="preserve"> Summary of Sample Targets </w:t>
      </w:r>
      <w:r>
        <w:rPr>
          <w:b w:val="0"/>
        </w:rPr>
        <w:t xml:space="preserve">for Hospitals </w:t>
      </w:r>
      <w:r w:rsidRPr="00B44357">
        <w:rPr>
          <w:b w:val="0"/>
        </w:rPr>
        <w:t>by Strata</w:t>
      </w:r>
    </w:p>
    <w:tbl>
      <w:tblPr>
        <w:tblStyle w:val="TableGrid"/>
        <w:tblW w:w="5000" w:type="pct"/>
        <w:tblLook w:val="04A0"/>
      </w:tblPr>
      <w:tblGrid>
        <w:gridCol w:w="1526"/>
        <w:gridCol w:w="2160"/>
        <w:gridCol w:w="5664"/>
      </w:tblGrid>
      <w:tr w14:paraId="355C2BAE" w14:textId="77777777" w:rsidTr="00E0032D">
        <w:tblPrEx>
          <w:tblW w:w="5000" w:type="pct"/>
          <w:tblLook w:val="04A0"/>
        </w:tblPrEx>
        <w:trPr>
          <w:tblHeader/>
        </w:trPr>
        <w:tc>
          <w:tcPr>
            <w:tcW w:w="816" w:type="pct"/>
            <w:shd w:val="clear" w:color="auto" w:fill="D0CECE" w:themeFill="background2" w:themeFillShade="E6"/>
          </w:tcPr>
          <w:p w:rsidR="00EC6A41" w:rsidRPr="007A0C9A" w:rsidP="009F042E" w14:paraId="01948A74" w14:textId="77777777">
            <w:pPr>
              <w:rPr>
                <w:rFonts w:eastAsia="Calibri" w:asciiTheme="majorHAnsi" w:hAnsiTheme="majorHAnsi" w:cstheme="majorHAnsi"/>
                <w:b/>
                <w:bCs/>
                <w:color w:val="000000" w:themeColor="text1"/>
                <w:sz w:val="22"/>
                <w:szCs w:val="22"/>
              </w:rPr>
            </w:pPr>
            <w:r w:rsidRPr="007A0C9A">
              <w:rPr>
                <w:rFonts w:eastAsia="Calibri" w:asciiTheme="majorHAnsi" w:hAnsiTheme="majorHAnsi" w:cstheme="majorHAnsi"/>
                <w:b/>
                <w:bCs/>
                <w:color w:val="000000" w:themeColor="text1"/>
                <w:sz w:val="22"/>
                <w:szCs w:val="22"/>
              </w:rPr>
              <w:t xml:space="preserve">Strata </w:t>
            </w:r>
          </w:p>
        </w:tc>
        <w:tc>
          <w:tcPr>
            <w:tcW w:w="1155" w:type="pct"/>
            <w:shd w:val="clear" w:color="auto" w:fill="D0CECE" w:themeFill="background2" w:themeFillShade="E6"/>
          </w:tcPr>
          <w:p w:rsidR="00EC6A41" w:rsidRPr="007A0C9A" w:rsidP="009F042E" w14:paraId="3A903452" w14:textId="77777777">
            <w:pPr>
              <w:rPr>
                <w:rFonts w:eastAsia="Calibri" w:asciiTheme="majorHAnsi" w:hAnsiTheme="majorHAnsi" w:cstheme="majorHAnsi"/>
                <w:b/>
                <w:bCs/>
                <w:color w:val="000000" w:themeColor="text1"/>
                <w:sz w:val="22"/>
                <w:szCs w:val="22"/>
              </w:rPr>
            </w:pPr>
            <w:r w:rsidRPr="007A0C9A">
              <w:rPr>
                <w:rFonts w:eastAsia="Calibri" w:asciiTheme="majorHAnsi" w:hAnsiTheme="majorHAnsi" w:cstheme="majorHAnsi"/>
                <w:b/>
                <w:bCs/>
                <w:color w:val="000000" w:themeColor="text1"/>
                <w:sz w:val="22"/>
                <w:szCs w:val="22"/>
              </w:rPr>
              <w:t xml:space="preserve">Hospitals </w:t>
            </w:r>
          </w:p>
        </w:tc>
        <w:tc>
          <w:tcPr>
            <w:tcW w:w="3029" w:type="pct"/>
            <w:shd w:val="clear" w:color="auto" w:fill="D0CECE" w:themeFill="background2" w:themeFillShade="E6"/>
          </w:tcPr>
          <w:p w:rsidR="00EC6A41" w:rsidRPr="007A0C9A" w:rsidP="009F042E" w14:paraId="4933FFC3" w14:textId="77777777">
            <w:pPr>
              <w:rPr>
                <w:rFonts w:eastAsia="Calibri" w:asciiTheme="majorHAnsi" w:hAnsiTheme="majorHAnsi" w:cstheme="majorHAnsi"/>
                <w:b/>
                <w:bCs/>
                <w:color w:val="000000" w:themeColor="text1"/>
                <w:sz w:val="22"/>
                <w:szCs w:val="22"/>
              </w:rPr>
            </w:pPr>
            <w:r w:rsidRPr="007A0C9A">
              <w:rPr>
                <w:rFonts w:eastAsia="Calibri" w:asciiTheme="majorHAnsi" w:hAnsiTheme="majorHAnsi" w:cstheme="majorHAnsi"/>
                <w:b/>
                <w:bCs/>
                <w:color w:val="000000" w:themeColor="text1"/>
                <w:sz w:val="22"/>
                <w:szCs w:val="22"/>
              </w:rPr>
              <w:t xml:space="preserve">Description </w:t>
            </w:r>
          </w:p>
        </w:tc>
      </w:tr>
      <w:tr w14:paraId="2F1C69B3" w14:textId="77777777" w:rsidTr="009F042E">
        <w:tblPrEx>
          <w:tblW w:w="5000" w:type="pct"/>
          <w:tblLook w:val="04A0"/>
        </w:tblPrEx>
        <w:tc>
          <w:tcPr>
            <w:tcW w:w="816" w:type="pct"/>
          </w:tcPr>
          <w:p w:rsidR="00EC6A41" w:rsidRPr="007A0C9A" w:rsidP="000D1D71" w14:paraId="5645C4FA" w14:textId="77777777">
            <w:pPr>
              <w:rPr>
                <w:rFonts w:eastAsia="Calibri" w:asciiTheme="majorHAnsi" w:hAnsiTheme="majorHAnsi" w:cstheme="majorBidi"/>
                <w:color w:val="000000" w:themeColor="text1"/>
                <w:sz w:val="22"/>
                <w:szCs w:val="22"/>
              </w:rPr>
            </w:pPr>
            <w:r w:rsidRPr="0845C19F">
              <w:rPr>
                <w:rFonts w:eastAsia="Calibri" w:asciiTheme="majorHAnsi" w:hAnsiTheme="majorHAnsi" w:cstheme="majorBidi"/>
                <w:color w:val="000000" w:themeColor="text1"/>
                <w:sz w:val="22"/>
                <w:szCs w:val="22"/>
              </w:rPr>
              <w:t xml:space="preserve">Enrolled  </w:t>
            </w:r>
          </w:p>
        </w:tc>
        <w:tc>
          <w:tcPr>
            <w:tcW w:w="1155" w:type="pct"/>
          </w:tcPr>
          <w:p w:rsidR="00EC6A41" w:rsidRPr="007A0C9A" w:rsidP="009F042E" w14:paraId="4DA28DCD" w14:textId="77777777">
            <w:pPr>
              <w:rPr>
                <w:rFonts w:eastAsia="Calibri" w:asciiTheme="majorHAnsi" w:hAnsiTheme="majorHAnsi" w:cstheme="majorHAnsi"/>
                <w:color w:val="000000" w:themeColor="text1"/>
                <w:sz w:val="22"/>
                <w:szCs w:val="22"/>
              </w:rPr>
            </w:pPr>
            <w:r>
              <w:rPr>
                <w:rFonts w:eastAsia="Calibri" w:asciiTheme="majorHAnsi" w:hAnsiTheme="majorHAnsi" w:cstheme="majorHAnsi"/>
                <w:color w:val="000000" w:themeColor="text1"/>
                <w:sz w:val="22"/>
                <w:szCs w:val="22"/>
              </w:rPr>
              <w:t>280</w:t>
            </w:r>
            <w:r w:rsidRPr="007A0C9A">
              <w:rPr>
                <w:rFonts w:eastAsia="Calibri" w:asciiTheme="majorHAnsi" w:hAnsiTheme="majorHAnsi" w:cstheme="majorHAnsi"/>
                <w:color w:val="000000" w:themeColor="text1"/>
                <w:sz w:val="22"/>
                <w:szCs w:val="22"/>
              </w:rPr>
              <w:t xml:space="preserve"> </w:t>
            </w:r>
          </w:p>
        </w:tc>
        <w:tc>
          <w:tcPr>
            <w:tcW w:w="3029" w:type="pct"/>
          </w:tcPr>
          <w:p w:rsidR="00EC6A41" w:rsidRPr="007A0C9A" w:rsidP="000D1D71" w14:paraId="7026C949" w14:textId="77777777">
            <w:pPr>
              <w:rPr>
                <w:rFonts w:eastAsia="Calibri" w:asciiTheme="majorHAnsi" w:hAnsiTheme="majorHAnsi" w:cstheme="majorBidi"/>
                <w:color w:val="000000" w:themeColor="text1"/>
                <w:sz w:val="22"/>
                <w:szCs w:val="22"/>
              </w:rPr>
            </w:pPr>
            <w:r w:rsidRPr="0845C19F">
              <w:rPr>
                <w:rFonts w:eastAsia="Calibri" w:asciiTheme="majorHAnsi" w:hAnsiTheme="majorHAnsi" w:cstheme="majorBidi"/>
                <w:color w:val="000000" w:themeColor="text1"/>
                <w:sz w:val="22"/>
                <w:szCs w:val="22"/>
              </w:rPr>
              <w:t xml:space="preserve">Qualifying and enrolled facilities </w:t>
            </w:r>
          </w:p>
        </w:tc>
      </w:tr>
      <w:tr w14:paraId="3EA174F9" w14:textId="77777777" w:rsidTr="009F042E">
        <w:tblPrEx>
          <w:tblW w:w="5000" w:type="pct"/>
          <w:tblLook w:val="04A0"/>
        </w:tblPrEx>
        <w:tc>
          <w:tcPr>
            <w:tcW w:w="816" w:type="pct"/>
          </w:tcPr>
          <w:p w:rsidR="00EC6A41" w:rsidRPr="007A0C9A" w:rsidP="000D1D71" w14:paraId="27A713B7" w14:textId="77777777">
            <w:pPr>
              <w:rPr>
                <w:rFonts w:asciiTheme="majorHAnsi" w:hAnsiTheme="majorHAnsi" w:cstheme="majorHAnsi"/>
              </w:rPr>
            </w:pPr>
            <w:r w:rsidRPr="007A0C9A">
              <w:rPr>
                <w:rFonts w:eastAsia="Calibri" w:asciiTheme="majorHAnsi" w:hAnsiTheme="majorHAnsi" w:cstheme="majorHAnsi"/>
                <w:color w:val="000000" w:themeColor="text1"/>
                <w:sz w:val="22"/>
                <w:szCs w:val="22"/>
              </w:rPr>
              <w:t xml:space="preserve">Not Enrolled </w:t>
            </w:r>
          </w:p>
        </w:tc>
        <w:tc>
          <w:tcPr>
            <w:tcW w:w="1155" w:type="pct"/>
          </w:tcPr>
          <w:p w:rsidR="00EC6A41" w:rsidRPr="007A0C9A" w:rsidP="009F042E" w14:paraId="4FAC1E8F" w14:textId="77777777">
            <w:pPr>
              <w:rPr>
                <w:rFonts w:eastAsia="Calibri" w:asciiTheme="majorHAnsi" w:hAnsiTheme="majorHAnsi" w:cstheme="majorHAnsi"/>
              </w:rPr>
            </w:pPr>
            <w:r>
              <w:rPr>
                <w:rFonts w:eastAsia="Calibri" w:asciiTheme="majorHAnsi" w:hAnsiTheme="majorHAnsi" w:cstheme="majorHAnsi"/>
                <w:color w:val="000000" w:themeColor="text1"/>
                <w:sz w:val="22"/>
                <w:szCs w:val="22"/>
              </w:rPr>
              <w:t>220</w:t>
            </w:r>
          </w:p>
        </w:tc>
        <w:tc>
          <w:tcPr>
            <w:tcW w:w="3029" w:type="pct"/>
          </w:tcPr>
          <w:p w:rsidR="00EC6A41" w:rsidRPr="007A0C9A" w:rsidP="000D1D71" w14:paraId="191D2DF1" w14:textId="77777777">
            <w:pPr>
              <w:rPr>
                <w:rFonts w:asciiTheme="majorHAnsi" w:hAnsiTheme="majorHAnsi" w:cstheme="majorBidi"/>
              </w:rPr>
            </w:pPr>
            <w:r w:rsidRPr="0845C19F">
              <w:rPr>
                <w:rFonts w:eastAsia="Calibri" w:asciiTheme="majorHAnsi" w:hAnsiTheme="majorHAnsi" w:cstheme="majorBidi"/>
                <w:color w:val="000000" w:themeColor="text1"/>
                <w:sz w:val="22"/>
                <w:szCs w:val="22"/>
              </w:rPr>
              <w:t xml:space="preserve">Qualifying, but not enrolled </w:t>
            </w:r>
          </w:p>
        </w:tc>
      </w:tr>
      <w:tr w14:paraId="29C91C99" w14:textId="77777777" w:rsidTr="009F042E">
        <w:tblPrEx>
          <w:tblW w:w="5000" w:type="pct"/>
          <w:tblLook w:val="04A0"/>
        </w:tblPrEx>
        <w:tc>
          <w:tcPr>
            <w:tcW w:w="816" w:type="pct"/>
          </w:tcPr>
          <w:p w:rsidR="00EC6A41" w:rsidRPr="007A0C9A" w:rsidP="000D1D71" w14:paraId="10CE7643" w14:textId="77777777">
            <w:pPr>
              <w:rPr>
                <w:rFonts w:asciiTheme="majorHAnsi" w:hAnsiTheme="majorHAnsi" w:cstheme="majorHAnsi"/>
                <w:b/>
                <w:bCs/>
              </w:rPr>
            </w:pPr>
            <w:r w:rsidRPr="007A0C9A">
              <w:rPr>
                <w:rFonts w:eastAsia="Calibri" w:asciiTheme="majorHAnsi" w:hAnsiTheme="majorHAnsi" w:cstheme="majorHAnsi"/>
                <w:b/>
                <w:bCs/>
                <w:color w:val="000000" w:themeColor="text1"/>
                <w:sz w:val="22"/>
                <w:szCs w:val="22"/>
              </w:rPr>
              <w:t xml:space="preserve">Total </w:t>
            </w:r>
          </w:p>
        </w:tc>
        <w:tc>
          <w:tcPr>
            <w:tcW w:w="1155" w:type="pct"/>
          </w:tcPr>
          <w:p w:rsidR="00EC6A41" w:rsidRPr="007A0C9A" w:rsidP="009F042E" w14:paraId="5B9B90F3" w14:textId="77777777">
            <w:pPr>
              <w:rPr>
                <w:rFonts w:eastAsia="Calibri" w:asciiTheme="majorHAnsi" w:hAnsiTheme="majorHAnsi" w:cstheme="majorHAnsi"/>
                <w:b/>
                <w:bCs/>
                <w:color w:val="000000" w:themeColor="text1"/>
                <w:sz w:val="22"/>
                <w:szCs w:val="22"/>
              </w:rPr>
            </w:pPr>
            <w:r w:rsidRPr="007A0C9A">
              <w:rPr>
                <w:rFonts w:eastAsia="Calibri" w:asciiTheme="majorHAnsi" w:hAnsiTheme="majorHAnsi" w:cstheme="majorHAnsi"/>
                <w:b/>
                <w:bCs/>
                <w:color w:val="000000" w:themeColor="text1"/>
                <w:sz w:val="22"/>
                <w:szCs w:val="22"/>
              </w:rPr>
              <w:t xml:space="preserve">500 </w:t>
            </w:r>
          </w:p>
        </w:tc>
        <w:tc>
          <w:tcPr>
            <w:tcW w:w="3029" w:type="pct"/>
          </w:tcPr>
          <w:p w:rsidR="00EC6A41" w:rsidRPr="007A0C9A" w:rsidP="000D1D71" w14:paraId="7A14A559" w14:textId="77777777">
            <w:pPr>
              <w:rPr>
                <w:rFonts w:eastAsia="Calibri" w:asciiTheme="majorHAnsi" w:hAnsiTheme="majorHAnsi" w:cstheme="majorHAnsi"/>
                <w:b/>
                <w:bCs/>
                <w:color w:val="000000" w:themeColor="text1"/>
                <w:sz w:val="22"/>
                <w:szCs w:val="22"/>
              </w:rPr>
            </w:pPr>
          </w:p>
        </w:tc>
      </w:tr>
    </w:tbl>
    <w:p w:rsidR="001A22AA" w:rsidRPr="000C74D5" w:rsidP="001A22AA" w14:paraId="62F72CD4" w14:textId="5AAD1B0E">
      <w:pPr>
        <w:pStyle w:val="Caption"/>
        <w:rPr>
          <w:b w:val="0"/>
        </w:rPr>
      </w:pPr>
      <w:r w:rsidRPr="000C74D5">
        <w:rPr>
          <w:b w:val="0"/>
        </w:rPr>
        <w:t xml:space="preserve">Table </w:t>
      </w:r>
      <w:r w:rsidRPr="000C74D5">
        <w:rPr>
          <w:b w:val="0"/>
        </w:rPr>
        <w:fldChar w:fldCharType="begin"/>
      </w:r>
      <w:r w:rsidRPr="000C74D5">
        <w:rPr>
          <w:b w:val="0"/>
        </w:rPr>
        <w:instrText>SEQ Table \* ARABIC</w:instrText>
      </w:r>
      <w:r w:rsidRPr="000C74D5">
        <w:rPr>
          <w:b w:val="0"/>
        </w:rPr>
        <w:fldChar w:fldCharType="separate"/>
      </w:r>
      <w:r w:rsidRPr="000C74D5">
        <w:rPr>
          <w:b w:val="0"/>
        </w:rPr>
        <w:t>1</w:t>
      </w:r>
      <w:r w:rsidRPr="000C74D5">
        <w:rPr>
          <w:b w:val="0"/>
        </w:rPr>
        <w:fldChar w:fldCharType="end"/>
      </w:r>
      <w:r w:rsidRPr="000C74D5">
        <w:rPr>
          <w:b w:val="0"/>
        </w:rPr>
        <w:t>c: Summary of Sample Targets for Outpatient Clinician by Strata</w:t>
      </w:r>
    </w:p>
    <w:tbl>
      <w:tblPr>
        <w:tblStyle w:val="TableGrid"/>
        <w:tblW w:w="4997" w:type="pct"/>
        <w:jc w:val="center"/>
        <w:tblLook w:val="04A0"/>
      </w:tblPr>
      <w:tblGrid>
        <w:gridCol w:w="1523"/>
        <w:gridCol w:w="2160"/>
        <w:gridCol w:w="5661"/>
      </w:tblGrid>
      <w:tr w14:paraId="2E48716B" w14:textId="77777777" w:rsidTr="009F042E">
        <w:tblPrEx>
          <w:tblW w:w="4997" w:type="pct"/>
          <w:jc w:val="center"/>
          <w:tblLook w:val="04A0"/>
        </w:tblPrEx>
        <w:trPr>
          <w:cantSplit/>
          <w:trHeight w:val="305"/>
          <w:tblHeader/>
          <w:jc w:val="center"/>
        </w:trPr>
        <w:tc>
          <w:tcPr>
            <w:tcW w:w="815" w:type="pct"/>
            <w:shd w:val="clear" w:color="auto" w:fill="D0CECE" w:themeFill="background2" w:themeFillShade="E6"/>
            <w:vAlign w:val="bottom"/>
          </w:tcPr>
          <w:p w:rsidR="001A22AA" w:rsidRPr="007A0C9A" w:rsidP="000D1D71" w14:paraId="3F7FA977" w14:textId="77777777">
            <w:pPr>
              <w:rPr>
                <w:rFonts w:eastAsia="Calibri" w:asciiTheme="majorHAnsi" w:hAnsiTheme="majorHAnsi" w:cstheme="majorHAnsi"/>
                <w:b/>
                <w:bCs/>
                <w:color w:val="000000" w:themeColor="text1"/>
                <w:sz w:val="22"/>
                <w:szCs w:val="22"/>
              </w:rPr>
            </w:pPr>
            <w:r w:rsidRPr="007A0C9A">
              <w:rPr>
                <w:rFonts w:eastAsia="Calibri" w:asciiTheme="majorHAnsi" w:hAnsiTheme="majorHAnsi" w:cstheme="majorHAnsi"/>
                <w:b/>
                <w:bCs/>
                <w:color w:val="000000" w:themeColor="text1"/>
                <w:sz w:val="22"/>
                <w:szCs w:val="22"/>
              </w:rPr>
              <w:t xml:space="preserve">Strata </w:t>
            </w:r>
          </w:p>
        </w:tc>
        <w:tc>
          <w:tcPr>
            <w:tcW w:w="1156" w:type="pct"/>
            <w:tcBorders>
              <w:top w:val="single" w:sz="4" w:space="0" w:color="auto"/>
              <w:bottom w:val="single" w:sz="4" w:space="0" w:color="auto"/>
              <w:right w:val="single" w:sz="4" w:space="0" w:color="auto"/>
            </w:tcBorders>
            <w:shd w:val="clear" w:color="auto" w:fill="D0CECE" w:themeFill="background2" w:themeFillShade="E6"/>
            <w:vAlign w:val="bottom"/>
          </w:tcPr>
          <w:p w:rsidR="001A22AA" w:rsidRPr="007A0C9A" w:rsidP="009F042E" w14:paraId="1F951C04" w14:textId="77777777">
            <w:pPr>
              <w:rPr>
                <w:rFonts w:eastAsia="Calibri" w:asciiTheme="majorHAnsi" w:hAnsiTheme="majorHAnsi" w:cstheme="majorHAnsi"/>
                <w:b/>
                <w:bCs/>
                <w:color w:val="000000" w:themeColor="text1"/>
                <w:sz w:val="22"/>
                <w:szCs w:val="22"/>
              </w:rPr>
            </w:pPr>
            <w:r>
              <w:rPr>
                <w:rFonts w:eastAsia="Calibri" w:asciiTheme="majorHAnsi" w:hAnsiTheme="majorHAnsi" w:cstheme="majorHAnsi"/>
                <w:b/>
                <w:bCs/>
                <w:color w:val="000000" w:themeColor="text1"/>
                <w:sz w:val="22"/>
                <w:szCs w:val="22"/>
              </w:rPr>
              <w:t>Outpatient Clinician</w:t>
            </w:r>
            <w:r w:rsidRPr="007A0C9A">
              <w:rPr>
                <w:rFonts w:eastAsia="Calibri" w:asciiTheme="majorHAnsi" w:hAnsiTheme="majorHAnsi" w:cstheme="majorHAnsi"/>
                <w:b/>
                <w:bCs/>
                <w:color w:val="000000" w:themeColor="text1"/>
                <w:sz w:val="22"/>
                <w:szCs w:val="22"/>
              </w:rPr>
              <w:t xml:space="preserve"> </w:t>
            </w:r>
          </w:p>
        </w:tc>
        <w:tc>
          <w:tcPr>
            <w:tcW w:w="3028"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bottom"/>
          </w:tcPr>
          <w:p w:rsidR="001A22AA" w:rsidRPr="007A0C9A" w:rsidP="000D1D71" w14:paraId="36607A81" w14:textId="77777777">
            <w:pPr>
              <w:rPr>
                <w:rFonts w:eastAsia="Calibri" w:asciiTheme="majorHAnsi" w:hAnsiTheme="majorHAnsi" w:cstheme="majorHAnsi"/>
                <w:b/>
                <w:bCs/>
                <w:color w:val="000000" w:themeColor="text1"/>
                <w:sz w:val="22"/>
                <w:szCs w:val="22"/>
              </w:rPr>
            </w:pPr>
            <w:r w:rsidRPr="007A0C9A">
              <w:rPr>
                <w:rFonts w:eastAsia="Calibri" w:asciiTheme="majorHAnsi" w:hAnsiTheme="majorHAnsi" w:cstheme="majorHAnsi"/>
                <w:b/>
                <w:bCs/>
                <w:color w:val="000000" w:themeColor="text1"/>
                <w:sz w:val="22"/>
                <w:szCs w:val="22"/>
              </w:rPr>
              <w:t xml:space="preserve">Description </w:t>
            </w:r>
          </w:p>
        </w:tc>
      </w:tr>
      <w:tr w14:paraId="1DA22E61" w14:textId="77777777" w:rsidTr="009F042E">
        <w:tblPrEx>
          <w:tblW w:w="4997" w:type="pct"/>
          <w:jc w:val="center"/>
          <w:tblLook w:val="04A0"/>
        </w:tblPrEx>
        <w:trPr>
          <w:cantSplit/>
          <w:trHeight w:val="310"/>
          <w:jc w:val="center"/>
        </w:trPr>
        <w:tc>
          <w:tcPr>
            <w:tcW w:w="815" w:type="pct"/>
            <w:vAlign w:val="center"/>
          </w:tcPr>
          <w:p w:rsidR="001A22AA" w:rsidRPr="007A0C9A" w:rsidP="000D1D71" w14:paraId="2C33E572" w14:textId="77777777">
            <w:pPr>
              <w:rPr>
                <w:rFonts w:asciiTheme="majorHAnsi" w:hAnsiTheme="majorHAnsi" w:cstheme="majorHAnsi"/>
              </w:rPr>
            </w:pPr>
            <w:r w:rsidRPr="007A0C9A">
              <w:rPr>
                <w:rFonts w:eastAsia="Calibri" w:asciiTheme="majorHAnsi" w:hAnsiTheme="majorHAnsi" w:cstheme="majorHAnsi"/>
                <w:color w:val="000000" w:themeColor="text1"/>
                <w:sz w:val="22"/>
                <w:szCs w:val="22"/>
              </w:rPr>
              <w:t>Enrolled</w:t>
            </w:r>
          </w:p>
        </w:tc>
        <w:tc>
          <w:tcPr>
            <w:tcW w:w="1156" w:type="pct"/>
            <w:tcBorders>
              <w:top w:val="single" w:sz="4" w:space="0" w:color="auto"/>
              <w:bottom w:val="single" w:sz="4" w:space="0" w:color="auto"/>
              <w:right w:val="single" w:sz="4" w:space="0" w:color="auto"/>
            </w:tcBorders>
            <w:vAlign w:val="center"/>
          </w:tcPr>
          <w:p w:rsidR="001A22AA" w:rsidRPr="007A0C9A" w:rsidP="009F042E" w14:paraId="5DF61C81" w14:textId="77777777">
            <w:pPr>
              <w:rPr>
                <w:rFonts w:eastAsia="Calibri" w:asciiTheme="majorHAnsi" w:hAnsiTheme="majorHAnsi" w:cstheme="majorHAnsi"/>
                <w:color w:val="000000" w:themeColor="text1"/>
                <w:sz w:val="22"/>
                <w:szCs w:val="22"/>
              </w:rPr>
            </w:pPr>
            <w:r>
              <w:rPr>
                <w:rFonts w:eastAsia="Calibri" w:asciiTheme="majorHAnsi" w:hAnsiTheme="majorHAnsi" w:cstheme="majorHAnsi"/>
                <w:color w:val="000000" w:themeColor="text1"/>
                <w:sz w:val="22"/>
                <w:szCs w:val="22"/>
              </w:rPr>
              <w:t>4</w:t>
            </w:r>
            <w:r w:rsidRPr="007A0C9A">
              <w:rPr>
                <w:rFonts w:eastAsia="Calibri" w:asciiTheme="majorHAnsi" w:hAnsiTheme="majorHAnsi" w:cstheme="majorHAnsi"/>
                <w:color w:val="000000" w:themeColor="text1"/>
                <w:sz w:val="22"/>
                <w:szCs w:val="22"/>
              </w:rPr>
              <w:t xml:space="preserve">50 </w:t>
            </w:r>
          </w:p>
        </w:tc>
        <w:tc>
          <w:tcPr>
            <w:tcW w:w="3028" w:type="pct"/>
            <w:tcBorders>
              <w:top w:val="single" w:sz="4" w:space="0" w:color="auto"/>
              <w:left w:val="single" w:sz="4" w:space="0" w:color="auto"/>
              <w:bottom w:val="single" w:sz="4" w:space="0" w:color="auto"/>
              <w:right w:val="single" w:sz="4" w:space="0" w:color="auto"/>
            </w:tcBorders>
            <w:vAlign w:val="bottom"/>
          </w:tcPr>
          <w:p w:rsidR="001A22AA" w:rsidRPr="007A0C9A" w:rsidP="000D1D71" w14:paraId="45B075C0" w14:textId="481E6B41">
            <w:pPr>
              <w:rPr>
                <w:rFonts w:asciiTheme="majorHAnsi" w:hAnsiTheme="majorHAnsi" w:cstheme="majorHAnsi"/>
              </w:rPr>
            </w:pPr>
            <w:r>
              <w:rPr>
                <w:rFonts w:eastAsia="Calibri" w:asciiTheme="majorHAnsi" w:hAnsiTheme="majorHAnsi" w:cstheme="majorHAnsi"/>
                <w:color w:val="000000" w:themeColor="text1"/>
                <w:sz w:val="22"/>
                <w:szCs w:val="22"/>
              </w:rPr>
              <w:t>Providers</w:t>
            </w:r>
            <w:r w:rsidRPr="007A0C9A">
              <w:rPr>
                <w:rFonts w:eastAsia="Calibri" w:asciiTheme="majorHAnsi" w:hAnsiTheme="majorHAnsi" w:cstheme="majorHAnsi"/>
                <w:color w:val="000000" w:themeColor="text1"/>
                <w:sz w:val="22"/>
                <w:szCs w:val="22"/>
              </w:rPr>
              <w:t xml:space="preserve"> </w:t>
            </w:r>
            <w:r>
              <w:rPr>
                <w:rFonts w:eastAsia="Calibri" w:asciiTheme="majorHAnsi" w:hAnsiTheme="majorHAnsi" w:cstheme="majorHAnsi"/>
                <w:color w:val="000000" w:themeColor="text1"/>
                <w:sz w:val="22"/>
                <w:szCs w:val="22"/>
              </w:rPr>
              <w:t xml:space="preserve">within 519 </w:t>
            </w:r>
            <w:r w:rsidR="00E46EE0">
              <w:rPr>
                <w:rFonts w:eastAsia="Calibri" w:asciiTheme="majorHAnsi" w:hAnsiTheme="majorHAnsi" w:cstheme="majorHAnsi"/>
                <w:color w:val="000000" w:themeColor="text1"/>
                <w:sz w:val="22"/>
                <w:szCs w:val="22"/>
              </w:rPr>
              <w:t>QIN-QIO enrolled communities</w:t>
            </w:r>
            <w:r w:rsidR="00BA4072">
              <w:rPr>
                <w:rFonts w:eastAsia="Calibri" w:asciiTheme="majorHAnsi" w:hAnsiTheme="majorHAnsi" w:cstheme="majorHAnsi"/>
                <w:color w:val="000000" w:themeColor="text1"/>
                <w:sz w:val="22"/>
                <w:szCs w:val="22"/>
              </w:rPr>
              <w:t xml:space="preserve"> </w:t>
            </w:r>
            <w:r>
              <w:rPr>
                <w:rFonts w:eastAsia="Calibri" w:asciiTheme="majorHAnsi" w:hAnsiTheme="majorHAnsi" w:cstheme="majorHAnsi"/>
                <w:color w:val="000000" w:themeColor="text1"/>
                <w:sz w:val="22"/>
                <w:szCs w:val="22"/>
              </w:rPr>
              <w:t xml:space="preserve">and </w:t>
            </w:r>
            <w:r w:rsidR="00BA4072">
              <w:rPr>
                <w:rFonts w:eastAsia="Calibri" w:asciiTheme="majorHAnsi" w:hAnsiTheme="majorHAnsi" w:cstheme="majorHAnsi"/>
                <w:color w:val="000000" w:themeColor="text1"/>
                <w:sz w:val="22"/>
                <w:szCs w:val="22"/>
              </w:rPr>
              <w:t>recruited</w:t>
            </w:r>
            <w:r>
              <w:rPr>
                <w:rFonts w:eastAsia="Calibri" w:asciiTheme="majorHAnsi" w:hAnsiTheme="majorHAnsi" w:cstheme="majorHAnsi"/>
                <w:color w:val="000000" w:themeColor="text1"/>
                <w:sz w:val="22"/>
                <w:szCs w:val="22"/>
              </w:rPr>
              <w:t xml:space="preserve"> by QIN-QIOs</w:t>
            </w:r>
          </w:p>
        </w:tc>
      </w:tr>
      <w:tr w14:paraId="56CB56BD" w14:textId="77777777" w:rsidTr="009F042E">
        <w:tblPrEx>
          <w:tblW w:w="4997" w:type="pct"/>
          <w:jc w:val="center"/>
          <w:tblLook w:val="04A0"/>
        </w:tblPrEx>
        <w:trPr>
          <w:cantSplit/>
          <w:trHeight w:val="305"/>
          <w:jc w:val="center"/>
        </w:trPr>
        <w:tc>
          <w:tcPr>
            <w:tcW w:w="815" w:type="pct"/>
            <w:vAlign w:val="center"/>
          </w:tcPr>
          <w:p w:rsidR="001A22AA" w:rsidRPr="007A0C9A" w:rsidP="000D1D71" w14:paraId="71D9FABB" w14:textId="77777777">
            <w:pPr>
              <w:rPr>
                <w:rFonts w:eastAsia="Calibri" w:asciiTheme="majorHAnsi" w:hAnsiTheme="majorHAnsi" w:cstheme="majorHAnsi"/>
                <w:color w:val="000000" w:themeColor="text1"/>
                <w:sz w:val="22"/>
                <w:szCs w:val="22"/>
              </w:rPr>
            </w:pPr>
            <w:r w:rsidRPr="007A0C9A">
              <w:rPr>
                <w:rFonts w:eastAsia="Calibri" w:asciiTheme="majorHAnsi" w:hAnsiTheme="majorHAnsi" w:cstheme="majorHAnsi"/>
                <w:color w:val="000000" w:themeColor="text1"/>
                <w:sz w:val="22"/>
                <w:szCs w:val="22"/>
              </w:rPr>
              <w:t>Not Enrolled</w:t>
            </w:r>
          </w:p>
        </w:tc>
        <w:tc>
          <w:tcPr>
            <w:tcW w:w="1156" w:type="pct"/>
            <w:tcBorders>
              <w:top w:val="single" w:sz="4" w:space="0" w:color="auto"/>
              <w:left w:val="single" w:sz="4" w:space="0" w:color="auto"/>
              <w:bottom w:val="single" w:sz="4" w:space="0" w:color="auto"/>
              <w:right w:val="single" w:sz="4" w:space="0" w:color="auto"/>
            </w:tcBorders>
            <w:vAlign w:val="center"/>
          </w:tcPr>
          <w:p w:rsidR="001A22AA" w:rsidRPr="007A0C9A" w:rsidP="009F042E" w14:paraId="5274BA50" w14:textId="77777777">
            <w:pPr>
              <w:rPr>
                <w:rFonts w:eastAsia="Calibri" w:asciiTheme="majorHAnsi" w:hAnsiTheme="majorHAnsi" w:cstheme="majorHAnsi"/>
                <w:color w:val="000000" w:themeColor="text1"/>
                <w:sz w:val="22"/>
                <w:szCs w:val="22"/>
              </w:rPr>
            </w:pPr>
            <w:r>
              <w:rPr>
                <w:rFonts w:eastAsia="Calibri" w:asciiTheme="majorHAnsi" w:hAnsiTheme="majorHAnsi" w:cstheme="majorHAnsi"/>
                <w:color w:val="000000" w:themeColor="text1"/>
                <w:sz w:val="22"/>
                <w:szCs w:val="22"/>
              </w:rPr>
              <w:t>4</w:t>
            </w:r>
            <w:r w:rsidRPr="007A0C9A">
              <w:rPr>
                <w:rFonts w:eastAsia="Calibri" w:asciiTheme="majorHAnsi" w:hAnsiTheme="majorHAnsi" w:cstheme="majorHAnsi"/>
                <w:color w:val="000000" w:themeColor="text1"/>
                <w:sz w:val="22"/>
                <w:szCs w:val="22"/>
              </w:rPr>
              <w:t xml:space="preserve">50 </w:t>
            </w:r>
          </w:p>
        </w:tc>
        <w:tc>
          <w:tcPr>
            <w:tcW w:w="3028" w:type="pct"/>
            <w:tcBorders>
              <w:top w:val="single" w:sz="4" w:space="0" w:color="auto"/>
              <w:left w:val="single" w:sz="4" w:space="0" w:color="auto"/>
              <w:bottom w:val="single" w:sz="4" w:space="0" w:color="auto"/>
              <w:right w:val="single" w:sz="4" w:space="0" w:color="auto"/>
            </w:tcBorders>
            <w:vAlign w:val="bottom"/>
          </w:tcPr>
          <w:p w:rsidR="001A22AA" w:rsidRPr="007A0C9A" w:rsidP="000D1D71" w14:paraId="631C7BEE" w14:textId="5C44F6F0">
            <w:pPr>
              <w:rPr>
                <w:rFonts w:eastAsia="Calibri" w:asciiTheme="majorHAnsi" w:hAnsiTheme="majorHAnsi" w:cstheme="majorHAnsi"/>
                <w:color w:val="000000" w:themeColor="text1"/>
                <w:sz w:val="22"/>
                <w:szCs w:val="22"/>
              </w:rPr>
            </w:pPr>
            <w:r>
              <w:rPr>
                <w:rFonts w:eastAsia="Calibri" w:asciiTheme="majorHAnsi" w:hAnsiTheme="majorHAnsi" w:cstheme="majorHAnsi"/>
                <w:color w:val="000000" w:themeColor="text1"/>
                <w:sz w:val="22"/>
                <w:szCs w:val="22"/>
              </w:rPr>
              <w:t xml:space="preserve">Providers within 519 </w:t>
            </w:r>
            <w:r w:rsidR="00BA4072">
              <w:rPr>
                <w:rFonts w:eastAsia="Calibri" w:asciiTheme="majorHAnsi" w:hAnsiTheme="majorHAnsi" w:cstheme="majorHAnsi"/>
                <w:color w:val="000000" w:themeColor="text1"/>
                <w:sz w:val="22"/>
                <w:szCs w:val="22"/>
              </w:rPr>
              <w:t xml:space="preserve">QIN-QIO enrolled communities </w:t>
            </w:r>
            <w:r>
              <w:rPr>
                <w:rFonts w:eastAsia="Calibri" w:asciiTheme="majorHAnsi" w:hAnsiTheme="majorHAnsi" w:cstheme="majorHAnsi"/>
                <w:color w:val="000000" w:themeColor="text1"/>
                <w:sz w:val="22"/>
                <w:szCs w:val="22"/>
              </w:rPr>
              <w:t xml:space="preserve">but not </w:t>
            </w:r>
            <w:r w:rsidR="00BA4072">
              <w:rPr>
                <w:rFonts w:eastAsia="Calibri" w:asciiTheme="majorHAnsi" w:hAnsiTheme="majorHAnsi" w:cstheme="majorHAnsi"/>
                <w:color w:val="000000" w:themeColor="text1"/>
                <w:sz w:val="22"/>
                <w:szCs w:val="22"/>
              </w:rPr>
              <w:t>recruited</w:t>
            </w:r>
            <w:r>
              <w:rPr>
                <w:rFonts w:eastAsia="Calibri" w:asciiTheme="majorHAnsi" w:hAnsiTheme="majorHAnsi" w:cstheme="majorHAnsi"/>
                <w:color w:val="000000" w:themeColor="text1"/>
                <w:sz w:val="22"/>
                <w:szCs w:val="22"/>
              </w:rPr>
              <w:t xml:space="preserve"> by QIN-QIOs</w:t>
            </w:r>
          </w:p>
        </w:tc>
      </w:tr>
      <w:tr w14:paraId="452B1919" w14:textId="77777777" w:rsidTr="009F042E">
        <w:tblPrEx>
          <w:tblW w:w="4997" w:type="pct"/>
          <w:jc w:val="center"/>
          <w:tblLook w:val="04A0"/>
        </w:tblPrEx>
        <w:trPr>
          <w:cantSplit/>
          <w:trHeight w:val="157"/>
          <w:jc w:val="center"/>
        </w:trPr>
        <w:tc>
          <w:tcPr>
            <w:tcW w:w="815" w:type="pct"/>
            <w:vAlign w:val="center"/>
          </w:tcPr>
          <w:p w:rsidR="001A22AA" w:rsidRPr="007A0C9A" w:rsidP="000D1D71" w14:paraId="51CB8579" w14:textId="77777777">
            <w:pPr>
              <w:rPr>
                <w:rFonts w:asciiTheme="majorHAnsi" w:hAnsiTheme="majorHAnsi" w:cstheme="majorHAnsi"/>
                <w:b/>
                <w:bCs/>
              </w:rPr>
            </w:pPr>
            <w:r w:rsidRPr="007A0C9A">
              <w:rPr>
                <w:rFonts w:eastAsia="Calibri" w:asciiTheme="majorHAnsi" w:hAnsiTheme="majorHAnsi" w:cstheme="majorHAnsi"/>
                <w:b/>
                <w:bCs/>
                <w:color w:val="000000" w:themeColor="text1"/>
                <w:sz w:val="22"/>
                <w:szCs w:val="22"/>
              </w:rPr>
              <w:t xml:space="preserve">Total </w:t>
            </w:r>
          </w:p>
        </w:tc>
        <w:tc>
          <w:tcPr>
            <w:tcW w:w="1156" w:type="pct"/>
            <w:tcBorders>
              <w:top w:val="nil"/>
              <w:left w:val="single" w:sz="4" w:space="0" w:color="auto"/>
              <w:bottom w:val="single" w:sz="4" w:space="0" w:color="auto"/>
              <w:right w:val="single" w:sz="4" w:space="0" w:color="auto"/>
            </w:tcBorders>
            <w:vAlign w:val="center"/>
          </w:tcPr>
          <w:p w:rsidR="001A22AA" w:rsidRPr="007A0C9A" w:rsidP="009F042E" w14:paraId="07CC539E" w14:textId="77777777">
            <w:pPr>
              <w:rPr>
                <w:rFonts w:eastAsia="Calibri" w:asciiTheme="majorHAnsi" w:hAnsiTheme="majorHAnsi" w:cstheme="majorHAnsi"/>
                <w:b/>
                <w:bCs/>
                <w:color w:val="000000" w:themeColor="text1"/>
                <w:sz w:val="22"/>
                <w:szCs w:val="22"/>
              </w:rPr>
            </w:pPr>
            <w:r>
              <w:rPr>
                <w:rFonts w:eastAsia="Calibri" w:asciiTheme="majorHAnsi" w:hAnsiTheme="majorHAnsi" w:cstheme="majorHAnsi"/>
                <w:b/>
                <w:bCs/>
                <w:color w:val="000000" w:themeColor="text1"/>
                <w:sz w:val="22"/>
                <w:szCs w:val="22"/>
              </w:rPr>
              <w:t>9</w:t>
            </w:r>
            <w:r w:rsidRPr="007A0C9A">
              <w:rPr>
                <w:rFonts w:eastAsia="Calibri" w:asciiTheme="majorHAnsi" w:hAnsiTheme="majorHAnsi" w:cstheme="majorHAnsi"/>
                <w:b/>
                <w:bCs/>
                <w:color w:val="000000" w:themeColor="text1"/>
                <w:sz w:val="22"/>
                <w:szCs w:val="22"/>
              </w:rPr>
              <w:t xml:space="preserve">00 </w:t>
            </w:r>
          </w:p>
        </w:tc>
        <w:tc>
          <w:tcPr>
            <w:tcW w:w="3028" w:type="pct"/>
            <w:tcBorders>
              <w:top w:val="single" w:sz="4" w:space="0" w:color="auto"/>
              <w:left w:val="single" w:sz="4" w:space="0" w:color="auto"/>
              <w:bottom w:val="single" w:sz="4" w:space="0" w:color="auto"/>
              <w:right w:val="single" w:sz="4" w:space="0" w:color="auto"/>
            </w:tcBorders>
            <w:vAlign w:val="bottom"/>
          </w:tcPr>
          <w:p w:rsidR="001A22AA" w:rsidRPr="007A0C9A" w:rsidP="000D1D71" w14:paraId="44B09403" w14:textId="77777777">
            <w:pPr>
              <w:rPr>
                <w:rFonts w:eastAsia="Calibri" w:asciiTheme="majorHAnsi" w:hAnsiTheme="majorHAnsi" w:cstheme="majorHAnsi"/>
                <w:b/>
                <w:bCs/>
                <w:color w:val="000000" w:themeColor="text1"/>
                <w:sz w:val="22"/>
                <w:szCs w:val="22"/>
              </w:rPr>
            </w:pPr>
          </w:p>
        </w:tc>
      </w:tr>
    </w:tbl>
    <w:p w:rsidR="002B138D" w:rsidP="003D3416" w14:paraId="0A166322" w14:textId="77777777">
      <w:pPr>
        <w:rPr>
          <w:iCs/>
        </w:rPr>
      </w:pPr>
    </w:p>
    <w:p w:rsidR="00902453" w:rsidRPr="00300D1A" w:rsidP="00596F97" w14:paraId="33EA599F" w14:textId="1AD2CDB0">
      <w:pPr>
        <w:ind w:left="720"/>
      </w:pPr>
      <w:r>
        <w:t xml:space="preserve">For </w:t>
      </w:r>
      <w:r w:rsidR="00B24E04">
        <w:t xml:space="preserve">the </w:t>
      </w:r>
      <w:r>
        <w:t xml:space="preserve">nursing home and </w:t>
      </w:r>
      <w:r w:rsidR="009E7B5B">
        <w:t>hospital surveys</w:t>
      </w:r>
      <w:r w:rsidR="00AD2DF3">
        <w:t>, w</w:t>
      </w:r>
      <w:r w:rsidR="00A4793B">
        <w:t xml:space="preserve">e </w:t>
      </w:r>
      <w:r w:rsidRPr="00CA16F5">
        <w:t xml:space="preserve">determined that a minimum of </w:t>
      </w:r>
      <w:r>
        <w:t>1,</w:t>
      </w:r>
      <w:r w:rsidR="004F0AEC">
        <w:t>250</w:t>
      </w:r>
      <w:r w:rsidRPr="00CA16F5">
        <w:t xml:space="preserve"> </w:t>
      </w:r>
      <w:r w:rsidR="008E75FE">
        <w:t xml:space="preserve">base </w:t>
      </w:r>
      <w:r w:rsidRPr="00CA16F5">
        <w:t xml:space="preserve">sample records </w:t>
      </w:r>
      <w:r w:rsidR="00813029">
        <w:t xml:space="preserve">of </w:t>
      </w:r>
      <w:r w:rsidRPr="00E82800" w:rsidR="00813029">
        <w:t>nursing homes and hospitals</w:t>
      </w:r>
      <w:r w:rsidR="00813029">
        <w:t xml:space="preserve"> </w:t>
      </w:r>
      <w:r w:rsidRPr="00CA16F5">
        <w:t>w</w:t>
      </w:r>
      <w:r w:rsidR="00A4793B">
        <w:t>ill be</w:t>
      </w:r>
      <w:r w:rsidRPr="00CA16F5">
        <w:t xml:space="preserve"> needed to achieve </w:t>
      </w:r>
      <w:r>
        <w:t>500</w:t>
      </w:r>
      <w:r w:rsidRPr="00CA16F5">
        <w:t xml:space="preserve"> complete</w:t>
      </w:r>
      <w:r>
        <w:t>d response</w:t>
      </w:r>
      <w:r w:rsidRPr="00CA16F5">
        <w:t>s</w:t>
      </w:r>
      <w:r w:rsidR="00610EB6">
        <w:t xml:space="preserve"> </w:t>
      </w:r>
      <w:r w:rsidRPr="00E82800" w:rsidR="00813029">
        <w:t xml:space="preserve">with each </w:t>
      </w:r>
      <w:r w:rsidR="00E82800">
        <w:t>survey</w:t>
      </w:r>
      <w:r w:rsidR="00A4793B">
        <w:t>.</w:t>
      </w:r>
      <w:r w:rsidRPr="00CA16F5">
        <w:t xml:space="preserve"> </w:t>
      </w:r>
      <w:r w:rsidR="008E75FE">
        <w:t xml:space="preserve">In addition to the base sample, IEC also designed </w:t>
      </w:r>
      <w:r w:rsidR="003605E5">
        <w:t xml:space="preserve">three </w:t>
      </w:r>
      <w:r w:rsidR="008E75FE">
        <w:t xml:space="preserve">replicate groups with </w:t>
      </w:r>
      <w:r w:rsidR="009A4ADF">
        <w:t xml:space="preserve">samples of </w:t>
      </w:r>
      <w:r w:rsidR="008E75FE">
        <w:t xml:space="preserve">200 </w:t>
      </w:r>
      <w:r w:rsidR="009A4ADF">
        <w:t>in each replicate</w:t>
      </w:r>
      <w:r w:rsidR="008E75FE">
        <w:t>. We will release and start the survey fielding with the 1,250 base sample</w:t>
      </w:r>
      <w:r w:rsidR="006B5F39">
        <w:t>. If we d</w:t>
      </w:r>
      <w:r w:rsidR="006C5CB3">
        <w:t>o</w:t>
      </w:r>
      <w:r w:rsidR="006B5F39">
        <w:t xml:space="preserve"> not reach the required 500 completed </w:t>
      </w:r>
      <w:r w:rsidR="006B5F39">
        <w:t>response</w:t>
      </w:r>
      <w:r w:rsidR="008E75FE">
        <w:t xml:space="preserve"> </w:t>
      </w:r>
      <w:r w:rsidR="006B5F39">
        <w:t xml:space="preserve">from </w:t>
      </w:r>
      <w:r w:rsidR="008E75FE">
        <w:t xml:space="preserve">the </w:t>
      </w:r>
      <w:r w:rsidR="00782093">
        <w:t>base sample</w:t>
      </w:r>
      <w:r w:rsidR="006B5F39">
        <w:t xml:space="preserve">, </w:t>
      </w:r>
      <w:r w:rsidR="00782093">
        <w:t xml:space="preserve">we will </w:t>
      </w:r>
      <w:r w:rsidR="006B5F39">
        <w:t xml:space="preserve">open up </w:t>
      </w:r>
      <w:r w:rsidR="00782093">
        <w:t xml:space="preserve">the </w:t>
      </w:r>
      <w:r w:rsidR="006B5F39">
        <w:t xml:space="preserve">sample using the </w:t>
      </w:r>
      <w:r w:rsidR="00782093">
        <w:t>replicate groups one</w:t>
      </w:r>
      <w:r w:rsidR="006B5F39">
        <w:t xml:space="preserve"> block</w:t>
      </w:r>
      <w:r w:rsidR="00782093">
        <w:t xml:space="preserve"> at a time.</w:t>
      </w:r>
      <w:r w:rsidR="008E75FE">
        <w:t xml:space="preserve"> </w:t>
      </w:r>
      <w:r w:rsidR="00782093">
        <w:t>If less than 200 addition</w:t>
      </w:r>
      <w:r w:rsidR="006C5CB3">
        <w:t>a</w:t>
      </w:r>
      <w:r w:rsidR="00782093">
        <w:t xml:space="preserve">l records </w:t>
      </w:r>
      <w:r w:rsidR="00112C8F">
        <w:t>are</w:t>
      </w:r>
      <w:r w:rsidR="00782093">
        <w:t xml:space="preserve"> needed</w:t>
      </w:r>
      <w:r w:rsidR="006C5CB3">
        <w:t>,</w:t>
      </w:r>
      <w:r w:rsidR="00782093">
        <w:t xml:space="preserve"> the replicates can be broken into smaller lots. </w:t>
      </w:r>
      <w:r w:rsidR="00610EB6">
        <w:t xml:space="preserve">The survey will </w:t>
      </w:r>
      <w:r w:rsidR="001854DF">
        <w:t xml:space="preserve">be </w:t>
      </w:r>
      <w:r w:rsidR="00610EB6">
        <w:t xml:space="preserve">halted once 500 completed </w:t>
      </w:r>
      <w:r w:rsidR="001854DF">
        <w:t xml:space="preserve">surveys are verified. </w:t>
      </w:r>
      <w:r w:rsidR="008B411A">
        <w:t xml:space="preserve">For </w:t>
      </w:r>
      <w:r w:rsidR="00B24E04">
        <w:t xml:space="preserve">the </w:t>
      </w:r>
      <w:r w:rsidR="008B411A">
        <w:t xml:space="preserve">outpatient clinician survey, </w:t>
      </w:r>
      <w:r w:rsidR="00DC407B">
        <w:t xml:space="preserve">we </w:t>
      </w:r>
      <w:r w:rsidR="009C3A95">
        <w:t xml:space="preserve">determined that </w:t>
      </w:r>
      <w:r w:rsidR="006A70C0">
        <w:t xml:space="preserve">the base sample </w:t>
      </w:r>
      <w:r w:rsidR="006A70C0">
        <w:t>will</w:t>
      </w:r>
      <w:r w:rsidR="006A70C0">
        <w:t xml:space="preserve"> consist of a</w:t>
      </w:r>
      <w:r w:rsidR="009E0894">
        <w:t xml:space="preserve"> </w:t>
      </w:r>
      <w:r w:rsidR="009C3A95">
        <w:t xml:space="preserve">minimum of </w:t>
      </w:r>
      <w:r w:rsidR="00C5778B">
        <w:t xml:space="preserve">16,071 </w:t>
      </w:r>
      <w:r w:rsidR="003B1388">
        <w:t xml:space="preserve">outpatient </w:t>
      </w:r>
      <w:r w:rsidR="003B1388">
        <w:t>clinicans</w:t>
      </w:r>
      <w:r w:rsidR="003B1388">
        <w:t xml:space="preserve"> to </w:t>
      </w:r>
      <w:r w:rsidR="00546AD0">
        <w:t>achi</w:t>
      </w:r>
      <w:r w:rsidR="00631728">
        <w:t>e</w:t>
      </w:r>
      <w:r w:rsidR="00546AD0">
        <w:t>ve the 900 compl</w:t>
      </w:r>
      <w:r w:rsidR="006A70C0">
        <w:t>e</w:t>
      </w:r>
      <w:r w:rsidR="00546AD0">
        <w:t>ted response</w:t>
      </w:r>
      <w:r w:rsidR="006A70C0">
        <w:t>s</w:t>
      </w:r>
      <w:r w:rsidR="00546AD0">
        <w:t xml:space="preserve"> in each round of </w:t>
      </w:r>
      <w:r w:rsidR="006A70C0">
        <w:t xml:space="preserve">the </w:t>
      </w:r>
      <w:r w:rsidR="00546AD0">
        <w:t>suvey</w:t>
      </w:r>
      <w:r w:rsidR="00546AD0">
        <w:t xml:space="preserve"> with an anticipated 5.6% response rate</w:t>
      </w:r>
      <w:r w:rsidR="006A70C0">
        <w:t>.</w:t>
      </w:r>
      <w:r w:rsidR="00F6480C">
        <w:t xml:space="preserve"> </w:t>
      </w:r>
      <w:r w:rsidR="006A70C0">
        <w:t>S</w:t>
      </w:r>
      <w:r w:rsidR="008F1E5A">
        <w:t>imilar to</w:t>
      </w:r>
      <w:r w:rsidR="006A70C0">
        <w:t xml:space="preserve"> the</w:t>
      </w:r>
      <w:r w:rsidR="008F1E5A">
        <w:t xml:space="preserve"> nursing home and hospital sample design </w:t>
      </w:r>
      <w:r w:rsidR="008B7012">
        <w:t xml:space="preserve">we will draw </w:t>
      </w:r>
      <w:r w:rsidR="00E02BF3">
        <w:t>five</w:t>
      </w:r>
      <w:r w:rsidR="008B7012">
        <w:t xml:space="preserve"> additional replication groups</w:t>
      </w:r>
      <w:r w:rsidR="00B02820">
        <w:t xml:space="preserve"> (</w:t>
      </w:r>
      <w:r w:rsidR="000E1B9C">
        <w:t>1</w:t>
      </w:r>
      <w:r w:rsidR="00B02820">
        <w:t>,</w:t>
      </w:r>
      <w:r w:rsidR="000E1B9C">
        <w:t>6</w:t>
      </w:r>
      <w:r w:rsidR="00B02820">
        <w:t xml:space="preserve">00 outpatient clinicians </w:t>
      </w:r>
      <w:r w:rsidR="00AE1E2E">
        <w:t>each</w:t>
      </w:r>
      <w:r w:rsidR="00B02820">
        <w:t>)</w:t>
      </w:r>
      <w:r w:rsidR="00546AD0">
        <w:t xml:space="preserve">. </w:t>
      </w:r>
      <w:r w:rsidR="007668B3">
        <w:t>Upon finishing survey data</w:t>
      </w:r>
      <w:r w:rsidR="00A67DEF">
        <w:t xml:space="preserve"> collection,</w:t>
      </w:r>
      <w:r w:rsidR="00E02BF3">
        <w:t xml:space="preserve"> the</w:t>
      </w:r>
      <w:r w:rsidR="00A67DEF">
        <w:t xml:space="preserve"> </w:t>
      </w:r>
      <w:r w:rsidR="008551EE">
        <w:t>IEC will compare the key characteristics (e.g., medically underserved, number of beds, rural/urban</w:t>
      </w:r>
      <w:r w:rsidR="000B0FF5">
        <w:t xml:space="preserve"> location</w:t>
      </w:r>
      <w:r w:rsidR="008551EE">
        <w:t xml:space="preserve">, </w:t>
      </w:r>
      <w:r w:rsidR="000B0FF5">
        <w:t>profit/non-p</w:t>
      </w:r>
      <w:r w:rsidR="00E50546">
        <w:t>ro</w:t>
      </w:r>
      <w:r w:rsidR="000B0FF5">
        <w:t>fit</w:t>
      </w:r>
      <w:r w:rsidR="00E50546">
        <w:t xml:space="preserve"> </w:t>
      </w:r>
      <w:r w:rsidR="008551EE">
        <w:t xml:space="preserve">ownership, </w:t>
      </w:r>
      <w:r w:rsidR="00E50546">
        <w:t xml:space="preserve">hospital </w:t>
      </w:r>
      <w:r w:rsidR="008551EE">
        <w:t>type, etc.) between the responses received promptly or defer</w:t>
      </w:r>
      <w:r w:rsidR="008E75FE">
        <w:t>r</w:t>
      </w:r>
      <w:r w:rsidR="008551EE">
        <w:t xml:space="preserve">ed and the overall sample frame to check the </w:t>
      </w:r>
      <w:r w:rsidR="00C3438C">
        <w:t>covariate balance</w:t>
      </w:r>
      <w:r w:rsidR="00813029">
        <w:t>.</w:t>
      </w:r>
      <w:r w:rsidR="008551EE">
        <w:t xml:space="preserve"> </w:t>
      </w:r>
      <w:r w:rsidR="00813029">
        <w:t>I</w:t>
      </w:r>
      <w:r w:rsidR="00C3438C">
        <w:t>f needed, matching or non-response weighting will be applied to ensure the validity of</w:t>
      </w:r>
      <w:r w:rsidR="003F0862">
        <w:t xml:space="preserve"> scaling</w:t>
      </w:r>
      <w:r w:rsidR="00C3438C">
        <w:t xml:space="preserve"> survey findings to the study population</w:t>
      </w:r>
      <w:r w:rsidR="00ED6EC3">
        <w:t>.</w:t>
      </w:r>
    </w:p>
    <w:p w:rsidR="0005704C" w:rsidRPr="00B44357" w:rsidP="00D74FF4" w14:paraId="43B572CC" w14:textId="136509B6">
      <w:pPr>
        <w:pStyle w:val="Heading3"/>
        <w:rPr>
          <w:i w:val="0"/>
          <w:iCs/>
        </w:rPr>
      </w:pPr>
      <w:bookmarkStart w:id="10" w:name="_Toc433627275"/>
      <w:bookmarkStart w:id="11" w:name="_Toc429570396"/>
      <w:bookmarkStart w:id="12" w:name="_Toc410331707"/>
      <w:bookmarkStart w:id="13" w:name="_Toc410331601"/>
      <w:bookmarkStart w:id="14" w:name="_Toc409601344"/>
      <w:r w:rsidRPr="00B44357">
        <w:rPr>
          <w:i w:val="0"/>
          <w:iCs/>
        </w:rPr>
        <w:t>Expected Response Rates</w:t>
      </w:r>
      <w:bookmarkEnd w:id="10"/>
      <w:bookmarkEnd w:id="11"/>
      <w:bookmarkEnd w:id="12"/>
      <w:bookmarkEnd w:id="13"/>
      <w:bookmarkEnd w:id="14"/>
    </w:p>
    <w:p w:rsidR="0005704C" w:rsidRPr="00B44357" w:rsidP="21A325E7" w14:paraId="2301D068" w14:textId="12AB44AA">
      <w:pPr>
        <w:ind w:left="720"/>
        <w:rPr>
          <w:iCs/>
        </w:rPr>
      </w:pPr>
      <w:r>
        <w:rPr>
          <w:iCs/>
        </w:rPr>
        <w:t xml:space="preserve">For </w:t>
      </w:r>
      <w:r w:rsidR="006A70C0">
        <w:rPr>
          <w:iCs/>
        </w:rPr>
        <w:t xml:space="preserve">the </w:t>
      </w:r>
      <w:r>
        <w:rPr>
          <w:iCs/>
        </w:rPr>
        <w:t xml:space="preserve">Nursing Home and Hospital Surveys, </w:t>
      </w:r>
      <w:r w:rsidRPr="00AB2D29" w:rsidR="32285996">
        <w:rPr>
          <w:iCs/>
        </w:rPr>
        <w:t xml:space="preserve">IEC </w:t>
      </w:r>
      <w:r w:rsidRPr="00AB2D29" w:rsidR="1E7E5C20">
        <w:rPr>
          <w:iCs/>
        </w:rPr>
        <w:t>expect</w:t>
      </w:r>
      <w:r w:rsidRPr="00AB2D29" w:rsidR="32285996">
        <w:rPr>
          <w:iCs/>
        </w:rPr>
        <w:t>s</w:t>
      </w:r>
      <w:r w:rsidRPr="00AB2D29" w:rsidR="1E7E5C20">
        <w:rPr>
          <w:iCs/>
        </w:rPr>
        <w:t xml:space="preserve"> to </w:t>
      </w:r>
      <w:r w:rsidRPr="00AB2D29" w:rsidR="2037F3A2">
        <w:rPr>
          <w:iCs/>
        </w:rPr>
        <w:t>achieve</w:t>
      </w:r>
      <w:r w:rsidRPr="00AB2D29" w:rsidR="1E7E5C20">
        <w:rPr>
          <w:iCs/>
        </w:rPr>
        <w:t xml:space="preserve"> a response rate of</w:t>
      </w:r>
      <w:r w:rsidRPr="00AB2D29" w:rsidR="008746CF">
        <w:rPr>
          <w:iCs/>
        </w:rPr>
        <w:t xml:space="preserve"> </w:t>
      </w:r>
      <w:r w:rsidR="000B7905">
        <w:rPr>
          <w:iCs/>
        </w:rPr>
        <w:t>40</w:t>
      </w:r>
      <w:r w:rsidRPr="00B44357" w:rsidR="1E7E5C20">
        <w:rPr>
          <w:iCs/>
        </w:rPr>
        <w:t>%</w:t>
      </w:r>
      <w:r w:rsidRPr="00AB2D29" w:rsidR="1E7E5C20">
        <w:rPr>
          <w:iCs/>
        </w:rPr>
        <w:t xml:space="preserve"> </w:t>
      </w:r>
      <w:r w:rsidRPr="00AB2D29" w:rsidR="2037F3A2">
        <w:rPr>
          <w:iCs/>
        </w:rPr>
        <w:t xml:space="preserve">among the nursing home administrators asked to participate </w:t>
      </w:r>
      <w:r w:rsidRPr="00AB2D29" w:rsidR="1E7E5C20">
        <w:rPr>
          <w:iCs/>
        </w:rPr>
        <w:t xml:space="preserve">because of difficulties scheduling and conducting telephone interviews during normal working hours. This </w:t>
      </w:r>
      <w:r w:rsidRPr="00AB2D29" w:rsidR="5BC26120">
        <w:rPr>
          <w:iCs/>
        </w:rPr>
        <w:t xml:space="preserve">anticipated </w:t>
      </w:r>
      <w:r w:rsidRPr="00AB2D29" w:rsidR="3780EB5C">
        <w:rPr>
          <w:iCs/>
        </w:rPr>
        <w:t xml:space="preserve">response rate </w:t>
      </w:r>
      <w:r w:rsidRPr="00AB2D29" w:rsidR="1E7E5C20">
        <w:rPr>
          <w:iCs/>
        </w:rPr>
        <w:t xml:space="preserve">is based on similar surveys </w:t>
      </w:r>
      <w:r w:rsidRPr="00AB2D29" w:rsidR="007D02D6">
        <w:rPr>
          <w:iCs/>
        </w:rPr>
        <w:t xml:space="preserve">with this population </w:t>
      </w:r>
      <w:r w:rsidRPr="00AB2D29" w:rsidR="1E7E5C20">
        <w:rPr>
          <w:iCs/>
        </w:rPr>
        <w:t xml:space="preserve">conducted </w:t>
      </w:r>
      <w:r w:rsidRPr="00AB2D29" w:rsidR="5BBB0F9B">
        <w:rPr>
          <w:iCs/>
        </w:rPr>
        <w:t xml:space="preserve">previously </w:t>
      </w:r>
      <w:r w:rsidRPr="00AB2D29" w:rsidR="1E7E5C20">
        <w:rPr>
          <w:iCs/>
        </w:rPr>
        <w:t>by</w:t>
      </w:r>
      <w:r w:rsidR="007701D9">
        <w:rPr>
          <w:iCs/>
        </w:rPr>
        <w:t xml:space="preserve"> the</w:t>
      </w:r>
      <w:r w:rsidRPr="00AB2D29" w:rsidR="1E7E5C20">
        <w:rPr>
          <w:iCs/>
        </w:rPr>
        <w:t xml:space="preserve"> IEC team members.</w:t>
      </w:r>
      <w:r w:rsidRPr="00AB2D29" w:rsidR="73A5B91F">
        <w:rPr>
          <w:iCs/>
        </w:rPr>
        <w:t xml:space="preserve"> </w:t>
      </w:r>
      <w:r w:rsidR="5E031A6E">
        <w:t>For</w:t>
      </w:r>
      <w:r w:rsidRPr="00AB2D29" w:rsidR="31E19774">
        <w:rPr>
          <w:iCs/>
        </w:rPr>
        <w:t xml:space="preserve"> hospital administrators,</w:t>
      </w:r>
      <w:r w:rsidRPr="00AB2D29" w:rsidR="008461D4">
        <w:rPr>
          <w:iCs/>
        </w:rPr>
        <w:t xml:space="preserve"> </w:t>
      </w:r>
      <w:r w:rsidR="6109DF0D">
        <w:t>the IEC anticipates a somewhat lower response rate (</w:t>
      </w:r>
      <w:r w:rsidR="001A63AA">
        <w:t>35</w:t>
      </w:r>
      <w:r w:rsidR="6109DF0D">
        <w:t>%) because</w:t>
      </w:r>
      <w:r w:rsidR="274E4900">
        <w:t xml:space="preserve"> </w:t>
      </w:r>
      <w:r w:rsidR="04311B7B">
        <w:t>t</w:t>
      </w:r>
      <w:r w:rsidR="5324D178">
        <w:t>here</w:t>
      </w:r>
      <w:r w:rsidR="000E12B8">
        <w:rPr>
          <w:iCs/>
        </w:rPr>
        <w:t xml:space="preserve"> may be difficulties achieving this rate due to </w:t>
      </w:r>
      <w:r w:rsidR="7C312AE2">
        <w:t>incomplete contact information,</w:t>
      </w:r>
      <w:r w:rsidR="5324D178">
        <w:t xml:space="preserve"> </w:t>
      </w:r>
      <w:r w:rsidR="003F08FA">
        <w:rPr>
          <w:iCs/>
        </w:rPr>
        <w:t xml:space="preserve">administrators having </w:t>
      </w:r>
      <w:r w:rsidRPr="00FA3051" w:rsidR="73A5B91F">
        <w:rPr>
          <w:iCs/>
        </w:rPr>
        <w:t>broader responsibilities</w:t>
      </w:r>
      <w:r w:rsidR="00E55542">
        <w:rPr>
          <w:iCs/>
        </w:rPr>
        <w:t>,</w:t>
      </w:r>
      <w:r w:rsidRPr="00FA3051" w:rsidR="73A5B91F">
        <w:rPr>
          <w:iCs/>
        </w:rPr>
        <w:t xml:space="preserve"> </w:t>
      </w:r>
      <w:r w:rsidR="00E172AF">
        <w:rPr>
          <w:iCs/>
        </w:rPr>
        <w:t xml:space="preserve">and less available staff </w:t>
      </w:r>
      <w:r w:rsidR="0099544F">
        <w:rPr>
          <w:iCs/>
        </w:rPr>
        <w:t>among</w:t>
      </w:r>
      <w:r w:rsidR="00E172AF">
        <w:rPr>
          <w:iCs/>
        </w:rPr>
        <w:t xml:space="preserve"> the hospital</w:t>
      </w:r>
      <w:r w:rsidR="0099544F">
        <w:rPr>
          <w:iCs/>
        </w:rPr>
        <w:t>s eligible for the program</w:t>
      </w:r>
      <w:r w:rsidRPr="00FA3051" w:rsidR="73A5B91F">
        <w:rPr>
          <w:iCs/>
        </w:rPr>
        <w:t>. Response rates may vary</w:t>
      </w:r>
      <w:r w:rsidR="0916D292">
        <w:t xml:space="preserve"> by strata</w:t>
      </w:r>
      <w:r w:rsidRPr="00FA3051" w:rsidR="73A5B91F">
        <w:rPr>
          <w:iCs/>
        </w:rPr>
        <w:t>, particularly with</w:t>
      </w:r>
      <w:r w:rsidR="00E55542">
        <w:rPr>
          <w:iCs/>
        </w:rPr>
        <w:t xml:space="preserve"> </w:t>
      </w:r>
      <w:r w:rsidR="00C361EC">
        <w:rPr>
          <w:iCs/>
        </w:rPr>
        <w:t xml:space="preserve">nursing homes and </w:t>
      </w:r>
      <w:r w:rsidR="00E55542">
        <w:rPr>
          <w:iCs/>
        </w:rPr>
        <w:t>hospitals</w:t>
      </w:r>
      <w:r w:rsidRPr="00FA3051" w:rsidR="73A5B91F">
        <w:rPr>
          <w:iCs/>
        </w:rPr>
        <w:t xml:space="preserve"> not</w:t>
      </w:r>
      <w:r w:rsidR="00E55542">
        <w:rPr>
          <w:iCs/>
        </w:rPr>
        <w:t xml:space="preserve"> </w:t>
      </w:r>
      <w:r w:rsidRPr="00FA3051" w:rsidR="73A5B91F">
        <w:rPr>
          <w:iCs/>
        </w:rPr>
        <w:t>enrolled</w:t>
      </w:r>
      <w:r w:rsidR="00475B5C">
        <w:rPr>
          <w:iCs/>
        </w:rPr>
        <w:t>,</w:t>
      </w:r>
      <w:r w:rsidRPr="00FA3051" w:rsidR="73A5B91F">
        <w:rPr>
          <w:iCs/>
        </w:rPr>
        <w:t xml:space="preserve"> which </w:t>
      </w:r>
      <w:r w:rsidRPr="00FA3051" w:rsidR="31E19774">
        <w:rPr>
          <w:iCs/>
        </w:rPr>
        <w:t>we</w:t>
      </w:r>
      <w:r w:rsidRPr="00FA3051" w:rsidR="73A5B91F">
        <w:rPr>
          <w:iCs/>
        </w:rPr>
        <w:t xml:space="preserve"> expect will be difficult to recruit </w:t>
      </w:r>
      <w:r w:rsidR="002D10FA">
        <w:rPr>
          <w:iCs/>
        </w:rPr>
        <w:t>for</w:t>
      </w:r>
      <w:r w:rsidRPr="00FA3051" w:rsidR="37363C71">
        <w:rPr>
          <w:iCs/>
        </w:rPr>
        <w:t xml:space="preserve"> these surveys</w:t>
      </w:r>
      <w:r w:rsidRPr="00FA3051" w:rsidR="31E19774">
        <w:rPr>
          <w:iCs/>
        </w:rPr>
        <w:t xml:space="preserve"> </w:t>
      </w:r>
      <w:r w:rsidRPr="00FA3051" w:rsidR="40F3F7F0">
        <w:rPr>
          <w:iCs/>
        </w:rPr>
        <w:t xml:space="preserve">because </w:t>
      </w:r>
      <w:r w:rsidR="0017191C">
        <w:rPr>
          <w:iCs/>
        </w:rPr>
        <w:t>QIN-</w:t>
      </w:r>
      <w:r w:rsidRPr="00FA3051" w:rsidR="0017191C">
        <w:rPr>
          <w:iCs/>
        </w:rPr>
        <w:t>QIOs and HQICs cite</w:t>
      </w:r>
      <w:r w:rsidRPr="00FA3051" w:rsidR="40F3F7F0">
        <w:rPr>
          <w:iCs/>
        </w:rPr>
        <w:t xml:space="preserve"> difficulty in contacting these admini</w:t>
      </w:r>
      <w:r w:rsidRPr="00FA3051" w:rsidR="756AFACE">
        <w:rPr>
          <w:iCs/>
        </w:rPr>
        <w:t>s</w:t>
      </w:r>
      <w:r w:rsidRPr="00FA3051" w:rsidR="40F3F7F0">
        <w:rPr>
          <w:iCs/>
        </w:rPr>
        <w:t>trators</w:t>
      </w:r>
      <w:r w:rsidRPr="00FA3051" w:rsidR="44D230D9">
        <w:rPr>
          <w:iCs/>
        </w:rPr>
        <w:t xml:space="preserve"> </w:t>
      </w:r>
      <w:r w:rsidR="0017191C">
        <w:rPr>
          <w:iCs/>
        </w:rPr>
        <w:t>a</w:t>
      </w:r>
      <w:r w:rsidRPr="00FA3051" w:rsidR="44D230D9">
        <w:rPr>
          <w:iCs/>
        </w:rPr>
        <w:t xml:space="preserve">s </w:t>
      </w:r>
      <w:r w:rsidRPr="00FA3051" w:rsidR="29B0AA5B">
        <w:rPr>
          <w:iCs/>
        </w:rPr>
        <w:t xml:space="preserve">a primary </w:t>
      </w:r>
      <w:r w:rsidRPr="00FA3051" w:rsidR="0FEEADAC">
        <w:rPr>
          <w:iCs/>
        </w:rPr>
        <w:t xml:space="preserve">barrier to </w:t>
      </w:r>
      <w:r w:rsidRPr="00FA3051" w:rsidR="00D60D33">
        <w:rPr>
          <w:iCs/>
        </w:rPr>
        <w:t>recruiting</w:t>
      </w:r>
      <w:r w:rsidRPr="00FA3051" w:rsidR="4596E653">
        <w:rPr>
          <w:iCs/>
        </w:rPr>
        <w:t xml:space="preserve"> these </w:t>
      </w:r>
      <w:r w:rsidRPr="00FA3051" w:rsidR="00D60D33">
        <w:rPr>
          <w:iCs/>
        </w:rPr>
        <w:t>organizations</w:t>
      </w:r>
      <w:r w:rsidRPr="00FA3051" w:rsidR="4596E653">
        <w:rPr>
          <w:iCs/>
        </w:rPr>
        <w:t>.</w:t>
      </w:r>
    </w:p>
    <w:p w:rsidR="004805FC" w:rsidP="21A325E7" w14:paraId="689840DD" w14:textId="13233261">
      <w:pPr>
        <w:ind w:left="720"/>
        <w:rPr>
          <w:iCs/>
        </w:rPr>
      </w:pPr>
    </w:p>
    <w:p w:rsidR="004805FC" w:rsidRPr="00B44357" w:rsidP="21A325E7" w14:paraId="48507CBE" w14:textId="2EBE7A11">
      <w:pPr>
        <w:ind w:left="720"/>
        <w:rPr>
          <w:iCs/>
        </w:rPr>
      </w:pPr>
      <w:r>
        <w:rPr>
          <w:iCs/>
        </w:rPr>
        <w:t xml:space="preserve">For </w:t>
      </w:r>
      <w:r w:rsidR="00A17A38">
        <w:rPr>
          <w:iCs/>
        </w:rPr>
        <w:t xml:space="preserve">the </w:t>
      </w:r>
      <w:r>
        <w:rPr>
          <w:iCs/>
        </w:rPr>
        <w:t xml:space="preserve">Outpatient Clinician Survey, </w:t>
      </w:r>
      <w:r w:rsidR="000B2256">
        <w:t>r</w:t>
      </w:r>
      <w:r w:rsidRPr="0038321F">
        <w:t>esponse rates with healthcare providers var</w:t>
      </w:r>
      <w:r>
        <w:t xml:space="preserve">y depending on </w:t>
      </w:r>
      <w:r w:rsidRPr="0038321F">
        <w:t xml:space="preserve">the survey content and the type of provider contacted, making </w:t>
      </w:r>
      <w:r>
        <w:t xml:space="preserve">it difficult to </w:t>
      </w:r>
      <w:r w:rsidRPr="0038321F">
        <w:t>estimat</w:t>
      </w:r>
      <w:r>
        <w:t>e</w:t>
      </w:r>
      <w:r w:rsidRPr="0038321F">
        <w:t xml:space="preserve"> an expected response rate for this s</w:t>
      </w:r>
      <w:r>
        <w:t>urvey</w:t>
      </w:r>
      <w:r w:rsidRPr="0038321F">
        <w:t xml:space="preserve">. </w:t>
      </w:r>
      <w:r>
        <w:t xml:space="preserve">Response rate may also vary by strata, </w:t>
      </w:r>
      <w:r>
        <w:rPr>
          <w:iCs/>
        </w:rPr>
        <w:t>and</w:t>
      </w:r>
      <w:r w:rsidRPr="00FA3051">
        <w:rPr>
          <w:iCs/>
        </w:rPr>
        <w:t xml:space="preserve"> we expect </w:t>
      </w:r>
      <w:r>
        <w:rPr>
          <w:iCs/>
        </w:rPr>
        <w:t>completion by providers in the non-enrolled strat</w:t>
      </w:r>
      <w:r w:rsidR="00483284">
        <w:rPr>
          <w:iCs/>
        </w:rPr>
        <w:t>um</w:t>
      </w:r>
      <w:r>
        <w:rPr>
          <w:iCs/>
        </w:rPr>
        <w:t xml:space="preserve"> will </w:t>
      </w:r>
      <w:r w:rsidR="00F94D87">
        <w:rPr>
          <w:iCs/>
        </w:rPr>
        <w:t xml:space="preserve">be </w:t>
      </w:r>
      <w:r>
        <w:rPr>
          <w:iCs/>
        </w:rPr>
        <w:t>particularly difficult.</w:t>
      </w:r>
      <w:r w:rsidRPr="00FA3051">
        <w:rPr>
          <w:iCs/>
        </w:rPr>
        <w:t xml:space="preserve"> </w:t>
      </w:r>
      <w:r w:rsidR="009D037D">
        <w:rPr>
          <w:iCs/>
        </w:rPr>
        <w:t>QIN-</w:t>
      </w:r>
      <w:r w:rsidRPr="00FA3051">
        <w:rPr>
          <w:iCs/>
        </w:rPr>
        <w:t xml:space="preserve">QIOs cite </w:t>
      </w:r>
      <w:r>
        <w:rPr>
          <w:iCs/>
        </w:rPr>
        <w:t>contacting outpatient clinicians</w:t>
      </w:r>
      <w:r w:rsidRPr="00FA3051">
        <w:rPr>
          <w:iCs/>
        </w:rPr>
        <w:t xml:space="preserve"> as </w:t>
      </w:r>
      <w:r>
        <w:rPr>
          <w:iCs/>
        </w:rPr>
        <w:t>the main</w:t>
      </w:r>
      <w:r w:rsidRPr="00FA3051">
        <w:rPr>
          <w:iCs/>
        </w:rPr>
        <w:t xml:space="preserve"> barrier to recruiting these </w:t>
      </w:r>
      <w:r>
        <w:rPr>
          <w:iCs/>
        </w:rPr>
        <w:t>providers</w:t>
      </w:r>
      <w:r w:rsidRPr="00FA3051">
        <w:rPr>
          <w:iCs/>
        </w:rPr>
        <w:t>.</w:t>
      </w:r>
      <w:r>
        <w:rPr>
          <w:iCs/>
        </w:rPr>
        <w:t xml:space="preserve"> </w:t>
      </w:r>
      <w:r>
        <w:t>Based on IEC’s experience with a</w:t>
      </w:r>
      <w:r w:rsidR="002F79AD">
        <w:t xml:space="preserve"> similar </w:t>
      </w:r>
      <w:r>
        <w:t xml:space="preserve">online survey involving physicians and pharmacists, we expect to achieve a response rate of 5.6% for clinicians. </w:t>
      </w:r>
      <w:r w:rsidRPr="0038321F">
        <w:t>We will be employing a number of strategies to maximize response rates among this group including identifying CMS as the survey sponsor, communicating the public policy benefit of participating in the survey, and using multiple reminders and contacts</w:t>
      </w:r>
      <w:r>
        <w:t xml:space="preserve"> via calls and emails</w:t>
      </w:r>
      <w:r w:rsidRPr="0038321F">
        <w:t>.</w:t>
      </w:r>
    </w:p>
    <w:p w:rsidR="0005704C" w:rsidRPr="00B44357" w:rsidP="00D74FF4" w14:paraId="7E86D151" w14:textId="2C8EA018">
      <w:pPr>
        <w:pStyle w:val="Heading2"/>
        <w:rPr>
          <w:iCs/>
        </w:rPr>
      </w:pPr>
      <w:bookmarkStart w:id="15" w:name="_Toc433627276"/>
      <w:bookmarkStart w:id="16" w:name="_Toc429570397"/>
      <w:bookmarkStart w:id="17" w:name="_Toc410331708"/>
      <w:bookmarkStart w:id="18" w:name="_Toc410331602"/>
      <w:r w:rsidRPr="00FA3051">
        <w:rPr>
          <w:iCs/>
        </w:rPr>
        <w:t>Procedures</w:t>
      </w:r>
      <w:r w:rsidRPr="00FA3051">
        <w:rPr>
          <w:iCs/>
        </w:rPr>
        <w:t xml:space="preserve"> for the Collection of Information</w:t>
      </w:r>
      <w:bookmarkEnd w:id="15"/>
      <w:bookmarkEnd w:id="16"/>
      <w:bookmarkEnd w:id="17"/>
      <w:bookmarkEnd w:id="18"/>
    </w:p>
    <w:p w:rsidR="0005704C" w:rsidRPr="00B44357" w:rsidP="00D74FF4" w14:paraId="1519102E" w14:textId="77777777">
      <w:pPr>
        <w:pStyle w:val="Heading3"/>
        <w:rPr>
          <w:i w:val="0"/>
          <w:iCs/>
        </w:rPr>
      </w:pPr>
      <w:r w:rsidRPr="00B44357">
        <w:rPr>
          <w:i w:val="0"/>
          <w:iCs/>
        </w:rPr>
        <w:t>Statistical Methodology for Stratification and Sample Selection</w:t>
      </w:r>
    </w:p>
    <w:p w:rsidR="00F76114" w:rsidP="00B44357" w14:paraId="323744F6" w14:textId="2AC9FE69">
      <w:pPr>
        <w:ind w:left="720"/>
      </w:pPr>
      <w:r>
        <w:rPr>
          <w:iCs/>
        </w:rPr>
        <w:t xml:space="preserve">The </w:t>
      </w:r>
      <w:r w:rsidRPr="00FA3051" w:rsidR="00EC669E">
        <w:rPr>
          <w:iCs/>
        </w:rPr>
        <w:t>IEC</w:t>
      </w:r>
      <w:r w:rsidRPr="00FA3051" w:rsidR="0005704C">
        <w:rPr>
          <w:iCs/>
        </w:rPr>
        <w:t xml:space="preserve"> will conduct </w:t>
      </w:r>
      <w:r w:rsidRPr="00FA3051" w:rsidR="0005197D">
        <w:rPr>
          <w:iCs/>
        </w:rPr>
        <w:t xml:space="preserve">a </w:t>
      </w:r>
      <w:r w:rsidRPr="00FA3051" w:rsidR="0005704C">
        <w:rPr>
          <w:iCs/>
        </w:rPr>
        <w:t>stratified random sampl</w:t>
      </w:r>
      <w:r w:rsidRPr="00FA3051" w:rsidR="001624DB">
        <w:rPr>
          <w:iCs/>
        </w:rPr>
        <w:t xml:space="preserve">e for each survey (see </w:t>
      </w:r>
      <w:r w:rsidRPr="00FA3051" w:rsidR="00EC669E">
        <w:fldChar w:fldCharType="begin"/>
      </w:r>
      <w:r w:rsidRPr="00FA3051" w:rsidR="00EC669E">
        <w:instrText xml:space="preserve"> REF _Ref449625004 \h </w:instrText>
      </w:r>
      <w:r w:rsidR="00FA3051">
        <w:instrText xml:space="preserve"> \* MERGEFORMAT </w:instrText>
      </w:r>
      <w:r w:rsidRPr="00FA3051" w:rsidR="00EC669E">
        <w:fldChar w:fldCharType="separate"/>
      </w:r>
      <w:r w:rsidRPr="00FA3051" w:rsidR="001B320A">
        <w:t xml:space="preserve">Table </w:t>
      </w:r>
      <w:r w:rsidRPr="00FA3051" w:rsidR="001B320A">
        <w:rPr>
          <w:noProof/>
        </w:rPr>
        <w:t>1</w:t>
      </w:r>
      <w:r w:rsidRPr="00FA3051" w:rsidR="00EC669E">
        <w:fldChar w:fldCharType="end"/>
      </w:r>
      <w:r w:rsidRPr="1C6BFF89" w:rsidR="3B33403D">
        <w:rPr>
          <w:noProof/>
        </w:rPr>
        <w:t>a</w:t>
      </w:r>
      <w:r w:rsidR="004805FC">
        <w:rPr>
          <w:noProof/>
        </w:rPr>
        <w:t xml:space="preserve">, </w:t>
      </w:r>
      <w:r w:rsidR="71E68CD0">
        <w:t>1b</w:t>
      </w:r>
      <w:r w:rsidR="004805FC">
        <w:t>, and 1c</w:t>
      </w:r>
      <w:r w:rsidRPr="00FA3051" w:rsidR="007D36D8">
        <w:rPr>
          <w:iCs/>
        </w:rPr>
        <w:t xml:space="preserve"> above </w:t>
      </w:r>
      <w:r w:rsidRPr="00FA3051" w:rsidR="001624DB">
        <w:rPr>
          <w:iCs/>
        </w:rPr>
        <w:t xml:space="preserve">for targets). </w:t>
      </w:r>
    </w:p>
    <w:p w:rsidR="0005704C" w:rsidRPr="00B44357" w:rsidP="00B44357" w14:paraId="5BB7034C" w14:textId="18C1534C">
      <w:pPr>
        <w:ind w:left="720"/>
      </w:pPr>
      <w:r>
        <w:t xml:space="preserve">Within each </w:t>
      </w:r>
      <w:r w:rsidR="73A5B91F">
        <w:t>stratum</w:t>
      </w:r>
      <w:r>
        <w:t xml:space="preserve">, </w:t>
      </w:r>
      <w:r w:rsidR="049CBD21">
        <w:t xml:space="preserve">we will employ </w:t>
      </w:r>
      <w:r w:rsidR="73A5B91F">
        <w:t xml:space="preserve">a </w:t>
      </w:r>
      <w:r>
        <w:t>systematic random selection</w:t>
      </w:r>
      <w:r w:rsidR="53734292">
        <w:t xml:space="preserve"> that assures that the sample is well </w:t>
      </w:r>
      <w:r w:rsidR="0BB19160">
        <w:t>representative</w:t>
      </w:r>
      <w:r w:rsidR="53734292">
        <w:t xml:space="preserve"> of the population</w:t>
      </w:r>
      <w:r w:rsidR="5BC1E713">
        <w:t>.</w:t>
      </w:r>
      <w:r w:rsidR="73A5B91F">
        <w:t xml:space="preserve"> </w:t>
      </w:r>
      <w:r w:rsidR="007353D6">
        <w:t>The</w:t>
      </w:r>
      <w:r w:rsidR="121827C4">
        <w:t xml:space="preserve"> selection process can include a number of </w:t>
      </w:r>
      <w:r w:rsidR="5BC1E713">
        <w:t xml:space="preserve">balancing variables. </w:t>
      </w:r>
      <w:r w:rsidR="73A5B91F">
        <w:t xml:space="preserve">These variables will include </w:t>
      </w:r>
      <w:r w:rsidR="00AD5472">
        <w:t>QIN-</w:t>
      </w:r>
      <w:r w:rsidR="73A5B91F">
        <w:t xml:space="preserve">QIO/HQIC </w:t>
      </w:r>
      <w:r w:rsidR="006C2E1C">
        <w:t>region</w:t>
      </w:r>
      <w:r w:rsidR="73A5B91F">
        <w:t>, facility performance (star rating), facility characteristics (</w:t>
      </w:r>
      <w:r w:rsidR="5D7A4E48">
        <w:t>e.g.,</w:t>
      </w:r>
      <w:r w:rsidR="73A5B91F">
        <w:t xml:space="preserve"> setting (urban/rural), size, etc</w:t>
      </w:r>
      <w:r w:rsidR="5BC1E713">
        <w:t>.)</w:t>
      </w:r>
      <w:r w:rsidR="169032AE">
        <w:t xml:space="preserve">, </w:t>
      </w:r>
      <w:r w:rsidR="00CC3A93">
        <w:t xml:space="preserve">participant entity type, health equity indicator (e.g., Area Deprivation Index, Social </w:t>
      </w:r>
      <w:r w:rsidR="00CC3A93">
        <w:t>Vulnerabality</w:t>
      </w:r>
      <w:r w:rsidR="00CC3A93">
        <w:t xml:space="preserve"> Index, </w:t>
      </w:r>
      <w:r w:rsidR="005A4D5A">
        <w:t xml:space="preserve">and </w:t>
      </w:r>
      <w:r w:rsidR="00CC3A93">
        <w:t xml:space="preserve">list of priority targeted zip code shared by CMS), NPI type (individual/organization), provider specialties, </w:t>
      </w:r>
      <w:r w:rsidR="169032AE">
        <w:t>and program data (e.g.</w:t>
      </w:r>
      <w:r w:rsidR="008F6459">
        <w:t>,</w:t>
      </w:r>
      <w:r w:rsidR="169032AE">
        <w:t xml:space="preserve"> level of participation</w:t>
      </w:r>
      <w:r w:rsidR="00DB32C8">
        <w:t xml:space="preserve"> </w:t>
      </w:r>
      <w:r w:rsidR="169032AE">
        <w:t>, qualification</w:t>
      </w:r>
      <w:r w:rsidR="12E70245">
        <w:t xml:space="preserve"> category</w:t>
      </w:r>
      <w:r w:rsidR="000A7FBA">
        <w:t>, etc.</w:t>
      </w:r>
      <w:r w:rsidR="12E70245">
        <w:t>)</w:t>
      </w:r>
      <w:r w:rsidR="723B2BAE">
        <w:t>.</w:t>
      </w:r>
      <w:r w:rsidR="7A7715B6">
        <w:t xml:space="preserve"> </w:t>
      </w:r>
      <w:r w:rsidR="7FC64897">
        <w:t xml:space="preserve">Before drawing the sample, </w:t>
      </w:r>
      <w:r w:rsidR="00D94A31">
        <w:t xml:space="preserve">the </w:t>
      </w:r>
      <w:r w:rsidR="7FC64897">
        <w:t xml:space="preserve">IEC will conduct </w:t>
      </w:r>
      <w:r w:rsidR="006A70C0">
        <w:t xml:space="preserve">an </w:t>
      </w:r>
      <w:r w:rsidR="7FC64897">
        <w:t>analysis to determine which balancing variables to use for each survey</w:t>
      </w:r>
      <w:r w:rsidR="77D130C0">
        <w:t>, the categories</w:t>
      </w:r>
      <w:r w:rsidR="16660885">
        <w:t>/number of categories</w:t>
      </w:r>
      <w:r w:rsidR="2A2D1B4C">
        <w:t xml:space="preserve"> most relevant for each variable</w:t>
      </w:r>
      <w:r w:rsidR="3EF216C3">
        <w:t xml:space="preserve"> while limiting small cells</w:t>
      </w:r>
      <w:r w:rsidR="2A2D1B4C">
        <w:t>,</w:t>
      </w:r>
      <w:r w:rsidR="7FC64897">
        <w:t xml:space="preserve"> and the optimal sort order prioritization.  This methodology will produce samples that are more representative across the balancing variables</w:t>
      </w:r>
      <w:r w:rsidR="070A0541">
        <w:t xml:space="preserve"> categories</w:t>
      </w:r>
      <w:r w:rsidR="34EF42BC">
        <w:t>.</w:t>
      </w:r>
    </w:p>
    <w:p w:rsidR="0005704C" w:rsidRPr="00B44357" w:rsidP="00D74FF4" w14:paraId="17065726" w14:textId="77777777">
      <w:pPr>
        <w:pStyle w:val="Heading3"/>
        <w:rPr>
          <w:i w:val="0"/>
          <w:iCs/>
        </w:rPr>
      </w:pPr>
      <w:r w:rsidRPr="00B44357">
        <w:rPr>
          <w:i w:val="0"/>
          <w:iCs/>
        </w:rPr>
        <w:t>Estimation Procedure</w:t>
      </w:r>
    </w:p>
    <w:p w:rsidR="0005704C" w:rsidRPr="00B44357" w:rsidP="21A325E7" w14:paraId="694A0CCB" w14:textId="3431700B">
      <w:pPr>
        <w:ind w:left="720"/>
        <w:rPr>
          <w:iCs/>
        </w:rPr>
      </w:pPr>
      <w:r w:rsidRPr="00FA3051">
        <w:rPr>
          <w:iCs/>
        </w:rPr>
        <w:t>IEC’s</w:t>
      </w:r>
      <w:r w:rsidRPr="00FA3051">
        <w:rPr>
          <w:iCs/>
        </w:rPr>
        <w:t xml:space="preserve"> evaluation plan outlines the analytic method for each task’s evaluation questions </w:t>
      </w:r>
      <w:r w:rsidR="002F5156">
        <w:rPr>
          <w:iCs/>
        </w:rPr>
        <w:t xml:space="preserve">specific to goals </w:t>
      </w:r>
      <w:r w:rsidRPr="00FA3051">
        <w:rPr>
          <w:iCs/>
        </w:rPr>
        <w:t xml:space="preserve">to address the </w:t>
      </w:r>
      <w:r w:rsidRPr="00546A51" w:rsidR="001624DB">
        <w:t xml:space="preserve">opinions of </w:t>
      </w:r>
      <w:r w:rsidR="004553FA">
        <w:rPr>
          <w:iCs/>
        </w:rPr>
        <w:t xml:space="preserve">outpatient </w:t>
      </w:r>
      <w:r w:rsidRPr="000C74D5" w:rsidR="002F5156">
        <w:rPr>
          <w:iCs/>
        </w:rPr>
        <w:t>clinicians,</w:t>
      </w:r>
      <w:r w:rsidR="00C23C79">
        <w:rPr>
          <w:iCs/>
        </w:rPr>
        <w:t xml:space="preserve"> and</w:t>
      </w:r>
      <w:r w:rsidRPr="000C74D5" w:rsidR="002F5156">
        <w:rPr>
          <w:iCs/>
        </w:rPr>
        <w:t xml:space="preserve"> nursing home and hospital </w:t>
      </w:r>
      <w:r w:rsidRPr="00546A51" w:rsidR="001624DB">
        <w:t xml:space="preserve">administrators about the </w:t>
      </w:r>
      <w:r w:rsidRPr="00546A51" w:rsidR="00AD5472">
        <w:t xml:space="preserve">QIN-QIO </w:t>
      </w:r>
      <w:r w:rsidRPr="00546A51" w:rsidR="009F22C8">
        <w:t xml:space="preserve">and HQIC </w:t>
      </w:r>
      <w:r w:rsidR="00C76D94">
        <w:rPr>
          <w:iCs/>
        </w:rPr>
        <w:t>initiatives and</w:t>
      </w:r>
      <w:r w:rsidRPr="000C74D5" w:rsidR="001624DB">
        <w:rPr>
          <w:iCs/>
        </w:rPr>
        <w:t xml:space="preserve"> </w:t>
      </w:r>
      <w:r w:rsidRPr="00546A51" w:rsidR="001624DB">
        <w:t xml:space="preserve">subjective importance </w:t>
      </w:r>
      <w:r w:rsidRPr="000C74D5" w:rsidR="002F5156">
        <w:rPr>
          <w:iCs/>
        </w:rPr>
        <w:t xml:space="preserve">of </w:t>
      </w:r>
      <w:r w:rsidR="005B6322">
        <w:rPr>
          <w:iCs/>
        </w:rPr>
        <w:t>contractors’ services</w:t>
      </w:r>
      <w:r w:rsidRPr="000C74D5" w:rsidR="002F5156">
        <w:rPr>
          <w:iCs/>
        </w:rPr>
        <w:t xml:space="preserve"> </w:t>
      </w:r>
      <w:r w:rsidR="00116261">
        <w:rPr>
          <w:iCs/>
        </w:rPr>
        <w:t>for</w:t>
      </w:r>
      <w:r w:rsidRPr="00931EB7" w:rsidR="001624DB">
        <w:t xml:space="preserve"> quality improvement efforts</w:t>
      </w:r>
      <w:r w:rsidR="007F5A54">
        <w:rPr>
          <w:iCs/>
        </w:rPr>
        <w:t xml:space="preserve"> in </w:t>
      </w:r>
      <w:r w:rsidRPr="007365A2" w:rsidR="007F5A54">
        <w:rPr>
          <w:iCs/>
        </w:rPr>
        <w:t>their facilities</w:t>
      </w:r>
      <w:r w:rsidRPr="000C74D5" w:rsidR="001624DB">
        <w:rPr>
          <w:iCs/>
        </w:rPr>
        <w:t>.</w:t>
      </w:r>
      <w:r w:rsidRPr="00546A51" w:rsidR="001624DB">
        <w:t xml:space="preserve"> </w:t>
      </w:r>
      <w:r w:rsidRPr="00FA3051">
        <w:rPr>
          <w:iCs/>
        </w:rPr>
        <w:t>Our</w:t>
      </w:r>
      <w:r w:rsidRPr="00FA3051">
        <w:rPr>
          <w:iCs/>
        </w:rPr>
        <w:t xml:space="preserve"> analysis will begin with descriptive statistics</w:t>
      </w:r>
      <w:r w:rsidRPr="00FA3051" w:rsidR="009B39A7">
        <w:rPr>
          <w:iCs/>
        </w:rPr>
        <w:t>,</w:t>
      </w:r>
      <w:r w:rsidRPr="00FA3051">
        <w:rPr>
          <w:iCs/>
        </w:rPr>
        <w:t xml:space="preserve"> including percentages and means in total </w:t>
      </w:r>
      <w:r w:rsidR="00BD5593">
        <w:rPr>
          <w:iCs/>
        </w:rPr>
        <w:t xml:space="preserve">for each survey </w:t>
      </w:r>
      <w:r w:rsidR="00F86E13">
        <w:rPr>
          <w:iCs/>
        </w:rPr>
        <w:t xml:space="preserve">sample </w:t>
      </w:r>
      <w:r w:rsidRPr="00FA3051">
        <w:rPr>
          <w:iCs/>
        </w:rPr>
        <w:t>and across subgroups.</w:t>
      </w:r>
      <w:r w:rsidRPr="00FA3051" w:rsidR="00CC1D5C">
        <w:rPr>
          <w:iCs/>
        </w:rPr>
        <w:t xml:space="preserve"> </w:t>
      </w:r>
      <w:r w:rsidR="00C93917">
        <w:rPr>
          <w:iCs/>
        </w:rPr>
        <w:t xml:space="preserve">The </w:t>
      </w:r>
      <w:r w:rsidRPr="00FA3051" w:rsidR="00CC1D5C">
        <w:rPr>
          <w:iCs/>
        </w:rPr>
        <w:t>IEC will employ a</w:t>
      </w:r>
      <w:r w:rsidRPr="00FA3051">
        <w:rPr>
          <w:iCs/>
        </w:rPr>
        <w:t>ppropriate statistical tests</w:t>
      </w:r>
      <w:r w:rsidRPr="00FA3051" w:rsidR="00CC1D5C">
        <w:rPr>
          <w:iCs/>
        </w:rPr>
        <w:t>,</w:t>
      </w:r>
      <w:r w:rsidRPr="00FA3051">
        <w:rPr>
          <w:iCs/>
        </w:rPr>
        <w:t xml:space="preserve"> including t-tests, chi-square tests</w:t>
      </w:r>
      <w:r w:rsidRPr="00FA3051" w:rsidR="00CC1D5C">
        <w:rPr>
          <w:iCs/>
        </w:rPr>
        <w:t>,</w:t>
      </w:r>
      <w:r w:rsidRPr="00FA3051">
        <w:rPr>
          <w:iCs/>
        </w:rPr>
        <w:t xml:space="preserve"> and analyses of variance (ANOVA). </w:t>
      </w:r>
    </w:p>
    <w:p w:rsidR="0005704C" w:rsidRPr="00B44357" w:rsidP="00D74FF4" w14:paraId="58D9A63B" w14:textId="7CE0EDFC">
      <w:pPr>
        <w:pStyle w:val="Heading3"/>
        <w:rPr>
          <w:i w:val="0"/>
          <w:iCs/>
        </w:rPr>
      </w:pPr>
      <w:r w:rsidRPr="00B44357">
        <w:rPr>
          <w:i w:val="0"/>
          <w:iCs/>
        </w:rPr>
        <w:t xml:space="preserve">Degree of </w:t>
      </w:r>
      <w:r w:rsidR="00292CE5">
        <w:rPr>
          <w:i w:val="0"/>
          <w:iCs/>
        </w:rPr>
        <w:t>A</w:t>
      </w:r>
      <w:r w:rsidRPr="00B44357">
        <w:rPr>
          <w:i w:val="0"/>
          <w:iCs/>
        </w:rPr>
        <w:t xml:space="preserve">ccuracy </w:t>
      </w:r>
      <w:r w:rsidR="00292CE5">
        <w:rPr>
          <w:i w:val="0"/>
          <w:iCs/>
        </w:rPr>
        <w:t>N</w:t>
      </w:r>
      <w:r w:rsidRPr="00B44357">
        <w:rPr>
          <w:i w:val="0"/>
          <w:iCs/>
        </w:rPr>
        <w:t xml:space="preserve">eeded for the </w:t>
      </w:r>
      <w:r w:rsidR="00292CE5">
        <w:rPr>
          <w:i w:val="0"/>
          <w:iCs/>
        </w:rPr>
        <w:t>P</w:t>
      </w:r>
      <w:r w:rsidRPr="00B44357">
        <w:rPr>
          <w:i w:val="0"/>
          <w:iCs/>
        </w:rPr>
        <w:t xml:space="preserve">urpose </w:t>
      </w:r>
      <w:r w:rsidR="00292CE5">
        <w:rPr>
          <w:i w:val="0"/>
          <w:iCs/>
        </w:rPr>
        <w:t>D</w:t>
      </w:r>
      <w:r w:rsidRPr="00B44357">
        <w:rPr>
          <w:i w:val="0"/>
          <w:iCs/>
        </w:rPr>
        <w:t xml:space="preserve">escribed in the </w:t>
      </w:r>
      <w:r w:rsidR="00292CE5">
        <w:rPr>
          <w:i w:val="0"/>
          <w:iCs/>
        </w:rPr>
        <w:t>J</w:t>
      </w:r>
      <w:r w:rsidRPr="00B44357">
        <w:rPr>
          <w:i w:val="0"/>
          <w:iCs/>
        </w:rPr>
        <w:t>ustification</w:t>
      </w:r>
    </w:p>
    <w:p w:rsidR="00796EEA" w:rsidP="00796EEA" w14:paraId="33F2C056" w14:textId="70F20805">
      <w:pPr>
        <w:ind w:left="720"/>
      </w:pPr>
      <w:r>
        <w:t xml:space="preserve">For </w:t>
      </w:r>
      <w:r w:rsidR="006A70C0">
        <w:t xml:space="preserve">the </w:t>
      </w:r>
      <w:r>
        <w:t>Nursing Home and Hospital Surve</w:t>
      </w:r>
      <w:r w:rsidR="2244CF3F">
        <w:t>y</w:t>
      </w:r>
      <w:r>
        <w:t>s, the</w:t>
      </w:r>
      <w:r w:rsidR="71887530">
        <w:t xml:space="preserve"> margins of error </w:t>
      </w:r>
      <w:r w:rsidR="74765660">
        <w:t>(MOE</w:t>
      </w:r>
      <w:r w:rsidR="7A1A3609">
        <w:t>s</w:t>
      </w:r>
      <w:r w:rsidR="74765660">
        <w:t xml:space="preserve">) </w:t>
      </w:r>
      <w:r w:rsidR="71887530">
        <w:t xml:space="preserve">with 95% level of confidence for these </w:t>
      </w:r>
      <w:r w:rsidR="74765660">
        <w:t xml:space="preserve">surveys combined across strata (500 completes) </w:t>
      </w:r>
      <w:r w:rsidR="5B3E3246">
        <w:t>i</w:t>
      </w:r>
      <w:r w:rsidR="74765660">
        <w:t>s</w:t>
      </w:r>
      <w:r w:rsidR="5B3E3246">
        <w:t xml:space="preserve"> </w:t>
      </w:r>
      <w:r w:rsidR="74765660">
        <w:t>+/-4.</w:t>
      </w:r>
      <w:r w:rsidR="3DA836D2">
        <w:t>3</w:t>
      </w:r>
      <w:r w:rsidR="74765660">
        <w:t>%</w:t>
      </w:r>
      <w:r w:rsidR="553F87D3">
        <w:t xml:space="preserve">. While both surveys have the same MOE, the calculation </w:t>
      </w:r>
      <w:r w:rsidR="58A6CEAE">
        <w:t xml:space="preserve">is different. The hospital survey </w:t>
      </w:r>
      <w:r w:rsidR="3D733468">
        <w:t>gains precision due to the smaller population size but this gain is offset</w:t>
      </w:r>
      <w:r w:rsidR="243A5435">
        <w:t xml:space="preserve"> by a loss of precision due to the disproportionate sample de</w:t>
      </w:r>
      <w:r w:rsidR="67D3DC84">
        <w:t>sign and the weight that will be required to correct it.</w:t>
      </w:r>
      <w:r w:rsidR="74765660">
        <w:t xml:space="preserve"> </w:t>
      </w:r>
      <w:r w:rsidR="67C09586">
        <w:t xml:space="preserve">Based on the most recent population data, </w:t>
      </w:r>
      <w:r w:rsidR="78F0741A">
        <w:t>we estimate the weight adjusted sample size to be 440 for the hospital survey</w:t>
      </w:r>
      <w:r>
        <w:t xml:space="preserve">. </w:t>
      </w:r>
    </w:p>
    <w:p w:rsidR="00796EEA" w:rsidRPr="00B44357" w:rsidP="00796EEA" w14:paraId="7EAC3AD1" w14:textId="77777777">
      <w:pPr>
        <w:ind w:left="720"/>
      </w:pPr>
    </w:p>
    <w:p w:rsidR="00796EEA" w:rsidP="00796EEA" w14:paraId="080F71F3" w14:textId="102A9092">
      <w:pPr>
        <w:ind w:left="720"/>
      </w:pPr>
      <w:r>
        <w:fldChar w:fldCharType="begin"/>
      </w:r>
      <w:r>
        <w:instrText xml:space="preserve"> REF _Ref59703475 \h  \* MERGEFORMAT </w:instrText>
      </w:r>
      <w:r>
        <w:fldChar w:fldCharType="separate"/>
      </w:r>
      <w:r>
        <w:t xml:space="preserve">Table </w:t>
      </w:r>
      <w:r w:rsidRPr="0845C19F">
        <w:rPr>
          <w:noProof/>
        </w:rPr>
        <w:t>2</w:t>
      </w:r>
      <w:r>
        <w:fldChar w:fldCharType="end"/>
      </w:r>
      <w:r>
        <w:t>a shows the planned MOEs for different levels of estimates under these sample plans for the total sample of 500 and for the subsample of participating and non-participating facilities. The MOEs are corrected for their finite populations. Due to the disproportional sampling for hospitals, a weight adjusted sample of 440 is used for the combined MOE. The maximum value is at 50% with a maximum margin of error of ±4.3%  for both surveys when examining combined results</w:t>
      </w:r>
      <w:r w:rsidR="002B5D8F">
        <w:t>.</w:t>
      </w:r>
      <w:r>
        <w:t xml:space="preserve"> The MOEs do not take into account any correction for the design effect resulting from the balancing methodology or if IEC applies weights to correct for differential unit non-response.</w:t>
      </w:r>
    </w:p>
    <w:p w:rsidR="008C7186" w:rsidRPr="00E0032D" w:rsidP="00E0032D" w14:paraId="3C065D7C" w14:textId="21954740">
      <w:pPr>
        <w:pStyle w:val="Caption"/>
        <w:rPr>
          <w:b w:val="0"/>
          <w:bCs/>
        </w:rPr>
      </w:pPr>
      <w:bookmarkStart w:id="19" w:name="_Ref59703475"/>
      <w:r w:rsidRPr="00E0032D">
        <w:rPr>
          <w:b w:val="0"/>
          <w:bCs/>
        </w:rPr>
        <w:t xml:space="preserve">Table </w:t>
      </w:r>
      <w:r w:rsidRPr="00E0032D">
        <w:rPr>
          <w:b w:val="0"/>
          <w:bCs/>
          <w:iCs w:val="0"/>
        </w:rPr>
        <w:fldChar w:fldCharType="begin"/>
      </w:r>
      <w:r w:rsidRPr="00E0032D">
        <w:rPr>
          <w:b w:val="0"/>
          <w:bCs/>
        </w:rPr>
        <w:instrText>SEQ Table \* ARABIC</w:instrText>
      </w:r>
      <w:r w:rsidRPr="00E0032D">
        <w:rPr>
          <w:b w:val="0"/>
          <w:bCs/>
          <w:iCs w:val="0"/>
        </w:rPr>
        <w:fldChar w:fldCharType="separate"/>
      </w:r>
      <w:r w:rsidRPr="00E0032D" w:rsidR="00307AA5">
        <w:rPr>
          <w:b w:val="0"/>
          <w:bCs/>
        </w:rPr>
        <w:t>2</w:t>
      </w:r>
      <w:r w:rsidRPr="00E0032D">
        <w:rPr>
          <w:b w:val="0"/>
          <w:bCs/>
          <w:iCs w:val="0"/>
        </w:rPr>
        <w:fldChar w:fldCharType="end"/>
      </w:r>
      <w:bookmarkEnd w:id="19"/>
      <w:r w:rsidRPr="00E0032D" w:rsidR="00AA62A8">
        <w:rPr>
          <w:b w:val="0"/>
          <w:bCs/>
        </w:rPr>
        <w:t>a</w:t>
      </w:r>
      <w:r w:rsidRPr="00E0032D">
        <w:rPr>
          <w:b w:val="0"/>
          <w:bCs/>
        </w:rPr>
        <w:t xml:space="preserve">: Sample Size, Estimated </w:t>
      </w:r>
      <w:r w:rsidRPr="00E0032D">
        <w:rPr>
          <w:b w:val="0"/>
          <w:bCs/>
          <w:iCs w:val="0"/>
        </w:rPr>
        <w:t>MOE</w:t>
      </w:r>
      <w:r w:rsidRPr="00E0032D">
        <w:rPr>
          <w:b w:val="0"/>
          <w:bCs/>
          <w:vertAlign w:val="superscript"/>
        </w:rPr>
        <w:t>1</w:t>
      </w:r>
      <w:r w:rsidRPr="00E0032D" w:rsidR="00AA62A8">
        <w:rPr>
          <w:b w:val="0"/>
          <w:bCs/>
          <w:iCs w:val="0"/>
        </w:rPr>
        <w:t xml:space="preserve"> </w:t>
      </w:r>
      <w:r w:rsidRPr="00E0032D" w:rsidR="00914EA3">
        <w:rPr>
          <w:b w:val="0"/>
          <w:bCs/>
        </w:rPr>
        <w:t xml:space="preserve">for </w:t>
      </w:r>
      <w:r w:rsidRPr="00E0032D" w:rsidR="00AA62A8">
        <w:rPr>
          <w:b w:val="0"/>
          <w:bCs/>
        </w:rPr>
        <w:t>N</w:t>
      </w:r>
      <w:r w:rsidRPr="00E0032D" w:rsidR="00914EA3">
        <w:rPr>
          <w:b w:val="0"/>
          <w:bCs/>
        </w:rPr>
        <w:t xml:space="preserve">ursing </w:t>
      </w:r>
      <w:r w:rsidRPr="00E0032D" w:rsidR="00AA62A8">
        <w:rPr>
          <w:b w:val="0"/>
          <w:bCs/>
        </w:rPr>
        <w:t>H</w:t>
      </w:r>
      <w:r w:rsidRPr="00E0032D" w:rsidR="00243280">
        <w:rPr>
          <w:b w:val="0"/>
          <w:bCs/>
        </w:rPr>
        <w:t xml:space="preserve">ome and </w:t>
      </w:r>
      <w:r w:rsidRPr="00E0032D" w:rsidR="00AA62A8">
        <w:rPr>
          <w:b w:val="0"/>
          <w:bCs/>
        </w:rPr>
        <w:t>Hospital</w:t>
      </w:r>
      <w:r w:rsidRPr="00E0032D" w:rsidR="00243280">
        <w:rPr>
          <w:b w:val="0"/>
          <w:bCs/>
        </w:rPr>
        <w:t xml:space="preserve"> Surveys</w:t>
      </w:r>
      <w:r w:rsidRPr="00E0032D" w:rsidR="00243280">
        <w:rPr>
          <w:b w:val="0"/>
          <w:bCs/>
        </w:rPr>
        <w:t xml:space="preserve"> </w:t>
      </w:r>
    </w:p>
    <w:tbl>
      <w:tblPr>
        <w:tblStyle w:val="TableGrid"/>
        <w:tblW w:w="8836" w:type="dxa"/>
        <w:tblInd w:w="520" w:type="dxa"/>
        <w:tblLayout w:type="fixed"/>
        <w:tblCellMar>
          <w:top w:w="14" w:type="dxa"/>
          <w:left w:w="58" w:type="dxa"/>
          <w:bottom w:w="14" w:type="dxa"/>
          <w:right w:w="58" w:type="dxa"/>
        </w:tblCellMar>
        <w:tblLook w:val="04A0"/>
      </w:tblPr>
      <w:tblGrid>
        <w:gridCol w:w="508"/>
        <w:gridCol w:w="2367"/>
        <w:gridCol w:w="780"/>
        <w:gridCol w:w="510"/>
        <w:gridCol w:w="778"/>
        <w:gridCol w:w="779"/>
        <w:gridCol w:w="778"/>
        <w:gridCol w:w="779"/>
        <w:gridCol w:w="778"/>
        <w:gridCol w:w="779"/>
      </w:tblGrid>
      <w:tr w14:paraId="7FA0BF8E" w14:textId="77777777" w:rsidTr="00E0032D">
        <w:tblPrEx>
          <w:tblW w:w="8836" w:type="dxa"/>
          <w:tblInd w:w="520" w:type="dxa"/>
          <w:tblLayout w:type="fixed"/>
          <w:tblCellMar>
            <w:top w:w="14" w:type="dxa"/>
            <w:left w:w="58" w:type="dxa"/>
            <w:bottom w:w="14" w:type="dxa"/>
            <w:right w:w="58" w:type="dxa"/>
          </w:tblCellMar>
          <w:tblLook w:val="04A0"/>
        </w:tblPrEx>
        <w:trPr>
          <w:cantSplit/>
          <w:trHeight w:val="768"/>
        </w:trPr>
        <w:tc>
          <w:tcPr>
            <w:tcW w:w="508" w:type="dxa"/>
            <w:vMerge w:val="restart"/>
            <w:shd w:val="clear" w:color="auto" w:fill="D0CECE" w:themeFill="background2" w:themeFillShade="E6"/>
            <w:vAlign w:val="bottom"/>
          </w:tcPr>
          <w:p w:rsidR="00083D96" w:rsidRPr="00E0032D" w:rsidP="00EA2B00" w14:paraId="5B3D40A7" w14:textId="77777777">
            <w:pPr>
              <w:jc w:val="center"/>
              <w:rPr>
                <w:rFonts w:ascii="Calibri" w:hAnsi="Calibri" w:cs="Calibri"/>
                <w:sz w:val="16"/>
                <w:szCs w:val="16"/>
              </w:rPr>
            </w:pPr>
          </w:p>
        </w:tc>
        <w:tc>
          <w:tcPr>
            <w:tcW w:w="2367" w:type="dxa"/>
            <w:vMerge w:val="restart"/>
            <w:tcBorders>
              <w:right w:val="single" w:sz="12" w:space="0" w:color="auto"/>
            </w:tcBorders>
            <w:shd w:val="clear" w:color="auto" w:fill="D0CECE" w:themeFill="background2" w:themeFillShade="E6"/>
            <w:vAlign w:val="bottom"/>
          </w:tcPr>
          <w:p w:rsidR="00083D96" w:rsidRPr="00E0032D" w:rsidP="000D64D2" w14:paraId="57E62201" w14:textId="77777777">
            <w:pPr>
              <w:spacing w:before="40" w:after="40"/>
              <w:rPr>
                <w:rFonts w:ascii="Calibri" w:hAnsi="Calibri" w:cs="Calibri"/>
                <w:b/>
                <w:bCs/>
                <w:sz w:val="16"/>
                <w:szCs w:val="16"/>
              </w:rPr>
            </w:pPr>
            <w:r w:rsidRPr="00E0032D">
              <w:rPr>
                <w:rFonts w:ascii="Calibri" w:hAnsi="Calibri" w:cs="Calibri"/>
                <w:b/>
                <w:bCs/>
                <w:sz w:val="16"/>
                <w:szCs w:val="16"/>
              </w:rPr>
              <w:t>Population</w:t>
            </w:r>
          </w:p>
        </w:tc>
        <w:tc>
          <w:tcPr>
            <w:tcW w:w="780" w:type="dxa"/>
            <w:vMerge w:val="restart"/>
            <w:tcBorders>
              <w:left w:val="single" w:sz="12" w:space="0" w:color="auto"/>
              <w:right w:val="single" w:sz="12" w:space="0" w:color="auto"/>
            </w:tcBorders>
            <w:shd w:val="clear" w:color="auto" w:fill="D0CECE" w:themeFill="background2" w:themeFillShade="E6"/>
            <w:textDirection w:val="btLr"/>
            <w:vAlign w:val="center"/>
          </w:tcPr>
          <w:p w:rsidR="00083D96" w:rsidRPr="00E0032D" w:rsidP="00EA2B00" w14:paraId="32B36A50" w14:textId="77777777">
            <w:pPr>
              <w:ind w:left="58" w:right="58"/>
              <w:rPr>
                <w:rFonts w:ascii="Calibri" w:hAnsi="Calibri" w:cs="Calibri"/>
                <w:b/>
                <w:bCs/>
                <w:sz w:val="16"/>
                <w:szCs w:val="16"/>
              </w:rPr>
            </w:pPr>
            <w:r w:rsidRPr="00E0032D">
              <w:rPr>
                <w:rFonts w:ascii="Calibri" w:hAnsi="Calibri" w:cs="Calibri"/>
                <w:b/>
                <w:bCs/>
                <w:sz w:val="16"/>
                <w:szCs w:val="16"/>
              </w:rPr>
              <w:t>Estimated Population</w:t>
            </w:r>
          </w:p>
        </w:tc>
        <w:tc>
          <w:tcPr>
            <w:tcW w:w="510" w:type="dxa"/>
            <w:vMerge w:val="restart"/>
            <w:tcBorders>
              <w:left w:val="single" w:sz="12" w:space="0" w:color="auto"/>
            </w:tcBorders>
            <w:shd w:val="clear" w:color="auto" w:fill="D0CECE" w:themeFill="background2" w:themeFillShade="E6"/>
            <w:textDirection w:val="btLr"/>
            <w:vAlign w:val="center"/>
          </w:tcPr>
          <w:p w:rsidR="00083D96" w:rsidRPr="00E0032D" w:rsidP="00EA2B00" w14:paraId="280252C2" w14:textId="77777777">
            <w:pPr>
              <w:ind w:left="58" w:right="58"/>
              <w:rPr>
                <w:rFonts w:ascii="Calibri" w:hAnsi="Calibri" w:cs="Calibri"/>
                <w:b/>
                <w:bCs/>
                <w:sz w:val="16"/>
                <w:szCs w:val="16"/>
              </w:rPr>
            </w:pPr>
            <w:r w:rsidRPr="00E0032D">
              <w:rPr>
                <w:rFonts w:ascii="Calibri" w:hAnsi="Calibri" w:cs="Calibri"/>
                <w:b/>
                <w:bCs/>
                <w:sz w:val="16"/>
                <w:szCs w:val="16"/>
              </w:rPr>
              <w:t>Sample Size</w:t>
            </w:r>
          </w:p>
        </w:tc>
        <w:tc>
          <w:tcPr>
            <w:tcW w:w="4671" w:type="dxa"/>
            <w:gridSpan w:val="6"/>
            <w:tcBorders>
              <w:left w:val="single" w:sz="12" w:space="0" w:color="auto"/>
            </w:tcBorders>
            <w:shd w:val="clear" w:color="auto" w:fill="D0CECE" w:themeFill="background2" w:themeFillShade="E6"/>
            <w:vAlign w:val="bottom"/>
          </w:tcPr>
          <w:p w:rsidR="00083D96" w:rsidRPr="00E0032D" w:rsidP="000D64D2" w14:paraId="0019FA37" w14:textId="77777777">
            <w:pPr>
              <w:spacing w:before="40" w:after="40"/>
              <w:jc w:val="center"/>
              <w:rPr>
                <w:rFonts w:ascii="Calibri" w:hAnsi="Calibri" w:cs="Calibri"/>
                <w:b/>
                <w:bCs/>
                <w:sz w:val="16"/>
                <w:szCs w:val="16"/>
              </w:rPr>
            </w:pPr>
            <w:r w:rsidRPr="00E0032D">
              <w:rPr>
                <w:rFonts w:ascii="Calibri" w:hAnsi="Calibri" w:cs="Calibri"/>
                <w:b/>
                <w:bCs/>
                <w:sz w:val="16"/>
                <w:szCs w:val="16"/>
              </w:rPr>
              <w:t>Margin of Error at Given Proportion</w:t>
            </w:r>
          </w:p>
        </w:tc>
      </w:tr>
      <w:tr w14:paraId="2A7803FB" w14:textId="77777777" w:rsidTr="00E0032D">
        <w:tblPrEx>
          <w:tblW w:w="8836" w:type="dxa"/>
          <w:tblInd w:w="520" w:type="dxa"/>
          <w:tblLayout w:type="fixed"/>
          <w:tblCellMar>
            <w:top w:w="14" w:type="dxa"/>
            <w:left w:w="58" w:type="dxa"/>
            <w:bottom w:w="14" w:type="dxa"/>
            <w:right w:w="58" w:type="dxa"/>
          </w:tblCellMar>
          <w:tblLook w:val="04A0"/>
        </w:tblPrEx>
        <w:trPr>
          <w:cantSplit/>
          <w:trHeight w:val="147"/>
        </w:trPr>
        <w:tc>
          <w:tcPr>
            <w:tcW w:w="508" w:type="dxa"/>
            <w:vMerge/>
            <w:textDirection w:val="btLr"/>
            <w:vAlign w:val="center"/>
          </w:tcPr>
          <w:p w:rsidR="00083D96" w:rsidRPr="00E0032D" w:rsidP="00EA2B00" w14:paraId="54E1B7E7" w14:textId="77777777">
            <w:pPr>
              <w:spacing w:line="216" w:lineRule="auto"/>
              <w:ind w:left="58" w:right="58"/>
              <w:jc w:val="center"/>
              <w:rPr>
                <w:rFonts w:ascii="Calibri" w:hAnsi="Calibri" w:cs="Calibri"/>
                <w:sz w:val="16"/>
                <w:szCs w:val="16"/>
              </w:rPr>
            </w:pPr>
          </w:p>
        </w:tc>
        <w:tc>
          <w:tcPr>
            <w:tcW w:w="2367" w:type="dxa"/>
            <w:vMerge/>
            <w:tcBorders>
              <w:right w:val="single" w:sz="12" w:space="0" w:color="auto"/>
            </w:tcBorders>
            <w:vAlign w:val="bottom"/>
          </w:tcPr>
          <w:p w:rsidR="00083D96" w:rsidRPr="00E0032D" w:rsidP="00EA2B00" w14:paraId="7258F035" w14:textId="77777777">
            <w:pPr>
              <w:rPr>
                <w:rFonts w:ascii="Calibri" w:hAnsi="Calibri" w:cs="Calibri"/>
                <w:sz w:val="16"/>
                <w:szCs w:val="16"/>
              </w:rPr>
            </w:pPr>
          </w:p>
        </w:tc>
        <w:tc>
          <w:tcPr>
            <w:tcW w:w="780" w:type="dxa"/>
            <w:vMerge/>
            <w:tcBorders>
              <w:left w:val="single" w:sz="12" w:space="0" w:color="auto"/>
              <w:right w:val="single" w:sz="12" w:space="0" w:color="auto"/>
            </w:tcBorders>
            <w:textDirection w:val="btLr"/>
            <w:vAlign w:val="center"/>
          </w:tcPr>
          <w:p w:rsidR="00083D96" w:rsidRPr="00E0032D" w:rsidP="00EA2B00" w14:paraId="5904128B" w14:textId="77777777">
            <w:pPr>
              <w:ind w:left="113" w:right="113"/>
              <w:rPr>
                <w:rFonts w:ascii="Calibri" w:hAnsi="Calibri" w:cs="Calibri"/>
                <w:sz w:val="16"/>
                <w:szCs w:val="16"/>
              </w:rPr>
            </w:pPr>
          </w:p>
        </w:tc>
        <w:tc>
          <w:tcPr>
            <w:tcW w:w="510" w:type="dxa"/>
            <w:vMerge/>
            <w:tcBorders>
              <w:left w:val="single" w:sz="12" w:space="0" w:color="auto"/>
            </w:tcBorders>
            <w:textDirection w:val="btLr"/>
            <w:vAlign w:val="center"/>
          </w:tcPr>
          <w:p w:rsidR="00083D96" w:rsidRPr="00E0032D" w:rsidP="00EA2B00" w14:paraId="0C4850EA" w14:textId="77777777">
            <w:pPr>
              <w:ind w:left="113" w:right="113"/>
              <w:rPr>
                <w:rFonts w:ascii="Calibri" w:hAnsi="Calibri" w:cs="Calibri"/>
                <w:sz w:val="16"/>
                <w:szCs w:val="16"/>
              </w:rPr>
            </w:pPr>
          </w:p>
        </w:tc>
        <w:tc>
          <w:tcPr>
            <w:tcW w:w="778" w:type="dxa"/>
            <w:tcBorders>
              <w:left w:val="single" w:sz="12" w:space="0" w:color="auto"/>
              <w:bottom w:val="single" w:sz="12" w:space="0" w:color="auto"/>
            </w:tcBorders>
            <w:shd w:val="clear" w:color="auto" w:fill="3B3838" w:themeFill="background2" w:themeFillShade="40"/>
          </w:tcPr>
          <w:p w:rsidR="00083D96" w:rsidRPr="00E0032D" w:rsidP="000D64D2" w14:paraId="4C81F289" w14:textId="77777777">
            <w:pPr>
              <w:spacing w:before="40" w:after="40"/>
              <w:jc w:val="center"/>
              <w:rPr>
                <w:rFonts w:ascii="Calibri" w:hAnsi="Calibri" w:cs="Calibri"/>
                <w:b/>
                <w:bCs/>
                <w:color w:val="FFFFFF" w:themeColor="background1"/>
                <w:sz w:val="16"/>
                <w:szCs w:val="16"/>
              </w:rPr>
            </w:pPr>
            <w:r w:rsidRPr="00E0032D">
              <w:rPr>
                <w:rFonts w:ascii="Calibri" w:hAnsi="Calibri" w:cs="Calibri"/>
                <w:b/>
                <w:bCs/>
                <w:color w:val="FFFFFF" w:themeColor="background1"/>
                <w:sz w:val="16"/>
                <w:szCs w:val="16"/>
              </w:rPr>
              <w:t>50%</w:t>
            </w:r>
          </w:p>
        </w:tc>
        <w:tc>
          <w:tcPr>
            <w:tcW w:w="779" w:type="dxa"/>
            <w:tcBorders>
              <w:bottom w:val="single" w:sz="12" w:space="0" w:color="auto"/>
            </w:tcBorders>
            <w:shd w:val="clear" w:color="auto" w:fill="767171" w:themeFill="background2" w:themeFillShade="80"/>
          </w:tcPr>
          <w:p w:rsidR="00083D96" w:rsidRPr="00E0032D" w:rsidP="000D64D2" w14:paraId="304247CA" w14:textId="77777777">
            <w:pPr>
              <w:spacing w:before="40" w:after="40"/>
              <w:jc w:val="center"/>
              <w:rPr>
                <w:rFonts w:ascii="Calibri" w:hAnsi="Calibri" w:cs="Calibri"/>
                <w:color w:val="FFFFFF" w:themeColor="background1"/>
                <w:sz w:val="16"/>
                <w:szCs w:val="16"/>
              </w:rPr>
            </w:pPr>
            <w:r w:rsidRPr="00E0032D">
              <w:rPr>
                <w:rFonts w:ascii="Calibri" w:hAnsi="Calibri" w:cs="Calibri"/>
                <w:color w:val="FFFFFF" w:themeColor="background1"/>
                <w:sz w:val="16"/>
                <w:szCs w:val="16"/>
              </w:rPr>
              <w:t>40%/60%</w:t>
            </w:r>
          </w:p>
        </w:tc>
        <w:tc>
          <w:tcPr>
            <w:tcW w:w="778" w:type="dxa"/>
            <w:tcBorders>
              <w:bottom w:val="single" w:sz="12" w:space="0" w:color="auto"/>
            </w:tcBorders>
            <w:shd w:val="clear" w:color="auto" w:fill="767171" w:themeFill="background2" w:themeFillShade="80"/>
          </w:tcPr>
          <w:p w:rsidR="00083D96" w:rsidRPr="00E0032D" w:rsidP="000D64D2" w14:paraId="79C8D7F0" w14:textId="77777777">
            <w:pPr>
              <w:spacing w:before="40" w:after="40"/>
              <w:jc w:val="center"/>
              <w:rPr>
                <w:rFonts w:ascii="Calibri" w:hAnsi="Calibri" w:cs="Calibri"/>
                <w:color w:val="FFFFFF" w:themeColor="background1"/>
                <w:sz w:val="16"/>
                <w:szCs w:val="16"/>
              </w:rPr>
            </w:pPr>
            <w:r w:rsidRPr="00E0032D">
              <w:rPr>
                <w:rFonts w:ascii="Calibri" w:hAnsi="Calibri" w:cs="Calibri"/>
                <w:color w:val="FFFFFF" w:themeColor="background1"/>
                <w:sz w:val="16"/>
                <w:szCs w:val="16"/>
              </w:rPr>
              <w:t>30%/70%</w:t>
            </w:r>
          </w:p>
        </w:tc>
        <w:tc>
          <w:tcPr>
            <w:tcW w:w="779" w:type="dxa"/>
            <w:tcBorders>
              <w:bottom w:val="single" w:sz="12" w:space="0" w:color="auto"/>
            </w:tcBorders>
            <w:shd w:val="clear" w:color="auto" w:fill="767171" w:themeFill="background2" w:themeFillShade="80"/>
          </w:tcPr>
          <w:p w:rsidR="00083D96" w:rsidRPr="00E0032D" w:rsidP="000D64D2" w14:paraId="2910FDF0" w14:textId="77777777">
            <w:pPr>
              <w:spacing w:before="40" w:after="40"/>
              <w:jc w:val="center"/>
              <w:rPr>
                <w:rFonts w:ascii="Calibri" w:hAnsi="Calibri" w:cs="Calibri"/>
                <w:color w:val="FFFFFF" w:themeColor="background1"/>
                <w:sz w:val="16"/>
                <w:szCs w:val="16"/>
              </w:rPr>
            </w:pPr>
            <w:r w:rsidRPr="00E0032D">
              <w:rPr>
                <w:rFonts w:ascii="Calibri" w:hAnsi="Calibri" w:cs="Calibri"/>
                <w:color w:val="FFFFFF" w:themeColor="background1"/>
                <w:sz w:val="16"/>
                <w:szCs w:val="16"/>
              </w:rPr>
              <w:t>20%/80%</w:t>
            </w:r>
          </w:p>
        </w:tc>
        <w:tc>
          <w:tcPr>
            <w:tcW w:w="778" w:type="dxa"/>
            <w:tcBorders>
              <w:bottom w:val="single" w:sz="12" w:space="0" w:color="auto"/>
            </w:tcBorders>
            <w:shd w:val="clear" w:color="auto" w:fill="767171" w:themeFill="background2" w:themeFillShade="80"/>
          </w:tcPr>
          <w:p w:rsidR="00083D96" w:rsidRPr="00E0032D" w:rsidP="000D64D2" w14:paraId="0BEA9B76" w14:textId="77777777">
            <w:pPr>
              <w:spacing w:before="40" w:after="40"/>
              <w:jc w:val="center"/>
              <w:rPr>
                <w:rFonts w:ascii="Calibri" w:hAnsi="Calibri" w:cs="Calibri"/>
                <w:color w:val="FFFFFF" w:themeColor="background1"/>
                <w:sz w:val="16"/>
                <w:szCs w:val="16"/>
              </w:rPr>
            </w:pPr>
            <w:r w:rsidRPr="00E0032D">
              <w:rPr>
                <w:rFonts w:ascii="Calibri" w:hAnsi="Calibri" w:cs="Calibri"/>
                <w:color w:val="FFFFFF" w:themeColor="background1"/>
                <w:sz w:val="16"/>
                <w:szCs w:val="16"/>
              </w:rPr>
              <w:t>10%/90%</w:t>
            </w:r>
          </w:p>
        </w:tc>
        <w:tc>
          <w:tcPr>
            <w:tcW w:w="779" w:type="dxa"/>
            <w:tcBorders>
              <w:bottom w:val="single" w:sz="12" w:space="0" w:color="auto"/>
            </w:tcBorders>
            <w:shd w:val="clear" w:color="auto" w:fill="767171" w:themeFill="background2" w:themeFillShade="80"/>
          </w:tcPr>
          <w:p w:rsidR="00083D96" w:rsidRPr="00E0032D" w:rsidP="000D64D2" w14:paraId="425AA4FB" w14:textId="77777777">
            <w:pPr>
              <w:spacing w:before="40" w:after="40"/>
              <w:jc w:val="center"/>
              <w:rPr>
                <w:rFonts w:ascii="Calibri" w:hAnsi="Calibri" w:cs="Calibri"/>
                <w:color w:val="FFFFFF" w:themeColor="background1"/>
                <w:sz w:val="16"/>
                <w:szCs w:val="16"/>
              </w:rPr>
            </w:pPr>
            <w:r w:rsidRPr="00E0032D">
              <w:rPr>
                <w:rFonts w:ascii="Calibri" w:hAnsi="Calibri" w:cs="Calibri"/>
                <w:color w:val="FFFFFF" w:themeColor="background1"/>
                <w:sz w:val="16"/>
                <w:szCs w:val="16"/>
              </w:rPr>
              <w:t>5%/95%</w:t>
            </w:r>
          </w:p>
        </w:tc>
      </w:tr>
      <w:tr w14:paraId="6EFBFA94" w14:textId="77777777" w:rsidTr="00E818C3">
        <w:tblPrEx>
          <w:tblW w:w="8836" w:type="dxa"/>
          <w:tblInd w:w="520" w:type="dxa"/>
          <w:tblLayout w:type="fixed"/>
          <w:tblCellMar>
            <w:top w:w="14" w:type="dxa"/>
            <w:left w:w="58" w:type="dxa"/>
            <w:bottom w:w="14" w:type="dxa"/>
            <w:right w:w="58" w:type="dxa"/>
          </w:tblCellMar>
          <w:tblLook w:val="04A0"/>
        </w:tblPrEx>
        <w:trPr>
          <w:cantSplit/>
          <w:trHeight w:val="259"/>
        </w:trPr>
        <w:tc>
          <w:tcPr>
            <w:tcW w:w="508" w:type="dxa"/>
            <w:vMerge w:val="restart"/>
            <w:tcBorders>
              <w:top w:val="single" w:sz="12" w:space="0" w:color="auto"/>
            </w:tcBorders>
            <w:textDirection w:val="btLr"/>
            <w:vAlign w:val="center"/>
          </w:tcPr>
          <w:p w:rsidR="00083D96" w:rsidRPr="00E0032D" w:rsidP="00EA2B00" w14:paraId="593D8302" w14:textId="77777777">
            <w:pPr>
              <w:spacing w:line="216" w:lineRule="auto"/>
              <w:ind w:left="58" w:right="58"/>
              <w:jc w:val="center"/>
              <w:rPr>
                <w:rFonts w:ascii="Calibri" w:hAnsi="Calibri" w:cs="Calibri"/>
                <w:b/>
                <w:bCs/>
                <w:sz w:val="16"/>
                <w:szCs w:val="16"/>
              </w:rPr>
            </w:pPr>
            <w:r w:rsidRPr="00E0032D">
              <w:rPr>
                <w:rFonts w:ascii="Calibri" w:hAnsi="Calibri" w:cs="Calibri"/>
                <w:b/>
                <w:bCs/>
                <w:sz w:val="16"/>
                <w:szCs w:val="16"/>
              </w:rPr>
              <w:t>Hospitals</w:t>
            </w:r>
          </w:p>
        </w:tc>
        <w:tc>
          <w:tcPr>
            <w:tcW w:w="2367" w:type="dxa"/>
            <w:tcBorders>
              <w:top w:val="single" w:sz="12" w:space="0" w:color="auto"/>
              <w:right w:val="single" w:sz="12" w:space="0" w:color="auto"/>
            </w:tcBorders>
            <w:vAlign w:val="center"/>
          </w:tcPr>
          <w:p w:rsidR="00083D96" w:rsidRPr="00E0032D" w:rsidP="00EA2B00" w14:paraId="27D7C0DD" w14:textId="77777777">
            <w:pPr>
              <w:rPr>
                <w:rFonts w:ascii="Calibri" w:hAnsi="Calibri" w:cs="Calibri"/>
                <w:sz w:val="16"/>
                <w:szCs w:val="16"/>
              </w:rPr>
            </w:pPr>
            <w:r w:rsidRPr="00E0032D">
              <w:rPr>
                <w:rFonts w:ascii="Calibri" w:hAnsi="Calibri" w:cs="Calibri"/>
                <w:sz w:val="16"/>
                <w:szCs w:val="16"/>
              </w:rPr>
              <w:t>Full Sample</w:t>
            </w:r>
          </w:p>
        </w:tc>
        <w:tc>
          <w:tcPr>
            <w:tcW w:w="780" w:type="dxa"/>
            <w:tcBorders>
              <w:top w:val="single" w:sz="12" w:space="0" w:color="auto"/>
              <w:left w:val="single" w:sz="12" w:space="0" w:color="auto"/>
            </w:tcBorders>
            <w:vAlign w:val="center"/>
          </w:tcPr>
          <w:p w:rsidR="00083D96" w:rsidRPr="00E0032D" w:rsidP="00EA2B00" w14:paraId="1B0EAFA9" w14:textId="77777777">
            <w:pPr>
              <w:jc w:val="center"/>
              <w:rPr>
                <w:rFonts w:ascii="Calibri" w:hAnsi="Calibri" w:cs="Calibri"/>
                <w:sz w:val="16"/>
                <w:szCs w:val="16"/>
              </w:rPr>
            </w:pPr>
            <w:r w:rsidRPr="00E0032D">
              <w:rPr>
                <w:rFonts w:ascii="Calibri" w:hAnsi="Calibri" w:cs="Calibri"/>
                <w:sz w:val="16"/>
                <w:szCs w:val="16"/>
              </w:rPr>
              <w:t>2,638</w:t>
            </w:r>
          </w:p>
        </w:tc>
        <w:tc>
          <w:tcPr>
            <w:tcW w:w="510" w:type="dxa"/>
            <w:tcBorders>
              <w:top w:val="single" w:sz="12" w:space="0" w:color="auto"/>
            </w:tcBorders>
            <w:vAlign w:val="center"/>
          </w:tcPr>
          <w:p w:rsidR="00083D96" w:rsidRPr="00E0032D" w:rsidP="00EA2B00" w14:paraId="1D75A3EA" w14:textId="77777777">
            <w:pPr>
              <w:jc w:val="center"/>
              <w:rPr>
                <w:rFonts w:ascii="Calibri" w:hAnsi="Calibri" w:cs="Calibri"/>
                <w:sz w:val="16"/>
                <w:szCs w:val="16"/>
              </w:rPr>
            </w:pPr>
            <w:r w:rsidRPr="00E0032D">
              <w:rPr>
                <w:rFonts w:ascii="Calibri" w:hAnsi="Calibri" w:cs="Calibri"/>
                <w:sz w:val="16"/>
                <w:szCs w:val="16"/>
              </w:rPr>
              <w:t>500</w:t>
            </w:r>
          </w:p>
        </w:tc>
        <w:tc>
          <w:tcPr>
            <w:tcW w:w="778" w:type="dxa"/>
            <w:tcBorders>
              <w:top w:val="single" w:sz="12" w:space="0" w:color="auto"/>
              <w:left w:val="single" w:sz="12" w:space="0" w:color="auto"/>
            </w:tcBorders>
            <w:vAlign w:val="center"/>
          </w:tcPr>
          <w:p w:rsidR="00083D96" w:rsidRPr="00E0032D" w:rsidP="0845C19F" w14:paraId="2B006D50" w14:textId="77777777">
            <w:pPr>
              <w:jc w:val="center"/>
              <w:rPr>
                <w:rFonts w:ascii="Calibri" w:hAnsi="Calibri" w:cs="Calibri"/>
                <w:b/>
                <w:bCs/>
                <w:sz w:val="16"/>
                <w:szCs w:val="16"/>
              </w:rPr>
            </w:pPr>
            <w:r w:rsidRPr="00E0032D">
              <w:rPr>
                <w:rFonts w:ascii="Calibri" w:hAnsi="Calibri" w:cs="Calibri"/>
                <w:b/>
                <w:bCs/>
                <w:sz w:val="16"/>
                <w:szCs w:val="16"/>
              </w:rPr>
              <w:t>4.3%</w:t>
            </w:r>
          </w:p>
        </w:tc>
        <w:tc>
          <w:tcPr>
            <w:tcW w:w="779" w:type="dxa"/>
            <w:tcBorders>
              <w:top w:val="single" w:sz="12" w:space="0" w:color="auto"/>
            </w:tcBorders>
            <w:vAlign w:val="center"/>
          </w:tcPr>
          <w:p w:rsidR="00083D96" w:rsidRPr="00E0032D" w:rsidP="0845C19F" w14:paraId="4A6E7020" w14:textId="77777777">
            <w:pPr>
              <w:jc w:val="center"/>
              <w:rPr>
                <w:rFonts w:ascii="Calibri" w:hAnsi="Calibri" w:cs="Calibri"/>
                <w:sz w:val="16"/>
                <w:szCs w:val="16"/>
              </w:rPr>
            </w:pPr>
            <w:r w:rsidRPr="00E0032D">
              <w:rPr>
                <w:rFonts w:ascii="Calibri" w:hAnsi="Calibri" w:cs="Calibri"/>
                <w:sz w:val="16"/>
                <w:szCs w:val="16"/>
              </w:rPr>
              <w:t>4.2%</w:t>
            </w:r>
          </w:p>
        </w:tc>
        <w:tc>
          <w:tcPr>
            <w:tcW w:w="778" w:type="dxa"/>
            <w:tcBorders>
              <w:top w:val="single" w:sz="12" w:space="0" w:color="auto"/>
            </w:tcBorders>
            <w:vAlign w:val="center"/>
          </w:tcPr>
          <w:p w:rsidR="00083D96" w:rsidRPr="00E0032D" w:rsidP="0845C19F" w14:paraId="09D06235" w14:textId="77777777">
            <w:pPr>
              <w:jc w:val="center"/>
              <w:rPr>
                <w:rFonts w:ascii="Calibri" w:hAnsi="Calibri" w:cs="Calibri"/>
                <w:sz w:val="16"/>
                <w:szCs w:val="16"/>
              </w:rPr>
            </w:pPr>
            <w:r w:rsidRPr="00E0032D">
              <w:rPr>
                <w:rFonts w:ascii="Calibri" w:hAnsi="Calibri" w:cs="Calibri"/>
                <w:sz w:val="16"/>
                <w:szCs w:val="16"/>
              </w:rPr>
              <w:t>3.9%</w:t>
            </w:r>
          </w:p>
        </w:tc>
        <w:tc>
          <w:tcPr>
            <w:tcW w:w="779" w:type="dxa"/>
            <w:tcBorders>
              <w:top w:val="single" w:sz="12" w:space="0" w:color="auto"/>
            </w:tcBorders>
            <w:vAlign w:val="center"/>
          </w:tcPr>
          <w:p w:rsidR="00083D96" w:rsidRPr="00E0032D" w:rsidP="0845C19F" w14:paraId="1A5431EB" w14:textId="77777777">
            <w:pPr>
              <w:jc w:val="center"/>
              <w:rPr>
                <w:rFonts w:ascii="Calibri" w:hAnsi="Calibri" w:cs="Calibri"/>
                <w:sz w:val="16"/>
                <w:szCs w:val="16"/>
              </w:rPr>
            </w:pPr>
            <w:r w:rsidRPr="00E0032D">
              <w:rPr>
                <w:rFonts w:ascii="Calibri" w:hAnsi="Calibri" w:cs="Calibri"/>
                <w:sz w:val="16"/>
                <w:szCs w:val="16"/>
              </w:rPr>
              <w:t>3.4%</w:t>
            </w:r>
          </w:p>
        </w:tc>
        <w:tc>
          <w:tcPr>
            <w:tcW w:w="778" w:type="dxa"/>
            <w:tcBorders>
              <w:top w:val="single" w:sz="12" w:space="0" w:color="auto"/>
            </w:tcBorders>
            <w:vAlign w:val="center"/>
          </w:tcPr>
          <w:p w:rsidR="00083D96" w:rsidRPr="00E0032D" w:rsidP="0845C19F" w14:paraId="2B0BD3B9" w14:textId="77777777">
            <w:pPr>
              <w:jc w:val="center"/>
              <w:rPr>
                <w:rFonts w:ascii="Calibri" w:hAnsi="Calibri" w:cs="Calibri"/>
                <w:sz w:val="16"/>
                <w:szCs w:val="16"/>
              </w:rPr>
            </w:pPr>
            <w:r w:rsidRPr="00E0032D">
              <w:rPr>
                <w:rFonts w:ascii="Calibri" w:hAnsi="Calibri" w:cs="Calibri"/>
                <w:sz w:val="16"/>
                <w:szCs w:val="16"/>
              </w:rPr>
              <w:t>2.6%</w:t>
            </w:r>
          </w:p>
        </w:tc>
        <w:tc>
          <w:tcPr>
            <w:tcW w:w="779" w:type="dxa"/>
            <w:tcBorders>
              <w:top w:val="single" w:sz="12" w:space="0" w:color="auto"/>
            </w:tcBorders>
            <w:vAlign w:val="center"/>
          </w:tcPr>
          <w:p w:rsidR="00083D96" w:rsidRPr="00E0032D" w:rsidP="0845C19F" w14:paraId="7FC62164" w14:textId="77777777">
            <w:pPr>
              <w:jc w:val="center"/>
              <w:rPr>
                <w:rFonts w:ascii="Calibri" w:hAnsi="Calibri" w:cs="Calibri"/>
                <w:sz w:val="16"/>
                <w:szCs w:val="16"/>
              </w:rPr>
            </w:pPr>
            <w:r w:rsidRPr="00E0032D">
              <w:rPr>
                <w:rFonts w:ascii="Calibri" w:hAnsi="Calibri" w:cs="Calibri"/>
                <w:sz w:val="16"/>
                <w:szCs w:val="16"/>
              </w:rPr>
              <w:t>1.9%</w:t>
            </w:r>
          </w:p>
        </w:tc>
      </w:tr>
      <w:tr w14:paraId="582DD090" w14:textId="77777777" w:rsidTr="00E818C3">
        <w:tblPrEx>
          <w:tblW w:w="8836" w:type="dxa"/>
          <w:tblInd w:w="520" w:type="dxa"/>
          <w:tblLayout w:type="fixed"/>
          <w:tblCellMar>
            <w:top w:w="14" w:type="dxa"/>
            <w:left w:w="58" w:type="dxa"/>
            <w:bottom w:w="14" w:type="dxa"/>
            <w:right w:w="58" w:type="dxa"/>
          </w:tblCellMar>
          <w:tblLook w:val="04A0"/>
        </w:tblPrEx>
        <w:trPr>
          <w:cantSplit/>
          <w:trHeight w:val="259"/>
        </w:trPr>
        <w:tc>
          <w:tcPr>
            <w:tcW w:w="508" w:type="dxa"/>
            <w:vMerge/>
            <w:textDirection w:val="btLr"/>
            <w:vAlign w:val="center"/>
          </w:tcPr>
          <w:p w:rsidR="00083D96" w:rsidRPr="00E0032D" w:rsidP="006749D8" w14:paraId="53C8E657" w14:textId="77777777">
            <w:pPr>
              <w:spacing w:line="216" w:lineRule="auto"/>
              <w:ind w:left="58" w:right="58"/>
              <w:jc w:val="center"/>
              <w:rPr>
                <w:rFonts w:ascii="Calibri" w:hAnsi="Calibri" w:cs="Calibri"/>
                <w:b/>
                <w:bCs/>
                <w:sz w:val="16"/>
                <w:szCs w:val="16"/>
              </w:rPr>
            </w:pPr>
          </w:p>
        </w:tc>
        <w:tc>
          <w:tcPr>
            <w:tcW w:w="2367" w:type="dxa"/>
            <w:tcBorders>
              <w:right w:val="single" w:sz="12" w:space="0" w:color="auto"/>
            </w:tcBorders>
            <w:vAlign w:val="center"/>
          </w:tcPr>
          <w:p w:rsidR="00083D96" w:rsidRPr="00E0032D" w14:paraId="5D398B12" w14:textId="77777777">
            <w:pPr>
              <w:rPr>
                <w:rFonts w:ascii="Calibri" w:hAnsi="Calibri" w:cs="Calibri"/>
              </w:rPr>
            </w:pPr>
            <w:r w:rsidRPr="00E0032D">
              <w:rPr>
                <w:rFonts w:ascii="Calibri" w:hAnsi="Calibri" w:cs="Calibri"/>
                <w:sz w:val="16"/>
                <w:szCs w:val="16"/>
              </w:rPr>
              <w:t>Enrolled</w:t>
            </w:r>
          </w:p>
        </w:tc>
        <w:tc>
          <w:tcPr>
            <w:tcW w:w="780" w:type="dxa"/>
            <w:tcBorders>
              <w:left w:val="single" w:sz="12" w:space="0" w:color="auto"/>
            </w:tcBorders>
            <w:vAlign w:val="center"/>
          </w:tcPr>
          <w:p w:rsidR="00083D96" w:rsidRPr="00E0032D" w:rsidP="006749D8" w14:paraId="039907DC" w14:textId="77777777">
            <w:pPr>
              <w:jc w:val="center"/>
              <w:rPr>
                <w:rFonts w:ascii="Calibri" w:hAnsi="Calibri" w:cs="Calibri"/>
                <w:sz w:val="16"/>
                <w:szCs w:val="16"/>
              </w:rPr>
            </w:pPr>
            <w:r w:rsidRPr="00E0032D">
              <w:rPr>
                <w:rFonts w:ascii="Calibri" w:hAnsi="Calibri" w:cs="Calibri"/>
                <w:sz w:val="16"/>
                <w:szCs w:val="16"/>
              </w:rPr>
              <w:t>1,963</w:t>
            </w:r>
          </w:p>
        </w:tc>
        <w:tc>
          <w:tcPr>
            <w:tcW w:w="510" w:type="dxa"/>
            <w:vAlign w:val="center"/>
          </w:tcPr>
          <w:p w:rsidR="00083D96" w:rsidRPr="00E0032D" w:rsidP="006749D8" w14:paraId="20CF3FFE" w14:textId="77777777">
            <w:pPr>
              <w:jc w:val="center"/>
              <w:rPr>
                <w:rFonts w:ascii="Calibri" w:hAnsi="Calibri" w:cs="Calibri"/>
                <w:sz w:val="16"/>
                <w:szCs w:val="16"/>
              </w:rPr>
            </w:pPr>
            <w:r w:rsidRPr="00E0032D">
              <w:rPr>
                <w:rFonts w:ascii="Calibri" w:hAnsi="Calibri" w:cs="Calibri"/>
                <w:sz w:val="16"/>
                <w:szCs w:val="16"/>
              </w:rPr>
              <w:t>280</w:t>
            </w:r>
          </w:p>
        </w:tc>
        <w:tc>
          <w:tcPr>
            <w:tcW w:w="778" w:type="dxa"/>
            <w:tcBorders>
              <w:left w:val="single" w:sz="12" w:space="0" w:color="auto"/>
            </w:tcBorders>
            <w:vAlign w:val="center"/>
          </w:tcPr>
          <w:p w:rsidR="00083D96" w:rsidRPr="00E0032D" w:rsidP="0845C19F" w14:paraId="4AFE82F7" w14:textId="77777777">
            <w:pPr>
              <w:jc w:val="center"/>
              <w:rPr>
                <w:rFonts w:ascii="Calibri" w:hAnsi="Calibri" w:cs="Calibri"/>
                <w:b/>
                <w:bCs/>
                <w:sz w:val="16"/>
                <w:szCs w:val="16"/>
              </w:rPr>
            </w:pPr>
            <w:r w:rsidRPr="00E0032D">
              <w:rPr>
                <w:rFonts w:ascii="Calibri" w:hAnsi="Calibri" w:cs="Calibri"/>
                <w:b/>
                <w:bCs/>
                <w:sz w:val="16"/>
                <w:szCs w:val="16"/>
              </w:rPr>
              <w:t>5.4%</w:t>
            </w:r>
          </w:p>
        </w:tc>
        <w:tc>
          <w:tcPr>
            <w:tcW w:w="779" w:type="dxa"/>
            <w:vAlign w:val="center"/>
          </w:tcPr>
          <w:p w:rsidR="00083D96" w:rsidRPr="00E0032D" w:rsidP="0845C19F" w14:paraId="20F3158C" w14:textId="77777777">
            <w:pPr>
              <w:jc w:val="center"/>
              <w:rPr>
                <w:rFonts w:ascii="Calibri" w:hAnsi="Calibri" w:cs="Calibri"/>
                <w:sz w:val="16"/>
                <w:szCs w:val="16"/>
              </w:rPr>
            </w:pPr>
            <w:r w:rsidRPr="00E0032D">
              <w:rPr>
                <w:rFonts w:ascii="Calibri" w:hAnsi="Calibri" w:cs="Calibri"/>
                <w:sz w:val="16"/>
                <w:szCs w:val="16"/>
              </w:rPr>
              <w:t>5.3%</w:t>
            </w:r>
          </w:p>
        </w:tc>
        <w:tc>
          <w:tcPr>
            <w:tcW w:w="778" w:type="dxa"/>
            <w:vAlign w:val="center"/>
          </w:tcPr>
          <w:p w:rsidR="00083D96" w:rsidRPr="00E0032D" w:rsidP="0845C19F" w14:paraId="288E7134" w14:textId="77777777">
            <w:pPr>
              <w:jc w:val="center"/>
              <w:rPr>
                <w:rFonts w:ascii="Calibri" w:hAnsi="Calibri" w:cs="Calibri"/>
                <w:sz w:val="16"/>
                <w:szCs w:val="16"/>
              </w:rPr>
            </w:pPr>
            <w:r w:rsidRPr="00E0032D">
              <w:rPr>
                <w:rFonts w:ascii="Calibri" w:hAnsi="Calibri" w:cs="Calibri"/>
                <w:sz w:val="16"/>
                <w:szCs w:val="16"/>
              </w:rPr>
              <w:t>5.0%</w:t>
            </w:r>
          </w:p>
        </w:tc>
        <w:tc>
          <w:tcPr>
            <w:tcW w:w="779" w:type="dxa"/>
            <w:vAlign w:val="center"/>
          </w:tcPr>
          <w:p w:rsidR="00083D96" w:rsidRPr="00E0032D" w:rsidP="0845C19F" w14:paraId="7B99AD75" w14:textId="77777777">
            <w:pPr>
              <w:jc w:val="center"/>
              <w:rPr>
                <w:rFonts w:ascii="Calibri" w:hAnsi="Calibri" w:cs="Calibri"/>
                <w:sz w:val="16"/>
                <w:szCs w:val="16"/>
              </w:rPr>
            </w:pPr>
            <w:r w:rsidRPr="00E0032D">
              <w:rPr>
                <w:rFonts w:ascii="Calibri" w:hAnsi="Calibri" w:cs="Calibri"/>
                <w:sz w:val="16"/>
                <w:szCs w:val="16"/>
              </w:rPr>
              <w:t>4.3%</w:t>
            </w:r>
          </w:p>
        </w:tc>
        <w:tc>
          <w:tcPr>
            <w:tcW w:w="778" w:type="dxa"/>
            <w:vAlign w:val="center"/>
          </w:tcPr>
          <w:p w:rsidR="00083D96" w:rsidRPr="00E0032D" w:rsidP="0845C19F" w14:paraId="51A04BFA" w14:textId="77777777">
            <w:pPr>
              <w:jc w:val="center"/>
              <w:rPr>
                <w:rFonts w:ascii="Calibri" w:hAnsi="Calibri" w:cs="Calibri"/>
                <w:sz w:val="16"/>
                <w:szCs w:val="16"/>
              </w:rPr>
            </w:pPr>
            <w:r w:rsidRPr="00E0032D">
              <w:rPr>
                <w:rFonts w:ascii="Calibri" w:hAnsi="Calibri" w:cs="Calibri"/>
                <w:sz w:val="16"/>
                <w:szCs w:val="16"/>
              </w:rPr>
              <w:t>3.3%</w:t>
            </w:r>
          </w:p>
        </w:tc>
        <w:tc>
          <w:tcPr>
            <w:tcW w:w="779" w:type="dxa"/>
            <w:vAlign w:val="center"/>
          </w:tcPr>
          <w:p w:rsidR="00083D96" w:rsidRPr="00E0032D" w:rsidP="0845C19F" w14:paraId="0D8F9402" w14:textId="77777777">
            <w:pPr>
              <w:jc w:val="center"/>
              <w:rPr>
                <w:rFonts w:ascii="Calibri" w:hAnsi="Calibri" w:cs="Calibri"/>
                <w:sz w:val="16"/>
                <w:szCs w:val="16"/>
              </w:rPr>
            </w:pPr>
            <w:r w:rsidRPr="00E0032D">
              <w:rPr>
                <w:rFonts w:ascii="Calibri" w:hAnsi="Calibri" w:cs="Calibri"/>
                <w:sz w:val="16"/>
                <w:szCs w:val="16"/>
              </w:rPr>
              <w:t>2.4%</w:t>
            </w:r>
          </w:p>
        </w:tc>
      </w:tr>
      <w:tr w14:paraId="053DDC1E" w14:textId="77777777" w:rsidTr="00E818C3">
        <w:tblPrEx>
          <w:tblW w:w="8836" w:type="dxa"/>
          <w:tblInd w:w="520" w:type="dxa"/>
          <w:tblLayout w:type="fixed"/>
          <w:tblCellMar>
            <w:top w:w="14" w:type="dxa"/>
            <w:left w:w="58" w:type="dxa"/>
            <w:bottom w:w="14" w:type="dxa"/>
            <w:right w:w="58" w:type="dxa"/>
          </w:tblCellMar>
          <w:tblLook w:val="04A0"/>
        </w:tblPrEx>
        <w:trPr>
          <w:cantSplit/>
          <w:trHeight w:val="259"/>
        </w:trPr>
        <w:tc>
          <w:tcPr>
            <w:tcW w:w="508" w:type="dxa"/>
            <w:vMerge/>
            <w:textDirection w:val="btLr"/>
            <w:vAlign w:val="center"/>
          </w:tcPr>
          <w:p w:rsidR="00083D96" w:rsidRPr="00E0032D" w:rsidP="006749D8" w14:paraId="70A71B39" w14:textId="77777777">
            <w:pPr>
              <w:spacing w:line="216" w:lineRule="auto"/>
              <w:ind w:left="58" w:right="58"/>
              <w:jc w:val="center"/>
              <w:rPr>
                <w:rFonts w:ascii="Calibri" w:hAnsi="Calibri" w:cs="Calibri"/>
                <w:b/>
                <w:bCs/>
                <w:sz w:val="16"/>
                <w:szCs w:val="16"/>
              </w:rPr>
            </w:pPr>
          </w:p>
        </w:tc>
        <w:tc>
          <w:tcPr>
            <w:tcW w:w="2367" w:type="dxa"/>
            <w:tcBorders>
              <w:bottom w:val="single" w:sz="12" w:space="0" w:color="auto"/>
              <w:right w:val="single" w:sz="12" w:space="0" w:color="auto"/>
            </w:tcBorders>
            <w:vAlign w:val="center"/>
          </w:tcPr>
          <w:p w:rsidR="00083D96" w:rsidRPr="00E0032D" w:rsidP="0845C19F" w14:paraId="55CC3DA9" w14:textId="77777777">
            <w:pPr>
              <w:rPr>
                <w:rFonts w:ascii="Calibri" w:hAnsi="Calibri" w:cs="Calibri"/>
                <w:sz w:val="16"/>
                <w:szCs w:val="16"/>
              </w:rPr>
            </w:pPr>
            <w:r w:rsidRPr="00E0032D">
              <w:rPr>
                <w:rFonts w:ascii="Calibri" w:hAnsi="Calibri" w:cs="Calibri"/>
                <w:sz w:val="16"/>
                <w:szCs w:val="16"/>
              </w:rPr>
              <w:t>Not Enrolled</w:t>
            </w:r>
          </w:p>
        </w:tc>
        <w:tc>
          <w:tcPr>
            <w:tcW w:w="780" w:type="dxa"/>
            <w:tcBorders>
              <w:left w:val="single" w:sz="12" w:space="0" w:color="auto"/>
              <w:bottom w:val="single" w:sz="12" w:space="0" w:color="auto"/>
            </w:tcBorders>
            <w:vAlign w:val="center"/>
          </w:tcPr>
          <w:p w:rsidR="00083D96" w:rsidRPr="00E0032D" w:rsidP="006749D8" w14:paraId="1766623A" w14:textId="77777777">
            <w:pPr>
              <w:jc w:val="center"/>
              <w:rPr>
                <w:rFonts w:ascii="Calibri" w:hAnsi="Calibri" w:cs="Calibri"/>
                <w:sz w:val="16"/>
                <w:szCs w:val="16"/>
              </w:rPr>
            </w:pPr>
            <w:r w:rsidRPr="00E0032D">
              <w:rPr>
                <w:rFonts w:ascii="Calibri" w:hAnsi="Calibri" w:cs="Calibri"/>
                <w:sz w:val="16"/>
                <w:szCs w:val="16"/>
              </w:rPr>
              <w:t>675</w:t>
            </w:r>
          </w:p>
        </w:tc>
        <w:tc>
          <w:tcPr>
            <w:tcW w:w="510" w:type="dxa"/>
            <w:tcBorders>
              <w:bottom w:val="single" w:sz="12" w:space="0" w:color="auto"/>
            </w:tcBorders>
            <w:vAlign w:val="center"/>
          </w:tcPr>
          <w:p w:rsidR="00083D96" w:rsidRPr="00E0032D" w:rsidP="006749D8" w14:paraId="4DD2F8C7" w14:textId="77777777">
            <w:pPr>
              <w:jc w:val="center"/>
              <w:rPr>
                <w:rFonts w:ascii="Calibri" w:hAnsi="Calibri" w:cs="Calibri"/>
                <w:sz w:val="16"/>
                <w:szCs w:val="16"/>
              </w:rPr>
            </w:pPr>
            <w:r w:rsidRPr="00E0032D">
              <w:rPr>
                <w:rFonts w:ascii="Calibri" w:hAnsi="Calibri" w:cs="Calibri"/>
                <w:sz w:val="16"/>
                <w:szCs w:val="16"/>
              </w:rPr>
              <w:t>220</w:t>
            </w:r>
          </w:p>
        </w:tc>
        <w:tc>
          <w:tcPr>
            <w:tcW w:w="778" w:type="dxa"/>
            <w:tcBorders>
              <w:left w:val="single" w:sz="12" w:space="0" w:color="auto"/>
              <w:bottom w:val="single" w:sz="12" w:space="0" w:color="auto"/>
            </w:tcBorders>
            <w:vAlign w:val="center"/>
          </w:tcPr>
          <w:p w:rsidR="00083D96" w:rsidRPr="00E0032D" w:rsidP="0845C19F" w14:paraId="31B1EB37" w14:textId="77777777">
            <w:pPr>
              <w:jc w:val="center"/>
              <w:rPr>
                <w:rFonts w:ascii="Calibri" w:hAnsi="Calibri" w:cs="Calibri"/>
                <w:b/>
                <w:bCs/>
                <w:sz w:val="16"/>
                <w:szCs w:val="16"/>
              </w:rPr>
            </w:pPr>
            <w:r w:rsidRPr="00E0032D">
              <w:rPr>
                <w:rFonts w:ascii="Calibri" w:hAnsi="Calibri" w:cs="Calibri"/>
                <w:b/>
                <w:bCs/>
                <w:sz w:val="16"/>
                <w:szCs w:val="16"/>
              </w:rPr>
              <w:t>5.4%</w:t>
            </w:r>
          </w:p>
        </w:tc>
        <w:tc>
          <w:tcPr>
            <w:tcW w:w="779" w:type="dxa"/>
            <w:tcBorders>
              <w:bottom w:val="single" w:sz="12" w:space="0" w:color="auto"/>
            </w:tcBorders>
            <w:vAlign w:val="center"/>
          </w:tcPr>
          <w:p w:rsidR="00083D96" w:rsidRPr="00E0032D" w:rsidP="0845C19F" w14:paraId="119974BA" w14:textId="77777777">
            <w:pPr>
              <w:jc w:val="center"/>
              <w:rPr>
                <w:rFonts w:ascii="Calibri" w:hAnsi="Calibri" w:cs="Calibri"/>
                <w:sz w:val="16"/>
                <w:szCs w:val="16"/>
              </w:rPr>
            </w:pPr>
            <w:r w:rsidRPr="00E0032D">
              <w:rPr>
                <w:rFonts w:ascii="Calibri" w:hAnsi="Calibri" w:cs="Calibri"/>
                <w:sz w:val="16"/>
                <w:szCs w:val="16"/>
              </w:rPr>
              <w:t>5.3%</w:t>
            </w:r>
          </w:p>
        </w:tc>
        <w:tc>
          <w:tcPr>
            <w:tcW w:w="778" w:type="dxa"/>
            <w:tcBorders>
              <w:bottom w:val="single" w:sz="12" w:space="0" w:color="auto"/>
            </w:tcBorders>
            <w:vAlign w:val="center"/>
          </w:tcPr>
          <w:p w:rsidR="00083D96" w:rsidRPr="00E0032D" w:rsidP="0845C19F" w14:paraId="471FAB95" w14:textId="77777777">
            <w:pPr>
              <w:jc w:val="center"/>
              <w:rPr>
                <w:rFonts w:ascii="Calibri" w:hAnsi="Calibri" w:cs="Calibri"/>
                <w:sz w:val="16"/>
                <w:szCs w:val="16"/>
              </w:rPr>
            </w:pPr>
            <w:r w:rsidRPr="00E0032D">
              <w:rPr>
                <w:rFonts w:ascii="Calibri" w:hAnsi="Calibri" w:cs="Calibri"/>
                <w:sz w:val="16"/>
                <w:szCs w:val="16"/>
              </w:rPr>
              <w:t>5.0%</w:t>
            </w:r>
          </w:p>
        </w:tc>
        <w:tc>
          <w:tcPr>
            <w:tcW w:w="779" w:type="dxa"/>
            <w:tcBorders>
              <w:bottom w:val="single" w:sz="12" w:space="0" w:color="auto"/>
            </w:tcBorders>
            <w:vAlign w:val="center"/>
          </w:tcPr>
          <w:p w:rsidR="00083D96" w:rsidRPr="00E0032D" w:rsidP="0845C19F" w14:paraId="25064CD2" w14:textId="77777777">
            <w:pPr>
              <w:jc w:val="center"/>
              <w:rPr>
                <w:rFonts w:ascii="Calibri" w:hAnsi="Calibri" w:cs="Calibri"/>
                <w:sz w:val="16"/>
                <w:szCs w:val="16"/>
              </w:rPr>
            </w:pPr>
            <w:r w:rsidRPr="00E0032D">
              <w:rPr>
                <w:rFonts w:ascii="Calibri" w:hAnsi="Calibri" w:cs="Calibri"/>
                <w:sz w:val="16"/>
                <w:szCs w:val="16"/>
              </w:rPr>
              <w:t>4.3%</w:t>
            </w:r>
          </w:p>
        </w:tc>
        <w:tc>
          <w:tcPr>
            <w:tcW w:w="778" w:type="dxa"/>
            <w:tcBorders>
              <w:bottom w:val="single" w:sz="12" w:space="0" w:color="auto"/>
            </w:tcBorders>
            <w:vAlign w:val="center"/>
          </w:tcPr>
          <w:p w:rsidR="00083D96" w:rsidRPr="00E0032D" w:rsidP="0845C19F" w14:paraId="7DBDD805" w14:textId="77777777">
            <w:pPr>
              <w:jc w:val="center"/>
              <w:rPr>
                <w:rFonts w:ascii="Calibri" w:hAnsi="Calibri" w:cs="Calibri"/>
                <w:sz w:val="16"/>
                <w:szCs w:val="16"/>
              </w:rPr>
            </w:pPr>
            <w:r w:rsidRPr="00E0032D">
              <w:rPr>
                <w:rFonts w:ascii="Calibri" w:hAnsi="Calibri" w:cs="Calibri"/>
                <w:sz w:val="16"/>
                <w:szCs w:val="16"/>
              </w:rPr>
              <w:t>3.3%</w:t>
            </w:r>
          </w:p>
        </w:tc>
        <w:tc>
          <w:tcPr>
            <w:tcW w:w="779" w:type="dxa"/>
            <w:tcBorders>
              <w:bottom w:val="single" w:sz="12" w:space="0" w:color="auto"/>
            </w:tcBorders>
            <w:vAlign w:val="center"/>
          </w:tcPr>
          <w:p w:rsidR="00083D96" w:rsidRPr="00E0032D" w:rsidP="0845C19F" w14:paraId="77153FCF" w14:textId="77777777">
            <w:pPr>
              <w:jc w:val="center"/>
              <w:rPr>
                <w:rFonts w:ascii="Calibri" w:hAnsi="Calibri" w:cs="Calibri"/>
                <w:sz w:val="16"/>
                <w:szCs w:val="16"/>
              </w:rPr>
            </w:pPr>
            <w:r w:rsidRPr="00E0032D">
              <w:rPr>
                <w:rFonts w:ascii="Calibri" w:hAnsi="Calibri" w:cs="Calibri"/>
                <w:sz w:val="16"/>
                <w:szCs w:val="16"/>
              </w:rPr>
              <w:t>2.4%</w:t>
            </w:r>
          </w:p>
        </w:tc>
      </w:tr>
      <w:tr w14:paraId="47C03DFE" w14:textId="77777777" w:rsidTr="00E818C3">
        <w:tblPrEx>
          <w:tblW w:w="8836" w:type="dxa"/>
          <w:tblInd w:w="520" w:type="dxa"/>
          <w:tblLayout w:type="fixed"/>
          <w:tblCellMar>
            <w:top w:w="14" w:type="dxa"/>
            <w:left w:w="58" w:type="dxa"/>
            <w:bottom w:w="14" w:type="dxa"/>
            <w:right w:w="58" w:type="dxa"/>
          </w:tblCellMar>
          <w:tblLook w:val="04A0"/>
        </w:tblPrEx>
        <w:trPr>
          <w:cantSplit/>
          <w:trHeight w:val="259"/>
        </w:trPr>
        <w:tc>
          <w:tcPr>
            <w:tcW w:w="508" w:type="dxa"/>
            <w:vMerge w:val="restart"/>
            <w:tcBorders>
              <w:top w:val="single" w:sz="12" w:space="0" w:color="auto"/>
            </w:tcBorders>
            <w:textDirection w:val="btLr"/>
            <w:vAlign w:val="center"/>
          </w:tcPr>
          <w:p w:rsidR="00083D96" w:rsidRPr="00E0032D" w:rsidP="00573232" w14:paraId="31321E60" w14:textId="77777777">
            <w:pPr>
              <w:spacing w:line="216" w:lineRule="auto"/>
              <w:ind w:left="58" w:right="58"/>
              <w:jc w:val="center"/>
              <w:rPr>
                <w:rFonts w:ascii="Calibri" w:hAnsi="Calibri" w:cs="Calibri"/>
                <w:b/>
                <w:bCs/>
                <w:sz w:val="16"/>
                <w:szCs w:val="16"/>
              </w:rPr>
            </w:pPr>
            <w:r w:rsidRPr="00E0032D">
              <w:rPr>
                <w:rFonts w:ascii="Calibri" w:hAnsi="Calibri" w:cs="Calibri"/>
                <w:b/>
                <w:bCs/>
                <w:sz w:val="16"/>
                <w:szCs w:val="16"/>
              </w:rPr>
              <w:t>Nursing Homes</w:t>
            </w:r>
          </w:p>
        </w:tc>
        <w:tc>
          <w:tcPr>
            <w:tcW w:w="2367" w:type="dxa"/>
            <w:tcBorders>
              <w:top w:val="single" w:sz="12" w:space="0" w:color="auto"/>
              <w:right w:val="single" w:sz="12" w:space="0" w:color="auto"/>
            </w:tcBorders>
            <w:vAlign w:val="center"/>
          </w:tcPr>
          <w:p w:rsidR="00083D96" w:rsidRPr="00E0032D" w:rsidP="00573232" w14:paraId="6AC41A8B" w14:textId="77777777">
            <w:pPr>
              <w:rPr>
                <w:rFonts w:ascii="Calibri" w:hAnsi="Calibri" w:cs="Calibri"/>
                <w:sz w:val="16"/>
                <w:szCs w:val="16"/>
              </w:rPr>
            </w:pPr>
            <w:r w:rsidRPr="00E0032D">
              <w:rPr>
                <w:rFonts w:ascii="Calibri" w:hAnsi="Calibri" w:cs="Calibri"/>
                <w:sz w:val="16"/>
                <w:szCs w:val="16"/>
              </w:rPr>
              <w:t>Full Sample</w:t>
            </w:r>
          </w:p>
        </w:tc>
        <w:tc>
          <w:tcPr>
            <w:tcW w:w="780" w:type="dxa"/>
            <w:tcBorders>
              <w:top w:val="single" w:sz="12" w:space="0" w:color="auto"/>
              <w:left w:val="single" w:sz="12" w:space="0" w:color="auto"/>
            </w:tcBorders>
            <w:vAlign w:val="center"/>
          </w:tcPr>
          <w:p w:rsidR="00083D96" w:rsidRPr="00E0032D" w:rsidP="00573232" w14:paraId="003B4641" w14:textId="3064F001">
            <w:pPr>
              <w:jc w:val="center"/>
              <w:rPr>
                <w:rFonts w:ascii="Calibri" w:hAnsi="Calibri" w:cs="Calibri"/>
                <w:sz w:val="16"/>
                <w:szCs w:val="16"/>
              </w:rPr>
            </w:pPr>
            <w:r w:rsidRPr="00E0032D">
              <w:rPr>
                <w:rFonts w:ascii="Calibri" w:hAnsi="Calibri" w:cs="Calibri"/>
                <w:sz w:val="16"/>
                <w:szCs w:val="16"/>
              </w:rPr>
              <w:t>15,498</w:t>
            </w:r>
          </w:p>
        </w:tc>
        <w:tc>
          <w:tcPr>
            <w:tcW w:w="510" w:type="dxa"/>
            <w:tcBorders>
              <w:top w:val="single" w:sz="12" w:space="0" w:color="auto"/>
            </w:tcBorders>
            <w:vAlign w:val="center"/>
          </w:tcPr>
          <w:p w:rsidR="00083D96" w:rsidRPr="00E0032D" w:rsidP="00573232" w14:paraId="7D02D38C" w14:textId="77777777">
            <w:pPr>
              <w:jc w:val="center"/>
              <w:rPr>
                <w:rFonts w:ascii="Calibri" w:hAnsi="Calibri" w:cs="Calibri"/>
                <w:sz w:val="16"/>
                <w:szCs w:val="16"/>
              </w:rPr>
            </w:pPr>
            <w:r w:rsidRPr="00E0032D">
              <w:rPr>
                <w:rFonts w:ascii="Calibri" w:hAnsi="Calibri" w:cs="Calibri"/>
                <w:sz w:val="16"/>
                <w:szCs w:val="16"/>
              </w:rPr>
              <w:t>500</w:t>
            </w:r>
          </w:p>
        </w:tc>
        <w:tc>
          <w:tcPr>
            <w:tcW w:w="778" w:type="dxa"/>
            <w:tcBorders>
              <w:top w:val="single" w:sz="12" w:space="0" w:color="auto"/>
              <w:left w:val="single" w:sz="12" w:space="0" w:color="auto"/>
            </w:tcBorders>
            <w:vAlign w:val="bottom"/>
          </w:tcPr>
          <w:p w:rsidR="00083D96" w:rsidRPr="00E0032D" w:rsidP="00573232" w14:paraId="2A970C28" w14:textId="63DEFC15">
            <w:pPr>
              <w:jc w:val="center"/>
              <w:rPr>
                <w:rFonts w:ascii="Calibri" w:hAnsi="Calibri" w:cs="Calibri"/>
                <w:sz w:val="16"/>
                <w:szCs w:val="16"/>
              </w:rPr>
            </w:pPr>
            <w:r w:rsidRPr="00E0032D">
              <w:rPr>
                <w:rFonts w:ascii="Calibri" w:hAnsi="Calibri" w:cs="Calibri"/>
                <w:sz w:val="16"/>
                <w:szCs w:val="16"/>
              </w:rPr>
              <w:t>4.3%</w:t>
            </w:r>
          </w:p>
        </w:tc>
        <w:tc>
          <w:tcPr>
            <w:tcW w:w="779" w:type="dxa"/>
            <w:tcBorders>
              <w:top w:val="single" w:sz="12" w:space="0" w:color="auto"/>
            </w:tcBorders>
            <w:vAlign w:val="bottom"/>
          </w:tcPr>
          <w:p w:rsidR="00083D96" w:rsidRPr="00E0032D" w:rsidP="00573232" w14:paraId="7FBA3710" w14:textId="616C03C9">
            <w:pPr>
              <w:jc w:val="center"/>
              <w:rPr>
                <w:rFonts w:ascii="Calibri" w:hAnsi="Calibri" w:cs="Calibri"/>
                <w:sz w:val="16"/>
                <w:szCs w:val="16"/>
              </w:rPr>
            </w:pPr>
            <w:r w:rsidRPr="00E0032D">
              <w:rPr>
                <w:rFonts w:ascii="Calibri" w:hAnsi="Calibri" w:cs="Calibri"/>
                <w:sz w:val="16"/>
                <w:szCs w:val="16"/>
              </w:rPr>
              <w:t>4.2%</w:t>
            </w:r>
          </w:p>
        </w:tc>
        <w:tc>
          <w:tcPr>
            <w:tcW w:w="778" w:type="dxa"/>
            <w:tcBorders>
              <w:top w:val="single" w:sz="12" w:space="0" w:color="auto"/>
            </w:tcBorders>
            <w:vAlign w:val="bottom"/>
          </w:tcPr>
          <w:p w:rsidR="00083D96" w:rsidRPr="00E0032D" w:rsidP="00573232" w14:paraId="25DF6D88" w14:textId="55BBA448">
            <w:pPr>
              <w:jc w:val="center"/>
              <w:rPr>
                <w:rFonts w:ascii="Calibri" w:hAnsi="Calibri" w:cs="Calibri"/>
                <w:sz w:val="16"/>
                <w:szCs w:val="16"/>
              </w:rPr>
            </w:pPr>
            <w:r w:rsidRPr="00E0032D">
              <w:rPr>
                <w:rFonts w:ascii="Calibri" w:hAnsi="Calibri" w:cs="Calibri"/>
                <w:sz w:val="16"/>
                <w:szCs w:val="16"/>
              </w:rPr>
              <w:t>4.0%</w:t>
            </w:r>
          </w:p>
        </w:tc>
        <w:tc>
          <w:tcPr>
            <w:tcW w:w="779" w:type="dxa"/>
            <w:tcBorders>
              <w:top w:val="single" w:sz="12" w:space="0" w:color="auto"/>
            </w:tcBorders>
            <w:vAlign w:val="bottom"/>
          </w:tcPr>
          <w:p w:rsidR="00083D96" w:rsidRPr="00E0032D" w:rsidP="00573232" w14:paraId="0779B2AE" w14:textId="28325105">
            <w:pPr>
              <w:jc w:val="center"/>
              <w:rPr>
                <w:rFonts w:ascii="Calibri" w:hAnsi="Calibri" w:cs="Calibri"/>
                <w:sz w:val="16"/>
                <w:szCs w:val="16"/>
              </w:rPr>
            </w:pPr>
            <w:r w:rsidRPr="00E0032D">
              <w:rPr>
                <w:rFonts w:ascii="Calibri" w:hAnsi="Calibri" w:cs="Calibri"/>
                <w:sz w:val="16"/>
                <w:szCs w:val="16"/>
              </w:rPr>
              <w:t>3.5%</w:t>
            </w:r>
          </w:p>
        </w:tc>
        <w:tc>
          <w:tcPr>
            <w:tcW w:w="778" w:type="dxa"/>
            <w:tcBorders>
              <w:top w:val="single" w:sz="12" w:space="0" w:color="auto"/>
            </w:tcBorders>
            <w:vAlign w:val="bottom"/>
          </w:tcPr>
          <w:p w:rsidR="00083D96" w:rsidRPr="00E0032D" w:rsidP="00573232" w14:paraId="62C8807F" w14:textId="14835617">
            <w:pPr>
              <w:jc w:val="center"/>
              <w:rPr>
                <w:rFonts w:ascii="Calibri" w:hAnsi="Calibri" w:cs="Calibri"/>
                <w:sz w:val="16"/>
                <w:szCs w:val="16"/>
              </w:rPr>
            </w:pPr>
            <w:r w:rsidRPr="00E0032D">
              <w:rPr>
                <w:rFonts w:ascii="Calibri" w:hAnsi="Calibri" w:cs="Calibri"/>
                <w:sz w:val="16"/>
                <w:szCs w:val="16"/>
              </w:rPr>
              <w:t>2.6%</w:t>
            </w:r>
          </w:p>
        </w:tc>
        <w:tc>
          <w:tcPr>
            <w:tcW w:w="779" w:type="dxa"/>
            <w:tcBorders>
              <w:top w:val="single" w:sz="12" w:space="0" w:color="auto"/>
            </w:tcBorders>
            <w:vAlign w:val="bottom"/>
          </w:tcPr>
          <w:p w:rsidR="00083D96" w:rsidRPr="00E0032D" w:rsidP="00573232" w14:paraId="40F66652" w14:textId="133B5C00">
            <w:pPr>
              <w:jc w:val="center"/>
              <w:rPr>
                <w:rFonts w:ascii="Calibri" w:hAnsi="Calibri" w:cs="Calibri"/>
                <w:sz w:val="16"/>
                <w:szCs w:val="16"/>
              </w:rPr>
            </w:pPr>
            <w:r w:rsidRPr="00E0032D">
              <w:rPr>
                <w:rFonts w:ascii="Calibri" w:hAnsi="Calibri" w:cs="Calibri"/>
                <w:sz w:val="16"/>
                <w:szCs w:val="16"/>
              </w:rPr>
              <w:t>1.9%</w:t>
            </w:r>
          </w:p>
        </w:tc>
      </w:tr>
      <w:tr w14:paraId="4DE18A33" w14:textId="77777777" w:rsidTr="00E818C3">
        <w:tblPrEx>
          <w:tblW w:w="8836" w:type="dxa"/>
          <w:tblInd w:w="520" w:type="dxa"/>
          <w:tblLayout w:type="fixed"/>
          <w:tblCellMar>
            <w:top w:w="14" w:type="dxa"/>
            <w:left w:w="58" w:type="dxa"/>
            <w:bottom w:w="14" w:type="dxa"/>
            <w:right w:w="58" w:type="dxa"/>
          </w:tblCellMar>
          <w:tblLook w:val="04A0"/>
        </w:tblPrEx>
        <w:trPr>
          <w:cantSplit/>
          <w:trHeight w:val="259"/>
        </w:trPr>
        <w:tc>
          <w:tcPr>
            <w:tcW w:w="508" w:type="dxa"/>
            <w:vMerge/>
            <w:textDirection w:val="btLr"/>
            <w:vAlign w:val="center"/>
          </w:tcPr>
          <w:p w:rsidR="00083D96" w:rsidRPr="00E0032D" w:rsidP="00573232" w14:paraId="351709D3" w14:textId="77777777">
            <w:pPr>
              <w:spacing w:line="216" w:lineRule="auto"/>
              <w:ind w:left="58" w:right="58"/>
              <w:jc w:val="center"/>
              <w:rPr>
                <w:rFonts w:ascii="Calibri" w:hAnsi="Calibri" w:cs="Calibri"/>
                <w:sz w:val="16"/>
                <w:szCs w:val="16"/>
              </w:rPr>
            </w:pPr>
          </w:p>
        </w:tc>
        <w:tc>
          <w:tcPr>
            <w:tcW w:w="2367" w:type="dxa"/>
            <w:tcBorders>
              <w:right w:val="single" w:sz="12" w:space="0" w:color="auto"/>
            </w:tcBorders>
            <w:vAlign w:val="center"/>
          </w:tcPr>
          <w:p w:rsidR="00083D96" w:rsidRPr="00E0032D" w:rsidP="00573232" w14:paraId="4FE0A13E" w14:textId="7856AAC0">
            <w:pPr>
              <w:rPr>
                <w:rFonts w:ascii="Calibri" w:hAnsi="Calibri" w:cs="Calibri"/>
                <w:sz w:val="16"/>
                <w:szCs w:val="16"/>
              </w:rPr>
            </w:pPr>
            <w:r w:rsidRPr="00E0032D">
              <w:rPr>
                <w:rFonts w:ascii="Calibri" w:hAnsi="Calibri" w:cs="Calibri"/>
                <w:sz w:val="16"/>
                <w:szCs w:val="16"/>
              </w:rPr>
              <w:t>High Participation</w:t>
            </w:r>
          </w:p>
        </w:tc>
        <w:tc>
          <w:tcPr>
            <w:tcW w:w="780" w:type="dxa"/>
            <w:tcBorders>
              <w:left w:val="single" w:sz="12" w:space="0" w:color="auto"/>
            </w:tcBorders>
            <w:vAlign w:val="center"/>
          </w:tcPr>
          <w:p w:rsidR="00083D96" w:rsidRPr="00E0032D" w:rsidP="00573232" w14:paraId="7796AD33" w14:textId="1C7D0DDF">
            <w:pPr>
              <w:jc w:val="center"/>
              <w:rPr>
                <w:rFonts w:ascii="Calibri" w:hAnsi="Calibri" w:cs="Calibri"/>
                <w:sz w:val="16"/>
                <w:szCs w:val="16"/>
              </w:rPr>
            </w:pPr>
            <w:r w:rsidRPr="00E0032D">
              <w:rPr>
                <w:rFonts w:ascii="Calibri" w:hAnsi="Calibri" w:cs="Calibri"/>
                <w:sz w:val="16"/>
                <w:szCs w:val="16"/>
              </w:rPr>
              <w:t>4,300</w:t>
            </w:r>
          </w:p>
        </w:tc>
        <w:tc>
          <w:tcPr>
            <w:tcW w:w="510" w:type="dxa"/>
            <w:vAlign w:val="center"/>
          </w:tcPr>
          <w:p w:rsidR="00083D96" w:rsidRPr="00E0032D" w:rsidP="00573232" w14:paraId="6A7F6A05" w14:textId="2E7E2185">
            <w:pPr>
              <w:jc w:val="center"/>
              <w:rPr>
                <w:rFonts w:ascii="Calibri" w:hAnsi="Calibri" w:cs="Calibri"/>
                <w:sz w:val="16"/>
                <w:szCs w:val="16"/>
              </w:rPr>
            </w:pPr>
            <w:r w:rsidRPr="00E0032D">
              <w:rPr>
                <w:rFonts w:ascii="Calibri" w:hAnsi="Calibri" w:cs="Calibri"/>
                <w:sz w:val="16"/>
                <w:szCs w:val="16"/>
              </w:rPr>
              <w:t>150</w:t>
            </w:r>
          </w:p>
        </w:tc>
        <w:tc>
          <w:tcPr>
            <w:tcW w:w="778" w:type="dxa"/>
            <w:tcBorders>
              <w:left w:val="single" w:sz="12" w:space="0" w:color="auto"/>
            </w:tcBorders>
            <w:vAlign w:val="bottom"/>
          </w:tcPr>
          <w:p w:rsidR="00083D96" w:rsidRPr="00E0032D" w:rsidP="00573232" w14:paraId="3EEF8A74" w14:textId="61E0DC79">
            <w:pPr>
              <w:jc w:val="center"/>
              <w:rPr>
                <w:rFonts w:ascii="Calibri" w:hAnsi="Calibri" w:cs="Calibri"/>
                <w:sz w:val="16"/>
                <w:szCs w:val="16"/>
              </w:rPr>
            </w:pPr>
            <w:r w:rsidRPr="00E0032D">
              <w:rPr>
                <w:rFonts w:ascii="Calibri" w:hAnsi="Calibri" w:cs="Calibri"/>
                <w:sz w:val="16"/>
                <w:szCs w:val="16"/>
              </w:rPr>
              <w:t>7.9%</w:t>
            </w:r>
          </w:p>
        </w:tc>
        <w:tc>
          <w:tcPr>
            <w:tcW w:w="779" w:type="dxa"/>
            <w:vAlign w:val="bottom"/>
          </w:tcPr>
          <w:p w:rsidR="00083D96" w:rsidRPr="00E0032D" w:rsidP="00573232" w14:paraId="069F62EE" w14:textId="11DD69CC">
            <w:pPr>
              <w:jc w:val="center"/>
              <w:rPr>
                <w:rFonts w:ascii="Calibri" w:hAnsi="Calibri" w:cs="Calibri"/>
                <w:sz w:val="16"/>
                <w:szCs w:val="16"/>
              </w:rPr>
            </w:pPr>
            <w:r w:rsidRPr="00E0032D">
              <w:rPr>
                <w:rFonts w:ascii="Calibri" w:hAnsi="Calibri" w:cs="Calibri"/>
                <w:sz w:val="16"/>
                <w:szCs w:val="16"/>
              </w:rPr>
              <w:t>7.7%</w:t>
            </w:r>
          </w:p>
        </w:tc>
        <w:tc>
          <w:tcPr>
            <w:tcW w:w="778" w:type="dxa"/>
            <w:vAlign w:val="bottom"/>
          </w:tcPr>
          <w:p w:rsidR="00083D96" w:rsidRPr="00E0032D" w:rsidP="00573232" w14:paraId="2BA2EF52" w14:textId="3BFCBC94">
            <w:pPr>
              <w:jc w:val="center"/>
              <w:rPr>
                <w:rFonts w:ascii="Calibri" w:hAnsi="Calibri" w:cs="Calibri"/>
                <w:sz w:val="16"/>
                <w:szCs w:val="16"/>
              </w:rPr>
            </w:pPr>
            <w:r w:rsidRPr="00E0032D">
              <w:rPr>
                <w:rFonts w:ascii="Calibri" w:hAnsi="Calibri" w:cs="Calibri"/>
                <w:sz w:val="16"/>
                <w:szCs w:val="16"/>
              </w:rPr>
              <w:t>7.2%</w:t>
            </w:r>
          </w:p>
        </w:tc>
        <w:tc>
          <w:tcPr>
            <w:tcW w:w="779" w:type="dxa"/>
            <w:vAlign w:val="bottom"/>
          </w:tcPr>
          <w:p w:rsidR="00083D96" w:rsidRPr="00E0032D" w:rsidP="00573232" w14:paraId="24C3F2BC" w14:textId="1A96DBDA">
            <w:pPr>
              <w:jc w:val="center"/>
              <w:rPr>
                <w:rFonts w:ascii="Calibri" w:hAnsi="Calibri" w:cs="Calibri"/>
                <w:sz w:val="16"/>
                <w:szCs w:val="16"/>
              </w:rPr>
            </w:pPr>
            <w:r w:rsidRPr="00E0032D">
              <w:rPr>
                <w:rFonts w:ascii="Calibri" w:hAnsi="Calibri" w:cs="Calibri"/>
                <w:sz w:val="16"/>
                <w:szCs w:val="16"/>
              </w:rPr>
              <w:t>6.3%</w:t>
            </w:r>
          </w:p>
        </w:tc>
        <w:tc>
          <w:tcPr>
            <w:tcW w:w="778" w:type="dxa"/>
            <w:vAlign w:val="bottom"/>
          </w:tcPr>
          <w:p w:rsidR="00083D96" w:rsidRPr="00E0032D" w:rsidP="00573232" w14:paraId="0C43D6E3" w14:textId="5B54F58D">
            <w:pPr>
              <w:jc w:val="center"/>
              <w:rPr>
                <w:rFonts w:ascii="Calibri" w:hAnsi="Calibri" w:cs="Calibri"/>
                <w:sz w:val="16"/>
                <w:szCs w:val="16"/>
              </w:rPr>
            </w:pPr>
            <w:r w:rsidRPr="00E0032D">
              <w:rPr>
                <w:rFonts w:ascii="Calibri" w:hAnsi="Calibri" w:cs="Calibri"/>
                <w:sz w:val="16"/>
                <w:szCs w:val="16"/>
              </w:rPr>
              <w:t>4.7%</w:t>
            </w:r>
          </w:p>
        </w:tc>
        <w:tc>
          <w:tcPr>
            <w:tcW w:w="779" w:type="dxa"/>
            <w:vAlign w:val="bottom"/>
          </w:tcPr>
          <w:p w:rsidR="00083D96" w:rsidRPr="00E0032D" w:rsidP="00573232" w14:paraId="21978BF9" w14:textId="3EED9911">
            <w:pPr>
              <w:jc w:val="center"/>
              <w:rPr>
                <w:rFonts w:ascii="Calibri" w:hAnsi="Calibri" w:cs="Calibri"/>
                <w:sz w:val="16"/>
                <w:szCs w:val="16"/>
              </w:rPr>
            </w:pPr>
            <w:r w:rsidRPr="00E0032D">
              <w:rPr>
                <w:rFonts w:ascii="Calibri" w:hAnsi="Calibri" w:cs="Calibri"/>
                <w:sz w:val="16"/>
                <w:szCs w:val="16"/>
              </w:rPr>
              <w:t>3.4%</w:t>
            </w:r>
          </w:p>
        </w:tc>
      </w:tr>
      <w:tr w14:paraId="7A1C2088" w14:textId="77777777" w:rsidTr="00E818C3">
        <w:tblPrEx>
          <w:tblW w:w="8836" w:type="dxa"/>
          <w:tblInd w:w="520" w:type="dxa"/>
          <w:tblLayout w:type="fixed"/>
          <w:tblCellMar>
            <w:top w:w="14" w:type="dxa"/>
            <w:left w:w="58" w:type="dxa"/>
            <w:bottom w:w="14" w:type="dxa"/>
            <w:right w:w="58" w:type="dxa"/>
          </w:tblCellMar>
          <w:tblLook w:val="04A0"/>
        </w:tblPrEx>
        <w:trPr>
          <w:cantSplit/>
          <w:trHeight w:val="259"/>
        </w:trPr>
        <w:tc>
          <w:tcPr>
            <w:tcW w:w="508" w:type="dxa"/>
            <w:vMerge/>
            <w:textDirection w:val="btLr"/>
            <w:vAlign w:val="center"/>
          </w:tcPr>
          <w:p w:rsidR="00083D96" w:rsidRPr="00E0032D" w:rsidP="00573232" w14:paraId="30B0C916" w14:textId="77777777">
            <w:pPr>
              <w:spacing w:line="216" w:lineRule="auto"/>
              <w:ind w:left="58" w:right="58"/>
              <w:jc w:val="center"/>
              <w:rPr>
                <w:rFonts w:ascii="Calibri" w:hAnsi="Calibri" w:cs="Calibri"/>
                <w:sz w:val="16"/>
                <w:szCs w:val="16"/>
              </w:rPr>
            </w:pPr>
          </w:p>
        </w:tc>
        <w:tc>
          <w:tcPr>
            <w:tcW w:w="2367" w:type="dxa"/>
            <w:tcBorders>
              <w:right w:val="single" w:sz="12" w:space="0" w:color="auto"/>
            </w:tcBorders>
            <w:vAlign w:val="center"/>
          </w:tcPr>
          <w:p w:rsidR="00083D96" w:rsidRPr="00E0032D" w:rsidP="00573232" w14:paraId="091F20F2" w14:textId="61A718E7">
            <w:pPr>
              <w:rPr>
                <w:rFonts w:ascii="Calibri" w:hAnsi="Calibri" w:cs="Calibri"/>
                <w:sz w:val="16"/>
                <w:szCs w:val="16"/>
              </w:rPr>
            </w:pPr>
            <w:r w:rsidRPr="00E0032D">
              <w:rPr>
                <w:rFonts w:ascii="Calibri" w:hAnsi="Calibri" w:cs="Calibri"/>
                <w:sz w:val="16"/>
                <w:szCs w:val="16"/>
              </w:rPr>
              <w:t>Moderate Participation</w:t>
            </w:r>
          </w:p>
        </w:tc>
        <w:tc>
          <w:tcPr>
            <w:tcW w:w="780" w:type="dxa"/>
            <w:tcBorders>
              <w:left w:val="single" w:sz="12" w:space="0" w:color="auto"/>
            </w:tcBorders>
            <w:vAlign w:val="center"/>
          </w:tcPr>
          <w:p w:rsidR="00083D96" w:rsidRPr="00E0032D" w:rsidP="00573232" w14:paraId="0A3F9020" w14:textId="10C19985">
            <w:pPr>
              <w:jc w:val="center"/>
              <w:rPr>
                <w:rFonts w:ascii="Calibri" w:hAnsi="Calibri" w:cs="Calibri"/>
                <w:sz w:val="16"/>
                <w:szCs w:val="16"/>
              </w:rPr>
            </w:pPr>
            <w:r w:rsidRPr="00E0032D">
              <w:rPr>
                <w:rFonts w:ascii="Calibri" w:hAnsi="Calibri" w:cs="Calibri"/>
                <w:sz w:val="16"/>
                <w:szCs w:val="16"/>
              </w:rPr>
              <w:t>6,594</w:t>
            </w:r>
          </w:p>
        </w:tc>
        <w:tc>
          <w:tcPr>
            <w:tcW w:w="510" w:type="dxa"/>
            <w:vAlign w:val="center"/>
          </w:tcPr>
          <w:p w:rsidR="00083D96" w:rsidRPr="00E0032D" w:rsidP="00573232" w14:paraId="4388D58B" w14:textId="5C4FE282">
            <w:pPr>
              <w:jc w:val="center"/>
              <w:rPr>
                <w:rFonts w:ascii="Calibri" w:hAnsi="Calibri" w:cs="Calibri"/>
                <w:sz w:val="16"/>
                <w:szCs w:val="16"/>
              </w:rPr>
            </w:pPr>
            <w:r w:rsidRPr="00E0032D">
              <w:rPr>
                <w:rFonts w:ascii="Calibri" w:hAnsi="Calibri" w:cs="Calibri"/>
                <w:sz w:val="16"/>
                <w:szCs w:val="16"/>
              </w:rPr>
              <w:t>200</w:t>
            </w:r>
          </w:p>
        </w:tc>
        <w:tc>
          <w:tcPr>
            <w:tcW w:w="778" w:type="dxa"/>
            <w:tcBorders>
              <w:left w:val="single" w:sz="12" w:space="0" w:color="auto"/>
            </w:tcBorders>
            <w:vAlign w:val="bottom"/>
          </w:tcPr>
          <w:p w:rsidR="00083D96" w:rsidRPr="00E0032D" w:rsidP="00573232" w14:paraId="6F32ECE2" w14:textId="3C15F193">
            <w:pPr>
              <w:jc w:val="center"/>
              <w:rPr>
                <w:rFonts w:ascii="Calibri" w:hAnsi="Calibri" w:cs="Calibri"/>
                <w:sz w:val="16"/>
                <w:szCs w:val="16"/>
              </w:rPr>
            </w:pPr>
            <w:r w:rsidRPr="00E0032D">
              <w:rPr>
                <w:rFonts w:ascii="Calibri" w:hAnsi="Calibri" w:cs="Calibri"/>
                <w:sz w:val="16"/>
                <w:szCs w:val="16"/>
              </w:rPr>
              <w:t>6.8%</w:t>
            </w:r>
          </w:p>
        </w:tc>
        <w:tc>
          <w:tcPr>
            <w:tcW w:w="779" w:type="dxa"/>
            <w:vAlign w:val="bottom"/>
          </w:tcPr>
          <w:p w:rsidR="00083D96" w:rsidRPr="00E0032D" w:rsidP="00573232" w14:paraId="0FB688A0" w14:textId="30E16A6C">
            <w:pPr>
              <w:jc w:val="center"/>
              <w:rPr>
                <w:rFonts w:ascii="Calibri" w:hAnsi="Calibri" w:cs="Calibri"/>
                <w:sz w:val="16"/>
                <w:szCs w:val="16"/>
              </w:rPr>
            </w:pPr>
            <w:r w:rsidRPr="00E0032D">
              <w:rPr>
                <w:rFonts w:ascii="Calibri" w:hAnsi="Calibri" w:cs="Calibri"/>
                <w:sz w:val="16"/>
                <w:szCs w:val="16"/>
              </w:rPr>
              <w:t>6.7%</w:t>
            </w:r>
          </w:p>
        </w:tc>
        <w:tc>
          <w:tcPr>
            <w:tcW w:w="778" w:type="dxa"/>
            <w:vAlign w:val="bottom"/>
          </w:tcPr>
          <w:p w:rsidR="00083D96" w:rsidRPr="00E0032D" w:rsidP="00573232" w14:paraId="68A4129A" w14:textId="52BC78CA">
            <w:pPr>
              <w:jc w:val="center"/>
              <w:rPr>
                <w:rFonts w:ascii="Calibri" w:hAnsi="Calibri" w:cs="Calibri"/>
                <w:sz w:val="16"/>
                <w:szCs w:val="16"/>
              </w:rPr>
            </w:pPr>
            <w:r w:rsidRPr="00E0032D">
              <w:rPr>
                <w:rFonts w:ascii="Calibri" w:hAnsi="Calibri" w:cs="Calibri"/>
                <w:sz w:val="16"/>
                <w:szCs w:val="16"/>
              </w:rPr>
              <w:t>6.3%</w:t>
            </w:r>
          </w:p>
        </w:tc>
        <w:tc>
          <w:tcPr>
            <w:tcW w:w="779" w:type="dxa"/>
            <w:vAlign w:val="bottom"/>
          </w:tcPr>
          <w:p w:rsidR="00083D96" w:rsidRPr="00E0032D" w:rsidP="00573232" w14:paraId="796A8BC9" w14:textId="2372C922">
            <w:pPr>
              <w:jc w:val="center"/>
              <w:rPr>
                <w:rFonts w:ascii="Calibri" w:hAnsi="Calibri" w:cs="Calibri"/>
                <w:sz w:val="16"/>
                <w:szCs w:val="16"/>
              </w:rPr>
            </w:pPr>
            <w:r w:rsidRPr="00E0032D">
              <w:rPr>
                <w:rFonts w:ascii="Calibri" w:hAnsi="Calibri" w:cs="Calibri"/>
                <w:sz w:val="16"/>
                <w:szCs w:val="16"/>
              </w:rPr>
              <w:t>5.5%</w:t>
            </w:r>
          </w:p>
        </w:tc>
        <w:tc>
          <w:tcPr>
            <w:tcW w:w="778" w:type="dxa"/>
            <w:vAlign w:val="bottom"/>
          </w:tcPr>
          <w:p w:rsidR="00083D96" w:rsidRPr="00E0032D" w:rsidP="00573232" w14:paraId="0781A92A" w14:textId="059AD879">
            <w:pPr>
              <w:jc w:val="center"/>
              <w:rPr>
                <w:rFonts w:ascii="Calibri" w:hAnsi="Calibri" w:cs="Calibri"/>
                <w:sz w:val="16"/>
                <w:szCs w:val="16"/>
              </w:rPr>
            </w:pPr>
            <w:r w:rsidRPr="00E0032D">
              <w:rPr>
                <w:rFonts w:ascii="Calibri" w:hAnsi="Calibri" w:cs="Calibri"/>
                <w:sz w:val="16"/>
                <w:szCs w:val="16"/>
              </w:rPr>
              <w:t>4.1%</w:t>
            </w:r>
          </w:p>
        </w:tc>
        <w:tc>
          <w:tcPr>
            <w:tcW w:w="779" w:type="dxa"/>
            <w:vAlign w:val="bottom"/>
          </w:tcPr>
          <w:p w:rsidR="00083D96" w:rsidRPr="00E0032D" w:rsidP="00573232" w14:paraId="14436F93" w14:textId="206F5980">
            <w:pPr>
              <w:jc w:val="center"/>
              <w:rPr>
                <w:rFonts w:ascii="Calibri" w:hAnsi="Calibri" w:cs="Calibri"/>
                <w:sz w:val="16"/>
                <w:szCs w:val="16"/>
              </w:rPr>
            </w:pPr>
            <w:r w:rsidRPr="00E0032D">
              <w:rPr>
                <w:rFonts w:ascii="Calibri" w:hAnsi="Calibri" w:cs="Calibri"/>
                <w:sz w:val="16"/>
                <w:szCs w:val="16"/>
              </w:rPr>
              <w:t>3.0%</w:t>
            </w:r>
          </w:p>
        </w:tc>
      </w:tr>
      <w:tr w14:paraId="5A302CED" w14:textId="77777777" w:rsidTr="00E818C3">
        <w:tblPrEx>
          <w:tblW w:w="8836" w:type="dxa"/>
          <w:tblInd w:w="520" w:type="dxa"/>
          <w:tblLayout w:type="fixed"/>
          <w:tblCellMar>
            <w:top w:w="14" w:type="dxa"/>
            <w:left w:w="58" w:type="dxa"/>
            <w:bottom w:w="14" w:type="dxa"/>
            <w:right w:w="58" w:type="dxa"/>
          </w:tblCellMar>
          <w:tblLook w:val="04A0"/>
        </w:tblPrEx>
        <w:trPr>
          <w:cantSplit/>
          <w:trHeight w:val="259"/>
        </w:trPr>
        <w:tc>
          <w:tcPr>
            <w:tcW w:w="508" w:type="dxa"/>
            <w:vMerge/>
            <w:textDirection w:val="btLr"/>
            <w:vAlign w:val="center"/>
          </w:tcPr>
          <w:p w:rsidR="00083D96" w:rsidRPr="00E0032D" w:rsidP="00573232" w14:paraId="607FAFF3" w14:textId="77777777">
            <w:pPr>
              <w:spacing w:line="216" w:lineRule="auto"/>
              <w:ind w:left="58" w:right="58"/>
              <w:jc w:val="center"/>
              <w:rPr>
                <w:rFonts w:ascii="Calibri" w:hAnsi="Calibri" w:cs="Calibri"/>
                <w:sz w:val="16"/>
                <w:szCs w:val="16"/>
              </w:rPr>
            </w:pPr>
          </w:p>
        </w:tc>
        <w:tc>
          <w:tcPr>
            <w:tcW w:w="2367" w:type="dxa"/>
            <w:tcBorders>
              <w:right w:val="single" w:sz="12" w:space="0" w:color="auto"/>
            </w:tcBorders>
            <w:vAlign w:val="center"/>
          </w:tcPr>
          <w:p w:rsidR="00083D96" w:rsidRPr="00E0032D" w:rsidP="00573232" w14:paraId="1D8DECEC" w14:textId="598B7A52">
            <w:pPr>
              <w:rPr>
                <w:rFonts w:ascii="Calibri" w:hAnsi="Calibri" w:cs="Calibri"/>
                <w:sz w:val="16"/>
                <w:szCs w:val="16"/>
              </w:rPr>
            </w:pPr>
            <w:r w:rsidRPr="00E0032D">
              <w:rPr>
                <w:rFonts w:ascii="Calibri" w:hAnsi="Calibri" w:cs="Calibri"/>
                <w:sz w:val="16"/>
                <w:szCs w:val="16"/>
              </w:rPr>
              <w:t>Low Participating or Not Enrolled</w:t>
            </w:r>
          </w:p>
        </w:tc>
        <w:tc>
          <w:tcPr>
            <w:tcW w:w="780" w:type="dxa"/>
            <w:tcBorders>
              <w:left w:val="single" w:sz="12" w:space="0" w:color="auto"/>
            </w:tcBorders>
            <w:vAlign w:val="center"/>
          </w:tcPr>
          <w:p w:rsidR="00083D96" w:rsidRPr="00E0032D" w:rsidP="00573232" w14:paraId="68C6E5EF" w14:textId="43C60C79">
            <w:pPr>
              <w:jc w:val="center"/>
              <w:rPr>
                <w:rFonts w:ascii="Calibri" w:hAnsi="Calibri" w:cs="Calibri"/>
                <w:sz w:val="16"/>
                <w:szCs w:val="16"/>
              </w:rPr>
            </w:pPr>
            <w:r w:rsidRPr="00E0032D">
              <w:rPr>
                <w:rFonts w:ascii="Calibri" w:hAnsi="Calibri" w:cs="Calibri"/>
                <w:sz w:val="16"/>
                <w:szCs w:val="16"/>
              </w:rPr>
              <w:t>4,604</w:t>
            </w:r>
          </w:p>
        </w:tc>
        <w:tc>
          <w:tcPr>
            <w:tcW w:w="510" w:type="dxa"/>
            <w:vAlign w:val="center"/>
          </w:tcPr>
          <w:p w:rsidR="00083D96" w:rsidRPr="00E0032D" w:rsidP="00573232" w14:paraId="316FF79D" w14:textId="4AD6C2B2">
            <w:pPr>
              <w:jc w:val="center"/>
              <w:rPr>
                <w:rFonts w:ascii="Calibri" w:hAnsi="Calibri" w:cs="Calibri"/>
                <w:sz w:val="16"/>
                <w:szCs w:val="16"/>
              </w:rPr>
            </w:pPr>
            <w:r w:rsidRPr="00E0032D">
              <w:rPr>
                <w:rFonts w:ascii="Calibri" w:hAnsi="Calibri" w:cs="Calibri"/>
                <w:sz w:val="16"/>
                <w:szCs w:val="16"/>
              </w:rPr>
              <w:t>150</w:t>
            </w:r>
          </w:p>
        </w:tc>
        <w:tc>
          <w:tcPr>
            <w:tcW w:w="778" w:type="dxa"/>
            <w:tcBorders>
              <w:left w:val="single" w:sz="12" w:space="0" w:color="auto"/>
            </w:tcBorders>
            <w:vAlign w:val="bottom"/>
          </w:tcPr>
          <w:p w:rsidR="00083D96" w:rsidRPr="00E0032D" w:rsidP="00573232" w14:paraId="1E42D092" w14:textId="447CE46C">
            <w:pPr>
              <w:jc w:val="center"/>
              <w:rPr>
                <w:rFonts w:ascii="Calibri" w:hAnsi="Calibri" w:cs="Calibri"/>
                <w:sz w:val="16"/>
                <w:szCs w:val="16"/>
              </w:rPr>
            </w:pPr>
            <w:r w:rsidRPr="00E0032D">
              <w:rPr>
                <w:rFonts w:ascii="Calibri" w:hAnsi="Calibri" w:cs="Calibri"/>
                <w:sz w:val="16"/>
                <w:szCs w:val="16"/>
              </w:rPr>
              <w:t>7.9%</w:t>
            </w:r>
          </w:p>
        </w:tc>
        <w:tc>
          <w:tcPr>
            <w:tcW w:w="779" w:type="dxa"/>
            <w:vAlign w:val="bottom"/>
          </w:tcPr>
          <w:p w:rsidR="00083D96" w:rsidRPr="00E0032D" w:rsidP="00573232" w14:paraId="0448318E" w14:textId="5BE76178">
            <w:pPr>
              <w:jc w:val="center"/>
              <w:rPr>
                <w:rFonts w:ascii="Calibri" w:hAnsi="Calibri" w:cs="Calibri"/>
                <w:sz w:val="16"/>
                <w:szCs w:val="16"/>
              </w:rPr>
            </w:pPr>
            <w:r w:rsidRPr="00E0032D">
              <w:rPr>
                <w:rFonts w:ascii="Calibri" w:hAnsi="Calibri" w:cs="Calibri"/>
                <w:sz w:val="16"/>
                <w:szCs w:val="16"/>
              </w:rPr>
              <w:t>7.7%</w:t>
            </w:r>
          </w:p>
        </w:tc>
        <w:tc>
          <w:tcPr>
            <w:tcW w:w="778" w:type="dxa"/>
            <w:vAlign w:val="bottom"/>
          </w:tcPr>
          <w:p w:rsidR="00083D96" w:rsidRPr="00E0032D" w:rsidP="00573232" w14:paraId="60A1D71F" w14:textId="62EC415B">
            <w:pPr>
              <w:jc w:val="center"/>
              <w:rPr>
                <w:rFonts w:ascii="Calibri" w:hAnsi="Calibri" w:cs="Calibri"/>
                <w:sz w:val="16"/>
                <w:szCs w:val="16"/>
              </w:rPr>
            </w:pPr>
            <w:r w:rsidRPr="00E0032D">
              <w:rPr>
                <w:rFonts w:ascii="Calibri" w:hAnsi="Calibri" w:cs="Calibri"/>
                <w:sz w:val="16"/>
                <w:szCs w:val="16"/>
              </w:rPr>
              <w:t>7.2%</w:t>
            </w:r>
          </w:p>
        </w:tc>
        <w:tc>
          <w:tcPr>
            <w:tcW w:w="779" w:type="dxa"/>
            <w:vAlign w:val="bottom"/>
          </w:tcPr>
          <w:p w:rsidR="00083D96" w:rsidRPr="00E0032D" w:rsidP="00573232" w14:paraId="3BC6A57E" w14:textId="7D302A7E">
            <w:pPr>
              <w:jc w:val="center"/>
              <w:rPr>
                <w:rFonts w:ascii="Calibri" w:hAnsi="Calibri" w:cs="Calibri"/>
                <w:sz w:val="16"/>
                <w:szCs w:val="16"/>
              </w:rPr>
            </w:pPr>
            <w:r w:rsidRPr="00E0032D">
              <w:rPr>
                <w:rFonts w:ascii="Calibri" w:hAnsi="Calibri" w:cs="Calibri"/>
                <w:sz w:val="16"/>
                <w:szCs w:val="16"/>
              </w:rPr>
              <w:t>6.3%</w:t>
            </w:r>
          </w:p>
        </w:tc>
        <w:tc>
          <w:tcPr>
            <w:tcW w:w="778" w:type="dxa"/>
            <w:vAlign w:val="bottom"/>
          </w:tcPr>
          <w:p w:rsidR="00083D96" w:rsidRPr="00E0032D" w:rsidP="00573232" w14:paraId="4EC79576" w14:textId="611CBE46">
            <w:pPr>
              <w:jc w:val="center"/>
              <w:rPr>
                <w:rFonts w:ascii="Calibri" w:hAnsi="Calibri" w:cs="Calibri"/>
                <w:sz w:val="16"/>
                <w:szCs w:val="16"/>
              </w:rPr>
            </w:pPr>
            <w:r w:rsidRPr="00E0032D">
              <w:rPr>
                <w:rFonts w:ascii="Calibri" w:hAnsi="Calibri" w:cs="Calibri"/>
                <w:sz w:val="16"/>
                <w:szCs w:val="16"/>
              </w:rPr>
              <w:t>4.7%</w:t>
            </w:r>
          </w:p>
        </w:tc>
        <w:tc>
          <w:tcPr>
            <w:tcW w:w="779" w:type="dxa"/>
            <w:vAlign w:val="bottom"/>
          </w:tcPr>
          <w:p w:rsidR="00083D96" w:rsidRPr="00E0032D" w:rsidP="00573232" w14:paraId="59BD9CAB" w14:textId="23DFCB67">
            <w:pPr>
              <w:jc w:val="center"/>
              <w:rPr>
                <w:rFonts w:ascii="Calibri" w:hAnsi="Calibri" w:cs="Calibri"/>
                <w:sz w:val="16"/>
                <w:szCs w:val="16"/>
              </w:rPr>
            </w:pPr>
            <w:r w:rsidRPr="00E0032D">
              <w:rPr>
                <w:rFonts w:ascii="Calibri" w:hAnsi="Calibri" w:cs="Calibri"/>
                <w:sz w:val="16"/>
                <w:szCs w:val="16"/>
              </w:rPr>
              <w:t>3.4%</w:t>
            </w:r>
          </w:p>
        </w:tc>
      </w:tr>
    </w:tbl>
    <w:p w:rsidR="0005704C" w:rsidRPr="008662EA" w:rsidP="00DC4585" w14:paraId="3DD7B244" w14:textId="51AA6146">
      <w:pPr>
        <w:spacing w:before="120"/>
        <w:ind w:left="734" w:hanging="187"/>
        <w:rPr>
          <w:i/>
          <w:sz w:val="20"/>
          <w:szCs w:val="20"/>
        </w:rPr>
      </w:pPr>
      <w:r w:rsidRPr="1C6BFF89">
        <w:rPr>
          <w:sz w:val="22"/>
          <w:vertAlign w:val="superscript"/>
        </w:rPr>
        <w:t>1</w:t>
      </w:r>
      <w:r w:rsidRPr="1C6BFF89">
        <w:rPr>
          <w:sz w:val="22"/>
        </w:rPr>
        <w:t xml:space="preserve"> </w:t>
      </w:r>
      <w:r w:rsidRPr="008662EA">
        <w:rPr>
          <w:i/>
          <w:sz w:val="20"/>
          <w:szCs w:val="20"/>
        </w:rPr>
        <w:t>Use of balancing methodology in the sample (described above) will result in slightly lower MOEs to the extent that the balancing criteria are predictors of survey responses</w:t>
      </w:r>
      <w:r w:rsidRPr="008662EA" w:rsidR="34A1794B">
        <w:rPr>
          <w:i/>
          <w:iCs/>
          <w:sz w:val="20"/>
          <w:szCs w:val="20"/>
        </w:rPr>
        <w:t>.</w:t>
      </w:r>
    </w:p>
    <w:p w:rsidR="00343127" w:rsidP="00631611" w14:paraId="7919B144" w14:textId="26C86E97">
      <w:pPr>
        <w:ind w:left="720"/>
      </w:pPr>
    </w:p>
    <w:p w:rsidR="00AA62A8" w:rsidP="00AA62A8" w14:paraId="68531DF6" w14:textId="4E75AB63">
      <w:pPr>
        <w:ind w:left="720"/>
      </w:pPr>
      <w:r>
        <w:t>For</w:t>
      </w:r>
      <w:r w:rsidR="00755728">
        <w:t xml:space="preserve"> the</w:t>
      </w:r>
      <w:r>
        <w:t xml:space="preserve"> Outpatient Clinician Survey, </w:t>
      </w:r>
      <w:r>
        <w:t xml:space="preserve">the sample </w:t>
      </w:r>
      <w:r w:rsidR="00027441">
        <w:t xml:space="preserve">of 450 for each stratum </w:t>
      </w:r>
      <w:r>
        <w:t xml:space="preserve">will be proportionate, yielding an MOE of +/- 4.6%. Due to the large population of providers in each stratum, a population size adjustment has an inconsequential effect on the </w:t>
      </w:r>
      <w:r>
        <w:t>results. Table 2b shows the planned MOEs for different levels of estimates under these sample plans for the total sample of 900 and for the subsample of participating and non-participating providers. The MOEs are corrected for their finite populations. Due to the disproportional sampling for providers, a weight adjusted sample of 491 is used for the combined MOE. The maximum value is at 50% with a maximum margin of error of ±4.4%  for both surveys when examining combined results. The MOEs do not take into account any correction for the design effect resulting from the balancing methodology or if IEC applies weights to correct for differential unit non-response.</w:t>
      </w:r>
    </w:p>
    <w:p w:rsidR="00D743C0" w:rsidRPr="009F042E" w:rsidP="00D743C0" w14:paraId="4F4C1B87" w14:textId="208B72DA">
      <w:pPr>
        <w:pStyle w:val="Caption"/>
        <w:rPr>
          <w:b w:val="0"/>
          <w:bCs/>
          <w:vertAlign w:val="superscript"/>
        </w:rPr>
      </w:pPr>
      <w:r w:rsidRPr="00E818C3">
        <w:rPr>
          <w:b w:val="0"/>
          <w:bCs/>
        </w:rPr>
        <w:t xml:space="preserve">Table 2b: Sample Size, Estimated </w:t>
      </w:r>
      <w:r w:rsidRPr="00E818C3" w:rsidR="009D4C96">
        <w:rPr>
          <w:b w:val="0"/>
          <w:bCs/>
        </w:rPr>
        <w:t>M</w:t>
      </w:r>
      <w:r w:rsidRPr="00E818C3">
        <w:rPr>
          <w:b w:val="0"/>
          <w:bCs/>
        </w:rPr>
        <w:t>OE</w:t>
      </w:r>
      <w:r w:rsidRPr="00E818C3">
        <w:rPr>
          <w:b w:val="0"/>
          <w:bCs/>
          <w:vertAlign w:val="superscript"/>
        </w:rPr>
        <w:t>1</w:t>
      </w:r>
      <w:r w:rsidRPr="00E818C3">
        <w:rPr>
          <w:b w:val="0"/>
          <w:bCs/>
          <w:vertAlign w:val="superscript"/>
        </w:rPr>
        <w:t xml:space="preserve"> </w:t>
      </w:r>
      <w:r w:rsidRPr="00E818C3" w:rsidR="0052390C">
        <w:rPr>
          <w:b w:val="0"/>
          <w:bCs/>
        </w:rPr>
        <w:t xml:space="preserve"> for </w:t>
      </w:r>
      <w:r w:rsidRPr="00E818C3" w:rsidR="009D4C96">
        <w:rPr>
          <w:b w:val="0"/>
          <w:bCs/>
        </w:rPr>
        <w:t xml:space="preserve">Outpatient </w:t>
      </w:r>
      <w:r w:rsidRPr="00E818C3">
        <w:rPr>
          <w:b w:val="0"/>
          <w:bCs/>
        </w:rPr>
        <w:t>Clinician</w:t>
      </w:r>
      <w:r w:rsidRPr="00E818C3" w:rsidR="0052390C">
        <w:rPr>
          <w:b w:val="0"/>
          <w:bCs/>
        </w:rPr>
        <w:t xml:space="preserve"> Survey</w:t>
      </w:r>
    </w:p>
    <w:tbl>
      <w:tblPr>
        <w:tblW w:w="0" w:type="auto"/>
        <w:tblInd w:w="524" w:type="dxa"/>
        <w:tblCellMar>
          <w:left w:w="0" w:type="dxa"/>
          <w:right w:w="0" w:type="dxa"/>
        </w:tblCellMar>
        <w:tblLook w:val="04A0"/>
      </w:tblPr>
      <w:tblGrid>
        <w:gridCol w:w="1011"/>
        <w:gridCol w:w="1333"/>
        <w:gridCol w:w="1079"/>
        <w:gridCol w:w="876"/>
        <w:gridCol w:w="698"/>
        <w:gridCol w:w="731"/>
        <w:gridCol w:w="773"/>
        <w:gridCol w:w="774"/>
        <w:gridCol w:w="773"/>
        <w:gridCol w:w="768"/>
      </w:tblGrid>
      <w:tr w14:paraId="33DD9225" w14:textId="77777777" w:rsidTr="009F042E">
        <w:tblPrEx>
          <w:tblW w:w="0" w:type="auto"/>
          <w:tblInd w:w="524" w:type="dxa"/>
          <w:tblCellMar>
            <w:left w:w="0" w:type="dxa"/>
            <w:right w:w="0" w:type="dxa"/>
          </w:tblCellMar>
          <w:tblLook w:val="04A0"/>
        </w:tblPrEx>
        <w:trPr>
          <w:cantSplit/>
          <w:trHeight w:val="768"/>
        </w:trPr>
        <w:tc>
          <w:tcPr>
            <w:tcW w:w="1012" w:type="dxa"/>
            <w:vMerge w:val="restart"/>
            <w:tcBorders>
              <w:top w:val="single" w:sz="8" w:space="0" w:color="auto"/>
              <w:left w:val="single" w:sz="8" w:space="0" w:color="auto"/>
              <w:bottom w:val="single" w:sz="8" w:space="0" w:color="auto"/>
              <w:right w:val="single" w:sz="8" w:space="0" w:color="auto"/>
            </w:tcBorders>
            <w:shd w:val="clear" w:color="auto" w:fill="D0CECE"/>
            <w:tcMar>
              <w:top w:w="14" w:type="dxa"/>
              <w:left w:w="58" w:type="dxa"/>
              <w:bottom w:w="14" w:type="dxa"/>
              <w:right w:w="58" w:type="dxa"/>
            </w:tcMar>
            <w:vAlign w:val="bottom"/>
          </w:tcPr>
          <w:p w:rsidR="00083D96" w:rsidRPr="00E0032D" w:rsidP="000E7AC7" w14:paraId="1A8494BD" w14:textId="77777777">
            <w:pPr>
              <w:spacing w:line="252" w:lineRule="auto"/>
              <w:jc w:val="center"/>
              <w:rPr>
                <w:rFonts w:ascii="Calibri" w:hAnsi="Calibri" w:cs="Calibri"/>
                <w:sz w:val="16"/>
                <w:szCs w:val="16"/>
                <w:lang w:eastAsia="zh-TW"/>
              </w:rPr>
            </w:pPr>
          </w:p>
        </w:tc>
        <w:tc>
          <w:tcPr>
            <w:tcW w:w="1334" w:type="dxa"/>
            <w:vMerge w:val="restart"/>
            <w:tcBorders>
              <w:top w:val="single" w:sz="8" w:space="0" w:color="auto"/>
              <w:left w:val="nil"/>
              <w:bottom w:val="single" w:sz="8" w:space="0" w:color="auto"/>
              <w:right w:val="single" w:sz="8" w:space="0" w:color="auto"/>
            </w:tcBorders>
            <w:shd w:val="clear" w:color="auto" w:fill="D0CECE"/>
            <w:tcMar>
              <w:top w:w="14" w:type="dxa"/>
              <w:left w:w="58" w:type="dxa"/>
              <w:bottom w:w="14" w:type="dxa"/>
              <w:right w:w="58" w:type="dxa"/>
            </w:tcMar>
            <w:vAlign w:val="bottom"/>
            <w:hideMark/>
          </w:tcPr>
          <w:p w:rsidR="00083D96" w:rsidRPr="00E0032D" w:rsidP="000E7AC7" w14:paraId="6B4AC497" w14:textId="77777777">
            <w:pPr>
              <w:spacing w:before="40" w:after="40" w:line="252" w:lineRule="auto"/>
              <w:rPr>
                <w:rFonts w:ascii="Calibri" w:hAnsi="Calibri" w:cs="Calibri"/>
                <w:b/>
                <w:bCs/>
                <w:sz w:val="16"/>
                <w:szCs w:val="16"/>
                <w:lang w:eastAsia="zh-TW"/>
              </w:rPr>
            </w:pPr>
            <w:r w:rsidRPr="00E0032D">
              <w:rPr>
                <w:rFonts w:ascii="Calibri" w:hAnsi="Calibri" w:cs="Calibri"/>
                <w:b/>
                <w:bCs/>
                <w:color w:val="000000"/>
                <w:sz w:val="16"/>
                <w:szCs w:val="16"/>
                <w:lang w:eastAsia="zh-TW"/>
              </w:rPr>
              <w:t>Population</w:t>
            </w:r>
          </w:p>
        </w:tc>
        <w:tc>
          <w:tcPr>
            <w:tcW w:w="1080" w:type="dxa"/>
            <w:vMerge w:val="restart"/>
            <w:tcBorders>
              <w:top w:val="single" w:sz="8" w:space="0" w:color="auto"/>
              <w:left w:val="nil"/>
              <w:bottom w:val="single" w:sz="8" w:space="0" w:color="auto"/>
              <w:right w:val="single" w:sz="8" w:space="0" w:color="auto"/>
            </w:tcBorders>
            <w:shd w:val="clear" w:color="auto" w:fill="D0CECE"/>
            <w:tcMar>
              <w:top w:w="14" w:type="dxa"/>
              <w:left w:w="58" w:type="dxa"/>
              <w:bottom w:w="14" w:type="dxa"/>
              <w:right w:w="58" w:type="dxa"/>
            </w:tcMar>
            <w:textDirection w:val="btLr"/>
            <w:vAlign w:val="center"/>
            <w:hideMark/>
          </w:tcPr>
          <w:p w:rsidR="00083D96" w:rsidRPr="00E0032D" w:rsidP="000E7AC7" w14:paraId="2E64BBF5" w14:textId="77777777">
            <w:pPr>
              <w:spacing w:line="252" w:lineRule="auto"/>
              <w:ind w:left="58" w:right="58"/>
              <w:rPr>
                <w:rFonts w:ascii="Calibri" w:hAnsi="Calibri" w:cs="Calibri"/>
                <w:b/>
                <w:bCs/>
                <w:sz w:val="16"/>
                <w:szCs w:val="16"/>
                <w:lang w:eastAsia="zh-TW"/>
              </w:rPr>
            </w:pPr>
            <w:r w:rsidRPr="00E0032D">
              <w:rPr>
                <w:rFonts w:ascii="Calibri" w:hAnsi="Calibri" w:cs="Calibri"/>
                <w:b/>
                <w:bCs/>
                <w:color w:val="000000"/>
                <w:sz w:val="16"/>
                <w:szCs w:val="16"/>
                <w:lang w:eastAsia="zh-TW"/>
              </w:rPr>
              <w:t>Estimated Population</w:t>
            </w:r>
          </w:p>
        </w:tc>
        <w:tc>
          <w:tcPr>
            <w:tcW w:w="877" w:type="dxa"/>
            <w:vMerge w:val="restart"/>
            <w:tcBorders>
              <w:top w:val="single" w:sz="8" w:space="0" w:color="auto"/>
              <w:left w:val="nil"/>
              <w:bottom w:val="single" w:sz="8" w:space="0" w:color="auto"/>
              <w:right w:val="single" w:sz="8" w:space="0" w:color="auto"/>
            </w:tcBorders>
            <w:shd w:val="clear" w:color="auto" w:fill="D0CECE"/>
            <w:tcMar>
              <w:top w:w="14" w:type="dxa"/>
              <w:left w:w="58" w:type="dxa"/>
              <w:bottom w:w="14" w:type="dxa"/>
              <w:right w:w="58" w:type="dxa"/>
            </w:tcMar>
            <w:textDirection w:val="btLr"/>
            <w:vAlign w:val="center"/>
            <w:hideMark/>
          </w:tcPr>
          <w:p w:rsidR="00083D96" w:rsidRPr="00E0032D" w:rsidP="000E7AC7" w14:paraId="698B7D71" w14:textId="77777777">
            <w:pPr>
              <w:spacing w:line="252" w:lineRule="auto"/>
              <w:ind w:left="58" w:right="58"/>
              <w:rPr>
                <w:rFonts w:ascii="Calibri" w:hAnsi="Calibri" w:cs="Calibri"/>
                <w:b/>
                <w:bCs/>
                <w:sz w:val="16"/>
                <w:szCs w:val="16"/>
                <w:lang w:eastAsia="zh-TW"/>
              </w:rPr>
            </w:pPr>
            <w:r w:rsidRPr="00E0032D">
              <w:rPr>
                <w:rFonts w:ascii="Calibri" w:hAnsi="Calibri" w:cs="Calibri"/>
                <w:b/>
                <w:bCs/>
                <w:color w:val="000000"/>
                <w:sz w:val="16"/>
                <w:szCs w:val="16"/>
                <w:lang w:eastAsia="zh-TW"/>
              </w:rPr>
              <w:t>Sample Size</w:t>
            </w:r>
          </w:p>
        </w:tc>
        <w:tc>
          <w:tcPr>
            <w:tcW w:w="4511" w:type="dxa"/>
            <w:gridSpan w:val="6"/>
            <w:tcBorders>
              <w:top w:val="single" w:sz="8" w:space="0" w:color="auto"/>
              <w:left w:val="nil"/>
              <w:bottom w:val="single" w:sz="8" w:space="0" w:color="auto"/>
              <w:right w:val="single" w:sz="8" w:space="0" w:color="auto"/>
            </w:tcBorders>
            <w:shd w:val="clear" w:color="auto" w:fill="D0CECE"/>
            <w:tcMar>
              <w:top w:w="14" w:type="dxa"/>
              <w:left w:w="58" w:type="dxa"/>
              <w:bottom w:w="14" w:type="dxa"/>
              <w:right w:w="58" w:type="dxa"/>
            </w:tcMar>
            <w:vAlign w:val="bottom"/>
            <w:hideMark/>
          </w:tcPr>
          <w:p w:rsidR="00083D96" w:rsidRPr="00E0032D" w:rsidP="000E7AC7" w14:paraId="031928F8" w14:textId="77777777">
            <w:pPr>
              <w:spacing w:before="40" w:after="40" w:line="252" w:lineRule="auto"/>
              <w:jc w:val="center"/>
              <w:rPr>
                <w:rFonts w:ascii="Calibri" w:hAnsi="Calibri" w:cs="Calibri"/>
                <w:b/>
                <w:bCs/>
                <w:sz w:val="16"/>
                <w:szCs w:val="16"/>
                <w:lang w:eastAsia="zh-TW"/>
              </w:rPr>
            </w:pPr>
            <w:r w:rsidRPr="00E0032D">
              <w:rPr>
                <w:rFonts w:ascii="Calibri" w:hAnsi="Calibri" w:cs="Calibri"/>
                <w:b/>
                <w:bCs/>
                <w:color w:val="000000"/>
                <w:sz w:val="16"/>
                <w:szCs w:val="16"/>
                <w:lang w:eastAsia="zh-TW"/>
              </w:rPr>
              <w:t>Margin of Error at Given Proportion</w:t>
            </w:r>
          </w:p>
        </w:tc>
      </w:tr>
      <w:tr w14:paraId="5B82EED8" w14:textId="77777777" w:rsidTr="009F042E">
        <w:tblPrEx>
          <w:tblW w:w="0" w:type="auto"/>
          <w:tblInd w:w="524" w:type="dxa"/>
          <w:tblCellMar>
            <w:left w:w="0" w:type="dxa"/>
            <w:right w:w="0" w:type="dxa"/>
          </w:tblCellMar>
          <w:tblLook w:val="04A0"/>
        </w:tblPrEx>
        <w:trPr>
          <w:cantSplit/>
          <w:trHeight w:val="31"/>
        </w:trPr>
        <w:tc>
          <w:tcPr>
            <w:tcW w:w="0" w:type="auto"/>
            <w:vMerge/>
            <w:tcBorders>
              <w:top w:val="single" w:sz="8" w:space="0" w:color="auto"/>
              <w:left w:val="single" w:sz="8" w:space="0" w:color="auto"/>
              <w:bottom w:val="single" w:sz="8" w:space="0" w:color="auto"/>
              <w:right w:val="single" w:sz="8" w:space="0" w:color="auto"/>
            </w:tcBorders>
            <w:vAlign w:val="center"/>
            <w:hideMark/>
          </w:tcPr>
          <w:p w:rsidR="00083D96" w:rsidRPr="00E0032D" w:rsidP="000E7AC7" w14:paraId="3E8CAA3D" w14:textId="77777777">
            <w:pPr>
              <w:rPr>
                <w:rFonts w:ascii="Calibri" w:hAnsi="Calibri" w:cs="Calibri"/>
                <w:sz w:val="16"/>
                <w:szCs w:val="16"/>
                <w:lang w:eastAsia="zh-TW"/>
              </w:rPr>
            </w:pPr>
          </w:p>
        </w:tc>
        <w:tc>
          <w:tcPr>
            <w:tcW w:w="1334" w:type="dxa"/>
            <w:vMerge/>
            <w:tcBorders>
              <w:top w:val="single" w:sz="8" w:space="0" w:color="auto"/>
              <w:left w:val="nil"/>
              <w:bottom w:val="single" w:sz="8" w:space="0" w:color="auto"/>
              <w:right w:val="single" w:sz="8" w:space="0" w:color="auto"/>
            </w:tcBorders>
            <w:vAlign w:val="center"/>
            <w:hideMark/>
          </w:tcPr>
          <w:p w:rsidR="00083D96" w:rsidRPr="00E0032D" w:rsidP="000E7AC7" w14:paraId="356BA9F9" w14:textId="77777777">
            <w:pPr>
              <w:rPr>
                <w:rFonts w:ascii="Calibri" w:hAnsi="Calibri" w:cs="Calibri"/>
                <w:b/>
                <w:bCs/>
                <w:sz w:val="16"/>
                <w:szCs w:val="16"/>
                <w:lang w:eastAsia="zh-TW"/>
              </w:rPr>
            </w:pPr>
          </w:p>
        </w:tc>
        <w:tc>
          <w:tcPr>
            <w:tcW w:w="1080" w:type="dxa"/>
            <w:vMerge/>
            <w:tcBorders>
              <w:top w:val="single" w:sz="8" w:space="0" w:color="auto"/>
              <w:left w:val="nil"/>
              <w:bottom w:val="single" w:sz="8" w:space="0" w:color="auto"/>
              <w:right w:val="single" w:sz="8" w:space="0" w:color="auto"/>
            </w:tcBorders>
            <w:vAlign w:val="center"/>
            <w:hideMark/>
          </w:tcPr>
          <w:p w:rsidR="00083D96" w:rsidRPr="00E0032D" w:rsidP="000E7AC7" w14:paraId="7E6477B1" w14:textId="77777777">
            <w:pPr>
              <w:rPr>
                <w:rFonts w:ascii="Calibri" w:hAnsi="Calibri" w:cs="Calibri"/>
                <w:b/>
                <w:bCs/>
                <w:sz w:val="16"/>
                <w:szCs w:val="16"/>
                <w:lang w:eastAsia="zh-TW"/>
              </w:rPr>
            </w:pPr>
          </w:p>
        </w:tc>
        <w:tc>
          <w:tcPr>
            <w:tcW w:w="877" w:type="dxa"/>
            <w:vMerge/>
            <w:tcBorders>
              <w:top w:val="single" w:sz="8" w:space="0" w:color="auto"/>
              <w:left w:val="nil"/>
              <w:bottom w:val="single" w:sz="8" w:space="0" w:color="auto"/>
              <w:right w:val="single" w:sz="8" w:space="0" w:color="auto"/>
            </w:tcBorders>
            <w:vAlign w:val="center"/>
            <w:hideMark/>
          </w:tcPr>
          <w:p w:rsidR="00083D96" w:rsidRPr="00E0032D" w:rsidP="000E7AC7" w14:paraId="6F50B104" w14:textId="77777777">
            <w:pPr>
              <w:rPr>
                <w:rFonts w:ascii="Calibri" w:hAnsi="Calibri" w:cs="Calibri"/>
                <w:b/>
                <w:bCs/>
                <w:sz w:val="16"/>
                <w:szCs w:val="16"/>
                <w:lang w:eastAsia="zh-TW"/>
              </w:rPr>
            </w:pPr>
          </w:p>
        </w:tc>
        <w:tc>
          <w:tcPr>
            <w:tcW w:w="698" w:type="dxa"/>
            <w:tcBorders>
              <w:top w:val="nil"/>
              <w:left w:val="nil"/>
              <w:bottom w:val="single" w:sz="8" w:space="0" w:color="auto"/>
              <w:right w:val="single" w:sz="8" w:space="0" w:color="auto"/>
            </w:tcBorders>
            <w:shd w:val="clear" w:color="auto" w:fill="3B3838"/>
            <w:tcMar>
              <w:top w:w="14" w:type="dxa"/>
              <w:left w:w="58" w:type="dxa"/>
              <w:bottom w:w="14" w:type="dxa"/>
              <w:right w:w="58" w:type="dxa"/>
            </w:tcMar>
            <w:hideMark/>
          </w:tcPr>
          <w:p w:rsidR="00083D96" w:rsidRPr="00E0032D" w:rsidP="000E7AC7" w14:paraId="7AD79828" w14:textId="77777777">
            <w:pPr>
              <w:spacing w:before="40" w:after="40" w:line="252" w:lineRule="auto"/>
              <w:jc w:val="center"/>
              <w:rPr>
                <w:rFonts w:ascii="Calibri" w:hAnsi="Calibri" w:cs="Calibri"/>
                <w:b/>
                <w:bCs/>
                <w:color w:val="FFFFFF"/>
                <w:sz w:val="16"/>
                <w:szCs w:val="16"/>
                <w:lang w:eastAsia="zh-TW"/>
              </w:rPr>
            </w:pPr>
            <w:r w:rsidRPr="00E0032D">
              <w:rPr>
                <w:rFonts w:ascii="Calibri" w:hAnsi="Calibri" w:cs="Calibri"/>
                <w:b/>
                <w:bCs/>
                <w:color w:val="FFFFFF"/>
                <w:sz w:val="16"/>
                <w:szCs w:val="16"/>
                <w:lang w:eastAsia="zh-TW"/>
              </w:rPr>
              <w:t>50%</w:t>
            </w:r>
          </w:p>
        </w:tc>
        <w:tc>
          <w:tcPr>
            <w:tcW w:w="725" w:type="dxa"/>
            <w:tcBorders>
              <w:top w:val="nil"/>
              <w:left w:val="nil"/>
              <w:bottom w:val="single" w:sz="8" w:space="0" w:color="auto"/>
              <w:right w:val="single" w:sz="8" w:space="0" w:color="auto"/>
            </w:tcBorders>
            <w:shd w:val="clear" w:color="auto" w:fill="767171"/>
            <w:tcMar>
              <w:top w:w="14" w:type="dxa"/>
              <w:left w:w="58" w:type="dxa"/>
              <w:bottom w:w="14" w:type="dxa"/>
              <w:right w:w="58" w:type="dxa"/>
            </w:tcMar>
            <w:hideMark/>
          </w:tcPr>
          <w:p w:rsidR="00083D96" w:rsidRPr="00E0032D" w:rsidP="000E7AC7" w14:paraId="3BF52846" w14:textId="77777777">
            <w:pPr>
              <w:spacing w:before="40" w:after="40" w:line="252" w:lineRule="auto"/>
              <w:jc w:val="center"/>
              <w:rPr>
                <w:rFonts w:ascii="Calibri" w:hAnsi="Calibri" w:cs="Calibri"/>
                <w:color w:val="FFFFFF"/>
                <w:sz w:val="16"/>
                <w:szCs w:val="16"/>
                <w:lang w:eastAsia="zh-TW"/>
              </w:rPr>
            </w:pPr>
            <w:r w:rsidRPr="00E0032D">
              <w:rPr>
                <w:rFonts w:ascii="Calibri" w:hAnsi="Calibri" w:cs="Calibri"/>
                <w:color w:val="FFFFFF"/>
                <w:sz w:val="16"/>
                <w:szCs w:val="16"/>
                <w:lang w:eastAsia="zh-TW"/>
              </w:rPr>
              <w:t>40%/60%</w:t>
            </w:r>
          </w:p>
        </w:tc>
        <w:tc>
          <w:tcPr>
            <w:tcW w:w="773" w:type="dxa"/>
            <w:tcBorders>
              <w:top w:val="nil"/>
              <w:left w:val="nil"/>
              <w:bottom w:val="single" w:sz="8" w:space="0" w:color="auto"/>
              <w:right w:val="single" w:sz="8" w:space="0" w:color="auto"/>
            </w:tcBorders>
            <w:shd w:val="clear" w:color="auto" w:fill="767171"/>
            <w:tcMar>
              <w:top w:w="14" w:type="dxa"/>
              <w:left w:w="58" w:type="dxa"/>
              <w:bottom w:w="14" w:type="dxa"/>
              <w:right w:w="58" w:type="dxa"/>
            </w:tcMar>
            <w:hideMark/>
          </w:tcPr>
          <w:p w:rsidR="00083D96" w:rsidRPr="00E0032D" w:rsidP="000E7AC7" w14:paraId="4716D514" w14:textId="77777777">
            <w:pPr>
              <w:spacing w:before="40" w:after="40" w:line="252" w:lineRule="auto"/>
              <w:jc w:val="center"/>
              <w:rPr>
                <w:rFonts w:ascii="Calibri" w:hAnsi="Calibri" w:cs="Calibri"/>
                <w:color w:val="FFFFFF"/>
                <w:sz w:val="16"/>
                <w:szCs w:val="16"/>
                <w:lang w:eastAsia="zh-TW"/>
              </w:rPr>
            </w:pPr>
            <w:r w:rsidRPr="00E0032D">
              <w:rPr>
                <w:rFonts w:ascii="Calibri" w:hAnsi="Calibri" w:cs="Calibri"/>
                <w:color w:val="FFFFFF"/>
                <w:sz w:val="16"/>
                <w:szCs w:val="16"/>
                <w:lang w:eastAsia="zh-TW"/>
              </w:rPr>
              <w:t>30%/70%</w:t>
            </w:r>
          </w:p>
        </w:tc>
        <w:tc>
          <w:tcPr>
            <w:tcW w:w="774" w:type="dxa"/>
            <w:tcBorders>
              <w:top w:val="nil"/>
              <w:left w:val="nil"/>
              <w:bottom w:val="single" w:sz="8" w:space="0" w:color="auto"/>
              <w:right w:val="single" w:sz="8" w:space="0" w:color="auto"/>
            </w:tcBorders>
            <w:shd w:val="clear" w:color="auto" w:fill="767171"/>
            <w:tcMar>
              <w:top w:w="14" w:type="dxa"/>
              <w:left w:w="58" w:type="dxa"/>
              <w:bottom w:w="14" w:type="dxa"/>
              <w:right w:w="58" w:type="dxa"/>
            </w:tcMar>
            <w:hideMark/>
          </w:tcPr>
          <w:p w:rsidR="00083D96" w:rsidRPr="00E0032D" w:rsidP="000E7AC7" w14:paraId="51F93D53" w14:textId="77777777">
            <w:pPr>
              <w:spacing w:before="40" w:after="40" w:line="252" w:lineRule="auto"/>
              <w:jc w:val="center"/>
              <w:rPr>
                <w:rFonts w:ascii="Calibri" w:hAnsi="Calibri" w:cs="Calibri"/>
                <w:color w:val="FFFFFF"/>
                <w:sz w:val="16"/>
                <w:szCs w:val="16"/>
                <w:lang w:eastAsia="zh-TW"/>
              </w:rPr>
            </w:pPr>
            <w:r w:rsidRPr="00E0032D">
              <w:rPr>
                <w:rFonts w:ascii="Calibri" w:hAnsi="Calibri" w:cs="Calibri"/>
                <w:color w:val="FFFFFF"/>
                <w:sz w:val="16"/>
                <w:szCs w:val="16"/>
                <w:lang w:eastAsia="zh-TW"/>
              </w:rPr>
              <w:t>20%/80%</w:t>
            </w:r>
          </w:p>
        </w:tc>
        <w:tc>
          <w:tcPr>
            <w:tcW w:w="773" w:type="dxa"/>
            <w:tcBorders>
              <w:top w:val="nil"/>
              <w:left w:val="nil"/>
              <w:bottom w:val="single" w:sz="8" w:space="0" w:color="auto"/>
              <w:right w:val="single" w:sz="8" w:space="0" w:color="auto"/>
            </w:tcBorders>
            <w:shd w:val="clear" w:color="auto" w:fill="767171"/>
            <w:tcMar>
              <w:top w:w="14" w:type="dxa"/>
              <w:left w:w="58" w:type="dxa"/>
              <w:bottom w:w="14" w:type="dxa"/>
              <w:right w:w="58" w:type="dxa"/>
            </w:tcMar>
            <w:hideMark/>
          </w:tcPr>
          <w:p w:rsidR="00083D96" w:rsidRPr="00E0032D" w:rsidP="000E7AC7" w14:paraId="61B289EB" w14:textId="77777777">
            <w:pPr>
              <w:spacing w:before="40" w:after="40" w:line="252" w:lineRule="auto"/>
              <w:jc w:val="center"/>
              <w:rPr>
                <w:rFonts w:ascii="Calibri" w:hAnsi="Calibri" w:cs="Calibri"/>
                <w:color w:val="FFFFFF"/>
                <w:sz w:val="16"/>
                <w:szCs w:val="16"/>
                <w:lang w:eastAsia="zh-TW"/>
              </w:rPr>
            </w:pPr>
            <w:r w:rsidRPr="00E0032D">
              <w:rPr>
                <w:rFonts w:ascii="Calibri" w:hAnsi="Calibri" w:cs="Calibri"/>
                <w:color w:val="FFFFFF"/>
                <w:sz w:val="16"/>
                <w:szCs w:val="16"/>
                <w:lang w:eastAsia="zh-TW"/>
              </w:rPr>
              <w:t>10%/90%</w:t>
            </w:r>
          </w:p>
        </w:tc>
        <w:tc>
          <w:tcPr>
            <w:tcW w:w="768" w:type="dxa"/>
            <w:tcBorders>
              <w:top w:val="nil"/>
              <w:left w:val="nil"/>
              <w:bottom w:val="single" w:sz="8" w:space="0" w:color="auto"/>
              <w:right w:val="single" w:sz="8" w:space="0" w:color="auto"/>
            </w:tcBorders>
            <w:shd w:val="clear" w:color="auto" w:fill="767171"/>
            <w:tcMar>
              <w:top w:w="14" w:type="dxa"/>
              <w:left w:w="58" w:type="dxa"/>
              <w:bottom w:w="14" w:type="dxa"/>
              <w:right w:w="58" w:type="dxa"/>
            </w:tcMar>
            <w:hideMark/>
          </w:tcPr>
          <w:p w:rsidR="00083D96" w:rsidRPr="00E0032D" w:rsidP="000E7AC7" w14:paraId="1961E460" w14:textId="77777777">
            <w:pPr>
              <w:spacing w:before="40" w:after="40" w:line="252" w:lineRule="auto"/>
              <w:jc w:val="center"/>
              <w:rPr>
                <w:rFonts w:ascii="Calibri" w:hAnsi="Calibri" w:cs="Calibri"/>
                <w:color w:val="FFFFFF"/>
                <w:sz w:val="16"/>
                <w:szCs w:val="16"/>
                <w:lang w:eastAsia="zh-TW"/>
              </w:rPr>
            </w:pPr>
            <w:r w:rsidRPr="00E0032D">
              <w:rPr>
                <w:rFonts w:ascii="Calibri" w:hAnsi="Calibri" w:cs="Calibri"/>
                <w:color w:val="FFFFFF"/>
                <w:sz w:val="16"/>
                <w:szCs w:val="16"/>
                <w:lang w:eastAsia="zh-TW"/>
              </w:rPr>
              <w:t>5%/95%</w:t>
            </w:r>
          </w:p>
        </w:tc>
      </w:tr>
      <w:tr w14:paraId="3E4200A4" w14:textId="77777777" w:rsidTr="009F042E">
        <w:tblPrEx>
          <w:tblW w:w="0" w:type="auto"/>
          <w:tblInd w:w="524" w:type="dxa"/>
          <w:tblCellMar>
            <w:left w:w="0" w:type="dxa"/>
            <w:right w:w="0" w:type="dxa"/>
          </w:tblCellMar>
          <w:tblLook w:val="04A0"/>
        </w:tblPrEx>
        <w:trPr>
          <w:cantSplit/>
          <w:trHeight w:val="300"/>
        </w:trPr>
        <w:tc>
          <w:tcPr>
            <w:tcW w:w="1012" w:type="dxa"/>
            <w:vMerge w:val="restart"/>
            <w:tcBorders>
              <w:top w:val="nil"/>
              <w:left w:val="single" w:sz="8" w:space="0" w:color="auto"/>
              <w:bottom w:val="single" w:sz="8" w:space="0" w:color="auto"/>
              <w:right w:val="single" w:sz="8" w:space="0" w:color="auto"/>
            </w:tcBorders>
            <w:tcMar>
              <w:top w:w="14" w:type="dxa"/>
              <w:left w:w="58" w:type="dxa"/>
              <w:bottom w:w="14" w:type="dxa"/>
              <w:right w:w="58" w:type="dxa"/>
            </w:tcMar>
            <w:textDirection w:val="btLr"/>
            <w:vAlign w:val="center"/>
            <w:hideMark/>
          </w:tcPr>
          <w:p w:rsidR="00083D96" w:rsidRPr="00E0032D" w:rsidP="000E7AC7" w14:paraId="4911C89B" w14:textId="77777777">
            <w:pPr>
              <w:spacing w:line="216" w:lineRule="auto"/>
              <w:ind w:left="58" w:right="58"/>
              <w:jc w:val="center"/>
              <w:rPr>
                <w:rFonts w:ascii="Calibri" w:hAnsi="Calibri" w:cs="Calibri"/>
                <w:b/>
                <w:bCs/>
                <w:sz w:val="16"/>
                <w:szCs w:val="16"/>
                <w:lang w:eastAsia="zh-TW"/>
              </w:rPr>
            </w:pPr>
            <w:r w:rsidRPr="00E0032D">
              <w:rPr>
                <w:rFonts w:ascii="Calibri" w:hAnsi="Calibri" w:cs="Calibri"/>
                <w:b/>
                <w:bCs/>
                <w:sz w:val="13"/>
                <w:szCs w:val="13"/>
                <w:lang w:eastAsia="zh-TW"/>
              </w:rPr>
              <w:t>Outpatient Clinic</w:t>
            </w:r>
            <w:r w:rsidRPr="00E0032D">
              <w:rPr>
                <w:rFonts w:ascii="Calibri" w:hAnsi="Calibri" w:cs="Calibri"/>
                <w:b/>
                <w:bCs/>
                <w:sz w:val="16"/>
                <w:szCs w:val="16"/>
                <w:lang w:eastAsia="zh-TW"/>
              </w:rPr>
              <w:t>ian</w:t>
            </w:r>
          </w:p>
        </w:tc>
        <w:tc>
          <w:tcPr>
            <w:tcW w:w="1334" w:type="dxa"/>
            <w:tcBorders>
              <w:top w:val="nil"/>
              <w:left w:val="nil"/>
              <w:bottom w:val="single" w:sz="8" w:space="0" w:color="auto"/>
              <w:right w:val="single" w:sz="8" w:space="0" w:color="auto"/>
            </w:tcBorders>
            <w:tcMar>
              <w:top w:w="14" w:type="dxa"/>
              <w:left w:w="58" w:type="dxa"/>
              <w:bottom w:w="14" w:type="dxa"/>
              <w:right w:w="58" w:type="dxa"/>
            </w:tcMar>
            <w:vAlign w:val="center"/>
            <w:hideMark/>
          </w:tcPr>
          <w:p w:rsidR="00083D96" w:rsidRPr="00E0032D" w:rsidP="000E7AC7" w14:paraId="4A49D0FA" w14:textId="77777777">
            <w:pPr>
              <w:spacing w:line="252" w:lineRule="auto"/>
              <w:rPr>
                <w:rFonts w:ascii="Calibri" w:hAnsi="Calibri" w:cs="Calibri"/>
                <w:sz w:val="16"/>
                <w:szCs w:val="16"/>
                <w:lang w:eastAsia="zh-TW"/>
              </w:rPr>
            </w:pPr>
            <w:r w:rsidRPr="00E0032D">
              <w:rPr>
                <w:rFonts w:ascii="Calibri" w:hAnsi="Calibri" w:cs="Calibri"/>
                <w:sz w:val="16"/>
                <w:szCs w:val="16"/>
                <w:lang w:eastAsia="zh-TW"/>
              </w:rPr>
              <w:t>Full Sample</w:t>
            </w:r>
          </w:p>
        </w:tc>
        <w:tc>
          <w:tcPr>
            <w:tcW w:w="1080" w:type="dxa"/>
            <w:tcBorders>
              <w:top w:val="nil"/>
              <w:left w:val="nil"/>
              <w:bottom w:val="single" w:sz="8" w:space="0" w:color="auto"/>
              <w:right w:val="single" w:sz="8" w:space="0" w:color="auto"/>
            </w:tcBorders>
            <w:tcMar>
              <w:top w:w="14" w:type="dxa"/>
              <w:left w:w="58" w:type="dxa"/>
              <w:bottom w:w="14" w:type="dxa"/>
              <w:right w:w="58" w:type="dxa"/>
            </w:tcMar>
            <w:vAlign w:val="center"/>
            <w:hideMark/>
          </w:tcPr>
          <w:p w:rsidR="00083D96" w:rsidRPr="00E0032D" w:rsidP="000E7AC7" w14:paraId="0CE2EB87" w14:textId="77777777">
            <w:pPr>
              <w:spacing w:line="252" w:lineRule="auto"/>
              <w:jc w:val="right"/>
              <w:rPr>
                <w:rFonts w:ascii="Calibri" w:hAnsi="Calibri" w:cs="Calibri"/>
                <w:sz w:val="16"/>
                <w:szCs w:val="16"/>
                <w:lang w:eastAsia="zh-TW"/>
              </w:rPr>
            </w:pPr>
            <w:r w:rsidRPr="00E0032D">
              <w:rPr>
                <w:rFonts w:ascii="Calibri" w:hAnsi="Calibri" w:cs="Calibri"/>
                <w:sz w:val="16"/>
                <w:szCs w:val="16"/>
                <w:lang w:eastAsia="zh-TW"/>
              </w:rPr>
              <w:t>671,535</w:t>
            </w:r>
          </w:p>
        </w:tc>
        <w:tc>
          <w:tcPr>
            <w:tcW w:w="877" w:type="dxa"/>
            <w:tcBorders>
              <w:top w:val="nil"/>
              <w:left w:val="nil"/>
              <w:bottom w:val="single" w:sz="8" w:space="0" w:color="auto"/>
              <w:right w:val="single" w:sz="8" w:space="0" w:color="auto"/>
            </w:tcBorders>
            <w:tcMar>
              <w:top w:w="14" w:type="dxa"/>
              <w:left w:w="58" w:type="dxa"/>
              <w:bottom w:w="14" w:type="dxa"/>
              <w:right w:w="58" w:type="dxa"/>
            </w:tcMar>
            <w:vAlign w:val="center"/>
            <w:hideMark/>
          </w:tcPr>
          <w:p w:rsidR="00083D96" w:rsidRPr="00E0032D" w:rsidP="000E7AC7" w14:paraId="78725250" w14:textId="77777777">
            <w:pPr>
              <w:spacing w:line="252" w:lineRule="auto"/>
              <w:jc w:val="right"/>
              <w:rPr>
                <w:rFonts w:ascii="Calibri" w:hAnsi="Calibri" w:cs="Calibri"/>
                <w:sz w:val="16"/>
                <w:szCs w:val="16"/>
                <w:lang w:eastAsia="zh-TW"/>
              </w:rPr>
            </w:pPr>
            <w:r w:rsidRPr="00E0032D">
              <w:rPr>
                <w:rFonts w:ascii="Calibri" w:hAnsi="Calibri" w:cs="Calibri"/>
                <w:sz w:val="16"/>
                <w:szCs w:val="16"/>
                <w:lang w:eastAsia="zh-TW"/>
              </w:rPr>
              <w:t>900</w:t>
            </w:r>
          </w:p>
        </w:tc>
        <w:tc>
          <w:tcPr>
            <w:tcW w:w="698" w:type="dxa"/>
            <w:tcBorders>
              <w:top w:val="nil"/>
              <w:left w:val="nil"/>
              <w:bottom w:val="single" w:sz="8" w:space="0" w:color="auto"/>
              <w:right w:val="single" w:sz="8" w:space="0" w:color="auto"/>
            </w:tcBorders>
            <w:tcMar>
              <w:top w:w="14" w:type="dxa"/>
              <w:left w:w="58" w:type="dxa"/>
              <w:bottom w:w="14" w:type="dxa"/>
              <w:right w:w="58" w:type="dxa"/>
            </w:tcMar>
            <w:vAlign w:val="center"/>
            <w:hideMark/>
          </w:tcPr>
          <w:p w:rsidR="00083D96" w:rsidRPr="00E0032D" w:rsidP="000E7AC7" w14:paraId="4BA41474" w14:textId="77777777">
            <w:pPr>
              <w:spacing w:line="252" w:lineRule="auto"/>
              <w:jc w:val="right"/>
              <w:rPr>
                <w:rFonts w:ascii="Calibri" w:hAnsi="Calibri" w:cs="Calibri"/>
                <w:b/>
                <w:bCs/>
                <w:sz w:val="16"/>
                <w:szCs w:val="16"/>
                <w:lang w:eastAsia="zh-TW"/>
              </w:rPr>
            </w:pPr>
            <w:r w:rsidRPr="00E0032D">
              <w:rPr>
                <w:rFonts w:ascii="Calibri" w:hAnsi="Calibri" w:cs="Calibri"/>
                <w:b/>
                <w:bCs/>
                <w:sz w:val="16"/>
                <w:szCs w:val="16"/>
                <w:lang w:eastAsia="zh-TW"/>
              </w:rPr>
              <w:t>4.42%</w:t>
            </w:r>
          </w:p>
        </w:tc>
        <w:tc>
          <w:tcPr>
            <w:tcW w:w="725" w:type="dxa"/>
            <w:tcBorders>
              <w:top w:val="nil"/>
              <w:left w:val="nil"/>
              <w:bottom w:val="single" w:sz="8" w:space="0" w:color="auto"/>
              <w:right w:val="single" w:sz="8" w:space="0" w:color="auto"/>
            </w:tcBorders>
            <w:tcMar>
              <w:top w:w="14" w:type="dxa"/>
              <w:left w:w="58" w:type="dxa"/>
              <w:bottom w:w="14" w:type="dxa"/>
              <w:right w:w="58" w:type="dxa"/>
            </w:tcMar>
            <w:vAlign w:val="center"/>
            <w:hideMark/>
          </w:tcPr>
          <w:p w:rsidR="00083D96" w:rsidRPr="00E0032D" w:rsidP="000E7AC7" w14:paraId="70B173EA" w14:textId="77777777">
            <w:pPr>
              <w:spacing w:line="252" w:lineRule="auto"/>
              <w:jc w:val="right"/>
              <w:rPr>
                <w:rFonts w:ascii="Calibri" w:hAnsi="Calibri" w:cs="Calibri"/>
                <w:sz w:val="16"/>
                <w:szCs w:val="16"/>
                <w:lang w:eastAsia="zh-TW"/>
              </w:rPr>
            </w:pPr>
            <w:r w:rsidRPr="00E0032D">
              <w:rPr>
                <w:rFonts w:ascii="Calibri" w:hAnsi="Calibri" w:cs="Calibri"/>
                <w:sz w:val="16"/>
                <w:szCs w:val="16"/>
                <w:lang w:eastAsia="zh-TW"/>
              </w:rPr>
              <w:t>4.33%</w:t>
            </w:r>
          </w:p>
        </w:tc>
        <w:tc>
          <w:tcPr>
            <w:tcW w:w="773" w:type="dxa"/>
            <w:tcBorders>
              <w:top w:val="nil"/>
              <w:left w:val="nil"/>
              <w:bottom w:val="single" w:sz="8" w:space="0" w:color="auto"/>
              <w:right w:val="single" w:sz="8" w:space="0" w:color="auto"/>
            </w:tcBorders>
            <w:tcMar>
              <w:top w:w="14" w:type="dxa"/>
              <w:left w:w="58" w:type="dxa"/>
              <w:bottom w:w="14" w:type="dxa"/>
              <w:right w:w="58" w:type="dxa"/>
            </w:tcMar>
            <w:vAlign w:val="center"/>
            <w:hideMark/>
          </w:tcPr>
          <w:p w:rsidR="00083D96" w:rsidRPr="00E0032D" w:rsidP="000E7AC7" w14:paraId="62B8C6AD" w14:textId="77777777">
            <w:pPr>
              <w:spacing w:line="252" w:lineRule="auto"/>
              <w:jc w:val="right"/>
              <w:rPr>
                <w:rFonts w:ascii="Calibri" w:hAnsi="Calibri" w:cs="Calibri"/>
                <w:sz w:val="16"/>
                <w:szCs w:val="16"/>
                <w:lang w:eastAsia="zh-TW"/>
              </w:rPr>
            </w:pPr>
            <w:r w:rsidRPr="00E0032D">
              <w:rPr>
                <w:rFonts w:ascii="Calibri" w:hAnsi="Calibri" w:cs="Calibri"/>
                <w:sz w:val="16"/>
                <w:szCs w:val="16"/>
                <w:lang w:eastAsia="zh-TW"/>
              </w:rPr>
              <w:t>4.05%</w:t>
            </w:r>
          </w:p>
        </w:tc>
        <w:tc>
          <w:tcPr>
            <w:tcW w:w="774" w:type="dxa"/>
            <w:tcBorders>
              <w:top w:val="nil"/>
              <w:left w:val="nil"/>
              <w:bottom w:val="single" w:sz="8" w:space="0" w:color="auto"/>
              <w:right w:val="single" w:sz="8" w:space="0" w:color="auto"/>
            </w:tcBorders>
            <w:tcMar>
              <w:top w:w="14" w:type="dxa"/>
              <w:left w:w="58" w:type="dxa"/>
              <w:bottom w:w="14" w:type="dxa"/>
              <w:right w:w="58" w:type="dxa"/>
            </w:tcMar>
            <w:vAlign w:val="center"/>
            <w:hideMark/>
          </w:tcPr>
          <w:p w:rsidR="00083D96" w:rsidRPr="00E0032D" w:rsidP="000E7AC7" w14:paraId="65AABFA0" w14:textId="77777777">
            <w:pPr>
              <w:spacing w:line="252" w:lineRule="auto"/>
              <w:jc w:val="right"/>
              <w:rPr>
                <w:rFonts w:ascii="Calibri" w:hAnsi="Calibri" w:cs="Calibri"/>
                <w:sz w:val="16"/>
                <w:szCs w:val="16"/>
                <w:lang w:eastAsia="zh-TW"/>
              </w:rPr>
            </w:pPr>
            <w:r w:rsidRPr="00E0032D">
              <w:rPr>
                <w:rFonts w:ascii="Calibri" w:hAnsi="Calibri" w:cs="Calibri"/>
                <w:sz w:val="16"/>
                <w:szCs w:val="16"/>
                <w:lang w:eastAsia="zh-TW"/>
              </w:rPr>
              <w:t>3.54%</w:t>
            </w:r>
          </w:p>
        </w:tc>
        <w:tc>
          <w:tcPr>
            <w:tcW w:w="773" w:type="dxa"/>
            <w:tcBorders>
              <w:top w:val="nil"/>
              <w:left w:val="nil"/>
              <w:bottom w:val="single" w:sz="8" w:space="0" w:color="auto"/>
              <w:right w:val="single" w:sz="8" w:space="0" w:color="auto"/>
            </w:tcBorders>
            <w:tcMar>
              <w:top w:w="14" w:type="dxa"/>
              <w:left w:w="58" w:type="dxa"/>
              <w:bottom w:w="14" w:type="dxa"/>
              <w:right w:w="58" w:type="dxa"/>
            </w:tcMar>
            <w:vAlign w:val="center"/>
            <w:hideMark/>
          </w:tcPr>
          <w:p w:rsidR="00083D96" w:rsidRPr="00E0032D" w:rsidP="000E7AC7" w14:paraId="628642BA" w14:textId="77777777">
            <w:pPr>
              <w:spacing w:line="252" w:lineRule="auto"/>
              <w:jc w:val="right"/>
              <w:rPr>
                <w:rFonts w:ascii="Calibri" w:hAnsi="Calibri" w:cs="Calibri"/>
                <w:sz w:val="16"/>
                <w:szCs w:val="16"/>
                <w:lang w:eastAsia="zh-TW"/>
              </w:rPr>
            </w:pPr>
            <w:r w:rsidRPr="00E0032D">
              <w:rPr>
                <w:rFonts w:ascii="Calibri" w:hAnsi="Calibri" w:cs="Calibri"/>
                <w:sz w:val="16"/>
                <w:szCs w:val="16"/>
                <w:lang w:eastAsia="zh-TW"/>
              </w:rPr>
              <w:t>2.65%</w:t>
            </w:r>
          </w:p>
        </w:tc>
        <w:tc>
          <w:tcPr>
            <w:tcW w:w="768" w:type="dxa"/>
            <w:tcBorders>
              <w:top w:val="nil"/>
              <w:left w:val="nil"/>
              <w:bottom w:val="single" w:sz="8" w:space="0" w:color="auto"/>
              <w:right w:val="single" w:sz="8" w:space="0" w:color="auto"/>
            </w:tcBorders>
            <w:tcMar>
              <w:top w:w="14" w:type="dxa"/>
              <w:left w:w="58" w:type="dxa"/>
              <w:bottom w:w="14" w:type="dxa"/>
              <w:right w:w="58" w:type="dxa"/>
            </w:tcMar>
            <w:vAlign w:val="center"/>
            <w:hideMark/>
          </w:tcPr>
          <w:p w:rsidR="00083D96" w:rsidRPr="00E0032D" w:rsidP="000E7AC7" w14:paraId="53BABF19" w14:textId="77777777">
            <w:pPr>
              <w:spacing w:line="252" w:lineRule="auto"/>
              <w:jc w:val="right"/>
              <w:rPr>
                <w:rFonts w:ascii="Calibri" w:hAnsi="Calibri" w:cs="Calibri"/>
                <w:sz w:val="16"/>
                <w:szCs w:val="16"/>
                <w:lang w:eastAsia="zh-TW"/>
              </w:rPr>
            </w:pPr>
            <w:r w:rsidRPr="00E0032D">
              <w:rPr>
                <w:rFonts w:ascii="Calibri" w:hAnsi="Calibri" w:cs="Calibri"/>
                <w:sz w:val="16"/>
                <w:szCs w:val="16"/>
                <w:lang w:eastAsia="zh-TW"/>
              </w:rPr>
              <w:t>1.93%</w:t>
            </w:r>
          </w:p>
        </w:tc>
      </w:tr>
      <w:tr w14:paraId="1FD4E055" w14:textId="77777777" w:rsidTr="009F042E">
        <w:tblPrEx>
          <w:tblW w:w="0" w:type="auto"/>
          <w:tblInd w:w="524" w:type="dxa"/>
          <w:tblCellMar>
            <w:left w:w="0" w:type="dxa"/>
            <w:right w:w="0" w:type="dxa"/>
          </w:tblCellMar>
          <w:tblLook w:val="04A0"/>
        </w:tblPrEx>
        <w:trPr>
          <w:cantSplit/>
          <w:trHeight w:val="259"/>
        </w:trPr>
        <w:tc>
          <w:tcPr>
            <w:tcW w:w="0" w:type="auto"/>
            <w:vMerge/>
            <w:tcBorders>
              <w:top w:val="nil"/>
              <w:left w:val="single" w:sz="8" w:space="0" w:color="auto"/>
              <w:bottom w:val="single" w:sz="8" w:space="0" w:color="auto"/>
              <w:right w:val="single" w:sz="8" w:space="0" w:color="auto"/>
            </w:tcBorders>
            <w:vAlign w:val="center"/>
            <w:hideMark/>
          </w:tcPr>
          <w:p w:rsidR="00083D96" w:rsidRPr="00E0032D" w:rsidP="000E7AC7" w14:paraId="051F7643" w14:textId="77777777">
            <w:pPr>
              <w:rPr>
                <w:rFonts w:ascii="Calibri" w:hAnsi="Calibri" w:cs="Calibri"/>
                <w:b/>
                <w:bCs/>
                <w:sz w:val="16"/>
                <w:szCs w:val="16"/>
                <w:lang w:eastAsia="zh-TW"/>
              </w:rPr>
            </w:pPr>
          </w:p>
        </w:tc>
        <w:tc>
          <w:tcPr>
            <w:tcW w:w="1334" w:type="dxa"/>
            <w:tcBorders>
              <w:top w:val="nil"/>
              <w:left w:val="nil"/>
              <w:bottom w:val="single" w:sz="8" w:space="0" w:color="auto"/>
              <w:right w:val="single" w:sz="8" w:space="0" w:color="auto"/>
            </w:tcBorders>
            <w:tcMar>
              <w:top w:w="14" w:type="dxa"/>
              <w:left w:w="58" w:type="dxa"/>
              <w:bottom w:w="14" w:type="dxa"/>
              <w:right w:w="58" w:type="dxa"/>
            </w:tcMar>
            <w:vAlign w:val="center"/>
            <w:hideMark/>
          </w:tcPr>
          <w:p w:rsidR="00083D96" w:rsidRPr="00E0032D" w:rsidP="000E7AC7" w14:paraId="2308A449" w14:textId="77777777">
            <w:pPr>
              <w:spacing w:line="252" w:lineRule="auto"/>
              <w:rPr>
                <w:rFonts w:ascii="Calibri" w:hAnsi="Calibri" w:cs="Calibri"/>
                <w:lang w:eastAsia="zh-TW"/>
              </w:rPr>
            </w:pPr>
            <w:r w:rsidRPr="00E0032D">
              <w:rPr>
                <w:rFonts w:ascii="Calibri" w:hAnsi="Calibri" w:cs="Calibri"/>
                <w:sz w:val="16"/>
                <w:szCs w:val="16"/>
                <w:lang w:eastAsia="zh-TW"/>
              </w:rPr>
              <w:t>Enrolled</w:t>
            </w:r>
          </w:p>
        </w:tc>
        <w:tc>
          <w:tcPr>
            <w:tcW w:w="1080" w:type="dxa"/>
            <w:tcBorders>
              <w:top w:val="nil"/>
              <w:left w:val="nil"/>
              <w:bottom w:val="single" w:sz="8" w:space="0" w:color="auto"/>
              <w:right w:val="single" w:sz="8" w:space="0" w:color="auto"/>
            </w:tcBorders>
            <w:tcMar>
              <w:top w:w="14" w:type="dxa"/>
              <w:left w:w="58" w:type="dxa"/>
              <w:bottom w:w="14" w:type="dxa"/>
              <w:right w:w="58" w:type="dxa"/>
            </w:tcMar>
            <w:vAlign w:val="center"/>
            <w:hideMark/>
          </w:tcPr>
          <w:p w:rsidR="00083D96" w:rsidRPr="00E0032D" w:rsidP="000E7AC7" w14:paraId="1D9343FC" w14:textId="77777777">
            <w:pPr>
              <w:spacing w:line="252" w:lineRule="auto"/>
              <w:jc w:val="right"/>
              <w:rPr>
                <w:rFonts w:ascii="Calibri" w:hAnsi="Calibri" w:cs="Calibri"/>
                <w:sz w:val="16"/>
                <w:szCs w:val="16"/>
                <w:lang w:eastAsia="zh-TW"/>
              </w:rPr>
            </w:pPr>
            <w:r w:rsidRPr="00E0032D">
              <w:rPr>
                <w:rFonts w:ascii="Calibri" w:hAnsi="Calibri" w:cs="Calibri"/>
                <w:sz w:val="16"/>
                <w:szCs w:val="16"/>
                <w:lang w:eastAsia="zh-TW"/>
              </w:rPr>
              <w:t>29,238</w:t>
            </w:r>
          </w:p>
        </w:tc>
        <w:tc>
          <w:tcPr>
            <w:tcW w:w="877" w:type="dxa"/>
            <w:tcBorders>
              <w:top w:val="nil"/>
              <w:left w:val="nil"/>
              <w:bottom w:val="single" w:sz="8" w:space="0" w:color="auto"/>
              <w:right w:val="single" w:sz="8" w:space="0" w:color="auto"/>
            </w:tcBorders>
            <w:tcMar>
              <w:top w:w="14" w:type="dxa"/>
              <w:left w:w="58" w:type="dxa"/>
              <w:bottom w:w="14" w:type="dxa"/>
              <w:right w:w="58" w:type="dxa"/>
            </w:tcMar>
            <w:vAlign w:val="center"/>
            <w:hideMark/>
          </w:tcPr>
          <w:p w:rsidR="00083D96" w:rsidRPr="00E0032D" w:rsidP="000E7AC7" w14:paraId="35A3EE9E" w14:textId="77777777">
            <w:pPr>
              <w:spacing w:line="252" w:lineRule="auto"/>
              <w:jc w:val="right"/>
              <w:rPr>
                <w:rFonts w:ascii="Calibri" w:hAnsi="Calibri" w:cs="Calibri"/>
                <w:sz w:val="16"/>
                <w:szCs w:val="16"/>
                <w:lang w:eastAsia="zh-TW"/>
              </w:rPr>
            </w:pPr>
            <w:r w:rsidRPr="00E0032D">
              <w:rPr>
                <w:rFonts w:ascii="Calibri" w:hAnsi="Calibri" w:cs="Calibri"/>
                <w:sz w:val="16"/>
                <w:szCs w:val="16"/>
                <w:lang w:eastAsia="zh-TW"/>
              </w:rPr>
              <w:t>450</w:t>
            </w:r>
          </w:p>
        </w:tc>
        <w:tc>
          <w:tcPr>
            <w:tcW w:w="698" w:type="dxa"/>
            <w:tcBorders>
              <w:top w:val="nil"/>
              <w:left w:val="nil"/>
              <w:bottom w:val="single" w:sz="8" w:space="0" w:color="auto"/>
              <w:right w:val="single" w:sz="8" w:space="0" w:color="auto"/>
            </w:tcBorders>
            <w:tcMar>
              <w:top w:w="14" w:type="dxa"/>
              <w:left w:w="58" w:type="dxa"/>
              <w:bottom w:w="14" w:type="dxa"/>
              <w:right w:w="58" w:type="dxa"/>
            </w:tcMar>
            <w:vAlign w:val="center"/>
            <w:hideMark/>
          </w:tcPr>
          <w:p w:rsidR="00083D96" w:rsidRPr="00E0032D" w:rsidP="000E7AC7" w14:paraId="18ABAC07" w14:textId="77777777">
            <w:pPr>
              <w:spacing w:line="252" w:lineRule="auto"/>
              <w:jc w:val="right"/>
              <w:rPr>
                <w:rFonts w:ascii="Calibri" w:hAnsi="Calibri" w:cs="Calibri"/>
                <w:b/>
                <w:bCs/>
                <w:sz w:val="16"/>
                <w:szCs w:val="16"/>
                <w:lang w:eastAsia="zh-TW"/>
              </w:rPr>
            </w:pPr>
            <w:r w:rsidRPr="00E0032D">
              <w:rPr>
                <w:rFonts w:ascii="Calibri" w:hAnsi="Calibri" w:cs="Calibri"/>
                <w:b/>
                <w:bCs/>
                <w:sz w:val="16"/>
                <w:szCs w:val="16"/>
                <w:lang w:eastAsia="zh-TW"/>
              </w:rPr>
              <w:t>4.58%</w:t>
            </w:r>
          </w:p>
        </w:tc>
        <w:tc>
          <w:tcPr>
            <w:tcW w:w="725" w:type="dxa"/>
            <w:tcBorders>
              <w:top w:val="nil"/>
              <w:left w:val="nil"/>
              <w:bottom w:val="single" w:sz="8" w:space="0" w:color="auto"/>
              <w:right w:val="single" w:sz="8" w:space="0" w:color="auto"/>
            </w:tcBorders>
            <w:tcMar>
              <w:top w:w="14" w:type="dxa"/>
              <w:left w:w="58" w:type="dxa"/>
              <w:bottom w:w="14" w:type="dxa"/>
              <w:right w:w="58" w:type="dxa"/>
            </w:tcMar>
            <w:vAlign w:val="center"/>
            <w:hideMark/>
          </w:tcPr>
          <w:p w:rsidR="00083D96" w:rsidRPr="00E0032D" w:rsidP="000E7AC7" w14:paraId="0CF339ED" w14:textId="77777777">
            <w:pPr>
              <w:spacing w:line="252" w:lineRule="auto"/>
              <w:jc w:val="right"/>
              <w:rPr>
                <w:rFonts w:ascii="Calibri" w:hAnsi="Calibri" w:cs="Calibri"/>
                <w:sz w:val="16"/>
                <w:szCs w:val="16"/>
                <w:lang w:eastAsia="zh-TW"/>
              </w:rPr>
            </w:pPr>
            <w:r w:rsidRPr="00E0032D">
              <w:rPr>
                <w:rFonts w:ascii="Calibri" w:hAnsi="Calibri" w:cs="Calibri"/>
                <w:sz w:val="16"/>
                <w:szCs w:val="16"/>
                <w:lang w:eastAsia="zh-TW"/>
              </w:rPr>
              <w:t>4.49%</w:t>
            </w:r>
          </w:p>
        </w:tc>
        <w:tc>
          <w:tcPr>
            <w:tcW w:w="773" w:type="dxa"/>
            <w:tcBorders>
              <w:top w:val="nil"/>
              <w:left w:val="nil"/>
              <w:bottom w:val="single" w:sz="8" w:space="0" w:color="auto"/>
              <w:right w:val="single" w:sz="8" w:space="0" w:color="auto"/>
            </w:tcBorders>
            <w:tcMar>
              <w:top w:w="14" w:type="dxa"/>
              <w:left w:w="58" w:type="dxa"/>
              <w:bottom w:w="14" w:type="dxa"/>
              <w:right w:w="58" w:type="dxa"/>
            </w:tcMar>
            <w:vAlign w:val="center"/>
            <w:hideMark/>
          </w:tcPr>
          <w:p w:rsidR="00083D96" w:rsidRPr="00E0032D" w:rsidP="000E7AC7" w14:paraId="6A01E11B" w14:textId="77777777">
            <w:pPr>
              <w:spacing w:line="252" w:lineRule="auto"/>
              <w:jc w:val="right"/>
              <w:rPr>
                <w:rFonts w:ascii="Calibri" w:hAnsi="Calibri" w:cs="Calibri"/>
                <w:sz w:val="16"/>
                <w:szCs w:val="16"/>
                <w:lang w:eastAsia="zh-TW"/>
              </w:rPr>
            </w:pPr>
            <w:r w:rsidRPr="00E0032D">
              <w:rPr>
                <w:rFonts w:ascii="Calibri" w:hAnsi="Calibri" w:cs="Calibri"/>
                <w:sz w:val="16"/>
                <w:szCs w:val="16"/>
                <w:lang w:eastAsia="zh-TW"/>
              </w:rPr>
              <w:t>4.20%</w:t>
            </w:r>
          </w:p>
        </w:tc>
        <w:tc>
          <w:tcPr>
            <w:tcW w:w="774" w:type="dxa"/>
            <w:tcBorders>
              <w:top w:val="nil"/>
              <w:left w:val="nil"/>
              <w:bottom w:val="single" w:sz="8" w:space="0" w:color="auto"/>
              <w:right w:val="single" w:sz="8" w:space="0" w:color="auto"/>
            </w:tcBorders>
            <w:tcMar>
              <w:top w:w="14" w:type="dxa"/>
              <w:left w:w="58" w:type="dxa"/>
              <w:bottom w:w="14" w:type="dxa"/>
              <w:right w:w="58" w:type="dxa"/>
            </w:tcMar>
            <w:vAlign w:val="center"/>
            <w:hideMark/>
          </w:tcPr>
          <w:p w:rsidR="00083D96" w:rsidRPr="00E0032D" w:rsidP="000E7AC7" w14:paraId="6525C8DC" w14:textId="77777777">
            <w:pPr>
              <w:spacing w:line="252" w:lineRule="auto"/>
              <w:jc w:val="right"/>
              <w:rPr>
                <w:rFonts w:ascii="Calibri" w:hAnsi="Calibri" w:cs="Calibri"/>
                <w:sz w:val="16"/>
                <w:szCs w:val="16"/>
                <w:lang w:eastAsia="zh-TW"/>
              </w:rPr>
            </w:pPr>
            <w:r w:rsidRPr="00E0032D">
              <w:rPr>
                <w:rFonts w:ascii="Calibri" w:hAnsi="Calibri" w:cs="Calibri"/>
                <w:sz w:val="16"/>
                <w:szCs w:val="16"/>
                <w:lang w:eastAsia="zh-TW"/>
              </w:rPr>
              <w:t>3.67%</w:t>
            </w:r>
          </w:p>
        </w:tc>
        <w:tc>
          <w:tcPr>
            <w:tcW w:w="773" w:type="dxa"/>
            <w:tcBorders>
              <w:top w:val="nil"/>
              <w:left w:val="nil"/>
              <w:bottom w:val="single" w:sz="8" w:space="0" w:color="auto"/>
              <w:right w:val="single" w:sz="8" w:space="0" w:color="auto"/>
            </w:tcBorders>
            <w:tcMar>
              <w:top w:w="14" w:type="dxa"/>
              <w:left w:w="58" w:type="dxa"/>
              <w:bottom w:w="14" w:type="dxa"/>
              <w:right w:w="58" w:type="dxa"/>
            </w:tcMar>
            <w:vAlign w:val="center"/>
            <w:hideMark/>
          </w:tcPr>
          <w:p w:rsidR="00083D96" w:rsidRPr="00E0032D" w:rsidP="000E7AC7" w14:paraId="75978A04" w14:textId="77777777">
            <w:pPr>
              <w:spacing w:line="252" w:lineRule="auto"/>
              <w:jc w:val="right"/>
              <w:rPr>
                <w:rFonts w:ascii="Calibri" w:hAnsi="Calibri" w:cs="Calibri"/>
                <w:sz w:val="16"/>
                <w:szCs w:val="16"/>
                <w:lang w:eastAsia="zh-TW"/>
              </w:rPr>
            </w:pPr>
            <w:r w:rsidRPr="00E0032D">
              <w:rPr>
                <w:rFonts w:ascii="Calibri" w:hAnsi="Calibri" w:cs="Calibri"/>
                <w:sz w:val="16"/>
                <w:szCs w:val="16"/>
                <w:lang w:eastAsia="zh-TW"/>
              </w:rPr>
              <w:t>2.75%</w:t>
            </w:r>
          </w:p>
        </w:tc>
        <w:tc>
          <w:tcPr>
            <w:tcW w:w="768" w:type="dxa"/>
            <w:tcBorders>
              <w:top w:val="nil"/>
              <w:left w:val="nil"/>
              <w:bottom w:val="single" w:sz="8" w:space="0" w:color="auto"/>
              <w:right w:val="single" w:sz="8" w:space="0" w:color="auto"/>
            </w:tcBorders>
            <w:tcMar>
              <w:top w:w="14" w:type="dxa"/>
              <w:left w:w="58" w:type="dxa"/>
              <w:bottom w:w="14" w:type="dxa"/>
              <w:right w:w="58" w:type="dxa"/>
            </w:tcMar>
            <w:vAlign w:val="center"/>
            <w:hideMark/>
          </w:tcPr>
          <w:p w:rsidR="00083D96" w:rsidRPr="00E0032D" w:rsidP="000E7AC7" w14:paraId="5196C372" w14:textId="77777777">
            <w:pPr>
              <w:spacing w:line="252" w:lineRule="auto"/>
              <w:jc w:val="right"/>
              <w:rPr>
                <w:rFonts w:ascii="Calibri" w:hAnsi="Calibri" w:cs="Calibri"/>
                <w:sz w:val="16"/>
                <w:szCs w:val="16"/>
                <w:lang w:eastAsia="zh-TW"/>
              </w:rPr>
            </w:pPr>
            <w:r w:rsidRPr="00E0032D">
              <w:rPr>
                <w:rFonts w:ascii="Calibri" w:hAnsi="Calibri" w:cs="Calibri"/>
                <w:sz w:val="16"/>
                <w:szCs w:val="16"/>
                <w:lang w:eastAsia="zh-TW"/>
              </w:rPr>
              <w:t>2.00%</w:t>
            </w:r>
          </w:p>
        </w:tc>
      </w:tr>
      <w:tr w14:paraId="41F43FCE" w14:textId="77777777" w:rsidTr="009F042E">
        <w:tblPrEx>
          <w:tblW w:w="0" w:type="auto"/>
          <w:tblInd w:w="524" w:type="dxa"/>
          <w:tblCellMar>
            <w:left w:w="0" w:type="dxa"/>
            <w:right w:w="0" w:type="dxa"/>
          </w:tblCellMar>
          <w:tblLook w:val="04A0"/>
        </w:tblPrEx>
        <w:trPr>
          <w:cantSplit/>
          <w:trHeight w:val="259"/>
        </w:trPr>
        <w:tc>
          <w:tcPr>
            <w:tcW w:w="0" w:type="auto"/>
            <w:vMerge/>
            <w:tcBorders>
              <w:top w:val="nil"/>
              <w:left w:val="single" w:sz="8" w:space="0" w:color="auto"/>
              <w:bottom w:val="single" w:sz="8" w:space="0" w:color="auto"/>
              <w:right w:val="single" w:sz="8" w:space="0" w:color="auto"/>
            </w:tcBorders>
            <w:vAlign w:val="center"/>
            <w:hideMark/>
          </w:tcPr>
          <w:p w:rsidR="00083D96" w:rsidRPr="00E0032D" w:rsidP="000E7AC7" w14:paraId="44AED048" w14:textId="77777777">
            <w:pPr>
              <w:rPr>
                <w:rFonts w:ascii="Calibri" w:hAnsi="Calibri" w:cs="Calibri"/>
                <w:b/>
                <w:bCs/>
                <w:sz w:val="16"/>
                <w:szCs w:val="16"/>
                <w:lang w:eastAsia="zh-TW"/>
              </w:rPr>
            </w:pPr>
          </w:p>
        </w:tc>
        <w:tc>
          <w:tcPr>
            <w:tcW w:w="1334" w:type="dxa"/>
            <w:tcBorders>
              <w:top w:val="nil"/>
              <w:left w:val="nil"/>
              <w:bottom w:val="single" w:sz="8" w:space="0" w:color="auto"/>
              <w:right w:val="single" w:sz="8" w:space="0" w:color="auto"/>
            </w:tcBorders>
            <w:tcMar>
              <w:top w:w="14" w:type="dxa"/>
              <w:left w:w="58" w:type="dxa"/>
              <w:bottom w:w="14" w:type="dxa"/>
              <w:right w:w="58" w:type="dxa"/>
            </w:tcMar>
            <w:vAlign w:val="center"/>
            <w:hideMark/>
          </w:tcPr>
          <w:p w:rsidR="00083D96" w:rsidRPr="00E0032D" w:rsidP="000E7AC7" w14:paraId="017924DD" w14:textId="77777777">
            <w:pPr>
              <w:spacing w:line="252" w:lineRule="auto"/>
              <w:rPr>
                <w:rFonts w:ascii="Calibri" w:hAnsi="Calibri" w:cs="Calibri"/>
                <w:sz w:val="16"/>
                <w:szCs w:val="16"/>
                <w:lang w:eastAsia="zh-TW"/>
              </w:rPr>
            </w:pPr>
            <w:r w:rsidRPr="00E0032D">
              <w:rPr>
                <w:rFonts w:ascii="Calibri" w:hAnsi="Calibri" w:cs="Calibri"/>
                <w:sz w:val="16"/>
                <w:szCs w:val="16"/>
                <w:lang w:eastAsia="zh-TW"/>
              </w:rPr>
              <w:t>Not Enrolled</w:t>
            </w:r>
          </w:p>
        </w:tc>
        <w:tc>
          <w:tcPr>
            <w:tcW w:w="1080" w:type="dxa"/>
            <w:tcBorders>
              <w:top w:val="nil"/>
              <w:left w:val="nil"/>
              <w:bottom w:val="single" w:sz="8" w:space="0" w:color="auto"/>
              <w:right w:val="single" w:sz="8" w:space="0" w:color="auto"/>
            </w:tcBorders>
            <w:tcMar>
              <w:top w:w="14" w:type="dxa"/>
              <w:left w:w="58" w:type="dxa"/>
              <w:bottom w:w="14" w:type="dxa"/>
              <w:right w:w="58" w:type="dxa"/>
            </w:tcMar>
            <w:vAlign w:val="center"/>
            <w:hideMark/>
          </w:tcPr>
          <w:p w:rsidR="00083D96" w:rsidRPr="00E0032D" w:rsidP="000E7AC7" w14:paraId="1F87E96F" w14:textId="77777777">
            <w:pPr>
              <w:spacing w:line="252" w:lineRule="auto"/>
              <w:jc w:val="right"/>
              <w:rPr>
                <w:rFonts w:ascii="Calibri" w:hAnsi="Calibri" w:cs="Calibri"/>
                <w:sz w:val="16"/>
                <w:szCs w:val="16"/>
                <w:lang w:eastAsia="zh-TW"/>
              </w:rPr>
            </w:pPr>
            <w:r w:rsidRPr="00E0032D">
              <w:rPr>
                <w:rFonts w:ascii="Calibri" w:hAnsi="Calibri" w:cs="Calibri"/>
                <w:sz w:val="16"/>
                <w:szCs w:val="16"/>
                <w:lang w:eastAsia="zh-TW"/>
              </w:rPr>
              <w:t>642,297</w:t>
            </w:r>
          </w:p>
        </w:tc>
        <w:tc>
          <w:tcPr>
            <w:tcW w:w="877" w:type="dxa"/>
            <w:tcBorders>
              <w:top w:val="nil"/>
              <w:left w:val="nil"/>
              <w:bottom w:val="single" w:sz="8" w:space="0" w:color="auto"/>
              <w:right w:val="single" w:sz="8" w:space="0" w:color="auto"/>
            </w:tcBorders>
            <w:tcMar>
              <w:top w:w="14" w:type="dxa"/>
              <w:left w:w="58" w:type="dxa"/>
              <w:bottom w:w="14" w:type="dxa"/>
              <w:right w:w="58" w:type="dxa"/>
            </w:tcMar>
            <w:vAlign w:val="center"/>
            <w:hideMark/>
          </w:tcPr>
          <w:p w:rsidR="00083D96" w:rsidRPr="00E0032D" w:rsidP="000E7AC7" w14:paraId="3C13152D" w14:textId="77777777">
            <w:pPr>
              <w:spacing w:line="252" w:lineRule="auto"/>
              <w:jc w:val="right"/>
              <w:rPr>
                <w:rFonts w:ascii="Calibri" w:hAnsi="Calibri" w:cs="Calibri"/>
                <w:sz w:val="16"/>
                <w:szCs w:val="16"/>
                <w:lang w:eastAsia="zh-TW"/>
              </w:rPr>
            </w:pPr>
            <w:r w:rsidRPr="00E0032D">
              <w:rPr>
                <w:rFonts w:ascii="Calibri" w:hAnsi="Calibri" w:cs="Calibri"/>
                <w:sz w:val="16"/>
                <w:szCs w:val="16"/>
                <w:lang w:eastAsia="zh-TW"/>
              </w:rPr>
              <w:t>450</w:t>
            </w:r>
          </w:p>
        </w:tc>
        <w:tc>
          <w:tcPr>
            <w:tcW w:w="698" w:type="dxa"/>
            <w:tcBorders>
              <w:top w:val="nil"/>
              <w:left w:val="nil"/>
              <w:bottom w:val="single" w:sz="8" w:space="0" w:color="auto"/>
              <w:right w:val="single" w:sz="8" w:space="0" w:color="auto"/>
            </w:tcBorders>
            <w:tcMar>
              <w:top w:w="14" w:type="dxa"/>
              <w:left w:w="58" w:type="dxa"/>
              <w:bottom w:w="14" w:type="dxa"/>
              <w:right w:w="58" w:type="dxa"/>
            </w:tcMar>
            <w:vAlign w:val="center"/>
            <w:hideMark/>
          </w:tcPr>
          <w:p w:rsidR="00083D96" w:rsidRPr="00E0032D" w:rsidP="000E7AC7" w14:paraId="4662A675" w14:textId="77777777">
            <w:pPr>
              <w:spacing w:line="252" w:lineRule="auto"/>
              <w:jc w:val="right"/>
              <w:rPr>
                <w:rFonts w:ascii="Calibri" w:hAnsi="Calibri" w:cs="Calibri"/>
                <w:b/>
                <w:bCs/>
                <w:sz w:val="16"/>
                <w:szCs w:val="16"/>
                <w:lang w:eastAsia="zh-TW"/>
              </w:rPr>
            </w:pPr>
            <w:r w:rsidRPr="00E0032D">
              <w:rPr>
                <w:rFonts w:ascii="Calibri" w:hAnsi="Calibri" w:cs="Calibri"/>
                <w:b/>
                <w:bCs/>
                <w:sz w:val="16"/>
                <w:szCs w:val="16"/>
                <w:lang w:eastAsia="zh-TW"/>
              </w:rPr>
              <w:t>4.62%</w:t>
            </w:r>
          </w:p>
        </w:tc>
        <w:tc>
          <w:tcPr>
            <w:tcW w:w="725" w:type="dxa"/>
            <w:tcBorders>
              <w:top w:val="nil"/>
              <w:left w:val="nil"/>
              <w:bottom w:val="single" w:sz="8" w:space="0" w:color="auto"/>
              <w:right w:val="single" w:sz="8" w:space="0" w:color="auto"/>
            </w:tcBorders>
            <w:tcMar>
              <w:top w:w="14" w:type="dxa"/>
              <w:left w:w="58" w:type="dxa"/>
              <w:bottom w:w="14" w:type="dxa"/>
              <w:right w:w="58" w:type="dxa"/>
            </w:tcMar>
            <w:vAlign w:val="center"/>
            <w:hideMark/>
          </w:tcPr>
          <w:p w:rsidR="00083D96" w:rsidRPr="00E0032D" w:rsidP="000E7AC7" w14:paraId="51989F42" w14:textId="77777777">
            <w:pPr>
              <w:spacing w:line="252" w:lineRule="auto"/>
              <w:jc w:val="right"/>
              <w:rPr>
                <w:rFonts w:ascii="Calibri" w:hAnsi="Calibri" w:cs="Calibri"/>
                <w:sz w:val="16"/>
                <w:szCs w:val="16"/>
                <w:lang w:eastAsia="zh-TW"/>
              </w:rPr>
            </w:pPr>
            <w:r w:rsidRPr="00E0032D">
              <w:rPr>
                <w:rFonts w:ascii="Calibri" w:hAnsi="Calibri" w:cs="Calibri"/>
                <w:sz w:val="16"/>
                <w:szCs w:val="16"/>
                <w:lang w:eastAsia="zh-TW"/>
              </w:rPr>
              <w:t>4.52%</w:t>
            </w:r>
          </w:p>
        </w:tc>
        <w:tc>
          <w:tcPr>
            <w:tcW w:w="773" w:type="dxa"/>
            <w:tcBorders>
              <w:top w:val="nil"/>
              <w:left w:val="nil"/>
              <w:bottom w:val="single" w:sz="8" w:space="0" w:color="auto"/>
              <w:right w:val="single" w:sz="8" w:space="0" w:color="auto"/>
            </w:tcBorders>
            <w:tcMar>
              <w:top w:w="14" w:type="dxa"/>
              <w:left w:w="58" w:type="dxa"/>
              <w:bottom w:w="14" w:type="dxa"/>
              <w:right w:w="58" w:type="dxa"/>
            </w:tcMar>
            <w:vAlign w:val="center"/>
            <w:hideMark/>
          </w:tcPr>
          <w:p w:rsidR="00083D96" w:rsidRPr="00E0032D" w:rsidP="000E7AC7" w14:paraId="67228F20" w14:textId="77777777">
            <w:pPr>
              <w:spacing w:line="252" w:lineRule="auto"/>
              <w:jc w:val="right"/>
              <w:rPr>
                <w:rFonts w:ascii="Calibri" w:hAnsi="Calibri" w:cs="Calibri"/>
                <w:sz w:val="16"/>
                <w:szCs w:val="16"/>
                <w:lang w:eastAsia="zh-TW"/>
              </w:rPr>
            </w:pPr>
            <w:r w:rsidRPr="00E0032D">
              <w:rPr>
                <w:rFonts w:ascii="Calibri" w:hAnsi="Calibri" w:cs="Calibri"/>
                <w:sz w:val="16"/>
                <w:szCs w:val="16"/>
                <w:lang w:eastAsia="zh-TW"/>
              </w:rPr>
              <w:t>4.23%</w:t>
            </w:r>
          </w:p>
        </w:tc>
        <w:tc>
          <w:tcPr>
            <w:tcW w:w="774" w:type="dxa"/>
            <w:tcBorders>
              <w:top w:val="nil"/>
              <w:left w:val="nil"/>
              <w:bottom w:val="single" w:sz="8" w:space="0" w:color="auto"/>
              <w:right w:val="single" w:sz="8" w:space="0" w:color="auto"/>
            </w:tcBorders>
            <w:tcMar>
              <w:top w:w="14" w:type="dxa"/>
              <w:left w:w="58" w:type="dxa"/>
              <w:bottom w:w="14" w:type="dxa"/>
              <w:right w:w="58" w:type="dxa"/>
            </w:tcMar>
            <w:vAlign w:val="center"/>
            <w:hideMark/>
          </w:tcPr>
          <w:p w:rsidR="00083D96" w:rsidRPr="00E0032D" w:rsidP="000E7AC7" w14:paraId="33D9AAE6" w14:textId="77777777">
            <w:pPr>
              <w:spacing w:line="252" w:lineRule="auto"/>
              <w:jc w:val="right"/>
              <w:rPr>
                <w:rFonts w:ascii="Calibri" w:hAnsi="Calibri" w:cs="Calibri"/>
                <w:sz w:val="16"/>
                <w:szCs w:val="16"/>
                <w:lang w:eastAsia="zh-TW"/>
              </w:rPr>
            </w:pPr>
            <w:r w:rsidRPr="00E0032D">
              <w:rPr>
                <w:rFonts w:ascii="Calibri" w:hAnsi="Calibri" w:cs="Calibri"/>
                <w:sz w:val="16"/>
                <w:szCs w:val="16"/>
                <w:lang w:eastAsia="zh-TW"/>
              </w:rPr>
              <w:t>3.69%</w:t>
            </w:r>
          </w:p>
        </w:tc>
        <w:tc>
          <w:tcPr>
            <w:tcW w:w="773" w:type="dxa"/>
            <w:tcBorders>
              <w:top w:val="nil"/>
              <w:left w:val="nil"/>
              <w:bottom w:val="single" w:sz="8" w:space="0" w:color="auto"/>
              <w:right w:val="single" w:sz="8" w:space="0" w:color="auto"/>
            </w:tcBorders>
            <w:tcMar>
              <w:top w:w="14" w:type="dxa"/>
              <w:left w:w="58" w:type="dxa"/>
              <w:bottom w:w="14" w:type="dxa"/>
              <w:right w:w="58" w:type="dxa"/>
            </w:tcMar>
            <w:vAlign w:val="center"/>
            <w:hideMark/>
          </w:tcPr>
          <w:p w:rsidR="00083D96" w:rsidRPr="00E0032D" w:rsidP="000E7AC7" w14:paraId="407DFF17" w14:textId="77777777">
            <w:pPr>
              <w:spacing w:line="252" w:lineRule="auto"/>
              <w:jc w:val="right"/>
              <w:rPr>
                <w:rFonts w:ascii="Calibri" w:hAnsi="Calibri" w:cs="Calibri"/>
                <w:sz w:val="16"/>
                <w:szCs w:val="16"/>
                <w:lang w:eastAsia="zh-TW"/>
              </w:rPr>
            </w:pPr>
            <w:r w:rsidRPr="00E0032D">
              <w:rPr>
                <w:rFonts w:ascii="Calibri" w:hAnsi="Calibri" w:cs="Calibri"/>
                <w:sz w:val="16"/>
                <w:szCs w:val="16"/>
                <w:lang w:eastAsia="zh-TW"/>
              </w:rPr>
              <w:t>2.77%</w:t>
            </w:r>
          </w:p>
        </w:tc>
        <w:tc>
          <w:tcPr>
            <w:tcW w:w="768" w:type="dxa"/>
            <w:tcBorders>
              <w:top w:val="nil"/>
              <w:left w:val="nil"/>
              <w:bottom w:val="single" w:sz="8" w:space="0" w:color="auto"/>
              <w:right w:val="single" w:sz="8" w:space="0" w:color="auto"/>
            </w:tcBorders>
            <w:tcMar>
              <w:top w:w="14" w:type="dxa"/>
              <w:left w:w="58" w:type="dxa"/>
              <w:bottom w:w="14" w:type="dxa"/>
              <w:right w:w="58" w:type="dxa"/>
            </w:tcMar>
            <w:vAlign w:val="center"/>
            <w:hideMark/>
          </w:tcPr>
          <w:p w:rsidR="00083D96" w:rsidRPr="00E0032D" w:rsidP="000E7AC7" w14:paraId="3CAFDE69" w14:textId="77777777">
            <w:pPr>
              <w:spacing w:line="252" w:lineRule="auto"/>
              <w:jc w:val="right"/>
              <w:rPr>
                <w:rFonts w:ascii="Calibri" w:hAnsi="Calibri" w:cs="Calibri"/>
                <w:sz w:val="16"/>
                <w:szCs w:val="16"/>
                <w:lang w:eastAsia="zh-TW"/>
              </w:rPr>
            </w:pPr>
            <w:r w:rsidRPr="00E0032D">
              <w:rPr>
                <w:rFonts w:ascii="Calibri" w:hAnsi="Calibri" w:cs="Calibri"/>
                <w:sz w:val="16"/>
                <w:szCs w:val="16"/>
                <w:lang w:eastAsia="zh-TW"/>
              </w:rPr>
              <w:t>2.01%</w:t>
            </w:r>
          </w:p>
        </w:tc>
      </w:tr>
    </w:tbl>
    <w:p w:rsidR="00AA62A8" w:rsidP="00AA62A8" w14:paraId="52409D9F" w14:textId="77777777">
      <w:pPr>
        <w:spacing w:before="60" w:after="200"/>
        <w:ind w:left="187" w:hanging="187"/>
        <w:rPr>
          <w:rFonts w:ascii="Calibri" w:hAnsi="Calibri" w:cs="Calibri"/>
          <w:i/>
          <w:iCs/>
          <w:sz w:val="20"/>
          <w:szCs w:val="20"/>
        </w:rPr>
      </w:pPr>
      <w:r>
        <w:rPr>
          <w:color w:val="FFFFFF"/>
          <w:sz w:val="20"/>
          <w:szCs w:val="20"/>
          <w:vertAlign w:val="superscript"/>
        </w:rPr>
        <w:t>1</w:t>
      </w:r>
      <w:r>
        <w:rPr>
          <w:sz w:val="22"/>
        </w:rPr>
        <w:t xml:space="preserve"> </w:t>
      </w:r>
      <w:r>
        <w:rPr>
          <w:i/>
          <w:iCs/>
          <w:sz w:val="20"/>
          <w:szCs w:val="20"/>
        </w:rPr>
        <w:t>Use of balancing methodology in the sample (described above) will result in slightly lower MOEs to the extent that the balancing criteria are predictors of survey responses.</w:t>
      </w:r>
    </w:p>
    <w:p w:rsidR="00631611" w:rsidP="00631611" w14:paraId="30AB2F11" w14:textId="2222B1D8">
      <w:pPr>
        <w:ind w:left="720"/>
      </w:pPr>
      <w:r w:rsidRPr="00AA4366">
        <w:t>Th</w:t>
      </w:r>
      <w:r w:rsidR="00DA115B">
        <w:t>e</w:t>
      </w:r>
      <w:r w:rsidRPr="00AA4366">
        <w:t xml:space="preserve"> sample size</w:t>
      </w:r>
      <w:r w:rsidR="00DA115B">
        <w:t>s for each survey</w:t>
      </w:r>
      <w:r w:rsidRPr="00AA4366">
        <w:t xml:space="preserve"> also provide sufficient power for testing between groups within the </w:t>
      </w:r>
      <w:r w:rsidR="00866CFB">
        <w:t>responses</w:t>
      </w:r>
      <w:r w:rsidRPr="00AA4366">
        <w:t xml:space="preserve">. </w:t>
      </w:r>
      <w:r w:rsidR="00A70115">
        <w:t>T</w:t>
      </w:r>
      <w:r>
        <w:t>able 3</w:t>
      </w:r>
      <w:r w:rsidRPr="00AA4366">
        <w:t xml:space="preserve"> shows</w:t>
      </w:r>
      <w:r w:rsidR="00A70115">
        <w:t xml:space="preserve"> that for</w:t>
      </w:r>
      <w:r w:rsidRPr="00AA4366">
        <w:t xml:space="preserve"> the sample size of </w:t>
      </w:r>
      <w:r>
        <w:t>5</w:t>
      </w:r>
      <w:r w:rsidRPr="00AA4366">
        <w:t xml:space="preserve">00 </w:t>
      </w:r>
      <w:r w:rsidR="00011889">
        <w:t xml:space="preserve">nursing home or hospital administrators, </w:t>
      </w:r>
      <w:r w:rsidR="00A70115">
        <w:t xml:space="preserve">we will have a level of </w:t>
      </w:r>
      <w:r w:rsidRPr="00AA4366">
        <w:t xml:space="preserve">power of </w:t>
      </w:r>
      <w:r w:rsidR="00113E97">
        <w:t>0.92</w:t>
      </w:r>
      <w:r w:rsidR="00A70115">
        <w:t xml:space="preserve"> for an effect </w:t>
      </w:r>
      <w:r w:rsidR="00517256">
        <w:t>size</w:t>
      </w:r>
      <w:r w:rsidR="00A70115">
        <w:t xml:space="preserve"> of 0.15 (between </w:t>
      </w:r>
      <w:r w:rsidRPr="00AA4366" w:rsidR="00A70115">
        <w:t xml:space="preserve">a small to medium </w:t>
      </w:r>
      <w:r w:rsidR="00A70115">
        <w:t>effect size) with</w:t>
      </w:r>
      <w:r w:rsidRPr="00AA4366">
        <w:t xml:space="preserve"> Type I probability of 5%</w:t>
      </w:r>
      <w:r w:rsidR="00011889">
        <w:t xml:space="preserve">, and for </w:t>
      </w:r>
      <w:r w:rsidR="00F37A30">
        <w:t xml:space="preserve">the </w:t>
      </w:r>
      <w:r w:rsidR="00011889">
        <w:t xml:space="preserve">outpatient clinician survey with </w:t>
      </w:r>
      <w:r w:rsidRPr="00AA4366" w:rsidR="00011889">
        <w:t xml:space="preserve">the sample size of </w:t>
      </w:r>
      <w:r w:rsidR="00011889">
        <w:t>900</w:t>
      </w:r>
      <w:r w:rsidRPr="00AA4366" w:rsidR="00011889">
        <w:t xml:space="preserve"> </w:t>
      </w:r>
      <w:r w:rsidR="00011889">
        <w:t xml:space="preserve">clinicians, we will have a level of </w:t>
      </w:r>
      <w:r w:rsidRPr="00AA4366" w:rsidR="00011889">
        <w:t xml:space="preserve">power of </w:t>
      </w:r>
      <w:r w:rsidR="00011889">
        <w:t xml:space="preserve">0.96 for an effect size of 0.13 (between </w:t>
      </w:r>
      <w:r w:rsidRPr="00AA4366" w:rsidR="00011889">
        <w:t xml:space="preserve">a small to medium </w:t>
      </w:r>
      <w:r w:rsidR="00011889">
        <w:t>effect size) with</w:t>
      </w:r>
      <w:r w:rsidRPr="00AA4366" w:rsidR="00011889">
        <w:t xml:space="preserve"> Type I probability of 5%</w:t>
      </w:r>
      <w:r w:rsidR="00011889">
        <w:t>.</w:t>
      </w:r>
      <w:r>
        <w:t xml:space="preserve"> </w:t>
      </w:r>
      <w:r w:rsidR="00A70115">
        <w:t>I</w:t>
      </w:r>
      <w:r w:rsidRPr="00AA4366">
        <w:t>n other words, the sample size will differentiate between smaller size differences between groups.</w:t>
      </w:r>
    </w:p>
    <w:p w:rsidR="0015541A" w:rsidRPr="00E0032D" w:rsidP="00E0032D" w14:paraId="6F4A7A21" w14:textId="248D1540">
      <w:pPr>
        <w:pStyle w:val="Caption"/>
        <w:rPr>
          <w:b w:val="0"/>
          <w:bCs/>
        </w:rPr>
      </w:pPr>
      <w:r w:rsidRPr="00E0032D">
        <w:rPr>
          <w:b w:val="0"/>
          <w:bCs/>
        </w:rPr>
        <w:t>Table 3</w:t>
      </w:r>
      <w:r w:rsidRPr="00E0032D" w:rsidR="00595E69">
        <w:rPr>
          <w:b w:val="0"/>
          <w:bCs/>
        </w:rPr>
        <w:t>:</w:t>
      </w:r>
      <w:r w:rsidRPr="00E0032D">
        <w:rPr>
          <w:b w:val="0"/>
          <w:bCs/>
        </w:rPr>
        <w:t xml:space="preserve"> Sample Size</w:t>
      </w:r>
      <w:r w:rsidRPr="00E0032D" w:rsidR="00E23831">
        <w:rPr>
          <w:b w:val="0"/>
          <w:bCs/>
        </w:rPr>
        <w:t>, Power</w:t>
      </w:r>
      <w:r w:rsidRPr="00E0032D">
        <w:rPr>
          <w:b w:val="0"/>
          <w:bCs/>
        </w:rPr>
        <w:t xml:space="preserve"> and Effect Size</w:t>
      </w:r>
    </w:p>
    <w:tbl>
      <w:tblPr>
        <w:tblW w:w="8515" w:type="dxa"/>
        <w:jc w:val="center"/>
        <w:tblCellMar>
          <w:left w:w="0" w:type="dxa"/>
          <w:right w:w="0" w:type="dxa"/>
        </w:tblCellMar>
        <w:tblLook w:val="04A0"/>
      </w:tblPr>
      <w:tblGrid>
        <w:gridCol w:w="898"/>
        <w:gridCol w:w="833"/>
        <w:gridCol w:w="830"/>
        <w:gridCol w:w="833"/>
        <w:gridCol w:w="830"/>
        <w:gridCol w:w="830"/>
        <w:gridCol w:w="830"/>
        <w:gridCol w:w="830"/>
        <w:gridCol w:w="830"/>
        <w:gridCol w:w="971"/>
      </w:tblGrid>
      <w:tr w14:paraId="22291F9D" w14:textId="77777777" w:rsidTr="00DB7805">
        <w:tblPrEx>
          <w:tblW w:w="8515" w:type="dxa"/>
          <w:jc w:val="center"/>
          <w:tblCellMar>
            <w:left w:w="0" w:type="dxa"/>
            <w:right w:w="0" w:type="dxa"/>
          </w:tblCellMar>
          <w:tblLook w:val="04A0"/>
        </w:tblPrEx>
        <w:trPr>
          <w:trHeight w:val="259"/>
          <w:jc w:val="center"/>
        </w:trPr>
        <w:tc>
          <w:tcPr>
            <w:tcW w:w="898" w:type="dxa"/>
            <w:vMerge w:val="restart"/>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5541A" w:rsidRPr="00EF1CD3" w:rsidP="000E7AC7" w14:paraId="173C2D7D" w14:textId="77777777">
            <w:pPr>
              <w:rPr>
                <w:rFonts w:asciiTheme="majorHAnsi" w:hAnsiTheme="majorHAnsi" w:cstheme="majorHAnsi"/>
                <w:sz w:val="22"/>
              </w:rPr>
            </w:pPr>
            <w:r w:rsidRPr="00EF1CD3">
              <w:rPr>
                <w:rFonts w:asciiTheme="majorHAnsi" w:hAnsiTheme="majorHAnsi" w:cstheme="majorHAnsi"/>
                <w:color w:val="000000"/>
                <w:sz w:val="22"/>
              </w:rPr>
              <w:t>Sample</w:t>
            </w:r>
          </w:p>
        </w:tc>
        <w:tc>
          <w:tcPr>
            <w:tcW w:w="833" w:type="dxa"/>
            <w:vMerge w:val="restart"/>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15541A" w:rsidRPr="00EF1CD3" w:rsidP="000E7AC7" w14:paraId="7AA9E4A8" w14:textId="77777777">
            <w:pPr>
              <w:jc w:val="center"/>
              <w:rPr>
                <w:rFonts w:asciiTheme="majorHAnsi" w:hAnsiTheme="majorHAnsi" w:cstheme="majorHAnsi"/>
                <w:sz w:val="22"/>
              </w:rPr>
            </w:pPr>
            <w:r w:rsidRPr="00EF1CD3">
              <w:rPr>
                <w:rFonts w:asciiTheme="majorHAnsi" w:hAnsiTheme="majorHAnsi" w:cstheme="majorHAnsi"/>
                <w:color w:val="000000"/>
                <w:sz w:val="22"/>
              </w:rPr>
              <w:t>Error</w:t>
            </w:r>
          </w:p>
        </w:tc>
        <w:tc>
          <w:tcPr>
            <w:tcW w:w="6784" w:type="dxa"/>
            <w:gridSpan w:val="8"/>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15541A" w:rsidRPr="00EF1CD3" w:rsidP="000E7AC7" w14:paraId="62B5EF79" w14:textId="77777777">
            <w:pPr>
              <w:jc w:val="center"/>
              <w:rPr>
                <w:rFonts w:asciiTheme="majorHAnsi" w:hAnsiTheme="majorHAnsi" w:cstheme="majorHAnsi"/>
                <w:sz w:val="22"/>
              </w:rPr>
            </w:pPr>
            <w:r w:rsidRPr="00EF1CD3">
              <w:rPr>
                <w:rFonts w:asciiTheme="majorHAnsi" w:hAnsiTheme="majorHAnsi" w:cstheme="majorHAnsi"/>
                <w:color w:val="000000"/>
                <w:sz w:val="22"/>
              </w:rPr>
              <w:t>Effect Size (</w:t>
            </w:r>
            <w:r w:rsidRPr="00EF1CD3">
              <w:rPr>
                <w:rFonts w:asciiTheme="majorHAnsi" w:hAnsiTheme="majorHAnsi" w:cstheme="majorHAnsi"/>
                <w:i/>
                <w:iCs/>
                <w:color w:val="000000"/>
                <w:sz w:val="22"/>
              </w:rPr>
              <w:t>f--ANOVA Effect and Interaction</w:t>
            </w:r>
            <w:r w:rsidRPr="00EF1CD3">
              <w:rPr>
                <w:rFonts w:asciiTheme="majorHAnsi" w:hAnsiTheme="majorHAnsi" w:cstheme="majorHAnsi"/>
                <w:color w:val="000000"/>
                <w:sz w:val="22"/>
              </w:rPr>
              <w:t>)</w:t>
            </w:r>
          </w:p>
        </w:tc>
      </w:tr>
      <w:tr w14:paraId="1D8E3364" w14:textId="77777777" w:rsidTr="00DB7805">
        <w:tblPrEx>
          <w:tblW w:w="8515" w:type="dxa"/>
          <w:jc w:val="center"/>
          <w:tblCellMar>
            <w:left w:w="0" w:type="dxa"/>
            <w:right w:w="0" w:type="dxa"/>
          </w:tblCellMar>
          <w:tblLook w:val="04A0"/>
        </w:tblPrEx>
        <w:trPr>
          <w:trHeight w:val="259"/>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15541A" w:rsidRPr="00EF1CD3" w:rsidP="000E7AC7" w14:paraId="363E88A3" w14:textId="77777777">
            <w:pPr>
              <w:rPr>
                <w:rFonts w:asciiTheme="majorHAnsi" w:hAnsiTheme="majorHAnsi" w:cstheme="majorHAnsi"/>
                <w:sz w:val="22"/>
              </w:rPr>
            </w:pPr>
          </w:p>
        </w:tc>
        <w:tc>
          <w:tcPr>
            <w:tcW w:w="0" w:type="auto"/>
            <w:vMerge/>
            <w:tcBorders>
              <w:top w:val="single" w:sz="8" w:space="0" w:color="auto"/>
              <w:left w:val="nil"/>
              <w:bottom w:val="single" w:sz="8" w:space="0" w:color="auto"/>
              <w:right w:val="single" w:sz="8" w:space="0" w:color="auto"/>
            </w:tcBorders>
            <w:vAlign w:val="center"/>
            <w:hideMark/>
          </w:tcPr>
          <w:p w:rsidR="0015541A" w:rsidRPr="00EF1CD3" w:rsidP="000E7AC7" w14:paraId="180CB5A6" w14:textId="77777777">
            <w:pPr>
              <w:rPr>
                <w:rFonts w:asciiTheme="majorHAnsi" w:hAnsiTheme="majorHAnsi" w:cstheme="majorHAnsi"/>
                <w:sz w:val="22"/>
              </w:rPr>
            </w:pPr>
          </w:p>
        </w:tc>
        <w:tc>
          <w:tcPr>
            <w:tcW w:w="83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5541A" w:rsidRPr="00EF1CD3" w:rsidP="000E7AC7" w14:paraId="3AA17261" w14:textId="77777777">
            <w:pPr>
              <w:rPr>
                <w:rFonts w:asciiTheme="majorHAnsi" w:hAnsiTheme="majorHAnsi" w:cstheme="majorHAnsi"/>
                <w:sz w:val="22"/>
              </w:rPr>
            </w:pPr>
            <w:r w:rsidRPr="00EF1CD3">
              <w:rPr>
                <w:rFonts w:asciiTheme="majorHAnsi" w:hAnsiTheme="majorHAnsi" w:cstheme="majorHAnsi"/>
                <w:color w:val="000000"/>
                <w:sz w:val="22"/>
              </w:rPr>
              <w:t> </w:t>
            </w:r>
          </w:p>
        </w:tc>
        <w:tc>
          <w:tcPr>
            <w:tcW w:w="8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5541A" w:rsidRPr="00EF1CD3" w:rsidP="000E7AC7" w14:paraId="5EADBB3E" w14:textId="77777777">
            <w:pPr>
              <w:rPr>
                <w:rFonts w:asciiTheme="majorHAnsi" w:hAnsiTheme="majorHAnsi" w:cstheme="majorHAnsi"/>
                <w:sz w:val="22"/>
              </w:rPr>
            </w:pPr>
            <w:r w:rsidRPr="00EF1CD3">
              <w:rPr>
                <w:rFonts w:asciiTheme="majorHAnsi" w:hAnsiTheme="majorHAnsi" w:cstheme="majorHAnsi"/>
                <w:color w:val="000000"/>
                <w:sz w:val="22"/>
              </w:rPr>
              <w:t>Small</w:t>
            </w:r>
          </w:p>
        </w:tc>
        <w:tc>
          <w:tcPr>
            <w:tcW w:w="83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5541A" w:rsidRPr="00EF1CD3" w:rsidP="000E7AC7" w14:paraId="49F528B7" w14:textId="77777777">
            <w:pPr>
              <w:rPr>
                <w:rFonts w:asciiTheme="majorHAnsi" w:hAnsiTheme="majorHAnsi" w:cstheme="majorHAnsi"/>
                <w:sz w:val="22"/>
              </w:rPr>
            </w:pPr>
            <w:r w:rsidRPr="00EF1CD3">
              <w:rPr>
                <w:rFonts w:asciiTheme="majorHAnsi" w:hAnsiTheme="majorHAnsi" w:cstheme="majorHAnsi"/>
                <w:color w:val="000000"/>
                <w:sz w:val="22"/>
              </w:rPr>
              <w:t> </w:t>
            </w:r>
          </w:p>
        </w:tc>
        <w:tc>
          <w:tcPr>
            <w:tcW w:w="83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5541A" w:rsidRPr="00EF1CD3" w:rsidP="000E7AC7" w14:paraId="5D27E399" w14:textId="77777777">
            <w:pPr>
              <w:rPr>
                <w:rFonts w:asciiTheme="majorHAnsi" w:hAnsiTheme="majorHAnsi" w:cstheme="majorHAnsi"/>
                <w:sz w:val="22"/>
              </w:rPr>
            </w:pPr>
            <w:r w:rsidRPr="00EF1CD3">
              <w:rPr>
                <w:rFonts w:asciiTheme="majorHAnsi" w:hAnsiTheme="majorHAnsi" w:cstheme="majorHAnsi"/>
                <w:color w:val="000000"/>
                <w:sz w:val="22"/>
              </w:rPr>
              <w:t> </w:t>
            </w:r>
          </w:p>
        </w:tc>
        <w:tc>
          <w:tcPr>
            <w:tcW w:w="83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5541A" w:rsidRPr="00EF1CD3" w:rsidP="000E7AC7" w14:paraId="5E534CBB" w14:textId="77777777">
            <w:pPr>
              <w:rPr>
                <w:rFonts w:asciiTheme="majorHAnsi" w:hAnsiTheme="majorHAnsi" w:cstheme="majorHAnsi"/>
                <w:sz w:val="22"/>
              </w:rPr>
            </w:pPr>
            <w:r w:rsidRPr="00EF1CD3">
              <w:rPr>
                <w:rFonts w:asciiTheme="majorHAnsi" w:hAnsiTheme="majorHAnsi" w:cstheme="majorHAnsi"/>
                <w:color w:val="000000"/>
                <w:sz w:val="22"/>
              </w:rPr>
              <w:t> </w:t>
            </w:r>
          </w:p>
        </w:tc>
        <w:tc>
          <w:tcPr>
            <w:tcW w:w="83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5541A" w:rsidRPr="00EF1CD3" w:rsidP="000E7AC7" w14:paraId="3CB38E35" w14:textId="77777777">
            <w:pPr>
              <w:rPr>
                <w:rFonts w:asciiTheme="majorHAnsi" w:hAnsiTheme="majorHAnsi" w:cstheme="majorHAnsi"/>
                <w:sz w:val="22"/>
              </w:rPr>
            </w:pPr>
            <w:r w:rsidRPr="00EF1CD3">
              <w:rPr>
                <w:rFonts w:asciiTheme="majorHAnsi" w:hAnsiTheme="majorHAnsi" w:cstheme="majorHAnsi"/>
                <w:color w:val="000000"/>
                <w:sz w:val="22"/>
              </w:rPr>
              <w:t> </w:t>
            </w:r>
          </w:p>
        </w:tc>
        <w:tc>
          <w:tcPr>
            <w:tcW w:w="83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5541A" w:rsidRPr="00EF1CD3" w:rsidP="000E7AC7" w14:paraId="4F634CC9" w14:textId="77777777">
            <w:pPr>
              <w:rPr>
                <w:rFonts w:asciiTheme="majorHAnsi" w:hAnsiTheme="majorHAnsi" w:cstheme="majorHAnsi"/>
                <w:sz w:val="22"/>
              </w:rPr>
            </w:pPr>
            <w:r w:rsidRPr="00EF1CD3">
              <w:rPr>
                <w:rFonts w:asciiTheme="majorHAnsi" w:hAnsiTheme="majorHAnsi" w:cstheme="majorHAnsi"/>
                <w:color w:val="000000"/>
                <w:sz w:val="22"/>
              </w:rPr>
              <w:t> </w:t>
            </w: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5541A" w:rsidRPr="00EF1CD3" w:rsidP="000E7AC7" w14:paraId="2F85AA70" w14:textId="77777777">
            <w:pPr>
              <w:rPr>
                <w:rFonts w:asciiTheme="majorHAnsi" w:hAnsiTheme="majorHAnsi" w:cstheme="majorHAnsi"/>
                <w:sz w:val="22"/>
              </w:rPr>
            </w:pPr>
            <w:r w:rsidRPr="00EF1CD3">
              <w:rPr>
                <w:rFonts w:asciiTheme="majorHAnsi" w:hAnsiTheme="majorHAnsi" w:cstheme="majorHAnsi"/>
                <w:color w:val="000000"/>
                <w:sz w:val="22"/>
              </w:rPr>
              <w:t>Medium</w:t>
            </w:r>
          </w:p>
        </w:tc>
      </w:tr>
      <w:tr w14:paraId="763AF293" w14:textId="77777777" w:rsidTr="000E7AC7">
        <w:tblPrEx>
          <w:tblW w:w="8515" w:type="dxa"/>
          <w:jc w:val="center"/>
          <w:tblCellMar>
            <w:left w:w="0" w:type="dxa"/>
            <w:right w:w="0" w:type="dxa"/>
          </w:tblCellMar>
          <w:tblLook w:val="04A0"/>
        </w:tblPrEx>
        <w:trPr>
          <w:trHeight w:val="259"/>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113E97" w:rsidRPr="00EF1CD3" w:rsidP="00113E97" w14:paraId="2FF7FA1F" w14:textId="77777777">
            <w:pPr>
              <w:rPr>
                <w:rFonts w:asciiTheme="majorHAnsi" w:hAnsiTheme="majorHAnsi" w:cstheme="majorHAnsi"/>
                <w:sz w:val="22"/>
              </w:rPr>
            </w:pPr>
          </w:p>
        </w:tc>
        <w:tc>
          <w:tcPr>
            <w:tcW w:w="0" w:type="auto"/>
            <w:vMerge/>
            <w:tcBorders>
              <w:top w:val="single" w:sz="8" w:space="0" w:color="auto"/>
              <w:left w:val="nil"/>
              <w:bottom w:val="single" w:sz="8" w:space="0" w:color="auto"/>
              <w:right w:val="single" w:sz="8" w:space="0" w:color="auto"/>
            </w:tcBorders>
            <w:vAlign w:val="center"/>
            <w:hideMark/>
          </w:tcPr>
          <w:p w:rsidR="00113E97" w:rsidRPr="00EF1CD3" w:rsidP="00113E97" w14:paraId="57433E4B" w14:textId="77777777">
            <w:pPr>
              <w:rPr>
                <w:rFonts w:asciiTheme="majorHAnsi" w:hAnsiTheme="majorHAnsi" w:cstheme="majorHAnsi"/>
                <w:sz w:val="22"/>
              </w:rPr>
            </w:pPr>
          </w:p>
        </w:tc>
        <w:tc>
          <w:tcPr>
            <w:tcW w:w="83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3E97" w:rsidRPr="00EF1CD3" w:rsidP="00113E97" w14:paraId="49B9A494" w14:textId="623B15F1">
            <w:pPr>
              <w:jc w:val="right"/>
              <w:rPr>
                <w:rFonts w:asciiTheme="majorHAnsi" w:hAnsiTheme="majorHAnsi" w:cstheme="majorHAnsi"/>
                <w:sz w:val="22"/>
              </w:rPr>
            </w:pPr>
            <w:r w:rsidRPr="00EF1CD3">
              <w:rPr>
                <w:rFonts w:asciiTheme="majorHAnsi" w:hAnsiTheme="majorHAnsi" w:cstheme="majorHAnsi"/>
                <w:color w:val="000000"/>
                <w:sz w:val="22"/>
              </w:rPr>
              <w:t>0.08</w:t>
            </w:r>
          </w:p>
        </w:tc>
        <w:tc>
          <w:tcPr>
            <w:tcW w:w="83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3E97" w:rsidRPr="00EF1CD3" w:rsidP="00113E97" w14:paraId="71EB99BB" w14:textId="2B4B9C4D">
            <w:pPr>
              <w:jc w:val="right"/>
              <w:rPr>
                <w:rFonts w:asciiTheme="majorHAnsi" w:hAnsiTheme="majorHAnsi" w:cstheme="majorHAnsi"/>
                <w:sz w:val="22"/>
              </w:rPr>
            </w:pPr>
            <w:r w:rsidRPr="00EF1CD3">
              <w:rPr>
                <w:rFonts w:asciiTheme="majorHAnsi" w:hAnsiTheme="majorHAnsi" w:cstheme="majorHAnsi"/>
                <w:color w:val="000000"/>
                <w:sz w:val="22"/>
              </w:rPr>
              <w:t>0.10</w:t>
            </w:r>
          </w:p>
        </w:tc>
        <w:tc>
          <w:tcPr>
            <w:tcW w:w="83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3E97" w:rsidRPr="00EF1CD3" w:rsidP="00113E97" w14:paraId="76757E36" w14:textId="45DED4C3">
            <w:pPr>
              <w:jc w:val="right"/>
              <w:rPr>
                <w:rFonts w:asciiTheme="majorHAnsi" w:hAnsiTheme="majorHAnsi" w:cstheme="majorHAnsi"/>
                <w:sz w:val="22"/>
              </w:rPr>
            </w:pPr>
            <w:r w:rsidRPr="00EF1CD3">
              <w:rPr>
                <w:rFonts w:asciiTheme="majorHAnsi" w:hAnsiTheme="majorHAnsi" w:cstheme="majorHAnsi"/>
                <w:color w:val="000000"/>
                <w:sz w:val="22"/>
              </w:rPr>
              <w:t>0.13</w:t>
            </w:r>
          </w:p>
        </w:tc>
        <w:tc>
          <w:tcPr>
            <w:tcW w:w="83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3E97" w:rsidRPr="00EF1CD3" w:rsidP="00113E97" w14:paraId="1477D162" w14:textId="41211391">
            <w:pPr>
              <w:jc w:val="right"/>
              <w:rPr>
                <w:rFonts w:asciiTheme="majorHAnsi" w:hAnsiTheme="majorHAnsi" w:cstheme="majorHAnsi"/>
                <w:sz w:val="22"/>
              </w:rPr>
            </w:pPr>
            <w:r w:rsidRPr="00EF1CD3">
              <w:rPr>
                <w:rFonts w:asciiTheme="majorHAnsi" w:hAnsiTheme="majorHAnsi" w:cstheme="majorHAnsi"/>
                <w:color w:val="000000"/>
                <w:sz w:val="22"/>
              </w:rPr>
              <w:t>0.15</w:t>
            </w:r>
          </w:p>
        </w:tc>
        <w:tc>
          <w:tcPr>
            <w:tcW w:w="83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3E97" w:rsidRPr="00EF1CD3" w:rsidP="00113E97" w14:paraId="53A86881" w14:textId="52C432D7">
            <w:pPr>
              <w:jc w:val="right"/>
              <w:rPr>
                <w:rFonts w:asciiTheme="majorHAnsi" w:hAnsiTheme="majorHAnsi" w:cstheme="majorHAnsi"/>
                <w:sz w:val="22"/>
              </w:rPr>
            </w:pPr>
            <w:r w:rsidRPr="00EF1CD3">
              <w:rPr>
                <w:rFonts w:asciiTheme="majorHAnsi" w:hAnsiTheme="majorHAnsi" w:cstheme="majorHAnsi"/>
                <w:color w:val="000000"/>
                <w:sz w:val="22"/>
              </w:rPr>
              <w:t>0.18</w:t>
            </w:r>
          </w:p>
        </w:tc>
        <w:tc>
          <w:tcPr>
            <w:tcW w:w="83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3E97" w:rsidRPr="00EF1CD3" w:rsidP="00113E97" w14:paraId="7EBDF6C6" w14:textId="50C60529">
            <w:pPr>
              <w:jc w:val="right"/>
              <w:rPr>
                <w:rFonts w:asciiTheme="majorHAnsi" w:hAnsiTheme="majorHAnsi" w:cstheme="majorHAnsi"/>
                <w:sz w:val="22"/>
              </w:rPr>
            </w:pPr>
            <w:r w:rsidRPr="00EF1CD3">
              <w:rPr>
                <w:rFonts w:asciiTheme="majorHAnsi" w:hAnsiTheme="majorHAnsi" w:cstheme="majorHAnsi"/>
                <w:color w:val="000000"/>
                <w:sz w:val="22"/>
              </w:rPr>
              <w:t>0.20</w:t>
            </w:r>
          </w:p>
        </w:tc>
        <w:tc>
          <w:tcPr>
            <w:tcW w:w="83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3E97" w:rsidRPr="00EF1CD3" w:rsidP="00113E97" w14:paraId="58B108EF" w14:textId="1A44989A">
            <w:pPr>
              <w:jc w:val="right"/>
              <w:rPr>
                <w:rFonts w:asciiTheme="majorHAnsi" w:hAnsiTheme="majorHAnsi" w:cstheme="majorHAnsi"/>
                <w:sz w:val="22"/>
              </w:rPr>
            </w:pPr>
            <w:r w:rsidRPr="00EF1CD3">
              <w:rPr>
                <w:rFonts w:asciiTheme="majorHAnsi" w:hAnsiTheme="majorHAnsi" w:cstheme="majorHAnsi"/>
                <w:color w:val="000000"/>
                <w:sz w:val="22"/>
              </w:rPr>
              <w:t>0.23</w:t>
            </w: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3E97" w:rsidRPr="00EF1CD3" w:rsidP="00113E97" w14:paraId="1AB08E2C" w14:textId="7499AE4E">
            <w:pPr>
              <w:jc w:val="right"/>
              <w:rPr>
                <w:rFonts w:asciiTheme="majorHAnsi" w:hAnsiTheme="majorHAnsi" w:cstheme="majorHAnsi"/>
                <w:sz w:val="22"/>
              </w:rPr>
            </w:pPr>
            <w:r w:rsidRPr="00EF1CD3">
              <w:rPr>
                <w:rFonts w:asciiTheme="majorHAnsi" w:hAnsiTheme="majorHAnsi" w:cstheme="majorHAnsi"/>
                <w:color w:val="000000"/>
                <w:sz w:val="22"/>
              </w:rPr>
              <w:t>0.25</w:t>
            </w:r>
          </w:p>
        </w:tc>
      </w:tr>
      <w:tr w14:paraId="3D077963" w14:textId="77777777" w:rsidTr="000E7AC7">
        <w:tblPrEx>
          <w:tblW w:w="8515" w:type="dxa"/>
          <w:jc w:val="center"/>
          <w:tblCellMar>
            <w:left w:w="0" w:type="dxa"/>
            <w:right w:w="0" w:type="dxa"/>
          </w:tblCellMar>
          <w:tblLook w:val="04A0"/>
        </w:tblPrEx>
        <w:trPr>
          <w:trHeight w:val="259"/>
          <w:jc w:val="center"/>
        </w:trPr>
        <w:tc>
          <w:tcPr>
            <w:tcW w:w="89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13E97" w:rsidRPr="00EF1CD3" w:rsidP="00113E97" w14:paraId="0D1464EA" w14:textId="77777777">
            <w:pPr>
              <w:jc w:val="right"/>
              <w:rPr>
                <w:rFonts w:asciiTheme="majorHAnsi" w:hAnsiTheme="majorHAnsi" w:cstheme="majorHAnsi"/>
                <w:sz w:val="22"/>
              </w:rPr>
            </w:pPr>
            <w:r w:rsidRPr="00EF1CD3">
              <w:rPr>
                <w:rFonts w:asciiTheme="majorHAnsi" w:hAnsiTheme="majorHAnsi" w:cstheme="majorHAnsi"/>
                <w:color w:val="000000"/>
                <w:sz w:val="22"/>
              </w:rPr>
              <w:t>500</w:t>
            </w:r>
          </w:p>
        </w:tc>
        <w:tc>
          <w:tcPr>
            <w:tcW w:w="8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13E97" w:rsidRPr="00EF1CD3" w:rsidP="00113E97" w14:paraId="62701CC1" w14:textId="3DBA9A9E">
            <w:pPr>
              <w:jc w:val="right"/>
              <w:rPr>
                <w:rFonts w:asciiTheme="majorHAnsi" w:hAnsiTheme="majorHAnsi" w:cstheme="majorHAnsi"/>
                <w:sz w:val="22"/>
              </w:rPr>
            </w:pPr>
            <w:r w:rsidRPr="00EF1CD3">
              <w:rPr>
                <w:rFonts w:asciiTheme="majorHAnsi" w:hAnsiTheme="majorHAnsi" w:cstheme="majorHAnsi"/>
                <w:color w:val="000000"/>
                <w:sz w:val="22"/>
              </w:rPr>
              <w:t>0.05</w:t>
            </w:r>
          </w:p>
        </w:tc>
        <w:tc>
          <w:tcPr>
            <w:tcW w:w="83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3E97" w:rsidRPr="00EF1CD3" w:rsidP="00113E97" w14:paraId="020C0E58" w14:textId="71A0EA92">
            <w:pPr>
              <w:jc w:val="right"/>
              <w:rPr>
                <w:rFonts w:asciiTheme="majorHAnsi" w:hAnsiTheme="majorHAnsi" w:cstheme="majorHAnsi"/>
                <w:sz w:val="22"/>
              </w:rPr>
            </w:pPr>
            <w:r w:rsidRPr="00EF1CD3">
              <w:rPr>
                <w:rFonts w:asciiTheme="majorHAnsi" w:hAnsiTheme="majorHAnsi" w:cstheme="majorHAnsi"/>
                <w:color w:val="000000"/>
                <w:sz w:val="22"/>
              </w:rPr>
              <w:t>0.39</w:t>
            </w:r>
          </w:p>
        </w:tc>
        <w:tc>
          <w:tcPr>
            <w:tcW w:w="83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3E97" w:rsidRPr="00EF1CD3" w:rsidP="00113E97" w14:paraId="238F024A" w14:textId="3A3F6184">
            <w:pPr>
              <w:jc w:val="right"/>
              <w:rPr>
                <w:rFonts w:asciiTheme="majorHAnsi" w:hAnsiTheme="majorHAnsi" w:cstheme="majorHAnsi"/>
                <w:sz w:val="22"/>
              </w:rPr>
            </w:pPr>
            <w:r w:rsidRPr="00EF1CD3">
              <w:rPr>
                <w:rFonts w:asciiTheme="majorHAnsi" w:hAnsiTheme="majorHAnsi" w:cstheme="majorHAnsi"/>
                <w:color w:val="000000"/>
                <w:sz w:val="22"/>
              </w:rPr>
              <w:t>0.61</w:t>
            </w:r>
          </w:p>
        </w:tc>
        <w:tc>
          <w:tcPr>
            <w:tcW w:w="83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3E97" w:rsidRPr="00EF1CD3" w:rsidP="00113E97" w14:paraId="40578CD4" w14:textId="31941735">
            <w:pPr>
              <w:jc w:val="right"/>
              <w:rPr>
                <w:rFonts w:asciiTheme="majorHAnsi" w:hAnsiTheme="majorHAnsi" w:cstheme="majorHAnsi"/>
                <w:sz w:val="22"/>
              </w:rPr>
            </w:pPr>
            <w:r w:rsidRPr="00EF1CD3">
              <w:rPr>
                <w:rFonts w:asciiTheme="majorHAnsi" w:hAnsiTheme="majorHAnsi" w:cstheme="majorHAnsi"/>
                <w:color w:val="000000"/>
                <w:sz w:val="22"/>
              </w:rPr>
              <w:t>0.80</w:t>
            </w:r>
          </w:p>
        </w:tc>
        <w:tc>
          <w:tcPr>
            <w:tcW w:w="830" w:type="dxa"/>
            <w:tcBorders>
              <w:top w:val="nil"/>
              <w:left w:val="nil"/>
              <w:bottom w:val="single" w:sz="8" w:space="0" w:color="auto"/>
              <w:right w:val="single" w:sz="8" w:space="0" w:color="auto"/>
            </w:tcBorders>
            <w:shd w:val="clear" w:color="auto" w:fill="FFC000"/>
            <w:noWrap/>
            <w:tcMar>
              <w:top w:w="0" w:type="dxa"/>
              <w:left w:w="108" w:type="dxa"/>
              <w:bottom w:w="0" w:type="dxa"/>
              <w:right w:w="108" w:type="dxa"/>
            </w:tcMar>
            <w:vAlign w:val="center"/>
            <w:hideMark/>
          </w:tcPr>
          <w:p w:rsidR="00113E97" w:rsidRPr="00EF1CD3" w:rsidP="00113E97" w14:paraId="79C2777B" w14:textId="6FB13E8A">
            <w:pPr>
              <w:jc w:val="right"/>
              <w:rPr>
                <w:rFonts w:asciiTheme="majorHAnsi" w:hAnsiTheme="majorHAnsi" w:cstheme="majorHAnsi"/>
                <w:sz w:val="22"/>
              </w:rPr>
            </w:pPr>
            <w:r w:rsidRPr="00EF1CD3">
              <w:rPr>
                <w:rFonts w:asciiTheme="majorHAnsi" w:hAnsiTheme="majorHAnsi" w:cstheme="majorHAnsi"/>
                <w:color w:val="000000"/>
                <w:sz w:val="22"/>
              </w:rPr>
              <w:t>0.92</w:t>
            </w:r>
          </w:p>
        </w:tc>
        <w:tc>
          <w:tcPr>
            <w:tcW w:w="830" w:type="dxa"/>
            <w:tcBorders>
              <w:top w:val="nil"/>
              <w:left w:val="nil"/>
              <w:bottom w:val="single" w:sz="8" w:space="0" w:color="auto"/>
              <w:right w:val="single" w:sz="8" w:space="0" w:color="auto"/>
            </w:tcBorders>
            <w:shd w:val="clear" w:color="auto" w:fill="FF0000"/>
            <w:noWrap/>
            <w:tcMar>
              <w:top w:w="0" w:type="dxa"/>
              <w:left w:w="108" w:type="dxa"/>
              <w:bottom w:w="0" w:type="dxa"/>
              <w:right w:w="108" w:type="dxa"/>
            </w:tcMar>
            <w:vAlign w:val="center"/>
            <w:hideMark/>
          </w:tcPr>
          <w:p w:rsidR="00113E97" w:rsidRPr="00EF1CD3" w:rsidP="00113E97" w14:paraId="346E9B0D" w14:textId="433F4E67">
            <w:pPr>
              <w:jc w:val="right"/>
              <w:rPr>
                <w:rFonts w:asciiTheme="majorHAnsi" w:hAnsiTheme="majorHAnsi" w:cstheme="majorHAnsi"/>
                <w:sz w:val="22"/>
              </w:rPr>
            </w:pPr>
            <w:r w:rsidRPr="00EF1CD3">
              <w:rPr>
                <w:rFonts w:asciiTheme="majorHAnsi" w:hAnsiTheme="majorHAnsi" w:cstheme="majorHAnsi"/>
                <w:sz w:val="22"/>
              </w:rPr>
              <w:t>0.97</w:t>
            </w:r>
          </w:p>
        </w:tc>
        <w:tc>
          <w:tcPr>
            <w:tcW w:w="830" w:type="dxa"/>
            <w:tcBorders>
              <w:top w:val="nil"/>
              <w:left w:val="nil"/>
              <w:bottom w:val="single" w:sz="8" w:space="0" w:color="auto"/>
              <w:right w:val="single" w:sz="8" w:space="0" w:color="auto"/>
            </w:tcBorders>
            <w:shd w:val="clear" w:color="auto" w:fill="C00000"/>
            <w:noWrap/>
            <w:tcMar>
              <w:top w:w="0" w:type="dxa"/>
              <w:left w:w="108" w:type="dxa"/>
              <w:bottom w:w="0" w:type="dxa"/>
              <w:right w:w="108" w:type="dxa"/>
            </w:tcMar>
            <w:vAlign w:val="center"/>
            <w:hideMark/>
          </w:tcPr>
          <w:p w:rsidR="00113E97" w:rsidRPr="00EF1CD3" w:rsidP="00113E97" w14:paraId="123F14D2" w14:textId="62F07379">
            <w:pPr>
              <w:jc w:val="right"/>
              <w:rPr>
                <w:rFonts w:asciiTheme="majorHAnsi" w:hAnsiTheme="majorHAnsi" w:cstheme="majorHAnsi"/>
                <w:color w:val="FFFFFF" w:themeColor="background1"/>
                <w:sz w:val="22"/>
              </w:rPr>
            </w:pPr>
            <w:r w:rsidRPr="00EF1CD3">
              <w:rPr>
                <w:rFonts w:asciiTheme="majorHAnsi" w:hAnsiTheme="majorHAnsi" w:cstheme="majorHAnsi"/>
                <w:color w:val="FFFFFF" w:themeColor="background1"/>
                <w:sz w:val="22"/>
              </w:rPr>
              <w:t>0.99</w:t>
            </w:r>
          </w:p>
        </w:tc>
        <w:tc>
          <w:tcPr>
            <w:tcW w:w="830" w:type="dxa"/>
            <w:tcBorders>
              <w:top w:val="nil"/>
              <w:left w:val="nil"/>
              <w:bottom w:val="single" w:sz="8" w:space="0" w:color="auto"/>
              <w:right w:val="single" w:sz="8" w:space="0" w:color="auto"/>
            </w:tcBorders>
            <w:shd w:val="clear" w:color="auto" w:fill="C00000"/>
            <w:noWrap/>
            <w:tcMar>
              <w:top w:w="0" w:type="dxa"/>
              <w:left w:w="108" w:type="dxa"/>
              <w:bottom w:w="0" w:type="dxa"/>
              <w:right w:w="108" w:type="dxa"/>
            </w:tcMar>
            <w:vAlign w:val="center"/>
            <w:hideMark/>
          </w:tcPr>
          <w:p w:rsidR="00113E97" w:rsidRPr="00EF1CD3" w:rsidP="00113E97" w14:paraId="190E80A0" w14:textId="135F2FBF">
            <w:pPr>
              <w:jc w:val="right"/>
              <w:rPr>
                <w:rFonts w:asciiTheme="majorHAnsi" w:hAnsiTheme="majorHAnsi" w:cstheme="majorHAnsi"/>
                <w:color w:val="FFFFFF" w:themeColor="background1"/>
                <w:sz w:val="22"/>
              </w:rPr>
            </w:pPr>
            <w:r w:rsidRPr="00EF1CD3">
              <w:rPr>
                <w:rFonts w:asciiTheme="majorHAnsi" w:hAnsiTheme="majorHAnsi" w:cstheme="majorHAnsi"/>
                <w:color w:val="FFFFFF" w:themeColor="background1"/>
                <w:sz w:val="22"/>
              </w:rPr>
              <w:t>1.00</w:t>
            </w:r>
          </w:p>
        </w:tc>
        <w:tc>
          <w:tcPr>
            <w:tcW w:w="971" w:type="dxa"/>
            <w:tcBorders>
              <w:top w:val="nil"/>
              <w:left w:val="nil"/>
              <w:bottom w:val="single" w:sz="8" w:space="0" w:color="auto"/>
              <w:right w:val="single" w:sz="8" w:space="0" w:color="auto"/>
            </w:tcBorders>
            <w:shd w:val="clear" w:color="auto" w:fill="C00000"/>
            <w:noWrap/>
            <w:tcMar>
              <w:top w:w="0" w:type="dxa"/>
              <w:left w:w="108" w:type="dxa"/>
              <w:bottom w:w="0" w:type="dxa"/>
              <w:right w:w="108" w:type="dxa"/>
            </w:tcMar>
            <w:vAlign w:val="center"/>
            <w:hideMark/>
          </w:tcPr>
          <w:p w:rsidR="00113E97" w:rsidRPr="00EF1CD3" w:rsidP="00113E97" w14:paraId="5C6946C6" w14:textId="2655F1C5">
            <w:pPr>
              <w:jc w:val="right"/>
              <w:rPr>
                <w:rFonts w:asciiTheme="majorHAnsi" w:hAnsiTheme="majorHAnsi" w:cstheme="majorHAnsi"/>
                <w:color w:val="FFFFFF" w:themeColor="background1"/>
                <w:sz w:val="22"/>
              </w:rPr>
            </w:pPr>
            <w:r w:rsidRPr="00EF1CD3">
              <w:rPr>
                <w:rFonts w:asciiTheme="majorHAnsi" w:hAnsiTheme="majorHAnsi" w:cstheme="majorHAnsi"/>
                <w:color w:val="FFFFFF" w:themeColor="background1"/>
                <w:sz w:val="22"/>
              </w:rPr>
              <w:t>1.00</w:t>
            </w:r>
          </w:p>
        </w:tc>
      </w:tr>
      <w:tr w14:paraId="2E7DE499" w14:textId="77777777" w:rsidTr="000E7AC7">
        <w:tblPrEx>
          <w:tblW w:w="8515" w:type="dxa"/>
          <w:jc w:val="center"/>
          <w:tblCellMar>
            <w:left w:w="0" w:type="dxa"/>
            <w:right w:w="0" w:type="dxa"/>
          </w:tblCellMar>
          <w:tblLook w:val="04A0"/>
        </w:tblPrEx>
        <w:trPr>
          <w:trHeight w:val="259"/>
          <w:jc w:val="center"/>
        </w:trPr>
        <w:tc>
          <w:tcPr>
            <w:tcW w:w="89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13E97" w:rsidRPr="00EF1CD3" w:rsidP="00113E97" w14:paraId="4F65080D" w14:textId="77777777">
            <w:pPr>
              <w:jc w:val="right"/>
              <w:rPr>
                <w:rFonts w:asciiTheme="majorHAnsi" w:hAnsiTheme="majorHAnsi" w:cstheme="majorHAnsi"/>
                <w:sz w:val="22"/>
              </w:rPr>
            </w:pPr>
            <w:r w:rsidRPr="00EF1CD3">
              <w:rPr>
                <w:rFonts w:asciiTheme="majorHAnsi" w:hAnsiTheme="majorHAnsi" w:cstheme="majorHAnsi"/>
                <w:color w:val="000000"/>
                <w:sz w:val="22"/>
              </w:rPr>
              <w:t>550</w:t>
            </w:r>
          </w:p>
        </w:tc>
        <w:tc>
          <w:tcPr>
            <w:tcW w:w="8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13E97" w:rsidRPr="00EF1CD3" w:rsidP="00113E97" w14:paraId="71F2B3BC" w14:textId="3ACA6E60">
            <w:pPr>
              <w:jc w:val="right"/>
              <w:rPr>
                <w:rFonts w:asciiTheme="majorHAnsi" w:hAnsiTheme="majorHAnsi" w:cstheme="majorHAnsi"/>
                <w:sz w:val="22"/>
              </w:rPr>
            </w:pPr>
            <w:r w:rsidRPr="00EF1CD3">
              <w:rPr>
                <w:rFonts w:asciiTheme="majorHAnsi" w:hAnsiTheme="majorHAnsi" w:cstheme="majorHAnsi"/>
                <w:color w:val="000000"/>
                <w:sz w:val="22"/>
              </w:rPr>
              <w:t>0.05</w:t>
            </w:r>
          </w:p>
        </w:tc>
        <w:tc>
          <w:tcPr>
            <w:tcW w:w="83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3E97" w:rsidRPr="00EF1CD3" w:rsidP="00113E97" w14:paraId="06E62B69" w14:textId="1EBD268F">
            <w:pPr>
              <w:jc w:val="right"/>
              <w:rPr>
                <w:rFonts w:asciiTheme="majorHAnsi" w:hAnsiTheme="majorHAnsi" w:cstheme="majorHAnsi"/>
                <w:sz w:val="22"/>
              </w:rPr>
            </w:pPr>
            <w:r w:rsidRPr="00EF1CD3">
              <w:rPr>
                <w:rFonts w:asciiTheme="majorHAnsi" w:hAnsiTheme="majorHAnsi" w:cstheme="majorHAnsi"/>
                <w:color w:val="000000"/>
                <w:sz w:val="22"/>
              </w:rPr>
              <w:t>0.42</w:t>
            </w:r>
          </w:p>
        </w:tc>
        <w:tc>
          <w:tcPr>
            <w:tcW w:w="83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3E97" w:rsidRPr="00EF1CD3" w:rsidP="00113E97" w14:paraId="471C1537" w14:textId="2C3B94C4">
            <w:pPr>
              <w:jc w:val="right"/>
              <w:rPr>
                <w:rFonts w:asciiTheme="majorHAnsi" w:hAnsiTheme="majorHAnsi" w:cstheme="majorHAnsi"/>
                <w:sz w:val="22"/>
              </w:rPr>
            </w:pPr>
            <w:r w:rsidRPr="00EF1CD3">
              <w:rPr>
                <w:rFonts w:asciiTheme="majorHAnsi" w:hAnsiTheme="majorHAnsi" w:cstheme="majorHAnsi"/>
                <w:color w:val="000000"/>
                <w:sz w:val="22"/>
              </w:rPr>
              <w:t>0.65</w:t>
            </w:r>
          </w:p>
        </w:tc>
        <w:tc>
          <w:tcPr>
            <w:tcW w:w="83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center"/>
            <w:hideMark/>
          </w:tcPr>
          <w:p w:rsidR="00113E97" w:rsidRPr="00EF1CD3" w:rsidP="00113E97" w14:paraId="1B66B00E" w14:textId="5FF4EB88">
            <w:pPr>
              <w:jc w:val="right"/>
              <w:rPr>
                <w:rFonts w:asciiTheme="majorHAnsi" w:hAnsiTheme="majorHAnsi" w:cstheme="majorHAnsi"/>
                <w:sz w:val="22"/>
              </w:rPr>
            </w:pPr>
            <w:r w:rsidRPr="00EF1CD3">
              <w:rPr>
                <w:rFonts w:asciiTheme="majorHAnsi" w:hAnsiTheme="majorHAnsi" w:cstheme="majorHAnsi"/>
                <w:color w:val="000000"/>
                <w:sz w:val="22"/>
              </w:rPr>
              <w:t>0.83</w:t>
            </w:r>
          </w:p>
        </w:tc>
        <w:tc>
          <w:tcPr>
            <w:tcW w:w="830" w:type="dxa"/>
            <w:tcBorders>
              <w:top w:val="nil"/>
              <w:left w:val="nil"/>
              <w:bottom w:val="single" w:sz="8" w:space="0" w:color="auto"/>
              <w:right w:val="single" w:sz="8" w:space="0" w:color="auto"/>
            </w:tcBorders>
            <w:shd w:val="clear" w:color="auto" w:fill="FFC000"/>
            <w:noWrap/>
            <w:tcMar>
              <w:top w:w="0" w:type="dxa"/>
              <w:left w:w="108" w:type="dxa"/>
              <w:bottom w:w="0" w:type="dxa"/>
              <w:right w:w="108" w:type="dxa"/>
            </w:tcMar>
            <w:vAlign w:val="center"/>
            <w:hideMark/>
          </w:tcPr>
          <w:p w:rsidR="00113E97" w:rsidRPr="00EF1CD3" w:rsidP="00113E97" w14:paraId="4D7CD117" w14:textId="62C773C8">
            <w:pPr>
              <w:jc w:val="right"/>
              <w:rPr>
                <w:rFonts w:asciiTheme="majorHAnsi" w:hAnsiTheme="majorHAnsi" w:cstheme="majorHAnsi"/>
                <w:sz w:val="22"/>
              </w:rPr>
            </w:pPr>
            <w:r w:rsidRPr="00EF1CD3">
              <w:rPr>
                <w:rFonts w:asciiTheme="majorHAnsi" w:hAnsiTheme="majorHAnsi" w:cstheme="majorHAnsi"/>
                <w:color w:val="000000"/>
                <w:sz w:val="22"/>
              </w:rPr>
              <w:t>0.94</w:t>
            </w:r>
          </w:p>
        </w:tc>
        <w:tc>
          <w:tcPr>
            <w:tcW w:w="830" w:type="dxa"/>
            <w:tcBorders>
              <w:top w:val="nil"/>
              <w:left w:val="nil"/>
              <w:bottom w:val="single" w:sz="8" w:space="0" w:color="auto"/>
              <w:right w:val="single" w:sz="8" w:space="0" w:color="auto"/>
            </w:tcBorders>
            <w:shd w:val="clear" w:color="auto" w:fill="FF0000"/>
            <w:noWrap/>
            <w:tcMar>
              <w:top w:w="0" w:type="dxa"/>
              <w:left w:w="108" w:type="dxa"/>
              <w:bottom w:w="0" w:type="dxa"/>
              <w:right w:w="108" w:type="dxa"/>
            </w:tcMar>
            <w:vAlign w:val="center"/>
            <w:hideMark/>
          </w:tcPr>
          <w:p w:rsidR="00113E97" w:rsidRPr="00EF1CD3" w:rsidP="00113E97" w14:paraId="486E4E8D" w14:textId="7254580B">
            <w:pPr>
              <w:jc w:val="right"/>
              <w:rPr>
                <w:rFonts w:asciiTheme="majorHAnsi" w:hAnsiTheme="majorHAnsi" w:cstheme="majorHAnsi"/>
                <w:sz w:val="22"/>
              </w:rPr>
            </w:pPr>
            <w:r w:rsidRPr="00EF1CD3">
              <w:rPr>
                <w:rFonts w:asciiTheme="majorHAnsi" w:hAnsiTheme="majorHAnsi" w:cstheme="majorHAnsi"/>
                <w:sz w:val="22"/>
              </w:rPr>
              <w:t>0.98</w:t>
            </w:r>
          </w:p>
        </w:tc>
        <w:tc>
          <w:tcPr>
            <w:tcW w:w="830" w:type="dxa"/>
            <w:tcBorders>
              <w:top w:val="nil"/>
              <w:left w:val="nil"/>
              <w:bottom w:val="single" w:sz="8" w:space="0" w:color="auto"/>
              <w:right w:val="single" w:sz="8" w:space="0" w:color="auto"/>
            </w:tcBorders>
            <w:shd w:val="clear" w:color="auto" w:fill="C00000"/>
            <w:noWrap/>
            <w:tcMar>
              <w:top w:w="0" w:type="dxa"/>
              <w:left w:w="108" w:type="dxa"/>
              <w:bottom w:w="0" w:type="dxa"/>
              <w:right w:w="108" w:type="dxa"/>
            </w:tcMar>
            <w:vAlign w:val="center"/>
            <w:hideMark/>
          </w:tcPr>
          <w:p w:rsidR="00113E97" w:rsidRPr="00EF1CD3" w:rsidP="00113E97" w14:paraId="4AC83FFA" w14:textId="4DB496D8">
            <w:pPr>
              <w:jc w:val="right"/>
              <w:rPr>
                <w:rFonts w:asciiTheme="majorHAnsi" w:hAnsiTheme="majorHAnsi" w:cstheme="majorHAnsi"/>
                <w:color w:val="FFFFFF" w:themeColor="background1"/>
                <w:sz w:val="22"/>
              </w:rPr>
            </w:pPr>
            <w:r w:rsidRPr="00EF1CD3">
              <w:rPr>
                <w:rFonts w:asciiTheme="majorHAnsi" w:hAnsiTheme="majorHAnsi" w:cstheme="majorHAnsi"/>
                <w:color w:val="FFFFFF" w:themeColor="background1"/>
                <w:sz w:val="22"/>
              </w:rPr>
              <w:t>1.00</w:t>
            </w:r>
          </w:p>
        </w:tc>
        <w:tc>
          <w:tcPr>
            <w:tcW w:w="830" w:type="dxa"/>
            <w:tcBorders>
              <w:top w:val="nil"/>
              <w:left w:val="nil"/>
              <w:bottom w:val="single" w:sz="8" w:space="0" w:color="auto"/>
              <w:right w:val="single" w:sz="8" w:space="0" w:color="auto"/>
            </w:tcBorders>
            <w:shd w:val="clear" w:color="auto" w:fill="C00000"/>
            <w:noWrap/>
            <w:tcMar>
              <w:top w:w="0" w:type="dxa"/>
              <w:left w:w="108" w:type="dxa"/>
              <w:bottom w:w="0" w:type="dxa"/>
              <w:right w:w="108" w:type="dxa"/>
            </w:tcMar>
            <w:vAlign w:val="center"/>
            <w:hideMark/>
          </w:tcPr>
          <w:p w:rsidR="00113E97" w:rsidRPr="00EF1CD3" w:rsidP="00113E97" w14:paraId="7F4B41F8" w14:textId="6E66BD00">
            <w:pPr>
              <w:jc w:val="right"/>
              <w:rPr>
                <w:rFonts w:asciiTheme="majorHAnsi" w:hAnsiTheme="majorHAnsi" w:cstheme="majorHAnsi"/>
                <w:color w:val="FFFFFF" w:themeColor="background1"/>
                <w:sz w:val="22"/>
              </w:rPr>
            </w:pPr>
            <w:r w:rsidRPr="00EF1CD3">
              <w:rPr>
                <w:rFonts w:asciiTheme="majorHAnsi" w:hAnsiTheme="majorHAnsi" w:cstheme="majorHAnsi"/>
                <w:color w:val="FFFFFF" w:themeColor="background1"/>
                <w:sz w:val="22"/>
              </w:rPr>
              <w:t>1.00</w:t>
            </w:r>
          </w:p>
        </w:tc>
        <w:tc>
          <w:tcPr>
            <w:tcW w:w="971" w:type="dxa"/>
            <w:tcBorders>
              <w:top w:val="nil"/>
              <w:left w:val="nil"/>
              <w:bottom w:val="single" w:sz="8" w:space="0" w:color="auto"/>
              <w:right w:val="single" w:sz="8" w:space="0" w:color="auto"/>
            </w:tcBorders>
            <w:shd w:val="clear" w:color="auto" w:fill="C00000"/>
            <w:noWrap/>
            <w:tcMar>
              <w:top w:w="0" w:type="dxa"/>
              <w:left w:w="108" w:type="dxa"/>
              <w:bottom w:w="0" w:type="dxa"/>
              <w:right w:w="108" w:type="dxa"/>
            </w:tcMar>
            <w:vAlign w:val="center"/>
            <w:hideMark/>
          </w:tcPr>
          <w:p w:rsidR="00113E97" w:rsidRPr="00EF1CD3" w:rsidP="00113E97" w14:paraId="052EB35E" w14:textId="66C7AFCF">
            <w:pPr>
              <w:jc w:val="right"/>
              <w:rPr>
                <w:rFonts w:asciiTheme="majorHAnsi" w:hAnsiTheme="majorHAnsi" w:cstheme="majorHAnsi"/>
                <w:color w:val="FFFFFF" w:themeColor="background1"/>
                <w:sz w:val="22"/>
              </w:rPr>
            </w:pPr>
            <w:r w:rsidRPr="00EF1CD3">
              <w:rPr>
                <w:rFonts w:asciiTheme="majorHAnsi" w:hAnsiTheme="majorHAnsi" w:cstheme="majorHAnsi"/>
                <w:color w:val="FFFFFF" w:themeColor="background1"/>
                <w:sz w:val="22"/>
              </w:rPr>
              <w:t>1.00</w:t>
            </w:r>
          </w:p>
        </w:tc>
      </w:tr>
      <w:tr w14:paraId="724D78F0" w14:textId="77777777" w:rsidTr="000E7AC7">
        <w:tblPrEx>
          <w:tblW w:w="8515" w:type="dxa"/>
          <w:jc w:val="center"/>
          <w:tblCellMar>
            <w:left w:w="0" w:type="dxa"/>
            <w:right w:w="0" w:type="dxa"/>
          </w:tblCellMar>
          <w:tblLook w:val="04A0"/>
        </w:tblPrEx>
        <w:trPr>
          <w:trHeight w:val="259"/>
          <w:jc w:val="center"/>
        </w:trPr>
        <w:tc>
          <w:tcPr>
            <w:tcW w:w="89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13E97" w:rsidRPr="00EF1CD3" w:rsidP="00113E97" w14:paraId="093EFC81" w14:textId="77777777">
            <w:pPr>
              <w:jc w:val="right"/>
              <w:rPr>
                <w:rFonts w:asciiTheme="majorHAnsi" w:hAnsiTheme="majorHAnsi" w:cstheme="majorHAnsi"/>
                <w:sz w:val="22"/>
              </w:rPr>
            </w:pPr>
            <w:r w:rsidRPr="00EF1CD3">
              <w:rPr>
                <w:rFonts w:asciiTheme="majorHAnsi" w:hAnsiTheme="majorHAnsi" w:cstheme="majorHAnsi"/>
                <w:color w:val="000000"/>
                <w:sz w:val="22"/>
              </w:rPr>
              <w:t>600</w:t>
            </w:r>
          </w:p>
        </w:tc>
        <w:tc>
          <w:tcPr>
            <w:tcW w:w="8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13E97" w:rsidRPr="00EF1CD3" w:rsidP="00113E97" w14:paraId="5069940A" w14:textId="02F91D97">
            <w:pPr>
              <w:jc w:val="right"/>
              <w:rPr>
                <w:rFonts w:asciiTheme="majorHAnsi" w:hAnsiTheme="majorHAnsi" w:cstheme="majorHAnsi"/>
                <w:sz w:val="22"/>
              </w:rPr>
            </w:pPr>
            <w:r w:rsidRPr="00EF1CD3">
              <w:rPr>
                <w:rFonts w:asciiTheme="majorHAnsi" w:hAnsiTheme="majorHAnsi" w:cstheme="majorHAnsi"/>
                <w:color w:val="000000"/>
                <w:sz w:val="22"/>
              </w:rPr>
              <w:t>0.05</w:t>
            </w:r>
          </w:p>
        </w:tc>
        <w:tc>
          <w:tcPr>
            <w:tcW w:w="83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3E97" w:rsidRPr="00EF1CD3" w:rsidP="00113E97" w14:paraId="7D611FCB" w14:textId="2D6FB72B">
            <w:pPr>
              <w:jc w:val="right"/>
              <w:rPr>
                <w:rFonts w:asciiTheme="majorHAnsi" w:hAnsiTheme="majorHAnsi" w:cstheme="majorHAnsi"/>
                <w:sz w:val="22"/>
              </w:rPr>
            </w:pPr>
            <w:r w:rsidRPr="00EF1CD3">
              <w:rPr>
                <w:rFonts w:asciiTheme="majorHAnsi" w:hAnsiTheme="majorHAnsi" w:cstheme="majorHAnsi"/>
                <w:color w:val="000000"/>
                <w:sz w:val="22"/>
              </w:rPr>
              <w:t>0.45</w:t>
            </w:r>
          </w:p>
        </w:tc>
        <w:tc>
          <w:tcPr>
            <w:tcW w:w="83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3E97" w:rsidRPr="00EF1CD3" w:rsidP="00113E97" w14:paraId="120D989F" w14:textId="7B7F4C48">
            <w:pPr>
              <w:jc w:val="right"/>
              <w:rPr>
                <w:rFonts w:asciiTheme="majorHAnsi" w:hAnsiTheme="majorHAnsi" w:cstheme="majorHAnsi"/>
                <w:sz w:val="22"/>
              </w:rPr>
            </w:pPr>
            <w:r w:rsidRPr="00EF1CD3">
              <w:rPr>
                <w:rFonts w:asciiTheme="majorHAnsi" w:hAnsiTheme="majorHAnsi" w:cstheme="majorHAnsi"/>
                <w:color w:val="000000"/>
                <w:sz w:val="22"/>
              </w:rPr>
              <w:t>0.69</w:t>
            </w:r>
          </w:p>
        </w:tc>
        <w:tc>
          <w:tcPr>
            <w:tcW w:w="83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center"/>
            <w:hideMark/>
          </w:tcPr>
          <w:p w:rsidR="00113E97" w:rsidRPr="00EF1CD3" w:rsidP="00113E97" w14:paraId="2EA4D891" w14:textId="1F093D59">
            <w:pPr>
              <w:jc w:val="right"/>
              <w:rPr>
                <w:rFonts w:asciiTheme="majorHAnsi" w:hAnsiTheme="majorHAnsi" w:cstheme="majorHAnsi"/>
                <w:sz w:val="22"/>
              </w:rPr>
            </w:pPr>
            <w:r w:rsidRPr="00EF1CD3">
              <w:rPr>
                <w:rFonts w:asciiTheme="majorHAnsi" w:hAnsiTheme="majorHAnsi" w:cstheme="majorHAnsi"/>
                <w:color w:val="000000"/>
                <w:sz w:val="22"/>
              </w:rPr>
              <w:t>0.86</w:t>
            </w:r>
          </w:p>
        </w:tc>
        <w:tc>
          <w:tcPr>
            <w:tcW w:w="830" w:type="dxa"/>
            <w:tcBorders>
              <w:top w:val="nil"/>
              <w:left w:val="nil"/>
              <w:bottom w:val="single" w:sz="8" w:space="0" w:color="auto"/>
              <w:right w:val="single" w:sz="8" w:space="0" w:color="auto"/>
            </w:tcBorders>
            <w:shd w:val="clear" w:color="auto" w:fill="FF0000"/>
            <w:noWrap/>
            <w:tcMar>
              <w:top w:w="0" w:type="dxa"/>
              <w:left w:w="108" w:type="dxa"/>
              <w:bottom w:w="0" w:type="dxa"/>
              <w:right w:w="108" w:type="dxa"/>
            </w:tcMar>
            <w:vAlign w:val="center"/>
            <w:hideMark/>
          </w:tcPr>
          <w:p w:rsidR="00113E97" w:rsidRPr="00EF1CD3" w:rsidP="00113E97" w14:paraId="0514ED20" w14:textId="03D6A5A9">
            <w:pPr>
              <w:jc w:val="right"/>
              <w:rPr>
                <w:rFonts w:asciiTheme="majorHAnsi" w:hAnsiTheme="majorHAnsi" w:cstheme="majorHAnsi"/>
                <w:sz w:val="22"/>
              </w:rPr>
            </w:pPr>
            <w:r w:rsidRPr="00EF1CD3">
              <w:rPr>
                <w:rFonts w:asciiTheme="majorHAnsi" w:hAnsiTheme="majorHAnsi" w:cstheme="majorHAnsi"/>
                <w:sz w:val="22"/>
              </w:rPr>
              <w:t>0.96</w:t>
            </w:r>
          </w:p>
        </w:tc>
        <w:tc>
          <w:tcPr>
            <w:tcW w:w="830" w:type="dxa"/>
            <w:tcBorders>
              <w:top w:val="nil"/>
              <w:left w:val="nil"/>
              <w:bottom w:val="single" w:sz="8" w:space="0" w:color="auto"/>
              <w:right w:val="single" w:sz="8" w:space="0" w:color="auto"/>
            </w:tcBorders>
            <w:shd w:val="clear" w:color="auto" w:fill="FF0000"/>
            <w:noWrap/>
            <w:tcMar>
              <w:top w:w="0" w:type="dxa"/>
              <w:left w:w="108" w:type="dxa"/>
              <w:bottom w:w="0" w:type="dxa"/>
              <w:right w:w="108" w:type="dxa"/>
            </w:tcMar>
            <w:vAlign w:val="center"/>
            <w:hideMark/>
          </w:tcPr>
          <w:p w:rsidR="00113E97" w:rsidRPr="00EF1CD3" w:rsidP="00113E97" w14:paraId="0ED98BD1" w14:textId="33045A24">
            <w:pPr>
              <w:jc w:val="right"/>
              <w:rPr>
                <w:rFonts w:asciiTheme="majorHAnsi" w:hAnsiTheme="majorHAnsi" w:cstheme="majorHAnsi"/>
                <w:sz w:val="22"/>
              </w:rPr>
            </w:pPr>
            <w:r w:rsidRPr="00EF1CD3">
              <w:rPr>
                <w:rFonts w:asciiTheme="majorHAnsi" w:hAnsiTheme="majorHAnsi" w:cstheme="majorHAnsi"/>
                <w:sz w:val="22"/>
              </w:rPr>
              <w:t>0.99</w:t>
            </w:r>
          </w:p>
        </w:tc>
        <w:tc>
          <w:tcPr>
            <w:tcW w:w="830" w:type="dxa"/>
            <w:tcBorders>
              <w:top w:val="nil"/>
              <w:left w:val="nil"/>
              <w:bottom w:val="single" w:sz="8" w:space="0" w:color="auto"/>
              <w:right w:val="single" w:sz="8" w:space="0" w:color="auto"/>
            </w:tcBorders>
            <w:shd w:val="clear" w:color="auto" w:fill="C00000"/>
            <w:noWrap/>
            <w:tcMar>
              <w:top w:w="0" w:type="dxa"/>
              <w:left w:w="108" w:type="dxa"/>
              <w:bottom w:w="0" w:type="dxa"/>
              <w:right w:w="108" w:type="dxa"/>
            </w:tcMar>
            <w:vAlign w:val="center"/>
            <w:hideMark/>
          </w:tcPr>
          <w:p w:rsidR="00113E97" w:rsidRPr="00EF1CD3" w:rsidP="00113E97" w14:paraId="4AD58454" w14:textId="110C571B">
            <w:pPr>
              <w:jc w:val="right"/>
              <w:rPr>
                <w:rFonts w:asciiTheme="majorHAnsi" w:hAnsiTheme="majorHAnsi" w:cstheme="majorHAnsi"/>
                <w:color w:val="FFFFFF" w:themeColor="background1"/>
                <w:sz w:val="22"/>
              </w:rPr>
            </w:pPr>
            <w:r w:rsidRPr="00EF1CD3">
              <w:rPr>
                <w:rFonts w:asciiTheme="majorHAnsi" w:hAnsiTheme="majorHAnsi" w:cstheme="majorHAnsi"/>
                <w:color w:val="FFFFFF" w:themeColor="background1"/>
                <w:sz w:val="22"/>
              </w:rPr>
              <w:t>1.00</w:t>
            </w:r>
          </w:p>
        </w:tc>
        <w:tc>
          <w:tcPr>
            <w:tcW w:w="830" w:type="dxa"/>
            <w:tcBorders>
              <w:top w:val="nil"/>
              <w:left w:val="nil"/>
              <w:bottom w:val="single" w:sz="8" w:space="0" w:color="auto"/>
              <w:right w:val="single" w:sz="8" w:space="0" w:color="auto"/>
            </w:tcBorders>
            <w:shd w:val="clear" w:color="auto" w:fill="C00000"/>
            <w:noWrap/>
            <w:tcMar>
              <w:top w:w="0" w:type="dxa"/>
              <w:left w:w="108" w:type="dxa"/>
              <w:bottom w:w="0" w:type="dxa"/>
              <w:right w:w="108" w:type="dxa"/>
            </w:tcMar>
            <w:vAlign w:val="center"/>
            <w:hideMark/>
          </w:tcPr>
          <w:p w:rsidR="00113E97" w:rsidRPr="00EF1CD3" w:rsidP="00113E97" w14:paraId="7C425537" w14:textId="569D3B3B">
            <w:pPr>
              <w:jc w:val="right"/>
              <w:rPr>
                <w:rFonts w:asciiTheme="majorHAnsi" w:hAnsiTheme="majorHAnsi" w:cstheme="majorHAnsi"/>
                <w:color w:val="FFFFFF" w:themeColor="background1"/>
                <w:sz w:val="22"/>
              </w:rPr>
            </w:pPr>
            <w:r w:rsidRPr="00EF1CD3">
              <w:rPr>
                <w:rFonts w:asciiTheme="majorHAnsi" w:hAnsiTheme="majorHAnsi" w:cstheme="majorHAnsi"/>
                <w:color w:val="FFFFFF" w:themeColor="background1"/>
                <w:sz w:val="22"/>
              </w:rPr>
              <w:t>1.00</w:t>
            </w:r>
          </w:p>
        </w:tc>
        <w:tc>
          <w:tcPr>
            <w:tcW w:w="971" w:type="dxa"/>
            <w:tcBorders>
              <w:top w:val="nil"/>
              <w:left w:val="nil"/>
              <w:bottom w:val="single" w:sz="8" w:space="0" w:color="auto"/>
              <w:right w:val="single" w:sz="8" w:space="0" w:color="auto"/>
            </w:tcBorders>
            <w:shd w:val="clear" w:color="auto" w:fill="C00000"/>
            <w:noWrap/>
            <w:tcMar>
              <w:top w:w="0" w:type="dxa"/>
              <w:left w:w="108" w:type="dxa"/>
              <w:bottom w:w="0" w:type="dxa"/>
              <w:right w:w="108" w:type="dxa"/>
            </w:tcMar>
            <w:vAlign w:val="center"/>
            <w:hideMark/>
          </w:tcPr>
          <w:p w:rsidR="00113E97" w:rsidRPr="00EF1CD3" w:rsidP="00113E97" w14:paraId="17CC22DB" w14:textId="46B97E29">
            <w:pPr>
              <w:jc w:val="right"/>
              <w:rPr>
                <w:rFonts w:asciiTheme="majorHAnsi" w:hAnsiTheme="majorHAnsi" w:cstheme="majorHAnsi"/>
                <w:color w:val="FFFFFF" w:themeColor="background1"/>
                <w:sz w:val="22"/>
              </w:rPr>
            </w:pPr>
            <w:r w:rsidRPr="00EF1CD3">
              <w:rPr>
                <w:rFonts w:asciiTheme="majorHAnsi" w:hAnsiTheme="majorHAnsi" w:cstheme="majorHAnsi"/>
                <w:color w:val="FFFFFF" w:themeColor="background1"/>
                <w:sz w:val="22"/>
              </w:rPr>
              <w:t>1.00</w:t>
            </w:r>
          </w:p>
        </w:tc>
      </w:tr>
      <w:tr w14:paraId="0C8C2804" w14:textId="77777777" w:rsidTr="000E7AC7">
        <w:tblPrEx>
          <w:tblW w:w="8515" w:type="dxa"/>
          <w:jc w:val="center"/>
          <w:tblCellMar>
            <w:left w:w="0" w:type="dxa"/>
            <w:right w:w="0" w:type="dxa"/>
          </w:tblCellMar>
          <w:tblLook w:val="04A0"/>
        </w:tblPrEx>
        <w:trPr>
          <w:trHeight w:val="259"/>
          <w:jc w:val="center"/>
        </w:trPr>
        <w:tc>
          <w:tcPr>
            <w:tcW w:w="89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13E97" w:rsidRPr="00EF1CD3" w:rsidP="00113E97" w14:paraId="02AA006C" w14:textId="77777777">
            <w:pPr>
              <w:jc w:val="right"/>
              <w:rPr>
                <w:rFonts w:asciiTheme="majorHAnsi" w:hAnsiTheme="majorHAnsi" w:cstheme="majorHAnsi"/>
                <w:sz w:val="22"/>
              </w:rPr>
            </w:pPr>
            <w:r w:rsidRPr="00EF1CD3">
              <w:rPr>
                <w:rFonts w:asciiTheme="majorHAnsi" w:hAnsiTheme="majorHAnsi" w:cstheme="majorHAnsi"/>
                <w:color w:val="000000"/>
                <w:sz w:val="22"/>
              </w:rPr>
              <w:t>650</w:t>
            </w:r>
          </w:p>
        </w:tc>
        <w:tc>
          <w:tcPr>
            <w:tcW w:w="8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13E97" w:rsidRPr="00EF1CD3" w:rsidP="00113E97" w14:paraId="4EDEE974" w14:textId="29F0CCA0">
            <w:pPr>
              <w:jc w:val="right"/>
              <w:rPr>
                <w:rFonts w:asciiTheme="majorHAnsi" w:hAnsiTheme="majorHAnsi" w:cstheme="majorHAnsi"/>
                <w:sz w:val="22"/>
              </w:rPr>
            </w:pPr>
            <w:r w:rsidRPr="00EF1CD3">
              <w:rPr>
                <w:rFonts w:asciiTheme="majorHAnsi" w:hAnsiTheme="majorHAnsi" w:cstheme="majorHAnsi"/>
                <w:color w:val="000000"/>
                <w:sz w:val="22"/>
              </w:rPr>
              <w:t>0.05</w:t>
            </w:r>
          </w:p>
        </w:tc>
        <w:tc>
          <w:tcPr>
            <w:tcW w:w="83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3E97" w:rsidRPr="00EF1CD3" w:rsidP="00113E97" w14:paraId="58AEE627" w14:textId="3DF19788">
            <w:pPr>
              <w:jc w:val="right"/>
              <w:rPr>
                <w:rFonts w:asciiTheme="majorHAnsi" w:hAnsiTheme="majorHAnsi" w:cstheme="majorHAnsi"/>
                <w:sz w:val="22"/>
              </w:rPr>
            </w:pPr>
            <w:r w:rsidRPr="00EF1CD3">
              <w:rPr>
                <w:rFonts w:asciiTheme="majorHAnsi" w:hAnsiTheme="majorHAnsi" w:cstheme="majorHAnsi"/>
                <w:color w:val="000000"/>
                <w:sz w:val="22"/>
              </w:rPr>
              <w:t>0.48</w:t>
            </w:r>
          </w:p>
        </w:tc>
        <w:tc>
          <w:tcPr>
            <w:tcW w:w="83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3E97" w:rsidRPr="00EF1CD3" w:rsidP="00113E97" w14:paraId="48C03CEF" w14:textId="0AD37A8E">
            <w:pPr>
              <w:jc w:val="right"/>
              <w:rPr>
                <w:rFonts w:asciiTheme="majorHAnsi" w:hAnsiTheme="majorHAnsi" w:cstheme="majorHAnsi"/>
                <w:sz w:val="22"/>
              </w:rPr>
            </w:pPr>
            <w:r w:rsidRPr="00EF1CD3">
              <w:rPr>
                <w:rFonts w:asciiTheme="majorHAnsi" w:hAnsiTheme="majorHAnsi" w:cstheme="majorHAnsi"/>
                <w:color w:val="000000"/>
                <w:sz w:val="22"/>
              </w:rPr>
              <w:t>0.72</w:t>
            </w:r>
          </w:p>
        </w:tc>
        <w:tc>
          <w:tcPr>
            <w:tcW w:w="83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center"/>
            <w:hideMark/>
          </w:tcPr>
          <w:p w:rsidR="00113E97" w:rsidRPr="00EF1CD3" w:rsidP="00113E97" w14:paraId="11EE83B4" w14:textId="2C1EC9F2">
            <w:pPr>
              <w:jc w:val="right"/>
              <w:rPr>
                <w:rFonts w:asciiTheme="majorHAnsi" w:hAnsiTheme="majorHAnsi" w:cstheme="majorHAnsi"/>
                <w:sz w:val="22"/>
              </w:rPr>
            </w:pPr>
            <w:r w:rsidRPr="00EF1CD3">
              <w:rPr>
                <w:rFonts w:asciiTheme="majorHAnsi" w:hAnsiTheme="majorHAnsi" w:cstheme="majorHAnsi"/>
                <w:color w:val="000000"/>
                <w:sz w:val="22"/>
              </w:rPr>
              <w:t>0.89</w:t>
            </w:r>
          </w:p>
        </w:tc>
        <w:tc>
          <w:tcPr>
            <w:tcW w:w="830" w:type="dxa"/>
            <w:tcBorders>
              <w:top w:val="nil"/>
              <w:left w:val="nil"/>
              <w:bottom w:val="single" w:sz="8" w:space="0" w:color="auto"/>
              <w:right w:val="single" w:sz="8" w:space="0" w:color="auto"/>
            </w:tcBorders>
            <w:shd w:val="clear" w:color="auto" w:fill="FF0000"/>
            <w:noWrap/>
            <w:tcMar>
              <w:top w:w="0" w:type="dxa"/>
              <w:left w:w="108" w:type="dxa"/>
              <w:bottom w:w="0" w:type="dxa"/>
              <w:right w:w="108" w:type="dxa"/>
            </w:tcMar>
            <w:vAlign w:val="center"/>
            <w:hideMark/>
          </w:tcPr>
          <w:p w:rsidR="00113E97" w:rsidRPr="00EF1CD3" w:rsidP="00113E97" w14:paraId="063F52EE" w14:textId="1BBD9957">
            <w:pPr>
              <w:jc w:val="right"/>
              <w:rPr>
                <w:rFonts w:asciiTheme="majorHAnsi" w:hAnsiTheme="majorHAnsi" w:cstheme="majorHAnsi"/>
                <w:sz w:val="22"/>
              </w:rPr>
            </w:pPr>
            <w:r w:rsidRPr="00EF1CD3">
              <w:rPr>
                <w:rFonts w:asciiTheme="majorHAnsi" w:hAnsiTheme="majorHAnsi" w:cstheme="majorHAnsi"/>
                <w:sz w:val="22"/>
              </w:rPr>
              <w:t>0.97</w:t>
            </w:r>
          </w:p>
        </w:tc>
        <w:tc>
          <w:tcPr>
            <w:tcW w:w="830" w:type="dxa"/>
            <w:tcBorders>
              <w:top w:val="nil"/>
              <w:left w:val="nil"/>
              <w:bottom w:val="single" w:sz="8" w:space="0" w:color="auto"/>
              <w:right w:val="single" w:sz="8" w:space="0" w:color="auto"/>
            </w:tcBorders>
            <w:shd w:val="clear" w:color="auto" w:fill="C00000"/>
            <w:noWrap/>
            <w:tcMar>
              <w:top w:w="0" w:type="dxa"/>
              <w:left w:w="108" w:type="dxa"/>
              <w:bottom w:w="0" w:type="dxa"/>
              <w:right w:w="108" w:type="dxa"/>
            </w:tcMar>
            <w:vAlign w:val="center"/>
            <w:hideMark/>
          </w:tcPr>
          <w:p w:rsidR="00113E97" w:rsidRPr="00EF1CD3" w:rsidP="00113E97" w14:paraId="465D3353" w14:textId="2FE1EEF0">
            <w:pPr>
              <w:jc w:val="right"/>
              <w:rPr>
                <w:rFonts w:asciiTheme="majorHAnsi" w:hAnsiTheme="majorHAnsi" w:cstheme="majorHAnsi"/>
                <w:color w:val="FFFFFF" w:themeColor="background1"/>
                <w:sz w:val="22"/>
              </w:rPr>
            </w:pPr>
            <w:r w:rsidRPr="00EF1CD3">
              <w:rPr>
                <w:rFonts w:asciiTheme="majorHAnsi" w:hAnsiTheme="majorHAnsi" w:cstheme="majorHAnsi"/>
                <w:color w:val="FFFFFF" w:themeColor="background1"/>
                <w:sz w:val="22"/>
              </w:rPr>
              <w:t>0.99</w:t>
            </w:r>
          </w:p>
        </w:tc>
        <w:tc>
          <w:tcPr>
            <w:tcW w:w="830" w:type="dxa"/>
            <w:tcBorders>
              <w:top w:val="nil"/>
              <w:left w:val="nil"/>
              <w:bottom w:val="single" w:sz="8" w:space="0" w:color="auto"/>
              <w:right w:val="single" w:sz="8" w:space="0" w:color="auto"/>
            </w:tcBorders>
            <w:shd w:val="clear" w:color="auto" w:fill="C00000"/>
            <w:noWrap/>
            <w:tcMar>
              <w:top w:w="0" w:type="dxa"/>
              <w:left w:w="108" w:type="dxa"/>
              <w:bottom w:w="0" w:type="dxa"/>
              <w:right w:w="108" w:type="dxa"/>
            </w:tcMar>
            <w:vAlign w:val="center"/>
            <w:hideMark/>
          </w:tcPr>
          <w:p w:rsidR="00113E97" w:rsidRPr="00EF1CD3" w:rsidP="00113E97" w14:paraId="0086E035" w14:textId="3062BACE">
            <w:pPr>
              <w:jc w:val="right"/>
              <w:rPr>
                <w:rFonts w:asciiTheme="majorHAnsi" w:hAnsiTheme="majorHAnsi" w:cstheme="majorHAnsi"/>
                <w:color w:val="FFFFFF" w:themeColor="background1"/>
                <w:sz w:val="22"/>
              </w:rPr>
            </w:pPr>
            <w:r w:rsidRPr="00EF1CD3">
              <w:rPr>
                <w:rFonts w:asciiTheme="majorHAnsi" w:hAnsiTheme="majorHAnsi" w:cstheme="majorHAnsi"/>
                <w:color w:val="FFFFFF" w:themeColor="background1"/>
                <w:sz w:val="22"/>
              </w:rPr>
              <w:t>1.00</w:t>
            </w:r>
          </w:p>
        </w:tc>
        <w:tc>
          <w:tcPr>
            <w:tcW w:w="830" w:type="dxa"/>
            <w:tcBorders>
              <w:top w:val="nil"/>
              <w:left w:val="nil"/>
              <w:bottom w:val="single" w:sz="8" w:space="0" w:color="auto"/>
              <w:right w:val="single" w:sz="8" w:space="0" w:color="auto"/>
            </w:tcBorders>
            <w:shd w:val="clear" w:color="auto" w:fill="C00000"/>
            <w:noWrap/>
            <w:tcMar>
              <w:top w:w="0" w:type="dxa"/>
              <w:left w:w="108" w:type="dxa"/>
              <w:bottom w:w="0" w:type="dxa"/>
              <w:right w:w="108" w:type="dxa"/>
            </w:tcMar>
            <w:vAlign w:val="center"/>
            <w:hideMark/>
          </w:tcPr>
          <w:p w:rsidR="00113E97" w:rsidRPr="00EF1CD3" w:rsidP="00113E97" w14:paraId="5153F7B1" w14:textId="1BDE7B2A">
            <w:pPr>
              <w:jc w:val="right"/>
              <w:rPr>
                <w:rFonts w:asciiTheme="majorHAnsi" w:hAnsiTheme="majorHAnsi" w:cstheme="majorHAnsi"/>
                <w:color w:val="FFFFFF" w:themeColor="background1"/>
                <w:sz w:val="22"/>
              </w:rPr>
            </w:pPr>
            <w:r w:rsidRPr="00EF1CD3">
              <w:rPr>
                <w:rFonts w:asciiTheme="majorHAnsi" w:hAnsiTheme="majorHAnsi" w:cstheme="majorHAnsi"/>
                <w:color w:val="FFFFFF" w:themeColor="background1"/>
                <w:sz w:val="22"/>
              </w:rPr>
              <w:t>1.00</w:t>
            </w:r>
          </w:p>
        </w:tc>
        <w:tc>
          <w:tcPr>
            <w:tcW w:w="971" w:type="dxa"/>
            <w:tcBorders>
              <w:top w:val="nil"/>
              <w:left w:val="nil"/>
              <w:bottom w:val="single" w:sz="8" w:space="0" w:color="auto"/>
              <w:right w:val="single" w:sz="8" w:space="0" w:color="auto"/>
            </w:tcBorders>
            <w:shd w:val="clear" w:color="auto" w:fill="C00000"/>
            <w:noWrap/>
            <w:tcMar>
              <w:top w:w="0" w:type="dxa"/>
              <w:left w:w="108" w:type="dxa"/>
              <w:bottom w:w="0" w:type="dxa"/>
              <w:right w:w="108" w:type="dxa"/>
            </w:tcMar>
            <w:vAlign w:val="center"/>
            <w:hideMark/>
          </w:tcPr>
          <w:p w:rsidR="00113E97" w:rsidRPr="00EF1CD3" w:rsidP="00113E97" w14:paraId="1D52221D" w14:textId="2AED4F36">
            <w:pPr>
              <w:jc w:val="right"/>
              <w:rPr>
                <w:rFonts w:asciiTheme="majorHAnsi" w:hAnsiTheme="majorHAnsi" w:cstheme="majorHAnsi"/>
                <w:color w:val="FFFFFF" w:themeColor="background1"/>
                <w:sz w:val="22"/>
              </w:rPr>
            </w:pPr>
            <w:r w:rsidRPr="00EF1CD3">
              <w:rPr>
                <w:rFonts w:asciiTheme="majorHAnsi" w:hAnsiTheme="majorHAnsi" w:cstheme="majorHAnsi"/>
                <w:color w:val="FFFFFF" w:themeColor="background1"/>
                <w:sz w:val="22"/>
              </w:rPr>
              <w:t>1.00</w:t>
            </w:r>
          </w:p>
        </w:tc>
      </w:tr>
      <w:tr w14:paraId="70B56E51" w14:textId="77777777" w:rsidTr="000E7AC7">
        <w:tblPrEx>
          <w:tblW w:w="8515" w:type="dxa"/>
          <w:jc w:val="center"/>
          <w:tblCellMar>
            <w:left w:w="0" w:type="dxa"/>
            <w:right w:w="0" w:type="dxa"/>
          </w:tblCellMar>
          <w:tblLook w:val="04A0"/>
        </w:tblPrEx>
        <w:trPr>
          <w:trHeight w:val="259"/>
          <w:jc w:val="center"/>
        </w:trPr>
        <w:tc>
          <w:tcPr>
            <w:tcW w:w="89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13E97" w:rsidRPr="00EF1CD3" w:rsidP="00113E97" w14:paraId="7E7DB42E" w14:textId="77777777">
            <w:pPr>
              <w:jc w:val="right"/>
              <w:rPr>
                <w:rFonts w:asciiTheme="majorHAnsi" w:hAnsiTheme="majorHAnsi" w:cstheme="majorHAnsi"/>
                <w:sz w:val="22"/>
              </w:rPr>
            </w:pPr>
            <w:r w:rsidRPr="00EF1CD3">
              <w:rPr>
                <w:rFonts w:asciiTheme="majorHAnsi" w:hAnsiTheme="majorHAnsi" w:cstheme="majorHAnsi"/>
                <w:color w:val="000000"/>
                <w:sz w:val="22"/>
              </w:rPr>
              <w:t>700</w:t>
            </w:r>
          </w:p>
        </w:tc>
        <w:tc>
          <w:tcPr>
            <w:tcW w:w="8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13E97" w:rsidRPr="00EF1CD3" w:rsidP="00113E97" w14:paraId="37764F82" w14:textId="15E6D465">
            <w:pPr>
              <w:jc w:val="right"/>
              <w:rPr>
                <w:rFonts w:asciiTheme="majorHAnsi" w:hAnsiTheme="majorHAnsi" w:cstheme="majorHAnsi"/>
                <w:sz w:val="22"/>
              </w:rPr>
            </w:pPr>
            <w:r w:rsidRPr="00EF1CD3">
              <w:rPr>
                <w:rFonts w:asciiTheme="majorHAnsi" w:hAnsiTheme="majorHAnsi" w:cstheme="majorHAnsi"/>
                <w:color w:val="000000"/>
                <w:sz w:val="22"/>
              </w:rPr>
              <w:t>0.05</w:t>
            </w:r>
          </w:p>
        </w:tc>
        <w:tc>
          <w:tcPr>
            <w:tcW w:w="83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3E97" w:rsidRPr="00EF1CD3" w:rsidP="00113E97" w14:paraId="50D4FF60" w14:textId="63854C70">
            <w:pPr>
              <w:jc w:val="right"/>
              <w:rPr>
                <w:rFonts w:asciiTheme="majorHAnsi" w:hAnsiTheme="majorHAnsi" w:cstheme="majorHAnsi"/>
                <w:sz w:val="22"/>
              </w:rPr>
            </w:pPr>
            <w:r w:rsidRPr="00EF1CD3">
              <w:rPr>
                <w:rFonts w:asciiTheme="majorHAnsi" w:hAnsiTheme="majorHAnsi" w:cstheme="majorHAnsi"/>
                <w:color w:val="000000"/>
                <w:sz w:val="22"/>
              </w:rPr>
              <w:t>0.51</w:t>
            </w:r>
          </w:p>
        </w:tc>
        <w:tc>
          <w:tcPr>
            <w:tcW w:w="83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3E97" w:rsidRPr="00EF1CD3" w:rsidP="00113E97" w14:paraId="1655D4DA" w14:textId="1C6D8A71">
            <w:pPr>
              <w:jc w:val="right"/>
              <w:rPr>
                <w:rFonts w:asciiTheme="majorHAnsi" w:hAnsiTheme="majorHAnsi" w:cstheme="majorHAnsi"/>
                <w:sz w:val="22"/>
              </w:rPr>
            </w:pPr>
            <w:r w:rsidRPr="00EF1CD3">
              <w:rPr>
                <w:rFonts w:asciiTheme="majorHAnsi" w:hAnsiTheme="majorHAnsi" w:cstheme="majorHAnsi"/>
                <w:color w:val="000000"/>
                <w:sz w:val="22"/>
              </w:rPr>
              <w:t>0.75</w:t>
            </w:r>
          </w:p>
        </w:tc>
        <w:tc>
          <w:tcPr>
            <w:tcW w:w="830" w:type="dxa"/>
            <w:tcBorders>
              <w:top w:val="nil"/>
              <w:left w:val="nil"/>
              <w:bottom w:val="single" w:sz="8" w:space="0" w:color="auto"/>
              <w:right w:val="single" w:sz="8" w:space="0" w:color="auto"/>
            </w:tcBorders>
            <w:shd w:val="clear" w:color="auto" w:fill="FFC000"/>
            <w:noWrap/>
            <w:tcMar>
              <w:top w:w="0" w:type="dxa"/>
              <w:left w:w="108" w:type="dxa"/>
              <w:bottom w:w="0" w:type="dxa"/>
              <w:right w:w="108" w:type="dxa"/>
            </w:tcMar>
            <w:vAlign w:val="center"/>
            <w:hideMark/>
          </w:tcPr>
          <w:p w:rsidR="00113E97" w:rsidRPr="00EF1CD3" w:rsidP="00113E97" w14:paraId="75D373E7" w14:textId="027AF938">
            <w:pPr>
              <w:jc w:val="right"/>
              <w:rPr>
                <w:rFonts w:asciiTheme="majorHAnsi" w:hAnsiTheme="majorHAnsi" w:cstheme="majorHAnsi"/>
                <w:sz w:val="22"/>
              </w:rPr>
            </w:pPr>
            <w:r w:rsidRPr="00EF1CD3">
              <w:rPr>
                <w:rFonts w:asciiTheme="majorHAnsi" w:hAnsiTheme="majorHAnsi" w:cstheme="majorHAnsi"/>
                <w:color w:val="000000"/>
                <w:sz w:val="22"/>
              </w:rPr>
              <w:t>0.91</w:t>
            </w:r>
          </w:p>
        </w:tc>
        <w:tc>
          <w:tcPr>
            <w:tcW w:w="830" w:type="dxa"/>
            <w:tcBorders>
              <w:top w:val="nil"/>
              <w:left w:val="nil"/>
              <w:bottom w:val="single" w:sz="8" w:space="0" w:color="auto"/>
              <w:right w:val="single" w:sz="8" w:space="0" w:color="auto"/>
            </w:tcBorders>
            <w:shd w:val="clear" w:color="auto" w:fill="FF0000"/>
            <w:noWrap/>
            <w:tcMar>
              <w:top w:w="0" w:type="dxa"/>
              <w:left w:w="108" w:type="dxa"/>
              <w:bottom w:w="0" w:type="dxa"/>
              <w:right w:w="108" w:type="dxa"/>
            </w:tcMar>
            <w:vAlign w:val="center"/>
            <w:hideMark/>
          </w:tcPr>
          <w:p w:rsidR="00113E97" w:rsidRPr="00EF1CD3" w:rsidP="00113E97" w14:paraId="4C125469" w14:textId="153DB601">
            <w:pPr>
              <w:jc w:val="right"/>
              <w:rPr>
                <w:rFonts w:asciiTheme="majorHAnsi" w:hAnsiTheme="majorHAnsi" w:cstheme="majorHAnsi"/>
                <w:sz w:val="22"/>
              </w:rPr>
            </w:pPr>
            <w:r w:rsidRPr="00EF1CD3">
              <w:rPr>
                <w:rFonts w:asciiTheme="majorHAnsi" w:hAnsiTheme="majorHAnsi" w:cstheme="majorHAnsi"/>
                <w:sz w:val="22"/>
              </w:rPr>
              <w:t>0.98</w:t>
            </w:r>
          </w:p>
        </w:tc>
        <w:tc>
          <w:tcPr>
            <w:tcW w:w="830" w:type="dxa"/>
            <w:tcBorders>
              <w:top w:val="nil"/>
              <w:left w:val="nil"/>
              <w:bottom w:val="single" w:sz="8" w:space="0" w:color="auto"/>
              <w:right w:val="single" w:sz="8" w:space="0" w:color="auto"/>
            </w:tcBorders>
            <w:shd w:val="clear" w:color="auto" w:fill="C00000"/>
            <w:noWrap/>
            <w:tcMar>
              <w:top w:w="0" w:type="dxa"/>
              <w:left w:w="108" w:type="dxa"/>
              <w:bottom w:w="0" w:type="dxa"/>
              <w:right w:w="108" w:type="dxa"/>
            </w:tcMar>
            <w:vAlign w:val="center"/>
            <w:hideMark/>
          </w:tcPr>
          <w:p w:rsidR="00113E97" w:rsidRPr="00EF1CD3" w:rsidP="00113E97" w14:paraId="763D24C5" w14:textId="5D58AADB">
            <w:pPr>
              <w:jc w:val="right"/>
              <w:rPr>
                <w:rFonts w:asciiTheme="majorHAnsi" w:hAnsiTheme="majorHAnsi" w:cstheme="majorHAnsi"/>
                <w:color w:val="FFFFFF" w:themeColor="background1"/>
                <w:sz w:val="22"/>
              </w:rPr>
            </w:pPr>
            <w:r w:rsidRPr="00EF1CD3">
              <w:rPr>
                <w:rFonts w:asciiTheme="majorHAnsi" w:hAnsiTheme="majorHAnsi" w:cstheme="majorHAnsi"/>
                <w:color w:val="FFFFFF" w:themeColor="background1"/>
                <w:sz w:val="22"/>
              </w:rPr>
              <w:t>1.00</w:t>
            </w:r>
          </w:p>
        </w:tc>
        <w:tc>
          <w:tcPr>
            <w:tcW w:w="830" w:type="dxa"/>
            <w:tcBorders>
              <w:top w:val="nil"/>
              <w:left w:val="nil"/>
              <w:bottom w:val="single" w:sz="8" w:space="0" w:color="auto"/>
              <w:right w:val="single" w:sz="8" w:space="0" w:color="auto"/>
            </w:tcBorders>
            <w:shd w:val="clear" w:color="auto" w:fill="C00000"/>
            <w:noWrap/>
            <w:tcMar>
              <w:top w:w="0" w:type="dxa"/>
              <w:left w:w="108" w:type="dxa"/>
              <w:bottom w:w="0" w:type="dxa"/>
              <w:right w:w="108" w:type="dxa"/>
            </w:tcMar>
            <w:vAlign w:val="center"/>
            <w:hideMark/>
          </w:tcPr>
          <w:p w:rsidR="00113E97" w:rsidRPr="00EF1CD3" w:rsidP="00113E97" w14:paraId="22B89799" w14:textId="586E3124">
            <w:pPr>
              <w:jc w:val="right"/>
              <w:rPr>
                <w:rFonts w:asciiTheme="majorHAnsi" w:hAnsiTheme="majorHAnsi" w:cstheme="majorHAnsi"/>
                <w:color w:val="FFFFFF" w:themeColor="background1"/>
                <w:sz w:val="22"/>
              </w:rPr>
            </w:pPr>
            <w:r w:rsidRPr="00EF1CD3">
              <w:rPr>
                <w:rFonts w:asciiTheme="majorHAnsi" w:hAnsiTheme="majorHAnsi" w:cstheme="majorHAnsi"/>
                <w:color w:val="FFFFFF" w:themeColor="background1"/>
                <w:sz w:val="22"/>
              </w:rPr>
              <w:t>1.00</w:t>
            </w:r>
          </w:p>
        </w:tc>
        <w:tc>
          <w:tcPr>
            <w:tcW w:w="830" w:type="dxa"/>
            <w:tcBorders>
              <w:top w:val="nil"/>
              <w:left w:val="nil"/>
              <w:bottom w:val="single" w:sz="8" w:space="0" w:color="auto"/>
              <w:right w:val="single" w:sz="8" w:space="0" w:color="auto"/>
            </w:tcBorders>
            <w:shd w:val="clear" w:color="auto" w:fill="C00000"/>
            <w:noWrap/>
            <w:tcMar>
              <w:top w:w="0" w:type="dxa"/>
              <w:left w:w="108" w:type="dxa"/>
              <w:bottom w:w="0" w:type="dxa"/>
              <w:right w:w="108" w:type="dxa"/>
            </w:tcMar>
            <w:vAlign w:val="center"/>
            <w:hideMark/>
          </w:tcPr>
          <w:p w:rsidR="00113E97" w:rsidRPr="00EF1CD3" w:rsidP="00113E97" w14:paraId="1E9C9024" w14:textId="7CCA52A5">
            <w:pPr>
              <w:jc w:val="right"/>
              <w:rPr>
                <w:rFonts w:asciiTheme="majorHAnsi" w:hAnsiTheme="majorHAnsi" w:cstheme="majorHAnsi"/>
                <w:color w:val="FFFFFF" w:themeColor="background1"/>
                <w:sz w:val="22"/>
              </w:rPr>
            </w:pPr>
            <w:r w:rsidRPr="00EF1CD3">
              <w:rPr>
                <w:rFonts w:asciiTheme="majorHAnsi" w:hAnsiTheme="majorHAnsi" w:cstheme="majorHAnsi"/>
                <w:color w:val="FFFFFF" w:themeColor="background1"/>
                <w:sz w:val="22"/>
              </w:rPr>
              <w:t>1.00</w:t>
            </w:r>
          </w:p>
        </w:tc>
        <w:tc>
          <w:tcPr>
            <w:tcW w:w="971" w:type="dxa"/>
            <w:tcBorders>
              <w:top w:val="nil"/>
              <w:left w:val="nil"/>
              <w:bottom w:val="single" w:sz="8" w:space="0" w:color="auto"/>
              <w:right w:val="single" w:sz="8" w:space="0" w:color="auto"/>
            </w:tcBorders>
            <w:shd w:val="clear" w:color="auto" w:fill="C00000"/>
            <w:noWrap/>
            <w:tcMar>
              <w:top w:w="0" w:type="dxa"/>
              <w:left w:w="108" w:type="dxa"/>
              <w:bottom w:w="0" w:type="dxa"/>
              <w:right w:w="108" w:type="dxa"/>
            </w:tcMar>
            <w:vAlign w:val="center"/>
            <w:hideMark/>
          </w:tcPr>
          <w:p w:rsidR="00113E97" w:rsidRPr="00EF1CD3" w:rsidP="00113E97" w14:paraId="77527A75" w14:textId="179C5EA4">
            <w:pPr>
              <w:jc w:val="right"/>
              <w:rPr>
                <w:rFonts w:asciiTheme="majorHAnsi" w:hAnsiTheme="majorHAnsi" w:cstheme="majorHAnsi"/>
                <w:color w:val="FFFFFF" w:themeColor="background1"/>
                <w:sz w:val="22"/>
              </w:rPr>
            </w:pPr>
            <w:r w:rsidRPr="00EF1CD3">
              <w:rPr>
                <w:rFonts w:asciiTheme="majorHAnsi" w:hAnsiTheme="majorHAnsi" w:cstheme="majorHAnsi"/>
                <w:color w:val="FFFFFF" w:themeColor="background1"/>
                <w:sz w:val="22"/>
              </w:rPr>
              <w:t>1.00</w:t>
            </w:r>
          </w:p>
        </w:tc>
      </w:tr>
      <w:tr w14:paraId="4471AD9D" w14:textId="77777777" w:rsidTr="000E7AC7">
        <w:tblPrEx>
          <w:tblW w:w="8515" w:type="dxa"/>
          <w:jc w:val="center"/>
          <w:tblCellMar>
            <w:left w:w="0" w:type="dxa"/>
            <w:right w:w="0" w:type="dxa"/>
          </w:tblCellMar>
          <w:tblLook w:val="04A0"/>
        </w:tblPrEx>
        <w:trPr>
          <w:trHeight w:val="272"/>
          <w:jc w:val="center"/>
        </w:trPr>
        <w:tc>
          <w:tcPr>
            <w:tcW w:w="89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13E97" w:rsidRPr="00EF1CD3" w:rsidP="00113E97" w14:paraId="18685650" w14:textId="77777777">
            <w:pPr>
              <w:jc w:val="right"/>
              <w:rPr>
                <w:rFonts w:asciiTheme="majorHAnsi" w:hAnsiTheme="majorHAnsi" w:cstheme="majorHAnsi"/>
                <w:sz w:val="22"/>
              </w:rPr>
            </w:pPr>
            <w:r w:rsidRPr="00EF1CD3">
              <w:rPr>
                <w:rFonts w:asciiTheme="majorHAnsi" w:hAnsiTheme="majorHAnsi" w:cstheme="majorHAnsi"/>
                <w:color w:val="000000"/>
                <w:sz w:val="22"/>
              </w:rPr>
              <w:t>750</w:t>
            </w:r>
          </w:p>
        </w:tc>
        <w:tc>
          <w:tcPr>
            <w:tcW w:w="8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13E97" w:rsidRPr="00EF1CD3" w:rsidP="00113E97" w14:paraId="75C3F6B4" w14:textId="536EEEFF">
            <w:pPr>
              <w:jc w:val="right"/>
              <w:rPr>
                <w:rFonts w:asciiTheme="majorHAnsi" w:hAnsiTheme="majorHAnsi" w:cstheme="majorHAnsi"/>
                <w:sz w:val="22"/>
              </w:rPr>
            </w:pPr>
            <w:r w:rsidRPr="00EF1CD3">
              <w:rPr>
                <w:rFonts w:asciiTheme="majorHAnsi" w:hAnsiTheme="majorHAnsi" w:cstheme="majorHAnsi"/>
                <w:color w:val="000000"/>
                <w:sz w:val="22"/>
              </w:rPr>
              <w:t>0.05</w:t>
            </w:r>
          </w:p>
        </w:tc>
        <w:tc>
          <w:tcPr>
            <w:tcW w:w="83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3E97" w:rsidRPr="00EF1CD3" w:rsidP="00113E97" w14:paraId="79DC47B4" w14:textId="1F496D00">
            <w:pPr>
              <w:jc w:val="right"/>
              <w:rPr>
                <w:rFonts w:asciiTheme="majorHAnsi" w:hAnsiTheme="majorHAnsi" w:cstheme="majorHAnsi"/>
                <w:sz w:val="22"/>
              </w:rPr>
            </w:pPr>
            <w:r w:rsidRPr="00EF1CD3">
              <w:rPr>
                <w:rFonts w:asciiTheme="majorHAnsi" w:hAnsiTheme="majorHAnsi" w:cstheme="majorHAnsi"/>
                <w:color w:val="000000"/>
                <w:sz w:val="22"/>
              </w:rPr>
              <w:t>0.54</w:t>
            </w:r>
          </w:p>
        </w:tc>
        <w:tc>
          <w:tcPr>
            <w:tcW w:w="83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3E97" w:rsidRPr="00EF1CD3" w:rsidP="00113E97" w14:paraId="12B7CF63" w14:textId="6AE6708F">
            <w:pPr>
              <w:jc w:val="right"/>
              <w:rPr>
                <w:rFonts w:asciiTheme="majorHAnsi" w:hAnsiTheme="majorHAnsi" w:cstheme="majorHAnsi"/>
                <w:sz w:val="22"/>
              </w:rPr>
            </w:pPr>
            <w:r w:rsidRPr="00EF1CD3">
              <w:rPr>
                <w:rFonts w:asciiTheme="majorHAnsi" w:hAnsiTheme="majorHAnsi" w:cstheme="majorHAnsi"/>
                <w:color w:val="000000"/>
                <w:sz w:val="22"/>
              </w:rPr>
              <w:t>0.78</w:t>
            </w:r>
          </w:p>
        </w:tc>
        <w:tc>
          <w:tcPr>
            <w:tcW w:w="830" w:type="dxa"/>
            <w:tcBorders>
              <w:top w:val="nil"/>
              <w:left w:val="nil"/>
              <w:bottom w:val="single" w:sz="8" w:space="0" w:color="auto"/>
              <w:right w:val="single" w:sz="8" w:space="0" w:color="auto"/>
            </w:tcBorders>
            <w:shd w:val="clear" w:color="auto" w:fill="FFC000"/>
            <w:noWrap/>
            <w:tcMar>
              <w:top w:w="0" w:type="dxa"/>
              <w:left w:w="108" w:type="dxa"/>
              <w:bottom w:w="0" w:type="dxa"/>
              <w:right w:w="108" w:type="dxa"/>
            </w:tcMar>
            <w:vAlign w:val="center"/>
            <w:hideMark/>
          </w:tcPr>
          <w:p w:rsidR="00113E97" w:rsidRPr="00EF1CD3" w:rsidP="00113E97" w14:paraId="309BBA58" w14:textId="2F843293">
            <w:pPr>
              <w:jc w:val="right"/>
              <w:rPr>
                <w:rFonts w:asciiTheme="majorHAnsi" w:hAnsiTheme="majorHAnsi" w:cstheme="majorHAnsi"/>
                <w:sz w:val="22"/>
              </w:rPr>
            </w:pPr>
            <w:r w:rsidRPr="00EF1CD3">
              <w:rPr>
                <w:rFonts w:asciiTheme="majorHAnsi" w:hAnsiTheme="majorHAnsi" w:cstheme="majorHAnsi"/>
                <w:color w:val="000000"/>
                <w:sz w:val="22"/>
              </w:rPr>
              <w:t>0.93</w:t>
            </w:r>
          </w:p>
        </w:tc>
        <w:tc>
          <w:tcPr>
            <w:tcW w:w="830" w:type="dxa"/>
            <w:tcBorders>
              <w:top w:val="nil"/>
              <w:left w:val="nil"/>
              <w:bottom w:val="single" w:sz="8" w:space="0" w:color="auto"/>
              <w:right w:val="single" w:sz="8" w:space="0" w:color="auto"/>
            </w:tcBorders>
            <w:shd w:val="clear" w:color="auto" w:fill="FF0000"/>
            <w:noWrap/>
            <w:tcMar>
              <w:top w:w="0" w:type="dxa"/>
              <w:left w:w="108" w:type="dxa"/>
              <w:bottom w:w="0" w:type="dxa"/>
              <w:right w:w="108" w:type="dxa"/>
            </w:tcMar>
            <w:vAlign w:val="center"/>
            <w:hideMark/>
          </w:tcPr>
          <w:p w:rsidR="00113E97" w:rsidRPr="00EF1CD3" w:rsidP="00113E97" w14:paraId="61489058" w14:textId="59A0BDE9">
            <w:pPr>
              <w:jc w:val="right"/>
              <w:rPr>
                <w:rFonts w:asciiTheme="majorHAnsi" w:hAnsiTheme="majorHAnsi" w:cstheme="majorHAnsi"/>
                <w:sz w:val="22"/>
              </w:rPr>
            </w:pPr>
            <w:r w:rsidRPr="00EF1CD3">
              <w:rPr>
                <w:rFonts w:asciiTheme="majorHAnsi" w:hAnsiTheme="majorHAnsi" w:cstheme="majorHAnsi"/>
                <w:sz w:val="22"/>
              </w:rPr>
              <w:t>0.98</w:t>
            </w:r>
          </w:p>
        </w:tc>
        <w:tc>
          <w:tcPr>
            <w:tcW w:w="830" w:type="dxa"/>
            <w:tcBorders>
              <w:top w:val="nil"/>
              <w:left w:val="nil"/>
              <w:bottom w:val="single" w:sz="8" w:space="0" w:color="auto"/>
              <w:right w:val="single" w:sz="8" w:space="0" w:color="auto"/>
            </w:tcBorders>
            <w:shd w:val="clear" w:color="auto" w:fill="C00000"/>
            <w:noWrap/>
            <w:tcMar>
              <w:top w:w="0" w:type="dxa"/>
              <w:left w:w="108" w:type="dxa"/>
              <w:bottom w:w="0" w:type="dxa"/>
              <w:right w:w="108" w:type="dxa"/>
            </w:tcMar>
            <w:vAlign w:val="center"/>
            <w:hideMark/>
          </w:tcPr>
          <w:p w:rsidR="00113E97" w:rsidRPr="00EF1CD3" w:rsidP="00113E97" w14:paraId="37D659A9" w14:textId="21B92F6D">
            <w:pPr>
              <w:jc w:val="right"/>
              <w:rPr>
                <w:rFonts w:asciiTheme="majorHAnsi" w:hAnsiTheme="majorHAnsi" w:cstheme="majorHAnsi"/>
                <w:color w:val="FFFFFF" w:themeColor="background1"/>
                <w:sz w:val="22"/>
              </w:rPr>
            </w:pPr>
            <w:r w:rsidRPr="00EF1CD3">
              <w:rPr>
                <w:rFonts w:asciiTheme="majorHAnsi" w:hAnsiTheme="majorHAnsi" w:cstheme="majorHAnsi"/>
                <w:color w:val="FFFFFF" w:themeColor="background1"/>
                <w:sz w:val="22"/>
              </w:rPr>
              <w:t>1.00</w:t>
            </w:r>
          </w:p>
        </w:tc>
        <w:tc>
          <w:tcPr>
            <w:tcW w:w="830" w:type="dxa"/>
            <w:tcBorders>
              <w:top w:val="nil"/>
              <w:left w:val="nil"/>
              <w:bottom w:val="single" w:sz="8" w:space="0" w:color="auto"/>
              <w:right w:val="single" w:sz="8" w:space="0" w:color="auto"/>
            </w:tcBorders>
            <w:shd w:val="clear" w:color="auto" w:fill="C00000"/>
            <w:noWrap/>
            <w:tcMar>
              <w:top w:w="0" w:type="dxa"/>
              <w:left w:w="108" w:type="dxa"/>
              <w:bottom w:w="0" w:type="dxa"/>
              <w:right w:w="108" w:type="dxa"/>
            </w:tcMar>
            <w:vAlign w:val="center"/>
            <w:hideMark/>
          </w:tcPr>
          <w:p w:rsidR="00113E97" w:rsidRPr="00EF1CD3" w:rsidP="00113E97" w14:paraId="353A6C21" w14:textId="09A5B893">
            <w:pPr>
              <w:jc w:val="right"/>
              <w:rPr>
                <w:rFonts w:asciiTheme="majorHAnsi" w:hAnsiTheme="majorHAnsi" w:cstheme="majorHAnsi"/>
                <w:color w:val="FFFFFF" w:themeColor="background1"/>
                <w:sz w:val="22"/>
              </w:rPr>
            </w:pPr>
            <w:r w:rsidRPr="00EF1CD3">
              <w:rPr>
                <w:rFonts w:asciiTheme="majorHAnsi" w:hAnsiTheme="majorHAnsi" w:cstheme="majorHAnsi"/>
                <w:color w:val="FFFFFF" w:themeColor="background1"/>
                <w:sz w:val="22"/>
              </w:rPr>
              <w:t>1.00</w:t>
            </w:r>
          </w:p>
        </w:tc>
        <w:tc>
          <w:tcPr>
            <w:tcW w:w="830" w:type="dxa"/>
            <w:tcBorders>
              <w:top w:val="nil"/>
              <w:left w:val="nil"/>
              <w:bottom w:val="single" w:sz="8" w:space="0" w:color="auto"/>
              <w:right w:val="single" w:sz="8" w:space="0" w:color="auto"/>
            </w:tcBorders>
            <w:shd w:val="clear" w:color="auto" w:fill="C00000"/>
            <w:noWrap/>
            <w:tcMar>
              <w:top w:w="0" w:type="dxa"/>
              <w:left w:w="108" w:type="dxa"/>
              <w:bottom w:w="0" w:type="dxa"/>
              <w:right w:w="108" w:type="dxa"/>
            </w:tcMar>
            <w:vAlign w:val="center"/>
            <w:hideMark/>
          </w:tcPr>
          <w:p w:rsidR="00113E97" w:rsidRPr="00EF1CD3" w:rsidP="00113E97" w14:paraId="1D530F9F" w14:textId="52BF4F03">
            <w:pPr>
              <w:jc w:val="right"/>
              <w:rPr>
                <w:rFonts w:asciiTheme="majorHAnsi" w:hAnsiTheme="majorHAnsi" w:cstheme="majorHAnsi"/>
                <w:color w:val="FFFFFF" w:themeColor="background1"/>
                <w:sz w:val="22"/>
              </w:rPr>
            </w:pPr>
            <w:r w:rsidRPr="00EF1CD3">
              <w:rPr>
                <w:rFonts w:asciiTheme="majorHAnsi" w:hAnsiTheme="majorHAnsi" w:cstheme="majorHAnsi"/>
                <w:color w:val="FFFFFF" w:themeColor="background1"/>
                <w:sz w:val="22"/>
              </w:rPr>
              <w:t>1.00</w:t>
            </w:r>
          </w:p>
        </w:tc>
        <w:tc>
          <w:tcPr>
            <w:tcW w:w="971" w:type="dxa"/>
            <w:tcBorders>
              <w:top w:val="nil"/>
              <w:left w:val="nil"/>
              <w:bottom w:val="single" w:sz="8" w:space="0" w:color="auto"/>
              <w:right w:val="single" w:sz="8" w:space="0" w:color="auto"/>
            </w:tcBorders>
            <w:shd w:val="clear" w:color="auto" w:fill="C00000"/>
            <w:noWrap/>
            <w:tcMar>
              <w:top w:w="0" w:type="dxa"/>
              <w:left w:w="108" w:type="dxa"/>
              <w:bottom w:w="0" w:type="dxa"/>
              <w:right w:w="108" w:type="dxa"/>
            </w:tcMar>
            <w:vAlign w:val="center"/>
            <w:hideMark/>
          </w:tcPr>
          <w:p w:rsidR="00113E97" w:rsidRPr="00EF1CD3" w:rsidP="00113E97" w14:paraId="168B143E" w14:textId="10C388E4">
            <w:pPr>
              <w:jc w:val="right"/>
              <w:rPr>
                <w:rFonts w:asciiTheme="majorHAnsi" w:hAnsiTheme="majorHAnsi" w:cstheme="majorHAnsi"/>
                <w:color w:val="FFFFFF" w:themeColor="background1"/>
                <w:sz w:val="22"/>
              </w:rPr>
            </w:pPr>
            <w:r w:rsidRPr="00EF1CD3">
              <w:rPr>
                <w:rFonts w:asciiTheme="majorHAnsi" w:hAnsiTheme="majorHAnsi" w:cstheme="majorHAnsi"/>
                <w:color w:val="FFFFFF" w:themeColor="background1"/>
                <w:sz w:val="22"/>
              </w:rPr>
              <w:t>1.00</w:t>
            </w:r>
          </w:p>
        </w:tc>
      </w:tr>
      <w:tr w14:paraId="6F211D62" w14:textId="77777777" w:rsidTr="000E7AC7">
        <w:tblPrEx>
          <w:tblW w:w="8515" w:type="dxa"/>
          <w:jc w:val="center"/>
          <w:tblCellMar>
            <w:left w:w="0" w:type="dxa"/>
            <w:right w:w="0" w:type="dxa"/>
          </w:tblCellMar>
          <w:tblLook w:val="04A0"/>
        </w:tblPrEx>
        <w:trPr>
          <w:trHeight w:val="272"/>
          <w:jc w:val="center"/>
        </w:trPr>
        <w:tc>
          <w:tcPr>
            <w:tcW w:w="89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13E97" w:rsidRPr="00EF1CD3" w:rsidP="00113E97" w14:paraId="01A697D5" w14:textId="77777777">
            <w:pPr>
              <w:jc w:val="right"/>
              <w:rPr>
                <w:rFonts w:asciiTheme="majorHAnsi" w:hAnsiTheme="majorHAnsi" w:cstheme="majorHAnsi"/>
                <w:sz w:val="22"/>
              </w:rPr>
            </w:pPr>
            <w:r w:rsidRPr="00EF1CD3">
              <w:rPr>
                <w:rFonts w:asciiTheme="majorHAnsi" w:hAnsiTheme="majorHAnsi" w:cstheme="majorHAnsi"/>
                <w:color w:val="000000"/>
                <w:sz w:val="22"/>
              </w:rPr>
              <w:t>800</w:t>
            </w:r>
          </w:p>
        </w:tc>
        <w:tc>
          <w:tcPr>
            <w:tcW w:w="8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13E97" w:rsidRPr="00EF1CD3" w:rsidP="00113E97" w14:paraId="6F1B7D26" w14:textId="61D39157">
            <w:pPr>
              <w:jc w:val="right"/>
              <w:rPr>
                <w:rFonts w:asciiTheme="majorHAnsi" w:hAnsiTheme="majorHAnsi" w:cstheme="majorHAnsi"/>
                <w:sz w:val="22"/>
              </w:rPr>
            </w:pPr>
            <w:r w:rsidRPr="00EF1CD3">
              <w:rPr>
                <w:rFonts w:asciiTheme="majorHAnsi" w:hAnsiTheme="majorHAnsi" w:cstheme="majorHAnsi"/>
                <w:color w:val="000000"/>
                <w:sz w:val="22"/>
              </w:rPr>
              <w:t>0.05</w:t>
            </w:r>
          </w:p>
        </w:tc>
        <w:tc>
          <w:tcPr>
            <w:tcW w:w="83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3E97" w:rsidRPr="00EF1CD3" w:rsidP="00113E97" w14:paraId="0C9D128B" w14:textId="6FF20E1F">
            <w:pPr>
              <w:jc w:val="right"/>
              <w:rPr>
                <w:rFonts w:asciiTheme="majorHAnsi" w:hAnsiTheme="majorHAnsi" w:cstheme="majorHAnsi"/>
                <w:sz w:val="22"/>
              </w:rPr>
            </w:pPr>
            <w:r w:rsidRPr="00EF1CD3">
              <w:rPr>
                <w:rFonts w:asciiTheme="majorHAnsi" w:hAnsiTheme="majorHAnsi" w:cstheme="majorHAnsi"/>
                <w:color w:val="000000"/>
                <w:sz w:val="22"/>
              </w:rPr>
              <w:t>0.56</w:t>
            </w:r>
          </w:p>
        </w:tc>
        <w:tc>
          <w:tcPr>
            <w:tcW w:w="833"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center"/>
            <w:hideMark/>
          </w:tcPr>
          <w:p w:rsidR="00113E97" w:rsidRPr="00EF1CD3" w:rsidP="00113E97" w14:paraId="00DD278E" w14:textId="1982A053">
            <w:pPr>
              <w:jc w:val="right"/>
              <w:rPr>
                <w:rFonts w:asciiTheme="majorHAnsi" w:hAnsiTheme="majorHAnsi" w:cstheme="majorHAnsi"/>
                <w:sz w:val="22"/>
              </w:rPr>
            </w:pPr>
            <w:r w:rsidRPr="00EF1CD3">
              <w:rPr>
                <w:rFonts w:asciiTheme="majorHAnsi" w:hAnsiTheme="majorHAnsi" w:cstheme="majorHAnsi"/>
                <w:color w:val="000000"/>
                <w:sz w:val="22"/>
              </w:rPr>
              <w:t>0.81</w:t>
            </w:r>
          </w:p>
        </w:tc>
        <w:tc>
          <w:tcPr>
            <w:tcW w:w="830" w:type="dxa"/>
            <w:tcBorders>
              <w:top w:val="nil"/>
              <w:left w:val="nil"/>
              <w:bottom w:val="single" w:sz="8" w:space="0" w:color="auto"/>
              <w:right w:val="single" w:sz="8" w:space="0" w:color="auto"/>
            </w:tcBorders>
            <w:shd w:val="clear" w:color="auto" w:fill="FFC000"/>
            <w:noWrap/>
            <w:tcMar>
              <w:top w:w="0" w:type="dxa"/>
              <w:left w:w="108" w:type="dxa"/>
              <w:bottom w:w="0" w:type="dxa"/>
              <w:right w:w="108" w:type="dxa"/>
            </w:tcMar>
            <w:vAlign w:val="center"/>
            <w:hideMark/>
          </w:tcPr>
          <w:p w:rsidR="00113E97" w:rsidRPr="00EF1CD3" w:rsidP="00113E97" w14:paraId="3F4329E2" w14:textId="0A8C3699">
            <w:pPr>
              <w:jc w:val="right"/>
              <w:rPr>
                <w:rFonts w:asciiTheme="majorHAnsi" w:hAnsiTheme="majorHAnsi" w:cstheme="majorHAnsi"/>
                <w:sz w:val="22"/>
              </w:rPr>
            </w:pPr>
            <w:r w:rsidRPr="00EF1CD3">
              <w:rPr>
                <w:rFonts w:asciiTheme="majorHAnsi" w:hAnsiTheme="majorHAnsi" w:cstheme="majorHAnsi"/>
                <w:color w:val="000000"/>
                <w:sz w:val="22"/>
              </w:rPr>
              <w:t>0.94</w:t>
            </w:r>
          </w:p>
        </w:tc>
        <w:tc>
          <w:tcPr>
            <w:tcW w:w="830" w:type="dxa"/>
            <w:tcBorders>
              <w:top w:val="nil"/>
              <w:left w:val="nil"/>
              <w:bottom w:val="single" w:sz="8" w:space="0" w:color="auto"/>
              <w:right w:val="single" w:sz="8" w:space="0" w:color="auto"/>
            </w:tcBorders>
            <w:shd w:val="clear" w:color="auto" w:fill="FF0000"/>
            <w:noWrap/>
            <w:tcMar>
              <w:top w:w="0" w:type="dxa"/>
              <w:left w:w="108" w:type="dxa"/>
              <w:bottom w:w="0" w:type="dxa"/>
              <w:right w:w="108" w:type="dxa"/>
            </w:tcMar>
            <w:vAlign w:val="center"/>
            <w:hideMark/>
          </w:tcPr>
          <w:p w:rsidR="00113E97" w:rsidRPr="00EF1CD3" w:rsidP="00113E97" w14:paraId="0EAA9EE5" w14:textId="56C6D506">
            <w:pPr>
              <w:jc w:val="right"/>
              <w:rPr>
                <w:rFonts w:asciiTheme="majorHAnsi" w:hAnsiTheme="majorHAnsi" w:cstheme="majorHAnsi"/>
                <w:sz w:val="22"/>
              </w:rPr>
            </w:pPr>
            <w:r w:rsidRPr="00EF1CD3">
              <w:rPr>
                <w:rFonts w:asciiTheme="majorHAnsi" w:hAnsiTheme="majorHAnsi" w:cstheme="majorHAnsi"/>
                <w:sz w:val="22"/>
              </w:rPr>
              <w:t>0.99</w:t>
            </w:r>
          </w:p>
        </w:tc>
        <w:tc>
          <w:tcPr>
            <w:tcW w:w="830" w:type="dxa"/>
            <w:tcBorders>
              <w:top w:val="nil"/>
              <w:left w:val="nil"/>
              <w:bottom w:val="single" w:sz="8" w:space="0" w:color="auto"/>
              <w:right w:val="single" w:sz="8" w:space="0" w:color="auto"/>
            </w:tcBorders>
            <w:shd w:val="clear" w:color="auto" w:fill="C00000"/>
            <w:noWrap/>
            <w:tcMar>
              <w:top w:w="0" w:type="dxa"/>
              <w:left w:w="108" w:type="dxa"/>
              <w:bottom w:w="0" w:type="dxa"/>
              <w:right w:w="108" w:type="dxa"/>
            </w:tcMar>
            <w:vAlign w:val="center"/>
            <w:hideMark/>
          </w:tcPr>
          <w:p w:rsidR="00113E97" w:rsidRPr="00EF1CD3" w:rsidP="00113E97" w14:paraId="429E6353" w14:textId="562BFD79">
            <w:pPr>
              <w:jc w:val="right"/>
              <w:rPr>
                <w:rFonts w:asciiTheme="majorHAnsi" w:hAnsiTheme="majorHAnsi" w:cstheme="majorHAnsi"/>
                <w:color w:val="FFFFFF" w:themeColor="background1"/>
                <w:sz w:val="22"/>
              </w:rPr>
            </w:pPr>
            <w:r w:rsidRPr="00EF1CD3">
              <w:rPr>
                <w:rFonts w:asciiTheme="majorHAnsi" w:hAnsiTheme="majorHAnsi" w:cstheme="majorHAnsi"/>
                <w:color w:val="FFFFFF" w:themeColor="background1"/>
                <w:sz w:val="22"/>
              </w:rPr>
              <w:t>1.00</w:t>
            </w:r>
          </w:p>
        </w:tc>
        <w:tc>
          <w:tcPr>
            <w:tcW w:w="830" w:type="dxa"/>
            <w:tcBorders>
              <w:top w:val="nil"/>
              <w:left w:val="nil"/>
              <w:bottom w:val="single" w:sz="8" w:space="0" w:color="auto"/>
              <w:right w:val="single" w:sz="8" w:space="0" w:color="auto"/>
            </w:tcBorders>
            <w:shd w:val="clear" w:color="auto" w:fill="C00000"/>
            <w:noWrap/>
            <w:tcMar>
              <w:top w:w="0" w:type="dxa"/>
              <w:left w:w="108" w:type="dxa"/>
              <w:bottom w:w="0" w:type="dxa"/>
              <w:right w:w="108" w:type="dxa"/>
            </w:tcMar>
            <w:vAlign w:val="center"/>
            <w:hideMark/>
          </w:tcPr>
          <w:p w:rsidR="00113E97" w:rsidRPr="00EF1CD3" w:rsidP="00113E97" w14:paraId="51554077" w14:textId="7596858B">
            <w:pPr>
              <w:jc w:val="right"/>
              <w:rPr>
                <w:rFonts w:asciiTheme="majorHAnsi" w:hAnsiTheme="majorHAnsi" w:cstheme="majorHAnsi"/>
                <w:color w:val="FFFFFF" w:themeColor="background1"/>
                <w:sz w:val="22"/>
              </w:rPr>
            </w:pPr>
            <w:r w:rsidRPr="00EF1CD3">
              <w:rPr>
                <w:rFonts w:asciiTheme="majorHAnsi" w:hAnsiTheme="majorHAnsi" w:cstheme="majorHAnsi"/>
                <w:color w:val="FFFFFF" w:themeColor="background1"/>
                <w:sz w:val="22"/>
              </w:rPr>
              <w:t>1.00</w:t>
            </w:r>
          </w:p>
        </w:tc>
        <w:tc>
          <w:tcPr>
            <w:tcW w:w="830" w:type="dxa"/>
            <w:tcBorders>
              <w:top w:val="nil"/>
              <w:left w:val="nil"/>
              <w:bottom w:val="single" w:sz="8" w:space="0" w:color="auto"/>
              <w:right w:val="single" w:sz="8" w:space="0" w:color="auto"/>
            </w:tcBorders>
            <w:shd w:val="clear" w:color="auto" w:fill="C00000"/>
            <w:noWrap/>
            <w:tcMar>
              <w:top w:w="0" w:type="dxa"/>
              <w:left w:w="108" w:type="dxa"/>
              <w:bottom w:w="0" w:type="dxa"/>
              <w:right w:w="108" w:type="dxa"/>
            </w:tcMar>
            <w:vAlign w:val="center"/>
            <w:hideMark/>
          </w:tcPr>
          <w:p w:rsidR="00113E97" w:rsidRPr="00EF1CD3" w:rsidP="00113E97" w14:paraId="4E9702DA" w14:textId="2963201F">
            <w:pPr>
              <w:jc w:val="right"/>
              <w:rPr>
                <w:rFonts w:asciiTheme="majorHAnsi" w:hAnsiTheme="majorHAnsi" w:cstheme="majorHAnsi"/>
                <w:color w:val="FFFFFF" w:themeColor="background1"/>
                <w:sz w:val="22"/>
              </w:rPr>
            </w:pPr>
            <w:r w:rsidRPr="00EF1CD3">
              <w:rPr>
                <w:rFonts w:asciiTheme="majorHAnsi" w:hAnsiTheme="majorHAnsi" w:cstheme="majorHAnsi"/>
                <w:color w:val="FFFFFF" w:themeColor="background1"/>
                <w:sz w:val="22"/>
              </w:rPr>
              <w:t>1.00</w:t>
            </w:r>
          </w:p>
        </w:tc>
        <w:tc>
          <w:tcPr>
            <w:tcW w:w="971" w:type="dxa"/>
            <w:tcBorders>
              <w:top w:val="nil"/>
              <w:left w:val="nil"/>
              <w:bottom w:val="single" w:sz="8" w:space="0" w:color="auto"/>
              <w:right w:val="single" w:sz="8" w:space="0" w:color="auto"/>
            </w:tcBorders>
            <w:shd w:val="clear" w:color="auto" w:fill="C00000"/>
            <w:noWrap/>
            <w:tcMar>
              <w:top w:w="0" w:type="dxa"/>
              <w:left w:w="108" w:type="dxa"/>
              <w:bottom w:w="0" w:type="dxa"/>
              <w:right w:w="108" w:type="dxa"/>
            </w:tcMar>
            <w:vAlign w:val="center"/>
            <w:hideMark/>
          </w:tcPr>
          <w:p w:rsidR="00113E97" w:rsidRPr="00EF1CD3" w:rsidP="00113E97" w14:paraId="12553512" w14:textId="155E29C5">
            <w:pPr>
              <w:jc w:val="right"/>
              <w:rPr>
                <w:rFonts w:asciiTheme="majorHAnsi" w:hAnsiTheme="majorHAnsi" w:cstheme="majorHAnsi"/>
                <w:color w:val="FFFFFF" w:themeColor="background1"/>
                <w:sz w:val="22"/>
              </w:rPr>
            </w:pPr>
            <w:r w:rsidRPr="00EF1CD3">
              <w:rPr>
                <w:rFonts w:asciiTheme="majorHAnsi" w:hAnsiTheme="majorHAnsi" w:cstheme="majorHAnsi"/>
                <w:color w:val="FFFFFF" w:themeColor="background1"/>
                <w:sz w:val="22"/>
              </w:rPr>
              <w:t>1.00</w:t>
            </w:r>
          </w:p>
        </w:tc>
      </w:tr>
      <w:tr w14:paraId="78A4FDFE" w14:textId="77777777" w:rsidTr="000E7AC7">
        <w:tblPrEx>
          <w:tblW w:w="8515" w:type="dxa"/>
          <w:jc w:val="center"/>
          <w:tblCellMar>
            <w:left w:w="0" w:type="dxa"/>
            <w:right w:w="0" w:type="dxa"/>
          </w:tblCellMar>
          <w:tblLook w:val="04A0"/>
        </w:tblPrEx>
        <w:trPr>
          <w:trHeight w:val="259"/>
          <w:jc w:val="center"/>
        </w:trPr>
        <w:tc>
          <w:tcPr>
            <w:tcW w:w="89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13E97" w:rsidRPr="00EF1CD3" w:rsidP="00113E97" w14:paraId="146EAC7C" w14:textId="77777777">
            <w:pPr>
              <w:jc w:val="right"/>
              <w:rPr>
                <w:rFonts w:asciiTheme="majorHAnsi" w:hAnsiTheme="majorHAnsi" w:cstheme="majorHAnsi"/>
                <w:sz w:val="22"/>
              </w:rPr>
            </w:pPr>
            <w:r w:rsidRPr="00EF1CD3">
              <w:rPr>
                <w:rFonts w:asciiTheme="majorHAnsi" w:hAnsiTheme="majorHAnsi" w:cstheme="majorHAnsi"/>
                <w:color w:val="000000"/>
                <w:sz w:val="22"/>
              </w:rPr>
              <w:t>850</w:t>
            </w:r>
          </w:p>
        </w:tc>
        <w:tc>
          <w:tcPr>
            <w:tcW w:w="8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13E97" w:rsidRPr="00EF1CD3" w:rsidP="00113E97" w14:paraId="74DBD3CE" w14:textId="0C7B953E">
            <w:pPr>
              <w:jc w:val="right"/>
              <w:rPr>
                <w:rFonts w:asciiTheme="majorHAnsi" w:hAnsiTheme="majorHAnsi" w:cstheme="majorHAnsi"/>
                <w:sz w:val="22"/>
              </w:rPr>
            </w:pPr>
            <w:r w:rsidRPr="00EF1CD3">
              <w:rPr>
                <w:rFonts w:asciiTheme="majorHAnsi" w:hAnsiTheme="majorHAnsi" w:cstheme="majorHAnsi"/>
                <w:color w:val="000000"/>
                <w:sz w:val="22"/>
              </w:rPr>
              <w:t>0.05</w:t>
            </w:r>
          </w:p>
        </w:tc>
        <w:tc>
          <w:tcPr>
            <w:tcW w:w="83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3E97" w:rsidRPr="00EF1CD3" w:rsidP="00113E97" w14:paraId="30597FF8" w14:textId="1FFA3E93">
            <w:pPr>
              <w:jc w:val="right"/>
              <w:rPr>
                <w:rFonts w:asciiTheme="majorHAnsi" w:hAnsiTheme="majorHAnsi" w:cstheme="majorHAnsi"/>
                <w:sz w:val="22"/>
              </w:rPr>
            </w:pPr>
            <w:r w:rsidRPr="00EF1CD3">
              <w:rPr>
                <w:rFonts w:asciiTheme="majorHAnsi" w:hAnsiTheme="majorHAnsi" w:cstheme="majorHAnsi"/>
                <w:color w:val="000000"/>
                <w:sz w:val="22"/>
              </w:rPr>
              <w:t>0.59</w:t>
            </w:r>
          </w:p>
        </w:tc>
        <w:tc>
          <w:tcPr>
            <w:tcW w:w="833"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center"/>
            <w:hideMark/>
          </w:tcPr>
          <w:p w:rsidR="00113E97" w:rsidRPr="00EF1CD3" w:rsidP="00113E97" w14:paraId="748F29ED" w14:textId="3FEA3865">
            <w:pPr>
              <w:jc w:val="right"/>
              <w:rPr>
                <w:rFonts w:asciiTheme="majorHAnsi" w:hAnsiTheme="majorHAnsi" w:cstheme="majorHAnsi"/>
                <w:sz w:val="22"/>
              </w:rPr>
            </w:pPr>
            <w:r w:rsidRPr="00EF1CD3">
              <w:rPr>
                <w:rFonts w:asciiTheme="majorHAnsi" w:hAnsiTheme="majorHAnsi" w:cstheme="majorHAnsi"/>
                <w:color w:val="000000"/>
                <w:sz w:val="22"/>
              </w:rPr>
              <w:t>0.83</w:t>
            </w:r>
          </w:p>
        </w:tc>
        <w:tc>
          <w:tcPr>
            <w:tcW w:w="830" w:type="dxa"/>
            <w:tcBorders>
              <w:top w:val="nil"/>
              <w:left w:val="nil"/>
              <w:bottom w:val="single" w:sz="8" w:space="0" w:color="auto"/>
              <w:right w:val="single" w:sz="8" w:space="0" w:color="auto"/>
            </w:tcBorders>
            <w:shd w:val="clear" w:color="auto" w:fill="FF0000"/>
            <w:noWrap/>
            <w:tcMar>
              <w:top w:w="0" w:type="dxa"/>
              <w:left w:w="108" w:type="dxa"/>
              <w:bottom w:w="0" w:type="dxa"/>
              <w:right w:w="108" w:type="dxa"/>
            </w:tcMar>
            <w:vAlign w:val="center"/>
            <w:hideMark/>
          </w:tcPr>
          <w:p w:rsidR="00113E97" w:rsidRPr="00EF1CD3" w:rsidP="00113E97" w14:paraId="33486B53" w14:textId="7F8704D7">
            <w:pPr>
              <w:jc w:val="right"/>
              <w:rPr>
                <w:rFonts w:asciiTheme="majorHAnsi" w:hAnsiTheme="majorHAnsi" w:cstheme="majorHAnsi"/>
                <w:sz w:val="22"/>
              </w:rPr>
            </w:pPr>
            <w:r w:rsidRPr="00EF1CD3">
              <w:rPr>
                <w:rFonts w:asciiTheme="majorHAnsi" w:hAnsiTheme="majorHAnsi" w:cstheme="majorHAnsi"/>
                <w:sz w:val="22"/>
              </w:rPr>
              <w:t>0.95</w:t>
            </w:r>
          </w:p>
        </w:tc>
        <w:tc>
          <w:tcPr>
            <w:tcW w:w="830" w:type="dxa"/>
            <w:tcBorders>
              <w:top w:val="nil"/>
              <w:left w:val="nil"/>
              <w:bottom w:val="single" w:sz="8" w:space="0" w:color="auto"/>
              <w:right w:val="single" w:sz="8" w:space="0" w:color="auto"/>
            </w:tcBorders>
            <w:shd w:val="clear" w:color="auto" w:fill="C00000"/>
            <w:noWrap/>
            <w:tcMar>
              <w:top w:w="0" w:type="dxa"/>
              <w:left w:w="108" w:type="dxa"/>
              <w:bottom w:w="0" w:type="dxa"/>
              <w:right w:w="108" w:type="dxa"/>
            </w:tcMar>
            <w:vAlign w:val="center"/>
            <w:hideMark/>
          </w:tcPr>
          <w:p w:rsidR="00113E97" w:rsidRPr="00EF1CD3" w:rsidP="00113E97" w14:paraId="7C4A1D4D" w14:textId="7AE34EFE">
            <w:pPr>
              <w:jc w:val="right"/>
              <w:rPr>
                <w:rFonts w:asciiTheme="majorHAnsi" w:hAnsiTheme="majorHAnsi" w:cstheme="majorHAnsi"/>
                <w:color w:val="FFFFFF" w:themeColor="background1"/>
                <w:sz w:val="22"/>
              </w:rPr>
            </w:pPr>
            <w:r w:rsidRPr="00EF1CD3">
              <w:rPr>
                <w:rFonts w:asciiTheme="majorHAnsi" w:hAnsiTheme="majorHAnsi" w:cstheme="majorHAnsi"/>
                <w:color w:val="FFFFFF" w:themeColor="background1"/>
                <w:sz w:val="22"/>
              </w:rPr>
              <w:t>0.99</w:t>
            </w:r>
          </w:p>
        </w:tc>
        <w:tc>
          <w:tcPr>
            <w:tcW w:w="830" w:type="dxa"/>
            <w:tcBorders>
              <w:top w:val="nil"/>
              <w:left w:val="nil"/>
              <w:bottom w:val="single" w:sz="8" w:space="0" w:color="auto"/>
              <w:right w:val="single" w:sz="8" w:space="0" w:color="auto"/>
            </w:tcBorders>
            <w:shd w:val="clear" w:color="auto" w:fill="C00000"/>
            <w:noWrap/>
            <w:tcMar>
              <w:top w:w="0" w:type="dxa"/>
              <w:left w:w="108" w:type="dxa"/>
              <w:bottom w:w="0" w:type="dxa"/>
              <w:right w:w="108" w:type="dxa"/>
            </w:tcMar>
            <w:vAlign w:val="center"/>
            <w:hideMark/>
          </w:tcPr>
          <w:p w:rsidR="00113E97" w:rsidRPr="00EF1CD3" w:rsidP="00113E97" w14:paraId="4252FE1F" w14:textId="106AA473">
            <w:pPr>
              <w:jc w:val="right"/>
              <w:rPr>
                <w:rFonts w:asciiTheme="majorHAnsi" w:hAnsiTheme="majorHAnsi" w:cstheme="majorHAnsi"/>
                <w:color w:val="FFFFFF" w:themeColor="background1"/>
                <w:sz w:val="22"/>
              </w:rPr>
            </w:pPr>
            <w:r w:rsidRPr="00EF1CD3">
              <w:rPr>
                <w:rFonts w:asciiTheme="majorHAnsi" w:hAnsiTheme="majorHAnsi" w:cstheme="majorHAnsi"/>
                <w:color w:val="FFFFFF" w:themeColor="background1"/>
                <w:sz w:val="22"/>
              </w:rPr>
              <w:t>1.00</w:t>
            </w:r>
          </w:p>
        </w:tc>
        <w:tc>
          <w:tcPr>
            <w:tcW w:w="830" w:type="dxa"/>
            <w:tcBorders>
              <w:top w:val="nil"/>
              <w:left w:val="nil"/>
              <w:bottom w:val="single" w:sz="8" w:space="0" w:color="auto"/>
              <w:right w:val="single" w:sz="8" w:space="0" w:color="auto"/>
            </w:tcBorders>
            <w:shd w:val="clear" w:color="auto" w:fill="C00000"/>
            <w:noWrap/>
            <w:tcMar>
              <w:top w:w="0" w:type="dxa"/>
              <w:left w:w="108" w:type="dxa"/>
              <w:bottom w:w="0" w:type="dxa"/>
              <w:right w:w="108" w:type="dxa"/>
            </w:tcMar>
            <w:vAlign w:val="center"/>
            <w:hideMark/>
          </w:tcPr>
          <w:p w:rsidR="00113E97" w:rsidRPr="00EF1CD3" w:rsidP="00113E97" w14:paraId="04EBBB84" w14:textId="62309B6C">
            <w:pPr>
              <w:jc w:val="right"/>
              <w:rPr>
                <w:rFonts w:asciiTheme="majorHAnsi" w:hAnsiTheme="majorHAnsi" w:cstheme="majorHAnsi"/>
                <w:color w:val="FFFFFF" w:themeColor="background1"/>
                <w:sz w:val="22"/>
              </w:rPr>
            </w:pPr>
            <w:r w:rsidRPr="00EF1CD3">
              <w:rPr>
                <w:rFonts w:asciiTheme="majorHAnsi" w:hAnsiTheme="majorHAnsi" w:cstheme="majorHAnsi"/>
                <w:color w:val="FFFFFF" w:themeColor="background1"/>
                <w:sz w:val="22"/>
              </w:rPr>
              <w:t>1.00</w:t>
            </w:r>
          </w:p>
        </w:tc>
        <w:tc>
          <w:tcPr>
            <w:tcW w:w="830" w:type="dxa"/>
            <w:tcBorders>
              <w:top w:val="nil"/>
              <w:left w:val="nil"/>
              <w:bottom w:val="single" w:sz="8" w:space="0" w:color="auto"/>
              <w:right w:val="single" w:sz="8" w:space="0" w:color="auto"/>
            </w:tcBorders>
            <w:shd w:val="clear" w:color="auto" w:fill="C00000"/>
            <w:noWrap/>
            <w:tcMar>
              <w:top w:w="0" w:type="dxa"/>
              <w:left w:w="108" w:type="dxa"/>
              <w:bottom w:w="0" w:type="dxa"/>
              <w:right w:w="108" w:type="dxa"/>
            </w:tcMar>
            <w:vAlign w:val="center"/>
            <w:hideMark/>
          </w:tcPr>
          <w:p w:rsidR="00113E97" w:rsidRPr="00EF1CD3" w:rsidP="00113E97" w14:paraId="628558AB" w14:textId="6356E4E6">
            <w:pPr>
              <w:jc w:val="right"/>
              <w:rPr>
                <w:rFonts w:asciiTheme="majorHAnsi" w:hAnsiTheme="majorHAnsi" w:cstheme="majorHAnsi"/>
                <w:color w:val="FFFFFF" w:themeColor="background1"/>
                <w:sz w:val="22"/>
              </w:rPr>
            </w:pPr>
            <w:r w:rsidRPr="00EF1CD3">
              <w:rPr>
                <w:rFonts w:asciiTheme="majorHAnsi" w:hAnsiTheme="majorHAnsi" w:cstheme="majorHAnsi"/>
                <w:color w:val="FFFFFF" w:themeColor="background1"/>
                <w:sz w:val="22"/>
              </w:rPr>
              <w:t>1.00</w:t>
            </w:r>
          </w:p>
        </w:tc>
        <w:tc>
          <w:tcPr>
            <w:tcW w:w="971" w:type="dxa"/>
            <w:tcBorders>
              <w:top w:val="nil"/>
              <w:left w:val="nil"/>
              <w:bottom w:val="single" w:sz="8" w:space="0" w:color="auto"/>
              <w:right w:val="single" w:sz="8" w:space="0" w:color="auto"/>
            </w:tcBorders>
            <w:shd w:val="clear" w:color="auto" w:fill="C00000"/>
            <w:noWrap/>
            <w:tcMar>
              <w:top w:w="0" w:type="dxa"/>
              <w:left w:w="108" w:type="dxa"/>
              <w:bottom w:w="0" w:type="dxa"/>
              <w:right w:w="108" w:type="dxa"/>
            </w:tcMar>
            <w:vAlign w:val="center"/>
            <w:hideMark/>
          </w:tcPr>
          <w:p w:rsidR="00113E97" w:rsidRPr="00EF1CD3" w:rsidP="00113E97" w14:paraId="30A78E49" w14:textId="482C2852">
            <w:pPr>
              <w:jc w:val="right"/>
              <w:rPr>
                <w:rFonts w:asciiTheme="majorHAnsi" w:hAnsiTheme="majorHAnsi" w:cstheme="majorHAnsi"/>
                <w:color w:val="FFFFFF" w:themeColor="background1"/>
                <w:sz w:val="22"/>
              </w:rPr>
            </w:pPr>
            <w:r w:rsidRPr="00EF1CD3">
              <w:rPr>
                <w:rFonts w:asciiTheme="majorHAnsi" w:hAnsiTheme="majorHAnsi" w:cstheme="majorHAnsi"/>
                <w:color w:val="FFFFFF" w:themeColor="background1"/>
                <w:sz w:val="22"/>
              </w:rPr>
              <w:t>1.00</w:t>
            </w:r>
          </w:p>
        </w:tc>
      </w:tr>
      <w:tr w14:paraId="13BD5488" w14:textId="77777777" w:rsidTr="000E7AC7">
        <w:tblPrEx>
          <w:tblW w:w="8515" w:type="dxa"/>
          <w:jc w:val="center"/>
          <w:tblCellMar>
            <w:left w:w="0" w:type="dxa"/>
            <w:right w:w="0" w:type="dxa"/>
          </w:tblCellMar>
          <w:tblLook w:val="04A0"/>
        </w:tblPrEx>
        <w:trPr>
          <w:trHeight w:val="259"/>
          <w:jc w:val="center"/>
        </w:trPr>
        <w:tc>
          <w:tcPr>
            <w:tcW w:w="89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13E97" w:rsidRPr="00EF1CD3" w:rsidP="00113E97" w14:paraId="50F1FFB1" w14:textId="77777777">
            <w:pPr>
              <w:jc w:val="right"/>
              <w:rPr>
                <w:rFonts w:asciiTheme="majorHAnsi" w:hAnsiTheme="majorHAnsi" w:cstheme="majorHAnsi"/>
                <w:sz w:val="22"/>
              </w:rPr>
            </w:pPr>
            <w:r w:rsidRPr="00EF1CD3">
              <w:rPr>
                <w:rFonts w:asciiTheme="majorHAnsi" w:hAnsiTheme="majorHAnsi" w:cstheme="majorHAnsi"/>
                <w:color w:val="000000"/>
                <w:sz w:val="22"/>
              </w:rPr>
              <w:t>900</w:t>
            </w:r>
          </w:p>
        </w:tc>
        <w:tc>
          <w:tcPr>
            <w:tcW w:w="8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13E97" w:rsidRPr="00EF1CD3" w:rsidP="00113E97" w14:paraId="6EEB120C" w14:textId="7C192ECE">
            <w:pPr>
              <w:jc w:val="right"/>
              <w:rPr>
                <w:rFonts w:asciiTheme="majorHAnsi" w:hAnsiTheme="majorHAnsi" w:cstheme="majorHAnsi"/>
                <w:sz w:val="22"/>
              </w:rPr>
            </w:pPr>
            <w:r w:rsidRPr="00EF1CD3">
              <w:rPr>
                <w:rFonts w:asciiTheme="majorHAnsi" w:hAnsiTheme="majorHAnsi" w:cstheme="majorHAnsi"/>
                <w:color w:val="000000"/>
                <w:sz w:val="22"/>
              </w:rPr>
              <w:t>0.05</w:t>
            </w:r>
          </w:p>
        </w:tc>
        <w:tc>
          <w:tcPr>
            <w:tcW w:w="83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3E97" w:rsidRPr="00EF1CD3" w:rsidP="00113E97" w14:paraId="4B205404" w14:textId="4C4FBE47">
            <w:pPr>
              <w:jc w:val="right"/>
              <w:rPr>
                <w:rFonts w:asciiTheme="majorHAnsi" w:hAnsiTheme="majorHAnsi" w:cstheme="majorHAnsi"/>
                <w:sz w:val="22"/>
              </w:rPr>
            </w:pPr>
            <w:r w:rsidRPr="00EF1CD3">
              <w:rPr>
                <w:rFonts w:asciiTheme="majorHAnsi" w:hAnsiTheme="majorHAnsi" w:cstheme="majorHAnsi"/>
                <w:color w:val="000000"/>
                <w:sz w:val="22"/>
              </w:rPr>
              <w:t>0.61</w:t>
            </w:r>
          </w:p>
        </w:tc>
        <w:tc>
          <w:tcPr>
            <w:tcW w:w="833"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center"/>
            <w:hideMark/>
          </w:tcPr>
          <w:p w:rsidR="00113E97" w:rsidRPr="00EF1CD3" w:rsidP="00113E97" w14:paraId="3243E875" w14:textId="7CDE1B58">
            <w:pPr>
              <w:jc w:val="right"/>
              <w:rPr>
                <w:rFonts w:asciiTheme="majorHAnsi" w:hAnsiTheme="majorHAnsi" w:cstheme="majorHAnsi"/>
                <w:sz w:val="22"/>
              </w:rPr>
            </w:pPr>
            <w:r w:rsidRPr="00EF1CD3">
              <w:rPr>
                <w:rFonts w:asciiTheme="majorHAnsi" w:hAnsiTheme="majorHAnsi" w:cstheme="majorHAnsi"/>
                <w:color w:val="000000"/>
                <w:sz w:val="22"/>
              </w:rPr>
              <w:t>0.85</w:t>
            </w:r>
          </w:p>
        </w:tc>
        <w:tc>
          <w:tcPr>
            <w:tcW w:w="830" w:type="dxa"/>
            <w:tcBorders>
              <w:top w:val="nil"/>
              <w:left w:val="nil"/>
              <w:bottom w:val="single" w:sz="8" w:space="0" w:color="auto"/>
              <w:right w:val="single" w:sz="8" w:space="0" w:color="auto"/>
            </w:tcBorders>
            <w:shd w:val="clear" w:color="auto" w:fill="FF0000"/>
            <w:noWrap/>
            <w:tcMar>
              <w:top w:w="0" w:type="dxa"/>
              <w:left w:w="108" w:type="dxa"/>
              <w:bottom w:w="0" w:type="dxa"/>
              <w:right w:w="108" w:type="dxa"/>
            </w:tcMar>
            <w:vAlign w:val="center"/>
            <w:hideMark/>
          </w:tcPr>
          <w:p w:rsidR="00113E97" w:rsidRPr="00EF1CD3" w:rsidP="00113E97" w14:paraId="7239A386" w14:textId="015C3D7A">
            <w:pPr>
              <w:jc w:val="right"/>
              <w:rPr>
                <w:rFonts w:asciiTheme="majorHAnsi" w:hAnsiTheme="majorHAnsi" w:cstheme="majorHAnsi"/>
                <w:sz w:val="22"/>
              </w:rPr>
            </w:pPr>
            <w:r w:rsidRPr="00EF1CD3">
              <w:rPr>
                <w:rFonts w:asciiTheme="majorHAnsi" w:hAnsiTheme="majorHAnsi" w:cstheme="majorHAnsi"/>
                <w:sz w:val="22"/>
              </w:rPr>
              <w:t>0.96</w:t>
            </w:r>
          </w:p>
        </w:tc>
        <w:tc>
          <w:tcPr>
            <w:tcW w:w="830" w:type="dxa"/>
            <w:tcBorders>
              <w:top w:val="nil"/>
              <w:left w:val="nil"/>
              <w:bottom w:val="single" w:sz="8" w:space="0" w:color="auto"/>
              <w:right w:val="single" w:sz="8" w:space="0" w:color="auto"/>
            </w:tcBorders>
            <w:shd w:val="clear" w:color="auto" w:fill="C00000"/>
            <w:noWrap/>
            <w:tcMar>
              <w:top w:w="0" w:type="dxa"/>
              <w:left w:w="108" w:type="dxa"/>
              <w:bottom w:w="0" w:type="dxa"/>
              <w:right w:w="108" w:type="dxa"/>
            </w:tcMar>
            <w:vAlign w:val="center"/>
            <w:hideMark/>
          </w:tcPr>
          <w:p w:rsidR="00113E97" w:rsidRPr="00EF1CD3" w:rsidP="00113E97" w14:paraId="28432F69" w14:textId="393DD926">
            <w:pPr>
              <w:jc w:val="right"/>
              <w:rPr>
                <w:rFonts w:asciiTheme="majorHAnsi" w:hAnsiTheme="majorHAnsi" w:cstheme="majorHAnsi"/>
                <w:color w:val="FFFFFF" w:themeColor="background1"/>
                <w:sz w:val="22"/>
              </w:rPr>
            </w:pPr>
            <w:r w:rsidRPr="00EF1CD3">
              <w:rPr>
                <w:rFonts w:asciiTheme="majorHAnsi" w:hAnsiTheme="majorHAnsi" w:cstheme="majorHAnsi"/>
                <w:color w:val="FFFFFF" w:themeColor="background1"/>
                <w:sz w:val="22"/>
              </w:rPr>
              <w:t>0.99</w:t>
            </w:r>
          </w:p>
        </w:tc>
        <w:tc>
          <w:tcPr>
            <w:tcW w:w="830" w:type="dxa"/>
            <w:tcBorders>
              <w:top w:val="nil"/>
              <w:left w:val="nil"/>
              <w:bottom w:val="single" w:sz="8" w:space="0" w:color="auto"/>
              <w:right w:val="single" w:sz="8" w:space="0" w:color="auto"/>
            </w:tcBorders>
            <w:shd w:val="clear" w:color="auto" w:fill="C00000"/>
            <w:noWrap/>
            <w:tcMar>
              <w:top w:w="0" w:type="dxa"/>
              <w:left w:w="108" w:type="dxa"/>
              <w:bottom w:w="0" w:type="dxa"/>
              <w:right w:w="108" w:type="dxa"/>
            </w:tcMar>
            <w:vAlign w:val="center"/>
            <w:hideMark/>
          </w:tcPr>
          <w:p w:rsidR="00113E97" w:rsidRPr="00EF1CD3" w:rsidP="00113E97" w14:paraId="347E9FFE" w14:textId="334B4B7C">
            <w:pPr>
              <w:jc w:val="right"/>
              <w:rPr>
                <w:rFonts w:asciiTheme="majorHAnsi" w:hAnsiTheme="majorHAnsi" w:cstheme="majorHAnsi"/>
                <w:color w:val="FFFFFF" w:themeColor="background1"/>
                <w:sz w:val="22"/>
              </w:rPr>
            </w:pPr>
            <w:r w:rsidRPr="00EF1CD3">
              <w:rPr>
                <w:rFonts w:asciiTheme="majorHAnsi" w:hAnsiTheme="majorHAnsi" w:cstheme="majorHAnsi"/>
                <w:color w:val="FFFFFF" w:themeColor="background1"/>
                <w:sz w:val="22"/>
              </w:rPr>
              <w:t>1.00</w:t>
            </w:r>
          </w:p>
        </w:tc>
        <w:tc>
          <w:tcPr>
            <w:tcW w:w="830" w:type="dxa"/>
            <w:tcBorders>
              <w:top w:val="nil"/>
              <w:left w:val="nil"/>
              <w:bottom w:val="single" w:sz="8" w:space="0" w:color="auto"/>
              <w:right w:val="single" w:sz="8" w:space="0" w:color="auto"/>
            </w:tcBorders>
            <w:shd w:val="clear" w:color="auto" w:fill="C00000"/>
            <w:noWrap/>
            <w:tcMar>
              <w:top w:w="0" w:type="dxa"/>
              <w:left w:w="108" w:type="dxa"/>
              <w:bottom w:w="0" w:type="dxa"/>
              <w:right w:w="108" w:type="dxa"/>
            </w:tcMar>
            <w:vAlign w:val="center"/>
            <w:hideMark/>
          </w:tcPr>
          <w:p w:rsidR="00113E97" w:rsidRPr="00EF1CD3" w:rsidP="00113E97" w14:paraId="78CCACBC" w14:textId="70BB5706">
            <w:pPr>
              <w:jc w:val="right"/>
              <w:rPr>
                <w:rFonts w:asciiTheme="majorHAnsi" w:hAnsiTheme="majorHAnsi" w:cstheme="majorHAnsi"/>
                <w:color w:val="FFFFFF" w:themeColor="background1"/>
                <w:sz w:val="22"/>
              </w:rPr>
            </w:pPr>
            <w:r w:rsidRPr="00EF1CD3">
              <w:rPr>
                <w:rFonts w:asciiTheme="majorHAnsi" w:hAnsiTheme="majorHAnsi" w:cstheme="majorHAnsi"/>
                <w:color w:val="FFFFFF" w:themeColor="background1"/>
                <w:sz w:val="22"/>
              </w:rPr>
              <w:t>1.00</w:t>
            </w:r>
          </w:p>
        </w:tc>
        <w:tc>
          <w:tcPr>
            <w:tcW w:w="830" w:type="dxa"/>
            <w:tcBorders>
              <w:top w:val="nil"/>
              <w:left w:val="nil"/>
              <w:bottom w:val="single" w:sz="8" w:space="0" w:color="auto"/>
              <w:right w:val="single" w:sz="8" w:space="0" w:color="auto"/>
            </w:tcBorders>
            <w:shd w:val="clear" w:color="auto" w:fill="C00000"/>
            <w:noWrap/>
            <w:tcMar>
              <w:top w:w="0" w:type="dxa"/>
              <w:left w:w="108" w:type="dxa"/>
              <w:bottom w:w="0" w:type="dxa"/>
              <w:right w:w="108" w:type="dxa"/>
            </w:tcMar>
            <w:vAlign w:val="center"/>
            <w:hideMark/>
          </w:tcPr>
          <w:p w:rsidR="00113E97" w:rsidRPr="00EF1CD3" w:rsidP="00113E97" w14:paraId="5F0BA3DA" w14:textId="37FADCAA">
            <w:pPr>
              <w:jc w:val="right"/>
              <w:rPr>
                <w:rFonts w:asciiTheme="majorHAnsi" w:hAnsiTheme="majorHAnsi" w:cstheme="majorHAnsi"/>
                <w:color w:val="FFFFFF" w:themeColor="background1"/>
                <w:sz w:val="22"/>
              </w:rPr>
            </w:pPr>
            <w:r w:rsidRPr="00EF1CD3">
              <w:rPr>
                <w:rFonts w:asciiTheme="majorHAnsi" w:hAnsiTheme="majorHAnsi" w:cstheme="majorHAnsi"/>
                <w:color w:val="FFFFFF" w:themeColor="background1"/>
                <w:sz w:val="22"/>
              </w:rPr>
              <w:t>1.00</w:t>
            </w:r>
          </w:p>
        </w:tc>
        <w:tc>
          <w:tcPr>
            <w:tcW w:w="971" w:type="dxa"/>
            <w:tcBorders>
              <w:top w:val="nil"/>
              <w:left w:val="nil"/>
              <w:bottom w:val="single" w:sz="8" w:space="0" w:color="auto"/>
              <w:right w:val="single" w:sz="8" w:space="0" w:color="auto"/>
            </w:tcBorders>
            <w:shd w:val="clear" w:color="auto" w:fill="C00000"/>
            <w:noWrap/>
            <w:tcMar>
              <w:top w:w="0" w:type="dxa"/>
              <w:left w:w="108" w:type="dxa"/>
              <w:bottom w:w="0" w:type="dxa"/>
              <w:right w:w="108" w:type="dxa"/>
            </w:tcMar>
            <w:vAlign w:val="center"/>
            <w:hideMark/>
          </w:tcPr>
          <w:p w:rsidR="00113E97" w:rsidRPr="00EF1CD3" w:rsidP="00113E97" w14:paraId="5C99D043" w14:textId="761AB2DC">
            <w:pPr>
              <w:jc w:val="right"/>
              <w:rPr>
                <w:rFonts w:asciiTheme="majorHAnsi" w:hAnsiTheme="majorHAnsi" w:cstheme="majorHAnsi"/>
                <w:color w:val="FFFFFF" w:themeColor="background1"/>
                <w:sz w:val="22"/>
              </w:rPr>
            </w:pPr>
            <w:r w:rsidRPr="00EF1CD3">
              <w:rPr>
                <w:rFonts w:asciiTheme="majorHAnsi" w:hAnsiTheme="majorHAnsi" w:cstheme="majorHAnsi"/>
                <w:color w:val="FFFFFF" w:themeColor="background1"/>
                <w:sz w:val="22"/>
              </w:rPr>
              <w:t>1.00</w:t>
            </w:r>
          </w:p>
        </w:tc>
      </w:tr>
    </w:tbl>
    <w:p w:rsidR="00631611" w:rsidP="00631611" w14:paraId="393165D7" w14:textId="5F7D91AD">
      <w:pPr>
        <w:rPr>
          <w:rFonts w:ascii="Calibri" w:hAnsi="Calibri" w:cs="Calibri"/>
          <w:color w:val="FFFFFF"/>
          <w:sz w:val="22"/>
        </w:rPr>
      </w:pPr>
    </w:p>
    <w:p w:rsidR="00300D1A" w:rsidRPr="00FA1002" w:rsidP="00631611" w14:paraId="7452C1EB" w14:textId="53750786">
      <w:pPr>
        <w:rPr>
          <w:rFonts w:ascii="Calibri" w:hAnsi="Calibri" w:cs="Calibri"/>
          <w:color w:val="000000"/>
          <w:sz w:val="22"/>
        </w:rPr>
      </w:pPr>
    </w:p>
    <w:p w:rsidR="0005704C" w:rsidRPr="00B44357" w:rsidP="00D74FF4" w14:paraId="7CA27358" w14:textId="585E01CB">
      <w:pPr>
        <w:pStyle w:val="Heading3"/>
        <w:rPr>
          <w:i w:val="0"/>
          <w:iCs/>
        </w:rPr>
      </w:pPr>
      <w:r w:rsidRPr="00B44357">
        <w:rPr>
          <w:i w:val="0"/>
          <w:iCs/>
        </w:rPr>
        <w:t>Unusual problems requiring specialized sampling procedures</w:t>
      </w:r>
      <w:r w:rsidRPr="1C6BFF89" w:rsidR="5E8AD177">
        <w:rPr>
          <w:i w:val="0"/>
        </w:rPr>
        <w:t>.</w:t>
      </w:r>
    </w:p>
    <w:p w:rsidR="0005704C" w:rsidRPr="00B44357" w:rsidP="21A325E7" w14:paraId="7F2FE1AA" w14:textId="0FFEECC7">
      <w:pPr>
        <w:ind w:left="720"/>
        <w:rPr>
          <w:iCs/>
        </w:rPr>
      </w:pPr>
      <w:r w:rsidRPr="00FA3051">
        <w:rPr>
          <w:iCs/>
        </w:rPr>
        <w:t>IEC</w:t>
      </w:r>
      <w:r w:rsidRPr="00FA3051">
        <w:rPr>
          <w:iCs/>
        </w:rPr>
        <w:t xml:space="preserve"> do</w:t>
      </w:r>
      <w:r w:rsidRPr="00FA3051">
        <w:rPr>
          <w:iCs/>
        </w:rPr>
        <w:t>es</w:t>
      </w:r>
      <w:r w:rsidRPr="00FA3051">
        <w:rPr>
          <w:iCs/>
        </w:rPr>
        <w:t xml:space="preserve"> not foresee any unusual problems that require specialized sampling procedures. </w:t>
      </w:r>
    </w:p>
    <w:p w:rsidR="0005704C" w:rsidRPr="00B44357" w:rsidP="00D74FF4" w14:paraId="6AF129C5" w14:textId="7D8DC00F">
      <w:pPr>
        <w:pStyle w:val="Heading3"/>
        <w:rPr>
          <w:i w:val="0"/>
          <w:iCs/>
        </w:rPr>
      </w:pPr>
      <w:r w:rsidRPr="00B44357">
        <w:rPr>
          <w:i w:val="0"/>
          <w:iCs/>
        </w:rPr>
        <w:t>Any use of periodic (less frequent than annual) data collection cycles to reduce burden</w:t>
      </w:r>
      <w:r w:rsidRPr="1C6BFF89" w:rsidR="63005877">
        <w:rPr>
          <w:i w:val="0"/>
        </w:rPr>
        <w:t>.</w:t>
      </w:r>
    </w:p>
    <w:p w:rsidR="0005704C" w:rsidRPr="00B44357" w:rsidP="21A325E7" w14:paraId="40DC63E0" w14:textId="5C55C9FD">
      <w:pPr>
        <w:ind w:left="720"/>
        <w:rPr>
          <w:iCs/>
        </w:rPr>
      </w:pPr>
      <w:r>
        <w:rPr>
          <w:iCs/>
        </w:rPr>
        <w:t>T</w:t>
      </w:r>
      <w:r w:rsidRPr="00FA3051" w:rsidR="001624DB">
        <w:rPr>
          <w:iCs/>
        </w:rPr>
        <w:t>he</w:t>
      </w:r>
      <w:r w:rsidRPr="00FA3051">
        <w:rPr>
          <w:iCs/>
        </w:rPr>
        <w:t xml:space="preserve"> </w:t>
      </w:r>
      <w:r w:rsidRPr="00FA3051" w:rsidR="00E23831">
        <w:rPr>
          <w:iCs/>
        </w:rPr>
        <w:t>Nursing Home</w:t>
      </w:r>
      <w:r w:rsidR="00E23831">
        <w:rPr>
          <w:iCs/>
        </w:rPr>
        <w:t xml:space="preserve">, </w:t>
      </w:r>
      <w:r w:rsidRPr="00FA3051" w:rsidR="00E23831">
        <w:rPr>
          <w:iCs/>
        </w:rPr>
        <w:t>Hospital</w:t>
      </w:r>
      <w:r w:rsidR="002F5156">
        <w:rPr>
          <w:iCs/>
        </w:rPr>
        <w:t xml:space="preserve">, and </w:t>
      </w:r>
      <w:r w:rsidR="00E23831">
        <w:rPr>
          <w:iCs/>
        </w:rPr>
        <w:t>Outpatient Clinician</w:t>
      </w:r>
      <w:r w:rsidRPr="00FA3051" w:rsidR="00E23831">
        <w:rPr>
          <w:iCs/>
        </w:rPr>
        <w:t xml:space="preserve"> Surveys</w:t>
      </w:r>
      <w:r w:rsidRPr="00FA3051">
        <w:rPr>
          <w:iCs/>
        </w:rPr>
        <w:t xml:space="preserve"> </w:t>
      </w:r>
      <w:r w:rsidRPr="00FA3051" w:rsidR="001624DB">
        <w:rPr>
          <w:iCs/>
        </w:rPr>
        <w:t>are</w:t>
      </w:r>
      <w:r w:rsidRPr="00FA3051">
        <w:rPr>
          <w:iCs/>
        </w:rPr>
        <w:t xml:space="preserve"> </w:t>
      </w:r>
      <w:r w:rsidRPr="00FA3051" w:rsidR="001624DB">
        <w:rPr>
          <w:iCs/>
        </w:rPr>
        <w:t xml:space="preserve">intended to measure attitudes </w:t>
      </w:r>
      <w:r w:rsidR="00454AC6">
        <w:rPr>
          <w:iCs/>
        </w:rPr>
        <w:t xml:space="preserve">annually between </w:t>
      </w:r>
      <w:r w:rsidR="00D7744D">
        <w:rPr>
          <w:iCs/>
        </w:rPr>
        <w:t>calendar year 2022 and 2024</w:t>
      </w:r>
      <w:r w:rsidRPr="00FA3051" w:rsidR="001624DB">
        <w:rPr>
          <w:iCs/>
        </w:rPr>
        <w:t xml:space="preserve">. </w:t>
      </w:r>
      <w:r w:rsidRPr="00FA3051">
        <w:rPr>
          <w:iCs/>
        </w:rPr>
        <w:t>Th</w:t>
      </w:r>
      <w:r w:rsidR="00B44B95">
        <w:rPr>
          <w:iCs/>
        </w:rPr>
        <w:t>e survey</w:t>
      </w:r>
      <w:r w:rsidR="00457C19">
        <w:rPr>
          <w:iCs/>
        </w:rPr>
        <w:t>s</w:t>
      </w:r>
      <w:r w:rsidR="00B44B95">
        <w:rPr>
          <w:iCs/>
        </w:rPr>
        <w:t xml:space="preserve"> </w:t>
      </w:r>
      <w:r w:rsidR="00457C19">
        <w:rPr>
          <w:iCs/>
        </w:rPr>
        <w:t xml:space="preserve">will collect </w:t>
      </w:r>
      <w:r w:rsidRPr="00FA3051">
        <w:rPr>
          <w:iCs/>
        </w:rPr>
        <w:t>cross-sectional data, so</w:t>
      </w:r>
      <w:r w:rsidR="001A1DB4">
        <w:rPr>
          <w:iCs/>
        </w:rPr>
        <w:t xml:space="preserve"> the</w:t>
      </w:r>
      <w:r w:rsidRPr="00FA3051">
        <w:rPr>
          <w:iCs/>
        </w:rPr>
        <w:t xml:space="preserve"> </w:t>
      </w:r>
      <w:r w:rsidRPr="00FA3051" w:rsidR="002B3ECD">
        <w:rPr>
          <w:iCs/>
        </w:rPr>
        <w:t xml:space="preserve">IEC </w:t>
      </w:r>
      <w:r w:rsidRPr="00FA3051">
        <w:rPr>
          <w:iCs/>
        </w:rPr>
        <w:t>will not request information from the same participants more than once</w:t>
      </w:r>
      <w:r w:rsidR="00454AC6">
        <w:rPr>
          <w:iCs/>
        </w:rPr>
        <w:t xml:space="preserve"> within the same </w:t>
      </w:r>
      <w:r w:rsidR="00204F42">
        <w:rPr>
          <w:iCs/>
        </w:rPr>
        <w:t>calendar</w:t>
      </w:r>
      <w:r w:rsidR="00454AC6">
        <w:rPr>
          <w:iCs/>
        </w:rPr>
        <w:t xml:space="preserve"> year</w:t>
      </w:r>
      <w:r w:rsidRPr="00FA3051">
        <w:rPr>
          <w:iCs/>
        </w:rPr>
        <w:t>.</w:t>
      </w:r>
      <w:r w:rsidR="00D7744D">
        <w:rPr>
          <w:iCs/>
        </w:rPr>
        <w:t xml:space="preserve"> Each year we will </w:t>
      </w:r>
      <w:r w:rsidR="0081439C">
        <w:rPr>
          <w:iCs/>
        </w:rPr>
        <w:t>re-</w:t>
      </w:r>
      <w:r w:rsidRPr="00FF2D84" w:rsidR="0081439C">
        <w:rPr>
          <w:iCs/>
        </w:rPr>
        <w:t>draw</w:t>
      </w:r>
      <w:r w:rsidRPr="00FF2D84" w:rsidR="00204F42">
        <w:rPr>
          <w:iCs/>
        </w:rPr>
        <w:t xml:space="preserve"> a new</w:t>
      </w:r>
      <w:r w:rsidR="0081439C">
        <w:rPr>
          <w:iCs/>
        </w:rPr>
        <w:t xml:space="preserve"> sample using the same systematic ra</w:t>
      </w:r>
      <w:r w:rsidR="00204F42">
        <w:rPr>
          <w:iCs/>
        </w:rPr>
        <w:t>n</w:t>
      </w:r>
      <w:r w:rsidR="0081439C">
        <w:rPr>
          <w:iCs/>
        </w:rPr>
        <w:t xml:space="preserve">dom selection method adopted in the first round of data collection with </w:t>
      </w:r>
      <w:r w:rsidR="00E23831">
        <w:rPr>
          <w:iCs/>
        </w:rPr>
        <w:t xml:space="preserve">the </w:t>
      </w:r>
      <w:r w:rsidR="0081439C">
        <w:rPr>
          <w:iCs/>
        </w:rPr>
        <w:t xml:space="preserve">same set of strata variables, prior to the systematic sampling, </w:t>
      </w:r>
      <w:r w:rsidR="00D3207C">
        <w:rPr>
          <w:iCs/>
        </w:rPr>
        <w:t xml:space="preserve">and </w:t>
      </w:r>
      <w:r w:rsidR="0081439C">
        <w:rPr>
          <w:iCs/>
        </w:rPr>
        <w:t>data will be sort</w:t>
      </w:r>
      <w:r w:rsidR="008B764C">
        <w:rPr>
          <w:iCs/>
        </w:rPr>
        <w:t>ed</w:t>
      </w:r>
      <w:r w:rsidR="0081439C">
        <w:rPr>
          <w:iCs/>
        </w:rPr>
        <w:t xml:space="preserve"> randomly each year with a different </w:t>
      </w:r>
      <w:r w:rsidR="00113E97">
        <w:rPr>
          <w:iCs/>
        </w:rPr>
        <w:t xml:space="preserve">random </w:t>
      </w:r>
      <w:r w:rsidR="0081439C">
        <w:rPr>
          <w:iCs/>
        </w:rPr>
        <w:t>seed.</w:t>
      </w:r>
      <w:r w:rsidR="00204F42">
        <w:rPr>
          <w:iCs/>
        </w:rPr>
        <w:t xml:space="preserve"> </w:t>
      </w:r>
    </w:p>
    <w:p w:rsidR="0005704C" w:rsidRPr="00B44357" w:rsidP="00D74FF4" w14:paraId="61F06536" w14:textId="77777777">
      <w:pPr>
        <w:pStyle w:val="Heading2"/>
        <w:rPr>
          <w:iCs/>
        </w:rPr>
      </w:pPr>
      <w:bookmarkStart w:id="20" w:name="_Toc433627285"/>
      <w:bookmarkStart w:id="21" w:name="_Toc429570406"/>
      <w:bookmarkStart w:id="22" w:name="_Toc410331717"/>
      <w:bookmarkStart w:id="23" w:name="_Toc410331611"/>
      <w:bookmarkStart w:id="24" w:name="_Ref406145797"/>
      <w:r w:rsidRPr="00FA3051">
        <w:rPr>
          <w:iCs/>
        </w:rPr>
        <w:t>Methods to Maximize Response Rates and Deal with Issues of Non-Response</w:t>
      </w:r>
      <w:bookmarkEnd w:id="20"/>
      <w:bookmarkEnd w:id="21"/>
      <w:bookmarkEnd w:id="22"/>
      <w:bookmarkEnd w:id="23"/>
      <w:bookmarkEnd w:id="24"/>
    </w:p>
    <w:p w:rsidR="0005704C" w:rsidRPr="00B44357" w:rsidP="00D74FF4" w14:paraId="5E67A47A" w14:textId="77777777">
      <w:pPr>
        <w:pStyle w:val="Heading3"/>
        <w:rPr>
          <w:i w:val="0"/>
          <w:iCs/>
        </w:rPr>
      </w:pPr>
      <w:bookmarkStart w:id="25" w:name="_Toc433627286"/>
      <w:bookmarkStart w:id="26" w:name="_Toc429570407"/>
      <w:bookmarkStart w:id="27" w:name="_Toc410331718"/>
      <w:bookmarkStart w:id="28" w:name="_Toc410331612"/>
      <w:bookmarkStart w:id="29" w:name="_Ref406145782"/>
      <w:r w:rsidRPr="00B44357">
        <w:rPr>
          <w:i w:val="0"/>
          <w:iCs/>
        </w:rPr>
        <w:t>Methods to Maximize Response Rates</w:t>
      </w:r>
      <w:bookmarkEnd w:id="25"/>
      <w:bookmarkEnd w:id="26"/>
      <w:bookmarkEnd w:id="27"/>
      <w:bookmarkEnd w:id="28"/>
      <w:bookmarkEnd w:id="29"/>
    </w:p>
    <w:p w:rsidR="005C1E2A" w:rsidRPr="00B44357" w:rsidP="21A325E7" w14:paraId="5F9D74F1" w14:textId="1403A296">
      <w:pPr>
        <w:ind w:left="720"/>
        <w:rPr>
          <w:iCs/>
        </w:rPr>
      </w:pPr>
      <w:r w:rsidRPr="00FA3051">
        <w:rPr>
          <w:iCs/>
        </w:rPr>
        <w:t xml:space="preserve">Pre-survey notification letters that provide more information on </w:t>
      </w:r>
      <w:r w:rsidR="00882653">
        <w:rPr>
          <w:iCs/>
        </w:rPr>
        <w:t>a</w:t>
      </w:r>
      <w:r w:rsidRPr="00FA3051">
        <w:rPr>
          <w:iCs/>
        </w:rPr>
        <w:t xml:space="preserve"> study increase respondent confidence in the validity and the importance of the study</w:t>
      </w:r>
      <w:r w:rsidRPr="00FA3051" w:rsidR="002B3ECD">
        <w:rPr>
          <w:iCs/>
        </w:rPr>
        <w:t>,</w:t>
      </w:r>
      <w:r w:rsidRPr="00FA3051">
        <w:rPr>
          <w:iCs/>
        </w:rPr>
        <w:t xml:space="preserve"> resulting in higher response rates</w:t>
      </w:r>
      <w:r w:rsidR="00B1791F">
        <w:rPr>
          <w:iCs/>
        </w:rPr>
        <w:t>.</w:t>
      </w:r>
      <w:r>
        <w:rPr>
          <w:rStyle w:val="FootnoteReference"/>
          <w:vertAlign w:val="superscript"/>
        </w:rPr>
        <w:footnoteReference w:id="5"/>
      </w:r>
      <w:r w:rsidRPr="00FA3051">
        <w:rPr>
          <w:iCs/>
        </w:rPr>
        <w:t xml:space="preserve"> </w:t>
      </w:r>
      <w:r w:rsidR="00BC0DE5">
        <w:rPr>
          <w:iCs/>
        </w:rPr>
        <w:t>The IEC</w:t>
      </w:r>
      <w:r w:rsidRPr="00FA3051">
        <w:rPr>
          <w:iCs/>
        </w:rPr>
        <w:t xml:space="preserve"> will use a pre-survey notification letter </w:t>
      </w:r>
      <w:r w:rsidRPr="00FA3051" w:rsidR="002B3ECD">
        <w:rPr>
          <w:iCs/>
        </w:rPr>
        <w:t>to introduce and explain</w:t>
      </w:r>
      <w:r w:rsidRPr="00FA3051">
        <w:rPr>
          <w:iCs/>
        </w:rPr>
        <w:t xml:space="preserve"> this data collection</w:t>
      </w:r>
      <w:r w:rsidRPr="00FA3051" w:rsidR="002B3ECD">
        <w:rPr>
          <w:iCs/>
        </w:rPr>
        <w:t xml:space="preserve"> effort</w:t>
      </w:r>
      <w:r w:rsidR="00D3207C">
        <w:rPr>
          <w:iCs/>
        </w:rPr>
        <w:t xml:space="preserve"> for the </w:t>
      </w:r>
      <w:r w:rsidR="00854A32">
        <w:rPr>
          <w:iCs/>
        </w:rPr>
        <w:t>Nursing Home and Hospital Surveys</w:t>
      </w:r>
      <w:r w:rsidRPr="00FA3051">
        <w:rPr>
          <w:iCs/>
        </w:rPr>
        <w:t xml:space="preserve">. The content of </w:t>
      </w:r>
      <w:r w:rsidR="00F37A30">
        <w:rPr>
          <w:iCs/>
        </w:rPr>
        <w:t xml:space="preserve">these </w:t>
      </w:r>
      <w:r w:rsidRPr="00FA3051">
        <w:rPr>
          <w:iCs/>
        </w:rPr>
        <w:t>pre-notification letters can be viewed in Appendi</w:t>
      </w:r>
      <w:r w:rsidRPr="00FA3051" w:rsidR="006A2DBB">
        <w:rPr>
          <w:iCs/>
        </w:rPr>
        <w:t>ces</w:t>
      </w:r>
      <w:r w:rsidRPr="00FA3051">
        <w:rPr>
          <w:iCs/>
        </w:rPr>
        <w:t xml:space="preserve"> </w:t>
      </w:r>
      <w:r w:rsidR="00FD6B33">
        <w:rPr>
          <w:iCs/>
        </w:rPr>
        <w:t>D</w:t>
      </w:r>
      <w:r w:rsidRPr="00FA3051">
        <w:rPr>
          <w:iCs/>
        </w:rPr>
        <w:t>.1 for nursing homes</w:t>
      </w:r>
      <w:r w:rsidR="00FD6B33">
        <w:rPr>
          <w:iCs/>
        </w:rPr>
        <w:t>,</w:t>
      </w:r>
      <w:r w:rsidRPr="00FA3051">
        <w:rPr>
          <w:iCs/>
        </w:rPr>
        <w:t xml:space="preserve"> </w:t>
      </w:r>
      <w:r w:rsidR="00FD6B33">
        <w:rPr>
          <w:iCs/>
        </w:rPr>
        <w:t>D</w:t>
      </w:r>
      <w:r w:rsidRPr="00FA3051">
        <w:rPr>
          <w:iCs/>
        </w:rPr>
        <w:t>.3 for hospitals</w:t>
      </w:r>
      <w:r w:rsidR="00FD6B33">
        <w:rPr>
          <w:iCs/>
        </w:rPr>
        <w:t>, and D.5 for outpatient clinicians</w:t>
      </w:r>
      <w:r w:rsidRPr="00FA3051">
        <w:rPr>
          <w:iCs/>
        </w:rPr>
        <w:t>.</w:t>
      </w:r>
    </w:p>
    <w:p w:rsidR="00C977FE" w:rsidRPr="00B44357" w:rsidP="21A325E7" w14:paraId="08151C1F" w14:textId="77777777">
      <w:pPr>
        <w:ind w:left="720"/>
        <w:rPr>
          <w:iCs/>
        </w:rPr>
      </w:pPr>
    </w:p>
    <w:p w:rsidR="008B6ED6" w:rsidP="21A325E7" w14:paraId="6C481874" w14:textId="655A6CC7">
      <w:pPr>
        <w:ind w:left="720"/>
      </w:pPr>
      <w:r>
        <w:t xml:space="preserve">Based on </w:t>
      </w:r>
      <w:r w:rsidR="33EAE041">
        <w:t>IEC’s</w:t>
      </w:r>
      <w:r>
        <w:t xml:space="preserve"> experience in conducting </w:t>
      </w:r>
      <w:r w:rsidR="33EAE041">
        <w:t>surveys among</w:t>
      </w:r>
      <w:r>
        <w:t xml:space="preserve"> health care professionals, we have found that leaving a voicemail message on the first and second call attempt has positive results on response rates, but that leaving additional messages does not lead to increased responses. </w:t>
      </w:r>
      <w:r w:rsidR="3B9A8D66">
        <w:t xml:space="preserve">The </w:t>
      </w:r>
      <w:r w:rsidR="49B50085">
        <w:t>IEC</w:t>
      </w:r>
      <w:r w:rsidR="0B1B3F08">
        <w:t xml:space="preserve">’s </w:t>
      </w:r>
      <w:r w:rsidR="316F48BE">
        <w:t xml:space="preserve">survey partner, The </w:t>
      </w:r>
      <w:r w:rsidR="316F48BE">
        <w:t>Henne</w:t>
      </w:r>
      <w:r w:rsidR="316F48BE">
        <w:t xml:space="preserve"> Group</w:t>
      </w:r>
      <w:r w:rsidR="00460453">
        <w:t xml:space="preserve"> (THG)</w:t>
      </w:r>
      <w:r w:rsidR="316F48BE">
        <w:t xml:space="preserve">, </w:t>
      </w:r>
      <w:r w:rsidR="708C4EB3">
        <w:t xml:space="preserve">will leave one voice mail message </w:t>
      </w:r>
      <w:r w:rsidR="49B50085">
        <w:t>for</w:t>
      </w:r>
      <w:r w:rsidR="708C4EB3">
        <w:t xml:space="preserve"> any respondent </w:t>
      </w:r>
      <w:r w:rsidR="49B50085">
        <w:t>for whom</w:t>
      </w:r>
      <w:r w:rsidR="708C4EB3">
        <w:t xml:space="preserve"> we receive an answering machine message and provide a toll</w:t>
      </w:r>
      <w:r w:rsidR="6AD1B27A">
        <w:t>-</w:t>
      </w:r>
      <w:r w:rsidR="708C4EB3">
        <w:t xml:space="preserve">free number for </w:t>
      </w:r>
      <w:r w:rsidR="6AD1B27A">
        <w:t xml:space="preserve">these </w:t>
      </w:r>
      <w:r w:rsidR="708C4EB3">
        <w:t>respondents to call back to complete a survey</w:t>
      </w:r>
      <w:r w:rsidR="7DFEAD07">
        <w:t xml:space="preserve">. </w:t>
      </w:r>
      <w:r w:rsidR="6C78C4D3">
        <w:t>These follow-up calls will be made two or three days after the previous attempt by live interviewers. THG won’t use any robocall or pre-recorded messages to contact respondents.</w:t>
      </w:r>
    </w:p>
    <w:p w:rsidR="008B6ED6" w:rsidP="21A325E7" w14:paraId="12472848" w14:textId="77777777">
      <w:pPr>
        <w:ind w:left="720"/>
        <w:rPr>
          <w:iCs/>
        </w:rPr>
      </w:pPr>
    </w:p>
    <w:p w:rsidR="0097343C" w:rsidRPr="009F042E" w:rsidP="009F042E" w14:paraId="2E647BE1" w14:textId="3D2B87FE">
      <w:pPr>
        <w:ind w:left="720"/>
        <w:rPr>
          <w:iCs/>
        </w:rPr>
      </w:pPr>
      <w:r>
        <w:t xml:space="preserve">For </w:t>
      </w:r>
      <w:r w:rsidR="00B35760">
        <w:t>participants from nursing homes and hospitals, i</w:t>
      </w:r>
      <w:r w:rsidR="00B63FB8">
        <w:t xml:space="preserve">f </w:t>
      </w:r>
      <w:r w:rsidR="006A2DBB">
        <w:t>a</w:t>
      </w:r>
      <w:r w:rsidR="00B63FB8">
        <w:t xml:space="preserve"> respondent is unable to complete the survey at the time of the initial call, our interviewers will arrange for a best date and time to make a second </w:t>
      </w:r>
      <w:r w:rsidR="197BCE43">
        <w:t>attempt and</w:t>
      </w:r>
      <w:r w:rsidR="00B63FB8">
        <w:t xml:space="preserve"> will record </w:t>
      </w:r>
      <w:r w:rsidR="005032F9">
        <w:t xml:space="preserve">this information </w:t>
      </w:r>
      <w:r w:rsidR="00B63FB8">
        <w:t xml:space="preserve">in the call record. </w:t>
      </w:r>
      <w:r w:rsidR="005032F9">
        <w:t>Interviewers will not attempt to</w:t>
      </w:r>
      <w:r w:rsidR="009D474D">
        <w:t xml:space="preserve"> contact the respondent</w:t>
      </w:r>
      <w:r w:rsidR="00B63FB8">
        <w:t xml:space="preserve"> again until the specified </w:t>
      </w:r>
      <w:r w:rsidR="009D474D">
        <w:t xml:space="preserve">date and </w:t>
      </w:r>
      <w:r w:rsidR="00B63FB8">
        <w:t>time.</w:t>
      </w:r>
      <w:r w:rsidR="008B6ED6">
        <w:t xml:space="preserve"> </w:t>
      </w:r>
      <w:r w:rsidRPr="00FA3051" w:rsidR="00B63FB8">
        <w:rPr>
          <w:iCs/>
        </w:rPr>
        <w:t>Interviewers will be able to accommodate respondents who need to abandon the survey before its completion</w:t>
      </w:r>
      <w:r w:rsidRPr="00FA3051" w:rsidR="005C1E2A">
        <w:rPr>
          <w:iCs/>
        </w:rPr>
        <w:t xml:space="preserve">. </w:t>
      </w:r>
      <w:r w:rsidRPr="00FA3051" w:rsidR="00B63FB8">
        <w:rPr>
          <w:iCs/>
        </w:rPr>
        <w:t xml:space="preserve">They will schedule a callback for a date and time of the respondent’s preference, and then code the record as “incomplete.” When the callback time arrives, the </w:t>
      </w:r>
      <w:r w:rsidRPr="00FA3051" w:rsidR="009D474D">
        <w:rPr>
          <w:iCs/>
        </w:rPr>
        <w:t xml:space="preserve">interviewer will </w:t>
      </w:r>
      <w:r w:rsidR="00882653">
        <w:rPr>
          <w:iCs/>
        </w:rPr>
        <w:t>continue from the last completed item</w:t>
      </w:r>
      <w:r w:rsidRPr="00FA3051" w:rsidR="00B63FB8">
        <w:rPr>
          <w:iCs/>
        </w:rPr>
        <w:t>, and the respondent will finish the survey.</w:t>
      </w:r>
      <w:r w:rsidR="006323ED">
        <w:rPr>
          <w:iCs/>
        </w:rPr>
        <w:t xml:space="preserve"> Because of the high number of</w:t>
      </w:r>
      <w:r w:rsidR="007836CA">
        <w:rPr>
          <w:iCs/>
        </w:rPr>
        <w:t xml:space="preserve"> phone numbers for</w:t>
      </w:r>
      <w:r w:rsidR="006323ED">
        <w:rPr>
          <w:iCs/>
        </w:rPr>
        <w:t xml:space="preserve"> gatekeepers, and alternative phone numbers found, we anticipate that </w:t>
      </w:r>
      <w:r w:rsidR="007836CA">
        <w:rPr>
          <w:iCs/>
        </w:rPr>
        <w:t>i</w:t>
      </w:r>
      <w:r w:rsidRPr="00FA3051" w:rsidR="00B63FB8">
        <w:rPr>
          <w:iCs/>
        </w:rPr>
        <w:t xml:space="preserve">nterviewers will </w:t>
      </w:r>
      <w:r w:rsidR="007836CA">
        <w:rPr>
          <w:iCs/>
        </w:rPr>
        <w:t xml:space="preserve">need to make multiple attempts </w:t>
      </w:r>
      <w:r w:rsidRPr="00FA3051" w:rsidR="00B63FB8">
        <w:rPr>
          <w:iCs/>
        </w:rPr>
        <w:t xml:space="preserve"> </w:t>
      </w:r>
      <w:r w:rsidR="00B04841">
        <w:rPr>
          <w:iCs/>
        </w:rPr>
        <w:t xml:space="preserve">to </w:t>
      </w:r>
      <w:r w:rsidRPr="00FA3051" w:rsidR="00B63FB8">
        <w:rPr>
          <w:iCs/>
        </w:rPr>
        <w:t>each telephone number before that number is taken out of our sample</w:t>
      </w:r>
      <w:r w:rsidR="007836CA">
        <w:rPr>
          <w:iCs/>
        </w:rPr>
        <w:t>. Even though it is difficult to set a maximum number of attempts, callers will monitor reaction from respondents to avoid creating any burden for participants</w:t>
      </w:r>
      <w:r w:rsidR="00712E2B">
        <w:rPr>
          <w:iCs/>
        </w:rPr>
        <w:t xml:space="preserve">. </w:t>
      </w:r>
      <w:r w:rsidR="00FB2B65">
        <w:rPr>
          <w:iCs/>
        </w:rPr>
        <w:t xml:space="preserve">IEC will work with CMS and its subcontractor, </w:t>
      </w:r>
      <w:r w:rsidR="00B949B2">
        <w:rPr>
          <w:iCs/>
        </w:rPr>
        <w:t>Data Validation and Administration (DVA) contractor</w:t>
      </w:r>
      <w:r w:rsidR="00D93AAB">
        <w:rPr>
          <w:iCs/>
        </w:rPr>
        <w:t xml:space="preserve"> to create webpage</w:t>
      </w:r>
      <w:r w:rsidR="005F6441">
        <w:rPr>
          <w:iCs/>
        </w:rPr>
        <w:t>s</w:t>
      </w:r>
      <w:r w:rsidR="00D93AAB">
        <w:rPr>
          <w:iCs/>
        </w:rPr>
        <w:t xml:space="preserve"> in NQIIC awardee website to allow survey respondent to validate the </w:t>
      </w:r>
      <w:r w:rsidR="00F71A0D">
        <w:rPr>
          <w:rFonts w:ascii="Calibri" w:hAnsi="Calibri" w:cs="Calibri"/>
          <w:color w:val="000000"/>
          <w:sz w:val="22"/>
          <w:szCs w:val="22"/>
        </w:rPr>
        <w:t>legitimacy of the survey data collection</w:t>
      </w:r>
      <w:r w:rsidR="00EF5717">
        <w:rPr>
          <w:rFonts w:ascii="Calibri" w:hAnsi="Calibri" w:cs="Calibri"/>
          <w:color w:val="000000"/>
          <w:sz w:val="22"/>
          <w:szCs w:val="22"/>
        </w:rPr>
        <w:t xml:space="preserve">. </w:t>
      </w:r>
      <w:r w:rsidRPr="009F042E">
        <w:rPr>
          <w:iCs/>
        </w:rPr>
        <w:t>THG will explore and test new applications to streamline the survey scheduling process. If these new processes are found beneficial for respondents without creating additional burden for the data collection team nor compromising data integrity, then THG will implement them.</w:t>
      </w:r>
    </w:p>
    <w:p w:rsidR="0097343C" w:rsidP="00527C04" w14:paraId="6DFBD061" w14:textId="77777777">
      <w:pPr>
        <w:ind w:left="720"/>
        <w:rPr>
          <w:iCs/>
        </w:rPr>
      </w:pPr>
    </w:p>
    <w:p w:rsidR="0045513B" w:rsidRPr="00527C04" w:rsidP="00527C04" w14:paraId="13C5EAD9" w14:textId="55789267">
      <w:pPr>
        <w:ind w:left="720"/>
        <w:rPr>
          <w:iCs/>
        </w:rPr>
      </w:pPr>
      <w:r>
        <w:rPr>
          <w:iCs/>
        </w:rPr>
        <w:t xml:space="preserve">For </w:t>
      </w:r>
      <w:r w:rsidR="00F455F8">
        <w:rPr>
          <w:iCs/>
        </w:rPr>
        <w:t>outpatient clinicians participating in the online survey</w:t>
      </w:r>
      <w:r w:rsidR="00CE56F0">
        <w:rPr>
          <w:iCs/>
        </w:rPr>
        <w:t xml:space="preserve">, </w:t>
      </w:r>
      <w:r w:rsidR="00F16828">
        <w:rPr>
          <w:iCs/>
        </w:rPr>
        <w:t>multiple reminders will be sent to those who launch, but do not complete the survey. E</w:t>
      </w:r>
      <w:r w:rsidR="00616D52">
        <w:rPr>
          <w:iCs/>
        </w:rPr>
        <w:t xml:space="preserve">mail reminders will be sent </w:t>
      </w:r>
      <w:r w:rsidR="0024340E">
        <w:rPr>
          <w:iCs/>
        </w:rPr>
        <w:t xml:space="preserve">on the day of opening the survey, </w:t>
      </w:r>
      <w:r w:rsidR="00F16828">
        <w:rPr>
          <w:iCs/>
        </w:rPr>
        <w:t>as well as a</w:t>
      </w:r>
      <w:r w:rsidR="0024340E">
        <w:rPr>
          <w:iCs/>
        </w:rPr>
        <w:t xml:space="preserve"> voicemail </w:t>
      </w:r>
      <w:r w:rsidR="00F16828">
        <w:rPr>
          <w:iCs/>
        </w:rPr>
        <w:t>reminder</w:t>
      </w:r>
      <w:r w:rsidR="00A97F71">
        <w:rPr>
          <w:iCs/>
        </w:rPr>
        <w:t xml:space="preserve"> for non-respondents. Additional emails will be sent after launch for </w:t>
      </w:r>
      <w:r w:rsidR="0017660E">
        <w:rPr>
          <w:iCs/>
        </w:rPr>
        <w:t>respondents with</w:t>
      </w:r>
      <w:r w:rsidR="000C0D71">
        <w:rPr>
          <w:iCs/>
        </w:rPr>
        <w:t xml:space="preserve"> in</w:t>
      </w:r>
      <w:r w:rsidR="0017660E">
        <w:rPr>
          <w:iCs/>
        </w:rPr>
        <w:t>complete surveys.</w:t>
      </w:r>
      <w:r w:rsidR="007F2FB1">
        <w:rPr>
          <w:iCs/>
        </w:rPr>
        <w:t xml:space="preserve"> IEC will work closely with our COR and survey partner to </w:t>
      </w:r>
      <w:r w:rsidR="0056091C">
        <w:rPr>
          <w:iCs/>
        </w:rPr>
        <w:t>closly</w:t>
      </w:r>
      <w:r w:rsidR="0056091C">
        <w:rPr>
          <w:iCs/>
        </w:rPr>
        <w:t xml:space="preserve"> monitor the response rate and sample release status to d</w:t>
      </w:r>
      <w:r w:rsidR="00697C02">
        <w:rPr>
          <w:iCs/>
        </w:rPr>
        <w:t xml:space="preserve">ecide the maximum number of email reminder to avoid </w:t>
      </w:r>
      <w:r w:rsidR="00701148">
        <w:rPr>
          <w:iCs/>
        </w:rPr>
        <w:t>creating burden for outpatient clinicians.</w:t>
      </w:r>
    </w:p>
    <w:p w:rsidR="00756082" w:rsidP="21A325E7" w14:paraId="09F1E274" w14:textId="77777777">
      <w:pPr>
        <w:ind w:left="720"/>
        <w:rPr>
          <w:iCs/>
        </w:rPr>
      </w:pPr>
    </w:p>
    <w:p w:rsidR="00756082" w:rsidP="21A325E7" w14:paraId="6E4AA2AE" w14:textId="23D67166">
      <w:pPr>
        <w:ind w:left="720"/>
        <w:rPr>
          <w:iCs/>
        </w:rPr>
      </w:pPr>
      <w:r>
        <w:rPr>
          <w:iCs/>
        </w:rPr>
        <w:t>Multiple</w:t>
      </w:r>
      <w:r w:rsidRPr="00FA3051">
        <w:rPr>
          <w:iCs/>
        </w:rPr>
        <w:t xml:space="preserve"> email </w:t>
      </w:r>
      <w:r>
        <w:rPr>
          <w:iCs/>
        </w:rPr>
        <w:t xml:space="preserve">follow-ups will be employed </w:t>
      </w:r>
      <w:r w:rsidRPr="00FA3051">
        <w:rPr>
          <w:iCs/>
        </w:rPr>
        <w:t xml:space="preserve">inviting </w:t>
      </w:r>
      <w:r>
        <w:rPr>
          <w:iCs/>
        </w:rPr>
        <w:t>non-</w:t>
      </w:r>
      <w:r w:rsidRPr="00FA3051">
        <w:rPr>
          <w:iCs/>
        </w:rPr>
        <w:t xml:space="preserve">respondents to </w:t>
      </w:r>
      <w:r>
        <w:rPr>
          <w:iCs/>
        </w:rPr>
        <w:t>take the surveys</w:t>
      </w:r>
      <w:r w:rsidRPr="00FA3051">
        <w:rPr>
          <w:iCs/>
        </w:rPr>
        <w:t xml:space="preserve">. </w:t>
      </w:r>
      <w:r w:rsidRPr="0038321F">
        <w:t>The email invitations will be CMS-sponsored, prominently displaying their logo to increase confidence in the content and importance of the study.</w:t>
      </w:r>
      <w:r>
        <w:t xml:space="preserve"> </w:t>
      </w:r>
      <w:r w:rsidRPr="00FA3051">
        <w:rPr>
          <w:iCs/>
        </w:rPr>
        <w:t xml:space="preserve">The content of messages is available in Appendices </w:t>
      </w:r>
      <w:r>
        <w:rPr>
          <w:iCs/>
        </w:rPr>
        <w:t>D</w:t>
      </w:r>
      <w:r w:rsidRPr="00FA3051">
        <w:rPr>
          <w:iCs/>
        </w:rPr>
        <w:t>.2 for nursing homes</w:t>
      </w:r>
      <w:r>
        <w:rPr>
          <w:iCs/>
        </w:rPr>
        <w:t>, D</w:t>
      </w:r>
      <w:r w:rsidRPr="00FA3051">
        <w:rPr>
          <w:iCs/>
        </w:rPr>
        <w:t>.4 for hospitals</w:t>
      </w:r>
      <w:r>
        <w:rPr>
          <w:iCs/>
        </w:rPr>
        <w:t>, and D.6 for outpatient clinicians</w:t>
      </w:r>
      <w:r w:rsidRPr="00FA3051">
        <w:rPr>
          <w:iCs/>
        </w:rPr>
        <w:t>.</w:t>
      </w:r>
    </w:p>
    <w:p w:rsidR="008B6ED6" w:rsidRPr="00B44357" w:rsidP="21A325E7" w14:paraId="2643651C" w14:textId="77777777">
      <w:pPr>
        <w:ind w:left="720"/>
        <w:rPr>
          <w:iCs/>
        </w:rPr>
      </w:pPr>
    </w:p>
    <w:p w:rsidR="0005704C" w:rsidRPr="00B44357" w:rsidP="21A325E7" w14:paraId="21EA55CC" w14:textId="14B1B844">
      <w:pPr>
        <w:ind w:left="720"/>
        <w:rPr>
          <w:iCs/>
        </w:rPr>
      </w:pPr>
      <w:r w:rsidRPr="00FA3051">
        <w:rPr>
          <w:iCs/>
        </w:rPr>
        <w:t xml:space="preserve">Since CMS is using widely accepted data collection techniques and is devoting substantial resources to efforts designed to minimize non-response, we expect the response rate to this survey to be comparable or better than that achieved for other healthcare administrator surveys conducted by </w:t>
      </w:r>
      <w:r w:rsidR="00F3374B">
        <w:rPr>
          <w:iCs/>
        </w:rPr>
        <w:t xml:space="preserve">the </w:t>
      </w:r>
      <w:r w:rsidRPr="00FA3051">
        <w:rPr>
          <w:iCs/>
        </w:rPr>
        <w:t>IEC team members in the past. Furthermore,</w:t>
      </w:r>
      <w:r w:rsidR="00F3374B">
        <w:rPr>
          <w:iCs/>
        </w:rPr>
        <w:t xml:space="preserve"> </w:t>
      </w:r>
      <w:r w:rsidR="00800A6E">
        <w:rPr>
          <w:iCs/>
        </w:rPr>
        <w:t>IEC</w:t>
      </w:r>
      <w:r w:rsidRPr="00FA3051">
        <w:rPr>
          <w:iCs/>
        </w:rPr>
        <w:t xml:space="preserve"> has conducted numerous surveys on a variety of topics that have achieved response rates comparable to, or exceeding, the response rate estimated for this survey.</w:t>
      </w:r>
    </w:p>
    <w:p w:rsidR="0005704C" w:rsidRPr="00B44357" w:rsidP="00D74FF4" w14:paraId="35EA39D8" w14:textId="01D11331">
      <w:pPr>
        <w:pStyle w:val="Heading3"/>
        <w:rPr>
          <w:i w:val="0"/>
          <w:iCs/>
        </w:rPr>
      </w:pPr>
      <w:bookmarkStart w:id="30" w:name="_Toc433627287"/>
      <w:bookmarkStart w:id="31" w:name="_Toc429570408"/>
      <w:bookmarkStart w:id="32" w:name="_Toc410331719"/>
      <w:bookmarkStart w:id="33" w:name="_Toc410331613"/>
      <w:bookmarkStart w:id="34" w:name="_Ref406147819"/>
      <w:r w:rsidRPr="00B44357">
        <w:rPr>
          <w:i w:val="0"/>
          <w:iCs/>
        </w:rPr>
        <w:t>Methods to Deal with Issues of Non-Response</w:t>
      </w:r>
      <w:bookmarkEnd w:id="30"/>
      <w:bookmarkEnd w:id="31"/>
      <w:bookmarkEnd w:id="32"/>
      <w:bookmarkEnd w:id="33"/>
      <w:bookmarkEnd w:id="34"/>
    </w:p>
    <w:p w:rsidR="00B63FB8" w:rsidRPr="00FA3051" w:rsidP="007E1168" w14:paraId="69487DA3" w14:textId="1821B9E8">
      <w:pPr>
        <w:pStyle w:val="Heading3"/>
        <w:numPr>
          <w:ilvl w:val="2"/>
          <w:numId w:val="0"/>
        </w:numPr>
        <w:ind w:left="720"/>
        <w:rPr>
          <w:rFonts w:eastAsiaTheme="minorEastAsia"/>
          <w:i w:val="0"/>
        </w:rPr>
      </w:pPr>
      <w:bookmarkStart w:id="35" w:name="_Toc433627289"/>
      <w:bookmarkStart w:id="36" w:name="_Toc429570410"/>
      <w:bookmarkStart w:id="37" w:name="_Toc410331722"/>
      <w:bookmarkStart w:id="38" w:name="_Toc410331616"/>
      <w:r w:rsidRPr="00FA3051">
        <w:rPr>
          <w:rFonts w:asciiTheme="minorHAnsi" w:eastAsiaTheme="minorEastAsia" w:hAnsiTheme="minorHAnsi" w:cstheme="minorBidi"/>
          <w:i w:val="0"/>
        </w:rPr>
        <w:t>Should a respondent refuse</w:t>
      </w:r>
      <w:r w:rsidRPr="00FA3051" w:rsidR="00193DE6">
        <w:rPr>
          <w:rFonts w:asciiTheme="minorHAnsi" w:eastAsiaTheme="minorEastAsia" w:hAnsiTheme="minorHAnsi" w:cstheme="minorBidi"/>
          <w:i w:val="0"/>
        </w:rPr>
        <w:t xml:space="preserve"> to complete the survey</w:t>
      </w:r>
      <w:r w:rsidRPr="00FA3051">
        <w:rPr>
          <w:rFonts w:asciiTheme="minorHAnsi" w:eastAsiaTheme="minorEastAsia" w:hAnsiTheme="minorHAnsi" w:cstheme="minorBidi"/>
          <w:i w:val="0"/>
        </w:rPr>
        <w:t>, the refusal will be classified into two groups: hard refusals and soft refusals. Hard refusals are defined as situations where respondent</w:t>
      </w:r>
      <w:r w:rsidRPr="00FA3051" w:rsidR="00193DE6">
        <w:rPr>
          <w:rFonts w:asciiTheme="minorHAnsi" w:eastAsiaTheme="minorEastAsia" w:hAnsiTheme="minorHAnsi" w:cstheme="minorBidi"/>
          <w:i w:val="0"/>
        </w:rPr>
        <w:t>s</w:t>
      </w:r>
      <w:r w:rsidRPr="00FA3051">
        <w:rPr>
          <w:rFonts w:asciiTheme="minorHAnsi" w:eastAsiaTheme="minorEastAsia" w:hAnsiTheme="minorHAnsi" w:cstheme="minorBidi"/>
          <w:i w:val="0"/>
        </w:rPr>
        <w:t xml:space="preserve"> adamantly state that they do not wish to be called again</w:t>
      </w:r>
      <w:r w:rsidRPr="00FA3051" w:rsidR="005C1E2A">
        <w:rPr>
          <w:rFonts w:asciiTheme="minorHAnsi" w:eastAsiaTheme="minorEastAsia" w:hAnsiTheme="minorHAnsi" w:cstheme="minorBidi"/>
          <w:i w:val="0"/>
        </w:rPr>
        <w:t xml:space="preserve">. </w:t>
      </w:r>
      <w:r w:rsidRPr="00FA3051">
        <w:rPr>
          <w:rFonts w:asciiTheme="minorHAnsi" w:eastAsiaTheme="minorEastAsia" w:hAnsiTheme="minorHAnsi" w:cstheme="minorBidi"/>
          <w:i w:val="0"/>
        </w:rPr>
        <w:t xml:space="preserve">Records coded with this disposition do not reappear in call </w:t>
      </w:r>
      <w:r w:rsidR="00605540">
        <w:rPr>
          <w:rFonts w:asciiTheme="minorHAnsi" w:eastAsiaTheme="minorEastAsia" w:hAnsiTheme="minorHAnsi" w:cstheme="minorBidi"/>
          <w:i w:val="0"/>
          <w:iCs/>
        </w:rPr>
        <w:t xml:space="preserve">or email </w:t>
      </w:r>
      <w:r w:rsidRPr="00FA3051">
        <w:rPr>
          <w:rFonts w:asciiTheme="minorHAnsi" w:eastAsiaTheme="minorEastAsia" w:hAnsiTheme="minorHAnsi" w:cstheme="minorBidi"/>
          <w:i w:val="0"/>
        </w:rPr>
        <w:t>queues for the remainder of the project.</w:t>
      </w:r>
    </w:p>
    <w:p w:rsidR="00B63FB8" w:rsidRPr="00FA3051" w:rsidP="21A325E7" w14:paraId="731E731B" w14:textId="60E5BAC5">
      <w:pPr>
        <w:pStyle w:val="Heading3"/>
        <w:numPr>
          <w:ilvl w:val="2"/>
          <w:numId w:val="0"/>
        </w:numPr>
        <w:ind w:left="720"/>
        <w:rPr>
          <w:rFonts w:eastAsiaTheme="minorEastAsia"/>
          <w:i w:val="0"/>
        </w:rPr>
      </w:pPr>
      <w:r w:rsidRPr="00FA3051">
        <w:rPr>
          <w:rFonts w:asciiTheme="minorHAnsi" w:eastAsiaTheme="minorEastAsia" w:hAnsiTheme="minorHAnsi" w:cstheme="minorBidi"/>
          <w:i w:val="0"/>
        </w:rPr>
        <w:t>Soft refusals include situations where respondent</w:t>
      </w:r>
      <w:r w:rsidRPr="00FA3051" w:rsidR="00193DE6">
        <w:rPr>
          <w:rFonts w:asciiTheme="minorHAnsi" w:eastAsiaTheme="minorEastAsia" w:hAnsiTheme="minorHAnsi" w:cstheme="minorBidi"/>
          <w:i w:val="0"/>
        </w:rPr>
        <w:t>s</w:t>
      </w:r>
      <w:r w:rsidRPr="00FA3051">
        <w:rPr>
          <w:rFonts w:asciiTheme="minorHAnsi" w:eastAsiaTheme="minorEastAsia" w:hAnsiTheme="minorHAnsi" w:cstheme="minorBidi"/>
          <w:i w:val="0"/>
        </w:rPr>
        <w:t xml:space="preserve"> </w:t>
      </w:r>
      <w:r w:rsidR="00395A2B">
        <w:rPr>
          <w:rFonts w:asciiTheme="minorHAnsi" w:eastAsiaTheme="minorEastAsia" w:hAnsiTheme="minorHAnsi" w:cstheme="minorBidi"/>
          <w:i w:val="0"/>
          <w:iCs/>
        </w:rPr>
        <w:t xml:space="preserve">do not respond to the online survey invitation or </w:t>
      </w:r>
      <w:r w:rsidRPr="00FA3051">
        <w:rPr>
          <w:rFonts w:asciiTheme="minorHAnsi" w:eastAsiaTheme="minorEastAsia" w:hAnsiTheme="minorHAnsi" w:cstheme="minorBidi"/>
          <w:i w:val="0"/>
        </w:rPr>
        <w:t xml:space="preserve">simply hang up on </w:t>
      </w:r>
      <w:r w:rsidRPr="00FA3051">
        <w:rPr>
          <w:rFonts w:asciiTheme="minorHAnsi" w:eastAsiaTheme="minorEastAsia" w:hAnsiTheme="minorHAnsi" w:cstheme="minorBidi"/>
          <w:i w:val="0"/>
          <w:iCs/>
        </w:rPr>
        <w:t>a</w:t>
      </w:r>
      <w:r w:rsidR="00395A2B">
        <w:rPr>
          <w:rFonts w:asciiTheme="minorHAnsi" w:eastAsiaTheme="minorEastAsia" w:hAnsiTheme="minorHAnsi" w:cstheme="minorBidi"/>
          <w:i w:val="0"/>
          <w:iCs/>
        </w:rPr>
        <w:t xml:space="preserve"> telephone</w:t>
      </w:r>
      <w:r w:rsidRPr="00FA3051">
        <w:rPr>
          <w:rFonts w:asciiTheme="minorHAnsi" w:eastAsiaTheme="minorEastAsia" w:hAnsiTheme="minorHAnsi" w:cstheme="minorBidi"/>
          <w:i w:val="0"/>
        </w:rPr>
        <w:t xml:space="preserve"> interviewer or refuse the initial contact in a less aggressive manner</w:t>
      </w:r>
      <w:r w:rsidRPr="00FA3051" w:rsidR="005C1E2A">
        <w:rPr>
          <w:rFonts w:asciiTheme="minorHAnsi" w:eastAsiaTheme="minorEastAsia" w:hAnsiTheme="minorHAnsi" w:cstheme="minorBidi"/>
          <w:i w:val="0"/>
        </w:rPr>
        <w:t xml:space="preserve">. </w:t>
      </w:r>
      <w:r w:rsidRPr="00FA3051">
        <w:rPr>
          <w:rFonts w:asciiTheme="minorHAnsi" w:eastAsiaTheme="minorEastAsia" w:hAnsiTheme="minorHAnsi" w:cstheme="minorBidi"/>
          <w:i w:val="0"/>
        </w:rPr>
        <w:t xml:space="preserve">These cases are still considered “active,” but are placed on hold and re-contacted as necessary as the </w:t>
      </w:r>
      <w:r w:rsidRPr="00FA3051" w:rsidR="00F45902">
        <w:rPr>
          <w:rFonts w:asciiTheme="minorHAnsi" w:eastAsiaTheme="minorEastAsia" w:hAnsiTheme="minorHAnsi" w:cstheme="minorBidi"/>
          <w:i w:val="0"/>
        </w:rPr>
        <w:t xml:space="preserve">number of respondents in the </w:t>
      </w:r>
      <w:r w:rsidRPr="00FA3051">
        <w:rPr>
          <w:rFonts w:asciiTheme="minorHAnsi" w:eastAsiaTheme="minorEastAsia" w:hAnsiTheme="minorHAnsi" w:cstheme="minorBidi"/>
          <w:i w:val="0"/>
        </w:rPr>
        <w:t>viable sample dwindles.</w:t>
      </w:r>
    </w:p>
    <w:p w:rsidR="20864C56" w:rsidRPr="00B44357" w:rsidP="00B44357" w14:paraId="42510273" w14:textId="2F4DE022">
      <w:pPr>
        <w:pStyle w:val="Heading3"/>
        <w:numPr>
          <w:ilvl w:val="2"/>
          <w:numId w:val="0"/>
        </w:numPr>
        <w:ind w:left="720"/>
        <w:rPr>
          <w:i w:val="0"/>
        </w:rPr>
      </w:pPr>
      <w:r w:rsidRPr="00B44357">
        <w:rPr>
          <w:i w:val="0"/>
        </w:rPr>
        <w:t xml:space="preserve">IEC will conduct a thorough non-response analysis </w:t>
      </w:r>
      <w:r w:rsidRPr="00B44357" w:rsidR="44600862">
        <w:rPr>
          <w:i w:val="0"/>
        </w:rPr>
        <w:t>upon completion of the data collection. Thi</w:t>
      </w:r>
      <w:r w:rsidRPr="00B44357" w:rsidR="0304ED94">
        <w:rPr>
          <w:i w:val="0"/>
        </w:rPr>
        <w:t xml:space="preserve">s analysis will examine if </w:t>
      </w:r>
      <w:r w:rsidRPr="00B44357" w:rsidR="1A95AEFA">
        <w:rPr>
          <w:i w:val="0"/>
        </w:rPr>
        <w:t>there are systematic patterns in non-</w:t>
      </w:r>
      <w:r w:rsidRPr="00B44357" w:rsidR="086A5012">
        <w:rPr>
          <w:i w:val="0"/>
        </w:rPr>
        <w:t>response that lead to the unde</w:t>
      </w:r>
      <w:r w:rsidRPr="00B44357" w:rsidR="53582FE9">
        <w:rPr>
          <w:i w:val="0"/>
        </w:rPr>
        <w:t>r and/or</w:t>
      </w:r>
      <w:r w:rsidRPr="00B44357" w:rsidR="04C82192">
        <w:rPr>
          <w:i w:val="0"/>
        </w:rPr>
        <w:t xml:space="preserve"> o</w:t>
      </w:r>
      <w:r w:rsidRPr="00B44357" w:rsidR="53582FE9">
        <w:rPr>
          <w:i w:val="0"/>
        </w:rPr>
        <w:t xml:space="preserve">ver </w:t>
      </w:r>
      <w:r w:rsidRPr="00775B4D" w:rsidR="00775B4D">
        <w:rPr>
          <w:i w:val="0"/>
        </w:rPr>
        <w:t>representation</w:t>
      </w:r>
      <w:r w:rsidRPr="00B44357" w:rsidR="53582FE9">
        <w:rPr>
          <w:i w:val="0"/>
        </w:rPr>
        <w:t xml:space="preserve"> of particular</w:t>
      </w:r>
      <w:r w:rsidRPr="00B44357" w:rsidR="6AE8F14F">
        <w:rPr>
          <w:i w:val="0"/>
        </w:rPr>
        <w:t xml:space="preserve"> subpopulations. </w:t>
      </w:r>
      <w:r w:rsidRPr="00B44357" w:rsidR="298DD681">
        <w:rPr>
          <w:i w:val="0"/>
        </w:rPr>
        <w:t>If such distortions are detected</w:t>
      </w:r>
      <w:r w:rsidRPr="00B44357" w:rsidR="59B08D33">
        <w:rPr>
          <w:i w:val="0"/>
        </w:rPr>
        <w:t>, IEC will apply non-response weights sparing</w:t>
      </w:r>
      <w:r w:rsidRPr="00B44357" w:rsidR="33209B8A">
        <w:rPr>
          <w:i w:val="0"/>
        </w:rPr>
        <w:t xml:space="preserve">ly </w:t>
      </w:r>
      <w:r w:rsidRPr="00B44357" w:rsidR="3BD2A0F8">
        <w:rPr>
          <w:i w:val="0"/>
        </w:rPr>
        <w:t>to address the distor</w:t>
      </w:r>
      <w:r w:rsidRPr="00B44357" w:rsidR="218BA9F5">
        <w:rPr>
          <w:i w:val="0"/>
        </w:rPr>
        <w:t>tions while managing the design effect</w:t>
      </w:r>
      <w:r w:rsidRPr="00B44357" w:rsidR="45656601">
        <w:rPr>
          <w:i w:val="0"/>
        </w:rPr>
        <w:t xml:space="preserve"> of weights.</w:t>
      </w:r>
    </w:p>
    <w:p w:rsidR="0005704C" w:rsidRPr="00B44357" w:rsidP="00B63FB8" w14:paraId="329EA3C8" w14:textId="529012F3">
      <w:pPr>
        <w:pStyle w:val="Heading3"/>
        <w:rPr>
          <w:i w:val="0"/>
        </w:rPr>
      </w:pPr>
      <w:r w:rsidRPr="00B44357">
        <w:rPr>
          <w:i w:val="0"/>
        </w:rPr>
        <w:t>Generalizing to the Universe Studied</w:t>
      </w:r>
      <w:bookmarkEnd w:id="35"/>
      <w:bookmarkEnd w:id="36"/>
      <w:bookmarkEnd w:id="37"/>
      <w:bookmarkEnd w:id="38"/>
    </w:p>
    <w:p w:rsidR="00FF2D84" w:rsidP="0005704C" w14:paraId="781FC834" w14:textId="37C05338">
      <w:pPr>
        <w:ind w:left="720"/>
      </w:pPr>
      <w:r w:rsidRPr="00FA3051">
        <w:t xml:space="preserve">Since </w:t>
      </w:r>
      <w:r w:rsidRPr="00FA3051" w:rsidR="00F45902">
        <w:t>IEC is</w:t>
      </w:r>
      <w:r w:rsidRPr="00FA3051">
        <w:t xml:space="preserve"> conducting a stratified random sample, we expect that the information collected will yield reliable data that can be generalized to the universe studied.</w:t>
      </w:r>
      <w:r w:rsidR="004C06A4">
        <w:t xml:space="preserve"> We will </w:t>
      </w:r>
      <w:r>
        <w:t>create a</w:t>
      </w:r>
      <w:r w:rsidRPr="003407C1">
        <w:t xml:space="preserve"> weight to allow for projections to the total universe of nursing homes</w:t>
      </w:r>
      <w:r w:rsidR="00F74DE0">
        <w:t>,</w:t>
      </w:r>
      <w:r w:rsidRPr="003407C1">
        <w:t xml:space="preserve"> </w:t>
      </w:r>
      <w:r w:rsidR="00A84824">
        <w:t>hospitals</w:t>
      </w:r>
      <w:r w:rsidR="00C75863">
        <w:t xml:space="preserve">, or outpatient clinicians </w:t>
      </w:r>
      <w:r w:rsidR="00A84824">
        <w:t>eligible for NQIIC programs</w:t>
      </w:r>
      <w:r w:rsidR="00A4793B">
        <w:t xml:space="preserve"> based on the </w:t>
      </w:r>
      <w:r w:rsidRPr="003407C1">
        <w:t xml:space="preserve">characteristics of those </w:t>
      </w:r>
      <w:r w:rsidR="000907C2">
        <w:t>organizations</w:t>
      </w:r>
      <w:r w:rsidR="00A84824">
        <w:t xml:space="preserve"> </w:t>
      </w:r>
      <w:r w:rsidRPr="003407C1">
        <w:t xml:space="preserve">in the </w:t>
      </w:r>
      <w:r w:rsidR="00A84824">
        <w:t xml:space="preserve">sample </w:t>
      </w:r>
      <w:r w:rsidRPr="003407C1">
        <w:t>frame</w:t>
      </w:r>
      <w:r w:rsidR="00A84824">
        <w:t>.</w:t>
      </w:r>
      <w:r>
        <w:t xml:space="preserve"> </w:t>
      </w:r>
    </w:p>
    <w:p w:rsidR="0005704C" w:rsidRPr="00FA3051" w:rsidP="00D74FF4" w14:paraId="4C271CAF" w14:textId="77777777">
      <w:pPr>
        <w:pStyle w:val="Heading2"/>
      </w:pPr>
      <w:bookmarkStart w:id="39" w:name="_Toc429570411"/>
      <w:bookmarkStart w:id="40" w:name="_Toc410331723"/>
      <w:bookmarkStart w:id="41" w:name="_Toc410331617"/>
      <w:bookmarkStart w:id="42" w:name="_Ref406148914"/>
      <w:bookmarkStart w:id="43" w:name="_Toc433627290"/>
      <w:r w:rsidRPr="00FA3051">
        <w:t>Test of Procedures or Methods</w:t>
      </w:r>
      <w:bookmarkEnd w:id="39"/>
      <w:bookmarkEnd w:id="40"/>
      <w:bookmarkEnd w:id="41"/>
      <w:bookmarkEnd w:id="42"/>
      <w:r w:rsidRPr="00FA3051">
        <w:t xml:space="preserve"> to be Undertaken</w:t>
      </w:r>
      <w:bookmarkEnd w:id="43"/>
    </w:p>
    <w:p w:rsidR="0005704C" w:rsidRPr="00FA3051" w:rsidP="00FB72AA" w14:paraId="138437D9" w14:textId="7196CF53">
      <w:pPr>
        <w:ind w:left="360"/>
      </w:pPr>
      <w:r w:rsidRPr="00FA3051">
        <w:t xml:space="preserve">As part of developing the survey instruments, </w:t>
      </w:r>
      <w:r w:rsidRPr="00FA3051" w:rsidR="00F45902">
        <w:t>IEC</w:t>
      </w:r>
      <w:r w:rsidRPr="00FA3051">
        <w:t xml:space="preserve"> </w:t>
      </w:r>
      <w:r w:rsidR="00517256">
        <w:t xml:space="preserve">and our survey partner, The </w:t>
      </w:r>
      <w:r w:rsidR="00517256">
        <w:t>Henne</w:t>
      </w:r>
      <w:r w:rsidR="00517256">
        <w:t xml:space="preserve"> Group, </w:t>
      </w:r>
      <w:r w:rsidRPr="00FA3051">
        <w:t>ha</w:t>
      </w:r>
      <w:r w:rsidR="00517256">
        <w:t>ve</w:t>
      </w:r>
      <w:r w:rsidRPr="00FA3051">
        <w:t xml:space="preserve"> already conducted internal beta-testing </w:t>
      </w:r>
      <w:r w:rsidR="00F01DB2">
        <w:t>of the program</w:t>
      </w:r>
      <w:r w:rsidR="00AB3ABC">
        <w:t xml:space="preserve">ming </w:t>
      </w:r>
      <w:r w:rsidR="000222EE">
        <w:t>and pre-</w:t>
      </w:r>
      <w:r w:rsidRPr="00FA3051">
        <w:t>test</w:t>
      </w:r>
      <w:r w:rsidR="002A2692">
        <w:t>ed</w:t>
      </w:r>
      <w:r w:rsidR="000222EE">
        <w:t xml:space="preserve"> with </w:t>
      </w:r>
      <w:r w:rsidR="0051719D">
        <w:t xml:space="preserve">a small number of </w:t>
      </w:r>
      <w:r w:rsidR="004B2ECF">
        <w:t xml:space="preserve">respondent candidates </w:t>
      </w:r>
      <w:r w:rsidR="00517256">
        <w:t xml:space="preserve">for </w:t>
      </w:r>
      <w:r w:rsidR="006C1B4A">
        <w:t xml:space="preserve">all three </w:t>
      </w:r>
      <w:r w:rsidR="00517256">
        <w:t xml:space="preserve">surveys </w:t>
      </w:r>
      <w:r w:rsidRPr="00FA3051">
        <w:t xml:space="preserve">to assess the hour burden per respondent and </w:t>
      </w:r>
      <w:r w:rsidRPr="00FA3051" w:rsidR="009118F9">
        <w:t xml:space="preserve">to </w:t>
      </w:r>
      <w:r w:rsidRPr="00FA3051">
        <w:t xml:space="preserve">ensure the questions and responses are readily understandable and skip patterns are logical. </w:t>
      </w:r>
    </w:p>
    <w:p w:rsidR="006C1B4A" w:rsidRPr="00FA3051" w:rsidP="00FB72AA" w14:paraId="34507CDB" w14:textId="77777777">
      <w:pPr>
        <w:ind w:left="360"/>
      </w:pPr>
    </w:p>
    <w:p w:rsidR="00F45902" w:rsidP="00FB72AA" w14:paraId="2E3FB08A" w14:textId="3B27AA68">
      <w:pPr>
        <w:ind w:left="360"/>
      </w:pPr>
      <w:r w:rsidRPr="00FA3051">
        <w:t xml:space="preserve">Respondents for </w:t>
      </w:r>
      <w:r w:rsidRPr="00FA3051">
        <w:t xml:space="preserve">pre-testing the </w:t>
      </w:r>
      <w:r w:rsidR="006C5E73">
        <w:t xml:space="preserve">telephone </w:t>
      </w:r>
      <w:r w:rsidRPr="00FA3051">
        <w:t>surveys</w:t>
      </w:r>
      <w:r w:rsidR="00BF6F81">
        <w:t xml:space="preserve"> were </w:t>
      </w:r>
      <w:r w:rsidRPr="00FA3051">
        <w:t xml:space="preserve">contacted and </w:t>
      </w:r>
      <w:r w:rsidRPr="00FA3051">
        <w:t>th</w:t>
      </w:r>
      <w:r w:rsidR="006426F0">
        <w:t>ose</w:t>
      </w:r>
      <w:r w:rsidRPr="00FA3051">
        <w:t xml:space="preserve"> </w:t>
      </w:r>
      <w:r w:rsidR="00CB4DA5">
        <w:t xml:space="preserve">who </w:t>
      </w:r>
      <w:r w:rsidRPr="00FA3051">
        <w:t>agree</w:t>
      </w:r>
      <w:r w:rsidR="006426F0">
        <w:t>d</w:t>
      </w:r>
      <w:r w:rsidRPr="00FA3051">
        <w:t xml:space="preserve"> to </w:t>
      </w:r>
      <w:r w:rsidR="00CB4DA5">
        <w:t xml:space="preserve">participate </w:t>
      </w:r>
      <w:r w:rsidR="006426F0">
        <w:t>were</w:t>
      </w:r>
      <w:r w:rsidRPr="00FA3051">
        <w:t xml:space="preserve"> given an opportunity to </w:t>
      </w:r>
      <w:r w:rsidRPr="00FA3051">
        <w:t xml:space="preserve">schedule a </w:t>
      </w:r>
      <w:r w:rsidRPr="00FA3051">
        <w:t xml:space="preserve">telephone </w:t>
      </w:r>
      <w:r w:rsidRPr="00FA3051">
        <w:t xml:space="preserve">interview. Once the </w:t>
      </w:r>
      <w:r w:rsidRPr="00FA3051">
        <w:t xml:space="preserve">interviews </w:t>
      </w:r>
      <w:r w:rsidR="006426F0">
        <w:t>were</w:t>
      </w:r>
      <w:r w:rsidRPr="00FA3051">
        <w:t xml:space="preserve"> </w:t>
      </w:r>
      <w:r w:rsidRPr="00FA3051">
        <w:t>completed, we solicit</w:t>
      </w:r>
      <w:r w:rsidR="00350011">
        <w:t xml:space="preserve">ed </w:t>
      </w:r>
      <w:r w:rsidRPr="00FA3051">
        <w:t>the</w:t>
      </w:r>
      <w:r w:rsidRPr="00FA3051">
        <w:t>se respondents’</w:t>
      </w:r>
      <w:r w:rsidRPr="00FA3051">
        <w:t xml:space="preserve"> feedback about </w:t>
      </w:r>
      <w:r w:rsidRPr="00FA3051">
        <w:t xml:space="preserve">possible </w:t>
      </w:r>
      <w:r w:rsidRPr="00FA3051">
        <w:t xml:space="preserve">improvements </w:t>
      </w:r>
      <w:r w:rsidRPr="00FA3051">
        <w:t xml:space="preserve">that </w:t>
      </w:r>
      <w:r w:rsidR="006426F0">
        <w:t>could</w:t>
      </w:r>
      <w:r w:rsidRPr="00FA3051">
        <w:t xml:space="preserve"> be made </w:t>
      </w:r>
      <w:r w:rsidRPr="00FA3051">
        <w:t xml:space="preserve">to the </w:t>
      </w:r>
      <w:r w:rsidRPr="00FA3051">
        <w:t xml:space="preserve">survey </w:t>
      </w:r>
      <w:r w:rsidRPr="00FA3051">
        <w:t xml:space="preserve">and the survey administration process. </w:t>
      </w:r>
      <w:r w:rsidR="00D73529">
        <w:t xml:space="preserve">Participants in the </w:t>
      </w:r>
      <w:r w:rsidR="00F358B9">
        <w:t>pre-te</w:t>
      </w:r>
      <w:r w:rsidR="00817E83">
        <w:t xml:space="preserve">sts for </w:t>
      </w:r>
      <w:r w:rsidR="0021185F">
        <w:t xml:space="preserve">the </w:t>
      </w:r>
      <w:r w:rsidR="00B95AA2">
        <w:t>Outpaient</w:t>
      </w:r>
      <w:r w:rsidR="00B95AA2">
        <w:t xml:space="preserve"> Clinician S</w:t>
      </w:r>
      <w:r w:rsidR="0021185F">
        <w:t xml:space="preserve">urvey </w:t>
      </w:r>
      <w:r w:rsidR="00F43DD8">
        <w:t xml:space="preserve">were </w:t>
      </w:r>
      <w:r w:rsidR="00A93476">
        <w:t>provided a link</w:t>
      </w:r>
      <w:r w:rsidR="00B95AA2">
        <w:t xml:space="preserve"> to the online instrument and completed the survey before a scheduled cognitive interview. </w:t>
      </w:r>
    </w:p>
    <w:p w:rsidR="009937AC" w:rsidRPr="00FA3051" w:rsidP="00FB72AA" w14:paraId="280652F2" w14:textId="77777777">
      <w:pPr>
        <w:ind w:left="360"/>
      </w:pPr>
    </w:p>
    <w:p w:rsidR="0005704C" w:rsidRPr="00FA3051" w:rsidP="00FB72AA" w14:paraId="525F443E" w14:textId="551F3E12">
      <w:pPr>
        <w:ind w:left="360"/>
      </w:pPr>
      <w:r>
        <w:t>A total of 1</w:t>
      </w:r>
      <w:r w:rsidR="006C1B4A">
        <w:t>5</w:t>
      </w:r>
      <w:r>
        <w:t xml:space="preserve"> interviews (5 nursing homes/5 hospitals</w:t>
      </w:r>
      <w:r w:rsidR="006C1B4A">
        <w:t>/5 outpatient clinicians</w:t>
      </w:r>
      <w:r>
        <w:t xml:space="preserve">) were conducted in </w:t>
      </w:r>
      <w:r w:rsidR="008C7186">
        <w:t>Feburary</w:t>
      </w:r>
      <w:r w:rsidR="008C7186">
        <w:t xml:space="preserve"> </w:t>
      </w:r>
      <w:r>
        <w:t>and Ma</w:t>
      </w:r>
      <w:r w:rsidR="008C7186">
        <w:t>rch</w:t>
      </w:r>
      <w:r>
        <w:t xml:space="preserve"> 202</w:t>
      </w:r>
      <w:r w:rsidR="008C7186">
        <w:t>2</w:t>
      </w:r>
      <w:r>
        <w:t xml:space="preserve">. In general, all </w:t>
      </w:r>
      <w:r w:rsidR="008C7186">
        <w:t>fiften</w:t>
      </w:r>
      <w:r>
        <w:t xml:space="preserve"> pretest respondents felt that the pretest questions were clear, concise, to the point, and for the most part understandable and easy to answer. No </w:t>
      </w:r>
      <w:r w:rsidR="009937AC">
        <w:t xml:space="preserve">respondents </w:t>
      </w:r>
      <w:r>
        <w:t xml:space="preserve">felt overly burdened by the amount of time it took to take the pretest survey, </w:t>
      </w:r>
      <w:r w:rsidR="009937AC">
        <w:t>or</w:t>
      </w:r>
      <w:r w:rsidR="00D270D0">
        <w:t xml:space="preserve"> </w:t>
      </w:r>
      <w:r>
        <w:t xml:space="preserve">thought </w:t>
      </w:r>
      <w:r w:rsidR="002341BA">
        <w:t xml:space="preserve">the time </w:t>
      </w:r>
      <w:r>
        <w:t>deviated in any way from how it was represented to them</w:t>
      </w:r>
      <w:r w:rsidR="003D57AD">
        <w:t xml:space="preserve">. The IEC team analyzed the comments to </w:t>
      </w:r>
      <w:r w:rsidR="00EC4782">
        <w:t xml:space="preserve">ascertain </w:t>
      </w:r>
      <w:r w:rsidR="003D57AD">
        <w:t xml:space="preserve">if questions were clear and </w:t>
      </w:r>
      <w:r w:rsidR="00A93BB2">
        <w:t xml:space="preserve">made changes as needed </w:t>
      </w:r>
      <w:r w:rsidR="0032269B">
        <w:t xml:space="preserve">based on </w:t>
      </w:r>
      <w:r w:rsidR="003D57AD">
        <w:t xml:space="preserve">challenges interviewees encountered with certain questions and their </w:t>
      </w:r>
      <w:r w:rsidR="003D57AD">
        <w:t>associated response items. In some cases, clear patterns emerged where multiple interviewers noted similar problems with specific questions. Findings from the cognitive interviews informed revisions to improve overall quality and reliability</w:t>
      </w:r>
      <w:r w:rsidR="00150011">
        <w:t xml:space="preserve"> of all three surveys</w:t>
      </w:r>
      <w:r w:rsidR="003D57AD">
        <w:t xml:space="preserve">. </w:t>
      </w:r>
    </w:p>
    <w:p w:rsidR="0005704C" w:rsidRPr="00FA3051" w:rsidP="00D74FF4" w14:paraId="2BC9D225" w14:textId="77777777">
      <w:pPr>
        <w:pStyle w:val="Heading2"/>
      </w:pPr>
      <w:bookmarkStart w:id="44" w:name="_Toc433627291"/>
      <w:bookmarkStart w:id="45" w:name="_Toc410331618"/>
      <w:bookmarkStart w:id="46" w:name="_Toc410331724"/>
      <w:bookmarkStart w:id="47" w:name="_Toc429570412"/>
      <w:r w:rsidRPr="00FA3051">
        <w:t xml:space="preserve">Individuals Consulted on Statistical Aspects and Individuals Collecting and/or Analyzing the Data </w:t>
      </w:r>
    </w:p>
    <w:p w:rsidR="0005704C" w:rsidRPr="00FA3051" w:rsidP="00D74FF4" w14:paraId="788FA430" w14:textId="35C4BAB5">
      <w:pPr>
        <w:ind w:left="360"/>
      </w:pPr>
      <w:r>
        <w:t>Table 4</w:t>
      </w:r>
      <w:r>
        <w:t xml:space="preserve"> provides </w:t>
      </w:r>
      <w:r w:rsidR="4A55DAE3">
        <w:t>names</w:t>
      </w:r>
      <w:r>
        <w:t xml:space="preserve"> and affiliation for those consulted on the statistical aspects of the </w:t>
      </w:r>
      <w:r w:rsidR="00F45902">
        <w:t xml:space="preserve">survey </w:t>
      </w:r>
      <w:r>
        <w:t>design and who will collect or analyze the information.</w:t>
      </w:r>
    </w:p>
    <w:p w:rsidR="0005704C" w:rsidRPr="006A6064" w:rsidP="001B320A" w14:paraId="399AC1F8" w14:textId="573B8ED0">
      <w:pPr>
        <w:pStyle w:val="Caption"/>
        <w:rPr>
          <w:b w:val="0"/>
        </w:rPr>
      </w:pPr>
      <w:bookmarkStart w:id="48" w:name="_Ref59704750"/>
      <w:r w:rsidRPr="006A6064">
        <w:rPr>
          <w:b w:val="0"/>
        </w:rPr>
        <w:t xml:space="preserve">Table </w:t>
      </w:r>
      <w:bookmarkEnd w:id="48"/>
      <w:r w:rsidRPr="006A6064" w:rsidR="00C50582">
        <w:rPr>
          <w:b w:val="0"/>
          <w:bCs/>
        </w:rPr>
        <w:t>4</w:t>
      </w:r>
      <w:r w:rsidRPr="006A6064">
        <w:rPr>
          <w:b w:val="0"/>
          <w:bCs/>
        </w:rPr>
        <w:t>:</w:t>
      </w:r>
      <w:r w:rsidRPr="006A6064">
        <w:rPr>
          <w:b w:val="0"/>
        </w:rPr>
        <w:t xml:space="preserve"> Individuals Consulted on Statistical Aspects </w:t>
      </w:r>
      <w:r w:rsidRPr="006A6064">
        <w:rPr>
          <w:b w:val="0"/>
        </w:rPr>
        <w:br/>
        <w:t>and Performing Data Collection &amp; Analysis</w:t>
      </w:r>
      <w:bookmarkEnd w:id="44"/>
      <w:bookmarkEnd w:id="45"/>
      <w:bookmarkEnd w:id="46"/>
      <w:bookmarkEnd w:id="47"/>
    </w:p>
    <w:tbl>
      <w:tblPr>
        <w:tblW w:w="782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32"/>
        <w:gridCol w:w="4193"/>
      </w:tblGrid>
      <w:tr w14:paraId="31B8B1A7" w14:textId="77777777" w:rsidTr="001A42C2">
        <w:tblPrEx>
          <w:tblW w:w="782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blHeader/>
        </w:trPr>
        <w:tc>
          <w:tcPr>
            <w:tcW w:w="3632" w:type="dxa"/>
            <w:shd w:val="clear" w:color="auto" w:fill="D0CECE" w:themeFill="background2" w:themeFillShade="E6"/>
            <w:vAlign w:val="center"/>
            <w:hideMark/>
          </w:tcPr>
          <w:p w:rsidR="0005704C" w:rsidRPr="00E0032D" w:rsidP="00FB72AA" w14:paraId="01101CBE" w14:textId="77777777">
            <w:pPr>
              <w:keepNext/>
              <w:spacing w:before="60" w:after="60"/>
              <w:rPr>
                <w:rFonts w:asciiTheme="majorHAnsi" w:hAnsiTheme="majorHAnsi" w:cstheme="majorHAnsi"/>
                <w:b/>
                <w:bCs/>
                <w:sz w:val="22"/>
              </w:rPr>
            </w:pPr>
            <w:r w:rsidRPr="00E0032D">
              <w:rPr>
                <w:rFonts w:asciiTheme="majorHAnsi" w:hAnsiTheme="majorHAnsi" w:cstheme="majorHAnsi"/>
                <w:b/>
                <w:bCs/>
                <w:sz w:val="22"/>
              </w:rPr>
              <w:t>Name</w:t>
            </w:r>
          </w:p>
        </w:tc>
        <w:tc>
          <w:tcPr>
            <w:tcW w:w="4193" w:type="dxa"/>
            <w:shd w:val="clear" w:color="auto" w:fill="D0CECE" w:themeFill="background2" w:themeFillShade="E6"/>
            <w:vAlign w:val="center"/>
            <w:hideMark/>
          </w:tcPr>
          <w:p w:rsidR="0005704C" w:rsidRPr="00E0032D" w:rsidP="00FB72AA" w14:paraId="622B49BD" w14:textId="4A2AE019">
            <w:pPr>
              <w:keepNext/>
              <w:spacing w:before="60" w:after="60"/>
              <w:rPr>
                <w:rFonts w:asciiTheme="majorHAnsi" w:hAnsiTheme="majorHAnsi" w:cstheme="majorBidi"/>
                <w:b/>
                <w:bCs/>
                <w:sz w:val="22"/>
              </w:rPr>
            </w:pPr>
            <w:r w:rsidRPr="00E0032D">
              <w:rPr>
                <w:rFonts w:asciiTheme="majorHAnsi" w:hAnsiTheme="majorHAnsi" w:cstheme="majorBidi"/>
                <w:b/>
                <w:bCs/>
                <w:sz w:val="22"/>
              </w:rPr>
              <w:t>Affiliation</w:t>
            </w:r>
          </w:p>
        </w:tc>
      </w:tr>
      <w:tr w14:paraId="54A29CC7" w14:textId="77777777" w:rsidTr="001A42C2">
        <w:tblPrEx>
          <w:tblW w:w="7825" w:type="dxa"/>
          <w:tblInd w:w="720" w:type="dxa"/>
          <w:tblLook w:val="04A0"/>
        </w:tblPrEx>
        <w:trPr>
          <w:cantSplit/>
        </w:trPr>
        <w:tc>
          <w:tcPr>
            <w:tcW w:w="3632" w:type="dxa"/>
            <w:shd w:val="clear" w:color="auto" w:fill="auto"/>
            <w:hideMark/>
          </w:tcPr>
          <w:p w:rsidR="0005704C" w:rsidRPr="00FA3051" w:rsidP="00FB72AA" w14:paraId="15841861" w14:textId="77777777">
            <w:pPr>
              <w:spacing w:before="60" w:after="60"/>
              <w:rPr>
                <w:rFonts w:asciiTheme="majorHAnsi" w:hAnsiTheme="majorHAnsi" w:cstheme="majorHAnsi"/>
                <w:sz w:val="22"/>
              </w:rPr>
            </w:pPr>
            <w:r w:rsidRPr="00FA3051">
              <w:rPr>
                <w:rFonts w:asciiTheme="majorHAnsi" w:hAnsiTheme="majorHAnsi" w:cstheme="majorHAnsi"/>
                <w:sz w:val="22"/>
              </w:rPr>
              <w:t>Ping Yu, PhD</w:t>
            </w:r>
          </w:p>
        </w:tc>
        <w:tc>
          <w:tcPr>
            <w:tcW w:w="4193" w:type="dxa"/>
            <w:shd w:val="clear" w:color="auto" w:fill="auto"/>
            <w:hideMark/>
          </w:tcPr>
          <w:p w:rsidR="0005704C" w:rsidRPr="00FA3051" w:rsidP="00FB72AA" w14:paraId="07A80A5F" w14:textId="77777777">
            <w:pPr>
              <w:spacing w:before="60" w:after="60"/>
              <w:rPr>
                <w:rFonts w:asciiTheme="majorHAnsi" w:hAnsiTheme="majorHAnsi" w:cstheme="majorHAnsi"/>
                <w:sz w:val="22"/>
              </w:rPr>
            </w:pPr>
            <w:r w:rsidRPr="00FA3051">
              <w:rPr>
                <w:rFonts w:asciiTheme="majorHAnsi" w:hAnsiTheme="majorHAnsi" w:cstheme="majorHAnsi"/>
                <w:sz w:val="22"/>
              </w:rPr>
              <w:t>Booz Allen Hamilton</w:t>
            </w:r>
          </w:p>
        </w:tc>
      </w:tr>
      <w:tr w14:paraId="09DBDAD2" w14:textId="77777777" w:rsidTr="001A42C2">
        <w:tblPrEx>
          <w:tblW w:w="7825" w:type="dxa"/>
          <w:tblInd w:w="720" w:type="dxa"/>
          <w:tblLook w:val="04A0"/>
        </w:tblPrEx>
        <w:trPr>
          <w:cantSplit/>
        </w:trPr>
        <w:tc>
          <w:tcPr>
            <w:tcW w:w="3632" w:type="dxa"/>
            <w:shd w:val="clear" w:color="auto" w:fill="auto"/>
          </w:tcPr>
          <w:p w:rsidR="0005704C" w:rsidRPr="00FA3051" w:rsidP="00FB72AA" w14:paraId="7D6555F5" w14:textId="77777777">
            <w:pPr>
              <w:spacing w:before="60" w:after="60"/>
              <w:rPr>
                <w:rFonts w:asciiTheme="majorHAnsi" w:hAnsiTheme="majorHAnsi" w:cstheme="majorHAnsi"/>
                <w:sz w:val="22"/>
              </w:rPr>
            </w:pPr>
            <w:r w:rsidRPr="00FA3051">
              <w:rPr>
                <w:rFonts w:asciiTheme="majorHAnsi" w:hAnsiTheme="majorHAnsi" w:cstheme="majorHAnsi"/>
                <w:sz w:val="22"/>
              </w:rPr>
              <w:t>Sandy Lesikar, PhD</w:t>
            </w:r>
          </w:p>
        </w:tc>
        <w:tc>
          <w:tcPr>
            <w:tcW w:w="4193" w:type="dxa"/>
            <w:shd w:val="clear" w:color="auto" w:fill="auto"/>
          </w:tcPr>
          <w:p w:rsidR="0005704C" w:rsidRPr="00FA3051" w:rsidP="00FB72AA" w14:paraId="339F85C6" w14:textId="77777777">
            <w:pPr>
              <w:spacing w:before="60" w:after="60"/>
              <w:rPr>
                <w:rFonts w:asciiTheme="majorHAnsi" w:hAnsiTheme="majorHAnsi" w:cstheme="majorHAnsi"/>
                <w:sz w:val="22"/>
              </w:rPr>
            </w:pPr>
            <w:r w:rsidRPr="00FA3051">
              <w:rPr>
                <w:rFonts w:asciiTheme="majorHAnsi" w:hAnsiTheme="majorHAnsi" w:cstheme="majorHAnsi"/>
                <w:sz w:val="22"/>
              </w:rPr>
              <w:t>Booz Allen Hamilton</w:t>
            </w:r>
          </w:p>
        </w:tc>
      </w:tr>
      <w:tr w14:paraId="39BA4066" w14:textId="77777777" w:rsidTr="001A42C2">
        <w:tblPrEx>
          <w:tblW w:w="7825" w:type="dxa"/>
          <w:tblInd w:w="720" w:type="dxa"/>
          <w:tblLook w:val="04A0"/>
        </w:tblPrEx>
        <w:trPr>
          <w:cantSplit/>
        </w:trPr>
        <w:tc>
          <w:tcPr>
            <w:tcW w:w="3632" w:type="dxa"/>
            <w:shd w:val="clear" w:color="auto" w:fill="auto"/>
          </w:tcPr>
          <w:p w:rsidR="0005704C" w:rsidRPr="00FA3051" w:rsidP="00FB72AA" w14:paraId="52664E41" w14:textId="77777777">
            <w:pPr>
              <w:spacing w:before="60" w:after="60"/>
              <w:rPr>
                <w:rFonts w:asciiTheme="majorHAnsi" w:hAnsiTheme="majorHAnsi" w:cstheme="majorHAnsi"/>
                <w:sz w:val="22"/>
              </w:rPr>
            </w:pPr>
            <w:r w:rsidRPr="00FA3051">
              <w:rPr>
                <w:rFonts w:asciiTheme="majorHAnsi" w:hAnsiTheme="majorHAnsi" w:cstheme="majorHAnsi"/>
                <w:sz w:val="22"/>
              </w:rPr>
              <w:t>Kathryn Schulke, BSN</w:t>
            </w:r>
          </w:p>
        </w:tc>
        <w:tc>
          <w:tcPr>
            <w:tcW w:w="4193" w:type="dxa"/>
            <w:shd w:val="clear" w:color="auto" w:fill="auto"/>
          </w:tcPr>
          <w:p w:rsidR="0005704C" w:rsidRPr="00FA3051" w:rsidP="00FB72AA" w14:paraId="39D4F4A5" w14:textId="77777777">
            <w:pPr>
              <w:spacing w:before="60" w:after="60"/>
              <w:rPr>
                <w:rFonts w:asciiTheme="majorHAnsi" w:hAnsiTheme="majorHAnsi" w:cstheme="majorHAnsi"/>
                <w:sz w:val="22"/>
              </w:rPr>
            </w:pPr>
            <w:r w:rsidRPr="00FA3051">
              <w:rPr>
                <w:rFonts w:asciiTheme="majorHAnsi" w:hAnsiTheme="majorHAnsi" w:cstheme="majorHAnsi"/>
                <w:sz w:val="22"/>
              </w:rPr>
              <w:t>Booz Allen Hamilton</w:t>
            </w:r>
          </w:p>
        </w:tc>
      </w:tr>
      <w:tr w14:paraId="478499D3" w14:textId="77777777" w:rsidTr="001A42C2">
        <w:tblPrEx>
          <w:tblW w:w="7825" w:type="dxa"/>
          <w:tblInd w:w="720" w:type="dxa"/>
          <w:tblLook w:val="04A0"/>
        </w:tblPrEx>
        <w:trPr>
          <w:cantSplit/>
        </w:trPr>
        <w:tc>
          <w:tcPr>
            <w:tcW w:w="3632" w:type="dxa"/>
            <w:shd w:val="clear" w:color="auto" w:fill="auto"/>
            <w:hideMark/>
          </w:tcPr>
          <w:p w:rsidR="0005704C" w:rsidRPr="00FA3051" w:rsidP="00FB72AA" w14:paraId="39455675" w14:textId="77777777">
            <w:pPr>
              <w:spacing w:before="60" w:after="60"/>
              <w:rPr>
                <w:rFonts w:asciiTheme="majorHAnsi" w:hAnsiTheme="majorHAnsi" w:cstheme="majorHAnsi"/>
                <w:sz w:val="22"/>
              </w:rPr>
            </w:pPr>
            <w:r w:rsidRPr="00FA3051">
              <w:rPr>
                <w:rFonts w:asciiTheme="majorHAnsi" w:hAnsiTheme="majorHAnsi" w:cstheme="majorHAnsi"/>
                <w:sz w:val="22"/>
              </w:rPr>
              <w:t>Elyse Levine, PhD</w:t>
            </w:r>
          </w:p>
        </w:tc>
        <w:tc>
          <w:tcPr>
            <w:tcW w:w="4193" w:type="dxa"/>
            <w:shd w:val="clear" w:color="auto" w:fill="auto"/>
            <w:hideMark/>
          </w:tcPr>
          <w:p w:rsidR="0005704C" w:rsidRPr="00FA3051" w:rsidP="00FB72AA" w14:paraId="34129255" w14:textId="2A9D20EA">
            <w:pPr>
              <w:spacing w:before="60" w:after="60"/>
              <w:rPr>
                <w:rFonts w:asciiTheme="majorHAnsi" w:hAnsiTheme="majorHAnsi" w:cstheme="majorHAnsi"/>
                <w:sz w:val="22"/>
              </w:rPr>
            </w:pPr>
            <w:r>
              <w:rPr>
                <w:rFonts w:asciiTheme="majorHAnsi" w:hAnsiTheme="majorHAnsi" w:cstheme="majorHAnsi"/>
                <w:sz w:val="22"/>
              </w:rPr>
              <w:t>Independent Consultant</w:t>
            </w:r>
          </w:p>
        </w:tc>
      </w:tr>
      <w:tr w14:paraId="418F4C8A" w14:textId="77777777" w:rsidTr="001A42C2">
        <w:tblPrEx>
          <w:tblW w:w="7825" w:type="dxa"/>
          <w:tblInd w:w="720" w:type="dxa"/>
          <w:tblLook w:val="04A0"/>
        </w:tblPrEx>
        <w:trPr>
          <w:cantSplit/>
        </w:trPr>
        <w:tc>
          <w:tcPr>
            <w:tcW w:w="3632" w:type="dxa"/>
            <w:shd w:val="clear" w:color="auto" w:fill="auto"/>
            <w:hideMark/>
          </w:tcPr>
          <w:p w:rsidR="0005704C" w:rsidRPr="00FA3051" w:rsidP="00FB72AA" w14:paraId="450E106A" w14:textId="77777777">
            <w:pPr>
              <w:spacing w:before="60" w:after="60"/>
              <w:rPr>
                <w:rFonts w:asciiTheme="majorHAnsi" w:hAnsiTheme="majorHAnsi" w:cstheme="majorHAnsi"/>
                <w:sz w:val="22"/>
              </w:rPr>
            </w:pPr>
            <w:r w:rsidRPr="00FA3051">
              <w:rPr>
                <w:rFonts w:asciiTheme="majorHAnsi" w:hAnsiTheme="majorHAnsi" w:cstheme="majorHAnsi"/>
                <w:sz w:val="22"/>
              </w:rPr>
              <w:t>Stephen Tregear, PhD</w:t>
            </w:r>
          </w:p>
        </w:tc>
        <w:tc>
          <w:tcPr>
            <w:tcW w:w="4193" w:type="dxa"/>
            <w:shd w:val="clear" w:color="auto" w:fill="auto"/>
            <w:hideMark/>
          </w:tcPr>
          <w:p w:rsidR="0005704C" w:rsidRPr="00FA3051" w:rsidP="00FB72AA" w14:paraId="47988767" w14:textId="77777777">
            <w:pPr>
              <w:spacing w:before="60" w:after="60"/>
              <w:rPr>
                <w:rFonts w:asciiTheme="majorHAnsi" w:hAnsiTheme="majorHAnsi" w:cstheme="majorHAnsi"/>
                <w:sz w:val="22"/>
              </w:rPr>
            </w:pPr>
            <w:r w:rsidRPr="00FA3051">
              <w:rPr>
                <w:rFonts w:asciiTheme="majorHAnsi" w:hAnsiTheme="majorHAnsi" w:cstheme="majorHAnsi"/>
                <w:sz w:val="22"/>
              </w:rPr>
              <w:t>Booz Allen Hamilton</w:t>
            </w:r>
          </w:p>
        </w:tc>
      </w:tr>
      <w:tr w14:paraId="4E7F2C01" w14:textId="77777777" w:rsidTr="001A42C2">
        <w:tblPrEx>
          <w:tblW w:w="7825" w:type="dxa"/>
          <w:tblInd w:w="720" w:type="dxa"/>
          <w:tblLook w:val="04A0"/>
        </w:tblPrEx>
        <w:trPr>
          <w:cantSplit/>
        </w:trPr>
        <w:tc>
          <w:tcPr>
            <w:tcW w:w="3632" w:type="dxa"/>
            <w:shd w:val="clear" w:color="auto" w:fill="auto"/>
          </w:tcPr>
          <w:p w:rsidR="00172D9A" w:rsidRPr="00FA3051" w:rsidP="00FB72AA" w14:paraId="317826F8" w14:textId="77777777">
            <w:pPr>
              <w:spacing w:before="60" w:after="60"/>
              <w:rPr>
                <w:rFonts w:asciiTheme="majorHAnsi" w:hAnsiTheme="majorHAnsi" w:cstheme="majorHAnsi"/>
                <w:sz w:val="22"/>
              </w:rPr>
            </w:pPr>
            <w:r w:rsidRPr="00FA3051">
              <w:rPr>
                <w:rFonts w:asciiTheme="majorHAnsi" w:hAnsiTheme="majorHAnsi" w:cstheme="majorHAnsi"/>
                <w:sz w:val="22"/>
              </w:rPr>
              <w:t>Kevin Shang</w:t>
            </w:r>
          </w:p>
        </w:tc>
        <w:tc>
          <w:tcPr>
            <w:tcW w:w="4193" w:type="dxa"/>
            <w:shd w:val="clear" w:color="auto" w:fill="auto"/>
          </w:tcPr>
          <w:p w:rsidR="00172D9A" w:rsidRPr="00FA3051" w:rsidP="00FB72AA" w14:paraId="697BD3F4" w14:textId="77777777">
            <w:pPr>
              <w:spacing w:before="60" w:after="60"/>
              <w:rPr>
                <w:rFonts w:asciiTheme="majorHAnsi" w:hAnsiTheme="majorHAnsi" w:cstheme="majorHAnsi"/>
                <w:sz w:val="22"/>
              </w:rPr>
            </w:pPr>
            <w:r w:rsidRPr="00FA3051">
              <w:rPr>
                <w:rFonts w:asciiTheme="majorHAnsi" w:hAnsiTheme="majorHAnsi" w:cstheme="majorHAnsi"/>
                <w:sz w:val="22"/>
              </w:rPr>
              <w:t>Booz Allen Hamilton</w:t>
            </w:r>
          </w:p>
        </w:tc>
      </w:tr>
      <w:tr w14:paraId="603892DB" w14:textId="77777777" w:rsidTr="001A42C2">
        <w:tblPrEx>
          <w:tblW w:w="7825" w:type="dxa"/>
          <w:tblInd w:w="720" w:type="dxa"/>
          <w:tblLook w:val="04A0"/>
        </w:tblPrEx>
        <w:trPr>
          <w:cantSplit/>
        </w:trPr>
        <w:tc>
          <w:tcPr>
            <w:tcW w:w="3632" w:type="dxa"/>
            <w:shd w:val="clear" w:color="auto" w:fill="auto"/>
          </w:tcPr>
          <w:p w:rsidR="0005704C" w:rsidRPr="00FA3051" w:rsidP="00FB72AA" w14:paraId="7FC7FF92" w14:textId="77777777">
            <w:pPr>
              <w:spacing w:before="60" w:after="60"/>
              <w:rPr>
                <w:rFonts w:asciiTheme="majorHAnsi" w:hAnsiTheme="majorHAnsi" w:cstheme="majorHAnsi"/>
                <w:sz w:val="22"/>
              </w:rPr>
            </w:pPr>
            <w:r w:rsidRPr="00FA3051">
              <w:rPr>
                <w:rFonts w:asciiTheme="majorHAnsi" w:hAnsiTheme="majorHAnsi" w:cstheme="majorHAnsi"/>
                <w:sz w:val="22"/>
              </w:rPr>
              <w:t>Xiaoying</w:t>
            </w:r>
            <w:r w:rsidRPr="00FA3051">
              <w:rPr>
                <w:rFonts w:asciiTheme="majorHAnsi" w:hAnsiTheme="majorHAnsi" w:cstheme="majorHAnsi"/>
                <w:sz w:val="22"/>
              </w:rPr>
              <w:t xml:space="preserve"> Xiong</w:t>
            </w:r>
          </w:p>
        </w:tc>
        <w:tc>
          <w:tcPr>
            <w:tcW w:w="4193" w:type="dxa"/>
            <w:shd w:val="clear" w:color="auto" w:fill="auto"/>
          </w:tcPr>
          <w:p w:rsidR="0005704C" w:rsidRPr="00FA3051" w:rsidP="00FB72AA" w14:paraId="36A482BE" w14:textId="77777777">
            <w:pPr>
              <w:spacing w:before="60" w:after="60"/>
              <w:rPr>
                <w:rFonts w:asciiTheme="majorHAnsi" w:hAnsiTheme="majorHAnsi" w:cstheme="majorHAnsi"/>
                <w:sz w:val="22"/>
              </w:rPr>
            </w:pPr>
            <w:r w:rsidRPr="00FA3051">
              <w:rPr>
                <w:rFonts w:asciiTheme="majorHAnsi" w:hAnsiTheme="majorHAnsi" w:cstheme="majorHAnsi"/>
                <w:sz w:val="22"/>
              </w:rPr>
              <w:t>Booz Allen Hamilton</w:t>
            </w:r>
          </w:p>
        </w:tc>
      </w:tr>
      <w:tr w14:paraId="6354B436" w14:textId="77777777" w:rsidTr="001A42C2">
        <w:tblPrEx>
          <w:tblW w:w="7825" w:type="dxa"/>
          <w:tblInd w:w="720" w:type="dxa"/>
          <w:tblLook w:val="04A0"/>
        </w:tblPrEx>
        <w:trPr>
          <w:cantSplit/>
        </w:trPr>
        <w:tc>
          <w:tcPr>
            <w:tcW w:w="3632" w:type="dxa"/>
            <w:shd w:val="clear" w:color="auto" w:fill="auto"/>
          </w:tcPr>
          <w:p w:rsidR="0005704C" w:rsidRPr="00FA3051" w:rsidP="00FB72AA" w14:paraId="7566C19C" w14:textId="77777777">
            <w:pPr>
              <w:spacing w:before="60" w:after="60"/>
              <w:rPr>
                <w:rFonts w:asciiTheme="majorHAnsi" w:hAnsiTheme="majorHAnsi" w:cstheme="majorHAnsi"/>
                <w:sz w:val="22"/>
              </w:rPr>
            </w:pPr>
            <w:r w:rsidRPr="00FA3051">
              <w:rPr>
                <w:rFonts w:asciiTheme="majorHAnsi" w:hAnsiTheme="majorHAnsi" w:cstheme="majorHAnsi"/>
                <w:sz w:val="22"/>
              </w:rPr>
              <w:t>Jia Zhao, PhD</w:t>
            </w:r>
          </w:p>
        </w:tc>
        <w:tc>
          <w:tcPr>
            <w:tcW w:w="4193" w:type="dxa"/>
            <w:shd w:val="clear" w:color="auto" w:fill="auto"/>
          </w:tcPr>
          <w:p w:rsidR="0005704C" w:rsidRPr="00FA3051" w:rsidP="00FB72AA" w14:paraId="021E66A7" w14:textId="77777777">
            <w:pPr>
              <w:spacing w:before="60" w:after="60"/>
              <w:rPr>
                <w:rFonts w:asciiTheme="majorHAnsi" w:hAnsiTheme="majorHAnsi" w:cstheme="majorHAnsi"/>
                <w:sz w:val="22"/>
              </w:rPr>
            </w:pPr>
            <w:r w:rsidRPr="00FA3051">
              <w:rPr>
                <w:rFonts w:asciiTheme="majorHAnsi" w:hAnsiTheme="majorHAnsi" w:cstheme="majorHAnsi"/>
                <w:sz w:val="22"/>
              </w:rPr>
              <w:t>Booz Allen Hamilton</w:t>
            </w:r>
          </w:p>
        </w:tc>
      </w:tr>
      <w:tr w14:paraId="4BD82EAF" w14:textId="77777777" w:rsidTr="70934DA7">
        <w:tblPrEx>
          <w:tblW w:w="7825" w:type="dxa"/>
          <w:tblInd w:w="720" w:type="dxa"/>
          <w:tblLook w:val="04A0"/>
        </w:tblPrEx>
        <w:trPr>
          <w:cantSplit/>
        </w:trPr>
        <w:tc>
          <w:tcPr>
            <w:tcW w:w="3632" w:type="dxa"/>
            <w:shd w:val="clear" w:color="auto" w:fill="FFFFFF" w:themeFill="background1"/>
          </w:tcPr>
          <w:p w:rsidR="00172D9A" w:rsidRPr="00FA3051" w:rsidP="00B63FB8" w14:paraId="43926784" w14:textId="136226D6">
            <w:pPr>
              <w:spacing w:before="60" w:after="60"/>
              <w:rPr>
                <w:rFonts w:asciiTheme="majorHAnsi" w:hAnsiTheme="majorHAnsi" w:cstheme="majorHAnsi"/>
                <w:sz w:val="22"/>
                <w:lang w:eastAsia="zh-TW"/>
              </w:rPr>
            </w:pPr>
            <w:r w:rsidRPr="00050ADC">
              <w:rPr>
                <w:rFonts w:asciiTheme="majorHAnsi" w:hAnsiTheme="majorHAnsi" w:cstheme="majorHAnsi"/>
                <w:sz w:val="22"/>
                <w:lang w:eastAsia="zh-TW"/>
              </w:rPr>
              <w:t>Dominic</w:t>
            </w:r>
            <w:r>
              <w:rPr>
                <w:rFonts w:asciiTheme="majorHAnsi" w:hAnsiTheme="majorHAnsi" w:cstheme="majorHAnsi"/>
                <w:sz w:val="22"/>
                <w:lang w:eastAsia="zh-TW"/>
              </w:rPr>
              <w:t xml:space="preserve"> </w:t>
            </w:r>
            <w:r w:rsidRPr="00050ADC" w:rsidR="00050ADC">
              <w:rPr>
                <w:rFonts w:asciiTheme="majorHAnsi" w:hAnsiTheme="majorHAnsi" w:cstheme="majorHAnsi"/>
                <w:sz w:val="22"/>
                <w:lang w:eastAsia="zh-TW"/>
              </w:rPr>
              <w:t>Shehtanian</w:t>
            </w:r>
          </w:p>
        </w:tc>
        <w:tc>
          <w:tcPr>
            <w:tcW w:w="4193" w:type="dxa"/>
            <w:shd w:val="clear" w:color="auto" w:fill="FFFFFF" w:themeFill="background1"/>
          </w:tcPr>
          <w:p w:rsidR="00172D9A" w:rsidRPr="00FA3051" w:rsidP="00B63FB8" w14:paraId="629A1302" w14:textId="77777777">
            <w:pPr>
              <w:spacing w:before="60" w:after="60"/>
              <w:rPr>
                <w:rFonts w:asciiTheme="majorHAnsi" w:hAnsiTheme="majorHAnsi" w:cstheme="majorHAnsi"/>
                <w:sz w:val="22"/>
                <w:lang w:eastAsia="zh-TW"/>
              </w:rPr>
            </w:pPr>
            <w:r w:rsidRPr="00FA3051">
              <w:rPr>
                <w:rFonts w:asciiTheme="majorHAnsi" w:hAnsiTheme="majorHAnsi" w:cstheme="majorHAnsi"/>
                <w:sz w:val="22"/>
              </w:rPr>
              <w:t>Booz Allen Hamilton</w:t>
            </w:r>
          </w:p>
        </w:tc>
      </w:tr>
      <w:tr w14:paraId="417F4817" w14:textId="77777777" w:rsidTr="001A42C2">
        <w:tblPrEx>
          <w:tblW w:w="7825" w:type="dxa"/>
          <w:tblInd w:w="720" w:type="dxa"/>
          <w:tblLook w:val="04A0"/>
        </w:tblPrEx>
        <w:trPr>
          <w:cantSplit/>
        </w:trPr>
        <w:tc>
          <w:tcPr>
            <w:tcW w:w="3632" w:type="dxa"/>
            <w:shd w:val="clear" w:color="auto" w:fill="auto"/>
          </w:tcPr>
          <w:p w:rsidR="000F4BD8" w:rsidRPr="00FA3051" w:rsidP="00FB72AA" w14:paraId="7BDEB5D0" w14:textId="26B7A866">
            <w:pPr>
              <w:spacing w:before="60" w:after="60"/>
              <w:rPr>
                <w:rFonts w:asciiTheme="majorHAnsi" w:hAnsiTheme="majorHAnsi" w:cstheme="majorHAnsi"/>
                <w:sz w:val="22"/>
              </w:rPr>
            </w:pPr>
            <w:r w:rsidRPr="003E4F80">
              <w:rPr>
                <w:rFonts w:asciiTheme="majorHAnsi" w:hAnsiTheme="majorHAnsi" w:cstheme="majorHAnsi"/>
                <w:sz w:val="22"/>
              </w:rPr>
              <w:t>Dave Cederquist</w:t>
            </w:r>
          </w:p>
        </w:tc>
        <w:tc>
          <w:tcPr>
            <w:tcW w:w="4193" w:type="dxa"/>
            <w:shd w:val="clear" w:color="auto" w:fill="auto"/>
          </w:tcPr>
          <w:p w:rsidR="000F4BD8" w:rsidRPr="003758DE" w:rsidP="00FB72AA" w14:paraId="29F1EF8A" w14:textId="2245DE8A">
            <w:pPr>
              <w:spacing w:before="60" w:after="60"/>
              <w:rPr>
                <w:rFonts w:asciiTheme="majorHAnsi" w:hAnsiTheme="majorHAnsi" w:cstheme="majorHAnsi"/>
                <w:b/>
                <w:bCs/>
                <w:sz w:val="22"/>
              </w:rPr>
            </w:pPr>
            <w:r w:rsidRPr="00FA3051">
              <w:rPr>
                <w:rFonts w:asciiTheme="majorHAnsi" w:hAnsiTheme="majorHAnsi" w:cstheme="majorHAnsi"/>
                <w:sz w:val="22"/>
              </w:rPr>
              <w:t>Booz Allen Hamilton</w:t>
            </w:r>
          </w:p>
        </w:tc>
      </w:tr>
      <w:tr w14:paraId="3DB21422" w14:textId="77777777" w:rsidTr="001A42C2">
        <w:tblPrEx>
          <w:tblW w:w="7825" w:type="dxa"/>
          <w:tblInd w:w="720" w:type="dxa"/>
          <w:tblLook w:val="04A0"/>
        </w:tblPrEx>
        <w:trPr>
          <w:cantSplit/>
        </w:trPr>
        <w:tc>
          <w:tcPr>
            <w:tcW w:w="3632" w:type="dxa"/>
            <w:shd w:val="clear" w:color="auto" w:fill="auto"/>
          </w:tcPr>
          <w:p w:rsidR="003E4F80" w:rsidRPr="003E4F80" w:rsidP="00FB72AA" w14:paraId="7BB6ABC0" w14:textId="4DB6941B">
            <w:pPr>
              <w:spacing w:before="60" w:after="60"/>
              <w:rPr>
                <w:rFonts w:asciiTheme="majorHAnsi" w:hAnsiTheme="majorHAnsi" w:cstheme="majorHAnsi"/>
                <w:sz w:val="22"/>
              </w:rPr>
            </w:pPr>
            <w:r>
              <w:rPr>
                <w:rFonts w:asciiTheme="majorHAnsi" w:hAnsiTheme="majorHAnsi" w:cstheme="majorHAnsi"/>
                <w:sz w:val="22"/>
              </w:rPr>
              <w:t xml:space="preserve">Frank </w:t>
            </w:r>
            <w:r w:rsidR="00F80CCB">
              <w:rPr>
                <w:rFonts w:asciiTheme="majorHAnsi" w:hAnsiTheme="majorHAnsi" w:cstheme="majorHAnsi"/>
                <w:sz w:val="22"/>
              </w:rPr>
              <w:t>Assaro</w:t>
            </w:r>
          </w:p>
        </w:tc>
        <w:tc>
          <w:tcPr>
            <w:tcW w:w="4193" w:type="dxa"/>
            <w:shd w:val="clear" w:color="auto" w:fill="auto"/>
          </w:tcPr>
          <w:p w:rsidR="003E4F80" w:rsidRPr="00FA3051" w:rsidP="00FB72AA" w14:paraId="29E7D3B8" w14:textId="28AA9E8B">
            <w:pPr>
              <w:spacing w:before="60" w:after="60"/>
              <w:rPr>
                <w:rFonts w:asciiTheme="majorHAnsi" w:hAnsiTheme="majorHAnsi" w:cstheme="majorHAnsi"/>
                <w:sz w:val="22"/>
              </w:rPr>
            </w:pPr>
            <w:r w:rsidRPr="00FA3051">
              <w:rPr>
                <w:rFonts w:asciiTheme="majorHAnsi" w:hAnsiTheme="majorHAnsi" w:cstheme="majorHAnsi"/>
                <w:sz w:val="22"/>
              </w:rPr>
              <w:t>Booz Allen Hamilton</w:t>
            </w:r>
          </w:p>
        </w:tc>
      </w:tr>
      <w:tr w14:paraId="4844410E" w14:textId="77777777" w:rsidTr="001A42C2">
        <w:tblPrEx>
          <w:tblW w:w="7825" w:type="dxa"/>
          <w:tblInd w:w="720" w:type="dxa"/>
          <w:tblLook w:val="04A0"/>
        </w:tblPrEx>
        <w:trPr>
          <w:cantSplit/>
        </w:trPr>
        <w:tc>
          <w:tcPr>
            <w:tcW w:w="3632" w:type="dxa"/>
            <w:shd w:val="clear" w:color="auto" w:fill="auto"/>
            <w:hideMark/>
          </w:tcPr>
          <w:p w:rsidR="006C1B4A" w:rsidRPr="00FA3051" w:rsidP="006C1B4A" w14:paraId="3F83CC30" w14:textId="6EC41576">
            <w:pPr>
              <w:spacing w:before="60" w:after="60"/>
              <w:rPr>
                <w:rFonts w:asciiTheme="majorHAnsi" w:hAnsiTheme="majorHAnsi" w:cstheme="majorHAnsi"/>
                <w:sz w:val="22"/>
              </w:rPr>
            </w:pPr>
            <w:r>
              <w:rPr>
                <w:rFonts w:asciiTheme="majorHAnsi" w:hAnsiTheme="majorHAnsi" w:cstheme="majorHAnsi"/>
                <w:sz w:val="22"/>
              </w:rPr>
              <w:t>Nathan Jacobs</w:t>
            </w:r>
          </w:p>
        </w:tc>
        <w:tc>
          <w:tcPr>
            <w:tcW w:w="4193" w:type="dxa"/>
            <w:shd w:val="clear" w:color="auto" w:fill="auto"/>
            <w:hideMark/>
          </w:tcPr>
          <w:p w:rsidR="006C1B4A" w:rsidRPr="00FA3051" w:rsidP="006C1B4A" w14:paraId="3E3D1465" w14:textId="29026029">
            <w:pPr>
              <w:spacing w:before="60" w:after="60"/>
              <w:rPr>
                <w:rFonts w:asciiTheme="majorHAnsi" w:hAnsiTheme="majorHAnsi" w:cstheme="majorHAnsi"/>
                <w:sz w:val="22"/>
              </w:rPr>
            </w:pPr>
            <w:r w:rsidRPr="00FA3051">
              <w:rPr>
                <w:rFonts w:asciiTheme="majorHAnsi" w:hAnsiTheme="majorHAnsi" w:cstheme="majorHAnsi"/>
                <w:sz w:val="22"/>
              </w:rPr>
              <w:t>Booz Allen Hamilton</w:t>
            </w:r>
          </w:p>
        </w:tc>
      </w:tr>
      <w:tr w14:paraId="391AEFAD" w14:textId="77777777" w:rsidTr="001A42C2">
        <w:tblPrEx>
          <w:tblW w:w="7825" w:type="dxa"/>
          <w:tblInd w:w="720" w:type="dxa"/>
          <w:tblLook w:val="04A0"/>
        </w:tblPrEx>
        <w:trPr>
          <w:cantSplit/>
        </w:trPr>
        <w:tc>
          <w:tcPr>
            <w:tcW w:w="3632" w:type="dxa"/>
            <w:shd w:val="clear" w:color="auto" w:fill="auto"/>
            <w:hideMark/>
          </w:tcPr>
          <w:p w:rsidR="006C1B4A" w:rsidRPr="00FA3051" w:rsidP="006C1B4A" w14:paraId="7D80922B" w14:textId="5B2FBAFE">
            <w:pPr>
              <w:spacing w:before="60" w:after="60"/>
              <w:rPr>
                <w:rFonts w:asciiTheme="majorHAnsi" w:hAnsiTheme="majorHAnsi" w:cstheme="majorHAnsi"/>
                <w:sz w:val="22"/>
              </w:rPr>
            </w:pPr>
            <w:r>
              <w:rPr>
                <w:rFonts w:asciiTheme="majorHAnsi" w:hAnsiTheme="majorHAnsi" w:cstheme="majorHAnsi"/>
                <w:sz w:val="22"/>
              </w:rPr>
              <w:t>McCall Glover</w:t>
            </w:r>
          </w:p>
        </w:tc>
        <w:tc>
          <w:tcPr>
            <w:tcW w:w="4193" w:type="dxa"/>
            <w:shd w:val="clear" w:color="auto" w:fill="auto"/>
            <w:hideMark/>
          </w:tcPr>
          <w:p w:rsidR="006C1B4A" w:rsidRPr="00FA3051" w:rsidP="006C1B4A" w14:paraId="487484E4" w14:textId="26EBECA4">
            <w:pPr>
              <w:spacing w:before="60" w:after="60"/>
              <w:rPr>
                <w:rFonts w:asciiTheme="majorHAnsi" w:hAnsiTheme="majorHAnsi" w:cstheme="majorHAnsi"/>
                <w:sz w:val="22"/>
              </w:rPr>
            </w:pPr>
            <w:r w:rsidRPr="00FA3051">
              <w:rPr>
                <w:rFonts w:asciiTheme="majorHAnsi" w:hAnsiTheme="majorHAnsi" w:cstheme="majorHAnsi"/>
                <w:sz w:val="22"/>
              </w:rPr>
              <w:t>Booz Allen Hamilton</w:t>
            </w:r>
          </w:p>
        </w:tc>
      </w:tr>
      <w:tr w14:paraId="61F99603" w14:textId="77777777" w:rsidTr="001A42C2">
        <w:tblPrEx>
          <w:tblW w:w="7825" w:type="dxa"/>
          <w:tblInd w:w="720" w:type="dxa"/>
          <w:tblLook w:val="04A0"/>
        </w:tblPrEx>
        <w:trPr>
          <w:cantSplit/>
        </w:trPr>
        <w:tc>
          <w:tcPr>
            <w:tcW w:w="3632" w:type="dxa"/>
            <w:shd w:val="clear" w:color="auto" w:fill="auto"/>
          </w:tcPr>
          <w:p w:rsidR="00F80CCB" w:rsidP="006C1B4A" w14:paraId="72ED4F60" w14:textId="1F2FBF4B">
            <w:pPr>
              <w:spacing w:before="60" w:after="60"/>
              <w:rPr>
                <w:rFonts w:asciiTheme="majorHAnsi" w:hAnsiTheme="majorHAnsi" w:cstheme="majorHAnsi"/>
                <w:sz w:val="22"/>
              </w:rPr>
            </w:pPr>
            <w:r>
              <w:rPr>
                <w:rFonts w:asciiTheme="majorHAnsi" w:hAnsiTheme="majorHAnsi" w:cstheme="majorHAnsi"/>
                <w:sz w:val="22"/>
              </w:rPr>
              <w:t>Janaki Pancha</w:t>
            </w:r>
            <w:r w:rsidR="00652B41">
              <w:rPr>
                <w:rFonts w:asciiTheme="majorHAnsi" w:hAnsiTheme="majorHAnsi" w:cstheme="majorHAnsi"/>
                <w:sz w:val="22"/>
              </w:rPr>
              <w:t>l</w:t>
            </w:r>
          </w:p>
        </w:tc>
        <w:tc>
          <w:tcPr>
            <w:tcW w:w="4193" w:type="dxa"/>
            <w:shd w:val="clear" w:color="auto" w:fill="auto"/>
          </w:tcPr>
          <w:p w:rsidR="00F80CCB" w:rsidRPr="00FA3051" w:rsidP="006C1B4A" w14:paraId="150AFF87" w14:textId="5CBAF2C6">
            <w:pPr>
              <w:spacing w:before="60" w:after="60"/>
              <w:rPr>
                <w:rFonts w:asciiTheme="majorHAnsi" w:hAnsiTheme="majorHAnsi" w:cstheme="majorHAnsi"/>
                <w:sz w:val="22"/>
              </w:rPr>
            </w:pPr>
            <w:r w:rsidRPr="00FA3051">
              <w:rPr>
                <w:rFonts w:asciiTheme="majorHAnsi" w:hAnsiTheme="majorHAnsi" w:cstheme="majorHAnsi"/>
                <w:sz w:val="22"/>
              </w:rPr>
              <w:t>Booz Allen Hamilton</w:t>
            </w:r>
          </w:p>
        </w:tc>
      </w:tr>
      <w:tr w14:paraId="6A80C5C8" w14:textId="77777777" w:rsidTr="001A42C2">
        <w:tblPrEx>
          <w:tblW w:w="7825" w:type="dxa"/>
          <w:tblInd w:w="720" w:type="dxa"/>
          <w:tblLook w:val="04A0"/>
        </w:tblPrEx>
        <w:trPr>
          <w:cantSplit/>
        </w:trPr>
        <w:tc>
          <w:tcPr>
            <w:tcW w:w="3632" w:type="dxa"/>
            <w:shd w:val="clear" w:color="auto" w:fill="auto"/>
          </w:tcPr>
          <w:p w:rsidR="006C1B4A" w:rsidRPr="00FA3051" w:rsidP="006C1B4A" w14:paraId="6CCF2B8A" w14:textId="7D231326">
            <w:pPr>
              <w:spacing w:before="60" w:after="60"/>
              <w:rPr>
                <w:rFonts w:asciiTheme="majorHAnsi" w:hAnsiTheme="majorHAnsi" w:cstheme="majorHAnsi"/>
                <w:sz w:val="22"/>
              </w:rPr>
            </w:pPr>
            <w:r>
              <w:rPr>
                <w:rFonts w:asciiTheme="majorHAnsi" w:hAnsiTheme="majorHAnsi" w:cstheme="majorHAnsi"/>
                <w:sz w:val="22"/>
              </w:rPr>
              <w:t>Jia Shen, PhD</w:t>
            </w:r>
          </w:p>
        </w:tc>
        <w:tc>
          <w:tcPr>
            <w:tcW w:w="4193" w:type="dxa"/>
            <w:shd w:val="clear" w:color="auto" w:fill="auto"/>
          </w:tcPr>
          <w:p w:rsidR="006C1B4A" w:rsidRPr="00FA3051" w:rsidP="006C1B4A" w14:paraId="62C63F8C" w14:textId="45A29F27">
            <w:pPr>
              <w:spacing w:before="60" w:after="60"/>
              <w:rPr>
                <w:rFonts w:asciiTheme="majorHAnsi" w:hAnsiTheme="majorHAnsi" w:cstheme="majorHAnsi"/>
                <w:sz w:val="22"/>
              </w:rPr>
            </w:pPr>
            <w:r w:rsidRPr="00FA3051">
              <w:rPr>
                <w:rFonts w:asciiTheme="majorHAnsi" w:hAnsiTheme="majorHAnsi" w:cstheme="majorHAnsi"/>
                <w:sz w:val="22"/>
              </w:rPr>
              <w:t>Booz Allen Hamilton</w:t>
            </w:r>
          </w:p>
        </w:tc>
      </w:tr>
      <w:tr w14:paraId="4A1C2B21" w14:textId="77777777" w:rsidTr="001A42C2">
        <w:tblPrEx>
          <w:tblW w:w="7825" w:type="dxa"/>
          <w:tblInd w:w="720" w:type="dxa"/>
          <w:tblLook w:val="04A0"/>
        </w:tblPrEx>
        <w:trPr>
          <w:cantSplit/>
        </w:trPr>
        <w:tc>
          <w:tcPr>
            <w:tcW w:w="3632" w:type="dxa"/>
            <w:shd w:val="clear" w:color="auto" w:fill="auto"/>
          </w:tcPr>
          <w:p w:rsidR="000C07D0" w:rsidRPr="00FA3051" w:rsidP="00FB72AA" w14:paraId="2F65512D" w14:textId="45E59451">
            <w:pPr>
              <w:spacing w:before="60" w:after="60"/>
              <w:rPr>
                <w:rFonts w:asciiTheme="majorHAnsi" w:hAnsiTheme="majorHAnsi" w:cstheme="majorHAnsi"/>
                <w:sz w:val="22"/>
              </w:rPr>
            </w:pPr>
            <w:r w:rsidRPr="00FA3051">
              <w:rPr>
                <w:rFonts w:asciiTheme="majorHAnsi" w:hAnsiTheme="majorHAnsi" w:cstheme="majorHAnsi"/>
                <w:sz w:val="22"/>
              </w:rPr>
              <w:t xml:space="preserve">Jeffrey C. </w:t>
            </w:r>
            <w:r w:rsidRPr="00FA3051">
              <w:rPr>
                <w:rFonts w:asciiTheme="majorHAnsi" w:hAnsiTheme="majorHAnsi" w:cstheme="majorHAnsi"/>
                <w:sz w:val="22"/>
              </w:rPr>
              <w:t>Henne</w:t>
            </w:r>
          </w:p>
        </w:tc>
        <w:tc>
          <w:tcPr>
            <w:tcW w:w="4193" w:type="dxa"/>
            <w:shd w:val="clear" w:color="auto" w:fill="auto"/>
          </w:tcPr>
          <w:p w:rsidR="000C07D0" w:rsidRPr="00FA3051" w:rsidP="00FB72AA" w14:paraId="5CE7F7D9" w14:textId="7D7710F0">
            <w:pPr>
              <w:spacing w:before="60" w:after="60"/>
              <w:rPr>
                <w:rFonts w:asciiTheme="majorHAnsi" w:hAnsiTheme="majorHAnsi" w:cstheme="majorHAnsi"/>
                <w:sz w:val="22"/>
              </w:rPr>
            </w:pPr>
            <w:r w:rsidRPr="00FA3051">
              <w:rPr>
                <w:rFonts w:asciiTheme="majorHAnsi" w:hAnsiTheme="majorHAnsi" w:cstheme="majorHAnsi"/>
                <w:sz w:val="22"/>
              </w:rPr>
              <w:t xml:space="preserve">The </w:t>
            </w:r>
            <w:r w:rsidRPr="00FA3051">
              <w:rPr>
                <w:rFonts w:asciiTheme="majorHAnsi" w:hAnsiTheme="majorHAnsi" w:cstheme="majorHAnsi"/>
                <w:sz w:val="22"/>
              </w:rPr>
              <w:t>Henne</w:t>
            </w:r>
            <w:r w:rsidRPr="00FA3051">
              <w:rPr>
                <w:rFonts w:asciiTheme="majorHAnsi" w:hAnsiTheme="majorHAnsi" w:cstheme="majorHAnsi"/>
                <w:sz w:val="22"/>
              </w:rPr>
              <w:t xml:space="preserve"> Group</w:t>
            </w:r>
          </w:p>
        </w:tc>
      </w:tr>
      <w:tr w14:paraId="2034EE71" w14:textId="77777777" w:rsidTr="001A42C2">
        <w:tblPrEx>
          <w:tblW w:w="7825" w:type="dxa"/>
          <w:tblInd w:w="720" w:type="dxa"/>
          <w:tblLook w:val="04A0"/>
        </w:tblPrEx>
        <w:trPr>
          <w:cantSplit/>
        </w:trPr>
        <w:tc>
          <w:tcPr>
            <w:tcW w:w="3632" w:type="dxa"/>
            <w:shd w:val="clear" w:color="auto" w:fill="auto"/>
          </w:tcPr>
          <w:p w:rsidR="000C07D0" w:rsidRPr="00FA3051" w:rsidP="00FB72AA" w14:paraId="76011B33" w14:textId="61DBB59C">
            <w:pPr>
              <w:spacing w:before="60" w:after="60"/>
              <w:rPr>
                <w:rFonts w:asciiTheme="majorHAnsi" w:hAnsiTheme="majorHAnsi" w:cstheme="majorHAnsi"/>
                <w:sz w:val="22"/>
              </w:rPr>
            </w:pPr>
            <w:r w:rsidRPr="00FA3051">
              <w:rPr>
                <w:rFonts w:asciiTheme="majorHAnsi" w:hAnsiTheme="majorHAnsi" w:cstheme="majorHAnsi"/>
                <w:sz w:val="22"/>
              </w:rPr>
              <w:t>Sergio Garcia</w:t>
            </w:r>
          </w:p>
        </w:tc>
        <w:tc>
          <w:tcPr>
            <w:tcW w:w="4193" w:type="dxa"/>
            <w:shd w:val="clear" w:color="auto" w:fill="auto"/>
          </w:tcPr>
          <w:p w:rsidR="000C07D0" w:rsidRPr="00FA3051" w:rsidP="00FB72AA" w14:paraId="237D7D19" w14:textId="265BF52B">
            <w:pPr>
              <w:spacing w:before="60" w:after="60"/>
              <w:rPr>
                <w:rFonts w:asciiTheme="majorHAnsi" w:hAnsiTheme="majorHAnsi" w:cstheme="majorHAnsi"/>
                <w:sz w:val="22"/>
              </w:rPr>
            </w:pPr>
            <w:r w:rsidRPr="00FA3051">
              <w:rPr>
                <w:rFonts w:asciiTheme="majorHAnsi" w:hAnsiTheme="majorHAnsi" w:cstheme="majorHAnsi"/>
                <w:sz w:val="22"/>
              </w:rPr>
              <w:t xml:space="preserve">The </w:t>
            </w:r>
            <w:r w:rsidRPr="00FA3051">
              <w:rPr>
                <w:rFonts w:asciiTheme="majorHAnsi" w:hAnsiTheme="majorHAnsi" w:cstheme="majorHAnsi"/>
                <w:sz w:val="22"/>
              </w:rPr>
              <w:t>Henne</w:t>
            </w:r>
            <w:r w:rsidRPr="00FA3051">
              <w:rPr>
                <w:rFonts w:asciiTheme="majorHAnsi" w:hAnsiTheme="majorHAnsi" w:cstheme="majorHAnsi"/>
                <w:sz w:val="22"/>
              </w:rPr>
              <w:t xml:space="preserve"> Group</w:t>
            </w:r>
          </w:p>
        </w:tc>
      </w:tr>
      <w:tr w14:paraId="4E6418D0" w14:textId="77777777" w:rsidTr="001A42C2">
        <w:tblPrEx>
          <w:tblW w:w="7825" w:type="dxa"/>
          <w:tblInd w:w="720" w:type="dxa"/>
          <w:tblLook w:val="04A0"/>
        </w:tblPrEx>
        <w:trPr>
          <w:cantSplit/>
        </w:trPr>
        <w:tc>
          <w:tcPr>
            <w:tcW w:w="3632" w:type="dxa"/>
            <w:shd w:val="clear" w:color="auto" w:fill="auto"/>
          </w:tcPr>
          <w:p w:rsidR="000C07D0" w:rsidRPr="00FA3051" w:rsidP="00FB72AA" w14:paraId="2CB9307E" w14:textId="6347BAD7">
            <w:pPr>
              <w:spacing w:before="60" w:after="60"/>
              <w:rPr>
                <w:rFonts w:asciiTheme="majorHAnsi" w:hAnsiTheme="majorHAnsi" w:cstheme="majorHAnsi"/>
                <w:sz w:val="22"/>
              </w:rPr>
            </w:pPr>
            <w:r w:rsidRPr="00FA3051">
              <w:rPr>
                <w:rFonts w:asciiTheme="majorHAnsi" w:hAnsiTheme="majorHAnsi" w:cstheme="majorHAnsi"/>
                <w:sz w:val="22"/>
              </w:rPr>
              <w:t>Nyree Young</w:t>
            </w:r>
          </w:p>
        </w:tc>
        <w:tc>
          <w:tcPr>
            <w:tcW w:w="4193" w:type="dxa"/>
            <w:shd w:val="clear" w:color="auto" w:fill="auto"/>
          </w:tcPr>
          <w:p w:rsidR="000C07D0" w:rsidRPr="00FA3051" w:rsidP="00FB72AA" w14:paraId="5786186E" w14:textId="75EC7D8E">
            <w:pPr>
              <w:spacing w:before="60" w:after="60"/>
              <w:rPr>
                <w:rFonts w:asciiTheme="majorHAnsi" w:hAnsiTheme="majorHAnsi" w:cstheme="majorHAnsi"/>
                <w:sz w:val="22"/>
              </w:rPr>
            </w:pPr>
            <w:r w:rsidRPr="00FA3051">
              <w:rPr>
                <w:rFonts w:asciiTheme="majorHAnsi" w:hAnsiTheme="majorHAnsi" w:cstheme="majorHAnsi"/>
                <w:sz w:val="22"/>
              </w:rPr>
              <w:t xml:space="preserve">The </w:t>
            </w:r>
            <w:r w:rsidRPr="00FA3051">
              <w:rPr>
                <w:rFonts w:asciiTheme="majorHAnsi" w:hAnsiTheme="majorHAnsi" w:cstheme="majorHAnsi"/>
                <w:sz w:val="22"/>
              </w:rPr>
              <w:t>Henne</w:t>
            </w:r>
            <w:r w:rsidRPr="00FA3051">
              <w:rPr>
                <w:rFonts w:asciiTheme="majorHAnsi" w:hAnsiTheme="majorHAnsi" w:cstheme="majorHAnsi"/>
                <w:sz w:val="22"/>
              </w:rPr>
              <w:t xml:space="preserve"> Group</w:t>
            </w:r>
          </w:p>
        </w:tc>
      </w:tr>
      <w:tr w14:paraId="14F61BDE" w14:textId="77777777" w:rsidTr="001A42C2">
        <w:tblPrEx>
          <w:tblW w:w="7825" w:type="dxa"/>
          <w:tblInd w:w="720" w:type="dxa"/>
          <w:tblLook w:val="04A0"/>
        </w:tblPrEx>
        <w:trPr>
          <w:cantSplit/>
        </w:trPr>
        <w:tc>
          <w:tcPr>
            <w:tcW w:w="3632" w:type="dxa"/>
            <w:shd w:val="clear" w:color="auto" w:fill="auto"/>
          </w:tcPr>
          <w:p w:rsidR="000C07D0" w:rsidRPr="00FA3051" w:rsidP="00FB72AA" w14:paraId="62A58F7F" w14:textId="43E2048D">
            <w:pPr>
              <w:spacing w:before="60" w:after="60"/>
              <w:rPr>
                <w:rFonts w:asciiTheme="majorHAnsi" w:hAnsiTheme="majorHAnsi" w:cstheme="majorHAnsi"/>
                <w:sz w:val="22"/>
              </w:rPr>
            </w:pPr>
            <w:r w:rsidRPr="00FA3051">
              <w:rPr>
                <w:rFonts w:asciiTheme="majorHAnsi" w:hAnsiTheme="majorHAnsi" w:cstheme="majorHAnsi"/>
                <w:sz w:val="22"/>
              </w:rPr>
              <w:t>S</w:t>
            </w:r>
            <w:r w:rsidR="00F37A30">
              <w:rPr>
                <w:rFonts w:asciiTheme="majorHAnsi" w:hAnsiTheme="majorHAnsi" w:cstheme="majorHAnsi"/>
                <w:sz w:val="22"/>
              </w:rPr>
              <w:t>cott</w:t>
            </w:r>
            <w:r w:rsidRPr="00FA3051">
              <w:rPr>
                <w:rFonts w:asciiTheme="majorHAnsi" w:hAnsiTheme="majorHAnsi" w:cstheme="majorHAnsi"/>
                <w:sz w:val="22"/>
              </w:rPr>
              <w:t xml:space="preserve"> Schwartz</w:t>
            </w:r>
          </w:p>
        </w:tc>
        <w:tc>
          <w:tcPr>
            <w:tcW w:w="4193" w:type="dxa"/>
            <w:shd w:val="clear" w:color="auto" w:fill="auto"/>
          </w:tcPr>
          <w:p w:rsidR="000C07D0" w:rsidRPr="00FA3051" w:rsidP="00FB72AA" w14:paraId="047EF127" w14:textId="57C4B0AB">
            <w:pPr>
              <w:spacing w:before="60" w:after="60"/>
              <w:rPr>
                <w:rFonts w:asciiTheme="majorHAnsi" w:hAnsiTheme="majorHAnsi" w:cstheme="majorHAnsi"/>
                <w:sz w:val="22"/>
              </w:rPr>
            </w:pPr>
            <w:r w:rsidRPr="00FA3051">
              <w:rPr>
                <w:rFonts w:asciiTheme="majorHAnsi" w:hAnsiTheme="majorHAnsi" w:cstheme="majorHAnsi"/>
                <w:sz w:val="22"/>
              </w:rPr>
              <w:t xml:space="preserve">The </w:t>
            </w:r>
            <w:r w:rsidRPr="00FA3051">
              <w:rPr>
                <w:rFonts w:asciiTheme="majorHAnsi" w:hAnsiTheme="majorHAnsi" w:cstheme="majorHAnsi"/>
                <w:sz w:val="22"/>
              </w:rPr>
              <w:t>Henne</w:t>
            </w:r>
            <w:r w:rsidRPr="00FA3051">
              <w:rPr>
                <w:rFonts w:asciiTheme="majorHAnsi" w:hAnsiTheme="majorHAnsi" w:cstheme="majorHAnsi"/>
                <w:sz w:val="22"/>
              </w:rPr>
              <w:t xml:space="preserve"> Group</w:t>
            </w:r>
          </w:p>
        </w:tc>
      </w:tr>
      <w:tr w14:paraId="79322CFF" w14:textId="77777777" w:rsidTr="001A42C2">
        <w:tblPrEx>
          <w:tblW w:w="7825" w:type="dxa"/>
          <w:tblInd w:w="720" w:type="dxa"/>
          <w:tblLook w:val="04A0"/>
        </w:tblPrEx>
        <w:trPr>
          <w:cantSplit/>
        </w:trPr>
        <w:tc>
          <w:tcPr>
            <w:tcW w:w="3632" w:type="dxa"/>
            <w:shd w:val="clear" w:color="auto" w:fill="auto"/>
          </w:tcPr>
          <w:p w:rsidR="006A6064" w:rsidRPr="00FA3051" w:rsidP="00FB72AA" w14:paraId="483AC3E1" w14:textId="7AAC14F3">
            <w:pPr>
              <w:spacing w:before="60" w:after="60"/>
              <w:rPr>
                <w:rFonts w:asciiTheme="majorHAnsi" w:hAnsiTheme="majorHAnsi" w:cstheme="majorHAnsi"/>
                <w:sz w:val="22"/>
              </w:rPr>
            </w:pPr>
            <w:r w:rsidRPr="0036046D">
              <w:rPr>
                <w:rFonts w:asciiTheme="majorHAnsi" w:hAnsiTheme="majorHAnsi" w:cstheme="majorHAnsi"/>
                <w:sz w:val="22"/>
              </w:rPr>
              <w:t xml:space="preserve">Key </w:t>
            </w:r>
            <w:r w:rsidRPr="0036046D">
              <w:rPr>
                <w:rFonts w:asciiTheme="majorHAnsi" w:hAnsiTheme="majorHAnsi" w:cstheme="majorHAnsi"/>
                <w:sz w:val="22"/>
              </w:rPr>
              <w:t>Sibby</w:t>
            </w:r>
          </w:p>
        </w:tc>
        <w:tc>
          <w:tcPr>
            <w:tcW w:w="4193" w:type="dxa"/>
            <w:shd w:val="clear" w:color="auto" w:fill="auto"/>
          </w:tcPr>
          <w:p w:rsidR="006A6064" w:rsidRPr="00FA3051" w:rsidP="00FB72AA" w14:paraId="1179655C" w14:textId="31F281E9">
            <w:pPr>
              <w:spacing w:before="60" w:after="60"/>
              <w:rPr>
                <w:rFonts w:asciiTheme="majorHAnsi" w:hAnsiTheme="majorHAnsi" w:cstheme="majorHAnsi"/>
                <w:sz w:val="22"/>
              </w:rPr>
            </w:pPr>
            <w:r w:rsidRPr="00FA3051">
              <w:rPr>
                <w:rFonts w:asciiTheme="majorHAnsi" w:hAnsiTheme="majorHAnsi" w:cstheme="majorHAnsi"/>
                <w:sz w:val="22"/>
              </w:rPr>
              <w:t xml:space="preserve">The </w:t>
            </w:r>
            <w:r w:rsidRPr="00FA3051">
              <w:rPr>
                <w:rFonts w:asciiTheme="majorHAnsi" w:hAnsiTheme="majorHAnsi" w:cstheme="majorHAnsi"/>
                <w:sz w:val="22"/>
              </w:rPr>
              <w:t>Henne</w:t>
            </w:r>
            <w:r w:rsidRPr="00FA3051">
              <w:rPr>
                <w:rFonts w:asciiTheme="majorHAnsi" w:hAnsiTheme="majorHAnsi" w:cstheme="majorHAnsi"/>
                <w:sz w:val="22"/>
              </w:rPr>
              <w:t xml:space="preserve"> Group</w:t>
            </w:r>
          </w:p>
        </w:tc>
      </w:tr>
    </w:tbl>
    <w:p w:rsidR="0005704C" w:rsidRPr="00FA3051" w:rsidP="00F45902" w14:paraId="432B6742" w14:textId="41168130">
      <w:pPr>
        <w:keepNext/>
        <w:spacing w:before="120" w:after="120"/>
      </w:pPr>
      <w:r w:rsidRPr="00FA3051">
        <w:fldChar w:fldCharType="begin"/>
      </w:r>
      <w:r w:rsidRPr="00FA3051">
        <w:instrText xml:space="preserve"> REF _Ref59705214 \h </w:instrText>
      </w:r>
      <w:r w:rsidR="00FA3051">
        <w:instrText xml:space="preserve"> \* MERGEFORMAT </w:instrText>
      </w:r>
      <w:r w:rsidRPr="00FA3051">
        <w:fldChar w:fldCharType="separate"/>
      </w:r>
      <w:r w:rsidRPr="00F1448C" w:rsidR="00E0032D">
        <w:t xml:space="preserve">Table </w:t>
      </w:r>
      <w:r w:rsidR="00E0032D">
        <w:rPr>
          <w:noProof/>
        </w:rPr>
        <w:t>5</w:t>
      </w:r>
      <w:r w:rsidRPr="00FA3051">
        <w:fldChar w:fldCharType="end"/>
      </w:r>
      <w:r w:rsidRPr="00FA3051">
        <w:t xml:space="preserve"> </w:t>
      </w:r>
      <w:r w:rsidRPr="00FA3051">
        <w:t>shows the name</w:t>
      </w:r>
      <w:r w:rsidR="0019787E">
        <w:t>s</w:t>
      </w:r>
      <w:r w:rsidRPr="00FA3051">
        <w:t xml:space="preserve"> of </w:t>
      </w:r>
      <w:r w:rsidRPr="00FA3051">
        <w:t xml:space="preserve">the </w:t>
      </w:r>
      <w:r w:rsidRPr="00FA3051">
        <w:t xml:space="preserve">CMS staff </w:t>
      </w:r>
      <w:r w:rsidRPr="00FA3051">
        <w:t>member</w:t>
      </w:r>
      <w:r w:rsidR="00102067">
        <w:t>s</w:t>
      </w:r>
      <w:r w:rsidRPr="00FA3051">
        <w:t xml:space="preserve"> </w:t>
      </w:r>
      <w:r w:rsidRPr="00FA3051">
        <w:t xml:space="preserve">who advised on </w:t>
      </w:r>
      <w:r w:rsidRPr="00FA3051">
        <w:t xml:space="preserve">the </w:t>
      </w:r>
      <w:r w:rsidRPr="00FA3051">
        <w:t>survey design.</w:t>
      </w:r>
    </w:p>
    <w:p w:rsidR="0005704C" w:rsidRPr="00546A51" w:rsidP="001B320A" w14:paraId="7325169B" w14:textId="3A025472">
      <w:pPr>
        <w:pStyle w:val="Caption"/>
        <w:rPr>
          <w:b w:val="0"/>
        </w:rPr>
      </w:pPr>
      <w:bookmarkStart w:id="49" w:name="_Ref59705214"/>
      <w:r w:rsidRPr="00F1448C">
        <w:rPr>
          <w:b w:val="0"/>
        </w:rPr>
        <w:t xml:space="preserve">Table </w:t>
      </w:r>
      <w:r w:rsidRPr="00F1448C">
        <w:rPr>
          <w:b w:val="0"/>
        </w:rPr>
        <w:fldChar w:fldCharType="begin"/>
      </w:r>
      <w:r>
        <w:instrText>SEQ Table \* ARABIC</w:instrText>
      </w:r>
      <w:r w:rsidRPr="00F1448C">
        <w:rPr>
          <w:b w:val="0"/>
        </w:rPr>
        <w:fldChar w:fldCharType="separate"/>
      </w:r>
      <w:r w:rsidR="00E0032D">
        <w:rPr>
          <w:noProof/>
        </w:rPr>
        <w:t>5</w:t>
      </w:r>
      <w:r w:rsidRPr="00F1448C">
        <w:rPr>
          <w:b w:val="0"/>
        </w:rPr>
        <w:fldChar w:fldCharType="end"/>
      </w:r>
      <w:bookmarkEnd w:id="49"/>
      <w:r w:rsidRPr="00F1448C">
        <w:rPr>
          <w:b w:val="0"/>
        </w:rPr>
        <w:t xml:space="preserve">: CMS Staff </w:t>
      </w:r>
      <w:r w:rsidRPr="00F1448C">
        <w:rPr>
          <w:b w:val="0"/>
          <w:bCs/>
        </w:rPr>
        <w:t>Member</w:t>
      </w:r>
      <w:r w:rsidRPr="00F1448C">
        <w:rPr>
          <w:b w:val="0"/>
        </w:rPr>
        <w:t xml:space="preserve"> Who Advised on Survey Design</w:t>
      </w:r>
    </w:p>
    <w:tbl>
      <w:tblPr>
        <w:tblW w:w="782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74"/>
        <w:gridCol w:w="4151"/>
      </w:tblGrid>
      <w:tr w14:paraId="6CA00E5A" w14:textId="77777777" w:rsidTr="00E0032D">
        <w:tblPrEx>
          <w:tblW w:w="782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373"/>
          <w:tblHeader/>
        </w:trPr>
        <w:tc>
          <w:tcPr>
            <w:tcW w:w="3674" w:type="dxa"/>
            <w:shd w:val="clear" w:color="auto" w:fill="D0CECE" w:themeFill="background2" w:themeFillShade="E6"/>
            <w:vAlign w:val="center"/>
            <w:hideMark/>
          </w:tcPr>
          <w:p w:rsidR="0005704C" w:rsidRPr="00E0032D" w:rsidP="00E0032D" w14:paraId="70E12B05" w14:textId="77777777">
            <w:pPr>
              <w:keepNext/>
              <w:spacing w:before="60" w:after="60"/>
              <w:rPr>
                <w:b/>
                <w:bCs/>
                <w:sz w:val="22"/>
              </w:rPr>
            </w:pPr>
            <w:r w:rsidRPr="00E0032D">
              <w:rPr>
                <w:b/>
                <w:bCs/>
                <w:sz w:val="22"/>
              </w:rPr>
              <w:t>Name</w:t>
            </w:r>
          </w:p>
        </w:tc>
        <w:tc>
          <w:tcPr>
            <w:tcW w:w="4151" w:type="dxa"/>
            <w:shd w:val="clear" w:color="auto" w:fill="D0CECE" w:themeFill="background2" w:themeFillShade="E6"/>
            <w:vAlign w:val="center"/>
            <w:hideMark/>
          </w:tcPr>
          <w:p w:rsidR="0005704C" w:rsidRPr="00E0032D" w:rsidP="00E0032D" w14:paraId="093C629E" w14:textId="77777777">
            <w:pPr>
              <w:keepNext/>
              <w:spacing w:before="60" w:after="60"/>
              <w:rPr>
                <w:b/>
                <w:bCs/>
                <w:sz w:val="22"/>
              </w:rPr>
            </w:pPr>
            <w:r w:rsidRPr="00E0032D">
              <w:rPr>
                <w:b/>
                <w:bCs/>
                <w:sz w:val="22"/>
              </w:rPr>
              <w:t>Affiliation</w:t>
            </w:r>
          </w:p>
        </w:tc>
      </w:tr>
      <w:tr w14:paraId="11735670" w14:textId="77777777" w:rsidTr="00E0032D">
        <w:tblPrEx>
          <w:tblW w:w="7825" w:type="dxa"/>
          <w:tblInd w:w="720" w:type="dxa"/>
          <w:tblLook w:val="04A0"/>
        </w:tblPrEx>
        <w:trPr>
          <w:cantSplit/>
          <w:trHeight w:val="373"/>
        </w:trPr>
        <w:tc>
          <w:tcPr>
            <w:tcW w:w="3674" w:type="dxa"/>
            <w:shd w:val="clear" w:color="auto" w:fill="auto"/>
            <w:vAlign w:val="center"/>
          </w:tcPr>
          <w:p w:rsidR="0005704C" w:rsidRPr="00FA3051" w:rsidP="00E0032D" w14:paraId="5353936C" w14:textId="53F452F9">
            <w:pPr>
              <w:keepNext/>
              <w:spacing w:before="60" w:after="60"/>
              <w:rPr>
                <w:sz w:val="22"/>
              </w:rPr>
            </w:pPr>
            <w:r w:rsidRPr="1751C6A1">
              <w:rPr>
                <w:sz w:val="22"/>
              </w:rPr>
              <w:t>Nancy Sonnenfeld, PhD</w:t>
            </w:r>
          </w:p>
        </w:tc>
        <w:tc>
          <w:tcPr>
            <w:tcW w:w="4151" w:type="dxa"/>
            <w:shd w:val="clear" w:color="auto" w:fill="auto"/>
            <w:vAlign w:val="center"/>
          </w:tcPr>
          <w:p w:rsidR="0005704C" w:rsidRPr="00FA3051" w:rsidP="00E0032D" w14:paraId="484B7279" w14:textId="77777777">
            <w:pPr>
              <w:keepNext/>
              <w:spacing w:before="60" w:after="60"/>
              <w:rPr>
                <w:sz w:val="22"/>
              </w:rPr>
            </w:pPr>
            <w:r w:rsidRPr="00FA3051">
              <w:rPr>
                <w:sz w:val="22"/>
              </w:rPr>
              <w:t>Center for</w:t>
            </w:r>
            <w:r w:rsidRPr="00FA3051">
              <w:rPr>
                <w:sz w:val="22"/>
              </w:rPr>
              <w:t xml:space="preserve"> Clinical Standards and Quality</w:t>
            </w:r>
          </w:p>
        </w:tc>
      </w:tr>
      <w:tr w14:paraId="7C3B4C6C" w14:textId="77777777" w:rsidTr="00E0032D">
        <w:tblPrEx>
          <w:tblW w:w="7825" w:type="dxa"/>
          <w:tblInd w:w="720" w:type="dxa"/>
          <w:tblLook w:val="04A0"/>
        </w:tblPrEx>
        <w:trPr>
          <w:cantSplit/>
          <w:trHeight w:val="373"/>
        </w:trPr>
        <w:tc>
          <w:tcPr>
            <w:tcW w:w="3674" w:type="dxa"/>
            <w:shd w:val="clear" w:color="auto" w:fill="auto"/>
            <w:vAlign w:val="center"/>
          </w:tcPr>
          <w:p w:rsidR="00277049" w:rsidRPr="00FA3051" w:rsidP="00E0032D" w14:paraId="405B15E8" w14:textId="14577B34">
            <w:pPr>
              <w:keepNext/>
              <w:spacing w:before="60" w:after="60"/>
              <w:rPr>
                <w:sz w:val="22"/>
              </w:rPr>
            </w:pPr>
            <w:r>
              <w:rPr>
                <w:sz w:val="22"/>
              </w:rPr>
              <w:t>Kurt Herzer, MD, PhD</w:t>
            </w:r>
          </w:p>
        </w:tc>
        <w:tc>
          <w:tcPr>
            <w:tcW w:w="4151" w:type="dxa"/>
            <w:shd w:val="clear" w:color="auto" w:fill="auto"/>
            <w:vAlign w:val="center"/>
          </w:tcPr>
          <w:p w:rsidR="00277049" w:rsidRPr="00FA3051" w:rsidP="00E0032D" w14:paraId="01643469" w14:textId="001650BB">
            <w:pPr>
              <w:keepNext/>
              <w:spacing w:before="60" w:after="60"/>
              <w:rPr>
                <w:sz w:val="22"/>
              </w:rPr>
            </w:pPr>
            <w:r w:rsidRPr="00FA3051">
              <w:rPr>
                <w:sz w:val="22"/>
              </w:rPr>
              <w:t>Center for Clinical Standards and Quality</w:t>
            </w:r>
          </w:p>
        </w:tc>
      </w:tr>
      <w:tr w14:paraId="2C525933" w14:textId="77777777" w:rsidTr="00E0032D">
        <w:tblPrEx>
          <w:tblW w:w="7825" w:type="dxa"/>
          <w:tblInd w:w="720" w:type="dxa"/>
          <w:tblLook w:val="04A0"/>
        </w:tblPrEx>
        <w:trPr>
          <w:cantSplit/>
          <w:trHeight w:val="373"/>
        </w:trPr>
        <w:tc>
          <w:tcPr>
            <w:tcW w:w="3674" w:type="dxa"/>
            <w:shd w:val="clear" w:color="auto" w:fill="auto"/>
            <w:vAlign w:val="center"/>
          </w:tcPr>
          <w:p w:rsidR="00C70F7B" w:rsidP="00E0032D" w14:paraId="76DCEF19" w14:textId="46FFB3B2">
            <w:pPr>
              <w:keepNext/>
              <w:spacing w:before="60" w:after="60"/>
              <w:rPr>
                <w:sz w:val="22"/>
              </w:rPr>
            </w:pPr>
            <w:r>
              <w:rPr>
                <w:sz w:val="22"/>
              </w:rPr>
              <w:t>Geoffrey Berryman</w:t>
            </w:r>
          </w:p>
        </w:tc>
        <w:tc>
          <w:tcPr>
            <w:tcW w:w="4151" w:type="dxa"/>
            <w:shd w:val="clear" w:color="auto" w:fill="auto"/>
            <w:vAlign w:val="center"/>
          </w:tcPr>
          <w:p w:rsidR="00C70F7B" w:rsidRPr="00FA3051" w:rsidP="00E0032D" w14:paraId="14CD8ACB" w14:textId="443A0301">
            <w:pPr>
              <w:keepNext/>
              <w:spacing w:before="60" w:after="60"/>
              <w:rPr>
                <w:sz w:val="22"/>
              </w:rPr>
            </w:pPr>
            <w:r w:rsidRPr="00FA3051">
              <w:rPr>
                <w:sz w:val="22"/>
              </w:rPr>
              <w:t>Center for Clinical Standards and Quality</w:t>
            </w:r>
          </w:p>
        </w:tc>
      </w:tr>
      <w:tr w14:paraId="509B5B2C" w14:textId="77777777" w:rsidTr="00E0032D">
        <w:tblPrEx>
          <w:tblW w:w="7825" w:type="dxa"/>
          <w:tblInd w:w="720" w:type="dxa"/>
          <w:tblLook w:val="04A0"/>
        </w:tblPrEx>
        <w:trPr>
          <w:cantSplit/>
          <w:trHeight w:val="373"/>
        </w:trPr>
        <w:tc>
          <w:tcPr>
            <w:tcW w:w="3674" w:type="dxa"/>
            <w:shd w:val="clear" w:color="auto" w:fill="auto"/>
            <w:vAlign w:val="center"/>
          </w:tcPr>
          <w:p w:rsidR="005022B1" w:rsidP="00E0032D" w14:paraId="7DDECA13" w14:textId="184B94AB">
            <w:pPr>
              <w:keepNext/>
              <w:spacing w:before="60" w:after="60"/>
              <w:rPr>
                <w:sz w:val="22"/>
              </w:rPr>
            </w:pPr>
            <w:r>
              <w:rPr>
                <w:sz w:val="22"/>
              </w:rPr>
              <w:t xml:space="preserve">Jeff </w:t>
            </w:r>
            <w:r>
              <w:rPr>
                <w:sz w:val="22"/>
              </w:rPr>
              <w:t>Mokry</w:t>
            </w:r>
          </w:p>
        </w:tc>
        <w:tc>
          <w:tcPr>
            <w:tcW w:w="4151" w:type="dxa"/>
            <w:shd w:val="clear" w:color="auto" w:fill="auto"/>
            <w:vAlign w:val="center"/>
          </w:tcPr>
          <w:p w:rsidR="005022B1" w:rsidRPr="00FA3051" w:rsidP="00E0032D" w14:paraId="66FB4538" w14:textId="0092035A">
            <w:pPr>
              <w:keepNext/>
              <w:spacing w:before="60" w:after="60"/>
              <w:rPr>
                <w:sz w:val="22"/>
              </w:rPr>
            </w:pPr>
            <w:r w:rsidRPr="00FA3051">
              <w:rPr>
                <w:sz w:val="22"/>
              </w:rPr>
              <w:t>Center for Clinical Standards and Quality</w:t>
            </w:r>
          </w:p>
        </w:tc>
      </w:tr>
      <w:tr w14:paraId="05030696" w14:textId="77777777" w:rsidTr="00E0032D">
        <w:tblPrEx>
          <w:tblW w:w="7825" w:type="dxa"/>
          <w:tblInd w:w="720" w:type="dxa"/>
          <w:tblLook w:val="04A0"/>
        </w:tblPrEx>
        <w:trPr>
          <w:cantSplit/>
          <w:trHeight w:val="373"/>
        </w:trPr>
        <w:tc>
          <w:tcPr>
            <w:tcW w:w="3674" w:type="dxa"/>
            <w:shd w:val="clear" w:color="auto" w:fill="auto"/>
            <w:vAlign w:val="center"/>
          </w:tcPr>
          <w:p w:rsidR="00255D0E" w:rsidP="00E0032D" w14:paraId="100C5BB6" w14:textId="75736D7B">
            <w:pPr>
              <w:keepNext/>
              <w:spacing w:before="60" w:after="60"/>
              <w:rPr>
                <w:sz w:val="22"/>
              </w:rPr>
            </w:pPr>
            <w:r w:rsidRPr="008501C4">
              <w:rPr>
                <w:sz w:val="22"/>
              </w:rPr>
              <w:t>Girlyn</w:t>
            </w:r>
            <w:r w:rsidRPr="008501C4">
              <w:rPr>
                <w:sz w:val="22"/>
              </w:rPr>
              <w:t xml:space="preserve"> A. </w:t>
            </w:r>
            <w:r w:rsidRPr="008501C4">
              <w:rPr>
                <w:sz w:val="22"/>
              </w:rPr>
              <w:t>Cachaper</w:t>
            </w:r>
          </w:p>
        </w:tc>
        <w:tc>
          <w:tcPr>
            <w:tcW w:w="4151" w:type="dxa"/>
            <w:shd w:val="clear" w:color="auto" w:fill="auto"/>
            <w:vAlign w:val="center"/>
          </w:tcPr>
          <w:p w:rsidR="00255D0E" w:rsidRPr="00FA3051" w:rsidP="00E0032D" w14:paraId="4527054C" w14:textId="39F97B9D">
            <w:pPr>
              <w:keepNext/>
              <w:spacing w:before="60" w:after="60"/>
              <w:rPr>
                <w:sz w:val="22"/>
              </w:rPr>
            </w:pPr>
            <w:r w:rsidRPr="00FA3051">
              <w:rPr>
                <w:sz w:val="22"/>
              </w:rPr>
              <w:t>Center for Clinical Standards and Quality</w:t>
            </w:r>
          </w:p>
        </w:tc>
      </w:tr>
      <w:tr w14:paraId="2E91F197" w14:textId="77777777" w:rsidTr="00E0032D">
        <w:tblPrEx>
          <w:tblW w:w="7825" w:type="dxa"/>
          <w:tblInd w:w="720" w:type="dxa"/>
          <w:tblLook w:val="04A0"/>
        </w:tblPrEx>
        <w:trPr>
          <w:cantSplit/>
          <w:trHeight w:val="373"/>
        </w:trPr>
        <w:tc>
          <w:tcPr>
            <w:tcW w:w="3674" w:type="dxa"/>
            <w:shd w:val="clear" w:color="auto" w:fill="auto"/>
            <w:vAlign w:val="center"/>
          </w:tcPr>
          <w:p w:rsidR="38B4818D" w:rsidP="00E0032D" w14:paraId="23F56EF5" w14:textId="4DB05DB8">
            <w:r w:rsidRPr="00FA6B9A">
              <w:rPr>
                <w:sz w:val="22"/>
              </w:rPr>
              <w:t>Ian Craig</w:t>
            </w:r>
          </w:p>
        </w:tc>
        <w:tc>
          <w:tcPr>
            <w:tcW w:w="4151" w:type="dxa"/>
            <w:shd w:val="clear" w:color="auto" w:fill="auto"/>
            <w:vAlign w:val="center"/>
          </w:tcPr>
          <w:p w:rsidR="443464AB" w:rsidP="00E0032D" w14:paraId="289431C4" w14:textId="3DB0D3F7">
            <w:r w:rsidRPr="00FA3051">
              <w:rPr>
                <w:sz w:val="22"/>
              </w:rPr>
              <w:t>Center for Clinical Standards and Quality</w:t>
            </w:r>
          </w:p>
        </w:tc>
      </w:tr>
    </w:tbl>
    <w:p w:rsidR="00A87CDD" w:rsidRPr="00FA3051" w:rsidP="0005704C" w14:paraId="10C7CF4C" w14:textId="77777777"/>
    <w:sectPr>
      <w:headerReference w:type="even" r:id="rId9"/>
      <w:footerReference w:type="default" r:id="rId10"/>
      <w:headerReference w:type="firs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63FB8" w:rsidP="00A87CDD" w14:paraId="67265E75" w14:textId="59F857CC">
    <w:pPr>
      <w:pStyle w:val="Header"/>
      <w:jc w:val="center"/>
    </w:pPr>
    <w:r>
      <w:fldChar w:fldCharType="begin"/>
    </w:r>
    <w:r>
      <w:instrText xml:space="preserve"> PAGE   \* MERGEFORMAT </w:instrText>
    </w:r>
    <w:r>
      <w:fldChar w:fldCharType="separate"/>
    </w:r>
    <w:r w:rsidR="007B5109">
      <w:rPr>
        <w:noProof/>
      </w:rPr>
      <w:t>7</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777D4" w:rsidP="00A87CDD" w14:paraId="55F8BC13" w14:textId="77777777">
      <w:r>
        <w:separator/>
      </w:r>
    </w:p>
  </w:footnote>
  <w:footnote w:type="continuationSeparator" w:id="1">
    <w:p w:rsidR="005777D4" w:rsidP="00A87CDD" w14:paraId="2DEFF336" w14:textId="77777777">
      <w:r>
        <w:continuationSeparator/>
      </w:r>
    </w:p>
  </w:footnote>
  <w:footnote w:type="continuationNotice" w:id="2">
    <w:p w:rsidR="005777D4" w14:paraId="0F67138C" w14:textId="77777777"/>
  </w:footnote>
  <w:footnote w:id="3">
    <w:p w:rsidR="003F3610" w:rsidP="003F3610" w14:paraId="44B28066" w14:textId="77777777">
      <w:pPr>
        <w:pStyle w:val="FootnoteText"/>
      </w:pPr>
      <w:r>
        <w:rPr>
          <w:rStyle w:val="FootnoteReference"/>
        </w:rPr>
        <w:footnoteRef/>
      </w:r>
      <w:r>
        <w:t xml:space="preserve"> CMS Medicare Physician &amp; Other Practitioners by Provider and Service accessed December 2, 2021 at </w:t>
      </w:r>
      <w:hyperlink r:id="rId1" w:history="1">
        <w:r w:rsidRPr="0017161E">
          <w:rPr>
            <w:rStyle w:val="Hyperlink"/>
          </w:rPr>
          <w:t>https://data.cms.gov/provider-summary-by-type-of-service/medicare-physician-other-practitioners/medicare-physician-other-practitioners-by-provider-and-service</w:t>
        </w:r>
      </w:hyperlink>
      <w:r>
        <w:t xml:space="preserve"> </w:t>
      </w:r>
    </w:p>
  </w:footnote>
  <w:footnote w:id="4">
    <w:p w:rsidR="3CD94EF3" w:rsidP="005E3B7D" w14:paraId="67794868" w14:textId="780DAB6F">
      <w:pPr>
        <w:pStyle w:val="FootnoteText"/>
        <w:rPr>
          <w:rStyle w:val="FootnoteReference"/>
        </w:rPr>
      </w:pPr>
      <w:r w:rsidRPr="00905557">
        <w:rPr>
          <w:rStyle w:val="FootnoteReference"/>
          <w:vertAlign w:val="superscript"/>
        </w:rPr>
        <w:footnoteRef/>
      </w:r>
      <w:r w:rsidRPr="3CD94EF3">
        <w:t xml:space="preserve"> </w:t>
      </w:r>
      <w:r w:rsidRPr="3CD94EF3">
        <w:rPr>
          <w:rStyle w:val="FootnoteReference"/>
        </w:rPr>
        <w:t>Because early encounters include administrative tasks and needs assessments program administrators have indicated that, programmatically, the threshold should be 1-2 hours before they would expect any benefit from the program to</w:t>
      </w:r>
      <w:r w:rsidRPr="3CD94EF3" w:rsidR="00390988">
        <w:rPr>
          <w:rStyle w:val="FootnoteReference"/>
        </w:rPr>
        <w:t xml:space="preserve"> be realized</w:t>
      </w:r>
      <w:r w:rsidRPr="3CD94EF3">
        <w:rPr>
          <w:rStyle w:val="FootnoteReference"/>
        </w:rPr>
        <w:t xml:space="preserve">. </w:t>
      </w:r>
    </w:p>
  </w:footnote>
  <w:footnote w:id="5">
    <w:p w:rsidR="002825EC" w14:paraId="2F3776B0" w14:textId="5283ADC6">
      <w:pPr>
        <w:pStyle w:val="FootnoteText"/>
      </w:pPr>
      <w:r w:rsidRPr="00794F35">
        <w:rPr>
          <w:rStyle w:val="FootnoteReference"/>
          <w:vertAlign w:val="superscript"/>
        </w:rPr>
        <w:footnoteRef/>
      </w:r>
      <w:r>
        <w:t xml:space="preserve"> </w:t>
      </w:r>
      <w:r w:rsidRPr="00794F35">
        <w:rPr>
          <w:rFonts w:asciiTheme="minorHAnsi" w:hAnsiTheme="minorHAnsi" w:cstheme="minorHAnsi"/>
          <w:color w:val="303030"/>
          <w:shd w:val="clear" w:color="auto" w:fill="FFFFFF"/>
        </w:rPr>
        <w:t>Dykema J, Stevenson J, Day B, Sellers SL, Bonham VL. Effects of incentives and prenotification on response rates and costs in a national web survey of physicians. </w:t>
      </w:r>
      <w:r w:rsidRPr="00794F35">
        <w:rPr>
          <w:rFonts w:asciiTheme="minorHAnsi" w:hAnsiTheme="minorHAnsi" w:cstheme="minorHAnsi"/>
          <w:i/>
          <w:color w:val="303030"/>
          <w:shd w:val="clear" w:color="auto" w:fill="FFFFFF"/>
        </w:rPr>
        <w:t>Eval Health Prof</w:t>
      </w:r>
      <w:r w:rsidRPr="00794F35">
        <w:rPr>
          <w:rFonts w:asciiTheme="minorHAnsi" w:hAnsiTheme="minorHAnsi" w:cstheme="minorHAnsi"/>
          <w:color w:val="303030"/>
          <w:shd w:val="clear" w:color="auto" w:fill="FFFFFF"/>
        </w:rPr>
        <w:t>. 2011;34(4):434-447. doi:10.1177/0163278711406113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10816" w14:paraId="152A1CC2" w14:textId="7EAB6AC3">
    <w:pPr>
      <w:pStyle w:val="Header"/>
    </w:pPr>
    <w:r>
      <w:rPr>
        <w:noProof/>
      </w:rPr>
      <mc:AlternateContent>
        <mc:Choice Requires="wps">
          <w:drawing>
            <wp:anchor distT="0" distB="0" distL="0" distR="0" simplePos="0" relativeHeight="251658240" behindDoc="0" locked="0" layoutInCell="1" allowOverlap="1">
              <wp:simplePos x="0" y="0"/>
              <wp:positionH relativeFrom="page">
                <wp:align>right</wp:align>
              </wp:positionH>
              <wp:positionV relativeFrom="page">
                <wp:align>top</wp:align>
              </wp:positionV>
              <wp:extent cx="443865" cy="443865"/>
              <wp:effectExtent l="0" t="0" r="0" b="10160"/>
              <wp:wrapNone/>
              <wp:docPr id="2" name="Text Box 2" descr="Booz Allen Hamilton Internal">
                <a:extLst xmlns:a="http://schemas.openxmlformats.org/drawingml/2006/main">
                  <a:ext xmlns:a="http://schemas.openxmlformats.org/drawingml/2006/main"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443865" cy="443865"/>
                      </a:xfrm>
                      <a:prstGeom prst="rect">
                        <a:avLst/>
                      </a:prstGeom>
                      <a:noFill/>
                      <a:ln>
                        <a:noFill/>
                      </a:ln>
                    </wps:spPr>
                    <wps:txbx>
                      <w:txbxContent>
                        <w:p w:rsidR="00110816" w:rsidRPr="00110816" w:rsidP="00110816" w14:textId="50E6CB1B">
                          <w:pPr>
                            <w:rPr>
                              <w:rFonts w:ascii="Calibri" w:eastAsia="Calibri" w:hAnsi="Calibri" w:cs="Calibri"/>
                              <w:noProof/>
                              <w:color w:val="000000"/>
                              <w:sz w:val="20"/>
                              <w:szCs w:val="20"/>
                            </w:rPr>
                          </w:pPr>
                          <w:r w:rsidRPr="00110816">
                            <w:rPr>
                              <w:rFonts w:ascii="Calibri" w:eastAsia="Calibri" w:hAnsi="Calibri" w:cs="Calibri"/>
                              <w:noProof/>
                              <w:color w:val="000000"/>
                              <w:sz w:val="20"/>
                              <w:szCs w:val="20"/>
                            </w:rPr>
                            <w:t>Booz Allen Hamilton 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alt="Booz Allen Hamilton Internal" style="width:34.95pt;height:34.95pt;margin-top:0;margin-left:-16.25pt;mso-position-horizontal:right;mso-position-horizontal-relative:page;mso-position-vertical:top;mso-position-vertical-relative:page;mso-wrap-distance-bottom:0;mso-wrap-distance-left:0;mso-wrap-distance-right:0;mso-wrap-distance-top:0;mso-wrap-style:none;position:absolute;visibility:visible;v-text-anchor:top;z-index:251659264" filled="f" stroked="f">
              <v:textbox style="mso-fit-shape-to-text:t" inset="0,15pt,20pt,0">
                <w:txbxContent>
                  <w:p w:rsidR="00110816" w:rsidRPr="00110816" w:rsidP="00110816" w14:paraId="472AD2D3" w14:textId="50E6CB1B">
                    <w:pPr>
                      <w:rPr>
                        <w:rFonts w:ascii="Calibri" w:eastAsia="Calibri" w:hAnsi="Calibri" w:cs="Calibri"/>
                        <w:noProof/>
                        <w:color w:val="000000"/>
                        <w:sz w:val="20"/>
                        <w:szCs w:val="20"/>
                      </w:rPr>
                    </w:pPr>
                    <w:r w:rsidRPr="00110816">
                      <w:rPr>
                        <w:rFonts w:ascii="Calibri" w:eastAsia="Calibri" w:hAnsi="Calibri" w:cs="Calibri"/>
                        <w:noProof/>
                        <w:color w:val="000000"/>
                        <w:sz w:val="20"/>
                        <w:szCs w:val="20"/>
                      </w:rPr>
                      <w:t>Booz Allen Hamilton Internal</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10816" w14:paraId="0709FE10" w14:textId="67B6A1ED">
    <w:pPr>
      <w:pStyle w:val="Header"/>
    </w:pPr>
    <w:r>
      <w:rPr>
        <w:noProof/>
      </w:rPr>
      <mc:AlternateContent>
        <mc:Choice Requires="wps">
          <w:drawing>
            <wp:anchor distT="0" distB="0" distL="0" distR="0" simplePos="0" relativeHeight="251660288" behindDoc="0" locked="0" layoutInCell="1" allowOverlap="1">
              <wp:simplePos x="0" y="0"/>
              <wp:positionH relativeFrom="page">
                <wp:align>right</wp:align>
              </wp:positionH>
              <wp:positionV relativeFrom="page">
                <wp:align>top</wp:align>
              </wp:positionV>
              <wp:extent cx="443865" cy="443865"/>
              <wp:effectExtent l="0" t="0" r="0" b="10160"/>
              <wp:wrapNone/>
              <wp:docPr id="1" name="Text Box 1" descr="Booz Allen Hamilton Internal">
                <a:extLst xmlns:a="http://schemas.openxmlformats.org/drawingml/2006/main">
                  <a:ext xmlns:a="http://schemas.openxmlformats.org/drawingml/2006/main"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443865" cy="443865"/>
                      </a:xfrm>
                      <a:prstGeom prst="rect">
                        <a:avLst/>
                      </a:prstGeom>
                      <a:noFill/>
                      <a:ln>
                        <a:noFill/>
                      </a:ln>
                    </wps:spPr>
                    <wps:txbx>
                      <w:txbxContent>
                        <w:p w:rsidR="00110816" w:rsidRPr="00110816" w:rsidP="00110816" w14:textId="1271F7DA">
                          <w:pPr>
                            <w:rPr>
                              <w:rFonts w:ascii="Calibri" w:eastAsia="Calibri" w:hAnsi="Calibri" w:cs="Calibri"/>
                              <w:noProof/>
                              <w:color w:val="000000"/>
                              <w:sz w:val="20"/>
                              <w:szCs w:val="20"/>
                            </w:rPr>
                          </w:pPr>
                          <w:r w:rsidRPr="00110816">
                            <w:rPr>
                              <w:rFonts w:ascii="Calibri" w:eastAsia="Calibri" w:hAnsi="Calibri" w:cs="Calibri"/>
                              <w:noProof/>
                              <w:color w:val="000000"/>
                              <w:sz w:val="20"/>
                              <w:szCs w:val="20"/>
                            </w:rPr>
                            <w:t>Booz Allen Hamilton 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0" type="#_x0000_t202" alt="Booz Allen Hamilton Internal" style="width:34.95pt;height:34.95pt;margin-top:0;margin-left:-16.25pt;mso-position-horizontal:right;mso-position-horizontal-relative:page;mso-position-vertical:top;mso-position-vertical-relative:page;mso-wrap-distance-bottom:0;mso-wrap-distance-left:0;mso-wrap-distance-right:0;mso-wrap-distance-top:0;mso-wrap-style:none;position:absolute;visibility:visible;v-text-anchor:top;z-index:251661312" filled="f" stroked="f">
              <v:textbox style="mso-fit-shape-to-text:t" inset="0,15pt,20pt,0">
                <w:txbxContent>
                  <w:p w:rsidR="00110816" w:rsidRPr="00110816" w:rsidP="00110816" w14:paraId="15846060" w14:textId="1271F7DA">
                    <w:pPr>
                      <w:rPr>
                        <w:rFonts w:ascii="Calibri" w:eastAsia="Calibri" w:hAnsi="Calibri" w:cs="Calibri"/>
                        <w:noProof/>
                        <w:color w:val="000000"/>
                        <w:sz w:val="20"/>
                        <w:szCs w:val="20"/>
                      </w:rPr>
                    </w:pPr>
                    <w:r w:rsidRPr="00110816">
                      <w:rPr>
                        <w:rFonts w:ascii="Calibri" w:eastAsia="Calibri" w:hAnsi="Calibri" w:cs="Calibri"/>
                        <w:noProof/>
                        <w:color w:val="000000"/>
                        <w:sz w:val="20"/>
                        <w:szCs w:val="20"/>
                      </w:rPr>
                      <w:t>Booz Allen Hamilton Internal</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F8BCEFB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E3D6194"/>
    <w:multiLevelType w:val="multilevel"/>
    <w:tmpl w:val="DAF48430"/>
    <w:styleLink w:val="Bullets"/>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ABE0F4E"/>
    <w:multiLevelType w:val="hybridMultilevel"/>
    <w:tmpl w:val="A3FA2D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B7D501C"/>
    <w:multiLevelType w:val="hybridMultilevel"/>
    <w:tmpl w:val="DF86DBF4"/>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1D5E5BE0"/>
    <w:multiLevelType w:val="hybridMultilevel"/>
    <w:tmpl w:val="D1184426"/>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A3A3570"/>
    <w:multiLevelType w:val="multilevel"/>
    <w:tmpl w:val="3B6CECEC"/>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nsid w:val="2B510189"/>
    <w:multiLevelType w:val="hybridMultilevel"/>
    <w:tmpl w:val="0BF64CFC"/>
    <w:lvl w:ilvl="0">
      <w:start w:val="1"/>
      <w:numFmt w:val="decimal"/>
      <w:lvlText w:val="%1."/>
      <w:lvlJc w:val="left"/>
      <w:pPr>
        <w:ind w:left="2160" w:hanging="360"/>
      </w:pPr>
      <w:rPr>
        <w:rFonts w:hint="default"/>
        <w:color w:val="auto"/>
        <w:sz w:val="22"/>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7">
    <w:nsid w:val="33ED4EA8"/>
    <w:multiLevelType w:val="hybridMultilevel"/>
    <w:tmpl w:val="134479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51207486"/>
    <w:multiLevelType w:val="hybridMultilevel"/>
    <w:tmpl w:val="12A00B5A"/>
    <w:lvl w:ilvl="0">
      <w:start w:val="1"/>
      <w:numFmt w:val="decimal"/>
      <w:lvlText w:val="%1)"/>
      <w:lvlJc w:val="left"/>
      <w:pPr>
        <w:ind w:left="2160" w:hanging="360"/>
      </w:pPr>
      <w:rPr>
        <w:rFonts w:hint="default"/>
        <w:color w:val="auto"/>
        <w:sz w:val="22"/>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9">
    <w:nsid w:val="63C833E9"/>
    <w:multiLevelType w:val="hybridMultilevel"/>
    <w:tmpl w:val="A99679E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699253B1"/>
    <w:multiLevelType w:val="multilevel"/>
    <w:tmpl w:val="00D8BE8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nsid w:val="76C241A5"/>
    <w:multiLevelType w:val="multilevel"/>
    <w:tmpl w:val="CBD89CDA"/>
    <w:lvl w:ilvl="0">
      <w:start w:val="1"/>
      <w:numFmt w:val="none"/>
      <w:pStyle w:val="Heading1"/>
      <w:lvlJc w:val="left"/>
      <w:pPr>
        <w:ind w:left="0" w:firstLine="0"/>
      </w:pPr>
      <w:rPr>
        <w:rFonts w:hint="default"/>
      </w:rPr>
    </w:lvl>
    <w:lvl w:ilvl="1">
      <w:start w:val="1"/>
      <w:numFmt w:val="decimal"/>
      <w:pStyle w:val="Heading2"/>
      <w:lvlText w:val="%2."/>
      <w:lvlJc w:val="left"/>
      <w:pPr>
        <w:ind w:left="360" w:hanging="360"/>
      </w:pPr>
      <w:rPr>
        <w:rFonts w:hint="default"/>
      </w:rPr>
    </w:lvl>
    <w:lvl w:ilvl="2">
      <w:start w:val="1"/>
      <w:numFmt w:val="lowerLetter"/>
      <w:pStyle w:val="Heading3"/>
      <w:lvlText w:val="%3)"/>
      <w:lvlJc w:val="left"/>
      <w:pPr>
        <w:ind w:left="720" w:hanging="360"/>
      </w:pPr>
      <w:rPr>
        <w:rFonts w:hint="default"/>
      </w:rPr>
    </w:lvl>
    <w:lvl w:ilvl="3">
      <w:start w:val="1"/>
      <w:numFmt w:val="decimal"/>
      <w:pStyle w:val="Heading4"/>
      <w:lvlText w:val="%4)"/>
      <w:lvlJc w:val="left"/>
      <w:pPr>
        <w:ind w:left="1080" w:hanging="36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num w:numId="1" w16cid:durableId="27949587">
    <w:abstractNumId w:val="1"/>
  </w:num>
  <w:num w:numId="2" w16cid:durableId="47993692">
    <w:abstractNumId w:val="7"/>
  </w:num>
  <w:num w:numId="3" w16cid:durableId="692196546">
    <w:abstractNumId w:val="2"/>
  </w:num>
  <w:num w:numId="4" w16cid:durableId="28145386">
    <w:abstractNumId w:val="0"/>
  </w:num>
  <w:num w:numId="5" w16cid:durableId="836532521">
    <w:abstractNumId w:val="11"/>
  </w:num>
  <w:num w:numId="6" w16cid:durableId="1952123413">
    <w:abstractNumId w:val="11"/>
    <w:lvlOverride w:ilvl="0">
      <w:lvl w:ilvl="0">
        <w:start w:val="1"/>
        <w:numFmt w:val="none"/>
        <w:pStyle w:val="Heading1"/>
        <w:lvlJc w:val="left"/>
        <w:pPr>
          <w:ind w:left="0" w:firstLine="0"/>
        </w:pPr>
        <w:rPr>
          <w:rFonts w:hint="default"/>
        </w:rPr>
      </w:lvl>
    </w:lvlOverride>
    <w:lvlOverride w:ilvl="1">
      <w:lvl w:ilvl="1">
        <w:start w:val="1"/>
        <w:numFmt w:val="upperLetter"/>
        <w:pStyle w:val="Heading2"/>
        <w:lvlText w:val="%2."/>
        <w:lvlJc w:val="left"/>
        <w:pPr>
          <w:ind w:left="360" w:hanging="360"/>
        </w:pPr>
        <w:rPr>
          <w:rFonts w:hint="default"/>
        </w:rPr>
      </w:lvl>
    </w:lvlOverride>
    <w:lvlOverride w:ilvl="2">
      <w:lvl w:ilvl="2">
        <w:start w:val="1"/>
        <w:numFmt w:val="decimal"/>
        <w:pStyle w:val="Heading3"/>
        <w:lvlText w:val="%3."/>
        <w:lvlJc w:val="left"/>
        <w:pPr>
          <w:ind w:left="720" w:hanging="360"/>
        </w:pPr>
        <w:rPr>
          <w:rFonts w:hint="default"/>
        </w:rPr>
      </w:lvl>
    </w:lvlOverride>
    <w:lvlOverride w:ilvl="3">
      <w:lvl w:ilvl="3">
        <w:start w:val="1"/>
        <w:numFmt w:val="lowerLetter"/>
        <w:pStyle w:val="Heading4"/>
        <w:lvlText w:val="%4)"/>
        <w:lvlJc w:val="left"/>
        <w:pPr>
          <w:ind w:left="2160" w:firstLine="0"/>
        </w:pPr>
        <w:rPr>
          <w:rFonts w:hint="default"/>
        </w:rPr>
      </w:lvl>
    </w:lvlOverride>
    <w:lvlOverride w:ilvl="4">
      <w:lvl w:ilvl="4">
        <w:start w:val="1"/>
        <w:numFmt w:val="decimal"/>
        <w:pStyle w:val="Heading5"/>
        <w:lvlText w:val="(%5)"/>
        <w:lvlJc w:val="left"/>
        <w:pPr>
          <w:ind w:left="2880" w:firstLine="0"/>
        </w:pPr>
        <w:rPr>
          <w:rFonts w:hint="default"/>
        </w:rPr>
      </w:lvl>
    </w:lvlOverride>
    <w:lvlOverride w:ilvl="5">
      <w:lvl w:ilvl="5">
        <w:start w:val="1"/>
        <w:numFmt w:val="lowerLetter"/>
        <w:pStyle w:val="Heading6"/>
        <w:lvlText w:val="(%6)"/>
        <w:lvlJc w:val="left"/>
        <w:pPr>
          <w:ind w:left="3600" w:firstLine="0"/>
        </w:pPr>
        <w:rPr>
          <w:rFonts w:hint="default"/>
        </w:rPr>
      </w:lvl>
    </w:lvlOverride>
    <w:lvlOverride w:ilvl="6">
      <w:lvl w:ilvl="6">
        <w:start w:val="1"/>
        <w:numFmt w:val="lowerRoman"/>
        <w:pStyle w:val="Heading7"/>
        <w:lvlText w:val="(%7)"/>
        <w:lvlJc w:val="left"/>
        <w:pPr>
          <w:ind w:left="4320" w:firstLine="0"/>
        </w:pPr>
        <w:rPr>
          <w:rFonts w:hint="default"/>
        </w:rPr>
      </w:lvl>
    </w:lvlOverride>
    <w:lvlOverride w:ilvl="7">
      <w:lvl w:ilvl="7">
        <w:start w:val="1"/>
        <w:numFmt w:val="lowerLetter"/>
        <w:pStyle w:val="Heading8"/>
        <w:lvlText w:val="(%8)"/>
        <w:lvlJc w:val="left"/>
        <w:pPr>
          <w:ind w:left="5040" w:firstLine="0"/>
        </w:pPr>
        <w:rPr>
          <w:rFonts w:hint="default"/>
        </w:rPr>
      </w:lvl>
    </w:lvlOverride>
    <w:lvlOverride w:ilvl="8">
      <w:lvl w:ilvl="8">
        <w:start w:val="1"/>
        <w:numFmt w:val="lowerRoman"/>
        <w:pStyle w:val="Heading9"/>
        <w:lvlText w:val="(%9)"/>
        <w:lvlJc w:val="left"/>
        <w:pPr>
          <w:ind w:left="5760" w:firstLine="0"/>
        </w:pPr>
        <w:rPr>
          <w:rFonts w:hint="default"/>
        </w:rPr>
      </w:lvl>
    </w:lvlOverride>
  </w:num>
  <w:num w:numId="7" w16cid:durableId="60258846">
    <w:abstractNumId w:val="6"/>
  </w:num>
  <w:num w:numId="8" w16cid:durableId="846483071">
    <w:abstractNumId w:val="8"/>
  </w:num>
  <w:num w:numId="9" w16cid:durableId="918751735">
    <w:abstractNumId w:val="3"/>
  </w:num>
  <w:num w:numId="10" w16cid:durableId="196167428">
    <w:abstractNumId w:val="11"/>
  </w:num>
  <w:num w:numId="11" w16cid:durableId="959578776">
    <w:abstractNumId w:val="11"/>
  </w:num>
  <w:num w:numId="12" w16cid:durableId="1057555580">
    <w:abstractNumId w:val="11"/>
  </w:num>
  <w:num w:numId="13" w16cid:durableId="1151021300">
    <w:abstractNumId w:val="11"/>
  </w:num>
  <w:num w:numId="14" w16cid:durableId="1171481542">
    <w:abstractNumId w:val="11"/>
  </w:num>
  <w:num w:numId="15" w16cid:durableId="2101219308">
    <w:abstractNumId w:val="11"/>
  </w:num>
  <w:num w:numId="16" w16cid:durableId="97602815">
    <w:abstractNumId w:val="11"/>
  </w:num>
  <w:num w:numId="17" w16cid:durableId="274749072">
    <w:abstractNumId w:val="11"/>
  </w:num>
  <w:num w:numId="18" w16cid:durableId="418258482">
    <w:abstractNumId w:val="11"/>
  </w:num>
  <w:num w:numId="19" w16cid:durableId="383674390">
    <w:abstractNumId w:val="9"/>
  </w:num>
  <w:num w:numId="20" w16cid:durableId="1750541759">
    <w:abstractNumId w:val="5"/>
  </w:num>
  <w:num w:numId="21" w16cid:durableId="1465612631">
    <w:abstractNumId w:val="4"/>
  </w:num>
  <w:num w:numId="22" w16cid:durableId="122009305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8"/>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CDD"/>
    <w:rsid w:val="00002AEC"/>
    <w:rsid w:val="00004AB4"/>
    <w:rsid w:val="00007F73"/>
    <w:rsid w:val="000113FF"/>
    <w:rsid w:val="00011889"/>
    <w:rsid w:val="00011AA0"/>
    <w:rsid w:val="00013528"/>
    <w:rsid w:val="000144D9"/>
    <w:rsid w:val="000152FD"/>
    <w:rsid w:val="00017CAC"/>
    <w:rsid w:val="00017E12"/>
    <w:rsid w:val="000200B8"/>
    <w:rsid w:val="00020228"/>
    <w:rsid w:val="00020CDB"/>
    <w:rsid w:val="00021AAD"/>
    <w:rsid w:val="000222EE"/>
    <w:rsid w:val="00022532"/>
    <w:rsid w:val="000238F3"/>
    <w:rsid w:val="00027441"/>
    <w:rsid w:val="0002760B"/>
    <w:rsid w:val="00031AF8"/>
    <w:rsid w:val="000361EE"/>
    <w:rsid w:val="000367AC"/>
    <w:rsid w:val="0004212E"/>
    <w:rsid w:val="00042222"/>
    <w:rsid w:val="00042A1D"/>
    <w:rsid w:val="00042CC2"/>
    <w:rsid w:val="000430C5"/>
    <w:rsid w:val="0004486F"/>
    <w:rsid w:val="00045AEF"/>
    <w:rsid w:val="0004794D"/>
    <w:rsid w:val="00047B02"/>
    <w:rsid w:val="00050ADC"/>
    <w:rsid w:val="0005197D"/>
    <w:rsid w:val="00051983"/>
    <w:rsid w:val="00055733"/>
    <w:rsid w:val="0005704C"/>
    <w:rsid w:val="00062F62"/>
    <w:rsid w:val="00065E51"/>
    <w:rsid w:val="00066614"/>
    <w:rsid w:val="00067794"/>
    <w:rsid w:val="000705DE"/>
    <w:rsid w:val="00070E79"/>
    <w:rsid w:val="000713B1"/>
    <w:rsid w:val="000729A7"/>
    <w:rsid w:val="00072E3F"/>
    <w:rsid w:val="00074AA1"/>
    <w:rsid w:val="0008146E"/>
    <w:rsid w:val="00082AA6"/>
    <w:rsid w:val="00083D96"/>
    <w:rsid w:val="00084F18"/>
    <w:rsid w:val="00086E82"/>
    <w:rsid w:val="000876A4"/>
    <w:rsid w:val="0009006F"/>
    <w:rsid w:val="00090195"/>
    <w:rsid w:val="00090703"/>
    <w:rsid w:val="000907C2"/>
    <w:rsid w:val="000916E8"/>
    <w:rsid w:val="00092797"/>
    <w:rsid w:val="00093603"/>
    <w:rsid w:val="00095227"/>
    <w:rsid w:val="00096771"/>
    <w:rsid w:val="000974CB"/>
    <w:rsid w:val="000A454B"/>
    <w:rsid w:val="000A4A85"/>
    <w:rsid w:val="000A612A"/>
    <w:rsid w:val="000A6A6A"/>
    <w:rsid w:val="000A6ACB"/>
    <w:rsid w:val="000A7FBA"/>
    <w:rsid w:val="000B0106"/>
    <w:rsid w:val="000B0FF5"/>
    <w:rsid w:val="000B144B"/>
    <w:rsid w:val="000B182B"/>
    <w:rsid w:val="000B2256"/>
    <w:rsid w:val="000B2E50"/>
    <w:rsid w:val="000B3643"/>
    <w:rsid w:val="000B6157"/>
    <w:rsid w:val="000B7905"/>
    <w:rsid w:val="000B7C6B"/>
    <w:rsid w:val="000C07D0"/>
    <w:rsid w:val="000C0D71"/>
    <w:rsid w:val="000C1904"/>
    <w:rsid w:val="000C3B05"/>
    <w:rsid w:val="000C74D5"/>
    <w:rsid w:val="000C79A8"/>
    <w:rsid w:val="000D00EE"/>
    <w:rsid w:val="000D0EC1"/>
    <w:rsid w:val="000D1D71"/>
    <w:rsid w:val="000D37B0"/>
    <w:rsid w:val="000D4EBE"/>
    <w:rsid w:val="000D5000"/>
    <w:rsid w:val="000D64D2"/>
    <w:rsid w:val="000D66E1"/>
    <w:rsid w:val="000D68BF"/>
    <w:rsid w:val="000D6AF0"/>
    <w:rsid w:val="000D763F"/>
    <w:rsid w:val="000D7867"/>
    <w:rsid w:val="000D78D4"/>
    <w:rsid w:val="000D7B06"/>
    <w:rsid w:val="000D7D29"/>
    <w:rsid w:val="000E0460"/>
    <w:rsid w:val="000E0ABA"/>
    <w:rsid w:val="000E0FDF"/>
    <w:rsid w:val="000E12B8"/>
    <w:rsid w:val="000E1B9C"/>
    <w:rsid w:val="000E2B13"/>
    <w:rsid w:val="000E5328"/>
    <w:rsid w:val="000E6769"/>
    <w:rsid w:val="000E6EB0"/>
    <w:rsid w:val="000E6EBD"/>
    <w:rsid w:val="000E7AC7"/>
    <w:rsid w:val="000F15E8"/>
    <w:rsid w:val="000F23AA"/>
    <w:rsid w:val="000F23F0"/>
    <w:rsid w:val="000F3EE1"/>
    <w:rsid w:val="000F4BD8"/>
    <w:rsid w:val="000F5BA1"/>
    <w:rsid w:val="000F6365"/>
    <w:rsid w:val="000F7DDC"/>
    <w:rsid w:val="001000C1"/>
    <w:rsid w:val="00100216"/>
    <w:rsid w:val="0010026B"/>
    <w:rsid w:val="00100701"/>
    <w:rsid w:val="00102067"/>
    <w:rsid w:val="00104CFF"/>
    <w:rsid w:val="00107CD2"/>
    <w:rsid w:val="00110816"/>
    <w:rsid w:val="00111D06"/>
    <w:rsid w:val="00112AF1"/>
    <w:rsid w:val="00112C8F"/>
    <w:rsid w:val="00113E97"/>
    <w:rsid w:val="0011547B"/>
    <w:rsid w:val="00116261"/>
    <w:rsid w:val="00117099"/>
    <w:rsid w:val="00120EE1"/>
    <w:rsid w:val="00122380"/>
    <w:rsid w:val="00123A4E"/>
    <w:rsid w:val="001246AE"/>
    <w:rsid w:val="001265C8"/>
    <w:rsid w:val="00126A2C"/>
    <w:rsid w:val="00127766"/>
    <w:rsid w:val="00133517"/>
    <w:rsid w:val="00136791"/>
    <w:rsid w:val="0013776F"/>
    <w:rsid w:val="0014026B"/>
    <w:rsid w:val="0014225E"/>
    <w:rsid w:val="0014597F"/>
    <w:rsid w:val="00146A48"/>
    <w:rsid w:val="00150011"/>
    <w:rsid w:val="0015216F"/>
    <w:rsid w:val="0015274D"/>
    <w:rsid w:val="00152FFA"/>
    <w:rsid w:val="00153BB3"/>
    <w:rsid w:val="00154C53"/>
    <w:rsid w:val="00155259"/>
    <w:rsid w:val="0015541A"/>
    <w:rsid w:val="00157DD7"/>
    <w:rsid w:val="00160EBC"/>
    <w:rsid w:val="001620DE"/>
    <w:rsid w:val="001624DB"/>
    <w:rsid w:val="00163045"/>
    <w:rsid w:val="00163420"/>
    <w:rsid w:val="00165CCD"/>
    <w:rsid w:val="001665C4"/>
    <w:rsid w:val="00170E0D"/>
    <w:rsid w:val="0017161E"/>
    <w:rsid w:val="0017191C"/>
    <w:rsid w:val="001720D3"/>
    <w:rsid w:val="00172B0D"/>
    <w:rsid w:val="00172D9A"/>
    <w:rsid w:val="001735F4"/>
    <w:rsid w:val="00173962"/>
    <w:rsid w:val="001742D8"/>
    <w:rsid w:val="0017660E"/>
    <w:rsid w:val="00177FF9"/>
    <w:rsid w:val="00181044"/>
    <w:rsid w:val="001817AB"/>
    <w:rsid w:val="00181A18"/>
    <w:rsid w:val="00182925"/>
    <w:rsid w:val="00184C62"/>
    <w:rsid w:val="001854DF"/>
    <w:rsid w:val="00185D81"/>
    <w:rsid w:val="00186161"/>
    <w:rsid w:val="00186A9B"/>
    <w:rsid w:val="00187419"/>
    <w:rsid w:val="00187A82"/>
    <w:rsid w:val="00193DE6"/>
    <w:rsid w:val="00193FA6"/>
    <w:rsid w:val="001954BE"/>
    <w:rsid w:val="00195965"/>
    <w:rsid w:val="001968C1"/>
    <w:rsid w:val="00196A25"/>
    <w:rsid w:val="00197160"/>
    <w:rsid w:val="0019787E"/>
    <w:rsid w:val="00197EA3"/>
    <w:rsid w:val="001A1DB4"/>
    <w:rsid w:val="001A22AA"/>
    <w:rsid w:val="001A24FA"/>
    <w:rsid w:val="001A42C2"/>
    <w:rsid w:val="001A4E2C"/>
    <w:rsid w:val="001A63AA"/>
    <w:rsid w:val="001A67B5"/>
    <w:rsid w:val="001B320A"/>
    <w:rsid w:val="001B5969"/>
    <w:rsid w:val="001C1CF4"/>
    <w:rsid w:val="001D08FA"/>
    <w:rsid w:val="001D0E42"/>
    <w:rsid w:val="001D19B9"/>
    <w:rsid w:val="001D4960"/>
    <w:rsid w:val="001D61C5"/>
    <w:rsid w:val="001D71B4"/>
    <w:rsid w:val="001E1116"/>
    <w:rsid w:val="001E1492"/>
    <w:rsid w:val="001E1B05"/>
    <w:rsid w:val="001E231B"/>
    <w:rsid w:val="001E26C4"/>
    <w:rsid w:val="001E3153"/>
    <w:rsid w:val="001E48A6"/>
    <w:rsid w:val="001E61DC"/>
    <w:rsid w:val="001E6208"/>
    <w:rsid w:val="001E6F54"/>
    <w:rsid w:val="001E7191"/>
    <w:rsid w:val="001F0B43"/>
    <w:rsid w:val="001F2028"/>
    <w:rsid w:val="001F2136"/>
    <w:rsid w:val="001F2149"/>
    <w:rsid w:val="001F302E"/>
    <w:rsid w:val="001F3FCB"/>
    <w:rsid w:val="001F4915"/>
    <w:rsid w:val="001F61F7"/>
    <w:rsid w:val="001FD542"/>
    <w:rsid w:val="002003D6"/>
    <w:rsid w:val="00201CC0"/>
    <w:rsid w:val="00202BA6"/>
    <w:rsid w:val="00203901"/>
    <w:rsid w:val="00203BA7"/>
    <w:rsid w:val="00204F42"/>
    <w:rsid w:val="00206232"/>
    <w:rsid w:val="00206B61"/>
    <w:rsid w:val="0021185F"/>
    <w:rsid w:val="0021474D"/>
    <w:rsid w:val="00216C32"/>
    <w:rsid w:val="002210E9"/>
    <w:rsid w:val="00222888"/>
    <w:rsid w:val="00222BE7"/>
    <w:rsid w:val="0022323B"/>
    <w:rsid w:val="002256E4"/>
    <w:rsid w:val="002301A5"/>
    <w:rsid w:val="002337A8"/>
    <w:rsid w:val="00233E63"/>
    <w:rsid w:val="002341BA"/>
    <w:rsid w:val="00235744"/>
    <w:rsid w:val="0023703C"/>
    <w:rsid w:val="0023712C"/>
    <w:rsid w:val="00242327"/>
    <w:rsid w:val="00243280"/>
    <w:rsid w:val="0024340E"/>
    <w:rsid w:val="002434BA"/>
    <w:rsid w:val="00243978"/>
    <w:rsid w:val="002464C7"/>
    <w:rsid w:val="0024690A"/>
    <w:rsid w:val="0024707A"/>
    <w:rsid w:val="002503EF"/>
    <w:rsid w:val="00250966"/>
    <w:rsid w:val="00250AB6"/>
    <w:rsid w:val="00250BD8"/>
    <w:rsid w:val="00253ABE"/>
    <w:rsid w:val="00254DB1"/>
    <w:rsid w:val="00254E32"/>
    <w:rsid w:val="0025505B"/>
    <w:rsid w:val="00255D0E"/>
    <w:rsid w:val="00260696"/>
    <w:rsid w:val="00260E57"/>
    <w:rsid w:val="00262365"/>
    <w:rsid w:val="002626E6"/>
    <w:rsid w:val="0026374C"/>
    <w:rsid w:val="002641E5"/>
    <w:rsid w:val="00271DB3"/>
    <w:rsid w:val="00277049"/>
    <w:rsid w:val="00277293"/>
    <w:rsid w:val="00277931"/>
    <w:rsid w:val="00277A93"/>
    <w:rsid w:val="00280891"/>
    <w:rsid w:val="002825EC"/>
    <w:rsid w:val="00287107"/>
    <w:rsid w:val="00291B87"/>
    <w:rsid w:val="00292CE5"/>
    <w:rsid w:val="00293B11"/>
    <w:rsid w:val="00295844"/>
    <w:rsid w:val="00295ABA"/>
    <w:rsid w:val="00295C9F"/>
    <w:rsid w:val="00297EA5"/>
    <w:rsid w:val="002A092D"/>
    <w:rsid w:val="002A2692"/>
    <w:rsid w:val="002A30C4"/>
    <w:rsid w:val="002B1198"/>
    <w:rsid w:val="002B1381"/>
    <w:rsid w:val="002B138D"/>
    <w:rsid w:val="002B1736"/>
    <w:rsid w:val="002B1F9E"/>
    <w:rsid w:val="002B395F"/>
    <w:rsid w:val="002B3C8E"/>
    <w:rsid w:val="002B3ECD"/>
    <w:rsid w:val="002B51E2"/>
    <w:rsid w:val="002B5D8F"/>
    <w:rsid w:val="002B64C0"/>
    <w:rsid w:val="002C1B36"/>
    <w:rsid w:val="002C3094"/>
    <w:rsid w:val="002C458A"/>
    <w:rsid w:val="002C6558"/>
    <w:rsid w:val="002C768E"/>
    <w:rsid w:val="002D10FA"/>
    <w:rsid w:val="002D63DA"/>
    <w:rsid w:val="002E1633"/>
    <w:rsid w:val="002E5C3D"/>
    <w:rsid w:val="002E73CC"/>
    <w:rsid w:val="002F033A"/>
    <w:rsid w:val="002F1391"/>
    <w:rsid w:val="002F2DE8"/>
    <w:rsid w:val="002F3E99"/>
    <w:rsid w:val="002F46DB"/>
    <w:rsid w:val="002F5156"/>
    <w:rsid w:val="002F79AD"/>
    <w:rsid w:val="00300D1A"/>
    <w:rsid w:val="003016CA"/>
    <w:rsid w:val="00301864"/>
    <w:rsid w:val="003022E4"/>
    <w:rsid w:val="003028D2"/>
    <w:rsid w:val="00303A57"/>
    <w:rsid w:val="00307AA5"/>
    <w:rsid w:val="00307D22"/>
    <w:rsid w:val="00310FCA"/>
    <w:rsid w:val="003133C0"/>
    <w:rsid w:val="0031344F"/>
    <w:rsid w:val="00314BF8"/>
    <w:rsid w:val="00315103"/>
    <w:rsid w:val="00316EE1"/>
    <w:rsid w:val="00320E73"/>
    <w:rsid w:val="00321820"/>
    <w:rsid w:val="0032269B"/>
    <w:rsid w:val="00323B56"/>
    <w:rsid w:val="0032440C"/>
    <w:rsid w:val="00327380"/>
    <w:rsid w:val="003318BA"/>
    <w:rsid w:val="003352A3"/>
    <w:rsid w:val="00335F1E"/>
    <w:rsid w:val="003407C1"/>
    <w:rsid w:val="003413D6"/>
    <w:rsid w:val="00341745"/>
    <w:rsid w:val="00343103"/>
    <w:rsid w:val="00343127"/>
    <w:rsid w:val="0034434A"/>
    <w:rsid w:val="00346EE9"/>
    <w:rsid w:val="00347351"/>
    <w:rsid w:val="00347EF2"/>
    <w:rsid w:val="00347F4E"/>
    <w:rsid w:val="00350011"/>
    <w:rsid w:val="0035178D"/>
    <w:rsid w:val="00351976"/>
    <w:rsid w:val="0036046D"/>
    <w:rsid w:val="003605E5"/>
    <w:rsid w:val="003616D8"/>
    <w:rsid w:val="00362ED8"/>
    <w:rsid w:val="00363333"/>
    <w:rsid w:val="00363D04"/>
    <w:rsid w:val="00365C7B"/>
    <w:rsid w:val="00371AEA"/>
    <w:rsid w:val="00372AE6"/>
    <w:rsid w:val="00373603"/>
    <w:rsid w:val="003745FE"/>
    <w:rsid w:val="003758DE"/>
    <w:rsid w:val="00375C26"/>
    <w:rsid w:val="0037643B"/>
    <w:rsid w:val="00376ACA"/>
    <w:rsid w:val="003779AB"/>
    <w:rsid w:val="0038154A"/>
    <w:rsid w:val="0038321F"/>
    <w:rsid w:val="0039026D"/>
    <w:rsid w:val="00390988"/>
    <w:rsid w:val="00391D2D"/>
    <w:rsid w:val="003928A7"/>
    <w:rsid w:val="00395A2B"/>
    <w:rsid w:val="003A31A1"/>
    <w:rsid w:val="003A4504"/>
    <w:rsid w:val="003A4713"/>
    <w:rsid w:val="003A474D"/>
    <w:rsid w:val="003A6D8D"/>
    <w:rsid w:val="003A7295"/>
    <w:rsid w:val="003AF6CC"/>
    <w:rsid w:val="003B1278"/>
    <w:rsid w:val="003B1388"/>
    <w:rsid w:val="003B2743"/>
    <w:rsid w:val="003B6953"/>
    <w:rsid w:val="003B77F1"/>
    <w:rsid w:val="003B7CCD"/>
    <w:rsid w:val="003C1629"/>
    <w:rsid w:val="003C1F92"/>
    <w:rsid w:val="003C580B"/>
    <w:rsid w:val="003C6445"/>
    <w:rsid w:val="003D2647"/>
    <w:rsid w:val="003D3416"/>
    <w:rsid w:val="003D3B96"/>
    <w:rsid w:val="003D4243"/>
    <w:rsid w:val="003D57AD"/>
    <w:rsid w:val="003D5DA8"/>
    <w:rsid w:val="003D6F1C"/>
    <w:rsid w:val="003D7D8D"/>
    <w:rsid w:val="003D7FB9"/>
    <w:rsid w:val="003E19C0"/>
    <w:rsid w:val="003E27E3"/>
    <w:rsid w:val="003E2CBA"/>
    <w:rsid w:val="003E4E39"/>
    <w:rsid w:val="003E4F80"/>
    <w:rsid w:val="003F0862"/>
    <w:rsid w:val="003F08FA"/>
    <w:rsid w:val="003F3610"/>
    <w:rsid w:val="003F4927"/>
    <w:rsid w:val="003F62C1"/>
    <w:rsid w:val="003F72F3"/>
    <w:rsid w:val="003F7DBF"/>
    <w:rsid w:val="00400976"/>
    <w:rsid w:val="0040118C"/>
    <w:rsid w:val="00401A56"/>
    <w:rsid w:val="00406EBE"/>
    <w:rsid w:val="00406FFC"/>
    <w:rsid w:val="004078EC"/>
    <w:rsid w:val="004121B2"/>
    <w:rsid w:val="0041384F"/>
    <w:rsid w:val="004146D2"/>
    <w:rsid w:val="004146F1"/>
    <w:rsid w:val="00414C95"/>
    <w:rsid w:val="00415E6C"/>
    <w:rsid w:val="0041675A"/>
    <w:rsid w:val="00420FD3"/>
    <w:rsid w:val="004216D3"/>
    <w:rsid w:val="004218AB"/>
    <w:rsid w:val="004218F1"/>
    <w:rsid w:val="00421ED2"/>
    <w:rsid w:val="00422CAD"/>
    <w:rsid w:val="00424205"/>
    <w:rsid w:val="004242A8"/>
    <w:rsid w:val="00424C05"/>
    <w:rsid w:val="00426D72"/>
    <w:rsid w:val="00427C9A"/>
    <w:rsid w:val="004301A6"/>
    <w:rsid w:val="004308B1"/>
    <w:rsid w:val="00430937"/>
    <w:rsid w:val="00431C73"/>
    <w:rsid w:val="0043412A"/>
    <w:rsid w:val="004378E7"/>
    <w:rsid w:val="00444B72"/>
    <w:rsid w:val="00445671"/>
    <w:rsid w:val="004458F5"/>
    <w:rsid w:val="004459EF"/>
    <w:rsid w:val="00445AF1"/>
    <w:rsid w:val="00445D0D"/>
    <w:rsid w:val="0044723A"/>
    <w:rsid w:val="0044733E"/>
    <w:rsid w:val="004500E7"/>
    <w:rsid w:val="00452D99"/>
    <w:rsid w:val="00454AC6"/>
    <w:rsid w:val="00454C01"/>
    <w:rsid w:val="00454EF6"/>
    <w:rsid w:val="0045513B"/>
    <w:rsid w:val="004553FA"/>
    <w:rsid w:val="0045628F"/>
    <w:rsid w:val="0045749C"/>
    <w:rsid w:val="0045794D"/>
    <w:rsid w:val="00457C19"/>
    <w:rsid w:val="00460453"/>
    <w:rsid w:val="0046273F"/>
    <w:rsid w:val="0047398F"/>
    <w:rsid w:val="004745F2"/>
    <w:rsid w:val="00474D9F"/>
    <w:rsid w:val="00475B5C"/>
    <w:rsid w:val="00476E8B"/>
    <w:rsid w:val="00476EC1"/>
    <w:rsid w:val="00477793"/>
    <w:rsid w:val="004805FC"/>
    <w:rsid w:val="00480E5C"/>
    <w:rsid w:val="004818C7"/>
    <w:rsid w:val="00481F86"/>
    <w:rsid w:val="00483284"/>
    <w:rsid w:val="00483C27"/>
    <w:rsid w:val="00485F44"/>
    <w:rsid w:val="004864B5"/>
    <w:rsid w:val="00486C29"/>
    <w:rsid w:val="00495A99"/>
    <w:rsid w:val="00496391"/>
    <w:rsid w:val="0049704C"/>
    <w:rsid w:val="004A1E25"/>
    <w:rsid w:val="004A32B8"/>
    <w:rsid w:val="004A49DE"/>
    <w:rsid w:val="004A5C1F"/>
    <w:rsid w:val="004A6451"/>
    <w:rsid w:val="004A6A5A"/>
    <w:rsid w:val="004A7989"/>
    <w:rsid w:val="004B2ECF"/>
    <w:rsid w:val="004B542D"/>
    <w:rsid w:val="004B5A84"/>
    <w:rsid w:val="004B6932"/>
    <w:rsid w:val="004C06A4"/>
    <w:rsid w:val="004D422B"/>
    <w:rsid w:val="004D44A3"/>
    <w:rsid w:val="004D4865"/>
    <w:rsid w:val="004D5B3C"/>
    <w:rsid w:val="004D6CDE"/>
    <w:rsid w:val="004E4F74"/>
    <w:rsid w:val="004E5728"/>
    <w:rsid w:val="004E5940"/>
    <w:rsid w:val="004E73F3"/>
    <w:rsid w:val="004F071F"/>
    <w:rsid w:val="004F0A0A"/>
    <w:rsid w:val="004F0AEC"/>
    <w:rsid w:val="004F3E1D"/>
    <w:rsid w:val="004F54C6"/>
    <w:rsid w:val="004F5D5F"/>
    <w:rsid w:val="004F7725"/>
    <w:rsid w:val="00500150"/>
    <w:rsid w:val="00501252"/>
    <w:rsid w:val="00501411"/>
    <w:rsid w:val="005015AC"/>
    <w:rsid w:val="005022B1"/>
    <w:rsid w:val="005032F9"/>
    <w:rsid w:val="00505114"/>
    <w:rsid w:val="00506EA9"/>
    <w:rsid w:val="00511303"/>
    <w:rsid w:val="00512B0B"/>
    <w:rsid w:val="0051373D"/>
    <w:rsid w:val="00514E82"/>
    <w:rsid w:val="0051719D"/>
    <w:rsid w:val="00517256"/>
    <w:rsid w:val="005206D8"/>
    <w:rsid w:val="00520B58"/>
    <w:rsid w:val="00521BBF"/>
    <w:rsid w:val="00522D1A"/>
    <w:rsid w:val="00522D2D"/>
    <w:rsid w:val="0052390C"/>
    <w:rsid w:val="00524CE9"/>
    <w:rsid w:val="00525E5E"/>
    <w:rsid w:val="005264E4"/>
    <w:rsid w:val="005279AC"/>
    <w:rsid w:val="00527C04"/>
    <w:rsid w:val="00527F64"/>
    <w:rsid w:val="005311A7"/>
    <w:rsid w:val="00532679"/>
    <w:rsid w:val="0053590A"/>
    <w:rsid w:val="0053772B"/>
    <w:rsid w:val="00540051"/>
    <w:rsid w:val="00540611"/>
    <w:rsid w:val="00540D07"/>
    <w:rsid w:val="00541390"/>
    <w:rsid w:val="00541868"/>
    <w:rsid w:val="0054238E"/>
    <w:rsid w:val="005430BF"/>
    <w:rsid w:val="00544302"/>
    <w:rsid w:val="00544A56"/>
    <w:rsid w:val="0054665B"/>
    <w:rsid w:val="00546A51"/>
    <w:rsid w:val="00546A65"/>
    <w:rsid w:val="00546AD0"/>
    <w:rsid w:val="005477E5"/>
    <w:rsid w:val="005511BF"/>
    <w:rsid w:val="00551D03"/>
    <w:rsid w:val="00553D5C"/>
    <w:rsid w:val="00554487"/>
    <w:rsid w:val="00555070"/>
    <w:rsid w:val="00555FAC"/>
    <w:rsid w:val="005560DD"/>
    <w:rsid w:val="005605A9"/>
    <w:rsid w:val="005606A5"/>
    <w:rsid w:val="0056091C"/>
    <w:rsid w:val="00561CF5"/>
    <w:rsid w:val="005641CD"/>
    <w:rsid w:val="0056597B"/>
    <w:rsid w:val="0057188F"/>
    <w:rsid w:val="00573232"/>
    <w:rsid w:val="005732C7"/>
    <w:rsid w:val="00576E86"/>
    <w:rsid w:val="005774C0"/>
    <w:rsid w:val="005777D4"/>
    <w:rsid w:val="0058443B"/>
    <w:rsid w:val="005873D2"/>
    <w:rsid w:val="00587D45"/>
    <w:rsid w:val="00590830"/>
    <w:rsid w:val="00592F79"/>
    <w:rsid w:val="00593FF1"/>
    <w:rsid w:val="00595E69"/>
    <w:rsid w:val="00596ADC"/>
    <w:rsid w:val="00596C8D"/>
    <w:rsid w:val="00596F97"/>
    <w:rsid w:val="005A3147"/>
    <w:rsid w:val="005A3218"/>
    <w:rsid w:val="005A469F"/>
    <w:rsid w:val="005A4D5A"/>
    <w:rsid w:val="005B06B5"/>
    <w:rsid w:val="005B2F3C"/>
    <w:rsid w:val="005B2FBF"/>
    <w:rsid w:val="005B3AD5"/>
    <w:rsid w:val="005B3B54"/>
    <w:rsid w:val="005B4275"/>
    <w:rsid w:val="005B6322"/>
    <w:rsid w:val="005C1E2A"/>
    <w:rsid w:val="005C1FEA"/>
    <w:rsid w:val="005C3AC6"/>
    <w:rsid w:val="005C45BA"/>
    <w:rsid w:val="005C5CB3"/>
    <w:rsid w:val="005C6B77"/>
    <w:rsid w:val="005C6C52"/>
    <w:rsid w:val="005C70B6"/>
    <w:rsid w:val="005D119F"/>
    <w:rsid w:val="005D18BC"/>
    <w:rsid w:val="005D1977"/>
    <w:rsid w:val="005D2615"/>
    <w:rsid w:val="005D4029"/>
    <w:rsid w:val="005D4BE5"/>
    <w:rsid w:val="005D53D6"/>
    <w:rsid w:val="005D6F70"/>
    <w:rsid w:val="005D7F78"/>
    <w:rsid w:val="005E0066"/>
    <w:rsid w:val="005E0D17"/>
    <w:rsid w:val="005E2A66"/>
    <w:rsid w:val="005E2F3B"/>
    <w:rsid w:val="005E32D8"/>
    <w:rsid w:val="005E3B7D"/>
    <w:rsid w:val="005E5C2C"/>
    <w:rsid w:val="005E5C61"/>
    <w:rsid w:val="005E6228"/>
    <w:rsid w:val="005E708C"/>
    <w:rsid w:val="005E7283"/>
    <w:rsid w:val="005E74B0"/>
    <w:rsid w:val="005E7F72"/>
    <w:rsid w:val="005F077A"/>
    <w:rsid w:val="005F0D9E"/>
    <w:rsid w:val="005F332A"/>
    <w:rsid w:val="005F59B5"/>
    <w:rsid w:val="005F6441"/>
    <w:rsid w:val="00600C98"/>
    <w:rsid w:val="00602238"/>
    <w:rsid w:val="00603DBF"/>
    <w:rsid w:val="00605540"/>
    <w:rsid w:val="00607BFB"/>
    <w:rsid w:val="00607C4A"/>
    <w:rsid w:val="00610AA2"/>
    <w:rsid w:val="00610EB6"/>
    <w:rsid w:val="00612823"/>
    <w:rsid w:val="00612BC7"/>
    <w:rsid w:val="00616606"/>
    <w:rsid w:val="00616D52"/>
    <w:rsid w:val="00620524"/>
    <w:rsid w:val="006215ED"/>
    <w:rsid w:val="006241FB"/>
    <w:rsid w:val="006242A3"/>
    <w:rsid w:val="00624412"/>
    <w:rsid w:val="006249B5"/>
    <w:rsid w:val="00626A90"/>
    <w:rsid w:val="00631611"/>
    <w:rsid w:val="00631728"/>
    <w:rsid w:val="00631742"/>
    <w:rsid w:val="006323ED"/>
    <w:rsid w:val="00632F46"/>
    <w:rsid w:val="00636809"/>
    <w:rsid w:val="006369F2"/>
    <w:rsid w:val="0063728F"/>
    <w:rsid w:val="0064080F"/>
    <w:rsid w:val="00641690"/>
    <w:rsid w:val="006426F0"/>
    <w:rsid w:val="00644F9E"/>
    <w:rsid w:val="00645AAE"/>
    <w:rsid w:val="006474C5"/>
    <w:rsid w:val="00647E0C"/>
    <w:rsid w:val="00652B41"/>
    <w:rsid w:val="00652DB7"/>
    <w:rsid w:val="0065455F"/>
    <w:rsid w:val="006604D1"/>
    <w:rsid w:val="006648E5"/>
    <w:rsid w:val="00670E72"/>
    <w:rsid w:val="00670EB4"/>
    <w:rsid w:val="006749D8"/>
    <w:rsid w:val="0067521D"/>
    <w:rsid w:val="0067576C"/>
    <w:rsid w:val="0068177C"/>
    <w:rsid w:val="00681FD8"/>
    <w:rsid w:val="006843FE"/>
    <w:rsid w:val="006856DB"/>
    <w:rsid w:val="00685841"/>
    <w:rsid w:val="00685AFB"/>
    <w:rsid w:val="00686976"/>
    <w:rsid w:val="006908AF"/>
    <w:rsid w:val="00690DE3"/>
    <w:rsid w:val="0069336B"/>
    <w:rsid w:val="00694EFD"/>
    <w:rsid w:val="006956ED"/>
    <w:rsid w:val="00696FF8"/>
    <w:rsid w:val="00697125"/>
    <w:rsid w:val="00697167"/>
    <w:rsid w:val="0069736B"/>
    <w:rsid w:val="006973D9"/>
    <w:rsid w:val="00697C02"/>
    <w:rsid w:val="00697F28"/>
    <w:rsid w:val="006A0745"/>
    <w:rsid w:val="006A2DBB"/>
    <w:rsid w:val="006A6064"/>
    <w:rsid w:val="006A70C0"/>
    <w:rsid w:val="006B0CCA"/>
    <w:rsid w:val="006B0F33"/>
    <w:rsid w:val="006B1094"/>
    <w:rsid w:val="006B2200"/>
    <w:rsid w:val="006B591B"/>
    <w:rsid w:val="006B5F39"/>
    <w:rsid w:val="006C0024"/>
    <w:rsid w:val="006C17E9"/>
    <w:rsid w:val="006C1968"/>
    <w:rsid w:val="006C1B4A"/>
    <w:rsid w:val="006C2060"/>
    <w:rsid w:val="006C2E1C"/>
    <w:rsid w:val="006C2FEB"/>
    <w:rsid w:val="006C351F"/>
    <w:rsid w:val="006C5BFA"/>
    <w:rsid w:val="006C5CB3"/>
    <w:rsid w:val="006C5E73"/>
    <w:rsid w:val="006C6395"/>
    <w:rsid w:val="006C7B7D"/>
    <w:rsid w:val="006D034D"/>
    <w:rsid w:val="006D093A"/>
    <w:rsid w:val="006D13DC"/>
    <w:rsid w:val="006D5D7E"/>
    <w:rsid w:val="006D76BA"/>
    <w:rsid w:val="006E09D4"/>
    <w:rsid w:val="006E0CFA"/>
    <w:rsid w:val="006E179D"/>
    <w:rsid w:val="006E19F5"/>
    <w:rsid w:val="006E1D69"/>
    <w:rsid w:val="006E3357"/>
    <w:rsid w:val="006F2854"/>
    <w:rsid w:val="006F347E"/>
    <w:rsid w:val="006F4942"/>
    <w:rsid w:val="006F4A5F"/>
    <w:rsid w:val="006F5022"/>
    <w:rsid w:val="006F77F5"/>
    <w:rsid w:val="00700D85"/>
    <w:rsid w:val="00701148"/>
    <w:rsid w:val="00701F67"/>
    <w:rsid w:val="00702A36"/>
    <w:rsid w:val="00706013"/>
    <w:rsid w:val="007063AC"/>
    <w:rsid w:val="0070792A"/>
    <w:rsid w:val="00707AD6"/>
    <w:rsid w:val="00711122"/>
    <w:rsid w:val="00711798"/>
    <w:rsid w:val="00712AAC"/>
    <w:rsid w:val="00712E2B"/>
    <w:rsid w:val="00713E03"/>
    <w:rsid w:val="00714AEC"/>
    <w:rsid w:val="00715FE4"/>
    <w:rsid w:val="00723C79"/>
    <w:rsid w:val="00724C32"/>
    <w:rsid w:val="007253C7"/>
    <w:rsid w:val="0072668B"/>
    <w:rsid w:val="00726F7D"/>
    <w:rsid w:val="0072726B"/>
    <w:rsid w:val="0072F425"/>
    <w:rsid w:val="00730F83"/>
    <w:rsid w:val="0073205E"/>
    <w:rsid w:val="007322A0"/>
    <w:rsid w:val="00732822"/>
    <w:rsid w:val="00732A78"/>
    <w:rsid w:val="00733E8D"/>
    <w:rsid w:val="0073499F"/>
    <w:rsid w:val="007353D6"/>
    <w:rsid w:val="007365A2"/>
    <w:rsid w:val="0074352A"/>
    <w:rsid w:val="00745980"/>
    <w:rsid w:val="00746F6B"/>
    <w:rsid w:val="00750841"/>
    <w:rsid w:val="00750E21"/>
    <w:rsid w:val="007549E6"/>
    <w:rsid w:val="00755728"/>
    <w:rsid w:val="00755C4B"/>
    <w:rsid w:val="00756082"/>
    <w:rsid w:val="00757718"/>
    <w:rsid w:val="0076020A"/>
    <w:rsid w:val="00764B04"/>
    <w:rsid w:val="007668B3"/>
    <w:rsid w:val="007701D9"/>
    <w:rsid w:val="00770856"/>
    <w:rsid w:val="00771907"/>
    <w:rsid w:val="00774E1B"/>
    <w:rsid w:val="00775B4D"/>
    <w:rsid w:val="00776CF1"/>
    <w:rsid w:val="007772CE"/>
    <w:rsid w:val="00777B54"/>
    <w:rsid w:val="007805A1"/>
    <w:rsid w:val="007811FE"/>
    <w:rsid w:val="0078155A"/>
    <w:rsid w:val="00782093"/>
    <w:rsid w:val="007836CA"/>
    <w:rsid w:val="007836DC"/>
    <w:rsid w:val="00787DE4"/>
    <w:rsid w:val="007900CA"/>
    <w:rsid w:val="00792902"/>
    <w:rsid w:val="00792A69"/>
    <w:rsid w:val="00794437"/>
    <w:rsid w:val="00794F35"/>
    <w:rsid w:val="00796A3A"/>
    <w:rsid w:val="00796EEA"/>
    <w:rsid w:val="007A0C9A"/>
    <w:rsid w:val="007A3BCF"/>
    <w:rsid w:val="007A6FEA"/>
    <w:rsid w:val="007A7865"/>
    <w:rsid w:val="007B0BF0"/>
    <w:rsid w:val="007B1659"/>
    <w:rsid w:val="007B3302"/>
    <w:rsid w:val="007B3ACE"/>
    <w:rsid w:val="007B4120"/>
    <w:rsid w:val="007B5109"/>
    <w:rsid w:val="007B691D"/>
    <w:rsid w:val="007B75A5"/>
    <w:rsid w:val="007C0C20"/>
    <w:rsid w:val="007C510D"/>
    <w:rsid w:val="007C6ACD"/>
    <w:rsid w:val="007D02D6"/>
    <w:rsid w:val="007D0395"/>
    <w:rsid w:val="007D061E"/>
    <w:rsid w:val="007D1572"/>
    <w:rsid w:val="007D16FD"/>
    <w:rsid w:val="007D2CD7"/>
    <w:rsid w:val="007D3004"/>
    <w:rsid w:val="007D36D8"/>
    <w:rsid w:val="007D53C3"/>
    <w:rsid w:val="007D7086"/>
    <w:rsid w:val="007E1168"/>
    <w:rsid w:val="007E7434"/>
    <w:rsid w:val="007F1F17"/>
    <w:rsid w:val="007F20F3"/>
    <w:rsid w:val="007F2DB7"/>
    <w:rsid w:val="007F2FB1"/>
    <w:rsid w:val="007F5A54"/>
    <w:rsid w:val="007F65B7"/>
    <w:rsid w:val="00800A6E"/>
    <w:rsid w:val="00800D4F"/>
    <w:rsid w:val="008013B8"/>
    <w:rsid w:val="00805D2D"/>
    <w:rsid w:val="00807DE2"/>
    <w:rsid w:val="0081034C"/>
    <w:rsid w:val="00810FDC"/>
    <w:rsid w:val="00811FB4"/>
    <w:rsid w:val="008121F4"/>
    <w:rsid w:val="008128CF"/>
    <w:rsid w:val="00813029"/>
    <w:rsid w:val="0081341E"/>
    <w:rsid w:val="00813F10"/>
    <w:rsid w:val="00814262"/>
    <w:rsid w:val="0081439C"/>
    <w:rsid w:val="008173CE"/>
    <w:rsid w:val="00817B53"/>
    <w:rsid w:val="00817E83"/>
    <w:rsid w:val="00822F0A"/>
    <w:rsid w:val="008236EE"/>
    <w:rsid w:val="00823B18"/>
    <w:rsid w:val="00823CBC"/>
    <w:rsid w:val="00825CEF"/>
    <w:rsid w:val="00830C54"/>
    <w:rsid w:val="00831246"/>
    <w:rsid w:val="00832660"/>
    <w:rsid w:val="0083348B"/>
    <w:rsid w:val="00833BF8"/>
    <w:rsid w:val="00835349"/>
    <w:rsid w:val="008353C5"/>
    <w:rsid w:val="008369BE"/>
    <w:rsid w:val="008373BE"/>
    <w:rsid w:val="00840407"/>
    <w:rsid w:val="00841119"/>
    <w:rsid w:val="00843E3F"/>
    <w:rsid w:val="008461D4"/>
    <w:rsid w:val="008501C4"/>
    <w:rsid w:val="008505BB"/>
    <w:rsid w:val="0085072F"/>
    <w:rsid w:val="00850A9A"/>
    <w:rsid w:val="00852082"/>
    <w:rsid w:val="008526F4"/>
    <w:rsid w:val="008539B5"/>
    <w:rsid w:val="00854A32"/>
    <w:rsid w:val="008551CA"/>
    <w:rsid w:val="008551EE"/>
    <w:rsid w:val="00856482"/>
    <w:rsid w:val="00860890"/>
    <w:rsid w:val="00861519"/>
    <w:rsid w:val="00862846"/>
    <w:rsid w:val="008639A9"/>
    <w:rsid w:val="00864D44"/>
    <w:rsid w:val="00864EB2"/>
    <w:rsid w:val="008662EA"/>
    <w:rsid w:val="00866CFB"/>
    <w:rsid w:val="00866D5C"/>
    <w:rsid w:val="008673A8"/>
    <w:rsid w:val="00867552"/>
    <w:rsid w:val="00867C55"/>
    <w:rsid w:val="00870263"/>
    <w:rsid w:val="00870717"/>
    <w:rsid w:val="00870CB9"/>
    <w:rsid w:val="008746CF"/>
    <w:rsid w:val="00880FC6"/>
    <w:rsid w:val="008813F2"/>
    <w:rsid w:val="00881A03"/>
    <w:rsid w:val="00882607"/>
    <w:rsid w:val="00882653"/>
    <w:rsid w:val="008844D2"/>
    <w:rsid w:val="00884604"/>
    <w:rsid w:val="008847FC"/>
    <w:rsid w:val="00885059"/>
    <w:rsid w:val="00887AFE"/>
    <w:rsid w:val="008902C9"/>
    <w:rsid w:val="00894C83"/>
    <w:rsid w:val="008966EB"/>
    <w:rsid w:val="008A2E99"/>
    <w:rsid w:val="008A5262"/>
    <w:rsid w:val="008A552C"/>
    <w:rsid w:val="008A7D6F"/>
    <w:rsid w:val="008B0608"/>
    <w:rsid w:val="008B1F85"/>
    <w:rsid w:val="008B2039"/>
    <w:rsid w:val="008B261A"/>
    <w:rsid w:val="008B411A"/>
    <w:rsid w:val="008B4A5F"/>
    <w:rsid w:val="008B4A7A"/>
    <w:rsid w:val="008B5795"/>
    <w:rsid w:val="008B66EA"/>
    <w:rsid w:val="008B6ED6"/>
    <w:rsid w:val="008B7012"/>
    <w:rsid w:val="008B764C"/>
    <w:rsid w:val="008C042C"/>
    <w:rsid w:val="008C1F01"/>
    <w:rsid w:val="008C336F"/>
    <w:rsid w:val="008C3F38"/>
    <w:rsid w:val="008C5245"/>
    <w:rsid w:val="008C57DB"/>
    <w:rsid w:val="008C6986"/>
    <w:rsid w:val="008C7186"/>
    <w:rsid w:val="008C71D4"/>
    <w:rsid w:val="008C7297"/>
    <w:rsid w:val="008D08AD"/>
    <w:rsid w:val="008D0A30"/>
    <w:rsid w:val="008D2306"/>
    <w:rsid w:val="008D2372"/>
    <w:rsid w:val="008D57E8"/>
    <w:rsid w:val="008D7C7C"/>
    <w:rsid w:val="008E3DDA"/>
    <w:rsid w:val="008E5061"/>
    <w:rsid w:val="008E5486"/>
    <w:rsid w:val="008E556E"/>
    <w:rsid w:val="008E6F9C"/>
    <w:rsid w:val="008E75FE"/>
    <w:rsid w:val="008E7CF3"/>
    <w:rsid w:val="008F1E5A"/>
    <w:rsid w:val="008F4191"/>
    <w:rsid w:val="008F4D3B"/>
    <w:rsid w:val="008F52B3"/>
    <w:rsid w:val="008F6459"/>
    <w:rsid w:val="008F67B0"/>
    <w:rsid w:val="008F7622"/>
    <w:rsid w:val="008F78EE"/>
    <w:rsid w:val="00902453"/>
    <w:rsid w:val="00905557"/>
    <w:rsid w:val="009118F9"/>
    <w:rsid w:val="00911C71"/>
    <w:rsid w:val="00911FF5"/>
    <w:rsid w:val="00913397"/>
    <w:rsid w:val="00914EA3"/>
    <w:rsid w:val="00915D64"/>
    <w:rsid w:val="00922F03"/>
    <w:rsid w:val="009231DE"/>
    <w:rsid w:val="00923453"/>
    <w:rsid w:val="009237D3"/>
    <w:rsid w:val="00923809"/>
    <w:rsid w:val="0092507E"/>
    <w:rsid w:val="00926375"/>
    <w:rsid w:val="0092664C"/>
    <w:rsid w:val="00931EB7"/>
    <w:rsid w:val="00933690"/>
    <w:rsid w:val="00933971"/>
    <w:rsid w:val="00936DE9"/>
    <w:rsid w:val="00941164"/>
    <w:rsid w:val="00943AF6"/>
    <w:rsid w:val="00944331"/>
    <w:rsid w:val="00944B71"/>
    <w:rsid w:val="00945A18"/>
    <w:rsid w:val="00946DE9"/>
    <w:rsid w:val="00951C55"/>
    <w:rsid w:val="0095697E"/>
    <w:rsid w:val="00960C63"/>
    <w:rsid w:val="0096280D"/>
    <w:rsid w:val="00966109"/>
    <w:rsid w:val="00971070"/>
    <w:rsid w:val="009711DD"/>
    <w:rsid w:val="00972CEC"/>
    <w:rsid w:val="0097343C"/>
    <w:rsid w:val="00973F61"/>
    <w:rsid w:val="009762B7"/>
    <w:rsid w:val="00976E2F"/>
    <w:rsid w:val="0098012B"/>
    <w:rsid w:val="0098067D"/>
    <w:rsid w:val="0098395C"/>
    <w:rsid w:val="00986B80"/>
    <w:rsid w:val="00990346"/>
    <w:rsid w:val="00990520"/>
    <w:rsid w:val="00990FA3"/>
    <w:rsid w:val="00991406"/>
    <w:rsid w:val="00992652"/>
    <w:rsid w:val="00992E6F"/>
    <w:rsid w:val="009937AC"/>
    <w:rsid w:val="0099544F"/>
    <w:rsid w:val="00995BD9"/>
    <w:rsid w:val="009A18AB"/>
    <w:rsid w:val="009A31E9"/>
    <w:rsid w:val="009A36BD"/>
    <w:rsid w:val="009A4ADF"/>
    <w:rsid w:val="009A4E36"/>
    <w:rsid w:val="009A54CA"/>
    <w:rsid w:val="009A55F2"/>
    <w:rsid w:val="009A5892"/>
    <w:rsid w:val="009A7188"/>
    <w:rsid w:val="009B171A"/>
    <w:rsid w:val="009B195E"/>
    <w:rsid w:val="009B25A3"/>
    <w:rsid w:val="009B39A7"/>
    <w:rsid w:val="009B47EB"/>
    <w:rsid w:val="009B7053"/>
    <w:rsid w:val="009C00B1"/>
    <w:rsid w:val="009C125B"/>
    <w:rsid w:val="009C2047"/>
    <w:rsid w:val="009C2809"/>
    <w:rsid w:val="009C3A95"/>
    <w:rsid w:val="009C4C3F"/>
    <w:rsid w:val="009C7FB2"/>
    <w:rsid w:val="009D037D"/>
    <w:rsid w:val="009D135A"/>
    <w:rsid w:val="009D25E0"/>
    <w:rsid w:val="009D26E8"/>
    <w:rsid w:val="009D3ED5"/>
    <w:rsid w:val="009D474D"/>
    <w:rsid w:val="009D498B"/>
    <w:rsid w:val="009D4C96"/>
    <w:rsid w:val="009E0894"/>
    <w:rsid w:val="009E0CA3"/>
    <w:rsid w:val="009E0EF3"/>
    <w:rsid w:val="009E4369"/>
    <w:rsid w:val="009E63BE"/>
    <w:rsid w:val="009E7B5B"/>
    <w:rsid w:val="009E7D93"/>
    <w:rsid w:val="009E7E52"/>
    <w:rsid w:val="009F02BB"/>
    <w:rsid w:val="009F042E"/>
    <w:rsid w:val="009F22C8"/>
    <w:rsid w:val="009F3F55"/>
    <w:rsid w:val="00A01A17"/>
    <w:rsid w:val="00A03C35"/>
    <w:rsid w:val="00A102AB"/>
    <w:rsid w:val="00A11D31"/>
    <w:rsid w:val="00A120FE"/>
    <w:rsid w:val="00A12323"/>
    <w:rsid w:val="00A16D9D"/>
    <w:rsid w:val="00A17A38"/>
    <w:rsid w:val="00A17F79"/>
    <w:rsid w:val="00A21315"/>
    <w:rsid w:val="00A22901"/>
    <w:rsid w:val="00A23058"/>
    <w:rsid w:val="00A27795"/>
    <w:rsid w:val="00A32D9D"/>
    <w:rsid w:val="00A3411E"/>
    <w:rsid w:val="00A34749"/>
    <w:rsid w:val="00A35B9B"/>
    <w:rsid w:val="00A374F5"/>
    <w:rsid w:val="00A46E83"/>
    <w:rsid w:val="00A47024"/>
    <w:rsid w:val="00A4793B"/>
    <w:rsid w:val="00A522BA"/>
    <w:rsid w:val="00A574CE"/>
    <w:rsid w:val="00A60CD6"/>
    <w:rsid w:val="00A62DE5"/>
    <w:rsid w:val="00A62EA6"/>
    <w:rsid w:val="00A63408"/>
    <w:rsid w:val="00A677CD"/>
    <w:rsid w:val="00A67A8E"/>
    <w:rsid w:val="00A67D73"/>
    <w:rsid w:val="00A67DEF"/>
    <w:rsid w:val="00A69E8B"/>
    <w:rsid w:val="00A70115"/>
    <w:rsid w:val="00A703B8"/>
    <w:rsid w:val="00A704FA"/>
    <w:rsid w:val="00A724CE"/>
    <w:rsid w:val="00A725B8"/>
    <w:rsid w:val="00A7322B"/>
    <w:rsid w:val="00A73230"/>
    <w:rsid w:val="00A77805"/>
    <w:rsid w:val="00A84824"/>
    <w:rsid w:val="00A85C6D"/>
    <w:rsid w:val="00A86352"/>
    <w:rsid w:val="00A8764F"/>
    <w:rsid w:val="00A87CDD"/>
    <w:rsid w:val="00A9093A"/>
    <w:rsid w:val="00A92788"/>
    <w:rsid w:val="00A93476"/>
    <w:rsid w:val="00A93BB2"/>
    <w:rsid w:val="00A93EA9"/>
    <w:rsid w:val="00A9420D"/>
    <w:rsid w:val="00A95005"/>
    <w:rsid w:val="00A954C8"/>
    <w:rsid w:val="00A97777"/>
    <w:rsid w:val="00A97F71"/>
    <w:rsid w:val="00AA12E8"/>
    <w:rsid w:val="00AA4366"/>
    <w:rsid w:val="00AA62A8"/>
    <w:rsid w:val="00AB01B1"/>
    <w:rsid w:val="00AB22B2"/>
    <w:rsid w:val="00AB2D29"/>
    <w:rsid w:val="00AB33ED"/>
    <w:rsid w:val="00AB36DC"/>
    <w:rsid w:val="00AB3ABC"/>
    <w:rsid w:val="00AB3F1E"/>
    <w:rsid w:val="00AB4480"/>
    <w:rsid w:val="00AC0196"/>
    <w:rsid w:val="00AC3670"/>
    <w:rsid w:val="00AC3B71"/>
    <w:rsid w:val="00AC77AF"/>
    <w:rsid w:val="00AC786D"/>
    <w:rsid w:val="00AC7D3C"/>
    <w:rsid w:val="00AC7D64"/>
    <w:rsid w:val="00AC7E8A"/>
    <w:rsid w:val="00AD260E"/>
    <w:rsid w:val="00AD2DF3"/>
    <w:rsid w:val="00AD2FD5"/>
    <w:rsid w:val="00AD5472"/>
    <w:rsid w:val="00AD6659"/>
    <w:rsid w:val="00AD77EA"/>
    <w:rsid w:val="00AE1E2E"/>
    <w:rsid w:val="00AE2340"/>
    <w:rsid w:val="00AE2F62"/>
    <w:rsid w:val="00AE3798"/>
    <w:rsid w:val="00AE4ADF"/>
    <w:rsid w:val="00AE521F"/>
    <w:rsid w:val="00AE6848"/>
    <w:rsid w:val="00AE7F66"/>
    <w:rsid w:val="00AF0867"/>
    <w:rsid w:val="00AF2DF7"/>
    <w:rsid w:val="00AF38F9"/>
    <w:rsid w:val="00B024DA"/>
    <w:rsid w:val="00B0279F"/>
    <w:rsid w:val="00B02820"/>
    <w:rsid w:val="00B02CE0"/>
    <w:rsid w:val="00B02F8B"/>
    <w:rsid w:val="00B04841"/>
    <w:rsid w:val="00B06459"/>
    <w:rsid w:val="00B1135A"/>
    <w:rsid w:val="00B13BB9"/>
    <w:rsid w:val="00B16C8A"/>
    <w:rsid w:val="00B1791E"/>
    <w:rsid w:val="00B1791F"/>
    <w:rsid w:val="00B218F5"/>
    <w:rsid w:val="00B24E04"/>
    <w:rsid w:val="00B25884"/>
    <w:rsid w:val="00B31521"/>
    <w:rsid w:val="00B34E10"/>
    <w:rsid w:val="00B35760"/>
    <w:rsid w:val="00B35A59"/>
    <w:rsid w:val="00B35BB9"/>
    <w:rsid w:val="00B36E99"/>
    <w:rsid w:val="00B4211F"/>
    <w:rsid w:val="00B42C17"/>
    <w:rsid w:val="00B434C8"/>
    <w:rsid w:val="00B44357"/>
    <w:rsid w:val="00B44B95"/>
    <w:rsid w:val="00B458E9"/>
    <w:rsid w:val="00B464B8"/>
    <w:rsid w:val="00B46698"/>
    <w:rsid w:val="00B46A02"/>
    <w:rsid w:val="00B502F3"/>
    <w:rsid w:val="00B51585"/>
    <w:rsid w:val="00B519B5"/>
    <w:rsid w:val="00B528F7"/>
    <w:rsid w:val="00B5423F"/>
    <w:rsid w:val="00B55FE0"/>
    <w:rsid w:val="00B5654A"/>
    <w:rsid w:val="00B56935"/>
    <w:rsid w:val="00B56ED4"/>
    <w:rsid w:val="00B57096"/>
    <w:rsid w:val="00B61FAC"/>
    <w:rsid w:val="00B63FB8"/>
    <w:rsid w:val="00B651A3"/>
    <w:rsid w:val="00B66DFD"/>
    <w:rsid w:val="00B67618"/>
    <w:rsid w:val="00B70708"/>
    <w:rsid w:val="00B70882"/>
    <w:rsid w:val="00B70F89"/>
    <w:rsid w:val="00B75052"/>
    <w:rsid w:val="00B75B82"/>
    <w:rsid w:val="00B82FAC"/>
    <w:rsid w:val="00B82FDF"/>
    <w:rsid w:val="00B83B0B"/>
    <w:rsid w:val="00B86D20"/>
    <w:rsid w:val="00B9064A"/>
    <w:rsid w:val="00B94268"/>
    <w:rsid w:val="00B949B2"/>
    <w:rsid w:val="00B95AA2"/>
    <w:rsid w:val="00B95B14"/>
    <w:rsid w:val="00B969BF"/>
    <w:rsid w:val="00B9788D"/>
    <w:rsid w:val="00BA17C6"/>
    <w:rsid w:val="00BA21D1"/>
    <w:rsid w:val="00BA3538"/>
    <w:rsid w:val="00BA3DF3"/>
    <w:rsid w:val="00BA4072"/>
    <w:rsid w:val="00BA4C29"/>
    <w:rsid w:val="00BA5078"/>
    <w:rsid w:val="00BA785B"/>
    <w:rsid w:val="00BB04B4"/>
    <w:rsid w:val="00BB3740"/>
    <w:rsid w:val="00BB48E6"/>
    <w:rsid w:val="00BB5F0C"/>
    <w:rsid w:val="00BB6671"/>
    <w:rsid w:val="00BB66C6"/>
    <w:rsid w:val="00BB7841"/>
    <w:rsid w:val="00BC05AF"/>
    <w:rsid w:val="00BC0DE5"/>
    <w:rsid w:val="00BC288E"/>
    <w:rsid w:val="00BC52B6"/>
    <w:rsid w:val="00BC619D"/>
    <w:rsid w:val="00BD0401"/>
    <w:rsid w:val="00BD39DD"/>
    <w:rsid w:val="00BD4F3B"/>
    <w:rsid w:val="00BD5593"/>
    <w:rsid w:val="00BD6616"/>
    <w:rsid w:val="00BD7782"/>
    <w:rsid w:val="00BD78FE"/>
    <w:rsid w:val="00BD79E8"/>
    <w:rsid w:val="00BE09CA"/>
    <w:rsid w:val="00BE153B"/>
    <w:rsid w:val="00BE5901"/>
    <w:rsid w:val="00BE6032"/>
    <w:rsid w:val="00BE6F07"/>
    <w:rsid w:val="00BE71D9"/>
    <w:rsid w:val="00BF0E20"/>
    <w:rsid w:val="00BF1727"/>
    <w:rsid w:val="00BF172D"/>
    <w:rsid w:val="00BF43C7"/>
    <w:rsid w:val="00BF466F"/>
    <w:rsid w:val="00BF4C2D"/>
    <w:rsid w:val="00BF6441"/>
    <w:rsid w:val="00BF6F81"/>
    <w:rsid w:val="00C0230C"/>
    <w:rsid w:val="00C02BA4"/>
    <w:rsid w:val="00C0302F"/>
    <w:rsid w:val="00C039F8"/>
    <w:rsid w:val="00C05299"/>
    <w:rsid w:val="00C054E7"/>
    <w:rsid w:val="00C05B28"/>
    <w:rsid w:val="00C06522"/>
    <w:rsid w:val="00C06AE8"/>
    <w:rsid w:val="00C0777B"/>
    <w:rsid w:val="00C142A6"/>
    <w:rsid w:val="00C14BAF"/>
    <w:rsid w:val="00C1644C"/>
    <w:rsid w:val="00C201FC"/>
    <w:rsid w:val="00C21D64"/>
    <w:rsid w:val="00C23C79"/>
    <w:rsid w:val="00C258CA"/>
    <w:rsid w:val="00C26B04"/>
    <w:rsid w:val="00C31E75"/>
    <w:rsid w:val="00C32190"/>
    <w:rsid w:val="00C3438C"/>
    <w:rsid w:val="00C34B9A"/>
    <w:rsid w:val="00C35C41"/>
    <w:rsid w:val="00C361EC"/>
    <w:rsid w:val="00C40043"/>
    <w:rsid w:val="00C422A8"/>
    <w:rsid w:val="00C42E61"/>
    <w:rsid w:val="00C431DA"/>
    <w:rsid w:val="00C45D80"/>
    <w:rsid w:val="00C50582"/>
    <w:rsid w:val="00C50BE9"/>
    <w:rsid w:val="00C50FD6"/>
    <w:rsid w:val="00C54476"/>
    <w:rsid w:val="00C545F6"/>
    <w:rsid w:val="00C5507B"/>
    <w:rsid w:val="00C556DB"/>
    <w:rsid w:val="00C56226"/>
    <w:rsid w:val="00C5778B"/>
    <w:rsid w:val="00C57F95"/>
    <w:rsid w:val="00C61A66"/>
    <w:rsid w:val="00C65509"/>
    <w:rsid w:val="00C656E3"/>
    <w:rsid w:val="00C65B95"/>
    <w:rsid w:val="00C65B9B"/>
    <w:rsid w:val="00C65FBF"/>
    <w:rsid w:val="00C67D62"/>
    <w:rsid w:val="00C70F7B"/>
    <w:rsid w:val="00C7436F"/>
    <w:rsid w:val="00C74CC5"/>
    <w:rsid w:val="00C7521F"/>
    <w:rsid w:val="00C75863"/>
    <w:rsid w:val="00C76D94"/>
    <w:rsid w:val="00C772D1"/>
    <w:rsid w:val="00C77BF0"/>
    <w:rsid w:val="00C86F68"/>
    <w:rsid w:val="00C9186A"/>
    <w:rsid w:val="00C93917"/>
    <w:rsid w:val="00C93A56"/>
    <w:rsid w:val="00C94C30"/>
    <w:rsid w:val="00C956BE"/>
    <w:rsid w:val="00C977FE"/>
    <w:rsid w:val="00C978CB"/>
    <w:rsid w:val="00CA16F5"/>
    <w:rsid w:val="00CA18E6"/>
    <w:rsid w:val="00CA21EB"/>
    <w:rsid w:val="00CA4C4C"/>
    <w:rsid w:val="00CB03BE"/>
    <w:rsid w:val="00CB0953"/>
    <w:rsid w:val="00CB307F"/>
    <w:rsid w:val="00CB4DA5"/>
    <w:rsid w:val="00CB5E0E"/>
    <w:rsid w:val="00CB6F07"/>
    <w:rsid w:val="00CB6F69"/>
    <w:rsid w:val="00CC1D5C"/>
    <w:rsid w:val="00CC2243"/>
    <w:rsid w:val="00CC22BF"/>
    <w:rsid w:val="00CC2EB2"/>
    <w:rsid w:val="00CC3A93"/>
    <w:rsid w:val="00CC55EB"/>
    <w:rsid w:val="00CC7100"/>
    <w:rsid w:val="00CC7F2F"/>
    <w:rsid w:val="00CD196E"/>
    <w:rsid w:val="00CD2579"/>
    <w:rsid w:val="00CD2B5F"/>
    <w:rsid w:val="00CD36A7"/>
    <w:rsid w:val="00CD3EE2"/>
    <w:rsid w:val="00CD72A9"/>
    <w:rsid w:val="00CE0A99"/>
    <w:rsid w:val="00CE1E4B"/>
    <w:rsid w:val="00CE3235"/>
    <w:rsid w:val="00CE4772"/>
    <w:rsid w:val="00CE56F0"/>
    <w:rsid w:val="00CE752A"/>
    <w:rsid w:val="00CE76A1"/>
    <w:rsid w:val="00CE782D"/>
    <w:rsid w:val="00CF26C6"/>
    <w:rsid w:val="00CF69E1"/>
    <w:rsid w:val="00D011E8"/>
    <w:rsid w:val="00D04A9F"/>
    <w:rsid w:val="00D0527B"/>
    <w:rsid w:val="00D053B4"/>
    <w:rsid w:val="00D06023"/>
    <w:rsid w:val="00D104D6"/>
    <w:rsid w:val="00D10610"/>
    <w:rsid w:val="00D13611"/>
    <w:rsid w:val="00D1AE24"/>
    <w:rsid w:val="00D218F1"/>
    <w:rsid w:val="00D2354B"/>
    <w:rsid w:val="00D23E07"/>
    <w:rsid w:val="00D23F11"/>
    <w:rsid w:val="00D24635"/>
    <w:rsid w:val="00D25B44"/>
    <w:rsid w:val="00D270D0"/>
    <w:rsid w:val="00D27992"/>
    <w:rsid w:val="00D30A38"/>
    <w:rsid w:val="00D30CDB"/>
    <w:rsid w:val="00D3126B"/>
    <w:rsid w:val="00D31C07"/>
    <w:rsid w:val="00D3207C"/>
    <w:rsid w:val="00D337B3"/>
    <w:rsid w:val="00D360E9"/>
    <w:rsid w:val="00D42457"/>
    <w:rsid w:val="00D428BE"/>
    <w:rsid w:val="00D44AED"/>
    <w:rsid w:val="00D44EC6"/>
    <w:rsid w:val="00D47CAE"/>
    <w:rsid w:val="00D52A18"/>
    <w:rsid w:val="00D52CFD"/>
    <w:rsid w:val="00D536BF"/>
    <w:rsid w:val="00D537E3"/>
    <w:rsid w:val="00D540AC"/>
    <w:rsid w:val="00D5461C"/>
    <w:rsid w:val="00D60D33"/>
    <w:rsid w:val="00D62CEA"/>
    <w:rsid w:val="00D640C8"/>
    <w:rsid w:val="00D73529"/>
    <w:rsid w:val="00D743C0"/>
    <w:rsid w:val="00D745C2"/>
    <w:rsid w:val="00D745E8"/>
    <w:rsid w:val="00D74741"/>
    <w:rsid w:val="00D74FF4"/>
    <w:rsid w:val="00D76805"/>
    <w:rsid w:val="00D77093"/>
    <w:rsid w:val="00D7744D"/>
    <w:rsid w:val="00D77EB2"/>
    <w:rsid w:val="00D82AFE"/>
    <w:rsid w:val="00D86289"/>
    <w:rsid w:val="00D87EF4"/>
    <w:rsid w:val="00D90F57"/>
    <w:rsid w:val="00D923AE"/>
    <w:rsid w:val="00D924AE"/>
    <w:rsid w:val="00D93AAB"/>
    <w:rsid w:val="00D94A31"/>
    <w:rsid w:val="00D963CC"/>
    <w:rsid w:val="00D96DDE"/>
    <w:rsid w:val="00D971EB"/>
    <w:rsid w:val="00D97A94"/>
    <w:rsid w:val="00DA0327"/>
    <w:rsid w:val="00DA115B"/>
    <w:rsid w:val="00DA196D"/>
    <w:rsid w:val="00DA2131"/>
    <w:rsid w:val="00DA2684"/>
    <w:rsid w:val="00DA426B"/>
    <w:rsid w:val="00DA58CB"/>
    <w:rsid w:val="00DA62DD"/>
    <w:rsid w:val="00DB0743"/>
    <w:rsid w:val="00DB11FC"/>
    <w:rsid w:val="00DB292E"/>
    <w:rsid w:val="00DB2ABF"/>
    <w:rsid w:val="00DB32C8"/>
    <w:rsid w:val="00DB7805"/>
    <w:rsid w:val="00DC0BA5"/>
    <w:rsid w:val="00DC3E22"/>
    <w:rsid w:val="00DC407B"/>
    <w:rsid w:val="00DC4585"/>
    <w:rsid w:val="00DC664C"/>
    <w:rsid w:val="00DC6662"/>
    <w:rsid w:val="00DD126A"/>
    <w:rsid w:val="00DD1F18"/>
    <w:rsid w:val="00DD3D35"/>
    <w:rsid w:val="00DD53D3"/>
    <w:rsid w:val="00DD61CD"/>
    <w:rsid w:val="00DE2D29"/>
    <w:rsid w:val="00DF0C35"/>
    <w:rsid w:val="00DF1494"/>
    <w:rsid w:val="00DF1FFA"/>
    <w:rsid w:val="00DF446C"/>
    <w:rsid w:val="00DF6022"/>
    <w:rsid w:val="00DF6522"/>
    <w:rsid w:val="00DF73B8"/>
    <w:rsid w:val="00E0032D"/>
    <w:rsid w:val="00E0038B"/>
    <w:rsid w:val="00E02B79"/>
    <w:rsid w:val="00E02BF3"/>
    <w:rsid w:val="00E06533"/>
    <w:rsid w:val="00E06A3D"/>
    <w:rsid w:val="00E06B1D"/>
    <w:rsid w:val="00E11319"/>
    <w:rsid w:val="00E1272E"/>
    <w:rsid w:val="00E131E8"/>
    <w:rsid w:val="00E134AE"/>
    <w:rsid w:val="00E1459A"/>
    <w:rsid w:val="00E15274"/>
    <w:rsid w:val="00E153F5"/>
    <w:rsid w:val="00E172AF"/>
    <w:rsid w:val="00E17D25"/>
    <w:rsid w:val="00E208F2"/>
    <w:rsid w:val="00E21086"/>
    <w:rsid w:val="00E21206"/>
    <w:rsid w:val="00E21BE5"/>
    <w:rsid w:val="00E22AB8"/>
    <w:rsid w:val="00E2376C"/>
    <w:rsid w:val="00E23831"/>
    <w:rsid w:val="00E24353"/>
    <w:rsid w:val="00E2578F"/>
    <w:rsid w:val="00E263E0"/>
    <w:rsid w:val="00E307B8"/>
    <w:rsid w:val="00E308D6"/>
    <w:rsid w:val="00E30A3F"/>
    <w:rsid w:val="00E3145D"/>
    <w:rsid w:val="00E34372"/>
    <w:rsid w:val="00E3448C"/>
    <w:rsid w:val="00E359DF"/>
    <w:rsid w:val="00E35CC1"/>
    <w:rsid w:val="00E36B06"/>
    <w:rsid w:val="00E417C8"/>
    <w:rsid w:val="00E41B59"/>
    <w:rsid w:val="00E41BE4"/>
    <w:rsid w:val="00E44161"/>
    <w:rsid w:val="00E45AD7"/>
    <w:rsid w:val="00E45F04"/>
    <w:rsid w:val="00E46EE0"/>
    <w:rsid w:val="00E50546"/>
    <w:rsid w:val="00E51ECD"/>
    <w:rsid w:val="00E5334B"/>
    <w:rsid w:val="00E53637"/>
    <w:rsid w:val="00E53BF3"/>
    <w:rsid w:val="00E55542"/>
    <w:rsid w:val="00E566E9"/>
    <w:rsid w:val="00E568D7"/>
    <w:rsid w:val="00E6252A"/>
    <w:rsid w:val="00E650CE"/>
    <w:rsid w:val="00E652C1"/>
    <w:rsid w:val="00E6595A"/>
    <w:rsid w:val="00E67114"/>
    <w:rsid w:val="00E671DC"/>
    <w:rsid w:val="00E706E4"/>
    <w:rsid w:val="00E72229"/>
    <w:rsid w:val="00E76386"/>
    <w:rsid w:val="00E818C3"/>
    <w:rsid w:val="00E81E58"/>
    <w:rsid w:val="00E826F2"/>
    <w:rsid w:val="00E82800"/>
    <w:rsid w:val="00E83B5C"/>
    <w:rsid w:val="00E83EDE"/>
    <w:rsid w:val="00E8597D"/>
    <w:rsid w:val="00E869AC"/>
    <w:rsid w:val="00E91E15"/>
    <w:rsid w:val="00E97EE4"/>
    <w:rsid w:val="00EA1089"/>
    <w:rsid w:val="00EA20B5"/>
    <w:rsid w:val="00EA2B00"/>
    <w:rsid w:val="00EA2DE9"/>
    <w:rsid w:val="00EA31BE"/>
    <w:rsid w:val="00EA4082"/>
    <w:rsid w:val="00EA79EA"/>
    <w:rsid w:val="00EB0CE7"/>
    <w:rsid w:val="00EB4240"/>
    <w:rsid w:val="00EB4E90"/>
    <w:rsid w:val="00EC1CA3"/>
    <w:rsid w:val="00EC1E05"/>
    <w:rsid w:val="00EC4782"/>
    <w:rsid w:val="00EC5E9A"/>
    <w:rsid w:val="00EC669E"/>
    <w:rsid w:val="00EC6A41"/>
    <w:rsid w:val="00EC78C1"/>
    <w:rsid w:val="00ED0A74"/>
    <w:rsid w:val="00ED38B7"/>
    <w:rsid w:val="00ED5873"/>
    <w:rsid w:val="00ED5E6A"/>
    <w:rsid w:val="00ED6725"/>
    <w:rsid w:val="00ED6EC3"/>
    <w:rsid w:val="00EE0A65"/>
    <w:rsid w:val="00EE0AC2"/>
    <w:rsid w:val="00EE1DF8"/>
    <w:rsid w:val="00EE4E86"/>
    <w:rsid w:val="00EF1CD3"/>
    <w:rsid w:val="00EF223F"/>
    <w:rsid w:val="00EF5717"/>
    <w:rsid w:val="00EF5A25"/>
    <w:rsid w:val="00F01DB2"/>
    <w:rsid w:val="00F0368F"/>
    <w:rsid w:val="00F03FD3"/>
    <w:rsid w:val="00F04010"/>
    <w:rsid w:val="00F12B81"/>
    <w:rsid w:val="00F1448C"/>
    <w:rsid w:val="00F15E4C"/>
    <w:rsid w:val="00F166D9"/>
    <w:rsid w:val="00F16828"/>
    <w:rsid w:val="00F20300"/>
    <w:rsid w:val="00F22378"/>
    <w:rsid w:val="00F228E0"/>
    <w:rsid w:val="00F2333E"/>
    <w:rsid w:val="00F26BF8"/>
    <w:rsid w:val="00F271C7"/>
    <w:rsid w:val="00F30063"/>
    <w:rsid w:val="00F31A79"/>
    <w:rsid w:val="00F3374B"/>
    <w:rsid w:val="00F3466A"/>
    <w:rsid w:val="00F358B9"/>
    <w:rsid w:val="00F374D8"/>
    <w:rsid w:val="00F37A30"/>
    <w:rsid w:val="00F37A4F"/>
    <w:rsid w:val="00F40812"/>
    <w:rsid w:val="00F42D31"/>
    <w:rsid w:val="00F43DD8"/>
    <w:rsid w:val="00F441EE"/>
    <w:rsid w:val="00F444AA"/>
    <w:rsid w:val="00F455F8"/>
    <w:rsid w:val="00F45902"/>
    <w:rsid w:val="00F465A6"/>
    <w:rsid w:val="00F4675A"/>
    <w:rsid w:val="00F52A18"/>
    <w:rsid w:val="00F53C42"/>
    <w:rsid w:val="00F54107"/>
    <w:rsid w:val="00F5467D"/>
    <w:rsid w:val="00F54A06"/>
    <w:rsid w:val="00F54A5D"/>
    <w:rsid w:val="00F5788F"/>
    <w:rsid w:val="00F62CA3"/>
    <w:rsid w:val="00F641E9"/>
    <w:rsid w:val="00F6480C"/>
    <w:rsid w:val="00F649FC"/>
    <w:rsid w:val="00F66EA5"/>
    <w:rsid w:val="00F71433"/>
    <w:rsid w:val="00F71A0D"/>
    <w:rsid w:val="00F71E74"/>
    <w:rsid w:val="00F72480"/>
    <w:rsid w:val="00F74AC3"/>
    <w:rsid w:val="00F74DE0"/>
    <w:rsid w:val="00F75DBA"/>
    <w:rsid w:val="00F76114"/>
    <w:rsid w:val="00F80CCB"/>
    <w:rsid w:val="00F81C4F"/>
    <w:rsid w:val="00F82131"/>
    <w:rsid w:val="00F82ED7"/>
    <w:rsid w:val="00F84F6F"/>
    <w:rsid w:val="00F86E13"/>
    <w:rsid w:val="00F87637"/>
    <w:rsid w:val="00F8784B"/>
    <w:rsid w:val="00F87D8C"/>
    <w:rsid w:val="00F930E9"/>
    <w:rsid w:val="00F94D87"/>
    <w:rsid w:val="00F97C7E"/>
    <w:rsid w:val="00FA1002"/>
    <w:rsid w:val="00FA1D56"/>
    <w:rsid w:val="00FA2DDE"/>
    <w:rsid w:val="00FA3051"/>
    <w:rsid w:val="00FA399B"/>
    <w:rsid w:val="00FA6B9A"/>
    <w:rsid w:val="00FA7F39"/>
    <w:rsid w:val="00FB024C"/>
    <w:rsid w:val="00FB2367"/>
    <w:rsid w:val="00FB2B65"/>
    <w:rsid w:val="00FB6220"/>
    <w:rsid w:val="00FB72AA"/>
    <w:rsid w:val="00FB7C62"/>
    <w:rsid w:val="00FB7EFD"/>
    <w:rsid w:val="00FC1FB6"/>
    <w:rsid w:val="00FC6A91"/>
    <w:rsid w:val="00FD19DB"/>
    <w:rsid w:val="00FD301A"/>
    <w:rsid w:val="00FD382E"/>
    <w:rsid w:val="00FD3ECE"/>
    <w:rsid w:val="00FD5893"/>
    <w:rsid w:val="00FD66A3"/>
    <w:rsid w:val="00FD6B33"/>
    <w:rsid w:val="00FD6DCA"/>
    <w:rsid w:val="00FE15AB"/>
    <w:rsid w:val="00FE212E"/>
    <w:rsid w:val="00FE5300"/>
    <w:rsid w:val="00FE609E"/>
    <w:rsid w:val="00FE76B3"/>
    <w:rsid w:val="00FF200F"/>
    <w:rsid w:val="00FF2D84"/>
    <w:rsid w:val="00FF4079"/>
    <w:rsid w:val="00FF70A9"/>
    <w:rsid w:val="00FF7F4D"/>
    <w:rsid w:val="0104C611"/>
    <w:rsid w:val="0120A337"/>
    <w:rsid w:val="016F25DD"/>
    <w:rsid w:val="01748AD7"/>
    <w:rsid w:val="01AFB4AE"/>
    <w:rsid w:val="01D77321"/>
    <w:rsid w:val="01F66EA2"/>
    <w:rsid w:val="01F73C21"/>
    <w:rsid w:val="020EC486"/>
    <w:rsid w:val="0226B090"/>
    <w:rsid w:val="02395990"/>
    <w:rsid w:val="024990B5"/>
    <w:rsid w:val="02533EC3"/>
    <w:rsid w:val="026CBD19"/>
    <w:rsid w:val="02DFB8ED"/>
    <w:rsid w:val="02E46F23"/>
    <w:rsid w:val="0304ED94"/>
    <w:rsid w:val="0364B371"/>
    <w:rsid w:val="037C1E92"/>
    <w:rsid w:val="03A01AE8"/>
    <w:rsid w:val="03C0FCFF"/>
    <w:rsid w:val="03F1B620"/>
    <w:rsid w:val="0401EA99"/>
    <w:rsid w:val="041B04A0"/>
    <w:rsid w:val="04311B7B"/>
    <w:rsid w:val="0437914E"/>
    <w:rsid w:val="04513530"/>
    <w:rsid w:val="049CBD21"/>
    <w:rsid w:val="04C82192"/>
    <w:rsid w:val="04F2AA67"/>
    <w:rsid w:val="05010EB7"/>
    <w:rsid w:val="052A078E"/>
    <w:rsid w:val="052E2F34"/>
    <w:rsid w:val="05322DBE"/>
    <w:rsid w:val="053B805C"/>
    <w:rsid w:val="055CCD60"/>
    <w:rsid w:val="05693285"/>
    <w:rsid w:val="057D3D4C"/>
    <w:rsid w:val="0596FEEB"/>
    <w:rsid w:val="05A839C2"/>
    <w:rsid w:val="05B249A9"/>
    <w:rsid w:val="05C24E85"/>
    <w:rsid w:val="05C50109"/>
    <w:rsid w:val="05EDEAB9"/>
    <w:rsid w:val="05F08FF6"/>
    <w:rsid w:val="0610AEB0"/>
    <w:rsid w:val="06171625"/>
    <w:rsid w:val="063AEF92"/>
    <w:rsid w:val="06A672B3"/>
    <w:rsid w:val="070A0541"/>
    <w:rsid w:val="0762CAE6"/>
    <w:rsid w:val="07861F86"/>
    <w:rsid w:val="079C7B1E"/>
    <w:rsid w:val="07B83220"/>
    <w:rsid w:val="0827BE19"/>
    <w:rsid w:val="0845C19F"/>
    <w:rsid w:val="084B35B3"/>
    <w:rsid w:val="0865D6BE"/>
    <w:rsid w:val="08691B43"/>
    <w:rsid w:val="086A5012"/>
    <w:rsid w:val="087CBAB7"/>
    <w:rsid w:val="0889AB1C"/>
    <w:rsid w:val="08A9A977"/>
    <w:rsid w:val="08EA6080"/>
    <w:rsid w:val="0912A118"/>
    <w:rsid w:val="0916D292"/>
    <w:rsid w:val="0969DB77"/>
    <w:rsid w:val="0970127D"/>
    <w:rsid w:val="0976B698"/>
    <w:rsid w:val="09954B07"/>
    <w:rsid w:val="09AB9529"/>
    <w:rsid w:val="09AD5712"/>
    <w:rsid w:val="09C945BD"/>
    <w:rsid w:val="09CC3D66"/>
    <w:rsid w:val="09E28506"/>
    <w:rsid w:val="0A1E1DE7"/>
    <w:rsid w:val="0A32742A"/>
    <w:rsid w:val="0A77E43F"/>
    <w:rsid w:val="0A8630E1"/>
    <w:rsid w:val="0AAF3CEC"/>
    <w:rsid w:val="0AF433DB"/>
    <w:rsid w:val="0B1B3F08"/>
    <w:rsid w:val="0B2EB7F6"/>
    <w:rsid w:val="0B404DC4"/>
    <w:rsid w:val="0B5F5EDB"/>
    <w:rsid w:val="0B805B3C"/>
    <w:rsid w:val="0BB19160"/>
    <w:rsid w:val="0C2BF2D0"/>
    <w:rsid w:val="0C35C7F3"/>
    <w:rsid w:val="0C3E2F60"/>
    <w:rsid w:val="0C3E794F"/>
    <w:rsid w:val="0C488111"/>
    <w:rsid w:val="0C4ED724"/>
    <w:rsid w:val="0C940439"/>
    <w:rsid w:val="0CC942FC"/>
    <w:rsid w:val="0D00353F"/>
    <w:rsid w:val="0D172F50"/>
    <w:rsid w:val="0D290F74"/>
    <w:rsid w:val="0D3BDE34"/>
    <w:rsid w:val="0D3C6BE5"/>
    <w:rsid w:val="0D459FA9"/>
    <w:rsid w:val="0D46EF9C"/>
    <w:rsid w:val="0D50A028"/>
    <w:rsid w:val="0D855B6C"/>
    <w:rsid w:val="0DC3400C"/>
    <w:rsid w:val="0DC3C3C6"/>
    <w:rsid w:val="0DE824D0"/>
    <w:rsid w:val="0E0199A2"/>
    <w:rsid w:val="0E1E3203"/>
    <w:rsid w:val="0E401687"/>
    <w:rsid w:val="0E42ECE4"/>
    <w:rsid w:val="0E5AE69B"/>
    <w:rsid w:val="0E7CA313"/>
    <w:rsid w:val="0E838F1F"/>
    <w:rsid w:val="0E9E06EC"/>
    <w:rsid w:val="0ED6E1B8"/>
    <w:rsid w:val="0EDE590D"/>
    <w:rsid w:val="0EFBE561"/>
    <w:rsid w:val="0F36B380"/>
    <w:rsid w:val="0F3AED91"/>
    <w:rsid w:val="0F5C7F36"/>
    <w:rsid w:val="0FBE4632"/>
    <w:rsid w:val="0FEB4A86"/>
    <w:rsid w:val="0FEEADAC"/>
    <w:rsid w:val="0FFDE74F"/>
    <w:rsid w:val="100847E1"/>
    <w:rsid w:val="1046CF90"/>
    <w:rsid w:val="1069E91D"/>
    <w:rsid w:val="10973ACE"/>
    <w:rsid w:val="109B64C6"/>
    <w:rsid w:val="10C3B9DB"/>
    <w:rsid w:val="10C596C7"/>
    <w:rsid w:val="110C310C"/>
    <w:rsid w:val="1129A274"/>
    <w:rsid w:val="113092A5"/>
    <w:rsid w:val="113A38FD"/>
    <w:rsid w:val="11A29F33"/>
    <w:rsid w:val="11BC2C00"/>
    <w:rsid w:val="11E7C8BC"/>
    <w:rsid w:val="1211DEB4"/>
    <w:rsid w:val="121827C4"/>
    <w:rsid w:val="1220B158"/>
    <w:rsid w:val="12775328"/>
    <w:rsid w:val="129D5E31"/>
    <w:rsid w:val="12BC194C"/>
    <w:rsid w:val="12E70245"/>
    <w:rsid w:val="12F2E1C2"/>
    <w:rsid w:val="13479F59"/>
    <w:rsid w:val="13711C50"/>
    <w:rsid w:val="138BDAFF"/>
    <w:rsid w:val="138D95CF"/>
    <w:rsid w:val="139154D2"/>
    <w:rsid w:val="139850F8"/>
    <w:rsid w:val="139B1D02"/>
    <w:rsid w:val="139BFF4B"/>
    <w:rsid w:val="13C0B8B1"/>
    <w:rsid w:val="13ECBDF3"/>
    <w:rsid w:val="14740F84"/>
    <w:rsid w:val="14C0CBF3"/>
    <w:rsid w:val="14DA68B2"/>
    <w:rsid w:val="14DD735D"/>
    <w:rsid w:val="1511782C"/>
    <w:rsid w:val="1515B054"/>
    <w:rsid w:val="1529A4E7"/>
    <w:rsid w:val="1531C2BF"/>
    <w:rsid w:val="153F9F79"/>
    <w:rsid w:val="154A7322"/>
    <w:rsid w:val="15575331"/>
    <w:rsid w:val="155C8912"/>
    <w:rsid w:val="1561DCFF"/>
    <w:rsid w:val="156EC243"/>
    <w:rsid w:val="157543F5"/>
    <w:rsid w:val="1598A980"/>
    <w:rsid w:val="15B735D3"/>
    <w:rsid w:val="15D09222"/>
    <w:rsid w:val="162A4CD0"/>
    <w:rsid w:val="163723A8"/>
    <w:rsid w:val="163F2DD3"/>
    <w:rsid w:val="1645A3D9"/>
    <w:rsid w:val="1664857A"/>
    <w:rsid w:val="16660885"/>
    <w:rsid w:val="166B52A8"/>
    <w:rsid w:val="167EB2D2"/>
    <w:rsid w:val="169032AE"/>
    <w:rsid w:val="169EBBB8"/>
    <w:rsid w:val="16A1826B"/>
    <w:rsid w:val="16AF6D88"/>
    <w:rsid w:val="16C1080E"/>
    <w:rsid w:val="17407158"/>
    <w:rsid w:val="174C17AF"/>
    <w:rsid w:val="1751C6A1"/>
    <w:rsid w:val="1779BC1B"/>
    <w:rsid w:val="178A9BE8"/>
    <w:rsid w:val="17D2F409"/>
    <w:rsid w:val="17E03C96"/>
    <w:rsid w:val="17F1429C"/>
    <w:rsid w:val="1805A86F"/>
    <w:rsid w:val="18277377"/>
    <w:rsid w:val="185D96B0"/>
    <w:rsid w:val="1862E9A4"/>
    <w:rsid w:val="186753DB"/>
    <w:rsid w:val="18749B9E"/>
    <w:rsid w:val="1881A9E2"/>
    <w:rsid w:val="18A93DCF"/>
    <w:rsid w:val="18B16E4B"/>
    <w:rsid w:val="18CB9B1A"/>
    <w:rsid w:val="1921B27A"/>
    <w:rsid w:val="192CEA11"/>
    <w:rsid w:val="1934D5D1"/>
    <w:rsid w:val="197BCE43"/>
    <w:rsid w:val="199050DD"/>
    <w:rsid w:val="19A08A86"/>
    <w:rsid w:val="19BE374E"/>
    <w:rsid w:val="19D0E458"/>
    <w:rsid w:val="1A07B223"/>
    <w:rsid w:val="1A0B5697"/>
    <w:rsid w:val="1A22E803"/>
    <w:rsid w:val="1A235152"/>
    <w:rsid w:val="1A23AC3C"/>
    <w:rsid w:val="1A353134"/>
    <w:rsid w:val="1A3B1616"/>
    <w:rsid w:val="1A5539BC"/>
    <w:rsid w:val="1A57C7FF"/>
    <w:rsid w:val="1A61792B"/>
    <w:rsid w:val="1A95AEFA"/>
    <w:rsid w:val="1A97F2A7"/>
    <w:rsid w:val="1AB12DC4"/>
    <w:rsid w:val="1ABB00D8"/>
    <w:rsid w:val="1ABE3CCD"/>
    <w:rsid w:val="1ACC392F"/>
    <w:rsid w:val="1AE14ED5"/>
    <w:rsid w:val="1B30727D"/>
    <w:rsid w:val="1B4B43CE"/>
    <w:rsid w:val="1B92ABFF"/>
    <w:rsid w:val="1B941F29"/>
    <w:rsid w:val="1B97570C"/>
    <w:rsid w:val="1BDDD0D6"/>
    <w:rsid w:val="1BF91A54"/>
    <w:rsid w:val="1C430FE2"/>
    <w:rsid w:val="1C59D341"/>
    <w:rsid w:val="1C6BFF89"/>
    <w:rsid w:val="1C6E73CB"/>
    <w:rsid w:val="1C8466F7"/>
    <w:rsid w:val="1C9E3B7B"/>
    <w:rsid w:val="1CB3428A"/>
    <w:rsid w:val="1CE7875E"/>
    <w:rsid w:val="1D0FD7B3"/>
    <w:rsid w:val="1D55B448"/>
    <w:rsid w:val="1D5A8CB3"/>
    <w:rsid w:val="1D60D284"/>
    <w:rsid w:val="1D98B8F4"/>
    <w:rsid w:val="1DB1115D"/>
    <w:rsid w:val="1DC5FEBD"/>
    <w:rsid w:val="1DD4FBE1"/>
    <w:rsid w:val="1DE4F9DF"/>
    <w:rsid w:val="1DE85941"/>
    <w:rsid w:val="1E15C52E"/>
    <w:rsid w:val="1E4CDB55"/>
    <w:rsid w:val="1E53B6B1"/>
    <w:rsid w:val="1E7E5C20"/>
    <w:rsid w:val="1E8B4EE1"/>
    <w:rsid w:val="1E8C9194"/>
    <w:rsid w:val="1EA115AA"/>
    <w:rsid w:val="1EBA55DB"/>
    <w:rsid w:val="1EBE2BD5"/>
    <w:rsid w:val="1ECB05A3"/>
    <w:rsid w:val="1EFD0039"/>
    <w:rsid w:val="1EFF479A"/>
    <w:rsid w:val="1F05B170"/>
    <w:rsid w:val="1F4FAD05"/>
    <w:rsid w:val="1F6386A3"/>
    <w:rsid w:val="1F73C6E9"/>
    <w:rsid w:val="1F8C1A88"/>
    <w:rsid w:val="1FBCB39D"/>
    <w:rsid w:val="1FD38BEF"/>
    <w:rsid w:val="2037F3A2"/>
    <w:rsid w:val="204555B0"/>
    <w:rsid w:val="204B96A6"/>
    <w:rsid w:val="20683AD7"/>
    <w:rsid w:val="206FD7DA"/>
    <w:rsid w:val="20864C56"/>
    <w:rsid w:val="208A551C"/>
    <w:rsid w:val="20AFB129"/>
    <w:rsid w:val="2109EC4E"/>
    <w:rsid w:val="2136139F"/>
    <w:rsid w:val="2155C07B"/>
    <w:rsid w:val="2179D64F"/>
    <w:rsid w:val="218876D8"/>
    <w:rsid w:val="218BA9F5"/>
    <w:rsid w:val="21A325E7"/>
    <w:rsid w:val="21EBB979"/>
    <w:rsid w:val="21EDEECE"/>
    <w:rsid w:val="21FD3A03"/>
    <w:rsid w:val="220810D3"/>
    <w:rsid w:val="220CD21F"/>
    <w:rsid w:val="2223AF07"/>
    <w:rsid w:val="2239268F"/>
    <w:rsid w:val="2244CF3F"/>
    <w:rsid w:val="224BA863"/>
    <w:rsid w:val="225B9E99"/>
    <w:rsid w:val="226DA262"/>
    <w:rsid w:val="2282C5C2"/>
    <w:rsid w:val="228A1CBE"/>
    <w:rsid w:val="22D80CC6"/>
    <w:rsid w:val="22DDF83F"/>
    <w:rsid w:val="22DF5928"/>
    <w:rsid w:val="22E93651"/>
    <w:rsid w:val="22EB017D"/>
    <w:rsid w:val="22ED3EF7"/>
    <w:rsid w:val="22F41DAF"/>
    <w:rsid w:val="22F71E1C"/>
    <w:rsid w:val="23156947"/>
    <w:rsid w:val="2325848F"/>
    <w:rsid w:val="232D4C8D"/>
    <w:rsid w:val="233C3513"/>
    <w:rsid w:val="236D4AD7"/>
    <w:rsid w:val="238E503F"/>
    <w:rsid w:val="23A19FFA"/>
    <w:rsid w:val="23A3E134"/>
    <w:rsid w:val="23ADE2FB"/>
    <w:rsid w:val="23D2E6F4"/>
    <w:rsid w:val="23F81448"/>
    <w:rsid w:val="243A5435"/>
    <w:rsid w:val="24990EA8"/>
    <w:rsid w:val="24B0233A"/>
    <w:rsid w:val="24CB8FFA"/>
    <w:rsid w:val="24CE9A2B"/>
    <w:rsid w:val="24DAAE24"/>
    <w:rsid w:val="24DE8175"/>
    <w:rsid w:val="24EE113B"/>
    <w:rsid w:val="24F97134"/>
    <w:rsid w:val="25144359"/>
    <w:rsid w:val="2525AB17"/>
    <w:rsid w:val="252A846A"/>
    <w:rsid w:val="2561FE2D"/>
    <w:rsid w:val="257422EE"/>
    <w:rsid w:val="2578C2B2"/>
    <w:rsid w:val="257E0FF8"/>
    <w:rsid w:val="2586DBF6"/>
    <w:rsid w:val="259E675E"/>
    <w:rsid w:val="25B14A1F"/>
    <w:rsid w:val="25BB9F6E"/>
    <w:rsid w:val="25BEBDE4"/>
    <w:rsid w:val="25DE9074"/>
    <w:rsid w:val="25E9340E"/>
    <w:rsid w:val="260A5232"/>
    <w:rsid w:val="2611F921"/>
    <w:rsid w:val="26201C5F"/>
    <w:rsid w:val="265F8227"/>
    <w:rsid w:val="2674E1E7"/>
    <w:rsid w:val="269A4341"/>
    <w:rsid w:val="26A6FA75"/>
    <w:rsid w:val="26B2B917"/>
    <w:rsid w:val="26B430BA"/>
    <w:rsid w:val="26D313AD"/>
    <w:rsid w:val="270BC5CE"/>
    <w:rsid w:val="27113268"/>
    <w:rsid w:val="271F49F5"/>
    <w:rsid w:val="2733DCE0"/>
    <w:rsid w:val="27431CE8"/>
    <w:rsid w:val="274D6BD9"/>
    <w:rsid w:val="274E4900"/>
    <w:rsid w:val="279A5F5F"/>
    <w:rsid w:val="279C6934"/>
    <w:rsid w:val="27B83E14"/>
    <w:rsid w:val="27C0B01A"/>
    <w:rsid w:val="27C2D2A9"/>
    <w:rsid w:val="27C5DB19"/>
    <w:rsid w:val="27D76CC2"/>
    <w:rsid w:val="27DC4FC0"/>
    <w:rsid w:val="27E917D3"/>
    <w:rsid w:val="280AC03F"/>
    <w:rsid w:val="2815D724"/>
    <w:rsid w:val="2861C162"/>
    <w:rsid w:val="28A1F3F3"/>
    <w:rsid w:val="28AEF1B2"/>
    <w:rsid w:val="28F2189F"/>
    <w:rsid w:val="29339CEA"/>
    <w:rsid w:val="294999E3"/>
    <w:rsid w:val="29813F82"/>
    <w:rsid w:val="298DD681"/>
    <w:rsid w:val="29A37F82"/>
    <w:rsid w:val="29B0AA5B"/>
    <w:rsid w:val="29B0F2C1"/>
    <w:rsid w:val="29BA1047"/>
    <w:rsid w:val="29C541A9"/>
    <w:rsid w:val="2A2D1B4C"/>
    <w:rsid w:val="2A4F6531"/>
    <w:rsid w:val="2A6077BF"/>
    <w:rsid w:val="2A930A2F"/>
    <w:rsid w:val="2A97AC14"/>
    <w:rsid w:val="2A99B212"/>
    <w:rsid w:val="2A9E2433"/>
    <w:rsid w:val="2AB8D586"/>
    <w:rsid w:val="2AB90E00"/>
    <w:rsid w:val="2AC34CE4"/>
    <w:rsid w:val="2ADB47F8"/>
    <w:rsid w:val="2AF1549E"/>
    <w:rsid w:val="2AF850DC"/>
    <w:rsid w:val="2B4FCE3D"/>
    <w:rsid w:val="2B79EB93"/>
    <w:rsid w:val="2B8B0EF7"/>
    <w:rsid w:val="2B91C4B2"/>
    <w:rsid w:val="2B9393F5"/>
    <w:rsid w:val="2BA84BD0"/>
    <w:rsid w:val="2BAA27EC"/>
    <w:rsid w:val="2BC1CB88"/>
    <w:rsid w:val="2C035ECA"/>
    <w:rsid w:val="2C1A6C7E"/>
    <w:rsid w:val="2C22BF3C"/>
    <w:rsid w:val="2C363CA0"/>
    <w:rsid w:val="2C47B47A"/>
    <w:rsid w:val="2C6A23C8"/>
    <w:rsid w:val="2C6B3DAC"/>
    <w:rsid w:val="2C80D5FE"/>
    <w:rsid w:val="2C8B5187"/>
    <w:rsid w:val="2C8F290F"/>
    <w:rsid w:val="2CD0EC8E"/>
    <w:rsid w:val="2CD3E096"/>
    <w:rsid w:val="2CEA78A2"/>
    <w:rsid w:val="2CFA420C"/>
    <w:rsid w:val="2CFED125"/>
    <w:rsid w:val="2D16A5FB"/>
    <w:rsid w:val="2D2F6456"/>
    <w:rsid w:val="2D38983E"/>
    <w:rsid w:val="2D4578FF"/>
    <w:rsid w:val="2D4E5AE2"/>
    <w:rsid w:val="2D58B8D6"/>
    <w:rsid w:val="2D5A6A3B"/>
    <w:rsid w:val="2D8494FC"/>
    <w:rsid w:val="2D97238C"/>
    <w:rsid w:val="2DD021A5"/>
    <w:rsid w:val="2DEC81AF"/>
    <w:rsid w:val="2DFB2CFB"/>
    <w:rsid w:val="2E04517F"/>
    <w:rsid w:val="2E2FF19E"/>
    <w:rsid w:val="2E46BCE6"/>
    <w:rsid w:val="2E49301B"/>
    <w:rsid w:val="2E4A7ED9"/>
    <w:rsid w:val="2E625801"/>
    <w:rsid w:val="2E8FCA9D"/>
    <w:rsid w:val="2E90E9CA"/>
    <w:rsid w:val="2E9C71F3"/>
    <w:rsid w:val="2ECB34B7"/>
    <w:rsid w:val="2ED20B80"/>
    <w:rsid w:val="2EEF546A"/>
    <w:rsid w:val="2EF0B94D"/>
    <w:rsid w:val="2F103692"/>
    <w:rsid w:val="2F12B7D1"/>
    <w:rsid w:val="2F20DBB8"/>
    <w:rsid w:val="2F469BFA"/>
    <w:rsid w:val="2F54F086"/>
    <w:rsid w:val="2F7345AF"/>
    <w:rsid w:val="2FA25756"/>
    <w:rsid w:val="2FA42721"/>
    <w:rsid w:val="2FC0A957"/>
    <w:rsid w:val="2FE4DC87"/>
    <w:rsid w:val="2FED49B6"/>
    <w:rsid w:val="300ADB2F"/>
    <w:rsid w:val="300D4BDD"/>
    <w:rsid w:val="304E46BD"/>
    <w:rsid w:val="30551B9B"/>
    <w:rsid w:val="306D1026"/>
    <w:rsid w:val="306D1F2B"/>
    <w:rsid w:val="3074C0CD"/>
    <w:rsid w:val="30788B89"/>
    <w:rsid w:val="308651CF"/>
    <w:rsid w:val="308698E0"/>
    <w:rsid w:val="30DC0106"/>
    <w:rsid w:val="30E3DFAF"/>
    <w:rsid w:val="31071DD5"/>
    <w:rsid w:val="312AADF3"/>
    <w:rsid w:val="313F1458"/>
    <w:rsid w:val="3144C669"/>
    <w:rsid w:val="3148F22D"/>
    <w:rsid w:val="316F48BE"/>
    <w:rsid w:val="31A48457"/>
    <w:rsid w:val="31CF5092"/>
    <w:rsid w:val="31D3C218"/>
    <w:rsid w:val="31D4ED69"/>
    <w:rsid w:val="31DF3815"/>
    <w:rsid w:val="31E19774"/>
    <w:rsid w:val="320AD6DC"/>
    <w:rsid w:val="32285996"/>
    <w:rsid w:val="3246E91F"/>
    <w:rsid w:val="325159A8"/>
    <w:rsid w:val="326B23AA"/>
    <w:rsid w:val="326BD25A"/>
    <w:rsid w:val="328E230F"/>
    <w:rsid w:val="32B8E9B3"/>
    <w:rsid w:val="32C668A5"/>
    <w:rsid w:val="32EFA3A4"/>
    <w:rsid w:val="330BDDD9"/>
    <w:rsid w:val="33209B8A"/>
    <w:rsid w:val="3347F175"/>
    <w:rsid w:val="3348ED94"/>
    <w:rsid w:val="336717E6"/>
    <w:rsid w:val="3385E77F"/>
    <w:rsid w:val="3396F4B5"/>
    <w:rsid w:val="339EA5DA"/>
    <w:rsid w:val="33EAE041"/>
    <w:rsid w:val="33FDBFE4"/>
    <w:rsid w:val="3418840E"/>
    <w:rsid w:val="341E421A"/>
    <w:rsid w:val="341F8D6D"/>
    <w:rsid w:val="3472BF86"/>
    <w:rsid w:val="348E8231"/>
    <w:rsid w:val="349836FC"/>
    <w:rsid w:val="34A1794B"/>
    <w:rsid w:val="34A2A68A"/>
    <w:rsid w:val="34A57B40"/>
    <w:rsid w:val="34A6C552"/>
    <w:rsid w:val="34BA1790"/>
    <w:rsid w:val="34E3FADE"/>
    <w:rsid w:val="34EF42BC"/>
    <w:rsid w:val="350D9EE4"/>
    <w:rsid w:val="351033C4"/>
    <w:rsid w:val="351F0966"/>
    <w:rsid w:val="354831F0"/>
    <w:rsid w:val="354CC0FD"/>
    <w:rsid w:val="3583F45F"/>
    <w:rsid w:val="35868B63"/>
    <w:rsid w:val="358A2EFF"/>
    <w:rsid w:val="35D277A5"/>
    <w:rsid w:val="35E3569F"/>
    <w:rsid w:val="35E5036E"/>
    <w:rsid w:val="35E754DC"/>
    <w:rsid w:val="35EC859E"/>
    <w:rsid w:val="35F94A37"/>
    <w:rsid w:val="36066953"/>
    <w:rsid w:val="361D675F"/>
    <w:rsid w:val="36323472"/>
    <w:rsid w:val="363B3707"/>
    <w:rsid w:val="363E76EB"/>
    <w:rsid w:val="364F206E"/>
    <w:rsid w:val="36619A7F"/>
    <w:rsid w:val="366D8E0E"/>
    <w:rsid w:val="3683F681"/>
    <w:rsid w:val="369B1AB8"/>
    <w:rsid w:val="36C560AC"/>
    <w:rsid w:val="36FE17B9"/>
    <w:rsid w:val="371A0E9B"/>
    <w:rsid w:val="372EC676"/>
    <w:rsid w:val="37363C71"/>
    <w:rsid w:val="37415539"/>
    <w:rsid w:val="375B8668"/>
    <w:rsid w:val="3780EB5C"/>
    <w:rsid w:val="37B441A0"/>
    <w:rsid w:val="37D1A9E5"/>
    <w:rsid w:val="37D6B08D"/>
    <w:rsid w:val="3839AFB5"/>
    <w:rsid w:val="386C9C87"/>
    <w:rsid w:val="38B4818D"/>
    <w:rsid w:val="38D62849"/>
    <w:rsid w:val="38F0217C"/>
    <w:rsid w:val="390558DF"/>
    <w:rsid w:val="39226463"/>
    <w:rsid w:val="394370A2"/>
    <w:rsid w:val="39CB932F"/>
    <w:rsid w:val="3A0344FF"/>
    <w:rsid w:val="3A0AAA44"/>
    <w:rsid w:val="3A2612A1"/>
    <w:rsid w:val="3A41D3FB"/>
    <w:rsid w:val="3A5AE345"/>
    <w:rsid w:val="3A6B2C95"/>
    <w:rsid w:val="3B33403D"/>
    <w:rsid w:val="3B506878"/>
    <w:rsid w:val="3B9A8D66"/>
    <w:rsid w:val="3B9EEAB5"/>
    <w:rsid w:val="3BD2A0F8"/>
    <w:rsid w:val="3BDDA6CE"/>
    <w:rsid w:val="3BEB3935"/>
    <w:rsid w:val="3BF1E7E7"/>
    <w:rsid w:val="3BF39348"/>
    <w:rsid w:val="3C174D10"/>
    <w:rsid w:val="3C2C6F9B"/>
    <w:rsid w:val="3C72FCAE"/>
    <w:rsid w:val="3C7DF39E"/>
    <w:rsid w:val="3C845255"/>
    <w:rsid w:val="3CD94EF3"/>
    <w:rsid w:val="3D023F5D"/>
    <w:rsid w:val="3D2DCC5F"/>
    <w:rsid w:val="3D347829"/>
    <w:rsid w:val="3D5BBCBB"/>
    <w:rsid w:val="3D733468"/>
    <w:rsid w:val="3DA606BD"/>
    <w:rsid w:val="3DA836D2"/>
    <w:rsid w:val="3DD75BF2"/>
    <w:rsid w:val="3E06FA59"/>
    <w:rsid w:val="3E3F1942"/>
    <w:rsid w:val="3E4A4DA6"/>
    <w:rsid w:val="3E5F0237"/>
    <w:rsid w:val="3E5FBA4A"/>
    <w:rsid w:val="3EBD8DC5"/>
    <w:rsid w:val="3ECA5DE1"/>
    <w:rsid w:val="3ECE70DD"/>
    <w:rsid w:val="3ED74D8C"/>
    <w:rsid w:val="3EF216C3"/>
    <w:rsid w:val="3F037EFB"/>
    <w:rsid w:val="3F171B5C"/>
    <w:rsid w:val="3F3463C5"/>
    <w:rsid w:val="3F83B9A3"/>
    <w:rsid w:val="3FCD42EA"/>
    <w:rsid w:val="3FE3D43D"/>
    <w:rsid w:val="3FEE132C"/>
    <w:rsid w:val="40357329"/>
    <w:rsid w:val="4094BFA5"/>
    <w:rsid w:val="4099ACA2"/>
    <w:rsid w:val="40C0D58E"/>
    <w:rsid w:val="40D5A8BC"/>
    <w:rsid w:val="40E48523"/>
    <w:rsid w:val="40F3F7F0"/>
    <w:rsid w:val="4111E90B"/>
    <w:rsid w:val="416CA8A9"/>
    <w:rsid w:val="4187928B"/>
    <w:rsid w:val="41896532"/>
    <w:rsid w:val="41A0A06F"/>
    <w:rsid w:val="41BEB5EB"/>
    <w:rsid w:val="41CB9187"/>
    <w:rsid w:val="41FE39BC"/>
    <w:rsid w:val="421013FE"/>
    <w:rsid w:val="42237429"/>
    <w:rsid w:val="4227A0B2"/>
    <w:rsid w:val="422E44D4"/>
    <w:rsid w:val="42312486"/>
    <w:rsid w:val="426F1DE6"/>
    <w:rsid w:val="42BF1509"/>
    <w:rsid w:val="42D5B0B7"/>
    <w:rsid w:val="42DAEE2A"/>
    <w:rsid w:val="42E39B27"/>
    <w:rsid w:val="42EFFE24"/>
    <w:rsid w:val="42F393D9"/>
    <w:rsid w:val="43038873"/>
    <w:rsid w:val="4367B3F2"/>
    <w:rsid w:val="437192B3"/>
    <w:rsid w:val="4390FEE8"/>
    <w:rsid w:val="43ACDC74"/>
    <w:rsid w:val="43C02AE2"/>
    <w:rsid w:val="43ECA4C4"/>
    <w:rsid w:val="441AB81D"/>
    <w:rsid w:val="441F9F38"/>
    <w:rsid w:val="44304EDE"/>
    <w:rsid w:val="443464AB"/>
    <w:rsid w:val="44600862"/>
    <w:rsid w:val="4490D0D6"/>
    <w:rsid w:val="449460E1"/>
    <w:rsid w:val="44D230D9"/>
    <w:rsid w:val="44D5AD63"/>
    <w:rsid w:val="44D7E704"/>
    <w:rsid w:val="44E5AC2B"/>
    <w:rsid w:val="44E6D4E7"/>
    <w:rsid w:val="44F718D8"/>
    <w:rsid w:val="450FEF58"/>
    <w:rsid w:val="451D1D71"/>
    <w:rsid w:val="45352811"/>
    <w:rsid w:val="453E182B"/>
    <w:rsid w:val="45527635"/>
    <w:rsid w:val="45656601"/>
    <w:rsid w:val="458732EE"/>
    <w:rsid w:val="4596E653"/>
    <w:rsid w:val="459B8846"/>
    <w:rsid w:val="45BC51DB"/>
    <w:rsid w:val="45CD68DD"/>
    <w:rsid w:val="45F7DB02"/>
    <w:rsid w:val="460C23C7"/>
    <w:rsid w:val="46120C3E"/>
    <w:rsid w:val="4615B2F1"/>
    <w:rsid w:val="46552276"/>
    <w:rsid w:val="467429F1"/>
    <w:rsid w:val="46760521"/>
    <w:rsid w:val="467FABCF"/>
    <w:rsid w:val="46A37C62"/>
    <w:rsid w:val="46B7B95C"/>
    <w:rsid w:val="47037BE8"/>
    <w:rsid w:val="470AF530"/>
    <w:rsid w:val="471C0D4B"/>
    <w:rsid w:val="47272BCA"/>
    <w:rsid w:val="476DFE05"/>
    <w:rsid w:val="476F1339"/>
    <w:rsid w:val="479C4181"/>
    <w:rsid w:val="47A973E7"/>
    <w:rsid w:val="47DDA95B"/>
    <w:rsid w:val="47E83991"/>
    <w:rsid w:val="47FBE83D"/>
    <w:rsid w:val="47FC7E66"/>
    <w:rsid w:val="48633686"/>
    <w:rsid w:val="487F4814"/>
    <w:rsid w:val="4898225F"/>
    <w:rsid w:val="489A1C0E"/>
    <w:rsid w:val="48CAC802"/>
    <w:rsid w:val="48E0FE8A"/>
    <w:rsid w:val="4912BD07"/>
    <w:rsid w:val="492B9F78"/>
    <w:rsid w:val="49446489"/>
    <w:rsid w:val="4965AE2C"/>
    <w:rsid w:val="4981511B"/>
    <w:rsid w:val="498391B0"/>
    <w:rsid w:val="49898F1B"/>
    <w:rsid w:val="498A0937"/>
    <w:rsid w:val="498E49E0"/>
    <w:rsid w:val="49A25E5E"/>
    <w:rsid w:val="49B50085"/>
    <w:rsid w:val="49B5235A"/>
    <w:rsid w:val="49B8E105"/>
    <w:rsid w:val="49C6978B"/>
    <w:rsid w:val="4A045546"/>
    <w:rsid w:val="4A1186FA"/>
    <w:rsid w:val="4A15E313"/>
    <w:rsid w:val="4A31D1BA"/>
    <w:rsid w:val="4A333DF5"/>
    <w:rsid w:val="4A55DAE3"/>
    <w:rsid w:val="4A5862B2"/>
    <w:rsid w:val="4A71E60C"/>
    <w:rsid w:val="4A729864"/>
    <w:rsid w:val="4A8BCA5E"/>
    <w:rsid w:val="4A8F6838"/>
    <w:rsid w:val="4A93B7E4"/>
    <w:rsid w:val="4AE5E763"/>
    <w:rsid w:val="4B222DF9"/>
    <w:rsid w:val="4B454574"/>
    <w:rsid w:val="4B54431A"/>
    <w:rsid w:val="4B66E316"/>
    <w:rsid w:val="4B6ECF8A"/>
    <w:rsid w:val="4B9E0EB3"/>
    <w:rsid w:val="4BBC6A94"/>
    <w:rsid w:val="4BBD6ED8"/>
    <w:rsid w:val="4BCA9EC9"/>
    <w:rsid w:val="4BCE70E0"/>
    <w:rsid w:val="4BE0F285"/>
    <w:rsid w:val="4BE20203"/>
    <w:rsid w:val="4BEA84DA"/>
    <w:rsid w:val="4BF72DCD"/>
    <w:rsid w:val="4C0B5A59"/>
    <w:rsid w:val="4C28593F"/>
    <w:rsid w:val="4C3C39D0"/>
    <w:rsid w:val="4C4EAD89"/>
    <w:rsid w:val="4C4EF570"/>
    <w:rsid w:val="4C8155D7"/>
    <w:rsid w:val="4C862940"/>
    <w:rsid w:val="4C8E70DF"/>
    <w:rsid w:val="4C9C118C"/>
    <w:rsid w:val="4CC1BE95"/>
    <w:rsid w:val="4CF3912A"/>
    <w:rsid w:val="4CF90F42"/>
    <w:rsid w:val="4D70118C"/>
    <w:rsid w:val="4DBEDFE5"/>
    <w:rsid w:val="4DCD720E"/>
    <w:rsid w:val="4DCDC48C"/>
    <w:rsid w:val="4DF009B4"/>
    <w:rsid w:val="4DF1E709"/>
    <w:rsid w:val="4DFA82C1"/>
    <w:rsid w:val="4E084DFF"/>
    <w:rsid w:val="4E364680"/>
    <w:rsid w:val="4E65E2C9"/>
    <w:rsid w:val="4E714572"/>
    <w:rsid w:val="4E9937F4"/>
    <w:rsid w:val="4EB70969"/>
    <w:rsid w:val="4ECD9EC0"/>
    <w:rsid w:val="4EFCB715"/>
    <w:rsid w:val="4F904871"/>
    <w:rsid w:val="4FB2DC23"/>
    <w:rsid w:val="4FC68B65"/>
    <w:rsid w:val="4FDD4DF0"/>
    <w:rsid w:val="500BE553"/>
    <w:rsid w:val="501BC3FC"/>
    <w:rsid w:val="504CE0E6"/>
    <w:rsid w:val="50C6A43E"/>
    <w:rsid w:val="50EBBECA"/>
    <w:rsid w:val="50FD41D9"/>
    <w:rsid w:val="51562B81"/>
    <w:rsid w:val="5171B9E9"/>
    <w:rsid w:val="517DB561"/>
    <w:rsid w:val="518923FE"/>
    <w:rsid w:val="51A9FBB0"/>
    <w:rsid w:val="51DA3EB2"/>
    <w:rsid w:val="51F042C9"/>
    <w:rsid w:val="52077936"/>
    <w:rsid w:val="52084C10"/>
    <w:rsid w:val="52315FDF"/>
    <w:rsid w:val="52377B65"/>
    <w:rsid w:val="526B44B0"/>
    <w:rsid w:val="526C1760"/>
    <w:rsid w:val="5279E1F0"/>
    <w:rsid w:val="527DF1C2"/>
    <w:rsid w:val="529632C8"/>
    <w:rsid w:val="529E8C60"/>
    <w:rsid w:val="52ACFB91"/>
    <w:rsid w:val="52B9143A"/>
    <w:rsid w:val="52D92C31"/>
    <w:rsid w:val="52F1FBE2"/>
    <w:rsid w:val="52F82BB8"/>
    <w:rsid w:val="530B4D6B"/>
    <w:rsid w:val="53149132"/>
    <w:rsid w:val="53214B9F"/>
    <w:rsid w:val="5324D178"/>
    <w:rsid w:val="5335920B"/>
    <w:rsid w:val="53582FE9"/>
    <w:rsid w:val="536946C6"/>
    <w:rsid w:val="53734292"/>
    <w:rsid w:val="537492A9"/>
    <w:rsid w:val="53B4461C"/>
    <w:rsid w:val="53CB8394"/>
    <w:rsid w:val="53DE1A9C"/>
    <w:rsid w:val="53F77925"/>
    <w:rsid w:val="53FAC417"/>
    <w:rsid w:val="5416F7CE"/>
    <w:rsid w:val="54395341"/>
    <w:rsid w:val="54480C08"/>
    <w:rsid w:val="544DBA69"/>
    <w:rsid w:val="548A071A"/>
    <w:rsid w:val="54BBAE06"/>
    <w:rsid w:val="54BDA426"/>
    <w:rsid w:val="55152A28"/>
    <w:rsid w:val="553F87D3"/>
    <w:rsid w:val="556D71C9"/>
    <w:rsid w:val="557F29AF"/>
    <w:rsid w:val="5582F04C"/>
    <w:rsid w:val="558C8E59"/>
    <w:rsid w:val="558EA898"/>
    <w:rsid w:val="559F1926"/>
    <w:rsid w:val="55A55116"/>
    <w:rsid w:val="55D7B3AE"/>
    <w:rsid w:val="55D8FA41"/>
    <w:rsid w:val="55E19F49"/>
    <w:rsid w:val="560DDBD1"/>
    <w:rsid w:val="56323038"/>
    <w:rsid w:val="566F6760"/>
    <w:rsid w:val="5687EB29"/>
    <w:rsid w:val="56983716"/>
    <w:rsid w:val="56BA51D0"/>
    <w:rsid w:val="56C35AD8"/>
    <w:rsid w:val="56C52852"/>
    <w:rsid w:val="56F15180"/>
    <w:rsid w:val="56F6C89B"/>
    <w:rsid w:val="570275AC"/>
    <w:rsid w:val="57097E9C"/>
    <w:rsid w:val="5723A7CA"/>
    <w:rsid w:val="574E4BDA"/>
    <w:rsid w:val="574F189B"/>
    <w:rsid w:val="5759128F"/>
    <w:rsid w:val="575ACF7F"/>
    <w:rsid w:val="5782CEBD"/>
    <w:rsid w:val="57BBBA12"/>
    <w:rsid w:val="57D9A6D9"/>
    <w:rsid w:val="581C6140"/>
    <w:rsid w:val="5855CBA6"/>
    <w:rsid w:val="58807C3B"/>
    <w:rsid w:val="58A6CEAE"/>
    <w:rsid w:val="58CBD489"/>
    <w:rsid w:val="58E887FC"/>
    <w:rsid w:val="593F97FC"/>
    <w:rsid w:val="59457C93"/>
    <w:rsid w:val="5947126F"/>
    <w:rsid w:val="595F8210"/>
    <w:rsid w:val="598CDDDC"/>
    <w:rsid w:val="5995321F"/>
    <w:rsid w:val="59A56A0C"/>
    <w:rsid w:val="59B08D33"/>
    <w:rsid w:val="59E2628A"/>
    <w:rsid w:val="5A1CF4FB"/>
    <w:rsid w:val="5A41F582"/>
    <w:rsid w:val="5A6442F2"/>
    <w:rsid w:val="5A728A49"/>
    <w:rsid w:val="5A9C6547"/>
    <w:rsid w:val="5ABAF10D"/>
    <w:rsid w:val="5AE14CF4"/>
    <w:rsid w:val="5B014162"/>
    <w:rsid w:val="5B04886F"/>
    <w:rsid w:val="5B0AB30B"/>
    <w:rsid w:val="5B22853D"/>
    <w:rsid w:val="5B381F31"/>
    <w:rsid w:val="5B399C83"/>
    <w:rsid w:val="5B3E3246"/>
    <w:rsid w:val="5B6EF29B"/>
    <w:rsid w:val="5BA1F82E"/>
    <w:rsid w:val="5BBB0F9B"/>
    <w:rsid w:val="5BC1E713"/>
    <w:rsid w:val="5BC26120"/>
    <w:rsid w:val="5BF141D1"/>
    <w:rsid w:val="5C15BDB5"/>
    <w:rsid w:val="5C20D96C"/>
    <w:rsid w:val="5C694850"/>
    <w:rsid w:val="5C8B653B"/>
    <w:rsid w:val="5CA9FF6A"/>
    <w:rsid w:val="5CC1BB57"/>
    <w:rsid w:val="5CE19595"/>
    <w:rsid w:val="5D0919C3"/>
    <w:rsid w:val="5D5FFD65"/>
    <w:rsid w:val="5D7A4E48"/>
    <w:rsid w:val="5D946867"/>
    <w:rsid w:val="5D9811B5"/>
    <w:rsid w:val="5DB914B7"/>
    <w:rsid w:val="5DCE3C55"/>
    <w:rsid w:val="5DD6F49C"/>
    <w:rsid w:val="5DD8102F"/>
    <w:rsid w:val="5DF57B05"/>
    <w:rsid w:val="5DFA22B1"/>
    <w:rsid w:val="5E031A6E"/>
    <w:rsid w:val="5E3B2F73"/>
    <w:rsid w:val="5E64958D"/>
    <w:rsid w:val="5E8AD177"/>
    <w:rsid w:val="5E9195FE"/>
    <w:rsid w:val="5E954314"/>
    <w:rsid w:val="5E95A019"/>
    <w:rsid w:val="5EA2E411"/>
    <w:rsid w:val="5F334ECC"/>
    <w:rsid w:val="5F40E2F1"/>
    <w:rsid w:val="5F54E518"/>
    <w:rsid w:val="5F5A5A55"/>
    <w:rsid w:val="5F6A8561"/>
    <w:rsid w:val="5F8AF449"/>
    <w:rsid w:val="5FA5A82C"/>
    <w:rsid w:val="5FAED17F"/>
    <w:rsid w:val="6041CCB6"/>
    <w:rsid w:val="60492763"/>
    <w:rsid w:val="604B33E9"/>
    <w:rsid w:val="6056BA86"/>
    <w:rsid w:val="6062A996"/>
    <w:rsid w:val="607C7FA7"/>
    <w:rsid w:val="60946DE4"/>
    <w:rsid w:val="60C7FBAA"/>
    <w:rsid w:val="61019DDC"/>
    <w:rsid w:val="6109DF0D"/>
    <w:rsid w:val="6137E555"/>
    <w:rsid w:val="61858AAD"/>
    <w:rsid w:val="618D6537"/>
    <w:rsid w:val="61D7AFB8"/>
    <w:rsid w:val="61DEBAAC"/>
    <w:rsid w:val="61EEFE7A"/>
    <w:rsid w:val="61FF1F58"/>
    <w:rsid w:val="620C6234"/>
    <w:rsid w:val="62103B44"/>
    <w:rsid w:val="6225944F"/>
    <w:rsid w:val="62287D77"/>
    <w:rsid w:val="62913D62"/>
    <w:rsid w:val="62996299"/>
    <w:rsid w:val="62A8391D"/>
    <w:rsid w:val="62C412D0"/>
    <w:rsid w:val="62DF8D35"/>
    <w:rsid w:val="62FB3777"/>
    <w:rsid w:val="63005877"/>
    <w:rsid w:val="634047B7"/>
    <w:rsid w:val="636E0ADC"/>
    <w:rsid w:val="637A1B81"/>
    <w:rsid w:val="63A21ACC"/>
    <w:rsid w:val="63E801A4"/>
    <w:rsid w:val="6403C260"/>
    <w:rsid w:val="64108C76"/>
    <w:rsid w:val="6410B4DE"/>
    <w:rsid w:val="641730D6"/>
    <w:rsid w:val="642D0DC3"/>
    <w:rsid w:val="649D37A5"/>
    <w:rsid w:val="6512B2AF"/>
    <w:rsid w:val="6525B123"/>
    <w:rsid w:val="653961DE"/>
    <w:rsid w:val="65579E59"/>
    <w:rsid w:val="655C8C9B"/>
    <w:rsid w:val="656D2617"/>
    <w:rsid w:val="657E19C5"/>
    <w:rsid w:val="65B0DB1C"/>
    <w:rsid w:val="65BF4ED5"/>
    <w:rsid w:val="65DB9049"/>
    <w:rsid w:val="6613D4DA"/>
    <w:rsid w:val="662C694F"/>
    <w:rsid w:val="667AF644"/>
    <w:rsid w:val="6699ECEE"/>
    <w:rsid w:val="66C728EB"/>
    <w:rsid w:val="66CC2D92"/>
    <w:rsid w:val="670862AF"/>
    <w:rsid w:val="6708F2E8"/>
    <w:rsid w:val="674BF99F"/>
    <w:rsid w:val="674D4413"/>
    <w:rsid w:val="67817790"/>
    <w:rsid w:val="6786F938"/>
    <w:rsid w:val="678DBA3C"/>
    <w:rsid w:val="678F00E9"/>
    <w:rsid w:val="67C09586"/>
    <w:rsid w:val="67D3DC84"/>
    <w:rsid w:val="67F5BFA0"/>
    <w:rsid w:val="6815C98C"/>
    <w:rsid w:val="68181C0D"/>
    <w:rsid w:val="68B27A51"/>
    <w:rsid w:val="68C14F3F"/>
    <w:rsid w:val="68C369B3"/>
    <w:rsid w:val="68FBBA06"/>
    <w:rsid w:val="68FFF8FD"/>
    <w:rsid w:val="692C8049"/>
    <w:rsid w:val="6938349D"/>
    <w:rsid w:val="69395DF5"/>
    <w:rsid w:val="69452606"/>
    <w:rsid w:val="694F06B2"/>
    <w:rsid w:val="69656AC6"/>
    <w:rsid w:val="6970425C"/>
    <w:rsid w:val="698034E5"/>
    <w:rsid w:val="69B37C0C"/>
    <w:rsid w:val="69B930F1"/>
    <w:rsid w:val="6A0A9695"/>
    <w:rsid w:val="6A2CF6CD"/>
    <w:rsid w:val="6A396B99"/>
    <w:rsid w:val="6A7552BC"/>
    <w:rsid w:val="6A9B861A"/>
    <w:rsid w:val="6AB821A4"/>
    <w:rsid w:val="6AD1B27A"/>
    <w:rsid w:val="6AE88639"/>
    <w:rsid w:val="6AE8F14F"/>
    <w:rsid w:val="6AF72396"/>
    <w:rsid w:val="6B08374D"/>
    <w:rsid w:val="6B0F101C"/>
    <w:rsid w:val="6B2089F3"/>
    <w:rsid w:val="6B7947BD"/>
    <w:rsid w:val="6B89DD49"/>
    <w:rsid w:val="6BBD59D5"/>
    <w:rsid w:val="6BC6F3A5"/>
    <w:rsid w:val="6BD4F92D"/>
    <w:rsid w:val="6BDEAE85"/>
    <w:rsid w:val="6BF1C1BB"/>
    <w:rsid w:val="6C2942B1"/>
    <w:rsid w:val="6C4CD373"/>
    <w:rsid w:val="6C78C4D3"/>
    <w:rsid w:val="6C88C464"/>
    <w:rsid w:val="6C9D6FA4"/>
    <w:rsid w:val="6CB805A3"/>
    <w:rsid w:val="6CD02F04"/>
    <w:rsid w:val="6CE95E4C"/>
    <w:rsid w:val="6D0D0CD7"/>
    <w:rsid w:val="6D4645FF"/>
    <w:rsid w:val="6D5CF8D2"/>
    <w:rsid w:val="6D7C222F"/>
    <w:rsid w:val="6D90AB2B"/>
    <w:rsid w:val="6DAB4A95"/>
    <w:rsid w:val="6E0950DF"/>
    <w:rsid w:val="6E374424"/>
    <w:rsid w:val="6E697E80"/>
    <w:rsid w:val="6E723B67"/>
    <w:rsid w:val="6E82A6DD"/>
    <w:rsid w:val="6E9D971B"/>
    <w:rsid w:val="6EA60047"/>
    <w:rsid w:val="6EA793F6"/>
    <w:rsid w:val="6EB411C8"/>
    <w:rsid w:val="6EB91869"/>
    <w:rsid w:val="6EE5524B"/>
    <w:rsid w:val="6F0A6DA6"/>
    <w:rsid w:val="6F101378"/>
    <w:rsid w:val="6F59CE0B"/>
    <w:rsid w:val="6F7881C4"/>
    <w:rsid w:val="6F83F2B4"/>
    <w:rsid w:val="6F9FD132"/>
    <w:rsid w:val="6FD81DBF"/>
    <w:rsid w:val="70682BEE"/>
    <w:rsid w:val="708C4EB3"/>
    <w:rsid w:val="70934DA7"/>
    <w:rsid w:val="70AD9E22"/>
    <w:rsid w:val="70F2C593"/>
    <w:rsid w:val="714ADD59"/>
    <w:rsid w:val="71508356"/>
    <w:rsid w:val="71887530"/>
    <w:rsid w:val="7189E1F2"/>
    <w:rsid w:val="71AC7AFF"/>
    <w:rsid w:val="71D074A7"/>
    <w:rsid w:val="71DC7BAB"/>
    <w:rsid w:val="71E68CD0"/>
    <w:rsid w:val="71E88322"/>
    <w:rsid w:val="71F782B3"/>
    <w:rsid w:val="7218E45B"/>
    <w:rsid w:val="72254BC8"/>
    <w:rsid w:val="722ED3AE"/>
    <w:rsid w:val="723B2BAE"/>
    <w:rsid w:val="72450BE2"/>
    <w:rsid w:val="72963920"/>
    <w:rsid w:val="72A8BBA4"/>
    <w:rsid w:val="72AA885A"/>
    <w:rsid w:val="72B07B6B"/>
    <w:rsid w:val="72B9D686"/>
    <w:rsid w:val="72CA07F0"/>
    <w:rsid w:val="72FC812E"/>
    <w:rsid w:val="7321CA09"/>
    <w:rsid w:val="734BAA83"/>
    <w:rsid w:val="734CBB8C"/>
    <w:rsid w:val="735B1BAA"/>
    <w:rsid w:val="7365B0AC"/>
    <w:rsid w:val="736F6773"/>
    <w:rsid w:val="738FC448"/>
    <w:rsid w:val="73931298"/>
    <w:rsid w:val="73A5B91F"/>
    <w:rsid w:val="73B4759C"/>
    <w:rsid w:val="73FAA431"/>
    <w:rsid w:val="74755A61"/>
    <w:rsid w:val="74765660"/>
    <w:rsid w:val="74803BF1"/>
    <w:rsid w:val="74B3F0EF"/>
    <w:rsid w:val="74CC32F4"/>
    <w:rsid w:val="7504752D"/>
    <w:rsid w:val="7521D749"/>
    <w:rsid w:val="7536F480"/>
    <w:rsid w:val="755EC18A"/>
    <w:rsid w:val="756AFACE"/>
    <w:rsid w:val="75B2B824"/>
    <w:rsid w:val="75BB9165"/>
    <w:rsid w:val="760A1492"/>
    <w:rsid w:val="761CA5E5"/>
    <w:rsid w:val="7670893F"/>
    <w:rsid w:val="76A841E3"/>
    <w:rsid w:val="76ADFE19"/>
    <w:rsid w:val="77059F48"/>
    <w:rsid w:val="772CFAD4"/>
    <w:rsid w:val="773FCF4E"/>
    <w:rsid w:val="77595BFD"/>
    <w:rsid w:val="775E57A4"/>
    <w:rsid w:val="77D130C0"/>
    <w:rsid w:val="780DF72E"/>
    <w:rsid w:val="783B13F9"/>
    <w:rsid w:val="784BCD62"/>
    <w:rsid w:val="7853662F"/>
    <w:rsid w:val="789AFA1F"/>
    <w:rsid w:val="78A5E55F"/>
    <w:rsid w:val="78A7E77A"/>
    <w:rsid w:val="78B2B6E2"/>
    <w:rsid w:val="78D7CCC0"/>
    <w:rsid w:val="78E6F96A"/>
    <w:rsid w:val="78F0741A"/>
    <w:rsid w:val="78F1C6A5"/>
    <w:rsid w:val="78F9B42B"/>
    <w:rsid w:val="790A7E92"/>
    <w:rsid w:val="7911AC9D"/>
    <w:rsid w:val="79144016"/>
    <w:rsid w:val="79367AA7"/>
    <w:rsid w:val="795EA446"/>
    <w:rsid w:val="7994A686"/>
    <w:rsid w:val="79DE6118"/>
    <w:rsid w:val="79E99DF3"/>
    <w:rsid w:val="7A134C7B"/>
    <w:rsid w:val="7A1A3609"/>
    <w:rsid w:val="7A6EA07A"/>
    <w:rsid w:val="7A6F941B"/>
    <w:rsid w:val="7A7715B6"/>
    <w:rsid w:val="7AB931EA"/>
    <w:rsid w:val="7AF01708"/>
    <w:rsid w:val="7B0458E4"/>
    <w:rsid w:val="7B3D5FE5"/>
    <w:rsid w:val="7B8F6568"/>
    <w:rsid w:val="7B9F1978"/>
    <w:rsid w:val="7BA1C8BE"/>
    <w:rsid w:val="7BBE2F71"/>
    <w:rsid w:val="7BCF1721"/>
    <w:rsid w:val="7BE6ED7A"/>
    <w:rsid w:val="7BF1487E"/>
    <w:rsid w:val="7C296767"/>
    <w:rsid w:val="7C312AE2"/>
    <w:rsid w:val="7C34ED9B"/>
    <w:rsid w:val="7C5EE80F"/>
    <w:rsid w:val="7CA6E23F"/>
    <w:rsid w:val="7CC825AC"/>
    <w:rsid w:val="7CE196D3"/>
    <w:rsid w:val="7D092E1E"/>
    <w:rsid w:val="7D2FAA73"/>
    <w:rsid w:val="7D42CFA5"/>
    <w:rsid w:val="7D4CEC43"/>
    <w:rsid w:val="7DA170D6"/>
    <w:rsid w:val="7DA9C811"/>
    <w:rsid w:val="7DAEE14D"/>
    <w:rsid w:val="7DE8E44B"/>
    <w:rsid w:val="7DFEAD07"/>
    <w:rsid w:val="7E0BB7AA"/>
    <w:rsid w:val="7E0FEF56"/>
    <w:rsid w:val="7E1CAED0"/>
    <w:rsid w:val="7E531009"/>
    <w:rsid w:val="7E6442B1"/>
    <w:rsid w:val="7E6BD623"/>
    <w:rsid w:val="7E78E7CA"/>
    <w:rsid w:val="7E8F8301"/>
    <w:rsid w:val="7E929E3D"/>
    <w:rsid w:val="7E9B2894"/>
    <w:rsid w:val="7EA15371"/>
    <w:rsid w:val="7ED70D9E"/>
    <w:rsid w:val="7EDFB194"/>
    <w:rsid w:val="7EEF00CD"/>
    <w:rsid w:val="7F264BBB"/>
    <w:rsid w:val="7F69F5CE"/>
    <w:rsid w:val="7F98C09A"/>
    <w:rsid w:val="7FA04332"/>
    <w:rsid w:val="7FB6BD24"/>
    <w:rsid w:val="7FC64897"/>
    <w:rsid w:val="7FD9F154"/>
    <w:rsid w:val="7FFD12F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33C62C2"/>
  <w15:chartTrackingRefBased/>
  <w15:docId w15:val="{898C03AB-8CAE-40A3-997C-3C649EDF9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0D1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87CDD"/>
    <w:pPr>
      <w:keepNext/>
      <w:keepLines/>
      <w:numPr>
        <w:numId w:val="5"/>
      </w:numPr>
      <w:spacing w:before="240" w:after="120"/>
      <w:jc w:val="center"/>
      <w:outlineLvl w:val="0"/>
    </w:pPr>
    <w:rPr>
      <w:rFonts w:asciiTheme="majorHAnsi" w:eastAsiaTheme="majorEastAsia" w:hAnsiTheme="majorHAnsi" w:cstheme="majorBidi"/>
      <w:b/>
      <w:szCs w:val="32"/>
    </w:rPr>
  </w:style>
  <w:style w:type="paragraph" w:styleId="Heading2">
    <w:name w:val="heading 2"/>
    <w:basedOn w:val="Normal"/>
    <w:next w:val="Normal"/>
    <w:link w:val="Heading2Char"/>
    <w:uiPriority w:val="9"/>
    <w:unhideWhenUsed/>
    <w:qFormat/>
    <w:rsid w:val="00D74FF4"/>
    <w:pPr>
      <w:keepNext/>
      <w:keepLines/>
      <w:numPr>
        <w:ilvl w:val="1"/>
        <w:numId w:val="5"/>
      </w:numPr>
      <w:spacing w:before="240" w:after="160"/>
      <w:outlineLvl w:val="1"/>
    </w:pPr>
    <w:rPr>
      <w:rFonts w:asciiTheme="majorHAnsi" w:eastAsiaTheme="majorEastAsia" w:hAnsiTheme="majorHAnsi" w:cstheme="majorBidi"/>
      <w:szCs w:val="26"/>
      <w:u w:val="single"/>
    </w:rPr>
  </w:style>
  <w:style w:type="paragraph" w:styleId="Heading3">
    <w:name w:val="heading 3"/>
    <w:basedOn w:val="Normal"/>
    <w:next w:val="Normal"/>
    <w:link w:val="Heading3Char"/>
    <w:uiPriority w:val="9"/>
    <w:unhideWhenUsed/>
    <w:qFormat/>
    <w:rsid w:val="00D74FF4"/>
    <w:pPr>
      <w:keepNext/>
      <w:keepLines/>
      <w:numPr>
        <w:ilvl w:val="2"/>
        <w:numId w:val="5"/>
      </w:numPr>
      <w:spacing w:before="160" w:after="160"/>
      <w:outlineLvl w:val="2"/>
    </w:pPr>
    <w:rPr>
      <w:rFonts w:asciiTheme="majorHAnsi" w:eastAsiaTheme="majorEastAsia" w:hAnsiTheme="majorHAnsi" w:cstheme="majorBidi"/>
      <w:i/>
    </w:rPr>
  </w:style>
  <w:style w:type="paragraph" w:styleId="Heading4">
    <w:name w:val="heading 4"/>
    <w:basedOn w:val="Normal"/>
    <w:next w:val="Normal"/>
    <w:link w:val="Heading4Char"/>
    <w:uiPriority w:val="9"/>
    <w:unhideWhenUsed/>
    <w:qFormat/>
    <w:rsid w:val="00D74FF4"/>
    <w:pPr>
      <w:numPr>
        <w:ilvl w:val="3"/>
        <w:numId w:val="5"/>
      </w:numPr>
      <w:spacing w:before="160" w:after="160"/>
      <w:outlineLvl w:val="3"/>
    </w:pPr>
    <w:rPr>
      <w:rFonts w:asciiTheme="majorHAnsi" w:eastAsiaTheme="majorEastAsia" w:hAnsiTheme="majorHAnsi" w:cstheme="majorBidi"/>
      <w:iCs/>
      <w:szCs w:val="22"/>
    </w:rPr>
  </w:style>
  <w:style w:type="paragraph" w:styleId="Heading5">
    <w:name w:val="heading 5"/>
    <w:basedOn w:val="Normal"/>
    <w:next w:val="Normal"/>
    <w:link w:val="Heading5Char"/>
    <w:uiPriority w:val="9"/>
    <w:semiHidden/>
    <w:unhideWhenUsed/>
    <w:qFormat/>
    <w:rsid w:val="00A87CDD"/>
    <w:pPr>
      <w:keepNext/>
      <w:keepLines/>
      <w:numPr>
        <w:ilvl w:val="4"/>
        <w:numId w:val="5"/>
      </w:numPr>
      <w:spacing w:before="40"/>
      <w:outlineLvl w:val="4"/>
    </w:pPr>
    <w:rPr>
      <w:rFonts w:asciiTheme="majorHAnsi" w:eastAsiaTheme="majorEastAsia" w:hAnsiTheme="majorHAnsi" w:cstheme="majorBidi"/>
      <w:color w:val="2E74B5" w:themeColor="accent1" w:themeShade="BF"/>
      <w:szCs w:val="22"/>
    </w:rPr>
  </w:style>
  <w:style w:type="paragraph" w:styleId="Heading6">
    <w:name w:val="heading 6"/>
    <w:basedOn w:val="Normal"/>
    <w:next w:val="Normal"/>
    <w:link w:val="Heading6Char"/>
    <w:uiPriority w:val="9"/>
    <w:semiHidden/>
    <w:unhideWhenUsed/>
    <w:qFormat/>
    <w:rsid w:val="00A87CDD"/>
    <w:pPr>
      <w:keepNext/>
      <w:keepLines/>
      <w:numPr>
        <w:ilvl w:val="5"/>
        <w:numId w:val="5"/>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A87CDD"/>
    <w:pPr>
      <w:keepNext/>
      <w:keepLines/>
      <w:numPr>
        <w:ilvl w:val="6"/>
        <w:numId w:val="5"/>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A87CDD"/>
    <w:pPr>
      <w:keepNext/>
      <w:keepLines/>
      <w:numPr>
        <w:ilvl w:val="7"/>
        <w:numId w:val="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87CDD"/>
    <w:pPr>
      <w:keepNext/>
      <w:keepLines/>
      <w:numPr>
        <w:ilvl w:val="8"/>
        <w:numId w:val="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Bullets">
    <w:name w:val="Bullets"/>
    <w:uiPriority w:val="99"/>
    <w:rsid w:val="003B2743"/>
    <w:pPr>
      <w:numPr>
        <w:numId w:val="1"/>
      </w:numPr>
    </w:pPr>
  </w:style>
  <w:style w:type="paragraph" w:styleId="BodyText">
    <w:name w:val="Body Text"/>
    <w:basedOn w:val="Normal"/>
    <w:link w:val="BodyTextChar"/>
    <w:uiPriority w:val="99"/>
    <w:unhideWhenUsed/>
    <w:rsid w:val="00A87CDD"/>
    <w:pPr>
      <w:spacing w:before="120" w:after="120"/>
    </w:pPr>
    <w:rPr>
      <w:rFonts w:asciiTheme="minorHAnsi" w:eastAsiaTheme="minorHAnsi" w:hAnsiTheme="minorHAnsi" w:cstheme="minorBidi"/>
      <w:szCs w:val="22"/>
    </w:rPr>
  </w:style>
  <w:style w:type="character" w:customStyle="1" w:styleId="BodyTextChar">
    <w:name w:val="Body Text Char"/>
    <w:basedOn w:val="DefaultParagraphFont"/>
    <w:link w:val="BodyText"/>
    <w:uiPriority w:val="99"/>
    <w:rsid w:val="00A87CDD"/>
    <w:rPr>
      <w:sz w:val="24"/>
    </w:rPr>
  </w:style>
  <w:style w:type="character" w:customStyle="1" w:styleId="Heading1Char">
    <w:name w:val="Heading 1 Char"/>
    <w:basedOn w:val="DefaultParagraphFont"/>
    <w:link w:val="Heading1"/>
    <w:uiPriority w:val="9"/>
    <w:rsid w:val="00A87CDD"/>
    <w:rPr>
      <w:rFonts w:asciiTheme="majorHAnsi" w:eastAsiaTheme="majorEastAsia" w:hAnsiTheme="majorHAnsi" w:cstheme="majorBidi"/>
      <w:b/>
      <w:sz w:val="24"/>
      <w:szCs w:val="32"/>
    </w:rPr>
  </w:style>
  <w:style w:type="character" w:customStyle="1" w:styleId="Heading2Char">
    <w:name w:val="Heading 2 Char"/>
    <w:basedOn w:val="DefaultParagraphFont"/>
    <w:link w:val="Heading2"/>
    <w:uiPriority w:val="9"/>
    <w:rsid w:val="00D74FF4"/>
    <w:rPr>
      <w:rFonts w:asciiTheme="majorHAnsi" w:eastAsiaTheme="majorEastAsia" w:hAnsiTheme="majorHAnsi" w:cstheme="majorBidi"/>
      <w:sz w:val="24"/>
      <w:szCs w:val="26"/>
      <w:u w:val="single"/>
    </w:rPr>
  </w:style>
  <w:style w:type="character" w:styleId="FootnoteReference">
    <w:name w:val="footnote reference"/>
    <w:uiPriority w:val="99"/>
    <w:rsid w:val="00A87CDD"/>
  </w:style>
  <w:style w:type="paragraph" w:styleId="FootnoteText">
    <w:name w:val="footnote text"/>
    <w:basedOn w:val="Normal"/>
    <w:link w:val="FootnoteTextChar"/>
    <w:uiPriority w:val="99"/>
    <w:rsid w:val="00A87CDD"/>
    <w:pPr>
      <w:widowControl w:val="0"/>
      <w:autoSpaceDE w:val="0"/>
      <w:autoSpaceDN w:val="0"/>
      <w:adjustRightInd w:val="0"/>
      <w:spacing w:after="60"/>
      <w:ind w:left="360" w:hanging="360"/>
    </w:pPr>
    <w:rPr>
      <w:sz w:val="20"/>
      <w:szCs w:val="20"/>
    </w:rPr>
  </w:style>
  <w:style w:type="character" w:customStyle="1" w:styleId="FootnoteTextChar">
    <w:name w:val="Footnote Text Char"/>
    <w:basedOn w:val="DefaultParagraphFont"/>
    <w:link w:val="FootnoteText"/>
    <w:uiPriority w:val="99"/>
    <w:rsid w:val="00A87CDD"/>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A87CDD"/>
    <w:pPr>
      <w:tabs>
        <w:tab w:val="center" w:pos="4680"/>
        <w:tab w:val="right" w:pos="9360"/>
      </w:tabs>
    </w:pPr>
    <w:rPr>
      <w:rFonts w:asciiTheme="minorHAnsi" w:eastAsiaTheme="minorHAnsi" w:hAnsiTheme="minorHAnsi" w:cstheme="minorBidi"/>
      <w:szCs w:val="22"/>
    </w:rPr>
  </w:style>
  <w:style w:type="character" w:customStyle="1" w:styleId="HeaderChar">
    <w:name w:val="Header Char"/>
    <w:basedOn w:val="DefaultParagraphFont"/>
    <w:link w:val="Header"/>
    <w:uiPriority w:val="99"/>
    <w:rsid w:val="00A87CDD"/>
    <w:rPr>
      <w:sz w:val="24"/>
    </w:rPr>
  </w:style>
  <w:style w:type="paragraph" w:styleId="Footer">
    <w:name w:val="footer"/>
    <w:basedOn w:val="Normal"/>
    <w:link w:val="FooterChar"/>
    <w:uiPriority w:val="99"/>
    <w:unhideWhenUsed/>
    <w:rsid w:val="00A87CDD"/>
    <w:pPr>
      <w:tabs>
        <w:tab w:val="center" w:pos="4680"/>
        <w:tab w:val="right" w:pos="9360"/>
      </w:tabs>
    </w:pPr>
    <w:rPr>
      <w:rFonts w:asciiTheme="minorHAnsi" w:eastAsiaTheme="minorHAnsi" w:hAnsiTheme="minorHAnsi" w:cstheme="minorBidi"/>
      <w:szCs w:val="22"/>
    </w:rPr>
  </w:style>
  <w:style w:type="character" w:customStyle="1" w:styleId="FooterChar">
    <w:name w:val="Footer Char"/>
    <w:basedOn w:val="DefaultParagraphFont"/>
    <w:link w:val="Footer"/>
    <w:uiPriority w:val="99"/>
    <w:rsid w:val="00A87CDD"/>
    <w:rPr>
      <w:sz w:val="24"/>
    </w:rPr>
  </w:style>
  <w:style w:type="character" w:customStyle="1" w:styleId="Heading3Char">
    <w:name w:val="Heading 3 Char"/>
    <w:basedOn w:val="DefaultParagraphFont"/>
    <w:link w:val="Heading3"/>
    <w:uiPriority w:val="9"/>
    <w:rsid w:val="00D74FF4"/>
    <w:rPr>
      <w:rFonts w:asciiTheme="majorHAnsi" w:eastAsiaTheme="majorEastAsia" w:hAnsiTheme="majorHAnsi" w:cstheme="majorBidi"/>
      <w:i/>
      <w:sz w:val="24"/>
      <w:szCs w:val="24"/>
    </w:rPr>
  </w:style>
  <w:style w:type="paragraph" w:styleId="Caption">
    <w:name w:val="caption"/>
    <w:basedOn w:val="Normal"/>
    <w:next w:val="Normal"/>
    <w:link w:val="CaptionChar"/>
    <w:uiPriority w:val="35"/>
    <w:unhideWhenUsed/>
    <w:qFormat/>
    <w:rsid w:val="00A87CDD"/>
    <w:pPr>
      <w:keepNext/>
      <w:keepLines/>
      <w:spacing w:before="120" w:after="120"/>
      <w:jc w:val="center"/>
    </w:pPr>
    <w:rPr>
      <w:rFonts w:asciiTheme="minorHAnsi" w:eastAsiaTheme="minorHAnsi" w:hAnsiTheme="minorHAnsi" w:cstheme="minorBidi"/>
      <w:b/>
      <w:iCs/>
      <w:szCs w:val="18"/>
    </w:rPr>
  </w:style>
  <w:style w:type="table" w:styleId="TableGrid">
    <w:name w:val="Table Grid"/>
    <w:basedOn w:val="TableNormal"/>
    <w:uiPriority w:val="59"/>
    <w:rsid w:val="00A87CDD"/>
    <w:pPr>
      <w:spacing w:after="0" w:line="240" w:lineRule="auto"/>
    </w:pPr>
    <w:rPr>
      <w:rFonts w:ascii="Times New Roman" w:eastAsia="Times New Roman"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87CDD"/>
    <w:pPr>
      <w:ind w:left="360"/>
      <w:contextualSpacing/>
    </w:pPr>
    <w:rPr>
      <w:rFonts w:asciiTheme="minorHAnsi" w:eastAsiaTheme="minorHAnsi" w:hAnsiTheme="minorHAnsi" w:cstheme="minorBidi"/>
      <w:szCs w:val="22"/>
    </w:rPr>
  </w:style>
  <w:style w:type="paragraph" w:styleId="ListBullet">
    <w:name w:val="List Bullet"/>
    <w:basedOn w:val="Normal"/>
    <w:uiPriority w:val="99"/>
    <w:unhideWhenUsed/>
    <w:rsid w:val="00A87CDD"/>
    <w:pPr>
      <w:numPr>
        <w:numId w:val="4"/>
      </w:numPr>
      <w:spacing w:before="60" w:after="60"/>
    </w:pPr>
    <w:rPr>
      <w:rFonts w:asciiTheme="minorHAnsi" w:eastAsiaTheme="minorHAnsi" w:hAnsiTheme="minorHAnsi" w:cstheme="minorBidi"/>
      <w:szCs w:val="22"/>
    </w:rPr>
  </w:style>
  <w:style w:type="character" w:styleId="CommentReference">
    <w:name w:val="annotation reference"/>
    <w:rsid w:val="00A87CDD"/>
    <w:rPr>
      <w:sz w:val="16"/>
      <w:szCs w:val="16"/>
    </w:rPr>
  </w:style>
  <w:style w:type="paragraph" w:styleId="CommentText">
    <w:name w:val="annotation text"/>
    <w:basedOn w:val="Normal"/>
    <w:link w:val="CommentTextChar"/>
    <w:rsid w:val="00A87CDD"/>
    <w:pPr>
      <w:widowControl w:val="0"/>
      <w:autoSpaceDE w:val="0"/>
      <w:autoSpaceDN w:val="0"/>
      <w:adjustRightInd w:val="0"/>
      <w:spacing w:before="120" w:after="120"/>
    </w:pPr>
    <w:rPr>
      <w:szCs w:val="20"/>
    </w:rPr>
  </w:style>
  <w:style w:type="character" w:customStyle="1" w:styleId="CommentTextChar">
    <w:name w:val="Comment Text Char"/>
    <w:basedOn w:val="DefaultParagraphFont"/>
    <w:link w:val="CommentText"/>
    <w:rsid w:val="00A87CDD"/>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A87CDD"/>
    <w:rPr>
      <w:rFonts w:ascii="Segoe UI" w:hAnsi="Segoe UI" w:eastAsiaTheme="minorHAnsi" w:cs="Segoe UI"/>
      <w:sz w:val="18"/>
      <w:szCs w:val="18"/>
    </w:rPr>
  </w:style>
  <w:style w:type="character" w:customStyle="1" w:styleId="BalloonTextChar">
    <w:name w:val="Balloon Text Char"/>
    <w:basedOn w:val="DefaultParagraphFont"/>
    <w:link w:val="BalloonText"/>
    <w:uiPriority w:val="99"/>
    <w:semiHidden/>
    <w:rsid w:val="00A87CDD"/>
    <w:rPr>
      <w:rFonts w:ascii="Segoe UI" w:hAnsi="Segoe UI" w:cs="Segoe UI"/>
      <w:sz w:val="18"/>
      <w:szCs w:val="18"/>
    </w:rPr>
  </w:style>
  <w:style w:type="character" w:customStyle="1" w:styleId="Heading4Char">
    <w:name w:val="Heading 4 Char"/>
    <w:basedOn w:val="DefaultParagraphFont"/>
    <w:link w:val="Heading4"/>
    <w:uiPriority w:val="9"/>
    <w:rsid w:val="00D74FF4"/>
    <w:rPr>
      <w:rFonts w:asciiTheme="majorHAnsi" w:eastAsiaTheme="majorEastAsia" w:hAnsiTheme="majorHAnsi" w:cstheme="majorBidi"/>
      <w:iCs/>
      <w:sz w:val="24"/>
    </w:rPr>
  </w:style>
  <w:style w:type="character" w:customStyle="1" w:styleId="Heading5Char">
    <w:name w:val="Heading 5 Char"/>
    <w:basedOn w:val="DefaultParagraphFont"/>
    <w:link w:val="Heading5"/>
    <w:uiPriority w:val="9"/>
    <w:semiHidden/>
    <w:rsid w:val="00A87CDD"/>
    <w:rPr>
      <w:rFonts w:asciiTheme="majorHAnsi" w:eastAsiaTheme="majorEastAsia" w:hAnsiTheme="majorHAnsi" w:cstheme="majorBidi"/>
      <w:color w:val="2E74B5" w:themeColor="accent1" w:themeShade="BF"/>
      <w:sz w:val="24"/>
    </w:rPr>
  </w:style>
  <w:style w:type="character" w:customStyle="1" w:styleId="Heading6Char">
    <w:name w:val="Heading 6 Char"/>
    <w:basedOn w:val="DefaultParagraphFont"/>
    <w:link w:val="Heading6"/>
    <w:uiPriority w:val="9"/>
    <w:semiHidden/>
    <w:rsid w:val="00A87CDD"/>
    <w:rPr>
      <w:rFonts w:asciiTheme="majorHAnsi" w:eastAsiaTheme="majorEastAsia" w:hAnsiTheme="majorHAnsi" w:cstheme="majorBidi"/>
      <w:color w:val="1F4D78" w:themeColor="accent1" w:themeShade="7F"/>
      <w:sz w:val="24"/>
      <w:szCs w:val="24"/>
    </w:rPr>
  </w:style>
  <w:style w:type="character" w:customStyle="1" w:styleId="Heading7Char">
    <w:name w:val="Heading 7 Char"/>
    <w:basedOn w:val="DefaultParagraphFont"/>
    <w:link w:val="Heading7"/>
    <w:uiPriority w:val="9"/>
    <w:semiHidden/>
    <w:rsid w:val="00A87CDD"/>
    <w:rPr>
      <w:rFonts w:asciiTheme="majorHAnsi" w:eastAsiaTheme="majorEastAsia" w:hAnsiTheme="majorHAnsi" w:cstheme="majorBidi"/>
      <w:i/>
      <w:iCs/>
      <w:color w:val="1F4D78" w:themeColor="accent1" w:themeShade="7F"/>
      <w:sz w:val="24"/>
      <w:szCs w:val="24"/>
    </w:rPr>
  </w:style>
  <w:style w:type="character" w:customStyle="1" w:styleId="Heading8Char">
    <w:name w:val="Heading 8 Char"/>
    <w:basedOn w:val="DefaultParagraphFont"/>
    <w:link w:val="Heading8"/>
    <w:uiPriority w:val="9"/>
    <w:semiHidden/>
    <w:rsid w:val="00A87CD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87CDD"/>
    <w:rPr>
      <w:rFonts w:asciiTheme="majorHAnsi" w:eastAsiaTheme="majorEastAsia" w:hAnsiTheme="majorHAnsi" w:cstheme="majorBidi"/>
      <w:i/>
      <w:iCs/>
      <w:color w:val="272727" w:themeColor="text1" w:themeTint="D8"/>
      <w:sz w:val="21"/>
      <w:szCs w:val="21"/>
    </w:rPr>
  </w:style>
  <w:style w:type="paragraph" w:styleId="BodyTextFirstIndent">
    <w:name w:val="Body Text First Indent"/>
    <w:basedOn w:val="BodyText"/>
    <w:link w:val="BodyTextFirstIndentChar"/>
    <w:rsid w:val="0015274D"/>
    <w:pPr>
      <w:widowControl w:val="0"/>
      <w:autoSpaceDE w:val="0"/>
      <w:autoSpaceDN w:val="0"/>
      <w:adjustRightInd w:val="0"/>
      <w:ind w:firstLine="210"/>
    </w:pPr>
    <w:rPr>
      <w:rFonts w:ascii="Times New Roman" w:eastAsia="Times New Roman" w:hAnsi="Times New Roman" w:cs="Times New Roman"/>
      <w:szCs w:val="24"/>
    </w:rPr>
  </w:style>
  <w:style w:type="character" w:customStyle="1" w:styleId="BodyTextFirstIndentChar">
    <w:name w:val="Body Text First Indent Char"/>
    <w:basedOn w:val="BodyTextChar"/>
    <w:link w:val="BodyTextFirstIndent"/>
    <w:rsid w:val="0015274D"/>
    <w:rPr>
      <w:rFonts w:ascii="Times New Roman" w:eastAsia="Times New Roman" w:hAnsi="Times New Roman" w:cs="Times New Roman"/>
      <w:sz w:val="24"/>
      <w:szCs w:val="24"/>
    </w:rPr>
  </w:style>
  <w:style w:type="character" w:customStyle="1" w:styleId="CaptionChar">
    <w:name w:val="Caption Char"/>
    <w:link w:val="Caption"/>
    <w:uiPriority w:val="35"/>
    <w:locked/>
    <w:rsid w:val="007A0C9A"/>
    <w:rPr>
      <w:b/>
      <w:iCs/>
      <w:sz w:val="24"/>
      <w:szCs w:val="18"/>
    </w:rPr>
  </w:style>
  <w:style w:type="paragraph" w:styleId="CommentSubject">
    <w:name w:val="annotation subject"/>
    <w:basedOn w:val="CommentText"/>
    <w:next w:val="CommentText"/>
    <w:link w:val="CommentSubjectChar"/>
    <w:uiPriority w:val="99"/>
    <w:semiHidden/>
    <w:unhideWhenUsed/>
    <w:rsid w:val="00445D0D"/>
    <w:pPr>
      <w:widowControl/>
      <w:autoSpaceDE/>
      <w:autoSpaceDN/>
      <w:adjustRightInd/>
      <w:spacing w:before="0" w:after="160"/>
    </w:pPr>
    <w:rPr>
      <w:rFonts w:asciiTheme="minorHAnsi" w:eastAsiaTheme="minorHAnsi" w:hAnsiTheme="minorHAnsi" w:cstheme="minorBidi"/>
      <w:b/>
      <w:bCs/>
      <w:sz w:val="20"/>
    </w:rPr>
  </w:style>
  <w:style w:type="character" w:customStyle="1" w:styleId="CommentSubjectChar">
    <w:name w:val="Comment Subject Char"/>
    <w:basedOn w:val="CommentTextChar"/>
    <w:link w:val="CommentSubject"/>
    <w:uiPriority w:val="99"/>
    <w:semiHidden/>
    <w:rsid w:val="00445D0D"/>
    <w:rPr>
      <w:rFonts w:ascii="Times New Roman" w:eastAsia="Times New Roman" w:hAnsi="Times New Roman" w:cs="Times New Roman"/>
      <w:b/>
      <w:bCs/>
      <w:sz w:val="20"/>
      <w:szCs w:val="20"/>
    </w:rPr>
  </w:style>
  <w:style w:type="character" w:customStyle="1" w:styleId="apple-converted-space">
    <w:name w:val="apple-converted-space"/>
    <w:rsid w:val="0005704C"/>
  </w:style>
  <w:style w:type="table" w:customStyle="1" w:styleId="IECTable">
    <w:name w:val="IEC Table"/>
    <w:basedOn w:val="TableNormal"/>
    <w:uiPriority w:val="99"/>
    <w:rsid w:val="00945A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72" w:type="dxa"/>
        <w:bottom w:w="29" w:type="dxa"/>
        <w:right w:w="72" w:type="dxa"/>
      </w:tblCellMar>
    </w:tblPr>
    <w:trPr>
      <w:cantSplit/>
    </w:trPr>
    <w:tcPr>
      <w:shd w:val="clear" w:color="auto" w:fill="auto"/>
    </w:tcPr>
    <w:tblStylePr w:type="firstRow">
      <w:tblPr/>
      <w:tcPr>
        <w:shd w:val="clear" w:color="auto" w:fill="365F91"/>
      </w:tcPr>
    </w:tblStylePr>
  </w:style>
  <w:style w:type="paragraph" w:customStyle="1" w:styleId="Default">
    <w:name w:val="Default"/>
    <w:rsid w:val="004A49DE"/>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971070"/>
    <w:pPr>
      <w:spacing w:after="0" w:line="240" w:lineRule="auto"/>
    </w:pPr>
    <w:rPr>
      <w:sz w:val="24"/>
    </w:rPr>
  </w:style>
  <w:style w:type="paragraph" w:customStyle="1" w:styleId="Hiddenheaderrow">
    <w:name w:val="Hidden header row"/>
    <w:basedOn w:val="NoSpacing"/>
    <w:qFormat/>
    <w:rsid w:val="004218F1"/>
    <w:pPr>
      <w:keepNext/>
      <w:jc w:val="center"/>
    </w:pPr>
    <w:rPr>
      <w:color w:val="FFFFFF" w:themeColor="background1"/>
      <w:sz w:val="2"/>
      <w:szCs w:val="2"/>
    </w:rPr>
  </w:style>
  <w:style w:type="paragraph" w:customStyle="1" w:styleId="Headerrowgraphic">
    <w:name w:val="Header row graphic"/>
    <w:basedOn w:val="NoSpacing"/>
    <w:next w:val="Normal"/>
    <w:qFormat/>
    <w:rsid w:val="004218F1"/>
    <w:pPr>
      <w:keepNext/>
      <w:ind w:left="-14"/>
    </w:pPr>
  </w:style>
  <w:style w:type="paragraph" w:styleId="Revision">
    <w:name w:val="Revision"/>
    <w:hidden/>
    <w:uiPriority w:val="99"/>
    <w:semiHidden/>
    <w:rsid w:val="00714AEC"/>
    <w:pPr>
      <w:spacing w:after="0" w:line="240" w:lineRule="auto"/>
    </w:pPr>
    <w:rPr>
      <w:sz w:val="24"/>
    </w:rPr>
  </w:style>
  <w:style w:type="character" w:customStyle="1" w:styleId="UnresolvedMention1">
    <w:name w:val="Unresolved Mention1"/>
    <w:basedOn w:val="DefaultParagraphFont"/>
    <w:uiPriority w:val="99"/>
    <w:unhideWhenUsed/>
    <w:rsid w:val="004B6932"/>
    <w:rPr>
      <w:color w:val="605E5C"/>
      <w:shd w:val="clear" w:color="auto" w:fill="E1DFDD"/>
    </w:rPr>
  </w:style>
  <w:style w:type="character" w:customStyle="1" w:styleId="Mention1">
    <w:name w:val="Mention1"/>
    <w:basedOn w:val="DefaultParagraphFont"/>
    <w:uiPriority w:val="99"/>
    <w:unhideWhenUsed/>
    <w:rsid w:val="004B6932"/>
    <w:rPr>
      <w:color w:val="2B579A"/>
      <w:shd w:val="clear" w:color="auto" w:fill="E1DFDD"/>
    </w:rPr>
  </w:style>
  <w:style w:type="character" w:styleId="UnresolvedMention">
    <w:name w:val="Unresolved Mention"/>
    <w:basedOn w:val="DefaultParagraphFont"/>
    <w:uiPriority w:val="99"/>
    <w:unhideWhenUsed/>
    <w:rsid w:val="007F1F17"/>
    <w:rPr>
      <w:color w:val="605E5C"/>
      <w:shd w:val="clear" w:color="auto" w:fill="E1DFDD"/>
    </w:rPr>
  </w:style>
  <w:style w:type="character" w:styleId="Mention">
    <w:name w:val="Mention"/>
    <w:basedOn w:val="DefaultParagraphFont"/>
    <w:uiPriority w:val="99"/>
    <w:unhideWhenUsed/>
    <w:rsid w:val="007F1F17"/>
    <w:rPr>
      <w:color w:val="2B579A"/>
      <w:shd w:val="clear" w:color="auto" w:fill="E1DFDD"/>
    </w:rPr>
  </w:style>
  <w:style w:type="character" w:styleId="Hyperlink">
    <w:name w:val="Hyperlink"/>
    <w:basedOn w:val="DefaultParagraphFont"/>
    <w:uiPriority w:val="99"/>
    <w:unhideWhenUsed/>
    <w:rsid w:val="00992E6F"/>
    <w:rPr>
      <w:color w:val="0563C1" w:themeColor="hyperlink"/>
      <w:u w:val="single"/>
    </w:rPr>
  </w:style>
  <w:style w:type="character" w:customStyle="1" w:styleId="normaltextrun">
    <w:name w:val="normaltextrun"/>
    <w:basedOn w:val="DefaultParagraphFont"/>
    <w:rsid w:val="00B61F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data.cms.gov/provider-summary-by-type-of-service/medicare-physician-other-practitioners/medicare-physician-other-practitioners-by-provider-and-servic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ustom 80">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4ea459b-7bbf-43af-834e-d16fbea12f70" xsi:nil="true"/>
    <lcf76f155ced4ddcb4097134ff3c332f xmlns="36d38d4a-3bff-485b-862a-620e3520859c">
      <Terms xmlns="http://schemas.microsoft.com/office/infopath/2007/PartnerControls"/>
    </lcf76f155ced4ddcb4097134ff3c332f>
    <DocumentDescription xmlns="36d38d4a-3bff-485b-862a-620e3520859c" xsi:nil="true"/>
    <Locations xmlns="36d38d4a-3bff-485b-862a-620e3520859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6E6885D4ABBD44C9428E6DAB2040425" ma:contentTypeVersion="19" ma:contentTypeDescription="Create a new document." ma:contentTypeScope="" ma:versionID="d6b320e396ddf36843d9c1becd020aab">
  <xsd:schema xmlns:xsd="http://www.w3.org/2001/XMLSchema" xmlns:xs="http://www.w3.org/2001/XMLSchema" xmlns:p="http://schemas.microsoft.com/office/2006/metadata/properties" xmlns:ns2="36d38d4a-3bff-485b-862a-620e3520859c" xmlns:ns3="e136d7c6-552b-4d4b-94ae-60f7ee54b2b8" xmlns:ns4="74ea459b-7bbf-43af-834e-d16fbea12f70" targetNamespace="http://schemas.microsoft.com/office/2006/metadata/properties" ma:root="true" ma:fieldsID="9830d2262ddbd36c556cc42e9ab251f4" ns2:_="" ns3:_="" ns4:_="">
    <xsd:import namespace="36d38d4a-3bff-485b-862a-620e3520859c"/>
    <xsd:import namespace="e136d7c6-552b-4d4b-94ae-60f7ee54b2b8"/>
    <xsd:import namespace="74ea459b-7bbf-43af-834e-d16fbea12f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4:TaxCatchAll" minOccurs="0"/>
                <xsd:element ref="ns2:DocumentDescription" minOccurs="0"/>
                <xsd:element ref="ns2:Location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d38d4a-3bff-485b-862a-620e352085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d29a467-ccb3-40ae-b171-e388b769af89" ma:termSetId="09814cd3-568e-fe90-9814-8d621ff8fb84" ma:anchorId="fba54fb3-c3e1-fe81-a776-ca4b69148c4d" ma:open="true" ma:isKeyword="false">
      <xsd:complexType>
        <xsd:sequence>
          <xsd:element ref="pc:Terms" minOccurs="0" maxOccurs="1"/>
        </xsd:sequence>
      </xsd:complexType>
    </xsd:element>
    <xsd:element name="DocumentDescription" ma:index="22" nillable="true" ma:displayName="Document Description" ma:format="Dropdown" ma:internalName="DocumentDescription">
      <xsd:simpleType>
        <xsd:restriction base="dms:Note">
          <xsd:maxLength value="255"/>
        </xsd:restriction>
      </xsd:simpleType>
    </xsd:element>
    <xsd:element name="Locations" ma:index="23" nillable="true" ma:displayName="Locations" ma:description="The number correlates to the folder it should be moved to" ma:format="Dropdown" ma:internalName="Locations" ma:percentage="FALSE">
      <xsd:simpleType>
        <xsd:restriction base="dms:Number"/>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36d7c6-552b-4d4b-94ae-60f7ee54b2b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ea459b-7bbf-43af-834e-d16fbea12f7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c97b459-e23a-4c03-99d5-f9a9c40f878f}" ma:internalName="TaxCatchAll" ma:showField="CatchAllData" ma:web="e136d7c6-552b-4d4b-94ae-60f7ee54b2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5AFCD3-A12C-4A82-BA35-BAAEC15C56EC}">
  <ds:schemaRefs>
    <ds:schemaRef ds:uri="http://schemas.microsoft.com/office/2006/metadata/properties"/>
    <ds:schemaRef ds:uri="http://schemas.microsoft.com/office/infopath/2007/PartnerControls"/>
    <ds:schemaRef ds:uri="74ea459b-7bbf-43af-834e-d16fbea12f70"/>
    <ds:schemaRef ds:uri="36d38d4a-3bff-485b-862a-620e3520859c"/>
  </ds:schemaRefs>
</ds:datastoreItem>
</file>

<file path=customXml/itemProps2.xml><?xml version="1.0" encoding="utf-8"?>
<ds:datastoreItem xmlns:ds="http://schemas.openxmlformats.org/officeDocument/2006/customXml" ds:itemID="{558D9B92-0D86-4651-B488-BCD25321A867}">
  <ds:schemaRefs>
    <ds:schemaRef ds:uri="http://schemas.openxmlformats.org/officeDocument/2006/bibliography"/>
  </ds:schemaRefs>
</ds:datastoreItem>
</file>

<file path=customXml/itemProps3.xml><?xml version="1.0" encoding="utf-8"?>
<ds:datastoreItem xmlns:ds="http://schemas.openxmlformats.org/officeDocument/2006/customXml" ds:itemID="{EF35252D-6A58-418A-8B1A-B4B1716CD0F1}">
  <ds:schemaRefs>
    <ds:schemaRef ds:uri="http://schemas.microsoft.com/sharepoint/v3/contenttype/forms"/>
  </ds:schemaRefs>
</ds:datastoreItem>
</file>

<file path=customXml/itemProps4.xml><?xml version="1.0" encoding="utf-8"?>
<ds:datastoreItem xmlns:ds="http://schemas.openxmlformats.org/officeDocument/2006/customXml" ds:itemID="{3E8C7E28-83D3-4FAA-B4C4-7CBE94AD33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d38d4a-3bff-485b-862a-620e3520859c"/>
    <ds:schemaRef ds:uri="e136d7c6-552b-4d4b-94ae-60f7ee54b2b8"/>
    <ds:schemaRef ds:uri="74ea459b-7bbf-43af-834e-d16fbea12f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4a76287-cf44-450a-9565-94fa46e7aae8}" enabled="1" method="Standard" siteId="{d5fe813e-0caa-432a-b2ac-d555aa91bd1c}" removed="0"/>
</clbl:labelList>
</file>

<file path=docProps/app.xml><?xml version="1.0" encoding="utf-8"?>
<Properties xmlns="http://schemas.openxmlformats.org/officeDocument/2006/extended-properties" xmlns:vt="http://schemas.openxmlformats.org/officeDocument/2006/docPropsVTypes">
  <Template>Normal.dotm</Template>
  <TotalTime>145</TotalTime>
  <Pages>11</Pages>
  <Words>4151</Words>
  <Characters>23662</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IEC OMB Supporting Statement B</vt:lpstr>
    </vt:vector>
  </TitlesOfParts>
  <Company>CMS</Company>
  <LinksUpToDate>false</LinksUpToDate>
  <CharactersWithSpaces>27758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IEC OMB Supporting Statement B</dc:title>
  <dc:subject>Sample, statistical methods, and analysis for nursing home survey for the Information Collection Request for the CMS Independent Evaluation of Quality Improvement Organization Task C.2 – Reducing Healthcare Conditions in Nursing Homes</dc:subject>
  <dc:creator>CMS</dc:creator>
  <cp:keywords>Statistical methods, sampling, nursing home survey, QIO program, evaluation</cp:keywords>
  <cp:lastModifiedBy>George, Signe [USA]</cp:lastModifiedBy>
  <cp:revision>105</cp:revision>
  <dcterms:created xsi:type="dcterms:W3CDTF">2022-10-04T14:49:00Z</dcterms:created>
  <dcterms:modified xsi:type="dcterms:W3CDTF">2023-07-18T20:38:00Z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FontProps">
    <vt:lpwstr>#000000,10,Calibri</vt:lpwstr>
  </property>
  <property fmtid="{D5CDD505-2E9C-101B-9397-08002B2CF9AE}" pid="3" name="ClassificationContentMarkingHeaderShapeIds">
    <vt:lpwstr>1,2,3</vt:lpwstr>
  </property>
  <property fmtid="{D5CDD505-2E9C-101B-9397-08002B2CF9AE}" pid="4" name="ClassificationContentMarkingHeaderText">
    <vt:lpwstr>Booz Allen Hamilton Internal</vt:lpwstr>
  </property>
  <property fmtid="{D5CDD505-2E9C-101B-9397-08002B2CF9AE}" pid="5" name="ContentTypeId">
    <vt:lpwstr>0x01010096E6885D4ABBD44C9428E6DAB2040425</vt:lpwstr>
  </property>
  <property fmtid="{D5CDD505-2E9C-101B-9397-08002B2CF9AE}" pid="6" name="Copyright Status">
    <vt:lpwstr>Unknown</vt:lpwstr>
  </property>
  <property fmtid="{D5CDD505-2E9C-101B-9397-08002B2CF9AE}" pid="7" name="Language">
    <vt:lpwstr>English</vt:lpwstr>
  </property>
  <property fmtid="{D5CDD505-2E9C-101B-9397-08002B2CF9AE}" pid="8" name="MediaServiceImageTags">
    <vt:lpwstr/>
  </property>
  <property fmtid="{D5CDD505-2E9C-101B-9397-08002B2CF9AE}" pid="9" name="_NewReviewCycle">
    <vt:lpwstr/>
  </property>
</Properties>
</file>