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21E6B" w:rsidP="00521E6B" w:rsidRDefault="00521E6B" w14:paraId="6538D8FB" w14:textId="5B2CF44F">
      <w:pPr>
        <w:jc w:val="center"/>
        <w:rPr>
          <w:b/>
          <w:sz w:val="28"/>
          <w:szCs w:val="28"/>
        </w:rPr>
      </w:pPr>
      <w:r w:rsidRPr="00456179">
        <w:rPr>
          <w:b/>
          <w:sz w:val="28"/>
          <w:szCs w:val="28"/>
        </w:rPr>
        <w:t>SUPPORTING STATEMENT</w:t>
      </w:r>
    </w:p>
    <w:p w:rsidR="00521E6B" w:rsidP="00521E6B" w:rsidRDefault="00521E6B" w14:paraId="50E90E1E" w14:textId="77777777">
      <w:pPr>
        <w:jc w:val="center"/>
        <w:rPr>
          <w:b/>
          <w:sz w:val="28"/>
          <w:szCs w:val="28"/>
        </w:rPr>
      </w:pPr>
    </w:p>
    <w:p w:rsidR="00521E6B" w:rsidP="00521E6B" w:rsidRDefault="00521E6B" w14:paraId="17CF752F" w14:textId="77777777">
      <w:pPr>
        <w:jc w:val="center"/>
        <w:rPr>
          <w:sz w:val="28"/>
          <w:szCs w:val="28"/>
        </w:rPr>
      </w:pPr>
      <w:r>
        <w:rPr>
          <w:b/>
          <w:sz w:val="28"/>
          <w:szCs w:val="28"/>
        </w:rPr>
        <w:t>Part A</w:t>
      </w:r>
    </w:p>
    <w:p w:rsidR="00521E6B" w:rsidP="00521E6B" w:rsidRDefault="00521E6B" w14:paraId="0CCF4F37" w14:textId="77777777">
      <w:pPr>
        <w:jc w:val="center"/>
        <w:rPr>
          <w:sz w:val="28"/>
          <w:szCs w:val="28"/>
        </w:rPr>
      </w:pPr>
    </w:p>
    <w:p w:rsidR="00521E6B" w:rsidP="00521E6B" w:rsidRDefault="00521E6B" w14:paraId="081E9ADE" w14:textId="77777777">
      <w:pPr>
        <w:jc w:val="center"/>
        <w:rPr>
          <w:sz w:val="28"/>
          <w:szCs w:val="28"/>
        </w:rPr>
      </w:pPr>
    </w:p>
    <w:p w:rsidR="00521E6B" w:rsidP="00521E6B" w:rsidRDefault="00521E6B" w14:paraId="1927FEBB" w14:textId="77777777">
      <w:pPr>
        <w:jc w:val="center"/>
        <w:rPr>
          <w:sz w:val="28"/>
          <w:szCs w:val="28"/>
        </w:rPr>
      </w:pPr>
    </w:p>
    <w:p w:rsidR="00521E6B" w:rsidP="00521E6B" w:rsidRDefault="00521E6B" w14:paraId="2E641BBC" w14:textId="77777777">
      <w:pPr>
        <w:jc w:val="center"/>
        <w:rPr>
          <w:sz w:val="28"/>
          <w:szCs w:val="28"/>
        </w:rPr>
      </w:pPr>
    </w:p>
    <w:p w:rsidR="00521E6B" w:rsidP="00521E6B" w:rsidRDefault="00521E6B" w14:paraId="5188BFEE" w14:textId="77777777">
      <w:pPr>
        <w:jc w:val="center"/>
        <w:rPr>
          <w:sz w:val="28"/>
          <w:szCs w:val="28"/>
        </w:rPr>
      </w:pPr>
    </w:p>
    <w:p w:rsidR="00521E6B" w:rsidP="00521E6B" w:rsidRDefault="00521E6B" w14:paraId="0637F5FD" w14:textId="77777777">
      <w:pPr>
        <w:jc w:val="center"/>
        <w:rPr>
          <w:sz w:val="28"/>
          <w:szCs w:val="28"/>
        </w:rPr>
      </w:pPr>
    </w:p>
    <w:p w:rsidRPr="006C598D" w:rsidR="00521E6B" w:rsidP="00521E6B" w:rsidRDefault="002A712B" w14:paraId="2BE4AD4C" w14:textId="29A317B6">
      <w:pPr>
        <w:jc w:val="center"/>
        <w:rPr>
          <w:b/>
          <w:sz w:val="28"/>
          <w:szCs w:val="28"/>
        </w:rPr>
      </w:pPr>
      <w:bookmarkStart w:name="_Hlk93573999" w:id="0"/>
      <w:r w:rsidRPr="004E722B">
        <w:rPr>
          <w:b/>
          <w:sz w:val="28"/>
          <w:szCs w:val="28"/>
        </w:rPr>
        <w:t>MEPS</w:t>
      </w:r>
      <w:r w:rsidRPr="006C598D">
        <w:rPr>
          <w:b/>
          <w:sz w:val="28"/>
          <w:szCs w:val="28"/>
        </w:rPr>
        <w:t xml:space="preserve"> </w:t>
      </w:r>
      <w:r w:rsidRPr="006C598D" w:rsidR="002223D0">
        <w:rPr>
          <w:b/>
          <w:sz w:val="28"/>
          <w:szCs w:val="28"/>
        </w:rPr>
        <w:t>Alternative Sampling Design</w:t>
      </w:r>
      <w:r w:rsidR="00100CF5">
        <w:rPr>
          <w:b/>
          <w:sz w:val="28"/>
          <w:szCs w:val="28"/>
        </w:rPr>
        <w:t xml:space="preserve"> Pilot Test</w:t>
      </w:r>
    </w:p>
    <w:bookmarkEnd w:id="0"/>
    <w:p w:rsidR="00521E6B" w:rsidP="00521E6B" w:rsidRDefault="00521E6B" w14:paraId="7ED913E6" w14:textId="77777777">
      <w:pPr>
        <w:jc w:val="center"/>
        <w:rPr>
          <w:sz w:val="28"/>
          <w:szCs w:val="28"/>
        </w:rPr>
      </w:pPr>
    </w:p>
    <w:p w:rsidRPr="00B95455" w:rsidR="00521E6B" w:rsidP="00521E6B" w:rsidRDefault="00910951" w14:paraId="68DD4FD8" w14:textId="15069BFF">
      <w:pPr>
        <w:jc w:val="center"/>
        <w:rPr>
          <w:b/>
          <w:sz w:val="28"/>
          <w:szCs w:val="28"/>
        </w:rPr>
      </w:pPr>
      <w:r>
        <w:rPr>
          <w:b/>
          <w:sz w:val="28"/>
          <w:szCs w:val="28"/>
        </w:rPr>
        <w:t>March</w:t>
      </w:r>
      <w:r w:rsidR="004504F7">
        <w:rPr>
          <w:b/>
          <w:sz w:val="28"/>
          <w:szCs w:val="28"/>
        </w:rPr>
        <w:t xml:space="preserve"> </w:t>
      </w:r>
      <w:r w:rsidR="00521E6B">
        <w:rPr>
          <w:b/>
          <w:sz w:val="28"/>
          <w:szCs w:val="28"/>
        </w:rPr>
        <w:t>20</w:t>
      </w:r>
      <w:r w:rsidR="00BB58AE">
        <w:rPr>
          <w:b/>
          <w:sz w:val="28"/>
          <w:szCs w:val="28"/>
        </w:rPr>
        <w:t>2</w:t>
      </w:r>
      <w:r w:rsidR="002223D0">
        <w:rPr>
          <w:b/>
          <w:sz w:val="28"/>
          <w:szCs w:val="28"/>
        </w:rPr>
        <w:t>2</w:t>
      </w:r>
    </w:p>
    <w:p w:rsidR="00521E6B" w:rsidP="00521E6B" w:rsidRDefault="00521E6B" w14:paraId="0D4D03E3" w14:textId="77777777">
      <w:pPr>
        <w:jc w:val="center"/>
        <w:rPr>
          <w:i/>
          <w:sz w:val="28"/>
          <w:szCs w:val="28"/>
        </w:rPr>
      </w:pPr>
    </w:p>
    <w:p w:rsidR="00521E6B" w:rsidP="00521E6B" w:rsidRDefault="00521E6B" w14:paraId="5E9ADCF3" w14:textId="77777777">
      <w:pPr>
        <w:jc w:val="center"/>
        <w:rPr>
          <w:sz w:val="28"/>
          <w:szCs w:val="28"/>
        </w:rPr>
      </w:pPr>
    </w:p>
    <w:p w:rsidR="00521E6B" w:rsidP="00521E6B" w:rsidRDefault="00521E6B" w14:paraId="761B4D09" w14:textId="77777777">
      <w:pPr>
        <w:jc w:val="center"/>
        <w:rPr>
          <w:sz w:val="28"/>
          <w:szCs w:val="28"/>
        </w:rPr>
      </w:pPr>
    </w:p>
    <w:p w:rsidR="00521E6B" w:rsidP="00521E6B" w:rsidRDefault="00521E6B" w14:paraId="10674EA7" w14:textId="77777777">
      <w:pPr>
        <w:jc w:val="center"/>
        <w:rPr>
          <w:sz w:val="28"/>
          <w:szCs w:val="28"/>
        </w:rPr>
      </w:pPr>
    </w:p>
    <w:p w:rsidR="00521E6B" w:rsidP="00521E6B" w:rsidRDefault="00521E6B" w14:paraId="66412439" w14:textId="77777777">
      <w:pPr>
        <w:jc w:val="center"/>
        <w:rPr>
          <w:sz w:val="28"/>
          <w:szCs w:val="28"/>
        </w:rPr>
      </w:pPr>
    </w:p>
    <w:p w:rsidR="00521E6B" w:rsidP="00521E6B" w:rsidRDefault="00521E6B" w14:paraId="6C178A74" w14:textId="77777777">
      <w:pPr>
        <w:jc w:val="center"/>
        <w:rPr>
          <w:sz w:val="28"/>
          <w:szCs w:val="28"/>
        </w:rPr>
      </w:pPr>
    </w:p>
    <w:p w:rsidR="00521E6B" w:rsidP="00521E6B" w:rsidRDefault="00521E6B" w14:paraId="5E27659F" w14:textId="77777777">
      <w:pPr>
        <w:jc w:val="center"/>
        <w:rPr>
          <w:sz w:val="28"/>
          <w:szCs w:val="28"/>
        </w:rPr>
      </w:pPr>
      <w:r w:rsidRPr="00677A0B">
        <w:rPr>
          <w:sz w:val="28"/>
          <w:szCs w:val="28"/>
        </w:rPr>
        <w:t xml:space="preserve">Agency </w:t>
      </w:r>
      <w:r>
        <w:rPr>
          <w:sz w:val="28"/>
          <w:szCs w:val="28"/>
        </w:rPr>
        <w:t>for</w:t>
      </w:r>
      <w:r w:rsidRPr="00677A0B">
        <w:rPr>
          <w:sz w:val="28"/>
          <w:szCs w:val="28"/>
        </w:rPr>
        <w:t xml:space="preserve"> Healthcare Research and Quality (AHRQ)</w:t>
      </w:r>
    </w:p>
    <w:p w:rsidR="00CB7234" w:rsidP="00CB7234" w:rsidRDefault="00CB7234" w14:paraId="28726ABE" w14:textId="77777777">
      <w:pPr>
        <w:jc w:val="center"/>
        <w:rPr>
          <w:sz w:val="28"/>
          <w:szCs w:val="28"/>
        </w:rPr>
      </w:pPr>
    </w:p>
    <w:p w:rsidR="00CB7234" w:rsidP="00CB7234" w:rsidRDefault="00CB7234" w14:paraId="4875B6AB" w14:textId="77777777">
      <w:pPr>
        <w:jc w:val="center"/>
        <w:rPr>
          <w:sz w:val="28"/>
          <w:szCs w:val="28"/>
        </w:rPr>
      </w:pPr>
    </w:p>
    <w:p w:rsidR="00CB7234" w:rsidP="00CB7234" w:rsidRDefault="00CB7234" w14:paraId="66ED8813" w14:textId="77777777">
      <w:pPr>
        <w:jc w:val="center"/>
        <w:rPr>
          <w:sz w:val="28"/>
          <w:szCs w:val="28"/>
        </w:rPr>
      </w:pPr>
    </w:p>
    <w:p w:rsidR="00CB7234" w:rsidP="00CB7234" w:rsidRDefault="00CB7234" w14:paraId="418A2575" w14:textId="77777777">
      <w:pPr>
        <w:jc w:val="center"/>
        <w:rPr>
          <w:sz w:val="28"/>
          <w:szCs w:val="28"/>
        </w:rPr>
      </w:pPr>
    </w:p>
    <w:p w:rsidR="00CB7234" w:rsidP="00CB7234" w:rsidRDefault="00CB7234" w14:paraId="6BCBCA33" w14:textId="77777777">
      <w:pPr>
        <w:rPr>
          <w:sz w:val="28"/>
          <w:szCs w:val="28"/>
        </w:rPr>
      </w:pPr>
    </w:p>
    <w:p w:rsidR="00CB7234" w:rsidP="00CB7234" w:rsidRDefault="00CB7234" w14:paraId="0418F86C" w14:textId="77777777">
      <w:pPr>
        <w:rPr>
          <w:sz w:val="28"/>
          <w:szCs w:val="28"/>
        </w:rPr>
      </w:pPr>
    </w:p>
    <w:p w:rsidRPr="00CB7234" w:rsidR="00CB7234" w:rsidP="00CB7234" w:rsidRDefault="00CB7234" w14:paraId="4CFEFE4E" w14:textId="77777777">
      <w:pPr>
        <w:rPr>
          <w:b/>
          <w:sz w:val="24"/>
          <w:szCs w:val="24"/>
        </w:rPr>
      </w:pPr>
      <w:r>
        <w:br w:type="page"/>
      </w:r>
    </w:p>
    <w:sdt>
      <w:sdtPr>
        <w:rPr>
          <w:rFonts w:ascii="Times New Roman" w:hAnsi="Times New Roman" w:eastAsia="Times New Roman" w:cs="Times New Roman"/>
          <w:b w:val="0"/>
          <w:bCs w:val="0"/>
          <w:color w:val="auto"/>
          <w:sz w:val="20"/>
          <w:szCs w:val="20"/>
        </w:rPr>
        <w:id w:val="26770416"/>
        <w:docPartObj>
          <w:docPartGallery w:val="Table of Contents"/>
          <w:docPartUnique/>
        </w:docPartObj>
      </w:sdtPr>
      <w:sdtEndPr/>
      <w:sdtContent>
        <w:p w:rsidRPr="008C5826" w:rsidR="008C5826" w:rsidRDefault="008C5826" w14:paraId="6D6EE394" w14:textId="77777777">
          <w:pPr>
            <w:pStyle w:val="TOCHeading"/>
            <w:rPr>
              <w:rFonts w:ascii="Times New Roman" w:hAnsi="Times New Roman" w:cs="Times New Roman"/>
            </w:rPr>
          </w:pPr>
          <w:r w:rsidRPr="008C5826">
            <w:rPr>
              <w:rFonts w:ascii="Times New Roman" w:hAnsi="Times New Roman" w:cs="Times New Roman"/>
            </w:rPr>
            <w:t>Table of Contents</w:t>
          </w:r>
        </w:p>
        <w:p w:rsidR="005F628B" w:rsidP="00DE1E49" w:rsidRDefault="004A024B" w14:paraId="521D9E86" w14:textId="211ED048">
          <w:pPr>
            <w:pStyle w:val="TOC2"/>
            <w:rPr>
              <w:rStyle w:val="Hyperlink"/>
            </w:rPr>
          </w:pPr>
          <w:r w:rsidRPr="008C5826">
            <w:fldChar w:fldCharType="begin"/>
          </w:r>
          <w:r w:rsidRPr="008C5826" w:rsidR="008C5826">
            <w:instrText xml:space="preserve"> TOC \o "1-3" \h \z \u </w:instrText>
          </w:r>
          <w:r w:rsidRPr="008C5826">
            <w:fldChar w:fldCharType="separate"/>
          </w:r>
          <w:hyperlink w:history="1" w:anchor="_Toc290559153">
            <w:r w:rsidRPr="0099649B" w:rsidR="002038FD">
              <w:rPr>
                <w:rStyle w:val="Hyperlink"/>
              </w:rPr>
              <w:t>A.  JUSTIFICATION</w:t>
            </w:r>
            <w:r w:rsidRPr="00425494" w:rsidR="00425494">
              <w:rPr>
                <w:rStyle w:val="Hyperlink"/>
                <w:webHidden/>
              </w:rPr>
              <w:tab/>
            </w:r>
            <w:r w:rsidRPr="00425494">
              <w:rPr>
                <w:rStyle w:val="Hyperlink"/>
                <w:webHidden/>
              </w:rPr>
              <w:fldChar w:fldCharType="begin"/>
            </w:r>
            <w:r w:rsidRPr="00425494" w:rsidR="00425494">
              <w:rPr>
                <w:rStyle w:val="Hyperlink"/>
                <w:webHidden/>
              </w:rPr>
              <w:instrText xml:space="preserve"> PAGEREF _Toc290559153 \h </w:instrText>
            </w:r>
            <w:r w:rsidRPr="00425494">
              <w:rPr>
                <w:rStyle w:val="Hyperlink"/>
                <w:webHidden/>
              </w:rPr>
            </w:r>
            <w:r w:rsidRPr="00425494">
              <w:rPr>
                <w:rStyle w:val="Hyperlink"/>
                <w:webHidden/>
              </w:rPr>
              <w:fldChar w:fldCharType="separate"/>
            </w:r>
            <w:r w:rsidR="007268C0">
              <w:rPr>
                <w:rStyle w:val="Hyperlink"/>
                <w:webHidden/>
              </w:rPr>
              <w:t>3</w:t>
            </w:r>
            <w:r w:rsidRPr="00425494">
              <w:rPr>
                <w:rStyle w:val="Hyperlink"/>
                <w:webHidden/>
              </w:rPr>
              <w:fldChar w:fldCharType="end"/>
            </w:r>
          </w:hyperlink>
        </w:p>
        <w:p w:rsidR="005F628B" w:rsidP="00DE1E49" w:rsidRDefault="00B816CE" w14:paraId="55575AF6" w14:textId="6155C201">
          <w:pPr>
            <w:pStyle w:val="TOC2"/>
            <w:rPr>
              <w:rStyle w:val="Hyperlink"/>
            </w:rPr>
          </w:pPr>
          <w:hyperlink w:history="1" w:anchor="_Toc290559154">
            <w:r w:rsidRPr="0099649B" w:rsidR="002038FD">
              <w:rPr>
                <w:rStyle w:val="Hyperlink"/>
              </w:rPr>
              <w:t>1.  Need for Information</w:t>
            </w:r>
            <w:r w:rsidRPr="00425494" w:rsidR="00425494">
              <w:rPr>
                <w:rStyle w:val="Hyperlink"/>
                <w:webHidden/>
              </w:rPr>
              <w:tab/>
            </w:r>
            <w:r w:rsidRPr="00425494" w:rsidR="004A024B">
              <w:rPr>
                <w:rStyle w:val="Hyperlink"/>
                <w:webHidden/>
              </w:rPr>
              <w:fldChar w:fldCharType="begin"/>
            </w:r>
            <w:r w:rsidRPr="00425494" w:rsidR="00425494">
              <w:rPr>
                <w:rStyle w:val="Hyperlink"/>
                <w:webHidden/>
              </w:rPr>
              <w:instrText xml:space="preserve"> PAGEREF _Toc290559154 \h </w:instrText>
            </w:r>
            <w:r w:rsidRPr="00425494" w:rsidR="004A024B">
              <w:rPr>
                <w:rStyle w:val="Hyperlink"/>
                <w:webHidden/>
              </w:rPr>
            </w:r>
            <w:r w:rsidRPr="00425494" w:rsidR="004A024B">
              <w:rPr>
                <w:rStyle w:val="Hyperlink"/>
                <w:webHidden/>
              </w:rPr>
              <w:fldChar w:fldCharType="separate"/>
            </w:r>
            <w:r w:rsidR="007268C0">
              <w:rPr>
                <w:rStyle w:val="Hyperlink"/>
                <w:webHidden/>
              </w:rPr>
              <w:t>3</w:t>
            </w:r>
            <w:r w:rsidRPr="00425494" w:rsidR="004A024B">
              <w:rPr>
                <w:rStyle w:val="Hyperlink"/>
                <w:webHidden/>
              </w:rPr>
              <w:fldChar w:fldCharType="end"/>
            </w:r>
          </w:hyperlink>
        </w:p>
        <w:p w:rsidR="005F628B" w:rsidP="00DE1E49" w:rsidRDefault="00B816CE" w14:paraId="134978DF" w14:textId="27473C03">
          <w:pPr>
            <w:pStyle w:val="TOC2"/>
            <w:rPr>
              <w:rStyle w:val="Hyperlink"/>
            </w:rPr>
          </w:pPr>
          <w:hyperlink w:history="1" w:anchor="_Toc290559155">
            <w:r w:rsidRPr="0099649B" w:rsidR="002038FD">
              <w:rPr>
                <w:rStyle w:val="Hyperlink"/>
              </w:rPr>
              <w:t>2.  How, by Whom, and for What Purpose Information Will Be Used</w:t>
            </w:r>
            <w:r w:rsidRPr="00425494" w:rsidR="00425494">
              <w:rPr>
                <w:rStyle w:val="Hyperlink"/>
                <w:webHidden/>
              </w:rPr>
              <w:tab/>
            </w:r>
            <w:r w:rsidR="008F0E75">
              <w:rPr>
                <w:rStyle w:val="Hyperlink"/>
                <w:webHidden/>
              </w:rPr>
              <w:t>4</w:t>
            </w:r>
          </w:hyperlink>
        </w:p>
        <w:p w:rsidR="005F628B" w:rsidP="00DE1E49" w:rsidRDefault="00B816CE" w14:paraId="04AEACE7" w14:textId="72D60751">
          <w:pPr>
            <w:pStyle w:val="TOC2"/>
            <w:rPr>
              <w:rStyle w:val="Hyperlink"/>
            </w:rPr>
          </w:pPr>
          <w:hyperlink w:history="1" w:anchor="_Toc290559156">
            <w:r w:rsidRPr="0099649B" w:rsidR="002038FD">
              <w:rPr>
                <w:rStyle w:val="Hyperlink"/>
              </w:rPr>
              <w:t xml:space="preserve">3. </w:t>
            </w:r>
            <w:r w:rsidR="00DE1E49">
              <w:rPr>
                <w:rStyle w:val="Hyperlink"/>
              </w:rPr>
              <w:t xml:space="preserve"> </w:t>
            </w:r>
            <w:r w:rsidRPr="0099649B" w:rsidR="002038FD">
              <w:rPr>
                <w:rStyle w:val="Hyperlink"/>
              </w:rPr>
              <w:t>Use of Improved Information Technology</w:t>
            </w:r>
            <w:r w:rsidRPr="00425494" w:rsidR="00425494">
              <w:rPr>
                <w:rStyle w:val="Hyperlink"/>
                <w:webHidden/>
              </w:rPr>
              <w:tab/>
            </w:r>
            <w:r w:rsidR="008F0E75">
              <w:rPr>
                <w:rStyle w:val="Hyperlink"/>
                <w:webHidden/>
              </w:rPr>
              <w:t>5</w:t>
            </w:r>
          </w:hyperlink>
        </w:p>
        <w:p w:rsidR="005F628B" w:rsidP="00DE1E49" w:rsidRDefault="00B816CE" w14:paraId="3C2BBBA3" w14:textId="17E3B287">
          <w:pPr>
            <w:pStyle w:val="TOC2"/>
            <w:rPr>
              <w:rStyle w:val="Hyperlink"/>
            </w:rPr>
          </w:pPr>
          <w:hyperlink w:history="1" w:anchor="_Toc290559157">
            <w:r w:rsidRPr="0099649B" w:rsidR="002038FD">
              <w:rPr>
                <w:rStyle w:val="Hyperlink"/>
              </w:rPr>
              <w:t xml:space="preserve">4. </w:t>
            </w:r>
            <w:r w:rsidR="00DE1E49">
              <w:rPr>
                <w:rStyle w:val="Hyperlink"/>
              </w:rPr>
              <w:t xml:space="preserve"> </w:t>
            </w:r>
            <w:r w:rsidRPr="0099649B" w:rsidR="002038FD">
              <w:rPr>
                <w:rStyle w:val="Hyperlink"/>
              </w:rPr>
              <w:t>Efforts to Identify Duplication</w:t>
            </w:r>
            <w:r w:rsidRPr="00425494" w:rsidR="00425494">
              <w:rPr>
                <w:rStyle w:val="Hyperlink"/>
                <w:webHidden/>
              </w:rPr>
              <w:tab/>
            </w:r>
            <w:r w:rsidR="008F0E75">
              <w:rPr>
                <w:rStyle w:val="Hyperlink"/>
                <w:webHidden/>
              </w:rPr>
              <w:t>5</w:t>
            </w:r>
          </w:hyperlink>
        </w:p>
        <w:p w:rsidR="005F628B" w:rsidP="00DE1E49" w:rsidRDefault="00B816CE" w14:paraId="74CA2C03" w14:textId="1544A183">
          <w:pPr>
            <w:pStyle w:val="TOC2"/>
            <w:rPr>
              <w:rStyle w:val="Hyperlink"/>
            </w:rPr>
          </w:pPr>
          <w:hyperlink w:history="1" w:anchor="_Toc290559158">
            <w:r w:rsidRPr="0099649B" w:rsidR="002038FD">
              <w:rPr>
                <w:rStyle w:val="Hyperlink"/>
              </w:rPr>
              <w:t>6.  Consequences if Information Collected Less Frequently</w:t>
            </w:r>
            <w:r w:rsidRPr="00425494" w:rsidR="00425494">
              <w:rPr>
                <w:rStyle w:val="Hyperlink"/>
                <w:webHidden/>
              </w:rPr>
              <w:tab/>
            </w:r>
            <w:r w:rsidR="008F0E75">
              <w:rPr>
                <w:rStyle w:val="Hyperlink"/>
                <w:webHidden/>
              </w:rPr>
              <w:t>5</w:t>
            </w:r>
          </w:hyperlink>
        </w:p>
        <w:p w:rsidR="005F628B" w:rsidP="00DE1E49" w:rsidRDefault="00B816CE" w14:paraId="0B075A17" w14:textId="04F4E879">
          <w:pPr>
            <w:pStyle w:val="TOC2"/>
            <w:rPr>
              <w:rStyle w:val="Hyperlink"/>
            </w:rPr>
          </w:pPr>
          <w:hyperlink w:history="1" w:anchor="_Toc290559159">
            <w:r w:rsidRPr="0099649B" w:rsidR="002038FD">
              <w:rPr>
                <w:rStyle w:val="Hyperlink"/>
              </w:rPr>
              <w:t>7.  Special Circumstances</w:t>
            </w:r>
            <w:r w:rsidRPr="00425494" w:rsidR="00425494">
              <w:rPr>
                <w:rStyle w:val="Hyperlink"/>
                <w:webHidden/>
              </w:rPr>
              <w:tab/>
            </w:r>
            <w:r w:rsidR="008F0E75">
              <w:rPr>
                <w:rStyle w:val="Hyperlink"/>
                <w:webHidden/>
              </w:rPr>
              <w:t>5</w:t>
            </w:r>
          </w:hyperlink>
        </w:p>
        <w:p w:rsidRPr="00425494" w:rsidR="00425494" w:rsidP="00DE1E49" w:rsidRDefault="002038FD" w14:paraId="3417E685" w14:textId="3A0D11C9">
          <w:pPr>
            <w:pStyle w:val="TOC2"/>
            <w:rPr>
              <w:rStyle w:val="Hyperlink"/>
              <w:color w:val="auto"/>
              <w:u w:val="none"/>
            </w:rPr>
          </w:pPr>
          <w:r w:rsidRPr="008F0E75">
            <w:rPr>
              <w:rStyle w:val="Hyperlink"/>
              <w:color w:val="auto"/>
              <w:u w:val="none"/>
            </w:rPr>
            <w:t>8.</w:t>
          </w:r>
          <w:r w:rsidRPr="008F0E75" w:rsidR="008F0E75">
            <w:rPr>
              <w:rStyle w:val="Hyperlink"/>
              <w:color w:val="auto"/>
              <w:u w:val="none"/>
            </w:rPr>
            <w:t xml:space="preserve"> </w:t>
          </w:r>
          <w:r w:rsidR="00DE1E49">
            <w:rPr>
              <w:rStyle w:val="Hyperlink"/>
              <w:color w:val="auto"/>
              <w:u w:val="none"/>
            </w:rPr>
            <w:t xml:space="preserve"> </w:t>
          </w:r>
          <w:r w:rsidRPr="00425494" w:rsidR="00425494">
            <w:rPr>
              <w:rStyle w:val="Hyperlink"/>
              <w:color w:val="auto"/>
              <w:u w:val="none"/>
            </w:rPr>
            <w:t>Federal Register Notice and Outside Consultations</w:t>
          </w:r>
          <w:r w:rsidRPr="00425494" w:rsidR="00425494">
            <w:rPr>
              <w:rStyle w:val="Hyperlink"/>
              <w:color w:val="auto"/>
              <w:u w:val="none"/>
            </w:rPr>
            <w:tab/>
            <w:t>5</w:t>
          </w:r>
          <w:r w:rsidRPr="00425494" w:rsidR="00425494">
            <w:rPr>
              <w:rStyle w:val="Hyperlink"/>
              <w:color w:val="auto"/>
              <w:u w:val="none"/>
            </w:rPr>
            <w:tab/>
          </w:r>
        </w:p>
        <w:p w:rsidR="005F628B" w:rsidP="00DE1E49" w:rsidRDefault="00B816CE" w14:paraId="13F33EB5" w14:textId="4287212E">
          <w:pPr>
            <w:pStyle w:val="TOC2"/>
            <w:rPr>
              <w:rFonts w:asciiTheme="minorHAnsi" w:hAnsiTheme="minorHAnsi" w:eastAsiaTheme="minorEastAsia" w:cstheme="minorBidi"/>
              <w:sz w:val="22"/>
              <w:szCs w:val="22"/>
            </w:rPr>
          </w:pPr>
          <w:hyperlink w:history="1" w:anchor="_Toc290559160">
            <w:r w:rsidRPr="0099649B" w:rsidR="002038FD">
              <w:rPr>
                <w:rStyle w:val="Hyperlink"/>
              </w:rPr>
              <w:t>9.  Payments/Gifts to Respondents</w:t>
            </w:r>
            <w:r w:rsidRPr="00425494" w:rsidR="00425494">
              <w:rPr>
                <w:rStyle w:val="Hyperlink"/>
                <w:webHidden/>
              </w:rPr>
              <w:tab/>
            </w:r>
            <w:r w:rsidR="008F0E75">
              <w:rPr>
                <w:rStyle w:val="Hyperlink"/>
                <w:webHidden/>
              </w:rPr>
              <w:t>6</w:t>
            </w:r>
          </w:hyperlink>
        </w:p>
        <w:p w:rsidR="005F628B" w:rsidP="00DE1E49" w:rsidRDefault="00B816CE" w14:paraId="75B956AE" w14:textId="5510B687">
          <w:pPr>
            <w:pStyle w:val="TOC2"/>
            <w:rPr>
              <w:rFonts w:asciiTheme="minorHAnsi" w:hAnsiTheme="minorHAnsi" w:eastAsiaTheme="minorEastAsia" w:cstheme="minorBidi"/>
              <w:sz w:val="22"/>
              <w:szCs w:val="22"/>
            </w:rPr>
          </w:pPr>
          <w:hyperlink w:history="1" w:anchor="_Toc290559161">
            <w:r w:rsidRPr="0099649B" w:rsidR="002038FD">
              <w:rPr>
                <w:rStyle w:val="Hyperlink"/>
              </w:rPr>
              <w:t>10.  Assurance of Confidentiality</w:t>
            </w:r>
            <w:r w:rsidR="002038FD">
              <w:rPr>
                <w:webHidden/>
              </w:rPr>
              <w:tab/>
            </w:r>
            <w:r w:rsidR="008F0E75">
              <w:rPr>
                <w:webHidden/>
              </w:rPr>
              <w:t>6</w:t>
            </w:r>
          </w:hyperlink>
        </w:p>
        <w:p w:rsidR="005F628B" w:rsidP="00DE1E49" w:rsidRDefault="00B816CE" w14:paraId="623F4280" w14:textId="7D374A8E">
          <w:pPr>
            <w:pStyle w:val="TOC2"/>
            <w:rPr>
              <w:rFonts w:asciiTheme="minorHAnsi" w:hAnsiTheme="minorHAnsi" w:eastAsiaTheme="minorEastAsia" w:cstheme="minorBidi"/>
              <w:sz w:val="22"/>
              <w:szCs w:val="22"/>
            </w:rPr>
          </w:pPr>
          <w:hyperlink w:history="1" w:anchor="_Toc290559162">
            <w:r w:rsidRPr="0099649B" w:rsidR="002038FD">
              <w:rPr>
                <w:rStyle w:val="Hyperlink"/>
              </w:rPr>
              <w:t>11.  Questions of a Sensitive Nature</w:t>
            </w:r>
            <w:r w:rsidR="002038FD">
              <w:rPr>
                <w:webHidden/>
              </w:rPr>
              <w:tab/>
            </w:r>
            <w:r w:rsidR="008F0E75">
              <w:rPr>
                <w:webHidden/>
              </w:rPr>
              <w:t>6</w:t>
            </w:r>
          </w:hyperlink>
        </w:p>
        <w:p w:rsidR="005F628B" w:rsidP="00DE1E49" w:rsidRDefault="00B816CE" w14:paraId="2FE71AEB" w14:textId="4D3430E8">
          <w:pPr>
            <w:pStyle w:val="TOC2"/>
            <w:rPr>
              <w:rFonts w:asciiTheme="minorHAnsi" w:hAnsiTheme="minorHAnsi" w:eastAsiaTheme="minorEastAsia" w:cstheme="minorBidi"/>
              <w:sz w:val="22"/>
              <w:szCs w:val="22"/>
            </w:rPr>
          </w:pPr>
          <w:hyperlink w:history="1" w:anchor="_Toc290559163">
            <w:r w:rsidRPr="0099649B" w:rsidR="002038FD">
              <w:rPr>
                <w:rStyle w:val="Hyperlink"/>
              </w:rPr>
              <w:t>12.  Estimates of Annualized Burden Hours and Costs</w:t>
            </w:r>
            <w:r w:rsidR="002038FD">
              <w:rPr>
                <w:webHidden/>
              </w:rPr>
              <w:tab/>
            </w:r>
            <w:r w:rsidR="008F0E75">
              <w:rPr>
                <w:webHidden/>
              </w:rPr>
              <w:t>6</w:t>
            </w:r>
          </w:hyperlink>
        </w:p>
        <w:p w:rsidR="005F628B" w:rsidP="00DE1E49" w:rsidRDefault="00B816CE" w14:paraId="50006ADC" w14:textId="32007DF3">
          <w:pPr>
            <w:pStyle w:val="TOC2"/>
            <w:rPr>
              <w:rFonts w:asciiTheme="minorHAnsi" w:hAnsiTheme="minorHAnsi" w:eastAsiaTheme="minorEastAsia" w:cstheme="minorBidi"/>
              <w:sz w:val="22"/>
              <w:szCs w:val="22"/>
            </w:rPr>
          </w:pPr>
          <w:hyperlink w:history="1" w:anchor="_Toc290559164">
            <w:r w:rsidRPr="0099649B" w:rsidR="002038FD">
              <w:rPr>
                <w:rStyle w:val="Hyperlink"/>
              </w:rPr>
              <w:t>13.  Estimates of Annualized Respondent Capital and Maintenance Costs</w:t>
            </w:r>
            <w:r w:rsidR="002038FD">
              <w:rPr>
                <w:webHidden/>
              </w:rPr>
              <w:tab/>
            </w:r>
            <w:r w:rsidR="008F0E75">
              <w:rPr>
                <w:webHidden/>
              </w:rPr>
              <w:t>7</w:t>
            </w:r>
          </w:hyperlink>
        </w:p>
        <w:p w:rsidR="005F628B" w:rsidP="00DE1E49" w:rsidRDefault="00B816CE" w14:paraId="3B104A52" w14:textId="028089D5">
          <w:pPr>
            <w:pStyle w:val="TOC2"/>
            <w:rPr>
              <w:rFonts w:asciiTheme="minorHAnsi" w:hAnsiTheme="minorHAnsi" w:eastAsiaTheme="minorEastAsia" w:cstheme="minorBidi"/>
              <w:sz w:val="22"/>
              <w:szCs w:val="22"/>
            </w:rPr>
          </w:pPr>
          <w:hyperlink w:history="1" w:anchor="_Toc290559165">
            <w:r w:rsidRPr="00855A83" w:rsidR="002038FD">
              <w:rPr>
                <w:rStyle w:val="Hyperlink"/>
              </w:rPr>
              <w:t>14.  Estimates of Annualized Cost to the Government</w:t>
            </w:r>
            <w:r w:rsidR="002038FD">
              <w:rPr>
                <w:webHidden/>
              </w:rPr>
              <w:tab/>
            </w:r>
            <w:r w:rsidR="008F0E75">
              <w:rPr>
                <w:webHidden/>
              </w:rPr>
              <w:t>7</w:t>
            </w:r>
          </w:hyperlink>
        </w:p>
        <w:p w:rsidR="005F628B" w:rsidP="00DE1E49" w:rsidRDefault="00B816CE" w14:paraId="7B0001CE" w14:textId="18347398">
          <w:pPr>
            <w:pStyle w:val="TOC2"/>
            <w:rPr>
              <w:rFonts w:asciiTheme="minorHAnsi" w:hAnsiTheme="minorHAnsi" w:eastAsiaTheme="minorEastAsia" w:cstheme="minorBidi"/>
              <w:sz w:val="22"/>
              <w:szCs w:val="22"/>
            </w:rPr>
          </w:pPr>
          <w:hyperlink w:history="1" w:anchor="_Toc290559166">
            <w:r w:rsidRPr="0099649B" w:rsidR="002038FD">
              <w:rPr>
                <w:rStyle w:val="Hyperlink"/>
              </w:rPr>
              <w:t>15.  Change in Burden</w:t>
            </w:r>
            <w:r w:rsidR="002038FD">
              <w:rPr>
                <w:webHidden/>
              </w:rPr>
              <w:tab/>
            </w:r>
            <w:r w:rsidR="008F0E75">
              <w:rPr>
                <w:webHidden/>
              </w:rPr>
              <w:t>7</w:t>
            </w:r>
          </w:hyperlink>
        </w:p>
        <w:p w:rsidR="005F628B" w:rsidP="00DE1E49" w:rsidRDefault="00B816CE" w14:paraId="4A5229C1" w14:textId="2F433F13">
          <w:pPr>
            <w:pStyle w:val="TOC2"/>
            <w:rPr>
              <w:rFonts w:asciiTheme="minorHAnsi" w:hAnsiTheme="minorHAnsi" w:eastAsiaTheme="minorEastAsia" w:cstheme="minorBidi"/>
              <w:sz w:val="22"/>
              <w:szCs w:val="22"/>
            </w:rPr>
          </w:pPr>
          <w:hyperlink w:history="1" w:anchor="_Toc290559167">
            <w:r w:rsidRPr="0099649B" w:rsidR="002038FD">
              <w:rPr>
                <w:rStyle w:val="Hyperlink"/>
              </w:rPr>
              <w:t>16.  Time Schedule, Publication and Analysis Plans</w:t>
            </w:r>
            <w:r w:rsidR="002038FD">
              <w:rPr>
                <w:webHidden/>
              </w:rPr>
              <w:tab/>
            </w:r>
            <w:r w:rsidR="008F0E75">
              <w:rPr>
                <w:webHidden/>
              </w:rPr>
              <w:t>7</w:t>
            </w:r>
          </w:hyperlink>
        </w:p>
        <w:p w:rsidR="005F628B" w:rsidP="00DE1E49" w:rsidRDefault="00B816CE" w14:paraId="4D18BCEF" w14:textId="41D796DE">
          <w:pPr>
            <w:pStyle w:val="TOC2"/>
            <w:rPr>
              <w:rFonts w:asciiTheme="minorHAnsi" w:hAnsiTheme="minorHAnsi" w:eastAsiaTheme="minorEastAsia" w:cstheme="minorBidi"/>
              <w:sz w:val="22"/>
              <w:szCs w:val="22"/>
            </w:rPr>
          </w:pPr>
          <w:hyperlink w:history="1" w:anchor="_Toc290559168">
            <w:r w:rsidRPr="0099649B" w:rsidR="002038FD">
              <w:rPr>
                <w:rStyle w:val="Hyperlink"/>
              </w:rPr>
              <w:t>17.  Exemption for Display of Expiration Date</w:t>
            </w:r>
            <w:r w:rsidR="002038FD">
              <w:rPr>
                <w:webHidden/>
              </w:rPr>
              <w:tab/>
            </w:r>
            <w:r w:rsidR="008F0E75">
              <w:rPr>
                <w:webHidden/>
              </w:rPr>
              <w:t>8</w:t>
            </w:r>
          </w:hyperlink>
        </w:p>
        <w:p w:rsidR="008C5826" w:rsidRDefault="004A024B" w14:paraId="49150546" w14:textId="48791087">
          <w:r w:rsidRPr="008C5826">
            <w:fldChar w:fldCharType="end"/>
          </w:r>
          <w:r w:rsidR="00085CF8">
            <w:t xml:space="preserve">  </w:t>
          </w:r>
          <w:r w:rsidR="00085CF8">
            <w:tab/>
          </w:r>
          <w:r w:rsidR="00085CF8">
            <w:tab/>
          </w:r>
          <w:r w:rsidR="00085CF8">
            <w:tab/>
          </w:r>
          <w:r w:rsidR="00085CF8">
            <w:tab/>
          </w:r>
          <w:r w:rsidR="00085CF8">
            <w:tab/>
          </w:r>
          <w:r w:rsidR="00085CF8">
            <w:tab/>
          </w:r>
          <w:r w:rsidR="00085CF8">
            <w:tab/>
          </w:r>
          <w:r w:rsidR="00085CF8">
            <w:tab/>
          </w:r>
          <w:r w:rsidR="00085CF8">
            <w:tab/>
          </w:r>
          <w:r w:rsidR="00085CF8">
            <w:tab/>
          </w:r>
        </w:p>
      </w:sdtContent>
    </w:sdt>
    <w:p w:rsidR="00CB7234" w:rsidP="00CB7234" w:rsidRDefault="00CB7234" w14:paraId="46783036" w14:textId="77777777">
      <w:pPr>
        <w:rPr>
          <w:b/>
          <w:sz w:val="24"/>
          <w:szCs w:val="24"/>
        </w:rPr>
      </w:pPr>
      <w:r>
        <w:rPr>
          <w:b/>
          <w:sz w:val="24"/>
          <w:szCs w:val="24"/>
        </w:rPr>
        <w:br w:type="page"/>
      </w:r>
    </w:p>
    <w:p w:rsidRPr="008C5826" w:rsidR="0057087C" w:rsidP="008C5826" w:rsidRDefault="00A13BEE" w14:paraId="0BDE6309" w14:textId="77777777">
      <w:pPr>
        <w:pStyle w:val="Heading1"/>
        <w:rPr>
          <w:color w:val="auto"/>
          <w:sz w:val="24"/>
          <w:szCs w:val="24"/>
        </w:rPr>
      </w:pPr>
      <w:bookmarkStart w:name="_Toc290559153" w:id="1"/>
      <w:r w:rsidRPr="008C5826">
        <w:rPr>
          <w:color w:val="auto"/>
          <w:sz w:val="24"/>
          <w:szCs w:val="24"/>
        </w:rPr>
        <w:lastRenderedPageBreak/>
        <w:t>A.</w:t>
      </w:r>
      <w:r>
        <w:rPr>
          <w:sz w:val="24"/>
          <w:szCs w:val="24"/>
        </w:rPr>
        <w:t xml:space="preserve">  </w:t>
      </w:r>
      <w:r w:rsidRPr="008C5826" w:rsidR="0057087C">
        <w:rPr>
          <w:color w:val="auto"/>
          <w:sz w:val="24"/>
          <w:szCs w:val="24"/>
        </w:rPr>
        <w:t>JUSTIFICATION</w:t>
      </w:r>
      <w:bookmarkEnd w:id="1"/>
    </w:p>
    <w:p w:rsidRPr="00CB177A" w:rsidR="0057087C" w:rsidRDefault="0057087C" w14:paraId="6D89F475" w14:textId="77777777">
      <w:pPr>
        <w:rPr>
          <w:sz w:val="24"/>
          <w:szCs w:val="24"/>
        </w:rPr>
      </w:pPr>
    </w:p>
    <w:p w:rsidRPr="006C598D" w:rsidR="001D16FA" w:rsidP="001D16FA" w:rsidRDefault="0057087C" w14:paraId="60742270" w14:textId="77777777">
      <w:pPr>
        <w:pStyle w:val="Heading2"/>
        <w:rPr>
          <w:rFonts w:ascii="Times New Roman" w:hAnsi="Times New Roman" w:cs="Times New Roman"/>
          <w:sz w:val="24"/>
          <w:szCs w:val="24"/>
        </w:rPr>
      </w:pPr>
      <w:bookmarkStart w:name="_Toc290559154" w:id="2"/>
      <w:r w:rsidRPr="006C598D">
        <w:rPr>
          <w:rFonts w:ascii="Times New Roman" w:hAnsi="Times New Roman" w:cs="Times New Roman"/>
          <w:color w:val="auto"/>
          <w:sz w:val="24"/>
          <w:szCs w:val="24"/>
        </w:rPr>
        <w:t xml:space="preserve">1.  </w:t>
      </w:r>
      <w:r w:rsidRPr="006C598D">
        <w:rPr>
          <w:rFonts w:ascii="Times New Roman" w:hAnsi="Times New Roman" w:cs="Times New Roman"/>
          <w:color w:val="auto"/>
          <w:sz w:val="24"/>
          <w:szCs w:val="24"/>
          <w:u w:val="single"/>
        </w:rPr>
        <w:t>Need for Information</w:t>
      </w:r>
      <w:bookmarkEnd w:id="2"/>
    </w:p>
    <w:p w:rsidR="006B0624" w:rsidRDefault="006B0624" w14:paraId="625A1F4B" w14:textId="77777777">
      <w:pPr>
        <w:rPr>
          <w:sz w:val="24"/>
          <w:szCs w:val="24"/>
        </w:rPr>
      </w:pPr>
    </w:p>
    <w:p w:rsidRPr="00420A8F" w:rsidR="00BB58AE" w:rsidP="00BB58AE" w:rsidRDefault="00BB58AE" w14:paraId="366F5CB5" w14:textId="77777777">
      <w:pPr>
        <w:rPr>
          <w:sz w:val="24"/>
          <w:szCs w:val="24"/>
        </w:rPr>
      </w:pPr>
      <w:r w:rsidRPr="00420A8F">
        <w:rPr>
          <w:sz w:val="24"/>
          <w:szCs w:val="24"/>
        </w:rPr>
        <w:t>The mission of the Agency for Healthcare Research and Quality (AHRQ) is to produce evidence to make health care safer, higher quality, more accessible, equitable and affordable, and to work within the U.S. Department of Health and Human Services and with other partners to make sure that the evidence is understood and used.</w:t>
      </w:r>
    </w:p>
    <w:p w:rsidRPr="00420A8F" w:rsidR="00BB58AE" w:rsidP="00BB58AE" w:rsidRDefault="00BB58AE" w14:paraId="69446B23" w14:textId="77777777">
      <w:pPr>
        <w:rPr>
          <w:sz w:val="24"/>
          <w:szCs w:val="24"/>
        </w:rPr>
      </w:pPr>
    </w:p>
    <w:p w:rsidR="001D16FA" w:rsidP="0035405B" w:rsidRDefault="00BB58AE" w14:paraId="4FD9D2B6" w14:textId="1F1438B3">
      <w:pPr>
        <w:rPr>
          <w:sz w:val="24"/>
          <w:szCs w:val="24"/>
        </w:rPr>
      </w:pPr>
      <w:r w:rsidRPr="00420A8F">
        <w:rPr>
          <w:sz w:val="24"/>
          <w:szCs w:val="24"/>
        </w:rPr>
        <w:t>AHRQ shall promote health care quality improvement by</w:t>
      </w:r>
      <w:r w:rsidR="0070123B">
        <w:rPr>
          <w:sz w:val="24"/>
          <w:szCs w:val="24"/>
        </w:rPr>
        <w:t xml:space="preserve"> c</w:t>
      </w:r>
      <w:r w:rsidRPr="00420A8F">
        <w:rPr>
          <w:sz w:val="24"/>
          <w:szCs w:val="24"/>
        </w:rPr>
        <w:t>ollecting data on and producing measures of the quality, safety, effectiveness, and efficiency of American health care and health care systems; fostering the development of knowledge about improving health care, health care systems, and capacity; and</w:t>
      </w:r>
      <w:r w:rsidR="0070123B">
        <w:rPr>
          <w:sz w:val="24"/>
          <w:szCs w:val="24"/>
        </w:rPr>
        <w:t xml:space="preserve"> </w:t>
      </w:r>
      <w:r w:rsidRPr="00420A8F">
        <w:rPr>
          <w:sz w:val="24"/>
          <w:szCs w:val="24"/>
        </w:rPr>
        <w:t>partnering with stakeholders to implement proven strategies for health care improvement.</w:t>
      </w:r>
      <w:r w:rsidR="0070123B">
        <w:rPr>
          <w:sz w:val="24"/>
          <w:szCs w:val="24"/>
        </w:rPr>
        <w:t xml:space="preserve"> </w:t>
      </w:r>
      <w:r w:rsidRPr="00420A8F">
        <w:rPr>
          <w:sz w:val="24"/>
          <w:szCs w:val="24"/>
        </w:rPr>
        <w:t>Also, AHRQ shall conduct and support research and evaluations, and support demonstration projects, with respect to (A) the delivery of health care in inner-city areas, and in rural areas (including frontier areas); and (B) health care for priority populations, which shall include (1) low-income groups, (2) minority groups, (3) women, (4) children, (5) the elderly, and (6) individuals with special health care needs, including individuals with disabilities and individuals who need chronic care or end-of-life health care.</w:t>
      </w:r>
    </w:p>
    <w:p w:rsidR="00BB58AE" w:rsidP="0035405B" w:rsidRDefault="00BB58AE" w14:paraId="72755E90" w14:textId="77777777">
      <w:pPr>
        <w:rPr>
          <w:sz w:val="24"/>
          <w:szCs w:val="24"/>
        </w:rPr>
      </w:pPr>
    </w:p>
    <w:p w:rsidRPr="00420A8F" w:rsidR="0035405B" w:rsidP="0035405B" w:rsidRDefault="00143B6B" w14:paraId="5145DF72" w14:textId="410F7982">
      <w:pPr>
        <w:rPr>
          <w:bCs/>
          <w:sz w:val="24"/>
          <w:szCs w:val="24"/>
        </w:rPr>
      </w:pPr>
      <w:r w:rsidRPr="00420A8F">
        <w:rPr>
          <w:bCs/>
          <w:sz w:val="24"/>
          <w:szCs w:val="24"/>
        </w:rPr>
        <w:t>The MEPS</w:t>
      </w:r>
      <w:r w:rsidRPr="00420A8F" w:rsidR="0035405B">
        <w:rPr>
          <w:bCs/>
          <w:sz w:val="24"/>
          <w:szCs w:val="24"/>
        </w:rPr>
        <w:t xml:space="preserve"> survey consists of </w:t>
      </w:r>
      <w:r w:rsidR="00D00076">
        <w:rPr>
          <w:bCs/>
          <w:sz w:val="24"/>
          <w:szCs w:val="24"/>
        </w:rPr>
        <w:t xml:space="preserve">the following </w:t>
      </w:r>
      <w:r w:rsidRPr="00420A8F" w:rsidR="0035405B">
        <w:rPr>
          <w:bCs/>
          <w:sz w:val="24"/>
          <w:szCs w:val="24"/>
        </w:rPr>
        <w:t xml:space="preserve">three </w:t>
      </w:r>
      <w:r w:rsidRPr="00A04F7A" w:rsidR="00D00076">
        <w:rPr>
          <w:bCs/>
          <w:sz w:val="24"/>
          <w:szCs w:val="24"/>
        </w:rPr>
        <w:t>components</w:t>
      </w:r>
      <w:r w:rsidRPr="00420A8F" w:rsidR="0035405B">
        <w:rPr>
          <w:bCs/>
          <w:sz w:val="24"/>
          <w:szCs w:val="24"/>
        </w:rPr>
        <w:t xml:space="preserve"> and has been conducted annu</w:t>
      </w:r>
      <w:r w:rsidR="00281B88">
        <w:rPr>
          <w:bCs/>
          <w:sz w:val="24"/>
          <w:szCs w:val="24"/>
        </w:rPr>
        <w:t>a</w:t>
      </w:r>
      <w:r w:rsidRPr="00420A8F" w:rsidR="0035405B">
        <w:rPr>
          <w:bCs/>
          <w:sz w:val="24"/>
          <w:szCs w:val="24"/>
        </w:rPr>
        <w:t>lly since 1996:</w:t>
      </w:r>
    </w:p>
    <w:p w:rsidRPr="00420A8F" w:rsidR="0035405B" w:rsidP="0035405B" w:rsidRDefault="0035405B" w14:paraId="009A0870" w14:textId="77777777">
      <w:pPr>
        <w:rPr>
          <w:bCs/>
          <w:sz w:val="24"/>
          <w:szCs w:val="24"/>
        </w:rPr>
      </w:pPr>
    </w:p>
    <w:p w:rsidRPr="00420A8F" w:rsidR="0035405B" w:rsidP="0035405B" w:rsidRDefault="0035405B" w14:paraId="30425302" w14:textId="09B54845">
      <w:pPr>
        <w:numPr>
          <w:ilvl w:val="0"/>
          <w:numId w:val="47"/>
        </w:numPr>
        <w:ind w:left="450" w:hanging="450"/>
        <w:rPr>
          <w:sz w:val="24"/>
          <w:szCs w:val="24"/>
        </w:rPr>
      </w:pPr>
      <w:r w:rsidRPr="00420A8F">
        <w:rPr>
          <w:sz w:val="24"/>
          <w:szCs w:val="24"/>
        </w:rPr>
        <w:t>Household Component</w:t>
      </w:r>
      <w:r w:rsidR="009D6275">
        <w:rPr>
          <w:sz w:val="24"/>
          <w:szCs w:val="24"/>
        </w:rPr>
        <w:t xml:space="preserve"> (MEPS-HC)</w:t>
      </w:r>
      <w:r w:rsidRPr="00420A8F">
        <w:rPr>
          <w:sz w:val="24"/>
          <w:szCs w:val="24"/>
        </w:rPr>
        <w:t>: A sample of households participating in the National Health Interview Survey (NHIS) in the prior calendar year are interviewed 5 times over a 2 and one half (2.5) year period. These 5 interviews yield two years of information on use of, and expenditures for, health care, sources of payment for that health care, insurance status, employment, health status</w:t>
      </w:r>
      <w:r w:rsidR="007268C0">
        <w:rPr>
          <w:sz w:val="24"/>
          <w:szCs w:val="24"/>
        </w:rPr>
        <w:t>,</w:t>
      </w:r>
      <w:r w:rsidRPr="00420A8F">
        <w:rPr>
          <w:sz w:val="24"/>
          <w:szCs w:val="24"/>
        </w:rPr>
        <w:t xml:space="preserve"> and health care quality.</w:t>
      </w:r>
    </w:p>
    <w:p w:rsidRPr="00420A8F" w:rsidR="0035405B" w:rsidP="00420A8F" w:rsidRDefault="0035405B" w14:paraId="7B772E8B" w14:textId="478C35C0">
      <w:pPr>
        <w:numPr>
          <w:ilvl w:val="0"/>
          <w:numId w:val="47"/>
        </w:numPr>
        <w:ind w:left="450" w:hanging="450"/>
        <w:rPr>
          <w:sz w:val="24"/>
          <w:szCs w:val="24"/>
        </w:rPr>
      </w:pPr>
      <w:r w:rsidRPr="00420A8F">
        <w:rPr>
          <w:sz w:val="24"/>
          <w:szCs w:val="24"/>
        </w:rPr>
        <w:t>Medical Provider Component</w:t>
      </w:r>
      <w:r w:rsidR="008017B1">
        <w:rPr>
          <w:sz w:val="24"/>
          <w:szCs w:val="24"/>
        </w:rPr>
        <w:t xml:space="preserve"> (MEPS-MPC)</w:t>
      </w:r>
      <w:r w:rsidRPr="00420A8F">
        <w:rPr>
          <w:sz w:val="24"/>
          <w:szCs w:val="24"/>
        </w:rPr>
        <w:t xml:space="preserve">: The MEPS-MPC collects information from medical and financial records maintained by hospitals, physicians, </w:t>
      </w:r>
      <w:r w:rsidRPr="00420A8F" w:rsidR="001B1D98">
        <w:rPr>
          <w:sz w:val="24"/>
          <w:szCs w:val="24"/>
        </w:rPr>
        <w:t>pharmacies,</w:t>
      </w:r>
      <w:r w:rsidRPr="00420A8F">
        <w:rPr>
          <w:sz w:val="24"/>
          <w:szCs w:val="24"/>
        </w:rPr>
        <w:t xml:space="preserve"> and home health agencies named as sources of care by household respondents</w:t>
      </w:r>
      <w:r w:rsidRPr="00420A8F" w:rsidR="001B1D98">
        <w:rPr>
          <w:sz w:val="24"/>
          <w:szCs w:val="24"/>
        </w:rPr>
        <w:t xml:space="preserve">. </w:t>
      </w:r>
    </w:p>
    <w:p w:rsidRPr="00420A8F" w:rsidR="0035405B" w:rsidP="00420A8F" w:rsidRDefault="0035405B" w14:paraId="26418664" w14:textId="723A31C9">
      <w:pPr>
        <w:numPr>
          <w:ilvl w:val="0"/>
          <w:numId w:val="47"/>
        </w:numPr>
        <w:ind w:left="450" w:hanging="450"/>
        <w:rPr>
          <w:sz w:val="24"/>
          <w:szCs w:val="24"/>
        </w:rPr>
      </w:pPr>
      <w:r w:rsidRPr="00420A8F">
        <w:rPr>
          <w:sz w:val="24"/>
          <w:szCs w:val="24"/>
        </w:rPr>
        <w:t>Insurance Component</w:t>
      </w:r>
      <w:r w:rsidR="008017B1">
        <w:rPr>
          <w:sz w:val="24"/>
          <w:szCs w:val="24"/>
        </w:rPr>
        <w:t xml:space="preserve"> (MEPS-IC)</w:t>
      </w:r>
      <w:r w:rsidRPr="00420A8F">
        <w:rPr>
          <w:sz w:val="24"/>
          <w:szCs w:val="24"/>
        </w:rPr>
        <w:t>: The MEPS-IC collects information on establishment characteristics, insurance offerings and premiums from employers</w:t>
      </w:r>
      <w:r w:rsidRPr="00420A8F" w:rsidR="001B1D98">
        <w:rPr>
          <w:sz w:val="24"/>
          <w:szCs w:val="24"/>
        </w:rPr>
        <w:t xml:space="preserve">. </w:t>
      </w:r>
      <w:r w:rsidRPr="00420A8F">
        <w:rPr>
          <w:sz w:val="24"/>
          <w:szCs w:val="24"/>
        </w:rPr>
        <w:t>The MEPS-IC is conducted by the Census Bureau for AHRQ and is cleared separately.</w:t>
      </w:r>
    </w:p>
    <w:p w:rsidRPr="00420A8F" w:rsidR="0035405B" w:rsidP="0035405B" w:rsidRDefault="0035405B" w14:paraId="3ACD7E2C" w14:textId="77777777">
      <w:pPr>
        <w:rPr>
          <w:sz w:val="24"/>
          <w:szCs w:val="24"/>
          <w:highlight w:val="yellow"/>
        </w:rPr>
      </w:pPr>
    </w:p>
    <w:p w:rsidRPr="003F33E2" w:rsidR="0035405B" w:rsidP="0035405B" w:rsidRDefault="0035405B" w14:paraId="786E41A3" w14:textId="600BAF2A">
      <w:pPr>
        <w:rPr>
          <w:sz w:val="24"/>
          <w:szCs w:val="24"/>
          <w:u w:val="single"/>
        </w:rPr>
      </w:pPr>
      <w:r w:rsidRPr="00420A8F">
        <w:rPr>
          <w:sz w:val="24"/>
          <w:szCs w:val="24"/>
        </w:rPr>
        <w:t>This request is</w:t>
      </w:r>
      <w:r w:rsidR="00FA0CD0">
        <w:rPr>
          <w:sz w:val="24"/>
          <w:szCs w:val="24"/>
        </w:rPr>
        <w:t xml:space="preserve"> related to the MEPS-HC only. </w:t>
      </w:r>
      <w:r w:rsidRPr="00420A8F">
        <w:rPr>
          <w:sz w:val="24"/>
          <w:szCs w:val="24"/>
        </w:rPr>
        <w:t xml:space="preserve">The OMB Control Number for the MEPS-HC and MPC is 0935-0118, </w:t>
      </w:r>
      <w:r w:rsidRPr="00762C16">
        <w:rPr>
          <w:sz w:val="24"/>
          <w:szCs w:val="24"/>
        </w:rPr>
        <w:t xml:space="preserve">which was last approved by OMB on November </w:t>
      </w:r>
      <w:r w:rsidR="00762C16">
        <w:rPr>
          <w:sz w:val="24"/>
          <w:szCs w:val="24"/>
        </w:rPr>
        <w:t>20</w:t>
      </w:r>
      <w:r w:rsidRPr="00762C16">
        <w:rPr>
          <w:sz w:val="24"/>
          <w:szCs w:val="24"/>
        </w:rPr>
        <w:t xml:space="preserve">, </w:t>
      </w:r>
      <w:r w:rsidRPr="00762C16" w:rsidR="00762C16">
        <w:rPr>
          <w:sz w:val="24"/>
          <w:szCs w:val="24"/>
        </w:rPr>
        <w:t>20</w:t>
      </w:r>
      <w:r w:rsidR="00762C16">
        <w:rPr>
          <w:sz w:val="24"/>
          <w:szCs w:val="24"/>
        </w:rPr>
        <w:t>20</w:t>
      </w:r>
      <w:r w:rsidRPr="00762C16">
        <w:rPr>
          <w:sz w:val="24"/>
          <w:szCs w:val="24"/>
        </w:rPr>
        <w:t xml:space="preserve">, and will expire on November 30, </w:t>
      </w:r>
      <w:r w:rsidRPr="00762C16" w:rsidR="00762C16">
        <w:rPr>
          <w:sz w:val="24"/>
          <w:szCs w:val="24"/>
        </w:rPr>
        <w:t>202</w:t>
      </w:r>
      <w:r w:rsidR="00762C16">
        <w:rPr>
          <w:sz w:val="24"/>
          <w:szCs w:val="24"/>
        </w:rPr>
        <w:t>3</w:t>
      </w:r>
      <w:r w:rsidRPr="00762C16">
        <w:rPr>
          <w:sz w:val="24"/>
          <w:szCs w:val="24"/>
        </w:rPr>
        <w:t>.</w:t>
      </w:r>
    </w:p>
    <w:p w:rsidR="00100CF5" w:rsidP="0035405B" w:rsidRDefault="00100CF5" w14:paraId="647DCF3C" w14:textId="340EAEF1">
      <w:pPr>
        <w:rPr>
          <w:sz w:val="24"/>
          <w:szCs w:val="24"/>
        </w:rPr>
      </w:pPr>
    </w:p>
    <w:p w:rsidRPr="00BB58AE" w:rsidR="00100CF5" w:rsidP="00100CF5" w:rsidRDefault="00100CF5" w14:paraId="20A0158A" w14:textId="00D5A2C9">
      <w:pPr>
        <w:rPr>
          <w:sz w:val="24"/>
          <w:szCs w:val="24"/>
        </w:rPr>
      </w:pPr>
      <w:r w:rsidRPr="00ED6419">
        <w:rPr>
          <w:bCs/>
          <w:sz w:val="24"/>
          <w:szCs w:val="24"/>
        </w:rPr>
        <w:t>This study is being conducted by AHRQ through its contractor</w:t>
      </w:r>
      <w:r w:rsidR="00534A4A">
        <w:rPr>
          <w:bCs/>
          <w:sz w:val="24"/>
          <w:szCs w:val="24"/>
        </w:rPr>
        <w:t xml:space="preserve"> </w:t>
      </w:r>
      <w:r w:rsidR="00235505">
        <w:rPr>
          <w:bCs/>
          <w:sz w:val="24"/>
          <w:szCs w:val="24"/>
        </w:rPr>
        <w:t>(</w:t>
      </w:r>
      <w:r w:rsidRPr="00ED6419">
        <w:rPr>
          <w:bCs/>
          <w:sz w:val="24"/>
          <w:szCs w:val="24"/>
        </w:rPr>
        <w:t>Westat</w:t>
      </w:r>
      <w:r w:rsidR="00235505">
        <w:rPr>
          <w:bCs/>
          <w:sz w:val="24"/>
          <w:szCs w:val="24"/>
        </w:rPr>
        <w:t>)</w:t>
      </w:r>
      <w:r w:rsidRPr="00ED6419">
        <w:rPr>
          <w:bCs/>
          <w:sz w:val="24"/>
          <w:szCs w:val="24"/>
        </w:rPr>
        <w:t xml:space="preserve"> pursuant to AHRQ’s statutory authority to conduct and support research on healthcare and on systems for the delivery of such care, including activities with respect to the cost and use of health care services and with respect to health statistics and surveys. 42 U.S.C. 299a(a)(3) and (8); 42 U.S.C. 299b-2.</w:t>
      </w:r>
    </w:p>
    <w:p w:rsidRPr="00420A8F" w:rsidR="00100CF5" w:rsidP="0035405B" w:rsidRDefault="00100CF5" w14:paraId="325A3509" w14:textId="77777777">
      <w:pPr>
        <w:rPr>
          <w:sz w:val="24"/>
          <w:szCs w:val="24"/>
        </w:rPr>
      </w:pPr>
    </w:p>
    <w:p w:rsidRPr="00DA394A" w:rsidR="0035405B" w:rsidP="00207BF6" w:rsidRDefault="0035405B" w14:paraId="62EA1527" w14:textId="4B15828C">
      <w:pPr>
        <w:rPr>
          <w:sz w:val="24"/>
          <w:szCs w:val="24"/>
        </w:rPr>
      </w:pPr>
    </w:p>
    <w:p w:rsidR="00D5296F" w:rsidP="002223D0" w:rsidRDefault="00207BF6" w14:paraId="118D6186" w14:textId="23A94581">
      <w:pPr>
        <w:rPr>
          <w:sz w:val="24"/>
          <w:szCs w:val="24"/>
        </w:rPr>
      </w:pPr>
      <w:r w:rsidRPr="00DA394A">
        <w:rPr>
          <w:sz w:val="24"/>
          <w:szCs w:val="24"/>
        </w:rPr>
        <w:lastRenderedPageBreak/>
        <w:t xml:space="preserve">The purpose of this request is </w:t>
      </w:r>
      <w:r w:rsidR="00100CF5">
        <w:rPr>
          <w:sz w:val="24"/>
          <w:szCs w:val="24"/>
        </w:rPr>
        <w:t xml:space="preserve">to design and implement a </w:t>
      </w:r>
      <w:r w:rsidR="00D42085">
        <w:rPr>
          <w:sz w:val="24"/>
          <w:szCs w:val="24"/>
        </w:rPr>
        <w:t xml:space="preserve">sequential multimode pilot study of a screening instrument, with a </w:t>
      </w:r>
      <w:r w:rsidR="00E35E3A">
        <w:rPr>
          <w:sz w:val="24"/>
          <w:szCs w:val="24"/>
        </w:rPr>
        <w:t xml:space="preserve">mail </w:t>
      </w:r>
      <w:r w:rsidR="00D42085">
        <w:rPr>
          <w:sz w:val="24"/>
          <w:szCs w:val="24"/>
        </w:rPr>
        <w:t>“</w:t>
      </w:r>
      <w:r w:rsidR="00E35E3A">
        <w:rPr>
          <w:sz w:val="24"/>
          <w:szCs w:val="24"/>
        </w:rPr>
        <w:t>push-to-</w:t>
      </w:r>
      <w:r w:rsidR="009B141A">
        <w:rPr>
          <w:sz w:val="24"/>
          <w:szCs w:val="24"/>
        </w:rPr>
        <w:t>Web</w:t>
      </w:r>
      <w:r w:rsidR="00D42085">
        <w:rPr>
          <w:sz w:val="24"/>
          <w:szCs w:val="24"/>
        </w:rPr>
        <w:t>”</w:t>
      </w:r>
      <w:r w:rsidR="00F6419D">
        <w:rPr>
          <w:sz w:val="24"/>
          <w:szCs w:val="24"/>
        </w:rPr>
        <w:t xml:space="preserve"> screen</w:t>
      </w:r>
      <w:r w:rsidR="00D42085">
        <w:rPr>
          <w:sz w:val="24"/>
          <w:szCs w:val="24"/>
        </w:rPr>
        <w:t>er</w:t>
      </w:r>
      <w:r w:rsidR="00F6419D">
        <w:rPr>
          <w:sz w:val="24"/>
          <w:szCs w:val="24"/>
        </w:rPr>
        <w:t xml:space="preserve"> </w:t>
      </w:r>
      <w:r w:rsidR="00D42085">
        <w:rPr>
          <w:sz w:val="24"/>
          <w:szCs w:val="24"/>
        </w:rPr>
        <w:t>foll</w:t>
      </w:r>
      <w:r w:rsidR="00863901">
        <w:rPr>
          <w:sz w:val="24"/>
          <w:szCs w:val="24"/>
        </w:rPr>
        <w:t>owed by a paper screener mailed to nonrespondents</w:t>
      </w:r>
      <w:r w:rsidR="00F6419D">
        <w:rPr>
          <w:sz w:val="24"/>
          <w:szCs w:val="24"/>
        </w:rPr>
        <w:t xml:space="preserve">. </w:t>
      </w:r>
      <w:r w:rsidRPr="005D7023" w:rsidR="005D7023">
        <w:rPr>
          <w:sz w:val="24"/>
          <w:szCs w:val="24"/>
        </w:rPr>
        <w:t>The pilot is part of a plan to develop a two-phase address-based</w:t>
      </w:r>
      <w:r w:rsidR="008B0CDD">
        <w:rPr>
          <w:sz w:val="24"/>
          <w:szCs w:val="24"/>
        </w:rPr>
        <w:t xml:space="preserve"> (ABS)</w:t>
      </w:r>
      <w:r w:rsidRPr="005D7023" w:rsidR="005D7023">
        <w:rPr>
          <w:sz w:val="24"/>
          <w:szCs w:val="24"/>
        </w:rPr>
        <w:t xml:space="preserve"> sampling</w:t>
      </w:r>
      <w:r w:rsidR="008B0CDD">
        <w:rPr>
          <w:sz w:val="24"/>
          <w:szCs w:val="24"/>
        </w:rPr>
        <w:t xml:space="preserve"> approach</w:t>
      </w:r>
      <w:r w:rsidRPr="005D7023" w:rsidR="005D7023">
        <w:rPr>
          <w:sz w:val="24"/>
          <w:szCs w:val="24"/>
        </w:rPr>
        <w:t xml:space="preserve"> </w:t>
      </w:r>
      <w:r w:rsidR="008B0CDD">
        <w:rPr>
          <w:sz w:val="24"/>
          <w:szCs w:val="24"/>
        </w:rPr>
        <w:t xml:space="preserve">using the </w:t>
      </w:r>
      <w:r w:rsidRPr="008B0CDD" w:rsidR="008B0CDD">
        <w:rPr>
          <w:sz w:val="24"/>
          <w:szCs w:val="24"/>
        </w:rPr>
        <w:t>USPS Computerized Delivery Sequence File</w:t>
      </w:r>
      <w:r w:rsidR="008B0CDD">
        <w:rPr>
          <w:sz w:val="24"/>
          <w:szCs w:val="24"/>
        </w:rPr>
        <w:t xml:space="preserve"> as the </w:t>
      </w:r>
      <w:r w:rsidR="003F4F73">
        <w:rPr>
          <w:sz w:val="24"/>
          <w:szCs w:val="24"/>
        </w:rPr>
        <w:t xml:space="preserve">sampling </w:t>
      </w:r>
      <w:r w:rsidRPr="005D7023" w:rsidR="005D7023">
        <w:rPr>
          <w:sz w:val="24"/>
          <w:szCs w:val="24"/>
        </w:rPr>
        <w:t>frame instead of the current method that uses respondents to the National Health Interview Survey (NHIS) as the frame.</w:t>
      </w:r>
      <w:r w:rsidR="005D7023">
        <w:rPr>
          <w:sz w:val="24"/>
          <w:szCs w:val="24"/>
        </w:rPr>
        <w:t xml:space="preserve"> </w:t>
      </w:r>
      <w:r w:rsidRPr="009A2031" w:rsidR="00100CF5">
        <w:rPr>
          <w:sz w:val="24"/>
          <w:szCs w:val="24"/>
        </w:rPr>
        <w:t>One of the primary goals of MEPS is to produce reliable estimates of medical expenditure totals. This places additional demands on the survey and distinguishes it from most household surveys like the NHIS that primarily produces estimates of means and proportions. The distribution of expenditures is very uneven, with most household</w:t>
      </w:r>
      <w:r w:rsidR="00D42085">
        <w:rPr>
          <w:sz w:val="24"/>
          <w:szCs w:val="24"/>
        </w:rPr>
        <w:t>s</w:t>
      </w:r>
      <w:r w:rsidRPr="009A2031" w:rsidR="00100CF5">
        <w:rPr>
          <w:sz w:val="24"/>
          <w:szCs w:val="24"/>
        </w:rPr>
        <w:t xml:space="preserve"> having relatively low expenditures and a very small proportion having very large expenditures. The skewness of </w:t>
      </w:r>
      <w:r w:rsidRPr="006C598D" w:rsidR="009A2031">
        <w:rPr>
          <w:sz w:val="24"/>
          <w:szCs w:val="24"/>
        </w:rPr>
        <w:t xml:space="preserve">this </w:t>
      </w:r>
      <w:r w:rsidRPr="009A2031" w:rsidR="00100CF5">
        <w:rPr>
          <w:sz w:val="24"/>
          <w:szCs w:val="24"/>
        </w:rPr>
        <w:t xml:space="preserve">distribution makes estimation of total expenditures dependent on having a large sample so that enough of the high expenditure households are included. </w:t>
      </w:r>
      <w:r w:rsidR="00DB51A2">
        <w:rPr>
          <w:sz w:val="24"/>
          <w:szCs w:val="24"/>
        </w:rPr>
        <w:t xml:space="preserve">In </w:t>
      </w:r>
      <w:r w:rsidR="00CA4411">
        <w:rPr>
          <w:sz w:val="24"/>
          <w:szCs w:val="24"/>
        </w:rPr>
        <w:t>addition,</w:t>
      </w:r>
      <w:r w:rsidR="00DB51A2">
        <w:rPr>
          <w:sz w:val="24"/>
          <w:szCs w:val="24"/>
        </w:rPr>
        <w:t xml:space="preserve"> </w:t>
      </w:r>
      <w:r w:rsidR="00CA4411">
        <w:rPr>
          <w:sz w:val="24"/>
          <w:szCs w:val="24"/>
        </w:rPr>
        <w:t xml:space="preserve">the </w:t>
      </w:r>
      <w:r w:rsidR="00DB51A2">
        <w:rPr>
          <w:sz w:val="24"/>
          <w:szCs w:val="24"/>
        </w:rPr>
        <w:t xml:space="preserve">MEPS </w:t>
      </w:r>
      <w:r w:rsidR="00CA4411">
        <w:rPr>
          <w:sz w:val="24"/>
          <w:szCs w:val="24"/>
        </w:rPr>
        <w:t xml:space="preserve">design </w:t>
      </w:r>
      <w:r w:rsidR="00DB51A2">
        <w:rPr>
          <w:sz w:val="24"/>
          <w:szCs w:val="24"/>
        </w:rPr>
        <w:t xml:space="preserve">has </w:t>
      </w:r>
      <w:r w:rsidR="00CA4411">
        <w:rPr>
          <w:sz w:val="24"/>
          <w:szCs w:val="24"/>
        </w:rPr>
        <w:t xml:space="preserve">included </w:t>
      </w:r>
      <w:r w:rsidR="00DB51A2">
        <w:rPr>
          <w:sz w:val="24"/>
          <w:szCs w:val="24"/>
        </w:rPr>
        <w:t>oversampling race/ethnicity minority households to improve the precision of estimates in these domains</w:t>
      </w:r>
      <w:r w:rsidRPr="009A2031" w:rsidR="00100CF5">
        <w:rPr>
          <w:sz w:val="24"/>
          <w:szCs w:val="24"/>
        </w:rPr>
        <w:t xml:space="preserve">. </w:t>
      </w:r>
      <w:r w:rsidR="009A2031">
        <w:rPr>
          <w:sz w:val="24"/>
          <w:szCs w:val="24"/>
        </w:rPr>
        <w:t xml:space="preserve">The proposed pilot </w:t>
      </w:r>
      <w:r w:rsidR="00F6419D">
        <w:rPr>
          <w:sz w:val="24"/>
          <w:szCs w:val="24"/>
        </w:rPr>
        <w:t xml:space="preserve">of the web-based screening instrument </w:t>
      </w:r>
      <w:r w:rsidR="009A2031">
        <w:rPr>
          <w:sz w:val="24"/>
          <w:szCs w:val="24"/>
        </w:rPr>
        <w:t xml:space="preserve">will test </w:t>
      </w:r>
      <w:r w:rsidRPr="009A2031" w:rsidR="009A2031">
        <w:rPr>
          <w:sz w:val="24"/>
          <w:szCs w:val="24"/>
        </w:rPr>
        <w:t>this new design</w:t>
      </w:r>
      <w:r w:rsidR="009A2031">
        <w:rPr>
          <w:sz w:val="24"/>
          <w:szCs w:val="24"/>
        </w:rPr>
        <w:t xml:space="preserve"> by selecting </w:t>
      </w:r>
      <w:r w:rsidRPr="009A2031" w:rsidR="009A2031">
        <w:rPr>
          <w:sz w:val="24"/>
          <w:szCs w:val="24"/>
        </w:rPr>
        <w:t>a</w:t>
      </w:r>
      <w:r w:rsidR="00F35E4A">
        <w:rPr>
          <w:sz w:val="24"/>
          <w:szCs w:val="24"/>
        </w:rPr>
        <w:t>n</w:t>
      </w:r>
      <w:r w:rsidRPr="009A2031" w:rsidR="009A2031">
        <w:rPr>
          <w:sz w:val="24"/>
          <w:szCs w:val="24"/>
        </w:rPr>
        <w:t xml:space="preserve"> </w:t>
      </w:r>
      <w:r w:rsidR="00F35E4A">
        <w:rPr>
          <w:sz w:val="24"/>
          <w:szCs w:val="24"/>
        </w:rPr>
        <w:t xml:space="preserve">address-based </w:t>
      </w:r>
      <w:r w:rsidRPr="009A2031" w:rsidR="009A2031">
        <w:rPr>
          <w:sz w:val="24"/>
          <w:szCs w:val="24"/>
        </w:rPr>
        <w:t xml:space="preserve">sample for a screener to collect demographics and measures that may help </w:t>
      </w:r>
      <w:r w:rsidR="004B68B5">
        <w:rPr>
          <w:sz w:val="24"/>
          <w:szCs w:val="24"/>
        </w:rPr>
        <w:t xml:space="preserve">identify race/ethnicity minority </w:t>
      </w:r>
      <w:r w:rsidR="0095144C">
        <w:rPr>
          <w:sz w:val="24"/>
          <w:szCs w:val="24"/>
        </w:rPr>
        <w:t>households</w:t>
      </w:r>
      <w:r w:rsidR="004B68B5">
        <w:rPr>
          <w:sz w:val="24"/>
          <w:szCs w:val="24"/>
        </w:rPr>
        <w:t xml:space="preserve"> and to </w:t>
      </w:r>
      <w:r w:rsidRPr="009A2031" w:rsidR="009A2031">
        <w:rPr>
          <w:sz w:val="24"/>
          <w:szCs w:val="24"/>
        </w:rPr>
        <w:t xml:space="preserve">predict high medical expenditures. </w:t>
      </w:r>
      <w:r w:rsidRPr="00204B2B" w:rsidR="00204B2B">
        <w:rPr>
          <w:sz w:val="24"/>
          <w:szCs w:val="24"/>
        </w:rPr>
        <w:t>T</w:t>
      </w:r>
      <w:r w:rsidR="005C2D29">
        <w:rPr>
          <w:sz w:val="24"/>
          <w:szCs w:val="24"/>
        </w:rPr>
        <w:t xml:space="preserve">he questionnaire modes </w:t>
      </w:r>
      <w:r w:rsidR="00204B2B">
        <w:rPr>
          <w:sz w:val="24"/>
          <w:szCs w:val="24"/>
        </w:rPr>
        <w:t>will be</w:t>
      </w:r>
      <w:r w:rsidRPr="00204B2B" w:rsidR="00204B2B">
        <w:rPr>
          <w:sz w:val="24"/>
          <w:szCs w:val="24"/>
        </w:rPr>
        <w:t xml:space="preserve"> presented sequentially where </w:t>
      </w:r>
      <w:r w:rsidR="00F77383">
        <w:rPr>
          <w:sz w:val="24"/>
          <w:szCs w:val="24"/>
        </w:rPr>
        <w:t>W</w:t>
      </w:r>
      <w:r w:rsidRPr="00204B2B" w:rsidR="00204B2B">
        <w:rPr>
          <w:sz w:val="24"/>
          <w:szCs w:val="24"/>
        </w:rPr>
        <w:t>eb is the only mode available initially, and then the paper questionnaire is introduced in nonresponse follow-up contacts.</w:t>
      </w:r>
      <w:r w:rsidR="00F77383">
        <w:rPr>
          <w:sz w:val="24"/>
          <w:szCs w:val="24"/>
        </w:rPr>
        <w:t xml:space="preserve"> </w:t>
      </w:r>
    </w:p>
    <w:p w:rsidRPr="006C598D" w:rsidR="0057087C" w:rsidP="008C5826" w:rsidRDefault="0057087C" w14:paraId="6348264B" w14:textId="77777777">
      <w:pPr>
        <w:pStyle w:val="Heading2"/>
        <w:rPr>
          <w:rFonts w:ascii="Times New Roman" w:hAnsi="Times New Roman" w:eastAsia="Times New Roman" w:cs="Times New Roman"/>
          <w:bCs w:val="0"/>
          <w:color w:val="auto"/>
          <w:sz w:val="24"/>
          <w:szCs w:val="24"/>
          <w:u w:val="single"/>
        </w:rPr>
      </w:pPr>
      <w:bookmarkStart w:name="_Toc290559155" w:id="3"/>
      <w:r w:rsidRPr="006C598D">
        <w:rPr>
          <w:rFonts w:ascii="Times New Roman" w:hAnsi="Times New Roman" w:eastAsia="Times New Roman" w:cs="Times New Roman"/>
          <w:bCs w:val="0"/>
          <w:color w:val="auto"/>
          <w:sz w:val="24"/>
          <w:szCs w:val="24"/>
        </w:rPr>
        <w:t xml:space="preserve">2.  </w:t>
      </w:r>
      <w:r w:rsidRPr="006C598D">
        <w:rPr>
          <w:rFonts w:ascii="Times New Roman" w:hAnsi="Times New Roman" w:eastAsia="Times New Roman" w:cs="Times New Roman"/>
          <w:bCs w:val="0"/>
          <w:color w:val="auto"/>
          <w:sz w:val="24"/>
          <w:szCs w:val="24"/>
          <w:u w:val="single"/>
        </w:rPr>
        <w:t>How, by Whom, and for What Purpose Information Will Be Used</w:t>
      </w:r>
      <w:bookmarkEnd w:id="3"/>
    </w:p>
    <w:p w:rsidR="006B0624" w:rsidRDefault="006B0624" w14:paraId="61F1EF80" w14:textId="77777777">
      <w:pPr>
        <w:rPr>
          <w:sz w:val="24"/>
          <w:szCs w:val="24"/>
        </w:rPr>
      </w:pPr>
    </w:p>
    <w:p w:rsidRPr="00CB1840" w:rsidR="00A3230B" w:rsidP="00A3230B" w:rsidRDefault="00A3230B" w14:paraId="0A9F8A4B" w14:textId="743367AC">
      <w:pPr>
        <w:pStyle w:val="L1-FlLSp12"/>
        <w:rPr>
          <w:rFonts w:ascii="Times New Roman" w:hAnsi="Times New Roman" w:cs="Times New Roman"/>
          <w:sz w:val="24"/>
          <w:szCs w:val="24"/>
        </w:rPr>
      </w:pPr>
      <w:r>
        <w:rPr>
          <w:rFonts w:ascii="Times New Roman" w:hAnsi="Times New Roman" w:cs="Times New Roman"/>
          <w:sz w:val="24"/>
          <w:szCs w:val="24"/>
        </w:rPr>
        <w:t xml:space="preserve">AHRQ will use the results of the </w:t>
      </w:r>
      <w:r w:rsidRPr="00CB1840">
        <w:rPr>
          <w:rFonts w:ascii="Times New Roman" w:hAnsi="Times New Roman" w:cs="Times New Roman"/>
          <w:sz w:val="24"/>
          <w:szCs w:val="24"/>
        </w:rPr>
        <w:t xml:space="preserve">pilot study to address some key design issues and assumptions, test data collection procedures, and evaluate the effectiveness of reaching </w:t>
      </w:r>
      <w:r w:rsidR="006A0449">
        <w:rPr>
          <w:rFonts w:ascii="Times New Roman" w:hAnsi="Times New Roman" w:cs="Times New Roman"/>
          <w:sz w:val="24"/>
          <w:szCs w:val="24"/>
        </w:rPr>
        <w:t xml:space="preserve">race/ethnicity minority households and </w:t>
      </w:r>
      <w:r w:rsidRPr="00CB1840">
        <w:rPr>
          <w:rFonts w:ascii="Times New Roman" w:hAnsi="Times New Roman" w:cs="Times New Roman"/>
          <w:sz w:val="24"/>
          <w:szCs w:val="24"/>
        </w:rPr>
        <w:t>potential high expenditure cases through the two-phase ABS design.</w:t>
      </w:r>
      <w:r>
        <w:rPr>
          <w:rFonts w:ascii="Times New Roman" w:hAnsi="Times New Roman" w:cs="Times New Roman"/>
          <w:sz w:val="24"/>
          <w:szCs w:val="24"/>
        </w:rPr>
        <w:t xml:space="preserve"> </w:t>
      </w:r>
      <w:r w:rsidRPr="00CB1840">
        <w:rPr>
          <w:rFonts w:ascii="Times New Roman" w:hAnsi="Times New Roman" w:cs="Times New Roman"/>
          <w:sz w:val="24"/>
          <w:szCs w:val="24"/>
        </w:rPr>
        <w:t>For example, we will evaluate the following aspects of the design using the pilot study data:</w:t>
      </w:r>
    </w:p>
    <w:p w:rsidRPr="00CB1840" w:rsidR="00A3230B" w:rsidP="006C598D" w:rsidRDefault="00A3230B" w14:paraId="16AB945D" w14:textId="0BF1AA51">
      <w:pPr>
        <w:pStyle w:val="L1-FlLSp12"/>
        <w:numPr>
          <w:ilvl w:val="0"/>
          <w:numId w:val="49"/>
        </w:numPr>
        <w:tabs>
          <w:tab w:val="clear" w:pos="1152"/>
        </w:tabs>
        <w:ind w:left="630"/>
        <w:rPr>
          <w:rFonts w:ascii="Times New Roman" w:hAnsi="Times New Roman" w:cs="Times New Roman"/>
          <w:sz w:val="24"/>
          <w:szCs w:val="24"/>
        </w:rPr>
      </w:pPr>
      <w:r>
        <w:rPr>
          <w:rFonts w:ascii="Times New Roman" w:hAnsi="Times New Roman" w:cs="Times New Roman"/>
          <w:sz w:val="24"/>
          <w:szCs w:val="24"/>
        </w:rPr>
        <w:t>T</w:t>
      </w:r>
      <w:r w:rsidRPr="00CB1840">
        <w:rPr>
          <w:rFonts w:ascii="Times New Roman" w:hAnsi="Times New Roman" w:cs="Times New Roman"/>
          <w:sz w:val="24"/>
          <w:szCs w:val="24"/>
        </w:rPr>
        <w:t>he impact of incentives on the overall response rates, the percentage of respondents by web and by paper mode, and response rates by contact attempt (i.e., whether higher incentives motivated earlier response</w:t>
      </w:r>
      <w:proofErr w:type="gramStart"/>
      <w:r w:rsidRPr="00CB1840">
        <w:rPr>
          <w:rFonts w:ascii="Times New Roman" w:hAnsi="Times New Roman" w:cs="Times New Roman"/>
          <w:sz w:val="24"/>
          <w:szCs w:val="24"/>
        </w:rPr>
        <w:t>);</w:t>
      </w:r>
      <w:proofErr w:type="gramEnd"/>
    </w:p>
    <w:p w:rsidR="00A3230B" w:rsidP="006C598D" w:rsidRDefault="00A3230B" w14:paraId="4F677CB1" w14:textId="676275F9">
      <w:pPr>
        <w:pStyle w:val="L1-FlLSp12"/>
        <w:numPr>
          <w:ilvl w:val="0"/>
          <w:numId w:val="49"/>
        </w:numPr>
        <w:tabs>
          <w:tab w:val="clear" w:pos="1152"/>
        </w:tabs>
        <w:ind w:left="630"/>
        <w:rPr>
          <w:rFonts w:ascii="Times New Roman" w:hAnsi="Times New Roman" w:cs="Times New Roman"/>
          <w:sz w:val="24"/>
          <w:szCs w:val="24"/>
        </w:rPr>
      </w:pPr>
      <w:r>
        <w:rPr>
          <w:rFonts w:ascii="Times New Roman" w:hAnsi="Times New Roman" w:cs="Times New Roman"/>
          <w:sz w:val="24"/>
          <w:szCs w:val="24"/>
        </w:rPr>
        <w:t>T</w:t>
      </w:r>
      <w:r w:rsidRPr="00CB1840">
        <w:rPr>
          <w:rFonts w:ascii="Times New Roman" w:hAnsi="Times New Roman" w:cs="Times New Roman"/>
          <w:sz w:val="24"/>
          <w:szCs w:val="24"/>
        </w:rPr>
        <w:t xml:space="preserve">he ability to oversample high expenditure and race/ethnicity groups through the two-phase design (and possibly integration of the </w:t>
      </w:r>
      <w:r w:rsidRPr="00777488" w:rsidR="00777488">
        <w:rPr>
          <w:rFonts w:ascii="Times New Roman" w:hAnsi="Times New Roman" w:cs="Times New Roman"/>
          <w:sz w:val="24"/>
          <w:szCs w:val="24"/>
        </w:rPr>
        <w:t>Master Beneficiary Summary File</w:t>
      </w:r>
      <w:r w:rsidR="00777488">
        <w:rPr>
          <w:rFonts w:ascii="Times New Roman" w:hAnsi="Times New Roman" w:cs="Times New Roman"/>
          <w:sz w:val="24"/>
          <w:szCs w:val="24"/>
        </w:rPr>
        <w:t xml:space="preserve"> (</w:t>
      </w:r>
      <w:r w:rsidRPr="00CB1840">
        <w:rPr>
          <w:rFonts w:ascii="Times New Roman" w:hAnsi="Times New Roman" w:cs="Times New Roman"/>
          <w:sz w:val="24"/>
          <w:szCs w:val="24"/>
        </w:rPr>
        <w:t>MBSF</w:t>
      </w:r>
      <w:r w:rsidR="00777488">
        <w:rPr>
          <w:rFonts w:ascii="Times New Roman" w:hAnsi="Times New Roman" w:cs="Times New Roman"/>
          <w:sz w:val="24"/>
          <w:szCs w:val="24"/>
        </w:rPr>
        <w:t>)</w:t>
      </w:r>
      <w:r w:rsidRPr="00CB1840">
        <w:rPr>
          <w:rFonts w:ascii="Times New Roman" w:hAnsi="Times New Roman" w:cs="Times New Roman"/>
          <w:sz w:val="24"/>
          <w:szCs w:val="24"/>
        </w:rPr>
        <w:t xml:space="preserve"> data during the sampling process); and</w:t>
      </w:r>
    </w:p>
    <w:p w:rsidRPr="00D5296F" w:rsidR="00A3230B" w:rsidP="006C598D" w:rsidRDefault="00A3230B" w14:paraId="50276206" w14:textId="4FB249A5">
      <w:pPr>
        <w:pStyle w:val="L1-FlLSp12"/>
        <w:numPr>
          <w:ilvl w:val="0"/>
          <w:numId w:val="49"/>
        </w:numPr>
        <w:tabs>
          <w:tab w:val="clear" w:pos="1152"/>
        </w:tabs>
        <w:ind w:left="630"/>
        <w:rPr>
          <w:rFonts w:ascii="Times New Roman" w:hAnsi="Times New Roman" w:cs="Times New Roman"/>
          <w:color w:val="1F497D"/>
          <w:sz w:val="24"/>
          <w:szCs w:val="24"/>
        </w:rPr>
      </w:pPr>
      <w:r>
        <w:rPr>
          <w:rFonts w:ascii="Times New Roman" w:hAnsi="Times New Roman" w:cs="Times New Roman"/>
          <w:sz w:val="24"/>
          <w:szCs w:val="24"/>
        </w:rPr>
        <w:t>T</w:t>
      </w:r>
      <w:r w:rsidRPr="00CB1840">
        <w:rPr>
          <w:rFonts w:ascii="Times New Roman" w:hAnsi="Times New Roman" w:cs="Times New Roman"/>
          <w:sz w:val="24"/>
          <w:szCs w:val="24"/>
        </w:rPr>
        <w:t xml:space="preserve">he potential impact on the design effect due to two-phase sampling (i.e., sampling </w:t>
      </w:r>
      <w:r w:rsidR="009B11D9">
        <w:rPr>
          <w:rFonts w:ascii="Times New Roman" w:hAnsi="Times New Roman" w:cs="Times New Roman"/>
          <w:sz w:val="24"/>
          <w:szCs w:val="24"/>
        </w:rPr>
        <w:t>screener</w:t>
      </w:r>
      <w:r w:rsidRPr="00CB1840">
        <w:rPr>
          <w:rFonts w:ascii="Times New Roman" w:hAnsi="Times New Roman" w:cs="Times New Roman"/>
          <w:sz w:val="24"/>
          <w:szCs w:val="24"/>
        </w:rPr>
        <w:t xml:space="preserve"> respondents and nonrespondents at different rates for </w:t>
      </w:r>
      <w:r w:rsidR="007268C0">
        <w:rPr>
          <w:rFonts w:ascii="Times New Roman" w:hAnsi="Times New Roman" w:cs="Times New Roman"/>
          <w:sz w:val="24"/>
          <w:szCs w:val="24"/>
        </w:rPr>
        <w:t xml:space="preserve">the </w:t>
      </w:r>
      <w:r w:rsidRPr="00CB1840">
        <w:rPr>
          <w:rFonts w:ascii="Times New Roman" w:hAnsi="Times New Roman" w:cs="Times New Roman"/>
          <w:sz w:val="24"/>
          <w:szCs w:val="24"/>
        </w:rPr>
        <w:t>Round 1 interview</w:t>
      </w:r>
      <w:r w:rsidRPr="00CB1840" w:rsidR="009B11D9">
        <w:rPr>
          <w:rFonts w:ascii="Times New Roman" w:hAnsi="Times New Roman" w:cs="Times New Roman"/>
          <w:sz w:val="24"/>
          <w:szCs w:val="24"/>
        </w:rPr>
        <w:t>)</w:t>
      </w:r>
      <w:r w:rsidR="009B11D9">
        <w:rPr>
          <w:rFonts w:ascii="Times New Roman" w:hAnsi="Times New Roman" w:cs="Times New Roman"/>
          <w:sz w:val="24"/>
          <w:szCs w:val="24"/>
        </w:rPr>
        <w:t xml:space="preserve"> and</w:t>
      </w:r>
      <w:r w:rsidRPr="00CB1840" w:rsidR="009B11D9">
        <w:rPr>
          <w:rFonts w:ascii="Times New Roman" w:hAnsi="Times New Roman" w:cs="Times New Roman"/>
          <w:sz w:val="24"/>
          <w:szCs w:val="24"/>
        </w:rPr>
        <w:t xml:space="preserve"> </w:t>
      </w:r>
      <w:r w:rsidRPr="00CB1840">
        <w:rPr>
          <w:rFonts w:ascii="Times New Roman" w:hAnsi="Times New Roman" w:cs="Times New Roman"/>
          <w:sz w:val="24"/>
          <w:szCs w:val="24"/>
        </w:rPr>
        <w:t>oversampling population subgroups.</w:t>
      </w:r>
    </w:p>
    <w:p w:rsidRPr="00C43666" w:rsidR="00A63B83" w:rsidP="00A63B83" w:rsidRDefault="003824AD" w14:paraId="4903865E" w14:textId="77777777">
      <w:pPr>
        <w:pStyle w:val="Heading2"/>
        <w:rPr>
          <w:sz w:val="24"/>
        </w:rPr>
      </w:pPr>
      <w:bookmarkStart w:name="_Toc151782178" w:id="4"/>
      <w:bookmarkStart w:name="_Toc158526218" w:id="5"/>
      <w:bookmarkStart w:name="_Toc290559156" w:id="6"/>
      <w:r w:rsidRPr="00C43666">
        <w:rPr>
          <w:rFonts w:ascii="Times New Roman" w:hAnsi="Times New Roman" w:eastAsia="Times New Roman" w:cs="Times New Roman"/>
          <w:bCs w:val="0"/>
          <w:color w:val="auto"/>
          <w:sz w:val="24"/>
          <w:szCs w:val="24"/>
        </w:rPr>
        <w:t xml:space="preserve">3. </w:t>
      </w:r>
      <w:r w:rsidRPr="00C43666">
        <w:rPr>
          <w:rFonts w:ascii="Times New Roman" w:hAnsi="Times New Roman" w:eastAsia="Times New Roman" w:cs="Times New Roman"/>
          <w:bCs w:val="0"/>
          <w:color w:val="auto"/>
          <w:sz w:val="24"/>
          <w:szCs w:val="24"/>
          <w:u w:val="single"/>
        </w:rPr>
        <w:t>Use of Improved Information Technology</w:t>
      </w:r>
      <w:bookmarkEnd w:id="4"/>
      <w:bookmarkEnd w:id="5"/>
      <w:bookmarkEnd w:id="6"/>
    </w:p>
    <w:p w:rsidRPr="00C43666" w:rsidR="00A63B83" w:rsidP="00D027EA" w:rsidRDefault="00A63B83" w14:paraId="27469CDE" w14:textId="77777777">
      <w:pPr>
        <w:tabs>
          <w:tab w:val="left" w:pos="360"/>
        </w:tabs>
        <w:rPr>
          <w:sz w:val="24"/>
          <w:szCs w:val="24"/>
        </w:rPr>
      </w:pPr>
    </w:p>
    <w:p w:rsidR="00A63B83" w:rsidP="00D027EA" w:rsidRDefault="00E5079E" w14:paraId="5AFCA685" w14:textId="67950678">
      <w:pPr>
        <w:tabs>
          <w:tab w:val="left" w:pos="360"/>
        </w:tabs>
        <w:rPr>
          <w:sz w:val="24"/>
          <w:szCs w:val="24"/>
        </w:rPr>
      </w:pPr>
      <w:r>
        <w:rPr>
          <w:sz w:val="24"/>
          <w:szCs w:val="24"/>
        </w:rPr>
        <w:t>The proposed pilot study will employ a multi</w:t>
      </w:r>
      <w:r w:rsidR="002223D0">
        <w:rPr>
          <w:sz w:val="24"/>
          <w:szCs w:val="24"/>
        </w:rPr>
        <w:t xml:space="preserve">-mode </w:t>
      </w:r>
      <w:r w:rsidRPr="00ED6419" w:rsidR="006E55FB">
        <w:rPr>
          <w:sz w:val="24"/>
          <w:szCs w:val="24"/>
        </w:rPr>
        <w:t>Web</w:t>
      </w:r>
      <w:r w:rsidR="002223D0">
        <w:rPr>
          <w:sz w:val="24"/>
          <w:szCs w:val="24"/>
        </w:rPr>
        <w:t xml:space="preserve">/Paper </w:t>
      </w:r>
      <w:r>
        <w:rPr>
          <w:sz w:val="24"/>
          <w:szCs w:val="24"/>
        </w:rPr>
        <w:t xml:space="preserve">instrument </w:t>
      </w:r>
      <w:r w:rsidR="001638E0">
        <w:rPr>
          <w:sz w:val="24"/>
          <w:szCs w:val="24"/>
        </w:rPr>
        <w:t>for screening respondents from the ABS sample</w:t>
      </w:r>
      <w:r w:rsidRPr="00ED6419" w:rsidR="006E55FB">
        <w:rPr>
          <w:sz w:val="24"/>
          <w:szCs w:val="24"/>
        </w:rPr>
        <w:t>.</w:t>
      </w:r>
      <w:r w:rsidR="006F4ADE">
        <w:rPr>
          <w:sz w:val="24"/>
          <w:szCs w:val="24"/>
        </w:rPr>
        <w:t xml:space="preserve"> </w:t>
      </w:r>
      <w:proofErr w:type="gramStart"/>
      <w:r>
        <w:rPr>
          <w:sz w:val="24"/>
          <w:szCs w:val="24"/>
        </w:rPr>
        <w:t>In order to</w:t>
      </w:r>
      <w:proofErr w:type="gramEnd"/>
      <w:r>
        <w:rPr>
          <w:sz w:val="24"/>
          <w:szCs w:val="24"/>
        </w:rPr>
        <w:t xml:space="preserve"> maximize use of the Web, we will send </w:t>
      </w:r>
      <w:r w:rsidR="001638E0">
        <w:rPr>
          <w:sz w:val="24"/>
          <w:szCs w:val="24"/>
        </w:rPr>
        <w:t xml:space="preserve">sample </w:t>
      </w:r>
      <w:r w:rsidR="006F4ADE">
        <w:rPr>
          <w:sz w:val="24"/>
          <w:szCs w:val="24"/>
        </w:rPr>
        <w:t xml:space="preserve">members </w:t>
      </w:r>
      <w:r w:rsidR="00D42085">
        <w:rPr>
          <w:sz w:val="24"/>
          <w:szCs w:val="24"/>
        </w:rPr>
        <w:t xml:space="preserve">an advance postcard, then </w:t>
      </w:r>
      <w:r>
        <w:rPr>
          <w:sz w:val="24"/>
          <w:szCs w:val="24"/>
        </w:rPr>
        <w:t xml:space="preserve">an invitation letter encouraging them to complete </w:t>
      </w:r>
      <w:r w:rsidR="001638E0">
        <w:rPr>
          <w:sz w:val="24"/>
          <w:szCs w:val="24"/>
        </w:rPr>
        <w:t xml:space="preserve">the screener </w:t>
      </w:r>
      <w:r>
        <w:rPr>
          <w:sz w:val="24"/>
          <w:szCs w:val="24"/>
        </w:rPr>
        <w:t xml:space="preserve">online. We will </w:t>
      </w:r>
      <w:r w:rsidR="001638E0">
        <w:rPr>
          <w:sz w:val="24"/>
          <w:szCs w:val="24"/>
        </w:rPr>
        <w:t xml:space="preserve">follow the invitation letter with a </w:t>
      </w:r>
      <w:r>
        <w:rPr>
          <w:sz w:val="24"/>
          <w:szCs w:val="24"/>
        </w:rPr>
        <w:t xml:space="preserve">reminder postcard that will also direct sample members to the Web screener. </w:t>
      </w:r>
      <w:r w:rsidR="00720D19">
        <w:rPr>
          <w:sz w:val="24"/>
          <w:szCs w:val="24"/>
        </w:rPr>
        <w:t xml:space="preserve">After sample members receive these </w:t>
      </w:r>
      <w:r w:rsidR="006F4ADE">
        <w:rPr>
          <w:sz w:val="24"/>
          <w:szCs w:val="24"/>
        </w:rPr>
        <w:t xml:space="preserve">opportunities to complete the screener </w:t>
      </w:r>
      <w:r w:rsidR="00720D19">
        <w:rPr>
          <w:sz w:val="24"/>
          <w:szCs w:val="24"/>
        </w:rPr>
        <w:t xml:space="preserve">online, we will send nonrespondents </w:t>
      </w:r>
      <w:r w:rsidR="001638E0">
        <w:rPr>
          <w:sz w:val="24"/>
          <w:szCs w:val="24"/>
        </w:rPr>
        <w:t>two mailing</w:t>
      </w:r>
      <w:r w:rsidR="00D42085">
        <w:rPr>
          <w:sz w:val="24"/>
          <w:szCs w:val="24"/>
        </w:rPr>
        <w:t>s</w:t>
      </w:r>
      <w:r w:rsidR="001638E0">
        <w:rPr>
          <w:sz w:val="24"/>
          <w:szCs w:val="24"/>
        </w:rPr>
        <w:t xml:space="preserve"> containing </w:t>
      </w:r>
      <w:r w:rsidR="00720D19">
        <w:rPr>
          <w:sz w:val="24"/>
          <w:szCs w:val="24"/>
        </w:rPr>
        <w:t xml:space="preserve">a paper </w:t>
      </w:r>
      <w:r w:rsidR="00720D19">
        <w:rPr>
          <w:sz w:val="24"/>
          <w:szCs w:val="24"/>
        </w:rPr>
        <w:lastRenderedPageBreak/>
        <w:t>questionnaire and return envelope. Th</w:t>
      </w:r>
      <w:r w:rsidR="00863901">
        <w:rPr>
          <w:sz w:val="24"/>
          <w:szCs w:val="24"/>
        </w:rPr>
        <w:t>e</w:t>
      </w:r>
      <w:r w:rsidR="00720D19">
        <w:rPr>
          <w:sz w:val="24"/>
          <w:szCs w:val="24"/>
        </w:rPr>
        <w:t xml:space="preserve"> push</w:t>
      </w:r>
      <w:r w:rsidR="00863901">
        <w:rPr>
          <w:sz w:val="24"/>
          <w:szCs w:val="24"/>
        </w:rPr>
        <w:t>-</w:t>
      </w:r>
      <w:r w:rsidR="00720D19">
        <w:rPr>
          <w:sz w:val="24"/>
          <w:szCs w:val="24"/>
        </w:rPr>
        <w:t>to</w:t>
      </w:r>
      <w:r w:rsidR="00863901">
        <w:rPr>
          <w:sz w:val="24"/>
          <w:szCs w:val="24"/>
        </w:rPr>
        <w:t>-</w:t>
      </w:r>
      <w:r w:rsidR="00720D19">
        <w:rPr>
          <w:sz w:val="24"/>
          <w:szCs w:val="24"/>
        </w:rPr>
        <w:t xml:space="preserve">Web strategy </w:t>
      </w:r>
      <w:r w:rsidR="006F4ADE">
        <w:rPr>
          <w:sz w:val="24"/>
          <w:szCs w:val="24"/>
        </w:rPr>
        <w:t>will shorten the data collection period and maximize response rates</w:t>
      </w:r>
      <w:r w:rsidR="00020300">
        <w:rPr>
          <w:sz w:val="24"/>
          <w:szCs w:val="24"/>
        </w:rPr>
        <w:t xml:space="preserve"> </w:t>
      </w:r>
      <w:r w:rsidR="00863901">
        <w:rPr>
          <w:sz w:val="24"/>
          <w:szCs w:val="24"/>
        </w:rPr>
        <w:t>by</w:t>
      </w:r>
      <w:r w:rsidR="00020300">
        <w:rPr>
          <w:sz w:val="24"/>
          <w:szCs w:val="24"/>
        </w:rPr>
        <w:t xml:space="preserve"> giving respondents</w:t>
      </w:r>
      <w:r w:rsidR="00516B98">
        <w:rPr>
          <w:sz w:val="24"/>
          <w:szCs w:val="24"/>
        </w:rPr>
        <w:t xml:space="preserve"> the</w:t>
      </w:r>
      <w:r w:rsidR="00020300">
        <w:rPr>
          <w:sz w:val="24"/>
          <w:szCs w:val="24"/>
        </w:rPr>
        <w:t xml:space="preserve"> choice </w:t>
      </w:r>
      <w:r w:rsidR="00516B98">
        <w:rPr>
          <w:sz w:val="24"/>
          <w:szCs w:val="24"/>
        </w:rPr>
        <w:t xml:space="preserve">to either complete the screener online or the </w:t>
      </w:r>
      <w:r w:rsidR="00863901">
        <w:rPr>
          <w:sz w:val="24"/>
          <w:szCs w:val="24"/>
        </w:rPr>
        <w:t>paper</w:t>
      </w:r>
      <w:r w:rsidR="00516B98">
        <w:rPr>
          <w:sz w:val="24"/>
          <w:szCs w:val="24"/>
        </w:rPr>
        <w:t xml:space="preserve"> version</w:t>
      </w:r>
      <w:r w:rsidR="001B1D98">
        <w:rPr>
          <w:sz w:val="24"/>
          <w:szCs w:val="24"/>
        </w:rPr>
        <w:t xml:space="preserve">. </w:t>
      </w:r>
    </w:p>
    <w:p w:rsidR="00314705" w:rsidP="00D027EA" w:rsidRDefault="00314705" w14:paraId="5E8ABCA8" w14:textId="639C4B71">
      <w:pPr>
        <w:tabs>
          <w:tab w:val="left" w:pos="360"/>
        </w:tabs>
        <w:rPr>
          <w:sz w:val="24"/>
          <w:szCs w:val="24"/>
        </w:rPr>
      </w:pPr>
    </w:p>
    <w:p w:rsidRPr="00824BFE" w:rsidR="00A63B83" w:rsidP="00824BFE" w:rsidRDefault="00425494" w14:paraId="280A4680" w14:textId="4D89D259">
      <w:pPr>
        <w:tabs>
          <w:tab w:val="left" w:pos="360"/>
        </w:tabs>
        <w:rPr>
          <w:b/>
          <w:sz w:val="24"/>
          <w:szCs w:val="24"/>
        </w:rPr>
      </w:pPr>
      <w:bookmarkStart w:name="_Toc151782179" w:id="7"/>
      <w:bookmarkStart w:name="_Toc158526219" w:id="8"/>
      <w:bookmarkStart w:name="_Toc290559157" w:id="9"/>
      <w:r w:rsidRPr="00824BFE">
        <w:rPr>
          <w:b/>
          <w:sz w:val="24"/>
          <w:szCs w:val="24"/>
        </w:rPr>
        <w:t>4. Efforts to Identify Duplication</w:t>
      </w:r>
      <w:bookmarkEnd w:id="7"/>
      <w:bookmarkEnd w:id="8"/>
      <w:bookmarkEnd w:id="9"/>
    </w:p>
    <w:p w:rsidR="00A63B83" w:rsidP="00D027EA" w:rsidRDefault="00A63B83" w14:paraId="2D3F76B7" w14:textId="77777777">
      <w:pPr>
        <w:tabs>
          <w:tab w:val="left" w:pos="360"/>
        </w:tabs>
        <w:rPr>
          <w:sz w:val="24"/>
          <w:szCs w:val="24"/>
        </w:rPr>
      </w:pPr>
    </w:p>
    <w:p w:rsidR="006F4ADE" w:rsidP="00073430" w:rsidRDefault="00863901" w14:paraId="2D94F93C" w14:textId="5E883918">
      <w:pPr>
        <w:rPr>
          <w:sz w:val="24"/>
          <w:szCs w:val="24"/>
        </w:rPr>
      </w:pPr>
      <w:r>
        <w:rPr>
          <w:sz w:val="24"/>
          <w:szCs w:val="24"/>
        </w:rPr>
        <w:t>N</w:t>
      </w:r>
      <w:r w:rsidRPr="00E55E4B" w:rsidR="00073430">
        <w:rPr>
          <w:sz w:val="24"/>
          <w:szCs w:val="24"/>
        </w:rPr>
        <w:t>o other survey meet</w:t>
      </w:r>
      <w:r>
        <w:rPr>
          <w:sz w:val="24"/>
          <w:szCs w:val="24"/>
        </w:rPr>
        <w:t>s</w:t>
      </w:r>
      <w:r w:rsidRPr="00E55E4B" w:rsidR="00073430">
        <w:rPr>
          <w:sz w:val="24"/>
          <w:szCs w:val="24"/>
        </w:rPr>
        <w:t xml:space="preserve"> </w:t>
      </w:r>
      <w:proofErr w:type="gramStart"/>
      <w:r w:rsidRPr="00E55E4B" w:rsidR="00073430">
        <w:rPr>
          <w:sz w:val="24"/>
          <w:szCs w:val="24"/>
        </w:rPr>
        <w:t>all of</w:t>
      </w:r>
      <w:proofErr w:type="gramEnd"/>
      <w:r w:rsidRPr="00E55E4B" w:rsidR="00073430">
        <w:rPr>
          <w:sz w:val="24"/>
          <w:szCs w:val="24"/>
        </w:rPr>
        <w:t xml:space="preserve"> the objectives of the MEPS</w:t>
      </w:r>
      <w:r w:rsidR="00314705">
        <w:rPr>
          <w:sz w:val="24"/>
          <w:szCs w:val="24"/>
        </w:rPr>
        <w:t>, which</w:t>
      </w:r>
      <w:r w:rsidR="00516B98">
        <w:rPr>
          <w:sz w:val="24"/>
          <w:szCs w:val="24"/>
        </w:rPr>
        <w:t xml:space="preserve"> employs a rotating panel design </w:t>
      </w:r>
      <w:r>
        <w:rPr>
          <w:sz w:val="24"/>
          <w:szCs w:val="24"/>
        </w:rPr>
        <w:t>to</w:t>
      </w:r>
      <w:r w:rsidR="00516B98">
        <w:rPr>
          <w:sz w:val="24"/>
          <w:szCs w:val="24"/>
        </w:rPr>
        <w:t xml:space="preserve"> collect all medical </w:t>
      </w:r>
      <w:r>
        <w:rPr>
          <w:sz w:val="24"/>
          <w:szCs w:val="24"/>
        </w:rPr>
        <w:t xml:space="preserve">expenditures for a sample of the entire U.S. </w:t>
      </w:r>
      <w:r w:rsidR="0092712D">
        <w:rPr>
          <w:sz w:val="24"/>
          <w:szCs w:val="24"/>
        </w:rPr>
        <w:t>noninstitutionalized</w:t>
      </w:r>
      <w:r>
        <w:rPr>
          <w:sz w:val="24"/>
          <w:szCs w:val="24"/>
        </w:rPr>
        <w:t xml:space="preserve"> population for a two-year </w:t>
      </w:r>
      <w:r w:rsidR="0092712D">
        <w:rPr>
          <w:sz w:val="24"/>
          <w:szCs w:val="24"/>
        </w:rPr>
        <w:t>period.</w:t>
      </w:r>
      <w:r w:rsidR="00C85882">
        <w:rPr>
          <w:sz w:val="24"/>
          <w:szCs w:val="24"/>
        </w:rPr>
        <w:t xml:space="preserve"> Changes to the current </w:t>
      </w:r>
      <w:r>
        <w:rPr>
          <w:sz w:val="24"/>
          <w:szCs w:val="24"/>
        </w:rPr>
        <w:t xml:space="preserve">sample design, given </w:t>
      </w:r>
      <w:r w:rsidR="00C85882">
        <w:rPr>
          <w:sz w:val="24"/>
          <w:szCs w:val="24"/>
        </w:rPr>
        <w:t>the scope and scale of MEPS</w:t>
      </w:r>
      <w:r>
        <w:rPr>
          <w:sz w:val="24"/>
          <w:szCs w:val="24"/>
        </w:rPr>
        <w:t>,</w:t>
      </w:r>
      <w:r w:rsidR="00C85882">
        <w:rPr>
          <w:sz w:val="24"/>
          <w:szCs w:val="24"/>
        </w:rPr>
        <w:t xml:space="preserve"> must be conducted rigorously</w:t>
      </w:r>
      <w:r>
        <w:rPr>
          <w:sz w:val="24"/>
          <w:szCs w:val="24"/>
        </w:rPr>
        <w:t>.</w:t>
      </w:r>
      <w:r w:rsidR="00C85882">
        <w:rPr>
          <w:sz w:val="24"/>
          <w:szCs w:val="24"/>
        </w:rPr>
        <w:t xml:space="preserve"> </w:t>
      </w:r>
      <w:r>
        <w:rPr>
          <w:sz w:val="24"/>
          <w:szCs w:val="24"/>
        </w:rPr>
        <w:t>N</w:t>
      </w:r>
      <w:r w:rsidR="00C85882">
        <w:rPr>
          <w:sz w:val="24"/>
          <w:szCs w:val="24"/>
        </w:rPr>
        <w:t xml:space="preserve">o </w:t>
      </w:r>
      <w:r>
        <w:rPr>
          <w:sz w:val="24"/>
          <w:szCs w:val="24"/>
        </w:rPr>
        <w:t>other</w:t>
      </w:r>
      <w:r w:rsidR="00C85882">
        <w:rPr>
          <w:sz w:val="24"/>
          <w:szCs w:val="24"/>
        </w:rPr>
        <w:t xml:space="preserve"> research can inform AHRQ </w:t>
      </w:r>
      <w:r>
        <w:rPr>
          <w:sz w:val="24"/>
          <w:szCs w:val="24"/>
        </w:rPr>
        <w:t>about the potential for the web design to serve as alternative to the NHIS as a sample source</w:t>
      </w:r>
      <w:r w:rsidR="00C85882">
        <w:rPr>
          <w:sz w:val="24"/>
          <w:szCs w:val="24"/>
        </w:rPr>
        <w:t>.</w:t>
      </w:r>
    </w:p>
    <w:p w:rsidR="00073430" w:rsidP="00073430" w:rsidRDefault="00073430" w14:paraId="24814268" w14:textId="7F8BB468">
      <w:pPr>
        <w:rPr>
          <w:sz w:val="24"/>
          <w:szCs w:val="24"/>
        </w:rPr>
      </w:pPr>
      <w:r w:rsidRPr="00E55E4B">
        <w:rPr>
          <w:sz w:val="24"/>
          <w:szCs w:val="24"/>
        </w:rPr>
        <w:t xml:space="preserve"> </w:t>
      </w:r>
    </w:p>
    <w:p w:rsidR="00A63B83" w:rsidP="00D027EA" w:rsidRDefault="00A63B83" w14:paraId="28B28A03" w14:textId="77777777">
      <w:pPr>
        <w:tabs>
          <w:tab w:val="left" w:pos="360"/>
        </w:tabs>
        <w:rPr>
          <w:b/>
          <w:sz w:val="24"/>
          <w:szCs w:val="24"/>
        </w:rPr>
      </w:pPr>
      <w:bookmarkStart w:name="_Toc151782180" w:id="10"/>
      <w:bookmarkStart w:name="_Toc158526220" w:id="11"/>
      <w:r w:rsidRPr="00A63B83">
        <w:rPr>
          <w:b/>
          <w:sz w:val="24"/>
          <w:szCs w:val="24"/>
        </w:rPr>
        <w:t xml:space="preserve">5. </w:t>
      </w:r>
      <w:r w:rsidRPr="00425494" w:rsidR="00425494">
        <w:rPr>
          <w:b/>
          <w:sz w:val="24"/>
          <w:szCs w:val="24"/>
          <w:u w:val="single"/>
        </w:rPr>
        <w:t>Involvement of Small Entities</w:t>
      </w:r>
      <w:bookmarkEnd w:id="10"/>
      <w:bookmarkEnd w:id="11"/>
    </w:p>
    <w:p w:rsidR="00A63B83" w:rsidP="00D027EA" w:rsidRDefault="00A63B83" w14:paraId="646567A9" w14:textId="77777777">
      <w:pPr>
        <w:tabs>
          <w:tab w:val="left" w:pos="360"/>
        </w:tabs>
        <w:rPr>
          <w:b/>
          <w:sz w:val="24"/>
          <w:szCs w:val="24"/>
        </w:rPr>
      </w:pPr>
    </w:p>
    <w:p w:rsidRPr="00A63B83" w:rsidR="00A63B83" w:rsidP="00D027EA" w:rsidRDefault="00281B88" w14:paraId="21469EAE" w14:textId="377D6B91">
      <w:pPr>
        <w:tabs>
          <w:tab w:val="left" w:pos="360"/>
        </w:tabs>
        <w:rPr>
          <w:sz w:val="24"/>
          <w:szCs w:val="24"/>
        </w:rPr>
      </w:pPr>
      <w:r w:rsidRPr="00420A8F">
        <w:rPr>
          <w:sz w:val="24"/>
          <w:szCs w:val="24"/>
        </w:rPr>
        <w:t>The MEPS-HC collects information only from household</w:t>
      </w:r>
      <w:r w:rsidR="007268C0">
        <w:rPr>
          <w:sz w:val="24"/>
          <w:szCs w:val="24"/>
        </w:rPr>
        <w:t>s</w:t>
      </w:r>
      <w:r w:rsidR="00863901">
        <w:rPr>
          <w:sz w:val="24"/>
          <w:szCs w:val="24"/>
        </w:rPr>
        <w:t>.</w:t>
      </w:r>
      <w:r w:rsidR="009A2031">
        <w:rPr>
          <w:sz w:val="24"/>
          <w:szCs w:val="24"/>
        </w:rPr>
        <w:t xml:space="preserve"> </w:t>
      </w:r>
      <w:r w:rsidR="00863901">
        <w:rPr>
          <w:sz w:val="24"/>
          <w:szCs w:val="24"/>
        </w:rPr>
        <w:t>N</w:t>
      </w:r>
      <w:r w:rsidR="009A2031">
        <w:rPr>
          <w:sz w:val="24"/>
          <w:szCs w:val="24"/>
        </w:rPr>
        <w:t xml:space="preserve">o small entities </w:t>
      </w:r>
      <w:r w:rsidR="000F7CF3">
        <w:rPr>
          <w:sz w:val="24"/>
          <w:szCs w:val="24"/>
        </w:rPr>
        <w:t>will be contacted through the proposed research.</w:t>
      </w:r>
    </w:p>
    <w:p w:rsidRPr="00C85882" w:rsidR="002D262B" w:rsidP="002D262B" w:rsidRDefault="00A63B83" w14:paraId="6111F294" w14:textId="2B58DCA2">
      <w:pPr>
        <w:pStyle w:val="Heading2"/>
        <w:rPr>
          <w:rFonts w:ascii="Times New Roman" w:hAnsi="Times New Roman" w:cs="Times New Roman"/>
          <w:color w:val="auto"/>
          <w:sz w:val="24"/>
          <w:szCs w:val="24"/>
          <w:u w:val="single"/>
        </w:rPr>
      </w:pPr>
      <w:bookmarkStart w:name="_Toc290559158" w:id="12"/>
      <w:r w:rsidRPr="00C85882">
        <w:rPr>
          <w:rFonts w:ascii="Times New Roman" w:hAnsi="Times New Roman" w:cs="Times New Roman"/>
          <w:color w:val="auto"/>
          <w:sz w:val="24"/>
          <w:szCs w:val="24"/>
        </w:rPr>
        <w:t>6</w:t>
      </w:r>
      <w:r w:rsidRPr="00C85882" w:rsidR="0057087C">
        <w:rPr>
          <w:rFonts w:ascii="Times New Roman" w:hAnsi="Times New Roman" w:cs="Times New Roman"/>
          <w:color w:val="auto"/>
          <w:sz w:val="24"/>
          <w:szCs w:val="24"/>
        </w:rPr>
        <w:t xml:space="preserve">.  </w:t>
      </w:r>
      <w:r w:rsidRPr="00C85882" w:rsidR="002D262B">
        <w:rPr>
          <w:rFonts w:ascii="Times New Roman" w:hAnsi="Times New Roman" w:cs="Times New Roman"/>
          <w:color w:val="auto"/>
          <w:sz w:val="24"/>
          <w:szCs w:val="24"/>
          <w:u w:val="single"/>
        </w:rPr>
        <w:t>Consequences if Information Collected Less Frequently</w:t>
      </w:r>
      <w:bookmarkEnd w:id="12"/>
    </w:p>
    <w:p w:rsidR="00073430" w:rsidP="004B22BA" w:rsidRDefault="00073430" w14:paraId="0B14F923" w14:textId="04C46316"/>
    <w:p w:rsidRPr="006C598D" w:rsidR="000B5D21" w:rsidP="006C598D" w:rsidRDefault="000B5D21" w14:paraId="7D19F6C4" w14:textId="0F4BCC94">
      <w:pPr>
        <w:tabs>
          <w:tab w:val="left" w:pos="360"/>
        </w:tabs>
        <w:rPr>
          <w:sz w:val="24"/>
          <w:szCs w:val="24"/>
        </w:rPr>
      </w:pPr>
      <w:r w:rsidRPr="006C598D">
        <w:rPr>
          <w:sz w:val="24"/>
          <w:szCs w:val="24"/>
        </w:rPr>
        <w:t xml:space="preserve">The </w:t>
      </w:r>
      <w:r>
        <w:rPr>
          <w:sz w:val="24"/>
          <w:szCs w:val="24"/>
        </w:rPr>
        <w:t>proposed pilot study would be implemented only on</w:t>
      </w:r>
      <w:r w:rsidR="000F7CF3">
        <w:rPr>
          <w:sz w:val="24"/>
          <w:szCs w:val="24"/>
        </w:rPr>
        <w:t>c</w:t>
      </w:r>
      <w:r>
        <w:rPr>
          <w:sz w:val="24"/>
          <w:szCs w:val="24"/>
        </w:rPr>
        <w:t>e</w:t>
      </w:r>
      <w:r w:rsidR="006017B5">
        <w:rPr>
          <w:sz w:val="24"/>
          <w:szCs w:val="24"/>
        </w:rPr>
        <w:t>,</w:t>
      </w:r>
      <w:r>
        <w:rPr>
          <w:sz w:val="24"/>
          <w:szCs w:val="24"/>
        </w:rPr>
        <w:t xml:space="preserve"> to test various approaches to recruiting respondents through an ABS sample.</w:t>
      </w:r>
      <w:r w:rsidR="00314705">
        <w:rPr>
          <w:sz w:val="24"/>
          <w:szCs w:val="24"/>
        </w:rPr>
        <w:t xml:space="preserve"> </w:t>
      </w:r>
      <w:r w:rsidR="006017B5">
        <w:rPr>
          <w:sz w:val="24"/>
          <w:szCs w:val="24"/>
        </w:rPr>
        <w:t xml:space="preserve">Less frequent collection would mean not collecting the information at all. </w:t>
      </w:r>
      <w:r w:rsidR="00314705">
        <w:rPr>
          <w:sz w:val="24"/>
          <w:szCs w:val="24"/>
        </w:rPr>
        <w:t xml:space="preserve">The current NHIS sample frame has undergone numerous changes in recent years, and this pilot study seeks to explore alternative strategies that would be independent of NHIS and provide MEPS with more complete representation </w:t>
      </w:r>
      <w:r w:rsidR="006017B5">
        <w:rPr>
          <w:sz w:val="24"/>
          <w:szCs w:val="24"/>
        </w:rPr>
        <w:t>of</w:t>
      </w:r>
      <w:r w:rsidR="00314705">
        <w:rPr>
          <w:sz w:val="24"/>
          <w:szCs w:val="24"/>
        </w:rPr>
        <w:t xml:space="preserve"> households with high levels of medical expenses. </w:t>
      </w:r>
      <w:r w:rsidRPr="00314705" w:rsidR="00314705">
        <w:rPr>
          <w:sz w:val="24"/>
          <w:szCs w:val="24"/>
        </w:rPr>
        <w:t xml:space="preserve">If </w:t>
      </w:r>
      <w:r w:rsidR="00314705">
        <w:rPr>
          <w:sz w:val="24"/>
          <w:szCs w:val="24"/>
        </w:rPr>
        <w:t xml:space="preserve">these data are </w:t>
      </w:r>
      <w:r w:rsidRPr="00314705" w:rsidR="00314705">
        <w:rPr>
          <w:sz w:val="24"/>
          <w:szCs w:val="24"/>
        </w:rPr>
        <w:t>not collected</w:t>
      </w:r>
      <w:r w:rsidR="00314705">
        <w:rPr>
          <w:sz w:val="24"/>
          <w:szCs w:val="24"/>
        </w:rPr>
        <w:t xml:space="preserve"> through the pilot study</w:t>
      </w:r>
      <w:r w:rsidRPr="00314705" w:rsidR="00314705">
        <w:rPr>
          <w:sz w:val="24"/>
          <w:szCs w:val="24"/>
        </w:rPr>
        <w:t xml:space="preserve">, </w:t>
      </w:r>
      <w:r w:rsidR="00314705">
        <w:rPr>
          <w:sz w:val="24"/>
          <w:szCs w:val="24"/>
        </w:rPr>
        <w:t xml:space="preserve">additional </w:t>
      </w:r>
      <w:r w:rsidRPr="00314705" w:rsidR="00314705">
        <w:rPr>
          <w:sz w:val="24"/>
          <w:szCs w:val="24"/>
        </w:rPr>
        <w:t xml:space="preserve">changes to </w:t>
      </w:r>
      <w:r w:rsidR="00314705">
        <w:rPr>
          <w:sz w:val="24"/>
          <w:szCs w:val="24"/>
        </w:rPr>
        <w:t xml:space="preserve">the current </w:t>
      </w:r>
      <w:r w:rsidRPr="00314705" w:rsidR="00314705">
        <w:rPr>
          <w:sz w:val="24"/>
          <w:szCs w:val="24"/>
        </w:rPr>
        <w:t>sampling strategy could have unforeseen consequences</w:t>
      </w:r>
      <w:r w:rsidR="00314705">
        <w:rPr>
          <w:sz w:val="24"/>
          <w:szCs w:val="24"/>
        </w:rPr>
        <w:t xml:space="preserve"> for MEPS estimates</w:t>
      </w:r>
      <w:r w:rsidRPr="00314705" w:rsidR="00314705">
        <w:rPr>
          <w:sz w:val="24"/>
          <w:szCs w:val="24"/>
        </w:rPr>
        <w:t xml:space="preserve">. The </w:t>
      </w:r>
      <w:r w:rsidR="00E43C29">
        <w:rPr>
          <w:sz w:val="24"/>
          <w:szCs w:val="24"/>
        </w:rPr>
        <w:t xml:space="preserve">pilot study </w:t>
      </w:r>
      <w:r w:rsidRPr="00314705" w:rsidR="00314705">
        <w:rPr>
          <w:sz w:val="24"/>
          <w:szCs w:val="24"/>
        </w:rPr>
        <w:t xml:space="preserve">is needed to reduce </w:t>
      </w:r>
      <w:r w:rsidR="00E43C29">
        <w:rPr>
          <w:sz w:val="24"/>
          <w:szCs w:val="24"/>
        </w:rPr>
        <w:t xml:space="preserve">the potential </w:t>
      </w:r>
      <w:r w:rsidRPr="00314705" w:rsidR="00314705">
        <w:rPr>
          <w:sz w:val="24"/>
          <w:szCs w:val="24"/>
        </w:rPr>
        <w:t>design risks in the future.</w:t>
      </w:r>
    </w:p>
    <w:p w:rsidR="002D262B" w:rsidP="002D262B" w:rsidRDefault="00A63B83" w14:paraId="0AA56E82" w14:textId="32E15FF7">
      <w:pPr>
        <w:pStyle w:val="Heading2"/>
        <w:rPr>
          <w:rFonts w:ascii="Times New Roman" w:hAnsi="Times New Roman" w:cs="Times New Roman"/>
          <w:color w:val="auto"/>
          <w:sz w:val="24"/>
          <w:szCs w:val="24"/>
          <w:u w:val="single"/>
        </w:rPr>
      </w:pPr>
      <w:bookmarkStart w:name="_Toc290559159" w:id="13"/>
      <w:r w:rsidRPr="00E43C29">
        <w:rPr>
          <w:rFonts w:ascii="Times New Roman" w:hAnsi="Times New Roman" w:cs="Times New Roman"/>
          <w:color w:val="auto"/>
          <w:sz w:val="24"/>
          <w:szCs w:val="24"/>
        </w:rPr>
        <w:t>7</w:t>
      </w:r>
      <w:r w:rsidRPr="00E43C29" w:rsidR="0057087C">
        <w:rPr>
          <w:rFonts w:ascii="Times New Roman" w:hAnsi="Times New Roman" w:cs="Times New Roman"/>
          <w:color w:val="auto"/>
          <w:sz w:val="24"/>
          <w:szCs w:val="24"/>
        </w:rPr>
        <w:t xml:space="preserve">.  </w:t>
      </w:r>
      <w:r w:rsidRPr="00E43C29" w:rsidR="002D262B">
        <w:rPr>
          <w:rFonts w:ascii="Times New Roman" w:hAnsi="Times New Roman" w:cs="Times New Roman"/>
          <w:color w:val="auto"/>
          <w:sz w:val="24"/>
          <w:szCs w:val="24"/>
          <w:u w:val="single"/>
        </w:rPr>
        <w:t>Special Circumstances</w:t>
      </w:r>
      <w:bookmarkEnd w:id="13"/>
    </w:p>
    <w:p w:rsidRPr="00727E59" w:rsidR="00534A4A" w:rsidP="00727E59" w:rsidRDefault="00534A4A" w14:paraId="0B2B618C" w14:textId="77777777"/>
    <w:p w:rsidR="002D262B" w:rsidP="002D262B" w:rsidRDefault="008E1193" w14:paraId="4EF945B7" w14:textId="10D4CD10">
      <w:pPr>
        <w:rPr>
          <w:sz w:val="24"/>
          <w:szCs w:val="24"/>
        </w:rPr>
      </w:pPr>
      <w:r>
        <w:rPr>
          <w:sz w:val="24"/>
          <w:szCs w:val="24"/>
        </w:rPr>
        <w:t>T</w:t>
      </w:r>
      <w:r w:rsidRPr="00420A8F" w:rsidR="00F042C7">
        <w:rPr>
          <w:sz w:val="24"/>
          <w:szCs w:val="24"/>
        </w:rPr>
        <w:t>he MEPS-HC will fully comply with 5 CFR 1320.6</w:t>
      </w:r>
      <w:r>
        <w:rPr>
          <w:sz w:val="24"/>
          <w:szCs w:val="24"/>
        </w:rPr>
        <w:t>, providing protection through the public by displaying the OMB approval information and indicating that completion of the screener will not affect any benefits they receive</w:t>
      </w:r>
      <w:r w:rsidRPr="00420A8F" w:rsidR="00F042C7">
        <w:rPr>
          <w:sz w:val="24"/>
          <w:szCs w:val="24"/>
        </w:rPr>
        <w:t>.</w:t>
      </w:r>
    </w:p>
    <w:p w:rsidRPr="00C85882" w:rsidR="009167C4" w:rsidP="006C598D" w:rsidRDefault="009167C4" w14:paraId="7764FADB" w14:textId="77777777">
      <w:pPr>
        <w:pStyle w:val="Heading2"/>
        <w:rPr>
          <w:rFonts w:ascii="Times New Roman" w:hAnsi="Times New Roman" w:cs="Times New Roman"/>
          <w:b w:val="0"/>
          <w:bCs w:val="0"/>
          <w:sz w:val="24"/>
          <w:szCs w:val="24"/>
          <w:u w:val="single"/>
        </w:rPr>
      </w:pPr>
      <w:bookmarkStart w:name="_Toc151782183" w:id="14"/>
      <w:bookmarkStart w:name="_Toc158526223" w:id="15"/>
      <w:r w:rsidRPr="00C85882">
        <w:rPr>
          <w:rFonts w:ascii="Times New Roman" w:hAnsi="Times New Roman" w:cs="Times New Roman"/>
          <w:color w:val="auto"/>
          <w:sz w:val="24"/>
          <w:szCs w:val="24"/>
        </w:rPr>
        <w:t xml:space="preserve">8. </w:t>
      </w:r>
      <w:bookmarkEnd w:id="14"/>
      <w:bookmarkEnd w:id="15"/>
      <w:r w:rsidRPr="00C85882" w:rsidR="00425494">
        <w:rPr>
          <w:rFonts w:ascii="Times New Roman" w:hAnsi="Times New Roman" w:cs="Times New Roman"/>
          <w:color w:val="auto"/>
          <w:sz w:val="24"/>
          <w:szCs w:val="24"/>
          <w:u w:val="single"/>
        </w:rPr>
        <w:t>Federal Register Notice and Outside Consultations</w:t>
      </w:r>
    </w:p>
    <w:p w:rsidRPr="009167C4" w:rsidR="009167C4" w:rsidP="009167C4" w:rsidRDefault="009167C4" w14:paraId="77F895F9" w14:textId="77777777">
      <w:pPr>
        <w:rPr>
          <w:sz w:val="24"/>
          <w:szCs w:val="24"/>
        </w:rPr>
      </w:pPr>
    </w:p>
    <w:p w:rsidRPr="006C598D" w:rsidR="009167C4" w:rsidP="009167C4" w:rsidRDefault="009167C4" w14:paraId="169E5963" w14:textId="77777777">
      <w:pPr>
        <w:rPr>
          <w:b/>
          <w:bCs/>
          <w:iCs/>
          <w:sz w:val="24"/>
          <w:szCs w:val="24"/>
        </w:rPr>
      </w:pPr>
      <w:r w:rsidRPr="006C598D">
        <w:rPr>
          <w:b/>
          <w:iCs/>
          <w:sz w:val="24"/>
          <w:szCs w:val="24"/>
        </w:rPr>
        <w:t>8.a.</w:t>
      </w:r>
      <w:r w:rsidRPr="00B5441D">
        <w:rPr>
          <w:iCs/>
          <w:sz w:val="24"/>
          <w:szCs w:val="24"/>
        </w:rPr>
        <w:t xml:space="preserve"> </w:t>
      </w:r>
      <w:r w:rsidRPr="006C598D">
        <w:rPr>
          <w:b/>
          <w:bCs/>
          <w:iCs/>
          <w:sz w:val="24"/>
          <w:szCs w:val="24"/>
        </w:rPr>
        <w:t>Federal Register Notice</w:t>
      </w:r>
    </w:p>
    <w:p w:rsidR="00DA394A" w:rsidP="009167C4" w:rsidRDefault="00DA394A" w14:paraId="53D7DC0B" w14:textId="77777777">
      <w:pPr>
        <w:rPr>
          <w:b/>
          <w:bCs/>
          <w:i/>
          <w:iCs/>
          <w:sz w:val="24"/>
          <w:szCs w:val="24"/>
        </w:rPr>
      </w:pPr>
    </w:p>
    <w:p w:rsidR="0043762C" w:rsidRDefault="00824BFE" w14:paraId="2C395C36" w14:textId="4B933DF9">
      <w:pPr>
        <w:rPr>
          <w:sz w:val="24"/>
          <w:szCs w:val="24"/>
        </w:rPr>
      </w:pPr>
      <w:r w:rsidRPr="00824BFE">
        <w:rPr>
          <w:sz w:val="24"/>
          <w:szCs w:val="24"/>
        </w:rPr>
        <w:t>This proposed information collection is being submitted under AHRQ’s generic clearance (OMB No. 0935-</w:t>
      </w:r>
      <w:r w:rsidRPr="00824BFE" w:rsidR="00762C16">
        <w:rPr>
          <w:sz w:val="24"/>
          <w:szCs w:val="24"/>
        </w:rPr>
        <w:t>01</w:t>
      </w:r>
      <w:r w:rsidR="00762C16">
        <w:rPr>
          <w:sz w:val="24"/>
          <w:szCs w:val="24"/>
        </w:rPr>
        <w:t>24</w:t>
      </w:r>
      <w:r w:rsidRPr="00824BFE">
        <w:rPr>
          <w:sz w:val="24"/>
          <w:szCs w:val="24"/>
        </w:rPr>
        <w:t>)</w:t>
      </w:r>
      <w:r w:rsidRPr="00824BFE" w:rsidR="001B1D98">
        <w:rPr>
          <w:sz w:val="24"/>
          <w:szCs w:val="24"/>
        </w:rPr>
        <w:t xml:space="preserve">. </w:t>
      </w:r>
      <w:r w:rsidRPr="00824BFE">
        <w:rPr>
          <w:sz w:val="24"/>
          <w:szCs w:val="24"/>
        </w:rPr>
        <w:t>Therefore, publication in the Federal Register is not required.</w:t>
      </w:r>
    </w:p>
    <w:p w:rsidR="00777488" w:rsidP="009167C4" w:rsidRDefault="00777488" w14:paraId="2BA8C674" w14:textId="77777777">
      <w:pPr>
        <w:rPr>
          <w:b/>
          <w:bCs/>
          <w:sz w:val="24"/>
          <w:szCs w:val="24"/>
        </w:rPr>
      </w:pPr>
    </w:p>
    <w:p w:rsidR="001B1D98" w:rsidP="009167C4" w:rsidRDefault="001B1D98" w14:paraId="732CE6E1" w14:textId="77777777">
      <w:pPr>
        <w:rPr>
          <w:b/>
          <w:bCs/>
          <w:sz w:val="24"/>
          <w:szCs w:val="24"/>
        </w:rPr>
      </w:pPr>
    </w:p>
    <w:p w:rsidR="001B1D98" w:rsidP="009167C4" w:rsidRDefault="001B1D98" w14:paraId="51EFE9F4" w14:textId="77777777">
      <w:pPr>
        <w:rPr>
          <w:b/>
          <w:bCs/>
          <w:sz w:val="24"/>
          <w:szCs w:val="24"/>
        </w:rPr>
      </w:pPr>
    </w:p>
    <w:p w:rsidR="001B1D98" w:rsidP="009167C4" w:rsidRDefault="001B1D98" w14:paraId="6909F612" w14:textId="77777777">
      <w:pPr>
        <w:rPr>
          <w:b/>
          <w:bCs/>
          <w:sz w:val="24"/>
          <w:szCs w:val="24"/>
        </w:rPr>
      </w:pPr>
    </w:p>
    <w:p w:rsidR="001B1D98" w:rsidP="009167C4" w:rsidRDefault="001B1D98" w14:paraId="1DDC5E67" w14:textId="77777777">
      <w:pPr>
        <w:rPr>
          <w:b/>
          <w:bCs/>
          <w:sz w:val="24"/>
          <w:szCs w:val="24"/>
        </w:rPr>
      </w:pPr>
    </w:p>
    <w:p w:rsidR="001B1D98" w:rsidP="009167C4" w:rsidRDefault="001B1D98" w14:paraId="33786FE8" w14:textId="77777777">
      <w:pPr>
        <w:rPr>
          <w:b/>
          <w:bCs/>
          <w:sz w:val="24"/>
          <w:szCs w:val="24"/>
        </w:rPr>
      </w:pPr>
    </w:p>
    <w:p w:rsidRPr="006C598D" w:rsidR="009167C4" w:rsidP="009167C4" w:rsidRDefault="009167C4" w14:paraId="58C5D551" w14:textId="6AE377D1">
      <w:pPr>
        <w:rPr>
          <w:b/>
          <w:bCs/>
          <w:sz w:val="24"/>
          <w:szCs w:val="24"/>
        </w:rPr>
      </w:pPr>
      <w:r w:rsidRPr="006C598D">
        <w:rPr>
          <w:b/>
          <w:bCs/>
          <w:sz w:val="24"/>
          <w:szCs w:val="24"/>
        </w:rPr>
        <w:t>8.b.  Outside Consultations</w:t>
      </w:r>
    </w:p>
    <w:p w:rsidR="00C85882" w:rsidP="002D262B" w:rsidRDefault="006E55FB" w14:paraId="45FF06D2" w14:textId="6FE362F8">
      <w:pPr>
        <w:pStyle w:val="Heading2"/>
        <w:rPr>
          <w:rFonts w:ascii="Times New Roman" w:hAnsi="Times New Roman" w:eastAsia="Times New Roman" w:cs="Times New Roman"/>
          <w:b w:val="0"/>
          <w:bCs w:val="0"/>
          <w:color w:val="auto"/>
          <w:sz w:val="24"/>
          <w:szCs w:val="24"/>
        </w:rPr>
      </w:pPr>
      <w:r w:rsidRPr="00C85882">
        <w:rPr>
          <w:rFonts w:ascii="Times New Roman" w:hAnsi="Times New Roman" w:eastAsia="Times New Roman" w:cs="Times New Roman"/>
          <w:b w:val="0"/>
          <w:bCs w:val="0"/>
          <w:color w:val="auto"/>
          <w:sz w:val="24"/>
          <w:szCs w:val="24"/>
        </w:rPr>
        <w:lastRenderedPageBreak/>
        <w:t xml:space="preserve">AHRQ </w:t>
      </w:r>
      <w:r w:rsidRPr="00C85882" w:rsidR="00FD782E">
        <w:rPr>
          <w:rFonts w:ascii="Times New Roman" w:hAnsi="Times New Roman" w:eastAsia="Times New Roman" w:cs="Times New Roman"/>
          <w:b w:val="0"/>
          <w:bCs w:val="0"/>
          <w:color w:val="auto"/>
          <w:sz w:val="24"/>
          <w:szCs w:val="24"/>
        </w:rPr>
        <w:t>worked with the MEPS</w:t>
      </w:r>
      <w:r w:rsidR="00410B0B">
        <w:rPr>
          <w:rFonts w:ascii="Times New Roman" w:hAnsi="Times New Roman" w:eastAsia="Times New Roman" w:cs="Times New Roman"/>
          <w:b w:val="0"/>
          <w:bCs w:val="0"/>
          <w:color w:val="auto"/>
          <w:sz w:val="24"/>
          <w:szCs w:val="24"/>
        </w:rPr>
        <w:t>-HC</w:t>
      </w:r>
      <w:r w:rsidRPr="00C85882" w:rsidR="00FD782E">
        <w:rPr>
          <w:rFonts w:ascii="Times New Roman" w:hAnsi="Times New Roman" w:eastAsia="Times New Roman" w:cs="Times New Roman"/>
          <w:b w:val="0"/>
          <w:bCs w:val="0"/>
          <w:color w:val="auto"/>
          <w:sz w:val="24"/>
          <w:szCs w:val="24"/>
        </w:rPr>
        <w:t xml:space="preserve"> contractor during design of the pilot, including </w:t>
      </w:r>
      <w:r w:rsidRPr="00C85882">
        <w:rPr>
          <w:rFonts w:ascii="Times New Roman" w:hAnsi="Times New Roman" w:eastAsia="Times New Roman" w:cs="Times New Roman"/>
          <w:b w:val="0"/>
          <w:bCs w:val="0"/>
          <w:color w:val="auto"/>
          <w:sz w:val="24"/>
          <w:szCs w:val="24"/>
        </w:rPr>
        <w:t xml:space="preserve">several experts </w:t>
      </w:r>
      <w:proofErr w:type="gramStart"/>
      <w:r w:rsidRPr="00C85882">
        <w:rPr>
          <w:rFonts w:ascii="Times New Roman" w:hAnsi="Times New Roman" w:eastAsia="Times New Roman" w:cs="Times New Roman"/>
          <w:b w:val="0"/>
          <w:bCs w:val="0"/>
          <w:color w:val="auto"/>
          <w:sz w:val="24"/>
          <w:szCs w:val="24"/>
        </w:rPr>
        <w:t xml:space="preserve">in the area </w:t>
      </w:r>
      <w:r w:rsidRPr="00C85882" w:rsidR="00FD782E">
        <w:rPr>
          <w:rFonts w:ascii="Times New Roman" w:hAnsi="Times New Roman" w:eastAsia="Times New Roman" w:cs="Times New Roman"/>
          <w:b w:val="0"/>
          <w:bCs w:val="0"/>
          <w:color w:val="auto"/>
          <w:sz w:val="24"/>
          <w:szCs w:val="24"/>
        </w:rPr>
        <w:t>of</w:t>
      </w:r>
      <w:proofErr w:type="gramEnd"/>
      <w:r w:rsidRPr="00C85882" w:rsidR="00FD782E">
        <w:rPr>
          <w:rFonts w:ascii="Times New Roman" w:hAnsi="Times New Roman" w:eastAsia="Times New Roman" w:cs="Times New Roman"/>
          <w:b w:val="0"/>
          <w:bCs w:val="0"/>
          <w:color w:val="auto"/>
          <w:sz w:val="24"/>
          <w:szCs w:val="24"/>
        </w:rPr>
        <w:t xml:space="preserve"> statistical sampling and survey design</w:t>
      </w:r>
      <w:bookmarkStart w:name="_Toc290559160" w:id="16"/>
      <w:r w:rsidR="00824BFE">
        <w:rPr>
          <w:rFonts w:ascii="Times New Roman" w:hAnsi="Times New Roman" w:eastAsia="Times New Roman" w:cs="Times New Roman"/>
          <w:b w:val="0"/>
          <w:bCs w:val="0"/>
          <w:color w:val="auto"/>
          <w:sz w:val="24"/>
          <w:szCs w:val="24"/>
        </w:rPr>
        <w:t>.</w:t>
      </w:r>
    </w:p>
    <w:p w:rsidRPr="00C85882" w:rsidR="002D262B" w:rsidP="002D262B" w:rsidRDefault="009167C4" w14:paraId="28BDDFC8" w14:textId="344B40BB">
      <w:pPr>
        <w:pStyle w:val="Heading2"/>
        <w:rPr>
          <w:rFonts w:ascii="Times New Roman" w:hAnsi="Times New Roman" w:cs="Times New Roman"/>
          <w:color w:val="auto"/>
          <w:sz w:val="24"/>
          <w:szCs w:val="24"/>
        </w:rPr>
      </w:pPr>
      <w:r w:rsidRPr="00C85882">
        <w:rPr>
          <w:rFonts w:ascii="Times New Roman" w:hAnsi="Times New Roman" w:cs="Times New Roman"/>
          <w:color w:val="auto"/>
          <w:sz w:val="24"/>
          <w:szCs w:val="24"/>
        </w:rPr>
        <w:t>9</w:t>
      </w:r>
      <w:r w:rsidRPr="00C85882" w:rsidR="0057087C">
        <w:rPr>
          <w:rFonts w:ascii="Times New Roman" w:hAnsi="Times New Roman" w:cs="Times New Roman"/>
          <w:color w:val="auto"/>
          <w:sz w:val="24"/>
          <w:szCs w:val="24"/>
        </w:rPr>
        <w:t xml:space="preserve">.  </w:t>
      </w:r>
      <w:r w:rsidRPr="00C85882" w:rsidR="002D262B">
        <w:rPr>
          <w:rFonts w:ascii="Times New Roman" w:hAnsi="Times New Roman" w:cs="Times New Roman"/>
          <w:color w:val="auto"/>
          <w:sz w:val="24"/>
          <w:szCs w:val="24"/>
          <w:u w:val="single"/>
        </w:rPr>
        <w:t>Payments/Gifts to Respondents</w:t>
      </w:r>
      <w:bookmarkEnd w:id="16"/>
    </w:p>
    <w:p w:rsidR="002D262B" w:rsidP="002D262B" w:rsidRDefault="002D262B" w14:paraId="173EC217" w14:textId="45237BFD">
      <w:pPr>
        <w:rPr>
          <w:sz w:val="24"/>
          <w:szCs w:val="24"/>
        </w:rPr>
      </w:pPr>
    </w:p>
    <w:p w:rsidRPr="006C598D" w:rsidR="00D5296F" w:rsidP="00D5296F" w:rsidRDefault="00C03A4F" w14:paraId="32C97190" w14:textId="16E69983">
      <w:r>
        <w:rPr>
          <w:sz w:val="24"/>
          <w:szCs w:val="24"/>
        </w:rPr>
        <w:t>As discussed above, t</w:t>
      </w:r>
      <w:r w:rsidRPr="00D5296F" w:rsidR="00D5296F">
        <w:rPr>
          <w:sz w:val="24"/>
          <w:szCs w:val="24"/>
        </w:rPr>
        <w:t xml:space="preserve">he pilot is designed to assess the effect of incentive amount and timing on the screener. For prepaid incentives, three options </w:t>
      </w:r>
      <w:r w:rsidR="006017B5">
        <w:rPr>
          <w:sz w:val="24"/>
          <w:szCs w:val="24"/>
        </w:rPr>
        <w:t>will</w:t>
      </w:r>
      <w:r w:rsidRPr="00D5296F" w:rsidR="00D5296F">
        <w:rPr>
          <w:sz w:val="24"/>
          <w:szCs w:val="24"/>
        </w:rPr>
        <w:t xml:space="preserve"> be tested: $0, $2, and $5. We do not recommend $0 for the main study </w:t>
      </w:r>
      <w:r>
        <w:rPr>
          <w:sz w:val="24"/>
          <w:szCs w:val="24"/>
        </w:rPr>
        <w:t xml:space="preserve">if the alternative design is implemented, due to the expected reduction in </w:t>
      </w:r>
      <w:r w:rsidRPr="00D5296F" w:rsidR="00D5296F">
        <w:rPr>
          <w:sz w:val="24"/>
          <w:szCs w:val="24"/>
        </w:rPr>
        <w:t xml:space="preserve">response, but </w:t>
      </w:r>
      <w:r w:rsidR="00A3230B">
        <w:rPr>
          <w:sz w:val="24"/>
          <w:szCs w:val="24"/>
        </w:rPr>
        <w:t>we have included this treatment as a</w:t>
      </w:r>
      <w:r w:rsidRPr="00D5296F" w:rsidR="00D5296F">
        <w:rPr>
          <w:sz w:val="24"/>
          <w:szCs w:val="24"/>
        </w:rPr>
        <w:t xml:space="preserve"> baseline measure</w:t>
      </w:r>
      <w:r w:rsidR="00A3230B">
        <w:rPr>
          <w:sz w:val="24"/>
          <w:szCs w:val="24"/>
        </w:rPr>
        <w:t>.</w:t>
      </w:r>
      <w:r w:rsidRPr="00D5296F" w:rsidR="00D5296F">
        <w:rPr>
          <w:sz w:val="24"/>
          <w:szCs w:val="24"/>
        </w:rPr>
        <w:t xml:space="preserve"> Promised incentive amounts of $0 or $</w:t>
      </w:r>
      <w:r w:rsidR="00A3230B">
        <w:rPr>
          <w:sz w:val="24"/>
          <w:szCs w:val="24"/>
        </w:rPr>
        <w:t>10</w:t>
      </w:r>
      <w:r w:rsidRPr="00D5296F" w:rsidR="00D5296F">
        <w:rPr>
          <w:sz w:val="24"/>
          <w:szCs w:val="24"/>
        </w:rPr>
        <w:t xml:space="preserve"> </w:t>
      </w:r>
      <w:r w:rsidR="00A3230B">
        <w:rPr>
          <w:sz w:val="24"/>
          <w:szCs w:val="24"/>
        </w:rPr>
        <w:t xml:space="preserve">are proposed </w:t>
      </w:r>
      <w:r w:rsidRPr="00D5296F" w:rsidR="00D5296F">
        <w:rPr>
          <w:sz w:val="24"/>
          <w:szCs w:val="24"/>
        </w:rPr>
        <w:t>as well.</w:t>
      </w:r>
      <w:r w:rsidR="00D5296F">
        <w:rPr>
          <w:sz w:val="24"/>
          <w:szCs w:val="24"/>
        </w:rPr>
        <w:t xml:space="preserve"> </w:t>
      </w:r>
      <w:r w:rsidR="00C713A2">
        <w:rPr>
          <w:sz w:val="24"/>
          <w:szCs w:val="24"/>
        </w:rPr>
        <w:t>Exhibit 1</w:t>
      </w:r>
      <w:r w:rsidR="00D5296F">
        <w:rPr>
          <w:sz w:val="24"/>
          <w:szCs w:val="24"/>
        </w:rPr>
        <w:t xml:space="preserve"> below details the </w:t>
      </w:r>
      <w:r>
        <w:rPr>
          <w:sz w:val="24"/>
          <w:szCs w:val="24"/>
        </w:rPr>
        <w:t xml:space="preserve">four </w:t>
      </w:r>
      <w:r w:rsidR="00D5296F">
        <w:rPr>
          <w:sz w:val="24"/>
          <w:szCs w:val="24"/>
        </w:rPr>
        <w:t>incentive treatments proposed for the pilot</w:t>
      </w:r>
      <w:r>
        <w:rPr>
          <w:sz w:val="24"/>
          <w:szCs w:val="24"/>
        </w:rPr>
        <w:t>, along with sample size and total incentive expense assumptions.</w:t>
      </w:r>
    </w:p>
    <w:p w:rsidRPr="006C598D" w:rsidR="00A3230B" w:rsidP="00A3230B" w:rsidRDefault="00A3230B" w14:paraId="2529D0F9" w14:textId="77777777">
      <w:pPr>
        <w:rPr>
          <w:b/>
          <w:sz w:val="24"/>
          <w:szCs w:val="24"/>
        </w:rPr>
      </w:pPr>
    </w:p>
    <w:p w:rsidRPr="00C713A2" w:rsidR="00D5296F" w:rsidP="00C713A2" w:rsidRDefault="00C713A2" w14:paraId="751C18AA" w14:textId="05725525">
      <w:pPr>
        <w:spacing w:after="120"/>
        <w:rPr>
          <w:sz w:val="24"/>
          <w:szCs w:val="24"/>
        </w:rPr>
      </w:pPr>
      <w:r>
        <w:rPr>
          <w:b/>
          <w:sz w:val="24"/>
          <w:szCs w:val="24"/>
        </w:rPr>
        <w:t>Exhibit</w:t>
      </w:r>
      <w:r w:rsidR="00443DAE">
        <w:rPr>
          <w:b/>
          <w:sz w:val="24"/>
          <w:szCs w:val="24"/>
        </w:rPr>
        <w:t xml:space="preserve"> </w:t>
      </w:r>
      <w:r>
        <w:rPr>
          <w:b/>
          <w:sz w:val="24"/>
          <w:szCs w:val="24"/>
        </w:rPr>
        <w:t xml:space="preserve">1. </w:t>
      </w:r>
      <w:r w:rsidRPr="006C598D" w:rsidR="00A3230B">
        <w:rPr>
          <w:b/>
          <w:sz w:val="24"/>
          <w:szCs w:val="24"/>
        </w:rPr>
        <w:t>Incentive treatment groups for proposed pilot study</w:t>
      </w:r>
    </w:p>
    <w:tbl>
      <w:tblPr>
        <w:tblW w:w="8456" w:type="dxa"/>
        <w:tblInd w:w="-6" w:type="dxa"/>
        <w:tblLayout w:type="fixed"/>
        <w:tblCellMar>
          <w:left w:w="0" w:type="dxa"/>
          <w:right w:w="0" w:type="dxa"/>
        </w:tblCellMar>
        <w:tblLook w:val="04A0" w:firstRow="1" w:lastRow="0" w:firstColumn="1" w:lastColumn="0" w:noHBand="0" w:noVBand="1"/>
      </w:tblPr>
      <w:tblGrid>
        <w:gridCol w:w="1076"/>
        <w:gridCol w:w="990"/>
        <w:gridCol w:w="1080"/>
        <w:gridCol w:w="1440"/>
        <w:gridCol w:w="1350"/>
        <w:gridCol w:w="1260"/>
        <w:gridCol w:w="1260"/>
      </w:tblGrid>
      <w:tr w:rsidR="00A3230B" w:rsidTr="006C598D" w14:paraId="59E0305B" w14:textId="77777777">
        <w:trPr>
          <w:trHeight w:val="300"/>
        </w:trPr>
        <w:tc>
          <w:tcPr>
            <w:tcW w:w="107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1302A7" w:rsidR="00A3230B" w:rsidP="00F6419D" w:rsidRDefault="00A3230B" w14:paraId="7EBF97D4" w14:textId="77777777">
            <w:pPr>
              <w:jc w:val="center"/>
            </w:pPr>
            <w:r w:rsidRPr="001302A7">
              <w:rPr>
                <w:color w:val="000000"/>
              </w:rPr>
              <w:t>Incentive treatment group</w:t>
            </w:r>
          </w:p>
        </w:tc>
        <w:tc>
          <w:tcPr>
            <w:tcW w:w="99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hideMark/>
          </w:tcPr>
          <w:p w:rsidRPr="001302A7" w:rsidR="00A3230B" w:rsidP="00F6419D" w:rsidRDefault="00A3230B" w14:paraId="17309E0C" w14:textId="77777777">
            <w:pPr>
              <w:jc w:val="center"/>
            </w:pPr>
            <w:r w:rsidRPr="001302A7">
              <w:rPr>
                <w:color w:val="000000"/>
              </w:rPr>
              <w:t>Prepaid incentive</w:t>
            </w:r>
          </w:p>
        </w:tc>
        <w:tc>
          <w:tcPr>
            <w:tcW w:w="108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hideMark/>
          </w:tcPr>
          <w:p w:rsidRPr="001302A7" w:rsidR="00A3230B" w:rsidP="00F6419D" w:rsidRDefault="00A3230B" w14:paraId="3F2BF9EB" w14:textId="77777777">
            <w:pPr>
              <w:jc w:val="center"/>
            </w:pPr>
            <w:r w:rsidRPr="001302A7">
              <w:rPr>
                <w:color w:val="000000"/>
              </w:rPr>
              <w:t>Promised incentive</w:t>
            </w:r>
          </w:p>
        </w:tc>
        <w:tc>
          <w:tcPr>
            <w:tcW w:w="14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hideMark/>
          </w:tcPr>
          <w:p w:rsidRPr="001302A7" w:rsidR="00A3230B" w:rsidP="00F6419D" w:rsidRDefault="00A3230B" w14:paraId="151F71C2" w14:textId="77777777">
            <w:pPr>
              <w:jc w:val="center"/>
            </w:pPr>
            <w:r w:rsidRPr="001302A7">
              <w:rPr>
                <w:color w:val="000000"/>
              </w:rPr>
              <w:t>Sample size for treatment group</w:t>
            </w:r>
          </w:p>
        </w:tc>
        <w:tc>
          <w:tcPr>
            <w:tcW w:w="1350" w:type="dxa"/>
            <w:tcBorders>
              <w:top w:val="single" w:color="auto" w:sz="8" w:space="0"/>
              <w:left w:val="nil"/>
              <w:bottom w:val="single" w:color="auto" w:sz="8" w:space="0"/>
              <w:right w:val="single" w:color="auto" w:sz="8" w:space="0"/>
            </w:tcBorders>
            <w:vAlign w:val="center"/>
          </w:tcPr>
          <w:p w:rsidR="00A3230B" w:rsidP="00F6419D" w:rsidRDefault="00A3230B" w14:paraId="48DDDF1F" w14:textId="77777777">
            <w:pPr>
              <w:jc w:val="center"/>
              <w:rPr>
                <w:color w:val="000000"/>
              </w:rPr>
            </w:pPr>
            <w:r w:rsidRPr="001302A7">
              <w:rPr>
                <w:color w:val="000000"/>
              </w:rPr>
              <w:t>Total</w:t>
            </w:r>
          </w:p>
          <w:p w:rsidRPr="001302A7" w:rsidR="00A3230B" w:rsidP="00F6419D" w:rsidRDefault="00A3230B" w14:paraId="02C5834E" w14:textId="77777777">
            <w:pPr>
              <w:jc w:val="center"/>
              <w:rPr>
                <w:color w:val="000000"/>
              </w:rPr>
            </w:pPr>
            <w:r>
              <w:rPr>
                <w:color w:val="000000"/>
              </w:rPr>
              <w:t>Prepaid incentives</w:t>
            </w:r>
          </w:p>
        </w:tc>
        <w:tc>
          <w:tcPr>
            <w:tcW w:w="1260" w:type="dxa"/>
            <w:tcBorders>
              <w:top w:val="single" w:color="auto" w:sz="8" w:space="0"/>
              <w:left w:val="nil"/>
              <w:bottom w:val="single" w:color="auto" w:sz="8" w:space="0"/>
              <w:right w:val="single" w:color="auto" w:sz="8" w:space="0"/>
            </w:tcBorders>
            <w:vAlign w:val="center"/>
          </w:tcPr>
          <w:p w:rsidRPr="001302A7" w:rsidR="00A3230B" w:rsidP="006017B5" w:rsidRDefault="00A3230B" w14:paraId="6E4AEF0C" w14:textId="411CF608">
            <w:pPr>
              <w:jc w:val="center"/>
              <w:rPr>
                <w:color w:val="000000"/>
              </w:rPr>
            </w:pPr>
            <w:r>
              <w:rPr>
                <w:color w:val="000000"/>
              </w:rPr>
              <w:t>Total P</w:t>
            </w:r>
            <w:r w:rsidR="006017B5">
              <w:rPr>
                <w:color w:val="000000"/>
              </w:rPr>
              <w:t>romised</w:t>
            </w:r>
            <w:r>
              <w:rPr>
                <w:color w:val="000000"/>
              </w:rPr>
              <w:t xml:space="preserve"> Incentives</w:t>
            </w:r>
          </w:p>
        </w:tc>
        <w:tc>
          <w:tcPr>
            <w:tcW w:w="1260" w:type="dxa"/>
            <w:tcBorders>
              <w:top w:val="single" w:color="auto" w:sz="8" w:space="0"/>
              <w:left w:val="nil"/>
              <w:bottom w:val="single" w:color="auto" w:sz="8" w:space="0"/>
              <w:right w:val="single" w:color="auto" w:sz="8" w:space="0"/>
            </w:tcBorders>
            <w:vAlign w:val="center"/>
          </w:tcPr>
          <w:p w:rsidR="00A3230B" w:rsidP="00F6419D" w:rsidRDefault="00A3230B" w14:paraId="4BC1838A" w14:textId="77777777">
            <w:pPr>
              <w:jc w:val="center"/>
              <w:rPr>
                <w:color w:val="000000"/>
              </w:rPr>
            </w:pPr>
            <w:r>
              <w:rPr>
                <w:color w:val="000000"/>
              </w:rPr>
              <w:t>Total Incentives</w:t>
            </w:r>
          </w:p>
        </w:tc>
      </w:tr>
      <w:tr w:rsidRPr="001302A7" w:rsidR="00A3230B" w:rsidTr="006C598D" w14:paraId="22959A8E" w14:textId="77777777">
        <w:trPr>
          <w:trHeight w:val="300"/>
        </w:trPr>
        <w:tc>
          <w:tcPr>
            <w:tcW w:w="107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1302A7" w:rsidR="00A3230B" w:rsidP="00F6419D" w:rsidRDefault="00A3230B" w14:paraId="08ABEA21" w14:textId="77777777">
            <w:pPr>
              <w:jc w:val="center"/>
            </w:pPr>
            <w:r w:rsidRPr="001302A7">
              <w:rPr>
                <w:color w:val="000000"/>
              </w:rPr>
              <w:t>1</w:t>
            </w:r>
          </w:p>
        </w:tc>
        <w:tc>
          <w:tcPr>
            <w:tcW w:w="99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1302A7" w:rsidR="00A3230B" w:rsidP="00F6419D" w:rsidRDefault="00A3230B" w14:paraId="4641AA03" w14:textId="77777777">
            <w:pPr>
              <w:jc w:val="center"/>
            </w:pPr>
            <w:r w:rsidRPr="001302A7">
              <w:rPr>
                <w:color w:val="000000"/>
              </w:rPr>
              <w:t>$0</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1302A7" w:rsidR="00A3230B" w:rsidP="00F6419D" w:rsidRDefault="00A3230B" w14:paraId="60240D81" w14:textId="77777777">
            <w:pPr>
              <w:jc w:val="center"/>
            </w:pPr>
            <w:r w:rsidRPr="001302A7">
              <w:rPr>
                <w:color w:val="000000"/>
              </w:rPr>
              <w:t>$0</w:t>
            </w:r>
          </w:p>
        </w:tc>
        <w:tc>
          <w:tcPr>
            <w:tcW w:w="144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1302A7" w:rsidR="00A3230B" w:rsidP="00F6419D" w:rsidRDefault="00A3230B" w14:paraId="6226F497" w14:textId="77777777">
            <w:pPr>
              <w:jc w:val="center"/>
            </w:pPr>
            <w:r w:rsidRPr="001302A7">
              <w:rPr>
                <w:color w:val="000000"/>
              </w:rPr>
              <w:t>2,900</w:t>
            </w:r>
          </w:p>
        </w:tc>
        <w:tc>
          <w:tcPr>
            <w:tcW w:w="1350" w:type="dxa"/>
            <w:tcBorders>
              <w:top w:val="nil"/>
              <w:left w:val="nil"/>
              <w:bottom w:val="single" w:color="auto" w:sz="8" w:space="0"/>
              <w:right w:val="single" w:color="auto" w:sz="8" w:space="0"/>
            </w:tcBorders>
            <w:vAlign w:val="center"/>
          </w:tcPr>
          <w:p w:rsidRPr="001302A7" w:rsidR="00A3230B" w:rsidP="00F6419D" w:rsidRDefault="00A3230B" w14:paraId="1A0B8266" w14:textId="77777777">
            <w:pPr>
              <w:jc w:val="center"/>
              <w:rPr>
                <w:color w:val="000000"/>
              </w:rPr>
            </w:pPr>
            <w:r>
              <w:rPr>
                <w:color w:val="000000"/>
              </w:rPr>
              <w:t>$0</w:t>
            </w:r>
          </w:p>
        </w:tc>
        <w:tc>
          <w:tcPr>
            <w:tcW w:w="1260" w:type="dxa"/>
            <w:tcBorders>
              <w:top w:val="nil"/>
              <w:left w:val="nil"/>
              <w:bottom w:val="single" w:color="auto" w:sz="8" w:space="0"/>
              <w:right w:val="single" w:color="auto" w:sz="8" w:space="0"/>
            </w:tcBorders>
            <w:vAlign w:val="center"/>
          </w:tcPr>
          <w:p w:rsidRPr="001302A7" w:rsidR="00A3230B" w:rsidP="00F6419D" w:rsidRDefault="00A3230B" w14:paraId="469644FE" w14:textId="77777777">
            <w:pPr>
              <w:jc w:val="center"/>
              <w:rPr>
                <w:color w:val="000000"/>
              </w:rPr>
            </w:pPr>
            <w:r>
              <w:rPr>
                <w:color w:val="000000"/>
              </w:rPr>
              <w:t>$0</w:t>
            </w:r>
          </w:p>
        </w:tc>
        <w:tc>
          <w:tcPr>
            <w:tcW w:w="1260" w:type="dxa"/>
            <w:tcBorders>
              <w:top w:val="nil"/>
              <w:left w:val="nil"/>
              <w:bottom w:val="single" w:color="auto" w:sz="8" w:space="0"/>
              <w:right w:val="single" w:color="auto" w:sz="8" w:space="0"/>
            </w:tcBorders>
            <w:vAlign w:val="center"/>
          </w:tcPr>
          <w:p w:rsidRPr="001302A7" w:rsidR="00A3230B" w:rsidP="00F6419D" w:rsidRDefault="00A3230B" w14:paraId="0DE1981F" w14:textId="77777777">
            <w:pPr>
              <w:jc w:val="center"/>
              <w:rPr>
                <w:color w:val="000000"/>
              </w:rPr>
            </w:pPr>
            <w:r>
              <w:rPr>
                <w:color w:val="000000"/>
              </w:rPr>
              <w:t>$0</w:t>
            </w:r>
          </w:p>
        </w:tc>
      </w:tr>
      <w:tr w:rsidRPr="001302A7" w:rsidR="00A3230B" w:rsidTr="006C598D" w14:paraId="363762FA" w14:textId="77777777">
        <w:trPr>
          <w:trHeight w:val="300"/>
        </w:trPr>
        <w:tc>
          <w:tcPr>
            <w:tcW w:w="107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1302A7" w:rsidR="00A3230B" w:rsidP="00F6419D" w:rsidRDefault="00A3230B" w14:paraId="1EDD9B2A" w14:textId="7678B7AE">
            <w:pPr>
              <w:jc w:val="center"/>
            </w:pPr>
            <w:r>
              <w:rPr>
                <w:color w:val="000000"/>
              </w:rPr>
              <w:t>2</w:t>
            </w:r>
          </w:p>
        </w:tc>
        <w:tc>
          <w:tcPr>
            <w:tcW w:w="99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1302A7" w:rsidR="00A3230B" w:rsidP="00F6419D" w:rsidRDefault="00A3230B" w14:paraId="3696523B" w14:textId="77777777">
            <w:pPr>
              <w:jc w:val="center"/>
            </w:pPr>
            <w:r w:rsidRPr="001302A7">
              <w:rPr>
                <w:color w:val="000000"/>
              </w:rPr>
              <w:t>$2</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1302A7" w:rsidR="00A3230B" w:rsidP="00F6419D" w:rsidRDefault="00A3230B" w14:paraId="3FDD6F36" w14:textId="77777777">
            <w:pPr>
              <w:jc w:val="center"/>
            </w:pPr>
            <w:r w:rsidRPr="001302A7">
              <w:rPr>
                <w:color w:val="000000"/>
              </w:rPr>
              <w:t>$10</w:t>
            </w:r>
          </w:p>
        </w:tc>
        <w:tc>
          <w:tcPr>
            <w:tcW w:w="144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1302A7" w:rsidR="00A3230B" w:rsidP="00F6419D" w:rsidRDefault="00A3230B" w14:paraId="2D0032ED" w14:textId="77777777">
            <w:pPr>
              <w:jc w:val="center"/>
            </w:pPr>
            <w:r w:rsidRPr="001302A7">
              <w:rPr>
                <w:color w:val="000000"/>
              </w:rPr>
              <w:t>2,900</w:t>
            </w:r>
          </w:p>
        </w:tc>
        <w:tc>
          <w:tcPr>
            <w:tcW w:w="1350" w:type="dxa"/>
            <w:tcBorders>
              <w:top w:val="nil"/>
              <w:left w:val="nil"/>
              <w:bottom w:val="single" w:color="auto" w:sz="8" w:space="0"/>
              <w:right w:val="single" w:color="auto" w:sz="8" w:space="0"/>
            </w:tcBorders>
            <w:vAlign w:val="center"/>
          </w:tcPr>
          <w:p w:rsidRPr="001302A7" w:rsidR="00A3230B" w:rsidP="00F6419D" w:rsidRDefault="00A3230B" w14:paraId="6D82E352" w14:textId="77777777">
            <w:pPr>
              <w:jc w:val="center"/>
              <w:rPr>
                <w:color w:val="000000"/>
              </w:rPr>
            </w:pPr>
            <w:r>
              <w:rPr>
                <w:color w:val="000000"/>
              </w:rPr>
              <w:t>$5,800</w:t>
            </w:r>
          </w:p>
        </w:tc>
        <w:tc>
          <w:tcPr>
            <w:tcW w:w="1260" w:type="dxa"/>
            <w:tcBorders>
              <w:top w:val="nil"/>
              <w:left w:val="nil"/>
              <w:bottom w:val="single" w:color="auto" w:sz="8" w:space="0"/>
              <w:right w:val="single" w:color="auto" w:sz="8" w:space="0"/>
            </w:tcBorders>
            <w:vAlign w:val="center"/>
          </w:tcPr>
          <w:p w:rsidRPr="001302A7" w:rsidR="00A3230B" w:rsidP="00F6419D" w:rsidRDefault="00A3230B" w14:paraId="5157AA83" w14:textId="77777777">
            <w:pPr>
              <w:jc w:val="center"/>
              <w:rPr>
                <w:color w:val="000000"/>
              </w:rPr>
            </w:pPr>
            <w:r>
              <w:rPr>
                <w:color w:val="000000"/>
              </w:rPr>
              <w:t>$8,700</w:t>
            </w:r>
          </w:p>
        </w:tc>
        <w:tc>
          <w:tcPr>
            <w:tcW w:w="1260" w:type="dxa"/>
            <w:tcBorders>
              <w:top w:val="nil"/>
              <w:left w:val="nil"/>
              <w:bottom w:val="single" w:color="auto" w:sz="8" w:space="0"/>
              <w:right w:val="single" w:color="auto" w:sz="8" w:space="0"/>
            </w:tcBorders>
            <w:vAlign w:val="center"/>
          </w:tcPr>
          <w:p w:rsidRPr="001302A7" w:rsidR="00A3230B" w:rsidP="00F6419D" w:rsidRDefault="00A3230B" w14:paraId="2B3548D2" w14:textId="77777777">
            <w:pPr>
              <w:jc w:val="center"/>
              <w:rPr>
                <w:color w:val="000000"/>
              </w:rPr>
            </w:pPr>
            <w:r>
              <w:rPr>
                <w:color w:val="000000"/>
              </w:rPr>
              <w:t>$14,500</w:t>
            </w:r>
          </w:p>
        </w:tc>
      </w:tr>
      <w:tr w:rsidRPr="001302A7" w:rsidR="00A3230B" w:rsidTr="006C598D" w14:paraId="0DD76EA1" w14:textId="77777777">
        <w:trPr>
          <w:trHeight w:val="300"/>
        </w:trPr>
        <w:tc>
          <w:tcPr>
            <w:tcW w:w="107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1302A7" w:rsidR="00A3230B" w:rsidP="00F6419D" w:rsidRDefault="00A3230B" w14:paraId="05DCDDA0" w14:textId="40A023DE">
            <w:pPr>
              <w:jc w:val="center"/>
            </w:pPr>
            <w:r>
              <w:rPr>
                <w:color w:val="000000"/>
              </w:rPr>
              <w:t>3</w:t>
            </w:r>
          </w:p>
        </w:tc>
        <w:tc>
          <w:tcPr>
            <w:tcW w:w="99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1302A7" w:rsidR="00A3230B" w:rsidP="00F6419D" w:rsidRDefault="00A3230B" w14:paraId="052EFD93" w14:textId="77777777">
            <w:pPr>
              <w:jc w:val="center"/>
            </w:pPr>
            <w:r w:rsidRPr="001302A7">
              <w:rPr>
                <w:color w:val="000000"/>
              </w:rPr>
              <w:t>$5</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1302A7" w:rsidR="00A3230B" w:rsidP="00F6419D" w:rsidRDefault="00A3230B" w14:paraId="76C29796" w14:textId="77777777">
            <w:pPr>
              <w:jc w:val="center"/>
            </w:pPr>
            <w:r w:rsidRPr="001302A7">
              <w:rPr>
                <w:color w:val="000000"/>
              </w:rPr>
              <w:t>$0</w:t>
            </w:r>
          </w:p>
        </w:tc>
        <w:tc>
          <w:tcPr>
            <w:tcW w:w="144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1302A7" w:rsidR="00A3230B" w:rsidP="00F6419D" w:rsidRDefault="00A3230B" w14:paraId="223E559F" w14:textId="77777777">
            <w:pPr>
              <w:jc w:val="center"/>
            </w:pPr>
            <w:r w:rsidRPr="001302A7">
              <w:rPr>
                <w:color w:val="000000"/>
              </w:rPr>
              <w:t>2,900</w:t>
            </w:r>
          </w:p>
        </w:tc>
        <w:tc>
          <w:tcPr>
            <w:tcW w:w="1350" w:type="dxa"/>
            <w:tcBorders>
              <w:top w:val="nil"/>
              <w:left w:val="nil"/>
              <w:bottom w:val="single" w:color="auto" w:sz="8" w:space="0"/>
              <w:right w:val="single" w:color="auto" w:sz="8" w:space="0"/>
            </w:tcBorders>
            <w:vAlign w:val="center"/>
          </w:tcPr>
          <w:p w:rsidRPr="001302A7" w:rsidR="00A3230B" w:rsidP="00F6419D" w:rsidRDefault="00A3230B" w14:paraId="3997957C" w14:textId="77777777">
            <w:pPr>
              <w:jc w:val="center"/>
              <w:rPr>
                <w:color w:val="000000"/>
              </w:rPr>
            </w:pPr>
            <w:r>
              <w:rPr>
                <w:color w:val="000000"/>
              </w:rPr>
              <w:t>$14,500</w:t>
            </w:r>
          </w:p>
        </w:tc>
        <w:tc>
          <w:tcPr>
            <w:tcW w:w="1260" w:type="dxa"/>
            <w:tcBorders>
              <w:top w:val="nil"/>
              <w:left w:val="nil"/>
              <w:bottom w:val="single" w:color="auto" w:sz="8" w:space="0"/>
              <w:right w:val="single" w:color="auto" w:sz="8" w:space="0"/>
            </w:tcBorders>
            <w:vAlign w:val="center"/>
          </w:tcPr>
          <w:p w:rsidRPr="001302A7" w:rsidR="00A3230B" w:rsidP="00F6419D" w:rsidRDefault="00A3230B" w14:paraId="074E7BA9" w14:textId="77777777">
            <w:pPr>
              <w:jc w:val="center"/>
              <w:rPr>
                <w:color w:val="000000"/>
              </w:rPr>
            </w:pPr>
            <w:r>
              <w:rPr>
                <w:color w:val="000000"/>
              </w:rPr>
              <w:t>$0</w:t>
            </w:r>
          </w:p>
        </w:tc>
        <w:tc>
          <w:tcPr>
            <w:tcW w:w="1260" w:type="dxa"/>
            <w:tcBorders>
              <w:top w:val="nil"/>
              <w:left w:val="nil"/>
              <w:bottom w:val="single" w:color="auto" w:sz="8" w:space="0"/>
              <w:right w:val="single" w:color="auto" w:sz="8" w:space="0"/>
            </w:tcBorders>
            <w:vAlign w:val="center"/>
          </w:tcPr>
          <w:p w:rsidRPr="001302A7" w:rsidR="00A3230B" w:rsidP="00F6419D" w:rsidRDefault="00A3230B" w14:paraId="68EAAC0D" w14:textId="77777777">
            <w:pPr>
              <w:jc w:val="center"/>
              <w:rPr>
                <w:color w:val="000000"/>
              </w:rPr>
            </w:pPr>
            <w:r>
              <w:rPr>
                <w:color w:val="000000"/>
              </w:rPr>
              <w:t>$14,500</w:t>
            </w:r>
          </w:p>
        </w:tc>
      </w:tr>
      <w:tr w:rsidRPr="001302A7" w:rsidR="00A3230B" w:rsidTr="006C598D" w14:paraId="05AC0480" w14:textId="77777777">
        <w:trPr>
          <w:trHeight w:val="300"/>
        </w:trPr>
        <w:tc>
          <w:tcPr>
            <w:tcW w:w="1076" w:type="dxa"/>
            <w:tcBorders>
              <w:top w:val="nil"/>
              <w:left w:val="single" w:color="auto" w:sz="8" w:space="0"/>
              <w:bottom w:val="single" w:color="auto" w:sz="4" w:space="0"/>
              <w:right w:val="single" w:color="auto" w:sz="8" w:space="0"/>
            </w:tcBorders>
            <w:tcMar>
              <w:top w:w="0" w:type="dxa"/>
              <w:left w:w="108" w:type="dxa"/>
              <w:bottom w:w="0" w:type="dxa"/>
              <w:right w:w="108" w:type="dxa"/>
            </w:tcMar>
            <w:vAlign w:val="center"/>
            <w:hideMark/>
          </w:tcPr>
          <w:p w:rsidRPr="001302A7" w:rsidR="00A3230B" w:rsidP="00F6419D" w:rsidRDefault="00A3230B" w14:paraId="1CBBCC4A" w14:textId="2D926D69">
            <w:pPr>
              <w:jc w:val="center"/>
            </w:pPr>
            <w:r>
              <w:rPr>
                <w:color w:val="000000"/>
              </w:rPr>
              <w:t>4</w:t>
            </w:r>
          </w:p>
        </w:tc>
        <w:tc>
          <w:tcPr>
            <w:tcW w:w="990" w:type="dxa"/>
            <w:tcBorders>
              <w:top w:val="nil"/>
              <w:left w:val="nil"/>
              <w:bottom w:val="single" w:color="auto" w:sz="4" w:space="0"/>
              <w:right w:val="single" w:color="auto" w:sz="8" w:space="0"/>
            </w:tcBorders>
            <w:tcMar>
              <w:top w:w="0" w:type="dxa"/>
              <w:left w:w="108" w:type="dxa"/>
              <w:bottom w:w="0" w:type="dxa"/>
              <w:right w:w="108" w:type="dxa"/>
            </w:tcMar>
            <w:vAlign w:val="center"/>
            <w:hideMark/>
          </w:tcPr>
          <w:p w:rsidRPr="001302A7" w:rsidR="00A3230B" w:rsidP="00F6419D" w:rsidRDefault="00A3230B" w14:paraId="6B98F664" w14:textId="77777777">
            <w:pPr>
              <w:jc w:val="center"/>
            </w:pPr>
            <w:r w:rsidRPr="001302A7">
              <w:rPr>
                <w:color w:val="000000"/>
              </w:rPr>
              <w:t>$5</w:t>
            </w:r>
          </w:p>
        </w:tc>
        <w:tc>
          <w:tcPr>
            <w:tcW w:w="1080" w:type="dxa"/>
            <w:tcBorders>
              <w:top w:val="nil"/>
              <w:left w:val="nil"/>
              <w:bottom w:val="single" w:color="auto" w:sz="4" w:space="0"/>
              <w:right w:val="single" w:color="auto" w:sz="8" w:space="0"/>
            </w:tcBorders>
            <w:tcMar>
              <w:top w:w="0" w:type="dxa"/>
              <w:left w:w="108" w:type="dxa"/>
              <w:bottom w:w="0" w:type="dxa"/>
              <w:right w:w="108" w:type="dxa"/>
            </w:tcMar>
            <w:vAlign w:val="center"/>
            <w:hideMark/>
          </w:tcPr>
          <w:p w:rsidRPr="001302A7" w:rsidR="00A3230B" w:rsidP="00F6419D" w:rsidRDefault="00A3230B" w14:paraId="66314D6A" w14:textId="77777777">
            <w:pPr>
              <w:jc w:val="center"/>
            </w:pPr>
            <w:r w:rsidRPr="001302A7">
              <w:rPr>
                <w:color w:val="000000"/>
              </w:rPr>
              <w:t>$10</w:t>
            </w:r>
          </w:p>
        </w:tc>
        <w:tc>
          <w:tcPr>
            <w:tcW w:w="1440" w:type="dxa"/>
            <w:tcBorders>
              <w:top w:val="nil"/>
              <w:left w:val="nil"/>
              <w:bottom w:val="single" w:color="auto" w:sz="4" w:space="0"/>
              <w:right w:val="single" w:color="auto" w:sz="8" w:space="0"/>
            </w:tcBorders>
            <w:tcMar>
              <w:top w:w="0" w:type="dxa"/>
              <w:left w:w="108" w:type="dxa"/>
              <w:bottom w:w="0" w:type="dxa"/>
              <w:right w:w="108" w:type="dxa"/>
            </w:tcMar>
            <w:vAlign w:val="center"/>
            <w:hideMark/>
          </w:tcPr>
          <w:p w:rsidRPr="001302A7" w:rsidR="00A3230B" w:rsidP="00F6419D" w:rsidRDefault="00A3230B" w14:paraId="0C73DBB7" w14:textId="77777777">
            <w:pPr>
              <w:jc w:val="center"/>
            </w:pPr>
            <w:r w:rsidRPr="001302A7">
              <w:rPr>
                <w:color w:val="000000"/>
              </w:rPr>
              <w:t>2,900</w:t>
            </w:r>
          </w:p>
        </w:tc>
        <w:tc>
          <w:tcPr>
            <w:tcW w:w="1350" w:type="dxa"/>
            <w:tcBorders>
              <w:top w:val="nil"/>
              <w:left w:val="nil"/>
              <w:bottom w:val="single" w:color="auto" w:sz="4" w:space="0"/>
              <w:right w:val="single" w:color="auto" w:sz="8" w:space="0"/>
            </w:tcBorders>
            <w:vAlign w:val="center"/>
          </w:tcPr>
          <w:p w:rsidRPr="001302A7" w:rsidR="00A3230B" w:rsidP="00F6419D" w:rsidRDefault="00A3230B" w14:paraId="20CB6CC6" w14:textId="77777777">
            <w:pPr>
              <w:jc w:val="center"/>
              <w:rPr>
                <w:color w:val="000000"/>
              </w:rPr>
            </w:pPr>
            <w:r>
              <w:rPr>
                <w:color w:val="000000"/>
              </w:rPr>
              <w:t>$14,500</w:t>
            </w:r>
          </w:p>
        </w:tc>
        <w:tc>
          <w:tcPr>
            <w:tcW w:w="1260" w:type="dxa"/>
            <w:tcBorders>
              <w:top w:val="nil"/>
              <w:left w:val="nil"/>
              <w:bottom w:val="single" w:color="auto" w:sz="4" w:space="0"/>
              <w:right w:val="single" w:color="auto" w:sz="8" w:space="0"/>
            </w:tcBorders>
            <w:vAlign w:val="center"/>
          </w:tcPr>
          <w:p w:rsidRPr="001302A7" w:rsidR="00A3230B" w:rsidP="00F6419D" w:rsidRDefault="00A3230B" w14:paraId="3718B628" w14:textId="77777777">
            <w:pPr>
              <w:jc w:val="center"/>
              <w:rPr>
                <w:color w:val="000000"/>
              </w:rPr>
            </w:pPr>
            <w:r>
              <w:rPr>
                <w:color w:val="000000"/>
              </w:rPr>
              <w:t>$9,280</w:t>
            </w:r>
          </w:p>
        </w:tc>
        <w:tc>
          <w:tcPr>
            <w:tcW w:w="1260" w:type="dxa"/>
            <w:tcBorders>
              <w:top w:val="nil"/>
              <w:left w:val="nil"/>
              <w:bottom w:val="single" w:color="auto" w:sz="4" w:space="0"/>
              <w:right w:val="single" w:color="auto" w:sz="8" w:space="0"/>
            </w:tcBorders>
            <w:vAlign w:val="center"/>
          </w:tcPr>
          <w:p w:rsidRPr="001302A7" w:rsidR="00A3230B" w:rsidP="00F6419D" w:rsidRDefault="00A3230B" w14:paraId="4A10E849" w14:textId="77777777">
            <w:pPr>
              <w:jc w:val="center"/>
              <w:rPr>
                <w:color w:val="000000"/>
              </w:rPr>
            </w:pPr>
            <w:r>
              <w:rPr>
                <w:color w:val="000000"/>
              </w:rPr>
              <w:t>$23,780</w:t>
            </w:r>
          </w:p>
        </w:tc>
      </w:tr>
      <w:tr w:rsidR="00A3230B" w:rsidTr="006C598D" w14:paraId="28F88A1D" w14:textId="77777777">
        <w:trPr>
          <w:trHeight w:val="300"/>
        </w:trPr>
        <w:tc>
          <w:tcPr>
            <w:tcW w:w="107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rsidRPr="001302A7" w:rsidR="00A3230B" w:rsidP="00A3230B" w:rsidRDefault="00A3230B" w14:paraId="33355D05" w14:textId="77777777">
            <w:pPr>
              <w:jc w:val="center"/>
              <w:rPr>
                <w:color w:val="000000"/>
              </w:rPr>
            </w:pPr>
            <w:r>
              <w:rPr>
                <w:color w:val="000000"/>
              </w:rPr>
              <w:t>Total</w:t>
            </w:r>
          </w:p>
        </w:tc>
        <w:tc>
          <w:tcPr>
            <w:tcW w:w="99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1302A7" w:rsidR="00A3230B" w:rsidP="00A3230B" w:rsidRDefault="00A3230B" w14:paraId="213E5D56" w14:textId="77777777">
            <w:pPr>
              <w:jc w:val="center"/>
              <w:rPr>
                <w:color w:val="000000"/>
              </w:rPr>
            </w:pPr>
          </w:p>
        </w:tc>
        <w:tc>
          <w:tcPr>
            <w:tcW w:w="10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1302A7" w:rsidR="00A3230B" w:rsidP="00A3230B" w:rsidRDefault="00A3230B" w14:paraId="708F81E2" w14:textId="77777777">
            <w:pPr>
              <w:jc w:val="center"/>
              <w:rPr>
                <w:color w:val="000000"/>
              </w:rPr>
            </w:pPr>
          </w:p>
        </w:tc>
        <w:tc>
          <w:tcPr>
            <w:tcW w:w="1440" w:type="dxa"/>
            <w:tcBorders>
              <w:top w:val="single" w:color="auto" w:sz="4" w:space="0"/>
              <w:left w:val="single" w:color="auto" w:sz="4" w:space="0"/>
              <w:bottom w:val="single" w:color="auto" w:sz="8" w:space="0"/>
              <w:right w:val="single" w:color="auto" w:sz="4" w:space="0"/>
            </w:tcBorders>
            <w:tcMar>
              <w:top w:w="0" w:type="dxa"/>
              <w:left w:w="108" w:type="dxa"/>
              <w:bottom w:w="0" w:type="dxa"/>
              <w:right w:w="108" w:type="dxa"/>
            </w:tcMar>
            <w:vAlign w:val="center"/>
          </w:tcPr>
          <w:p w:rsidRPr="001302A7" w:rsidR="00A3230B" w:rsidP="00A3230B" w:rsidRDefault="00A3230B" w14:paraId="4C76AC8B" w14:textId="61A27C1C">
            <w:pPr>
              <w:jc w:val="center"/>
              <w:rPr>
                <w:color w:val="000000"/>
              </w:rPr>
            </w:pPr>
            <w:r>
              <w:rPr>
                <w:color w:val="000000"/>
              </w:rPr>
              <w:t>11,600</w:t>
            </w:r>
          </w:p>
        </w:tc>
        <w:tc>
          <w:tcPr>
            <w:tcW w:w="1350" w:type="dxa"/>
            <w:tcBorders>
              <w:top w:val="single" w:color="auto" w:sz="4" w:space="0"/>
              <w:left w:val="single" w:color="auto" w:sz="4" w:space="0"/>
              <w:bottom w:val="single" w:color="auto" w:sz="8" w:space="0"/>
              <w:right w:val="single" w:color="auto" w:sz="4" w:space="0"/>
            </w:tcBorders>
            <w:vAlign w:val="center"/>
          </w:tcPr>
          <w:p w:rsidR="00A3230B" w:rsidP="00A3230B" w:rsidRDefault="00A3230B" w14:paraId="705E7665" w14:textId="1CB57648">
            <w:pPr>
              <w:jc w:val="center"/>
              <w:rPr>
                <w:color w:val="000000"/>
              </w:rPr>
            </w:pPr>
            <w:r>
              <w:rPr>
                <w:color w:val="000000"/>
              </w:rPr>
              <w:t>$34,800</w:t>
            </w:r>
          </w:p>
        </w:tc>
        <w:tc>
          <w:tcPr>
            <w:tcW w:w="1260" w:type="dxa"/>
            <w:tcBorders>
              <w:top w:val="single" w:color="auto" w:sz="4" w:space="0"/>
              <w:left w:val="single" w:color="auto" w:sz="4" w:space="0"/>
              <w:bottom w:val="single" w:color="auto" w:sz="8" w:space="0"/>
              <w:right w:val="single" w:color="auto" w:sz="4" w:space="0"/>
            </w:tcBorders>
            <w:vAlign w:val="center"/>
          </w:tcPr>
          <w:p w:rsidR="00A3230B" w:rsidP="00A3230B" w:rsidRDefault="00A3230B" w14:paraId="72F0F01B" w14:textId="42AB35A3">
            <w:pPr>
              <w:jc w:val="center"/>
              <w:rPr>
                <w:color w:val="000000"/>
              </w:rPr>
            </w:pPr>
            <w:r>
              <w:rPr>
                <w:color w:val="000000"/>
              </w:rPr>
              <w:t>$17,980</w:t>
            </w:r>
            <w:r w:rsidR="00020300">
              <w:rPr>
                <w:color w:val="000000"/>
              </w:rPr>
              <w:t>*</w:t>
            </w:r>
          </w:p>
        </w:tc>
        <w:tc>
          <w:tcPr>
            <w:tcW w:w="1260" w:type="dxa"/>
            <w:tcBorders>
              <w:top w:val="single" w:color="auto" w:sz="4" w:space="0"/>
              <w:left w:val="single" w:color="auto" w:sz="4" w:space="0"/>
              <w:bottom w:val="single" w:color="auto" w:sz="8" w:space="0"/>
              <w:right w:val="single" w:color="auto" w:sz="8" w:space="0"/>
            </w:tcBorders>
            <w:vAlign w:val="center"/>
          </w:tcPr>
          <w:p w:rsidRPr="00A3230B" w:rsidR="00A3230B" w:rsidP="00A3230B" w:rsidRDefault="00A3230B" w14:paraId="20383FE9" w14:textId="094B0863">
            <w:pPr>
              <w:jc w:val="center"/>
              <w:rPr>
                <w:color w:val="000000"/>
              </w:rPr>
            </w:pPr>
            <w:r w:rsidRPr="006C598D">
              <w:rPr>
                <w:color w:val="000000"/>
              </w:rPr>
              <w:t>$52,780</w:t>
            </w:r>
          </w:p>
        </w:tc>
      </w:tr>
    </w:tbl>
    <w:p w:rsidRPr="006C598D" w:rsidR="00D5296F" w:rsidP="00D5296F" w:rsidRDefault="00020300" w14:paraId="0735FACC" w14:textId="60A4A5A6">
      <w:r>
        <w:t xml:space="preserve">*Estimated </w:t>
      </w:r>
      <w:r w:rsidR="006017B5">
        <w:t>“take up” of promised</w:t>
      </w:r>
      <w:r>
        <w:t xml:space="preserve"> incentives</w:t>
      </w:r>
    </w:p>
    <w:p w:rsidRPr="00C85882" w:rsidR="002D262B" w:rsidP="002D262B" w:rsidRDefault="009167C4" w14:paraId="2D4CCEE9" w14:textId="77777777">
      <w:pPr>
        <w:pStyle w:val="Heading2"/>
        <w:rPr>
          <w:rFonts w:ascii="Times New Roman" w:hAnsi="Times New Roman" w:cs="Times New Roman"/>
          <w:color w:val="auto"/>
          <w:sz w:val="24"/>
          <w:szCs w:val="24"/>
        </w:rPr>
      </w:pPr>
      <w:bookmarkStart w:name="_Toc290559161" w:id="17"/>
      <w:r w:rsidRPr="00C85882">
        <w:rPr>
          <w:rFonts w:ascii="Times New Roman" w:hAnsi="Times New Roman" w:cs="Times New Roman"/>
          <w:color w:val="auto"/>
          <w:sz w:val="24"/>
          <w:szCs w:val="24"/>
        </w:rPr>
        <w:t>10</w:t>
      </w:r>
      <w:r w:rsidRPr="00C85882" w:rsidR="0057087C">
        <w:rPr>
          <w:rFonts w:ascii="Times New Roman" w:hAnsi="Times New Roman" w:cs="Times New Roman"/>
          <w:color w:val="auto"/>
          <w:sz w:val="24"/>
          <w:szCs w:val="24"/>
        </w:rPr>
        <w:t xml:space="preserve">.  </w:t>
      </w:r>
      <w:r w:rsidRPr="00C85882" w:rsidR="002D262B">
        <w:rPr>
          <w:rFonts w:ascii="Times New Roman" w:hAnsi="Times New Roman" w:cs="Times New Roman"/>
          <w:color w:val="auto"/>
          <w:sz w:val="24"/>
          <w:szCs w:val="24"/>
          <w:u w:val="single"/>
        </w:rPr>
        <w:t>Assurance of Confidentiality</w:t>
      </w:r>
      <w:bookmarkEnd w:id="17"/>
    </w:p>
    <w:p w:rsidRPr="00CB177A" w:rsidR="002D262B" w:rsidP="002D262B" w:rsidRDefault="002D262B" w14:paraId="76AA7A90" w14:textId="77777777">
      <w:pPr>
        <w:rPr>
          <w:sz w:val="24"/>
          <w:szCs w:val="24"/>
        </w:rPr>
      </w:pPr>
    </w:p>
    <w:p w:rsidRPr="00420A8F" w:rsidR="00A5243C" w:rsidP="00A5243C" w:rsidRDefault="00A5243C" w14:paraId="052CCFD1" w14:textId="05000873">
      <w:pPr>
        <w:autoSpaceDE w:val="0"/>
        <w:autoSpaceDN w:val="0"/>
        <w:rPr>
          <w:sz w:val="24"/>
          <w:szCs w:val="24"/>
        </w:rPr>
      </w:pPr>
      <w:r w:rsidRPr="00420A8F">
        <w:rPr>
          <w:sz w:val="24"/>
          <w:szCs w:val="24"/>
        </w:rPr>
        <w:t>Confidentiality is protected by Sections 944(c) and 308(d) of the Public Health Service Act (42 U.S.C. 299c-3(c) and 42 U.S.C. 242m(d)). This research project will be carried out in compliance with these confidentiality statutes. Respondents will be told the purposes for which the information is being collected, that the confidentiality of their responses will be maintained, and that no information that could identify an individual or establishment will be disclosed unless that individual or establishment has consented to such disclosure.</w:t>
      </w:r>
    </w:p>
    <w:p w:rsidRPr="00C85882" w:rsidR="002D262B" w:rsidP="002D262B" w:rsidRDefault="009167C4" w14:paraId="1769A9A5" w14:textId="77777777">
      <w:pPr>
        <w:pStyle w:val="Heading2"/>
        <w:rPr>
          <w:rFonts w:ascii="Times New Roman" w:hAnsi="Times New Roman" w:cs="Times New Roman"/>
          <w:color w:val="auto"/>
          <w:sz w:val="24"/>
          <w:szCs w:val="24"/>
          <w:u w:val="single"/>
        </w:rPr>
      </w:pPr>
      <w:bookmarkStart w:name="_Toc290559162" w:id="18"/>
      <w:r w:rsidRPr="00C85882">
        <w:rPr>
          <w:rFonts w:ascii="Times New Roman" w:hAnsi="Times New Roman" w:cs="Times New Roman"/>
          <w:color w:val="auto"/>
          <w:sz w:val="24"/>
          <w:szCs w:val="24"/>
        </w:rPr>
        <w:t>11</w:t>
      </w:r>
      <w:r w:rsidRPr="00C85882" w:rsidR="0057087C">
        <w:rPr>
          <w:rFonts w:ascii="Times New Roman" w:hAnsi="Times New Roman" w:cs="Times New Roman"/>
          <w:color w:val="auto"/>
          <w:sz w:val="24"/>
          <w:szCs w:val="24"/>
        </w:rPr>
        <w:t xml:space="preserve">.  </w:t>
      </w:r>
      <w:r w:rsidRPr="00C85882" w:rsidR="002D262B">
        <w:rPr>
          <w:rFonts w:ascii="Times New Roman" w:hAnsi="Times New Roman" w:cs="Times New Roman"/>
          <w:color w:val="auto"/>
          <w:sz w:val="24"/>
          <w:szCs w:val="24"/>
          <w:u w:val="single"/>
        </w:rPr>
        <w:t>Questions of a Sensitive Nature</w:t>
      </w:r>
      <w:bookmarkEnd w:id="18"/>
    </w:p>
    <w:p w:rsidR="00876064" w:rsidP="00876064" w:rsidRDefault="00876064" w14:paraId="4B9DEEBD" w14:textId="3102D3F5"/>
    <w:p w:rsidR="000B5D21" w:rsidP="006C598D" w:rsidRDefault="000B5D21" w14:paraId="548A3359" w14:textId="7566F3A5">
      <w:pPr>
        <w:autoSpaceDE w:val="0"/>
        <w:autoSpaceDN w:val="0"/>
        <w:rPr>
          <w:sz w:val="24"/>
          <w:szCs w:val="24"/>
        </w:rPr>
      </w:pPr>
      <w:r w:rsidRPr="006C598D">
        <w:rPr>
          <w:sz w:val="24"/>
          <w:szCs w:val="24"/>
        </w:rPr>
        <w:t xml:space="preserve">The screener included as Attachment </w:t>
      </w:r>
      <w:r w:rsidR="00DB683C">
        <w:rPr>
          <w:sz w:val="24"/>
          <w:szCs w:val="24"/>
        </w:rPr>
        <w:t>A</w:t>
      </w:r>
      <w:r w:rsidRPr="006C598D">
        <w:rPr>
          <w:sz w:val="24"/>
          <w:szCs w:val="24"/>
        </w:rPr>
        <w:t xml:space="preserve"> includes demographic and health-related questions of respondents.</w:t>
      </w:r>
      <w:r w:rsidR="00386301">
        <w:rPr>
          <w:sz w:val="24"/>
          <w:szCs w:val="24"/>
        </w:rPr>
        <w:t xml:space="preserve"> The demographic questions are not considered sensitive</w:t>
      </w:r>
      <w:r w:rsidR="006017B5">
        <w:rPr>
          <w:sz w:val="24"/>
          <w:szCs w:val="24"/>
        </w:rPr>
        <w:t>. T</w:t>
      </w:r>
      <w:r w:rsidR="00386301">
        <w:rPr>
          <w:sz w:val="24"/>
          <w:szCs w:val="24"/>
        </w:rPr>
        <w:t xml:space="preserve">he health-related questions ask about </w:t>
      </w:r>
      <w:r w:rsidR="00154356">
        <w:rPr>
          <w:sz w:val="24"/>
          <w:szCs w:val="24"/>
        </w:rPr>
        <w:t xml:space="preserve">the respondent’s general health and mental health (Questions 1 and 2, respectively), and about </w:t>
      </w:r>
      <w:r w:rsidR="00386301">
        <w:rPr>
          <w:sz w:val="24"/>
          <w:szCs w:val="24"/>
        </w:rPr>
        <w:t>specific conditions</w:t>
      </w:r>
      <w:r w:rsidR="00606E45">
        <w:rPr>
          <w:sz w:val="24"/>
          <w:szCs w:val="24"/>
        </w:rPr>
        <w:t>, health status and functioning</w:t>
      </w:r>
      <w:r w:rsidR="00386301">
        <w:rPr>
          <w:sz w:val="24"/>
          <w:szCs w:val="24"/>
        </w:rPr>
        <w:t xml:space="preserve"> experienced by </w:t>
      </w:r>
      <w:r w:rsidR="000A0DEA">
        <w:rPr>
          <w:sz w:val="24"/>
          <w:szCs w:val="24"/>
        </w:rPr>
        <w:t xml:space="preserve">the individual and by </w:t>
      </w:r>
      <w:r w:rsidR="00386301">
        <w:rPr>
          <w:sz w:val="24"/>
          <w:szCs w:val="24"/>
        </w:rPr>
        <w:t xml:space="preserve">anyone </w:t>
      </w:r>
      <w:r w:rsidR="00154356">
        <w:rPr>
          <w:sz w:val="24"/>
          <w:szCs w:val="24"/>
        </w:rPr>
        <w:t xml:space="preserve">else </w:t>
      </w:r>
      <w:r w:rsidR="00386301">
        <w:rPr>
          <w:sz w:val="24"/>
          <w:szCs w:val="24"/>
        </w:rPr>
        <w:t>in the household</w:t>
      </w:r>
      <w:r w:rsidR="00154356">
        <w:rPr>
          <w:sz w:val="24"/>
          <w:szCs w:val="24"/>
        </w:rPr>
        <w:t xml:space="preserve"> (Questions </w:t>
      </w:r>
      <w:r w:rsidR="00606E45">
        <w:rPr>
          <w:sz w:val="24"/>
          <w:szCs w:val="24"/>
        </w:rPr>
        <w:t>3-6)</w:t>
      </w:r>
      <w:r w:rsidR="000237D9">
        <w:rPr>
          <w:sz w:val="24"/>
          <w:szCs w:val="24"/>
        </w:rPr>
        <w:t xml:space="preserve">. </w:t>
      </w:r>
      <w:r w:rsidR="00154356">
        <w:rPr>
          <w:sz w:val="24"/>
          <w:szCs w:val="24"/>
        </w:rPr>
        <w:t>Q</w:t>
      </w:r>
      <w:r w:rsidR="000237D9">
        <w:rPr>
          <w:sz w:val="24"/>
          <w:szCs w:val="24"/>
        </w:rPr>
        <w:t xml:space="preserve">uestion </w:t>
      </w:r>
      <w:r w:rsidR="00154356">
        <w:rPr>
          <w:sz w:val="24"/>
          <w:szCs w:val="24"/>
        </w:rPr>
        <w:t xml:space="preserve">7, </w:t>
      </w:r>
      <w:r w:rsidR="006017B5">
        <w:rPr>
          <w:sz w:val="24"/>
          <w:szCs w:val="24"/>
        </w:rPr>
        <w:t>about</w:t>
      </w:r>
      <w:r w:rsidR="000237D9">
        <w:rPr>
          <w:sz w:val="24"/>
          <w:szCs w:val="24"/>
        </w:rPr>
        <w:t xml:space="preserve"> mental health treatment</w:t>
      </w:r>
      <w:r w:rsidR="00154356">
        <w:rPr>
          <w:sz w:val="24"/>
          <w:szCs w:val="24"/>
        </w:rPr>
        <w:t>,</w:t>
      </w:r>
      <w:r w:rsidR="000237D9">
        <w:rPr>
          <w:sz w:val="24"/>
          <w:szCs w:val="24"/>
        </w:rPr>
        <w:t xml:space="preserve"> is potentially </w:t>
      </w:r>
      <w:r w:rsidR="006017B5">
        <w:rPr>
          <w:sz w:val="24"/>
          <w:szCs w:val="24"/>
        </w:rPr>
        <w:t xml:space="preserve">somewhat </w:t>
      </w:r>
      <w:r w:rsidR="000237D9">
        <w:rPr>
          <w:sz w:val="24"/>
          <w:szCs w:val="24"/>
        </w:rPr>
        <w:t>sensitive</w:t>
      </w:r>
      <w:r w:rsidR="006017B5">
        <w:rPr>
          <w:sz w:val="24"/>
          <w:szCs w:val="24"/>
        </w:rPr>
        <w:t>.</w:t>
      </w:r>
      <w:r w:rsidR="00386301">
        <w:rPr>
          <w:sz w:val="24"/>
          <w:szCs w:val="24"/>
        </w:rPr>
        <w:t xml:space="preserve"> </w:t>
      </w:r>
      <w:r w:rsidR="00020300">
        <w:rPr>
          <w:sz w:val="24"/>
          <w:szCs w:val="24"/>
        </w:rPr>
        <w:t xml:space="preserve">This question is necessary to measure how well the proposed sampling method can identify households with high utilization of mental health services, which </w:t>
      </w:r>
      <w:r w:rsidR="006017B5">
        <w:rPr>
          <w:sz w:val="24"/>
          <w:szCs w:val="24"/>
        </w:rPr>
        <w:t>could</w:t>
      </w:r>
      <w:r w:rsidR="00020300">
        <w:rPr>
          <w:sz w:val="24"/>
          <w:szCs w:val="24"/>
        </w:rPr>
        <w:t xml:space="preserve"> inform changes to the MEPS main study sampling procedures. </w:t>
      </w:r>
      <w:r w:rsidR="00606E45">
        <w:rPr>
          <w:sz w:val="24"/>
          <w:szCs w:val="24"/>
        </w:rPr>
        <w:t>Although there is some relationship between this question and Question 2, t</w:t>
      </w:r>
      <w:r w:rsidRPr="000A0DEA" w:rsidR="000A0DEA">
        <w:rPr>
          <w:sz w:val="24"/>
          <w:szCs w:val="24"/>
        </w:rPr>
        <w:t xml:space="preserve">he goal </w:t>
      </w:r>
      <w:r w:rsidR="000A0DEA">
        <w:rPr>
          <w:sz w:val="24"/>
          <w:szCs w:val="24"/>
        </w:rPr>
        <w:t xml:space="preserve">of conducting this pilot is not limited to making estimates of high utilization </w:t>
      </w:r>
      <w:r w:rsidR="00865FD0">
        <w:rPr>
          <w:sz w:val="24"/>
          <w:szCs w:val="24"/>
        </w:rPr>
        <w:t xml:space="preserve">of mental health services at the household level, but </w:t>
      </w:r>
      <w:r w:rsidR="00534A4A">
        <w:rPr>
          <w:sz w:val="24"/>
          <w:szCs w:val="24"/>
        </w:rPr>
        <w:t>to</w:t>
      </w:r>
      <w:r w:rsidRPr="000A0DEA" w:rsidR="000A0DEA">
        <w:rPr>
          <w:sz w:val="24"/>
          <w:szCs w:val="24"/>
        </w:rPr>
        <w:t xml:space="preserve"> provide a better indicator of the likelihood of the household having greater expenditures. </w:t>
      </w:r>
      <w:r w:rsidR="009F6381">
        <w:rPr>
          <w:sz w:val="24"/>
          <w:szCs w:val="24"/>
        </w:rPr>
        <w:t xml:space="preserve">Asking only the household-level </w:t>
      </w:r>
      <w:r w:rsidR="00FF4BA4">
        <w:rPr>
          <w:sz w:val="24"/>
          <w:szCs w:val="24"/>
        </w:rPr>
        <w:t xml:space="preserve">mental health </w:t>
      </w:r>
      <w:r w:rsidR="00154356">
        <w:rPr>
          <w:sz w:val="24"/>
          <w:szCs w:val="24"/>
        </w:rPr>
        <w:t xml:space="preserve">services </w:t>
      </w:r>
      <w:r w:rsidR="009F6381">
        <w:rPr>
          <w:sz w:val="24"/>
          <w:szCs w:val="24"/>
        </w:rPr>
        <w:t xml:space="preserve">question would </w:t>
      </w:r>
      <w:r w:rsidR="00534A4A">
        <w:rPr>
          <w:sz w:val="24"/>
          <w:szCs w:val="24"/>
        </w:rPr>
        <w:t>result</w:t>
      </w:r>
      <w:r w:rsidRPr="000A0DEA" w:rsidR="000A0DEA">
        <w:rPr>
          <w:sz w:val="24"/>
          <w:szCs w:val="24"/>
        </w:rPr>
        <w:t xml:space="preserve"> </w:t>
      </w:r>
      <w:r w:rsidR="008460AF">
        <w:rPr>
          <w:sz w:val="24"/>
          <w:szCs w:val="24"/>
        </w:rPr>
        <w:t xml:space="preserve">in </w:t>
      </w:r>
      <w:r w:rsidR="00FF4BA4">
        <w:rPr>
          <w:sz w:val="24"/>
          <w:szCs w:val="24"/>
        </w:rPr>
        <w:lastRenderedPageBreak/>
        <w:t xml:space="preserve">the screener </w:t>
      </w:r>
      <w:r w:rsidR="009F6381">
        <w:rPr>
          <w:sz w:val="24"/>
          <w:szCs w:val="24"/>
        </w:rPr>
        <w:t xml:space="preserve">missing </w:t>
      </w:r>
      <w:r w:rsidRPr="000A0DEA" w:rsidR="000A0DEA">
        <w:rPr>
          <w:sz w:val="24"/>
          <w:szCs w:val="24"/>
        </w:rPr>
        <w:t xml:space="preserve">households </w:t>
      </w:r>
      <w:r w:rsidR="009F6381">
        <w:rPr>
          <w:sz w:val="24"/>
          <w:szCs w:val="24"/>
        </w:rPr>
        <w:t>that would otherwise indicate</w:t>
      </w:r>
      <w:r w:rsidRPr="000A0DEA" w:rsidR="000A0DEA">
        <w:rPr>
          <w:sz w:val="24"/>
          <w:szCs w:val="24"/>
        </w:rPr>
        <w:t xml:space="preserve"> high expenditure</w:t>
      </w:r>
      <w:r w:rsidR="00FF4BA4">
        <w:rPr>
          <w:sz w:val="24"/>
          <w:szCs w:val="24"/>
        </w:rPr>
        <w:t>s</w:t>
      </w:r>
      <w:r w:rsidR="009F6381">
        <w:rPr>
          <w:sz w:val="24"/>
          <w:szCs w:val="24"/>
        </w:rPr>
        <w:t xml:space="preserve">. This would </w:t>
      </w:r>
      <w:r w:rsidRPr="000A0DEA" w:rsidR="000A0DEA">
        <w:rPr>
          <w:sz w:val="24"/>
          <w:szCs w:val="24"/>
        </w:rPr>
        <w:t>decrease the effectiveness of the screening</w:t>
      </w:r>
      <w:r w:rsidR="009F6381">
        <w:rPr>
          <w:sz w:val="24"/>
          <w:szCs w:val="24"/>
        </w:rPr>
        <w:t xml:space="preserve">, and we will not be able to </w:t>
      </w:r>
      <w:r w:rsidRPr="000A0DEA" w:rsidR="000A0DEA">
        <w:rPr>
          <w:sz w:val="24"/>
          <w:szCs w:val="24"/>
        </w:rPr>
        <w:t>quantify this under-representation.</w:t>
      </w:r>
      <w:r w:rsidR="009F6381">
        <w:rPr>
          <w:sz w:val="24"/>
          <w:szCs w:val="24"/>
        </w:rPr>
        <w:t xml:space="preserve"> </w:t>
      </w:r>
      <w:r w:rsidR="00FF4BA4">
        <w:rPr>
          <w:sz w:val="24"/>
          <w:szCs w:val="24"/>
        </w:rPr>
        <w:t xml:space="preserve">Even considering that some respondents may </w:t>
      </w:r>
      <w:r w:rsidR="008460AF">
        <w:rPr>
          <w:sz w:val="24"/>
          <w:szCs w:val="24"/>
        </w:rPr>
        <w:t>regard</w:t>
      </w:r>
      <w:r w:rsidR="00FF4BA4">
        <w:rPr>
          <w:sz w:val="24"/>
          <w:szCs w:val="24"/>
        </w:rPr>
        <w:t xml:space="preserve"> these questions to be sensitive, f</w:t>
      </w:r>
      <w:r w:rsidR="000A0DEA">
        <w:rPr>
          <w:sz w:val="24"/>
          <w:szCs w:val="24"/>
        </w:rPr>
        <w:t>or the purposes of identifying incidence of high-utilization households from this sampling method it is vital to ask both the individual</w:t>
      </w:r>
      <w:r w:rsidR="008460AF">
        <w:rPr>
          <w:sz w:val="24"/>
          <w:szCs w:val="24"/>
        </w:rPr>
        <w:t>-level</w:t>
      </w:r>
      <w:r w:rsidR="000A0DEA">
        <w:rPr>
          <w:sz w:val="24"/>
          <w:szCs w:val="24"/>
        </w:rPr>
        <w:t xml:space="preserve"> </w:t>
      </w:r>
      <w:r w:rsidR="00606E45">
        <w:rPr>
          <w:sz w:val="24"/>
          <w:szCs w:val="24"/>
        </w:rPr>
        <w:t xml:space="preserve">mental health status question </w:t>
      </w:r>
      <w:r w:rsidR="000A0DEA">
        <w:rPr>
          <w:sz w:val="24"/>
          <w:szCs w:val="24"/>
        </w:rPr>
        <w:t xml:space="preserve">and </w:t>
      </w:r>
      <w:r w:rsidR="00606E45">
        <w:rPr>
          <w:sz w:val="24"/>
          <w:szCs w:val="24"/>
        </w:rPr>
        <w:t xml:space="preserve">the </w:t>
      </w:r>
      <w:r w:rsidR="000A0DEA">
        <w:rPr>
          <w:sz w:val="24"/>
          <w:szCs w:val="24"/>
        </w:rPr>
        <w:t>household</w:t>
      </w:r>
      <w:r w:rsidR="008460AF">
        <w:rPr>
          <w:sz w:val="24"/>
          <w:szCs w:val="24"/>
        </w:rPr>
        <w:t>-level</w:t>
      </w:r>
      <w:r w:rsidR="000A0DEA">
        <w:rPr>
          <w:sz w:val="24"/>
          <w:szCs w:val="24"/>
        </w:rPr>
        <w:t xml:space="preserve"> </w:t>
      </w:r>
      <w:r w:rsidR="00606E45">
        <w:rPr>
          <w:sz w:val="24"/>
          <w:szCs w:val="24"/>
        </w:rPr>
        <w:t xml:space="preserve">mental health utilization </w:t>
      </w:r>
      <w:r w:rsidR="000A0DEA">
        <w:rPr>
          <w:sz w:val="24"/>
          <w:szCs w:val="24"/>
        </w:rPr>
        <w:t>question</w:t>
      </w:r>
      <w:r w:rsidR="00FF4BA4">
        <w:rPr>
          <w:sz w:val="24"/>
          <w:szCs w:val="24"/>
        </w:rPr>
        <w:t>.</w:t>
      </w:r>
    </w:p>
    <w:p w:rsidRPr="00711CF4" w:rsidR="00AE4DC7" w:rsidP="00824BFE" w:rsidRDefault="009167C4" w14:paraId="34BEFDBC" w14:textId="13DEF8AE">
      <w:pPr>
        <w:pStyle w:val="Heading2"/>
        <w:rPr>
          <w:rFonts w:ascii="Times New Roman" w:hAnsi="Times New Roman" w:cs="Times New Roman"/>
          <w:color w:val="auto"/>
          <w:sz w:val="24"/>
          <w:szCs w:val="24"/>
          <w:u w:val="single"/>
        </w:rPr>
      </w:pPr>
      <w:bookmarkStart w:name="_Toc290559163" w:id="19"/>
      <w:r w:rsidRPr="00314705">
        <w:rPr>
          <w:rFonts w:ascii="Times New Roman" w:hAnsi="Times New Roman" w:cs="Times New Roman"/>
          <w:color w:val="auto"/>
          <w:sz w:val="24"/>
          <w:szCs w:val="24"/>
        </w:rPr>
        <w:t>12</w:t>
      </w:r>
      <w:r w:rsidRPr="00314705" w:rsidR="0057087C">
        <w:rPr>
          <w:rFonts w:ascii="Times New Roman" w:hAnsi="Times New Roman" w:cs="Times New Roman"/>
          <w:color w:val="auto"/>
          <w:sz w:val="24"/>
          <w:szCs w:val="24"/>
        </w:rPr>
        <w:t xml:space="preserve">.  </w:t>
      </w:r>
      <w:r w:rsidRPr="00711CF4" w:rsidR="002D262B">
        <w:rPr>
          <w:rFonts w:ascii="Times New Roman" w:hAnsi="Times New Roman" w:cs="Times New Roman"/>
          <w:color w:val="auto"/>
          <w:sz w:val="24"/>
          <w:szCs w:val="24"/>
          <w:u w:val="single"/>
        </w:rPr>
        <w:t xml:space="preserve">Estimates of </w:t>
      </w:r>
      <w:r w:rsidRPr="00711CF4" w:rsidR="00B5441D">
        <w:rPr>
          <w:rFonts w:ascii="Times New Roman" w:hAnsi="Times New Roman" w:cs="Times New Roman"/>
          <w:color w:val="auto"/>
          <w:sz w:val="24"/>
          <w:szCs w:val="24"/>
          <w:u w:val="single"/>
        </w:rPr>
        <w:t>Annualized</w:t>
      </w:r>
      <w:r w:rsidRPr="00711CF4" w:rsidR="002D262B">
        <w:rPr>
          <w:rFonts w:ascii="Times New Roman" w:hAnsi="Times New Roman" w:cs="Times New Roman"/>
          <w:color w:val="auto"/>
          <w:sz w:val="24"/>
          <w:szCs w:val="24"/>
          <w:u w:val="single"/>
        </w:rPr>
        <w:t xml:space="preserve"> Burden Hours and Costs</w:t>
      </w:r>
      <w:bookmarkEnd w:id="19"/>
    </w:p>
    <w:p w:rsidRPr="00824BFE" w:rsidR="00824BFE" w:rsidP="00824BFE" w:rsidRDefault="00824BFE" w14:paraId="6BF6DBFD" w14:textId="77777777"/>
    <w:p w:rsidRPr="0097228B" w:rsidR="000C3AE1" w:rsidP="00336855" w:rsidRDefault="00FC57AB" w14:paraId="530608ED" w14:textId="2F247F32">
      <w:pPr>
        <w:rPr>
          <w:sz w:val="24"/>
          <w:szCs w:val="24"/>
        </w:rPr>
      </w:pPr>
      <w:r w:rsidRPr="006C598D">
        <w:rPr>
          <w:sz w:val="24"/>
          <w:szCs w:val="24"/>
        </w:rPr>
        <w:t xml:space="preserve">Exhibit </w:t>
      </w:r>
      <w:r w:rsidR="00C713A2">
        <w:rPr>
          <w:sz w:val="24"/>
          <w:szCs w:val="24"/>
        </w:rPr>
        <w:t>2</w:t>
      </w:r>
      <w:r w:rsidRPr="006C598D">
        <w:rPr>
          <w:sz w:val="24"/>
          <w:szCs w:val="24"/>
        </w:rPr>
        <w:t xml:space="preserve"> shows the estimated annualized burden hours for respondents</w:t>
      </w:r>
      <w:r w:rsidR="008C3FD5">
        <w:rPr>
          <w:sz w:val="24"/>
          <w:szCs w:val="24"/>
        </w:rPr>
        <w:t>’</w:t>
      </w:r>
      <w:r w:rsidRPr="006C598D">
        <w:rPr>
          <w:sz w:val="24"/>
          <w:szCs w:val="24"/>
        </w:rPr>
        <w:t xml:space="preserve"> time to participate in this research. </w:t>
      </w:r>
      <w:r w:rsidRPr="006C598D" w:rsidR="00AE4DC7">
        <w:rPr>
          <w:sz w:val="24"/>
          <w:szCs w:val="24"/>
        </w:rPr>
        <w:t xml:space="preserve">The </w:t>
      </w:r>
      <w:r w:rsidRPr="006C598D" w:rsidR="00FA0CD0">
        <w:rPr>
          <w:sz w:val="24"/>
          <w:szCs w:val="24"/>
        </w:rPr>
        <w:t xml:space="preserve">completion of the </w:t>
      </w:r>
      <w:r w:rsidR="00AE4BFA">
        <w:rPr>
          <w:sz w:val="24"/>
          <w:szCs w:val="24"/>
        </w:rPr>
        <w:t>W</w:t>
      </w:r>
      <w:r w:rsidRPr="006C598D" w:rsidR="00AE4BFA">
        <w:rPr>
          <w:sz w:val="24"/>
          <w:szCs w:val="24"/>
        </w:rPr>
        <w:t xml:space="preserve">eb </w:t>
      </w:r>
      <w:r w:rsidRPr="006C598D" w:rsidR="00FA0CD0">
        <w:rPr>
          <w:sz w:val="24"/>
          <w:szCs w:val="24"/>
        </w:rPr>
        <w:t>or paper screener is</w:t>
      </w:r>
      <w:r w:rsidRPr="006C598D">
        <w:rPr>
          <w:sz w:val="24"/>
          <w:szCs w:val="24"/>
        </w:rPr>
        <w:t xml:space="preserve"> estimated to </w:t>
      </w:r>
      <w:r w:rsidRPr="006C598D" w:rsidR="00FA0CD0">
        <w:rPr>
          <w:sz w:val="24"/>
          <w:szCs w:val="24"/>
        </w:rPr>
        <w:t xml:space="preserve">take </w:t>
      </w:r>
      <w:r w:rsidR="008C3FD5">
        <w:rPr>
          <w:sz w:val="24"/>
          <w:szCs w:val="24"/>
        </w:rPr>
        <w:t xml:space="preserve">an average of </w:t>
      </w:r>
      <w:r w:rsidRPr="006C598D" w:rsidR="00FA0CD0">
        <w:rPr>
          <w:sz w:val="24"/>
          <w:szCs w:val="24"/>
        </w:rPr>
        <w:t>1</w:t>
      </w:r>
      <w:r w:rsidR="008C3FD5">
        <w:rPr>
          <w:sz w:val="24"/>
          <w:szCs w:val="24"/>
        </w:rPr>
        <w:t>0</w:t>
      </w:r>
      <w:r w:rsidRPr="006C598D">
        <w:rPr>
          <w:sz w:val="24"/>
          <w:szCs w:val="24"/>
        </w:rPr>
        <w:t xml:space="preserve"> minute</w:t>
      </w:r>
      <w:r w:rsidRPr="006C598D" w:rsidR="00FA0CD0">
        <w:rPr>
          <w:sz w:val="24"/>
          <w:szCs w:val="24"/>
        </w:rPr>
        <w:t>s</w:t>
      </w:r>
      <w:r w:rsidRPr="006C598D">
        <w:rPr>
          <w:sz w:val="24"/>
          <w:szCs w:val="24"/>
        </w:rPr>
        <w:t xml:space="preserve"> per </w:t>
      </w:r>
      <w:r w:rsidR="00777488">
        <w:rPr>
          <w:sz w:val="24"/>
          <w:szCs w:val="24"/>
        </w:rPr>
        <w:t>completed screener</w:t>
      </w:r>
      <w:r w:rsidRPr="006C598D" w:rsidR="00FA0CD0">
        <w:rPr>
          <w:sz w:val="24"/>
          <w:szCs w:val="24"/>
        </w:rPr>
        <w:t xml:space="preserve">, for a </w:t>
      </w:r>
      <w:r w:rsidRPr="006C598D" w:rsidR="002340CB">
        <w:rPr>
          <w:sz w:val="24"/>
          <w:szCs w:val="24"/>
        </w:rPr>
        <w:t>total of</w:t>
      </w:r>
      <w:r w:rsidR="008C3FD5">
        <w:rPr>
          <w:sz w:val="24"/>
          <w:szCs w:val="24"/>
        </w:rPr>
        <w:t xml:space="preserve"> 567</w:t>
      </w:r>
      <w:r w:rsidRPr="006C598D" w:rsidR="002340CB">
        <w:rPr>
          <w:sz w:val="24"/>
          <w:szCs w:val="24"/>
        </w:rPr>
        <w:t xml:space="preserve"> </w:t>
      </w:r>
      <w:r w:rsidRPr="006C598D" w:rsidR="00336855">
        <w:rPr>
          <w:sz w:val="24"/>
          <w:szCs w:val="24"/>
        </w:rPr>
        <w:t>burden hours</w:t>
      </w:r>
      <w:r w:rsidRPr="006C598D" w:rsidR="00FA0CD0">
        <w:rPr>
          <w:sz w:val="24"/>
          <w:szCs w:val="24"/>
        </w:rPr>
        <w:t xml:space="preserve"> for all respondents</w:t>
      </w:r>
      <w:r w:rsidRPr="006C598D">
        <w:rPr>
          <w:sz w:val="24"/>
          <w:szCs w:val="24"/>
        </w:rPr>
        <w:t xml:space="preserve">. </w:t>
      </w:r>
    </w:p>
    <w:p w:rsidR="002D262B" w:rsidP="002D262B" w:rsidRDefault="002D262B" w14:paraId="6D855C55" w14:textId="27829458"/>
    <w:p w:rsidR="002D262B" w:rsidP="002D262B" w:rsidRDefault="002D262B" w14:paraId="1B711EF4" w14:textId="0BB8E9FB">
      <w:pPr>
        <w:rPr>
          <w:sz w:val="24"/>
          <w:szCs w:val="24"/>
        </w:rPr>
      </w:pPr>
      <w:r w:rsidRPr="00B803BD">
        <w:rPr>
          <w:sz w:val="24"/>
          <w:szCs w:val="24"/>
        </w:rPr>
        <w:t xml:space="preserve">Exhibit </w:t>
      </w:r>
      <w:r w:rsidR="00C713A2">
        <w:rPr>
          <w:sz w:val="24"/>
          <w:szCs w:val="24"/>
        </w:rPr>
        <w:t>3</w:t>
      </w:r>
      <w:r w:rsidRPr="00B803BD">
        <w:rPr>
          <w:sz w:val="24"/>
          <w:szCs w:val="24"/>
        </w:rPr>
        <w:t xml:space="preserve"> shows the estimated annualized cost burden associated with respondents’ time to participate in this research. </w:t>
      </w:r>
      <w:r w:rsidR="008C3FD5">
        <w:rPr>
          <w:sz w:val="24"/>
          <w:szCs w:val="24"/>
        </w:rPr>
        <w:t>Based on the mean hourly wage for all occupations provided by BLS, t</w:t>
      </w:r>
      <w:r w:rsidRPr="006C598D">
        <w:rPr>
          <w:sz w:val="24"/>
          <w:szCs w:val="24"/>
        </w:rPr>
        <w:t xml:space="preserve">he total cost burden </w:t>
      </w:r>
      <w:r w:rsidR="008C3FD5">
        <w:rPr>
          <w:sz w:val="24"/>
          <w:szCs w:val="24"/>
        </w:rPr>
        <w:t xml:space="preserve">to respondents </w:t>
      </w:r>
      <w:r w:rsidRPr="006C598D">
        <w:rPr>
          <w:sz w:val="24"/>
          <w:szCs w:val="24"/>
        </w:rPr>
        <w:t xml:space="preserve">is estimated to be </w:t>
      </w:r>
      <w:r w:rsidR="00B803BD">
        <w:rPr>
          <w:sz w:val="24"/>
          <w:szCs w:val="24"/>
        </w:rPr>
        <w:t>$</w:t>
      </w:r>
      <w:r w:rsidR="008C3FD5">
        <w:rPr>
          <w:sz w:val="24"/>
          <w:szCs w:val="24"/>
        </w:rPr>
        <w:t>1</w:t>
      </w:r>
      <w:r w:rsidR="000C3AE1">
        <w:rPr>
          <w:sz w:val="24"/>
          <w:szCs w:val="24"/>
        </w:rPr>
        <w:t>5</w:t>
      </w:r>
      <w:r w:rsidR="008C3FD5">
        <w:rPr>
          <w:sz w:val="24"/>
          <w:szCs w:val="24"/>
        </w:rPr>
        <w:t>,</w:t>
      </w:r>
      <w:r w:rsidR="000C3AE1">
        <w:rPr>
          <w:sz w:val="24"/>
          <w:szCs w:val="24"/>
        </w:rPr>
        <w:t>349</w:t>
      </w:r>
      <w:r w:rsidRPr="006C598D" w:rsidR="00B803BD">
        <w:rPr>
          <w:sz w:val="24"/>
          <w:szCs w:val="24"/>
        </w:rPr>
        <w:t>.</w:t>
      </w:r>
      <w:r w:rsidRPr="006C598D" w:rsidR="0016654A">
        <w:rPr>
          <w:sz w:val="24"/>
          <w:szCs w:val="24"/>
        </w:rPr>
        <w:t xml:space="preserve"> </w:t>
      </w:r>
    </w:p>
    <w:p w:rsidR="002D262B" w:rsidP="005F1211" w:rsidRDefault="005F1211" w14:paraId="5DBD3401" w14:textId="77777777">
      <w:pPr>
        <w:rPr>
          <w:sz w:val="24"/>
          <w:szCs w:val="24"/>
        </w:rPr>
      </w:pPr>
      <w:r>
        <w:rPr>
          <w:sz w:val="24"/>
          <w:szCs w:val="24"/>
        </w:rPr>
        <w:tab/>
      </w:r>
    </w:p>
    <w:p w:rsidR="002D262B" w:rsidP="00C713A2" w:rsidRDefault="002D262B" w14:paraId="3E810180" w14:textId="57ECA818">
      <w:pPr>
        <w:spacing w:after="120"/>
        <w:rPr>
          <w:b/>
          <w:bCs/>
          <w:sz w:val="24"/>
          <w:szCs w:val="24"/>
        </w:rPr>
      </w:pPr>
      <w:r w:rsidRPr="009921DC">
        <w:rPr>
          <w:b/>
          <w:bCs/>
          <w:sz w:val="24"/>
          <w:szCs w:val="24"/>
        </w:rPr>
        <w:t xml:space="preserve">Exhibit </w:t>
      </w:r>
      <w:r w:rsidR="00C713A2">
        <w:rPr>
          <w:b/>
          <w:bCs/>
          <w:sz w:val="24"/>
          <w:szCs w:val="24"/>
        </w:rPr>
        <w:t>2</w:t>
      </w:r>
      <w:r w:rsidR="009902DB">
        <w:rPr>
          <w:b/>
          <w:bCs/>
          <w:sz w:val="24"/>
          <w:szCs w:val="24"/>
        </w:rPr>
        <w:t>:</w:t>
      </w:r>
      <w:r w:rsidRPr="009921DC">
        <w:rPr>
          <w:b/>
          <w:bCs/>
          <w:sz w:val="24"/>
          <w:szCs w:val="24"/>
        </w:rPr>
        <w:t>  Estimated annualized burden hours</w:t>
      </w:r>
    </w:p>
    <w:tbl>
      <w:tblPr>
        <w:tblW w:w="9512" w:type="dxa"/>
        <w:tblInd w:w="-10" w:type="dxa"/>
        <w:tblCellMar>
          <w:left w:w="0" w:type="dxa"/>
          <w:right w:w="0" w:type="dxa"/>
        </w:tblCellMar>
        <w:tblLook w:val="0000" w:firstRow="0" w:lastRow="0" w:firstColumn="0" w:lastColumn="0" w:noHBand="0" w:noVBand="0"/>
      </w:tblPr>
      <w:tblGrid>
        <w:gridCol w:w="3571"/>
        <w:gridCol w:w="1536"/>
        <w:gridCol w:w="1832"/>
        <w:gridCol w:w="1134"/>
        <w:gridCol w:w="1439"/>
      </w:tblGrid>
      <w:tr w:rsidR="002D262B" w:rsidTr="006C598D" w14:paraId="7B890DB7" w14:textId="77777777">
        <w:tc>
          <w:tcPr>
            <w:tcW w:w="357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426D1D" w:rsidR="002D262B" w:rsidP="002D262B" w:rsidRDefault="002D262B" w14:paraId="76235DFE" w14:textId="77777777">
            <w:pPr>
              <w:rPr>
                <w:sz w:val="24"/>
                <w:szCs w:val="24"/>
              </w:rPr>
            </w:pPr>
            <w:r w:rsidRPr="00426D1D">
              <w:rPr>
                <w:sz w:val="24"/>
                <w:szCs w:val="24"/>
              </w:rPr>
              <w:t>Activity</w:t>
            </w:r>
          </w:p>
        </w:tc>
        <w:tc>
          <w:tcPr>
            <w:tcW w:w="1536"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426D1D" w:rsidR="002D262B" w:rsidP="002D262B" w:rsidRDefault="002D262B" w14:paraId="45D9D8F4" w14:textId="77777777">
            <w:pPr>
              <w:jc w:val="center"/>
              <w:rPr>
                <w:sz w:val="24"/>
                <w:szCs w:val="24"/>
              </w:rPr>
            </w:pPr>
            <w:r w:rsidRPr="00426D1D">
              <w:rPr>
                <w:sz w:val="24"/>
                <w:szCs w:val="24"/>
              </w:rPr>
              <w:t>Number of respondents</w:t>
            </w:r>
          </w:p>
        </w:tc>
        <w:tc>
          <w:tcPr>
            <w:tcW w:w="1832"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426D1D" w:rsidR="002D262B" w:rsidP="002D262B" w:rsidRDefault="002D262B" w14:paraId="5164CFE6" w14:textId="77777777">
            <w:pPr>
              <w:jc w:val="center"/>
              <w:rPr>
                <w:sz w:val="24"/>
                <w:szCs w:val="24"/>
              </w:rPr>
            </w:pPr>
            <w:r w:rsidRPr="00426D1D">
              <w:rPr>
                <w:sz w:val="24"/>
                <w:szCs w:val="24"/>
              </w:rPr>
              <w:t>Number of responses per respondent</w:t>
            </w:r>
          </w:p>
        </w:tc>
        <w:tc>
          <w:tcPr>
            <w:tcW w:w="1134" w:type="dxa"/>
            <w:tcBorders>
              <w:top w:val="single" w:color="auto" w:sz="8" w:space="0"/>
              <w:left w:val="nil"/>
              <w:bottom w:val="single" w:color="auto" w:sz="8" w:space="0"/>
              <w:right w:val="single" w:color="auto" w:sz="8" w:space="0"/>
            </w:tcBorders>
            <w:vAlign w:val="center"/>
          </w:tcPr>
          <w:p w:rsidRPr="00426D1D" w:rsidR="002D262B" w:rsidP="002D262B" w:rsidRDefault="002D262B" w14:paraId="23887A6E" w14:textId="77777777">
            <w:pPr>
              <w:jc w:val="center"/>
              <w:rPr>
                <w:sz w:val="24"/>
                <w:szCs w:val="24"/>
              </w:rPr>
            </w:pPr>
            <w:r w:rsidRPr="00426D1D">
              <w:rPr>
                <w:sz w:val="24"/>
                <w:szCs w:val="24"/>
              </w:rPr>
              <w:t>Hours per response</w:t>
            </w:r>
          </w:p>
        </w:tc>
        <w:tc>
          <w:tcPr>
            <w:tcW w:w="143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426D1D" w:rsidR="002D262B" w:rsidP="002D262B" w:rsidRDefault="002D262B" w14:paraId="45CD9990" w14:textId="77777777">
            <w:pPr>
              <w:jc w:val="center"/>
              <w:rPr>
                <w:sz w:val="24"/>
                <w:szCs w:val="24"/>
              </w:rPr>
            </w:pPr>
            <w:r w:rsidRPr="00426D1D">
              <w:rPr>
                <w:sz w:val="24"/>
                <w:szCs w:val="24"/>
              </w:rPr>
              <w:t>Total burden hours</w:t>
            </w:r>
          </w:p>
        </w:tc>
      </w:tr>
      <w:tr w:rsidRPr="00B803BD" w:rsidR="00ED28F1" w:rsidTr="006C598D" w14:paraId="7A6F52AB" w14:textId="77777777">
        <w:tc>
          <w:tcPr>
            <w:tcW w:w="357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6C598D" w:rsidR="00ED28F1" w:rsidP="004D2857" w:rsidRDefault="00FB47D6" w14:paraId="09A4E5B9" w14:textId="5D046F25">
            <w:pPr>
              <w:rPr>
                <w:bCs/>
                <w:sz w:val="24"/>
                <w:szCs w:val="24"/>
              </w:rPr>
            </w:pPr>
            <w:r w:rsidRPr="006C598D">
              <w:rPr>
                <w:bCs/>
                <w:sz w:val="24"/>
                <w:szCs w:val="24"/>
              </w:rPr>
              <w:t>Alternative Sampling Design Screener</w:t>
            </w:r>
          </w:p>
        </w:tc>
        <w:tc>
          <w:tcPr>
            <w:tcW w:w="1536"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6C598D" w:rsidR="00ED28F1" w:rsidP="0097228B" w:rsidRDefault="008C3FD5" w14:paraId="160D9631" w14:textId="3AE09EDF">
            <w:pPr>
              <w:jc w:val="center"/>
              <w:rPr>
                <w:bCs/>
                <w:sz w:val="24"/>
                <w:szCs w:val="24"/>
              </w:rPr>
            </w:pPr>
            <w:r>
              <w:rPr>
                <w:bCs/>
                <w:sz w:val="24"/>
                <w:szCs w:val="24"/>
              </w:rPr>
              <w:t>3,393</w:t>
            </w:r>
          </w:p>
        </w:tc>
        <w:tc>
          <w:tcPr>
            <w:tcW w:w="1832"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6C598D" w:rsidR="00ED28F1" w:rsidP="002D262B" w:rsidRDefault="00E164B9" w14:paraId="2247A12E" w14:textId="7881AA26">
            <w:pPr>
              <w:jc w:val="center"/>
              <w:rPr>
                <w:sz w:val="24"/>
                <w:szCs w:val="24"/>
              </w:rPr>
            </w:pPr>
            <w:r w:rsidRPr="006C598D">
              <w:rPr>
                <w:sz w:val="24"/>
                <w:szCs w:val="24"/>
              </w:rPr>
              <w:t>1</w:t>
            </w:r>
          </w:p>
        </w:tc>
        <w:tc>
          <w:tcPr>
            <w:tcW w:w="1134" w:type="dxa"/>
            <w:tcBorders>
              <w:top w:val="single" w:color="auto" w:sz="8" w:space="0"/>
              <w:left w:val="nil"/>
              <w:bottom w:val="single" w:color="auto" w:sz="8" w:space="0"/>
              <w:right w:val="single" w:color="auto" w:sz="8" w:space="0"/>
            </w:tcBorders>
            <w:vAlign w:val="center"/>
          </w:tcPr>
          <w:p w:rsidRPr="006C598D" w:rsidR="00ED28F1" w:rsidP="0097228B" w:rsidRDefault="008C3FD5" w14:paraId="30FF3136" w14:textId="2B6120FC">
            <w:pPr>
              <w:jc w:val="center"/>
              <w:rPr>
                <w:sz w:val="24"/>
                <w:szCs w:val="24"/>
              </w:rPr>
            </w:pPr>
            <w:r>
              <w:rPr>
                <w:sz w:val="24"/>
                <w:szCs w:val="24"/>
              </w:rPr>
              <w:t>.167</w:t>
            </w:r>
          </w:p>
        </w:tc>
        <w:tc>
          <w:tcPr>
            <w:tcW w:w="143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6C598D" w:rsidR="00ED28F1" w:rsidP="0097228B" w:rsidRDefault="008C3FD5" w14:paraId="490FB3BE" w14:textId="37DB0C4A">
            <w:pPr>
              <w:jc w:val="center"/>
              <w:rPr>
                <w:sz w:val="24"/>
                <w:szCs w:val="24"/>
              </w:rPr>
            </w:pPr>
            <w:r>
              <w:rPr>
                <w:sz w:val="24"/>
                <w:szCs w:val="24"/>
              </w:rPr>
              <w:t>567</w:t>
            </w:r>
          </w:p>
        </w:tc>
      </w:tr>
      <w:tr w:rsidRPr="00B803BD" w:rsidR="00B01BAD" w:rsidTr="006C598D" w14:paraId="199FD5EF" w14:textId="77777777">
        <w:tc>
          <w:tcPr>
            <w:tcW w:w="357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B803BD" w:rsidR="00B01BAD" w:rsidP="00B01BAD" w:rsidRDefault="00B01BAD" w14:paraId="36AEF9AC" w14:textId="77777777">
            <w:pPr>
              <w:rPr>
                <w:sz w:val="24"/>
                <w:szCs w:val="24"/>
              </w:rPr>
            </w:pPr>
            <w:r w:rsidRPr="00B803BD">
              <w:rPr>
                <w:sz w:val="24"/>
                <w:szCs w:val="24"/>
              </w:rPr>
              <w:t>Total</w:t>
            </w:r>
          </w:p>
        </w:tc>
        <w:tc>
          <w:tcPr>
            <w:tcW w:w="1536"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B803BD" w:rsidR="00B01BAD" w:rsidP="00B01BAD" w:rsidRDefault="008C3FD5" w14:paraId="71ACF999" w14:textId="784CEDEC">
            <w:pPr>
              <w:jc w:val="center"/>
              <w:rPr>
                <w:sz w:val="24"/>
                <w:szCs w:val="24"/>
              </w:rPr>
            </w:pPr>
            <w:r>
              <w:rPr>
                <w:bCs/>
                <w:sz w:val="24"/>
                <w:szCs w:val="24"/>
              </w:rPr>
              <w:t>3,393</w:t>
            </w:r>
          </w:p>
        </w:tc>
        <w:tc>
          <w:tcPr>
            <w:tcW w:w="1832"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B803BD" w:rsidR="00B01BAD" w:rsidP="00B01BAD" w:rsidRDefault="00B01BAD" w14:paraId="13F052AE" w14:textId="77777777">
            <w:pPr>
              <w:jc w:val="center"/>
              <w:rPr>
                <w:sz w:val="24"/>
                <w:szCs w:val="24"/>
              </w:rPr>
            </w:pPr>
            <w:r w:rsidRPr="00B803BD">
              <w:rPr>
                <w:sz w:val="24"/>
                <w:szCs w:val="24"/>
              </w:rPr>
              <w:t>n/a</w:t>
            </w:r>
          </w:p>
        </w:tc>
        <w:tc>
          <w:tcPr>
            <w:tcW w:w="1134" w:type="dxa"/>
            <w:tcBorders>
              <w:top w:val="single" w:color="auto" w:sz="8" w:space="0"/>
              <w:left w:val="nil"/>
              <w:bottom w:val="single" w:color="auto" w:sz="8" w:space="0"/>
              <w:right w:val="single" w:color="auto" w:sz="8" w:space="0"/>
            </w:tcBorders>
            <w:vAlign w:val="center"/>
          </w:tcPr>
          <w:p w:rsidRPr="00B803BD" w:rsidR="00B01BAD" w:rsidP="00B01BAD" w:rsidRDefault="00B01BAD" w14:paraId="05A08680" w14:textId="77777777">
            <w:pPr>
              <w:jc w:val="center"/>
              <w:rPr>
                <w:sz w:val="24"/>
                <w:szCs w:val="24"/>
              </w:rPr>
            </w:pPr>
            <w:r w:rsidRPr="00B803BD">
              <w:rPr>
                <w:sz w:val="24"/>
                <w:szCs w:val="24"/>
              </w:rPr>
              <w:t>n/a</w:t>
            </w:r>
          </w:p>
        </w:tc>
        <w:tc>
          <w:tcPr>
            <w:tcW w:w="143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B803BD" w:rsidR="00B01BAD" w:rsidP="00B01BAD" w:rsidRDefault="008C3FD5" w14:paraId="7A549332" w14:textId="6FDC0EDF">
            <w:pPr>
              <w:jc w:val="center"/>
              <w:rPr>
                <w:sz w:val="24"/>
                <w:szCs w:val="24"/>
              </w:rPr>
            </w:pPr>
            <w:r>
              <w:rPr>
                <w:sz w:val="24"/>
                <w:szCs w:val="24"/>
              </w:rPr>
              <w:t>567</w:t>
            </w:r>
          </w:p>
        </w:tc>
      </w:tr>
    </w:tbl>
    <w:p w:rsidRPr="00B803BD" w:rsidR="003675FA" w:rsidP="002D262B" w:rsidRDefault="003675FA" w14:paraId="0B0F55D3" w14:textId="77777777">
      <w:pPr>
        <w:rPr>
          <w:b/>
          <w:sz w:val="24"/>
          <w:szCs w:val="24"/>
        </w:rPr>
      </w:pPr>
    </w:p>
    <w:p w:rsidRPr="00B803BD" w:rsidR="002D262B" w:rsidP="00C713A2" w:rsidRDefault="002D262B" w14:paraId="665C3141" w14:textId="0361877E">
      <w:pPr>
        <w:spacing w:after="120"/>
        <w:rPr>
          <w:b/>
          <w:sz w:val="24"/>
          <w:szCs w:val="24"/>
        </w:rPr>
      </w:pPr>
      <w:r w:rsidRPr="00B803BD">
        <w:rPr>
          <w:b/>
          <w:sz w:val="24"/>
          <w:szCs w:val="24"/>
        </w:rPr>
        <w:t xml:space="preserve">Exhibit </w:t>
      </w:r>
      <w:r w:rsidR="00C713A2">
        <w:rPr>
          <w:b/>
          <w:sz w:val="24"/>
          <w:szCs w:val="24"/>
        </w:rPr>
        <w:t>3</w:t>
      </w:r>
      <w:r w:rsidRPr="00B803BD" w:rsidR="009902DB">
        <w:rPr>
          <w:b/>
          <w:sz w:val="24"/>
          <w:szCs w:val="24"/>
        </w:rPr>
        <w:t>:</w:t>
      </w:r>
      <w:r w:rsidRPr="00B803BD">
        <w:rPr>
          <w:b/>
          <w:sz w:val="24"/>
          <w:szCs w:val="24"/>
        </w:rPr>
        <w:t xml:space="preserve">  Estimated annualized cost burden</w:t>
      </w:r>
    </w:p>
    <w:tbl>
      <w:tblPr>
        <w:tblW w:w="9468" w:type="dxa"/>
        <w:tblInd w:w="-10" w:type="dxa"/>
        <w:tblLayout w:type="fixed"/>
        <w:tblCellMar>
          <w:left w:w="0" w:type="dxa"/>
          <w:right w:w="0" w:type="dxa"/>
        </w:tblCellMar>
        <w:tblLook w:val="0000" w:firstRow="0" w:lastRow="0" w:firstColumn="0" w:lastColumn="0" w:noHBand="0" w:noVBand="0"/>
      </w:tblPr>
      <w:tblGrid>
        <w:gridCol w:w="3599"/>
        <w:gridCol w:w="1536"/>
        <w:gridCol w:w="1497"/>
        <w:gridCol w:w="1440"/>
        <w:gridCol w:w="1396"/>
      </w:tblGrid>
      <w:tr w:rsidRPr="00B803BD" w:rsidR="002D262B" w:rsidTr="006C598D" w14:paraId="6B7D129B" w14:textId="77777777">
        <w:tc>
          <w:tcPr>
            <w:tcW w:w="359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B803BD" w:rsidR="002D262B" w:rsidP="002D262B" w:rsidRDefault="002D262B" w14:paraId="79DA6DE4" w14:textId="77777777">
            <w:pPr>
              <w:rPr>
                <w:sz w:val="24"/>
                <w:szCs w:val="24"/>
              </w:rPr>
            </w:pPr>
            <w:r w:rsidRPr="00B803BD">
              <w:rPr>
                <w:sz w:val="24"/>
                <w:szCs w:val="24"/>
              </w:rPr>
              <w:t>Activity</w:t>
            </w:r>
          </w:p>
        </w:tc>
        <w:tc>
          <w:tcPr>
            <w:tcW w:w="1536"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B803BD" w:rsidR="002D262B" w:rsidP="002D262B" w:rsidRDefault="002D262B" w14:paraId="4BB6B784" w14:textId="77777777">
            <w:pPr>
              <w:jc w:val="center"/>
              <w:rPr>
                <w:sz w:val="24"/>
                <w:szCs w:val="24"/>
              </w:rPr>
            </w:pPr>
            <w:r w:rsidRPr="00B803BD">
              <w:rPr>
                <w:sz w:val="24"/>
                <w:szCs w:val="24"/>
              </w:rPr>
              <w:t>Number of respondents</w:t>
            </w:r>
          </w:p>
        </w:tc>
        <w:tc>
          <w:tcPr>
            <w:tcW w:w="1497"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B803BD" w:rsidR="002D262B" w:rsidP="002D262B" w:rsidRDefault="002D262B" w14:paraId="3BAB2E2D" w14:textId="77777777">
            <w:pPr>
              <w:jc w:val="center"/>
              <w:rPr>
                <w:sz w:val="24"/>
                <w:szCs w:val="24"/>
              </w:rPr>
            </w:pPr>
            <w:r w:rsidRPr="00B803BD">
              <w:rPr>
                <w:sz w:val="24"/>
                <w:szCs w:val="24"/>
              </w:rPr>
              <w:t>Total burden hours</w:t>
            </w:r>
          </w:p>
        </w:tc>
        <w:tc>
          <w:tcPr>
            <w:tcW w:w="144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B803BD" w:rsidR="002D262B" w:rsidP="002D262B" w:rsidRDefault="002D262B" w14:paraId="31174B6A" w14:textId="77777777">
            <w:pPr>
              <w:jc w:val="center"/>
              <w:rPr>
                <w:sz w:val="24"/>
                <w:szCs w:val="24"/>
              </w:rPr>
            </w:pPr>
            <w:r w:rsidRPr="00B803BD">
              <w:rPr>
                <w:sz w:val="24"/>
                <w:szCs w:val="24"/>
              </w:rPr>
              <w:t>Average hourly wage rate*</w:t>
            </w:r>
          </w:p>
        </w:tc>
        <w:tc>
          <w:tcPr>
            <w:tcW w:w="1396"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B803BD" w:rsidR="002D262B" w:rsidP="002D262B" w:rsidRDefault="002D262B" w14:paraId="65B4FDE4" w14:textId="77777777">
            <w:pPr>
              <w:jc w:val="center"/>
              <w:rPr>
                <w:sz w:val="24"/>
                <w:szCs w:val="24"/>
              </w:rPr>
            </w:pPr>
            <w:r w:rsidRPr="00B803BD">
              <w:rPr>
                <w:sz w:val="24"/>
                <w:szCs w:val="24"/>
              </w:rPr>
              <w:t xml:space="preserve">Total cost burden </w:t>
            </w:r>
          </w:p>
        </w:tc>
      </w:tr>
      <w:tr w:rsidRPr="00B803BD" w:rsidR="001430E0" w:rsidTr="006C598D" w14:paraId="768C9620" w14:textId="77777777">
        <w:tc>
          <w:tcPr>
            <w:tcW w:w="359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6C598D" w:rsidR="001430E0" w:rsidP="004D2857" w:rsidRDefault="00B803BD" w14:paraId="3A9ADE07" w14:textId="568BA2A2">
            <w:pPr>
              <w:rPr>
                <w:bCs/>
                <w:sz w:val="24"/>
                <w:szCs w:val="24"/>
              </w:rPr>
            </w:pPr>
            <w:r w:rsidRPr="00B803BD">
              <w:rPr>
                <w:bCs/>
                <w:sz w:val="24"/>
                <w:szCs w:val="24"/>
              </w:rPr>
              <w:t>Alternative Sampling Design Screener</w:t>
            </w:r>
          </w:p>
        </w:tc>
        <w:tc>
          <w:tcPr>
            <w:tcW w:w="1536"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6C598D" w:rsidR="001430E0" w:rsidP="009F1E8C" w:rsidRDefault="008C3FD5" w14:paraId="62448CAE" w14:textId="3185EE6A">
            <w:pPr>
              <w:jc w:val="center"/>
              <w:rPr>
                <w:sz w:val="24"/>
                <w:szCs w:val="24"/>
              </w:rPr>
            </w:pPr>
            <w:r>
              <w:rPr>
                <w:sz w:val="24"/>
                <w:szCs w:val="24"/>
              </w:rPr>
              <w:t>3,</w:t>
            </w:r>
            <w:r w:rsidR="0092712D">
              <w:rPr>
                <w:sz w:val="24"/>
                <w:szCs w:val="24"/>
              </w:rPr>
              <w:t>393</w:t>
            </w:r>
          </w:p>
        </w:tc>
        <w:tc>
          <w:tcPr>
            <w:tcW w:w="1497"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6C598D" w:rsidR="001430E0" w:rsidP="009F1E8C" w:rsidRDefault="008C3FD5" w14:paraId="7AD5DCC1" w14:textId="1B4B7A22">
            <w:pPr>
              <w:jc w:val="center"/>
              <w:rPr>
                <w:sz w:val="24"/>
                <w:szCs w:val="24"/>
              </w:rPr>
            </w:pPr>
            <w:r>
              <w:rPr>
                <w:sz w:val="24"/>
                <w:szCs w:val="24"/>
              </w:rPr>
              <w:t>567</w:t>
            </w:r>
          </w:p>
        </w:tc>
        <w:tc>
          <w:tcPr>
            <w:tcW w:w="144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6C598D" w:rsidR="001430E0" w:rsidP="009F1E8C" w:rsidRDefault="00E164B9" w14:paraId="7982C761" w14:textId="6360E965">
            <w:pPr>
              <w:jc w:val="center"/>
              <w:rPr>
                <w:sz w:val="24"/>
                <w:szCs w:val="24"/>
              </w:rPr>
            </w:pPr>
            <w:r w:rsidRPr="006C598D">
              <w:rPr>
                <w:sz w:val="24"/>
                <w:szCs w:val="24"/>
              </w:rPr>
              <w:t>$</w:t>
            </w:r>
            <w:r w:rsidRPr="000C3AE1" w:rsidR="000C3AE1">
              <w:rPr>
                <w:sz w:val="24"/>
                <w:szCs w:val="24"/>
              </w:rPr>
              <w:t>27.07</w:t>
            </w:r>
          </w:p>
        </w:tc>
        <w:tc>
          <w:tcPr>
            <w:tcW w:w="1396"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6C598D" w:rsidR="001430E0" w:rsidP="0092712D" w:rsidRDefault="002340CB" w14:paraId="2927CA67" w14:textId="6BBACFD1">
            <w:pPr>
              <w:jc w:val="center"/>
              <w:rPr>
                <w:sz w:val="24"/>
                <w:szCs w:val="24"/>
              </w:rPr>
            </w:pPr>
            <w:r w:rsidRPr="006C598D">
              <w:rPr>
                <w:sz w:val="24"/>
                <w:szCs w:val="24"/>
              </w:rPr>
              <w:t>$</w:t>
            </w:r>
            <w:r w:rsidR="008C3FD5">
              <w:rPr>
                <w:sz w:val="24"/>
                <w:szCs w:val="24"/>
              </w:rPr>
              <w:t>1</w:t>
            </w:r>
            <w:r w:rsidR="000C3AE1">
              <w:rPr>
                <w:sz w:val="24"/>
                <w:szCs w:val="24"/>
              </w:rPr>
              <w:t>5</w:t>
            </w:r>
            <w:r w:rsidR="008C3FD5">
              <w:rPr>
                <w:sz w:val="24"/>
                <w:szCs w:val="24"/>
              </w:rPr>
              <w:t>,</w:t>
            </w:r>
            <w:r w:rsidR="000C3AE1">
              <w:rPr>
                <w:sz w:val="24"/>
                <w:szCs w:val="24"/>
              </w:rPr>
              <w:t>349</w:t>
            </w:r>
          </w:p>
        </w:tc>
      </w:tr>
      <w:tr w:rsidR="00F41AD4" w:rsidTr="006C598D" w14:paraId="36BDE804" w14:textId="77777777">
        <w:tc>
          <w:tcPr>
            <w:tcW w:w="359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B803BD" w:rsidR="00F41AD4" w:rsidP="002D262B" w:rsidRDefault="00F41AD4" w14:paraId="4D3657D6" w14:textId="0A23077D">
            <w:pPr>
              <w:rPr>
                <w:sz w:val="24"/>
                <w:szCs w:val="24"/>
              </w:rPr>
            </w:pPr>
            <w:r w:rsidRPr="00B803BD">
              <w:rPr>
                <w:sz w:val="24"/>
                <w:szCs w:val="24"/>
              </w:rPr>
              <w:t>Total</w:t>
            </w:r>
          </w:p>
        </w:tc>
        <w:tc>
          <w:tcPr>
            <w:tcW w:w="1536"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B803BD" w:rsidR="00F41AD4" w:rsidP="00311C56" w:rsidRDefault="008C3FD5" w14:paraId="38D47E31" w14:textId="724FF54D">
            <w:pPr>
              <w:jc w:val="center"/>
              <w:rPr>
                <w:sz w:val="24"/>
                <w:szCs w:val="24"/>
              </w:rPr>
            </w:pPr>
            <w:r>
              <w:rPr>
                <w:sz w:val="24"/>
                <w:szCs w:val="24"/>
              </w:rPr>
              <w:t>3,</w:t>
            </w:r>
            <w:r w:rsidR="0092712D">
              <w:rPr>
                <w:sz w:val="24"/>
                <w:szCs w:val="24"/>
              </w:rPr>
              <w:t>393</w:t>
            </w:r>
          </w:p>
        </w:tc>
        <w:tc>
          <w:tcPr>
            <w:tcW w:w="1497"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B803BD" w:rsidR="00F41AD4" w:rsidP="004D2857" w:rsidRDefault="008C3FD5" w14:paraId="4AF9E249" w14:textId="5439FC14">
            <w:pPr>
              <w:jc w:val="center"/>
              <w:rPr>
                <w:sz w:val="24"/>
                <w:szCs w:val="24"/>
              </w:rPr>
            </w:pPr>
            <w:r>
              <w:rPr>
                <w:sz w:val="24"/>
                <w:szCs w:val="24"/>
              </w:rPr>
              <w:t>567</w:t>
            </w:r>
            <w:r w:rsidRPr="00B803BD" w:rsidR="00311C56">
              <w:rPr>
                <w:sz w:val="24"/>
                <w:szCs w:val="24"/>
              </w:rPr>
              <w:t xml:space="preserve"> </w:t>
            </w:r>
          </w:p>
        </w:tc>
        <w:tc>
          <w:tcPr>
            <w:tcW w:w="144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B803BD" w:rsidR="00F41AD4" w:rsidP="002D262B" w:rsidRDefault="00F41AD4" w14:paraId="6F6AE51B" w14:textId="347C8385">
            <w:pPr>
              <w:jc w:val="center"/>
              <w:rPr>
                <w:sz w:val="24"/>
                <w:szCs w:val="24"/>
              </w:rPr>
            </w:pPr>
            <w:r w:rsidRPr="00B803BD">
              <w:rPr>
                <w:sz w:val="24"/>
                <w:szCs w:val="24"/>
              </w:rPr>
              <w:t>n/a</w:t>
            </w:r>
          </w:p>
        </w:tc>
        <w:tc>
          <w:tcPr>
            <w:tcW w:w="1396"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426D1D" w:rsidR="00F41AD4" w:rsidP="0092712D" w:rsidRDefault="00F41AD4" w14:paraId="72E42DCC" w14:textId="3BBAD262">
            <w:pPr>
              <w:jc w:val="center"/>
              <w:rPr>
                <w:sz w:val="24"/>
                <w:szCs w:val="24"/>
              </w:rPr>
            </w:pPr>
            <w:r w:rsidRPr="006C598D">
              <w:rPr>
                <w:sz w:val="24"/>
                <w:szCs w:val="24"/>
              </w:rPr>
              <w:t>$</w:t>
            </w:r>
            <w:r w:rsidR="008C3FD5">
              <w:rPr>
                <w:sz w:val="24"/>
                <w:szCs w:val="24"/>
              </w:rPr>
              <w:t>1</w:t>
            </w:r>
            <w:r w:rsidR="000C3AE1">
              <w:rPr>
                <w:sz w:val="24"/>
                <w:szCs w:val="24"/>
              </w:rPr>
              <w:t>5</w:t>
            </w:r>
            <w:r w:rsidR="008C3FD5">
              <w:rPr>
                <w:sz w:val="24"/>
                <w:szCs w:val="24"/>
              </w:rPr>
              <w:t>,</w:t>
            </w:r>
            <w:r w:rsidR="000C3AE1">
              <w:rPr>
                <w:sz w:val="24"/>
                <w:szCs w:val="24"/>
              </w:rPr>
              <w:t>349</w:t>
            </w:r>
          </w:p>
        </w:tc>
      </w:tr>
    </w:tbl>
    <w:p w:rsidRPr="000C3AE1" w:rsidR="002D262B" w:rsidP="002D262B" w:rsidRDefault="002D262B" w14:paraId="2E7AB380" w14:textId="7BC01678">
      <w:pPr>
        <w:rPr>
          <w:bCs/>
        </w:rPr>
      </w:pPr>
      <w:r>
        <w:t>*</w:t>
      </w:r>
      <w:r w:rsidRPr="009F1E8C" w:rsidR="009F1E8C">
        <w:rPr>
          <w:bCs/>
        </w:rPr>
        <w:t xml:space="preserve"> </w:t>
      </w:r>
      <w:r w:rsidRPr="005622E0" w:rsidR="009F1E8C">
        <w:rPr>
          <w:bCs/>
        </w:rPr>
        <w:t>Mean hourly wage for All Occupations (00-0000)</w:t>
      </w:r>
      <w:r w:rsidR="000C3AE1">
        <w:rPr>
          <w:bCs/>
        </w:rPr>
        <w:t xml:space="preserve"> Source: </w:t>
      </w:r>
      <w:r w:rsidRPr="006C598D" w:rsidR="009F1E8C">
        <w:rPr>
          <w:bCs/>
        </w:rPr>
        <w:t>Occupational Employment Statistics, May 20</w:t>
      </w:r>
      <w:r w:rsidR="000C3AE1">
        <w:rPr>
          <w:bCs/>
        </w:rPr>
        <w:t>20</w:t>
      </w:r>
      <w:r w:rsidRPr="006C598D" w:rsidR="009F1E8C">
        <w:rPr>
          <w:bCs/>
        </w:rPr>
        <w:t xml:space="preserve"> National Occupational Employment and Wage Estimates United States, U.S. Department of Labor, Bureau of Labor Statistics.</w:t>
      </w:r>
    </w:p>
    <w:p w:rsidR="002D262B" w:rsidP="002D262B" w:rsidRDefault="00C15767" w14:paraId="57D1F521" w14:textId="3A05774D">
      <w:pPr>
        <w:pStyle w:val="Heading2"/>
        <w:rPr>
          <w:rFonts w:ascii="Times New Roman" w:hAnsi="Times New Roman" w:cs="Times New Roman"/>
          <w:color w:val="auto"/>
          <w:sz w:val="24"/>
          <w:szCs w:val="24"/>
          <w:u w:val="single"/>
        </w:rPr>
      </w:pPr>
      <w:bookmarkStart w:name="_Toc290559164" w:id="20"/>
      <w:r w:rsidRPr="00314705">
        <w:rPr>
          <w:rFonts w:ascii="Times New Roman" w:hAnsi="Times New Roman" w:cs="Times New Roman"/>
          <w:color w:val="auto"/>
          <w:sz w:val="24"/>
          <w:szCs w:val="24"/>
        </w:rPr>
        <w:t>13</w:t>
      </w:r>
      <w:r w:rsidRPr="00314705" w:rsidR="002D262B">
        <w:rPr>
          <w:rFonts w:ascii="Times New Roman" w:hAnsi="Times New Roman" w:cs="Times New Roman"/>
          <w:color w:val="auto"/>
          <w:sz w:val="24"/>
          <w:szCs w:val="24"/>
        </w:rPr>
        <w:t xml:space="preserve">.   </w:t>
      </w:r>
      <w:r w:rsidRPr="00314705" w:rsidR="008F00D1">
        <w:rPr>
          <w:rFonts w:ascii="Times New Roman" w:hAnsi="Times New Roman" w:cs="Times New Roman"/>
          <w:color w:val="auto"/>
          <w:sz w:val="24"/>
          <w:szCs w:val="24"/>
          <w:u w:val="single"/>
        </w:rPr>
        <w:t>Estimates of Annualized Respondent Capital and Maintenance Costs</w:t>
      </w:r>
      <w:bookmarkEnd w:id="20"/>
    </w:p>
    <w:p w:rsidRPr="005C1C4D" w:rsidR="00534A4A" w:rsidP="005C1C4D" w:rsidRDefault="00534A4A" w14:paraId="7EBE948B" w14:textId="77777777"/>
    <w:p w:rsidR="00A5243C" w:rsidP="005C1C4D" w:rsidRDefault="00A5243C" w14:paraId="596AE58D" w14:textId="186AE0E7">
      <w:pPr>
        <w:rPr>
          <w:sz w:val="24"/>
          <w:szCs w:val="24"/>
        </w:rPr>
      </w:pPr>
      <w:r w:rsidRPr="00420A8F">
        <w:rPr>
          <w:sz w:val="24"/>
          <w:szCs w:val="24"/>
        </w:rPr>
        <w:t xml:space="preserve">Capital and maintenance costs include the purchase of equipment, computers or computer software or services, or storage facilities for records, </w:t>
      </w:r>
      <w:proofErr w:type="gramStart"/>
      <w:r w:rsidRPr="00420A8F">
        <w:rPr>
          <w:sz w:val="24"/>
          <w:szCs w:val="24"/>
        </w:rPr>
        <w:t>as a result of</w:t>
      </w:r>
      <w:proofErr w:type="gramEnd"/>
      <w:r w:rsidRPr="00420A8F">
        <w:rPr>
          <w:sz w:val="24"/>
          <w:szCs w:val="24"/>
        </w:rPr>
        <w:t xml:space="preserve"> complying with this data collection. There are no direct costs to respondents other than their time to participate in the study.</w:t>
      </w:r>
    </w:p>
    <w:p w:rsidRPr="00314705" w:rsidR="002D262B" w:rsidP="002D262B" w:rsidRDefault="00C15767" w14:paraId="7F853281" w14:textId="77777777">
      <w:pPr>
        <w:pStyle w:val="Heading2"/>
        <w:rPr>
          <w:rFonts w:ascii="Times New Roman" w:hAnsi="Times New Roman" w:cs="Times New Roman"/>
          <w:color w:val="auto"/>
          <w:sz w:val="24"/>
          <w:szCs w:val="24"/>
        </w:rPr>
      </w:pPr>
      <w:bookmarkStart w:name="_Toc290559165" w:id="21"/>
      <w:r w:rsidRPr="00314705">
        <w:rPr>
          <w:rFonts w:ascii="Times New Roman" w:hAnsi="Times New Roman" w:cs="Times New Roman"/>
          <w:color w:val="auto"/>
          <w:sz w:val="24"/>
          <w:szCs w:val="24"/>
        </w:rPr>
        <w:t>14</w:t>
      </w:r>
      <w:r w:rsidRPr="00314705" w:rsidR="002D262B">
        <w:rPr>
          <w:rFonts w:ascii="Times New Roman" w:hAnsi="Times New Roman" w:cs="Times New Roman"/>
          <w:color w:val="auto"/>
          <w:sz w:val="24"/>
          <w:szCs w:val="24"/>
        </w:rPr>
        <w:t xml:space="preserve">.  </w:t>
      </w:r>
      <w:r w:rsidRPr="00314705" w:rsidR="002D262B">
        <w:rPr>
          <w:rFonts w:ascii="Times New Roman" w:hAnsi="Times New Roman" w:cs="Times New Roman"/>
          <w:color w:val="auto"/>
          <w:sz w:val="24"/>
          <w:szCs w:val="24"/>
          <w:u w:val="single"/>
        </w:rPr>
        <w:t>Estimates of Annualized Cost to the Government</w:t>
      </w:r>
      <w:bookmarkEnd w:id="21"/>
    </w:p>
    <w:p w:rsidR="00705468" w:rsidP="00705468" w:rsidRDefault="00705468" w14:paraId="23456A40" w14:textId="7C4CF1F8">
      <w:pPr>
        <w:rPr>
          <w:sz w:val="24"/>
          <w:szCs w:val="24"/>
        </w:rPr>
      </w:pPr>
      <w:bookmarkStart w:name="_Toc290559166" w:id="22"/>
    </w:p>
    <w:p w:rsidRPr="00786DFD" w:rsidR="00705468" w:rsidP="00705468" w:rsidRDefault="00705468" w14:paraId="3909CEAD" w14:textId="2ECCB657">
      <w:pPr>
        <w:rPr>
          <w:sz w:val="24"/>
          <w:szCs w:val="24"/>
        </w:rPr>
      </w:pPr>
      <w:r w:rsidRPr="005C5F75">
        <w:rPr>
          <w:sz w:val="24"/>
          <w:szCs w:val="24"/>
        </w:rPr>
        <w:t xml:space="preserve">Exhibit </w:t>
      </w:r>
      <w:r>
        <w:rPr>
          <w:sz w:val="24"/>
          <w:szCs w:val="24"/>
        </w:rPr>
        <w:t>3</w:t>
      </w:r>
      <w:r w:rsidRPr="005C5F75">
        <w:rPr>
          <w:sz w:val="24"/>
          <w:szCs w:val="24"/>
        </w:rPr>
        <w:t xml:space="preserve"> shows the estimated annualized cost </w:t>
      </w:r>
      <w:r>
        <w:rPr>
          <w:sz w:val="24"/>
          <w:szCs w:val="24"/>
        </w:rPr>
        <w:t>to the Government</w:t>
      </w:r>
      <w:r w:rsidRPr="005C5F75">
        <w:rPr>
          <w:sz w:val="24"/>
          <w:szCs w:val="24"/>
        </w:rPr>
        <w:t xml:space="preserve">, which is </w:t>
      </w:r>
      <w:r w:rsidRPr="001B1DD3">
        <w:rPr>
          <w:sz w:val="24"/>
          <w:szCs w:val="24"/>
        </w:rPr>
        <w:t xml:space="preserve">estimated at </w:t>
      </w:r>
      <w:r>
        <w:rPr>
          <w:sz w:val="24"/>
          <w:szCs w:val="24"/>
        </w:rPr>
        <w:t>$21,5</w:t>
      </w:r>
      <w:r w:rsidR="00587C22">
        <w:rPr>
          <w:sz w:val="24"/>
          <w:szCs w:val="24"/>
        </w:rPr>
        <w:t>48</w:t>
      </w:r>
      <w:r>
        <w:rPr>
          <w:sz w:val="24"/>
          <w:szCs w:val="24"/>
        </w:rPr>
        <w:t>.</w:t>
      </w:r>
    </w:p>
    <w:p w:rsidRPr="00786DFD" w:rsidR="00705468" w:rsidP="00705468" w:rsidRDefault="00705468" w14:paraId="665DB081" w14:textId="2A998F8A">
      <w:pPr>
        <w:rPr>
          <w:sz w:val="24"/>
          <w:szCs w:val="24"/>
        </w:rPr>
      </w:pPr>
      <w:r w:rsidRPr="00786DFD">
        <w:rPr>
          <w:b/>
          <w:bCs/>
          <w:sz w:val="24"/>
          <w:szCs w:val="24"/>
        </w:rPr>
        <w:t>Exhibit 3. Estimated Annual cost to AHRQ for Project Oversite [AHRQ TO COMPLETE]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798"/>
        <w:gridCol w:w="1597"/>
        <w:gridCol w:w="2070"/>
      </w:tblGrid>
      <w:tr w:rsidRPr="00786DFD" w:rsidR="00705468" w:rsidTr="00067FDD" w14:paraId="5B1B8F12" w14:textId="77777777">
        <w:trPr>
          <w:trHeight w:val="332"/>
        </w:trPr>
        <w:tc>
          <w:tcPr>
            <w:tcW w:w="3798" w:type="dxa"/>
            <w:shd w:val="clear" w:color="auto" w:fill="auto"/>
            <w:vAlign w:val="center"/>
          </w:tcPr>
          <w:p w:rsidRPr="00786DFD" w:rsidR="00705468" w:rsidP="00067FDD" w:rsidRDefault="00705468" w14:paraId="3349284B" w14:textId="77777777">
            <w:pPr>
              <w:rPr>
                <w:b/>
                <w:bCs/>
                <w:sz w:val="24"/>
                <w:szCs w:val="24"/>
              </w:rPr>
            </w:pPr>
            <w:r w:rsidRPr="00786DFD">
              <w:rPr>
                <w:b/>
                <w:bCs/>
                <w:sz w:val="24"/>
                <w:szCs w:val="24"/>
              </w:rPr>
              <w:lastRenderedPageBreak/>
              <w:t>AHRQ Position</w:t>
            </w:r>
          </w:p>
        </w:tc>
        <w:tc>
          <w:tcPr>
            <w:tcW w:w="1597" w:type="dxa"/>
            <w:shd w:val="clear" w:color="auto" w:fill="auto"/>
            <w:vAlign w:val="center"/>
          </w:tcPr>
          <w:p w:rsidRPr="00786DFD" w:rsidR="00705468" w:rsidP="00067FDD" w:rsidRDefault="00705468" w14:paraId="189BA083" w14:textId="77777777">
            <w:pPr>
              <w:rPr>
                <w:b/>
                <w:bCs/>
                <w:sz w:val="24"/>
                <w:szCs w:val="24"/>
              </w:rPr>
            </w:pPr>
            <w:r w:rsidRPr="00786DFD">
              <w:rPr>
                <w:b/>
                <w:bCs/>
                <w:sz w:val="24"/>
                <w:szCs w:val="24"/>
              </w:rPr>
              <w:t>% Time</w:t>
            </w:r>
          </w:p>
        </w:tc>
        <w:tc>
          <w:tcPr>
            <w:tcW w:w="2070" w:type="dxa"/>
            <w:shd w:val="clear" w:color="auto" w:fill="auto"/>
            <w:vAlign w:val="center"/>
          </w:tcPr>
          <w:p w:rsidRPr="00786DFD" w:rsidR="00705468" w:rsidP="00067FDD" w:rsidRDefault="00705468" w14:paraId="25697E35" w14:textId="77777777">
            <w:pPr>
              <w:rPr>
                <w:b/>
                <w:bCs/>
                <w:sz w:val="24"/>
                <w:szCs w:val="24"/>
              </w:rPr>
            </w:pPr>
            <w:r w:rsidRPr="00786DFD">
              <w:rPr>
                <w:b/>
                <w:bCs/>
                <w:sz w:val="24"/>
                <w:szCs w:val="24"/>
              </w:rPr>
              <w:t>Annualized Cost</w:t>
            </w:r>
          </w:p>
        </w:tc>
      </w:tr>
      <w:tr w:rsidRPr="00786DFD" w:rsidR="00587C22" w:rsidTr="00587C22" w14:paraId="553FB454" w14:textId="77777777">
        <w:trPr>
          <w:trHeight w:val="647"/>
        </w:trPr>
        <w:tc>
          <w:tcPr>
            <w:tcW w:w="3798" w:type="dxa"/>
            <w:shd w:val="clear" w:color="auto" w:fill="auto"/>
          </w:tcPr>
          <w:p w:rsidRPr="00786DFD" w:rsidR="00587C22" w:rsidP="00587C22" w:rsidRDefault="00587C22" w14:paraId="4B4C7AE2" w14:textId="77777777">
            <w:pPr>
              <w:rPr>
                <w:rFonts w:eastAsia="Calibri"/>
                <w:sz w:val="23"/>
                <w:szCs w:val="23"/>
              </w:rPr>
            </w:pPr>
            <w:r w:rsidRPr="00786DFD">
              <w:rPr>
                <w:rFonts w:eastAsia="Calibri"/>
                <w:sz w:val="23"/>
                <w:szCs w:val="23"/>
              </w:rPr>
              <w:t>GS 15 Step-5</w:t>
            </w:r>
          </w:p>
        </w:tc>
        <w:tc>
          <w:tcPr>
            <w:tcW w:w="1597" w:type="dxa"/>
            <w:shd w:val="clear" w:color="auto" w:fill="auto"/>
          </w:tcPr>
          <w:p w:rsidRPr="00786DFD" w:rsidR="00587C22" w:rsidP="00587C22" w:rsidRDefault="00587C22" w14:paraId="501305AB" w14:textId="77777777">
            <w:pPr>
              <w:rPr>
                <w:rFonts w:eastAsia="Calibri"/>
                <w:sz w:val="23"/>
                <w:szCs w:val="23"/>
              </w:rPr>
            </w:pPr>
            <w:r w:rsidRPr="00786DFD">
              <w:rPr>
                <w:rFonts w:eastAsia="Calibri"/>
                <w:sz w:val="23"/>
                <w:szCs w:val="23"/>
              </w:rPr>
              <w:t>5%</w:t>
            </w:r>
          </w:p>
        </w:tc>
        <w:tc>
          <w:tcPr>
            <w:tcW w:w="2070" w:type="dxa"/>
            <w:shd w:val="clear" w:color="auto" w:fill="auto"/>
          </w:tcPr>
          <w:p w:rsidRPr="00587C22" w:rsidR="00587C22" w:rsidP="00587C22" w:rsidRDefault="00587C22" w14:paraId="04CD5B99" w14:textId="7E7BFC32">
            <w:pPr>
              <w:rPr>
                <w:rFonts w:eastAsia="Calibri"/>
                <w:sz w:val="23"/>
                <w:szCs w:val="23"/>
              </w:rPr>
            </w:pPr>
            <w:r w:rsidRPr="00587C22">
              <w:rPr>
                <w:color w:val="000000"/>
                <w:sz w:val="22"/>
                <w:szCs w:val="22"/>
              </w:rPr>
              <w:t xml:space="preserve">$8,386 </w:t>
            </w:r>
          </w:p>
        </w:tc>
      </w:tr>
      <w:tr w:rsidRPr="00786DFD" w:rsidR="00587C22" w:rsidTr="00587C22" w14:paraId="4459080D" w14:textId="77777777">
        <w:trPr>
          <w:trHeight w:val="737"/>
        </w:trPr>
        <w:tc>
          <w:tcPr>
            <w:tcW w:w="3798" w:type="dxa"/>
            <w:shd w:val="clear" w:color="auto" w:fill="auto"/>
          </w:tcPr>
          <w:p w:rsidRPr="00786DFD" w:rsidR="00587C22" w:rsidP="00587C22" w:rsidRDefault="00587C22" w14:paraId="07F5D9C1" w14:textId="77777777">
            <w:pPr>
              <w:rPr>
                <w:rFonts w:eastAsia="Calibri"/>
                <w:sz w:val="23"/>
                <w:szCs w:val="23"/>
              </w:rPr>
            </w:pPr>
            <w:r w:rsidRPr="00786DFD">
              <w:rPr>
                <w:rFonts w:eastAsia="Calibri"/>
                <w:sz w:val="23"/>
                <w:szCs w:val="23"/>
              </w:rPr>
              <w:t>GS 14 Step 5</w:t>
            </w:r>
          </w:p>
        </w:tc>
        <w:tc>
          <w:tcPr>
            <w:tcW w:w="1597" w:type="dxa"/>
            <w:shd w:val="clear" w:color="auto" w:fill="auto"/>
          </w:tcPr>
          <w:p w:rsidRPr="00786DFD" w:rsidR="00587C22" w:rsidP="00587C22" w:rsidRDefault="00587C22" w14:paraId="7DAF6F6A" w14:textId="77777777">
            <w:pPr>
              <w:rPr>
                <w:rFonts w:eastAsia="Calibri"/>
                <w:sz w:val="23"/>
                <w:szCs w:val="23"/>
              </w:rPr>
            </w:pPr>
            <w:r w:rsidRPr="00786DFD">
              <w:rPr>
                <w:rFonts w:eastAsia="Calibri"/>
                <w:sz w:val="23"/>
                <w:szCs w:val="23"/>
              </w:rPr>
              <w:t>5%</w:t>
            </w:r>
          </w:p>
        </w:tc>
        <w:tc>
          <w:tcPr>
            <w:tcW w:w="2070" w:type="dxa"/>
            <w:shd w:val="clear" w:color="auto" w:fill="auto"/>
          </w:tcPr>
          <w:p w:rsidRPr="00587C22" w:rsidR="00587C22" w:rsidP="00587C22" w:rsidRDefault="00587C22" w14:paraId="4E523F73" w14:textId="75870D23">
            <w:pPr>
              <w:rPr>
                <w:rFonts w:eastAsia="Calibri"/>
                <w:sz w:val="23"/>
                <w:szCs w:val="23"/>
              </w:rPr>
            </w:pPr>
            <w:r w:rsidRPr="00587C22">
              <w:rPr>
                <w:color w:val="000000"/>
                <w:sz w:val="22"/>
                <w:szCs w:val="22"/>
              </w:rPr>
              <w:t xml:space="preserve">$7,129 </w:t>
            </w:r>
          </w:p>
        </w:tc>
      </w:tr>
      <w:tr w:rsidRPr="00786DFD" w:rsidR="00587C22" w:rsidTr="00587C22" w14:paraId="412C27DA" w14:textId="77777777">
        <w:trPr>
          <w:trHeight w:val="989"/>
        </w:trPr>
        <w:tc>
          <w:tcPr>
            <w:tcW w:w="3798" w:type="dxa"/>
            <w:shd w:val="clear" w:color="auto" w:fill="auto"/>
          </w:tcPr>
          <w:p w:rsidRPr="00786DFD" w:rsidR="00587C22" w:rsidP="00587C22" w:rsidRDefault="00587C22" w14:paraId="2696BC6E" w14:textId="77777777">
            <w:pPr>
              <w:rPr>
                <w:rFonts w:eastAsia="Calibri"/>
                <w:sz w:val="23"/>
                <w:szCs w:val="23"/>
              </w:rPr>
            </w:pPr>
            <w:r w:rsidRPr="00786DFD">
              <w:rPr>
                <w:rFonts w:eastAsia="Calibri"/>
                <w:sz w:val="23"/>
                <w:szCs w:val="23"/>
              </w:rPr>
              <w:t>GS 13 Step 5</w:t>
            </w:r>
          </w:p>
        </w:tc>
        <w:tc>
          <w:tcPr>
            <w:tcW w:w="1597" w:type="dxa"/>
            <w:shd w:val="clear" w:color="auto" w:fill="auto"/>
          </w:tcPr>
          <w:p w:rsidRPr="00786DFD" w:rsidR="00587C22" w:rsidP="00587C22" w:rsidRDefault="00587C22" w14:paraId="7FC79C67" w14:textId="77777777">
            <w:pPr>
              <w:rPr>
                <w:rFonts w:eastAsia="Calibri"/>
                <w:sz w:val="23"/>
                <w:szCs w:val="23"/>
              </w:rPr>
            </w:pPr>
            <w:r w:rsidRPr="00786DFD">
              <w:rPr>
                <w:rFonts w:eastAsia="Calibri"/>
                <w:sz w:val="23"/>
                <w:szCs w:val="23"/>
              </w:rPr>
              <w:t>5%</w:t>
            </w:r>
          </w:p>
        </w:tc>
        <w:tc>
          <w:tcPr>
            <w:tcW w:w="2070" w:type="dxa"/>
            <w:shd w:val="clear" w:color="auto" w:fill="auto"/>
          </w:tcPr>
          <w:p w:rsidRPr="00587C22" w:rsidR="00587C22" w:rsidP="00587C22" w:rsidRDefault="00587C22" w14:paraId="27C81075" w14:textId="590FE509">
            <w:pPr>
              <w:rPr>
                <w:rFonts w:eastAsia="Calibri"/>
                <w:sz w:val="23"/>
                <w:szCs w:val="23"/>
              </w:rPr>
            </w:pPr>
            <w:r w:rsidRPr="00587C22">
              <w:rPr>
                <w:color w:val="000000"/>
                <w:sz w:val="22"/>
                <w:szCs w:val="22"/>
              </w:rPr>
              <w:t xml:space="preserve">$6,033 </w:t>
            </w:r>
          </w:p>
        </w:tc>
      </w:tr>
      <w:tr w:rsidRPr="00FA7DB0" w:rsidR="00587C22" w:rsidTr="00587C22" w14:paraId="34B508E2" w14:textId="77777777">
        <w:trPr>
          <w:trHeight w:val="989"/>
        </w:trPr>
        <w:tc>
          <w:tcPr>
            <w:tcW w:w="3798" w:type="dxa"/>
            <w:shd w:val="clear" w:color="auto" w:fill="auto"/>
          </w:tcPr>
          <w:p w:rsidRPr="00786DFD" w:rsidR="00587C22" w:rsidP="00587C22" w:rsidRDefault="00587C22" w14:paraId="5601BDBF" w14:textId="77777777">
            <w:pPr>
              <w:rPr>
                <w:rFonts w:eastAsia="Calibri"/>
                <w:sz w:val="23"/>
                <w:szCs w:val="23"/>
              </w:rPr>
            </w:pPr>
            <w:r w:rsidRPr="00786DFD">
              <w:rPr>
                <w:rFonts w:eastAsia="Calibri"/>
                <w:sz w:val="23"/>
                <w:szCs w:val="23"/>
              </w:rPr>
              <w:t>Total</w:t>
            </w:r>
          </w:p>
        </w:tc>
        <w:tc>
          <w:tcPr>
            <w:tcW w:w="1597" w:type="dxa"/>
            <w:shd w:val="clear" w:color="auto" w:fill="auto"/>
          </w:tcPr>
          <w:p w:rsidRPr="00786DFD" w:rsidR="00587C22" w:rsidP="00587C22" w:rsidRDefault="00587C22" w14:paraId="1BD92347" w14:textId="77777777">
            <w:pPr>
              <w:rPr>
                <w:rFonts w:eastAsia="Calibri"/>
                <w:sz w:val="23"/>
                <w:szCs w:val="23"/>
              </w:rPr>
            </w:pPr>
          </w:p>
        </w:tc>
        <w:tc>
          <w:tcPr>
            <w:tcW w:w="2070" w:type="dxa"/>
            <w:shd w:val="clear" w:color="auto" w:fill="auto"/>
          </w:tcPr>
          <w:p w:rsidRPr="00587C22" w:rsidR="00587C22" w:rsidP="00587C22" w:rsidRDefault="00587C22" w14:paraId="742B1AEE" w14:textId="51D264B5">
            <w:pPr>
              <w:rPr>
                <w:rFonts w:eastAsia="Calibri"/>
                <w:sz w:val="23"/>
                <w:szCs w:val="23"/>
              </w:rPr>
            </w:pPr>
            <w:r w:rsidRPr="00587C22">
              <w:rPr>
                <w:color w:val="000000"/>
                <w:sz w:val="22"/>
                <w:szCs w:val="22"/>
              </w:rPr>
              <w:t xml:space="preserve">$21,548 </w:t>
            </w:r>
          </w:p>
        </w:tc>
      </w:tr>
    </w:tbl>
    <w:p w:rsidRPr="000400FF" w:rsidR="00705468" w:rsidP="00705468" w:rsidRDefault="00705468" w14:paraId="301F0EFA" w14:textId="3AF591C5">
      <w:r w:rsidRPr="000400FF">
        <w:t>*Based on 20</w:t>
      </w:r>
      <w:r w:rsidR="00587C22">
        <w:t>22</w:t>
      </w:r>
      <w:r w:rsidRPr="000400FF">
        <w:t xml:space="preserve"> OPM Pay Schedule for Washington/DC area: </w:t>
      </w:r>
      <w:r w:rsidRPr="00587C22" w:rsidR="00587C22">
        <w:t>https://www.opm.gov/policy-data-oversight/pay-leave/salaries-wages/salary-tables/pdf/2022/DCB.pdf</w:t>
      </w:r>
    </w:p>
    <w:p w:rsidR="00DB683C" w:rsidP="006F4ADE" w:rsidRDefault="00DB683C" w14:paraId="5E303550" w14:textId="77777777">
      <w:pPr>
        <w:rPr>
          <w:b/>
          <w:bCs/>
          <w:sz w:val="24"/>
          <w:szCs w:val="24"/>
        </w:rPr>
      </w:pPr>
    </w:p>
    <w:p w:rsidRPr="006F4ADE" w:rsidR="002D262B" w:rsidP="006F4ADE" w:rsidRDefault="002D262B" w14:paraId="6D991625" w14:textId="5BCC3E17">
      <w:pPr>
        <w:rPr>
          <w:b/>
          <w:bCs/>
          <w:sz w:val="24"/>
          <w:szCs w:val="24"/>
        </w:rPr>
      </w:pPr>
      <w:r w:rsidRPr="006F4ADE">
        <w:rPr>
          <w:b/>
          <w:bCs/>
          <w:sz w:val="24"/>
          <w:szCs w:val="24"/>
        </w:rPr>
        <w:t>1</w:t>
      </w:r>
      <w:r w:rsidRPr="006F4ADE" w:rsidR="00C15767">
        <w:rPr>
          <w:b/>
          <w:bCs/>
          <w:sz w:val="24"/>
          <w:szCs w:val="24"/>
        </w:rPr>
        <w:t>5</w:t>
      </w:r>
      <w:r w:rsidRPr="006F4ADE">
        <w:rPr>
          <w:b/>
          <w:bCs/>
          <w:sz w:val="24"/>
          <w:szCs w:val="24"/>
        </w:rPr>
        <w:t xml:space="preserve">.  </w:t>
      </w:r>
      <w:r w:rsidRPr="006F4ADE">
        <w:rPr>
          <w:b/>
          <w:bCs/>
          <w:sz w:val="24"/>
          <w:szCs w:val="24"/>
          <w:u w:val="single"/>
        </w:rPr>
        <w:t>Change in Burden</w:t>
      </w:r>
      <w:bookmarkEnd w:id="22"/>
    </w:p>
    <w:p w:rsidR="00DB683C" w:rsidP="00660073" w:rsidRDefault="00DB683C" w14:paraId="1B2AD63D" w14:textId="77777777">
      <w:pPr>
        <w:rPr>
          <w:sz w:val="24"/>
          <w:szCs w:val="24"/>
        </w:rPr>
      </w:pPr>
    </w:p>
    <w:p w:rsidRPr="00FA7DB0" w:rsidR="00131EB5" w:rsidP="00131EB5" w:rsidRDefault="00131EB5" w14:paraId="6348352B" w14:textId="77777777">
      <w:pPr>
        <w:rPr>
          <w:sz w:val="24"/>
          <w:szCs w:val="24"/>
        </w:rPr>
      </w:pPr>
      <w:bookmarkStart w:name="_Toc290559167" w:id="23"/>
      <w:r w:rsidRPr="00FA7DB0">
        <w:rPr>
          <w:sz w:val="24"/>
          <w:szCs w:val="24"/>
        </w:rPr>
        <w:t>This data collection effort is a new activity.</w:t>
      </w:r>
    </w:p>
    <w:p w:rsidRPr="00314705" w:rsidR="002D262B" w:rsidP="002D262B" w:rsidRDefault="0057087C" w14:paraId="6AF5A16E" w14:textId="0B5E1C1F">
      <w:pPr>
        <w:pStyle w:val="Heading2"/>
        <w:rPr>
          <w:rFonts w:ascii="Times New Roman" w:hAnsi="Times New Roman" w:cs="Times New Roman"/>
          <w:b w:val="0"/>
          <w:color w:val="auto"/>
          <w:sz w:val="24"/>
          <w:szCs w:val="24"/>
        </w:rPr>
      </w:pPr>
      <w:r w:rsidRPr="00314705">
        <w:rPr>
          <w:rFonts w:ascii="Times New Roman" w:hAnsi="Times New Roman" w:cs="Times New Roman"/>
          <w:color w:val="auto"/>
          <w:sz w:val="24"/>
          <w:szCs w:val="24"/>
        </w:rPr>
        <w:t>1</w:t>
      </w:r>
      <w:r w:rsidRPr="00314705" w:rsidR="00C15767">
        <w:rPr>
          <w:rFonts w:ascii="Times New Roman" w:hAnsi="Times New Roman" w:cs="Times New Roman"/>
          <w:color w:val="auto"/>
          <w:sz w:val="24"/>
          <w:szCs w:val="24"/>
        </w:rPr>
        <w:t>6</w:t>
      </w:r>
      <w:r w:rsidRPr="00314705">
        <w:rPr>
          <w:rFonts w:ascii="Times New Roman" w:hAnsi="Times New Roman" w:cs="Times New Roman"/>
          <w:color w:val="auto"/>
          <w:sz w:val="24"/>
          <w:szCs w:val="24"/>
        </w:rPr>
        <w:t xml:space="preserve">.  </w:t>
      </w:r>
      <w:r w:rsidRPr="00314705" w:rsidR="002D262B">
        <w:rPr>
          <w:rFonts w:ascii="Times New Roman" w:hAnsi="Times New Roman" w:cs="Times New Roman"/>
          <w:color w:val="auto"/>
          <w:sz w:val="24"/>
          <w:u w:val="single"/>
        </w:rPr>
        <w:t>Time Schedule, Publication and Analysis Plans</w:t>
      </w:r>
      <w:bookmarkEnd w:id="23"/>
    </w:p>
    <w:p w:rsidR="002D262B" w:rsidP="002D262B" w:rsidRDefault="002D262B" w14:paraId="6C3EF291" w14:textId="43325786">
      <w:pPr>
        <w:rPr>
          <w:sz w:val="24"/>
          <w:szCs w:val="24"/>
        </w:rPr>
      </w:pPr>
    </w:p>
    <w:p w:rsidR="00A27C34" w:rsidRDefault="008C3FD5" w14:paraId="6E741B1D" w14:textId="047F49F3">
      <w:pPr>
        <w:rPr>
          <w:sz w:val="24"/>
          <w:szCs w:val="24"/>
        </w:rPr>
      </w:pPr>
      <w:r w:rsidRPr="006C598D">
        <w:rPr>
          <w:bCs/>
          <w:sz w:val="24"/>
          <w:szCs w:val="24"/>
        </w:rPr>
        <w:t xml:space="preserve">The proposed pilot </w:t>
      </w:r>
      <w:r w:rsidR="00386301">
        <w:rPr>
          <w:bCs/>
          <w:sz w:val="24"/>
          <w:szCs w:val="24"/>
        </w:rPr>
        <w:t xml:space="preserve">data collection </w:t>
      </w:r>
      <w:r>
        <w:rPr>
          <w:bCs/>
          <w:sz w:val="24"/>
          <w:szCs w:val="24"/>
        </w:rPr>
        <w:t xml:space="preserve">is </w:t>
      </w:r>
      <w:r w:rsidRPr="006C598D">
        <w:rPr>
          <w:bCs/>
          <w:sz w:val="24"/>
          <w:szCs w:val="24"/>
        </w:rPr>
        <w:t xml:space="preserve">expected </w:t>
      </w:r>
      <w:r>
        <w:rPr>
          <w:bCs/>
          <w:sz w:val="24"/>
          <w:szCs w:val="24"/>
        </w:rPr>
        <w:t xml:space="preserve">to be </w:t>
      </w:r>
      <w:r w:rsidRPr="006C598D">
        <w:rPr>
          <w:bCs/>
          <w:sz w:val="24"/>
          <w:szCs w:val="24"/>
        </w:rPr>
        <w:t>implement</w:t>
      </w:r>
      <w:r>
        <w:rPr>
          <w:bCs/>
          <w:sz w:val="24"/>
          <w:szCs w:val="24"/>
        </w:rPr>
        <w:t>ed</w:t>
      </w:r>
      <w:r w:rsidRPr="006C598D">
        <w:rPr>
          <w:bCs/>
          <w:sz w:val="24"/>
          <w:szCs w:val="24"/>
        </w:rPr>
        <w:t xml:space="preserve"> </w:t>
      </w:r>
      <w:r>
        <w:rPr>
          <w:bCs/>
          <w:sz w:val="24"/>
          <w:szCs w:val="24"/>
        </w:rPr>
        <w:t>between August and October 2022, with the a</w:t>
      </w:r>
      <w:r w:rsidRPr="006C598D">
        <w:rPr>
          <w:bCs/>
          <w:sz w:val="24"/>
          <w:szCs w:val="24"/>
        </w:rPr>
        <w:t xml:space="preserve">nalysis </w:t>
      </w:r>
      <w:r>
        <w:rPr>
          <w:bCs/>
          <w:sz w:val="24"/>
          <w:szCs w:val="24"/>
        </w:rPr>
        <w:t xml:space="preserve">and reporting of results completed </w:t>
      </w:r>
      <w:r w:rsidR="00386301">
        <w:rPr>
          <w:bCs/>
          <w:sz w:val="24"/>
          <w:szCs w:val="24"/>
        </w:rPr>
        <w:t>in</w:t>
      </w:r>
      <w:r>
        <w:rPr>
          <w:bCs/>
          <w:sz w:val="24"/>
          <w:szCs w:val="24"/>
        </w:rPr>
        <w:t xml:space="preserve"> </w:t>
      </w:r>
      <w:r w:rsidR="00386301">
        <w:rPr>
          <w:bCs/>
          <w:sz w:val="24"/>
          <w:szCs w:val="24"/>
        </w:rPr>
        <w:t>M</w:t>
      </w:r>
      <w:r>
        <w:rPr>
          <w:bCs/>
          <w:sz w:val="24"/>
          <w:szCs w:val="24"/>
        </w:rPr>
        <w:t>ay</w:t>
      </w:r>
      <w:r w:rsidRPr="006C598D">
        <w:rPr>
          <w:bCs/>
          <w:sz w:val="24"/>
          <w:szCs w:val="24"/>
        </w:rPr>
        <w:t xml:space="preserve"> 2023. </w:t>
      </w:r>
    </w:p>
    <w:p w:rsidRPr="00314705" w:rsidR="0057087C" w:rsidP="008C5826" w:rsidRDefault="0057087C" w14:paraId="774110BB" w14:textId="77777777">
      <w:pPr>
        <w:pStyle w:val="Heading2"/>
        <w:rPr>
          <w:rFonts w:ascii="Times New Roman" w:hAnsi="Times New Roman" w:cs="Times New Roman"/>
          <w:color w:val="auto"/>
          <w:sz w:val="24"/>
          <w:szCs w:val="24"/>
        </w:rPr>
      </w:pPr>
      <w:bookmarkStart w:name="_Toc290559168" w:id="24"/>
      <w:r w:rsidRPr="00314705">
        <w:rPr>
          <w:rFonts w:ascii="Times New Roman" w:hAnsi="Times New Roman" w:cs="Times New Roman"/>
          <w:color w:val="auto"/>
          <w:sz w:val="24"/>
          <w:szCs w:val="24"/>
        </w:rPr>
        <w:t>1</w:t>
      </w:r>
      <w:r w:rsidRPr="00314705" w:rsidR="00C15767">
        <w:rPr>
          <w:rFonts w:ascii="Times New Roman" w:hAnsi="Times New Roman" w:cs="Times New Roman"/>
          <w:color w:val="auto"/>
          <w:sz w:val="24"/>
          <w:szCs w:val="24"/>
        </w:rPr>
        <w:t>7</w:t>
      </w:r>
      <w:r w:rsidRPr="00314705">
        <w:rPr>
          <w:rFonts w:ascii="Times New Roman" w:hAnsi="Times New Roman" w:cs="Times New Roman"/>
          <w:color w:val="auto"/>
          <w:sz w:val="24"/>
          <w:szCs w:val="24"/>
        </w:rPr>
        <w:t xml:space="preserve">.  </w:t>
      </w:r>
      <w:r w:rsidRPr="00314705">
        <w:rPr>
          <w:rFonts w:ascii="Times New Roman" w:hAnsi="Times New Roman" w:cs="Times New Roman"/>
          <w:color w:val="auto"/>
          <w:sz w:val="24"/>
          <w:szCs w:val="24"/>
          <w:u w:val="single"/>
        </w:rPr>
        <w:t>Exemption for Display of Expiration Date</w:t>
      </w:r>
      <w:bookmarkEnd w:id="24"/>
    </w:p>
    <w:p w:rsidRPr="00CB177A" w:rsidR="0057087C" w:rsidRDefault="0057087C" w14:paraId="162BD70A" w14:textId="77777777">
      <w:pPr>
        <w:rPr>
          <w:sz w:val="24"/>
          <w:szCs w:val="24"/>
        </w:rPr>
      </w:pPr>
    </w:p>
    <w:p w:rsidRPr="00775D82" w:rsidR="00FE0070" w:rsidP="00FE0070" w:rsidRDefault="00FE0070" w14:paraId="2AE54CE9" w14:textId="77777777">
      <w:pPr>
        <w:rPr>
          <w:rFonts w:ascii="Arial" w:hAnsi="Arial" w:cs="Arial"/>
          <w:b/>
          <w:sz w:val="24"/>
          <w:szCs w:val="24"/>
        </w:rPr>
      </w:pPr>
      <w:r w:rsidRPr="00775D82">
        <w:rPr>
          <w:sz w:val="24"/>
          <w:szCs w:val="24"/>
        </w:rPr>
        <w:t>AHRQ does not seek this exemption.</w:t>
      </w:r>
    </w:p>
    <w:p w:rsidRPr="00CB177A" w:rsidR="0057087C" w:rsidRDefault="0057087C" w14:paraId="39C45BEA" w14:textId="4F05497C">
      <w:pPr>
        <w:rPr>
          <w:sz w:val="24"/>
          <w:szCs w:val="24"/>
        </w:rPr>
      </w:pPr>
    </w:p>
    <w:p w:rsidR="00ED3641" w:rsidRDefault="00ED3641" w14:paraId="6F68E1A7" w14:textId="77777777">
      <w:pPr>
        <w:rPr>
          <w:b/>
          <w:sz w:val="24"/>
          <w:szCs w:val="24"/>
          <w:u w:val="single"/>
        </w:rPr>
      </w:pPr>
      <w:r>
        <w:rPr>
          <w:b/>
          <w:sz w:val="24"/>
          <w:szCs w:val="24"/>
          <w:u w:val="single"/>
        </w:rPr>
        <w:t>L</w:t>
      </w:r>
      <w:r w:rsidR="000A3475">
        <w:rPr>
          <w:b/>
          <w:sz w:val="24"/>
          <w:szCs w:val="24"/>
          <w:u w:val="single"/>
        </w:rPr>
        <w:t>ist</w:t>
      </w:r>
      <w:r>
        <w:rPr>
          <w:b/>
          <w:sz w:val="24"/>
          <w:szCs w:val="24"/>
          <w:u w:val="single"/>
        </w:rPr>
        <w:t xml:space="preserve"> </w:t>
      </w:r>
      <w:r w:rsidR="000A3475">
        <w:rPr>
          <w:b/>
          <w:sz w:val="24"/>
          <w:szCs w:val="24"/>
          <w:u w:val="single"/>
        </w:rPr>
        <w:t>of</w:t>
      </w:r>
      <w:r>
        <w:rPr>
          <w:b/>
          <w:sz w:val="24"/>
          <w:szCs w:val="24"/>
          <w:u w:val="single"/>
        </w:rPr>
        <w:t xml:space="preserve"> A</w:t>
      </w:r>
      <w:r w:rsidR="000A3475">
        <w:rPr>
          <w:b/>
          <w:sz w:val="24"/>
          <w:szCs w:val="24"/>
          <w:u w:val="single"/>
        </w:rPr>
        <w:t>ttachments</w:t>
      </w:r>
    </w:p>
    <w:p w:rsidR="00C00276" w:rsidP="00C00276" w:rsidRDefault="00C00276" w14:paraId="25A5A66D" w14:textId="77777777">
      <w:bookmarkStart w:name="_Toc277862455" w:id="25"/>
    </w:p>
    <w:p w:rsidRPr="006C598D" w:rsidR="00CC1282" w:rsidP="00FE0070" w:rsidRDefault="00292A27" w14:paraId="5EFEAE46" w14:textId="373BA551">
      <w:pPr>
        <w:rPr>
          <w:sz w:val="24"/>
          <w:szCs w:val="24"/>
        </w:rPr>
      </w:pPr>
      <w:r w:rsidRPr="006C598D">
        <w:rPr>
          <w:sz w:val="24"/>
          <w:szCs w:val="24"/>
        </w:rPr>
        <w:t>Attachment A</w:t>
      </w:r>
      <w:r w:rsidRPr="006C598D" w:rsidR="00CC1282">
        <w:rPr>
          <w:sz w:val="24"/>
          <w:szCs w:val="24"/>
        </w:rPr>
        <w:t xml:space="preserve"> – </w:t>
      </w:r>
      <w:r w:rsidRPr="006C598D" w:rsidR="00F73BA2">
        <w:rPr>
          <w:sz w:val="24"/>
          <w:szCs w:val="24"/>
        </w:rPr>
        <w:t>Pilot Screener</w:t>
      </w:r>
    </w:p>
    <w:p w:rsidRPr="006C598D" w:rsidR="00CC1282" w:rsidP="00FE0070" w:rsidRDefault="00CC1282" w14:paraId="7120EC4E" w14:textId="42F78BFB">
      <w:pPr>
        <w:rPr>
          <w:sz w:val="24"/>
          <w:szCs w:val="24"/>
        </w:rPr>
      </w:pPr>
    </w:p>
    <w:p w:rsidRPr="00B803BD" w:rsidR="00CC1282" w:rsidP="00FE0070" w:rsidRDefault="00292A27" w14:paraId="2DC1EC49" w14:textId="59CE6A27">
      <w:pPr>
        <w:rPr>
          <w:sz w:val="24"/>
          <w:szCs w:val="24"/>
        </w:rPr>
      </w:pPr>
      <w:r w:rsidRPr="006C598D">
        <w:rPr>
          <w:sz w:val="24"/>
          <w:szCs w:val="24"/>
        </w:rPr>
        <w:t>Attachment B</w:t>
      </w:r>
      <w:r w:rsidRPr="006C598D" w:rsidR="00CC1282">
        <w:rPr>
          <w:sz w:val="24"/>
          <w:szCs w:val="24"/>
        </w:rPr>
        <w:t xml:space="preserve"> – </w:t>
      </w:r>
      <w:r w:rsidRPr="006C598D" w:rsidR="00F73BA2">
        <w:rPr>
          <w:sz w:val="24"/>
          <w:szCs w:val="24"/>
        </w:rPr>
        <w:t>Pilot Mailing Materials</w:t>
      </w:r>
      <w:bookmarkEnd w:id="25"/>
    </w:p>
    <w:sectPr w:rsidRPr="00B803BD" w:rsidR="00CC1282" w:rsidSect="00FA3B94">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FDC0F5" w14:textId="77777777" w:rsidR="00AA2FB1" w:rsidRDefault="00AA2FB1">
      <w:r>
        <w:separator/>
      </w:r>
    </w:p>
  </w:endnote>
  <w:endnote w:type="continuationSeparator" w:id="0">
    <w:p w14:paraId="50F6A1AD" w14:textId="77777777" w:rsidR="00AA2FB1" w:rsidRDefault="00AA2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P TypographicSymbols">
    <w:altName w:val="Courier New"/>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MathA">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10cpi">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274395" w14:textId="77777777" w:rsidR="00F6419D" w:rsidRDefault="00F6419D">
    <w:pPr>
      <w:pStyle w:val="Footer"/>
      <w:framePr w:w="576" w:wrap="around" w:vAnchor="page" w:hAnchor="page" w:x="5545" w:y="1512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6589A2D" w14:textId="77777777" w:rsidR="00F6419D" w:rsidRDefault="00F641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64DA65" w14:textId="57E52A81" w:rsidR="00F6419D" w:rsidRDefault="00F6419D">
    <w:pPr>
      <w:pStyle w:val="Footer"/>
      <w:framePr w:w="576" w:wrap="around" w:vAnchor="page" w:hAnchor="page" w:x="5545" w:y="15121"/>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606E45">
      <w:rPr>
        <w:rStyle w:val="PageNumber"/>
        <w:noProof/>
      </w:rPr>
      <w:t>7</w:t>
    </w:r>
    <w:r>
      <w:rPr>
        <w:rStyle w:val="PageNumber"/>
      </w:rPr>
      <w:fldChar w:fldCharType="end"/>
    </w:r>
  </w:p>
  <w:p w14:paraId="281B119C" w14:textId="77777777" w:rsidR="00F6419D" w:rsidRDefault="00F641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AE148F" w14:textId="77777777" w:rsidR="00AA2FB1" w:rsidRDefault="00AA2FB1">
      <w:r>
        <w:separator/>
      </w:r>
    </w:p>
  </w:footnote>
  <w:footnote w:type="continuationSeparator" w:id="0">
    <w:p w14:paraId="7DB98697" w14:textId="77777777" w:rsidR="00AA2FB1" w:rsidRDefault="00AA2F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C5DF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103B9"/>
    <w:multiLevelType w:val="multilevel"/>
    <w:tmpl w:val="642660C0"/>
    <w:lvl w:ilvl="0">
      <w:start w:val="1"/>
      <w:numFmt w:val="none"/>
      <w:lvlText w:val=""/>
      <w:legacy w:legacy="1" w:legacySpace="0" w:legacyIndent="720"/>
      <w:lvlJc w:val="left"/>
      <w:pPr>
        <w:ind w:left="720" w:hanging="720"/>
      </w:pPr>
      <w:rPr>
        <w:rFonts w:ascii="WP TypographicSymbols" w:hAnsi="WP TypographicSymbols" w:hint="default"/>
      </w:rPr>
    </w:lvl>
    <w:lvl w:ilvl="1">
      <w:start w:val="1"/>
      <w:numFmt w:val="none"/>
      <w:lvlText w:val=""/>
      <w:legacy w:legacy="1" w:legacySpace="0" w:legacyIndent="720"/>
      <w:lvlJc w:val="left"/>
      <w:pPr>
        <w:ind w:left="1440" w:hanging="720"/>
      </w:pPr>
      <w:rPr>
        <w:rFonts w:ascii="WP TypographicSymbols" w:hAnsi="WP TypographicSymbols" w:hint="default"/>
      </w:rPr>
    </w:lvl>
    <w:lvl w:ilvl="2">
      <w:start w:val="1"/>
      <w:numFmt w:val="none"/>
      <w:lvlText w:val=""/>
      <w:legacy w:legacy="1" w:legacySpace="0" w:legacyIndent="720"/>
      <w:lvlJc w:val="left"/>
      <w:pPr>
        <w:ind w:left="2160" w:hanging="720"/>
      </w:pPr>
      <w:rPr>
        <w:rFonts w:ascii="WP TypographicSymbols" w:hAnsi="WP TypographicSymbols" w:hint="default"/>
      </w:rPr>
    </w:lvl>
    <w:lvl w:ilvl="3">
      <w:start w:val="1"/>
      <w:numFmt w:val="none"/>
      <w:lvlText w:val=""/>
      <w:legacy w:legacy="1" w:legacySpace="0" w:legacyIndent="720"/>
      <w:lvlJc w:val="left"/>
      <w:pPr>
        <w:ind w:left="2880" w:hanging="720"/>
      </w:pPr>
      <w:rPr>
        <w:rFonts w:ascii="WP TypographicSymbols" w:hAnsi="WP TypographicSymbols" w:hint="default"/>
      </w:rPr>
    </w:lvl>
    <w:lvl w:ilvl="4">
      <w:start w:val="1"/>
      <w:numFmt w:val="none"/>
      <w:lvlText w:val=""/>
      <w:legacy w:legacy="1" w:legacySpace="0" w:legacyIndent="720"/>
      <w:lvlJc w:val="left"/>
      <w:pPr>
        <w:ind w:left="3600" w:hanging="720"/>
      </w:pPr>
      <w:rPr>
        <w:rFonts w:ascii="WP TypographicSymbols" w:hAnsi="WP TypographicSymbols" w:hint="default"/>
      </w:rPr>
    </w:lvl>
    <w:lvl w:ilvl="5">
      <w:start w:val="1"/>
      <w:numFmt w:val="none"/>
      <w:lvlText w:val=""/>
      <w:legacy w:legacy="1" w:legacySpace="0" w:legacyIndent="720"/>
      <w:lvlJc w:val="left"/>
      <w:pPr>
        <w:ind w:left="4320" w:hanging="720"/>
      </w:pPr>
      <w:rPr>
        <w:rFonts w:ascii="WP TypographicSymbols" w:hAnsi="WP TypographicSymbols" w:hint="default"/>
      </w:rPr>
    </w:lvl>
    <w:lvl w:ilvl="6">
      <w:start w:val="1"/>
      <w:numFmt w:val="none"/>
      <w:lvlText w:val=""/>
      <w:legacy w:legacy="1" w:legacySpace="0" w:legacyIndent="720"/>
      <w:lvlJc w:val="left"/>
      <w:pPr>
        <w:ind w:left="5040" w:hanging="720"/>
      </w:pPr>
      <w:rPr>
        <w:rFonts w:ascii="WP TypographicSymbols" w:hAnsi="WP TypographicSymbols" w:hint="default"/>
      </w:rPr>
    </w:lvl>
    <w:lvl w:ilvl="7">
      <w:start w:val="1"/>
      <w:numFmt w:val="none"/>
      <w:lvlText w:val=""/>
      <w:legacy w:legacy="1" w:legacySpace="0" w:legacyIndent="720"/>
      <w:lvlJc w:val="left"/>
      <w:pPr>
        <w:ind w:left="5760" w:hanging="720"/>
      </w:pPr>
      <w:rPr>
        <w:rFonts w:ascii="WP TypographicSymbols" w:hAnsi="WP TypographicSymbols" w:hint="default"/>
      </w:rPr>
    </w:lvl>
    <w:lvl w:ilvl="8">
      <w:start w:val="1"/>
      <w:numFmt w:val="lowerRoman"/>
      <w:lvlText w:val="%9"/>
      <w:legacy w:legacy="1" w:legacySpace="0" w:legacyIndent="720"/>
      <w:lvlJc w:val="left"/>
      <w:pPr>
        <w:ind w:left="6480" w:hanging="720"/>
      </w:pPr>
    </w:lvl>
  </w:abstractNum>
  <w:abstractNum w:abstractNumId="2" w15:restartNumberingAfterBreak="0">
    <w:nsid w:val="04571D98"/>
    <w:multiLevelType w:val="hybridMultilevel"/>
    <w:tmpl w:val="DE96E2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D95756"/>
    <w:multiLevelType w:val="multilevel"/>
    <w:tmpl w:val="E586FDFE"/>
    <w:lvl w:ilvl="0">
      <w:start w:val="1"/>
      <w:numFmt w:val="none"/>
      <w:lvlText w:val=""/>
      <w:legacy w:legacy="1" w:legacySpace="0" w:legacyIndent="720"/>
      <w:lvlJc w:val="left"/>
      <w:pPr>
        <w:ind w:left="720" w:hanging="720"/>
      </w:pPr>
      <w:rPr>
        <w:rFonts w:ascii="WP MathA" w:hAnsi="WP MathA" w:hint="default"/>
      </w:rPr>
    </w:lvl>
    <w:lvl w:ilvl="1">
      <w:start w:val="1"/>
      <w:numFmt w:val="none"/>
      <w:lvlText w:val=""/>
      <w:legacy w:legacy="1" w:legacySpace="0" w:legacyIndent="720"/>
      <w:lvlJc w:val="left"/>
      <w:pPr>
        <w:ind w:left="1440" w:hanging="720"/>
      </w:pPr>
      <w:rPr>
        <w:rFonts w:ascii="WP MathA" w:hAnsi="WP MathA" w:hint="default"/>
      </w:rPr>
    </w:lvl>
    <w:lvl w:ilvl="2">
      <w:start w:val="1"/>
      <w:numFmt w:val="none"/>
      <w:lvlText w:val=""/>
      <w:legacy w:legacy="1" w:legacySpace="0" w:legacyIndent="720"/>
      <w:lvlJc w:val="left"/>
      <w:pPr>
        <w:ind w:left="2160" w:hanging="720"/>
      </w:pPr>
      <w:rPr>
        <w:rFonts w:ascii="WP MathA" w:hAnsi="WP MathA" w:hint="default"/>
      </w:rPr>
    </w:lvl>
    <w:lvl w:ilvl="3">
      <w:start w:val="1"/>
      <w:numFmt w:val="none"/>
      <w:lvlText w:val=""/>
      <w:legacy w:legacy="1" w:legacySpace="0" w:legacyIndent="720"/>
      <w:lvlJc w:val="left"/>
      <w:pPr>
        <w:ind w:left="2880" w:hanging="720"/>
      </w:pPr>
      <w:rPr>
        <w:rFonts w:ascii="WP MathA" w:hAnsi="WP MathA" w:hint="default"/>
      </w:rPr>
    </w:lvl>
    <w:lvl w:ilvl="4">
      <w:start w:val="1"/>
      <w:numFmt w:val="none"/>
      <w:lvlText w:val=""/>
      <w:legacy w:legacy="1" w:legacySpace="0" w:legacyIndent="720"/>
      <w:lvlJc w:val="left"/>
      <w:pPr>
        <w:ind w:left="3600" w:hanging="720"/>
      </w:pPr>
      <w:rPr>
        <w:rFonts w:ascii="WP MathA" w:hAnsi="WP MathA" w:hint="default"/>
      </w:rPr>
    </w:lvl>
    <w:lvl w:ilvl="5">
      <w:start w:val="1"/>
      <w:numFmt w:val="none"/>
      <w:lvlText w:val=""/>
      <w:legacy w:legacy="1" w:legacySpace="0" w:legacyIndent="720"/>
      <w:lvlJc w:val="left"/>
      <w:pPr>
        <w:ind w:left="4320" w:hanging="720"/>
      </w:pPr>
      <w:rPr>
        <w:rFonts w:ascii="WP MathA" w:hAnsi="WP MathA" w:hint="default"/>
      </w:rPr>
    </w:lvl>
    <w:lvl w:ilvl="6">
      <w:start w:val="1"/>
      <w:numFmt w:val="none"/>
      <w:lvlText w:val=""/>
      <w:legacy w:legacy="1" w:legacySpace="0" w:legacyIndent="720"/>
      <w:lvlJc w:val="left"/>
      <w:pPr>
        <w:ind w:left="5040" w:hanging="720"/>
      </w:pPr>
      <w:rPr>
        <w:rFonts w:ascii="WP MathA" w:hAnsi="WP MathA" w:hint="default"/>
      </w:rPr>
    </w:lvl>
    <w:lvl w:ilvl="7">
      <w:start w:val="1"/>
      <w:numFmt w:val="none"/>
      <w:lvlText w:val=""/>
      <w:legacy w:legacy="1" w:legacySpace="0" w:legacyIndent="720"/>
      <w:lvlJc w:val="left"/>
      <w:pPr>
        <w:ind w:left="5760" w:hanging="720"/>
      </w:pPr>
      <w:rPr>
        <w:rFonts w:ascii="WP MathA" w:hAnsi="WP MathA" w:hint="default"/>
      </w:rPr>
    </w:lvl>
    <w:lvl w:ilvl="8">
      <w:start w:val="1"/>
      <w:numFmt w:val="lowerRoman"/>
      <w:lvlText w:val="%9"/>
      <w:legacy w:legacy="1" w:legacySpace="0" w:legacyIndent="720"/>
      <w:lvlJc w:val="left"/>
      <w:pPr>
        <w:ind w:left="6480" w:hanging="720"/>
      </w:pPr>
    </w:lvl>
  </w:abstractNum>
  <w:abstractNum w:abstractNumId="4" w15:restartNumberingAfterBreak="0">
    <w:nsid w:val="0B1A2859"/>
    <w:multiLevelType w:val="multilevel"/>
    <w:tmpl w:val="E586FDFE"/>
    <w:lvl w:ilvl="0">
      <w:start w:val="1"/>
      <w:numFmt w:val="none"/>
      <w:lvlText w:val=""/>
      <w:legacy w:legacy="1" w:legacySpace="0" w:legacyIndent="720"/>
      <w:lvlJc w:val="left"/>
      <w:pPr>
        <w:ind w:left="720" w:hanging="720"/>
      </w:pPr>
      <w:rPr>
        <w:rFonts w:ascii="WP MathA" w:hAnsi="WP MathA" w:hint="default"/>
      </w:rPr>
    </w:lvl>
    <w:lvl w:ilvl="1">
      <w:start w:val="1"/>
      <w:numFmt w:val="none"/>
      <w:lvlText w:val=""/>
      <w:legacy w:legacy="1" w:legacySpace="0" w:legacyIndent="720"/>
      <w:lvlJc w:val="left"/>
      <w:pPr>
        <w:ind w:left="1440" w:hanging="720"/>
      </w:pPr>
      <w:rPr>
        <w:rFonts w:ascii="WP MathA" w:hAnsi="WP MathA" w:hint="default"/>
      </w:rPr>
    </w:lvl>
    <w:lvl w:ilvl="2">
      <w:start w:val="1"/>
      <w:numFmt w:val="none"/>
      <w:lvlText w:val=""/>
      <w:legacy w:legacy="1" w:legacySpace="0" w:legacyIndent="720"/>
      <w:lvlJc w:val="left"/>
      <w:pPr>
        <w:ind w:left="2160" w:hanging="720"/>
      </w:pPr>
      <w:rPr>
        <w:rFonts w:ascii="WP MathA" w:hAnsi="WP MathA" w:hint="default"/>
      </w:rPr>
    </w:lvl>
    <w:lvl w:ilvl="3">
      <w:start w:val="1"/>
      <w:numFmt w:val="none"/>
      <w:lvlText w:val=""/>
      <w:legacy w:legacy="1" w:legacySpace="0" w:legacyIndent="720"/>
      <w:lvlJc w:val="left"/>
      <w:pPr>
        <w:ind w:left="2880" w:hanging="720"/>
      </w:pPr>
      <w:rPr>
        <w:rFonts w:ascii="WP MathA" w:hAnsi="WP MathA" w:hint="default"/>
      </w:rPr>
    </w:lvl>
    <w:lvl w:ilvl="4">
      <w:start w:val="1"/>
      <w:numFmt w:val="none"/>
      <w:lvlText w:val=""/>
      <w:legacy w:legacy="1" w:legacySpace="0" w:legacyIndent="720"/>
      <w:lvlJc w:val="left"/>
      <w:pPr>
        <w:ind w:left="3600" w:hanging="720"/>
      </w:pPr>
      <w:rPr>
        <w:rFonts w:ascii="WP MathA" w:hAnsi="WP MathA" w:hint="default"/>
      </w:rPr>
    </w:lvl>
    <w:lvl w:ilvl="5">
      <w:start w:val="1"/>
      <w:numFmt w:val="none"/>
      <w:lvlText w:val=""/>
      <w:legacy w:legacy="1" w:legacySpace="0" w:legacyIndent="720"/>
      <w:lvlJc w:val="left"/>
      <w:pPr>
        <w:ind w:left="4320" w:hanging="720"/>
      </w:pPr>
      <w:rPr>
        <w:rFonts w:ascii="WP MathA" w:hAnsi="WP MathA" w:hint="default"/>
      </w:rPr>
    </w:lvl>
    <w:lvl w:ilvl="6">
      <w:start w:val="1"/>
      <w:numFmt w:val="none"/>
      <w:lvlText w:val=""/>
      <w:legacy w:legacy="1" w:legacySpace="0" w:legacyIndent="720"/>
      <w:lvlJc w:val="left"/>
      <w:pPr>
        <w:ind w:left="5040" w:hanging="720"/>
      </w:pPr>
      <w:rPr>
        <w:rFonts w:ascii="WP MathA" w:hAnsi="WP MathA" w:hint="default"/>
      </w:rPr>
    </w:lvl>
    <w:lvl w:ilvl="7">
      <w:start w:val="1"/>
      <w:numFmt w:val="none"/>
      <w:lvlText w:val=""/>
      <w:legacy w:legacy="1" w:legacySpace="0" w:legacyIndent="720"/>
      <w:lvlJc w:val="left"/>
      <w:pPr>
        <w:ind w:left="5760" w:hanging="720"/>
      </w:pPr>
      <w:rPr>
        <w:rFonts w:ascii="WP MathA" w:hAnsi="WP MathA" w:hint="default"/>
      </w:rPr>
    </w:lvl>
    <w:lvl w:ilvl="8">
      <w:start w:val="1"/>
      <w:numFmt w:val="lowerRoman"/>
      <w:lvlText w:val="%9"/>
      <w:legacy w:legacy="1" w:legacySpace="0" w:legacyIndent="720"/>
      <w:lvlJc w:val="left"/>
      <w:pPr>
        <w:ind w:left="6480" w:hanging="720"/>
      </w:pPr>
    </w:lvl>
  </w:abstractNum>
  <w:abstractNum w:abstractNumId="5" w15:restartNumberingAfterBreak="0">
    <w:nsid w:val="0B1D1B62"/>
    <w:multiLevelType w:val="hybridMultilevel"/>
    <w:tmpl w:val="FB28D5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762C45"/>
    <w:multiLevelType w:val="multilevel"/>
    <w:tmpl w:val="E586FDFE"/>
    <w:lvl w:ilvl="0">
      <w:start w:val="1"/>
      <w:numFmt w:val="none"/>
      <w:lvlText w:val=""/>
      <w:legacy w:legacy="1" w:legacySpace="0" w:legacyIndent="720"/>
      <w:lvlJc w:val="left"/>
      <w:pPr>
        <w:ind w:left="720" w:hanging="720"/>
      </w:pPr>
      <w:rPr>
        <w:rFonts w:ascii="WP MathA" w:hAnsi="WP MathA" w:hint="default"/>
      </w:rPr>
    </w:lvl>
    <w:lvl w:ilvl="1">
      <w:start w:val="1"/>
      <w:numFmt w:val="none"/>
      <w:lvlText w:val=""/>
      <w:legacy w:legacy="1" w:legacySpace="0" w:legacyIndent="720"/>
      <w:lvlJc w:val="left"/>
      <w:pPr>
        <w:ind w:left="1440" w:hanging="720"/>
      </w:pPr>
      <w:rPr>
        <w:rFonts w:ascii="WP MathA" w:hAnsi="WP MathA" w:hint="default"/>
      </w:rPr>
    </w:lvl>
    <w:lvl w:ilvl="2">
      <w:start w:val="1"/>
      <w:numFmt w:val="none"/>
      <w:lvlText w:val=""/>
      <w:legacy w:legacy="1" w:legacySpace="0" w:legacyIndent="720"/>
      <w:lvlJc w:val="left"/>
      <w:pPr>
        <w:ind w:left="2160" w:hanging="720"/>
      </w:pPr>
      <w:rPr>
        <w:rFonts w:ascii="WP MathA" w:hAnsi="WP MathA" w:hint="default"/>
      </w:rPr>
    </w:lvl>
    <w:lvl w:ilvl="3">
      <w:start w:val="1"/>
      <w:numFmt w:val="none"/>
      <w:lvlText w:val=""/>
      <w:legacy w:legacy="1" w:legacySpace="0" w:legacyIndent="720"/>
      <w:lvlJc w:val="left"/>
      <w:pPr>
        <w:ind w:left="2880" w:hanging="720"/>
      </w:pPr>
      <w:rPr>
        <w:rFonts w:ascii="WP MathA" w:hAnsi="WP MathA" w:hint="default"/>
      </w:rPr>
    </w:lvl>
    <w:lvl w:ilvl="4">
      <w:start w:val="1"/>
      <w:numFmt w:val="none"/>
      <w:lvlText w:val=""/>
      <w:legacy w:legacy="1" w:legacySpace="0" w:legacyIndent="720"/>
      <w:lvlJc w:val="left"/>
      <w:pPr>
        <w:ind w:left="3600" w:hanging="720"/>
      </w:pPr>
      <w:rPr>
        <w:rFonts w:ascii="WP MathA" w:hAnsi="WP MathA" w:hint="default"/>
      </w:rPr>
    </w:lvl>
    <w:lvl w:ilvl="5">
      <w:start w:val="1"/>
      <w:numFmt w:val="none"/>
      <w:lvlText w:val=""/>
      <w:legacy w:legacy="1" w:legacySpace="0" w:legacyIndent="720"/>
      <w:lvlJc w:val="left"/>
      <w:pPr>
        <w:ind w:left="4320" w:hanging="720"/>
      </w:pPr>
      <w:rPr>
        <w:rFonts w:ascii="WP MathA" w:hAnsi="WP MathA" w:hint="default"/>
      </w:rPr>
    </w:lvl>
    <w:lvl w:ilvl="6">
      <w:start w:val="1"/>
      <w:numFmt w:val="none"/>
      <w:lvlText w:val=""/>
      <w:legacy w:legacy="1" w:legacySpace="0" w:legacyIndent="720"/>
      <w:lvlJc w:val="left"/>
      <w:pPr>
        <w:ind w:left="5040" w:hanging="720"/>
      </w:pPr>
      <w:rPr>
        <w:rFonts w:ascii="WP MathA" w:hAnsi="WP MathA" w:hint="default"/>
      </w:rPr>
    </w:lvl>
    <w:lvl w:ilvl="7">
      <w:start w:val="1"/>
      <w:numFmt w:val="none"/>
      <w:lvlText w:val=""/>
      <w:legacy w:legacy="1" w:legacySpace="0" w:legacyIndent="720"/>
      <w:lvlJc w:val="left"/>
      <w:pPr>
        <w:ind w:left="5760" w:hanging="720"/>
      </w:pPr>
      <w:rPr>
        <w:rFonts w:ascii="WP MathA" w:hAnsi="WP MathA" w:hint="default"/>
      </w:rPr>
    </w:lvl>
    <w:lvl w:ilvl="8">
      <w:start w:val="1"/>
      <w:numFmt w:val="lowerRoman"/>
      <w:lvlText w:val="%9"/>
      <w:legacy w:legacy="1" w:legacySpace="0" w:legacyIndent="720"/>
      <w:lvlJc w:val="left"/>
      <w:pPr>
        <w:ind w:left="6480" w:hanging="720"/>
      </w:pPr>
    </w:lvl>
  </w:abstractNum>
  <w:abstractNum w:abstractNumId="7" w15:restartNumberingAfterBreak="0">
    <w:nsid w:val="10CA4DEF"/>
    <w:multiLevelType w:val="hybridMultilevel"/>
    <w:tmpl w:val="452AC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FE2AD2"/>
    <w:multiLevelType w:val="multilevel"/>
    <w:tmpl w:val="E586FDFE"/>
    <w:lvl w:ilvl="0">
      <w:start w:val="1"/>
      <w:numFmt w:val="none"/>
      <w:lvlText w:val=""/>
      <w:legacy w:legacy="1" w:legacySpace="0" w:legacyIndent="720"/>
      <w:lvlJc w:val="left"/>
      <w:pPr>
        <w:ind w:left="720" w:hanging="720"/>
      </w:pPr>
      <w:rPr>
        <w:rFonts w:ascii="WP MathA" w:hAnsi="WP MathA" w:hint="default"/>
      </w:rPr>
    </w:lvl>
    <w:lvl w:ilvl="1">
      <w:start w:val="1"/>
      <w:numFmt w:val="none"/>
      <w:lvlText w:val=""/>
      <w:legacy w:legacy="1" w:legacySpace="0" w:legacyIndent="720"/>
      <w:lvlJc w:val="left"/>
      <w:pPr>
        <w:ind w:left="1440" w:hanging="720"/>
      </w:pPr>
      <w:rPr>
        <w:rFonts w:ascii="WP MathA" w:hAnsi="WP MathA" w:hint="default"/>
      </w:rPr>
    </w:lvl>
    <w:lvl w:ilvl="2">
      <w:start w:val="1"/>
      <w:numFmt w:val="none"/>
      <w:lvlText w:val=""/>
      <w:legacy w:legacy="1" w:legacySpace="0" w:legacyIndent="720"/>
      <w:lvlJc w:val="left"/>
      <w:pPr>
        <w:ind w:left="2160" w:hanging="720"/>
      </w:pPr>
      <w:rPr>
        <w:rFonts w:ascii="WP MathA" w:hAnsi="WP MathA" w:hint="default"/>
      </w:rPr>
    </w:lvl>
    <w:lvl w:ilvl="3">
      <w:start w:val="1"/>
      <w:numFmt w:val="none"/>
      <w:lvlText w:val=""/>
      <w:legacy w:legacy="1" w:legacySpace="0" w:legacyIndent="720"/>
      <w:lvlJc w:val="left"/>
      <w:pPr>
        <w:ind w:left="2880" w:hanging="720"/>
      </w:pPr>
      <w:rPr>
        <w:rFonts w:ascii="WP MathA" w:hAnsi="WP MathA" w:hint="default"/>
      </w:rPr>
    </w:lvl>
    <w:lvl w:ilvl="4">
      <w:start w:val="1"/>
      <w:numFmt w:val="none"/>
      <w:lvlText w:val=""/>
      <w:legacy w:legacy="1" w:legacySpace="0" w:legacyIndent="720"/>
      <w:lvlJc w:val="left"/>
      <w:pPr>
        <w:ind w:left="3600" w:hanging="720"/>
      </w:pPr>
      <w:rPr>
        <w:rFonts w:ascii="WP MathA" w:hAnsi="WP MathA" w:hint="default"/>
      </w:rPr>
    </w:lvl>
    <w:lvl w:ilvl="5">
      <w:start w:val="1"/>
      <w:numFmt w:val="none"/>
      <w:lvlText w:val=""/>
      <w:legacy w:legacy="1" w:legacySpace="0" w:legacyIndent="720"/>
      <w:lvlJc w:val="left"/>
      <w:pPr>
        <w:ind w:left="4320" w:hanging="720"/>
      </w:pPr>
      <w:rPr>
        <w:rFonts w:ascii="WP MathA" w:hAnsi="WP MathA" w:hint="default"/>
      </w:rPr>
    </w:lvl>
    <w:lvl w:ilvl="6">
      <w:start w:val="1"/>
      <w:numFmt w:val="none"/>
      <w:lvlText w:val=""/>
      <w:legacy w:legacy="1" w:legacySpace="0" w:legacyIndent="720"/>
      <w:lvlJc w:val="left"/>
      <w:pPr>
        <w:ind w:left="5040" w:hanging="720"/>
      </w:pPr>
      <w:rPr>
        <w:rFonts w:ascii="WP MathA" w:hAnsi="WP MathA" w:hint="default"/>
      </w:rPr>
    </w:lvl>
    <w:lvl w:ilvl="7">
      <w:start w:val="1"/>
      <w:numFmt w:val="none"/>
      <w:lvlText w:val=""/>
      <w:legacy w:legacy="1" w:legacySpace="0" w:legacyIndent="720"/>
      <w:lvlJc w:val="left"/>
      <w:pPr>
        <w:ind w:left="5760" w:hanging="720"/>
      </w:pPr>
      <w:rPr>
        <w:rFonts w:ascii="WP MathA" w:hAnsi="WP MathA" w:hint="default"/>
      </w:rPr>
    </w:lvl>
    <w:lvl w:ilvl="8">
      <w:start w:val="1"/>
      <w:numFmt w:val="lowerRoman"/>
      <w:lvlText w:val="%9"/>
      <w:legacy w:legacy="1" w:legacySpace="0" w:legacyIndent="720"/>
      <w:lvlJc w:val="left"/>
      <w:pPr>
        <w:ind w:left="6480" w:hanging="720"/>
      </w:pPr>
    </w:lvl>
  </w:abstractNum>
  <w:abstractNum w:abstractNumId="9" w15:restartNumberingAfterBreak="0">
    <w:nsid w:val="15B16F12"/>
    <w:multiLevelType w:val="multilevel"/>
    <w:tmpl w:val="E586FDFE"/>
    <w:lvl w:ilvl="0">
      <w:start w:val="1"/>
      <w:numFmt w:val="none"/>
      <w:lvlText w:val=""/>
      <w:legacy w:legacy="1" w:legacySpace="0" w:legacyIndent="720"/>
      <w:lvlJc w:val="left"/>
      <w:pPr>
        <w:ind w:left="720" w:hanging="720"/>
      </w:pPr>
      <w:rPr>
        <w:rFonts w:ascii="WP MathA" w:hAnsi="WP MathA" w:hint="default"/>
      </w:rPr>
    </w:lvl>
    <w:lvl w:ilvl="1">
      <w:start w:val="1"/>
      <w:numFmt w:val="none"/>
      <w:lvlText w:val=""/>
      <w:legacy w:legacy="1" w:legacySpace="0" w:legacyIndent="720"/>
      <w:lvlJc w:val="left"/>
      <w:pPr>
        <w:ind w:left="1440" w:hanging="720"/>
      </w:pPr>
      <w:rPr>
        <w:rFonts w:ascii="WP MathA" w:hAnsi="WP MathA" w:hint="default"/>
      </w:rPr>
    </w:lvl>
    <w:lvl w:ilvl="2">
      <w:start w:val="1"/>
      <w:numFmt w:val="none"/>
      <w:lvlText w:val=""/>
      <w:legacy w:legacy="1" w:legacySpace="0" w:legacyIndent="720"/>
      <w:lvlJc w:val="left"/>
      <w:pPr>
        <w:ind w:left="2160" w:hanging="720"/>
      </w:pPr>
      <w:rPr>
        <w:rFonts w:ascii="WP MathA" w:hAnsi="WP MathA" w:hint="default"/>
      </w:rPr>
    </w:lvl>
    <w:lvl w:ilvl="3">
      <w:start w:val="1"/>
      <w:numFmt w:val="none"/>
      <w:lvlText w:val=""/>
      <w:legacy w:legacy="1" w:legacySpace="0" w:legacyIndent="720"/>
      <w:lvlJc w:val="left"/>
      <w:pPr>
        <w:ind w:left="2880" w:hanging="720"/>
      </w:pPr>
      <w:rPr>
        <w:rFonts w:ascii="WP MathA" w:hAnsi="WP MathA" w:hint="default"/>
      </w:rPr>
    </w:lvl>
    <w:lvl w:ilvl="4">
      <w:start w:val="1"/>
      <w:numFmt w:val="none"/>
      <w:lvlText w:val=""/>
      <w:legacy w:legacy="1" w:legacySpace="0" w:legacyIndent="720"/>
      <w:lvlJc w:val="left"/>
      <w:pPr>
        <w:ind w:left="3600" w:hanging="720"/>
      </w:pPr>
      <w:rPr>
        <w:rFonts w:ascii="WP MathA" w:hAnsi="WP MathA" w:hint="default"/>
      </w:rPr>
    </w:lvl>
    <w:lvl w:ilvl="5">
      <w:start w:val="1"/>
      <w:numFmt w:val="none"/>
      <w:lvlText w:val=""/>
      <w:legacy w:legacy="1" w:legacySpace="0" w:legacyIndent="720"/>
      <w:lvlJc w:val="left"/>
      <w:pPr>
        <w:ind w:left="4320" w:hanging="720"/>
      </w:pPr>
      <w:rPr>
        <w:rFonts w:ascii="WP MathA" w:hAnsi="WP MathA" w:hint="default"/>
      </w:rPr>
    </w:lvl>
    <w:lvl w:ilvl="6">
      <w:start w:val="1"/>
      <w:numFmt w:val="none"/>
      <w:lvlText w:val=""/>
      <w:legacy w:legacy="1" w:legacySpace="0" w:legacyIndent="720"/>
      <w:lvlJc w:val="left"/>
      <w:pPr>
        <w:ind w:left="5040" w:hanging="720"/>
      </w:pPr>
      <w:rPr>
        <w:rFonts w:ascii="WP MathA" w:hAnsi="WP MathA" w:hint="default"/>
      </w:rPr>
    </w:lvl>
    <w:lvl w:ilvl="7">
      <w:start w:val="1"/>
      <w:numFmt w:val="none"/>
      <w:lvlText w:val=""/>
      <w:legacy w:legacy="1" w:legacySpace="0" w:legacyIndent="720"/>
      <w:lvlJc w:val="left"/>
      <w:pPr>
        <w:ind w:left="5760" w:hanging="720"/>
      </w:pPr>
      <w:rPr>
        <w:rFonts w:ascii="WP MathA" w:hAnsi="WP MathA" w:hint="default"/>
      </w:rPr>
    </w:lvl>
    <w:lvl w:ilvl="8">
      <w:start w:val="1"/>
      <w:numFmt w:val="lowerRoman"/>
      <w:lvlText w:val="%9"/>
      <w:legacy w:legacy="1" w:legacySpace="0" w:legacyIndent="720"/>
      <w:lvlJc w:val="left"/>
      <w:pPr>
        <w:ind w:left="6480" w:hanging="720"/>
      </w:pPr>
    </w:lvl>
  </w:abstractNum>
  <w:abstractNum w:abstractNumId="10" w15:restartNumberingAfterBreak="0">
    <w:nsid w:val="162545F5"/>
    <w:multiLevelType w:val="multilevel"/>
    <w:tmpl w:val="E586FDFE"/>
    <w:lvl w:ilvl="0">
      <w:start w:val="1"/>
      <w:numFmt w:val="none"/>
      <w:lvlText w:val=""/>
      <w:legacy w:legacy="1" w:legacySpace="0" w:legacyIndent="720"/>
      <w:lvlJc w:val="left"/>
      <w:pPr>
        <w:ind w:left="720" w:hanging="720"/>
      </w:pPr>
      <w:rPr>
        <w:rFonts w:ascii="WP MathA" w:hAnsi="WP MathA" w:hint="default"/>
      </w:rPr>
    </w:lvl>
    <w:lvl w:ilvl="1">
      <w:start w:val="1"/>
      <w:numFmt w:val="none"/>
      <w:lvlText w:val=""/>
      <w:legacy w:legacy="1" w:legacySpace="0" w:legacyIndent="720"/>
      <w:lvlJc w:val="left"/>
      <w:pPr>
        <w:ind w:left="1440" w:hanging="720"/>
      </w:pPr>
      <w:rPr>
        <w:rFonts w:ascii="WP MathA" w:hAnsi="WP MathA" w:hint="default"/>
      </w:rPr>
    </w:lvl>
    <w:lvl w:ilvl="2">
      <w:start w:val="1"/>
      <w:numFmt w:val="none"/>
      <w:lvlText w:val=""/>
      <w:legacy w:legacy="1" w:legacySpace="0" w:legacyIndent="720"/>
      <w:lvlJc w:val="left"/>
      <w:pPr>
        <w:ind w:left="2160" w:hanging="720"/>
      </w:pPr>
      <w:rPr>
        <w:rFonts w:ascii="WP MathA" w:hAnsi="WP MathA" w:hint="default"/>
      </w:rPr>
    </w:lvl>
    <w:lvl w:ilvl="3">
      <w:start w:val="1"/>
      <w:numFmt w:val="none"/>
      <w:lvlText w:val=""/>
      <w:legacy w:legacy="1" w:legacySpace="0" w:legacyIndent="720"/>
      <w:lvlJc w:val="left"/>
      <w:pPr>
        <w:ind w:left="2880" w:hanging="720"/>
      </w:pPr>
      <w:rPr>
        <w:rFonts w:ascii="WP MathA" w:hAnsi="WP MathA" w:hint="default"/>
      </w:rPr>
    </w:lvl>
    <w:lvl w:ilvl="4">
      <w:start w:val="1"/>
      <w:numFmt w:val="none"/>
      <w:lvlText w:val=""/>
      <w:legacy w:legacy="1" w:legacySpace="0" w:legacyIndent="720"/>
      <w:lvlJc w:val="left"/>
      <w:pPr>
        <w:ind w:left="3600" w:hanging="720"/>
      </w:pPr>
      <w:rPr>
        <w:rFonts w:ascii="WP MathA" w:hAnsi="WP MathA" w:hint="default"/>
      </w:rPr>
    </w:lvl>
    <w:lvl w:ilvl="5">
      <w:start w:val="1"/>
      <w:numFmt w:val="none"/>
      <w:lvlText w:val=""/>
      <w:legacy w:legacy="1" w:legacySpace="0" w:legacyIndent="720"/>
      <w:lvlJc w:val="left"/>
      <w:pPr>
        <w:ind w:left="4320" w:hanging="720"/>
      </w:pPr>
      <w:rPr>
        <w:rFonts w:ascii="WP MathA" w:hAnsi="WP MathA" w:hint="default"/>
      </w:rPr>
    </w:lvl>
    <w:lvl w:ilvl="6">
      <w:start w:val="1"/>
      <w:numFmt w:val="none"/>
      <w:lvlText w:val=""/>
      <w:legacy w:legacy="1" w:legacySpace="0" w:legacyIndent="720"/>
      <w:lvlJc w:val="left"/>
      <w:pPr>
        <w:ind w:left="5040" w:hanging="720"/>
      </w:pPr>
      <w:rPr>
        <w:rFonts w:ascii="WP MathA" w:hAnsi="WP MathA" w:hint="default"/>
      </w:rPr>
    </w:lvl>
    <w:lvl w:ilvl="7">
      <w:start w:val="1"/>
      <w:numFmt w:val="none"/>
      <w:lvlText w:val=""/>
      <w:legacy w:legacy="1" w:legacySpace="0" w:legacyIndent="720"/>
      <w:lvlJc w:val="left"/>
      <w:pPr>
        <w:ind w:left="5760" w:hanging="720"/>
      </w:pPr>
      <w:rPr>
        <w:rFonts w:ascii="WP MathA" w:hAnsi="WP MathA" w:hint="default"/>
      </w:rPr>
    </w:lvl>
    <w:lvl w:ilvl="8">
      <w:start w:val="1"/>
      <w:numFmt w:val="lowerRoman"/>
      <w:lvlText w:val="%9"/>
      <w:legacy w:legacy="1" w:legacySpace="0" w:legacyIndent="720"/>
      <w:lvlJc w:val="left"/>
      <w:pPr>
        <w:ind w:left="6480" w:hanging="720"/>
      </w:pPr>
    </w:lvl>
  </w:abstractNum>
  <w:abstractNum w:abstractNumId="11" w15:restartNumberingAfterBreak="0">
    <w:nsid w:val="16F6000E"/>
    <w:multiLevelType w:val="hybridMultilevel"/>
    <w:tmpl w:val="99F4A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D332A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620501F"/>
    <w:multiLevelType w:val="multilevel"/>
    <w:tmpl w:val="E586FDFE"/>
    <w:lvl w:ilvl="0">
      <w:start w:val="1"/>
      <w:numFmt w:val="none"/>
      <w:lvlText w:val=""/>
      <w:legacy w:legacy="1" w:legacySpace="0" w:legacyIndent="720"/>
      <w:lvlJc w:val="left"/>
      <w:pPr>
        <w:ind w:left="720" w:hanging="720"/>
      </w:pPr>
      <w:rPr>
        <w:rFonts w:ascii="WP MathA" w:hAnsi="WP MathA" w:hint="default"/>
      </w:rPr>
    </w:lvl>
    <w:lvl w:ilvl="1">
      <w:start w:val="1"/>
      <w:numFmt w:val="none"/>
      <w:lvlText w:val=""/>
      <w:legacy w:legacy="1" w:legacySpace="0" w:legacyIndent="720"/>
      <w:lvlJc w:val="left"/>
      <w:pPr>
        <w:ind w:left="1440" w:hanging="720"/>
      </w:pPr>
      <w:rPr>
        <w:rFonts w:ascii="WP MathA" w:hAnsi="WP MathA" w:hint="default"/>
      </w:rPr>
    </w:lvl>
    <w:lvl w:ilvl="2">
      <w:start w:val="1"/>
      <w:numFmt w:val="none"/>
      <w:lvlText w:val=""/>
      <w:legacy w:legacy="1" w:legacySpace="0" w:legacyIndent="720"/>
      <w:lvlJc w:val="left"/>
      <w:pPr>
        <w:ind w:left="2160" w:hanging="720"/>
      </w:pPr>
      <w:rPr>
        <w:rFonts w:ascii="WP MathA" w:hAnsi="WP MathA" w:hint="default"/>
      </w:rPr>
    </w:lvl>
    <w:lvl w:ilvl="3">
      <w:start w:val="1"/>
      <w:numFmt w:val="none"/>
      <w:lvlText w:val=""/>
      <w:legacy w:legacy="1" w:legacySpace="0" w:legacyIndent="720"/>
      <w:lvlJc w:val="left"/>
      <w:pPr>
        <w:ind w:left="2880" w:hanging="720"/>
      </w:pPr>
      <w:rPr>
        <w:rFonts w:ascii="WP MathA" w:hAnsi="WP MathA" w:hint="default"/>
      </w:rPr>
    </w:lvl>
    <w:lvl w:ilvl="4">
      <w:start w:val="1"/>
      <w:numFmt w:val="none"/>
      <w:lvlText w:val=""/>
      <w:legacy w:legacy="1" w:legacySpace="0" w:legacyIndent="720"/>
      <w:lvlJc w:val="left"/>
      <w:pPr>
        <w:ind w:left="3600" w:hanging="720"/>
      </w:pPr>
      <w:rPr>
        <w:rFonts w:ascii="WP MathA" w:hAnsi="WP MathA" w:hint="default"/>
      </w:rPr>
    </w:lvl>
    <w:lvl w:ilvl="5">
      <w:start w:val="1"/>
      <w:numFmt w:val="none"/>
      <w:lvlText w:val=""/>
      <w:legacy w:legacy="1" w:legacySpace="0" w:legacyIndent="720"/>
      <w:lvlJc w:val="left"/>
      <w:pPr>
        <w:ind w:left="4320" w:hanging="720"/>
      </w:pPr>
      <w:rPr>
        <w:rFonts w:ascii="WP MathA" w:hAnsi="WP MathA" w:hint="default"/>
      </w:rPr>
    </w:lvl>
    <w:lvl w:ilvl="6">
      <w:start w:val="1"/>
      <w:numFmt w:val="none"/>
      <w:lvlText w:val=""/>
      <w:legacy w:legacy="1" w:legacySpace="0" w:legacyIndent="720"/>
      <w:lvlJc w:val="left"/>
      <w:pPr>
        <w:ind w:left="5040" w:hanging="720"/>
      </w:pPr>
      <w:rPr>
        <w:rFonts w:ascii="WP MathA" w:hAnsi="WP MathA" w:hint="default"/>
      </w:rPr>
    </w:lvl>
    <w:lvl w:ilvl="7">
      <w:start w:val="1"/>
      <w:numFmt w:val="none"/>
      <w:lvlText w:val=""/>
      <w:legacy w:legacy="1" w:legacySpace="0" w:legacyIndent="720"/>
      <w:lvlJc w:val="left"/>
      <w:pPr>
        <w:ind w:left="5760" w:hanging="720"/>
      </w:pPr>
      <w:rPr>
        <w:rFonts w:ascii="WP MathA" w:hAnsi="WP MathA" w:hint="default"/>
      </w:rPr>
    </w:lvl>
    <w:lvl w:ilvl="8">
      <w:start w:val="1"/>
      <w:numFmt w:val="lowerRoman"/>
      <w:lvlText w:val="%9"/>
      <w:legacy w:legacy="1" w:legacySpace="0" w:legacyIndent="720"/>
      <w:lvlJc w:val="left"/>
      <w:pPr>
        <w:ind w:left="6480" w:hanging="720"/>
      </w:pPr>
    </w:lvl>
  </w:abstractNum>
  <w:abstractNum w:abstractNumId="14" w15:restartNumberingAfterBreak="0">
    <w:nsid w:val="27180C3C"/>
    <w:multiLevelType w:val="hybridMultilevel"/>
    <w:tmpl w:val="3D484F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9AA1096"/>
    <w:multiLevelType w:val="hybridMultilevel"/>
    <w:tmpl w:val="62EA499E"/>
    <w:lvl w:ilvl="0" w:tplc="168E82A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BC8482A"/>
    <w:multiLevelType w:val="hybridMultilevel"/>
    <w:tmpl w:val="7E0271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BD5461F"/>
    <w:multiLevelType w:val="multilevel"/>
    <w:tmpl w:val="E586FDFE"/>
    <w:lvl w:ilvl="0">
      <w:start w:val="1"/>
      <w:numFmt w:val="none"/>
      <w:lvlText w:val=""/>
      <w:legacy w:legacy="1" w:legacySpace="0" w:legacyIndent="720"/>
      <w:lvlJc w:val="left"/>
      <w:pPr>
        <w:ind w:left="720" w:hanging="720"/>
      </w:pPr>
      <w:rPr>
        <w:rFonts w:ascii="WP MathA" w:hAnsi="WP MathA" w:hint="default"/>
      </w:rPr>
    </w:lvl>
    <w:lvl w:ilvl="1">
      <w:start w:val="1"/>
      <w:numFmt w:val="none"/>
      <w:lvlText w:val=""/>
      <w:legacy w:legacy="1" w:legacySpace="0" w:legacyIndent="720"/>
      <w:lvlJc w:val="left"/>
      <w:pPr>
        <w:ind w:left="1440" w:hanging="720"/>
      </w:pPr>
      <w:rPr>
        <w:rFonts w:ascii="WP MathA" w:hAnsi="WP MathA" w:hint="default"/>
      </w:rPr>
    </w:lvl>
    <w:lvl w:ilvl="2">
      <w:start w:val="1"/>
      <w:numFmt w:val="none"/>
      <w:lvlText w:val=""/>
      <w:legacy w:legacy="1" w:legacySpace="0" w:legacyIndent="720"/>
      <w:lvlJc w:val="left"/>
      <w:pPr>
        <w:ind w:left="2160" w:hanging="720"/>
      </w:pPr>
      <w:rPr>
        <w:rFonts w:ascii="WP MathA" w:hAnsi="WP MathA" w:hint="default"/>
      </w:rPr>
    </w:lvl>
    <w:lvl w:ilvl="3">
      <w:start w:val="1"/>
      <w:numFmt w:val="none"/>
      <w:lvlText w:val=""/>
      <w:legacy w:legacy="1" w:legacySpace="0" w:legacyIndent="720"/>
      <w:lvlJc w:val="left"/>
      <w:pPr>
        <w:ind w:left="2880" w:hanging="720"/>
      </w:pPr>
      <w:rPr>
        <w:rFonts w:ascii="WP MathA" w:hAnsi="WP MathA" w:hint="default"/>
      </w:rPr>
    </w:lvl>
    <w:lvl w:ilvl="4">
      <w:start w:val="1"/>
      <w:numFmt w:val="none"/>
      <w:lvlText w:val=""/>
      <w:legacy w:legacy="1" w:legacySpace="0" w:legacyIndent="720"/>
      <w:lvlJc w:val="left"/>
      <w:pPr>
        <w:ind w:left="3600" w:hanging="720"/>
      </w:pPr>
      <w:rPr>
        <w:rFonts w:ascii="WP MathA" w:hAnsi="WP MathA" w:hint="default"/>
      </w:rPr>
    </w:lvl>
    <w:lvl w:ilvl="5">
      <w:start w:val="1"/>
      <w:numFmt w:val="none"/>
      <w:lvlText w:val=""/>
      <w:legacy w:legacy="1" w:legacySpace="0" w:legacyIndent="720"/>
      <w:lvlJc w:val="left"/>
      <w:pPr>
        <w:ind w:left="4320" w:hanging="720"/>
      </w:pPr>
      <w:rPr>
        <w:rFonts w:ascii="WP MathA" w:hAnsi="WP MathA" w:hint="default"/>
      </w:rPr>
    </w:lvl>
    <w:lvl w:ilvl="6">
      <w:start w:val="1"/>
      <w:numFmt w:val="none"/>
      <w:lvlText w:val=""/>
      <w:legacy w:legacy="1" w:legacySpace="0" w:legacyIndent="720"/>
      <w:lvlJc w:val="left"/>
      <w:pPr>
        <w:ind w:left="5040" w:hanging="720"/>
      </w:pPr>
      <w:rPr>
        <w:rFonts w:ascii="WP MathA" w:hAnsi="WP MathA" w:hint="default"/>
      </w:rPr>
    </w:lvl>
    <w:lvl w:ilvl="7">
      <w:start w:val="1"/>
      <w:numFmt w:val="none"/>
      <w:lvlText w:val=""/>
      <w:legacy w:legacy="1" w:legacySpace="0" w:legacyIndent="720"/>
      <w:lvlJc w:val="left"/>
      <w:pPr>
        <w:ind w:left="5760" w:hanging="720"/>
      </w:pPr>
      <w:rPr>
        <w:rFonts w:ascii="WP MathA" w:hAnsi="WP MathA" w:hint="default"/>
      </w:rPr>
    </w:lvl>
    <w:lvl w:ilvl="8">
      <w:start w:val="1"/>
      <w:numFmt w:val="lowerRoman"/>
      <w:lvlText w:val="%9"/>
      <w:legacy w:legacy="1" w:legacySpace="0" w:legacyIndent="720"/>
      <w:lvlJc w:val="left"/>
      <w:pPr>
        <w:ind w:left="6480" w:hanging="720"/>
      </w:pPr>
    </w:lvl>
  </w:abstractNum>
  <w:abstractNum w:abstractNumId="18" w15:restartNumberingAfterBreak="0">
    <w:nsid w:val="308F2B70"/>
    <w:multiLevelType w:val="hybridMultilevel"/>
    <w:tmpl w:val="7794F4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565722"/>
    <w:multiLevelType w:val="multilevel"/>
    <w:tmpl w:val="E586FDFE"/>
    <w:lvl w:ilvl="0">
      <w:start w:val="1"/>
      <w:numFmt w:val="none"/>
      <w:lvlText w:val=""/>
      <w:legacy w:legacy="1" w:legacySpace="0" w:legacyIndent="720"/>
      <w:lvlJc w:val="left"/>
      <w:pPr>
        <w:ind w:left="720" w:hanging="720"/>
      </w:pPr>
      <w:rPr>
        <w:rFonts w:ascii="WP MathA" w:hAnsi="WP MathA" w:hint="default"/>
      </w:rPr>
    </w:lvl>
    <w:lvl w:ilvl="1">
      <w:start w:val="1"/>
      <w:numFmt w:val="none"/>
      <w:lvlText w:val=""/>
      <w:legacy w:legacy="1" w:legacySpace="0" w:legacyIndent="720"/>
      <w:lvlJc w:val="left"/>
      <w:pPr>
        <w:ind w:left="1440" w:hanging="720"/>
      </w:pPr>
      <w:rPr>
        <w:rFonts w:ascii="WP MathA" w:hAnsi="WP MathA" w:hint="default"/>
      </w:rPr>
    </w:lvl>
    <w:lvl w:ilvl="2">
      <w:start w:val="1"/>
      <w:numFmt w:val="none"/>
      <w:lvlText w:val=""/>
      <w:legacy w:legacy="1" w:legacySpace="0" w:legacyIndent="720"/>
      <w:lvlJc w:val="left"/>
      <w:pPr>
        <w:ind w:left="2160" w:hanging="720"/>
      </w:pPr>
      <w:rPr>
        <w:rFonts w:ascii="WP MathA" w:hAnsi="WP MathA" w:hint="default"/>
      </w:rPr>
    </w:lvl>
    <w:lvl w:ilvl="3">
      <w:start w:val="1"/>
      <w:numFmt w:val="none"/>
      <w:lvlText w:val=""/>
      <w:legacy w:legacy="1" w:legacySpace="0" w:legacyIndent="720"/>
      <w:lvlJc w:val="left"/>
      <w:pPr>
        <w:ind w:left="2880" w:hanging="720"/>
      </w:pPr>
      <w:rPr>
        <w:rFonts w:ascii="WP MathA" w:hAnsi="WP MathA" w:hint="default"/>
      </w:rPr>
    </w:lvl>
    <w:lvl w:ilvl="4">
      <w:start w:val="1"/>
      <w:numFmt w:val="none"/>
      <w:lvlText w:val=""/>
      <w:legacy w:legacy="1" w:legacySpace="0" w:legacyIndent="720"/>
      <w:lvlJc w:val="left"/>
      <w:pPr>
        <w:ind w:left="3600" w:hanging="720"/>
      </w:pPr>
      <w:rPr>
        <w:rFonts w:ascii="WP MathA" w:hAnsi="WP MathA" w:hint="default"/>
      </w:rPr>
    </w:lvl>
    <w:lvl w:ilvl="5">
      <w:start w:val="1"/>
      <w:numFmt w:val="none"/>
      <w:lvlText w:val=""/>
      <w:legacy w:legacy="1" w:legacySpace="0" w:legacyIndent="720"/>
      <w:lvlJc w:val="left"/>
      <w:pPr>
        <w:ind w:left="4320" w:hanging="720"/>
      </w:pPr>
      <w:rPr>
        <w:rFonts w:ascii="WP MathA" w:hAnsi="WP MathA" w:hint="default"/>
      </w:rPr>
    </w:lvl>
    <w:lvl w:ilvl="6">
      <w:start w:val="1"/>
      <w:numFmt w:val="none"/>
      <w:lvlText w:val=""/>
      <w:legacy w:legacy="1" w:legacySpace="0" w:legacyIndent="720"/>
      <w:lvlJc w:val="left"/>
      <w:pPr>
        <w:ind w:left="5040" w:hanging="720"/>
      </w:pPr>
      <w:rPr>
        <w:rFonts w:ascii="WP MathA" w:hAnsi="WP MathA" w:hint="default"/>
      </w:rPr>
    </w:lvl>
    <w:lvl w:ilvl="7">
      <w:start w:val="1"/>
      <w:numFmt w:val="none"/>
      <w:lvlText w:val=""/>
      <w:legacy w:legacy="1" w:legacySpace="0" w:legacyIndent="720"/>
      <w:lvlJc w:val="left"/>
      <w:pPr>
        <w:ind w:left="5760" w:hanging="720"/>
      </w:pPr>
      <w:rPr>
        <w:rFonts w:ascii="WP MathA" w:hAnsi="WP MathA" w:hint="default"/>
      </w:rPr>
    </w:lvl>
    <w:lvl w:ilvl="8">
      <w:start w:val="1"/>
      <w:numFmt w:val="lowerRoman"/>
      <w:lvlText w:val="%9"/>
      <w:legacy w:legacy="1" w:legacySpace="0" w:legacyIndent="720"/>
      <w:lvlJc w:val="left"/>
      <w:pPr>
        <w:ind w:left="6480" w:hanging="720"/>
      </w:pPr>
    </w:lvl>
  </w:abstractNum>
  <w:abstractNum w:abstractNumId="20" w15:restartNumberingAfterBreak="0">
    <w:nsid w:val="37CB293E"/>
    <w:multiLevelType w:val="multilevel"/>
    <w:tmpl w:val="E586FDFE"/>
    <w:lvl w:ilvl="0">
      <w:start w:val="1"/>
      <w:numFmt w:val="none"/>
      <w:lvlText w:val=""/>
      <w:legacy w:legacy="1" w:legacySpace="0" w:legacyIndent="720"/>
      <w:lvlJc w:val="left"/>
      <w:pPr>
        <w:ind w:left="720" w:hanging="720"/>
      </w:pPr>
      <w:rPr>
        <w:rFonts w:ascii="WP MathA" w:hAnsi="WP MathA" w:hint="default"/>
      </w:rPr>
    </w:lvl>
    <w:lvl w:ilvl="1">
      <w:start w:val="1"/>
      <w:numFmt w:val="none"/>
      <w:lvlText w:val=""/>
      <w:legacy w:legacy="1" w:legacySpace="0" w:legacyIndent="720"/>
      <w:lvlJc w:val="left"/>
      <w:pPr>
        <w:ind w:left="1440" w:hanging="720"/>
      </w:pPr>
      <w:rPr>
        <w:rFonts w:ascii="WP MathA" w:hAnsi="WP MathA" w:hint="default"/>
      </w:rPr>
    </w:lvl>
    <w:lvl w:ilvl="2">
      <w:start w:val="1"/>
      <w:numFmt w:val="none"/>
      <w:lvlText w:val=""/>
      <w:legacy w:legacy="1" w:legacySpace="0" w:legacyIndent="720"/>
      <w:lvlJc w:val="left"/>
      <w:pPr>
        <w:ind w:left="2160" w:hanging="720"/>
      </w:pPr>
      <w:rPr>
        <w:rFonts w:ascii="WP MathA" w:hAnsi="WP MathA" w:hint="default"/>
      </w:rPr>
    </w:lvl>
    <w:lvl w:ilvl="3">
      <w:start w:val="1"/>
      <w:numFmt w:val="none"/>
      <w:lvlText w:val=""/>
      <w:legacy w:legacy="1" w:legacySpace="0" w:legacyIndent="720"/>
      <w:lvlJc w:val="left"/>
      <w:pPr>
        <w:ind w:left="2880" w:hanging="720"/>
      </w:pPr>
      <w:rPr>
        <w:rFonts w:ascii="WP MathA" w:hAnsi="WP MathA" w:hint="default"/>
      </w:rPr>
    </w:lvl>
    <w:lvl w:ilvl="4">
      <w:start w:val="1"/>
      <w:numFmt w:val="none"/>
      <w:lvlText w:val=""/>
      <w:legacy w:legacy="1" w:legacySpace="0" w:legacyIndent="720"/>
      <w:lvlJc w:val="left"/>
      <w:pPr>
        <w:ind w:left="3600" w:hanging="720"/>
      </w:pPr>
      <w:rPr>
        <w:rFonts w:ascii="WP MathA" w:hAnsi="WP MathA" w:hint="default"/>
      </w:rPr>
    </w:lvl>
    <w:lvl w:ilvl="5">
      <w:start w:val="1"/>
      <w:numFmt w:val="none"/>
      <w:lvlText w:val=""/>
      <w:legacy w:legacy="1" w:legacySpace="0" w:legacyIndent="720"/>
      <w:lvlJc w:val="left"/>
      <w:pPr>
        <w:ind w:left="4320" w:hanging="720"/>
      </w:pPr>
      <w:rPr>
        <w:rFonts w:ascii="WP MathA" w:hAnsi="WP MathA" w:hint="default"/>
      </w:rPr>
    </w:lvl>
    <w:lvl w:ilvl="6">
      <w:start w:val="1"/>
      <w:numFmt w:val="none"/>
      <w:lvlText w:val=""/>
      <w:legacy w:legacy="1" w:legacySpace="0" w:legacyIndent="720"/>
      <w:lvlJc w:val="left"/>
      <w:pPr>
        <w:ind w:left="5040" w:hanging="720"/>
      </w:pPr>
      <w:rPr>
        <w:rFonts w:ascii="WP MathA" w:hAnsi="WP MathA" w:hint="default"/>
      </w:rPr>
    </w:lvl>
    <w:lvl w:ilvl="7">
      <w:start w:val="1"/>
      <w:numFmt w:val="none"/>
      <w:lvlText w:val=""/>
      <w:legacy w:legacy="1" w:legacySpace="0" w:legacyIndent="720"/>
      <w:lvlJc w:val="left"/>
      <w:pPr>
        <w:ind w:left="5760" w:hanging="720"/>
      </w:pPr>
      <w:rPr>
        <w:rFonts w:ascii="WP MathA" w:hAnsi="WP MathA" w:hint="default"/>
      </w:rPr>
    </w:lvl>
    <w:lvl w:ilvl="8">
      <w:start w:val="1"/>
      <w:numFmt w:val="lowerRoman"/>
      <w:lvlText w:val="%9"/>
      <w:legacy w:legacy="1" w:legacySpace="0" w:legacyIndent="720"/>
      <w:lvlJc w:val="left"/>
      <w:pPr>
        <w:ind w:left="6480" w:hanging="720"/>
      </w:pPr>
    </w:lvl>
  </w:abstractNum>
  <w:abstractNum w:abstractNumId="21" w15:restartNumberingAfterBreak="0">
    <w:nsid w:val="39E07B57"/>
    <w:multiLevelType w:val="multilevel"/>
    <w:tmpl w:val="E586FDFE"/>
    <w:lvl w:ilvl="0">
      <w:start w:val="1"/>
      <w:numFmt w:val="none"/>
      <w:lvlText w:val=""/>
      <w:legacy w:legacy="1" w:legacySpace="0" w:legacyIndent="720"/>
      <w:lvlJc w:val="left"/>
      <w:pPr>
        <w:ind w:left="720" w:hanging="720"/>
      </w:pPr>
      <w:rPr>
        <w:rFonts w:ascii="WP MathA" w:hAnsi="WP MathA" w:hint="default"/>
      </w:rPr>
    </w:lvl>
    <w:lvl w:ilvl="1">
      <w:start w:val="1"/>
      <w:numFmt w:val="none"/>
      <w:lvlText w:val=""/>
      <w:legacy w:legacy="1" w:legacySpace="0" w:legacyIndent="720"/>
      <w:lvlJc w:val="left"/>
      <w:pPr>
        <w:ind w:left="1440" w:hanging="720"/>
      </w:pPr>
      <w:rPr>
        <w:rFonts w:ascii="WP MathA" w:hAnsi="WP MathA" w:hint="default"/>
      </w:rPr>
    </w:lvl>
    <w:lvl w:ilvl="2">
      <w:start w:val="1"/>
      <w:numFmt w:val="none"/>
      <w:lvlText w:val=""/>
      <w:legacy w:legacy="1" w:legacySpace="0" w:legacyIndent="720"/>
      <w:lvlJc w:val="left"/>
      <w:pPr>
        <w:ind w:left="2160" w:hanging="720"/>
      </w:pPr>
      <w:rPr>
        <w:rFonts w:ascii="WP MathA" w:hAnsi="WP MathA" w:hint="default"/>
      </w:rPr>
    </w:lvl>
    <w:lvl w:ilvl="3">
      <w:start w:val="1"/>
      <w:numFmt w:val="none"/>
      <w:lvlText w:val=""/>
      <w:legacy w:legacy="1" w:legacySpace="0" w:legacyIndent="720"/>
      <w:lvlJc w:val="left"/>
      <w:pPr>
        <w:ind w:left="2880" w:hanging="720"/>
      </w:pPr>
      <w:rPr>
        <w:rFonts w:ascii="WP MathA" w:hAnsi="WP MathA" w:hint="default"/>
      </w:rPr>
    </w:lvl>
    <w:lvl w:ilvl="4">
      <w:start w:val="1"/>
      <w:numFmt w:val="none"/>
      <w:lvlText w:val=""/>
      <w:legacy w:legacy="1" w:legacySpace="0" w:legacyIndent="720"/>
      <w:lvlJc w:val="left"/>
      <w:pPr>
        <w:ind w:left="3600" w:hanging="720"/>
      </w:pPr>
      <w:rPr>
        <w:rFonts w:ascii="WP MathA" w:hAnsi="WP MathA" w:hint="default"/>
      </w:rPr>
    </w:lvl>
    <w:lvl w:ilvl="5">
      <w:start w:val="1"/>
      <w:numFmt w:val="none"/>
      <w:lvlText w:val=""/>
      <w:legacy w:legacy="1" w:legacySpace="0" w:legacyIndent="720"/>
      <w:lvlJc w:val="left"/>
      <w:pPr>
        <w:ind w:left="4320" w:hanging="720"/>
      </w:pPr>
      <w:rPr>
        <w:rFonts w:ascii="WP MathA" w:hAnsi="WP MathA" w:hint="default"/>
      </w:rPr>
    </w:lvl>
    <w:lvl w:ilvl="6">
      <w:start w:val="1"/>
      <w:numFmt w:val="none"/>
      <w:lvlText w:val=""/>
      <w:legacy w:legacy="1" w:legacySpace="0" w:legacyIndent="720"/>
      <w:lvlJc w:val="left"/>
      <w:pPr>
        <w:ind w:left="5040" w:hanging="720"/>
      </w:pPr>
      <w:rPr>
        <w:rFonts w:ascii="WP MathA" w:hAnsi="WP MathA" w:hint="default"/>
      </w:rPr>
    </w:lvl>
    <w:lvl w:ilvl="7">
      <w:start w:val="1"/>
      <w:numFmt w:val="none"/>
      <w:lvlText w:val=""/>
      <w:legacy w:legacy="1" w:legacySpace="0" w:legacyIndent="720"/>
      <w:lvlJc w:val="left"/>
      <w:pPr>
        <w:ind w:left="5760" w:hanging="720"/>
      </w:pPr>
      <w:rPr>
        <w:rFonts w:ascii="WP MathA" w:hAnsi="WP MathA" w:hint="default"/>
      </w:rPr>
    </w:lvl>
    <w:lvl w:ilvl="8">
      <w:start w:val="1"/>
      <w:numFmt w:val="lowerRoman"/>
      <w:lvlText w:val="%9"/>
      <w:legacy w:legacy="1" w:legacySpace="0" w:legacyIndent="720"/>
      <w:lvlJc w:val="left"/>
      <w:pPr>
        <w:ind w:left="6480" w:hanging="720"/>
      </w:pPr>
    </w:lvl>
  </w:abstractNum>
  <w:abstractNum w:abstractNumId="22" w15:restartNumberingAfterBreak="0">
    <w:nsid w:val="3B736837"/>
    <w:multiLevelType w:val="singleLevel"/>
    <w:tmpl w:val="921CBF02"/>
    <w:lvl w:ilvl="0">
      <w:start w:val="1"/>
      <w:numFmt w:val="decimal"/>
      <w:lvlText w:val="(%1)"/>
      <w:lvlJc w:val="left"/>
      <w:pPr>
        <w:tabs>
          <w:tab w:val="num" w:pos="360"/>
        </w:tabs>
        <w:ind w:left="360" w:hanging="360"/>
      </w:pPr>
      <w:rPr>
        <w:rFonts w:hint="default"/>
      </w:rPr>
    </w:lvl>
  </w:abstractNum>
  <w:abstractNum w:abstractNumId="23" w15:restartNumberingAfterBreak="0">
    <w:nsid w:val="3CE7261A"/>
    <w:multiLevelType w:val="multilevel"/>
    <w:tmpl w:val="E586FDFE"/>
    <w:lvl w:ilvl="0">
      <w:start w:val="1"/>
      <w:numFmt w:val="none"/>
      <w:lvlText w:val=""/>
      <w:legacy w:legacy="1" w:legacySpace="0" w:legacyIndent="720"/>
      <w:lvlJc w:val="left"/>
      <w:pPr>
        <w:ind w:left="720" w:hanging="720"/>
      </w:pPr>
      <w:rPr>
        <w:rFonts w:ascii="WP MathA" w:hAnsi="WP MathA" w:hint="default"/>
      </w:rPr>
    </w:lvl>
    <w:lvl w:ilvl="1">
      <w:start w:val="1"/>
      <w:numFmt w:val="none"/>
      <w:lvlText w:val=""/>
      <w:legacy w:legacy="1" w:legacySpace="0" w:legacyIndent="720"/>
      <w:lvlJc w:val="left"/>
      <w:pPr>
        <w:ind w:left="1440" w:hanging="720"/>
      </w:pPr>
      <w:rPr>
        <w:rFonts w:ascii="WP MathA" w:hAnsi="WP MathA" w:hint="default"/>
      </w:rPr>
    </w:lvl>
    <w:lvl w:ilvl="2">
      <w:start w:val="1"/>
      <w:numFmt w:val="none"/>
      <w:lvlText w:val=""/>
      <w:legacy w:legacy="1" w:legacySpace="0" w:legacyIndent="720"/>
      <w:lvlJc w:val="left"/>
      <w:pPr>
        <w:ind w:left="2160" w:hanging="720"/>
      </w:pPr>
      <w:rPr>
        <w:rFonts w:ascii="WP MathA" w:hAnsi="WP MathA" w:hint="default"/>
      </w:rPr>
    </w:lvl>
    <w:lvl w:ilvl="3">
      <w:start w:val="1"/>
      <w:numFmt w:val="none"/>
      <w:lvlText w:val=""/>
      <w:legacy w:legacy="1" w:legacySpace="0" w:legacyIndent="720"/>
      <w:lvlJc w:val="left"/>
      <w:pPr>
        <w:ind w:left="2880" w:hanging="720"/>
      </w:pPr>
      <w:rPr>
        <w:rFonts w:ascii="WP MathA" w:hAnsi="WP MathA" w:hint="default"/>
      </w:rPr>
    </w:lvl>
    <w:lvl w:ilvl="4">
      <w:start w:val="1"/>
      <w:numFmt w:val="none"/>
      <w:lvlText w:val=""/>
      <w:legacy w:legacy="1" w:legacySpace="0" w:legacyIndent="720"/>
      <w:lvlJc w:val="left"/>
      <w:pPr>
        <w:ind w:left="3600" w:hanging="720"/>
      </w:pPr>
      <w:rPr>
        <w:rFonts w:ascii="WP MathA" w:hAnsi="WP MathA" w:hint="default"/>
      </w:rPr>
    </w:lvl>
    <w:lvl w:ilvl="5">
      <w:start w:val="1"/>
      <w:numFmt w:val="none"/>
      <w:lvlText w:val=""/>
      <w:legacy w:legacy="1" w:legacySpace="0" w:legacyIndent="720"/>
      <w:lvlJc w:val="left"/>
      <w:pPr>
        <w:ind w:left="4320" w:hanging="720"/>
      </w:pPr>
      <w:rPr>
        <w:rFonts w:ascii="WP MathA" w:hAnsi="WP MathA" w:hint="default"/>
      </w:rPr>
    </w:lvl>
    <w:lvl w:ilvl="6">
      <w:start w:val="1"/>
      <w:numFmt w:val="none"/>
      <w:lvlText w:val=""/>
      <w:legacy w:legacy="1" w:legacySpace="0" w:legacyIndent="720"/>
      <w:lvlJc w:val="left"/>
      <w:pPr>
        <w:ind w:left="5040" w:hanging="720"/>
      </w:pPr>
      <w:rPr>
        <w:rFonts w:ascii="WP MathA" w:hAnsi="WP MathA" w:hint="default"/>
      </w:rPr>
    </w:lvl>
    <w:lvl w:ilvl="7">
      <w:start w:val="1"/>
      <w:numFmt w:val="none"/>
      <w:lvlText w:val=""/>
      <w:legacy w:legacy="1" w:legacySpace="0" w:legacyIndent="720"/>
      <w:lvlJc w:val="left"/>
      <w:pPr>
        <w:ind w:left="5760" w:hanging="720"/>
      </w:pPr>
      <w:rPr>
        <w:rFonts w:ascii="WP MathA" w:hAnsi="WP MathA" w:hint="default"/>
      </w:rPr>
    </w:lvl>
    <w:lvl w:ilvl="8">
      <w:start w:val="1"/>
      <w:numFmt w:val="lowerRoman"/>
      <w:lvlText w:val="%9"/>
      <w:legacy w:legacy="1" w:legacySpace="0" w:legacyIndent="720"/>
      <w:lvlJc w:val="left"/>
      <w:pPr>
        <w:ind w:left="6480" w:hanging="720"/>
      </w:pPr>
    </w:lvl>
  </w:abstractNum>
  <w:abstractNum w:abstractNumId="24" w15:restartNumberingAfterBreak="0">
    <w:nsid w:val="43DF7510"/>
    <w:multiLevelType w:val="multilevel"/>
    <w:tmpl w:val="E586FDFE"/>
    <w:lvl w:ilvl="0">
      <w:start w:val="1"/>
      <w:numFmt w:val="none"/>
      <w:lvlText w:val=""/>
      <w:legacy w:legacy="1" w:legacySpace="0" w:legacyIndent="720"/>
      <w:lvlJc w:val="left"/>
      <w:pPr>
        <w:ind w:left="720" w:hanging="720"/>
      </w:pPr>
      <w:rPr>
        <w:rFonts w:ascii="WP MathA" w:hAnsi="WP MathA" w:hint="default"/>
      </w:rPr>
    </w:lvl>
    <w:lvl w:ilvl="1">
      <w:start w:val="1"/>
      <w:numFmt w:val="none"/>
      <w:lvlText w:val=""/>
      <w:legacy w:legacy="1" w:legacySpace="0" w:legacyIndent="720"/>
      <w:lvlJc w:val="left"/>
      <w:pPr>
        <w:ind w:left="1440" w:hanging="720"/>
      </w:pPr>
      <w:rPr>
        <w:rFonts w:ascii="WP MathA" w:hAnsi="WP MathA" w:hint="default"/>
      </w:rPr>
    </w:lvl>
    <w:lvl w:ilvl="2">
      <w:start w:val="1"/>
      <w:numFmt w:val="none"/>
      <w:lvlText w:val=""/>
      <w:legacy w:legacy="1" w:legacySpace="0" w:legacyIndent="720"/>
      <w:lvlJc w:val="left"/>
      <w:pPr>
        <w:ind w:left="2160" w:hanging="720"/>
      </w:pPr>
      <w:rPr>
        <w:rFonts w:ascii="WP MathA" w:hAnsi="WP MathA" w:hint="default"/>
      </w:rPr>
    </w:lvl>
    <w:lvl w:ilvl="3">
      <w:start w:val="1"/>
      <w:numFmt w:val="none"/>
      <w:lvlText w:val=""/>
      <w:legacy w:legacy="1" w:legacySpace="0" w:legacyIndent="720"/>
      <w:lvlJc w:val="left"/>
      <w:pPr>
        <w:ind w:left="2880" w:hanging="720"/>
      </w:pPr>
      <w:rPr>
        <w:rFonts w:ascii="WP MathA" w:hAnsi="WP MathA" w:hint="default"/>
      </w:rPr>
    </w:lvl>
    <w:lvl w:ilvl="4">
      <w:start w:val="1"/>
      <w:numFmt w:val="none"/>
      <w:lvlText w:val=""/>
      <w:legacy w:legacy="1" w:legacySpace="0" w:legacyIndent="720"/>
      <w:lvlJc w:val="left"/>
      <w:pPr>
        <w:ind w:left="3600" w:hanging="720"/>
      </w:pPr>
      <w:rPr>
        <w:rFonts w:ascii="WP MathA" w:hAnsi="WP MathA" w:hint="default"/>
      </w:rPr>
    </w:lvl>
    <w:lvl w:ilvl="5">
      <w:start w:val="1"/>
      <w:numFmt w:val="none"/>
      <w:lvlText w:val=""/>
      <w:legacy w:legacy="1" w:legacySpace="0" w:legacyIndent="720"/>
      <w:lvlJc w:val="left"/>
      <w:pPr>
        <w:ind w:left="4320" w:hanging="720"/>
      </w:pPr>
      <w:rPr>
        <w:rFonts w:ascii="WP MathA" w:hAnsi="WP MathA" w:hint="default"/>
      </w:rPr>
    </w:lvl>
    <w:lvl w:ilvl="6">
      <w:start w:val="1"/>
      <w:numFmt w:val="none"/>
      <w:lvlText w:val=""/>
      <w:legacy w:legacy="1" w:legacySpace="0" w:legacyIndent="720"/>
      <w:lvlJc w:val="left"/>
      <w:pPr>
        <w:ind w:left="5040" w:hanging="720"/>
      </w:pPr>
      <w:rPr>
        <w:rFonts w:ascii="WP MathA" w:hAnsi="WP MathA" w:hint="default"/>
      </w:rPr>
    </w:lvl>
    <w:lvl w:ilvl="7">
      <w:start w:val="1"/>
      <w:numFmt w:val="none"/>
      <w:lvlText w:val=""/>
      <w:legacy w:legacy="1" w:legacySpace="0" w:legacyIndent="720"/>
      <w:lvlJc w:val="left"/>
      <w:pPr>
        <w:ind w:left="5760" w:hanging="720"/>
      </w:pPr>
      <w:rPr>
        <w:rFonts w:ascii="WP MathA" w:hAnsi="WP MathA" w:hint="default"/>
      </w:rPr>
    </w:lvl>
    <w:lvl w:ilvl="8">
      <w:start w:val="1"/>
      <w:numFmt w:val="lowerRoman"/>
      <w:lvlText w:val="%9"/>
      <w:legacy w:legacy="1" w:legacySpace="0" w:legacyIndent="720"/>
      <w:lvlJc w:val="left"/>
      <w:pPr>
        <w:ind w:left="6480" w:hanging="720"/>
      </w:pPr>
    </w:lvl>
  </w:abstractNum>
  <w:abstractNum w:abstractNumId="25" w15:restartNumberingAfterBreak="0">
    <w:nsid w:val="46270DBE"/>
    <w:multiLevelType w:val="multilevel"/>
    <w:tmpl w:val="E586FDFE"/>
    <w:lvl w:ilvl="0">
      <w:start w:val="1"/>
      <w:numFmt w:val="none"/>
      <w:lvlText w:val=""/>
      <w:legacy w:legacy="1" w:legacySpace="0" w:legacyIndent="720"/>
      <w:lvlJc w:val="left"/>
      <w:pPr>
        <w:ind w:left="720" w:hanging="720"/>
      </w:pPr>
      <w:rPr>
        <w:rFonts w:ascii="WP MathA" w:hAnsi="WP MathA" w:hint="default"/>
      </w:rPr>
    </w:lvl>
    <w:lvl w:ilvl="1">
      <w:start w:val="1"/>
      <w:numFmt w:val="none"/>
      <w:lvlText w:val=""/>
      <w:legacy w:legacy="1" w:legacySpace="0" w:legacyIndent="720"/>
      <w:lvlJc w:val="left"/>
      <w:pPr>
        <w:ind w:left="1440" w:hanging="720"/>
      </w:pPr>
      <w:rPr>
        <w:rFonts w:ascii="WP MathA" w:hAnsi="WP MathA" w:hint="default"/>
      </w:rPr>
    </w:lvl>
    <w:lvl w:ilvl="2">
      <w:start w:val="1"/>
      <w:numFmt w:val="none"/>
      <w:lvlText w:val=""/>
      <w:legacy w:legacy="1" w:legacySpace="0" w:legacyIndent="720"/>
      <w:lvlJc w:val="left"/>
      <w:pPr>
        <w:ind w:left="2160" w:hanging="720"/>
      </w:pPr>
      <w:rPr>
        <w:rFonts w:ascii="WP MathA" w:hAnsi="WP MathA" w:hint="default"/>
      </w:rPr>
    </w:lvl>
    <w:lvl w:ilvl="3">
      <w:start w:val="1"/>
      <w:numFmt w:val="none"/>
      <w:lvlText w:val=""/>
      <w:legacy w:legacy="1" w:legacySpace="0" w:legacyIndent="720"/>
      <w:lvlJc w:val="left"/>
      <w:pPr>
        <w:ind w:left="2880" w:hanging="720"/>
      </w:pPr>
      <w:rPr>
        <w:rFonts w:ascii="WP MathA" w:hAnsi="WP MathA" w:hint="default"/>
      </w:rPr>
    </w:lvl>
    <w:lvl w:ilvl="4">
      <w:start w:val="1"/>
      <w:numFmt w:val="none"/>
      <w:lvlText w:val=""/>
      <w:legacy w:legacy="1" w:legacySpace="0" w:legacyIndent="720"/>
      <w:lvlJc w:val="left"/>
      <w:pPr>
        <w:ind w:left="3600" w:hanging="720"/>
      </w:pPr>
      <w:rPr>
        <w:rFonts w:ascii="WP MathA" w:hAnsi="WP MathA" w:hint="default"/>
      </w:rPr>
    </w:lvl>
    <w:lvl w:ilvl="5">
      <w:start w:val="1"/>
      <w:numFmt w:val="none"/>
      <w:lvlText w:val=""/>
      <w:legacy w:legacy="1" w:legacySpace="0" w:legacyIndent="720"/>
      <w:lvlJc w:val="left"/>
      <w:pPr>
        <w:ind w:left="4320" w:hanging="720"/>
      </w:pPr>
      <w:rPr>
        <w:rFonts w:ascii="WP MathA" w:hAnsi="WP MathA" w:hint="default"/>
      </w:rPr>
    </w:lvl>
    <w:lvl w:ilvl="6">
      <w:start w:val="1"/>
      <w:numFmt w:val="none"/>
      <w:lvlText w:val=""/>
      <w:legacy w:legacy="1" w:legacySpace="0" w:legacyIndent="720"/>
      <w:lvlJc w:val="left"/>
      <w:pPr>
        <w:ind w:left="5040" w:hanging="720"/>
      </w:pPr>
      <w:rPr>
        <w:rFonts w:ascii="WP MathA" w:hAnsi="WP MathA" w:hint="default"/>
      </w:rPr>
    </w:lvl>
    <w:lvl w:ilvl="7">
      <w:start w:val="1"/>
      <w:numFmt w:val="none"/>
      <w:lvlText w:val=""/>
      <w:legacy w:legacy="1" w:legacySpace="0" w:legacyIndent="720"/>
      <w:lvlJc w:val="left"/>
      <w:pPr>
        <w:ind w:left="5760" w:hanging="720"/>
      </w:pPr>
      <w:rPr>
        <w:rFonts w:ascii="WP MathA" w:hAnsi="WP MathA" w:hint="default"/>
      </w:rPr>
    </w:lvl>
    <w:lvl w:ilvl="8">
      <w:start w:val="1"/>
      <w:numFmt w:val="lowerRoman"/>
      <w:lvlText w:val="%9"/>
      <w:legacy w:legacy="1" w:legacySpace="0" w:legacyIndent="720"/>
      <w:lvlJc w:val="left"/>
      <w:pPr>
        <w:ind w:left="6480" w:hanging="720"/>
      </w:pPr>
    </w:lvl>
  </w:abstractNum>
  <w:abstractNum w:abstractNumId="26" w15:restartNumberingAfterBreak="0">
    <w:nsid w:val="4CB803E0"/>
    <w:multiLevelType w:val="multilevel"/>
    <w:tmpl w:val="E586FDFE"/>
    <w:lvl w:ilvl="0">
      <w:start w:val="1"/>
      <w:numFmt w:val="none"/>
      <w:lvlText w:val=""/>
      <w:legacy w:legacy="1" w:legacySpace="0" w:legacyIndent="720"/>
      <w:lvlJc w:val="left"/>
      <w:pPr>
        <w:ind w:left="720" w:hanging="720"/>
      </w:pPr>
      <w:rPr>
        <w:rFonts w:ascii="WP MathA" w:hAnsi="WP MathA" w:hint="default"/>
      </w:rPr>
    </w:lvl>
    <w:lvl w:ilvl="1">
      <w:start w:val="1"/>
      <w:numFmt w:val="none"/>
      <w:lvlText w:val=""/>
      <w:legacy w:legacy="1" w:legacySpace="0" w:legacyIndent="720"/>
      <w:lvlJc w:val="left"/>
      <w:pPr>
        <w:ind w:left="1440" w:hanging="720"/>
      </w:pPr>
      <w:rPr>
        <w:rFonts w:ascii="WP MathA" w:hAnsi="WP MathA" w:hint="default"/>
      </w:rPr>
    </w:lvl>
    <w:lvl w:ilvl="2">
      <w:start w:val="1"/>
      <w:numFmt w:val="none"/>
      <w:lvlText w:val=""/>
      <w:legacy w:legacy="1" w:legacySpace="0" w:legacyIndent="720"/>
      <w:lvlJc w:val="left"/>
      <w:pPr>
        <w:ind w:left="2160" w:hanging="720"/>
      </w:pPr>
      <w:rPr>
        <w:rFonts w:ascii="WP MathA" w:hAnsi="WP MathA" w:hint="default"/>
      </w:rPr>
    </w:lvl>
    <w:lvl w:ilvl="3">
      <w:start w:val="1"/>
      <w:numFmt w:val="none"/>
      <w:lvlText w:val=""/>
      <w:legacy w:legacy="1" w:legacySpace="0" w:legacyIndent="720"/>
      <w:lvlJc w:val="left"/>
      <w:pPr>
        <w:ind w:left="2880" w:hanging="720"/>
      </w:pPr>
      <w:rPr>
        <w:rFonts w:ascii="WP MathA" w:hAnsi="WP MathA" w:hint="default"/>
      </w:rPr>
    </w:lvl>
    <w:lvl w:ilvl="4">
      <w:start w:val="1"/>
      <w:numFmt w:val="none"/>
      <w:lvlText w:val=""/>
      <w:legacy w:legacy="1" w:legacySpace="0" w:legacyIndent="720"/>
      <w:lvlJc w:val="left"/>
      <w:pPr>
        <w:ind w:left="3600" w:hanging="720"/>
      </w:pPr>
      <w:rPr>
        <w:rFonts w:ascii="WP MathA" w:hAnsi="WP MathA" w:hint="default"/>
      </w:rPr>
    </w:lvl>
    <w:lvl w:ilvl="5">
      <w:start w:val="1"/>
      <w:numFmt w:val="none"/>
      <w:lvlText w:val=""/>
      <w:legacy w:legacy="1" w:legacySpace="0" w:legacyIndent="720"/>
      <w:lvlJc w:val="left"/>
      <w:pPr>
        <w:ind w:left="4320" w:hanging="720"/>
      </w:pPr>
      <w:rPr>
        <w:rFonts w:ascii="WP MathA" w:hAnsi="WP MathA" w:hint="default"/>
      </w:rPr>
    </w:lvl>
    <w:lvl w:ilvl="6">
      <w:start w:val="1"/>
      <w:numFmt w:val="none"/>
      <w:lvlText w:val=""/>
      <w:legacy w:legacy="1" w:legacySpace="0" w:legacyIndent="720"/>
      <w:lvlJc w:val="left"/>
      <w:pPr>
        <w:ind w:left="5040" w:hanging="720"/>
      </w:pPr>
      <w:rPr>
        <w:rFonts w:ascii="WP MathA" w:hAnsi="WP MathA" w:hint="default"/>
      </w:rPr>
    </w:lvl>
    <w:lvl w:ilvl="7">
      <w:start w:val="1"/>
      <w:numFmt w:val="none"/>
      <w:lvlText w:val=""/>
      <w:legacy w:legacy="1" w:legacySpace="0" w:legacyIndent="720"/>
      <w:lvlJc w:val="left"/>
      <w:pPr>
        <w:ind w:left="5760" w:hanging="720"/>
      </w:pPr>
      <w:rPr>
        <w:rFonts w:ascii="WP MathA" w:hAnsi="WP MathA" w:hint="default"/>
      </w:rPr>
    </w:lvl>
    <w:lvl w:ilvl="8">
      <w:start w:val="1"/>
      <w:numFmt w:val="lowerRoman"/>
      <w:lvlText w:val="%9"/>
      <w:legacy w:legacy="1" w:legacySpace="0" w:legacyIndent="720"/>
      <w:lvlJc w:val="left"/>
      <w:pPr>
        <w:ind w:left="6480" w:hanging="720"/>
      </w:pPr>
    </w:lvl>
  </w:abstractNum>
  <w:abstractNum w:abstractNumId="27" w15:restartNumberingAfterBreak="0">
    <w:nsid w:val="4CFE7BF1"/>
    <w:multiLevelType w:val="multilevel"/>
    <w:tmpl w:val="E586FDFE"/>
    <w:lvl w:ilvl="0">
      <w:start w:val="1"/>
      <w:numFmt w:val="none"/>
      <w:lvlText w:val=""/>
      <w:legacy w:legacy="1" w:legacySpace="0" w:legacyIndent="720"/>
      <w:lvlJc w:val="left"/>
      <w:pPr>
        <w:ind w:left="720" w:hanging="720"/>
      </w:pPr>
      <w:rPr>
        <w:rFonts w:ascii="WP MathA" w:hAnsi="WP MathA" w:hint="default"/>
      </w:rPr>
    </w:lvl>
    <w:lvl w:ilvl="1">
      <w:start w:val="1"/>
      <w:numFmt w:val="none"/>
      <w:lvlText w:val=""/>
      <w:legacy w:legacy="1" w:legacySpace="0" w:legacyIndent="720"/>
      <w:lvlJc w:val="left"/>
      <w:pPr>
        <w:ind w:left="1440" w:hanging="720"/>
      </w:pPr>
      <w:rPr>
        <w:rFonts w:ascii="WP MathA" w:hAnsi="WP MathA" w:hint="default"/>
      </w:rPr>
    </w:lvl>
    <w:lvl w:ilvl="2">
      <w:start w:val="1"/>
      <w:numFmt w:val="none"/>
      <w:lvlText w:val=""/>
      <w:legacy w:legacy="1" w:legacySpace="0" w:legacyIndent="720"/>
      <w:lvlJc w:val="left"/>
      <w:pPr>
        <w:ind w:left="2160" w:hanging="720"/>
      </w:pPr>
      <w:rPr>
        <w:rFonts w:ascii="WP MathA" w:hAnsi="WP MathA" w:hint="default"/>
      </w:rPr>
    </w:lvl>
    <w:lvl w:ilvl="3">
      <w:start w:val="1"/>
      <w:numFmt w:val="none"/>
      <w:lvlText w:val=""/>
      <w:legacy w:legacy="1" w:legacySpace="0" w:legacyIndent="720"/>
      <w:lvlJc w:val="left"/>
      <w:pPr>
        <w:ind w:left="2880" w:hanging="720"/>
      </w:pPr>
      <w:rPr>
        <w:rFonts w:ascii="WP MathA" w:hAnsi="WP MathA" w:hint="default"/>
      </w:rPr>
    </w:lvl>
    <w:lvl w:ilvl="4">
      <w:start w:val="1"/>
      <w:numFmt w:val="none"/>
      <w:lvlText w:val=""/>
      <w:legacy w:legacy="1" w:legacySpace="0" w:legacyIndent="720"/>
      <w:lvlJc w:val="left"/>
      <w:pPr>
        <w:ind w:left="3600" w:hanging="720"/>
      </w:pPr>
      <w:rPr>
        <w:rFonts w:ascii="WP MathA" w:hAnsi="WP MathA" w:hint="default"/>
      </w:rPr>
    </w:lvl>
    <w:lvl w:ilvl="5">
      <w:start w:val="1"/>
      <w:numFmt w:val="none"/>
      <w:lvlText w:val=""/>
      <w:legacy w:legacy="1" w:legacySpace="0" w:legacyIndent="720"/>
      <w:lvlJc w:val="left"/>
      <w:pPr>
        <w:ind w:left="4320" w:hanging="720"/>
      </w:pPr>
      <w:rPr>
        <w:rFonts w:ascii="WP MathA" w:hAnsi="WP MathA" w:hint="default"/>
      </w:rPr>
    </w:lvl>
    <w:lvl w:ilvl="6">
      <w:start w:val="1"/>
      <w:numFmt w:val="none"/>
      <w:lvlText w:val=""/>
      <w:legacy w:legacy="1" w:legacySpace="0" w:legacyIndent="720"/>
      <w:lvlJc w:val="left"/>
      <w:pPr>
        <w:ind w:left="5040" w:hanging="720"/>
      </w:pPr>
      <w:rPr>
        <w:rFonts w:ascii="WP MathA" w:hAnsi="WP MathA" w:hint="default"/>
      </w:rPr>
    </w:lvl>
    <w:lvl w:ilvl="7">
      <w:start w:val="1"/>
      <w:numFmt w:val="none"/>
      <w:lvlText w:val=""/>
      <w:legacy w:legacy="1" w:legacySpace="0" w:legacyIndent="720"/>
      <w:lvlJc w:val="left"/>
      <w:pPr>
        <w:ind w:left="5760" w:hanging="720"/>
      </w:pPr>
      <w:rPr>
        <w:rFonts w:ascii="WP MathA" w:hAnsi="WP MathA" w:hint="default"/>
      </w:rPr>
    </w:lvl>
    <w:lvl w:ilvl="8">
      <w:start w:val="1"/>
      <w:numFmt w:val="lowerRoman"/>
      <w:lvlText w:val="%9"/>
      <w:legacy w:legacy="1" w:legacySpace="0" w:legacyIndent="720"/>
      <w:lvlJc w:val="left"/>
      <w:pPr>
        <w:ind w:left="6480" w:hanging="720"/>
      </w:pPr>
    </w:lvl>
  </w:abstractNum>
  <w:abstractNum w:abstractNumId="28" w15:restartNumberingAfterBreak="0">
    <w:nsid w:val="4F7E4946"/>
    <w:multiLevelType w:val="hybridMultilevel"/>
    <w:tmpl w:val="8B722F9C"/>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9" w15:restartNumberingAfterBreak="0">
    <w:nsid w:val="509E7D07"/>
    <w:multiLevelType w:val="multilevel"/>
    <w:tmpl w:val="E586FDFE"/>
    <w:lvl w:ilvl="0">
      <w:start w:val="1"/>
      <w:numFmt w:val="none"/>
      <w:lvlText w:val=""/>
      <w:legacy w:legacy="1" w:legacySpace="0" w:legacyIndent="720"/>
      <w:lvlJc w:val="left"/>
      <w:pPr>
        <w:ind w:left="720" w:hanging="720"/>
      </w:pPr>
      <w:rPr>
        <w:rFonts w:ascii="WP MathA" w:hAnsi="WP MathA" w:hint="default"/>
      </w:rPr>
    </w:lvl>
    <w:lvl w:ilvl="1">
      <w:start w:val="1"/>
      <w:numFmt w:val="none"/>
      <w:lvlText w:val=""/>
      <w:legacy w:legacy="1" w:legacySpace="0" w:legacyIndent="720"/>
      <w:lvlJc w:val="left"/>
      <w:pPr>
        <w:ind w:left="1440" w:hanging="720"/>
      </w:pPr>
      <w:rPr>
        <w:rFonts w:ascii="WP MathA" w:hAnsi="WP MathA" w:hint="default"/>
      </w:rPr>
    </w:lvl>
    <w:lvl w:ilvl="2">
      <w:start w:val="1"/>
      <w:numFmt w:val="none"/>
      <w:lvlText w:val=""/>
      <w:legacy w:legacy="1" w:legacySpace="0" w:legacyIndent="720"/>
      <w:lvlJc w:val="left"/>
      <w:pPr>
        <w:ind w:left="2160" w:hanging="720"/>
      </w:pPr>
      <w:rPr>
        <w:rFonts w:ascii="WP MathA" w:hAnsi="WP MathA" w:hint="default"/>
      </w:rPr>
    </w:lvl>
    <w:lvl w:ilvl="3">
      <w:start w:val="1"/>
      <w:numFmt w:val="none"/>
      <w:lvlText w:val=""/>
      <w:legacy w:legacy="1" w:legacySpace="0" w:legacyIndent="720"/>
      <w:lvlJc w:val="left"/>
      <w:pPr>
        <w:ind w:left="2880" w:hanging="720"/>
      </w:pPr>
      <w:rPr>
        <w:rFonts w:ascii="WP MathA" w:hAnsi="WP MathA" w:hint="default"/>
      </w:rPr>
    </w:lvl>
    <w:lvl w:ilvl="4">
      <w:start w:val="1"/>
      <w:numFmt w:val="none"/>
      <w:lvlText w:val=""/>
      <w:legacy w:legacy="1" w:legacySpace="0" w:legacyIndent="720"/>
      <w:lvlJc w:val="left"/>
      <w:pPr>
        <w:ind w:left="3600" w:hanging="720"/>
      </w:pPr>
      <w:rPr>
        <w:rFonts w:ascii="WP MathA" w:hAnsi="WP MathA" w:hint="default"/>
      </w:rPr>
    </w:lvl>
    <w:lvl w:ilvl="5">
      <w:start w:val="1"/>
      <w:numFmt w:val="none"/>
      <w:lvlText w:val=""/>
      <w:legacy w:legacy="1" w:legacySpace="0" w:legacyIndent="720"/>
      <w:lvlJc w:val="left"/>
      <w:pPr>
        <w:ind w:left="4320" w:hanging="720"/>
      </w:pPr>
      <w:rPr>
        <w:rFonts w:ascii="WP MathA" w:hAnsi="WP MathA" w:hint="default"/>
      </w:rPr>
    </w:lvl>
    <w:lvl w:ilvl="6">
      <w:start w:val="1"/>
      <w:numFmt w:val="none"/>
      <w:lvlText w:val=""/>
      <w:legacy w:legacy="1" w:legacySpace="0" w:legacyIndent="720"/>
      <w:lvlJc w:val="left"/>
      <w:pPr>
        <w:ind w:left="5040" w:hanging="720"/>
      </w:pPr>
      <w:rPr>
        <w:rFonts w:ascii="WP MathA" w:hAnsi="WP MathA" w:hint="default"/>
      </w:rPr>
    </w:lvl>
    <w:lvl w:ilvl="7">
      <w:start w:val="1"/>
      <w:numFmt w:val="none"/>
      <w:lvlText w:val=""/>
      <w:legacy w:legacy="1" w:legacySpace="0" w:legacyIndent="720"/>
      <w:lvlJc w:val="left"/>
      <w:pPr>
        <w:ind w:left="5760" w:hanging="720"/>
      </w:pPr>
      <w:rPr>
        <w:rFonts w:ascii="WP MathA" w:hAnsi="WP MathA" w:hint="default"/>
      </w:rPr>
    </w:lvl>
    <w:lvl w:ilvl="8">
      <w:start w:val="1"/>
      <w:numFmt w:val="lowerRoman"/>
      <w:lvlText w:val="%9"/>
      <w:legacy w:legacy="1" w:legacySpace="0" w:legacyIndent="720"/>
      <w:lvlJc w:val="left"/>
      <w:pPr>
        <w:ind w:left="6480" w:hanging="720"/>
      </w:pPr>
    </w:lvl>
  </w:abstractNum>
  <w:abstractNum w:abstractNumId="30" w15:restartNumberingAfterBreak="0">
    <w:nsid w:val="50FE64EA"/>
    <w:multiLevelType w:val="multilevel"/>
    <w:tmpl w:val="E586FDFE"/>
    <w:lvl w:ilvl="0">
      <w:start w:val="1"/>
      <w:numFmt w:val="none"/>
      <w:lvlText w:val=""/>
      <w:legacy w:legacy="1" w:legacySpace="0" w:legacyIndent="720"/>
      <w:lvlJc w:val="left"/>
      <w:pPr>
        <w:ind w:left="720" w:hanging="720"/>
      </w:pPr>
      <w:rPr>
        <w:rFonts w:ascii="WP MathA" w:hAnsi="WP MathA" w:hint="default"/>
      </w:rPr>
    </w:lvl>
    <w:lvl w:ilvl="1">
      <w:start w:val="1"/>
      <w:numFmt w:val="none"/>
      <w:lvlText w:val=""/>
      <w:legacy w:legacy="1" w:legacySpace="0" w:legacyIndent="720"/>
      <w:lvlJc w:val="left"/>
      <w:pPr>
        <w:ind w:left="1440" w:hanging="720"/>
      </w:pPr>
      <w:rPr>
        <w:rFonts w:ascii="WP MathA" w:hAnsi="WP MathA" w:hint="default"/>
      </w:rPr>
    </w:lvl>
    <w:lvl w:ilvl="2">
      <w:start w:val="1"/>
      <w:numFmt w:val="none"/>
      <w:lvlText w:val=""/>
      <w:legacy w:legacy="1" w:legacySpace="0" w:legacyIndent="720"/>
      <w:lvlJc w:val="left"/>
      <w:pPr>
        <w:ind w:left="2160" w:hanging="720"/>
      </w:pPr>
      <w:rPr>
        <w:rFonts w:ascii="WP MathA" w:hAnsi="WP MathA" w:hint="default"/>
      </w:rPr>
    </w:lvl>
    <w:lvl w:ilvl="3">
      <w:start w:val="1"/>
      <w:numFmt w:val="none"/>
      <w:lvlText w:val=""/>
      <w:legacy w:legacy="1" w:legacySpace="0" w:legacyIndent="720"/>
      <w:lvlJc w:val="left"/>
      <w:pPr>
        <w:ind w:left="2880" w:hanging="720"/>
      </w:pPr>
      <w:rPr>
        <w:rFonts w:ascii="WP MathA" w:hAnsi="WP MathA" w:hint="default"/>
      </w:rPr>
    </w:lvl>
    <w:lvl w:ilvl="4">
      <w:start w:val="1"/>
      <w:numFmt w:val="none"/>
      <w:lvlText w:val=""/>
      <w:legacy w:legacy="1" w:legacySpace="0" w:legacyIndent="720"/>
      <w:lvlJc w:val="left"/>
      <w:pPr>
        <w:ind w:left="3600" w:hanging="720"/>
      </w:pPr>
      <w:rPr>
        <w:rFonts w:ascii="WP MathA" w:hAnsi="WP MathA" w:hint="default"/>
      </w:rPr>
    </w:lvl>
    <w:lvl w:ilvl="5">
      <w:start w:val="1"/>
      <w:numFmt w:val="none"/>
      <w:lvlText w:val=""/>
      <w:legacy w:legacy="1" w:legacySpace="0" w:legacyIndent="720"/>
      <w:lvlJc w:val="left"/>
      <w:pPr>
        <w:ind w:left="4320" w:hanging="720"/>
      </w:pPr>
      <w:rPr>
        <w:rFonts w:ascii="WP MathA" w:hAnsi="WP MathA" w:hint="default"/>
      </w:rPr>
    </w:lvl>
    <w:lvl w:ilvl="6">
      <w:start w:val="1"/>
      <w:numFmt w:val="none"/>
      <w:lvlText w:val=""/>
      <w:legacy w:legacy="1" w:legacySpace="0" w:legacyIndent="720"/>
      <w:lvlJc w:val="left"/>
      <w:pPr>
        <w:ind w:left="5040" w:hanging="720"/>
      </w:pPr>
      <w:rPr>
        <w:rFonts w:ascii="WP MathA" w:hAnsi="WP MathA" w:hint="default"/>
      </w:rPr>
    </w:lvl>
    <w:lvl w:ilvl="7">
      <w:start w:val="1"/>
      <w:numFmt w:val="none"/>
      <w:lvlText w:val=""/>
      <w:legacy w:legacy="1" w:legacySpace="0" w:legacyIndent="720"/>
      <w:lvlJc w:val="left"/>
      <w:pPr>
        <w:ind w:left="5760" w:hanging="720"/>
      </w:pPr>
      <w:rPr>
        <w:rFonts w:ascii="WP MathA" w:hAnsi="WP MathA" w:hint="default"/>
      </w:rPr>
    </w:lvl>
    <w:lvl w:ilvl="8">
      <w:start w:val="1"/>
      <w:numFmt w:val="lowerRoman"/>
      <w:lvlText w:val="%9"/>
      <w:legacy w:legacy="1" w:legacySpace="0" w:legacyIndent="720"/>
      <w:lvlJc w:val="left"/>
      <w:pPr>
        <w:ind w:left="6480" w:hanging="720"/>
      </w:pPr>
    </w:lvl>
  </w:abstractNum>
  <w:abstractNum w:abstractNumId="31" w15:restartNumberingAfterBreak="0">
    <w:nsid w:val="51C77584"/>
    <w:multiLevelType w:val="multilevel"/>
    <w:tmpl w:val="642660C0"/>
    <w:lvl w:ilvl="0">
      <w:start w:val="1"/>
      <w:numFmt w:val="none"/>
      <w:lvlText w:val=""/>
      <w:legacy w:legacy="1" w:legacySpace="0" w:legacyIndent="720"/>
      <w:lvlJc w:val="left"/>
      <w:pPr>
        <w:ind w:left="720" w:hanging="720"/>
      </w:pPr>
      <w:rPr>
        <w:rFonts w:ascii="WP TypographicSymbols" w:hAnsi="WP TypographicSymbols" w:hint="default"/>
      </w:rPr>
    </w:lvl>
    <w:lvl w:ilvl="1">
      <w:start w:val="1"/>
      <w:numFmt w:val="none"/>
      <w:lvlText w:val=""/>
      <w:legacy w:legacy="1" w:legacySpace="0" w:legacyIndent="720"/>
      <w:lvlJc w:val="left"/>
      <w:pPr>
        <w:ind w:left="1440" w:hanging="720"/>
      </w:pPr>
      <w:rPr>
        <w:rFonts w:ascii="WP TypographicSymbols" w:hAnsi="WP TypographicSymbols" w:hint="default"/>
      </w:rPr>
    </w:lvl>
    <w:lvl w:ilvl="2">
      <w:start w:val="1"/>
      <w:numFmt w:val="none"/>
      <w:lvlText w:val=""/>
      <w:legacy w:legacy="1" w:legacySpace="0" w:legacyIndent="720"/>
      <w:lvlJc w:val="left"/>
      <w:pPr>
        <w:ind w:left="2160" w:hanging="720"/>
      </w:pPr>
      <w:rPr>
        <w:rFonts w:ascii="WP TypographicSymbols" w:hAnsi="WP TypographicSymbols" w:hint="default"/>
      </w:rPr>
    </w:lvl>
    <w:lvl w:ilvl="3">
      <w:start w:val="1"/>
      <w:numFmt w:val="none"/>
      <w:lvlText w:val=""/>
      <w:legacy w:legacy="1" w:legacySpace="0" w:legacyIndent="720"/>
      <w:lvlJc w:val="left"/>
      <w:pPr>
        <w:ind w:left="2880" w:hanging="720"/>
      </w:pPr>
      <w:rPr>
        <w:rFonts w:ascii="WP TypographicSymbols" w:hAnsi="WP TypographicSymbols" w:hint="default"/>
      </w:rPr>
    </w:lvl>
    <w:lvl w:ilvl="4">
      <w:start w:val="1"/>
      <w:numFmt w:val="none"/>
      <w:lvlText w:val=""/>
      <w:legacy w:legacy="1" w:legacySpace="0" w:legacyIndent="720"/>
      <w:lvlJc w:val="left"/>
      <w:pPr>
        <w:ind w:left="3600" w:hanging="720"/>
      </w:pPr>
      <w:rPr>
        <w:rFonts w:ascii="WP TypographicSymbols" w:hAnsi="WP TypographicSymbols" w:hint="default"/>
      </w:rPr>
    </w:lvl>
    <w:lvl w:ilvl="5">
      <w:start w:val="1"/>
      <w:numFmt w:val="none"/>
      <w:lvlText w:val=""/>
      <w:legacy w:legacy="1" w:legacySpace="0" w:legacyIndent="720"/>
      <w:lvlJc w:val="left"/>
      <w:pPr>
        <w:ind w:left="4320" w:hanging="720"/>
      </w:pPr>
      <w:rPr>
        <w:rFonts w:ascii="WP TypographicSymbols" w:hAnsi="WP TypographicSymbols" w:hint="default"/>
      </w:rPr>
    </w:lvl>
    <w:lvl w:ilvl="6">
      <w:start w:val="1"/>
      <w:numFmt w:val="none"/>
      <w:lvlText w:val=""/>
      <w:legacy w:legacy="1" w:legacySpace="0" w:legacyIndent="720"/>
      <w:lvlJc w:val="left"/>
      <w:pPr>
        <w:ind w:left="5040" w:hanging="720"/>
      </w:pPr>
      <w:rPr>
        <w:rFonts w:ascii="WP TypographicSymbols" w:hAnsi="WP TypographicSymbols" w:hint="default"/>
      </w:rPr>
    </w:lvl>
    <w:lvl w:ilvl="7">
      <w:start w:val="1"/>
      <w:numFmt w:val="none"/>
      <w:lvlText w:val=""/>
      <w:legacy w:legacy="1" w:legacySpace="0" w:legacyIndent="720"/>
      <w:lvlJc w:val="left"/>
      <w:pPr>
        <w:ind w:left="5760" w:hanging="720"/>
      </w:pPr>
      <w:rPr>
        <w:rFonts w:ascii="WP TypographicSymbols" w:hAnsi="WP TypographicSymbols" w:hint="default"/>
      </w:rPr>
    </w:lvl>
    <w:lvl w:ilvl="8">
      <w:start w:val="1"/>
      <w:numFmt w:val="lowerRoman"/>
      <w:lvlText w:val="%9"/>
      <w:legacy w:legacy="1" w:legacySpace="0" w:legacyIndent="720"/>
      <w:lvlJc w:val="left"/>
      <w:pPr>
        <w:ind w:left="6480" w:hanging="720"/>
      </w:pPr>
    </w:lvl>
  </w:abstractNum>
  <w:abstractNum w:abstractNumId="32" w15:restartNumberingAfterBreak="0">
    <w:nsid w:val="524972FE"/>
    <w:multiLevelType w:val="singleLevel"/>
    <w:tmpl w:val="7A0C8E60"/>
    <w:lvl w:ilvl="0">
      <w:start w:val="1"/>
      <w:numFmt w:val="lowerLetter"/>
      <w:lvlText w:val="%1)"/>
      <w:legacy w:legacy="1" w:legacySpace="0" w:legacyIndent="360"/>
      <w:lvlJc w:val="left"/>
      <w:pPr>
        <w:ind w:left="1080" w:hanging="360"/>
      </w:pPr>
    </w:lvl>
  </w:abstractNum>
  <w:abstractNum w:abstractNumId="33" w15:restartNumberingAfterBreak="0">
    <w:nsid w:val="5528336B"/>
    <w:multiLevelType w:val="singleLevel"/>
    <w:tmpl w:val="5368266C"/>
    <w:lvl w:ilvl="0">
      <w:start w:val="2"/>
      <w:numFmt w:val="lowerLetter"/>
      <w:lvlText w:val="%1."/>
      <w:lvlJc w:val="left"/>
      <w:pPr>
        <w:tabs>
          <w:tab w:val="num" w:pos="720"/>
        </w:tabs>
        <w:ind w:left="720" w:hanging="720"/>
      </w:pPr>
      <w:rPr>
        <w:rFonts w:hint="default"/>
      </w:rPr>
    </w:lvl>
  </w:abstractNum>
  <w:abstractNum w:abstractNumId="34" w15:restartNumberingAfterBreak="0">
    <w:nsid w:val="576761C7"/>
    <w:multiLevelType w:val="hybridMultilevel"/>
    <w:tmpl w:val="CD249BEE"/>
    <w:lvl w:ilvl="0" w:tplc="06CE54AA">
      <w:start w:val="1"/>
      <w:numFmt w:val="bullet"/>
      <w:lvlText w:val=""/>
      <w:lvlJc w:val="left"/>
      <w:pPr>
        <w:ind w:left="1440" w:hanging="360"/>
      </w:pPr>
      <w:rPr>
        <w:rFonts w:ascii="Symbol" w:hAnsi="Symbol" w:hint="default"/>
        <w:color w:val="auto"/>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5A4F56A1"/>
    <w:multiLevelType w:val="multilevel"/>
    <w:tmpl w:val="642660C0"/>
    <w:lvl w:ilvl="0">
      <w:start w:val="1"/>
      <w:numFmt w:val="none"/>
      <w:lvlText w:val=""/>
      <w:legacy w:legacy="1" w:legacySpace="0" w:legacyIndent="720"/>
      <w:lvlJc w:val="left"/>
      <w:pPr>
        <w:ind w:left="720" w:hanging="720"/>
      </w:pPr>
      <w:rPr>
        <w:rFonts w:ascii="WP TypographicSymbols" w:hAnsi="WP TypographicSymbols" w:hint="default"/>
      </w:rPr>
    </w:lvl>
    <w:lvl w:ilvl="1">
      <w:start w:val="1"/>
      <w:numFmt w:val="none"/>
      <w:lvlText w:val=""/>
      <w:legacy w:legacy="1" w:legacySpace="0" w:legacyIndent="720"/>
      <w:lvlJc w:val="left"/>
      <w:pPr>
        <w:ind w:left="1440" w:hanging="720"/>
      </w:pPr>
      <w:rPr>
        <w:rFonts w:ascii="WP TypographicSymbols" w:hAnsi="WP TypographicSymbols" w:hint="default"/>
      </w:rPr>
    </w:lvl>
    <w:lvl w:ilvl="2">
      <w:start w:val="1"/>
      <w:numFmt w:val="none"/>
      <w:lvlText w:val=""/>
      <w:legacy w:legacy="1" w:legacySpace="0" w:legacyIndent="720"/>
      <w:lvlJc w:val="left"/>
      <w:pPr>
        <w:ind w:left="2160" w:hanging="720"/>
      </w:pPr>
      <w:rPr>
        <w:rFonts w:ascii="WP TypographicSymbols" w:hAnsi="WP TypographicSymbols" w:hint="default"/>
      </w:rPr>
    </w:lvl>
    <w:lvl w:ilvl="3">
      <w:start w:val="1"/>
      <w:numFmt w:val="none"/>
      <w:lvlText w:val=""/>
      <w:legacy w:legacy="1" w:legacySpace="0" w:legacyIndent="720"/>
      <w:lvlJc w:val="left"/>
      <w:pPr>
        <w:ind w:left="2880" w:hanging="720"/>
      </w:pPr>
      <w:rPr>
        <w:rFonts w:ascii="WP TypographicSymbols" w:hAnsi="WP TypographicSymbols" w:hint="default"/>
      </w:rPr>
    </w:lvl>
    <w:lvl w:ilvl="4">
      <w:start w:val="1"/>
      <w:numFmt w:val="none"/>
      <w:lvlText w:val=""/>
      <w:legacy w:legacy="1" w:legacySpace="0" w:legacyIndent="720"/>
      <w:lvlJc w:val="left"/>
      <w:pPr>
        <w:ind w:left="3600" w:hanging="720"/>
      </w:pPr>
      <w:rPr>
        <w:rFonts w:ascii="WP TypographicSymbols" w:hAnsi="WP TypographicSymbols" w:hint="default"/>
      </w:rPr>
    </w:lvl>
    <w:lvl w:ilvl="5">
      <w:start w:val="1"/>
      <w:numFmt w:val="none"/>
      <w:lvlText w:val=""/>
      <w:legacy w:legacy="1" w:legacySpace="0" w:legacyIndent="720"/>
      <w:lvlJc w:val="left"/>
      <w:pPr>
        <w:ind w:left="4320" w:hanging="720"/>
      </w:pPr>
      <w:rPr>
        <w:rFonts w:ascii="WP TypographicSymbols" w:hAnsi="WP TypographicSymbols" w:hint="default"/>
      </w:rPr>
    </w:lvl>
    <w:lvl w:ilvl="6">
      <w:start w:val="1"/>
      <w:numFmt w:val="none"/>
      <w:lvlText w:val=""/>
      <w:legacy w:legacy="1" w:legacySpace="0" w:legacyIndent="720"/>
      <w:lvlJc w:val="left"/>
      <w:pPr>
        <w:ind w:left="5040" w:hanging="720"/>
      </w:pPr>
      <w:rPr>
        <w:rFonts w:ascii="WP TypographicSymbols" w:hAnsi="WP TypographicSymbols" w:hint="default"/>
      </w:rPr>
    </w:lvl>
    <w:lvl w:ilvl="7">
      <w:start w:val="1"/>
      <w:numFmt w:val="none"/>
      <w:lvlText w:val=""/>
      <w:legacy w:legacy="1" w:legacySpace="0" w:legacyIndent="720"/>
      <w:lvlJc w:val="left"/>
      <w:pPr>
        <w:ind w:left="5760" w:hanging="720"/>
      </w:pPr>
      <w:rPr>
        <w:rFonts w:ascii="WP TypographicSymbols" w:hAnsi="WP TypographicSymbols" w:hint="default"/>
      </w:rPr>
    </w:lvl>
    <w:lvl w:ilvl="8">
      <w:start w:val="1"/>
      <w:numFmt w:val="lowerRoman"/>
      <w:lvlText w:val="%9"/>
      <w:legacy w:legacy="1" w:legacySpace="0" w:legacyIndent="720"/>
      <w:lvlJc w:val="left"/>
      <w:pPr>
        <w:ind w:left="6480" w:hanging="720"/>
      </w:pPr>
    </w:lvl>
  </w:abstractNum>
  <w:abstractNum w:abstractNumId="36" w15:restartNumberingAfterBreak="0">
    <w:nsid w:val="5DED20F7"/>
    <w:multiLevelType w:val="multilevel"/>
    <w:tmpl w:val="E586FDFE"/>
    <w:lvl w:ilvl="0">
      <w:start w:val="1"/>
      <w:numFmt w:val="none"/>
      <w:lvlText w:val=""/>
      <w:legacy w:legacy="1" w:legacySpace="0" w:legacyIndent="720"/>
      <w:lvlJc w:val="left"/>
      <w:pPr>
        <w:ind w:left="720" w:hanging="720"/>
      </w:pPr>
      <w:rPr>
        <w:rFonts w:ascii="WP MathA" w:hAnsi="WP MathA" w:hint="default"/>
      </w:rPr>
    </w:lvl>
    <w:lvl w:ilvl="1">
      <w:start w:val="1"/>
      <w:numFmt w:val="none"/>
      <w:lvlText w:val=""/>
      <w:legacy w:legacy="1" w:legacySpace="0" w:legacyIndent="720"/>
      <w:lvlJc w:val="left"/>
      <w:pPr>
        <w:ind w:left="1440" w:hanging="720"/>
      </w:pPr>
      <w:rPr>
        <w:rFonts w:ascii="WP MathA" w:hAnsi="WP MathA" w:hint="default"/>
      </w:rPr>
    </w:lvl>
    <w:lvl w:ilvl="2">
      <w:start w:val="1"/>
      <w:numFmt w:val="none"/>
      <w:lvlText w:val=""/>
      <w:legacy w:legacy="1" w:legacySpace="0" w:legacyIndent="720"/>
      <w:lvlJc w:val="left"/>
      <w:pPr>
        <w:ind w:left="2160" w:hanging="720"/>
      </w:pPr>
      <w:rPr>
        <w:rFonts w:ascii="WP MathA" w:hAnsi="WP MathA" w:hint="default"/>
      </w:rPr>
    </w:lvl>
    <w:lvl w:ilvl="3">
      <w:start w:val="1"/>
      <w:numFmt w:val="none"/>
      <w:lvlText w:val=""/>
      <w:legacy w:legacy="1" w:legacySpace="0" w:legacyIndent="720"/>
      <w:lvlJc w:val="left"/>
      <w:pPr>
        <w:ind w:left="2880" w:hanging="720"/>
      </w:pPr>
      <w:rPr>
        <w:rFonts w:ascii="WP MathA" w:hAnsi="WP MathA" w:hint="default"/>
      </w:rPr>
    </w:lvl>
    <w:lvl w:ilvl="4">
      <w:start w:val="1"/>
      <w:numFmt w:val="none"/>
      <w:lvlText w:val=""/>
      <w:legacy w:legacy="1" w:legacySpace="0" w:legacyIndent="720"/>
      <w:lvlJc w:val="left"/>
      <w:pPr>
        <w:ind w:left="3600" w:hanging="720"/>
      </w:pPr>
      <w:rPr>
        <w:rFonts w:ascii="WP MathA" w:hAnsi="WP MathA" w:hint="default"/>
      </w:rPr>
    </w:lvl>
    <w:lvl w:ilvl="5">
      <w:start w:val="1"/>
      <w:numFmt w:val="none"/>
      <w:lvlText w:val=""/>
      <w:legacy w:legacy="1" w:legacySpace="0" w:legacyIndent="720"/>
      <w:lvlJc w:val="left"/>
      <w:pPr>
        <w:ind w:left="4320" w:hanging="720"/>
      </w:pPr>
      <w:rPr>
        <w:rFonts w:ascii="WP MathA" w:hAnsi="WP MathA" w:hint="default"/>
      </w:rPr>
    </w:lvl>
    <w:lvl w:ilvl="6">
      <w:start w:val="1"/>
      <w:numFmt w:val="none"/>
      <w:lvlText w:val=""/>
      <w:legacy w:legacy="1" w:legacySpace="0" w:legacyIndent="720"/>
      <w:lvlJc w:val="left"/>
      <w:pPr>
        <w:ind w:left="5040" w:hanging="720"/>
      </w:pPr>
      <w:rPr>
        <w:rFonts w:ascii="WP MathA" w:hAnsi="WP MathA" w:hint="default"/>
      </w:rPr>
    </w:lvl>
    <w:lvl w:ilvl="7">
      <w:start w:val="1"/>
      <w:numFmt w:val="none"/>
      <w:lvlText w:val=""/>
      <w:legacy w:legacy="1" w:legacySpace="0" w:legacyIndent="720"/>
      <w:lvlJc w:val="left"/>
      <w:pPr>
        <w:ind w:left="5760" w:hanging="720"/>
      </w:pPr>
      <w:rPr>
        <w:rFonts w:ascii="WP MathA" w:hAnsi="WP MathA" w:hint="default"/>
      </w:rPr>
    </w:lvl>
    <w:lvl w:ilvl="8">
      <w:start w:val="1"/>
      <w:numFmt w:val="lowerRoman"/>
      <w:lvlText w:val="%9"/>
      <w:legacy w:legacy="1" w:legacySpace="0" w:legacyIndent="720"/>
      <w:lvlJc w:val="left"/>
      <w:pPr>
        <w:ind w:left="6480" w:hanging="720"/>
      </w:pPr>
    </w:lvl>
  </w:abstractNum>
  <w:abstractNum w:abstractNumId="37" w15:restartNumberingAfterBreak="0">
    <w:nsid w:val="610544B4"/>
    <w:multiLevelType w:val="multilevel"/>
    <w:tmpl w:val="642660C0"/>
    <w:lvl w:ilvl="0">
      <w:start w:val="1"/>
      <w:numFmt w:val="none"/>
      <w:lvlText w:val=""/>
      <w:legacy w:legacy="1" w:legacySpace="0" w:legacyIndent="720"/>
      <w:lvlJc w:val="left"/>
      <w:pPr>
        <w:ind w:left="720" w:hanging="720"/>
      </w:pPr>
      <w:rPr>
        <w:rFonts w:ascii="WP TypographicSymbols" w:hAnsi="WP TypographicSymbols" w:hint="default"/>
      </w:rPr>
    </w:lvl>
    <w:lvl w:ilvl="1">
      <w:start w:val="1"/>
      <w:numFmt w:val="none"/>
      <w:lvlText w:val=""/>
      <w:legacy w:legacy="1" w:legacySpace="0" w:legacyIndent="720"/>
      <w:lvlJc w:val="left"/>
      <w:pPr>
        <w:ind w:left="1440" w:hanging="720"/>
      </w:pPr>
      <w:rPr>
        <w:rFonts w:ascii="WP TypographicSymbols" w:hAnsi="WP TypographicSymbols" w:hint="default"/>
      </w:rPr>
    </w:lvl>
    <w:lvl w:ilvl="2">
      <w:start w:val="1"/>
      <w:numFmt w:val="none"/>
      <w:lvlText w:val=""/>
      <w:legacy w:legacy="1" w:legacySpace="0" w:legacyIndent="720"/>
      <w:lvlJc w:val="left"/>
      <w:pPr>
        <w:ind w:left="2160" w:hanging="720"/>
      </w:pPr>
      <w:rPr>
        <w:rFonts w:ascii="WP TypographicSymbols" w:hAnsi="WP TypographicSymbols" w:hint="default"/>
      </w:rPr>
    </w:lvl>
    <w:lvl w:ilvl="3">
      <w:start w:val="1"/>
      <w:numFmt w:val="none"/>
      <w:lvlText w:val=""/>
      <w:legacy w:legacy="1" w:legacySpace="0" w:legacyIndent="720"/>
      <w:lvlJc w:val="left"/>
      <w:pPr>
        <w:ind w:left="2880" w:hanging="720"/>
      </w:pPr>
      <w:rPr>
        <w:rFonts w:ascii="WP TypographicSymbols" w:hAnsi="WP TypographicSymbols" w:hint="default"/>
      </w:rPr>
    </w:lvl>
    <w:lvl w:ilvl="4">
      <w:start w:val="1"/>
      <w:numFmt w:val="none"/>
      <w:lvlText w:val=""/>
      <w:legacy w:legacy="1" w:legacySpace="0" w:legacyIndent="720"/>
      <w:lvlJc w:val="left"/>
      <w:pPr>
        <w:ind w:left="3600" w:hanging="720"/>
      </w:pPr>
      <w:rPr>
        <w:rFonts w:ascii="WP TypographicSymbols" w:hAnsi="WP TypographicSymbols" w:hint="default"/>
      </w:rPr>
    </w:lvl>
    <w:lvl w:ilvl="5">
      <w:start w:val="1"/>
      <w:numFmt w:val="none"/>
      <w:lvlText w:val=""/>
      <w:legacy w:legacy="1" w:legacySpace="0" w:legacyIndent="720"/>
      <w:lvlJc w:val="left"/>
      <w:pPr>
        <w:ind w:left="4320" w:hanging="720"/>
      </w:pPr>
      <w:rPr>
        <w:rFonts w:ascii="WP TypographicSymbols" w:hAnsi="WP TypographicSymbols" w:hint="default"/>
      </w:rPr>
    </w:lvl>
    <w:lvl w:ilvl="6">
      <w:start w:val="1"/>
      <w:numFmt w:val="none"/>
      <w:lvlText w:val=""/>
      <w:legacy w:legacy="1" w:legacySpace="0" w:legacyIndent="720"/>
      <w:lvlJc w:val="left"/>
      <w:pPr>
        <w:ind w:left="5040" w:hanging="720"/>
      </w:pPr>
      <w:rPr>
        <w:rFonts w:ascii="WP TypographicSymbols" w:hAnsi="WP TypographicSymbols" w:hint="default"/>
      </w:rPr>
    </w:lvl>
    <w:lvl w:ilvl="7">
      <w:start w:val="1"/>
      <w:numFmt w:val="none"/>
      <w:lvlText w:val=""/>
      <w:legacy w:legacy="1" w:legacySpace="0" w:legacyIndent="720"/>
      <w:lvlJc w:val="left"/>
      <w:pPr>
        <w:ind w:left="5760" w:hanging="720"/>
      </w:pPr>
      <w:rPr>
        <w:rFonts w:ascii="WP TypographicSymbols" w:hAnsi="WP TypographicSymbols" w:hint="default"/>
      </w:rPr>
    </w:lvl>
    <w:lvl w:ilvl="8">
      <w:start w:val="1"/>
      <w:numFmt w:val="lowerRoman"/>
      <w:lvlText w:val="%9"/>
      <w:legacy w:legacy="1" w:legacySpace="0" w:legacyIndent="720"/>
      <w:lvlJc w:val="left"/>
      <w:pPr>
        <w:ind w:left="6480" w:hanging="720"/>
      </w:pPr>
    </w:lvl>
  </w:abstractNum>
  <w:abstractNum w:abstractNumId="38" w15:restartNumberingAfterBreak="0">
    <w:nsid w:val="649270DA"/>
    <w:multiLevelType w:val="hybridMultilevel"/>
    <w:tmpl w:val="5564797C"/>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9" w15:restartNumberingAfterBreak="0">
    <w:nsid w:val="677B21F4"/>
    <w:multiLevelType w:val="multilevel"/>
    <w:tmpl w:val="E586FDFE"/>
    <w:lvl w:ilvl="0">
      <w:start w:val="1"/>
      <w:numFmt w:val="none"/>
      <w:lvlText w:val=""/>
      <w:legacy w:legacy="1" w:legacySpace="0" w:legacyIndent="720"/>
      <w:lvlJc w:val="left"/>
      <w:pPr>
        <w:ind w:left="720" w:hanging="720"/>
      </w:pPr>
      <w:rPr>
        <w:rFonts w:ascii="WP MathA" w:hAnsi="WP MathA" w:hint="default"/>
      </w:rPr>
    </w:lvl>
    <w:lvl w:ilvl="1">
      <w:start w:val="1"/>
      <w:numFmt w:val="none"/>
      <w:lvlText w:val=""/>
      <w:legacy w:legacy="1" w:legacySpace="0" w:legacyIndent="720"/>
      <w:lvlJc w:val="left"/>
      <w:pPr>
        <w:ind w:left="1440" w:hanging="720"/>
      </w:pPr>
      <w:rPr>
        <w:rFonts w:ascii="WP MathA" w:hAnsi="WP MathA" w:hint="default"/>
      </w:rPr>
    </w:lvl>
    <w:lvl w:ilvl="2">
      <w:start w:val="1"/>
      <w:numFmt w:val="none"/>
      <w:lvlText w:val=""/>
      <w:legacy w:legacy="1" w:legacySpace="0" w:legacyIndent="720"/>
      <w:lvlJc w:val="left"/>
      <w:pPr>
        <w:ind w:left="2160" w:hanging="720"/>
      </w:pPr>
      <w:rPr>
        <w:rFonts w:ascii="WP MathA" w:hAnsi="WP MathA" w:hint="default"/>
      </w:rPr>
    </w:lvl>
    <w:lvl w:ilvl="3">
      <w:start w:val="1"/>
      <w:numFmt w:val="none"/>
      <w:lvlText w:val=""/>
      <w:legacy w:legacy="1" w:legacySpace="0" w:legacyIndent="720"/>
      <w:lvlJc w:val="left"/>
      <w:pPr>
        <w:ind w:left="2880" w:hanging="720"/>
      </w:pPr>
      <w:rPr>
        <w:rFonts w:ascii="WP MathA" w:hAnsi="WP MathA" w:hint="default"/>
      </w:rPr>
    </w:lvl>
    <w:lvl w:ilvl="4">
      <w:start w:val="1"/>
      <w:numFmt w:val="none"/>
      <w:lvlText w:val=""/>
      <w:legacy w:legacy="1" w:legacySpace="0" w:legacyIndent="720"/>
      <w:lvlJc w:val="left"/>
      <w:pPr>
        <w:ind w:left="3600" w:hanging="720"/>
      </w:pPr>
      <w:rPr>
        <w:rFonts w:ascii="WP MathA" w:hAnsi="WP MathA" w:hint="default"/>
      </w:rPr>
    </w:lvl>
    <w:lvl w:ilvl="5">
      <w:start w:val="1"/>
      <w:numFmt w:val="none"/>
      <w:lvlText w:val=""/>
      <w:legacy w:legacy="1" w:legacySpace="0" w:legacyIndent="720"/>
      <w:lvlJc w:val="left"/>
      <w:pPr>
        <w:ind w:left="4320" w:hanging="720"/>
      </w:pPr>
      <w:rPr>
        <w:rFonts w:ascii="WP MathA" w:hAnsi="WP MathA" w:hint="default"/>
      </w:rPr>
    </w:lvl>
    <w:lvl w:ilvl="6">
      <w:start w:val="1"/>
      <w:numFmt w:val="none"/>
      <w:lvlText w:val=""/>
      <w:legacy w:legacy="1" w:legacySpace="0" w:legacyIndent="720"/>
      <w:lvlJc w:val="left"/>
      <w:pPr>
        <w:ind w:left="5040" w:hanging="720"/>
      </w:pPr>
      <w:rPr>
        <w:rFonts w:ascii="WP MathA" w:hAnsi="WP MathA" w:hint="default"/>
      </w:rPr>
    </w:lvl>
    <w:lvl w:ilvl="7">
      <w:start w:val="1"/>
      <w:numFmt w:val="none"/>
      <w:lvlText w:val=""/>
      <w:legacy w:legacy="1" w:legacySpace="0" w:legacyIndent="720"/>
      <w:lvlJc w:val="left"/>
      <w:pPr>
        <w:ind w:left="5760" w:hanging="720"/>
      </w:pPr>
      <w:rPr>
        <w:rFonts w:ascii="WP MathA" w:hAnsi="WP MathA" w:hint="default"/>
      </w:rPr>
    </w:lvl>
    <w:lvl w:ilvl="8">
      <w:start w:val="1"/>
      <w:numFmt w:val="lowerRoman"/>
      <w:lvlText w:val="%9"/>
      <w:legacy w:legacy="1" w:legacySpace="0" w:legacyIndent="720"/>
      <w:lvlJc w:val="left"/>
      <w:pPr>
        <w:ind w:left="6480" w:hanging="720"/>
      </w:pPr>
    </w:lvl>
  </w:abstractNum>
  <w:abstractNum w:abstractNumId="40" w15:restartNumberingAfterBreak="0">
    <w:nsid w:val="6B2C3E97"/>
    <w:multiLevelType w:val="multilevel"/>
    <w:tmpl w:val="E586FDFE"/>
    <w:lvl w:ilvl="0">
      <w:start w:val="1"/>
      <w:numFmt w:val="none"/>
      <w:lvlText w:val=""/>
      <w:legacy w:legacy="1" w:legacySpace="0" w:legacyIndent="720"/>
      <w:lvlJc w:val="left"/>
      <w:pPr>
        <w:ind w:left="720" w:hanging="720"/>
      </w:pPr>
      <w:rPr>
        <w:rFonts w:ascii="WP MathA" w:hAnsi="WP MathA" w:hint="default"/>
      </w:rPr>
    </w:lvl>
    <w:lvl w:ilvl="1">
      <w:start w:val="1"/>
      <w:numFmt w:val="none"/>
      <w:lvlText w:val=""/>
      <w:legacy w:legacy="1" w:legacySpace="0" w:legacyIndent="720"/>
      <w:lvlJc w:val="left"/>
      <w:pPr>
        <w:ind w:left="1440" w:hanging="720"/>
      </w:pPr>
      <w:rPr>
        <w:rFonts w:ascii="WP MathA" w:hAnsi="WP MathA" w:hint="default"/>
      </w:rPr>
    </w:lvl>
    <w:lvl w:ilvl="2">
      <w:start w:val="1"/>
      <w:numFmt w:val="none"/>
      <w:lvlText w:val=""/>
      <w:legacy w:legacy="1" w:legacySpace="0" w:legacyIndent="720"/>
      <w:lvlJc w:val="left"/>
      <w:pPr>
        <w:ind w:left="2160" w:hanging="720"/>
      </w:pPr>
      <w:rPr>
        <w:rFonts w:ascii="WP MathA" w:hAnsi="WP MathA" w:hint="default"/>
      </w:rPr>
    </w:lvl>
    <w:lvl w:ilvl="3">
      <w:start w:val="1"/>
      <w:numFmt w:val="none"/>
      <w:lvlText w:val=""/>
      <w:legacy w:legacy="1" w:legacySpace="0" w:legacyIndent="720"/>
      <w:lvlJc w:val="left"/>
      <w:pPr>
        <w:ind w:left="2880" w:hanging="720"/>
      </w:pPr>
      <w:rPr>
        <w:rFonts w:ascii="WP MathA" w:hAnsi="WP MathA" w:hint="default"/>
      </w:rPr>
    </w:lvl>
    <w:lvl w:ilvl="4">
      <w:start w:val="1"/>
      <w:numFmt w:val="none"/>
      <w:lvlText w:val=""/>
      <w:legacy w:legacy="1" w:legacySpace="0" w:legacyIndent="720"/>
      <w:lvlJc w:val="left"/>
      <w:pPr>
        <w:ind w:left="3600" w:hanging="720"/>
      </w:pPr>
      <w:rPr>
        <w:rFonts w:ascii="WP MathA" w:hAnsi="WP MathA" w:hint="default"/>
      </w:rPr>
    </w:lvl>
    <w:lvl w:ilvl="5">
      <w:start w:val="1"/>
      <w:numFmt w:val="none"/>
      <w:lvlText w:val=""/>
      <w:legacy w:legacy="1" w:legacySpace="0" w:legacyIndent="720"/>
      <w:lvlJc w:val="left"/>
      <w:pPr>
        <w:ind w:left="4320" w:hanging="720"/>
      </w:pPr>
      <w:rPr>
        <w:rFonts w:ascii="WP MathA" w:hAnsi="WP MathA" w:hint="default"/>
      </w:rPr>
    </w:lvl>
    <w:lvl w:ilvl="6">
      <w:start w:val="1"/>
      <w:numFmt w:val="none"/>
      <w:lvlText w:val=""/>
      <w:legacy w:legacy="1" w:legacySpace="0" w:legacyIndent="720"/>
      <w:lvlJc w:val="left"/>
      <w:pPr>
        <w:ind w:left="5040" w:hanging="720"/>
      </w:pPr>
      <w:rPr>
        <w:rFonts w:ascii="WP MathA" w:hAnsi="WP MathA" w:hint="default"/>
      </w:rPr>
    </w:lvl>
    <w:lvl w:ilvl="7">
      <w:start w:val="1"/>
      <w:numFmt w:val="none"/>
      <w:lvlText w:val=""/>
      <w:legacy w:legacy="1" w:legacySpace="0" w:legacyIndent="720"/>
      <w:lvlJc w:val="left"/>
      <w:pPr>
        <w:ind w:left="5760" w:hanging="720"/>
      </w:pPr>
      <w:rPr>
        <w:rFonts w:ascii="WP MathA" w:hAnsi="WP MathA" w:hint="default"/>
      </w:rPr>
    </w:lvl>
    <w:lvl w:ilvl="8">
      <w:start w:val="1"/>
      <w:numFmt w:val="lowerRoman"/>
      <w:lvlText w:val="%9"/>
      <w:legacy w:legacy="1" w:legacySpace="0" w:legacyIndent="720"/>
      <w:lvlJc w:val="left"/>
      <w:pPr>
        <w:ind w:left="6480" w:hanging="720"/>
      </w:pPr>
    </w:lvl>
  </w:abstractNum>
  <w:abstractNum w:abstractNumId="41" w15:restartNumberingAfterBreak="0">
    <w:nsid w:val="6D6D2F94"/>
    <w:multiLevelType w:val="hybridMultilevel"/>
    <w:tmpl w:val="F0F6A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E707AEC"/>
    <w:multiLevelType w:val="hybridMultilevel"/>
    <w:tmpl w:val="28A6F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5133C14"/>
    <w:multiLevelType w:val="hybridMultilevel"/>
    <w:tmpl w:val="3BA805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7926AC1"/>
    <w:multiLevelType w:val="multilevel"/>
    <w:tmpl w:val="642660C0"/>
    <w:lvl w:ilvl="0">
      <w:start w:val="1"/>
      <w:numFmt w:val="none"/>
      <w:lvlText w:val=""/>
      <w:legacy w:legacy="1" w:legacySpace="0" w:legacyIndent="720"/>
      <w:lvlJc w:val="left"/>
      <w:pPr>
        <w:ind w:left="720" w:hanging="720"/>
      </w:pPr>
      <w:rPr>
        <w:rFonts w:ascii="WP TypographicSymbols" w:hAnsi="WP TypographicSymbols" w:hint="default"/>
      </w:rPr>
    </w:lvl>
    <w:lvl w:ilvl="1">
      <w:start w:val="1"/>
      <w:numFmt w:val="none"/>
      <w:lvlText w:val=""/>
      <w:legacy w:legacy="1" w:legacySpace="0" w:legacyIndent="720"/>
      <w:lvlJc w:val="left"/>
      <w:pPr>
        <w:ind w:left="1440" w:hanging="720"/>
      </w:pPr>
      <w:rPr>
        <w:rFonts w:ascii="WP TypographicSymbols" w:hAnsi="WP TypographicSymbols" w:hint="default"/>
      </w:rPr>
    </w:lvl>
    <w:lvl w:ilvl="2">
      <w:start w:val="1"/>
      <w:numFmt w:val="none"/>
      <w:lvlText w:val=""/>
      <w:legacy w:legacy="1" w:legacySpace="0" w:legacyIndent="720"/>
      <w:lvlJc w:val="left"/>
      <w:pPr>
        <w:ind w:left="2160" w:hanging="720"/>
      </w:pPr>
      <w:rPr>
        <w:rFonts w:ascii="WP TypographicSymbols" w:hAnsi="WP TypographicSymbols" w:hint="default"/>
      </w:rPr>
    </w:lvl>
    <w:lvl w:ilvl="3">
      <w:start w:val="1"/>
      <w:numFmt w:val="none"/>
      <w:lvlText w:val=""/>
      <w:legacy w:legacy="1" w:legacySpace="0" w:legacyIndent="720"/>
      <w:lvlJc w:val="left"/>
      <w:pPr>
        <w:ind w:left="2880" w:hanging="720"/>
      </w:pPr>
      <w:rPr>
        <w:rFonts w:ascii="WP TypographicSymbols" w:hAnsi="WP TypographicSymbols" w:hint="default"/>
      </w:rPr>
    </w:lvl>
    <w:lvl w:ilvl="4">
      <w:start w:val="1"/>
      <w:numFmt w:val="none"/>
      <w:lvlText w:val=""/>
      <w:legacy w:legacy="1" w:legacySpace="0" w:legacyIndent="720"/>
      <w:lvlJc w:val="left"/>
      <w:pPr>
        <w:ind w:left="3600" w:hanging="720"/>
      </w:pPr>
      <w:rPr>
        <w:rFonts w:ascii="WP TypographicSymbols" w:hAnsi="WP TypographicSymbols" w:hint="default"/>
      </w:rPr>
    </w:lvl>
    <w:lvl w:ilvl="5">
      <w:start w:val="1"/>
      <w:numFmt w:val="none"/>
      <w:lvlText w:val=""/>
      <w:legacy w:legacy="1" w:legacySpace="0" w:legacyIndent="720"/>
      <w:lvlJc w:val="left"/>
      <w:pPr>
        <w:ind w:left="4320" w:hanging="720"/>
      </w:pPr>
      <w:rPr>
        <w:rFonts w:ascii="WP TypographicSymbols" w:hAnsi="WP TypographicSymbols" w:hint="default"/>
      </w:rPr>
    </w:lvl>
    <w:lvl w:ilvl="6">
      <w:start w:val="1"/>
      <w:numFmt w:val="none"/>
      <w:lvlText w:val=""/>
      <w:legacy w:legacy="1" w:legacySpace="0" w:legacyIndent="720"/>
      <w:lvlJc w:val="left"/>
      <w:pPr>
        <w:ind w:left="5040" w:hanging="720"/>
      </w:pPr>
      <w:rPr>
        <w:rFonts w:ascii="WP TypographicSymbols" w:hAnsi="WP TypographicSymbols" w:hint="default"/>
      </w:rPr>
    </w:lvl>
    <w:lvl w:ilvl="7">
      <w:start w:val="1"/>
      <w:numFmt w:val="none"/>
      <w:lvlText w:val=""/>
      <w:legacy w:legacy="1" w:legacySpace="0" w:legacyIndent="720"/>
      <w:lvlJc w:val="left"/>
      <w:pPr>
        <w:ind w:left="5760" w:hanging="720"/>
      </w:pPr>
      <w:rPr>
        <w:rFonts w:ascii="WP TypographicSymbols" w:hAnsi="WP TypographicSymbols" w:hint="default"/>
      </w:rPr>
    </w:lvl>
    <w:lvl w:ilvl="8">
      <w:start w:val="1"/>
      <w:numFmt w:val="lowerRoman"/>
      <w:lvlText w:val="%9"/>
      <w:legacy w:legacy="1" w:legacySpace="0" w:legacyIndent="720"/>
      <w:lvlJc w:val="left"/>
      <w:pPr>
        <w:ind w:left="6480" w:hanging="720"/>
      </w:pPr>
    </w:lvl>
  </w:abstractNum>
  <w:abstractNum w:abstractNumId="45" w15:restartNumberingAfterBreak="0">
    <w:nsid w:val="7A9032C3"/>
    <w:multiLevelType w:val="multilevel"/>
    <w:tmpl w:val="E586FDFE"/>
    <w:lvl w:ilvl="0">
      <w:start w:val="1"/>
      <w:numFmt w:val="none"/>
      <w:lvlText w:val=""/>
      <w:legacy w:legacy="1" w:legacySpace="0" w:legacyIndent="720"/>
      <w:lvlJc w:val="left"/>
      <w:pPr>
        <w:ind w:left="720" w:hanging="720"/>
      </w:pPr>
      <w:rPr>
        <w:rFonts w:ascii="WP MathA" w:hAnsi="WP MathA" w:hint="default"/>
      </w:rPr>
    </w:lvl>
    <w:lvl w:ilvl="1">
      <w:start w:val="1"/>
      <w:numFmt w:val="none"/>
      <w:lvlText w:val=""/>
      <w:legacy w:legacy="1" w:legacySpace="0" w:legacyIndent="720"/>
      <w:lvlJc w:val="left"/>
      <w:pPr>
        <w:ind w:left="1440" w:hanging="720"/>
      </w:pPr>
      <w:rPr>
        <w:rFonts w:ascii="WP MathA" w:hAnsi="WP MathA" w:hint="default"/>
      </w:rPr>
    </w:lvl>
    <w:lvl w:ilvl="2">
      <w:start w:val="1"/>
      <w:numFmt w:val="none"/>
      <w:lvlText w:val=""/>
      <w:legacy w:legacy="1" w:legacySpace="0" w:legacyIndent="720"/>
      <w:lvlJc w:val="left"/>
      <w:pPr>
        <w:ind w:left="2160" w:hanging="720"/>
      </w:pPr>
      <w:rPr>
        <w:rFonts w:ascii="WP MathA" w:hAnsi="WP MathA" w:hint="default"/>
      </w:rPr>
    </w:lvl>
    <w:lvl w:ilvl="3">
      <w:start w:val="1"/>
      <w:numFmt w:val="none"/>
      <w:lvlText w:val=""/>
      <w:legacy w:legacy="1" w:legacySpace="0" w:legacyIndent="720"/>
      <w:lvlJc w:val="left"/>
      <w:pPr>
        <w:ind w:left="2880" w:hanging="720"/>
      </w:pPr>
      <w:rPr>
        <w:rFonts w:ascii="WP MathA" w:hAnsi="WP MathA" w:hint="default"/>
      </w:rPr>
    </w:lvl>
    <w:lvl w:ilvl="4">
      <w:start w:val="1"/>
      <w:numFmt w:val="none"/>
      <w:lvlText w:val=""/>
      <w:legacy w:legacy="1" w:legacySpace="0" w:legacyIndent="720"/>
      <w:lvlJc w:val="left"/>
      <w:pPr>
        <w:ind w:left="3600" w:hanging="720"/>
      </w:pPr>
      <w:rPr>
        <w:rFonts w:ascii="WP MathA" w:hAnsi="WP MathA" w:hint="default"/>
      </w:rPr>
    </w:lvl>
    <w:lvl w:ilvl="5">
      <w:start w:val="1"/>
      <w:numFmt w:val="none"/>
      <w:lvlText w:val=""/>
      <w:legacy w:legacy="1" w:legacySpace="0" w:legacyIndent="720"/>
      <w:lvlJc w:val="left"/>
      <w:pPr>
        <w:ind w:left="4320" w:hanging="720"/>
      </w:pPr>
      <w:rPr>
        <w:rFonts w:ascii="WP MathA" w:hAnsi="WP MathA" w:hint="default"/>
      </w:rPr>
    </w:lvl>
    <w:lvl w:ilvl="6">
      <w:start w:val="1"/>
      <w:numFmt w:val="none"/>
      <w:lvlText w:val=""/>
      <w:legacy w:legacy="1" w:legacySpace="0" w:legacyIndent="720"/>
      <w:lvlJc w:val="left"/>
      <w:pPr>
        <w:ind w:left="5040" w:hanging="720"/>
      </w:pPr>
      <w:rPr>
        <w:rFonts w:ascii="WP MathA" w:hAnsi="WP MathA" w:hint="default"/>
      </w:rPr>
    </w:lvl>
    <w:lvl w:ilvl="7">
      <w:start w:val="1"/>
      <w:numFmt w:val="none"/>
      <w:lvlText w:val=""/>
      <w:legacy w:legacy="1" w:legacySpace="0" w:legacyIndent="720"/>
      <w:lvlJc w:val="left"/>
      <w:pPr>
        <w:ind w:left="5760" w:hanging="720"/>
      </w:pPr>
      <w:rPr>
        <w:rFonts w:ascii="WP MathA" w:hAnsi="WP MathA" w:hint="default"/>
      </w:rPr>
    </w:lvl>
    <w:lvl w:ilvl="8">
      <w:start w:val="1"/>
      <w:numFmt w:val="lowerRoman"/>
      <w:lvlText w:val="%9"/>
      <w:legacy w:legacy="1" w:legacySpace="0" w:legacyIndent="720"/>
      <w:lvlJc w:val="left"/>
      <w:pPr>
        <w:ind w:left="6480" w:hanging="720"/>
      </w:pPr>
    </w:lvl>
  </w:abstractNum>
  <w:abstractNum w:abstractNumId="46" w15:restartNumberingAfterBreak="0">
    <w:nsid w:val="7CE3765E"/>
    <w:multiLevelType w:val="multilevel"/>
    <w:tmpl w:val="642660C0"/>
    <w:lvl w:ilvl="0">
      <w:start w:val="1"/>
      <w:numFmt w:val="none"/>
      <w:lvlText w:val=""/>
      <w:legacy w:legacy="1" w:legacySpace="0" w:legacyIndent="720"/>
      <w:lvlJc w:val="left"/>
      <w:pPr>
        <w:ind w:left="720" w:hanging="720"/>
      </w:pPr>
      <w:rPr>
        <w:rFonts w:ascii="WP TypographicSymbols" w:hAnsi="WP TypographicSymbols" w:hint="default"/>
      </w:rPr>
    </w:lvl>
    <w:lvl w:ilvl="1">
      <w:start w:val="1"/>
      <w:numFmt w:val="none"/>
      <w:lvlText w:val=""/>
      <w:legacy w:legacy="1" w:legacySpace="0" w:legacyIndent="720"/>
      <w:lvlJc w:val="left"/>
      <w:pPr>
        <w:ind w:left="1440" w:hanging="720"/>
      </w:pPr>
      <w:rPr>
        <w:rFonts w:ascii="WP TypographicSymbols" w:hAnsi="WP TypographicSymbols" w:hint="default"/>
      </w:rPr>
    </w:lvl>
    <w:lvl w:ilvl="2">
      <w:start w:val="1"/>
      <w:numFmt w:val="none"/>
      <w:lvlText w:val=""/>
      <w:legacy w:legacy="1" w:legacySpace="0" w:legacyIndent="720"/>
      <w:lvlJc w:val="left"/>
      <w:pPr>
        <w:ind w:left="2160" w:hanging="720"/>
      </w:pPr>
      <w:rPr>
        <w:rFonts w:ascii="WP TypographicSymbols" w:hAnsi="WP TypographicSymbols" w:hint="default"/>
      </w:rPr>
    </w:lvl>
    <w:lvl w:ilvl="3">
      <w:start w:val="1"/>
      <w:numFmt w:val="none"/>
      <w:lvlText w:val=""/>
      <w:legacy w:legacy="1" w:legacySpace="0" w:legacyIndent="720"/>
      <w:lvlJc w:val="left"/>
      <w:pPr>
        <w:ind w:left="2880" w:hanging="720"/>
      </w:pPr>
      <w:rPr>
        <w:rFonts w:ascii="WP TypographicSymbols" w:hAnsi="WP TypographicSymbols" w:hint="default"/>
      </w:rPr>
    </w:lvl>
    <w:lvl w:ilvl="4">
      <w:start w:val="1"/>
      <w:numFmt w:val="none"/>
      <w:lvlText w:val=""/>
      <w:legacy w:legacy="1" w:legacySpace="0" w:legacyIndent="720"/>
      <w:lvlJc w:val="left"/>
      <w:pPr>
        <w:ind w:left="3600" w:hanging="720"/>
      </w:pPr>
      <w:rPr>
        <w:rFonts w:ascii="WP TypographicSymbols" w:hAnsi="WP TypographicSymbols" w:hint="default"/>
      </w:rPr>
    </w:lvl>
    <w:lvl w:ilvl="5">
      <w:start w:val="1"/>
      <w:numFmt w:val="none"/>
      <w:lvlText w:val=""/>
      <w:legacy w:legacy="1" w:legacySpace="0" w:legacyIndent="720"/>
      <w:lvlJc w:val="left"/>
      <w:pPr>
        <w:ind w:left="4320" w:hanging="720"/>
      </w:pPr>
      <w:rPr>
        <w:rFonts w:ascii="WP TypographicSymbols" w:hAnsi="WP TypographicSymbols" w:hint="default"/>
      </w:rPr>
    </w:lvl>
    <w:lvl w:ilvl="6">
      <w:start w:val="1"/>
      <w:numFmt w:val="none"/>
      <w:lvlText w:val=""/>
      <w:legacy w:legacy="1" w:legacySpace="0" w:legacyIndent="720"/>
      <w:lvlJc w:val="left"/>
      <w:pPr>
        <w:ind w:left="5040" w:hanging="720"/>
      </w:pPr>
      <w:rPr>
        <w:rFonts w:ascii="WP TypographicSymbols" w:hAnsi="WP TypographicSymbols" w:hint="default"/>
      </w:rPr>
    </w:lvl>
    <w:lvl w:ilvl="7">
      <w:start w:val="1"/>
      <w:numFmt w:val="none"/>
      <w:lvlText w:val=""/>
      <w:legacy w:legacy="1" w:legacySpace="0" w:legacyIndent="720"/>
      <w:lvlJc w:val="left"/>
      <w:pPr>
        <w:ind w:left="5760" w:hanging="720"/>
      </w:pPr>
      <w:rPr>
        <w:rFonts w:ascii="WP TypographicSymbols" w:hAnsi="WP TypographicSymbols" w:hint="default"/>
      </w:rPr>
    </w:lvl>
    <w:lvl w:ilvl="8">
      <w:start w:val="1"/>
      <w:numFmt w:val="lowerRoman"/>
      <w:lvlText w:val="%9"/>
      <w:legacy w:legacy="1" w:legacySpace="0" w:legacyIndent="720"/>
      <w:lvlJc w:val="left"/>
      <w:pPr>
        <w:ind w:left="6480" w:hanging="720"/>
      </w:pPr>
    </w:lvl>
  </w:abstractNum>
  <w:abstractNum w:abstractNumId="47" w15:restartNumberingAfterBreak="0">
    <w:nsid w:val="7E7E73CB"/>
    <w:multiLevelType w:val="hybridMultilevel"/>
    <w:tmpl w:val="0D2C93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F441EB8"/>
    <w:multiLevelType w:val="hybridMultilevel"/>
    <w:tmpl w:val="46B01A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35"/>
  </w:num>
  <w:num w:numId="3">
    <w:abstractNumId w:val="1"/>
  </w:num>
  <w:num w:numId="4">
    <w:abstractNumId w:val="37"/>
  </w:num>
  <w:num w:numId="5">
    <w:abstractNumId w:val="21"/>
  </w:num>
  <w:num w:numId="6">
    <w:abstractNumId w:val="25"/>
  </w:num>
  <w:num w:numId="7">
    <w:abstractNumId w:val="19"/>
  </w:num>
  <w:num w:numId="8">
    <w:abstractNumId w:val="13"/>
  </w:num>
  <w:num w:numId="9">
    <w:abstractNumId w:val="40"/>
  </w:num>
  <w:num w:numId="10">
    <w:abstractNumId w:val="3"/>
  </w:num>
  <w:num w:numId="11">
    <w:abstractNumId w:val="26"/>
  </w:num>
  <w:num w:numId="12">
    <w:abstractNumId w:val="45"/>
  </w:num>
  <w:num w:numId="13">
    <w:abstractNumId w:val="23"/>
  </w:num>
  <w:num w:numId="14">
    <w:abstractNumId w:val="30"/>
  </w:num>
  <w:num w:numId="15">
    <w:abstractNumId w:val="9"/>
  </w:num>
  <w:num w:numId="16">
    <w:abstractNumId w:val="44"/>
  </w:num>
  <w:num w:numId="17">
    <w:abstractNumId w:val="31"/>
  </w:num>
  <w:num w:numId="18">
    <w:abstractNumId w:val="46"/>
  </w:num>
  <w:num w:numId="19">
    <w:abstractNumId w:val="27"/>
  </w:num>
  <w:num w:numId="20">
    <w:abstractNumId w:val="4"/>
  </w:num>
  <w:num w:numId="21">
    <w:abstractNumId w:val="17"/>
  </w:num>
  <w:num w:numId="22">
    <w:abstractNumId w:val="24"/>
  </w:num>
  <w:num w:numId="23">
    <w:abstractNumId w:val="39"/>
  </w:num>
  <w:num w:numId="24">
    <w:abstractNumId w:val="6"/>
  </w:num>
  <w:num w:numId="25">
    <w:abstractNumId w:val="20"/>
  </w:num>
  <w:num w:numId="26">
    <w:abstractNumId w:val="29"/>
  </w:num>
  <w:num w:numId="27">
    <w:abstractNumId w:val="10"/>
  </w:num>
  <w:num w:numId="28">
    <w:abstractNumId w:val="36"/>
  </w:num>
  <w:num w:numId="29">
    <w:abstractNumId w:val="12"/>
  </w:num>
  <w:num w:numId="30">
    <w:abstractNumId w:val="0"/>
  </w:num>
  <w:num w:numId="31">
    <w:abstractNumId w:val="33"/>
  </w:num>
  <w:num w:numId="32">
    <w:abstractNumId w:val="22"/>
  </w:num>
  <w:num w:numId="33">
    <w:abstractNumId w:val="47"/>
  </w:num>
  <w:num w:numId="34">
    <w:abstractNumId w:val="2"/>
  </w:num>
  <w:num w:numId="35">
    <w:abstractNumId w:val="32"/>
  </w:num>
  <w:num w:numId="36">
    <w:abstractNumId w:val="16"/>
  </w:num>
  <w:num w:numId="37">
    <w:abstractNumId w:val="48"/>
  </w:num>
  <w:num w:numId="38">
    <w:abstractNumId w:val="14"/>
  </w:num>
  <w:num w:numId="39">
    <w:abstractNumId w:val="15"/>
  </w:num>
  <w:num w:numId="40">
    <w:abstractNumId w:val="5"/>
  </w:num>
  <w:num w:numId="4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2"/>
  </w:num>
  <w:num w:numId="43">
    <w:abstractNumId w:val="11"/>
  </w:num>
  <w:num w:numId="44">
    <w:abstractNumId w:val="43"/>
  </w:num>
  <w:num w:numId="45">
    <w:abstractNumId w:val="18"/>
  </w:num>
  <w:num w:numId="46">
    <w:abstractNumId w:val="7"/>
  </w:num>
  <w:num w:numId="47">
    <w:abstractNumId w:val="34"/>
  </w:num>
  <w:num w:numId="48">
    <w:abstractNumId w:val="41"/>
  </w:num>
  <w:num w:numId="4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1161"/>
    <w:rsid w:val="00000E24"/>
    <w:rsid w:val="00002ED1"/>
    <w:rsid w:val="00004F18"/>
    <w:rsid w:val="00012C91"/>
    <w:rsid w:val="00012DB6"/>
    <w:rsid w:val="000137E3"/>
    <w:rsid w:val="000149E4"/>
    <w:rsid w:val="00015CA7"/>
    <w:rsid w:val="00017360"/>
    <w:rsid w:val="00017B9E"/>
    <w:rsid w:val="000200F6"/>
    <w:rsid w:val="00020300"/>
    <w:rsid w:val="000237D9"/>
    <w:rsid w:val="000263CD"/>
    <w:rsid w:val="00026470"/>
    <w:rsid w:val="00031D7C"/>
    <w:rsid w:val="0003322A"/>
    <w:rsid w:val="00033751"/>
    <w:rsid w:val="00034BAC"/>
    <w:rsid w:val="00036409"/>
    <w:rsid w:val="000366AC"/>
    <w:rsid w:val="000432D9"/>
    <w:rsid w:val="00043753"/>
    <w:rsid w:val="00044EB2"/>
    <w:rsid w:val="00050A98"/>
    <w:rsid w:val="00050FE6"/>
    <w:rsid w:val="0005180E"/>
    <w:rsid w:val="00052A3F"/>
    <w:rsid w:val="00060D7E"/>
    <w:rsid w:val="00060E80"/>
    <w:rsid w:val="00063BBF"/>
    <w:rsid w:val="000642AB"/>
    <w:rsid w:val="00065B5E"/>
    <w:rsid w:val="00067206"/>
    <w:rsid w:val="00067354"/>
    <w:rsid w:val="00067AF0"/>
    <w:rsid w:val="00073430"/>
    <w:rsid w:val="000748C8"/>
    <w:rsid w:val="00075673"/>
    <w:rsid w:val="000761E1"/>
    <w:rsid w:val="000804BF"/>
    <w:rsid w:val="00080CA6"/>
    <w:rsid w:val="00081C1F"/>
    <w:rsid w:val="00085CF8"/>
    <w:rsid w:val="00086453"/>
    <w:rsid w:val="00090F13"/>
    <w:rsid w:val="0009249F"/>
    <w:rsid w:val="00092EF4"/>
    <w:rsid w:val="00095106"/>
    <w:rsid w:val="00095C35"/>
    <w:rsid w:val="00095C91"/>
    <w:rsid w:val="00097889"/>
    <w:rsid w:val="000A0DEA"/>
    <w:rsid w:val="000A1346"/>
    <w:rsid w:val="000A3475"/>
    <w:rsid w:val="000A34EB"/>
    <w:rsid w:val="000A37B3"/>
    <w:rsid w:val="000A4B34"/>
    <w:rsid w:val="000A5379"/>
    <w:rsid w:val="000B0490"/>
    <w:rsid w:val="000B48BF"/>
    <w:rsid w:val="000B5D21"/>
    <w:rsid w:val="000B6212"/>
    <w:rsid w:val="000C16CC"/>
    <w:rsid w:val="000C17F8"/>
    <w:rsid w:val="000C2DC2"/>
    <w:rsid w:val="000C2EC4"/>
    <w:rsid w:val="000C3AE1"/>
    <w:rsid w:val="000C5819"/>
    <w:rsid w:val="000C6BD8"/>
    <w:rsid w:val="000C74A1"/>
    <w:rsid w:val="000D5759"/>
    <w:rsid w:val="000E21BA"/>
    <w:rsid w:val="000E2EEF"/>
    <w:rsid w:val="000E51C1"/>
    <w:rsid w:val="000E7227"/>
    <w:rsid w:val="000E7EA0"/>
    <w:rsid w:val="000F0D3E"/>
    <w:rsid w:val="000F47D4"/>
    <w:rsid w:val="000F4EDF"/>
    <w:rsid w:val="000F7251"/>
    <w:rsid w:val="000F7CF3"/>
    <w:rsid w:val="00100CF5"/>
    <w:rsid w:val="00101D28"/>
    <w:rsid w:val="00107DEC"/>
    <w:rsid w:val="0011206C"/>
    <w:rsid w:val="001152BB"/>
    <w:rsid w:val="001204B7"/>
    <w:rsid w:val="00120AA8"/>
    <w:rsid w:val="0012407C"/>
    <w:rsid w:val="00124293"/>
    <w:rsid w:val="00127E95"/>
    <w:rsid w:val="001302F5"/>
    <w:rsid w:val="0013058C"/>
    <w:rsid w:val="00131093"/>
    <w:rsid w:val="00131EB5"/>
    <w:rsid w:val="00132CA3"/>
    <w:rsid w:val="00136179"/>
    <w:rsid w:val="001430E0"/>
    <w:rsid w:val="00143B6B"/>
    <w:rsid w:val="00144ECD"/>
    <w:rsid w:val="00150BD2"/>
    <w:rsid w:val="00151BCD"/>
    <w:rsid w:val="00154356"/>
    <w:rsid w:val="00157544"/>
    <w:rsid w:val="001638E0"/>
    <w:rsid w:val="00164D22"/>
    <w:rsid w:val="0016654A"/>
    <w:rsid w:val="00167858"/>
    <w:rsid w:val="001704FF"/>
    <w:rsid w:val="001711B9"/>
    <w:rsid w:val="00171DDF"/>
    <w:rsid w:val="0017401B"/>
    <w:rsid w:val="001779F2"/>
    <w:rsid w:val="00177B44"/>
    <w:rsid w:val="00180BDC"/>
    <w:rsid w:val="00182E62"/>
    <w:rsid w:val="00185B21"/>
    <w:rsid w:val="00190033"/>
    <w:rsid w:val="0019245F"/>
    <w:rsid w:val="001928C4"/>
    <w:rsid w:val="001936AB"/>
    <w:rsid w:val="00193B15"/>
    <w:rsid w:val="00193CCF"/>
    <w:rsid w:val="00195BA0"/>
    <w:rsid w:val="00196D72"/>
    <w:rsid w:val="001A16CF"/>
    <w:rsid w:val="001A3607"/>
    <w:rsid w:val="001B13E5"/>
    <w:rsid w:val="001B1D98"/>
    <w:rsid w:val="001B4100"/>
    <w:rsid w:val="001B4AA9"/>
    <w:rsid w:val="001B5FDD"/>
    <w:rsid w:val="001C0EE7"/>
    <w:rsid w:val="001C2BF0"/>
    <w:rsid w:val="001C513A"/>
    <w:rsid w:val="001C5583"/>
    <w:rsid w:val="001D16FA"/>
    <w:rsid w:val="001D6B6C"/>
    <w:rsid w:val="001E18B9"/>
    <w:rsid w:val="001E3F5B"/>
    <w:rsid w:val="001E452E"/>
    <w:rsid w:val="001F008C"/>
    <w:rsid w:val="001F0FC0"/>
    <w:rsid w:val="002003A0"/>
    <w:rsid w:val="002038FD"/>
    <w:rsid w:val="00204B2B"/>
    <w:rsid w:val="00207BF6"/>
    <w:rsid w:val="002112A0"/>
    <w:rsid w:val="0021252A"/>
    <w:rsid w:val="0021366F"/>
    <w:rsid w:val="002148C5"/>
    <w:rsid w:val="00216DFA"/>
    <w:rsid w:val="002223D0"/>
    <w:rsid w:val="00223D7B"/>
    <w:rsid w:val="00224B00"/>
    <w:rsid w:val="002250C6"/>
    <w:rsid w:val="00232A98"/>
    <w:rsid w:val="002340CB"/>
    <w:rsid w:val="00234933"/>
    <w:rsid w:val="00235505"/>
    <w:rsid w:val="00236C09"/>
    <w:rsid w:val="00237FD9"/>
    <w:rsid w:val="0024077A"/>
    <w:rsid w:val="00243694"/>
    <w:rsid w:val="0025178B"/>
    <w:rsid w:val="0025398D"/>
    <w:rsid w:val="00255074"/>
    <w:rsid w:val="00262784"/>
    <w:rsid w:val="002630DD"/>
    <w:rsid w:val="00266286"/>
    <w:rsid w:val="002667F9"/>
    <w:rsid w:val="00266D8B"/>
    <w:rsid w:val="00271DB0"/>
    <w:rsid w:val="00272355"/>
    <w:rsid w:val="0027562C"/>
    <w:rsid w:val="00281B88"/>
    <w:rsid w:val="00281C87"/>
    <w:rsid w:val="00284A5F"/>
    <w:rsid w:val="0028787B"/>
    <w:rsid w:val="0028792E"/>
    <w:rsid w:val="00287B42"/>
    <w:rsid w:val="00290CF8"/>
    <w:rsid w:val="00291087"/>
    <w:rsid w:val="00291686"/>
    <w:rsid w:val="00292A27"/>
    <w:rsid w:val="002931EC"/>
    <w:rsid w:val="00294E96"/>
    <w:rsid w:val="00295441"/>
    <w:rsid w:val="00297A54"/>
    <w:rsid w:val="002A14D6"/>
    <w:rsid w:val="002A1E79"/>
    <w:rsid w:val="002A2F0B"/>
    <w:rsid w:val="002A31A1"/>
    <w:rsid w:val="002A3BA3"/>
    <w:rsid w:val="002A481E"/>
    <w:rsid w:val="002A4963"/>
    <w:rsid w:val="002A6974"/>
    <w:rsid w:val="002A712B"/>
    <w:rsid w:val="002A71E1"/>
    <w:rsid w:val="002B10C0"/>
    <w:rsid w:val="002B1BD8"/>
    <w:rsid w:val="002B312B"/>
    <w:rsid w:val="002B3F36"/>
    <w:rsid w:val="002B4F2E"/>
    <w:rsid w:val="002B609D"/>
    <w:rsid w:val="002C0B1B"/>
    <w:rsid w:val="002C4500"/>
    <w:rsid w:val="002C5116"/>
    <w:rsid w:val="002C626E"/>
    <w:rsid w:val="002C6699"/>
    <w:rsid w:val="002C74A9"/>
    <w:rsid w:val="002D262B"/>
    <w:rsid w:val="002D3B00"/>
    <w:rsid w:val="002D4122"/>
    <w:rsid w:val="002D52C2"/>
    <w:rsid w:val="002D6431"/>
    <w:rsid w:val="002D7D44"/>
    <w:rsid w:val="002E0179"/>
    <w:rsid w:val="002E094D"/>
    <w:rsid w:val="002E0FA4"/>
    <w:rsid w:val="002E1720"/>
    <w:rsid w:val="002E59CE"/>
    <w:rsid w:val="002E5FED"/>
    <w:rsid w:val="002E67CA"/>
    <w:rsid w:val="002F019C"/>
    <w:rsid w:val="002F0C82"/>
    <w:rsid w:val="002F36FE"/>
    <w:rsid w:val="002F5B85"/>
    <w:rsid w:val="003034B8"/>
    <w:rsid w:val="00303B74"/>
    <w:rsid w:val="00304BDC"/>
    <w:rsid w:val="003066AE"/>
    <w:rsid w:val="00310717"/>
    <w:rsid w:val="00311C56"/>
    <w:rsid w:val="00312519"/>
    <w:rsid w:val="00313B23"/>
    <w:rsid w:val="00313F4B"/>
    <w:rsid w:val="0031413F"/>
    <w:rsid w:val="00314705"/>
    <w:rsid w:val="00322EE4"/>
    <w:rsid w:val="003251E0"/>
    <w:rsid w:val="0032757C"/>
    <w:rsid w:val="003321EC"/>
    <w:rsid w:val="00334CC3"/>
    <w:rsid w:val="0033654A"/>
    <w:rsid w:val="00336855"/>
    <w:rsid w:val="00340AB9"/>
    <w:rsid w:val="00342E5C"/>
    <w:rsid w:val="003442B1"/>
    <w:rsid w:val="00344CF4"/>
    <w:rsid w:val="0034684E"/>
    <w:rsid w:val="00350174"/>
    <w:rsid w:val="00353228"/>
    <w:rsid w:val="0035373D"/>
    <w:rsid w:val="0035405B"/>
    <w:rsid w:val="003549CD"/>
    <w:rsid w:val="00354DC9"/>
    <w:rsid w:val="003561B0"/>
    <w:rsid w:val="00356BBB"/>
    <w:rsid w:val="003675FA"/>
    <w:rsid w:val="003746CE"/>
    <w:rsid w:val="003756C7"/>
    <w:rsid w:val="00376292"/>
    <w:rsid w:val="003765FA"/>
    <w:rsid w:val="00380D0C"/>
    <w:rsid w:val="003824AD"/>
    <w:rsid w:val="00383D96"/>
    <w:rsid w:val="00385052"/>
    <w:rsid w:val="003859F2"/>
    <w:rsid w:val="00386301"/>
    <w:rsid w:val="003902D0"/>
    <w:rsid w:val="003908A6"/>
    <w:rsid w:val="00392B96"/>
    <w:rsid w:val="00393EE3"/>
    <w:rsid w:val="00395DB1"/>
    <w:rsid w:val="003A28C6"/>
    <w:rsid w:val="003A35B6"/>
    <w:rsid w:val="003A5074"/>
    <w:rsid w:val="003B020A"/>
    <w:rsid w:val="003B1A4B"/>
    <w:rsid w:val="003B1C64"/>
    <w:rsid w:val="003B31B8"/>
    <w:rsid w:val="003B3E67"/>
    <w:rsid w:val="003B4EF7"/>
    <w:rsid w:val="003B6B5D"/>
    <w:rsid w:val="003B729B"/>
    <w:rsid w:val="003C066D"/>
    <w:rsid w:val="003C0686"/>
    <w:rsid w:val="003C24EF"/>
    <w:rsid w:val="003C6555"/>
    <w:rsid w:val="003D0095"/>
    <w:rsid w:val="003D1394"/>
    <w:rsid w:val="003D3D00"/>
    <w:rsid w:val="003D5983"/>
    <w:rsid w:val="003E2342"/>
    <w:rsid w:val="003E406D"/>
    <w:rsid w:val="003E6A62"/>
    <w:rsid w:val="003F1422"/>
    <w:rsid w:val="003F33E2"/>
    <w:rsid w:val="003F4206"/>
    <w:rsid w:val="003F4788"/>
    <w:rsid w:val="003F47FA"/>
    <w:rsid w:val="003F4F73"/>
    <w:rsid w:val="003F738E"/>
    <w:rsid w:val="00400D38"/>
    <w:rsid w:val="004049B1"/>
    <w:rsid w:val="004055D5"/>
    <w:rsid w:val="00410B0B"/>
    <w:rsid w:val="00413681"/>
    <w:rsid w:val="004151F8"/>
    <w:rsid w:val="00420A8F"/>
    <w:rsid w:val="0042302B"/>
    <w:rsid w:val="00424EEA"/>
    <w:rsid w:val="00425494"/>
    <w:rsid w:val="00426150"/>
    <w:rsid w:val="0043398E"/>
    <w:rsid w:val="004351D7"/>
    <w:rsid w:val="00435ADA"/>
    <w:rsid w:val="0043662E"/>
    <w:rsid w:val="0043762C"/>
    <w:rsid w:val="00437F79"/>
    <w:rsid w:val="00441938"/>
    <w:rsid w:val="004420BA"/>
    <w:rsid w:val="00442CDD"/>
    <w:rsid w:val="00443DAE"/>
    <w:rsid w:val="004445CB"/>
    <w:rsid w:val="00447A17"/>
    <w:rsid w:val="004504F7"/>
    <w:rsid w:val="00456342"/>
    <w:rsid w:val="004621B2"/>
    <w:rsid w:val="0047429C"/>
    <w:rsid w:val="00474935"/>
    <w:rsid w:val="00474B31"/>
    <w:rsid w:val="00476766"/>
    <w:rsid w:val="00476977"/>
    <w:rsid w:val="00476C50"/>
    <w:rsid w:val="00480048"/>
    <w:rsid w:val="004809EC"/>
    <w:rsid w:val="00480D19"/>
    <w:rsid w:val="004818C7"/>
    <w:rsid w:val="00485763"/>
    <w:rsid w:val="00492371"/>
    <w:rsid w:val="004932C3"/>
    <w:rsid w:val="00495A6C"/>
    <w:rsid w:val="00496A66"/>
    <w:rsid w:val="00496F64"/>
    <w:rsid w:val="004A024B"/>
    <w:rsid w:val="004A1CFD"/>
    <w:rsid w:val="004A273E"/>
    <w:rsid w:val="004A611A"/>
    <w:rsid w:val="004B22BA"/>
    <w:rsid w:val="004B45AC"/>
    <w:rsid w:val="004B611E"/>
    <w:rsid w:val="004B68B5"/>
    <w:rsid w:val="004C1E37"/>
    <w:rsid w:val="004C2187"/>
    <w:rsid w:val="004C76B3"/>
    <w:rsid w:val="004C76E8"/>
    <w:rsid w:val="004D0450"/>
    <w:rsid w:val="004D09CC"/>
    <w:rsid w:val="004D0EB7"/>
    <w:rsid w:val="004D2857"/>
    <w:rsid w:val="004D28D1"/>
    <w:rsid w:val="004D4BAC"/>
    <w:rsid w:val="004D4ECD"/>
    <w:rsid w:val="004D574C"/>
    <w:rsid w:val="004E722B"/>
    <w:rsid w:val="004F4805"/>
    <w:rsid w:val="00502A66"/>
    <w:rsid w:val="00503B44"/>
    <w:rsid w:val="00504919"/>
    <w:rsid w:val="00505819"/>
    <w:rsid w:val="00505A66"/>
    <w:rsid w:val="00512104"/>
    <w:rsid w:val="005125A7"/>
    <w:rsid w:val="00514D9F"/>
    <w:rsid w:val="00516B98"/>
    <w:rsid w:val="00521983"/>
    <w:rsid w:val="00521E6B"/>
    <w:rsid w:val="00522338"/>
    <w:rsid w:val="00523B5C"/>
    <w:rsid w:val="005258E9"/>
    <w:rsid w:val="0052643D"/>
    <w:rsid w:val="00527B45"/>
    <w:rsid w:val="00531077"/>
    <w:rsid w:val="005319BF"/>
    <w:rsid w:val="00531CAB"/>
    <w:rsid w:val="00534A4A"/>
    <w:rsid w:val="005409BD"/>
    <w:rsid w:val="00541456"/>
    <w:rsid w:val="005416A6"/>
    <w:rsid w:val="005432BA"/>
    <w:rsid w:val="00545588"/>
    <w:rsid w:val="00545ADE"/>
    <w:rsid w:val="005540E9"/>
    <w:rsid w:val="005549A4"/>
    <w:rsid w:val="005549DB"/>
    <w:rsid w:val="0055505C"/>
    <w:rsid w:val="00555F00"/>
    <w:rsid w:val="0055755B"/>
    <w:rsid w:val="005615AD"/>
    <w:rsid w:val="0056316F"/>
    <w:rsid w:val="00564EFE"/>
    <w:rsid w:val="00565937"/>
    <w:rsid w:val="00565A75"/>
    <w:rsid w:val="0056703D"/>
    <w:rsid w:val="0057087C"/>
    <w:rsid w:val="00571FC1"/>
    <w:rsid w:val="00574004"/>
    <w:rsid w:val="00575BB6"/>
    <w:rsid w:val="00577626"/>
    <w:rsid w:val="00580E7E"/>
    <w:rsid w:val="00581770"/>
    <w:rsid w:val="00581C43"/>
    <w:rsid w:val="00581E66"/>
    <w:rsid w:val="005837F0"/>
    <w:rsid w:val="00587C22"/>
    <w:rsid w:val="005A01F6"/>
    <w:rsid w:val="005A2564"/>
    <w:rsid w:val="005A43EA"/>
    <w:rsid w:val="005A4F9B"/>
    <w:rsid w:val="005B3296"/>
    <w:rsid w:val="005B444A"/>
    <w:rsid w:val="005C1C4D"/>
    <w:rsid w:val="005C2D29"/>
    <w:rsid w:val="005C40AF"/>
    <w:rsid w:val="005C589F"/>
    <w:rsid w:val="005D7023"/>
    <w:rsid w:val="005E5935"/>
    <w:rsid w:val="005E634F"/>
    <w:rsid w:val="005F1211"/>
    <w:rsid w:val="005F2D9B"/>
    <w:rsid w:val="005F628B"/>
    <w:rsid w:val="005F79B9"/>
    <w:rsid w:val="006017B5"/>
    <w:rsid w:val="006056F1"/>
    <w:rsid w:val="00606E45"/>
    <w:rsid w:val="006075C5"/>
    <w:rsid w:val="00607AC2"/>
    <w:rsid w:val="00611158"/>
    <w:rsid w:val="00611EAA"/>
    <w:rsid w:val="006150F5"/>
    <w:rsid w:val="00616008"/>
    <w:rsid w:val="00627DEE"/>
    <w:rsid w:val="00634D9E"/>
    <w:rsid w:val="00634DCA"/>
    <w:rsid w:val="00634EF0"/>
    <w:rsid w:val="00641780"/>
    <w:rsid w:val="006450DA"/>
    <w:rsid w:val="0064510B"/>
    <w:rsid w:val="00645A56"/>
    <w:rsid w:val="00645B1A"/>
    <w:rsid w:val="00645F14"/>
    <w:rsid w:val="00656B74"/>
    <w:rsid w:val="00656C53"/>
    <w:rsid w:val="00660073"/>
    <w:rsid w:val="006608E9"/>
    <w:rsid w:val="00661146"/>
    <w:rsid w:val="00661756"/>
    <w:rsid w:val="0066333F"/>
    <w:rsid w:val="00663504"/>
    <w:rsid w:val="006635C4"/>
    <w:rsid w:val="00670774"/>
    <w:rsid w:val="006715F4"/>
    <w:rsid w:val="00671A01"/>
    <w:rsid w:val="00674CE8"/>
    <w:rsid w:val="00675B28"/>
    <w:rsid w:val="0068064E"/>
    <w:rsid w:val="0068314B"/>
    <w:rsid w:val="006831FE"/>
    <w:rsid w:val="0068447E"/>
    <w:rsid w:val="00685981"/>
    <w:rsid w:val="00687C77"/>
    <w:rsid w:val="00687D73"/>
    <w:rsid w:val="00691EDB"/>
    <w:rsid w:val="00692247"/>
    <w:rsid w:val="00692368"/>
    <w:rsid w:val="0069626B"/>
    <w:rsid w:val="00697397"/>
    <w:rsid w:val="006A00E2"/>
    <w:rsid w:val="006A0449"/>
    <w:rsid w:val="006A1341"/>
    <w:rsid w:val="006A56C5"/>
    <w:rsid w:val="006A6058"/>
    <w:rsid w:val="006A7FFD"/>
    <w:rsid w:val="006B00CE"/>
    <w:rsid w:val="006B03F6"/>
    <w:rsid w:val="006B0624"/>
    <w:rsid w:val="006B56AA"/>
    <w:rsid w:val="006B6655"/>
    <w:rsid w:val="006C131A"/>
    <w:rsid w:val="006C1F1C"/>
    <w:rsid w:val="006C1FBA"/>
    <w:rsid w:val="006C2838"/>
    <w:rsid w:val="006C598D"/>
    <w:rsid w:val="006C73F1"/>
    <w:rsid w:val="006C769D"/>
    <w:rsid w:val="006D1D07"/>
    <w:rsid w:val="006D2082"/>
    <w:rsid w:val="006D5C76"/>
    <w:rsid w:val="006D6CBD"/>
    <w:rsid w:val="006E11A5"/>
    <w:rsid w:val="006E3134"/>
    <w:rsid w:val="006E3499"/>
    <w:rsid w:val="006E50AC"/>
    <w:rsid w:val="006E55FB"/>
    <w:rsid w:val="006E56BE"/>
    <w:rsid w:val="006E7313"/>
    <w:rsid w:val="006E7551"/>
    <w:rsid w:val="006F13D0"/>
    <w:rsid w:val="006F3C73"/>
    <w:rsid w:val="006F4ADE"/>
    <w:rsid w:val="0070013C"/>
    <w:rsid w:val="0070123B"/>
    <w:rsid w:val="0070244E"/>
    <w:rsid w:val="0070407B"/>
    <w:rsid w:val="00705468"/>
    <w:rsid w:val="007056FA"/>
    <w:rsid w:val="00705D68"/>
    <w:rsid w:val="0070607F"/>
    <w:rsid w:val="00706735"/>
    <w:rsid w:val="0070750C"/>
    <w:rsid w:val="00711CF4"/>
    <w:rsid w:val="007136B3"/>
    <w:rsid w:val="007139FB"/>
    <w:rsid w:val="0071504C"/>
    <w:rsid w:val="00716493"/>
    <w:rsid w:val="007174E0"/>
    <w:rsid w:val="0071781D"/>
    <w:rsid w:val="00717C13"/>
    <w:rsid w:val="007201ED"/>
    <w:rsid w:val="007202A6"/>
    <w:rsid w:val="00720D19"/>
    <w:rsid w:val="00722B9A"/>
    <w:rsid w:val="007256CB"/>
    <w:rsid w:val="00726493"/>
    <w:rsid w:val="007268C0"/>
    <w:rsid w:val="00727E59"/>
    <w:rsid w:val="007322A7"/>
    <w:rsid w:val="007322C4"/>
    <w:rsid w:val="007324AF"/>
    <w:rsid w:val="007325D7"/>
    <w:rsid w:val="00733EA7"/>
    <w:rsid w:val="00737DB6"/>
    <w:rsid w:val="00740DCD"/>
    <w:rsid w:val="00742303"/>
    <w:rsid w:val="007439B6"/>
    <w:rsid w:val="00743E46"/>
    <w:rsid w:val="00747121"/>
    <w:rsid w:val="0074731F"/>
    <w:rsid w:val="0075020F"/>
    <w:rsid w:val="00752416"/>
    <w:rsid w:val="00754F13"/>
    <w:rsid w:val="00760494"/>
    <w:rsid w:val="00761E6E"/>
    <w:rsid w:val="00762C16"/>
    <w:rsid w:val="0076612D"/>
    <w:rsid w:val="00767384"/>
    <w:rsid w:val="007674A8"/>
    <w:rsid w:val="00767BD6"/>
    <w:rsid w:val="00767C9B"/>
    <w:rsid w:val="00770D38"/>
    <w:rsid w:val="0077196C"/>
    <w:rsid w:val="007737F8"/>
    <w:rsid w:val="007743BC"/>
    <w:rsid w:val="00774431"/>
    <w:rsid w:val="00775D82"/>
    <w:rsid w:val="00777488"/>
    <w:rsid w:val="007779A1"/>
    <w:rsid w:val="007801FE"/>
    <w:rsid w:val="007817CC"/>
    <w:rsid w:val="00783B2C"/>
    <w:rsid w:val="007847E9"/>
    <w:rsid w:val="00784D93"/>
    <w:rsid w:val="00785873"/>
    <w:rsid w:val="00786060"/>
    <w:rsid w:val="007908D9"/>
    <w:rsid w:val="007932AB"/>
    <w:rsid w:val="00795947"/>
    <w:rsid w:val="00796865"/>
    <w:rsid w:val="0079770B"/>
    <w:rsid w:val="007A004E"/>
    <w:rsid w:val="007A1F58"/>
    <w:rsid w:val="007A2B3D"/>
    <w:rsid w:val="007A35CD"/>
    <w:rsid w:val="007B6019"/>
    <w:rsid w:val="007B6379"/>
    <w:rsid w:val="007C08AB"/>
    <w:rsid w:val="007C5E94"/>
    <w:rsid w:val="007C6307"/>
    <w:rsid w:val="007D4805"/>
    <w:rsid w:val="007D53F8"/>
    <w:rsid w:val="007D7D61"/>
    <w:rsid w:val="007E2449"/>
    <w:rsid w:val="007E7063"/>
    <w:rsid w:val="007F0536"/>
    <w:rsid w:val="007F0E22"/>
    <w:rsid w:val="008017B1"/>
    <w:rsid w:val="00801D71"/>
    <w:rsid w:val="00802AA0"/>
    <w:rsid w:val="0080568B"/>
    <w:rsid w:val="00810325"/>
    <w:rsid w:val="0081084E"/>
    <w:rsid w:val="00811272"/>
    <w:rsid w:val="00811992"/>
    <w:rsid w:val="008138AE"/>
    <w:rsid w:val="0081432A"/>
    <w:rsid w:val="00821B7C"/>
    <w:rsid w:val="00823E4E"/>
    <w:rsid w:val="00824BFE"/>
    <w:rsid w:val="0082663A"/>
    <w:rsid w:val="00827FA6"/>
    <w:rsid w:val="008328F9"/>
    <w:rsid w:val="00834E1F"/>
    <w:rsid w:val="00835D5B"/>
    <w:rsid w:val="008376AF"/>
    <w:rsid w:val="00841FA9"/>
    <w:rsid w:val="00844A74"/>
    <w:rsid w:val="00845D99"/>
    <w:rsid w:val="008460AF"/>
    <w:rsid w:val="0084643A"/>
    <w:rsid w:val="008516D6"/>
    <w:rsid w:val="00851729"/>
    <w:rsid w:val="008530B0"/>
    <w:rsid w:val="00854C19"/>
    <w:rsid w:val="00855A83"/>
    <w:rsid w:val="00857420"/>
    <w:rsid w:val="00857B73"/>
    <w:rsid w:val="00857DB8"/>
    <w:rsid w:val="00860CD5"/>
    <w:rsid w:val="00860F68"/>
    <w:rsid w:val="00861D59"/>
    <w:rsid w:val="00863732"/>
    <w:rsid w:val="00863901"/>
    <w:rsid w:val="00865BD9"/>
    <w:rsid w:val="00865E38"/>
    <w:rsid w:val="00865FD0"/>
    <w:rsid w:val="0086634F"/>
    <w:rsid w:val="008700A6"/>
    <w:rsid w:val="008707E4"/>
    <w:rsid w:val="00871B7A"/>
    <w:rsid w:val="008732C2"/>
    <w:rsid w:val="0087428B"/>
    <w:rsid w:val="00876064"/>
    <w:rsid w:val="00876C1C"/>
    <w:rsid w:val="00876E02"/>
    <w:rsid w:val="00877B4F"/>
    <w:rsid w:val="00890B8A"/>
    <w:rsid w:val="008915B2"/>
    <w:rsid w:val="00896C0D"/>
    <w:rsid w:val="00896D53"/>
    <w:rsid w:val="008971D1"/>
    <w:rsid w:val="00897CC0"/>
    <w:rsid w:val="008A20BC"/>
    <w:rsid w:val="008A22DD"/>
    <w:rsid w:val="008A2745"/>
    <w:rsid w:val="008A2DF5"/>
    <w:rsid w:val="008A5CB6"/>
    <w:rsid w:val="008B0CDD"/>
    <w:rsid w:val="008B1271"/>
    <w:rsid w:val="008B4CE7"/>
    <w:rsid w:val="008B5136"/>
    <w:rsid w:val="008B5819"/>
    <w:rsid w:val="008B5EBB"/>
    <w:rsid w:val="008B64FF"/>
    <w:rsid w:val="008C054A"/>
    <w:rsid w:val="008C2434"/>
    <w:rsid w:val="008C2816"/>
    <w:rsid w:val="008C2C12"/>
    <w:rsid w:val="008C3FD5"/>
    <w:rsid w:val="008C5826"/>
    <w:rsid w:val="008C5AE1"/>
    <w:rsid w:val="008C79AB"/>
    <w:rsid w:val="008D0B3B"/>
    <w:rsid w:val="008D2620"/>
    <w:rsid w:val="008D4701"/>
    <w:rsid w:val="008D7061"/>
    <w:rsid w:val="008E1187"/>
    <w:rsid w:val="008E1193"/>
    <w:rsid w:val="008E228A"/>
    <w:rsid w:val="008E2AB0"/>
    <w:rsid w:val="008E793E"/>
    <w:rsid w:val="008F00D1"/>
    <w:rsid w:val="008F0E75"/>
    <w:rsid w:val="008F0EEB"/>
    <w:rsid w:val="008F17A0"/>
    <w:rsid w:val="008F3918"/>
    <w:rsid w:val="00902AEB"/>
    <w:rsid w:val="00904D8B"/>
    <w:rsid w:val="0090733D"/>
    <w:rsid w:val="00907576"/>
    <w:rsid w:val="00907F46"/>
    <w:rsid w:val="009105AD"/>
    <w:rsid w:val="00910951"/>
    <w:rsid w:val="00913E41"/>
    <w:rsid w:val="009167C4"/>
    <w:rsid w:val="009213AF"/>
    <w:rsid w:val="009222D0"/>
    <w:rsid w:val="00923466"/>
    <w:rsid w:val="00925214"/>
    <w:rsid w:val="00925A4F"/>
    <w:rsid w:val="0092712D"/>
    <w:rsid w:val="00930F8D"/>
    <w:rsid w:val="009331E5"/>
    <w:rsid w:val="00933C5D"/>
    <w:rsid w:val="00934440"/>
    <w:rsid w:val="00937FEA"/>
    <w:rsid w:val="0094006E"/>
    <w:rsid w:val="00942D36"/>
    <w:rsid w:val="00946397"/>
    <w:rsid w:val="009465D6"/>
    <w:rsid w:val="0094723D"/>
    <w:rsid w:val="00950800"/>
    <w:rsid w:val="0095144C"/>
    <w:rsid w:val="00953D3B"/>
    <w:rsid w:val="00954654"/>
    <w:rsid w:val="00957D0D"/>
    <w:rsid w:val="00960092"/>
    <w:rsid w:val="00960C47"/>
    <w:rsid w:val="00965706"/>
    <w:rsid w:val="00965A17"/>
    <w:rsid w:val="009669DE"/>
    <w:rsid w:val="00966BA9"/>
    <w:rsid w:val="00971D89"/>
    <w:rsid w:val="0097228B"/>
    <w:rsid w:val="00974CC7"/>
    <w:rsid w:val="009755DF"/>
    <w:rsid w:val="009902DB"/>
    <w:rsid w:val="009916E1"/>
    <w:rsid w:val="009921DC"/>
    <w:rsid w:val="009927E2"/>
    <w:rsid w:val="00995175"/>
    <w:rsid w:val="00995C3C"/>
    <w:rsid w:val="00996AC1"/>
    <w:rsid w:val="009A2031"/>
    <w:rsid w:val="009A2E6E"/>
    <w:rsid w:val="009A7432"/>
    <w:rsid w:val="009A7F25"/>
    <w:rsid w:val="009B11D9"/>
    <w:rsid w:val="009B141A"/>
    <w:rsid w:val="009B18AC"/>
    <w:rsid w:val="009B3269"/>
    <w:rsid w:val="009B33AD"/>
    <w:rsid w:val="009B4603"/>
    <w:rsid w:val="009C0399"/>
    <w:rsid w:val="009C0552"/>
    <w:rsid w:val="009C0B1A"/>
    <w:rsid w:val="009C4DBA"/>
    <w:rsid w:val="009C7611"/>
    <w:rsid w:val="009D2473"/>
    <w:rsid w:val="009D5BA9"/>
    <w:rsid w:val="009D6275"/>
    <w:rsid w:val="009D7665"/>
    <w:rsid w:val="009E0D66"/>
    <w:rsid w:val="009E1B23"/>
    <w:rsid w:val="009E6F2C"/>
    <w:rsid w:val="009F10AC"/>
    <w:rsid w:val="009F1E8C"/>
    <w:rsid w:val="009F205E"/>
    <w:rsid w:val="009F2587"/>
    <w:rsid w:val="009F3A5C"/>
    <w:rsid w:val="009F3BFB"/>
    <w:rsid w:val="009F6381"/>
    <w:rsid w:val="009F6642"/>
    <w:rsid w:val="00A007D4"/>
    <w:rsid w:val="00A01DCD"/>
    <w:rsid w:val="00A0280F"/>
    <w:rsid w:val="00A0313A"/>
    <w:rsid w:val="00A03C13"/>
    <w:rsid w:val="00A04F7A"/>
    <w:rsid w:val="00A05E23"/>
    <w:rsid w:val="00A13BEE"/>
    <w:rsid w:val="00A2134F"/>
    <w:rsid w:val="00A27784"/>
    <w:rsid w:val="00A27C34"/>
    <w:rsid w:val="00A31138"/>
    <w:rsid w:val="00A3230B"/>
    <w:rsid w:val="00A33BF1"/>
    <w:rsid w:val="00A3537D"/>
    <w:rsid w:val="00A360C3"/>
    <w:rsid w:val="00A40AB5"/>
    <w:rsid w:val="00A40F40"/>
    <w:rsid w:val="00A418CF"/>
    <w:rsid w:val="00A44794"/>
    <w:rsid w:val="00A5243C"/>
    <w:rsid w:val="00A63B83"/>
    <w:rsid w:val="00A641C0"/>
    <w:rsid w:val="00A648D7"/>
    <w:rsid w:val="00A65355"/>
    <w:rsid w:val="00A74773"/>
    <w:rsid w:val="00A82717"/>
    <w:rsid w:val="00A853EA"/>
    <w:rsid w:val="00A87A6C"/>
    <w:rsid w:val="00A87B2D"/>
    <w:rsid w:val="00A91B46"/>
    <w:rsid w:val="00A91BC4"/>
    <w:rsid w:val="00A9229F"/>
    <w:rsid w:val="00A93ECD"/>
    <w:rsid w:val="00A94523"/>
    <w:rsid w:val="00A97A52"/>
    <w:rsid w:val="00AA1E9A"/>
    <w:rsid w:val="00AA2277"/>
    <w:rsid w:val="00AA2FB1"/>
    <w:rsid w:val="00AB5F81"/>
    <w:rsid w:val="00AB73D9"/>
    <w:rsid w:val="00AC12D9"/>
    <w:rsid w:val="00AC38AD"/>
    <w:rsid w:val="00AC7BBC"/>
    <w:rsid w:val="00AD0F19"/>
    <w:rsid w:val="00AD217E"/>
    <w:rsid w:val="00AD4E91"/>
    <w:rsid w:val="00AE3BDF"/>
    <w:rsid w:val="00AE4BFA"/>
    <w:rsid w:val="00AE4DC7"/>
    <w:rsid w:val="00AE5F5B"/>
    <w:rsid w:val="00AF15FE"/>
    <w:rsid w:val="00AF2BEB"/>
    <w:rsid w:val="00AF338D"/>
    <w:rsid w:val="00AF6CD6"/>
    <w:rsid w:val="00B0121B"/>
    <w:rsid w:val="00B01BAD"/>
    <w:rsid w:val="00B025C5"/>
    <w:rsid w:val="00B040CA"/>
    <w:rsid w:val="00B044C0"/>
    <w:rsid w:val="00B04E36"/>
    <w:rsid w:val="00B05670"/>
    <w:rsid w:val="00B06358"/>
    <w:rsid w:val="00B07E46"/>
    <w:rsid w:val="00B139D2"/>
    <w:rsid w:val="00B1494E"/>
    <w:rsid w:val="00B20693"/>
    <w:rsid w:val="00B25D2C"/>
    <w:rsid w:val="00B32FCF"/>
    <w:rsid w:val="00B454CE"/>
    <w:rsid w:val="00B514C9"/>
    <w:rsid w:val="00B5441D"/>
    <w:rsid w:val="00B55759"/>
    <w:rsid w:val="00B55BD5"/>
    <w:rsid w:val="00B57628"/>
    <w:rsid w:val="00B60C68"/>
    <w:rsid w:val="00B6138E"/>
    <w:rsid w:val="00B636EF"/>
    <w:rsid w:val="00B65495"/>
    <w:rsid w:val="00B662C1"/>
    <w:rsid w:val="00B6693D"/>
    <w:rsid w:val="00B7348F"/>
    <w:rsid w:val="00B76862"/>
    <w:rsid w:val="00B771D0"/>
    <w:rsid w:val="00B77823"/>
    <w:rsid w:val="00B803BD"/>
    <w:rsid w:val="00B80683"/>
    <w:rsid w:val="00B81537"/>
    <w:rsid w:val="00B816CE"/>
    <w:rsid w:val="00B826B5"/>
    <w:rsid w:val="00B84244"/>
    <w:rsid w:val="00B84EB0"/>
    <w:rsid w:val="00B85D30"/>
    <w:rsid w:val="00B85F8B"/>
    <w:rsid w:val="00B86872"/>
    <w:rsid w:val="00B86DAD"/>
    <w:rsid w:val="00B916CE"/>
    <w:rsid w:val="00B91A21"/>
    <w:rsid w:val="00B927F7"/>
    <w:rsid w:val="00B93EB3"/>
    <w:rsid w:val="00B974BE"/>
    <w:rsid w:val="00B9763E"/>
    <w:rsid w:val="00BA06C9"/>
    <w:rsid w:val="00BA274E"/>
    <w:rsid w:val="00BA3895"/>
    <w:rsid w:val="00BA4973"/>
    <w:rsid w:val="00BA6A7F"/>
    <w:rsid w:val="00BB0F19"/>
    <w:rsid w:val="00BB1520"/>
    <w:rsid w:val="00BB1FA2"/>
    <w:rsid w:val="00BB58AE"/>
    <w:rsid w:val="00BB77CE"/>
    <w:rsid w:val="00BC2805"/>
    <w:rsid w:val="00BC3A1E"/>
    <w:rsid w:val="00BC5AC3"/>
    <w:rsid w:val="00BC713E"/>
    <w:rsid w:val="00BC7FC8"/>
    <w:rsid w:val="00BD0745"/>
    <w:rsid w:val="00BD16D7"/>
    <w:rsid w:val="00BD1BE6"/>
    <w:rsid w:val="00BD1E73"/>
    <w:rsid w:val="00BD3B1F"/>
    <w:rsid w:val="00BD56D2"/>
    <w:rsid w:val="00BD71D7"/>
    <w:rsid w:val="00BE1A77"/>
    <w:rsid w:val="00BE3251"/>
    <w:rsid w:val="00BE3FEE"/>
    <w:rsid w:val="00BE68D6"/>
    <w:rsid w:val="00BF0628"/>
    <w:rsid w:val="00BF0C54"/>
    <w:rsid w:val="00C00276"/>
    <w:rsid w:val="00C0267A"/>
    <w:rsid w:val="00C03A4F"/>
    <w:rsid w:val="00C03E00"/>
    <w:rsid w:val="00C052D2"/>
    <w:rsid w:val="00C05851"/>
    <w:rsid w:val="00C11001"/>
    <w:rsid w:val="00C12559"/>
    <w:rsid w:val="00C12FC2"/>
    <w:rsid w:val="00C136C0"/>
    <w:rsid w:val="00C15767"/>
    <w:rsid w:val="00C1578F"/>
    <w:rsid w:val="00C16A6A"/>
    <w:rsid w:val="00C227B5"/>
    <w:rsid w:val="00C2445A"/>
    <w:rsid w:val="00C260A9"/>
    <w:rsid w:val="00C30D44"/>
    <w:rsid w:val="00C30F81"/>
    <w:rsid w:val="00C35D50"/>
    <w:rsid w:val="00C43666"/>
    <w:rsid w:val="00C44919"/>
    <w:rsid w:val="00C456ED"/>
    <w:rsid w:val="00C4670E"/>
    <w:rsid w:val="00C47354"/>
    <w:rsid w:val="00C50303"/>
    <w:rsid w:val="00C5087B"/>
    <w:rsid w:val="00C53759"/>
    <w:rsid w:val="00C563A5"/>
    <w:rsid w:val="00C605C5"/>
    <w:rsid w:val="00C623B8"/>
    <w:rsid w:val="00C62900"/>
    <w:rsid w:val="00C65831"/>
    <w:rsid w:val="00C713A2"/>
    <w:rsid w:val="00C74AD0"/>
    <w:rsid w:val="00C7544F"/>
    <w:rsid w:val="00C8297F"/>
    <w:rsid w:val="00C83AB2"/>
    <w:rsid w:val="00C85882"/>
    <w:rsid w:val="00C864CC"/>
    <w:rsid w:val="00C86735"/>
    <w:rsid w:val="00C92AE6"/>
    <w:rsid w:val="00C92C5D"/>
    <w:rsid w:val="00C931C4"/>
    <w:rsid w:val="00C97BAD"/>
    <w:rsid w:val="00CA17C4"/>
    <w:rsid w:val="00CA4411"/>
    <w:rsid w:val="00CA4E0A"/>
    <w:rsid w:val="00CA552F"/>
    <w:rsid w:val="00CB0B27"/>
    <w:rsid w:val="00CB177A"/>
    <w:rsid w:val="00CB18D5"/>
    <w:rsid w:val="00CB325B"/>
    <w:rsid w:val="00CB442E"/>
    <w:rsid w:val="00CB4633"/>
    <w:rsid w:val="00CB7234"/>
    <w:rsid w:val="00CB7BD7"/>
    <w:rsid w:val="00CC1282"/>
    <w:rsid w:val="00CC1A9E"/>
    <w:rsid w:val="00CC3F0F"/>
    <w:rsid w:val="00CC5F75"/>
    <w:rsid w:val="00CC5FE7"/>
    <w:rsid w:val="00CD41D5"/>
    <w:rsid w:val="00CD49BE"/>
    <w:rsid w:val="00CD689B"/>
    <w:rsid w:val="00CD737E"/>
    <w:rsid w:val="00CE3C46"/>
    <w:rsid w:val="00CE53F1"/>
    <w:rsid w:val="00CE7F0B"/>
    <w:rsid w:val="00CF2230"/>
    <w:rsid w:val="00CF2524"/>
    <w:rsid w:val="00CF3065"/>
    <w:rsid w:val="00CF3B31"/>
    <w:rsid w:val="00CF3BCC"/>
    <w:rsid w:val="00CF4E26"/>
    <w:rsid w:val="00D00076"/>
    <w:rsid w:val="00D00FD7"/>
    <w:rsid w:val="00D01066"/>
    <w:rsid w:val="00D027EA"/>
    <w:rsid w:val="00D02BEE"/>
    <w:rsid w:val="00D036F2"/>
    <w:rsid w:val="00D04744"/>
    <w:rsid w:val="00D04A7E"/>
    <w:rsid w:val="00D07533"/>
    <w:rsid w:val="00D079ED"/>
    <w:rsid w:val="00D136AE"/>
    <w:rsid w:val="00D16036"/>
    <w:rsid w:val="00D17C7A"/>
    <w:rsid w:val="00D20104"/>
    <w:rsid w:val="00D216F6"/>
    <w:rsid w:val="00D25494"/>
    <w:rsid w:val="00D26193"/>
    <w:rsid w:val="00D32803"/>
    <w:rsid w:val="00D370CB"/>
    <w:rsid w:val="00D42085"/>
    <w:rsid w:val="00D4238C"/>
    <w:rsid w:val="00D4306F"/>
    <w:rsid w:val="00D51955"/>
    <w:rsid w:val="00D5296F"/>
    <w:rsid w:val="00D52BD4"/>
    <w:rsid w:val="00D530DB"/>
    <w:rsid w:val="00D55542"/>
    <w:rsid w:val="00D55E55"/>
    <w:rsid w:val="00D62763"/>
    <w:rsid w:val="00D63CB8"/>
    <w:rsid w:val="00D666EC"/>
    <w:rsid w:val="00D72058"/>
    <w:rsid w:val="00D72350"/>
    <w:rsid w:val="00D7384D"/>
    <w:rsid w:val="00D741A0"/>
    <w:rsid w:val="00D75EB1"/>
    <w:rsid w:val="00D80746"/>
    <w:rsid w:val="00D8296F"/>
    <w:rsid w:val="00D84393"/>
    <w:rsid w:val="00D86D7F"/>
    <w:rsid w:val="00D937E7"/>
    <w:rsid w:val="00D9385D"/>
    <w:rsid w:val="00D9788B"/>
    <w:rsid w:val="00D97FAF"/>
    <w:rsid w:val="00DA050A"/>
    <w:rsid w:val="00DA394A"/>
    <w:rsid w:val="00DA5221"/>
    <w:rsid w:val="00DB51A2"/>
    <w:rsid w:val="00DB683C"/>
    <w:rsid w:val="00DC53CD"/>
    <w:rsid w:val="00DC70EA"/>
    <w:rsid w:val="00DD3D69"/>
    <w:rsid w:val="00DD51C3"/>
    <w:rsid w:val="00DE1161"/>
    <w:rsid w:val="00DE1E45"/>
    <w:rsid w:val="00DE1E49"/>
    <w:rsid w:val="00DE2574"/>
    <w:rsid w:val="00DE580F"/>
    <w:rsid w:val="00DE5F61"/>
    <w:rsid w:val="00DF4DC7"/>
    <w:rsid w:val="00E004CF"/>
    <w:rsid w:val="00E03E27"/>
    <w:rsid w:val="00E0612B"/>
    <w:rsid w:val="00E0665C"/>
    <w:rsid w:val="00E1076D"/>
    <w:rsid w:val="00E11720"/>
    <w:rsid w:val="00E16002"/>
    <w:rsid w:val="00E164B9"/>
    <w:rsid w:val="00E209C2"/>
    <w:rsid w:val="00E21D77"/>
    <w:rsid w:val="00E24C1B"/>
    <w:rsid w:val="00E25D6F"/>
    <w:rsid w:val="00E34199"/>
    <w:rsid w:val="00E35E3A"/>
    <w:rsid w:val="00E3791D"/>
    <w:rsid w:val="00E416F0"/>
    <w:rsid w:val="00E42BB9"/>
    <w:rsid w:val="00E43C29"/>
    <w:rsid w:val="00E461AA"/>
    <w:rsid w:val="00E47DAA"/>
    <w:rsid w:val="00E5079E"/>
    <w:rsid w:val="00E53CA4"/>
    <w:rsid w:val="00E53E4C"/>
    <w:rsid w:val="00E53FCE"/>
    <w:rsid w:val="00E555D1"/>
    <w:rsid w:val="00E55E4B"/>
    <w:rsid w:val="00E65E1F"/>
    <w:rsid w:val="00E73281"/>
    <w:rsid w:val="00E73E80"/>
    <w:rsid w:val="00E7447A"/>
    <w:rsid w:val="00E74CD6"/>
    <w:rsid w:val="00E755BB"/>
    <w:rsid w:val="00E76705"/>
    <w:rsid w:val="00E80587"/>
    <w:rsid w:val="00E862D9"/>
    <w:rsid w:val="00E86E2F"/>
    <w:rsid w:val="00E90A2D"/>
    <w:rsid w:val="00E90C88"/>
    <w:rsid w:val="00E90D86"/>
    <w:rsid w:val="00E92DCB"/>
    <w:rsid w:val="00E93F1A"/>
    <w:rsid w:val="00E94659"/>
    <w:rsid w:val="00E955CD"/>
    <w:rsid w:val="00E95AAF"/>
    <w:rsid w:val="00EA00E4"/>
    <w:rsid w:val="00EA6FA6"/>
    <w:rsid w:val="00EA7F44"/>
    <w:rsid w:val="00EA7F97"/>
    <w:rsid w:val="00EB13DF"/>
    <w:rsid w:val="00EB1ED9"/>
    <w:rsid w:val="00EB3E8D"/>
    <w:rsid w:val="00EC2238"/>
    <w:rsid w:val="00EC3137"/>
    <w:rsid w:val="00EC51ED"/>
    <w:rsid w:val="00EC6281"/>
    <w:rsid w:val="00EC7774"/>
    <w:rsid w:val="00ED28F1"/>
    <w:rsid w:val="00ED3641"/>
    <w:rsid w:val="00ED37B4"/>
    <w:rsid w:val="00EE469C"/>
    <w:rsid w:val="00EE55A8"/>
    <w:rsid w:val="00EF0400"/>
    <w:rsid w:val="00EF1DFB"/>
    <w:rsid w:val="00EF1F7C"/>
    <w:rsid w:val="00EF791C"/>
    <w:rsid w:val="00F01696"/>
    <w:rsid w:val="00F01FF1"/>
    <w:rsid w:val="00F042C7"/>
    <w:rsid w:val="00F063D1"/>
    <w:rsid w:val="00F0644F"/>
    <w:rsid w:val="00F123EF"/>
    <w:rsid w:val="00F154FB"/>
    <w:rsid w:val="00F15C89"/>
    <w:rsid w:val="00F204F5"/>
    <w:rsid w:val="00F219C3"/>
    <w:rsid w:val="00F22740"/>
    <w:rsid w:val="00F25685"/>
    <w:rsid w:val="00F300DA"/>
    <w:rsid w:val="00F32125"/>
    <w:rsid w:val="00F33497"/>
    <w:rsid w:val="00F33E0C"/>
    <w:rsid w:val="00F34008"/>
    <w:rsid w:val="00F35E4A"/>
    <w:rsid w:val="00F370A3"/>
    <w:rsid w:val="00F3776C"/>
    <w:rsid w:val="00F409E9"/>
    <w:rsid w:val="00F41AD4"/>
    <w:rsid w:val="00F41D05"/>
    <w:rsid w:val="00F42B97"/>
    <w:rsid w:val="00F46D67"/>
    <w:rsid w:val="00F47EF7"/>
    <w:rsid w:val="00F51F1A"/>
    <w:rsid w:val="00F5357F"/>
    <w:rsid w:val="00F53E98"/>
    <w:rsid w:val="00F54A91"/>
    <w:rsid w:val="00F56E07"/>
    <w:rsid w:val="00F60538"/>
    <w:rsid w:val="00F6067B"/>
    <w:rsid w:val="00F6419D"/>
    <w:rsid w:val="00F67D51"/>
    <w:rsid w:val="00F7182A"/>
    <w:rsid w:val="00F7194B"/>
    <w:rsid w:val="00F72129"/>
    <w:rsid w:val="00F73BA2"/>
    <w:rsid w:val="00F752AD"/>
    <w:rsid w:val="00F77383"/>
    <w:rsid w:val="00F77591"/>
    <w:rsid w:val="00F805FC"/>
    <w:rsid w:val="00F811C6"/>
    <w:rsid w:val="00F827E9"/>
    <w:rsid w:val="00F863A4"/>
    <w:rsid w:val="00F86551"/>
    <w:rsid w:val="00F9100C"/>
    <w:rsid w:val="00F91745"/>
    <w:rsid w:val="00F92565"/>
    <w:rsid w:val="00F96D6C"/>
    <w:rsid w:val="00F97106"/>
    <w:rsid w:val="00F97A06"/>
    <w:rsid w:val="00FA0563"/>
    <w:rsid w:val="00FA0CD0"/>
    <w:rsid w:val="00FA3320"/>
    <w:rsid w:val="00FA3B94"/>
    <w:rsid w:val="00FA5B12"/>
    <w:rsid w:val="00FB2226"/>
    <w:rsid w:val="00FB2B82"/>
    <w:rsid w:val="00FB3821"/>
    <w:rsid w:val="00FB47D6"/>
    <w:rsid w:val="00FC1327"/>
    <w:rsid w:val="00FC1924"/>
    <w:rsid w:val="00FC4966"/>
    <w:rsid w:val="00FC57AB"/>
    <w:rsid w:val="00FC7D48"/>
    <w:rsid w:val="00FD0579"/>
    <w:rsid w:val="00FD1E6F"/>
    <w:rsid w:val="00FD3719"/>
    <w:rsid w:val="00FD3F67"/>
    <w:rsid w:val="00FD6422"/>
    <w:rsid w:val="00FD6872"/>
    <w:rsid w:val="00FD782E"/>
    <w:rsid w:val="00FD7930"/>
    <w:rsid w:val="00FE0070"/>
    <w:rsid w:val="00FE09B1"/>
    <w:rsid w:val="00FE1284"/>
    <w:rsid w:val="00FE4A5B"/>
    <w:rsid w:val="00FE523D"/>
    <w:rsid w:val="00FE762F"/>
    <w:rsid w:val="00FF4B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00342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6855"/>
  </w:style>
  <w:style w:type="paragraph" w:styleId="Heading1">
    <w:name w:val="heading 1"/>
    <w:basedOn w:val="Normal"/>
    <w:next w:val="Normal"/>
    <w:link w:val="Heading1Char"/>
    <w:uiPriority w:val="9"/>
    <w:qFormat/>
    <w:rsid w:val="008C582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C582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2">
    <w:name w:val="1AutoList2"/>
    <w:rsid w:val="007E2449"/>
    <w:pPr>
      <w:tabs>
        <w:tab w:val="left" w:pos="720"/>
      </w:tabs>
      <w:ind w:left="720" w:hanging="720"/>
    </w:pPr>
    <w:rPr>
      <w:rFonts w:ascii="Courier 10cpi" w:hAnsi="Courier 10cpi"/>
      <w:snapToGrid w:val="0"/>
      <w:sz w:val="24"/>
    </w:rPr>
  </w:style>
  <w:style w:type="character" w:styleId="PageNumber">
    <w:name w:val="page number"/>
    <w:basedOn w:val="DefaultParagraphFont"/>
    <w:rsid w:val="007E2449"/>
  </w:style>
  <w:style w:type="paragraph" w:styleId="Footer">
    <w:name w:val="footer"/>
    <w:basedOn w:val="Normal"/>
    <w:rsid w:val="007E2449"/>
    <w:pPr>
      <w:tabs>
        <w:tab w:val="center" w:pos="4320"/>
        <w:tab w:val="right" w:pos="8640"/>
      </w:tabs>
    </w:pPr>
    <w:rPr>
      <w:rFonts w:ascii="Courier 10cpi" w:hAnsi="Courier 10cpi"/>
      <w:snapToGrid w:val="0"/>
    </w:rPr>
  </w:style>
  <w:style w:type="paragraph" w:customStyle="1" w:styleId="H3">
    <w:name w:val="H3"/>
    <w:basedOn w:val="Normal"/>
    <w:next w:val="Normal"/>
    <w:rsid w:val="007E2449"/>
    <w:pPr>
      <w:keepNext/>
      <w:spacing w:before="100" w:after="100"/>
      <w:outlineLvl w:val="3"/>
    </w:pPr>
    <w:rPr>
      <w:b/>
      <w:snapToGrid w:val="0"/>
      <w:sz w:val="28"/>
    </w:rPr>
  </w:style>
  <w:style w:type="character" w:styleId="Emphasis">
    <w:name w:val="Emphasis"/>
    <w:basedOn w:val="DefaultParagraphFont"/>
    <w:qFormat/>
    <w:rsid w:val="007E2449"/>
    <w:rPr>
      <w:i/>
    </w:rPr>
  </w:style>
  <w:style w:type="character" w:styleId="Strong">
    <w:name w:val="Strong"/>
    <w:basedOn w:val="DefaultParagraphFont"/>
    <w:qFormat/>
    <w:rsid w:val="007E2449"/>
    <w:rPr>
      <w:b/>
    </w:rPr>
  </w:style>
  <w:style w:type="paragraph" w:styleId="BalloonText">
    <w:name w:val="Balloon Text"/>
    <w:basedOn w:val="Normal"/>
    <w:semiHidden/>
    <w:rsid w:val="007E2449"/>
    <w:rPr>
      <w:rFonts w:ascii="Tahoma" w:hAnsi="Tahoma" w:cs="Tahoma"/>
      <w:sz w:val="16"/>
      <w:szCs w:val="16"/>
    </w:rPr>
  </w:style>
  <w:style w:type="character" w:styleId="CommentReference">
    <w:name w:val="annotation reference"/>
    <w:basedOn w:val="DefaultParagraphFont"/>
    <w:semiHidden/>
    <w:rsid w:val="007E2449"/>
    <w:rPr>
      <w:sz w:val="16"/>
      <w:szCs w:val="16"/>
    </w:rPr>
  </w:style>
  <w:style w:type="paragraph" w:styleId="CommentText">
    <w:name w:val="annotation text"/>
    <w:basedOn w:val="Normal"/>
    <w:link w:val="CommentTextChar"/>
    <w:uiPriority w:val="99"/>
    <w:semiHidden/>
    <w:rsid w:val="007E2449"/>
  </w:style>
  <w:style w:type="paragraph" w:styleId="CommentSubject">
    <w:name w:val="annotation subject"/>
    <w:basedOn w:val="CommentText"/>
    <w:next w:val="CommentText"/>
    <w:semiHidden/>
    <w:rsid w:val="007E2449"/>
    <w:rPr>
      <w:b/>
      <w:bCs/>
    </w:rPr>
  </w:style>
  <w:style w:type="paragraph" w:styleId="Header">
    <w:name w:val="header"/>
    <w:basedOn w:val="Normal"/>
    <w:rsid w:val="007E2449"/>
    <w:pPr>
      <w:tabs>
        <w:tab w:val="center" w:pos="4320"/>
        <w:tab w:val="right" w:pos="8640"/>
      </w:tabs>
    </w:pPr>
  </w:style>
  <w:style w:type="character" w:styleId="Hyperlink">
    <w:name w:val="Hyperlink"/>
    <w:basedOn w:val="DefaultParagraphFont"/>
    <w:uiPriority w:val="99"/>
    <w:rsid w:val="00801D71"/>
    <w:rPr>
      <w:color w:val="0000FF"/>
      <w:u w:val="single"/>
    </w:rPr>
  </w:style>
  <w:style w:type="paragraph" w:styleId="NormalWeb">
    <w:name w:val="Normal (Web)"/>
    <w:basedOn w:val="Normal"/>
    <w:rsid w:val="007E2449"/>
    <w:pPr>
      <w:spacing w:before="100" w:beforeAutospacing="1" w:after="100" w:afterAutospacing="1"/>
    </w:pPr>
    <w:rPr>
      <w:sz w:val="24"/>
      <w:szCs w:val="24"/>
    </w:rPr>
  </w:style>
  <w:style w:type="character" w:styleId="FollowedHyperlink">
    <w:name w:val="FollowedHyperlink"/>
    <w:basedOn w:val="DefaultParagraphFont"/>
    <w:rsid w:val="00801D71"/>
    <w:rPr>
      <w:color w:val="800080"/>
      <w:u w:val="single"/>
    </w:rPr>
  </w:style>
  <w:style w:type="table" w:styleId="TableGrid">
    <w:name w:val="Table Grid"/>
    <w:basedOn w:val="TableNormal"/>
    <w:rsid w:val="00127E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C92AE6"/>
  </w:style>
  <w:style w:type="character" w:styleId="FootnoteReference">
    <w:name w:val="footnote reference"/>
    <w:basedOn w:val="DefaultParagraphFont"/>
    <w:semiHidden/>
    <w:rsid w:val="00C92AE6"/>
    <w:rPr>
      <w:vertAlign w:val="superscript"/>
    </w:rPr>
  </w:style>
  <w:style w:type="table" w:customStyle="1" w:styleId="MediumShading1-Accent11">
    <w:name w:val="Medium Shading 1 - Accent 11"/>
    <w:basedOn w:val="TableNormal"/>
    <w:uiPriority w:val="63"/>
    <w:rsid w:val="00685981"/>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ListParagraph">
    <w:name w:val="List Paragraph"/>
    <w:basedOn w:val="Normal"/>
    <w:uiPriority w:val="34"/>
    <w:qFormat/>
    <w:rsid w:val="00131093"/>
    <w:pPr>
      <w:ind w:left="720"/>
      <w:contextualSpacing/>
    </w:pPr>
  </w:style>
  <w:style w:type="character" w:customStyle="1" w:styleId="Heading1Char">
    <w:name w:val="Heading 1 Char"/>
    <w:basedOn w:val="DefaultParagraphFont"/>
    <w:link w:val="Heading1"/>
    <w:uiPriority w:val="9"/>
    <w:rsid w:val="008C5826"/>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8C5826"/>
    <w:pPr>
      <w:spacing w:line="276" w:lineRule="auto"/>
      <w:outlineLvl w:val="9"/>
    </w:pPr>
  </w:style>
  <w:style w:type="character" w:customStyle="1" w:styleId="Heading2Char">
    <w:name w:val="Heading 2 Char"/>
    <w:basedOn w:val="DefaultParagraphFont"/>
    <w:link w:val="Heading2"/>
    <w:uiPriority w:val="9"/>
    <w:rsid w:val="008C5826"/>
    <w:rPr>
      <w:rFonts w:asciiTheme="majorHAnsi" w:eastAsiaTheme="majorEastAsia" w:hAnsiTheme="majorHAnsi" w:cstheme="majorBidi"/>
      <w:b/>
      <w:bCs/>
      <w:color w:val="4F81BD" w:themeColor="accent1"/>
      <w:sz w:val="26"/>
      <w:szCs w:val="26"/>
    </w:rPr>
  </w:style>
  <w:style w:type="paragraph" w:styleId="TOC1">
    <w:name w:val="toc 1"/>
    <w:basedOn w:val="Normal"/>
    <w:next w:val="Normal"/>
    <w:autoRedefine/>
    <w:uiPriority w:val="39"/>
    <w:unhideWhenUsed/>
    <w:rsid w:val="008C5826"/>
    <w:pPr>
      <w:spacing w:after="100"/>
    </w:pPr>
  </w:style>
  <w:style w:type="paragraph" w:styleId="TOC2">
    <w:name w:val="toc 2"/>
    <w:basedOn w:val="Normal"/>
    <w:next w:val="Normal"/>
    <w:autoRedefine/>
    <w:uiPriority w:val="39"/>
    <w:unhideWhenUsed/>
    <w:rsid w:val="00DE1E49"/>
    <w:pPr>
      <w:tabs>
        <w:tab w:val="right" w:leader="dot" w:pos="9350"/>
      </w:tabs>
      <w:spacing w:after="100"/>
      <w:ind w:left="200"/>
    </w:pPr>
    <w:rPr>
      <w:noProof/>
    </w:rPr>
  </w:style>
  <w:style w:type="paragraph" w:customStyle="1" w:styleId="TT-TableTitle">
    <w:name w:val="TT-Table Title"/>
    <w:rsid w:val="001A3607"/>
    <w:pPr>
      <w:tabs>
        <w:tab w:val="left" w:pos="1152"/>
      </w:tabs>
      <w:spacing w:line="240" w:lineRule="atLeast"/>
      <w:ind w:left="1152" w:hanging="1152"/>
    </w:pPr>
    <w:rPr>
      <w:sz w:val="22"/>
    </w:rPr>
  </w:style>
  <w:style w:type="character" w:customStyle="1" w:styleId="CommentTextChar">
    <w:name w:val="Comment Text Char"/>
    <w:basedOn w:val="DefaultParagraphFont"/>
    <w:link w:val="CommentText"/>
    <w:uiPriority w:val="99"/>
    <w:semiHidden/>
    <w:rsid w:val="009F2587"/>
  </w:style>
  <w:style w:type="paragraph" w:styleId="Revision">
    <w:name w:val="Revision"/>
    <w:hidden/>
    <w:uiPriority w:val="99"/>
    <w:semiHidden/>
    <w:rsid w:val="00DA394A"/>
  </w:style>
  <w:style w:type="paragraph" w:customStyle="1" w:styleId="L1-FlLSp12">
    <w:name w:val="L1-FlL Sp&amp;1/2"/>
    <w:basedOn w:val="Normal"/>
    <w:link w:val="L1-FlLSp12Char"/>
    <w:rsid w:val="00D5296F"/>
    <w:pPr>
      <w:tabs>
        <w:tab w:val="left" w:pos="1152"/>
      </w:tabs>
      <w:spacing w:after="240"/>
    </w:pPr>
    <w:rPr>
      <w:rFonts w:asciiTheme="majorHAnsi" w:eastAsiaTheme="minorEastAsia" w:hAnsiTheme="majorHAnsi" w:cstheme="minorBidi"/>
      <w:sz w:val="22"/>
      <w:lang w:eastAsia="ja-JP"/>
    </w:rPr>
  </w:style>
  <w:style w:type="character" w:customStyle="1" w:styleId="L1-FlLSp12Char">
    <w:name w:val="L1-FlL Sp&amp;1/2 Char"/>
    <w:basedOn w:val="DefaultParagraphFont"/>
    <w:link w:val="L1-FlLSp12"/>
    <w:rsid w:val="00D5296F"/>
    <w:rPr>
      <w:rFonts w:asciiTheme="majorHAnsi" w:eastAsiaTheme="minorEastAsia" w:hAnsiTheme="majorHAnsi" w:cstheme="minorBidi"/>
      <w:sz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140862">
      <w:bodyDiv w:val="1"/>
      <w:marLeft w:val="0"/>
      <w:marRight w:val="0"/>
      <w:marTop w:val="0"/>
      <w:marBottom w:val="0"/>
      <w:divBdr>
        <w:top w:val="none" w:sz="0" w:space="0" w:color="auto"/>
        <w:left w:val="none" w:sz="0" w:space="0" w:color="auto"/>
        <w:bottom w:val="none" w:sz="0" w:space="0" w:color="auto"/>
        <w:right w:val="none" w:sz="0" w:space="0" w:color="auto"/>
      </w:divBdr>
      <w:divsChild>
        <w:div w:id="14157116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23762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16209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52898188">
      <w:bodyDiv w:val="1"/>
      <w:marLeft w:val="0"/>
      <w:marRight w:val="0"/>
      <w:marTop w:val="0"/>
      <w:marBottom w:val="0"/>
      <w:divBdr>
        <w:top w:val="none" w:sz="0" w:space="0" w:color="auto"/>
        <w:left w:val="none" w:sz="0" w:space="0" w:color="auto"/>
        <w:bottom w:val="none" w:sz="0" w:space="0" w:color="auto"/>
        <w:right w:val="none" w:sz="0" w:space="0" w:color="auto"/>
      </w:divBdr>
    </w:div>
    <w:div w:id="180780654">
      <w:bodyDiv w:val="1"/>
      <w:marLeft w:val="0"/>
      <w:marRight w:val="0"/>
      <w:marTop w:val="0"/>
      <w:marBottom w:val="0"/>
      <w:divBdr>
        <w:top w:val="none" w:sz="0" w:space="0" w:color="auto"/>
        <w:left w:val="none" w:sz="0" w:space="0" w:color="auto"/>
        <w:bottom w:val="none" w:sz="0" w:space="0" w:color="auto"/>
        <w:right w:val="none" w:sz="0" w:space="0" w:color="auto"/>
      </w:divBdr>
    </w:div>
    <w:div w:id="201944704">
      <w:bodyDiv w:val="1"/>
      <w:marLeft w:val="0"/>
      <w:marRight w:val="0"/>
      <w:marTop w:val="0"/>
      <w:marBottom w:val="0"/>
      <w:divBdr>
        <w:top w:val="none" w:sz="0" w:space="0" w:color="auto"/>
        <w:left w:val="none" w:sz="0" w:space="0" w:color="auto"/>
        <w:bottom w:val="none" w:sz="0" w:space="0" w:color="auto"/>
        <w:right w:val="none" w:sz="0" w:space="0" w:color="auto"/>
      </w:divBdr>
    </w:div>
    <w:div w:id="281428323">
      <w:bodyDiv w:val="1"/>
      <w:marLeft w:val="0"/>
      <w:marRight w:val="0"/>
      <w:marTop w:val="0"/>
      <w:marBottom w:val="0"/>
      <w:divBdr>
        <w:top w:val="none" w:sz="0" w:space="0" w:color="auto"/>
        <w:left w:val="none" w:sz="0" w:space="0" w:color="auto"/>
        <w:bottom w:val="none" w:sz="0" w:space="0" w:color="auto"/>
        <w:right w:val="none" w:sz="0" w:space="0" w:color="auto"/>
      </w:divBdr>
      <w:divsChild>
        <w:div w:id="1601062864">
          <w:marLeft w:val="0"/>
          <w:marRight w:val="0"/>
          <w:marTop w:val="0"/>
          <w:marBottom w:val="0"/>
          <w:divBdr>
            <w:top w:val="none" w:sz="0" w:space="0" w:color="auto"/>
            <w:left w:val="none" w:sz="0" w:space="0" w:color="auto"/>
            <w:bottom w:val="none" w:sz="0" w:space="0" w:color="auto"/>
            <w:right w:val="none" w:sz="0" w:space="0" w:color="auto"/>
          </w:divBdr>
          <w:divsChild>
            <w:div w:id="534081610">
              <w:marLeft w:val="0"/>
              <w:marRight w:val="0"/>
              <w:marTop w:val="0"/>
              <w:marBottom w:val="0"/>
              <w:divBdr>
                <w:top w:val="none" w:sz="0" w:space="0" w:color="auto"/>
                <w:left w:val="single" w:sz="6" w:space="0" w:color="E2E2E2"/>
                <w:bottom w:val="none" w:sz="0" w:space="0" w:color="auto"/>
                <w:right w:val="single" w:sz="6" w:space="0" w:color="E2E2E2"/>
              </w:divBdr>
              <w:divsChild>
                <w:div w:id="2129199268">
                  <w:marLeft w:val="0"/>
                  <w:marRight w:val="0"/>
                  <w:marTop w:val="0"/>
                  <w:marBottom w:val="0"/>
                  <w:divBdr>
                    <w:top w:val="none" w:sz="0" w:space="0" w:color="auto"/>
                    <w:left w:val="none" w:sz="0" w:space="0" w:color="auto"/>
                    <w:bottom w:val="none" w:sz="0" w:space="0" w:color="auto"/>
                    <w:right w:val="none" w:sz="0" w:space="0" w:color="auto"/>
                  </w:divBdr>
                  <w:divsChild>
                    <w:div w:id="59081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9484254">
      <w:bodyDiv w:val="1"/>
      <w:marLeft w:val="0"/>
      <w:marRight w:val="0"/>
      <w:marTop w:val="0"/>
      <w:marBottom w:val="0"/>
      <w:divBdr>
        <w:top w:val="none" w:sz="0" w:space="0" w:color="auto"/>
        <w:left w:val="none" w:sz="0" w:space="0" w:color="auto"/>
        <w:bottom w:val="none" w:sz="0" w:space="0" w:color="auto"/>
        <w:right w:val="none" w:sz="0" w:space="0" w:color="auto"/>
      </w:divBdr>
    </w:div>
    <w:div w:id="417793177">
      <w:bodyDiv w:val="1"/>
      <w:marLeft w:val="0"/>
      <w:marRight w:val="0"/>
      <w:marTop w:val="0"/>
      <w:marBottom w:val="0"/>
      <w:divBdr>
        <w:top w:val="none" w:sz="0" w:space="0" w:color="auto"/>
        <w:left w:val="none" w:sz="0" w:space="0" w:color="auto"/>
        <w:bottom w:val="none" w:sz="0" w:space="0" w:color="auto"/>
        <w:right w:val="none" w:sz="0" w:space="0" w:color="auto"/>
      </w:divBdr>
      <w:divsChild>
        <w:div w:id="10264475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28306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92807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447354944">
      <w:bodyDiv w:val="1"/>
      <w:marLeft w:val="0"/>
      <w:marRight w:val="0"/>
      <w:marTop w:val="0"/>
      <w:marBottom w:val="0"/>
      <w:divBdr>
        <w:top w:val="none" w:sz="0" w:space="0" w:color="auto"/>
        <w:left w:val="none" w:sz="0" w:space="0" w:color="auto"/>
        <w:bottom w:val="none" w:sz="0" w:space="0" w:color="auto"/>
        <w:right w:val="none" w:sz="0" w:space="0" w:color="auto"/>
      </w:divBdr>
    </w:div>
    <w:div w:id="607127319">
      <w:bodyDiv w:val="1"/>
      <w:marLeft w:val="0"/>
      <w:marRight w:val="0"/>
      <w:marTop w:val="0"/>
      <w:marBottom w:val="0"/>
      <w:divBdr>
        <w:top w:val="none" w:sz="0" w:space="0" w:color="auto"/>
        <w:left w:val="none" w:sz="0" w:space="0" w:color="auto"/>
        <w:bottom w:val="none" w:sz="0" w:space="0" w:color="auto"/>
        <w:right w:val="none" w:sz="0" w:space="0" w:color="auto"/>
      </w:divBdr>
    </w:div>
    <w:div w:id="647396606">
      <w:bodyDiv w:val="1"/>
      <w:marLeft w:val="0"/>
      <w:marRight w:val="0"/>
      <w:marTop w:val="0"/>
      <w:marBottom w:val="0"/>
      <w:divBdr>
        <w:top w:val="none" w:sz="0" w:space="0" w:color="auto"/>
        <w:left w:val="none" w:sz="0" w:space="0" w:color="auto"/>
        <w:bottom w:val="none" w:sz="0" w:space="0" w:color="auto"/>
        <w:right w:val="none" w:sz="0" w:space="0" w:color="auto"/>
      </w:divBdr>
    </w:div>
    <w:div w:id="679967513">
      <w:bodyDiv w:val="1"/>
      <w:marLeft w:val="0"/>
      <w:marRight w:val="0"/>
      <w:marTop w:val="0"/>
      <w:marBottom w:val="0"/>
      <w:divBdr>
        <w:top w:val="none" w:sz="0" w:space="0" w:color="auto"/>
        <w:left w:val="none" w:sz="0" w:space="0" w:color="auto"/>
        <w:bottom w:val="none" w:sz="0" w:space="0" w:color="auto"/>
        <w:right w:val="none" w:sz="0" w:space="0" w:color="auto"/>
      </w:divBdr>
    </w:div>
    <w:div w:id="808015232">
      <w:bodyDiv w:val="1"/>
      <w:marLeft w:val="0"/>
      <w:marRight w:val="0"/>
      <w:marTop w:val="0"/>
      <w:marBottom w:val="0"/>
      <w:divBdr>
        <w:top w:val="none" w:sz="0" w:space="0" w:color="auto"/>
        <w:left w:val="none" w:sz="0" w:space="0" w:color="auto"/>
        <w:bottom w:val="none" w:sz="0" w:space="0" w:color="auto"/>
        <w:right w:val="none" w:sz="0" w:space="0" w:color="auto"/>
      </w:divBdr>
      <w:divsChild>
        <w:div w:id="963079700">
          <w:marLeft w:val="0"/>
          <w:marRight w:val="0"/>
          <w:marTop w:val="0"/>
          <w:marBottom w:val="0"/>
          <w:divBdr>
            <w:top w:val="none" w:sz="0" w:space="0" w:color="auto"/>
            <w:left w:val="none" w:sz="0" w:space="0" w:color="auto"/>
            <w:bottom w:val="none" w:sz="0" w:space="0" w:color="auto"/>
            <w:right w:val="none" w:sz="0" w:space="0" w:color="auto"/>
          </w:divBdr>
          <w:divsChild>
            <w:div w:id="885725074">
              <w:marLeft w:val="0"/>
              <w:marRight w:val="0"/>
              <w:marTop w:val="0"/>
              <w:marBottom w:val="0"/>
              <w:divBdr>
                <w:top w:val="none" w:sz="0" w:space="0" w:color="auto"/>
                <w:left w:val="single" w:sz="6" w:space="0" w:color="E2E2E2"/>
                <w:bottom w:val="none" w:sz="0" w:space="0" w:color="auto"/>
                <w:right w:val="single" w:sz="6" w:space="0" w:color="E2E2E2"/>
              </w:divBdr>
              <w:divsChild>
                <w:div w:id="1746296767">
                  <w:marLeft w:val="0"/>
                  <w:marRight w:val="0"/>
                  <w:marTop w:val="0"/>
                  <w:marBottom w:val="0"/>
                  <w:divBdr>
                    <w:top w:val="none" w:sz="0" w:space="0" w:color="auto"/>
                    <w:left w:val="none" w:sz="0" w:space="0" w:color="auto"/>
                    <w:bottom w:val="none" w:sz="0" w:space="0" w:color="auto"/>
                    <w:right w:val="none" w:sz="0" w:space="0" w:color="auto"/>
                  </w:divBdr>
                  <w:divsChild>
                    <w:div w:id="191681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268861">
      <w:bodyDiv w:val="1"/>
      <w:marLeft w:val="0"/>
      <w:marRight w:val="0"/>
      <w:marTop w:val="0"/>
      <w:marBottom w:val="0"/>
      <w:divBdr>
        <w:top w:val="none" w:sz="0" w:space="0" w:color="auto"/>
        <w:left w:val="none" w:sz="0" w:space="0" w:color="auto"/>
        <w:bottom w:val="none" w:sz="0" w:space="0" w:color="auto"/>
        <w:right w:val="none" w:sz="0" w:space="0" w:color="auto"/>
      </w:divBdr>
    </w:div>
    <w:div w:id="1038050056">
      <w:bodyDiv w:val="1"/>
      <w:marLeft w:val="0"/>
      <w:marRight w:val="0"/>
      <w:marTop w:val="0"/>
      <w:marBottom w:val="0"/>
      <w:divBdr>
        <w:top w:val="none" w:sz="0" w:space="0" w:color="auto"/>
        <w:left w:val="none" w:sz="0" w:space="0" w:color="auto"/>
        <w:bottom w:val="none" w:sz="0" w:space="0" w:color="auto"/>
        <w:right w:val="none" w:sz="0" w:space="0" w:color="auto"/>
      </w:divBdr>
    </w:div>
    <w:div w:id="1075738562">
      <w:bodyDiv w:val="1"/>
      <w:marLeft w:val="0"/>
      <w:marRight w:val="0"/>
      <w:marTop w:val="0"/>
      <w:marBottom w:val="0"/>
      <w:divBdr>
        <w:top w:val="none" w:sz="0" w:space="0" w:color="auto"/>
        <w:left w:val="none" w:sz="0" w:space="0" w:color="auto"/>
        <w:bottom w:val="none" w:sz="0" w:space="0" w:color="auto"/>
        <w:right w:val="none" w:sz="0" w:space="0" w:color="auto"/>
      </w:divBdr>
    </w:div>
    <w:div w:id="1452165409">
      <w:bodyDiv w:val="1"/>
      <w:marLeft w:val="0"/>
      <w:marRight w:val="0"/>
      <w:marTop w:val="0"/>
      <w:marBottom w:val="0"/>
      <w:divBdr>
        <w:top w:val="none" w:sz="0" w:space="0" w:color="auto"/>
        <w:left w:val="none" w:sz="0" w:space="0" w:color="auto"/>
        <w:bottom w:val="none" w:sz="0" w:space="0" w:color="auto"/>
        <w:right w:val="none" w:sz="0" w:space="0" w:color="auto"/>
      </w:divBdr>
    </w:div>
    <w:div w:id="1736315762">
      <w:bodyDiv w:val="1"/>
      <w:marLeft w:val="0"/>
      <w:marRight w:val="0"/>
      <w:marTop w:val="0"/>
      <w:marBottom w:val="0"/>
      <w:divBdr>
        <w:top w:val="none" w:sz="0" w:space="0" w:color="auto"/>
        <w:left w:val="none" w:sz="0" w:space="0" w:color="auto"/>
        <w:bottom w:val="none" w:sz="0" w:space="0" w:color="auto"/>
        <w:right w:val="none" w:sz="0" w:space="0" w:color="auto"/>
      </w:divBdr>
    </w:div>
    <w:div w:id="1792018397">
      <w:bodyDiv w:val="1"/>
      <w:marLeft w:val="0"/>
      <w:marRight w:val="0"/>
      <w:marTop w:val="0"/>
      <w:marBottom w:val="0"/>
      <w:divBdr>
        <w:top w:val="none" w:sz="0" w:space="0" w:color="auto"/>
        <w:left w:val="none" w:sz="0" w:space="0" w:color="auto"/>
        <w:bottom w:val="none" w:sz="0" w:space="0" w:color="auto"/>
        <w:right w:val="none" w:sz="0" w:space="0" w:color="auto"/>
      </w:divBdr>
    </w:div>
    <w:div w:id="2143112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60C6EF-9B90-4401-B593-086957D19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2296</Words>
  <Characters>13715</Characters>
  <Application>Microsoft Office Word</Application>
  <DocSecurity>4</DocSecurity>
  <Lines>114</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15980</CharactersWithSpaces>
  <SharedDoc>false</SharedDoc>
  <HLinks>
    <vt:vector size="6" baseType="variant">
      <vt:variant>
        <vt:i4>4915211</vt:i4>
      </vt:variant>
      <vt:variant>
        <vt:i4>0</vt:i4>
      </vt:variant>
      <vt:variant>
        <vt:i4>0</vt:i4>
      </vt:variant>
      <vt:variant>
        <vt:i4>5</vt:i4>
      </vt:variant>
      <vt:variant>
        <vt:lpwstr>http://www.ahrq.gov/qual/hospculture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2022-05-24T14:28:00Z</dcterms:created>
  <dcterms:modified xsi:type="dcterms:W3CDTF">2022-05-24T14:28:00Z</dcterms:modified>
</cp:coreProperties>
</file>