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6640" w:rsidR="00815356" w:rsidP="00815356" w:rsidRDefault="00815356" w14:paraId="00F35B95" w14:textId="77777777">
      <w:pPr>
        <w:pStyle w:val="Cover-DocumentType"/>
      </w:pPr>
    </w:p>
    <w:p w:rsidR="00815356" w:rsidP="00563EFD" w:rsidRDefault="00815356" w14:paraId="130D1795" w14:textId="092171C5">
      <w:pPr>
        <w:pStyle w:val="Cover-Title"/>
        <w:jc w:val="center"/>
      </w:pPr>
      <w:r>
        <w:t xml:space="preserve">Supporting Statement </w:t>
      </w:r>
      <w:proofErr w:type="gramStart"/>
      <w:r w:rsidR="00563EFD">
        <w:t>Part</w:t>
      </w:r>
      <w:proofErr w:type="gramEnd"/>
      <w:r w:rsidR="00563EFD">
        <w:t xml:space="preserve"> </w:t>
      </w:r>
      <w:r>
        <w:t xml:space="preserve">A </w:t>
      </w:r>
      <w:r w:rsidR="0072465F">
        <w:t>Feasibility Study</w:t>
      </w:r>
      <w:r w:rsidR="00843655">
        <w:t xml:space="preserve"> </w:t>
      </w:r>
      <w:r w:rsidR="0072465F">
        <w:t>for a</w:t>
      </w:r>
      <w:r w:rsidR="00843655">
        <w:t xml:space="preserve"> </w:t>
      </w:r>
      <w:r w:rsidR="0072465F">
        <w:t>MEPS Monthly Check-In</w:t>
      </w:r>
      <w:r w:rsidR="00F84B00">
        <w:t xml:space="preserve"> –</w:t>
      </w:r>
      <w:r w:rsidRPr="001B370C" w:rsidR="001B370C">
        <w:t xml:space="preserve"> </w:t>
      </w:r>
      <w:r w:rsidR="00E40253">
        <w:rPr>
          <w:bCs/>
          <w:szCs w:val="48"/>
        </w:rPr>
        <w:t>0935-0</w:t>
      </w:r>
      <w:r w:rsidR="0072465F">
        <w:rPr>
          <w:bCs/>
          <w:szCs w:val="48"/>
        </w:rPr>
        <w:t>1</w:t>
      </w:r>
      <w:r w:rsidR="00B337FB">
        <w:rPr>
          <w:bCs/>
          <w:szCs w:val="48"/>
        </w:rPr>
        <w:t>24</w:t>
      </w:r>
    </w:p>
    <w:p w:rsidRPr="001A17E6" w:rsidR="00815356" w:rsidP="00815356" w:rsidRDefault="00815356" w14:paraId="784E684C" w14:textId="77777777">
      <w:pPr>
        <w:pStyle w:val="Cover-Subtitle"/>
      </w:pPr>
    </w:p>
    <w:p w:rsidRPr="005D10F9" w:rsidR="00A67DE5" w:rsidP="005D10F9" w:rsidRDefault="00815356" w14:paraId="730427A6" w14:textId="77777777">
      <w:pPr>
        <w:jc w:val="center"/>
        <w:rPr>
          <w:b/>
          <w:caps/>
        </w:rPr>
      </w:pPr>
      <w:r>
        <w:br w:type="page"/>
      </w:r>
      <w:bookmarkStart w:name="_Toc224188908" w:id="0"/>
      <w:bookmarkStart w:name="_Toc427225159" w:id="1"/>
      <w:r w:rsidRPr="005D10F9" w:rsidR="00A67DE5">
        <w:rPr>
          <w:b/>
        </w:rPr>
        <w:lastRenderedPageBreak/>
        <w:t>TABLE OF C</w:t>
      </w:r>
      <w:r w:rsidRPr="005D10F9" w:rsidR="00A67DE5">
        <w:rPr>
          <w:b/>
          <w:caps/>
        </w:rPr>
        <w:t>ontentS</w:t>
      </w:r>
      <w:bookmarkEnd w:id="0"/>
      <w:bookmarkEnd w:id="1"/>
    </w:p>
    <w:p w:rsidR="00A67DE5" w:rsidP="00A67DE5" w:rsidRDefault="00A67DE5" w14:paraId="01721374" w14:textId="77777777">
      <w:pPr>
        <w:rPr>
          <w:b/>
          <w:caps/>
        </w:rPr>
      </w:pPr>
    </w:p>
    <w:p w:rsidRPr="00E67858" w:rsidR="00D10660" w:rsidP="00A67DE5" w:rsidRDefault="00D10660" w14:paraId="1060FE45" w14:textId="77777777">
      <w:pPr>
        <w:rPr>
          <w:b/>
          <w:caps/>
        </w:rPr>
      </w:pPr>
    </w:p>
    <w:p w:rsidR="00A83768" w:rsidRDefault="00A67DE5" w14:paraId="5C043056" w14:textId="22B353EC">
      <w:pPr>
        <w:pStyle w:val="TOC1"/>
        <w:rPr>
          <w:rFonts w:asciiTheme="minorHAnsi" w:hAnsiTheme="minorHAnsi" w:eastAsiaTheme="minorEastAsia" w:cstheme="minorBidi"/>
          <w:noProof/>
          <w:sz w:val="22"/>
          <w:szCs w:val="22"/>
        </w:rPr>
      </w:pPr>
      <w:r w:rsidRPr="007452B3">
        <w:rPr>
          <w:rFonts w:ascii="Times New Roman" w:hAnsi="Times New Roman"/>
        </w:rPr>
        <w:fldChar w:fldCharType="begin"/>
      </w:r>
      <w:r w:rsidRPr="007452B3">
        <w:rPr>
          <w:rFonts w:ascii="Times New Roman" w:hAnsi="Times New Roman"/>
        </w:rPr>
        <w:instrText xml:space="preserve"> TOC \o "1-3" \h \z \u </w:instrText>
      </w:r>
      <w:r w:rsidRPr="007452B3">
        <w:rPr>
          <w:rFonts w:ascii="Times New Roman" w:hAnsi="Times New Roman"/>
        </w:rPr>
        <w:fldChar w:fldCharType="separate"/>
      </w:r>
      <w:hyperlink w:history="1" w:anchor="_Toc93477381">
        <w:r w:rsidRPr="000E761A" w:rsidR="00A83768">
          <w:rPr>
            <w:rStyle w:val="Hyperlink"/>
            <w:noProof/>
          </w:rPr>
          <w:t>SUPPORTING STATEMENT:</w:t>
        </w:r>
        <w:r w:rsidR="00A83768">
          <w:rPr>
            <w:noProof/>
            <w:webHidden/>
          </w:rPr>
          <w:tab/>
        </w:r>
        <w:r w:rsidR="00A83768">
          <w:rPr>
            <w:noProof/>
            <w:webHidden/>
          </w:rPr>
          <w:fldChar w:fldCharType="begin"/>
        </w:r>
        <w:r w:rsidR="00A83768">
          <w:rPr>
            <w:noProof/>
            <w:webHidden/>
          </w:rPr>
          <w:instrText xml:space="preserve"> PAGEREF _Toc93477381 \h </w:instrText>
        </w:r>
        <w:r w:rsidR="00A83768">
          <w:rPr>
            <w:noProof/>
            <w:webHidden/>
          </w:rPr>
        </w:r>
        <w:r w:rsidR="00A83768">
          <w:rPr>
            <w:noProof/>
            <w:webHidden/>
          </w:rPr>
          <w:fldChar w:fldCharType="separate"/>
        </w:r>
        <w:r w:rsidR="00A83768">
          <w:rPr>
            <w:noProof/>
            <w:webHidden/>
          </w:rPr>
          <w:t>1</w:t>
        </w:r>
        <w:r w:rsidR="00A83768">
          <w:rPr>
            <w:noProof/>
            <w:webHidden/>
          </w:rPr>
          <w:fldChar w:fldCharType="end"/>
        </w:r>
      </w:hyperlink>
    </w:p>
    <w:p w:rsidR="00A83768" w:rsidRDefault="004224DC" w14:paraId="27BF3EB1" w14:textId="00E35B87">
      <w:pPr>
        <w:pStyle w:val="TOC1"/>
        <w:rPr>
          <w:rFonts w:asciiTheme="minorHAnsi" w:hAnsiTheme="minorHAnsi" w:eastAsiaTheme="minorEastAsia" w:cstheme="minorBidi"/>
          <w:noProof/>
          <w:sz w:val="22"/>
          <w:szCs w:val="22"/>
        </w:rPr>
      </w:pPr>
      <w:hyperlink w:history="1" w:anchor="_Toc93477382">
        <w:r w:rsidRPr="000E761A" w:rsidR="00A83768">
          <w:rPr>
            <w:rStyle w:val="Hyperlink"/>
            <w:noProof/>
          </w:rPr>
          <w:t>Feasibility Study for a MEPS Monthly Check-In</w:t>
        </w:r>
        <w:r w:rsidR="00A83768">
          <w:rPr>
            <w:noProof/>
            <w:webHidden/>
          </w:rPr>
          <w:tab/>
        </w:r>
        <w:r w:rsidR="00A83768">
          <w:rPr>
            <w:noProof/>
            <w:webHidden/>
          </w:rPr>
          <w:fldChar w:fldCharType="begin"/>
        </w:r>
        <w:r w:rsidR="00A83768">
          <w:rPr>
            <w:noProof/>
            <w:webHidden/>
          </w:rPr>
          <w:instrText xml:space="preserve"> PAGEREF _Toc93477382 \h </w:instrText>
        </w:r>
        <w:r w:rsidR="00A83768">
          <w:rPr>
            <w:noProof/>
            <w:webHidden/>
          </w:rPr>
        </w:r>
        <w:r w:rsidR="00A83768">
          <w:rPr>
            <w:noProof/>
            <w:webHidden/>
          </w:rPr>
          <w:fldChar w:fldCharType="separate"/>
        </w:r>
        <w:r w:rsidR="00A83768">
          <w:rPr>
            <w:noProof/>
            <w:webHidden/>
          </w:rPr>
          <w:t>1</w:t>
        </w:r>
        <w:r w:rsidR="00A83768">
          <w:rPr>
            <w:noProof/>
            <w:webHidden/>
          </w:rPr>
          <w:fldChar w:fldCharType="end"/>
        </w:r>
      </w:hyperlink>
    </w:p>
    <w:p w:rsidR="00A83768" w:rsidRDefault="004224DC" w14:paraId="6ED4D1E8" w14:textId="57373FC1">
      <w:pPr>
        <w:pStyle w:val="TOC1"/>
        <w:rPr>
          <w:rFonts w:asciiTheme="minorHAnsi" w:hAnsiTheme="minorHAnsi" w:eastAsiaTheme="minorEastAsia" w:cstheme="minorBidi"/>
          <w:noProof/>
          <w:sz w:val="22"/>
          <w:szCs w:val="22"/>
        </w:rPr>
      </w:pPr>
      <w:hyperlink w:history="1" w:anchor="_Toc93477383">
        <w:r w:rsidRPr="000E761A" w:rsidR="00A83768">
          <w:rPr>
            <w:rStyle w:val="Hyperlink"/>
            <w:noProof/>
          </w:rPr>
          <w:t>Introduction</w:t>
        </w:r>
        <w:r w:rsidR="00A83768">
          <w:rPr>
            <w:noProof/>
            <w:webHidden/>
          </w:rPr>
          <w:tab/>
        </w:r>
        <w:r w:rsidR="00A83768">
          <w:rPr>
            <w:noProof/>
            <w:webHidden/>
          </w:rPr>
          <w:fldChar w:fldCharType="begin"/>
        </w:r>
        <w:r w:rsidR="00A83768">
          <w:rPr>
            <w:noProof/>
            <w:webHidden/>
          </w:rPr>
          <w:instrText xml:space="preserve"> PAGEREF _Toc93477383 \h </w:instrText>
        </w:r>
        <w:r w:rsidR="00A83768">
          <w:rPr>
            <w:noProof/>
            <w:webHidden/>
          </w:rPr>
        </w:r>
        <w:r w:rsidR="00A83768">
          <w:rPr>
            <w:noProof/>
            <w:webHidden/>
          </w:rPr>
          <w:fldChar w:fldCharType="separate"/>
        </w:r>
        <w:r w:rsidR="00A83768">
          <w:rPr>
            <w:noProof/>
            <w:webHidden/>
          </w:rPr>
          <w:t>1</w:t>
        </w:r>
        <w:r w:rsidR="00A83768">
          <w:rPr>
            <w:noProof/>
            <w:webHidden/>
          </w:rPr>
          <w:fldChar w:fldCharType="end"/>
        </w:r>
      </w:hyperlink>
    </w:p>
    <w:p w:rsidR="00A83768" w:rsidRDefault="004224DC" w14:paraId="7585A7AA" w14:textId="30FE6B2A">
      <w:pPr>
        <w:pStyle w:val="TOC1"/>
        <w:rPr>
          <w:rFonts w:asciiTheme="minorHAnsi" w:hAnsiTheme="minorHAnsi" w:eastAsiaTheme="minorEastAsia" w:cstheme="minorBidi"/>
          <w:noProof/>
          <w:sz w:val="22"/>
          <w:szCs w:val="22"/>
        </w:rPr>
      </w:pPr>
      <w:hyperlink w:history="1" w:anchor="_Toc93477384">
        <w:r w:rsidRPr="000E761A" w:rsidR="00A83768">
          <w:rPr>
            <w:rStyle w:val="Hyperlink"/>
            <w:noProof/>
          </w:rPr>
          <w:t>A. Justification</w:t>
        </w:r>
        <w:r w:rsidR="00A83768">
          <w:rPr>
            <w:noProof/>
            <w:webHidden/>
          </w:rPr>
          <w:tab/>
        </w:r>
        <w:r w:rsidR="00A83768">
          <w:rPr>
            <w:noProof/>
            <w:webHidden/>
          </w:rPr>
          <w:fldChar w:fldCharType="begin"/>
        </w:r>
        <w:r w:rsidR="00A83768">
          <w:rPr>
            <w:noProof/>
            <w:webHidden/>
          </w:rPr>
          <w:instrText xml:space="preserve"> PAGEREF _Toc93477384 \h </w:instrText>
        </w:r>
        <w:r w:rsidR="00A83768">
          <w:rPr>
            <w:noProof/>
            <w:webHidden/>
          </w:rPr>
        </w:r>
        <w:r w:rsidR="00A83768">
          <w:rPr>
            <w:noProof/>
            <w:webHidden/>
          </w:rPr>
          <w:fldChar w:fldCharType="separate"/>
        </w:r>
        <w:r w:rsidR="00A83768">
          <w:rPr>
            <w:noProof/>
            <w:webHidden/>
          </w:rPr>
          <w:t>2</w:t>
        </w:r>
        <w:r w:rsidR="00A83768">
          <w:rPr>
            <w:noProof/>
            <w:webHidden/>
          </w:rPr>
          <w:fldChar w:fldCharType="end"/>
        </w:r>
      </w:hyperlink>
    </w:p>
    <w:p w:rsidR="00A83768" w:rsidRDefault="004224DC" w14:paraId="237E24AA" w14:textId="4D20D749">
      <w:pPr>
        <w:pStyle w:val="TOC2"/>
        <w:rPr>
          <w:rFonts w:asciiTheme="minorHAnsi" w:hAnsiTheme="minorHAnsi" w:eastAsiaTheme="minorEastAsia" w:cstheme="minorBidi"/>
          <w:noProof/>
          <w:sz w:val="22"/>
          <w:szCs w:val="22"/>
        </w:rPr>
      </w:pPr>
      <w:hyperlink w:history="1" w:anchor="_Toc93477385">
        <w:r w:rsidRPr="000E761A" w:rsidR="00A83768">
          <w:rPr>
            <w:rStyle w:val="Hyperlink"/>
            <w:rFonts w:ascii="Times New Roman" w:hAnsi="Times New Roman"/>
            <w:noProof/>
          </w:rPr>
          <w:t>A1. Necessity of Information Collection</w:t>
        </w:r>
        <w:r w:rsidR="00A83768">
          <w:rPr>
            <w:noProof/>
            <w:webHidden/>
          </w:rPr>
          <w:tab/>
        </w:r>
        <w:r w:rsidR="00A83768">
          <w:rPr>
            <w:noProof/>
            <w:webHidden/>
          </w:rPr>
          <w:fldChar w:fldCharType="begin"/>
        </w:r>
        <w:r w:rsidR="00A83768">
          <w:rPr>
            <w:noProof/>
            <w:webHidden/>
          </w:rPr>
          <w:instrText xml:space="preserve"> PAGEREF _Toc93477385 \h </w:instrText>
        </w:r>
        <w:r w:rsidR="00A83768">
          <w:rPr>
            <w:noProof/>
            <w:webHidden/>
          </w:rPr>
        </w:r>
        <w:r w:rsidR="00A83768">
          <w:rPr>
            <w:noProof/>
            <w:webHidden/>
          </w:rPr>
          <w:fldChar w:fldCharType="separate"/>
        </w:r>
        <w:r w:rsidR="00A83768">
          <w:rPr>
            <w:noProof/>
            <w:webHidden/>
          </w:rPr>
          <w:t>2</w:t>
        </w:r>
        <w:r w:rsidR="00A83768">
          <w:rPr>
            <w:noProof/>
            <w:webHidden/>
          </w:rPr>
          <w:fldChar w:fldCharType="end"/>
        </w:r>
      </w:hyperlink>
    </w:p>
    <w:p w:rsidR="00A83768" w:rsidRDefault="004224DC" w14:paraId="395143A2" w14:textId="38DA085E">
      <w:pPr>
        <w:pStyle w:val="TOC2"/>
        <w:rPr>
          <w:rFonts w:asciiTheme="minorHAnsi" w:hAnsiTheme="minorHAnsi" w:eastAsiaTheme="minorEastAsia" w:cstheme="minorBidi"/>
          <w:noProof/>
          <w:sz w:val="22"/>
          <w:szCs w:val="22"/>
        </w:rPr>
      </w:pPr>
      <w:hyperlink w:history="1" w:anchor="_Toc93477386">
        <w:r w:rsidRPr="000E761A" w:rsidR="00A83768">
          <w:rPr>
            <w:rStyle w:val="Hyperlink"/>
            <w:rFonts w:ascii="Times New Roman" w:hAnsi="Times New Roman"/>
            <w:noProof/>
          </w:rPr>
          <w:t>A2. Purpose and Use of Information</w:t>
        </w:r>
        <w:r w:rsidR="00A83768">
          <w:rPr>
            <w:noProof/>
            <w:webHidden/>
          </w:rPr>
          <w:tab/>
        </w:r>
        <w:r w:rsidR="00A83768">
          <w:rPr>
            <w:noProof/>
            <w:webHidden/>
          </w:rPr>
          <w:fldChar w:fldCharType="begin"/>
        </w:r>
        <w:r w:rsidR="00A83768">
          <w:rPr>
            <w:noProof/>
            <w:webHidden/>
          </w:rPr>
          <w:instrText xml:space="preserve"> PAGEREF _Toc93477386 \h </w:instrText>
        </w:r>
        <w:r w:rsidR="00A83768">
          <w:rPr>
            <w:noProof/>
            <w:webHidden/>
          </w:rPr>
        </w:r>
        <w:r w:rsidR="00A83768">
          <w:rPr>
            <w:noProof/>
            <w:webHidden/>
          </w:rPr>
          <w:fldChar w:fldCharType="separate"/>
        </w:r>
        <w:r w:rsidR="00A83768">
          <w:rPr>
            <w:noProof/>
            <w:webHidden/>
          </w:rPr>
          <w:t>2</w:t>
        </w:r>
        <w:r w:rsidR="00A83768">
          <w:rPr>
            <w:noProof/>
            <w:webHidden/>
          </w:rPr>
          <w:fldChar w:fldCharType="end"/>
        </w:r>
      </w:hyperlink>
    </w:p>
    <w:p w:rsidR="00A83768" w:rsidRDefault="004224DC" w14:paraId="7D9C6854" w14:textId="1ABE9C1E">
      <w:pPr>
        <w:pStyle w:val="TOC2"/>
        <w:rPr>
          <w:rFonts w:asciiTheme="minorHAnsi" w:hAnsiTheme="minorHAnsi" w:eastAsiaTheme="minorEastAsia" w:cstheme="minorBidi"/>
          <w:noProof/>
          <w:sz w:val="22"/>
          <w:szCs w:val="22"/>
        </w:rPr>
      </w:pPr>
      <w:hyperlink w:history="1" w:anchor="_Toc93477387">
        <w:r w:rsidRPr="000E761A" w:rsidR="00A83768">
          <w:rPr>
            <w:rStyle w:val="Hyperlink"/>
            <w:rFonts w:ascii="Times New Roman" w:hAnsi="Times New Roman"/>
            <w:noProof/>
          </w:rPr>
          <w:t>A3. Use of Information Technology</w:t>
        </w:r>
        <w:r w:rsidR="00A83768">
          <w:rPr>
            <w:noProof/>
            <w:webHidden/>
          </w:rPr>
          <w:tab/>
        </w:r>
        <w:r w:rsidR="00A83768">
          <w:rPr>
            <w:noProof/>
            <w:webHidden/>
          </w:rPr>
          <w:fldChar w:fldCharType="begin"/>
        </w:r>
        <w:r w:rsidR="00A83768">
          <w:rPr>
            <w:noProof/>
            <w:webHidden/>
          </w:rPr>
          <w:instrText xml:space="preserve"> PAGEREF _Toc93477387 \h </w:instrText>
        </w:r>
        <w:r w:rsidR="00A83768">
          <w:rPr>
            <w:noProof/>
            <w:webHidden/>
          </w:rPr>
        </w:r>
        <w:r w:rsidR="00A83768">
          <w:rPr>
            <w:noProof/>
            <w:webHidden/>
          </w:rPr>
          <w:fldChar w:fldCharType="separate"/>
        </w:r>
        <w:r w:rsidR="00A83768">
          <w:rPr>
            <w:noProof/>
            <w:webHidden/>
          </w:rPr>
          <w:t>3</w:t>
        </w:r>
        <w:r w:rsidR="00A83768">
          <w:rPr>
            <w:noProof/>
            <w:webHidden/>
          </w:rPr>
          <w:fldChar w:fldCharType="end"/>
        </w:r>
      </w:hyperlink>
    </w:p>
    <w:p w:rsidR="00A83768" w:rsidRDefault="004224DC" w14:paraId="745B4D7B" w14:textId="18535BA9">
      <w:pPr>
        <w:pStyle w:val="TOC2"/>
        <w:rPr>
          <w:rFonts w:asciiTheme="minorHAnsi" w:hAnsiTheme="minorHAnsi" w:eastAsiaTheme="minorEastAsia" w:cstheme="minorBidi"/>
          <w:noProof/>
          <w:sz w:val="22"/>
          <w:szCs w:val="22"/>
        </w:rPr>
      </w:pPr>
      <w:hyperlink w:history="1" w:anchor="_Toc93477388">
        <w:r w:rsidRPr="000E761A" w:rsidR="00A83768">
          <w:rPr>
            <w:rStyle w:val="Hyperlink"/>
            <w:rFonts w:ascii="Times New Roman" w:hAnsi="Times New Roman"/>
            <w:noProof/>
          </w:rPr>
          <w:t>A4. Identifying Duplication</w:t>
        </w:r>
        <w:r w:rsidR="00A83768">
          <w:rPr>
            <w:noProof/>
            <w:webHidden/>
          </w:rPr>
          <w:tab/>
        </w:r>
        <w:r w:rsidR="00A83768">
          <w:rPr>
            <w:noProof/>
            <w:webHidden/>
          </w:rPr>
          <w:fldChar w:fldCharType="begin"/>
        </w:r>
        <w:r w:rsidR="00A83768">
          <w:rPr>
            <w:noProof/>
            <w:webHidden/>
          </w:rPr>
          <w:instrText xml:space="preserve"> PAGEREF _Toc93477388 \h </w:instrText>
        </w:r>
        <w:r w:rsidR="00A83768">
          <w:rPr>
            <w:noProof/>
            <w:webHidden/>
          </w:rPr>
        </w:r>
        <w:r w:rsidR="00A83768">
          <w:rPr>
            <w:noProof/>
            <w:webHidden/>
          </w:rPr>
          <w:fldChar w:fldCharType="separate"/>
        </w:r>
        <w:r w:rsidR="00A83768">
          <w:rPr>
            <w:noProof/>
            <w:webHidden/>
          </w:rPr>
          <w:t>3</w:t>
        </w:r>
        <w:r w:rsidR="00A83768">
          <w:rPr>
            <w:noProof/>
            <w:webHidden/>
          </w:rPr>
          <w:fldChar w:fldCharType="end"/>
        </w:r>
      </w:hyperlink>
    </w:p>
    <w:p w:rsidR="00A83768" w:rsidRDefault="004224DC" w14:paraId="6DB86855" w14:textId="57613BFF">
      <w:pPr>
        <w:pStyle w:val="TOC2"/>
        <w:rPr>
          <w:rFonts w:asciiTheme="minorHAnsi" w:hAnsiTheme="minorHAnsi" w:eastAsiaTheme="minorEastAsia" w:cstheme="minorBidi"/>
          <w:noProof/>
          <w:sz w:val="22"/>
          <w:szCs w:val="22"/>
        </w:rPr>
      </w:pPr>
      <w:hyperlink w:history="1" w:anchor="_Toc93477389">
        <w:r w:rsidRPr="000E761A" w:rsidR="00A83768">
          <w:rPr>
            <w:rStyle w:val="Hyperlink"/>
            <w:rFonts w:ascii="Times New Roman" w:hAnsi="Times New Roman"/>
            <w:noProof/>
          </w:rPr>
          <w:t>A5. Impact on Small Businesses</w:t>
        </w:r>
        <w:r w:rsidR="00A83768">
          <w:rPr>
            <w:noProof/>
            <w:webHidden/>
          </w:rPr>
          <w:tab/>
        </w:r>
        <w:r w:rsidR="00A83768">
          <w:rPr>
            <w:noProof/>
            <w:webHidden/>
          </w:rPr>
          <w:fldChar w:fldCharType="begin"/>
        </w:r>
        <w:r w:rsidR="00A83768">
          <w:rPr>
            <w:noProof/>
            <w:webHidden/>
          </w:rPr>
          <w:instrText xml:space="preserve"> PAGEREF _Toc93477389 \h </w:instrText>
        </w:r>
        <w:r w:rsidR="00A83768">
          <w:rPr>
            <w:noProof/>
            <w:webHidden/>
          </w:rPr>
        </w:r>
        <w:r w:rsidR="00A83768">
          <w:rPr>
            <w:noProof/>
            <w:webHidden/>
          </w:rPr>
          <w:fldChar w:fldCharType="separate"/>
        </w:r>
        <w:r w:rsidR="00A83768">
          <w:rPr>
            <w:noProof/>
            <w:webHidden/>
          </w:rPr>
          <w:t>3</w:t>
        </w:r>
        <w:r w:rsidR="00A83768">
          <w:rPr>
            <w:noProof/>
            <w:webHidden/>
          </w:rPr>
          <w:fldChar w:fldCharType="end"/>
        </w:r>
      </w:hyperlink>
    </w:p>
    <w:p w:rsidR="00A83768" w:rsidRDefault="004224DC" w14:paraId="5687806F" w14:textId="2B762EDD">
      <w:pPr>
        <w:pStyle w:val="TOC2"/>
        <w:rPr>
          <w:rFonts w:asciiTheme="minorHAnsi" w:hAnsiTheme="minorHAnsi" w:eastAsiaTheme="minorEastAsia" w:cstheme="minorBidi"/>
          <w:noProof/>
          <w:sz w:val="22"/>
          <w:szCs w:val="22"/>
        </w:rPr>
      </w:pPr>
      <w:hyperlink w:history="1" w:anchor="_Toc93477390">
        <w:r w:rsidRPr="000E761A" w:rsidR="00A83768">
          <w:rPr>
            <w:rStyle w:val="Hyperlink"/>
            <w:rFonts w:ascii="Times New Roman" w:hAnsi="Times New Roman"/>
            <w:noProof/>
          </w:rPr>
          <w:t>A6. Consequences of Less Frequent Data Collection</w:t>
        </w:r>
        <w:r w:rsidR="00A83768">
          <w:rPr>
            <w:noProof/>
            <w:webHidden/>
          </w:rPr>
          <w:tab/>
        </w:r>
        <w:r w:rsidR="00A83768">
          <w:rPr>
            <w:noProof/>
            <w:webHidden/>
          </w:rPr>
          <w:fldChar w:fldCharType="begin"/>
        </w:r>
        <w:r w:rsidR="00A83768">
          <w:rPr>
            <w:noProof/>
            <w:webHidden/>
          </w:rPr>
          <w:instrText xml:space="preserve"> PAGEREF _Toc93477390 \h </w:instrText>
        </w:r>
        <w:r w:rsidR="00A83768">
          <w:rPr>
            <w:noProof/>
            <w:webHidden/>
          </w:rPr>
        </w:r>
        <w:r w:rsidR="00A83768">
          <w:rPr>
            <w:noProof/>
            <w:webHidden/>
          </w:rPr>
          <w:fldChar w:fldCharType="separate"/>
        </w:r>
        <w:r w:rsidR="00A83768">
          <w:rPr>
            <w:noProof/>
            <w:webHidden/>
          </w:rPr>
          <w:t>3</w:t>
        </w:r>
        <w:r w:rsidR="00A83768">
          <w:rPr>
            <w:noProof/>
            <w:webHidden/>
          </w:rPr>
          <w:fldChar w:fldCharType="end"/>
        </w:r>
      </w:hyperlink>
    </w:p>
    <w:p w:rsidR="00A83768" w:rsidRDefault="004224DC" w14:paraId="27571065" w14:textId="552D6E92">
      <w:pPr>
        <w:pStyle w:val="TOC2"/>
        <w:rPr>
          <w:rFonts w:asciiTheme="minorHAnsi" w:hAnsiTheme="minorHAnsi" w:eastAsiaTheme="minorEastAsia" w:cstheme="minorBidi"/>
          <w:noProof/>
          <w:sz w:val="22"/>
          <w:szCs w:val="22"/>
        </w:rPr>
      </w:pPr>
      <w:hyperlink w:history="1" w:anchor="_Toc93477391">
        <w:r w:rsidRPr="000E761A" w:rsidR="00A83768">
          <w:rPr>
            <w:rStyle w:val="Hyperlink"/>
            <w:rFonts w:ascii="Times New Roman" w:hAnsi="Times New Roman"/>
            <w:noProof/>
          </w:rPr>
          <w:t>A7. Special Circumstances</w:t>
        </w:r>
        <w:r w:rsidR="00A83768">
          <w:rPr>
            <w:noProof/>
            <w:webHidden/>
          </w:rPr>
          <w:tab/>
        </w:r>
        <w:r w:rsidR="00A83768">
          <w:rPr>
            <w:noProof/>
            <w:webHidden/>
          </w:rPr>
          <w:fldChar w:fldCharType="begin"/>
        </w:r>
        <w:r w:rsidR="00A83768">
          <w:rPr>
            <w:noProof/>
            <w:webHidden/>
          </w:rPr>
          <w:instrText xml:space="preserve"> PAGEREF _Toc93477391 \h </w:instrText>
        </w:r>
        <w:r w:rsidR="00A83768">
          <w:rPr>
            <w:noProof/>
            <w:webHidden/>
          </w:rPr>
        </w:r>
        <w:r w:rsidR="00A83768">
          <w:rPr>
            <w:noProof/>
            <w:webHidden/>
          </w:rPr>
          <w:fldChar w:fldCharType="separate"/>
        </w:r>
        <w:r w:rsidR="00A83768">
          <w:rPr>
            <w:noProof/>
            <w:webHidden/>
          </w:rPr>
          <w:t>3</w:t>
        </w:r>
        <w:r w:rsidR="00A83768">
          <w:rPr>
            <w:noProof/>
            <w:webHidden/>
          </w:rPr>
          <w:fldChar w:fldCharType="end"/>
        </w:r>
      </w:hyperlink>
    </w:p>
    <w:p w:rsidR="00A83768" w:rsidRDefault="004224DC" w14:paraId="521CC603" w14:textId="03E14533">
      <w:pPr>
        <w:pStyle w:val="TOC2"/>
        <w:rPr>
          <w:rFonts w:asciiTheme="minorHAnsi" w:hAnsiTheme="minorHAnsi" w:eastAsiaTheme="minorEastAsia" w:cstheme="minorBidi"/>
          <w:noProof/>
          <w:sz w:val="22"/>
          <w:szCs w:val="22"/>
        </w:rPr>
      </w:pPr>
      <w:hyperlink w:history="1" w:anchor="_Toc93477392">
        <w:r w:rsidRPr="000E761A" w:rsidR="00A83768">
          <w:rPr>
            <w:rStyle w:val="Hyperlink"/>
            <w:rFonts w:ascii="Times New Roman" w:hAnsi="Times New Roman"/>
            <w:noProof/>
          </w:rPr>
          <w:t>A8. CMS Federal Register Notice</w:t>
        </w:r>
        <w:r w:rsidR="00A83768">
          <w:rPr>
            <w:noProof/>
            <w:webHidden/>
          </w:rPr>
          <w:tab/>
        </w:r>
        <w:r w:rsidR="00A83768">
          <w:rPr>
            <w:noProof/>
            <w:webHidden/>
          </w:rPr>
          <w:fldChar w:fldCharType="begin"/>
        </w:r>
        <w:r w:rsidR="00A83768">
          <w:rPr>
            <w:noProof/>
            <w:webHidden/>
          </w:rPr>
          <w:instrText xml:space="preserve"> PAGEREF _Toc93477392 \h </w:instrText>
        </w:r>
        <w:r w:rsidR="00A83768">
          <w:rPr>
            <w:noProof/>
            <w:webHidden/>
          </w:rPr>
        </w:r>
        <w:r w:rsidR="00A83768">
          <w:rPr>
            <w:noProof/>
            <w:webHidden/>
          </w:rPr>
          <w:fldChar w:fldCharType="separate"/>
        </w:r>
        <w:r w:rsidR="00A83768">
          <w:rPr>
            <w:noProof/>
            <w:webHidden/>
          </w:rPr>
          <w:t>3</w:t>
        </w:r>
        <w:r w:rsidR="00A83768">
          <w:rPr>
            <w:noProof/>
            <w:webHidden/>
          </w:rPr>
          <w:fldChar w:fldCharType="end"/>
        </w:r>
      </w:hyperlink>
    </w:p>
    <w:p w:rsidR="00A83768" w:rsidRDefault="004224DC" w14:paraId="34E53A55" w14:textId="46754B52">
      <w:pPr>
        <w:pStyle w:val="TOC2"/>
        <w:rPr>
          <w:rFonts w:asciiTheme="minorHAnsi" w:hAnsiTheme="minorHAnsi" w:eastAsiaTheme="minorEastAsia" w:cstheme="minorBidi"/>
          <w:noProof/>
          <w:sz w:val="22"/>
          <w:szCs w:val="22"/>
        </w:rPr>
      </w:pPr>
      <w:hyperlink w:history="1" w:anchor="_Toc93477393">
        <w:r w:rsidRPr="000E761A" w:rsidR="00A83768">
          <w:rPr>
            <w:rStyle w:val="Hyperlink"/>
            <w:rFonts w:ascii="Times New Roman" w:hAnsi="Times New Roman"/>
            <w:noProof/>
          </w:rPr>
          <w:t>A9. Respondent Payments or Gifts</w:t>
        </w:r>
        <w:r w:rsidR="00A83768">
          <w:rPr>
            <w:noProof/>
            <w:webHidden/>
          </w:rPr>
          <w:tab/>
        </w:r>
        <w:r w:rsidR="00A83768">
          <w:rPr>
            <w:noProof/>
            <w:webHidden/>
          </w:rPr>
          <w:fldChar w:fldCharType="begin"/>
        </w:r>
        <w:r w:rsidR="00A83768">
          <w:rPr>
            <w:noProof/>
            <w:webHidden/>
          </w:rPr>
          <w:instrText xml:space="preserve"> PAGEREF _Toc93477393 \h </w:instrText>
        </w:r>
        <w:r w:rsidR="00A83768">
          <w:rPr>
            <w:noProof/>
            <w:webHidden/>
          </w:rPr>
        </w:r>
        <w:r w:rsidR="00A83768">
          <w:rPr>
            <w:noProof/>
            <w:webHidden/>
          </w:rPr>
          <w:fldChar w:fldCharType="separate"/>
        </w:r>
        <w:r w:rsidR="00A83768">
          <w:rPr>
            <w:noProof/>
            <w:webHidden/>
          </w:rPr>
          <w:t>4</w:t>
        </w:r>
        <w:r w:rsidR="00A83768">
          <w:rPr>
            <w:noProof/>
            <w:webHidden/>
          </w:rPr>
          <w:fldChar w:fldCharType="end"/>
        </w:r>
      </w:hyperlink>
    </w:p>
    <w:p w:rsidR="00A83768" w:rsidRDefault="004224DC" w14:paraId="58FB8F2B" w14:textId="1319D3BB">
      <w:pPr>
        <w:pStyle w:val="TOC2"/>
        <w:rPr>
          <w:rFonts w:asciiTheme="minorHAnsi" w:hAnsiTheme="minorHAnsi" w:eastAsiaTheme="minorEastAsia" w:cstheme="minorBidi"/>
          <w:noProof/>
          <w:sz w:val="22"/>
          <w:szCs w:val="22"/>
        </w:rPr>
      </w:pPr>
      <w:hyperlink w:history="1" w:anchor="_Toc93477394">
        <w:r w:rsidRPr="000E761A" w:rsidR="00A83768">
          <w:rPr>
            <w:rStyle w:val="Hyperlink"/>
            <w:rFonts w:ascii="Times New Roman" w:hAnsi="Times New Roman"/>
            <w:noProof/>
          </w:rPr>
          <w:t>A10. Assurance of Confidentiality</w:t>
        </w:r>
        <w:r w:rsidR="00A83768">
          <w:rPr>
            <w:noProof/>
            <w:webHidden/>
          </w:rPr>
          <w:tab/>
        </w:r>
        <w:r w:rsidR="00A83768">
          <w:rPr>
            <w:noProof/>
            <w:webHidden/>
          </w:rPr>
          <w:fldChar w:fldCharType="begin"/>
        </w:r>
        <w:r w:rsidR="00A83768">
          <w:rPr>
            <w:noProof/>
            <w:webHidden/>
          </w:rPr>
          <w:instrText xml:space="preserve"> PAGEREF _Toc93477394 \h </w:instrText>
        </w:r>
        <w:r w:rsidR="00A83768">
          <w:rPr>
            <w:noProof/>
            <w:webHidden/>
          </w:rPr>
        </w:r>
        <w:r w:rsidR="00A83768">
          <w:rPr>
            <w:noProof/>
            <w:webHidden/>
          </w:rPr>
          <w:fldChar w:fldCharType="separate"/>
        </w:r>
        <w:r w:rsidR="00A83768">
          <w:rPr>
            <w:noProof/>
            <w:webHidden/>
          </w:rPr>
          <w:t>4</w:t>
        </w:r>
        <w:r w:rsidR="00A83768">
          <w:rPr>
            <w:noProof/>
            <w:webHidden/>
          </w:rPr>
          <w:fldChar w:fldCharType="end"/>
        </w:r>
      </w:hyperlink>
    </w:p>
    <w:p w:rsidR="00A83768" w:rsidRDefault="004224DC" w14:paraId="45B0389E" w14:textId="6B67A02F">
      <w:pPr>
        <w:pStyle w:val="TOC2"/>
        <w:rPr>
          <w:rFonts w:asciiTheme="minorHAnsi" w:hAnsiTheme="minorHAnsi" w:eastAsiaTheme="minorEastAsia" w:cstheme="minorBidi"/>
          <w:noProof/>
          <w:sz w:val="22"/>
          <w:szCs w:val="22"/>
        </w:rPr>
      </w:pPr>
      <w:hyperlink w:history="1" w:anchor="_Toc93477395">
        <w:r w:rsidRPr="000E761A" w:rsidR="00A83768">
          <w:rPr>
            <w:rStyle w:val="Hyperlink"/>
            <w:rFonts w:ascii="Times New Roman" w:hAnsi="Times New Roman"/>
            <w:noProof/>
          </w:rPr>
          <w:t>A11. Sensitive Questions</w:t>
        </w:r>
        <w:r w:rsidR="00A83768">
          <w:rPr>
            <w:noProof/>
            <w:webHidden/>
          </w:rPr>
          <w:tab/>
        </w:r>
        <w:r w:rsidR="00A83768">
          <w:rPr>
            <w:noProof/>
            <w:webHidden/>
          </w:rPr>
          <w:fldChar w:fldCharType="begin"/>
        </w:r>
        <w:r w:rsidR="00A83768">
          <w:rPr>
            <w:noProof/>
            <w:webHidden/>
          </w:rPr>
          <w:instrText xml:space="preserve"> PAGEREF _Toc93477395 \h </w:instrText>
        </w:r>
        <w:r w:rsidR="00A83768">
          <w:rPr>
            <w:noProof/>
            <w:webHidden/>
          </w:rPr>
        </w:r>
        <w:r w:rsidR="00A83768">
          <w:rPr>
            <w:noProof/>
            <w:webHidden/>
          </w:rPr>
          <w:fldChar w:fldCharType="separate"/>
        </w:r>
        <w:r w:rsidR="00A83768">
          <w:rPr>
            <w:noProof/>
            <w:webHidden/>
          </w:rPr>
          <w:t>4</w:t>
        </w:r>
        <w:r w:rsidR="00A83768">
          <w:rPr>
            <w:noProof/>
            <w:webHidden/>
          </w:rPr>
          <w:fldChar w:fldCharType="end"/>
        </w:r>
      </w:hyperlink>
    </w:p>
    <w:p w:rsidR="00A83768" w:rsidRDefault="004224DC" w14:paraId="1478D0A1" w14:textId="4DDDECF7">
      <w:pPr>
        <w:pStyle w:val="TOC1"/>
        <w:rPr>
          <w:rFonts w:asciiTheme="minorHAnsi" w:hAnsiTheme="minorHAnsi" w:eastAsiaTheme="minorEastAsia" w:cstheme="minorBidi"/>
          <w:noProof/>
          <w:sz w:val="22"/>
          <w:szCs w:val="22"/>
        </w:rPr>
      </w:pPr>
      <w:hyperlink w:history="1" w:anchor="_Toc93477396">
        <w:r w:rsidRPr="000E761A" w:rsidR="00A83768">
          <w:rPr>
            <w:rStyle w:val="Hyperlink"/>
            <w:noProof/>
          </w:rPr>
          <w:t>A12. Burden of Information Collection</w:t>
        </w:r>
        <w:r w:rsidR="00A83768">
          <w:rPr>
            <w:noProof/>
            <w:webHidden/>
          </w:rPr>
          <w:tab/>
        </w:r>
        <w:r w:rsidR="00A83768">
          <w:rPr>
            <w:noProof/>
            <w:webHidden/>
          </w:rPr>
          <w:fldChar w:fldCharType="begin"/>
        </w:r>
        <w:r w:rsidR="00A83768">
          <w:rPr>
            <w:noProof/>
            <w:webHidden/>
          </w:rPr>
          <w:instrText xml:space="preserve"> PAGEREF _Toc93477396 \h </w:instrText>
        </w:r>
        <w:r w:rsidR="00A83768">
          <w:rPr>
            <w:noProof/>
            <w:webHidden/>
          </w:rPr>
        </w:r>
        <w:r w:rsidR="00A83768">
          <w:rPr>
            <w:noProof/>
            <w:webHidden/>
          </w:rPr>
          <w:fldChar w:fldCharType="separate"/>
        </w:r>
        <w:r w:rsidR="00A83768">
          <w:rPr>
            <w:noProof/>
            <w:webHidden/>
          </w:rPr>
          <w:t>4</w:t>
        </w:r>
        <w:r w:rsidR="00A83768">
          <w:rPr>
            <w:noProof/>
            <w:webHidden/>
          </w:rPr>
          <w:fldChar w:fldCharType="end"/>
        </w:r>
      </w:hyperlink>
    </w:p>
    <w:p w:rsidR="00A83768" w:rsidRDefault="004224DC" w14:paraId="79E8720C" w14:textId="2C5B0DE9">
      <w:pPr>
        <w:pStyle w:val="TOC2"/>
        <w:rPr>
          <w:rFonts w:asciiTheme="minorHAnsi" w:hAnsiTheme="minorHAnsi" w:eastAsiaTheme="minorEastAsia" w:cstheme="minorBidi"/>
          <w:noProof/>
          <w:sz w:val="22"/>
          <w:szCs w:val="22"/>
        </w:rPr>
      </w:pPr>
      <w:hyperlink w:history="1" w:anchor="_Toc93477397">
        <w:r w:rsidRPr="000E761A" w:rsidR="00A83768">
          <w:rPr>
            <w:rStyle w:val="Hyperlink"/>
            <w:rFonts w:ascii="Times New Roman" w:hAnsi="Times New Roman"/>
            <w:noProof/>
          </w:rPr>
          <w:t>A13. Capital Costs</w:t>
        </w:r>
        <w:r w:rsidR="00A83768">
          <w:rPr>
            <w:noProof/>
            <w:webHidden/>
          </w:rPr>
          <w:tab/>
        </w:r>
        <w:r w:rsidR="00A83768">
          <w:rPr>
            <w:noProof/>
            <w:webHidden/>
          </w:rPr>
          <w:fldChar w:fldCharType="begin"/>
        </w:r>
        <w:r w:rsidR="00A83768">
          <w:rPr>
            <w:noProof/>
            <w:webHidden/>
          </w:rPr>
          <w:instrText xml:space="preserve"> PAGEREF _Toc93477397 \h </w:instrText>
        </w:r>
        <w:r w:rsidR="00A83768">
          <w:rPr>
            <w:noProof/>
            <w:webHidden/>
          </w:rPr>
        </w:r>
        <w:r w:rsidR="00A83768">
          <w:rPr>
            <w:noProof/>
            <w:webHidden/>
          </w:rPr>
          <w:fldChar w:fldCharType="separate"/>
        </w:r>
        <w:r w:rsidR="00A83768">
          <w:rPr>
            <w:noProof/>
            <w:webHidden/>
          </w:rPr>
          <w:t>5</w:t>
        </w:r>
        <w:r w:rsidR="00A83768">
          <w:rPr>
            <w:noProof/>
            <w:webHidden/>
          </w:rPr>
          <w:fldChar w:fldCharType="end"/>
        </w:r>
      </w:hyperlink>
    </w:p>
    <w:p w:rsidR="00A83768" w:rsidRDefault="004224DC" w14:paraId="656C3416" w14:textId="0221169B">
      <w:pPr>
        <w:pStyle w:val="TOC2"/>
        <w:rPr>
          <w:rFonts w:asciiTheme="minorHAnsi" w:hAnsiTheme="minorHAnsi" w:eastAsiaTheme="minorEastAsia" w:cstheme="minorBidi"/>
          <w:noProof/>
          <w:sz w:val="22"/>
          <w:szCs w:val="22"/>
        </w:rPr>
      </w:pPr>
      <w:hyperlink w:history="1" w:anchor="_Toc93477398">
        <w:r w:rsidRPr="000E761A" w:rsidR="00A83768">
          <w:rPr>
            <w:rStyle w:val="Hyperlink"/>
            <w:rFonts w:ascii="Times New Roman" w:hAnsi="Times New Roman"/>
            <w:noProof/>
          </w:rPr>
          <w:t>A14. Estimates of Annualized Cost to the Government</w:t>
        </w:r>
        <w:r w:rsidR="00A83768">
          <w:rPr>
            <w:noProof/>
            <w:webHidden/>
          </w:rPr>
          <w:tab/>
        </w:r>
        <w:r w:rsidR="00A83768">
          <w:rPr>
            <w:noProof/>
            <w:webHidden/>
          </w:rPr>
          <w:fldChar w:fldCharType="begin"/>
        </w:r>
        <w:r w:rsidR="00A83768">
          <w:rPr>
            <w:noProof/>
            <w:webHidden/>
          </w:rPr>
          <w:instrText xml:space="preserve"> PAGEREF _Toc93477398 \h </w:instrText>
        </w:r>
        <w:r w:rsidR="00A83768">
          <w:rPr>
            <w:noProof/>
            <w:webHidden/>
          </w:rPr>
        </w:r>
        <w:r w:rsidR="00A83768">
          <w:rPr>
            <w:noProof/>
            <w:webHidden/>
          </w:rPr>
          <w:fldChar w:fldCharType="separate"/>
        </w:r>
        <w:r w:rsidR="00A83768">
          <w:rPr>
            <w:noProof/>
            <w:webHidden/>
          </w:rPr>
          <w:t>5</w:t>
        </w:r>
        <w:r w:rsidR="00A83768">
          <w:rPr>
            <w:noProof/>
            <w:webHidden/>
          </w:rPr>
          <w:fldChar w:fldCharType="end"/>
        </w:r>
      </w:hyperlink>
    </w:p>
    <w:p w:rsidR="00A83768" w:rsidRDefault="004224DC" w14:paraId="03172868" w14:textId="6484D97E">
      <w:pPr>
        <w:pStyle w:val="TOC2"/>
        <w:rPr>
          <w:rFonts w:asciiTheme="minorHAnsi" w:hAnsiTheme="minorHAnsi" w:eastAsiaTheme="minorEastAsia" w:cstheme="minorBidi"/>
          <w:noProof/>
          <w:sz w:val="22"/>
          <w:szCs w:val="22"/>
        </w:rPr>
      </w:pPr>
      <w:hyperlink w:history="1" w:anchor="_Toc93477399">
        <w:r w:rsidRPr="000E761A" w:rsidR="00A83768">
          <w:rPr>
            <w:rStyle w:val="Hyperlink"/>
            <w:rFonts w:ascii="Times New Roman" w:hAnsi="Times New Roman"/>
            <w:noProof/>
          </w:rPr>
          <w:t>A15. Program Changes or Adjustments to Annual Burden</w:t>
        </w:r>
        <w:r w:rsidR="00A83768">
          <w:rPr>
            <w:noProof/>
            <w:webHidden/>
          </w:rPr>
          <w:tab/>
        </w:r>
        <w:r w:rsidR="00A83768">
          <w:rPr>
            <w:noProof/>
            <w:webHidden/>
          </w:rPr>
          <w:fldChar w:fldCharType="begin"/>
        </w:r>
        <w:r w:rsidR="00A83768">
          <w:rPr>
            <w:noProof/>
            <w:webHidden/>
          </w:rPr>
          <w:instrText xml:space="preserve"> PAGEREF _Toc93477399 \h </w:instrText>
        </w:r>
        <w:r w:rsidR="00A83768">
          <w:rPr>
            <w:noProof/>
            <w:webHidden/>
          </w:rPr>
        </w:r>
        <w:r w:rsidR="00A83768">
          <w:rPr>
            <w:noProof/>
            <w:webHidden/>
          </w:rPr>
          <w:fldChar w:fldCharType="separate"/>
        </w:r>
        <w:r w:rsidR="00A83768">
          <w:rPr>
            <w:noProof/>
            <w:webHidden/>
          </w:rPr>
          <w:t>6</w:t>
        </w:r>
        <w:r w:rsidR="00A83768">
          <w:rPr>
            <w:noProof/>
            <w:webHidden/>
          </w:rPr>
          <w:fldChar w:fldCharType="end"/>
        </w:r>
      </w:hyperlink>
    </w:p>
    <w:p w:rsidR="00A83768" w:rsidRDefault="004224DC" w14:paraId="2A75CD4A" w14:textId="629DE895">
      <w:pPr>
        <w:pStyle w:val="TOC2"/>
        <w:rPr>
          <w:rFonts w:asciiTheme="minorHAnsi" w:hAnsiTheme="minorHAnsi" w:eastAsiaTheme="minorEastAsia" w:cstheme="minorBidi"/>
          <w:noProof/>
          <w:sz w:val="22"/>
          <w:szCs w:val="22"/>
        </w:rPr>
      </w:pPr>
      <w:hyperlink w:history="1" w:anchor="_Toc93477400">
        <w:r w:rsidRPr="000E761A" w:rsidR="00A83768">
          <w:rPr>
            <w:rStyle w:val="Hyperlink"/>
            <w:rFonts w:ascii="Times New Roman" w:hAnsi="Times New Roman"/>
            <w:noProof/>
          </w:rPr>
          <w:t>A16. Time Schedule, Tabulation and Publication of Results</w:t>
        </w:r>
        <w:r w:rsidR="00A83768">
          <w:rPr>
            <w:noProof/>
            <w:webHidden/>
          </w:rPr>
          <w:tab/>
        </w:r>
        <w:r w:rsidR="00A83768">
          <w:rPr>
            <w:noProof/>
            <w:webHidden/>
          </w:rPr>
          <w:fldChar w:fldCharType="begin"/>
        </w:r>
        <w:r w:rsidR="00A83768">
          <w:rPr>
            <w:noProof/>
            <w:webHidden/>
          </w:rPr>
          <w:instrText xml:space="preserve"> PAGEREF _Toc93477400 \h </w:instrText>
        </w:r>
        <w:r w:rsidR="00A83768">
          <w:rPr>
            <w:noProof/>
            <w:webHidden/>
          </w:rPr>
        </w:r>
        <w:r w:rsidR="00A83768">
          <w:rPr>
            <w:noProof/>
            <w:webHidden/>
          </w:rPr>
          <w:fldChar w:fldCharType="separate"/>
        </w:r>
        <w:r w:rsidR="00A83768">
          <w:rPr>
            <w:noProof/>
            <w:webHidden/>
          </w:rPr>
          <w:t>6</w:t>
        </w:r>
        <w:r w:rsidR="00A83768">
          <w:rPr>
            <w:noProof/>
            <w:webHidden/>
          </w:rPr>
          <w:fldChar w:fldCharType="end"/>
        </w:r>
      </w:hyperlink>
    </w:p>
    <w:p w:rsidR="00A83768" w:rsidRDefault="004224DC" w14:paraId="04514982" w14:textId="59DCF4FE">
      <w:pPr>
        <w:pStyle w:val="TOC2"/>
        <w:rPr>
          <w:rFonts w:asciiTheme="minorHAnsi" w:hAnsiTheme="minorHAnsi" w:eastAsiaTheme="minorEastAsia" w:cstheme="minorBidi"/>
          <w:noProof/>
          <w:sz w:val="22"/>
          <w:szCs w:val="22"/>
        </w:rPr>
      </w:pPr>
      <w:hyperlink w:history="1" w:anchor="_Toc93477401">
        <w:r w:rsidRPr="000E761A" w:rsidR="00A83768">
          <w:rPr>
            <w:rStyle w:val="Hyperlink"/>
            <w:rFonts w:ascii="Times New Roman" w:hAnsi="Times New Roman"/>
            <w:noProof/>
          </w:rPr>
          <w:t>A17. Display of OMB Expiration Date</w:t>
        </w:r>
        <w:r w:rsidR="00A83768">
          <w:rPr>
            <w:noProof/>
            <w:webHidden/>
          </w:rPr>
          <w:tab/>
        </w:r>
        <w:r w:rsidR="00A83768">
          <w:rPr>
            <w:noProof/>
            <w:webHidden/>
          </w:rPr>
          <w:fldChar w:fldCharType="begin"/>
        </w:r>
        <w:r w:rsidR="00A83768">
          <w:rPr>
            <w:noProof/>
            <w:webHidden/>
          </w:rPr>
          <w:instrText xml:space="preserve"> PAGEREF _Toc93477401 \h </w:instrText>
        </w:r>
        <w:r w:rsidR="00A83768">
          <w:rPr>
            <w:noProof/>
            <w:webHidden/>
          </w:rPr>
        </w:r>
        <w:r w:rsidR="00A83768">
          <w:rPr>
            <w:noProof/>
            <w:webHidden/>
          </w:rPr>
          <w:fldChar w:fldCharType="separate"/>
        </w:r>
        <w:r w:rsidR="00A83768">
          <w:rPr>
            <w:noProof/>
            <w:webHidden/>
          </w:rPr>
          <w:t>6</w:t>
        </w:r>
        <w:r w:rsidR="00A83768">
          <w:rPr>
            <w:noProof/>
            <w:webHidden/>
          </w:rPr>
          <w:fldChar w:fldCharType="end"/>
        </w:r>
      </w:hyperlink>
    </w:p>
    <w:p w:rsidRPr="00634FA0" w:rsidR="00A67DE5" w:rsidP="007452B3" w:rsidRDefault="00A67DE5" w14:paraId="2ABB0C15" w14:textId="255C2BAC">
      <w:pPr>
        <w:tabs>
          <w:tab w:val="right" w:leader="dot" w:pos="8640"/>
        </w:tabs>
        <w:sectPr w:rsidRPr="00634FA0" w:rsidR="00A67DE5" w:rsidSect="000E38BB">
          <w:footerReference w:type="even" r:id="rId7"/>
          <w:footerReference w:type="default" r:id="rId8"/>
          <w:footerReference w:type="first" r:id="rId9"/>
          <w:pgSz w:w="12240" w:h="15840"/>
          <w:pgMar w:top="1440" w:right="1440" w:bottom="1440" w:left="1440" w:header="720" w:footer="720" w:gutter="0"/>
          <w:pgNumType w:fmt="lowerRoman" w:start="3"/>
          <w:cols w:space="720"/>
          <w:titlePg/>
          <w:docGrid w:linePitch="360"/>
        </w:sectPr>
      </w:pPr>
      <w:r w:rsidRPr="007452B3">
        <w:rPr>
          <w:b/>
          <w:bCs/>
          <w:noProof/>
        </w:rPr>
        <w:fldChar w:fldCharType="end"/>
      </w:r>
    </w:p>
    <w:p w:rsidR="00762735" w:rsidP="00762735" w:rsidRDefault="00A67DE5" w14:paraId="64CB4E47" w14:textId="77777777">
      <w:pPr>
        <w:pStyle w:val="Heading1"/>
        <w:jc w:val="center"/>
      </w:pPr>
      <w:bookmarkStart w:name="_Toc93477381" w:id="2"/>
      <w:r w:rsidRPr="00762735">
        <w:lastRenderedPageBreak/>
        <w:t>SUPPORTING STATEMENT</w:t>
      </w:r>
      <w:r w:rsidRPr="00762735" w:rsidR="00762735">
        <w:t>:</w:t>
      </w:r>
      <w:bookmarkEnd w:id="2"/>
    </w:p>
    <w:p w:rsidRPr="00762735" w:rsidR="00A67DE5" w:rsidP="00762735" w:rsidRDefault="0072465F" w14:paraId="6686F306" w14:textId="77777777">
      <w:pPr>
        <w:pStyle w:val="Heading1"/>
        <w:jc w:val="center"/>
      </w:pPr>
      <w:bookmarkStart w:name="_Toc93477382" w:id="3"/>
      <w:r>
        <w:t>Feasibility Study for a MEPS Monthly Check-In</w:t>
      </w:r>
      <w:bookmarkEnd w:id="3"/>
    </w:p>
    <w:p w:rsidRPr="00634FA0" w:rsidR="00A67DE5" w:rsidP="00A67DE5" w:rsidRDefault="00A67DE5" w14:paraId="62262956" w14:textId="77777777"/>
    <w:p w:rsidR="00CF19B1" w:rsidP="00CF19B1" w:rsidRDefault="00CF19B1" w14:paraId="581A426C" w14:textId="77777777">
      <w:pPr>
        <w:spacing w:line="23" w:lineRule="atLeast"/>
      </w:pPr>
      <w:bookmarkStart w:name="_Toc93477383" w:id="4"/>
      <w:r>
        <w:t>The Agency for Healthcare Research and Quality (AHRQ)</w:t>
      </w:r>
      <w:r w:rsidRPr="005516C1">
        <w:t xml:space="preserve"> requests </w:t>
      </w:r>
      <w:r>
        <w:t xml:space="preserve">generic </w:t>
      </w:r>
      <w:r w:rsidRPr="005516C1">
        <w:t xml:space="preserve">clearance from the Office of Management and Budget (OMB) under the Paperwork Reduction Act of 1995 to </w:t>
      </w:r>
      <w:r>
        <w:t>conduct a feasibility study to test a self-administered monthly check-in for Medical Expenditure Panel Survey (MEPS) respondents.</w:t>
      </w:r>
    </w:p>
    <w:p w:rsidR="00CF19B1" w:rsidP="00D10660" w:rsidRDefault="00CF19B1" w14:paraId="056A9D5B" w14:textId="77777777">
      <w:pPr>
        <w:pStyle w:val="Heading1"/>
      </w:pPr>
    </w:p>
    <w:p w:rsidRPr="00C91747" w:rsidR="00A67DE5" w:rsidP="00D10660" w:rsidRDefault="00A67DE5" w14:paraId="6D0CA141" w14:textId="48DA9A9F">
      <w:pPr>
        <w:pStyle w:val="Heading1"/>
      </w:pPr>
      <w:r w:rsidRPr="00C91747">
        <w:t>Introduction</w:t>
      </w:r>
      <w:bookmarkEnd w:id="4"/>
    </w:p>
    <w:p w:rsidR="00F6327C" w:rsidP="00F6327C" w:rsidRDefault="00F6327C" w14:paraId="189332BA" w14:textId="77777777">
      <w:pPr>
        <w:spacing w:line="23" w:lineRule="atLeast"/>
      </w:pPr>
      <w:r>
        <w:t>The Agency for Healthcare Research and Quality (AHRQ)</w:t>
      </w:r>
      <w:r w:rsidRPr="005516C1">
        <w:t xml:space="preserve"> requests clearance from the Office of Management and Budget (OMB) under the Paperwork Reduction Act of 1995 to </w:t>
      </w:r>
      <w:r w:rsidR="0072465F">
        <w:t>conduct</w:t>
      </w:r>
      <w:r w:rsidR="005D29E2">
        <w:t xml:space="preserve"> </w:t>
      </w:r>
      <w:r w:rsidR="0072465F">
        <w:t>a feasibility study to test the use of a monthly check-in for MEPS respondents.</w:t>
      </w:r>
    </w:p>
    <w:p w:rsidR="00F6327C" w:rsidP="00F6327C" w:rsidRDefault="00F6327C" w14:paraId="620DC3A3" w14:textId="77777777">
      <w:pPr>
        <w:spacing w:line="23" w:lineRule="atLeast"/>
      </w:pPr>
    </w:p>
    <w:p w:rsidRPr="00B9353A" w:rsidR="0072465F" w:rsidP="0072465F" w:rsidRDefault="0072465F" w14:paraId="45173BA7" w14:textId="77777777">
      <w:r w:rsidRPr="00B9353A">
        <w:t>The mission of the Agency for Healthcare Research and Quality (AHRQ) is to produce evidence to make health care safer, higher quality, more accessible, equitable and affordable, and to work within the U.S. Department of Health and Human Services and with other partners to make sure that the evidence is understood and used.</w:t>
      </w:r>
    </w:p>
    <w:p w:rsidRPr="00B9353A" w:rsidR="0072465F" w:rsidP="0072465F" w:rsidRDefault="0072465F" w14:paraId="27583DAD" w14:textId="77777777"/>
    <w:p w:rsidR="0072465F" w:rsidP="0072465F" w:rsidRDefault="0072465F" w14:paraId="7F42DEAD" w14:textId="77777777">
      <w:r w:rsidRPr="00B9353A">
        <w:t>AHRQ shall promote health care quality improvement by</w:t>
      </w:r>
      <w:r>
        <w:t xml:space="preserve"> c</w:t>
      </w:r>
      <w:r w:rsidRPr="00B9353A">
        <w:t>ollecting data on and producing measures of the quality, safety, effectiveness, and efficiency of American health care and health care systems; fostering the development of knowledge about improving health care, health care systems, and capacity; and</w:t>
      </w:r>
      <w:r>
        <w:t xml:space="preserve"> </w:t>
      </w:r>
      <w:r w:rsidRPr="00B9353A">
        <w:t>partnering with stakeholders to implement proven strategies for health care improvement.</w:t>
      </w:r>
      <w:r>
        <w:t xml:space="preserve">  </w:t>
      </w:r>
      <w:r w:rsidRPr="00B9353A">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72465F" w:rsidP="0072465F" w:rsidRDefault="0072465F" w14:paraId="436581F7" w14:textId="77777777"/>
    <w:p w:rsidRPr="00B9353A" w:rsidR="0072465F" w:rsidP="0072465F" w:rsidRDefault="0072465F" w14:paraId="2837C8F5" w14:textId="77777777">
      <w:pPr>
        <w:rPr>
          <w:bCs/>
        </w:rPr>
      </w:pPr>
      <w:r w:rsidRPr="00B9353A">
        <w:rPr>
          <w:bCs/>
        </w:rPr>
        <w:t xml:space="preserve">The MEPS survey consists of </w:t>
      </w:r>
      <w:r>
        <w:rPr>
          <w:bCs/>
        </w:rPr>
        <w:t xml:space="preserve">the following </w:t>
      </w:r>
      <w:r w:rsidRPr="00B9353A">
        <w:rPr>
          <w:bCs/>
        </w:rPr>
        <w:t xml:space="preserve">three </w:t>
      </w:r>
      <w:r w:rsidRPr="00A04F7A">
        <w:rPr>
          <w:bCs/>
        </w:rPr>
        <w:t>components</w:t>
      </w:r>
      <w:r w:rsidRPr="00B9353A">
        <w:rPr>
          <w:bCs/>
        </w:rPr>
        <w:t xml:space="preserve"> and has been conducted annu</w:t>
      </w:r>
      <w:r>
        <w:rPr>
          <w:bCs/>
        </w:rPr>
        <w:t>a</w:t>
      </w:r>
      <w:r w:rsidRPr="00B9353A">
        <w:rPr>
          <w:bCs/>
        </w:rPr>
        <w:t xml:space="preserve">lly since 1996:  </w:t>
      </w:r>
    </w:p>
    <w:p w:rsidRPr="00B9353A" w:rsidR="0072465F" w:rsidP="0072465F" w:rsidRDefault="0072465F" w14:paraId="7F252BE0" w14:textId="77777777">
      <w:pPr>
        <w:rPr>
          <w:bCs/>
        </w:rPr>
      </w:pPr>
    </w:p>
    <w:p w:rsidRPr="00B9353A" w:rsidR="0072465F" w:rsidP="0072465F" w:rsidRDefault="0072465F" w14:paraId="50113E83" w14:textId="77777777">
      <w:pPr>
        <w:numPr>
          <w:ilvl w:val="0"/>
          <w:numId w:val="13"/>
        </w:numPr>
        <w:ind w:left="450" w:hanging="450"/>
      </w:pPr>
      <w:r w:rsidRPr="00B9353A">
        <w:t>Household Component: A sample of households participating in the National Health Interview Survey (NHIS) in the prior calendar year are interviewed 5 times over a 2 and one half (2.5) year period.  These 5 interviews yield two years of information on use of, and expenditures for, health care, sources of payment for that health care, insurance status, employment, health status and health care quality.</w:t>
      </w:r>
    </w:p>
    <w:p w:rsidRPr="00B9353A" w:rsidR="0072465F" w:rsidP="0072465F" w:rsidRDefault="0072465F" w14:paraId="40981775" w14:textId="77777777">
      <w:pPr>
        <w:numPr>
          <w:ilvl w:val="0"/>
          <w:numId w:val="13"/>
        </w:numPr>
        <w:ind w:left="450" w:hanging="450"/>
      </w:pPr>
      <w:r w:rsidRPr="00B9353A">
        <w:t xml:space="preserve">Medical Provider Component: The MEPS-MPC collects information from medical and financial records maintained by hospitals, physicians, </w:t>
      </w:r>
      <w:proofErr w:type="gramStart"/>
      <w:r w:rsidRPr="00B9353A">
        <w:t>pharmacies</w:t>
      </w:r>
      <w:proofErr w:type="gramEnd"/>
      <w:r w:rsidRPr="00B9353A">
        <w:t xml:space="preserve"> and home health agencies named as sources of care by household respondents.  </w:t>
      </w:r>
    </w:p>
    <w:p w:rsidRPr="00B9353A" w:rsidR="0072465F" w:rsidP="0072465F" w:rsidRDefault="0072465F" w14:paraId="25C8C49D" w14:textId="77777777">
      <w:pPr>
        <w:numPr>
          <w:ilvl w:val="0"/>
          <w:numId w:val="13"/>
        </w:numPr>
        <w:ind w:left="450" w:hanging="450"/>
      </w:pPr>
      <w:r w:rsidRPr="00B9353A">
        <w:t>Insurance Component (MEPS-IC): The MEPS-IC collects information on establishment characteristics, insurance offerings and premiums from employers.  The MEPS-IC is conducted by the Census Bureau for AHRQ and is cleared separately.</w:t>
      </w:r>
    </w:p>
    <w:p w:rsidRPr="00B9353A" w:rsidR="0072465F" w:rsidP="0072465F" w:rsidRDefault="0072465F" w14:paraId="222B7E19" w14:textId="77777777">
      <w:pPr>
        <w:rPr>
          <w:highlight w:val="yellow"/>
        </w:rPr>
      </w:pPr>
    </w:p>
    <w:p w:rsidRPr="00B9353A" w:rsidR="0072465F" w:rsidP="0072465F" w:rsidRDefault="0072465F" w14:paraId="79914E5C" w14:textId="09781D07">
      <w:r w:rsidRPr="00B9353A">
        <w:lastRenderedPageBreak/>
        <w:t>This request is for the MEPS-HC only.  The OMB Control Number is 0935-01</w:t>
      </w:r>
      <w:r w:rsidR="00B337FB">
        <w:t>24</w:t>
      </w:r>
      <w:r w:rsidRPr="00B9353A">
        <w:t xml:space="preserve">, which will expire on </w:t>
      </w:r>
      <w:r w:rsidR="00B337FB">
        <w:t>January 31, 2024</w:t>
      </w:r>
      <w:r w:rsidRPr="00B9353A">
        <w:t xml:space="preserve">.  </w:t>
      </w:r>
    </w:p>
    <w:p w:rsidRPr="00DA394A" w:rsidR="0072465F" w:rsidP="0072465F" w:rsidRDefault="0072465F" w14:paraId="567811FC" w14:textId="77777777"/>
    <w:p w:rsidRPr="00815356" w:rsidR="00A67DE5" w:rsidP="00A67DE5" w:rsidRDefault="00A67DE5" w14:paraId="5756E668" w14:textId="77777777"/>
    <w:p w:rsidRPr="00EF52AE" w:rsidR="00A67DE5" w:rsidP="00D10660" w:rsidRDefault="007452B3" w14:paraId="3BD21945" w14:textId="77777777">
      <w:pPr>
        <w:pStyle w:val="Heading1"/>
      </w:pPr>
      <w:bookmarkStart w:name="_Toc93477384" w:id="5"/>
      <w:r>
        <w:t xml:space="preserve">A. </w:t>
      </w:r>
      <w:r w:rsidRPr="00EF52AE" w:rsidR="00A67DE5">
        <w:t>Justification</w:t>
      </w:r>
      <w:bookmarkEnd w:id="5"/>
    </w:p>
    <w:p w:rsidR="00A67DE5" w:rsidP="00A67DE5" w:rsidRDefault="00A67DE5" w14:paraId="06203EB7" w14:textId="77777777">
      <w:pPr>
        <w:tabs>
          <w:tab w:val="left" w:pos="540"/>
        </w:tabs>
      </w:pPr>
    </w:p>
    <w:p w:rsidRPr="00EF52AE" w:rsidR="00A67DE5" w:rsidP="00A67DE5" w:rsidRDefault="007452B3" w14:paraId="1E12B35F" w14:textId="77777777">
      <w:pPr>
        <w:pStyle w:val="Heading2"/>
        <w:rPr>
          <w:rFonts w:ascii="Times New Roman" w:hAnsi="Times New Roman"/>
        </w:rPr>
      </w:pPr>
      <w:bookmarkStart w:name="_Toc93477385" w:id="6"/>
      <w:r>
        <w:rPr>
          <w:rFonts w:ascii="Times New Roman" w:hAnsi="Times New Roman"/>
        </w:rPr>
        <w:t xml:space="preserve">A1. </w:t>
      </w:r>
      <w:r w:rsidRPr="00EF52AE" w:rsidR="00A67DE5">
        <w:rPr>
          <w:rFonts w:ascii="Times New Roman" w:hAnsi="Times New Roman"/>
        </w:rPr>
        <w:t>Necessity of Information Collection</w:t>
      </w:r>
      <w:bookmarkEnd w:id="6"/>
    </w:p>
    <w:p w:rsidR="005E4797" w:rsidP="005E4797" w:rsidRDefault="005E4797" w14:paraId="4E780287" w14:textId="77777777">
      <w:pPr>
        <w:rPr>
          <w:rFonts w:eastAsia="MS Mincho"/>
          <w:color w:val="000000"/>
          <w:sz w:val="23"/>
          <w:szCs w:val="23"/>
        </w:rPr>
      </w:pPr>
    </w:p>
    <w:p w:rsidR="00CF19B1" w:rsidP="00CF19B1" w:rsidRDefault="00CF19B1" w14:paraId="51904B1B" w14:textId="77777777">
      <w:r w:rsidRPr="00DA394A">
        <w:t>The purpose of this request is to</w:t>
      </w:r>
      <w:r>
        <w:t xml:space="preserve"> test the feasibility and usability of an instrument that would</w:t>
      </w:r>
      <w:r w:rsidRPr="00DA394A">
        <w:t xml:space="preserve"> </w:t>
      </w:r>
      <w:r>
        <w:rPr>
          <w:rFonts w:cstheme="minorHAnsi"/>
        </w:rPr>
        <w:t>augment the current semi-annual MEPS interview with a series of web-based monthly check-ins that are designed to improve reporting accuracy</w:t>
      </w:r>
      <w:r w:rsidRPr="003E40BE">
        <w:t xml:space="preserve">. </w:t>
      </w:r>
      <w:r>
        <w:t xml:space="preserve">The concept is designed to </w:t>
      </w:r>
      <w:r w:rsidRPr="003E40BE">
        <w:t xml:space="preserve">invite </w:t>
      </w:r>
      <w:r>
        <w:t xml:space="preserve">MEPS </w:t>
      </w:r>
      <w:r w:rsidRPr="003E40BE">
        <w:t>respondents to provide information more frequently but in shorter</w:t>
      </w:r>
      <w:r>
        <w:t>, self-administered</w:t>
      </w:r>
      <w:r w:rsidRPr="003E40BE">
        <w:t xml:space="preserve"> sessions.</w:t>
      </w:r>
      <w:r>
        <w:t xml:space="preserve"> </w:t>
      </w:r>
    </w:p>
    <w:p w:rsidR="003E40BE" w:rsidP="0010229A" w:rsidRDefault="003E40BE" w14:paraId="117CF5AF" w14:textId="77777777"/>
    <w:p w:rsidR="00CF19B1" w:rsidP="00CF19B1" w:rsidRDefault="00CF19B1" w14:paraId="5DB13033" w14:textId="77777777">
      <w:r>
        <w:t>To test the usability of the monthly check-in instrument, this request includes</w:t>
      </w:r>
      <w:r w:rsidRPr="003E40BE">
        <w:t xml:space="preserve"> </w:t>
      </w:r>
      <w:r>
        <w:t xml:space="preserve">a study of non-MEPS participants who will focus on reacting to the display and functionality of the proposed instrument and the incorporation of that information into the MEPS interview (Study 1). This request also includes an exploration of feasibility of the monthly check-in with </w:t>
      </w:r>
      <w:r w:rsidRPr="003E40BE">
        <w:t xml:space="preserve">experienced MEPS respondents </w:t>
      </w:r>
      <w:r>
        <w:t>to assess</w:t>
      </w:r>
      <w:r w:rsidRPr="003E40BE">
        <w:t xml:space="preserve"> perceived burden</w:t>
      </w:r>
      <w:r>
        <w:t xml:space="preserve"> and to explore other alternatives to a monthly check-in that could also serve to improve data quality (Study 2)</w:t>
      </w:r>
      <w:r w:rsidRPr="003E40BE">
        <w:t xml:space="preserve">. </w:t>
      </w:r>
    </w:p>
    <w:p w:rsidRPr="003E40BE" w:rsidR="00CF19B1" w:rsidP="00CF19B1" w:rsidRDefault="00CF19B1" w14:paraId="71930C7C" w14:textId="77777777">
      <w:r w:rsidRPr="003E40BE">
        <w:t xml:space="preserve"> </w:t>
      </w:r>
    </w:p>
    <w:p w:rsidRPr="00BB58AE" w:rsidR="00CF19B1" w:rsidP="00CF19B1" w:rsidRDefault="00CF19B1" w14:paraId="3152E9D5" w14:textId="77777777">
      <w:r>
        <w:rPr>
          <w:bCs/>
        </w:rPr>
        <w:t>Both studies are</w:t>
      </w:r>
      <w:r w:rsidRPr="00ED6419">
        <w:rPr>
          <w:bCs/>
        </w:rPr>
        <w:t xml:space="preserve"> being conducted by AHRQ through its contractor</w:t>
      </w:r>
      <w:r>
        <w:rPr>
          <w:bCs/>
        </w:rPr>
        <w:t xml:space="preserve">, </w:t>
      </w:r>
      <w:proofErr w:type="spellStart"/>
      <w:r>
        <w:rPr>
          <w:bCs/>
        </w:rPr>
        <w:t>Westat</w:t>
      </w:r>
      <w:proofErr w:type="spellEnd"/>
      <w:r w:rsidRPr="00ED6419">
        <w:rPr>
          <w:bCs/>
        </w:rPr>
        <w:t>, pursuant to AHRQ’s statutory authority to conduct and support research on healthcare and on systems for the delivery of such care, including activities with respect to the cost and use of health care services and with respect to health statistics and surveys.  42 U.S.C. 299a(a)(3) and (8); 42 U.S.C. 299b-2.</w:t>
      </w:r>
    </w:p>
    <w:p w:rsidR="00CF19B1" w:rsidP="00CF19B1" w:rsidRDefault="00CF19B1" w14:paraId="54E162B9" w14:textId="77777777">
      <w:r>
        <w:t xml:space="preserve">  </w:t>
      </w:r>
    </w:p>
    <w:p w:rsidR="00A67DE5" w:rsidP="005078D0" w:rsidRDefault="00A67DE5" w14:paraId="04007D03" w14:textId="77777777"/>
    <w:p w:rsidR="00A67DE5" w:rsidP="00A67DE5" w:rsidRDefault="007452B3" w14:paraId="21C89C88" w14:textId="77777777">
      <w:pPr>
        <w:pStyle w:val="Heading2"/>
        <w:rPr>
          <w:rFonts w:ascii="Times New Roman" w:hAnsi="Times New Roman"/>
        </w:rPr>
      </w:pPr>
      <w:bookmarkStart w:name="_Toc93477386" w:id="7"/>
      <w:r>
        <w:rPr>
          <w:rFonts w:ascii="Times New Roman" w:hAnsi="Times New Roman"/>
        </w:rPr>
        <w:t xml:space="preserve">A2. </w:t>
      </w:r>
      <w:r w:rsidRPr="00EF52AE" w:rsidR="00A67DE5">
        <w:rPr>
          <w:rFonts w:ascii="Times New Roman" w:hAnsi="Times New Roman"/>
        </w:rPr>
        <w:t>Purpose and Use of Information</w:t>
      </w:r>
      <w:bookmarkEnd w:id="7"/>
    </w:p>
    <w:p w:rsidRPr="005E4797" w:rsidR="005E4797" w:rsidP="005E4797" w:rsidRDefault="005E4797" w14:paraId="2829C8FA" w14:textId="77777777"/>
    <w:p w:rsidR="00FF4181" w:rsidP="00FF4181" w:rsidRDefault="0074741D" w14:paraId="660FE1CE" w14:textId="77777777">
      <w:r w:rsidRPr="005078D0">
        <w:t xml:space="preserve">This data collection effort is </w:t>
      </w:r>
      <w:r w:rsidR="002619D5">
        <w:t xml:space="preserve">a one-time </w:t>
      </w:r>
      <w:r w:rsidR="00FF4181">
        <w:t>feasibility study</w:t>
      </w:r>
      <w:r w:rsidR="002619D5">
        <w:t xml:space="preserve"> t</w:t>
      </w:r>
      <w:r w:rsidR="0036227F">
        <w:t xml:space="preserve">o be completed in </w:t>
      </w:r>
      <w:r w:rsidR="00F002FE">
        <w:t>2022</w:t>
      </w:r>
      <w:r w:rsidR="0036227F">
        <w:t xml:space="preserve">.  </w:t>
      </w:r>
    </w:p>
    <w:p w:rsidRPr="00FF4181" w:rsidR="00CF19B1" w:rsidP="00CF19B1" w:rsidRDefault="00CF19B1" w14:paraId="1A863633" w14:textId="77777777"/>
    <w:p w:rsidRPr="00FF4181" w:rsidR="00CF19B1" w:rsidP="00CF19B1" w:rsidRDefault="00CF19B1" w14:paraId="29D9F7CE" w14:textId="77777777">
      <w:r w:rsidRPr="00FF4181">
        <w:rPr>
          <w:b/>
        </w:rPr>
        <w:t>Study 1</w:t>
      </w:r>
      <w:r w:rsidRPr="00FF4181">
        <w:t xml:space="preserve"> consists of building a short-term panel consisting of adults who have no familiarity with the MEPS study. The panel will consist of approximately 25 individuals who will be asked to complete </w:t>
      </w:r>
      <w:r>
        <w:t>two</w:t>
      </w:r>
      <w:r w:rsidRPr="00FF4181">
        <w:t xml:space="preserve"> monthly check-ins while being observed by an interviewer on Zoom, and then will be asked to participate in a final interview that incorporates monthly check-in data into the utilization module of the MEPS interview.  </w:t>
      </w:r>
    </w:p>
    <w:p w:rsidRPr="00FF4181" w:rsidR="00CF19B1" w:rsidP="00CF19B1" w:rsidRDefault="00CF19B1" w14:paraId="2A0452EF" w14:textId="77777777"/>
    <w:p w:rsidRPr="00FF4181" w:rsidR="00CF19B1" w:rsidP="00CF19B1" w:rsidRDefault="00CF19B1" w14:paraId="02EE5E0A" w14:textId="77777777">
      <w:r w:rsidRPr="00FF4181">
        <w:rPr>
          <w:b/>
        </w:rPr>
        <w:t>Study 2</w:t>
      </w:r>
      <w:r w:rsidRPr="00FF4181">
        <w:t xml:space="preserve"> consists of </w:t>
      </w:r>
      <w:r>
        <w:t>exiting</w:t>
      </w:r>
      <w:r w:rsidRPr="00FF4181">
        <w:t xml:space="preserve"> MEPS respondents who </w:t>
      </w:r>
      <w:r>
        <w:t>have recently completed</w:t>
      </w:r>
      <w:r w:rsidRPr="00FF4181">
        <w:t xml:space="preserve"> their final MEPS interview.  A sample of 10 respondents will be asked to complete one monthly check-in with a qualitative debriefing, and then will participate in a focus group.  The focus group will gather their general reactions to their MEPS experience as it relates to improving the quality of the information collected on the survey, as well as other ways to conducting the survey that could improve quality and reduce burden.</w:t>
      </w:r>
    </w:p>
    <w:p w:rsidRPr="00FF4181" w:rsidR="00CF19B1" w:rsidP="00CF19B1" w:rsidRDefault="00CF19B1" w14:paraId="0D9A567D" w14:textId="77777777"/>
    <w:p w:rsidRPr="005078D0" w:rsidR="00CF19B1" w:rsidP="00CF19B1" w:rsidRDefault="00CF19B1" w14:paraId="74F4BD5F" w14:textId="77777777">
      <w:r w:rsidRPr="00FF4181">
        <w:lastRenderedPageBreak/>
        <w:t xml:space="preserve">Together, these </w:t>
      </w:r>
      <w:r>
        <w:t>two</w:t>
      </w:r>
      <w:r w:rsidRPr="00FF4181">
        <w:t xml:space="preserve"> studies will provide feedback on the usability of the monthly check in instrument, as well as the perceived burden and benefits of this design from experienced MEPS respondents.  </w:t>
      </w:r>
    </w:p>
    <w:p w:rsidR="00CF19B1" w:rsidP="00CF19B1" w:rsidRDefault="00CF19B1" w14:paraId="6C11CCB0" w14:textId="77777777">
      <w:r>
        <w:t xml:space="preserve">  </w:t>
      </w:r>
    </w:p>
    <w:p w:rsidR="005516C1" w:rsidP="005516C1" w:rsidRDefault="005516C1" w14:paraId="15B37A33" w14:textId="77777777">
      <w:pPr>
        <w:rPr>
          <w:rStyle w:val="Heading2Char"/>
        </w:rPr>
      </w:pPr>
    </w:p>
    <w:p w:rsidRPr="00EF52AE" w:rsidR="00A67DE5" w:rsidP="00A67DE5" w:rsidRDefault="007452B3" w14:paraId="2163A85B" w14:textId="77777777">
      <w:pPr>
        <w:pStyle w:val="Heading2"/>
        <w:rPr>
          <w:rFonts w:ascii="Times New Roman" w:hAnsi="Times New Roman"/>
        </w:rPr>
      </w:pPr>
      <w:bookmarkStart w:name="_Toc93477387" w:id="8"/>
      <w:r>
        <w:rPr>
          <w:rFonts w:ascii="Times New Roman" w:hAnsi="Times New Roman"/>
        </w:rPr>
        <w:t xml:space="preserve">A3. </w:t>
      </w:r>
      <w:r w:rsidR="00966D65">
        <w:rPr>
          <w:rFonts w:ascii="Times New Roman" w:hAnsi="Times New Roman"/>
        </w:rPr>
        <w:t>Use of Information Technology</w:t>
      </w:r>
      <w:bookmarkEnd w:id="8"/>
    </w:p>
    <w:p w:rsidRPr="00EF52AE" w:rsidR="00A67DE5" w:rsidP="00A67DE5" w:rsidRDefault="00A67DE5" w14:paraId="073E7CE2" w14:textId="77777777">
      <w:pPr>
        <w:tabs>
          <w:tab w:val="left" w:pos="540"/>
        </w:tabs>
      </w:pPr>
    </w:p>
    <w:p w:rsidR="00966D65" w:rsidP="005E4797" w:rsidRDefault="00FF4181" w14:paraId="0349AB12" w14:textId="02D15B55">
      <w:pPr>
        <w:pStyle w:val="Default"/>
      </w:pPr>
      <w:r>
        <w:t xml:space="preserve">Study 1 will utilize a web survey for completing the </w:t>
      </w:r>
      <w:r w:rsidR="00CF19B1">
        <w:t>two</w:t>
      </w:r>
      <w:r>
        <w:t xml:space="preserve"> monthly check-ins, with concurrent participation in a Zoom interview to facilitate gathering usability feedback from the participants. The final part of Study 1 will be a Zoom interview in which the interviewer administers the MEPS questionnaire and uses the screen-sharing feature on Zoom to display show cards for </w:t>
      </w:r>
      <w:proofErr w:type="gramStart"/>
      <w:r>
        <w:t>particular survey</w:t>
      </w:r>
      <w:proofErr w:type="gramEnd"/>
      <w:r>
        <w:t xml:space="preserve"> questions. </w:t>
      </w:r>
    </w:p>
    <w:p w:rsidR="00FF4181" w:rsidP="005E4797" w:rsidRDefault="00FF4181" w14:paraId="3C347129" w14:textId="77777777">
      <w:pPr>
        <w:pStyle w:val="Default"/>
      </w:pPr>
    </w:p>
    <w:p w:rsidR="00FF4181" w:rsidP="005E4797" w:rsidRDefault="00FF4181" w14:paraId="42E5FE66" w14:textId="77777777">
      <w:pPr>
        <w:pStyle w:val="Default"/>
      </w:pPr>
      <w:r>
        <w:t>Study 2 will also utilize the Zoom-facilitated web interview for the monthly check-in. The focus group will also be conducted over Zoom.</w:t>
      </w:r>
    </w:p>
    <w:p w:rsidR="00FF4181" w:rsidP="005E4797" w:rsidRDefault="00FF4181" w14:paraId="0C5D6AFF" w14:textId="77777777">
      <w:pPr>
        <w:pStyle w:val="Default"/>
      </w:pPr>
    </w:p>
    <w:p w:rsidRPr="00EF52AE" w:rsidR="00A67DE5" w:rsidP="00055EDC" w:rsidRDefault="007452B3" w14:paraId="1B0AF5D4" w14:textId="77777777">
      <w:pPr>
        <w:pStyle w:val="Heading2"/>
        <w:rPr>
          <w:rFonts w:ascii="Times New Roman" w:hAnsi="Times New Roman"/>
        </w:rPr>
      </w:pPr>
      <w:bookmarkStart w:name="_Toc93477388" w:id="9"/>
      <w:r>
        <w:rPr>
          <w:rFonts w:ascii="Times New Roman" w:hAnsi="Times New Roman"/>
        </w:rPr>
        <w:t xml:space="preserve">A4. </w:t>
      </w:r>
      <w:r w:rsidRPr="00EF52AE" w:rsidR="00A67DE5">
        <w:rPr>
          <w:rFonts w:ascii="Times New Roman" w:hAnsi="Times New Roman"/>
        </w:rPr>
        <w:t>Identifying Duplication</w:t>
      </w:r>
      <w:bookmarkEnd w:id="9"/>
    </w:p>
    <w:p w:rsidR="009249A3" w:rsidP="000B0B03" w:rsidRDefault="009249A3" w14:paraId="0E8582DC" w14:textId="77777777"/>
    <w:p w:rsidR="00D06953" w:rsidP="00313F70" w:rsidRDefault="005D29E2" w14:paraId="32F9F848" w14:textId="77777777">
      <w:r w:rsidRPr="009249A3">
        <w:t>The proposed information collection does not duplicate any other effort and the information cannot be obtained from any other source</w:t>
      </w:r>
      <w:r>
        <w:t xml:space="preserve">. </w:t>
      </w:r>
    </w:p>
    <w:p w:rsidR="00D06953" w:rsidP="00A67DE5" w:rsidRDefault="00D06953" w14:paraId="3AB6AB23" w14:textId="77777777">
      <w:pPr>
        <w:pStyle w:val="Heading2"/>
        <w:rPr>
          <w:rFonts w:ascii="Times New Roman" w:hAnsi="Times New Roman"/>
        </w:rPr>
      </w:pPr>
    </w:p>
    <w:p w:rsidRPr="00EF52AE" w:rsidR="00A67DE5" w:rsidP="00A67DE5" w:rsidRDefault="007452B3" w14:paraId="0CD03469" w14:textId="77777777">
      <w:pPr>
        <w:pStyle w:val="Heading2"/>
        <w:rPr>
          <w:rFonts w:ascii="Times New Roman" w:hAnsi="Times New Roman"/>
        </w:rPr>
      </w:pPr>
      <w:bookmarkStart w:name="_Toc93477389" w:id="10"/>
      <w:r>
        <w:rPr>
          <w:rFonts w:ascii="Times New Roman" w:hAnsi="Times New Roman"/>
        </w:rPr>
        <w:t xml:space="preserve">A5. </w:t>
      </w:r>
      <w:r w:rsidRPr="00EF52AE" w:rsidR="00A67DE5">
        <w:rPr>
          <w:rFonts w:ascii="Times New Roman" w:hAnsi="Times New Roman"/>
        </w:rPr>
        <w:t>Impact on Small Businesses</w:t>
      </w:r>
      <w:bookmarkEnd w:id="10"/>
    </w:p>
    <w:p w:rsidRPr="00EF52AE" w:rsidR="00A67DE5" w:rsidP="00A67DE5" w:rsidRDefault="00A67DE5" w14:paraId="2A7759B1" w14:textId="77777777">
      <w:pPr>
        <w:tabs>
          <w:tab w:val="left" w:pos="540"/>
        </w:tabs>
      </w:pPr>
    </w:p>
    <w:p w:rsidRPr="00F67776" w:rsidR="00C37C7C" w:rsidP="00C37C7C" w:rsidRDefault="00313F70" w14:paraId="3FB8A1F5" w14:textId="4AA86BEB">
      <w:pPr>
        <w:tabs>
          <w:tab w:val="left" w:pos="547"/>
          <w:tab w:val="left" w:pos="1080"/>
          <w:tab w:val="left" w:pos="1627"/>
          <w:tab w:val="left" w:pos="2160"/>
          <w:tab w:val="left" w:pos="2880"/>
        </w:tabs>
      </w:pPr>
      <w:r>
        <w:t>Participants</w:t>
      </w:r>
      <w:r w:rsidR="009A2127">
        <w:t xml:space="preserve"> are </w:t>
      </w:r>
      <w:r>
        <w:t>members of the general population (Study 1) and exiting respondents f</w:t>
      </w:r>
      <w:r w:rsidR="00CF19B1">
        <w:t>rom the MEPS panel (Study 2</w:t>
      </w:r>
      <w:r>
        <w:t>)</w:t>
      </w:r>
      <w:r w:rsidRPr="001C2D34" w:rsidR="007A7D1E">
        <w:t>.</w:t>
      </w:r>
      <w:r w:rsidR="007A7D1E">
        <w:t xml:space="preserve"> </w:t>
      </w:r>
      <w:r w:rsidR="00B9631B">
        <w:t>Small</w:t>
      </w:r>
      <w:r w:rsidRPr="00C848E3" w:rsidR="00C37C7C">
        <w:t xml:space="preserve"> businesses or other small entities </w:t>
      </w:r>
      <w:r w:rsidR="00C848E3">
        <w:t xml:space="preserve">will be </w:t>
      </w:r>
      <w:r w:rsidR="00B9631B">
        <w:t xml:space="preserve">not </w:t>
      </w:r>
      <w:r w:rsidR="00C848E3">
        <w:t xml:space="preserve">significantly </w:t>
      </w:r>
      <w:r w:rsidRPr="00C848E3" w:rsidR="00C37C7C">
        <w:t xml:space="preserve">impacted by </w:t>
      </w:r>
      <w:r>
        <w:t>this</w:t>
      </w:r>
      <w:r w:rsidR="00B9631B">
        <w:t xml:space="preserve"> </w:t>
      </w:r>
      <w:r>
        <w:t>feasibility study</w:t>
      </w:r>
      <w:r w:rsidRPr="00C848E3" w:rsidR="00C37C7C">
        <w:t>.</w:t>
      </w:r>
    </w:p>
    <w:p w:rsidRPr="00EF52AE" w:rsidR="00A67DE5" w:rsidP="00A67DE5" w:rsidRDefault="00A67DE5" w14:paraId="292A18DC" w14:textId="77777777">
      <w:pPr>
        <w:tabs>
          <w:tab w:val="left" w:pos="540"/>
        </w:tabs>
      </w:pPr>
    </w:p>
    <w:p w:rsidRPr="00EF52AE" w:rsidR="00A67DE5" w:rsidP="00A67DE5" w:rsidRDefault="007452B3" w14:paraId="4F087621" w14:textId="77777777">
      <w:pPr>
        <w:pStyle w:val="Heading2"/>
        <w:rPr>
          <w:rFonts w:ascii="Times New Roman" w:hAnsi="Times New Roman"/>
        </w:rPr>
      </w:pPr>
      <w:bookmarkStart w:name="_Toc93477390" w:id="11"/>
      <w:r>
        <w:rPr>
          <w:rFonts w:ascii="Times New Roman" w:hAnsi="Times New Roman"/>
        </w:rPr>
        <w:t xml:space="preserve">A6. </w:t>
      </w:r>
      <w:r w:rsidRPr="00EF52AE" w:rsidR="00A67DE5">
        <w:rPr>
          <w:rFonts w:ascii="Times New Roman" w:hAnsi="Times New Roman"/>
        </w:rPr>
        <w:t>Consequences of Less Frequent Data Collection</w:t>
      </w:r>
      <w:bookmarkEnd w:id="11"/>
    </w:p>
    <w:p w:rsidRPr="00EF52AE" w:rsidR="00A67DE5" w:rsidP="00A67DE5" w:rsidRDefault="00A67DE5" w14:paraId="12A8B166" w14:textId="77777777">
      <w:pPr>
        <w:tabs>
          <w:tab w:val="left" w:pos="540"/>
        </w:tabs>
      </w:pPr>
    </w:p>
    <w:p w:rsidR="00107082" w:rsidP="00107082" w:rsidRDefault="00B9631B" w14:paraId="6CAA4EA0" w14:textId="77777777">
      <w:pPr>
        <w:tabs>
          <w:tab w:val="left" w:pos="540"/>
        </w:tabs>
      </w:pPr>
      <w:r>
        <w:t>This is a</w:t>
      </w:r>
      <w:r w:rsidR="00107082">
        <w:t xml:space="preserve"> one-time </w:t>
      </w:r>
      <w:r w:rsidR="00313F70">
        <w:t>feasibility study</w:t>
      </w:r>
      <w:r w:rsidR="00107082">
        <w:t xml:space="preserve">. </w:t>
      </w:r>
    </w:p>
    <w:p w:rsidRPr="00EF52AE" w:rsidR="00A67DE5" w:rsidP="00A67DE5" w:rsidRDefault="00A67DE5" w14:paraId="5C972F48" w14:textId="77777777">
      <w:pPr>
        <w:tabs>
          <w:tab w:val="left" w:pos="540"/>
        </w:tabs>
      </w:pPr>
    </w:p>
    <w:p w:rsidRPr="00EF52AE" w:rsidR="00A67DE5" w:rsidP="00A67DE5" w:rsidRDefault="007452B3" w14:paraId="2EFDD15F" w14:textId="77777777">
      <w:pPr>
        <w:pStyle w:val="Heading2"/>
        <w:rPr>
          <w:rFonts w:ascii="Times New Roman" w:hAnsi="Times New Roman"/>
        </w:rPr>
      </w:pPr>
      <w:bookmarkStart w:name="_Toc93477391" w:id="12"/>
      <w:r>
        <w:rPr>
          <w:rFonts w:ascii="Times New Roman" w:hAnsi="Times New Roman"/>
        </w:rPr>
        <w:t xml:space="preserve">A7. </w:t>
      </w:r>
      <w:r w:rsidRPr="00EF52AE" w:rsidR="00A67DE5">
        <w:rPr>
          <w:rFonts w:ascii="Times New Roman" w:hAnsi="Times New Roman"/>
        </w:rPr>
        <w:t>Special Circumstances</w:t>
      </w:r>
      <w:bookmarkEnd w:id="12"/>
    </w:p>
    <w:p w:rsidRPr="00EF52AE" w:rsidR="00A67DE5" w:rsidP="00A67DE5" w:rsidRDefault="00A67DE5" w14:paraId="5A55F8C9" w14:textId="77777777">
      <w:pPr>
        <w:tabs>
          <w:tab w:val="left" w:pos="540"/>
        </w:tabs>
      </w:pPr>
    </w:p>
    <w:p w:rsidRPr="00EF52AE" w:rsidR="00A67DE5" w:rsidP="00A67DE5" w:rsidRDefault="00107082" w14:paraId="2F36179A" w14:textId="77777777">
      <w:pPr>
        <w:tabs>
          <w:tab w:val="left" w:pos="540"/>
        </w:tabs>
      </w:pPr>
      <w:r>
        <w:t>There are no special circumstances associated with this information collection request.</w:t>
      </w:r>
    </w:p>
    <w:p w:rsidRPr="00EF52AE" w:rsidR="00A67DE5" w:rsidP="00A67DE5" w:rsidRDefault="00A67DE5" w14:paraId="49344DF4" w14:textId="77777777">
      <w:pPr>
        <w:tabs>
          <w:tab w:val="left" w:pos="540"/>
        </w:tabs>
      </w:pPr>
    </w:p>
    <w:p w:rsidRPr="00EF52AE" w:rsidR="00A67DE5" w:rsidP="00A67DE5" w:rsidRDefault="007452B3" w14:paraId="769F6FC4" w14:textId="77777777">
      <w:pPr>
        <w:pStyle w:val="Heading2"/>
        <w:rPr>
          <w:rFonts w:ascii="Times New Roman" w:hAnsi="Times New Roman"/>
        </w:rPr>
      </w:pPr>
      <w:bookmarkStart w:name="_Toc93477392" w:id="13"/>
      <w:r>
        <w:rPr>
          <w:rFonts w:ascii="Times New Roman" w:hAnsi="Times New Roman"/>
        </w:rPr>
        <w:t xml:space="preserve">A8. </w:t>
      </w:r>
      <w:r w:rsidRPr="00EF52AE" w:rsidR="00A67DE5">
        <w:rPr>
          <w:rFonts w:ascii="Times New Roman" w:hAnsi="Times New Roman"/>
        </w:rPr>
        <w:t>CMS Federal Register Notice</w:t>
      </w:r>
      <w:bookmarkEnd w:id="13"/>
    </w:p>
    <w:p w:rsidRPr="00EF52AE" w:rsidR="00A67DE5" w:rsidP="00A67DE5" w:rsidRDefault="00A67DE5" w14:paraId="5D8FA225" w14:textId="77777777">
      <w:pPr>
        <w:tabs>
          <w:tab w:val="left" w:pos="540"/>
        </w:tabs>
      </w:pPr>
    </w:p>
    <w:p w:rsidRPr="0008648D" w:rsidR="00B9631B" w:rsidP="00B9631B" w:rsidRDefault="00B9631B" w14:paraId="6A4C4DAA" w14:textId="77777777">
      <w:r w:rsidRPr="003F5CAB">
        <w:rPr>
          <w:bCs/>
          <w:iCs/>
        </w:rPr>
        <w:t xml:space="preserve">This </w:t>
      </w:r>
      <w:r>
        <w:rPr>
          <w:bCs/>
          <w:iCs/>
        </w:rPr>
        <w:t>proposed information collection is being</w:t>
      </w:r>
      <w:r w:rsidRPr="003F5CAB">
        <w:rPr>
          <w:bCs/>
          <w:iCs/>
        </w:rPr>
        <w:t xml:space="preserve"> submitted under AHRQ’s generic clearance</w:t>
      </w:r>
      <w:r w:rsidRPr="003F5CAB">
        <w:t xml:space="preserve"> (OMB No. </w:t>
      </w:r>
      <w:r w:rsidRPr="00E40253">
        <w:t>0935-01</w:t>
      </w:r>
      <w:r w:rsidR="00313F70">
        <w:t>18</w:t>
      </w:r>
      <w:r w:rsidRPr="003F5CAB">
        <w:t>).</w:t>
      </w:r>
      <w:r>
        <w:t xml:space="preserve">  Therefore, publication in the Federal Register is not required.</w:t>
      </w:r>
    </w:p>
    <w:p w:rsidRPr="00EF52AE" w:rsidR="002E6B83" w:rsidP="00A67DE5" w:rsidRDefault="002E6B83" w14:paraId="0C4C6600" w14:textId="77777777">
      <w:pPr>
        <w:tabs>
          <w:tab w:val="left" w:pos="540"/>
        </w:tabs>
      </w:pPr>
    </w:p>
    <w:p w:rsidRPr="00EF52AE" w:rsidR="00A67DE5" w:rsidP="00A67DE5" w:rsidRDefault="007452B3" w14:paraId="69F1CF69" w14:textId="77777777">
      <w:pPr>
        <w:pStyle w:val="Heading2"/>
        <w:rPr>
          <w:rFonts w:ascii="Times New Roman" w:hAnsi="Times New Roman"/>
        </w:rPr>
      </w:pPr>
      <w:bookmarkStart w:name="_Toc93477393" w:id="14"/>
      <w:r>
        <w:rPr>
          <w:rFonts w:ascii="Times New Roman" w:hAnsi="Times New Roman"/>
        </w:rPr>
        <w:t xml:space="preserve">A9. </w:t>
      </w:r>
      <w:r w:rsidRPr="00EF52AE" w:rsidR="00A67DE5">
        <w:rPr>
          <w:rFonts w:ascii="Times New Roman" w:hAnsi="Times New Roman"/>
        </w:rPr>
        <w:t>Respondent Payments or Gifts</w:t>
      </w:r>
      <w:bookmarkEnd w:id="14"/>
    </w:p>
    <w:p w:rsidRPr="00EF52AE" w:rsidR="00A67DE5" w:rsidP="00A67DE5" w:rsidRDefault="00A67DE5" w14:paraId="7CAEDEEF" w14:textId="77777777">
      <w:pPr>
        <w:tabs>
          <w:tab w:val="left" w:pos="540"/>
        </w:tabs>
      </w:pPr>
    </w:p>
    <w:p w:rsidRPr="005078D0" w:rsidR="00CF19B1" w:rsidP="00CF19B1" w:rsidRDefault="00CF19B1" w14:paraId="60F043D3" w14:textId="77777777">
      <w:pPr>
        <w:pStyle w:val="Default"/>
      </w:pPr>
      <w:r>
        <w:t xml:space="preserve">Participants in Study 1 will be provided with a </w:t>
      </w:r>
      <w:r w:rsidRPr="00313F70">
        <w:t xml:space="preserve">$25 electronic incentive after each </w:t>
      </w:r>
      <w:proofErr w:type="gramStart"/>
      <w:r w:rsidRPr="00313F70">
        <w:t>30 minute</w:t>
      </w:r>
      <w:proofErr w:type="gramEnd"/>
      <w:r w:rsidRPr="00313F70">
        <w:t xml:space="preserve"> interview, and a $75 incentive for the 90-minute </w:t>
      </w:r>
      <w:r>
        <w:t xml:space="preserve">Zoom </w:t>
      </w:r>
      <w:r w:rsidRPr="00313F70">
        <w:t>interview.</w:t>
      </w:r>
      <w:r>
        <w:t xml:space="preserve"> </w:t>
      </w:r>
      <w:r w:rsidRPr="00313F70">
        <w:t xml:space="preserve">Incentives </w:t>
      </w:r>
      <w:r>
        <w:t xml:space="preserve">for Study 2 </w:t>
      </w:r>
      <w:r w:rsidRPr="00313F70">
        <w:t xml:space="preserve">will include a $25 electronic incentive provided after the monthly check-in </w:t>
      </w:r>
      <w:r w:rsidRPr="00313F70">
        <w:lastRenderedPageBreak/>
        <w:t xml:space="preserve">interview, and a $75 electronic incentive for participation in the </w:t>
      </w:r>
      <w:r>
        <w:t xml:space="preserve">90-minute Zoom </w:t>
      </w:r>
      <w:r w:rsidRPr="00313F70">
        <w:t>focus group.</w:t>
      </w:r>
      <w:r>
        <w:t xml:space="preserve"> </w:t>
      </w:r>
    </w:p>
    <w:p w:rsidRPr="00EF52AE" w:rsidR="00A67DE5" w:rsidP="00A67DE5" w:rsidRDefault="00A67DE5" w14:paraId="5C0D98C5" w14:textId="77777777">
      <w:pPr>
        <w:tabs>
          <w:tab w:val="left" w:pos="540"/>
        </w:tabs>
        <w:rPr>
          <w:b/>
        </w:rPr>
      </w:pPr>
    </w:p>
    <w:p w:rsidRPr="00EF52AE" w:rsidR="00A67DE5" w:rsidP="00A67DE5" w:rsidRDefault="007452B3" w14:paraId="10AAB3CE" w14:textId="77777777">
      <w:pPr>
        <w:pStyle w:val="Heading2"/>
        <w:rPr>
          <w:rFonts w:ascii="Times New Roman" w:hAnsi="Times New Roman"/>
        </w:rPr>
      </w:pPr>
      <w:bookmarkStart w:name="_Toc93477394" w:id="15"/>
      <w:r>
        <w:rPr>
          <w:rFonts w:ascii="Times New Roman" w:hAnsi="Times New Roman"/>
        </w:rPr>
        <w:t xml:space="preserve">A10. </w:t>
      </w:r>
      <w:r w:rsidRPr="00EF52AE" w:rsidR="00A67DE5">
        <w:rPr>
          <w:rFonts w:ascii="Times New Roman" w:hAnsi="Times New Roman"/>
        </w:rPr>
        <w:t>Assurance of Confidentiality</w:t>
      </w:r>
      <w:bookmarkEnd w:id="15"/>
    </w:p>
    <w:p w:rsidR="00A67DE5" w:rsidP="00A67DE5" w:rsidRDefault="00A67DE5" w14:paraId="7FC0B16F" w14:textId="77777777">
      <w:pPr>
        <w:tabs>
          <w:tab w:val="left" w:pos="540"/>
        </w:tabs>
      </w:pPr>
    </w:p>
    <w:p w:rsidRPr="005078D0" w:rsidR="00D85E9B" w:rsidP="00D85E9B" w:rsidRDefault="002569C4" w14:paraId="1E63FA18" w14:textId="77777777">
      <w:pPr>
        <w:pStyle w:val="Default"/>
      </w:pPr>
      <w:r>
        <w:t>All participants</w:t>
      </w:r>
      <w:r w:rsidRPr="001E1350" w:rsidR="00D92368">
        <w:t xml:space="preserve"> will be told that </w:t>
      </w:r>
      <w:r>
        <w:t>their participation in the stud</w:t>
      </w:r>
      <w:r w:rsidRPr="001E1350" w:rsidR="00D92368">
        <w:t>y is voluntary</w:t>
      </w:r>
      <w:r>
        <w:t xml:space="preserve">. An informed consent document will be emailed to each study participant upon recruitment into the study, and the beginning of each interview will include a review of key aspects of the consent document and a request for verbal consent to participate. </w:t>
      </w:r>
    </w:p>
    <w:p w:rsidR="00D85E9B" w:rsidP="00D85E9B" w:rsidRDefault="00D85E9B" w14:paraId="7C7E2D7A" w14:textId="77777777">
      <w:pPr>
        <w:pStyle w:val="Default"/>
        <w:rPr>
          <w:sz w:val="23"/>
          <w:szCs w:val="23"/>
        </w:rPr>
      </w:pPr>
    </w:p>
    <w:p w:rsidRPr="005078D0" w:rsidR="00D85E9B" w:rsidP="00571D43" w:rsidRDefault="002569C4" w14:paraId="0FA39B75" w14:textId="77777777">
      <w:pPr>
        <w:pStyle w:val="Default"/>
      </w:pPr>
      <w:proofErr w:type="spellStart"/>
      <w:r>
        <w:t>Westat</w:t>
      </w:r>
      <w:proofErr w:type="spellEnd"/>
      <w:r w:rsidR="00684BFA">
        <w:t xml:space="preserve"> will</w:t>
      </w:r>
      <w:r w:rsidR="00D92368">
        <w:t xml:space="preserve"> t</w:t>
      </w:r>
      <w:r w:rsidR="00684BFA">
        <w:t xml:space="preserve">ransmit and store </w:t>
      </w:r>
      <w:r w:rsidRPr="005078D0" w:rsidR="00D40DB5">
        <w:t>data files and files</w:t>
      </w:r>
      <w:r w:rsidRPr="005078D0" w:rsidR="00D85E9B">
        <w:t xml:space="preserve"> containing contact information for data collection following procedures reviewed and approved by </w:t>
      </w:r>
      <w:proofErr w:type="spellStart"/>
      <w:r>
        <w:t>Westat’s</w:t>
      </w:r>
      <w:proofErr w:type="spellEnd"/>
      <w:r w:rsidRPr="005078D0" w:rsidR="00D85E9B">
        <w:t xml:space="preserve"> </w:t>
      </w:r>
      <w:r w:rsidR="007A7D1E">
        <w:t xml:space="preserve">Human Subjects Protection Committee (its </w:t>
      </w:r>
      <w:r w:rsidRPr="005078D0" w:rsidR="00D85E9B">
        <w:t>Institutional Review Board</w:t>
      </w:r>
      <w:r w:rsidR="007A7D1E">
        <w:t>)</w:t>
      </w:r>
      <w:r w:rsidRPr="005078D0" w:rsidR="00D85E9B">
        <w:t xml:space="preserve">. </w:t>
      </w:r>
    </w:p>
    <w:p w:rsidRPr="00EF52AE" w:rsidR="00D85E9B" w:rsidP="00A67DE5" w:rsidRDefault="00D85E9B" w14:paraId="128F8DFB" w14:textId="77777777">
      <w:pPr>
        <w:tabs>
          <w:tab w:val="left" w:pos="540"/>
        </w:tabs>
      </w:pPr>
    </w:p>
    <w:p w:rsidRPr="00EF52AE" w:rsidR="00A67DE5" w:rsidP="00A67DE5" w:rsidRDefault="007452B3" w14:paraId="28468BAF" w14:textId="77777777">
      <w:pPr>
        <w:pStyle w:val="Heading2"/>
        <w:rPr>
          <w:rFonts w:ascii="Times New Roman" w:hAnsi="Times New Roman"/>
        </w:rPr>
      </w:pPr>
      <w:bookmarkStart w:name="_Toc93477395" w:id="16"/>
      <w:r>
        <w:rPr>
          <w:rFonts w:ascii="Times New Roman" w:hAnsi="Times New Roman"/>
        </w:rPr>
        <w:t xml:space="preserve">A11. </w:t>
      </w:r>
      <w:r w:rsidRPr="00EF52AE" w:rsidR="00A67DE5">
        <w:rPr>
          <w:rFonts w:ascii="Times New Roman" w:hAnsi="Times New Roman"/>
        </w:rPr>
        <w:t>Sensitive Questions</w:t>
      </w:r>
      <w:bookmarkEnd w:id="16"/>
    </w:p>
    <w:p w:rsidRPr="00EF52AE" w:rsidR="00A67DE5" w:rsidP="00A67DE5" w:rsidRDefault="00A67DE5" w14:paraId="35698693" w14:textId="77777777">
      <w:pPr>
        <w:tabs>
          <w:tab w:val="left" w:pos="540"/>
        </w:tabs>
      </w:pPr>
    </w:p>
    <w:p w:rsidRPr="00571D43" w:rsidR="007A7D1E" w:rsidP="007A7D1E" w:rsidRDefault="002569C4" w14:paraId="2C5C929D" w14:textId="77777777">
      <w:pPr>
        <w:tabs>
          <w:tab w:val="left" w:pos="540"/>
        </w:tabs>
      </w:pPr>
      <w:r>
        <w:t xml:space="preserve">There are no known questions that </w:t>
      </w:r>
      <w:proofErr w:type="gramStart"/>
      <w:r>
        <w:t>are considered to be</w:t>
      </w:r>
      <w:proofErr w:type="gramEnd"/>
      <w:r>
        <w:t xml:space="preserve"> sensitive as part of this study</w:t>
      </w:r>
      <w:r w:rsidRPr="00571D43" w:rsidR="001C2D34">
        <w:t xml:space="preserve">. </w:t>
      </w:r>
    </w:p>
    <w:p w:rsidRPr="00571D43" w:rsidR="00C32807" w:rsidP="00C32807" w:rsidRDefault="00C32807" w14:paraId="7671695F" w14:textId="77777777">
      <w:pPr>
        <w:tabs>
          <w:tab w:val="left" w:pos="540"/>
        </w:tabs>
        <w:rPr>
          <w:sz w:val="23"/>
          <w:szCs w:val="23"/>
        </w:rPr>
      </w:pPr>
    </w:p>
    <w:p w:rsidRPr="00571D43" w:rsidR="00A67DE5" w:rsidP="00C32807" w:rsidRDefault="007452B3" w14:paraId="77E467A1" w14:textId="77777777">
      <w:pPr>
        <w:pStyle w:val="Heading1"/>
      </w:pPr>
      <w:bookmarkStart w:name="_Toc93477396" w:id="17"/>
      <w:r w:rsidRPr="00571D43">
        <w:t xml:space="preserve">A12. </w:t>
      </w:r>
      <w:r w:rsidRPr="00571D43" w:rsidR="00A67DE5">
        <w:t>Burden of Information Collection</w:t>
      </w:r>
      <w:bookmarkEnd w:id="17"/>
    </w:p>
    <w:p w:rsidRPr="00571D43" w:rsidR="00A67DE5" w:rsidP="00A67DE5" w:rsidRDefault="00A67DE5" w14:paraId="10689117" w14:textId="77777777">
      <w:pPr>
        <w:tabs>
          <w:tab w:val="left" w:pos="540"/>
        </w:tabs>
      </w:pPr>
    </w:p>
    <w:p w:rsidRPr="00571D43" w:rsidR="00CF19B1" w:rsidP="00CF19B1" w:rsidRDefault="00CF19B1" w14:paraId="4486C18E" w14:textId="77777777">
      <w:pPr>
        <w:keepLines/>
      </w:pPr>
      <w:r w:rsidRPr="00571D43">
        <w:t xml:space="preserve">Table 1 shows the estimated annualized burden and cost for survey respondents' time to participate in this data collection. </w:t>
      </w:r>
    </w:p>
    <w:p w:rsidRPr="00571D43" w:rsidR="00CF19B1" w:rsidP="00CF19B1" w:rsidRDefault="00CF19B1" w14:paraId="00BC44A6" w14:textId="77777777">
      <w:pPr>
        <w:keepLines/>
      </w:pPr>
    </w:p>
    <w:p w:rsidRPr="005078D0" w:rsidR="00CF19B1" w:rsidP="00CF19B1" w:rsidRDefault="00CF19B1" w14:paraId="51A24289" w14:textId="77777777">
      <w:pPr>
        <w:keepLines/>
        <w:rPr>
          <w:color w:val="000000"/>
          <w:highlight w:val="yellow"/>
        </w:rPr>
      </w:pPr>
      <w:r w:rsidRPr="00571D43">
        <w:rPr>
          <w:bCs/>
        </w:rPr>
        <w:t xml:space="preserve">The May </w:t>
      </w:r>
      <w:bookmarkStart w:name="_Hlk64466417" w:id="18"/>
      <w:r w:rsidRPr="00571D43">
        <w:rPr>
          <w:bCs/>
        </w:rPr>
        <w:t>20</w:t>
      </w:r>
      <w:r>
        <w:rPr>
          <w:bCs/>
        </w:rPr>
        <w:t>20</w:t>
      </w:r>
      <w:r w:rsidRPr="00571D43">
        <w:rPr>
          <w:bCs/>
        </w:rPr>
        <w:t xml:space="preserve"> National Employment and Wage Estimates reported by the Bureau</w:t>
      </w:r>
      <w:r>
        <w:rPr>
          <w:bCs/>
        </w:rPr>
        <w:t xml:space="preserve"> of Labor Statistics indicate an average hourly wage of $27.</w:t>
      </w:r>
      <w:bookmarkStart w:name="_Hlk64466448" w:id="19"/>
      <w:bookmarkEnd w:id="18"/>
      <w:r>
        <w:rPr>
          <w:bCs/>
        </w:rPr>
        <w:t>07 across the 50 U.S. states and the District of Columbia</w:t>
      </w:r>
      <w:bookmarkEnd w:id="19"/>
      <w:r>
        <w:rPr>
          <w:bCs/>
        </w:rPr>
        <w:t>. We have used the national average to estimate the wages of survey respondents.</w:t>
      </w:r>
    </w:p>
    <w:p w:rsidR="00CF19B1" w:rsidP="00CF19B1" w:rsidRDefault="00CF19B1" w14:paraId="58DF5E62" w14:textId="77777777">
      <w:pPr>
        <w:keepLines/>
        <w:rPr>
          <w:color w:val="000000"/>
          <w:highlight w:val="yellow"/>
        </w:rPr>
      </w:pPr>
    </w:p>
    <w:p w:rsidR="007B478D" w:rsidRDefault="007B478D" w14:paraId="5CD72EA9" w14:textId="77777777">
      <w:pPr>
        <w:rPr>
          <w:b/>
          <w:bCs/>
          <w:color w:val="000000"/>
        </w:rPr>
      </w:pPr>
      <w:r>
        <w:rPr>
          <w:b/>
          <w:bCs/>
          <w:color w:val="000000"/>
        </w:rPr>
        <w:br w:type="page"/>
      </w:r>
    </w:p>
    <w:p w:rsidRPr="005E4797" w:rsidR="00CF19B1" w:rsidP="00CF19B1" w:rsidRDefault="00CF19B1" w14:paraId="0C34A807" w14:textId="46F5C018">
      <w:pPr>
        <w:keepNext/>
        <w:rPr>
          <w:color w:val="000000"/>
        </w:rPr>
      </w:pPr>
      <w:r w:rsidRPr="00C760C0">
        <w:rPr>
          <w:b/>
          <w:bCs/>
          <w:color w:val="000000"/>
        </w:rPr>
        <w:lastRenderedPageBreak/>
        <w:t>Table 1. Estimated annualized burden hours and cost</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5"/>
        <w:gridCol w:w="1530"/>
        <w:gridCol w:w="1463"/>
        <w:gridCol w:w="1260"/>
        <w:gridCol w:w="990"/>
        <w:gridCol w:w="1080"/>
        <w:gridCol w:w="1260"/>
      </w:tblGrid>
      <w:tr w:rsidRPr="00571D43" w:rsidR="00CF19B1" w:rsidTr="00C27B43" w14:paraId="3ED6FE66" w14:textId="77777777">
        <w:trPr>
          <w:trHeight w:val="565"/>
        </w:trPr>
        <w:tc>
          <w:tcPr>
            <w:tcW w:w="1975" w:type="dxa"/>
            <w:vAlign w:val="center"/>
          </w:tcPr>
          <w:p w:rsidRPr="00571D43" w:rsidR="00CF19B1" w:rsidP="008D50F5" w:rsidRDefault="00CF19B1" w14:paraId="5B1EC086" w14:textId="77777777">
            <w:pPr>
              <w:pStyle w:val="Default"/>
              <w:jc w:val="center"/>
              <w:rPr>
                <w:b/>
              </w:rPr>
            </w:pPr>
            <w:r w:rsidRPr="00571D43">
              <w:rPr>
                <w:b/>
              </w:rPr>
              <w:t>Collection Task</w:t>
            </w:r>
          </w:p>
        </w:tc>
        <w:tc>
          <w:tcPr>
            <w:tcW w:w="1530" w:type="dxa"/>
            <w:vAlign w:val="center"/>
          </w:tcPr>
          <w:p w:rsidRPr="00571D43" w:rsidR="00CF19B1" w:rsidP="008D50F5" w:rsidRDefault="00CF19B1" w14:paraId="45CCC66C" w14:textId="77777777">
            <w:pPr>
              <w:pStyle w:val="Default"/>
              <w:jc w:val="center"/>
              <w:rPr>
                <w:b/>
              </w:rPr>
            </w:pPr>
            <w:r w:rsidRPr="00571D43">
              <w:rPr>
                <w:b/>
              </w:rPr>
              <w:t>Number of Respondents</w:t>
            </w:r>
          </w:p>
        </w:tc>
        <w:tc>
          <w:tcPr>
            <w:tcW w:w="1463" w:type="dxa"/>
            <w:vAlign w:val="center"/>
          </w:tcPr>
          <w:p w:rsidRPr="00571D43" w:rsidR="00CF19B1" w:rsidP="008D50F5" w:rsidRDefault="00CF19B1" w14:paraId="5BE4ECBB" w14:textId="77777777">
            <w:pPr>
              <w:pStyle w:val="Default"/>
              <w:jc w:val="center"/>
              <w:rPr>
                <w:b/>
              </w:rPr>
            </w:pPr>
            <w:r w:rsidRPr="00571D43">
              <w:rPr>
                <w:b/>
              </w:rPr>
              <w:t>Number of Responses per Respondent</w:t>
            </w:r>
          </w:p>
        </w:tc>
        <w:tc>
          <w:tcPr>
            <w:tcW w:w="1260" w:type="dxa"/>
            <w:vAlign w:val="center"/>
          </w:tcPr>
          <w:p w:rsidRPr="00571D43" w:rsidR="00CF19B1" w:rsidP="008D50F5" w:rsidRDefault="00CF19B1" w14:paraId="785AB76B" w14:textId="77777777">
            <w:pPr>
              <w:pStyle w:val="Default"/>
              <w:jc w:val="center"/>
              <w:rPr>
                <w:b/>
              </w:rPr>
            </w:pPr>
            <w:r w:rsidRPr="00571D43">
              <w:rPr>
                <w:b/>
              </w:rPr>
              <w:t>Hours per Response</w:t>
            </w:r>
          </w:p>
        </w:tc>
        <w:tc>
          <w:tcPr>
            <w:tcW w:w="990" w:type="dxa"/>
            <w:vAlign w:val="center"/>
          </w:tcPr>
          <w:p w:rsidRPr="00571D43" w:rsidR="00CF19B1" w:rsidP="008D50F5" w:rsidRDefault="00CF19B1" w14:paraId="4B3B7CE1" w14:textId="77777777">
            <w:pPr>
              <w:pStyle w:val="Default"/>
              <w:jc w:val="center"/>
              <w:rPr>
                <w:b/>
              </w:rPr>
            </w:pPr>
            <w:r w:rsidRPr="00571D43">
              <w:rPr>
                <w:b/>
              </w:rPr>
              <w:t>Total Burden hours</w:t>
            </w:r>
          </w:p>
        </w:tc>
        <w:tc>
          <w:tcPr>
            <w:tcW w:w="1080" w:type="dxa"/>
            <w:vAlign w:val="center"/>
          </w:tcPr>
          <w:p w:rsidRPr="00571D43" w:rsidR="00CF19B1" w:rsidP="008D50F5" w:rsidRDefault="00CF19B1" w14:paraId="4432AB11" w14:textId="77777777">
            <w:pPr>
              <w:pStyle w:val="Default"/>
              <w:jc w:val="center"/>
              <w:rPr>
                <w:b/>
              </w:rPr>
            </w:pPr>
            <w:r w:rsidRPr="00571D43">
              <w:rPr>
                <w:b/>
              </w:rPr>
              <w:t>Average Hourly Wage Rate*</w:t>
            </w:r>
          </w:p>
        </w:tc>
        <w:tc>
          <w:tcPr>
            <w:tcW w:w="1260" w:type="dxa"/>
            <w:vAlign w:val="center"/>
          </w:tcPr>
          <w:p w:rsidRPr="00571D43" w:rsidR="00CF19B1" w:rsidP="008D50F5" w:rsidRDefault="00CF19B1" w14:paraId="66D97128" w14:textId="77777777">
            <w:pPr>
              <w:pStyle w:val="Default"/>
              <w:jc w:val="center"/>
              <w:rPr>
                <w:b/>
              </w:rPr>
            </w:pPr>
            <w:r w:rsidRPr="00571D43">
              <w:rPr>
                <w:b/>
              </w:rPr>
              <w:t>Total Cost Burden</w:t>
            </w:r>
          </w:p>
        </w:tc>
      </w:tr>
      <w:tr w:rsidRPr="00571D43" w:rsidR="007B478D" w:rsidTr="00C27B43" w14:paraId="43974DA0" w14:textId="77777777">
        <w:trPr>
          <w:trHeight w:val="437"/>
        </w:trPr>
        <w:tc>
          <w:tcPr>
            <w:tcW w:w="1975" w:type="dxa"/>
          </w:tcPr>
          <w:p w:rsidR="007B478D" w:rsidP="007B478D" w:rsidRDefault="007B478D" w14:paraId="7426BA66" w14:textId="05AF4BBD">
            <w:pPr>
              <w:pStyle w:val="Default"/>
              <w:rPr>
                <w:sz w:val="23"/>
                <w:szCs w:val="23"/>
              </w:rPr>
            </w:pPr>
            <w:r>
              <w:rPr>
                <w:sz w:val="23"/>
                <w:szCs w:val="23"/>
              </w:rPr>
              <w:t>Study 1: Web recruitment screener (Att. 1.B)</w:t>
            </w:r>
          </w:p>
        </w:tc>
        <w:tc>
          <w:tcPr>
            <w:tcW w:w="1530" w:type="dxa"/>
            <w:vAlign w:val="center"/>
          </w:tcPr>
          <w:p w:rsidR="007B478D" w:rsidP="00C27B43" w:rsidRDefault="007B478D" w14:paraId="0CC9E29A" w14:textId="4821E6AE">
            <w:pPr>
              <w:pStyle w:val="Default"/>
              <w:jc w:val="center"/>
              <w:rPr>
                <w:sz w:val="23"/>
                <w:szCs w:val="23"/>
              </w:rPr>
            </w:pPr>
            <w:r>
              <w:rPr>
                <w:sz w:val="23"/>
                <w:szCs w:val="23"/>
              </w:rPr>
              <w:t>50</w:t>
            </w:r>
          </w:p>
        </w:tc>
        <w:tc>
          <w:tcPr>
            <w:tcW w:w="1463" w:type="dxa"/>
            <w:vAlign w:val="center"/>
          </w:tcPr>
          <w:p w:rsidR="007B478D" w:rsidP="00C27B43" w:rsidRDefault="007B478D" w14:paraId="3806F80D" w14:textId="7A28E428">
            <w:pPr>
              <w:pStyle w:val="Default"/>
              <w:jc w:val="center"/>
              <w:rPr>
                <w:sz w:val="23"/>
                <w:szCs w:val="23"/>
              </w:rPr>
            </w:pPr>
            <w:r>
              <w:rPr>
                <w:sz w:val="23"/>
                <w:szCs w:val="23"/>
              </w:rPr>
              <w:t>1</w:t>
            </w:r>
          </w:p>
        </w:tc>
        <w:tc>
          <w:tcPr>
            <w:tcW w:w="1260" w:type="dxa"/>
            <w:vAlign w:val="center"/>
          </w:tcPr>
          <w:p w:rsidR="007B478D" w:rsidP="00C27B43" w:rsidRDefault="007B478D" w14:paraId="7E66D6D9" w14:textId="72D91F70">
            <w:pPr>
              <w:pStyle w:val="Default"/>
              <w:jc w:val="center"/>
              <w:rPr>
                <w:sz w:val="23"/>
                <w:szCs w:val="23"/>
              </w:rPr>
            </w:pPr>
            <w:r>
              <w:rPr>
                <w:sz w:val="23"/>
                <w:szCs w:val="23"/>
              </w:rPr>
              <w:t>0.08</w:t>
            </w:r>
          </w:p>
        </w:tc>
        <w:tc>
          <w:tcPr>
            <w:tcW w:w="990" w:type="dxa"/>
            <w:vAlign w:val="center"/>
          </w:tcPr>
          <w:p w:rsidR="007B478D" w:rsidP="00C27B43" w:rsidRDefault="00D851C0" w14:paraId="4A4D31A7" w14:textId="592A529F">
            <w:pPr>
              <w:pStyle w:val="Default"/>
              <w:jc w:val="center"/>
              <w:rPr>
                <w:sz w:val="23"/>
                <w:szCs w:val="23"/>
              </w:rPr>
            </w:pPr>
            <w:r>
              <w:rPr>
                <w:sz w:val="23"/>
                <w:szCs w:val="23"/>
              </w:rPr>
              <w:t>4.0</w:t>
            </w:r>
          </w:p>
        </w:tc>
        <w:tc>
          <w:tcPr>
            <w:tcW w:w="1080" w:type="dxa"/>
            <w:vAlign w:val="center"/>
          </w:tcPr>
          <w:p w:rsidRPr="00BA0248" w:rsidR="007B478D" w:rsidP="00C27B43" w:rsidRDefault="007B478D" w14:paraId="0E76A006" w14:textId="70FC2FDF">
            <w:pPr>
              <w:jc w:val="center"/>
              <w:rPr>
                <w:sz w:val="23"/>
                <w:szCs w:val="23"/>
              </w:rPr>
            </w:pPr>
            <w:r>
              <w:rPr>
                <w:sz w:val="23"/>
                <w:szCs w:val="23"/>
              </w:rPr>
              <w:t>$27.07</w:t>
            </w:r>
          </w:p>
        </w:tc>
        <w:tc>
          <w:tcPr>
            <w:tcW w:w="1260" w:type="dxa"/>
            <w:vAlign w:val="center"/>
          </w:tcPr>
          <w:p w:rsidRPr="00C27B43" w:rsidR="007B478D" w:rsidP="00D851C0" w:rsidRDefault="007B478D" w14:paraId="77E5BD2D" w14:textId="4B01C38D">
            <w:pPr>
              <w:jc w:val="right"/>
              <w:rPr>
                <w:sz w:val="23"/>
                <w:szCs w:val="23"/>
              </w:rPr>
            </w:pPr>
            <w:r>
              <w:rPr>
                <w:sz w:val="23"/>
                <w:szCs w:val="23"/>
              </w:rPr>
              <w:t>$</w:t>
            </w:r>
            <w:r w:rsidR="00D851C0">
              <w:rPr>
                <w:sz w:val="23"/>
                <w:szCs w:val="23"/>
              </w:rPr>
              <w:t>108.28</w:t>
            </w:r>
          </w:p>
        </w:tc>
      </w:tr>
      <w:tr w:rsidRPr="00571D43" w:rsidR="007B478D" w:rsidTr="00561698" w14:paraId="49BFC4D9" w14:textId="77777777">
        <w:trPr>
          <w:trHeight w:val="437"/>
        </w:trPr>
        <w:tc>
          <w:tcPr>
            <w:tcW w:w="1975" w:type="dxa"/>
          </w:tcPr>
          <w:p w:rsidR="007B478D" w:rsidP="007B478D" w:rsidRDefault="007B478D" w14:paraId="4B4FBE66" w14:textId="436F64CC">
            <w:pPr>
              <w:pStyle w:val="Default"/>
              <w:rPr>
                <w:sz w:val="23"/>
                <w:szCs w:val="23"/>
              </w:rPr>
            </w:pPr>
            <w:r>
              <w:rPr>
                <w:sz w:val="23"/>
                <w:szCs w:val="23"/>
              </w:rPr>
              <w:t>Study 1: Phone recruitment script (Att. 1.C)</w:t>
            </w:r>
          </w:p>
        </w:tc>
        <w:tc>
          <w:tcPr>
            <w:tcW w:w="1530" w:type="dxa"/>
            <w:vAlign w:val="center"/>
          </w:tcPr>
          <w:p w:rsidR="007B478D" w:rsidP="00561698" w:rsidRDefault="007B478D" w14:paraId="4D482047" w14:textId="02E3B0CB">
            <w:pPr>
              <w:pStyle w:val="Default"/>
              <w:jc w:val="center"/>
              <w:rPr>
                <w:sz w:val="23"/>
                <w:szCs w:val="23"/>
              </w:rPr>
            </w:pPr>
            <w:r>
              <w:rPr>
                <w:sz w:val="23"/>
                <w:szCs w:val="23"/>
              </w:rPr>
              <w:t>35</w:t>
            </w:r>
          </w:p>
        </w:tc>
        <w:tc>
          <w:tcPr>
            <w:tcW w:w="1463" w:type="dxa"/>
            <w:vAlign w:val="center"/>
          </w:tcPr>
          <w:p w:rsidR="007B478D" w:rsidP="00561698" w:rsidRDefault="007B478D" w14:paraId="630B19BC" w14:textId="77777777">
            <w:pPr>
              <w:pStyle w:val="Default"/>
              <w:jc w:val="center"/>
              <w:rPr>
                <w:sz w:val="23"/>
                <w:szCs w:val="23"/>
              </w:rPr>
            </w:pPr>
            <w:r>
              <w:rPr>
                <w:sz w:val="23"/>
                <w:szCs w:val="23"/>
              </w:rPr>
              <w:t>1</w:t>
            </w:r>
          </w:p>
        </w:tc>
        <w:tc>
          <w:tcPr>
            <w:tcW w:w="1260" w:type="dxa"/>
            <w:vAlign w:val="center"/>
          </w:tcPr>
          <w:p w:rsidR="007B478D" w:rsidP="00561698" w:rsidRDefault="007B478D" w14:paraId="3BE72840" w14:textId="77777777">
            <w:pPr>
              <w:pStyle w:val="Default"/>
              <w:jc w:val="center"/>
              <w:rPr>
                <w:sz w:val="23"/>
                <w:szCs w:val="23"/>
              </w:rPr>
            </w:pPr>
            <w:r>
              <w:rPr>
                <w:sz w:val="23"/>
                <w:szCs w:val="23"/>
              </w:rPr>
              <w:t>0.08</w:t>
            </w:r>
          </w:p>
        </w:tc>
        <w:tc>
          <w:tcPr>
            <w:tcW w:w="990" w:type="dxa"/>
            <w:vAlign w:val="center"/>
          </w:tcPr>
          <w:p w:rsidR="007B478D" w:rsidP="00561698" w:rsidRDefault="007B478D" w14:paraId="2DFFE8C2" w14:textId="7BDB9DE7">
            <w:pPr>
              <w:pStyle w:val="Default"/>
              <w:jc w:val="center"/>
              <w:rPr>
                <w:sz w:val="23"/>
                <w:szCs w:val="23"/>
              </w:rPr>
            </w:pPr>
            <w:r>
              <w:rPr>
                <w:sz w:val="23"/>
                <w:szCs w:val="23"/>
              </w:rPr>
              <w:t>2.8</w:t>
            </w:r>
          </w:p>
        </w:tc>
        <w:tc>
          <w:tcPr>
            <w:tcW w:w="1080" w:type="dxa"/>
            <w:vAlign w:val="center"/>
          </w:tcPr>
          <w:p w:rsidRPr="00BA0248" w:rsidR="007B478D" w:rsidP="00561698" w:rsidRDefault="007B478D" w14:paraId="4D911538" w14:textId="77777777">
            <w:pPr>
              <w:jc w:val="center"/>
              <w:rPr>
                <w:sz w:val="23"/>
                <w:szCs w:val="23"/>
              </w:rPr>
            </w:pPr>
            <w:r>
              <w:rPr>
                <w:sz w:val="23"/>
                <w:szCs w:val="23"/>
              </w:rPr>
              <w:t>$27.07</w:t>
            </w:r>
          </w:p>
        </w:tc>
        <w:tc>
          <w:tcPr>
            <w:tcW w:w="1260" w:type="dxa"/>
            <w:vAlign w:val="center"/>
          </w:tcPr>
          <w:p w:rsidRPr="00C27B43" w:rsidR="007B478D" w:rsidP="007B478D" w:rsidRDefault="007B478D" w14:paraId="51E7EEC4" w14:textId="1B80519E">
            <w:pPr>
              <w:jc w:val="right"/>
              <w:rPr>
                <w:sz w:val="23"/>
                <w:szCs w:val="23"/>
              </w:rPr>
            </w:pPr>
            <w:r>
              <w:rPr>
                <w:sz w:val="23"/>
                <w:szCs w:val="23"/>
              </w:rPr>
              <w:t>$75.80</w:t>
            </w:r>
          </w:p>
        </w:tc>
      </w:tr>
      <w:tr w:rsidRPr="00571D43" w:rsidR="00C27B43" w:rsidTr="00C27B43" w14:paraId="4CF3FDA5" w14:textId="77777777">
        <w:trPr>
          <w:trHeight w:val="437"/>
        </w:trPr>
        <w:tc>
          <w:tcPr>
            <w:tcW w:w="1975" w:type="dxa"/>
          </w:tcPr>
          <w:p w:rsidR="00C27B43" w:rsidP="00C27B43" w:rsidRDefault="00C27B43" w14:paraId="28B56759" w14:textId="4DFA7449">
            <w:pPr>
              <w:pStyle w:val="Default"/>
              <w:rPr>
                <w:sz w:val="23"/>
                <w:szCs w:val="23"/>
              </w:rPr>
            </w:pPr>
            <w:r>
              <w:rPr>
                <w:sz w:val="23"/>
                <w:szCs w:val="23"/>
              </w:rPr>
              <w:t>Study 1: MCI</w:t>
            </w:r>
            <w:r w:rsidR="007E1BCD">
              <w:rPr>
                <w:sz w:val="23"/>
                <w:szCs w:val="23"/>
              </w:rPr>
              <w:t>-1</w:t>
            </w:r>
            <w:r>
              <w:rPr>
                <w:sz w:val="23"/>
                <w:szCs w:val="23"/>
              </w:rPr>
              <w:t xml:space="preserve"> </w:t>
            </w:r>
          </w:p>
          <w:p w:rsidRPr="00571D43" w:rsidR="00C27B43" w:rsidP="00D851C0" w:rsidRDefault="00C27B43" w14:paraId="58EA53FD" w14:textId="7E67E105">
            <w:pPr>
              <w:pStyle w:val="Default"/>
              <w:rPr>
                <w:sz w:val="23"/>
                <w:szCs w:val="23"/>
              </w:rPr>
            </w:pPr>
            <w:r>
              <w:rPr>
                <w:sz w:val="23"/>
                <w:szCs w:val="23"/>
              </w:rPr>
              <w:t>(Att. 1.F)</w:t>
            </w:r>
          </w:p>
        </w:tc>
        <w:tc>
          <w:tcPr>
            <w:tcW w:w="1530" w:type="dxa"/>
            <w:vAlign w:val="center"/>
          </w:tcPr>
          <w:p w:rsidRPr="00571D43" w:rsidR="00C27B43" w:rsidP="00C27B43" w:rsidRDefault="00C27B43" w14:paraId="30A4EEF2" w14:textId="77777777">
            <w:pPr>
              <w:pStyle w:val="Default"/>
              <w:jc w:val="center"/>
              <w:rPr>
                <w:sz w:val="23"/>
                <w:szCs w:val="23"/>
              </w:rPr>
            </w:pPr>
            <w:r>
              <w:rPr>
                <w:sz w:val="23"/>
                <w:szCs w:val="23"/>
              </w:rPr>
              <w:t>25</w:t>
            </w:r>
          </w:p>
        </w:tc>
        <w:tc>
          <w:tcPr>
            <w:tcW w:w="1463" w:type="dxa"/>
            <w:vAlign w:val="center"/>
          </w:tcPr>
          <w:p w:rsidRPr="00571D43" w:rsidR="00C27B43" w:rsidP="00C27B43" w:rsidRDefault="00D851C0" w14:paraId="426F922E" w14:textId="5B009755">
            <w:pPr>
              <w:pStyle w:val="Default"/>
              <w:jc w:val="center"/>
              <w:rPr>
                <w:sz w:val="23"/>
                <w:szCs w:val="23"/>
              </w:rPr>
            </w:pPr>
            <w:r>
              <w:rPr>
                <w:sz w:val="23"/>
                <w:szCs w:val="23"/>
              </w:rPr>
              <w:t>1</w:t>
            </w:r>
          </w:p>
        </w:tc>
        <w:tc>
          <w:tcPr>
            <w:tcW w:w="1260" w:type="dxa"/>
            <w:vAlign w:val="center"/>
          </w:tcPr>
          <w:p w:rsidR="00C27B43" w:rsidP="00C27B43" w:rsidRDefault="00C27B43" w14:paraId="4D47C780" w14:textId="77777777">
            <w:pPr>
              <w:pStyle w:val="Default"/>
              <w:jc w:val="center"/>
              <w:rPr>
                <w:sz w:val="23"/>
                <w:szCs w:val="23"/>
              </w:rPr>
            </w:pPr>
            <w:r>
              <w:rPr>
                <w:sz w:val="23"/>
                <w:szCs w:val="23"/>
              </w:rPr>
              <w:t>0.5</w:t>
            </w:r>
          </w:p>
        </w:tc>
        <w:tc>
          <w:tcPr>
            <w:tcW w:w="990" w:type="dxa"/>
            <w:vAlign w:val="center"/>
          </w:tcPr>
          <w:p w:rsidRPr="00571D43" w:rsidR="00C27B43" w:rsidP="00C27B43" w:rsidRDefault="00D851C0" w14:paraId="55BD5CB4" w14:textId="5BEDCE13">
            <w:pPr>
              <w:pStyle w:val="Default"/>
              <w:jc w:val="center"/>
              <w:rPr>
                <w:sz w:val="23"/>
                <w:szCs w:val="23"/>
              </w:rPr>
            </w:pPr>
            <w:r>
              <w:rPr>
                <w:sz w:val="23"/>
                <w:szCs w:val="23"/>
              </w:rPr>
              <w:t>12.5</w:t>
            </w:r>
          </w:p>
        </w:tc>
        <w:tc>
          <w:tcPr>
            <w:tcW w:w="1080" w:type="dxa"/>
            <w:vAlign w:val="center"/>
          </w:tcPr>
          <w:p w:rsidR="00C27B43" w:rsidP="00C27B43" w:rsidRDefault="00C27B43" w14:paraId="5C9A521C" w14:textId="77777777">
            <w:pPr>
              <w:jc w:val="center"/>
            </w:pPr>
            <w:r w:rsidRPr="00BA0248">
              <w:rPr>
                <w:sz w:val="23"/>
                <w:szCs w:val="23"/>
              </w:rPr>
              <w:t>$27.07</w:t>
            </w:r>
          </w:p>
        </w:tc>
        <w:tc>
          <w:tcPr>
            <w:tcW w:w="1260" w:type="dxa"/>
            <w:vAlign w:val="center"/>
          </w:tcPr>
          <w:p w:rsidRPr="00C27B43" w:rsidR="00C27B43" w:rsidP="00D851C0" w:rsidRDefault="00C27B43" w14:paraId="274CEB84" w14:textId="29EB3CF8">
            <w:pPr>
              <w:jc w:val="right"/>
              <w:rPr>
                <w:sz w:val="23"/>
                <w:szCs w:val="23"/>
              </w:rPr>
            </w:pPr>
            <w:r w:rsidRPr="00C27B43">
              <w:rPr>
                <w:sz w:val="23"/>
                <w:szCs w:val="23"/>
              </w:rPr>
              <w:t>$</w:t>
            </w:r>
            <w:r w:rsidR="00D851C0">
              <w:rPr>
                <w:sz w:val="23"/>
                <w:szCs w:val="23"/>
              </w:rPr>
              <w:t>338.38</w:t>
            </w:r>
            <w:r w:rsidRPr="00C27B43">
              <w:rPr>
                <w:sz w:val="23"/>
                <w:szCs w:val="23"/>
              </w:rPr>
              <w:t xml:space="preserve"> </w:t>
            </w:r>
          </w:p>
        </w:tc>
      </w:tr>
      <w:tr w:rsidRPr="00571D43" w:rsidR="00D851C0" w:rsidTr="00561698" w14:paraId="70955484" w14:textId="77777777">
        <w:trPr>
          <w:trHeight w:val="437"/>
        </w:trPr>
        <w:tc>
          <w:tcPr>
            <w:tcW w:w="1975" w:type="dxa"/>
          </w:tcPr>
          <w:p w:rsidR="00D851C0" w:rsidP="00D851C0" w:rsidRDefault="00D851C0" w14:paraId="0F253159" w14:textId="7249AC0F">
            <w:pPr>
              <w:pStyle w:val="Default"/>
              <w:rPr>
                <w:sz w:val="23"/>
                <w:szCs w:val="23"/>
              </w:rPr>
            </w:pPr>
            <w:r>
              <w:rPr>
                <w:sz w:val="23"/>
                <w:szCs w:val="23"/>
              </w:rPr>
              <w:t xml:space="preserve">Study 1: MCI-2 </w:t>
            </w:r>
          </w:p>
          <w:p w:rsidRPr="00571D43" w:rsidR="00D851C0" w:rsidP="00D851C0" w:rsidRDefault="00D851C0" w14:paraId="20E2E6FF" w14:textId="586EBC9C">
            <w:pPr>
              <w:pStyle w:val="Default"/>
              <w:rPr>
                <w:sz w:val="23"/>
                <w:szCs w:val="23"/>
              </w:rPr>
            </w:pPr>
            <w:r>
              <w:rPr>
                <w:sz w:val="23"/>
                <w:szCs w:val="23"/>
              </w:rPr>
              <w:t>(Att. 1.G)</w:t>
            </w:r>
          </w:p>
        </w:tc>
        <w:tc>
          <w:tcPr>
            <w:tcW w:w="1530" w:type="dxa"/>
            <w:vAlign w:val="center"/>
          </w:tcPr>
          <w:p w:rsidRPr="00571D43" w:rsidR="00D851C0" w:rsidP="00D851C0" w:rsidRDefault="00D851C0" w14:paraId="3BC478F0" w14:textId="77777777">
            <w:pPr>
              <w:pStyle w:val="Default"/>
              <w:jc w:val="center"/>
              <w:rPr>
                <w:sz w:val="23"/>
                <w:szCs w:val="23"/>
              </w:rPr>
            </w:pPr>
            <w:r>
              <w:rPr>
                <w:sz w:val="23"/>
                <w:szCs w:val="23"/>
              </w:rPr>
              <w:t>25</w:t>
            </w:r>
          </w:p>
        </w:tc>
        <w:tc>
          <w:tcPr>
            <w:tcW w:w="1463" w:type="dxa"/>
            <w:vAlign w:val="center"/>
          </w:tcPr>
          <w:p w:rsidRPr="00571D43" w:rsidR="00D851C0" w:rsidP="00D851C0" w:rsidRDefault="00D851C0" w14:paraId="7B6060C8" w14:textId="77777777">
            <w:pPr>
              <w:pStyle w:val="Default"/>
              <w:jc w:val="center"/>
              <w:rPr>
                <w:sz w:val="23"/>
                <w:szCs w:val="23"/>
              </w:rPr>
            </w:pPr>
            <w:r>
              <w:rPr>
                <w:sz w:val="23"/>
                <w:szCs w:val="23"/>
              </w:rPr>
              <w:t>1</w:t>
            </w:r>
          </w:p>
        </w:tc>
        <w:tc>
          <w:tcPr>
            <w:tcW w:w="1260" w:type="dxa"/>
            <w:vAlign w:val="center"/>
          </w:tcPr>
          <w:p w:rsidR="00D851C0" w:rsidP="00D851C0" w:rsidRDefault="00D851C0" w14:paraId="3B6DD171" w14:textId="77777777">
            <w:pPr>
              <w:pStyle w:val="Default"/>
              <w:jc w:val="center"/>
              <w:rPr>
                <w:sz w:val="23"/>
                <w:szCs w:val="23"/>
              </w:rPr>
            </w:pPr>
            <w:r>
              <w:rPr>
                <w:sz w:val="23"/>
                <w:szCs w:val="23"/>
              </w:rPr>
              <w:t>0.5</w:t>
            </w:r>
          </w:p>
        </w:tc>
        <w:tc>
          <w:tcPr>
            <w:tcW w:w="990" w:type="dxa"/>
            <w:vAlign w:val="center"/>
          </w:tcPr>
          <w:p w:rsidRPr="00571D43" w:rsidR="00D851C0" w:rsidP="00D851C0" w:rsidRDefault="00D851C0" w14:paraId="7F08AE65" w14:textId="77257199">
            <w:pPr>
              <w:pStyle w:val="Default"/>
              <w:jc w:val="center"/>
              <w:rPr>
                <w:sz w:val="23"/>
                <w:szCs w:val="23"/>
              </w:rPr>
            </w:pPr>
            <w:r>
              <w:rPr>
                <w:sz w:val="23"/>
                <w:szCs w:val="23"/>
              </w:rPr>
              <w:t>12.5</w:t>
            </w:r>
          </w:p>
        </w:tc>
        <w:tc>
          <w:tcPr>
            <w:tcW w:w="1080" w:type="dxa"/>
            <w:vAlign w:val="center"/>
          </w:tcPr>
          <w:p w:rsidR="00D851C0" w:rsidP="00D851C0" w:rsidRDefault="00D851C0" w14:paraId="0B174A70" w14:textId="77777777">
            <w:pPr>
              <w:jc w:val="center"/>
            </w:pPr>
            <w:r w:rsidRPr="00BA0248">
              <w:rPr>
                <w:sz w:val="23"/>
                <w:szCs w:val="23"/>
              </w:rPr>
              <w:t>$27.07</w:t>
            </w:r>
          </w:p>
        </w:tc>
        <w:tc>
          <w:tcPr>
            <w:tcW w:w="1260" w:type="dxa"/>
            <w:vAlign w:val="center"/>
          </w:tcPr>
          <w:p w:rsidRPr="00C27B43" w:rsidR="00D851C0" w:rsidP="00D851C0" w:rsidRDefault="00D851C0" w14:paraId="178F53FA" w14:textId="2BF6D9AA">
            <w:pPr>
              <w:jc w:val="right"/>
              <w:rPr>
                <w:sz w:val="23"/>
                <w:szCs w:val="23"/>
              </w:rPr>
            </w:pPr>
            <w:r w:rsidRPr="00C27B43">
              <w:rPr>
                <w:sz w:val="23"/>
                <w:szCs w:val="23"/>
              </w:rPr>
              <w:t>$</w:t>
            </w:r>
            <w:r>
              <w:rPr>
                <w:sz w:val="23"/>
                <w:szCs w:val="23"/>
              </w:rPr>
              <w:t>338.38</w:t>
            </w:r>
            <w:r w:rsidRPr="00C27B43">
              <w:rPr>
                <w:sz w:val="23"/>
                <w:szCs w:val="23"/>
              </w:rPr>
              <w:t xml:space="preserve"> </w:t>
            </w:r>
          </w:p>
        </w:tc>
      </w:tr>
      <w:tr w:rsidRPr="00571D43" w:rsidR="00C27B43" w:rsidTr="00C27B43" w14:paraId="107FE660" w14:textId="77777777">
        <w:trPr>
          <w:trHeight w:val="437"/>
        </w:trPr>
        <w:tc>
          <w:tcPr>
            <w:tcW w:w="1975" w:type="dxa"/>
          </w:tcPr>
          <w:p w:rsidR="00C27B43" w:rsidP="00C27B43" w:rsidRDefault="00C27B43" w14:paraId="2BC4B48C" w14:textId="77777777">
            <w:pPr>
              <w:pStyle w:val="Default"/>
              <w:rPr>
                <w:sz w:val="23"/>
                <w:szCs w:val="23"/>
              </w:rPr>
            </w:pPr>
            <w:r>
              <w:rPr>
                <w:sz w:val="23"/>
                <w:szCs w:val="23"/>
              </w:rPr>
              <w:t xml:space="preserve">Study 1: Final interview </w:t>
            </w:r>
          </w:p>
          <w:p w:rsidR="00C27B43" w:rsidP="00C27B43" w:rsidRDefault="00C27B43" w14:paraId="475682D9" w14:textId="36711879">
            <w:pPr>
              <w:pStyle w:val="Default"/>
              <w:rPr>
                <w:sz w:val="23"/>
                <w:szCs w:val="23"/>
              </w:rPr>
            </w:pPr>
            <w:r>
              <w:rPr>
                <w:sz w:val="23"/>
                <w:szCs w:val="23"/>
              </w:rPr>
              <w:t>(Att. 1.H, 1.I)</w:t>
            </w:r>
          </w:p>
        </w:tc>
        <w:tc>
          <w:tcPr>
            <w:tcW w:w="1530" w:type="dxa"/>
            <w:vAlign w:val="center"/>
          </w:tcPr>
          <w:p w:rsidR="00C27B43" w:rsidP="00C27B43" w:rsidRDefault="00D851C0" w14:paraId="5CE6ABDA" w14:textId="55A9F9FE">
            <w:pPr>
              <w:pStyle w:val="Default"/>
              <w:jc w:val="center"/>
              <w:rPr>
                <w:sz w:val="23"/>
                <w:szCs w:val="23"/>
              </w:rPr>
            </w:pPr>
            <w:r>
              <w:rPr>
                <w:sz w:val="23"/>
                <w:szCs w:val="23"/>
              </w:rPr>
              <w:t>25</w:t>
            </w:r>
          </w:p>
        </w:tc>
        <w:tc>
          <w:tcPr>
            <w:tcW w:w="1463" w:type="dxa"/>
            <w:vAlign w:val="center"/>
          </w:tcPr>
          <w:p w:rsidRPr="00571D43" w:rsidR="00C27B43" w:rsidP="00C27B43" w:rsidRDefault="00C27B43" w14:paraId="185BAF0D" w14:textId="77777777">
            <w:pPr>
              <w:pStyle w:val="Default"/>
              <w:jc w:val="center"/>
              <w:rPr>
                <w:sz w:val="23"/>
                <w:szCs w:val="23"/>
              </w:rPr>
            </w:pPr>
            <w:r>
              <w:rPr>
                <w:sz w:val="23"/>
                <w:szCs w:val="23"/>
              </w:rPr>
              <w:t>1</w:t>
            </w:r>
          </w:p>
        </w:tc>
        <w:tc>
          <w:tcPr>
            <w:tcW w:w="1260" w:type="dxa"/>
            <w:vAlign w:val="center"/>
          </w:tcPr>
          <w:p w:rsidR="00C27B43" w:rsidP="00C27B43" w:rsidRDefault="00C27B43" w14:paraId="10574BEF" w14:textId="77777777">
            <w:pPr>
              <w:pStyle w:val="Default"/>
              <w:jc w:val="center"/>
              <w:rPr>
                <w:sz w:val="23"/>
                <w:szCs w:val="23"/>
              </w:rPr>
            </w:pPr>
            <w:r>
              <w:rPr>
                <w:sz w:val="23"/>
                <w:szCs w:val="23"/>
              </w:rPr>
              <w:t>1.5</w:t>
            </w:r>
          </w:p>
        </w:tc>
        <w:tc>
          <w:tcPr>
            <w:tcW w:w="990" w:type="dxa"/>
            <w:vAlign w:val="center"/>
          </w:tcPr>
          <w:p w:rsidRPr="00571D43" w:rsidR="00C27B43" w:rsidP="00C27B43" w:rsidRDefault="00C27B43" w14:paraId="0008CADF" w14:textId="1305F9BE">
            <w:pPr>
              <w:pStyle w:val="Default"/>
              <w:jc w:val="center"/>
              <w:rPr>
                <w:sz w:val="23"/>
                <w:szCs w:val="23"/>
              </w:rPr>
            </w:pPr>
            <w:r>
              <w:rPr>
                <w:sz w:val="23"/>
                <w:szCs w:val="23"/>
              </w:rPr>
              <w:t>37.5</w:t>
            </w:r>
          </w:p>
        </w:tc>
        <w:tc>
          <w:tcPr>
            <w:tcW w:w="1080" w:type="dxa"/>
            <w:vAlign w:val="center"/>
          </w:tcPr>
          <w:p w:rsidR="00C27B43" w:rsidP="00C27B43" w:rsidRDefault="00C27B43" w14:paraId="6C5B8595" w14:textId="77777777">
            <w:pPr>
              <w:jc w:val="center"/>
            </w:pPr>
            <w:r w:rsidRPr="00BA0248">
              <w:rPr>
                <w:sz w:val="23"/>
                <w:szCs w:val="23"/>
              </w:rPr>
              <w:t>$27.07</w:t>
            </w:r>
          </w:p>
        </w:tc>
        <w:tc>
          <w:tcPr>
            <w:tcW w:w="1260" w:type="dxa"/>
            <w:vAlign w:val="center"/>
          </w:tcPr>
          <w:p w:rsidRPr="00C27B43" w:rsidR="00C27B43" w:rsidP="00C27B43" w:rsidRDefault="00C27B43" w14:paraId="0E20844B" w14:textId="6D5F3E18">
            <w:pPr>
              <w:jc w:val="right"/>
              <w:rPr>
                <w:sz w:val="23"/>
                <w:szCs w:val="23"/>
              </w:rPr>
            </w:pPr>
            <w:r w:rsidRPr="00C27B43">
              <w:rPr>
                <w:sz w:val="23"/>
                <w:szCs w:val="23"/>
              </w:rPr>
              <w:t xml:space="preserve">$1,015.13 </w:t>
            </w:r>
          </w:p>
        </w:tc>
      </w:tr>
      <w:tr w:rsidRPr="00571D43" w:rsidR="007B478D" w:rsidTr="00C27B43" w14:paraId="764F00B8" w14:textId="77777777">
        <w:trPr>
          <w:trHeight w:val="437"/>
        </w:trPr>
        <w:tc>
          <w:tcPr>
            <w:tcW w:w="1975" w:type="dxa"/>
          </w:tcPr>
          <w:p w:rsidR="00994828" w:rsidP="00C27B43" w:rsidRDefault="007B478D" w14:paraId="6E3F42DA" w14:textId="77777777">
            <w:pPr>
              <w:pStyle w:val="Default"/>
              <w:rPr>
                <w:sz w:val="23"/>
                <w:szCs w:val="23"/>
              </w:rPr>
            </w:pPr>
            <w:r>
              <w:rPr>
                <w:sz w:val="23"/>
                <w:szCs w:val="23"/>
              </w:rPr>
              <w:t>Study 2: Phone Recruitment</w:t>
            </w:r>
            <w:r w:rsidR="00994828">
              <w:rPr>
                <w:sz w:val="23"/>
                <w:szCs w:val="23"/>
              </w:rPr>
              <w:t xml:space="preserve"> </w:t>
            </w:r>
          </w:p>
          <w:p w:rsidR="007B478D" w:rsidP="00C27B43" w:rsidRDefault="00994828" w14:paraId="527F1422" w14:textId="45306FD6">
            <w:pPr>
              <w:pStyle w:val="Default"/>
              <w:rPr>
                <w:sz w:val="23"/>
                <w:szCs w:val="23"/>
              </w:rPr>
            </w:pPr>
            <w:r>
              <w:rPr>
                <w:sz w:val="23"/>
                <w:szCs w:val="23"/>
              </w:rPr>
              <w:t>(Att. 2.B)</w:t>
            </w:r>
          </w:p>
        </w:tc>
        <w:tc>
          <w:tcPr>
            <w:tcW w:w="1530" w:type="dxa"/>
            <w:vAlign w:val="center"/>
          </w:tcPr>
          <w:p w:rsidR="007B478D" w:rsidP="00C27B43" w:rsidRDefault="007B478D" w14:paraId="70344CF7" w14:textId="1DA39939">
            <w:pPr>
              <w:pStyle w:val="Default"/>
              <w:jc w:val="center"/>
              <w:rPr>
                <w:sz w:val="23"/>
                <w:szCs w:val="23"/>
              </w:rPr>
            </w:pPr>
            <w:r>
              <w:rPr>
                <w:sz w:val="23"/>
                <w:szCs w:val="23"/>
              </w:rPr>
              <w:t>15</w:t>
            </w:r>
          </w:p>
        </w:tc>
        <w:tc>
          <w:tcPr>
            <w:tcW w:w="1463" w:type="dxa"/>
            <w:vAlign w:val="center"/>
          </w:tcPr>
          <w:p w:rsidR="007B478D" w:rsidP="00C27B43" w:rsidRDefault="007B478D" w14:paraId="2179A029" w14:textId="6E16E28F">
            <w:pPr>
              <w:pStyle w:val="Default"/>
              <w:jc w:val="center"/>
              <w:rPr>
                <w:sz w:val="23"/>
                <w:szCs w:val="23"/>
              </w:rPr>
            </w:pPr>
            <w:r>
              <w:rPr>
                <w:sz w:val="23"/>
                <w:szCs w:val="23"/>
              </w:rPr>
              <w:t>1</w:t>
            </w:r>
          </w:p>
        </w:tc>
        <w:tc>
          <w:tcPr>
            <w:tcW w:w="1260" w:type="dxa"/>
            <w:vAlign w:val="center"/>
          </w:tcPr>
          <w:p w:rsidR="007B478D" w:rsidP="00C27B43" w:rsidRDefault="007B478D" w14:paraId="52020542" w14:textId="5773BB6B">
            <w:pPr>
              <w:pStyle w:val="Default"/>
              <w:jc w:val="center"/>
              <w:rPr>
                <w:sz w:val="23"/>
                <w:szCs w:val="23"/>
              </w:rPr>
            </w:pPr>
            <w:r>
              <w:rPr>
                <w:sz w:val="23"/>
                <w:szCs w:val="23"/>
              </w:rPr>
              <w:t>0.08</w:t>
            </w:r>
          </w:p>
        </w:tc>
        <w:tc>
          <w:tcPr>
            <w:tcW w:w="990" w:type="dxa"/>
            <w:vAlign w:val="center"/>
          </w:tcPr>
          <w:p w:rsidR="007B478D" w:rsidP="00C27B43" w:rsidRDefault="007B478D" w14:paraId="32908FF1" w14:textId="7920D7EF">
            <w:pPr>
              <w:pStyle w:val="Default"/>
              <w:jc w:val="center"/>
              <w:rPr>
                <w:sz w:val="23"/>
                <w:szCs w:val="23"/>
              </w:rPr>
            </w:pPr>
            <w:r>
              <w:rPr>
                <w:sz w:val="23"/>
                <w:szCs w:val="23"/>
              </w:rPr>
              <w:t>1.2</w:t>
            </w:r>
          </w:p>
        </w:tc>
        <w:tc>
          <w:tcPr>
            <w:tcW w:w="1080" w:type="dxa"/>
            <w:vAlign w:val="center"/>
          </w:tcPr>
          <w:p w:rsidRPr="00BA0248" w:rsidR="007B478D" w:rsidP="00C27B43" w:rsidRDefault="007B478D" w14:paraId="6EEED7A8" w14:textId="7D618483">
            <w:pPr>
              <w:jc w:val="center"/>
              <w:rPr>
                <w:sz w:val="23"/>
                <w:szCs w:val="23"/>
              </w:rPr>
            </w:pPr>
            <w:r>
              <w:rPr>
                <w:sz w:val="23"/>
                <w:szCs w:val="23"/>
              </w:rPr>
              <w:t>$27.07</w:t>
            </w:r>
          </w:p>
        </w:tc>
        <w:tc>
          <w:tcPr>
            <w:tcW w:w="1260" w:type="dxa"/>
            <w:vAlign w:val="center"/>
          </w:tcPr>
          <w:p w:rsidRPr="00C27B43" w:rsidR="007B478D" w:rsidP="00C27B43" w:rsidRDefault="007B478D" w14:paraId="5BD43054" w14:textId="091B0837">
            <w:pPr>
              <w:jc w:val="right"/>
              <w:rPr>
                <w:sz w:val="23"/>
                <w:szCs w:val="23"/>
              </w:rPr>
            </w:pPr>
            <w:r>
              <w:rPr>
                <w:sz w:val="23"/>
                <w:szCs w:val="23"/>
              </w:rPr>
              <w:t>$32.48</w:t>
            </w:r>
          </w:p>
        </w:tc>
      </w:tr>
      <w:tr w:rsidRPr="00571D43" w:rsidR="00D851C0" w:rsidTr="00C27B43" w14:paraId="2490F6D8" w14:textId="77777777">
        <w:trPr>
          <w:trHeight w:val="437"/>
        </w:trPr>
        <w:tc>
          <w:tcPr>
            <w:tcW w:w="1975" w:type="dxa"/>
          </w:tcPr>
          <w:p w:rsidR="00D851C0" w:rsidP="00C27B43" w:rsidRDefault="00D851C0" w14:paraId="61F7D7EA" w14:textId="77777777">
            <w:pPr>
              <w:pStyle w:val="Default"/>
              <w:rPr>
                <w:sz w:val="23"/>
                <w:szCs w:val="23"/>
              </w:rPr>
            </w:pPr>
            <w:r>
              <w:rPr>
                <w:sz w:val="23"/>
                <w:szCs w:val="23"/>
              </w:rPr>
              <w:t xml:space="preserve">Study 2: MCI </w:t>
            </w:r>
          </w:p>
          <w:p w:rsidRPr="00571D43" w:rsidR="00D851C0" w:rsidP="00C27B43" w:rsidRDefault="00D851C0" w14:paraId="15B59C09" w14:textId="37B97CDC">
            <w:pPr>
              <w:pStyle w:val="Default"/>
              <w:rPr>
                <w:sz w:val="23"/>
                <w:szCs w:val="23"/>
              </w:rPr>
            </w:pPr>
            <w:r>
              <w:rPr>
                <w:sz w:val="23"/>
                <w:szCs w:val="23"/>
              </w:rPr>
              <w:t>(Att. 2.E)</w:t>
            </w:r>
          </w:p>
        </w:tc>
        <w:tc>
          <w:tcPr>
            <w:tcW w:w="1530" w:type="dxa"/>
            <w:vAlign w:val="center"/>
          </w:tcPr>
          <w:p w:rsidRPr="00571D43" w:rsidR="00D851C0" w:rsidP="00C27B43" w:rsidRDefault="00D851C0" w14:paraId="732FD0B8" w14:textId="77777777">
            <w:pPr>
              <w:pStyle w:val="Default"/>
              <w:jc w:val="center"/>
              <w:rPr>
                <w:sz w:val="23"/>
                <w:szCs w:val="23"/>
              </w:rPr>
            </w:pPr>
            <w:r>
              <w:rPr>
                <w:sz w:val="23"/>
                <w:szCs w:val="23"/>
              </w:rPr>
              <w:t>10</w:t>
            </w:r>
          </w:p>
        </w:tc>
        <w:tc>
          <w:tcPr>
            <w:tcW w:w="1463" w:type="dxa"/>
            <w:vAlign w:val="center"/>
          </w:tcPr>
          <w:p w:rsidRPr="00571D43" w:rsidR="00D851C0" w:rsidP="00C27B43" w:rsidRDefault="00D851C0" w14:paraId="0C671FAE" w14:textId="77777777">
            <w:pPr>
              <w:pStyle w:val="Default"/>
              <w:jc w:val="center"/>
              <w:rPr>
                <w:sz w:val="23"/>
                <w:szCs w:val="23"/>
              </w:rPr>
            </w:pPr>
            <w:r>
              <w:rPr>
                <w:sz w:val="23"/>
                <w:szCs w:val="23"/>
              </w:rPr>
              <w:t>1</w:t>
            </w:r>
          </w:p>
        </w:tc>
        <w:tc>
          <w:tcPr>
            <w:tcW w:w="1260" w:type="dxa"/>
            <w:vAlign w:val="center"/>
          </w:tcPr>
          <w:p w:rsidR="00D851C0" w:rsidP="00C27B43" w:rsidRDefault="00D851C0" w14:paraId="6B36FB00" w14:textId="77777777">
            <w:pPr>
              <w:pStyle w:val="Default"/>
              <w:jc w:val="center"/>
              <w:rPr>
                <w:sz w:val="23"/>
                <w:szCs w:val="23"/>
              </w:rPr>
            </w:pPr>
            <w:r>
              <w:rPr>
                <w:sz w:val="23"/>
                <w:szCs w:val="23"/>
              </w:rPr>
              <w:t>0.5</w:t>
            </w:r>
          </w:p>
        </w:tc>
        <w:tc>
          <w:tcPr>
            <w:tcW w:w="990" w:type="dxa"/>
            <w:vAlign w:val="center"/>
          </w:tcPr>
          <w:p w:rsidRPr="00571D43" w:rsidR="00D851C0" w:rsidP="00C27B43" w:rsidRDefault="00D851C0" w14:paraId="37480FF5" w14:textId="77777777">
            <w:pPr>
              <w:pStyle w:val="Default"/>
              <w:jc w:val="center"/>
              <w:rPr>
                <w:sz w:val="23"/>
                <w:szCs w:val="23"/>
              </w:rPr>
            </w:pPr>
            <w:r>
              <w:rPr>
                <w:sz w:val="23"/>
                <w:szCs w:val="23"/>
              </w:rPr>
              <w:t>5</w:t>
            </w:r>
          </w:p>
        </w:tc>
        <w:tc>
          <w:tcPr>
            <w:tcW w:w="1080" w:type="dxa"/>
            <w:vAlign w:val="center"/>
          </w:tcPr>
          <w:p w:rsidR="00D851C0" w:rsidP="00C27B43" w:rsidRDefault="00D851C0" w14:paraId="629905A4" w14:textId="77777777">
            <w:pPr>
              <w:jc w:val="center"/>
            </w:pPr>
            <w:r w:rsidRPr="00BA0248">
              <w:rPr>
                <w:sz w:val="23"/>
                <w:szCs w:val="23"/>
              </w:rPr>
              <w:t>$27.07</w:t>
            </w:r>
          </w:p>
        </w:tc>
        <w:tc>
          <w:tcPr>
            <w:tcW w:w="1260" w:type="dxa"/>
            <w:vAlign w:val="center"/>
          </w:tcPr>
          <w:p w:rsidRPr="00C27B43" w:rsidR="00D851C0" w:rsidP="00C27B43" w:rsidRDefault="00D851C0" w14:paraId="237A440A" w14:textId="551C461B">
            <w:pPr>
              <w:jc w:val="right"/>
              <w:rPr>
                <w:sz w:val="23"/>
                <w:szCs w:val="23"/>
              </w:rPr>
            </w:pPr>
            <w:r w:rsidRPr="00C27B43">
              <w:rPr>
                <w:sz w:val="23"/>
                <w:szCs w:val="23"/>
              </w:rPr>
              <w:t xml:space="preserve">$135.35 </w:t>
            </w:r>
          </w:p>
        </w:tc>
      </w:tr>
      <w:tr w:rsidRPr="00571D43" w:rsidR="00D851C0" w:rsidTr="00C27B43" w14:paraId="765DED50" w14:textId="77777777">
        <w:trPr>
          <w:trHeight w:val="437"/>
        </w:trPr>
        <w:tc>
          <w:tcPr>
            <w:tcW w:w="1975" w:type="dxa"/>
          </w:tcPr>
          <w:p w:rsidR="00D851C0" w:rsidP="00C27B43" w:rsidRDefault="00D851C0" w14:paraId="685A93AF" w14:textId="41C4E437">
            <w:pPr>
              <w:pStyle w:val="Default"/>
              <w:rPr>
                <w:sz w:val="23"/>
                <w:szCs w:val="23"/>
              </w:rPr>
            </w:pPr>
            <w:r>
              <w:rPr>
                <w:sz w:val="23"/>
                <w:szCs w:val="23"/>
              </w:rPr>
              <w:t>Study 2: Focus group (Att. 2.F)</w:t>
            </w:r>
          </w:p>
        </w:tc>
        <w:tc>
          <w:tcPr>
            <w:tcW w:w="1530" w:type="dxa"/>
            <w:vAlign w:val="center"/>
          </w:tcPr>
          <w:p w:rsidR="00D851C0" w:rsidP="00C27B43" w:rsidRDefault="00D851C0" w14:paraId="75E08AE5" w14:textId="30D7E0DA">
            <w:pPr>
              <w:pStyle w:val="Default"/>
              <w:jc w:val="center"/>
              <w:rPr>
                <w:sz w:val="23"/>
                <w:szCs w:val="23"/>
              </w:rPr>
            </w:pPr>
            <w:r>
              <w:rPr>
                <w:sz w:val="23"/>
                <w:szCs w:val="23"/>
              </w:rPr>
              <w:t>10</w:t>
            </w:r>
          </w:p>
        </w:tc>
        <w:tc>
          <w:tcPr>
            <w:tcW w:w="1463" w:type="dxa"/>
            <w:vAlign w:val="center"/>
          </w:tcPr>
          <w:p w:rsidRPr="00571D43" w:rsidR="00D851C0" w:rsidP="00C27B43" w:rsidRDefault="00D851C0" w14:paraId="423D69BA" w14:textId="77777777">
            <w:pPr>
              <w:pStyle w:val="Default"/>
              <w:jc w:val="center"/>
              <w:rPr>
                <w:sz w:val="23"/>
                <w:szCs w:val="23"/>
              </w:rPr>
            </w:pPr>
            <w:r>
              <w:rPr>
                <w:sz w:val="23"/>
                <w:szCs w:val="23"/>
              </w:rPr>
              <w:t>1</w:t>
            </w:r>
          </w:p>
        </w:tc>
        <w:tc>
          <w:tcPr>
            <w:tcW w:w="1260" w:type="dxa"/>
            <w:vAlign w:val="center"/>
          </w:tcPr>
          <w:p w:rsidR="00D851C0" w:rsidP="00C27B43" w:rsidRDefault="00D851C0" w14:paraId="490DEC32" w14:textId="77777777">
            <w:pPr>
              <w:pStyle w:val="Default"/>
              <w:jc w:val="center"/>
              <w:rPr>
                <w:sz w:val="23"/>
                <w:szCs w:val="23"/>
              </w:rPr>
            </w:pPr>
            <w:r>
              <w:rPr>
                <w:sz w:val="23"/>
                <w:szCs w:val="23"/>
              </w:rPr>
              <w:t>1.5</w:t>
            </w:r>
          </w:p>
        </w:tc>
        <w:tc>
          <w:tcPr>
            <w:tcW w:w="990" w:type="dxa"/>
            <w:vAlign w:val="center"/>
          </w:tcPr>
          <w:p w:rsidRPr="00571D43" w:rsidR="00D851C0" w:rsidP="00C27B43" w:rsidRDefault="00D851C0" w14:paraId="362B1C05" w14:textId="77777777">
            <w:pPr>
              <w:pStyle w:val="Default"/>
              <w:jc w:val="center"/>
              <w:rPr>
                <w:sz w:val="23"/>
                <w:szCs w:val="23"/>
              </w:rPr>
            </w:pPr>
            <w:r>
              <w:rPr>
                <w:sz w:val="23"/>
                <w:szCs w:val="23"/>
              </w:rPr>
              <w:t>15</w:t>
            </w:r>
          </w:p>
        </w:tc>
        <w:tc>
          <w:tcPr>
            <w:tcW w:w="1080" w:type="dxa"/>
            <w:vAlign w:val="center"/>
          </w:tcPr>
          <w:p w:rsidR="00D851C0" w:rsidP="00C27B43" w:rsidRDefault="00D851C0" w14:paraId="2EDECE33" w14:textId="77777777">
            <w:pPr>
              <w:jc w:val="center"/>
            </w:pPr>
            <w:r w:rsidRPr="00BA0248">
              <w:rPr>
                <w:sz w:val="23"/>
                <w:szCs w:val="23"/>
              </w:rPr>
              <w:t>$27.07</w:t>
            </w:r>
          </w:p>
        </w:tc>
        <w:tc>
          <w:tcPr>
            <w:tcW w:w="1260" w:type="dxa"/>
            <w:vAlign w:val="center"/>
          </w:tcPr>
          <w:p w:rsidRPr="00C27B43" w:rsidR="00D851C0" w:rsidP="00C27B43" w:rsidRDefault="00D851C0" w14:paraId="349940F6" w14:textId="6263B3BB">
            <w:pPr>
              <w:jc w:val="right"/>
              <w:rPr>
                <w:sz w:val="23"/>
                <w:szCs w:val="23"/>
              </w:rPr>
            </w:pPr>
            <w:r w:rsidRPr="00C27B43">
              <w:rPr>
                <w:sz w:val="23"/>
                <w:szCs w:val="23"/>
              </w:rPr>
              <w:t xml:space="preserve">$406.05 </w:t>
            </w:r>
          </w:p>
        </w:tc>
      </w:tr>
      <w:tr w:rsidRPr="00571D43" w:rsidR="00C27B43" w:rsidTr="00C27B43" w14:paraId="6A67F7C0" w14:textId="77777777">
        <w:trPr>
          <w:trHeight w:val="437"/>
        </w:trPr>
        <w:tc>
          <w:tcPr>
            <w:tcW w:w="1975" w:type="dxa"/>
            <w:vAlign w:val="center"/>
          </w:tcPr>
          <w:p w:rsidRPr="00571D43" w:rsidR="00C27B43" w:rsidP="00C27B43" w:rsidRDefault="00C27B43" w14:paraId="0C660F00" w14:textId="77777777">
            <w:pPr>
              <w:pStyle w:val="Default"/>
              <w:rPr>
                <w:sz w:val="23"/>
                <w:szCs w:val="23"/>
              </w:rPr>
            </w:pPr>
            <w:r w:rsidRPr="00571D43">
              <w:rPr>
                <w:b/>
                <w:bCs/>
                <w:sz w:val="23"/>
                <w:szCs w:val="23"/>
              </w:rPr>
              <w:t>Total</w:t>
            </w:r>
          </w:p>
        </w:tc>
        <w:tc>
          <w:tcPr>
            <w:tcW w:w="1530" w:type="dxa"/>
            <w:vAlign w:val="center"/>
          </w:tcPr>
          <w:p w:rsidRPr="00D851C0" w:rsidR="00C27B43" w:rsidP="00C27B43" w:rsidRDefault="00D851C0" w14:paraId="425A2D12" w14:textId="50A27251">
            <w:pPr>
              <w:pStyle w:val="Default"/>
              <w:jc w:val="center"/>
              <w:rPr>
                <w:b/>
                <w:sz w:val="23"/>
                <w:szCs w:val="23"/>
              </w:rPr>
            </w:pPr>
            <w:r w:rsidRPr="00D851C0">
              <w:rPr>
                <w:b/>
                <w:sz w:val="23"/>
                <w:szCs w:val="23"/>
              </w:rPr>
              <w:t>195</w:t>
            </w:r>
          </w:p>
        </w:tc>
        <w:tc>
          <w:tcPr>
            <w:tcW w:w="1463" w:type="dxa"/>
            <w:vAlign w:val="center"/>
          </w:tcPr>
          <w:p w:rsidRPr="00D851C0" w:rsidR="00C27B43" w:rsidP="00C27B43" w:rsidRDefault="00C27B43" w14:paraId="187FDC9D" w14:textId="77777777">
            <w:pPr>
              <w:pStyle w:val="Default"/>
              <w:jc w:val="center"/>
              <w:rPr>
                <w:b/>
                <w:bCs/>
                <w:sz w:val="23"/>
                <w:szCs w:val="23"/>
              </w:rPr>
            </w:pPr>
          </w:p>
        </w:tc>
        <w:tc>
          <w:tcPr>
            <w:tcW w:w="1260" w:type="dxa"/>
            <w:vAlign w:val="center"/>
          </w:tcPr>
          <w:p w:rsidRPr="00D851C0" w:rsidR="00C27B43" w:rsidP="00C27B43" w:rsidRDefault="00C27B43" w14:paraId="7C3F3B0A" w14:textId="77777777">
            <w:pPr>
              <w:pStyle w:val="Default"/>
              <w:jc w:val="center"/>
              <w:rPr>
                <w:b/>
                <w:bCs/>
                <w:sz w:val="23"/>
                <w:szCs w:val="23"/>
              </w:rPr>
            </w:pPr>
          </w:p>
        </w:tc>
        <w:tc>
          <w:tcPr>
            <w:tcW w:w="990" w:type="dxa"/>
            <w:vAlign w:val="center"/>
          </w:tcPr>
          <w:p w:rsidRPr="00D851C0" w:rsidR="00C27B43" w:rsidP="007B478D" w:rsidRDefault="00D851C0" w14:paraId="20C8DDD4" w14:textId="15AF1EB1">
            <w:pPr>
              <w:pStyle w:val="Default"/>
              <w:jc w:val="center"/>
              <w:rPr>
                <w:b/>
                <w:bCs/>
                <w:sz w:val="23"/>
                <w:szCs w:val="23"/>
              </w:rPr>
            </w:pPr>
            <w:r w:rsidRPr="00D851C0">
              <w:rPr>
                <w:b/>
                <w:bCs/>
                <w:sz w:val="23"/>
                <w:szCs w:val="23"/>
              </w:rPr>
              <w:t>90.5</w:t>
            </w:r>
          </w:p>
        </w:tc>
        <w:tc>
          <w:tcPr>
            <w:tcW w:w="1080" w:type="dxa"/>
            <w:vAlign w:val="center"/>
          </w:tcPr>
          <w:p w:rsidRPr="00D851C0" w:rsidR="00C27B43" w:rsidP="00C27B43" w:rsidRDefault="00C27B43" w14:paraId="54F2D6C5" w14:textId="77777777">
            <w:pPr>
              <w:pStyle w:val="Default"/>
              <w:jc w:val="center"/>
              <w:rPr>
                <w:b/>
                <w:bCs/>
                <w:sz w:val="23"/>
                <w:szCs w:val="23"/>
              </w:rPr>
            </w:pPr>
          </w:p>
        </w:tc>
        <w:tc>
          <w:tcPr>
            <w:tcW w:w="1260" w:type="dxa"/>
            <w:vAlign w:val="center"/>
          </w:tcPr>
          <w:p w:rsidRPr="00D851C0" w:rsidR="00C27B43" w:rsidP="00D851C0" w:rsidRDefault="007B478D" w14:paraId="03262BB9" w14:textId="759EE82A">
            <w:pPr>
              <w:jc w:val="right"/>
              <w:rPr>
                <w:b/>
                <w:sz w:val="23"/>
                <w:szCs w:val="23"/>
              </w:rPr>
            </w:pPr>
            <w:r w:rsidRPr="00D851C0">
              <w:rPr>
                <w:b/>
                <w:sz w:val="23"/>
                <w:szCs w:val="23"/>
              </w:rPr>
              <w:t>$</w:t>
            </w:r>
            <w:r w:rsidRPr="00D851C0" w:rsidR="00D851C0">
              <w:rPr>
                <w:b/>
                <w:sz w:val="23"/>
                <w:szCs w:val="23"/>
              </w:rPr>
              <w:t>2,449.84</w:t>
            </w:r>
            <w:r w:rsidRPr="00D851C0" w:rsidR="00C27B43">
              <w:rPr>
                <w:b/>
                <w:sz w:val="23"/>
                <w:szCs w:val="23"/>
              </w:rPr>
              <w:t xml:space="preserve"> </w:t>
            </w:r>
          </w:p>
        </w:tc>
      </w:tr>
    </w:tbl>
    <w:p w:rsidRPr="00571D43" w:rsidR="00CF19B1" w:rsidP="00CF19B1" w:rsidRDefault="00CF19B1" w14:paraId="31986CA6" w14:textId="77777777">
      <w:pPr>
        <w:rPr>
          <w:color w:val="000000"/>
          <w:sz w:val="20"/>
          <w:szCs w:val="20"/>
        </w:rPr>
      </w:pPr>
      <w:bookmarkStart w:name="_Hlk64466635" w:id="20"/>
      <w:r w:rsidRPr="00571D43">
        <w:rPr>
          <w:color w:val="000000"/>
          <w:sz w:val="20"/>
          <w:szCs w:val="20"/>
        </w:rPr>
        <w:t>*Based upon mean hourly wage, “May 20</w:t>
      </w:r>
      <w:r>
        <w:rPr>
          <w:color w:val="000000"/>
          <w:sz w:val="20"/>
          <w:szCs w:val="20"/>
        </w:rPr>
        <w:t>20</w:t>
      </w:r>
      <w:r w:rsidRPr="00571D43">
        <w:rPr>
          <w:color w:val="000000"/>
          <w:sz w:val="20"/>
          <w:szCs w:val="20"/>
        </w:rPr>
        <w:t xml:space="preserve"> National Occupational Employment and Wage Estimates United States,” U.S. Department of Labor, Bureau of Labor Statistics, retrieved at https://www.bls.gov/oes/current/oes_nat.htm#00-0000</w:t>
      </w:r>
    </w:p>
    <w:bookmarkEnd w:id="20"/>
    <w:p w:rsidRPr="00571D43" w:rsidR="00CF19B1" w:rsidP="00CF19B1" w:rsidRDefault="00CF19B1" w14:paraId="3F8CFC5D" w14:textId="77777777">
      <w:pPr>
        <w:rPr>
          <w:b/>
          <w:color w:val="000000"/>
        </w:rPr>
      </w:pPr>
    </w:p>
    <w:p w:rsidRPr="00571D43" w:rsidR="00CF19B1" w:rsidP="00CF19B1" w:rsidRDefault="00CF19B1" w14:paraId="1EBA5062" w14:textId="0AEF9251">
      <w:pPr>
        <w:keepLines/>
        <w:rPr>
          <w:bCs/>
        </w:rPr>
      </w:pPr>
      <w:r w:rsidRPr="00571D43">
        <w:rPr>
          <w:color w:val="000000"/>
        </w:rPr>
        <w:t>As indicated in Table 1 above</w:t>
      </w:r>
      <w:r>
        <w:rPr>
          <w:color w:val="000000"/>
        </w:rPr>
        <w:t>,</w:t>
      </w:r>
      <w:r w:rsidRPr="00571D43">
        <w:rPr>
          <w:color w:val="000000"/>
        </w:rPr>
        <w:t xml:space="preserve"> </w:t>
      </w:r>
      <w:r w:rsidRPr="00571D43">
        <w:rPr>
          <w:bCs/>
        </w:rPr>
        <w:t xml:space="preserve">the annual burden hours are estimated to be </w:t>
      </w:r>
      <w:r w:rsidR="005936C5">
        <w:rPr>
          <w:bCs/>
        </w:rPr>
        <w:t>90.5</w:t>
      </w:r>
      <w:r w:rsidRPr="00571D43">
        <w:rPr>
          <w:bCs/>
        </w:rPr>
        <w:t xml:space="preserve"> hours in total for </w:t>
      </w:r>
      <w:r>
        <w:rPr>
          <w:bCs/>
        </w:rPr>
        <w:t>35</w:t>
      </w:r>
      <w:r w:rsidRPr="00571D43">
        <w:rPr>
          <w:bCs/>
        </w:rPr>
        <w:t xml:space="preserve"> </w:t>
      </w:r>
      <w:r>
        <w:rPr>
          <w:bCs/>
        </w:rPr>
        <w:t>individuals</w:t>
      </w:r>
      <w:r w:rsidRPr="00571D43">
        <w:t>.</w:t>
      </w:r>
    </w:p>
    <w:p w:rsidRPr="007E49C6" w:rsidR="00686D91" w:rsidP="00A67DE5" w:rsidRDefault="00686D91" w14:paraId="6F71820A" w14:textId="77777777">
      <w:pPr>
        <w:rPr>
          <w:b/>
          <w:color w:val="000000"/>
        </w:rPr>
      </w:pPr>
    </w:p>
    <w:p w:rsidRPr="007E49C6" w:rsidR="00A67DE5" w:rsidP="00A67DE5" w:rsidRDefault="007452B3" w14:paraId="7096A501" w14:textId="77777777">
      <w:pPr>
        <w:pStyle w:val="Heading2"/>
        <w:rPr>
          <w:rFonts w:ascii="Times New Roman" w:hAnsi="Times New Roman"/>
          <w:color w:val="000000"/>
        </w:rPr>
      </w:pPr>
      <w:bookmarkStart w:name="_Toc93477397" w:id="21"/>
      <w:r>
        <w:rPr>
          <w:rFonts w:ascii="Times New Roman" w:hAnsi="Times New Roman"/>
          <w:color w:val="000000"/>
        </w:rPr>
        <w:t xml:space="preserve">A13. </w:t>
      </w:r>
      <w:r w:rsidRPr="007E49C6" w:rsidR="00A67DE5">
        <w:rPr>
          <w:rFonts w:ascii="Times New Roman" w:hAnsi="Times New Roman"/>
          <w:color w:val="000000"/>
        </w:rPr>
        <w:t>Capital Costs</w:t>
      </w:r>
      <w:bookmarkEnd w:id="21"/>
    </w:p>
    <w:p w:rsidRPr="007E49C6" w:rsidR="00A67DE5" w:rsidP="00A67DE5" w:rsidRDefault="00A67DE5" w14:paraId="5E44FC71" w14:textId="77777777">
      <w:pPr>
        <w:tabs>
          <w:tab w:val="left" w:pos="540"/>
        </w:tabs>
        <w:rPr>
          <w:color w:val="000000"/>
        </w:rPr>
      </w:pPr>
    </w:p>
    <w:p w:rsidR="00A67DE5" w:rsidP="00A67DE5" w:rsidRDefault="002619D5" w14:paraId="1795563E" w14:textId="77777777">
      <w:pPr>
        <w:tabs>
          <w:tab w:val="left" w:pos="540"/>
        </w:tabs>
      </w:pPr>
      <w:r>
        <w:t xml:space="preserve">Capital and maintenance costs include the purchase of equipment, computers or computer software or services, or storage facilities for records, </w:t>
      </w:r>
      <w:proofErr w:type="gramStart"/>
      <w:r>
        <w:t>as a result of</w:t>
      </w:r>
      <w:proofErr w:type="gramEnd"/>
      <w:r>
        <w:t xml:space="preserve"> complying with this data collection.  There are no direct costs to respondents other than their time to participate in the study.</w:t>
      </w:r>
    </w:p>
    <w:p w:rsidRPr="007E49C6" w:rsidR="009D6ED4" w:rsidP="00A67DE5" w:rsidRDefault="009D6ED4" w14:paraId="571A3E2C" w14:textId="77777777">
      <w:pPr>
        <w:tabs>
          <w:tab w:val="left" w:pos="540"/>
        </w:tabs>
        <w:rPr>
          <w:b/>
          <w:color w:val="000000"/>
        </w:rPr>
      </w:pPr>
    </w:p>
    <w:p w:rsidRPr="007E49C6" w:rsidR="00417F18" w:rsidP="00417F18" w:rsidRDefault="00417F18" w14:paraId="6FECE9A5" w14:textId="77777777">
      <w:pPr>
        <w:pStyle w:val="Heading2"/>
        <w:rPr>
          <w:rFonts w:ascii="Times New Roman" w:hAnsi="Times New Roman"/>
          <w:color w:val="000000"/>
        </w:rPr>
      </w:pPr>
      <w:bookmarkStart w:name="_Toc93477398" w:id="22"/>
      <w:r>
        <w:rPr>
          <w:rFonts w:ascii="Times New Roman" w:hAnsi="Times New Roman"/>
          <w:color w:val="000000"/>
        </w:rPr>
        <w:t>A14. Estimates of Annualized Cost to the Government</w:t>
      </w:r>
      <w:bookmarkEnd w:id="22"/>
    </w:p>
    <w:p w:rsidR="00417F18" w:rsidP="00417F18" w:rsidRDefault="00417F18" w14:paraId="6ECC47EA" w14:textId="77777777">
      <w:pPr>
        <w:rPr>
          <w:color w:val="000000"/>
          <w:sz w:val="22"/>
          <w:szCs w:val="22"/>
        </w:rPr>
      </w:pPr>
    </w:p>
    <w:p w:rsidR="00417F18" w:rsidP="00417F18" w:rsidRDefault="00417F18" w14:paraId="2DEFC848" w14:textId="77777777">
      <w:pPr>
        <w:rPr>
          <w:rFonts w:ascii="Calibri" w:hAnsi="Calibri" w:cs="Calibri"/>
        </w:rPr>
      </w:pPr>
      <w:r>
        <w:t>Exhibit 1 shows the estimated annualized cost to the Government, which is estimated at $14,317.</w:t>
      </w:r>
    </w:p>
    <w:p w:rsidR="00417F18" w:rsidP="00417F18" w:rsidRDefault="00417F18" w14:paraId="62E337C3" w14:textId="77777777">
      <w:pPr>
        <w:rPr>
          <w:b/>
          <w:bCs/>
        </w:rPr>
      </w:pPr>
    </w:p>
    <w:p w:rsidR="00417F18" w:rsidP="00417F18" w:rsidRDefault="00417F18" w14:paraId="41DF2A3A" w14:textId="77777777">
      <w:pPr>
        <w:rPr>
          <w:sz w:val="22"/>
          <w:szCs w:val="22"/>
        </w:rPr>
      </w:pPr>
      <w:r>
        <w:rPr>
          <w:b/>
          <w:bCs/>
        </w:rPr>
        <w:t xml:space="preserve">Exhibit 1. Estimated Annual cost to AHRQ for Project Oversite </w:t>
      </w:r>
    </w:p>
    <w:tbl>
      <w:tblPr>
        <w:tblW w:w="0" w:type="auto"/>
        <w:tblCellMar>
          <w:left w:w="0" w:type="dxa"/>
          <w:right w:w="0" w:type="dxa"/>
        </w:tblCellMar>
        <w:tblLook w:val="04A0" w:firstRow="1" w:lastRow="0" w:firstColumn="1" w:lastColumn="0" w:noHBand="0" w:noVBand="1"/>
      </w:tblPr>
      <w:tblGrid>
        <w:gridCol w:w="3798"/>
        <w:gridCol w:w="1597"/>
        <w:gridCol w:w="2070"/>
      </w:tblGrid>
      <w:tr w:rsidR="00417F18" w:rsidTr="001A348F" w14:paraId="6010036A" w14:textId="77777777">
        <w:trPr>
          <w:trHeight w:val="332"/>
        </w:trPr>
        <w:tc>
          <w:tcPr>
            <w:tcW w:w="37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417F18" w:rsidP="001A348F" w:rsidRDefault="00417F18" w14:paraId="2963CC9C" w14:textId="77777777">
            <w:pPr>
              <w:rPr>
                <w:b/>
                <w:bCs/>
              </w:rPr>
            </w:pPr>
            <w:r>
              <w:rPr>
                <w:b/>
                <w:bCs/>
              </w:rPr>
              <w:t>AHRQ Position</w:t>
            </w:r>
          </w:p>
        </w:tc>
        <w:tc>
          <w:tcPr>
            <w:tcW w:w="15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417F18" w:rsidP="001A348F" w:rsidRDefault="00417F18" w14:paraId="74AD58D5" w14:textId="77777777">
            <w:pPr>
              <w:rPr>
                <w:b/>
                <w:bCs/>
              </w:rPr>
            </w:pPr>
            <w:r>
              <w:rPr>
                <w:b/>
                <w:bCs/>
              </w:rPr>
              <w:t>% Time</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417F18" w:rsidP="001A348F" w:rsidRDefault="00417F18" w14:paraId="3935CD41" w14:textId="77777777">
            <w:pPr>
              <w:rPr>
                <w:b/>
                <w:bCs/>
              </w:rPr>
            </w:pPr>
            <w:r>
              <w:rPr>
                <w:b/>
                <w:bCs/>
              </w:rPr>
              <w:t>Annualized Cost</w:t>
            </w:r>
          </w:p>
        </w:tc>
      </w:tr>
      <w:tr w:rsidR="00417F18" w:rsidTr="001A348F" w14:paraId="2B3E0733" w14:textId="77777777">
        <w:trPr>
          <w:trHeight w:val="647"/>
        </w:trPr>
        <w:tc>
          <w:tcPr>
            <w:tcW w:w="37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17F18" w:rsidP="001A348F" w:rsidRDefault="00417F18" w14:paraId="615FDA50" w14:textId="77777777">
            <w:pPr>
              <w:rPr>
                <w:sz w:val="23"/>
                <w:szCs w:val="23"/>
              </w:rPr>
            </w:pPr>
            <w:r>
              <w:rPr>
                <w:sz w:val="23"/>
                <w:szCs w:val="23"/>
              </w:rPr>
              <w:lastRenderedPageBreak/>
              <w:t>GS 15 Step-5</w:t>
            </w:r>
          </w:p>
        </w:tc>
        <w:tc>
          <w:tcPr>
            <w:tcW w:w="1597" w:type="dxa"/>
            <w:tcBorders>
              <w:top w:val="nil"/>
              <w:left w:val="nil"/>
              <w:bottom w:val="single" w:color="auto" w:sz="8" w:space="0"/>
              <w:right w:val="single" w:color="auto" w:sz="8" w:space="0"/>
            </w:tcBorders>
            <w:tcMar>
              <w:top w:w="0" w:type="dxa"/>
              <w:left w:w="108" w:type="dxa"/>
              <w:bottom w:w="0" w:type="dxa"/>
              <w:right w:w="108" w:type="dxa"/>
            </w:tcMar>
            <w:hideMark/>
          </w:tcPr>
          <w:p w:rsidR="00417F18" w:rsidP="001A348F" w:rsidRDefault="00417F18" w14:paraId="354722FA" w14:textId="77777777">
            <w:pPr>
              <w:rPr>
                <w:sz w:val="23"/>
                <w:szCs w:val="23"/>
              </w:rPr>
            </w:pPr>
            <w:r>
              <w:rPr>
                <w:sz w:val="23"/>
                <w:szCs w:val="23"/>
              </w:rPr>
              <w:t>5%</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00417F18" w:rsidP="001A348F" w:rsidRDefault="00417F18" w14:paraId="0515AA97" w14:textId="77777777">
            <w:pPr>
              <w:rPr>
                <w:sz w:val="23"/>
                <w:szCs w:val="23"/>
              </w:rPr>
            </w:pPr>
            <w:r>
              <w:rPr>
                <w:sz w:val="23"/>
                <w:szCs w:val="23"/>
              </w:rPr>
              <w:t>$8,264</w:t>
            </w:r>
          </w:p>
        </w:tc>
      </w:tr>
      <w:tr w:rsidR="00417F18" w:rsidTr="001A348F" w14:paraId="1B36CCB5" w14:textId="77777777">
        <w:trPr>
          <w:trHeight w:val="989"/>
        </w:trPr>
        <w:tc>
          <w:tcPr>
            <w:tcW w:w="37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17F18" w:rsidP="001A348F" w:rsidRDefault="00417F18" w14:paraId="05A6E6AE" w14:textId="77777777">
            <w:pPr>
              <w:rPr>
                <w:sz w:val="23"/>
                <w:szCs w:val="23"/>
              </w:rPr>
            </w:pPr>
            <w:r>
              <w:rPr>
                <w:sz w:val="23"/>
                <w:szCs w:val="23"/>
              </w:rPr>
              <w:t>GS 14 Step 5</w:t>
            </w:r>
          </w:p>
        </w:tc>
        <w:tc>
          <w:tcPr>
            <w:tcW w:w="1597" w:type="dxa"/>
            <w:tcBorders>
              <w:top w:val="nil"/>
              <w:left w:val="nil"/>
              <w:bottom w:val="single" w:color="auto" w:sz="8" w:space="0"/>
              <w:right w:val="single" w:color="auto" w:sz="8" w:space="0"/>
            </w:tcBorders>
            <w:tcMar>
              <w:top w:w="0" w:type="dxa"/>
              <w:left w:w="108" w:type="dxa"/>
              <w:bottom w:w="0" w:type="dxa"/>
              <w:right w:w="108" w:type="dxa"/>
            </w:tcMar>
            <w:hideMark/>
          </w:tcPr>
          <w:p w:rsidR="00417F18" w:rsidP="001A348F" w:rsidRDefault="00417F18" w14:paraId="6EEC48B2" w14:textId="77777777">
            <w:pPr>
              <w:rPr>
                <w:sz w:val="23"/>
                <w:szCs w:val="23"/>
              </w:rPr>
            </w:pPr>
            <w:r>
              <w:rPr>
                <w:sz w:val="23"/>
                <w:szCs w:val="23"/>
              </w:rPr>
              <w:t>5%</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00417F18" w:rsidP="001A348F" w:rsidRDefault="00417F18" w14:paraId="79ADCA4C" w14:textId="77777777">
            <w:pPr>
              <w:rPr>
                <w:sz w:val="23"/>
                <w:szCs w:val="23"/>
              </w:rPr>
            </w:pPr>
            <w:r>
              <w:rPr>
                <w:sz w:val="23"/>
                <w:szCs w:val="23"/>
              </w:rPr>
              <w:t>$6,053</w:t>
            </w:r>
          </w:p>
        </w:tc>
      </w:tr>
      <w:tr w:rsidR="00417F18" w:rsidTr="001A348F" w14:paraId="68BC33BC" w14:textId="77777777">
        <w:trPr>
          <w:trHeight w:val="989"/>
        </w:trPr>
        <w:tc>
          <w:tcPr>
            <w:tcW w:w="37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17F18" w:rsidP="001A348F" w:rsidRDefault="00417F18" w14:paraId="2058026A" w14:textId="77777777">
            <w:pPr>
              <w:rPr>
                <w:sz w:val="23"/>
                <w:szCs w:val="23"/>
              </w:rPr>
            </w:pPr>
            <w:r>
              <w:rPr>
                <w:sz w:val="23"/>
                <w:szCs w:val="23"/>
              </w:rPr>
              <w:t>Total</w:t>
            </w:r>
          </w:p>
        </w:tc>
        <w:tc>
          <w:tcPr>
            <w:tcW w:w="1597" w:type="dxa"/>
            <w:tcBorders>
              <w:top w:val="nil"/>
              <w:left w:val="nil"/>
              <w:bottom w:val="single" w:color="auto" w:sz="8" w:space="0"/>
              <w:right w:val="single" w:color="auto" w:sz="8" w:space="0"/>
            </w:tcBorders>
            <w:tcMar>
              <w:top w:w="0" w:type="dxa"/>
              <w:left w:w="108" w:type="dxa"/>
              <w:bottom w:w="0" w:type="dxa"/>
              <w:right w:w="108" w:type="dxa"/>
            </w:tcMar>
          </w:tcPr>
          <w:p w:rsidR="00417F18" w:rsidP="001A348F" w:rsidRDefault="00417F18" w14:paraId="6B615AFF" w14:textId="77777777">
            <w:pPr>
              <w:rPr>
                <w:sz w:val="23"/>
                <w:szCs w:val="23"/>
              </w:rPr>
            </w:pP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00417F18" w:rsidP="001A348F" w:rsidRDefault="00417F18" w14:paraId="10ECD536" w14:textId="77777777">
            <w:pPr>
              <w:rPr>
                <w:sz w:val="23"/>
                <w:szCs w:val="23"/>
              </w:rPr>
            </w:pPr>
            <w:r>
              <w:rPr>
                <w:sz w:val="23"/>
                <w:szCs w:val="23"/>
              </w:rPr>
              <w:t>$14,317</w:t>
            </w:r>
          </w:p>
        </w:tc>
      </w:tr>
    </w:tbl>
    <w:p w:rsidR="00417F18" w:rsidP="00417F18" w:rsidRDefault="00417F18" w14:paraId="17199934" w14:textId="77777777"/>
    <w:p w:rsidR="005D4022" w:rsidP="00E359BC" w:rsidRDefault="005D4022" w14:paraId="2D087601" w14:textId="6AEBB789">
      <w:pPr>
        <w:rPr>
          <w:highlight w:val="yellow"/>
        </w:rPr>
      </w:pPr>
    </w:p>
    <w:p w:rsidR="005D4022" w:rsidP="00E359BC" w:rsidRDefault="005D4022" w14:paraId="38A3C6FA" w14:textId="77777777">
      <w:pPr>
        <w:rPr>
          <w:highlight w:val="yellow"/>
        </w:rPr>
      </w:pPr>
    </w:p>
    <w:p w:rsidR="00A67DE5" w:rsidP="00A67DE5" w:rsidRDefault="007452B3" w14:paraId="7E152AA6" w14:textId="77777777">
      <w:pPr>
        <w:pStyle w:val="Heading2"/>
      </w:pPr>
      <w:bookmarkStart w:name="_Toc93477399" w:id="23"/>
      <w:r>
        <w:rPr>
          <w:rFonts w:ascii="Times New Roman" w:hAnsi="Times New Roman"/>
        </w:rPr>
        <w:t xml:space="preserve">A15. </w:t>
      </w:r>
      <w:r w:rsidRPr="00EF52AE" w:rsidR="00A67DE5">
        <w:rPr>
          <w:rFonts w:ascii="Times New Roman" w:hAnsi="Times New Roman"/>
        </w:rPr>
        <w:t>Program Changes or Adjustments to Annual Burden</w:t>
      </w:r>
      <w:bookmarkEnd w:id="23"/>
    </w:p>
    <w:p w:rsidRPr="00EF52AE" w:rsidR="00A67DE5" w:rsidP="00A67DE5" w:rsidRDefault="00A67DE5" w14:paraId="0D122D9A" w14:textId="77777777"/>
    <w:p w:rsidRPr="00CE5AAB" w:rsidR="00CE5AAB" w:rsidP="00A67DE5" w:rsidRDefault="00CE5AAB" w14:paraId="0D6C13D6" w14:textId="77777777">
      <w:pPr>
        <w:tabs>
          <w:tab w:val="left" w:pos="540"/>
        </w:tabs>
      </w:pPr>
      <w:r w:rsidRPr="00A74F7C">
        <w:t xml:space="preserve">This is a new information collection request. </w:t>
      </w:r>
    </w:p>
    <w:p w:rsidR="00A67DE5" w:rsidP="00A67DE5" w:rsidRDefault="00A67DE5" w14:paraId="0641B6A3" w14:textId="77777777">
      <w:pPr>
        <w:tabs>
          <w:tab w:val="left" w:pos="540"/>
        </w:tabs>
      </w:pPr>
    </w:p>
    <w:p w:rsidRPr="00EF52AE" w:rsidR="00A67DE5" w:rsidP="00A67DE5" w:rsidRDefault="007452B3" w14:paraId="2208400B" w14:textId="77777777">
      <w:pPr>
        <w:pStyle w:val="Heading2"/>
        <w:rPr>
          <w:rFonts w:ascii="Times New Roman" w:hAnsi="Times New Roman"/>
        </w:rPr>
      </w:pPr>
      <w:bookmarkStart w:name="_Toc93477400" w:id="24"/>
      <w:r>
        <w:rPr>
          <w:rFonts w:ascii="Times New Roman" w:hAnsi="Times New Roman"/>
        </w:rPr>
        <w:t xml:space="preserve">A16. </w:t>
      </w:r>
      <w:r w:rsidR="0095184A">
        <w:rPr>
          <w:rFonts w:ascii="Times New Roman" w:hAnsi="Times New Roman"/>
        </w:rPr>
        <w:t xml:space="preserve">Time Schedule, </w:t>
      </w:r>
      <w:r w:rsidRPr="00EF52AE" w:rsidR="00A67DE5">
        <w:rPr>
          <w:rFonts w:ascii="Times New Roman" w:hAnsi="Times New Roman"/>
        </w:rPr>
        <w:t>Tabulation and Publication of Results</w:t>
      </w:r>
      <w:bookmarkEnd w:id="24"/>
    </w:p>
    <w:p w:rsidR="00A67DE5" w:rsidP="00A67DE5" w:rsidRDefault="00A67DE5" w14:paraId="318D9BA5" w14:textId="77777777">
      <w:pPr>
        <w:tabs>
          <w:tab w:val="left" w:pos="540"/>
        </w:tabs>
      </w:pPr>
    </w:p>
    <w:p w:rsidRPr="005078D0" w:rsidR="005078D0" w:rsidP="00A67DE5" w:rsidRDefault="006430AC" w14:paraId="2098E4E1" w14:textId="77777777">
      <w:pPr>
        <w:tabs>
          <w:tab w:val="left" w:pos="540"/>
        </w:tabs>
      </w:pPr>
      <w:r w:rsidRPr="001C2D34">
        <w:t xml:space="preserve">For planning </w:t>
      </w:r>
      <w:r w:rsidRPr="001C2D34" w:rsidR="00D40DB5">
        <w:t>purposes,</w:t>
      </w:r>
      <w:r w:rsidRPr="001C2D34">
        <w:t xml:space="preserve"> we anticipate data collection will begin </w:t>
      </w:r>
      <w:r w:rsidRPr="00571D43" w:rsidR="007F59E6">
        <w:t xml:space="preserve">as early as </w:t>
      </w:r>
      <w:r w:rsidR="00DB6AE9">
        <w:t>February 2022</w:t>
      </w:r>
      <w:r w:rsidRPr="00571D43" w:rsidR="007F59E6">
        <w:t xml:space="preserve"> and</w:t>
      </w:r>
      <w:r w:rsidR="00575C98">
        <w:t xml:space="preserve"> </w:t>
      </w:r>
      <w:r w:rsidR="0043769D">
        <w:t xml:space="preserve">no later than </w:t>
      </w:r>
      <w:r w:rsidR="00DB6AE9">
        <w:t>November</w:t>
      </w:r>
      <w:r w:rsidR="0043769D">
        <w:t xml:space="preserve"> 2022</w:t>
      </w:r>
      <w:r w:rsidRPr="00571D43" w:rsidR="007F59E6">
        <w:t>.</w:t>
      </w:r>
      <w:r w:rsidRPr="001C2D34" w:rsidR="007F59E6">
        <w:t xml:space="preserve"> Table </w:t>
      </w:r>
      <w:r w:rsidR="00DF14FF">
        <w:t>3</w:t>
      </w:r>
      <w:r w:rsidRPr="001C2D34" w:rsidR="007F59E6">
        <w:t xml:space="preserve"> provides an approximate timeline for survey</w:t>
      </w:r>
      <w:r w:rsidR="007F59E6">
        <w:t xml:space="preserve"> tasks including tabulation </w:t>
      </w:r>
      <w:r w:rsidR="0095184A">
        <w:t>of data</w:t>
      </w:r>
      <w:r w:rsidR="007F59E6">
        <w:t xml:space="preserve"> following </w:t>
      </w:r>
      <w:r w:rsidR="0095184A">
        <w:t>review and approval of this field test.</w:t>
      </w:r>
    </w:p>
    <w:p w:rsidR="006430AC" w:rsidP="00A67DE5" w:rsidRDefault="006430AC" w14:paraId="249160B5" w14:textId="77777777">
      <w:pPr>
        <w:tabs>
          <w:tab w:val="left" w:pos="540"/>
        </w:tabs>
        <w:rPr>
          <w:sz w:val="23"/>
          <w:szCs w:val="23"/>
        </w:rPr>
      </w:pPr>
    </w:p>
    <w:p w:rsidR="006430AC" w:rsidP="00A67DE5" w:rsidRDefault="006430AC" w14:paraId="7837D8D7" w14:textId="77777777">
      <w:pPr>
        <w:tabs>
          <w:tab w:val="left" w:pos="540"/>
        </w:tabs>
        <w:rPr>
          <w:sz w:val="23"/>
          <w:szCs w:val="23"/>
        </w:rPr>
      </w:pPr>
      <w:r w:rsidRPr="00CE402A">
        <w:rPr>
          <w:b/>
          <w:bCs/>
          <w:sz w:val="23"/>
          <w:szCs w:val="23"/>
        </w:rPr>
        <w:t xml:space="preserve">Table </w:t>
      </w:r>
      <w:r w:rsidR="00DF14FF">
        <w:rPr>
          <w:b/>
          <w:bCs/>
          <w:sz w:val="23"/>
          <w:szCs w:val="23"/>
        </w:rPr>
        <w:t>3</w:t>
      </w:r>
      <w:r w:rsidRPr="00CE402A">
        <w:rPr>
          <w:b/>
          <w:bCs/>
          <w:sz w:val="23"/>
          <w:szCs w:val="23"/>
        </w:rPr>
        <w:t xml:space="preserve">: </w:t>
      </w:r>
      <w:r w:rsidR="0095184A">
        <w:rPr>
          <w:b/>
          <w:bCs/>
          <w:sz w:val="23"/>
          <w:szCs w:val="23"/>
        </w:rPr>
        <w:t>Time Schedule</w:t>
      </w:r>
      <w:r>
        <w:rPr>
          <w:b/>
          <w:bCs/>
          <w:sz w:val="23"/>
          <w:szCs w:val="23"/>
        </w:rPr>
        <w:t xml:space="preserve"> of Survey Tasks</w:t>
      </w:r>
    </w:p>
    <w:p w:rsidR="006430AC" w:rsidP="00A67DE5" w:rsidRDefault="006430AC" w14:paraId="1186AF30" w14:textId="77777777">
      <w:pPr>
        <w:tabs>
          <w:tab w:val="left" w:pos="540"/>
        </w:tabs>
        <w:rPr>
          <w:sz w:val="23"/>
          <w:szCs w:val="23"/>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11"/>
        <w:gridCol w:w="4011"/>
      </w:tblGrid>
      <w:tr w:rsidR="006430AC" w:rsidTr="00AA53E3" w14:paraId="3B30B241" w14:textId="77777777">
        <w:trPr>
          <w:trHeight w:val="159"/>
        </w:trPr>
        <w:tc>
          <w:tcPr>
            <w:tcW w:w="4011" w:type="dxa"/>
          </w:tcPr>
          <w:p w:rsidR="006430AC" w:rsidRDefault="006430AC" w14:paraId="76FB7A4F" w14:textId="77777777">
            <w:pPr>
              <w:pStyle w:val="Default"/>
              <w:rPr>
                <w:sz w:val="23"/>
                <w:szCs w:val="23"/>
              </w:rPr>
            </w:pPr>
            <w:r>
              <w:rPr>
                <w:b/>
                <w:bCs/>
                <w:sz w:val="23"/>
                <w:szCs w:val="23"/>
              </w:rPr>
              <w:t xml:space="preserve">Activity </w:t>
            </w:r>
          </w:p>
        </w:tc>
        <w:tc>
          <w:tcPr>
            <w:tcW w:w="4011" w:type="dxa"/>
          </w:tcPr>
          <w:p w:rsidR="006430AC" w:rsidRDefault="006430AC" w14:paraId="2890198B" w14:textId="77777777">
            <w:pPr>
              <w:pStyle w:val="Default"/>
              <w:rPr>
                <w:sz w:val="23"/>
                <w:szCs w:val="23"/>
              </w:rPr>
            </w:pPr>
            <w:r>
              <w:rPr>
                <w:b/>
                <w:bCs/>
                <w:sz w:val="23"/>
                <w:szCs w:val="23"/>
              </w:rPr>
              <w:t xml:space="preserve">Proposed Timing of Activity </w:t>
            </w:r>
          </w:p>
        </w:tc>
      </w:tr>
      <w:tr w:rsidR="006430AC" w:rsidTr="00AA53E3" w14:paraId="2EA6CE0D" w14:textId="77777777">
        <w:trPr>
          <w:trHeight w:val="157"/>
        </w:trPr>
        <w:tc>
          <w:tcPr>
            <w:tcW w:w="4011" w:type="dxa"/>
          </w:tcPr>
          <w:p w:rsidR="006430AC" w:rsidRDefault="006430AC" w14:paraId="56332966" w14:textId="77777777">
            <w:pPr>
              <w:pStyle w:val="Default"/>
              <w:rPr>
                <w:sz w:val="23"/>
                <w:szCs w:val="23"/>
              </w:rPr>
            </w:pPr>
            <w:r>
              <w:rPr>
                <w:sz w:val="23"/>
                <w:szCs w:val="23"/>
              </w:rPr>
              <w:t xml:space="preserve">Prepare field materials </w:t>
            </w:r>
          </w:p>
        </w:tc>
        <w:tc>
          <w:tcPr>
            <w:tcW w:w="4011" w:type="dxa"/>
          </w:tcPr>
          <w:p w:rsidRPr="008B4272" w:rsidR="006430AC" w:rsidP="008B4272" w:rsidRDefault="007F59E6" w14:paraId="03C81A54" w14:textId="77777777">
            <w:pPr>
              <w:pStyle w:val="Default"/>
              <w:rPr>
                <w:sz w:val="23"/>
                <w:szCs w:val="23"/>
              </w:rPr>
            </w:pPr>
            <w:r>
              <w:rPr>
                <w:sz w:val="23"/>
                <w:szCs w:val="23"/>
              </w:rPr>
              <w:t xml:space="preserve">Months 1 and 2 </w:t>
            </w:r>
          </w:p>
        </w:tc>
      </w:tr>
      <w:tr w:rsidR="006430AC" w:rsidTr="00AA53E3" w14:paraId="777ED86D" w14:textId="77777777">
        <w:trPr>
          <w:trHeight w:val="157"/>
        </w:trPr>
        <w:tc>
          <w:tcPr>
            <w:tcW w:w="4011" w:type="dxa"/>
          </w:tcPr>
          <w:p w:rsidR="006430AC" w:rsidRDefault="006430AC" w14:paraId="503B91C7" w14:textId="77777777">
            <w:pPr>
              <w:pStyle w:val="Default"/>
              <w:rPr>
                <w:sz w:val="23"/>
                <w:szCs w:val="23"/>
              </w:rPr>
            </w:pPr>
            <w:r>
              <w:rPr>
                <w:sz w:val="23"/>
                <w:szCs w:val="23"/>
              </w:rPr>
              <w:t>Identify target respondent</w:t>
            </w:r>
            <w:r w:rsidR="00DB6AE9">
              <w:rPr>
                <w:sz w:val="23"/>
                <w:szCs w:val="23"/>
              </w:rPr>
              <w:t>s</w:t>
            </w:r>
            <w:r>
              <w:rPr>
                <w:sz w:val="23"/>
                <w:szCs w:val="23"/>
              </w:rPr>
              <w:t xml:space="preserve"> </w:t>
            </w:r>
          </w:p>
        </w:tc>
        <w:tc>
          <w:tcPr>
            <w:tcW w:w="4011" w:type="dxa"/>
          </w:tcPr>
          <w:p w:rsidRPr="008B4272" w:rsidR="006430AC" w:rsidP="00DB6AE9" w:rsidRDefault="007F59E6" w14:paraId="18545CF5" w14:textId="77777777">
            <w:pPr>
              <w:pStyle w:val="Default"/>
              <w:rPr>
                <w:sz w:val="23"/>
                <w:szCs w:val="23"/>
              </w:rPr>
            </w:pPr>
            <w:r>
              <w:rPr>
                <w:sz w:val="23"/>
                <w:szCs w:val="23"/>
              </w:rPr>
              <w:t xml:space="preserve">Months </w:t>
            </w:r>
            <w:r w:rsidR="00DB6AE9">
              <w:rPr>
                <w:sz w:val="23"/>
                <w:szCs w:val="23"/>
              </w:rPr>
              <w:t>1</w:t>
            </w:r>
            <w:r>
              <w:rPr>
                <w:sz w:val="23"/>
                <w:szCs w:val="23"/>
              </w:rPr>
              <w:t xml:space="preserve"> and </w:t>
            </w:r>
            <w:r w:rsidR="00DB6AE9">
              <w:rPr>
                <w:sz w:val="23"/>
                <w:szCs w:val="23"/>
              </w:rPr>
              <w:t>2</w:t>
            </w:r>
            <w:r>
              <w:rPr>
                <w:sz w:val="23"/>
                <w:szCs w:val="23"/>
              </w:rPr>
              <w:t xml:space="preserve"> </w:t>
            </w:r>
          </w:p>
        </w:tc>
      </w:tr>
      <w:tr w:rsidR="006430AC" w:rsidTr="00AA53E3" w14:paraId="2458A947" w14:textId="77777777">
        <w:trPr>
          <w:trHeight w:val="293"/>
        </w:trPr>
        <w:tc>
          <w:tcPr>
            <w:tcW w:w="4011" w:type="dxa"/>
          </w:tcPr>
          <w:p w:rsidR="006430AC" w:rsidP="00DB6AE9" w:rsidRDefault="00D10632" w14:paraId="5841BAFE" w14:textId="77777777">
            <w:pPr>
              <w:pStyle w:val="Default"/>
              <w:rPr>
                <w:sz w:val="23"/>
                <w:szCs w:val="23"/>
              </w:rPr>
            </w:pPr>
            <w:r>
              <w:rPr>
                <w:sz w:val="23"/>
                <w:szCs w:val="23"/>
              </w:rPr>
              <w:t>Collect data</w:t>
            </w:r>
            <w:r w:rsidR="006430AC">
              <w:rPr>
                <w:sz w:val="23"/>
                <w:szCs w:val="23"/>
              </w:rPr>
              <w:t xml:space="preserve"> </w:t>
            </w:r>
          </w:p>
        </w:tc>
        <w:tc>
          <w:tcPr>
            <w:tcW w:w="4011" w:type="dxa"/>
          </w:tcPr>
          <w:p w:rsidR="006430AC" w:rsidP="00CF19B1" w:rsidRDefault="007F59E6" w14:paraId="6CAF839A" w14:textId="1482ABC9">
            <w:pPr>
              <w:pStyle w:val="Default"/>
              <w:rPr>
                <w:sz w:val="23"/>
                <w:szCs w:val="23"/>
              </w:rPr>
            </w:pPr>
            <w:r>
              <w:rPr>
                <w:sz w:val="23"/>
                <w:szCs w:val="23"/>
              </w:rPr>
              <w:t xml:space="preserve">Months </w:t>
            </w:r>
            <w:r w:rsidR="00DB6AE9">
              <w:rPr>
                <w:sz w:val="23"/>
                <w:szCs w:val="23"/>
              </w:rPr>
              <w:t>2</w:t>
            </w:r>
            <w:r>
              <w:rPr>
                <w:sz w:val="23"/>
                <w:szCs w:val="23"/>
              </w:rPr>
              <w:t xml:space="preserve"> through </w:t>
            </w:r>
            <w:r w:rsidR="00CF19B1">
              <w:rPr>
                <w:sz w:val="23"/>
                <w:szCs w:val="23"/>
              </w:rPr>
              <w:t>4</w:t>
            </w:r>
          </w:p>
        </w:tc>
      </w:tr>
      <w:tr w:rsidR="006430AC" w:rsidTr="00AA53E3" w14:paraId="34094235" w14:textId="77777777">
        <w:trPr>
          <w:trHeight w:val="157"/>
        </w:trPr>
        <w:tc>
          <w:tcPr>
            <w:tcW w:w="4011" w:type="dxa"/>
          </w:tcPr>
          <w:p w:rsidR="006430AC" w:rsidRDefault="006430AC" w14:paraId="7862C5DB" w14:textId="77777777">
            <w:pPr>
              <w:pStyle w:val="Default"/>
              <w:rPr>
                <w:sz w:val="23"/>
                <w:szCs w:val="23"/>
              </w:rPr>
            </w:pPr>
            <w:r>
              <w:rPr>
                <w:sz w:val="23"/>
                <w:szCs w:val="23"/>
              </w:rPr>
              <w:t xml:space="preserve">Analyze data </w:t>
            </w:r>
          </w:p>
        </w:tc>
        <w:tc>
          <w:tcPr>
            <w:tcW w:w="4011" w:type="dxa"/>
          </w:tcPr>
          <w:p w:rsidR="006430AC" w:rsidP="00CF19B1" w:rsidRDefault="0095184A" w14:paraId="004D6430" w14:textId="5A38734B">
            <w:pPr>
              <w:pStyle w:val="Default"/>
              <w:rPr>
                <w:sz w:val="23"/>
                <w:szCs w:val="23"/>
              </w:rPr>
            </w:pPr>
            <w:r>
              <w:rPr>
                <w:sz w:val="23"/>
                <w:szCs w:val="23"/>
              </w:rPr>
              <w:t xml:space="preserve">Months </w:t>
            </w:r>
            <w:r w:rsidR="00CF19B1">
              <w:rPr>
                <w:sz w:val="23"/>
                <w:szCs w:val="23"/>
              </w:rPr>
              <w:t>4 and 5</w:t>
            </w:r>
            <w:r w:rsidR="006430AC">
              <w:rPr>
                <w:sz w:val="23"/>
                <w:szCs w:val="23"/>
              </w:rPr>
              <w:t xml:space="preserve"> </w:t>
            </w:r>
          </w:p>
        </w:tc>
      </w:tr>
    </w:tbl>
    <w:p w:rsidR="00D10632" w:rsidP="00A67DE5" w:rsidRDefault="00D10632" w14:paraId="623DAAA5" w14:textId="77777777">
      <w:pPr>
        <w:tabs>
          <w:tab w:val="left" w:pos="540"/>
        </w:tabs>
      </w:pPr>
    </w:p>
    <w:p w:rsidR="002F1C2F" w:rsidP="00A67DE5" w:rsidRDefault="0048726E" w14:paraId="72C8576D" w14:textId="77777777">
      <w:pPr>
        <w:tabs>
          <w:tab w:val="left" w:pos="540"/>
        </w:tabs>
      </w:pPr>
      <w:r>
        <w:t xml:space="preserve">Results of the </w:t>
      </w:r>
      <w:r w:rsidR="00DB6AE9">
        <w:t>three studies</w:t>
      </w:r>
      <w:r>
        <w:t xml:space="preserve"> </w:t>
      </w:r>
      <w:r w:rsidR="002B4A5D">
        <w:t>may</w:t>
      </w:r>
      <w:r>
        <w:t xml:space="preserve"> be published in a peer-reviewed </w:t>
      </w:r>
      <w:proofErr w:type="gramStart"/>
      <w:r>
        <w:t>journal, and</w:t>
      </w:r>
      <w:proofErr w:type="gramEnd"/>
      <w:r>
        <w:t xml:space="preserve"> disseminated via conferences.</w:t>
      </w:r>
    </w:p>
    <w:p w:rsidR="0048726E" w:rsidP="00A67DE5" w:rsidRDefault="0048726E" w14:paraId="0ACEE87D" w14:textId="77777777">
      <w:pPr>
        <w:tabs>
          <w:tab w:val="left" w:pos="540"/>
        </w:tabs>
      </w:pPr>
    </w:p>
    <w:p w:rsidRPr="00EF52AE" w:rsidR="00A67DE5" w:rsidP="00A67DE5" w:rsidRDefault="007452B3" w14:paraId="3EB9A880" w14:textId="77777777">
      <w:pPr>
        <w:pStyle w:val="Heading2"/>
        <w:rPr>
          <w:rFonts w:ascii="Times New Roman" w:hAnsi="Times New Roman"/>
        </w:rPr>
      </w:pPr>
      <w:bookmarkStart w:name="_Toc93477401" w:id="25"/>
      <w:r>
        <w:rPr>
          <w:rFonts w:ascii="Times New Roman" w:hAnsi="Times New Roman"/>
        </w:rPr>
        <w:t xml:space="preserve">A17. </w:t>
      </w:r>
      <w:r w:rsidRPr="00EF52AE" w:rsidR="00A67DE5">
        <w:rPr>
          <w:rFonts w:ascii="Times New Roman" w:hAnsi="Times New Roman"/>
        </w:rPr>
        <w:t>Display of OMB Expiration Date</w:t>
      </w:r>
      <w:bookmarkEnd w:id="25"/>
    </w:p>
    <w:p w:rsidR="00A67DE5" w:rsidP="00A67DE5" w:rsidRDefault="00A67DE5" w14:paraId="73820CF7" w14:textId="77777777">
      <w:pPr>
        <w:tabs>
          <w:tab w:val="left" w:pos="540"/>
        </w:tabs>
      </w:pPr>
    </w:p>
    <w:p w:rsidR="00A67DE5" w:rsidP="00A67DE5" w:rsidRDefault="00A67DE5" w14:paraId="5F385118" w14:textId="77777777">
      <w:pPr>
        <w:tabs>
          <w:tab w:val="left" w:pos="540"/>
        </w:tabs>
      </w:pPr>
      <w:r>
        <w:t>The expiration date for OMB approval of this information col</w:t>
      </w:r>
      <w:r w:rsidR="00DB6AE9">
        <w:t>lection will be displayed on respondent communication materials and will be available to interviewers to read aloud during the Zoom sessions as requested</w:t>
      </w:r>
      <w:r>
        <w:t>.</w:t>
      </w:r>
    </w:p>
    <w:p w:rsidR="00A67DE5" w:rsidP="00A67DE5" w:rsidRDefault="00A67DE5" w14:paraId="0E8BFF2E" w14:textId="77777777">
      <w:pPr>
        <w:tabs>
          <w:tab w:val="left" w:pos="540"/>
        </w:tabs>
      </w:pPr>
    </w:p>
    <w:p w:rsidRPr="00087CBC" w:rsidR="00DB6AE9" w:rsidP="00DB6AE9" w:rsidRDefault="004C5131" w14:paraId="2BC94C0C" w14:textId="77777777">
      <w:pPr>
        <w:pStyle w:val="Heading1"/>
        <w:jc w:val="center"/>
      </w:pPr>
      <w:r>
        <w:br w:type="page"/>
      </w:r>
      <w:r w:rsidRPr="00087CBC" w:rsidR="00DB6AE9">
        <w:lastRenderedPageBreak/>
        <w:t xml:space="preserve"> </w:t>
      </w:r>
    </w:p>
    <w:p w:rsidRPr="008D5FF9" w:rsidR="00CF19B1" w:rsidP="00CF19B1" w:rsidRDefault="00CF19B1" w14:paraId="57B65BB3" w14:textId="77777777">
      <w:pPr>
        <w:contextualSpacing/>
        <w:rPr>
          <w:b/>
          <w:u w:val="single"/>
        </w:rPr>
      </w:pPr>
      <w:r w:rsidRPr="008D5FF9">
        <w:rPr>
          <w:b/>
          <w:u w:val="single"/>
        </w:rPr>
        <w:t>List of Attachments</w:t>
      </w:r>
    </w:p>
    <w:p w:rsidRPr="008D5FF9" w:rsidR="00CF19B1" w:rsidP="00CF19B1" w:rsidRDefault="00CF19B1" w14:paraId="09E8B7C0" w14:textId="77777777">
      <w:pPr>
        <w:contextualSpacing/>
      </w:pPr>
    </w:p>
    <w:p w:rsidRPr="008D5FF9" w:rsidR="00CF19B1" w:rsidP="00CF19B1" w:rsidRDefault="00CF19B1" w14:paraId="3FDDEC6F" w14:textId="0A4E50BD">
      <w:r>
        <w:t>Attachment 1-</w:t>
      </w:r>
      <w:r w:rsidRPr="008D5FF9">
        <w:t xml:space="preserve">A. </w:t>
      </w:r>
      <w:r w:rsidR="008C16E1">
        <w:t xml:space="preserve">Study 1 </w:t>
      </w:r>
      <w:r w:rsidRPr="008D5FF9">
        <w:t>Study Ad</w:t>
      </w:r>
    </w:p>
    <w:p w:rsidRPr="004224DC" w:rsidR="00CF19B1" w:rsidP="00CF19B1" w:rsidRDefault="00CF19B1" w14:paraId="3FC43431" w14:textId="2C5C1F9F">
      <w:r w:rsidRPr="004224DC">
        <w:t xml:space="preserve">Attachment 1-B. </w:t>
      </w:r>
      <w:r w:rsidRPr="004224DC" w:rsidR="008C16E1">
        <w:t xml:space="preserve">Study 1 </w:t>
      </w:r>
      <w:r w:rsidRPr="004224DC">
        <w:t xml:space="preserve">Recruitment screener </w:t>
      </w:r>
    </w:p>
    <w:p w:rsidRPr="008D5FF9" w:rsidR="00CF19B1" w:rsidP="00CF19B1" w:rsidRDefault="00CF19B1" w14:paraId="65131BC8" w14:textId="4A06A0A2">
      <w:r w:rsidRPr="004224DC">
        <w:t xml:space="preserve">Attachment 1-C. </w:t>
      </w:r>
      <w:r w:rsidRPr="004224DC" w:rsidR="008C16E1">
        <w:t xml:space="preserve">Study 1 </w:t>
      </w:r>
      <w:r w:rsidRPr="004224DC">
        <w:t>Recruitment script</w:t>
      </w:r>
      <w:r w:rsidRPr="008D5FF9">
        <w:t xml:space="preserve"> </w:t>
      </w:r>
    </w:p>
    <w:p w:rsidRPr="008D5FF9" w:rsidR="00CF19B1" w:rsidP="00CF19B1" w:rsidRDefault="00CF19B1" w14:paraId="291DBBA6" w14:textId="27BE2FCF">
      <w:r>
        <w:t>Attachment 1-</w:t>
      </w:r>
      <w:r w:rsidRPr="008D5FF9">
        <w:t xml:space="preserve">D. </w:t>
      </w:r>
      <w:r w:rsidR="008C16E1">
        <w:t xml:space="preserve">Study 1 </w:t>
      </w:r>
      <w:r w:rsidRPr="008D5FF9">
        <w:t xml:space="preserve">Consent form </w:t>
      </w:r>
    </w:p>
    <w:p w:rsidRPr="008D5FF9" w:rsidR="00CF19B1" w:rsidP="00CF19B1" w:rsidRDefault="00CF19B1" w14:paraId="74B489AC" w14:textId="47E6F2F9">
      <w:r>
        <w:t>Attachment 1-</w:t>
      </w:r>
      <w:r w:rsidRPr="008D5FF9">
        <w:t xml:space="preserve">E. </w:t>
      </w:r>
      <w:r w:rsidR="008C16E1">
        <w:t xml:space="preserve">Study 1 </w:t>
      </w:r>
      <w:r w:rsidRPr="008D5FF9">
        <w:t xml:space="preserve">Zoom instructions </w:t>
      </w:r>
    </w:p>
    <w:p w:rsidRPr="004224DC" w:rsidR="00CF19B1" w:rsidP="00CF19B1" w:rsidRDefault="00CF19B1" w14:paraId="4D12786E" w14:textId="0378EBBE">
      <w:r w:rsidRPr="004224DC">
        <w:t xml:space="preserve">Attachment 1-F. </w:t>
      </w:r>
      <w:r w:rsidRPr="004224DC" w:rsidR="008C16E1">
        <w:t xml:space="preserve">Study 1 </w:t>
      </w:r>
      <w:r w:rsidRPr="004224DC">
        <w:t>MCI Protocol</w:t>
      </w:r>
      <w:r w:rsidRPr="004224DC" w:rsidR="008C16E1">
        <w:t xml:space="preserve"> 1</w:t>
      </w:r>
      <w:r w:rsidRPr="004224DC">
        <w:t xml:space="preserve"> </w:t>
      </w:r>
    </w:p>
    <w:p w:rsidRPr="004224DC" w:rsidR="00CF19B1" w:rsidP="00CF19B1" w:rsidRDefault="00CF19B1" w14:paraId="58A2F1FF" w14:textId="1C8FAAFD">
      <w:r w:rsidRPr="004224DC">
        <w:t xml:space="preserve">Attachment 1-G. </w:t>
      </w:r>
      <w:r w:rsidRPr="004224DC" w:rsidR="008C16E1">
        <w:t xml:space="preserve">Study 1 </w:t>
      </w:r>
      <w:r w:rsidRPr="004224DC">
        <w:t xml:space="preserve">MCI Protocol 2 </w:t>
      </w:r>
    </w:p>
    <w:p w:rsidRPr="004224DC" w:rsidR="00CF19B1" w:rsidP="00CF19B1" w:rsidRDefault="00CF19B1" w14:paraId="7E2A9BE6" w14:textId="685EBFC3">
      <w:r w:rsidRPr="004224DC">
        <w:t xml:space="preserve">Attachment 1-H. </w:t>
      </w:r>
      <w:r w:rsidRPr="004224DC" w:rsidR="008C16E1">
        <w:t xml:space="preserve">Study 1 </w:t>
      </w:r>
      <w:r w:rsidRPr="004224DC">
        <w:t>Protocol</w:t>
      </w:r>
      <w:r w:rsidRPr="004224DC" w:rsidR="008C16E1">
        <w:t xml:space="preserve"> 3</w:t>
      </w:r>
      <w:r w:rsidRPr="004224DC">
        <w:t xml:space="preserve"> </w:t>
      </w:r>
      <w:r w:rsidRPr="004224DC" w:rsidR="008C16E1">
        <w:t>(R2)</w:t>
      </w:r>
    </w:p>
    <w:p w:rsidRPr="008D5FF9" w:rsidR="00CF19B1" w:rsidP="00CF19B1" w:rsidRDefault="00CF19B1" w14:paraId="43ABC5B5" w14:textId="6DE18B49">
      <w:r w:rsidRPr="004224DC">
        <w:t>Attachment 1-</w:t>
      </w:r>
      <w:r w:rsidRPr="004224DC" w:rsidR="00C27B43">
        <w:t xml:space="preserve">I. </w:t>
      </w:r>
      <w:r w:rsidRPr="004224DC" w:rsidR="008C16E1">
        <w:t xml:space="preserve">Study 1 </w:t>
      </w:r>
      <w:r w:rsidRPr="004224DC">
        <w:t>MEPS Abbreviated R2 Interview</w:t>
      </w:r>
      <w:r w:rsidRPr="008D5FF9">
        <w:t xml:space="preserve"> </w:t>
      </w:r>
    </w:p>
    <w:p w:rsidRPr="008D5FF9" w:rsidR="00CF19B1" w:rsidP="00CF19B1" w:rsidRDefault="00CF19B1" w14:paraId="2FCC9409" w14:textId="77777777">
      <w:pPr>
        <w:contextualSpacing/>
      </w:pPr>
    </w:p>
    <w:p w:rsidRPr="008D5FF9" w:rsidR="00CF19B1" w:rsidP="00CF19B1" w:rsidRDefault="00CF19B1" w14:paraId="5657EA98" w14:textId="3EE6E627">
      <w:r>
        <w:t>Attachment 2-</w:t>
      </w:r>
      <w:r w:rsidRPr="008D5FF9">
        <w:t xml:space="preserve">A. </w:t>
      </w:r>
      <w:r w:rsidR="008C16E1">
        <w:t xml:space="preserve">Study 2 </w:t>
      </w:r>
      <w:r w:rsidRPr="008D5FF9">
        <w:t>Recruitment letter</w:t>
      </w:r>
    </w:p>
    <w:p w:rsidRPr="008D5FF9" w:rsidR="00CF19B1" w:rsidP="00CF19B1" w:rsidRDefault="00CF19B1" w14:paraId="05CFB472" w14:textId="706611BE">
      <w:r w:rsidRPr="004224DC">
        <w:t xml:space="preserve">Attachment 2-B. </w:t>
      </w:r>
      <w:r w:rsidRPr="004224DC" w:rsidR="008C16E1">
        <w:t xml:space="preserve">Study 2 </w:t>
      </w:r>
      <w:r w:rsidRPr="004224DC">
        <w:t>Recruitment telephone script + scheduling MCI interview</w:t>
      </w:r>
      <w:r w:rsidRPr="008D5FF9">
        <w:t xml:space="preserve"> </w:t>
      </w:r>
    </w:p>
    <w:p w:rsidRPr="008D5FF9" w:rsidR="00CF19B1" w:rsidP="00CF19B1" w:rsidRDefault="00CF19B1" w14:paraId="0C4A2A1F" w14:textId="0F575945">
      <w:r>
        <w:t>Attachment 2-</w:t>
      </w:r>
      <w:r w:rsidRPr="008D5FF9">
        <w:t xml:space="preserve">C. </w:t>
      </w:r>
      <w:r w:rsidR="008C16E1">
        <w:t xml:space="preserve">Study 2 </w:t>
      </w:r>
      <w:r w:rsidRPr="008D5FF9">
        <w:t xml:space="preserve">Consent form </w:t>
      </w:r>
    </w:p>
    <w:p w:rsidRPr="008D5FF9" w:rsidR="00CF19B1" w:rsidP="00CF19B1" w:rsidRDefault="00CF19B1" w14:paraId="143E9D4A" w14:textId="4B203A4B">
      <w:bookmarkStart w:name="_Hlk95470930" w:id="26"/>
      <w:r>
        <w:t>Attachment 2-</w:t>
      </w:r>
      <w:r w:rsidRPr="008D5FF9">
        <w:t xml:space="preserve">D. </w:t>
      </w:r>
      <w:r w:rsidR="008C16E1">
        <w:t xml:space="preserve">Study 2 </w:t>
      </w:r>
      <w:r w:rsidRPr="008D5FF9">
        <w:t>Zoom instructions</w:t>
      </w:r>
      <w:bookmarkEnd w:id="26"/>
    </w:p>
    <w:p w:rsidRPr="004224DC" w:rsidR="00CF19B1" w:rsidP="00CF19B1" w:rsidRDefault="00CF19B1" w14:paraId="4124D1EF" w14:textId="30031FA7">
      <w:r w:rsidRPr="004224DC">
        <w:t xml:space="preserve">Attachment 2-E. </w:t>
      </w:r>
      <w:r w:rsidRPr="004224DC" w:rsidR="008C16E1">
        <w:t>Study 2 M</w:t>
      </w:r>
      <w:r w:rsidRPr="004224DC">
        <w:t>CI Protocol</w:t>
      </w:r>
    </w:p>
    <w:p w:rsidRPr="008D5FF9" w:rsidR="00CF19B1" w:rsidP="00CF19B1" w:rsidRDefault="00CF19B1" w14:paraId="3C96A48D" w14:textId="5DF6FBBF">
      <w:r w:rsidRPr="004224DC">
        <w:t xml:space="preserve">Attachment 2-F. </w:t>
      </w:r>
      <w:r w:rsidRPr="004224DC" w:rsidR="008C16E1">
        <w:t xml:space="preserve">Study 2 </w:t>
      </w:r>
      <w:r w:rsidRPr="004224DC">
        <w:t>Focus group protocol</w:t>
      </w:r>
      <w:r w:rsidRPr="008D5FF9">
        <w:t xml:space="preserve"> </w:t>
      </w:r>
    </w:p>
    <w:p w:rsidRPr="008D5FF9" w:rsidR="00CF19B1" w:rsidP="00CF19B1" w:rsidRDefault="00CF19B1" w14:paraId="7A33902F" w14:textId="77777777">
      <w:pPr>
        <w:contextualSpacing/>
      </w:pPr>
    </w:p>
    <w:p w:rsidR="00D85E9B" w:rsidP="004C5131" w:rsidRDefault="00D85E9B" w14:paraId="4C3986F6" w14:textId="77777777">
      <w:pPr>
        <w:tabs>
          <w:tab w:val="left" w:pos="540"/>
        </w:tabs>
      </w:pPr>
    </w:p>
    <w:sectPr w:rsidR="00D85E9B" w:rsidSect="00081B9F">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0F692" w14:textId="77777777" w:rsidR="00313F70" w:rsidRDefault="00313F70">
      <w:r>
        <w:separator/>
      </w:r>
    </w:p>
  </w:endnote>
  <w:endnote w:type="continuationSeparator" w:id="0">
    <w:p w14:paraId="37AC2981" w14:textId="77777777" w:rsidR="00313F70" w:rsidRDefault="0031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Times New Roman"/>
    <w:charset w:val="00"/>
    <w:family w:val="swiss"/>
    <w:pitch w:val="variable"/>
    <w:sig w:usb0="E1000AEF" w:usb1="5000A1FF" w:usb2="00000000" w:usb3="00000000" w:csb0="000001BF" w:csb1="00000000"/>
  </w:font>
  <w:font w:name="Futura Condensed">
    <w:altName w:val="Arial"/>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76124" w14:textId="77777777" w:rsidR="00313F70" w:rsidRDefault="00313F70" w:rsidP="002078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265900" w14:textId="77777777" w:rsidR="00313F70" w:rsidRDefault="00313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09656" w14:textId="0C14D550" w:rsidR="00313F70" w:rsidRDefault="00313F70" w:rsidP="002078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337FB">
      <w:rPr>
        <w:rStyle w:val="PageNumber"/>
        <w:noProof/>
      </w:rPr>
      <w:t>7</w:t>
    </w:r>
    <w:r>
      <w:rPr>
        <w:rStyle w:val="PageNumber"/>
      </w:rPr>
      <w:fldChar w:fldCharType="end"/>
    </w:r>
  </w:p>
  <w:p w14:paraId="3B8440B4" w14:textId="77777777" w:rsidR="00313F70" w:rsidRDefault="00313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7729" w14:textId="2EDB8E8A" w:rsidR="00313F70" w:rsidRDefault="00313F70" w:rsidP="00BE6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37FB">
      <w:rPr>
        <w:rStyle w:val="PageNumber"/>
        <w:noProof/>
      </w:rPr>
      <w:t>1</w:t>
    </w:r>
    <w:r>
      <w:rPr>
        <w:rStyle w:val="PageNumber"/>
      </w:rPr>
      <w:fldChar w:fldCharType="end"/>
    </w:r>
  </w:p>
  <w:p w14:paraId="73954A37" w14:textId="77777777" w:rsidR="00313F70" w:rsidRDefault="00313F70" w:rsidP="00D10660">
    <w:pPr>
      <w:pStyle w:val="Footer"/>
      <w:tabs>
        <w:tab w:val="clear" w:pos="4320"/>
        <w:tab w:val="clear" w:pos="8640"/>
        <w:tab w:val="left" w:pos="6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7615D" w14:textId="77777777" w:rsidR="00313F70" w:rsidRDefault="00313F70">
      <w:r>
        <w:separator/>
      </w:r>
    </w:p>
  </w:footnote>
  <w:footnote w:type="continuationSeparator" w:id="0">
    <w:p w14:paraId="449B668B" w14:textId="77777777" w:rsidR="00313F70" w:rsidRDefault="00313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EA6E9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66A21"/>
    <w:multiLevelType w:val="hybridMultilevel"/>
    <w:tmpl w:val="96D8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65783"/>
    <w:multiLevelType w:val="hybridMultilevel"/>
    <w:tmpl w:val="00F05C5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31989"/>
    <w:multiLevelType w:val="hybridMultilevel"/>
    <w:tmpl w:val="B9F0DB4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27E70786"/>
    <w:multiLevelType w:val="hybridMultilevel"/>
    <w:tmpl w:val="3C9CA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D788D"/>
    <w:multiLevelType w:val="multilevel"/>
    <w:tmpl w:val="7FB48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7845A5"/>
    <w:multiLevelType w:val="hybridMultilevel"/>
    <w:tmpl w:val="39E8D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761C7"/>
    <w:multiLevelType w:val="hybridMultilevel"/>
    <w:tmpl w:val="CD249BEE"/>
    <w:lvl w:ilvl="0" w:tplc="06CE54AA">
      <w:start w:val="1"/>
      <w:numFmt w:val="bullet"/>
      <w:lvlText w:val=""/>
      <w:lvlJc w:val="left"/>
      <w:pPr>
        <w:ind w:left="1440" w:hanging="360"/>
      </w:pPr>
      <w:rPr>
        <w:rFonts w:ascii="Symbol" w:hAnsi="Symbol"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B975F5"/>
    <w:multiLevelType w:val="hybridMultilevel"/>
    <w:tmpl w:val="F35C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8F737F"/>
    <w:multiLevelType w:val="hybridMultilevel"/>
    <w:tmpl w:val="29CC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C7D45"/>
    <w:multiLevelType w:val="hybridMultilevel"/>
    <w:tmpl w:val="3698C7E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4"/>
  </w:num>
  <w:num w:numId="2">
    <w:abstractNumId w:val="11"/>
  </w:num>
  <w:num w:numId="3">
    <w:abstractNumId w:val="2"/>
  </w:num>
  <w:num w:numId="4">
    <w:abstractNumId w:val="0"/>
  </w:num>
  <w:num w:numId="5">
    <w:abstractNumId w:val="1"/>
  </w:num>
  <w:num w:numId="6">
    <w:abstractNumId w:val="13"/>
  </w:num>
  <w:num w:numId="7">
    <w:abstractNumId w:val="5"/>
  </w:num>
  <w:num w:numId="8">
    <w:abstractNumId w:val="6"/>
  </w:num>
  <w:num w:numId="9">
    <w:abstractNumId w:val="7"/>
  </w:num>
  <w:num w:numId="10">
    <w:abstractNumId w:val="12"/>
  </w:num>
  <w:num w:numId="11">
    <w:abstractNumId w:val="3"/>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E5"/>
    <w:rsid w:val="00002D67"/>
    <w:rsid w:val="00003FA0"/>
    <w:rsid w:val="0001391C"/>
    <w:rsid w:val="00013A52"/>
    <w:rsid w:val="00015EE4"/>
    <w:rsid w:val="00017DC9"/>
    <w:rsid w:val="00025FA2"/>
    <w:rsid w:val="000432E7"/>
    <w:rsid w:val="00053C3C"/>
    <w:rsid w:val="00055EDC"/>
    <w:rsid w:val="00066EB6"/>
    <w:rsid w:val="00081AC3"/>
    <w:rsid w:val="00081B9F"/>
    <w:rsid w:val="000860A0"/>
    <w:rsid w:val="00087CBC"/>
    <w:rsid w:val="000950E9"/>
    <w:rsid w:val="00097010"/>
    <w:rsid w:val="000A1E31"/>
    <w:rsid w:val="000B0B03"/>
    <w:rsid w:val="000C6EE6"/>
    <w:rsid w:val="000E1E08"/>
    <w:rsid w:val="000E38BB"/>
    <w:rsid w:val="000F22B2"/>
    <w:rsid w:val="000F36F4"/>
    <w:rsid w:val="000F5522"/>
    <w:rsid w:val="0010229A"/>
    <w:rsid w:val="00106398"/>
    <w:rsid w:val="00107082"/>
    <w:rsid w:val="00122E88"/>
    <w:rsid w:val="00124C9D"/>
    <w:rsid w:val="00126E54"/>
    <w:rsid w:val="001274AF"/>
    <w:rsid w:val="001300A6"/>
    <w:rsid w:val="001328DF"/>
    <w:rsid w:val="001440DC"/>
    <w:rsid w:val="0014423D"/>
    <w:rsid w:val="001447E9"/>
    <w:rsid w:val="00156398"/>
    <w:rsid w:val="00156552"/>
    <w:rsid w:val="0017351B"/>
    <w:rsid w:val="00174CAF"/>
    <w:rsid w:val="00183CF9"/>
    <w:rsid w:val="00184411"/>
    <w:rsid w:val="00191F3A"/>
    <w:rsid w:val="001B1819"/>
    <w:rsid w:val="001B370C"/>
    <w:rsid w:val="001C2CFD"/>
    <w:rsid w:val="001C2D34"/>
    <w:rsid w:val="001D2B4C"/>
    <w:rsid w:val="001D7CD0"/>
    <w:rsid w:val="001E0ED5"/>
    <w:rsid w:val="001E1350"/>
    <w:rsid w:val="001E21E3"/>
    <w:rsid w:val="001E24B1"/>
    <w:rsid w:val="001E51D3"/>
    <w:rsid w:val="001F002C"/>
    <w:rsid w:val="002058BD"/>
    <w:rsid w:val="00207838"/>
    <w:rsid w:val="00221D2D"/>
    <w:rsid w:val="00230D6F"/>
    <w:rsid w:val="00244677"/>
    <w:rsid w:val="002569C4"/>
    <w:rsid w:val="0026072A"/>
    <w:rsid w:val="002619D5"/>
    <w:rsid w:val="00264273"/>
    <w:rsid w:val="00284501"/>
    <w:rsid w:val="00290DE4"/>
    <w:rsid w:val="00292287"/>
    <w:rsid w:val="002A392C"/>
    <w:rsid w:val="002B4A5D"/>
    <w:rsid w:val="002B57BE"/>
    <w:rsid w:val="002B676C"/>
    <w:rsid w:val="002B7233"/>
    <w:rsid w:val="002C6791"/>
    <w:rsid w:val="002E046E"/>
    <w:rsid w:val="002E2B87"/>
    <w:rsid w:val="002E35AD"/>
    <w:rsid w:val="002E6B83"/>
    <w:rsid w:val="002F109C"/>
    <w:rsid w:val="002F1C2F"/>
    <w:rsid w:val="002F1DC2"/>
    <w:rsid w:val="002F3802"/>
    <w:rsid w:val="002F4630"/>
    <w:rsid w:val="002F53C9"/>
    <w:rsid w:val="002F7727"/>
    <w:rsid w:val="00301E29"/>
    <w:rsid w:val="00313F70"/>
    <w:rsid w:val="00314A85"/>
    <w:rsid w:val="00316B42"/>
    <w:rsid w:val="003475E6"/>
    <w:rsid w:val="0036227F"/>
    <w:rsid w:val="00370001"/>
    <w:rsid w:val="00374639"/>
    <w:rsid w:val="00390DD8"/>
    <w:rsid w:val="003936FF"/>
    <w:rsid w:val="0039397D"/>
    <w:rsid w:val="00397D07"/>
    <w:rsid w:val="003A3622"/>
    <w:rsid w:val="003B00DA"/>
    <w:rsid w:val="003C0CDE"/>
    <w:rsid w:val="003C11B7"/>
    <w:rsid w:val="003E40BE"/>
    <w:rsid w:val="003E49FF"/>
    <w:rsid w:val="003E4E8F"/>
    <w:rsid w:val="003F0111"/>
    <w:rsid w:val="00415BFD"/>
    <w:rsid w:val="00417F18"/>
    <w:rsid w:val="00421689"/>
    <w:rsid w:val="004224DC"/>
    <w:rsid w:val="0042499D"/>
    <w:rsid w:val="00427A68"/>
    <w:rsid w:val="0043769D"/>
    <w:rsid w:val="00440118"/>
    <w:rsid w:val="00440194"/>
    <w:rsid w:val="00440B8F"/>
    <w:rsid w:val="00440F58"/>
    <w:rsid w:val="00442C49"/>
    <w:rsid w:val="00443EEF"/>
    <w:rsid w:val="004514A0"/>
    <w:rsid w:val="00456317"/>
    <w:rsid w:val="00460B03"/>
    <w:rsid w:val="00461752"/>
    <w:rsid w:val="0046659C"/>
    <w:rsid w:val="0047029F"/>
    <w:rsid w:val="00472CC4"/>
    <w:rsid w:val="00481689"/>
    <w:rsid w:val="00484F47"/>
    <w:rsid w:val="0048726E"/>
    <w:rsid w:val="00491A36"/>
    <w:rsid w:val="00497BD6"/>
    <w:rsid w:val="004C2FEC"/>
    <w:rsid w:val="004C5131"/>
    <w:rsid w:val="004E425C"/>
    <w:rsid w:val="004E7D70"/>
    <w:rsid w:val="004F15B6"/>
    <w:rsid w:val="005062E5"/>
    <w:rsid w:val="005078D0"/>
    <w:rsid w:val="00510B52"/>
    <w:rsid w:val="0051769B"/>
    <w:rsid w:val="00523364"/>
    <w:rsid w:val="00524C00"/>
    <w:rsid w:val="005268C3"/>
    <w:rsid w:val="00533A11"/>
    <w:rsid w:val="00550834"/>
    <w:rsid w:val="005516C1"/>
    <w:rsid w:val="005516FB"/>
    <w:rsid w:val="005621E5"/>
    <w:rsid w:val="00562B3A"/>
    <w:rsid w:val="00563EFD"/>
    <w:rsid w:val="005640E5"/>
    <w:rsid w:val="00565BA6"/>
    <w:rsid w:val="00571D43"/>
    <w:rsid w:val="00575C83"/>
    <w:rsid w:val="00575C98"/>
    <w:rsid w:val="005766C7"/>
    <w:rsid w:val="00580D54"/>
    <w:rsid w:val="00583A3C"/>
    <w:rsid w:val="00585877"/>
    <w:rsid w:val="00590C17"/>
    <w:rsid w:val="005936C5"/>
    <w:rsid w:val="00597864"/>
    <w:rsid w:val="005A7CE6"/>
    <w:rsid w:val="005D10F9"/>
    <w:rsid w:val="005D29E2"/>
    <w:rsid w:val="005D3156"/>
    <w:rsid w:val="005D4022"/>
    <w:rsid w:val="005E03F7"/>
    <w:rsid w:val="005E110B"/>
    <w:rsid w:val="005E20CB"/>
    <w:rsid w:val="005E4797"/>
    <w:rsid w:val="005E7AF5"/>
    <w:rsid w:val="005F4237"/>
    <w:rsid w:val="005F702C"/>
    <w:rsid w:val="00600E64"/>
    <w:rsid w:val="00611B13"/>
    <w:rsid w:val="006125E3"/>
    <w:rsid w:val="00614352"/>
    <w:rsid w:val="00623994"/>
    <w:rsid w:val="00631720"/>
    <w:rsid w:val="006430AC"/>
    <w:rsid w:val="00652568"/>
    <w:rsid w:val="00661698"/>
    <w:rsid w:val="006620B6"/>
    <w:rsid w:val="00667F02"/>
    <w:rsid w:val="00670F8B"/>
    <w:rsid w:val="00672E08"/>
    <w:rsid w:val="00681D38"/>
    <w:rsid w:val="00684BFA"/>
    <w:rsid w:val="00686D91"/>
    <w:rsid w:val="006929BD"/>
    <w:rsid w:val="00693048"/>
    <w:rsid w:val="00694351"/>
    <w:rsid w:val="00696DA9"/>
    <w:rsid w:val="006B3208"/>
    <w:rsid w:val="006B4388"/>
    <w:rsid w:val="006C2AA2"/>
    <w:rsid w:val="006C4517"/>
    <w:rsid w:val="006C4C5C"/>
    <w:rsid w:val="006C4E32"/>
    <w:rsid w:val="006C69A3"/>
    <w:rsid w:val="006C7969"/>
    <w:rsid w:val="006D053F"/>
    <w:rsid w:val="006D5D30"/>
    <w:rsid w:val="006D77E8"/>
    <w:rsid w:val="006D7DA3"/>
    <w:rsid w:val="006E1902"/>
    <w:rsid w:val="006E7164"/>
    <w:rsid w:val="006F4286"/>
    <w:rsid w:val="006F68D2"/>
    <w:rsid w:val="00712ADB"/>
    <w:rsid w:val="0072465F"/>
    <w:rsid w:val="00740C1D"/>
    <w:rsid w:val="007452B3"/>
    <w:rsid w:val="0074741D"/>
    <w:rsid w:val="00752056"/>
    <w:rsid w:val="00755331"/>
    <w:rsid w:val="00762735"/>
    <w:rsid w:val="0076495D"/>
    <w:rsid w:val="00772056"/>
    <w:rsid w:val="00774130"/>
    <w:rsid w:val="0077422A"/>
    <w:rsid w:val="00780235"/>
    <w:rsid w:val="007838CF"/>
    <w:rsid w:val="007872EE"/>
    <w:rsid w:val="00787C63"/>
    <w:rsid w:val="00790763"/>
    <w:rsid w:val="007A2EF3"/>
    <w:rsid w:val="007A72ED"/>
    <w:rsid w:val="007A7D1E"/>
    <w:rsid w:val="007B478D"/>
    <w:rsid w:val="007B6D64"/>
    <w:rsid w:val="007C07E2"/>
    <w:rsid w:val="007C63DE"/>
    <w:rsid w:val="007C721C"/>
    <w:rsid w:val="007D3740"/>
    <w:rsid w:val="007D72EC"/>
    <w:rsid w:val="007E00DC"/>
    <w:rsid w:val="007E034F"/>
    <w:rsid w:val="007E1BCD"/>
    <w:rsid w:val="007E489E"/>
    <w:rsid w:val="007E49C6"/>
    <w:rsid w:val="007F59E6"/>
    <w:rsid w:val="007F7376"/>
    <w:rsid w:val="00805A53"/>
    <w:rsid w:val="00815356"/>
    <w:rsid w:val="008202E3"/>
    <w:rsid w:val="00834CDA"/>
    <w:rsid w:val="008414C1"/>
    <w:rsid w:val="00843655"/>
    <w:rsid w:val="008448C2"/>
    <w:rsid w:val="008456D6"/>
    <w:rsid w:val="00846CF7"/>
    <w:rsid w:val="00850114"/>
    <w:rsid w:val="0085024A"/>
    <w:rsid w:val="00867AD6"/>
    <w:rsid w:val="0087003F"/>
    <w:rsid w:val="00890144"/>
    <w:rsid w:val="00894DEC"/>
    <w:rsid w:val="008A1DD9"/>
    <w:rsid w:val="008A2570"/>
    <w:rsid w:val="008A55B7"/>
    <w:rsid w:val="008B4272"/>
    <w:rsid w:val="008B5E79"/>
    <w:rsid w:val="008C16E1"/>
    <w:rsid w:val="008D22D7"/>
    <w:rsid w:val="008E0CA5"/>
    <w:rsid w:val="008E0F2B"/>
    <w:rsid w:val="008E419F"/>
    <w:rsid w:val="00900A1D"/>
    <w:rsid w:val="00912C4C"/>
    <w:rsid w:val="009249A3"/>
    <w:rsid w:val="009274D3"/>
    <w:rsid w:val="0095184A"/>
    <w:rsid w:val="00953102"/>
    <w:rsid w:val="00966D65"/>
    <w:rsid w:val="00967552"/>
    <w:rsid w:val="0097575F"/>
    <w:rsid w:val="00994828"/>
    <w:rsid w:val="009A2127"/>
    <w:rsid w:val="009A29CB"/>
    <w:rsid w:val="009B3A4C"/>
    <w:rsid w:val="009B710C"/>
    <w:rsid w:val="009C1E80"/>
    <w:rsid w:val="009D2C9F"/>
    <w:rsid w:val="009D4273"/>
    <w:rsid w:val="009D5B52"/>
    <w:rsid w:val="009D6ED4"/>
    <w:rsid w:val="009F5DC0"/>
    <w:rsid w:val="009F7E16"/>
    <w:rsid w:val="00A0132C"/>
    <w:rsid w:val="00A03A30"/>
    <w:rsid w:val="00A058A1"/>
    <w:rsid w:val="00A063C6"/>
    <w:rsid w:val="00A21C39"/>
    <w:rsid w:val="00A30D7B"/>
    <w:rsid w:val="00A32AA6"/>
    <w:rsid w:val="00A40E81"/>
    <w:rsid w:val="00A42819"/>
    <w:rsid w:val="00A42F4D"/>
    <w:rsid w:val="00A445CD"/>
    <w:rsid w:val="00A45057"/>
    <w:rsid w:val="00A461F0"/>
    <w:rsid w:val="00A57AD8"/>
    <w:rsid w:val="00A61132"/>
    <w:rsid w:val="00A677FF"/>
    <w:rsid w:val="00A67DE5"/>
    <w:rsid w:val="00A74F7C"/>
    <w:rsid w:val="00A76445"/>
    <w:rsid w:val="00A83768"/>
    <w:rsid w:val="00A845AC"/>
    <w:rsid w:val="00A92B2D"/>
    <w:rsid w:val="00A93758"/>
    <w:rsid w:val="00A94FE4"/>
    <w:rsid w:val="00AA2EA4"/>
    <w:rsid w:val="00AA53E3"/>
    <w:rsid w:val="00AA5666"/>
    <w:rsid w:val="00AB38E0"/>
    <w:rsid w:val="00AB7E13"/>
    <w:rsid w:val="00AC101B"/>
    <w:rsid w:val="00AC1E46"/>
    <w:rsid w:val="00AC5338"/>
    <w:rsid w:val="00AD7E61"/>
    <w:rsid w:val="00AE66BD"/>
    <w:rsid w:val="00AE7D67"/>
    <w:rsid w:val="00B0428B"/>
    <w:rsid w:val="00B05D85"/>
    <w:rsid w:val="00B13589"/>
    <w:rsid w:val="00B209F0"/>
    <w:rsid w:val="00B26B6C"/>
    <w:rsid w:val="00B337FB"/>
    <w:rsid w:val="00B33D29"/>
    <w:rsid w:val="00B356C7"/>
    <w:rsid w:val="00B579A6"/>
    <w:rsid w:val="00B73898"/>
    <w:rsid w:val="00B762F9"/>
    <w:rsid w:val="00B825D8"/>
    <w:rsid w:val="00B8369C"/>
    <w:rsid w:val="00B9631B"/>
    <w:rsid w:val="00BB0B9C"/>
    <w:rsid w:val="00BB3003"/>
    <w:rsid w:val="00BB3608"/>
    <w:rsid w:val="00BD1CFD"/>
    <w:rsid w:val="00BE56DE"/>
    <w:rsid w:val="00BE67F0"/>
    <w:rsid w:val="00BF0AE3"/>
    <w:rsid w:val="00C11E2E"/>
    <w:rsid w:val="00C16F00"/>
    <w:rsid w:val="00C24123"/>
    <w:rsid w:val="00C277DA"/>
    <w:rsid w:val="00C27B43"/>
    <w:rsid w:val="00C323E4"/>
    <w:rsid w:val="00C32807"/>
    <w:rsid w:val="00C3559D"/>
    <w:rsid w:val="00C35769"/>
    <w:rsid w:val="00C37C7C"/>
    <w:rsid w:val="00C41EF8"/>
    <w:rsid w:val="00C450FA"/>
    <w:rsid w:val="00C65641"/>
    <w:rsid w:val="00C720C2"/>
    <w:rsid w:val="00C72325"/>
    <w:rsid w:val="00C760C0"/>
    <w:rsid w:val="00C76835"/>
    <w:rsid w:val="00C848E3"/>
    <w:rsid w:val="00C90E08"/>
    <w:rsid w:val="00C95D7D"/>
    <w:rsid w:val="00CA164C"/>
    <w:rsid w:val="00CA53C6"/>
    <w:rsid w:val="00CA65A9"/>
    <w:rsid w:val="00CA7BA3"/>
    <w:rsid w:val="00CB222A"/>
    <w:rsid w:val="00CB3259"/>
    <w:rsid w:val="00CC4CA2"/>
    <w:rsid w:val="00CC6644"/>
    <w:rsid w:val="00CD2A52"/>
    <w:rsid w:val="00CE0F51"/>
    <w:rsid w:val="00CE402A"/>
    <w:rsid w:val="00CE5AAB"/>
    <w:rsid w:val="00CF19B1"/>
    <w:rsid w:val="00CF72E5"/>
    <w:rsid w:val="00D06953"/>
    <w:rsid w:val="00D10632"/>
    <w:rsid w:val="00D10660"/>
    <w:rsid w:val="00D11DD5"/>
    <w:rsid w:val="00D14EF7"/>
    <w:rsid w:val="00D21524"/>
    <w:rsid w:val="00D32993"/>
    <w:rsid w:val="00D37A48"/>
    <w:rsid w:val="00D40DB5"/>
    <w:rsid w:val="00D44C95"/>
    <w:rsid w:val="00D4597F"/>
    <w:rsid w:val="00D54256"/>
    <w:rsid w:val="00D62D83"/>
    <w:rsid w:val="00D660A8"/>
    <w:rsid w:val="00D851C0"/>
    <w:rsid w:val="00D85E9B"/>
    <w:rsid w:val="00D92265"/>
    <w:rsid w:val="00D92368"/>
    <w:rsid w:val="00D97445"/>
    <w:rsid w:val="00DA0D65"/>
    <w:rsid w:val="00DA1D20"/>
    <w:rsid w:val="00DB41C1"/>
    <w:rsid w:val="00DB6AE9"/>
    <w:rsid w:val="00DD0AEC"/>
    <w:rsid w:val="00DD2A42"/>
    <w:rsid w:val="00DE1E12"/>
    <w:rsid w:val="00DF14FF"/>
    <w:rsid w:val="00DF34DC"/>
    <w:rsid w:val="00E07375"/>
    <w:rsid w:val="00E108AA"/>
    <w:rsid w:val="00E2047A"/>
    <w:rsid w:val="00E224FA"/>
    <w:rsid w:val="00E359BC"/>
    <w:rsid w:val="00E40253"/>
    <w:rsid w:val="00E458E7"/>
    <w:rsid w:val="00E65863"/>
    <w:rsid w:val="00E700A7"/>
    <w:rsid w:val="00E82D0B"/>
    <w:rsid w:val="00E932AB"/>
    <w:rsid w:val="00EA5357"/>
    <w:rsid w:val="00EB1684"/>
    <w:rsid w:val="00EB3BF6"/>
    <w:rsid w:val="00ED295E"/>
    <w:rsid w:val="00EE22A5"/>
    <w:rsid w:val="00F002FE"/>
    <w:rsid w:val="00F0557C"/>
    <w:rsid w:val="00F05AD7"/>
    <w:rsid w:val="00F14695"/>
    <w:rsid w:val="00F16281"/>
    <w:rsid w:val="00F20848"/>
    <w:rsid w:val="00F2415F"/>
    <w:rsid w:val="00F2497A"/>
    <w:rsid w:val="00F25E4C"/>
    <w:rsid w:val="00F33299"/>
    <w:rsid w:val="00F4100F"/>
    <w:rsid w:val="00F42096"/>
    <w:rsid w:val="00F47EB7"/>
    <w:rsid w:val="00F560A8"/>
    <w:rsid w:val="00F6327C"/>
    <w:rsid w:val="00F63407"/>
    <w:rsid w:val="00F74A77"/>
    <w:rsid w:val="00F76EE2"/>
    <w:rsid w:val="00F80F0A"/>
    <w:rsid w:val="00F84B00"/>
    <w:rsid w:val="00F90D2F"/>
    <w:rsid w:val="00FB296C"/>
    <w:rsid w:val="00FB7C9D"/>
    <w:rsid w:val="00FC2241"/>
    <w:rsid w:val="00FC3F5F"/>
    <w:rsid w:val="00FC690B"/>
    <w:rsid w:val="00FD4B78"/>
    <w:rsid w:val="00FE079D"/>
    <w:rsid w:val="00FE4F6A"/>
    <w:rsid w:val="00FF2534"/>
    <w:rsid w:val="00FF4054"/>
    <w:rsid w:val="00FF4181"/>
    <w:rsid w:val="00FF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2D63B96C"/>
  <w14:defaultImageDpi w14:val="300"/>
  <w15:chartTrackingRefBased/>
  <w15:docId w15:val="{40F78B60-7324-46E8-84D0-BB597509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D0"/>
    <w:rPr>
      <w:rFonts w:eastAsia="Times New Roman"/>
      <w:sz w:val="24"/>
      <w:szCs w:val="24"/>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link w:val="Heading1"/>
    <w:uiPriority w:val="99"/>
    <w:rsid w:val="00A67DE5"/>
    <w:rPr>
      <w:rFonts w:eastAsia="Times New Roman" w:cs="Times New Roman"/>
      <w:b/>
      <w:bCs/>
    </w:rPr>
  </w:style>
  <w:style w:type="character" w:customStyle="1" w:styleId="Heading2Char">
    <w:name w:val="Heading 2 Char"/>
    <w:aliases w:val="H2-Sec. Head Char"/>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BodyText3">
    <w:name w:val="Body Text 3"/>
    <w:basedOn w:val="Normal"/>
    <w:link w:val="BodyText3Char"/>
    <w:rsid w:val="00FF25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link w:val="BodyText3"/>
    <w:rsid w:val="00FF2534"/>
    <w:rPr>
      <w:rFonts w:eastAsia="Times New Roman" w:cs="Times New Roman"/>
      <w:b/>
      <w:sz w:val="20"/>
      <w:szCs w:val="20"/>
    </w:rPr>
  </w:style>
  <w:style w:type="paragraph" w:customStyle="1" w:styleId="LightGrid-Accent31">
    <w:name w:val="Light Grid - Accent 31"/>
    <w:basedOn w:val="Normal"/>
    <w:uiPriority w:val="34"/>
    <w:qFormat/>
    <w:rsid w:val="00C76835"/>
    <w:pPr>
      <w:ind w:left="720"/>
      <w:contextualSpacing/>
    </w:pPr>
  </w:style>
  <w:style w:type="paragraph" w:customStyle="1" w:styleId="AUTHOR">
    <w:name w:val="AUTHOR"/>
    <w:basedOn w:val="Title1"/>
    <w:next w:val="INFO"/>
    <w:rsid w:val="00A42F4D"/>
    <w:pPr>
      <w:spacing w:line="300" w:lineRule="exact"/>
    </w:pPr>
    <w:rPr>
      <w:caps/>
      <w:sz w:val="24"/>
    </w:rPr>
  </w:style>
  <w:style w:type="paragraph" w:styleId="BodyTextIndent">
    <w:name w:val="Body Text Indent"/>
    <w:basedOn w:val="Normal"/>
    <w:link w:val="BodyTextIndentChar"/>
    <w:uiPriority w:val="99"/>
    <w:semiHidden/>
    <w:unhideWhenUsed/>
    <w:rsid w:val="00597864"/>
    <w:pPr>
      <w:spacing w:after="120"/>
      <w:ind w:left="360"/>
    </w:pPr>
  </w:style>
  <w:style w:type="character" w:customStyle="1" w:styleId="BodyTextIndentChar">
    <w:name w:val="Body Text Indent Char"/>
    <w:link w:val="BodyTextIndent"/>
    <w:uiPriority w:val="99"/>
    <w:semiHidden/>
    <w:rsid w:val="00597864"/>
    <w:rPr>
      <w:rFonts w:eastAsia="Times New Roman" w:cs="Times New Roman"/>
    </w:rPr>
  </w:style>
  <w:style w:type="paragraph" w:customStyle="1" w:styleId="BibEntry">
    <w:name w:val="Bib Entry"/>
    <w:basedOn w:val="Normal"/>
    <w:qFormat/>
    <w:rsid w:val="00815356"/>
    <w:pPr>
      <w:spacing w:after="120" w:line="288" w:lineRule="auto"/>
      <w:ind w:left="360" w:hanging="360"/>
    </w:pPr>
    <w:rPr>
      <w:szCs w:val="20"/>
    </w:rPr>
  </w:style>
  <w:style w:type="paragraph" w:customStyle="1" w:styleId="Cover-DocumentType">
    <w:name w:val="Cover - Document Type"/>
    <w:basedOn w:val="Cover-Title"/>
    <w:next w:val="Cover-Title"/>
    <w:rsid w:val="00815356"/>
    <w:pPr>
      <w:pBdr>
        <w:bottom w:val="single" w:sz="4" w:space="1" w:color="auto"/>
      </w:pBdr>
      <w:spacing w:before="0" w:after="1680"/>
      <w:ind w:left="0" w:firstLine="0"/>
      <w:jc w:val="right"/>
    </w:pPr>
    <w:rPr>
      <w:rFonts w:cs="Arial"/>
      <w:sz w:val="28"/>
      <w:szCs w:val="28"/>
    </w:rPr>
  </w:style>
  <w:style w:type="paragraph" w:customStyle="1" w:styleId="Cover-AuthorList">
    <w:name w:val="Cover - Author List"/>
    <w:basedOn w:val="Cover-Title"/>
    <w:next w:val="Normal"/>
    <w:rsid w:val="00815356"/>
    <w:pPr>
      <w:spacing w:before="960" w:after="2040"/>
      <w:ind w:left="0" w:firstLine="0"/>
    </w:pPr>
    <w:rPr>
      <w:rFonts w:cs="Arial"/>
      <w:sz w:val="24"/>
    </w:rPr>
  </w:style>
  <w:style w:type="paragraph" w:customStyle="1" w:styleId="Cover-Title">
    <w:name w:val="Cover - Title"/>
    <w:basedOn w:val="Normal"/>
    <w:next w:val="Cover-Subtitle"/>
    <w:rsid w:val="00815356"/>
    <w:pPr>
      <w:spacing w:before="1680" w:after="360"/>
      <w:ind w:left="360" w:hanging="360"/>
    </w:pPr>
    <w:rPr>
      <w:rFonts w:ascii="Arial" w:hAnsi="Arial"/>
      <w:sz w:val="48"/>
    </w:rPr>
  </w:style>
  <w:style w:type="paragraph" w:customStyle="1" w:styleId="Cover-Subtitle">
    <w:name w:val="Cover - Subtitle"/>
    <w:basedOn w:val="Cover-Title"/>
    <w:next w:val="Cover-AuthorList"/>
    <w:rsid w:val="00815356"/>
    <w:pPr>
      <w:spacing w:before="360" w:after="960"/>
    </w:pPr>
    <w:rPr>
      <w:sz w:val="36"/>
    </w:rPr>
  </w:style>
  <w:style w:type="paragraph" w:customStyle="1" w:styleId="Default">
    <w:name w:val="Default"/>
    <w:rsid w:val="00966D65"/>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F42096"/>
    <w:rPr>
      <w:color w:val="808080"/>
      <w:shd w:val="clear" w:color="auto" w:fill="E6E6E6"/>
    </w:rPr>
  </w:style>
  <w:style w:type="character" w:customStyle="1" w:styleId="apple-converted-space">
    <w:name w:val="apple-converted-space"/>
    <w:rsid w:val="005078D0"/>
  </w:style>
  <w:style w:type="character" w:styleId="FootnoteReference">
    <w:name w:val="footnote reference"/>
    <w:rsid w:val="00F84B00"/>
    <w:rPr>
      <w:rFonts w:ascii="Times New Roman" w:hAnsi="Times New Roman"/>
      <w:bCs/>
      <w:iCs/>
      <w:dstrike w:val="0"/>
      <w:sz w:val="24"/>
      <w:szCs w:val="20"/>
      <w:vertAlign w:val="superscript"/>
    </w:rPr>
  </w:style>
  <w:style w:type="paragraph" w:styleId="ListParagraph">
    <w:name w:val="List Paragraph"/>
    <w:basedOn w:val="Normal"/>
    <w:uiPriority w:val="34"/>
    <w:qFormat/>
    <w:rsid w:val="007A7D1E"/>
    <w:pPr>
      <w:spacing w:line="288" w:lineRule="auto"/>
      <w:ind w:left="720" w:firstLine="360"/>
      <w:contextualSpacing/>
    </w:pPr>
  </w:style>
  <w:style w:type="paragraph" w:styleId="Revision">
    <w:name w:val="Revision"/>
    <w:hidden/>
    <w:uiPriority w:val="71"/>
    <w:rsid w:val="001C2D3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522923">
      <w:bodyDiv w:val="1"/>
      <w:marLeft w:val="0"/>
      <w:marRight w:val="0"/>
      <w:marTop w:val="0"/>
      <w:marBottom w:val="0"/>
      <w:divBdr>
        <w:top w:val="none" w:sz="0" w:space="0" w:color="auto"/>
        <w:left w:val="none" w:sz="0" w:space="0" w:color="auto"/>
        <w:bottom w:val="none" w:sz="0" w:space="0" w:color="auto"/>
        <w:right w:val="none" w:sz="0" w:space="0" w:color="auto"/>
      </w:divBdr>
    </w:div>
    <w:div w:id="483742779">
      <w:bodyDiv w:val="1"/>
      <w:marLeft w:val="0"/>
      <w:marRight w:val="0"/>
      <w:marTop w:val="0"/>
      <w:marBottom w:val="0"/>
      <w:divBdr>
        <w:top w:val="none" w:sz="0" w:space="0" w:color="auto"/>
        <w:left w:val="none" w:sz="0" w:space="0" w:color="auto"/>
        <w:bottom w:val="none" w:sz="0" w:space="0" w:color="auto"/>
        <w:right w:val="none" w:sz="0" w:space="0" w:color="auto"/>
      </w:divBdr>
    </w:div>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1082339281">
      <w:bodyDiv w:val="1"/>
      <w:marLeft w:val="0"/>
      <w:marRight w:val="0"/>
      <w:marTop w:val="0"/>
      <w:marBottom w:val="0"/>
      <w:divBdr>
        <w:top w:val="none" w:sz="0" w:space="0" w:color="auto"/>
        <w:left w:val="none" w:sz="0" w:space="0" w:color="auto"/>
        <w:bottom w:val="none" w:sz="0" w:space="0" w:color="auto"/>
        <w:right w:val="none" w:sz="0" w:space="0" w:color="auto"/>
      </w:divBdr>
    </w:div>
    <w:div w:id="2084834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9</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DRAFT Supporting Statement A for Survey of Hospital Quality Leaders</vt:lpstr>
    </vt:vector>
  </TitlesOfParts>
  <Company>The RAND Corporation</Company>
  <LinksUpToDate>false</LinksUpToDate>
  <CharactersWithSpaces>14129</CharactersWithSpaces>
  <SharedDoc>false</SharedDoc>
  <HyperlinkBase/>
  <HLinks>
    <vt:vector size="138" baseType="variant">
      <vt:variant>
        <vt:i4>3145844</vt:i4>
      </vt:variant>
      <vt:variant>
        <vt:i4>135</vt:i4>
      </vt:variant>
      <vt:variant>
        <vt:i4>0</vt:i4>
      </vt:variant>
      <vt:variant>
        <vt:i4>5</vt:i4>
      </vt:variant>
      <vt:variant>
        <vt:lpwstr>https://doi.org/10.17226/24802</vt:lpwstr>
      </vt:variant>
      <vt:variant>
        <vt:lpwstr/>
      </vt:variant>
      <vt:variant>
        <vt:i4>1179711</vt:i4>
      </vt:variant>
      <vt:variant>
        <vt:i4>128</vt:i4>
      </vt:variant>
      <vt:variant>
        <vt:i4>0</vt:i4>
      </vt:variant>
      <vt:variant>
        <vt:i4>5</vt:i4>
      </vt:variant>
      <vt:variant>
        <vt:lpwstr/>
      </vt:variant>
      <vt:variant>
        <vt:lpwstr>_Toc82160160</vt:lpwstr>
      </vt:variant>
      <vt:variant>
        <vt:i4>1769532</vt:i4>
      </vt:variant>
      <vt:variant>
        <vt:i4>122</vt:i4>
      </vt:variant>
      <vt:variant>
        <vt:i4>0</vt:i4>
      </vt:variant>
      <vt:variant>
        <vt:i4>5</vt:i4>
      </vt:variant>
      <vt:variant>
        <vt:lpwstr/>
      </vt:variant>
      <vt:variant>
        <vt:lpwstr>_Toc82160159</vt:lpwstr>
      </vt:variant>
      <vt:variant>
        <vt:i4>1703996</vt:i4>
      </vt:variant>
      <vt:variant>
        <vt:i4>116</vt:i4>
      </vt:variant>
      <vt:variant>
        <vt:i4>0</vt:i4>
      </vt:variant>
      <vt:variant>
        <vt:i4>5</vt:i4>
      </vt:variant>
      <vt:variant>
        <vt:lpwstr/>
      </vt:variant>
      <vt:variant>
        <vt:lpwstr>_Toc82160158</vt:lpwstr>
      </vt:variant>
      <vt:variant>
        <vt:i4>1376316</vt:i4>
      </vt:variant>
      <vt:variant>
        <vt:i4>110</vt:i4>
      </vt:variant>
      <vt:variant>
        <vt:i4>0</vt:i4>
      </vt:variant>
      <vt:variant>
        <vt:i4>5</vt:i4>
      </vt:variant>
      <vt:variant>
        <vt:lpwstr/>
      </vt:variant>
      <vt:variant>
        <vt:lpwstr>_Toc82160157</vt:lpwstr>
      </vt:variant>
      <vt:variant>
        <vt:i4>1310780</vt:i4>
      </vt:variant>
      <vt:variant>
        <vt:i4>104</vt:i4>
      </vt:variant>
      <vt:variant>
        <vt:i4>0</vt:i4>
      </vt:variant>
      <vt:variant>
        <vt:i4>5</vt:i4>
      </vt:variant>
      <vt:variant>
        <vt:lpwstr/>
      </vt:variant>
      <vt:variant>
        <vt:lpwstr>_Toc82160156</vt:lpwstr>
      </vt:variant>
      <vt:variant>
        <vt:i4>1507388</vt:i4>
      </vt:variant>
      <vt:variant>
        <vt:i4>98</vt:i4>
      </vt:variant>
      <vt:variant>
        <vt:i4>0</vt:i4>
      </vt:variant>
      <vt:variant>
        <vt:i4>5</vt:i4>
      </vt:variant>
      <vt:variant>
        <vt:lpwstr/>
      </vt:variant>
      <vt:variant>
        <vt:lpwstr>_Toc82160155</vt:lpwstr>
      </vt:variant>
      <vt:variant>
        <vt:i4>1441852</vt:i4>
      </vt:variant>
      <vt:variant>
        <vt:i4>92</vt:i4>
      </vt:variant>
      <vt:variant>
        <vt:i4>0</vt:i4>
      </vt:variant>
      <vt:variant>
        <vt:i4>5</vt:i4>
      </vt:variant>
      <vt:variant>
        <vt:lpwstr/>
      </vt:variant>
      <vt:variant>
        <vt:lpwstr>_Toc82160154</vt:lpwstr>
      </vt:variant>
      <vt:variant>
        <vt:i4>1114172</vt:i4>
      </vt:variant>
      <vt:variant>
        <vt:i4>86</vt:i4>
      </vt:variant>
      <vt:variant>
        <vt:i4>0</vt:i4>
      </vt:variant>
      <vt:variant>
        <vt:i4>5</vt:i4>
      </vt:variant>
      <vt:variant>
        <vt:lpwstr/>
      </vt:variant>
      <vt:variant>
        <vt:lpwstr>_Toc82160153</vt:lpwstr>
      </vt:variant>
      <vt:variant>
        <vt:i4>1048636</vt:i4>
      </vt:variant>
      <vt:variant>
        <vt:i4>80</vt:i4>
      </vt:variant>
      <vt:variant>
        <vt:i4>0</vt:i4>
      </vt:variant>
      <vt:variant>
        <vt:i4>5</vt:i4>
      </vt:variant>
      <vt:variant>
        <vt:lpwstr/>
      </vt:variant>
      <vt:variant>
        <vt:lpwstr>_Toc82160152</vt:lpwstr>
      </vt:variant>
      <vt:variant>
        <vt:i4>1245244</vt:i4>
      </vt:variant>
      <vt:variant>
        <vt:i4>74</vt:i4>
      </vt:variant>
      <vt:variant>
        <vt:i4>0</vt:i4>
      </vt:variant>
      <vt:variant>
        <vt:i4>5</vt:i4>
      </vt:variant>
      <vt:variant>
        <vt:lpwstr/>
      </vt:variant>
      <vt:variant>
        <vt:lpwstr>_Toc82160151</vt:lpwstr>
      </vt:variant>
      <vt:variant>
        <vt:i4>1179708</vt:i4>
      </vt:variant>
      <vt:variant>
        <vt:i4>68</vt:i4>
      </vt:variant>
      <vt:variant>
        <vt:i4>0</vt:i4>
      </vt:variant>
      <vt:variant>
        <vt:i4>5</vt:i4>
      </vt:variant>
      <vt:variant>
        <vt:lpwstr/>
      </vt:variant>
      <vt:variant>
        <vt:lpwstr>_Toc82160150</vt:lpwstr>
      </vt:variant>
      <vt:variant>
        <vt:i4>1769533</vt:i4>
      </vt:variant>
      <vt:variant>
        <vt:i4>62</vt:i4>
      </vt:variant>
      <vt:variant>
        <vt:i4>0</vt:i4>
      </vt:variant>
      <vt:variant>
        <vt:i4>5</vt:i4>
      </vt:variant>
      <vt:variant>
        <vt:lpwstr/>
      </vt:variant>
      <vt:variant>
        <vt:lpwstr>_Toc82160149</vt:lpwstr>
      </vt:variant>
      <vt:variant>
        <vt:i4>1703997</vt:i4>
      </vt:variant>
      <vt:variant>
        <vt:i4>56</vt:i4>
      </vt:variant>
      <vt:variant>
        <vt:i4>0</vt:i4>
      </vt:variant>
      <vt:variant>
        <vt:i4>5</vt:i4>
      </vt:variant>
      <vt:variant>
        <vt:lpwstr/>
      </vt:variant>
      <vt:variant>
        <vt:lpwstr>_Toc82160148</vt:lpwstr>
      </vt:variant>
      <vt:variant>
        <vt:i4>1376317</vt:i4>
      </vt:variant>
      <vt:variant>
        <vt:i4>50</vt:i4>
      </vt:variant>
      <vt:variant>
        <vt:i4>0</vt:i4>
      </vt:variant>
      <vt:variant>
        <vt:i4>5</vt:i4>
      </vt:variant>
      <vt:variant>
        <vt:lpwstr/>
      </vt:variant>
      <vt:variant>
        <vt:lpwstr>_Toc82160147</vt:lpwstr>
      </vt:variant>
      <vt:variant>
        <vt:i4>1310781</vt:i4>
      </vt:variant>
      <vt:variant>
        <vt:i4>44</vt:i4>
      </vt:variant>
      <vt:variant>
        <vt:i4>0</vt:i4>
      </vt:variant>
      <vt:variant>
        <vt:i4>5</vt:i4>
      </vt:variant>
      <vt:variant>
        <vt:lpwstr/>
      </vt:variant>
      <vt:variant>
        <vt:lpwstr>_Toc82160146</vt:lpwstr>
      </vt:variant>
      <vt:variant>
        <vt:i4>1507389</vt:i4>
      </vt:variant>
      <vt:variant>
        <vt:i4>38</vt:i4>
      </vt:variant>
      <vt:variant>
        <vt:i4>0</vt:i4>
      </vt:variant>
      <vt:variant>
        <vt:i4>5</vt:i4>
      </vt:variant>
      <vt:variant>
        <vt:lpwstr/>
      </vt:variant>
      <vt:variant>
        <vt:lpwstr>_Toc82160145</vt:lpwstr>
      </vt:variant>
      <vt:variant>
        <vt:i4>1441853</vt:i4>
      </vt:variant>
      <vt:variant>
        <vt:i4>32</vt:i4>
      </vt:variant>
      <vt:variant>
        <vt:i4>0</vt:i4>
      </vt:variant>
      <vt:variant>
        <vt:i4>5</vt:i4>
      </vt:variant>
      <vt:variant>
        <vt:lpwstr/>
      </vt:variant>
      <vt:variant>
        <vt:lpwstr>_Toc82160144</vt:lpwstr>
      </vt:variant>
      <vt:variant>
        <vt:i4>1114173</vt:i4>
      </vt:variant>
      <vt:variant>
        <vt:i4>26</vt:i4>
      </vt:variant>
      <vt:variant>
        <vt:i4>0</vt:i4>
      </vt:variant>
      <vt:variant>
        <vt:i4>5</vt:i4>
      </vt:variant>
      <vt:variant>
        <vt:lpwstr/>
      </vt:variant>
      <vt:variant>
        <vt:lpwstr>_Toc82160143</vt:lpwstr>
      </vt:variant>
      <vt:variant>
        <vt:i4>1048637</vt:i4>
      </vt:variant>
      <vt:variant>
        <vt:i4>20</vt:i4>
      </vt:variant>
      <vt:variant>
        <vt:i4>0</vt:i4>
      </vt:variant>
      <vt:variant>
        <vt:i4>5</vt:i4>
      </vt:variant>
      <vt:variant>
        <vt:lpwstr/>
      </vt:variant>
      <vt:variant>
        <vt:lpwstr>_Toc82160142</vt:lpwstr>
      </vt:variant>
      <vt:variant>
        <vt:i4>1245245</vt:i4>
      </vt:variant>
      <vt:variant>
        <vt:i4>14</vt:i4>
      </vt:variant>
      <vt:variant>
        <vt:i4>0</vt:i4>
      </vt:variant>
      <vt:variant>
        <vt:i4>5</vt:i4>
      </vt:variant>
      <vt:variant>
        <vt:lpwstr/>
      </vt:variant>
      <vt:variant>
        <vt:lpwstr>_Toc82160141</vt:lpwstr>
      </vt:variant>
      <vt:variant>
        <vt:i4>1179709</vt:i4>
      </vt:variant>
      <vt:variant>
        <vt:i4>8</vt:i4>
      </vt:variant>
      <vt:variant>
        <vt:i4>0</vt:i4>
      </vt:variant>
      <vt:variant>
        <vt:i4>5</vt:i4>
      </vt:variant>
      <vt:variant>
        <vt:lpwstr/>
      </vt:variant>
      <vt:variant>
        <vt:lpwstr>_Toc82160140</vt:lpwstr>
      </vt:variant>
      <vt:variant>
        <vt:i4>1769530</vt:i4>
      </vt:variant>
      <vt:variant>
        <vt:i4>2</vt:i4>
      </vt:variant>
      <vt:variant>
        <vt:i4>0</vt:i4>
      </vt:variant>
      <vt:variant>
        <vt:i4>5</vt:i4>
      </vt:variant>
      <vt:variant>
        <vt:lpwstr/>
      </vt:variant>
      <vt:variant>
        <vt:lpwstr>_Toc82160139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A for Survey of Hospital Quality Leaders</dc:title>
  <dc:subject>Supporting Statement A for Hospice Experience of Care Survey</dc:subject>
  <dc:creator>The RAND Corporation</dc:creator>
  <cp:keywords>Survey of Hospital Quality Leaders</cp:keywords>
  <dc:description>Language: English</dc:description>
  <cp:lastModifiedBy>Brown, Erwin (AHRQ/CFACT)</cp:lastModifiedBy>
  <cp:revision>13</cp:revision>
  <cp:lastPrinted>2018-03-28T17:22:00Z</cp:lastPrinted>
  <dcterms:created xsi:type="dcterms:W3CDTF">2022-02-01T16:49:00Z</dcterms:created>
  <dcterms:modified xsi:type="dcterms:W3CDTF">2022-02-11T16:24:00Z</dcterms:modified>
</cp:coreProperties>
</file>