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AD6640" w:rsidR="00815356" w:rsidP="00815356" w:rsidRDefault="00815356">
      <w:pPr>
        <w:pStyle w:val="Cover-DocumentType"/>
      </w:pPr>
    </w:p>
    <w:p w:rsidR="00815356" w:rsidP="00563EFD" w:rsidRDefault="00815356">
      <w:pPr>
        <w:pStyle w:val="Cover-Title"/>
        <w:jc w:val="center"/>
      </w:pPr>
      <w:r>
        <w:t xml:space="preserve">Supporting Statement </w:t>
      </w:r>
      <w:r w:rsidR="00563EFD">
        <w:t xml:space="preserve">Part </w:t>
      </w:r>
      <w:proofErr w:type="gramStart"/>
      <w:r>
        <w:t>A</w:t>
      </w:r>
      <w:proofErr w:type="gramEnd"/>
      <w:r>
        <w:t xml:space="preserve"> </w:t>
      </w:r>
      <w:r w:rsidR="00843655">
        <w:t xml:space="preserve">Field Test of </w:t>
      </w:r>
      <w:r w:rsidR="00F84B00">
        <w:t>A Survey of End-of-Life Care –</w:t>
      </w:r>
      <w:r w:rsidRPr="001B370C" w:rsidR="001B370C">
        <w:t xml:space="preserve"> </w:t>
      </w:r>
      <w:r w:rsidR="003F6AC3">
        <w:rPr>
          <w:bCs/>
          <w:szCs w:val="48"/>
        </w:rPr>
        <w:t>0935-0124</w:t>
      </w:r>
    </w:p>
    <w:p w:rsidRPr="001A17E6" w:rsidR="00815356" w:rsidP="00815356" w:rsidRDefault="00815356">
      <w:pPr>
        <w:pStyle w:val="Cover-Subtitle"/>
      </w:pPr>
    </w:p>
    <w:p w:rsidRPr="005D10F9" w:rsidR="00A67DE5" w:rsidP="005D10F9" w:rsidRDefault="003772C1">
      <w:pPr>
        <w:jc w:val="center"/>
        <w:rPr>
          <w:b/>
          <w:caps/>
        </w:rPr>
      </w:pPr>
      <w:r>
        <w:rPr>
          <w:noProof/>
        </w:rPr>
        <w:drawing>
          <wp:anchor distT="0" distB="0" distL="114300" distR="114300" simplePos="0" relativeHeight="251657728" behindDoc="0" locked="0" layoutInCell="1" allowOverlap="1">
            <wp:simplePos x="0" y="0"/>
            <wp:positionH relativeFrom="margin">
              <wp:posOffset>0</wp:posOffset>
            </wp:positionH>
            <wp:positionV relativeFrom="margin">
              <wp:posOffset>7886700</wp:posOffset>
            </wp:positionV>
            <wp:extent cx="1330325" cy="581660"/>
            <wp:effectExtent l="0" t="0" r="0" b="0"/>
            <wp:wrapThrough wrapText="bothSides">
              <wp:wrapPolygon edited="0">
                <wp:start x="0" y="0"/>
                <wp:lineTo x="0" y="21223"/>
                <wp:lineTo x="9898" y="21223"/>
                <wp:lineTo x="21342" y="18393"/>
                <wp:lineTo x="21342" y="12026"/>
                <wp:lineTo x="9898" y="11319"/>
                <wp:lineTo x="9898" y="0"/>
                <wp:lineTo x="0" y="0"/>
              </wp:wrapPolygon>
            </wp:wrapThrough>
            <wp:docPr id="2" name="Picture 13" descr="RAND Health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RAND Health logo"/>
                    <pic:cNvPicPr>
                      <a:picLocks noChangeAspect="1" noChangeArrowheads="1"/>
                    </pic:cNvPicPr>
                  </pic:nvPicPr>
                  <pic:blipFill>
                    <a:blip r:embed="rId7">
                      <a:extLst>
                        <a:ext uri="{28A0092B-C50C-407E-A947-70E740481C1C}">
                          <a14:useLocalDpi xmlns:a14="http://schemas.microsoft.com/office/drawing/2010/main" val="0"/>
                        </a:ext>
                      </a:extLst>
                    </a:blip>
                    <a:srcRect r="-96" b="-439"/>
                    <a:stretch>
                      <a:fillRect/>
                    </a:stretch>
                  </pic:blipFill>
                  <pic:spPr bwMode="auto">
                    <a:xfrm>
                      <a:off x="0" y="0"/>
                      <a:ext cx="1330325" cy="581660"/>
                    </a:xfrm>
                    <a:prstGeom prst="rect">
                      <a:avLst/>
                    </a:prstGeom>
                    <a:noFill/>
                  </pic:spPr>
                </pic:pic>
              </a:graphicData>
            </a:graphic>
            <wp14:sizeRelH relativeFrom="page">
              <wp14:pctWidth>0</wp14:pctWidth>
            </wp14:sizeRelH>
            <wp14:sizeRelV relativeFrom="page">
              <wp14:pctHeight>0</wp14:pctHeight>
            </wp14:sizeRelV>
          </wp:anchor>
        </w:drawing>
      </w:r>
      <w:r w:rsidR="00815356">
        <w:br w:type="page"/>
      </w:r>
      <w:bookmarkStart w:name="_Toc224188908" w:id="0"/>
      <w:bookmarkStart w:name="_Toc427225159" w:id="1"/>
      <w:r w:rsidRPr="005D10F9" w:rsidR="00A67DE5">
        <w:rPr>
          <w:b/>
        </w:rPr>
        <w:lastRenderedPageBreak/>
        <w:t>TABLE OF C</w:t>
      </w:r>
      <w:r w:rsidRPr="005D10F9" w:rsidR="00A67DE5">
        <w:rPr>
          <w:b/>
          <w:caps/>
        </w:rPr>
        <w:t>ontentS</w:t>
      </w:r>
      <w:bookmarkEnd w:id="0"/>
      <w:bookmarkEnd w:id="1"/>
    </w:p>
    <w:p w:rsidR="00A67DE5" w:rsidP="00A67DE5" w:rsidRDefault="00A67DE5">
      <w:pPr>
        <w:rPr>
          <w:b/>
          <w:caps/>
        </w:rPr>
      </w:pPr>
    </w:p>
    <w:p w:rsidRPr="00E67858" w:rsidR="00D10660" w:rsidP="00A67DE5" w:rsidRDefault="00D10660">
      <w:pPr>
        <w:rPr>
          <w:b/>
          <w:caps/>
        </w:rPr>
      </w:pPr>
    </w:p>
    <w:p w:rsidRPr="00EB1684" w:rsidR="009D4273" w:rsidRDefault="00A67DE5">
      <w:pPr>
        <w:pStyle w:val="TOC1"/>
        <w:rPr>
          <w:rFonts w:ascii="Calibri" w:hAnsi="Calibri"/>
          <w:noProof/>
          <w:sz w:val="22"/>
          <w:szCs w:val="22"/>
        </w:rPr>
      </w:pPr>
      <w:r w:rsidRPr="007452B3">
        <w:rPr>
          <w:rFonts w:ascii="Times New Roman" w:hAnsi="Times New Roman"/>
        </w:rPr>
        <w:fldChar w:fldCharType="begin"/>
      </w:r>
      <w:r w:rsidRPr="007452B3">
        <w:rPr>
          <w:rFonts w:ascii="Times New Roman" w:hAnsi="Times New Roman"/>
        </w:rPr>
        <w:instrText xml:space="preserve"> TOC \o "1-3" \h \z \u </w:instrText>
      </w:r>
      <w:r w:rsidRPr="007452B3">
        <w:rPr>
          <w:rFonts w:ascii="Times New Roman" w:hAnsi="Times New Roman"/>
        </w:rPr>
        <w:fldChar w:fldCharType="separate"/>
      </w:r>
      <w:hyperlink w:history="1" w:anchor="_Toc82160139">
        <w:r w:rsidRPr="00997E9B" w:rsidR="009D4273">
          <w:rPr>
            <w:rStyle w:val="Hyperlink"/>
            <w:noProof/>
          </w:rPr>
          <w:t>SUPPORTING STATEMENT:</w:t>
        </w:r>
        <w:r w:rsidR="009D4273">
          <w:rPr>
            <w:noProof/>
            <w:webHidden/>
          </w:rPr>
          <w:tab/>
        </w:r>
        <w:r w:rsidR="009D4273">
          <w:rPr>
            <w:noProof/>
            <w:webHidden/>
          </w:rPr>
          <w:fldChar w:fldCharType="begin"/>
        </w:r>
        <w:r w:rsidR="009D4273">
          <w:rPr>
            <w:noProof/>
            <w:webHidden/>
          </w:rPr>
          <w:instrText xml:space="preserve"> PAGEREF _Toc82160139 \h </w:instrText>
        </w:r>
        <w:r w:rsidR="009D4273">
          <w:rPr>
            <w:noProof/>
            <w:webHidden/>
          </w:rPr>
        </w:r>
        <w:r w:rsidR="009D4273">
          <w:rPr>
            <w:noProof/>
            <w:webHidden/>
          </w:rPr>
          <w:fldChar w:fldCharType="separate"/>
        </w:r>
        <w:r w:rsidR="009D4273">
          <w:rPr>
            <w:noProof/>
            <w:webHidden/>
          </w:rPr>
          <w:t>1</w:t>
        </w:r>
        <w:r w:rsidR="009D4273">
          <w:rPr>
            <w:noProof/>
            <w:webHidden/>
          </w:rPr>
          <w:fldChar w:fldCharType="end"/>
        </w:r>
      </w:hyperlink>
    </w:p>
    <w:p w:rsidRPr="00EB1684" w:rsidR="009D4273" w:rsidRDefault="009D4273">
      <w:pPr>
        <w:pStyle w:val="TOC1"/>
        <w:rPr>
          <w:rFonts w:ascii="Calibri" w:hAnsi="Calibri"/>
          <w:noProof/>
          <w:sz w:val="22"/>
          <w:szCs w:val="22"/>
        </w:rPr>
      </w:pPr>
      <w:hyperlink w:history="1" w:anchor="_Toc82160140">
        <w:r w:rsidRPr="00997E9B">
          <w:rPr>
            <w:rStyle w:val="Hyperlink"/>
            <w:noProof/>
          </w:rPr>
          <w:t>Field Test of a Survey of End-of-Life Care</w:t>
        </w:r>
        <w:r>
          <w:rPr>
            <w:noProof/>
            <w:webHidden/>
          </w:rPr>
          <w:tab/>
        </w:r>
        <w:r>
          <w:rPr>
            <w:noProof/>
            <w:webHidden/>
          </w:rPr>
          <w:fldChar w:fldCharType="begin"/>
        </w:r>
        <w:r>
          <w:rPr>
            <w:noProof/>
            <w:webHidden/>
          </w:rPr>
          <w:instrText xml:space="preserve"> PAGEREF _Toc82160140 \h </w:instrText>
        </w:r>
        <w:r>
          <w:rPr>
            <w:noProof/>
            <w:webHidden/>
          </w:rPr>
        </w:r>
        <w:r>
          <w:rPr>
            <w:noProof/>
            <w:webHidden/>
          </w:rPr>
          <w:fldChar w:fldCharType="separate"/>
        </w:r>
        <w:r>
          <w:rPr>
            <w:noProof/>
            <w:webHidden/>
          </w:rPr>
          <w:t>1</w:t>
        </w:r>
        <w:r>
          <w:rPr>
            <w:noProof/>
            <w:webHidden/>
          </w:rPr>
          <w:fldChar w:fldCharType="end"/>
        </w:r>
      </w:hyperlink>
    </w:p>
    <w:p w:rsidRPr="00EB1684" w:rsidR="009D4273" w:rsidRDefault="009D4273">
      <w:pPr>
        <w:pStyle w:val="TOC1"/>
        <w:rPr>
          <w:rFonts w:ascii="Calibri" w:hAnsi="Calibri"/>
          <w:noProof/>
          <w:sz w:val="22"/>
          <w:szCs w:val="22"/>
        </w:rPr>
      </w:pPr>
      <w:hyperlink w:history="1" w:anchor="_Toc82160141">
        <w:r w:rsidRPr="00997E9B">
          <w:rPr>
            <w:rStyle w:val="Hyperlink"/>
            <w:noProof/>
          </w:rPr>
          <w:t>Introduction</w:t>
        </w:r>
        <w:r>
          <w:rPr>
            <w:noProof/>
            <w:webHidden/>
          </w:rPr>
          <w:tab/>
        </w:r>
        <w:r>
          <w:rPr>
            <w:noProof/>
            <w:webHidden/>
          </w:rPr>
          <w:fldChar w:fldCharType="begin"/>
        </w:r>
        <w:r>
          <w:rPr>
            <w:noProof/>
            <w:webHidden/>
          </w:rPr>
          <w:instrText xml:space="preserve"> PAGEREF _Toc82160141 \h </w:instrText>
        </w:r>
        <w:r>
          <w:rPr>
            <w:noProof/>
            <w:webHidden/>
          </w:rPr>
        </w:r>
        <w:r>
          <w:rPr>
            <w:noProof/>
            <w:webHidden/>
          </w:rPr>
          <w:fldChar w:fldCharType="separate"/>
        </w:r>
        <w:r>
          <w:rPr>
            <w:noProof/>
            <w:webHidden/>
          </w:rPr>
          <w:t>1</w:t>
        </w:r>
        <w:r>
          <w:rPr>
            <w:noProof/>
            <w:webHidden/>
          </w:rPr>
          <w:fldChar w:fldCharType="end"/>
        </w:r>
      </w:hyperlink>
    </w:p>
    <w:p w:rsidRPr="00EB1684" w:rsidR="009D4273" w:rsidRDefault="009D4273">
      <w:pPr>
        <w:pStyle w:val="TOC1"/>
        <w:rPr>
          <w:rFonts w:ascii="Calibri" w:hAnsi="Calibri"/>
          <w:noProof/>
          <w:sz w:val="22"/>
          <w:szCs w:val="22"/>
        </w:rPr>
      </w:pPr>
      <w:hyperlink w:history="1" w:anchor="_Toc82160142">
        <w:r w:rsidRPr="00997E9B">
          <w:rPr>
            <w:rStyle w:val="Hyperlink"/>
            <w:noProof/>
          </w:rPr>
          <w:t>A. Justification</w:t>
        </w:r>
        <w:r>
          <w:rPr>
            <w:noProof/>
            <w:webHidden/>
          </w:rPr>
          <w:tab/>
        </w:r>
        <w:r>
          <w:rPr>
            <w:noProof/>
            <w:webHidden/>
          </w:rPr>
          <w:fldChar w:fldCharType="begin"/>
        </w:r>
        <w:r>
          <w:rPr>
            <w:noProof/>
            <w:webHidden/>
          </w:rPr>
          <w:instrText xml:space="preserve"> PAGEREF _Toc82160142 \h </w:instrText>
        </w:r>
        <w:r>
          <w:rPr>
            <w:noProof/>
            <w:webHidden/>
          </w:rPr>
        </w:r>
        <w:r>
          <w:rPr>
            <w:noProof/>
            <w:webHidden/>
          </w:rPr>
          <w:fldChar w:fldCharType="separate"/>
        </w:r>
        <w:r>
          <w:rPr>
            <w:noProof/>
            <w:webHidden/>
          </w:rPr>
          <w:t>1</w:t>
        </w:r>
        <w:r>
          <w:rPr>
            <w:noProof/>
            <w:webHidden/>
          </w:rPr>
          <w:fldChar w:fldCharType="end"/>
        </w:r>
      </w:hyperlink>
    </w:p>
    <w:p w:rsidRPr="00EB1684" w:rsidR="009D4273" w:rsidRDefault="009D4273">
      <w:pPr>
        <w:pStyle w:val="TOC2"/>
        <w:rPr>
          <w:rFonts w:ascii="Calibri" w:hAnsi="Calibri"/>
          <w:noProof/>
          <w:sz w:val="22"/>
          <w:szCs w:val="22"/>
        </w:rPr>
      </w:pPr>
      <w:hyperlink w:history="1" w:anchor="_Toc82160143">
        <w:r w:rsidRPr="00997E9B">
          <w:rPr>
            <w:rStyle w:val="Hyperlink"/>
            <w:rFonts w:ascii="Times New Roman" w:hAnsi="Times New Roman"/>
            <w:noProof/>
          </w:rPr>
          <w:t>A1. Necessity of Information Collection</w:t>
        </w:r>
        <w:r>
          <w:rPr>
            <w:noProof/>
            <w:webHidden/>
          </w:rPr>
          <w:tab/>
        </w:r>
        <w:r>
          <w:rPr>
            <w:noProof/>
            <w:webHidden/>
          </w:rPr>
          <w:fldChar w:fldCharType="begin"/>
        </w:r>
        <w:r>
          <w:rPr>
            <w:noProof/>
            <w:webHidden/>
          </w:rPr>
          <w:instrText xml:space="preserve"> PAGEREF _Toc82160143 \h </w:instrText>
        </w:r>
        <w:r>
          <w:rPr>
            <w:noProof/>
            <w:webHidden/>
          </w:rPr>
        </w:r>
        <w:r>
          <w:rPr>
            <w:noProof/>
            <w:webHidden/>
          </w:rPr>
          <w:fldChar w:fldCharType="separate"/>
        </w:r>
        <w:r>
          <w:rPr>
            <w:noProof/>
            <w:webHidden/>
          </w:rPr>
          <w:t>1</w:t>
        </w:r>
        <w:r>
          <w:rPr>
            <w:noProof/>
            <w:webHidden/>
          </w:rPr>
          <w:fldChar w:fldCharType="end"/>
        </w:r>
      </w:hyperlink>
    </w:p>
    <w:p w:rsidRPr="00EB1684" w:rsidR="009D4273" w:rsidRDefault="009D4273">
      <w:pPr>
        <w:pStyle w:val="TOC2"/>
        <w:rPr>
          <w:rFonts w:ascii="Calibri" w:hAnsi="Calibri"/>
          <w:noProof/>
          <w:sz w:val="22"/>
          <w:szCs w:val="22"/>
        </w:rPr>
      </w:pPr>
      <w:hyperlink w:history="1" w:anchor="_Toc82160144">
        <w:r w:rsidRPr="00997E9B">
          <w:rPr>
            <w:rStyle w:val="Hyperlink"/>
            <w:rFonts w:ascii="Times New Roman" w:hAnsi="Times New Roman"/>
            <w:noProof/>
          </w:rPr>
          <w:t>A2. Purpose and Use of Information</w:t>
        </w:r>
        <w:r>
          <w:rPr>
            <w:noProof/>
            <w:webHidden/>
          </w:rPr>
          <w:tab/>
        </w:r>
        <w:r>
          <w:rPr>
            <w:noProof/>
            <w:webHidden/>
          </w:rPr>
          <w:fldChar w:fldCharType="begin"/>
        </w:r>
        <w:r>
          <w:rPr>
            <w:noProof/>
            <w:webHidden/>
          </w:rPr>
          <w:instrText xml:space="preserve"> PAGEREF _Toc82160144 \h </w:instrText>
        </w:r>
        <w:r>
          <w:rPr>
            <w:noProof/>
            <w:webHidden/>
          </w:rPr>
        </w:r>
        <w:r>
          <w:rPr>
            <w:noProof/>
            <w:webHidden/>
          </w:rPr>
          <w:fldChar w:fldCharType="separate"/>
        </w:r>
        <w:r>
          <w:rPr>
            <w:noProof/>
            <w:webHidden/>
          </w:rPr>
          <w:t>2</w:t>
        </w:r>
        <w:r>
          <w:rPr>
            <w:noProof/>
            <w:webHidden/>
          </w:rPr>
          <w:fldChar w:fldCharType="end"/>
        </w:r>
      </w:hyperlink>
    </w:p>
    <w:p w:rsidRPr="00EB1684" w:rsidR="009D4273" w:rsidRDefault="009D4273">
      <w:pPr>
        <w:pStyle w:val="TOC2"/>
        <w:rPr>
          <w:rFonts w:ascii="Calibri" w:hAnsi="Calibri"/>
          <w:noProof/>
          <w:sz w:val="22"/>
          <w:szCs w:val="22"/>
        </w:rPr>
      </w:pPr>
      <w:hyperlink w:history="1" w:anchor="_Toc82160145">
        <w:r w:rsidRPr="00997E9B">
          <w:rPr>
            <w:rStyle w:val="Hyperlink"/>
            <w:rFonts w:ascii="Times New Roman" w:hAnsi="Times New Roman"/>
            <w:noProof/>
          </w:rPr>
          <w:t>A3. Use of Information Technology</w:t>
        </w:r>
        <w:r>
          <w:rPr>
            <w:noProof/>
            <w:webHidden/>
          </w:rPr>
          <w:tab/>
        </w:r>
        <w:r>
          <w:rPr>
            <w:noProof/>
            <w:webHidden/>
          </w:rPr>
          <w:fldChar w:fldCharType="begin"/>
        </w:r>
        <w:r>
          <w:rPr>
            <w:noProof/>
            <w:webHidden/>
          </w:rPr>
          <w:instrText xml:space="preserve"> PAGEREF _Toc82160145 \h </w:instrText>
        </w:r>
        <w:r>
          <w:rPr>
            <w:noProof/>
            <w:webHidden/>
          </w:rPr>
        </w:r>
        <w:r>
          <w:rPr>
            <w:noProof/>
            <w:webHidden/>
          </w:rPr>
          <w:fldChar w:fldCharType="separate"/>
        </w:r>
        <w:r>
          <w:rPr>
            <w:noProof/>
            <w:webHidden/>
          </w:rPr>
          <w:t>2</w:t>
        </w:r>
        <w:r>
          <w:rPr>
            <w:noProof/>
            <w:webHidden/>
          </w:rPr>
          <w:fldChar w:fldCharType="end"/>
        </w:r>
      </w:hyperlink>
    </w:p>
    <w:p w:rsidRPr="00EB1684" w:rsidR="009D4273" w:rsidRDefault="009D4273">
      <w:pPr>
        <w:pStyle w:val="TOC2"/>
        <w:rPr>
          <w:rFonts w:ascii="Calibri" w:hAnsi="Calibri"/>
          <w:noProof/>
          <w:sz w:val="22"/>
          <w:szCs w:val="22"/>
        </w:rPr>
      </w:pPr>
      <w:hyperlink w:history="1" w:anchor="_Toc82160146">
        <w:r w:rsidRPr="00997E9B">
          <w:rPr>
            <w:rStyle w:val="Hyperlink"/>
            <w:rFonts w:ascii="Times New Roman" w:hAnsi="Times New Roman"/>
            <w:noProof/>
          </w:rPr>
          <w:t>A4. Identifying Duplication</w:t>
        </w:r>
        <w:r>
          <w:rPr>
            <w:noProof/>
            <w:webHidden/>
          </w:rPr>
          <w:tab/>
        </w:r>
        <w:r>
          <w:rPr>
            <w:noProof/>
            <w:webHidden/>
          </w:rPr>
          <w:fldChar w:fldCharType="begin"/>
        </w:r>
        <w:r>
          <w:rPr>
            <w:noProof/>
            <w:webHidden/>
          </w:rPr>
          <w:instrText xml:space="preserve"> PAGEREF _Toc82160146 \h </w:instrText>
        </w:r>
        <w:r>
          <w:rPr>
            <w:noProof/>
            <w:webHidden/>
          </w:rPr>
        </w:r>
        <w:r>
          <w:rPr>
            <w:noProof/>
            <w:webHidden/>
          </w:rPr>
          <w:fldChar w:fldCharType="separate"/>
        </w:r>
        <w:r>
          <w:rPr>
            <w:noProof/>
            <w:webHidden/>
          </w:rPr>
          <w:t>2</w:t>
        </w:r>
        <w:r>
          <w:rPr>
            <w:noProof/>
            <w:webHidden/>
          </w:rPr>
          <w:fldChar w:fldCharType="end"/>
        </w:r>
      </w:hyperlink>
    </w:p>
    <w:p w:rsidRPr="00EB1684" w:rsidR="009D4273" w:rsidRDefault="009D4273">
      <w:pPr>
        <w:pStyle w:val="TOC2"/>
        <w:rPr>
          <w:rFonts w:ascii="Calibri" w:hAnsi="Calibri"/>
          <w:noProof/>
          <w:sz w:val="22"/>
          <w:szCs w:val="22"/>
        </w:rPr>
      </w:pPr>
      <w:hyperlink w:history="1" w:anchor="_Toc82160147">
        <w:r w:rsidRPr="00997E9B">
          <w:rPr>
            <w:rStyle w:val="Hyperlink"/>
            <w:rFonts w:ascii="Times New Roman" w:hAnsi="Times New Roman"/>
            <w:noProof/>
          </w:rPr>
          <w:t>A5. Impact on Small Businesses</w:t>
        </w:r>
        <w:r>
          <w:rPr>
            <w:noProof/>
            <w:webHidden/>
          </w:rPr>
          <w:tab/>
        </w:r>
        <w:r>
          <w:rPr>
            <w:noProof/>
            <w:webHidden/>
          </w:rPr>
          <w:fldChar w:fldCharType="begin"/>
        </w:r>
        <w:r>
          <w:rPr>
            <w:noProof/>
            <w:webHidden/>
          </w:rPr>
          <w:instrText xml:space="preserve"> PAGEREF _Toc82160147 \h </w:instrText>
        </w:r>
        <w:r>
          <w:rPr>
            <w:noProof/>
            <w:webHidden/>
          </w:rPr>
        </w:r>
        <w:r>
          <w:rPr>
            <w:noProof/>
            <w:webHidden/>
          </w:rPr>
          <w:fldChar w:fldCharType="separate"/>
        </w:r>
        <w:r>
          <w:rPr>
            <w:noProof/>
            <w:webHidden/>
          </w:rPr>
          <w:t>3</w:t>
        </w:r>
        <w:r>
          <w:rPr>
            <w:noProof/>
            <w:webHidden/>
          </w:rPr>
          <w:fldChar w:fldCharType="end"/>
        </w:r>
      </w:hyperlink>
    </w:p>
    <w:p w:rsidRPr="00EB1684" w:rsidR="009D4273" w:rsidRDefault="009D4273">
      <w:pPr>
        <w:pStyle w:val="TOC2"/>
        <w:rPr>
          <w:rFonts w:ascii="Calibri" w:hAnsi="Calibri"/>
          <w:noProof/>
          <w:sz w:val="22"/>
          <w:szCs w:val="22"/>
        </w:rPr>
      </w:pPr>
      <w:hyperlink w:history="1" w:anchor="_Toc82160148">
        <w:r w:rsidRPr="00997E9B">
          <w:rPr>
            <w:rStyle w:val="Hyperlink"/>
            <w:rFonts w:ascii="Times New Roman" w:hAnsi="Times New Roman"/>
            <w:noProof/>
          </w:rPr>
          <w:t>A6. Consequences of Less Frequent Data Collection</w:t>
        </w:r>
        <w:r>
          <w:rPr>
            <w:noProof/>
            <w:webHidden/>
          </w:rPr>
          <w:tab/>
        </w:r>
        <w:r>
          <w:rPr>
            <w:noProof/>
            <w:webHidden/>
          </w:rPr>
          <w:fldChar w:fldCharType="begin"/>
        </w:r>
        <w:r>
          <w:rPr>
            <w:noProof/>
            <w:webHidden/>
          </w:rPr>
          <w:instrText xml:space="preserve"> PAGEREF _Toc82160148 \h </w:instrText>
        </w:r>
        <w:r>
          <w:rPr>
            <w:noProof/>
            <w:webHidden/>
          </w:rPr>
        </w:r>
        <w:r>
          <w:rPr>
            <w:noProof/>
            <w:webHidden/>
          </w:rPr>
          <w:fldChar w:fldCharType="separate"/>
        </w:r>
        <w:r>
          <w:rPr>
            <w:noProof/>
            <w:webHidden/>
          </w:rPr>
          <w:t>3</w:t>
        </w:r>
        <w:r>
          <w:rPr>
            <w:noProof/>
            <w:webHidden/>
          </w:rPr>
          <w:fldChar w:fldCharType="end"/>
        </w:r>
      </w:hyperlink>
    </w:p>
    <w:p w:rsidRPr="00EB1684" w:rsidR="009D4273" w:rsidRDefault="009D4273">
      <w:pPr>
        <w:pStyle w:val="TOC2"/>
        <w:rPr>
          <w:rFonts w:ascii="Calibri" w:hAnsi="Calibri"/>
          <w:noProof/>
          <w:sz w:val="22"/>
          <w:szCs w:val="22"/>
        </w:rPr>
      </w:pPr>
      <w:hyperlink w:history="1" w:anchor="_Toc82160149">
        <w:r w:rsidRPr="00997E9B">
          <w:rPr>
            <w:rStyle w:val="Hyperlink"/>
            <w:rFonts w:ascii="Times New Roman" w:hAnsi="Times New Roman"/>
            <w:noProof/>
          </w:rPr>
          <w:t>A7. Special Circumstances</w:t>
        </w:r>
        <w:r>
          <w:rPr>
            <w:noProof/>
            <w:webHidden/>
          </w:rPr>
          <w:tab/>
        </w:r>
        <w:r>
          <w:rPr>
            <w:noProof/>
            <w:webHidden/>
          </w:rPr>
          <w:fldChar w:fldCharType="begin"/>
        </w:r>
        <w:r>
          <w:rPr>
            <w:noProof/>
            <w:webHidden/>
          </w:rPr>
          <w:instrText xml:space="preserve"> PAGEREF _Toc82160149 \h </w:instrText>
        </w:r>
        <w:r>
          <w:rPr>
            <w:noProof/>
            <w:webHidden/>
          </w:rPr>
        </w:r>
        <w:r>
          <w:rPr>
            <w:noProof/>
            <w:webHidden/>
          </w:rPr>
          <w:fldChar w:fldCharType="separate"/>
        </w:r>
        <w:r>
          <w:rPr>
            <w:noProof/>
            <w:webHidden/>
          </w:rPr>
          <w:t>3</w:t>
        </w:r>
        <w:r>
          <w:rPr>
            <w:noProof/>
            <w:webHidden/>
          </w:rPr>
          <w:fldChar w:fldCharType="end"/>
        </w:r>
      </w:hyperlink>
    </w:p>
    <w:p w:rsidRPr="00EB1684" w:rsidR="009D4273" w:rsidRDefault="009D4273">
      <w:pPr>
        <w:pStyle w:val="TOC2"/>
        <w:rPr>
          <w:rFonts w:ascii="Calibri" w:hAnsi="Calibri"/>
          <w:noProof/>
          <w:sz w:val="22"/>
          <w:szCs w:val="22"/>
        </w:rPr>
      </w:pPr>
      <w:hyperlink w:history="1" w:anchor="_Toc82160150">
        <w:r w:rsidRPr="00997E9B">
          <w:rPr>
            <w:rStyle w:val="Hyperlink"/>
            <w:rFonts w:ascii="Times New Roman" w:hAnsi="Times New Roman"/>
            <w:noProof/>
          </w:rPr>
          <w:t>A8. CMS Federal Register Notice</w:t>
        </w:r>
        <w:r>
          <w:rPr>
            <w:noProof/>
            <w:webHidden/>
          </w:rPr>
          <w:tab/>
        </w:r>
        <w:r>
          <w:rPr>
            <w:noProof/>
            <w:webHidden/>
          </w:rPr>
          <w:fldChar w:fldCharType="begin"/>
        </w:r>
        <w:r>
          <w:rPr>
            <w:noProof/>
            <w:webHidden/>
          </w:rPr>
          <w:instrText xml:space="preserve"> PAGEREF _Toc82160150 \h </w:instrText>
        </w:r>
        <w:r>
          <w:rPr>
            <w:noProof/>
            <w:webHidden/>
          </w:rPr>
        </w:r>
        <w:r>
          <w:rPr>
            <w:noProof/>
            <w:webHidden/>
          </w:rPr>
          <w:fldChar w:fldCharType="separate"/>
        </w:r>
        <w:r>
          <w:rPr>
            <w:noProof/>
            <w:webHidden/>
          </w:rPr>
          <w:t>3</w:t>
        </w:r>
        <w:r>
          <w:rPr>
            <w:noProof/>
            <w:webHidden/>
          </w:rPr>
          <w:fldChar w:fldCharType="end"/>
        </w:r>
      </w:hyperlink>
    </w:p>
    <w:p w:rsidRPr="00EB1684" w:rsidR="009D4273" w:rsidRDefault="009D4273">
      <w:pPr>
        <w:pStyle w:val="TOC2"/>
        <w:rPr>
          <w:rFonts w:ascii="Calibri" w:hAnsi="Calibri"/>
          <w:noProof/>
          <w:sz w:val="22"/>
          <w:szCs w:val="22"/>
        </w:rPr>
      </w:pPr>
      <w:hyperlink w:history="1" w:anchor="_Toc82160151">
        <w:r w:rsidRPr="00997E9B">
          <w:rPr>
            <w:rStyle w:val="Hyperlink"/>
            <w:rFonts w:ascii="Times New Roman" w:hAnsi="Times New Roman"/>
            <w:noProof/>
          </w:rPr>
          <w:t>A9. Respondent Payments or Gifts</w:t>
        </w:r>
        <w:r>
          <w:rPr>
            <w:noProof/>
            <w:webHidden/>
          </w:rPr>
          <w:tab/>
        </w:r>
        <w:r>
          <w:rPr>
            <w:noProof/>
            <w:webHidden/>
          </w:rPr>
          <w:fldChar w:fldCharType="begin"/>
        </w:r>
        <w:r>
          <w:rPr>
            <w:noProof/>
            <w:webHidden/>
          </w:rPr>
          <w:instrText xml:space="preserve"> PAGEREF _Toc82160151 \h </w:instrText>
        </w:r>
        <w:r>
          <w:rPr>
            <w:noProof/>
            <w:webHidden/>
          </w:rPr>
        </w:r>
        <w:r>
          <w:rPr>
            <w:noProof/>
            <w:webHidden/>
          </w:rPr>
          <w:fldChar w:fldCharType="separate"/>
        </w:r>
        <w:r>
          <w:rPr>
            <w:noProof/>
            <w:webHidden/>
          </w:rPr>
          <w:t>3</w:t>
        </w:r>
        <w:r>
          <w:rPr>
            <w:noProof/>
            <w:webHidden/>
          </w:rPr>
          <w:fldChar w:fldCharType="end"/>
        </w:r>
      </w:hyperlink>
    </w:p>
    <w:p w:rsidRPr="00EB1684" w:rsidR="009D4273" w:rsidRDefault="009D4273">
      <w:pPr>
        <w:pStyle w:val="TOC2"/>
        <w:rPr>
          <w:rFonts w:ascii="Calibri" w:hAnsi="Calibri"/>
          <w:noProof/>
          <w:sz w:val="22"/>
          <w:szCs w:val="22"/>
        </w:rPr>
      </w:pPr>
      <w:hyperlink w:history="1" w:anchor="_Toc82160152">
        <w:r w:rsidRPr="00997E9B">
          <w:rPr>
            <w:rStyle w:val="Hyperlink"/>
            <w:rFonts w:ascii="Times New Roman" w:hAnsi="Times New Roman"/>
            <w:noProof/>
          </w:rPr>
          <w:t>A10. Assurance of Confidentiality</w:t>
        </w:r>
        <w:r>
          <w:rPr>
            <w:noProof/>
            <w:webHidden/>
          </w:rPr>
          <w:tab/>
        </w:r>
        <w:r>
          <w:rPr>
            <w:noProof/>
            <w:webHidden/>
          </w:rPr>
          <w:fldChar w:fldCharType="begin"/>
        </w:r>
        <w:r>
          <w:rPr>
            <w:noProof/>
            <w:webHidden/>
          </w:rPr>
          <w:instrText xml:space="preserve"> PAGEREF _Toc82160152 \h </w:instrText>
        </w:r>
        <w:r>
          <w:rPr>
            <w:noProof/>
            <w:webHidden/>
          </w:rPr>
        </w:r>
        <w:r>
          <w:rPr>
            <w:noProof/>
            <w:webHidden/>
          </w:rPr>
          <w:fldChar w:fldCharType="separate"/>
        </w:r>
        <w:r>
          <w:rPr>
            <w:noProof/>
            <w:webHidden/>
          </w:rPr>
          <w:t>3</w:t>
        </w:r>
        <w:r>
          <w:rPr>
            <w:noProof/>
            <w:webHidden/>
          </w:rPr>
          <w:fldChar w:fldCharType="end"/>
        </w:r>
      </w:hyperlink>
    </w:p>
    <w:p w:rsidRPr="00EB1684" w:rsidR="009D4273" w:rsidRDefault="009D4273">
      <w:pPr>
        <w:pStyle w:val="TOC2"/>
        <w:rPr>
          <w:rFonts w:ascii="Calibri" w:hAnsi="Calibri"/>
          <w:noProof/>
          <w:sz w:val="22"/>
          <w:szCs w:val="22"/>
        </w:rPr>
      </w:pPr>
      <w:hyperlink w:history="1" w:anchor="_Toc82160153">
        <w:r w:rsidRPr="00997E9B">
          <w:rPr>
            <w:rStyle w:val="Hyperlink"/>
            <w:rFonts w:ascii="Times New Roman" w:hAnsi="Times New Roman"/>
            <w:noProof/>
          </w:rPr>
          <w:t>A11. Sensitive Questions</w:t>
        </w:r>
        <w:r>
          <w:rPr>
            <w:noProof/>
            <w:webHidden/>
          </w:rPr>
          <w:tab/>
        </w:r>
        <w:r>
          <w:rPr>
            <w:noProof/>
            <w:webHidden/>
          </w:rPr>
          <w:fldChar w:fldCharType="begin"/>
        </w:r>
        <w:r>
          <w:rPr>
            <w:noProof/>
            <w:webHidden/>
          </w:rPr>
          <w:instrText xml:space="preserve"> PAGEREF _Toc82160153 \h </w:instrText>
        </w:r>
        <w:r>
          <w:rPr>
            <w:noProof/>
            <w:webHidden/>
          </w:rPr>
        </w:r>
        <w:r>
          <w:rPr>
            <w:noProof/>
            <w:webHidden/>
          </w:rPr>
          <w:fldChar w:fldCharType="separate"/>
        </w:r>
        <w:r>
          <w:rPr>
            <w:noProof/>
            <w:webHidden/>
          </w:rPr>
          <w:t>4</w:t>
        </w:r>
        <w:r>
          <w:rPr>
            <w:noProof/>
            <w:webHidden/>
          </w:rPr>
          <w:fldChar w:fldCharType="end"/>
        </w:r>
      </w:hyperlink>
    </w:p>
    <w:p w:rsidRPr="00EB1684" w:rsidR="009D4273" w:rsidRDefault="009D4273">
      <w:pPr>
        <w:pStyle w:val="TOC1"/>
        <w:rPr>
          <w:rFonts w:ascii="Calibri" w:hAnsi="Calibri"/>
          <w:noProof/>
          <w:sz w:val="22"/>
          <w:szCs w:val="22"/>
        </w:rPr>
      </w:pPr>
      <w:hyperlink w:history="1" w:anchor="_Toc82160154">
        <w:r w:rsidRPr="00997E9B">
          <w:rPr>
            <w:rStyle w:val="Hyperlink"/>
            <w:noProof/>
          </w:rPr>
          <w:t>A12. Burden of Information Collection</w:t>
        </w:r>
        <w:r>
          <w:rPr>
            <w:noProof/>
            <w:webHidden/>
          </w:rPr>
          <w:tab/>
        </w:r>
        <w:r>
          <w:rPr>
            <w:noProof/>
            <w:webHidden/>
          </w:rPr>
          <w:fldChar w:fldCharType="begin"/>
        </w:r>
        <w:r>
          <w:rPr>
            <w:noProof/>
            <w:webHidden/>
          </w:rPr>
          <w:instrText xml:space="preserve"> PAGEREF _Toc82160154 \h </w:instrText>
        </w:r>
        <w:r>
          <w:rPr>
            <w:noProof/>
            <w:webHidden/>
          </w:rPr>
        </w:r>
        <w:r>
          <w:rPr>
            <w:noProof/>
            <w:webHidden/>
          </w:rPr>
          <w:fldChar w:fldCharType="separate"/>
        </w:r>
        <w:r>
          <w:rPr>
            <w:noProof/>
            <w:webHidden/>
          </w:rPr>
          <w:t>4</w:t>
        </w:r>
        <w:r>
          <w:rPr>
            <w:noProof/>
            <w:webHidden/>
          </w:rPr>
          <w:fldChar w:fldCharType="end"/>
        </w:r>
      </w:hyperlink>
    </w:p>
    <w:p w:rsidRPr="00EB1684" w:rsidR="009D4273" w:rsidRDefault="009D4273">
      <w:pPr>
        <w:pStyle w:val="TOC2"/>
        <w:rPr>
          <w:rFonts w:ascii="Calibri" w:hAnsi="Calibri"/>
          <w:noProof/>
          <w:sz w:val="22"/>
          <w:szCs w:val="22"/>
        </w:rPr>
      </w:pPr>
      <w:hyperlink w:history="1" w:anchor="_Toc82160155">
        <w:r w:rsidRPr="00997E9B">
          <w:rPr>
            <w:rStyle w:val="Hyperlink"/>
            <w:rFonts w:ascii="Times New Roman" w:hAnsi="Times New Roman"/>
            <w:noProof/>
          </w:rPr>
          <w:t>A13. Capital Costs</w:t>
        </w:r>
        <w:r>
          <w:rPr>
            <w:noProof/>
            <w:webHidden/>
          </w:rPr>
          <w:tab/>
        </w:r>
        <w:r>
          <w:rPr>
            <w:noProof/>
            <w:webHidden/>
          </w:rPr>
          <w:fldChar w:fldCharType="begin"/>
        </w:r>
        <w:r>
          <w:rPr>
            <w:noProof/>
            <w:webHidden/>
          </w:rPr>
          <w:instrText xml:space="preserve"> PAGEREF _Toc82160155 \h </w:instrText>
        </w:r>
        <w:r>
          <w:rPr>
            <w:noProof/>
            <w:webHidden/>
          </w:rPr>
        </w:r>
        <w:r>
          <w:rPr>
            <w:noProof/>
            <w:webHidden/>
          </w:rPr>
          <w:fldChar w:fldCharType="separate"/>
        </w:r>
        <w:r>
          <w:rPr>
            <w:noProof/>
            <w:webHidden/>
          </w:rPr>
          <w:t>5</w:t>
        </w:r>
        <w:r>
          <w:rPr>
            <w:noProof/>
            <w:webHidden/>
          </w:rPr>
          <w:fldChar w:fldCharType="end"/>
        </w:r>
      </w:hyperlink>
    </w:p>
    <w:p w:rsidRPr="00EB1684" w:rsidR="009D4273" w:rsidRDefault="009D4273">
      <w:pPr>
        <w:pStyle w:val="TOC2"/>
        <w:rPr>
          <w:rFonts w:ascii="Calibri" w:hAnsi="Calibri"/>
          <w:noProof/>
          <w:sz w:val="22"/>
          <w:szCs w:val="22"/>
        </w:rPr>
      </w:pPr>
      <w:hyperlink w:history="1" w:anchor="_Toc82160156">
        <w:r w:rsidRPr="00997E9B">
          <w:rPr>
            <w:rStyle w:val="Hyperlink"/>
            <w:rFonts w:ascii="Times New Roman" w:hAnsi="Times New Roman"/>
            <w:noProof/>
          </w:rPr>
          <w:t>A14. Estimates of Annualized Cost to the Government</w:t>
        </w:r>
        <w:r>
          <w:rPr>
            <w:noProof/>
            <w:webHidden/>
          </w:rPr>
          <w:tab/>
        </w:r>
        <w:r>
          <w:rPr>
            <w:noProof/>
            <w:webHidden/>
          </w:rPr>
          <w:fldChar w:fldCharType="begin"/>
        </w:r>
        <w:r>
          <w:rPr>
            <w:noProof/>
            <w:webHidden/>
          </w:rPr>
          <w:instrText xml:space="preserve"> PAGEREF _Toc82160156 \h </w:instrText>
        </w:r>
        <w:r>
          <w:rPr>
            <w:noProof/>
            <w:webHidden/>
          </w:rPr>
        </w:r>
        <w:r>
          <w:rPr>
            <w:noProof/>
            <w:webHidden/>
          </w:rPr>
          <w:fldChar w:fldCharType="separate"/>
        </w:r>
        <w:r>
          <w:rPr>
            <w:noProof/>
            <w:webHidden/>
          </w:rPr>
          <w:t>5</w:t>
        </w:r>
        <w:r>
          <w:rPr>
            <w:noProof/>
            <w:webHidden/>
          </w:rPr>
          <w:fldChar w:fldCharType="end"/>
        </w:r>
      </w:hyperlink>
    </w:p>
    <w:p w:rsidRPr="00EB1684" w:rsidR="009D4273" w:rsidRDefault="009D4273">
      <w:pPr>
        <w:pStyle w:val="TOC2"/>
        <w:rPr>
          <w:rFonts w:ascii="Calibri" w:hAnsi="Calibri"/>
          <w:noProof/>
          <w:sz w:val="22"/>
          <w:szCs w:val="22"/>
        </w:rPr>
      </w:pPr>
      <w:hyperlink w:history="1" w:anchor="_Toc82160157">
        <w:r w:rsidRPr="00997E9B">
          <w:rPr>
            <w:rStyle w:val="Hyperlink"/>
            <w:rFonts w:ascii="Times New Roman" w:hAnsi="Times New Roman"/>
            <w:noProof/>
          </w:rPr>
          <w:t>A15. Program Changes or Adjustments to Annual Burden</w:t>
        </w:r>
        <w:r>
          <w:rPr>
            <w:noProof/>
            <w:webHidden/>
          </w:rPr>
          <w:tab/>
        </w:r>
        <w:r>
          <w:rPr>
            <w:noProof/>
            <w:webHidden/>
          </w:rPr>
          <w:fldChar w:fldCharType="begin"/>
        </w:r>
        <w:r>
          <w:rPr>
            <w:noProof/>
            <w:webHidden/>
          </w:rPr>
          <w:instrText xml:space="preserve"> PAGEREF _Toc82160157 \h </w:instrText>
        </w:r>
        <w:r>
          <w:rPr>
            <w:noProof/>
            <w:webHidden/>
          </w:rPr>
        </w:r>
        <w:r>
          <w:rPr>
            <w:noProof/>
            <w:webHidden/>
          </w:rPr>
          <w:fldChar w:fldCharType="separate"/>
        </w:r>
        <w:r>
          <w:rPr>
            <w:noProof/>
            <w:webHidden/>
          </w:rPr>
          <w:t>5</w:t>
        </w:r>
        <w:r>
          <w:rPr>
            <w:noProof/>
            <w:webHidden/>
          </w:rPr>
          <w:fldChar w:fldCharType="end"/>
        </w:r>
      </w:hyperlink>
    </w:p>
    <w:p w:rsidRPr="00EB1684" w:rsidR="009D4273" w:rsidRDefault="009D4273">
      <w:pPr>
        <w:pStyle w:val="TOC2"/>
        <w:rPr>
          <w:rFonts w:ascii="Calibri" w:hAnsi="Calibri"/>
          <w:noProof/>
          <w:sz w:val="22"/>
          <w:szCs w:val="22"/>
        </w:rPr>
      </w:pPr>
      <w:hyperlink w:history="1" w:anchor="_Toc82160158">
        <w:r w:rsidRPr="00997E9B">
          <w:rPr>
            <w:rStyle w:val="Hyperlink"/>
            <w:rFonts w:ascii="Times New Roman" w:hAnsi="Times New Roman"/>
            <w:noProof/>
          </w:rPr>
          <w:t>A16. Time Schedule, Tabulation and Publication of Results</w:t>
        </w:r>
        <w:r>
          <w:rPr>
            <w:noProof/>
            <w:webHidden/>
          </w:rPr>
          <w:tab/>
        </w:r>
        <w:r>
          <w:rPr>
            <w:noProof/>
            <w:webHidden/>
          </w:rPr>
          <w:fldChar w:fldCharType="begin"/>
        </w:r>
        <w:r>
          <w:rPr>
            <w:noProof/>
            <w:webHidden/>
          </w:rPr>
          <w:instrText xml:space="preserve"> PAGEREF _Toc82160158 \h </w:instrText>
        </w:r>
        <w:r>
          <w:rPr>
            <w:noProof/>
            <w:webHidden/>
          </w:rPr>
        </w:r>
        <w:r>
          <w:rPr>
            <w:noProof/>
            <w:webHidden/>
          </w:rPr>
          <w:fldChar w:fldCharType="separate"/>
        </w:r>
        <w:r>
          <w:rPr>
            <w:noProof/>
            <w:webHidden/>
          </w:rPr>
          <w:t>6</w:t>
        </w:r>
        <w:r>
          <w:rPr>
            <w:noProof/>
            <w:webHidden/>
          </w:rPr>
          <w:fldChar w:fldCharType="end"/>
        </w:r>
      </w:hyperlink>
    </w:p>
    <w:p w:rsidRPr="00EB1684" w:rsidR="009D4273" w:rsidRDefault="009D4273">
      <w:pPr>
        <w:pStyle w:val="TOC2"/>
        <w:rPr>
          <w:rFonts w:ascii="Calibri" w:hAnsi="Calibri"/>
          <w:noProof/>
          <w:sz w:val="22"/>
          <w:szCs w:val="22"/>
        </w:rPr>
      </w:pPr>
      <w:hyperlink w:history="1" w:anchor="_Toc82160159">
        <w:r w:rsidRPr="00997E9B">
          <w:rPr>
            <w:rStyle w:val="Hyperlink"/>
            <w:rFonts w:ascii="Times New Roman" w:hAnsi="Times New Roman"/>
            <w:noProof/>
          </w:rPr>
          <w:t>A17. Display of OMB Expiration Date</w:t>
        </w:r>
        <w:r>
          <w:rPr>
            <w:noProof/>
            <w:webHidden/>
          </w:rPr>
          <w:tab/>
        </w:r>
        <w:r>
          <w:rPr>
            <w:noProof/>
            <w:webHidden/>
          </w:rPr>
          <w:fldChar w:fldCharType="begin"/>
        </w:r>
        <w:r>
          <w:rPr>
            <w:noProof/>
            <w:webHidden/>
          </w:rPr>
          <w:instrText xml:space="preserve"> PAGEREF _Toc82160159 \h </w:instrText>
        </w:r>
        <w:r>
          <w:rPr>
            <w:noProof/>
            <w:webHidden/>
          </w:rPr>
        </w:r>
        <w:r>
          <w:rPr>
            <w:noProof/>
            <w:webHidden/>
          </w:rPr>
          <w:fldChar w:fldCharType="separate"/>
        </w:r>
        <w:r>
          <w:rPr>
            <w:noProof/>
            <w:webHidden/>
          </w:rPr>
          <w:t>6</w:t>
        </w:r>
        <w:r>
          <w:rPr>
            <w:noProof/>
            <w:webHidden/>
          </w:rPr>
          <w:fldChar w:fldCharType="end"/>
        </w:r>
      </w:hyperlink>
    </w:p>
    <w:p w:rsidRPr="00EB1684" w:rsidR="009D4273" w:rsidRDefault="009D4273">
      <w:pPr>
        <w:pStyle w:val="TOC1"/>
        <w:rPr>
          <w:rFonts w:ascii="Calibri" w:hAnsi="Calibri"/>
          <w:noProof/>
          <w:sz w:val="22"/>
          <w:szCs w:val="22"/>
        </w:rPr>
      </w:pPr>
      <w:hyperlink w:history="1" w:anchor="_Toc82160160">
        <w:r w:rsidRPr="00997E9B">
          <w:rPr>
            <w:rStyle w:val="Hyperlink"/>
            <w:noProof/>
          </w:rPr>
          <w:t>References</w:t>
        </w:r>
        <w:r>
          <w:rPr>
            <w:noProof/>
            <w:webHidden/>
          </w:rPr>
          <w:tab/>
        </w:r>
        <w:r>
          <w:rPr>
            <w:noProof/>
            <w:webHidden/>
          </w:rPr>
          <w:fldChar w:fldCharType="begin"/>
        </w:r>
        <w:r>
          <w:rPr>
            <w:noProof/>
            <w:webHidden/>
          </w:rPr>
          <w:instrText xml:space="preserve"> PAGEREF _Toc82160160 \h </w:instrText>
        </w:r>
        <w:r>
          <w:rPr>
            <w:noProof/>
            <w:webHidden/>
          </w:rPr>
        </w:r>
        <w:r>
          <w:rPr>
            <w:noProof/>
            <w:webHidden/>
          </w:rPr>
          <w:fldChar w:fldCharType="separate"/>
        </w:r>
        <w:r>
          <w:rPr>
            <w:noProof/>
            <w:webHidden/>
          </w:rPr>
          <w:t>7</w:t>
        </w:r>
        <w:r>
          <w:rPr>
            <w:noProof/>
            <w:webHidden/>
          </w:rPr>
          <w:fldChar w:fldCharType="end"/>
        </w:r>
      </w:hyperlink>
    </w:p>
    <w:p w:rsidRPr="00634FA0" w:rsidR="00A67DE5" w:rsidP="007452B3" w:rsidRDefault="00A67DE5">
      <w:pPr>
        <w:tabs>
          <w:tab w:val="right" w:leader="dot" w:pos="8640"/>
        </w:tabs>
        <w:sectPr w:rsidRPr="00634FA0" w:rsidR="00A67DE5" w:rsidSect="000E38BB">
          <w:footerReference w:type="even" r:id="rId8"/>
          <w:footerReference w:type="default" r:id="rId9"/>
          <w:footerReference w:type="first" r:id="rId10"/>
          <w:pgSz w:w="12240" w:h="15840"/>
          <w:pgMar w:top="1440" w:right="1440" w:bottom="1440" w:left="1440" w:header="720" w:footer="720" w:gutter="0"/>
          <w:pgNumType w:fmt="lowerRoman" w:start="3"/>
          <w:cols w:space="720"/>
          <w:titlePg/>
          <w:docGrid w:linePitch="360"/>
        </w:sectPr>
      </w:pPr>
      <w:r w:rsidRPr="007452B3">
        <w:rPr>
          <w:b/>
          <w:bCs/>
          <w:noProof/>
        </w:rPr>
        <w:fldChar w:fldCharType="end"/>
      </w:r>
    </w:p>
    <w:p w:rsidR="00762735" w:rsidP="00762735" w:rsidRDefault="00A67DE5">
      <w:pPr>
        <w:pStyle w:val="Heading1"/>
        <w:jc w:val="center"/>
      </w:pPr>
      <w:bookmarkStart w:name="_Toc82160139" w:id="2"/>
      <w:r w:rsidRPr="00762735">
        <w:lastRenderedPageBreak/>
        <w:t>SUPPORTING STATEMENT</w:t>
      </w:r>
      <w:r w:rsidRPr="00762735" w:rsidR="00762735">
        <w:t>:</w:t>
      </w:r>
      <w:bookmarkEnd w:id="2"/>
    </w:p>
    <w:p w:rsidRPr="00762735" w:rsidR="00A67DE5" w:rsidP="00762735" w:rsidRDefault="00843655">
      <w:pPr>
        <w:pStyle w:val="Heading1"/>
        <w:jc w:val="center"/>
      </w:pPr>
      <w:bookmarkStart w:name="_Toc82160140" w:id="3"/>
      <w:r>
        <w:t xml:space="preserve">Field Test of </w:t>
      </w:r>
      <w:r w:rsidR="00F84B00">
        <w:t>a Survey of End-of-Life Care</w:t>
      </w:r>
      <w:bookmarkEnd w:id="3"/>
    </w:p>
    <w:p w:rsidRPr="00634FA0" w:rsidR="00A67DE5" w:rsidP="00A67DE5" w:rsidRDefault="00A67DE5"/>
    <w:p w:rsidRPr="00C91747" w:rsidR="00A67DE5" w:rsidP="00D10660" w:rsidRDefault="00A67DE5">
      <w:pPr>
        <w:pStyle w:val="Heading1"/>
      </w:pPr>
      <w:bookmarkStart w:name="_Toc82160141" w:id="4"/>
      <w:r w:rsidRPr="00C91747">
        <w:t>Introduction</w:t>
      </w:r>
      <w:bookmarkEnd w:id="4"/>
    </w:p>
    <w:p w:rsidR="00F6327C" w:rsidP="00F6327C" w:rsidRDefault="00F6327C">
      <w:pPr>
        <w:spacing w:line="23" w:lineRule="atLeast"/>
      </w:pPr>
      <w:r>
        <w:t>The Agency for Healthcare Research and Quality (AHRQ)</w:t>
      </w:r>
      <w:r w:rsidRPr="005516C1">
        <w:t xml:space="preserve"> requests clearance from the Office of Management and Budget (OMB) under the Paperwork Reduction Act of 1995 to </w:t>
      </w:r>
      <w:r w:rsidR="005D29E2">
        <w:t xml:space="preserve">field test </w:t>
      </w:r>
      <w:r w:rsidR="00571D43">
        <w:t>a</w:t>
      </w:r>
      <w:r w:rsidRPr="005516C1">
        <w:t xml:space="preserve"> survey entitled</w:t>
      </w:r>
      <w:r w:rsidR="00571D43">
        <w:t>,</w:t>
      </w:r>
      <w:r w:rsidRPr="005516C1">
        <w:t xml:space="preserve"> “</w:t>
      </w:r>
      <w:r w:rsidR="00F84B00">
        <w:t>Survey of End-of-Life Care</w:t>
      </w:r>
      <w:r w:rsidR="005D29E2">
        <w:t>.</w:t>
      </w:r>
      <w:r w:rsidR="001C2D34">
        <w:t>”</w:t>
      </w:r>
    </w:p>
    <w:p w:rsidR="00F6327C" w:rsidP="00F6327C" w:rsidRDefault="00F6327C">
      <w:pPr>
        <w:spacing w:line="23" w:lineRule="atLeast"/>
      </w:pPr>
    </w:p>
    <w:p w:rsidR="00A32AA6" w:rsidP="00A67DE5" w:rsidRDefault="00A32AA6">
      <w:r>
        <w:t xml:space="preserve">Producing evidence to make health care safer, higher quality, more accessible, equitable, and affordable is part of </w:t>
      </w:r>
      <w:r w:rsidR="00F6327C">
        <w:t>AHRQ’s</w:t>
      </w:r>
      <w:r>
        <w:t xml:space="preserve"> mission</w:t>
      </w:r>
      <w:r w:rsidR="007F59E6">
        <w:t>.</w:t>
      </w:r>
      <w:r>
        <w:t xml:space="preserve"> </w:t>
      </w:r>
      <w:r w:rsidR="00D06953">
        <w:t>S</w:t>
      </w:r>
      <w:r>
        <w:t>ponsored by AHRQ, the Consumer Assessment of Healthcare Providers and Systems (CAHPS</w:t>
      </w:r>
      <w:r w:rsidRPr="002E046E">
        <w:rPr>
          <w:vertAlign w:val="superscript"/>
        </w:rPr>
        <w:sym w:font="Symbol" w:char="F0D2"/>
      </w:r>
      <w:r>
        <w:t xml:space="preserve">) </w:t>
      </w:r>
      <w:r w:rsidR="00D06953">
        <w:t xml:space="preserve">Program </w:t>
      </w:r>
      <w:r>
        <w:t xml:space="preserve">is purposed with advancing the scientific understanding of the patient experience of care, including the development and testing of </w:t>
      </w:r>
      <w:r w:rsidR="00F6327C">
        <w:t>new surveys and/or approaches to data collection to promote or improve the collection of consumer reports and evaluations of their experiences with health care.</w:t>
      </w:r>
    </w:p>
    <w:p w:rsidRPr="00390DD8" w:rsidR="00A32AA6" w:rsidP="00A67DE5" w:rsidRDefault="00A32AA6"/>
    <w:p w:rsidRPr="00390DD8" w:rsidR="00B26B6C" w:rsidP="00390DD8" w:rsidRDefault="00F6327C">
      <w:r w:rsidRPr="00390DD8">
        <w:lastRenderedPageBreak/>
        <w:t xml:space="preserve">The proposed field test of a </w:t>
      </w:r>
      <w:r w:rsidRPr="00390DD8" w:rsidR="00F84B00">
        <w:t xml:space="preserve">survey of bereaved caregivers regarding their family member or friend’s end-of-life care experiences </w:t>
      </w:r>
      <w:r w:rsidRPr="00390DD8">
        <w:t xml:space="preserve">fulfills AHRQ’s mission by </w:t>
      </w:r>
      <w:r w:rsidRPr="00390DD8" w:rsidR="00F84B00">
        <w:t xml:space="preserve">addressing a critical priority identified by the National Academy of Sciences, Engineering, and Medicine (2017): </w:t>
      </w:r>
      <w:r w:rsidRPr="00390DD8" w:rsidR="00F84B00">
        <w:rPr>
          <w:bCs/>
        </w:rPr>
        <w:t>integrating the patient and caregiver voice into assessments of the quality of serious illness and end-of-life care.</w:t>
      </w:r>
      <w:r w:rsidRPr="00390DD8" w:rsidR="00F84B00">
        <w:t xml:space="preserve"> The field test furthers the purpose of </w:t>
      </w:r>
      <w:proofErr w:type="gramStart"/>
      <w:r w:rsidR="00C72325">
        <w:t xml:space="preserve">AHRQ’s  </w:t>
      </w:r>
      <w:r w:rsidRPr="00390DD8" w:rsidR="00F84B00">
        <w:t>CAHPS</w:t>
      </w:r>
      <w:proofErr w:type="gramEnd"/>
      <w:r w:rsidR="00C72325">
        <w:t xml:space="preserve"> Program</w:t>
      </w:r>
      <w:r w:rsidRPr="00390DD8" w:rsidR="00F84B00">
        <w:t xml:space="preserve"> by</w:t>
      </w:r>
      <w:r w:rsidR="00571D43">
        <w:t xml:space="preserve"> </w:t>
      </w:r>
      <w:r w:rsidR="00C72325">
        <w:t xml:space="preserve">finalizing a reliable and valid survey instrument that can assess </w:t>
      </w:r>
      <w:r w:rsidRPr="00390DD8" w:rsidR="00F84B00">
        <w:t>care experiences across care settings</w:t>
      </w:r>
      <w:r w:rsidR="00C72325">
        <w:t xml:space="preserve"> and provide </w:t>
      </w:r>
      <w:r w:rsidRPr="00390DD8" w:rsidR="00F84B00">
        <w:t xml:space="preserve">a comprehensive picture  of care </w:t>
      </w:r>
      <w:r w:rsidR="00C72325">
        <w:t xml:space="preserve">experiences </w:t>
      </w:r>
      <w:r w:rsidRPr="00390DD8" w:rsidR="00F84B00">
        <w:t xml:space="preserve">at the end of life. </w:t>
      </w:r>
      <w:r w:rsidRPr="00390DD8" w:rsidR="0036227F">
        <w:t>The field test</w:t>
      </w:r>
      <w:r w:rsidR="00571D43">
        <w:t xml:space="preserve">’s </w:t>
      </w:r>
      <w:r w:rsidRPr="00390DD8" w:rsidR="0036227F">
        <w:t xml:space="preserve">scientific </w:t>
      </w:r>
      <w:r w:rsidRPr="00390DD8" w:rsidR="00F84B00">
        <w:t>design will assess</w:t>
      </w:r>
      <w:r w:rsidR="00390DD8">
        <w:t xml:space="preserve"> both the feasibility of conducting a survey of bereaved </w:t>
      </w:r>
      <w:r w:rsidR="00C72325">
        <w:t xml:space="preserve">family members or friends </w:t>
      </w:r>
      <w:r w:rsidR="00F002FE">
        <w:t xml:space="preserve">regarding care experiences across settings, </w:t>
      </w:r>
      <w:r w:rsidR="00390DD8">
        <w:rPr>
          <w:szCs w:val="26"/>
          <w:lang w:bidi="en-US"/>
        </w:rPr>
        <w:t>and the measurement properties of proposed survey items and composite measures</w:t>
      </w:r>
      <w:r w:rsidRPr="00390DD8" w:rsidR="00B26B6C">
        <w:rPr>
          <w:szCs w:val="26"/>
          <w:lang w:bidi="en-US"/>
        </w:rPr>
        <w:t>.</w:t>
      </w:r>
    </w:p>
    <w:p w:rsidRPr="00815356" w:rsidR="00A67DE5" w:rsidP="00A67DE5" w:rsidRDefault="00A67DE5"/>
    <w:p w:rsidRPr="00EF52AE" w:rsidR="00A67DE5" w:rsidP="00D10660" w:rsidRDefault="007452B3">
      <w:pPr>
        <w:pStyle w:val="Heading1"/>
      </w:pPr>
      <w:bookmarkStart w:name="_Toc82160142" w:id="5"/>
      <w:r>
        <w:t xml:space="preserve">A. </w:t>
      </w:r>
      <w:r w:rsidRPr="00EF52AE" w:rsidR="00A67DE5">
        <w:t>Justification</w:t>
      </w:r>
      <w:bookmarkEnd w:id="5"/>
    </w:p>
    <w:p w:rsidR="00A67DE5" w:rsidP="00A67DE5" w:rsidRDefault="00A67DE5">
      <w:pPr>
        <w:tabs>
          <w:tab w:val="left" w:pos="540"/>
        </w:tabs>
      </w:pPr>
    </w:p>
    <w:p w:rsidRPr="00EF52AE" w:rsidR="00A67DE5" w:rsidP="00A67DE5" w:rsidRDefault="007452B3">
      <w:pPr>
        <w:pStyle w:val="Heading2"/>
        <w:rPr>
          <w:rFonts w:ascii="Times New Roman" w:hAnsi="Times New Roman"/>
        </w:rPr>
      </w:pPr>
      <w:bookmarkStart w:name="_Toc82160143" w:id="6"/>
      <w:r>
        <w:rPr>
          <w:rFonts w:ascii="Times New Roman" w:hAnsi="Times New Roman"/>
        </w:rPr>
        <w:t xml:space="preserve">A1. </w:t>
      </w:r>
      <w:r w:rsidRPr="00EF52AE" w:rsidR="00A67DE5">
        <w:rPr>
          <w:rFonts w:ascii="Times New Roman" w:hAnsi="Times New Roman"/>
        </w:rPr>
        <w:t>Necessity of Information Collection</w:t>
      </w:r>
      <w:bookmarkEnd w:id="6"/>
    </w:p>
    <w:p w:rsidR="005E4797" w:rsidP="005E4797" w:rsidRDefault="005E4797">
      <w:pPr>
        <w:rPr>
          <w:rFonts w:eastAsia="MS Mincho"/>
          <w:color w:val="000000"/>
          <w:sz w:val="23"/>
          <w:szCs w:val="23"/>
        </w:rPr>
      </w:pPr>
    </w:p>
    <w:p w:rsidR="00025FA2" w:rsidP="00390DD8" w:rsidRDefault="00843655">
      <w:pPr>
        <w:spacing w:after="240"/>
        <w:rPr>
          <w:rFonts w:eastAsia="MS Mincho"/>
          <w:color w:val="000000"/>
        </w:rPr>
      </w:pPr>
      <w:r w:rsidRPr="005078D0">
        <w:rPr>
          <w:rFonts w:eastAsia="MS Mincho"/>
          <w:color w:val="000000"/>
        </w:rPr>
        <w:lastRenderedPageBreak/>
        <w:t>Standardized surveys and administration procedures are central components of CAHPS</w:t>
      </w:r>
      <w:r w:rsidR="00C72325">
        <w:rPr>
          <w:rFonts w:eastAsia="MS Mincho"/>
          <w:color w:val="000000"/>
        </w:rPr>
        <w:t xml:space="preserve"> surveys</w:t>
      </w:r>
      <w:r w:rsidRPr="005078D0">
        <w:rPr>
          <w:rFonts w:eastAsia="MS Mincho"/>
          <w:color w:val="000000"/>
        </w:rPr>
        <w:t xml:space="preserve">. The CAHPS survey items </w:t>
      </w:r>
      <w:r w:rsidR="00D06953">
        <w:rPr>
          <w:rFonts w:eastAsia="MS Mincho"/>
          <w:color w:val="000000"/>
        </w:rPr>
        <w:t>address aspects of care that</w:t>
      </w:r>
      <w:r w:rsidRPr="005078D0">
        <w:rPr>
          <w:rFonts w:eastAsia="MS Mincho"/>
          <w:color w:val="000000"/>
        </w:rPr>
        <w:t xml:space="preserve"> consumers value and for which they are the best source of information. The CAHPS suite of surveys is extensive and includes items to evaluate </w:t>
      </w:r>
      <w:r w:rsidR="00C72325">
        <w:rPr>
          <w:rFonts w:eastAsia="MS Mincho"/>
          <w:color w:val="000000"/>
        </w:rPr>
        <w:t xml:space="preserve">provider care in an </w:t>
      </w:r>
      <w:r w:rsidRPr="005078D0">
        <w:rPr>
          <w:rFonts w:eastAsia="MS Mincho"/>
          <w:color w:val="000000"/>
        </w:rPr>
        <w:t>ambulatory care</w:t>
      </w:r>
      <w:r w:rsidR="00C72325">
        <w:rPr>
          <w:rFonts w:eastAsia="MS Mincho"/>
          <w:color w:val="000000"/>
        </w:rPr>
        <w:t xml:space="preserve"> setting</w:t>
      </w:r>
      <w:r w:rsidRPr="005078D0">
        <w:rPr>
          <w:rFonts w:eastAsia="MS Mincho"/>
          <w:color w:val="000000"/>
        </w:rPr>
        <w:t xml:space="preserve"> (e.g., accountable care organizations--ACOs, clinicians/groups, patient-centered medical homes--PCMHs, American Indian), and institutional care (hospital, nursing home, hemodialysis, </w:t>
      </w:r>
      <w:r w:rsidR="00C72325">
        <w:rPr>
          <w:rFonts w:eastAsia="MS Mincho"/>
          <w:color w:val="000000"/>
        </w:rPr>
        <w:t xml:space="preserve">outpatient and ambulatory </w:t>
      </w:r>
      <w:r w:rsidRPr="005078D0">
        <w:rPr>
          <w:rFonts w:eastAsia="MS Mincho"/>
          <w:color w:val="000000"/>
        </w:rPr>
        <w:t>surg</w:t>
      </w:r>
      <w:r w:rsidR="00C72325">
        <w:rPr>
          <w:rFonts w:eastAsia="MS Mincho"/>
          <w:color w:val="000000"/>
        </w:rPr>
        <w:t>ery centers</w:t>
      </w:r>
      <w:r w:rsidRPr="005078D0">
        <w:rPr>
          <w:rFonts w:eastAsia="MS Mincho"/>
          <w:color w:val="000000"/>
        </w:rPr>
        <w:t xml:space="preserve">). CAHPS survey data are used as a component of provider quality payments, including pay-for-reporting by </w:t>
      </w:r>
      <w:r w:rsidR="00DD0AEC">
        <w:rPr>
          <w:rFonts w:eastAsia="MS Mincho"/>
          <w:color w:val="000000"/>
        </w:rPr>
        <w:t>hospices under the Hospice Quality Reporting Program</w:t>
      </w:r>
      <w:r w:rsidRPr="005078D0">
        <w:rPr>
          <w:rFonts w:eastAsia="MS Mincho"/>
          <w:color w:val="000000"/>
        </w:rPr>
        <w:t xml:space="preserve">, hospital value-based purchasing payments, quality bonus payments for Medicare Advantage Plans, and dialysis center value-based purchasing payments. </w:t>
      </w:r>
    </w:p>
    <w:p w:rsidR="00390DD8" w:rsidP="00390DD8" w:rsidRDefault="00390DD8">
      <w:pPr>
        <w:rPr>
          <w:color w:val="000000"/>
        </w:rPr>
      </w:pPr>
      <w:r>
        <w:rPr>
          <w:color w:val="000000"/>
        </w:rPr>
        <w:t>T</w:t>
      </w:r>
      <w:r w:rsidRPr="00390DD8">
        <w:rPr>
          <w:color w:val="000000"/>
        </w:rPr>
        <w:t xml:space="preserve">he Survey of End-of-Life Care </w:t>
      </w:r>
      <w:r>
        <w:rPr>
          <w:color w:val="000000"/>
        </w:rPr>
        <w:t>is distinct from existing CAHPS surveys in that it assesses</w:t>
      </w:r>
      <w:r w:rsidRPr="00390DD8">
        <w:rPr>
          <w:color w:val="000000"/>
        </w:rPr>
        <w:t xml:space="preserve"> experiences across a variety of different care settings (e.g., hospice</w:t>
      </w:r>
      <w:r w:rsidR="000860A0">
        <w:rPr>
          <w:color w:val="000000"/>
        </w:rPr>
        <w:t xml:space="preserve"> inpatient unit</w:t>
      </w:r>
      <w:r w:rsidRPr="00390DD8">
        <w:rPr>
          <w:color w:val="000000"/>
        </w:rPr>
        <w:t>, nursing home, acute care hospital, other care facility, or at home).</w:t>
      </w:r>
      <w:r w:rsidRPr="00FC7ED5">
        <w:rPr>
          <w:color w:val="000000"/>
        </w:rPr>
        <w:t> </w:t>
      </w:r>
    </w:p>
    <w:p w:rsidR="00390DD8" w:rsidP="00390DD8" w:rsidRDefault="00390DD8">
      <w:r>
        <w:t xml:space="preserve"> </w:t>
      </w:r>
    </w:p>
    <w:p w:rsidR="00390DD8" w:rsidP="00390DD8" w:rsidRDefault="00390DD8">
      <w:r>
        <w:lastRenderedPageBreak/>
        <w:t xml:space="preserve">The </w:t>
      </w:r>
      <w:r w:rsidRPr="00390DD8">
        <w:rPr>
          <w:color w:val="000000"/>
        </w:rPr>
        <w:t xml:space="preserve">Survey of End-of-Life Care </w:t>
      </w:r>
      <w:r>
        <w:t xml:space="preserve">directly addresses </w:t>
      </w:r>
      <w:r w:rsidR="00087CBC">
        <w:t xml:space="preserve">a </w:t>
      </w:r>
      <w:r>
        <w:t>s</w:t>
      </w:r>
      <w:r w:rsidRPr="00FC7ED5">
        <w:t>takeholder</w:t>
      </w:r>
      <w:r w:rsidR="00284501">
        <w:t xml:space="preserve"> need to assess the full episode of end-of-life care, capturing experiences of care in all settings, and including </w:t>
      </w:r>
      <w:r w:rsidRPr="00FC7ED5">
        <w:t>transitions across care settings, which can be particularly burdensome to patients.</w:t>
      </w:r>
      <w:r>
        <w:t xml:space="preserve">  </w:t>
      </w:r>
    </w:p>
    <w:p w:rsidR="00A67DE5" w:rsidP="005078D0" w:rsidRDefault="00A67DE5"/>
    <w:p w:rsidR="00A67DE5" w:rsidP="00A67DE5" w:rsidRDefault="007452B3">
      <w:pPr>
        <w:pStyle w:val="Heading2"/>
        <w:rPr>
          <w:rFonts w:ascii="Times New Roman" w:hAnsi="Times New Roman"/>
        </w:rPr>
      </w:pPr>
      <w:bookmarkStart w:name="_Toc82160144" w:id="7"/>
      <w:r>
        <w:rPr>
          <w:rFonts w:ascii="Times New Roman" w:hAnsi="Times New Roman"/>
        </w:rPr>
        <w:t xml:space="preserve">A2. </w:t>
      </w:r>
      <w:r w:rsidRPr="00EF52AE" w:rsidR="00A67DE5">
        <w:rPr>
          <w:rFonts w:ascii="Times New Roman" w:hAnsi="Times New Roman"/>
        </w:rPr>
        <w:t>Purpose and Use of Information</w:t>
      </w:r>
      <w:bookmarkEnd w:id="7"/>
    </w:p>
    <w:p w:rsidRPr="005E4797" w:rsidR="005E4797" w:rsidP="005E4797" w:rsidRDefault="005E4797"/>
    <w:p w:rsidR="0036227F" w:rsidP="0074741D" w:rsidRDefault="0074741D">
      <w:r w:rsidRPr="005078D0">
        <w:t xml:space="preserve">This data collection effort is </w:t>
      </w:r>
      <w:r w:rsidR="002619D5">
        <w:t>a one-time field test t</w:t>
      </w:r>
      <w:r w:rsidR="0036227F">
        <w:t xml:space="preserve">o be completed in </w:t>
      </w:r>
      <w:r w:rsidR="00F002FE">
        <w:t>2021</w:t>
      </w:r>
      <w:r w:rsidR="00571D43">
        <w:t>—</w:t>
      </w:r>
      <w:r w:rsidR="00F002FE">
        <w:t xml:space="preserve"> 2022</w:t>
      </w:r>
      <w:r w:rsidR="0036227F">
        <w:t xml:space="preserve">.  The field test will </w:t>
      </w:r>
      <w:r w:rsidR="00F002FE">
        <w:t>select</w:t>
      </w:r>
      <w:r w:rsidR="0036227F">
        <w:t xml:space="preserve"> </w:t>
      </w:r>
      <w:r w:rsidR="00F002FE">
        <w:t>caregivers of patients who died while r</w:t>
      </w:r>
      <w:r w:rsidR="0036227F">
        <w:t xml:space="preserve">eceiving care from </w:t>
      </w:r>
      <w:r w:rsidRPr="00571D43" w:rsidR="00F002FE">
        <w:t>a</w:t>
      </w:r>
      <w:r w:rsidRPr="00571D43" w:rsidR="009A2127">
        <w:t xml:space="preserve"> large </w:t>
      </w:r>
      <w:r w:rsidRPr="00571D43" w:rsidR="00F002FE">
        <w:t xml:space="preserve">integrated health system operating in multiple regions in the United States </w:t>
      </w:r>
      <w:r w:rsidRPr="00571D43" w:rsidR="0036227F">
        <w:t>(</w:t>
      </w:r>
      <w:r w:rsidRPr="00571D43" w:rsidR="005D29E2">
        <w:t>e.g.</w:t>
      </w:r>
      <w:r w:rsidR="001C2D34">
        <w:t>,</w:t>
      </w:r>
      <w:r w:rsidRPr="00571D43" w:rsidR="005D29E2">
        <w:t xml:space="preserve"> </w:t>
      </w:r>
      <w:r w:rsidRPr="00571D43" w:rsidR="00F002FE">
        <w:t>Kaiser Permanente</w:t>
      </w:r>
      <w:r w:rsidRPr="00571D43" w:rsidR="0036227F">
        <w:t>)</w:t>
      </w:r>
      <w:r w:rsidRPr="001C2D34" w:rsidR="0036227F">
        <w:t xml:space="preserve"> to receive the </w:t>
      </w:r>
      <w:r w:rsidRPr="001C2D34" w:rsidR="00F002FE">
        <w:t xml:space="preserve">Survey of End-of-Life Care </w:t>
      </w:r>
      <w:r w:rsidRPr="001C2D34" w:rsidR="0036227F">
        <w:t>for the following</w:t>
      </w:r>
      <w:r w:rsidR="0036227F">
        <w:t xml:space="preserve"> purposes:</w:t>
      </w:r>
    </w:p>
    <w:p w:rsidR="0036227F" w:rsidP="0036227F" w:rsidRDefault="0036227F">
      <w:pPr>
        <w:numPr>
          <w:ilvl w:val="0"/>
          <w:numId w:val="8"/>
        </w:numPr>
      </w:pPr>
      <w:r w:rsidRPr="0014423D">
        <w:rPr>
          <w:u w:val="single"/>
        </w:rPr>
        <w:t>Asses</w:t>
      </w:r>
      <w:r w:rsidR="001B370C">
        <w:rPr>
          <w:u w:val="single"/>
        </w:rPr>
        <w:t>s</w:t>
      </w:r>
      <w:r w:rsidRPr="0014423D">
        <w:rPr>
          <w:u w:val="single"/>
        </w:rPr>
        <w:t xml:space="preserve"> overall response rate</w:t>
      </w:r>
      <w:r>
        <w:t xml:space="preserve">.  We will assess the overall response rate </w:t>
      </w:r>
      <w:r w:rsidR="00F002FE">
        <w:t xml:space="preserve">to the survey and examine variation in response rate by </w:t>
      </w:r>
      <w:r w:rsidR="00DD0AEC">
        <w:t xml:space="preserve">patient </w:t>
      </w:r>
      <w:r w:rsidR="00F002FE">
        <w:t xml:space="preserve">characteristics </w:t>
      </w:r>
      <w:r w:rsidR="001C2D34">
        <w:t xml:space="preserve">(e.g., </w:t>
      </w:r>
      <w:r w:rsidR="00A058A1">
        <w:t>use of palliative or hospice care</w:t>
      </w:r>
      <w:r w:rsidR="001C2D34">
        <w:t>)</w:t>
      </w:r>
      <w:r w:rsidR="009A2127">
        <w:t>.</w:t>
      </w:r>
    </w:p>
    <w:p w:rsidR="00F002FE" w:rsidP="003C11B7" w:rsidRDefault="0036227F">
      <w:pPr>
        <w:numPr>
          <w:ilvl w:val="0"/>
          <w:numId w:val="8"/>
        </w:numPr>
      </w:pPr>
      <w:r w:rsidRPr="00F002FE">
        <w:rPr>
          <w:u w:val="single"/>
        </w:rPr>
        <w:t>Assess item-level response rates</w:t>
      </w:r>
      <w:r>
        <w:t>.</w:t>
      </w:r>
      <w:r w:rsidR="0014423D">
        <w:t xml:space="preserve"> We will review item-level response rates to assess the extent of missing data</w:t>
      </w:r>
      <w:r w:rsidR="00F002FE">
        <w:t xml:space="preserve"> overall and across </w:t>
      </w:r>
      <w:r w:rsidR="00DD0AEC">
        <w:t xml:space="preserve">patient </w:t>
      </w:r>
      <w:r w:rsidR="00F002FE">
        <w:t xml:space="preserve">subgroups of interest (e.g., </w:t>
      </w:r>
      <w:r w:rsidR="00A058A1">
        <w:t>between those with cancer versus other diagnoses</w:t>
      </w:r>
      <w:r w:rsidR="00F002FE">
        <w:t>).</w:t>
      </w:r>
    </w:p>
    <w:p w:rsidRPr="00F002FE" w:rsidR="00F002FE" w:rsidP="003C11B7" w:rsidRDefault="00F002FE">
      <w:pPr>
        <w:numPr>
          <w:ilvl w:val="0"/>
          <w:numId w:val="8"/>
        </w:numPr>
      </w:pPr>
      <w:r w:rsidRPr="00F002FE">
        <w:rPr>
          <w:u w:val="single"/>
        </w:rPr>
        <w:lastRenderedPageBreak/>
        <w:t>Assess measurement properties</w:t>
      </w:r>
      <w:r>
        <w:t xml:space="preserve">. We will examine the </w:t>
      </w:r>
      <w:r>
        <w:rPr>
          <w:szCs w:val="26"/>
          <w:lang w:bidi="en-US"/>
        </w:rPr>
        <w:t>d</w:t>
      </w:r>
      <w:r w:rsidRPr="00390DD8">
        <w:rPr>
          <w:szCs w:val="26"/>
          <w:lang w:bidi="en-US"/>
        </w:rPr>
        <w:t xml:space="preserve">istribution of responses to each </w:t>
      </w:r>
      <w:r>
        <w:rPr>
          <w:szCs w:val="26"/>
          <w:lang w:bidi="en-US"/>
        </w:rPr>
        <w:t xml:space="preserve">survey </w:t>
      </w:r>
      <w:r w:rsidRPr="00390DD8">
        <w:rPr>
          <w:szCs w:val="26"/>
          <w:lang w:bidi="en-US"/>
        </w:rPr>
        <w:t>question, including whether questions exhibit ceiling or floor effects (i.e., nearly all respondents give the highest or lowest score)</w:t>
      </w:r>
      <w:r w:rsidR="00A058A1">
        <w:rPr>
          <w:szCs w:val="26"/>
          <w:lang w:bidi="en-US"/>
        </w:rPr>
        <w:t>.</w:t>
      </w:r>
    </w:p>
    <w:p w:rsidR="0036227F" w:rsidP="003C11B7" w:rsidRDefault="0048726E">
      <w:pPr>
        <w:numPr>
          <w:ilvl w:val="0"/>
          <w:numId w:val="8"/>
        </w:numPr>
      </w:pPr>
      <w:r>
        <w:rPr>
          <w:u w:val="single"/>
        </w:rPr>
        <w:t>Analyze p</w:t>
      </w:r>
      <w:r w:rsidRPr="00F002FE" w:rsidR="0036227F">
        <w:rPr>
          <w:u w:val="single"/>
        </w:rPr>
        <w:t xml:space="preserve">sychometric </w:t>
      </w:r>
      <w:r>
        <w:rPr>
          <w:u w:val="single"/>
        </w:rPr>
        <w:t>properties</w:t>
      </w:r>
      <w:r w:rsidR="0036227F">
        <w:t xml:space="preserve">. </w:t>
      </w:r>
      <w:r w:rsidR="0014423D">
        <w:t xml:space="preserve">We will </w:t>
      </w:r>
      <w:r w:rsidR="00F002FE">
        <w:t xml:space="preserve">calculate </w:t>
      </w:r>
      <w:r w:rsidR="00F002FE">
        <w:rPr>
          <w:szCs w:val="26"/>
          <w:lang w:bidi="en-US"/>
        </w:rPr>
        <w:t>i</w:t>
      </w:r>
      <w:r w:rsidRPr="00390DD8" w:rsidR="00F002FE">
        <w:rPr>
          <w:szCs w:val="26"/>
          <w:lang w:bidi="en-US"/>
        </w:rPr>
        <w:t>nternal consistency reliability of multi-question composites or scales</w:t>
      </w:r>
      <w:r w:rsidR="0014423D">
        <w:t xml:space="preserve"> </w:t>
      </w:r>
      <w:bookmarkStart w:name="_Hlk64547485" w:id="8"/>
      <w:r w:rsidR="00F002FE">
        <w:t xml:space="preserve">and </w:t>
      </w:r>
      <w:r w:rsidR="0014423D">
        <w:t xml:space="preserve">assess correlations between reports of </w:t>
      </w:r>
      <w:r w:rsidR="00F002FE">
        <w:t xml:space="preserve">care </w:t>
      </w:r>
      <w:r w:rsidR="0014423D">
        <w:t>experience</w:t>
      </w:r>
      <w:r w:rsidR="00F002FE">
        <w:t>s</w:t>
      </w:r>
      <w:r w:rsidR="0014423D">
        <w:t xml:space="preserve"> and overall ratings of care</w:t>
      </w:r>
      <w:r w:rsidR="009A2127">
        <w:t>.</w:t>
      </w:r>
      <w:r w:rsidR="0014423D">
        <w:t xml:space="preserve"> </w:t>
      </w:r>
      <w:bookmarkEnd w:id="8"/>
    </w:p>
    <w:p w:rsidR="0036227F" w:rsidP="0074741D" w:rsidRDefault="0036227F"/>
    <w:p w:rsidRPr="005078D0" w:rsidR="005516C1" w:rsidP="0074741D" w:rsidRDefault="009A2127">
      <w:r>
        <w:t>The result of these analyses will inform</w:t>
      </w:r>
      <w:r w:rsidR="00F002FE">
        <w:t xml:space="preserve"> </w:t>
      </w:r>
      <w:r w:rsidR="001F002C">
        <w:t>which survey items will be included in the Survey of End-of-Life Care, and the composition of care quality measures based on</w:t>
      </w:r>
      <w:r w:rsidR="002B4A5D">
        <w:t xml:space="preserve"> results of</w:t>
      </w:r>
      <w:r w:rsidR="001F002C">
        <w:t xml:space="preserve"> that survey</w:t>
      </w:r>
      <w:r w:rsidRPr="005078D0" w:rsidR="0074741D">
        <w:t>.</w:t>
      </w:r>
    </w:p>
    <w:p w:rsidR="005516C1" w:rsidP="005516C1" w:rsidRDefault="005516C1">
      <w:pPr>
        <w:rPr>
          <w:rStyle w:val="Heading2Char"/>
        </w:rPr>
      </w:pPr>
    </w:p>
    <w:p w:rsidRPr="00EF52AE" w:rsidR="00A67DE5" w:rsidP="00A67DE5" w:rsidRDefault="007452B3">
      <w:pPr>
        <w:pStyle w:val="Heading2"/>
        <w:rPr>
          <w:rFonts w:ascii="Times New Roman" w:hAnsi="Times New Roman"/>
        </w:rPr>
      </w:pPr>
      <w:bookmarkStart w:name="_Toc82160145" w:id="9"/>
      <w:r>
        <w:rPr>
          <w:rFonts w:ascii="Times New Roman" w:hAnsi="Times New Roman"/>
        </w:rPr>
        <w:t xml:space="preserve">A3. </w:t>
      </w:r>
      <w:r w:rsidR="00966D65">
        <w:rPr>
          <w:rFonts w:ascii="Times New Roman" w:hAnsi="Times New Roman"/>
        </w:rPr>
        <w:t>Use of Information Technology</w:t>
      </w:r>
      <w:bookmarkEnd w:id="9"/>
    </w:p>
    <w:p w:rsidRPr="00EF52AE" w:rsidR="00A67DE5" w:rsidP="00A67DE5" w:rsidRDefault="00A67DE5">
      <w:pPr>
        <w:tabs>
          <w:tab w:val="left" w:pos="540"/>
        </w:tabs>
      </w:pPr>
    </w:p>
    <w:p w:rsidRPr="005078D0" w:rsidR="00966D65" w:rsidP="005E4797" w:rsidRDefault="00966D65">
      <w:pPr>
        <w:pStyle w:val="Default"/>
      </w:pPr>
      <w:r w:rsidRPr="005078D0">
        <w:t xml:space="preserve">The </w:t>
      </w:r>
      <w:r w:rsidRPr="005078D0" w:rsidR="00843655">
        <w:t xml:space="preserve">field test </w:t>
      </w:r>
      <w:r w:rsidR="009A2127">
        <w:t xml:space="preserve">will be conducted using </w:t>
      </w:r>
      <w:r w:rsidR="007A7D1E">
        <w:t xml:space="preserve">mixed mode </w:t>
      </w:r>
      <w:r w:rsidR="009A2127">
        <w:t xml:space="preserve">survey </w:t>
      </w:r>
      <w:r w:rsidR="007A7D1E">
        <w:t>administration, including mail with telephone follow-up for non-responders.  This is</w:t>
      </w:r>
      <w:r w:rsidR="009A2127">
        <w:t xml:space="preserve"> a standard mode for the conduct of CAHPS surveys.</w:t>
      </w:r>
    </w:p>
    <w:p w:rsidRPr="00EF52AE" w:rsidR="00966D65" w:rsidP="00A67DE5" w:rsidRDefault="00966D65">
      <w:pPr>
        <w:tabs>
          <w:tab w:val="left" w:pos="540"/>
        </w:tabs>
      </w:pPr>
    </w:p>
    <w:p w:rsidRPr="00EF52AE" w:rsidR="00A67DE5" w:rsidP="00055EDC" w:rsidRDefault="007452B3">
      <w:pPr>
        <w:pStyle w:val="Heading2"/>
        <w:rPr>
          <w:rFonts w:ascii="Times New Roman" w:hAnsi="Times New Roman"/>
        </w:rPr>
      </w:pPr>
      <w:bookmarkStart w:name="_Toc82160146" w:id="10"/>
      <w:r>
        <w:rPr>
          <w:rFonts w:ascii="Times New Roman" w:hAnsi="Times New Roman"/>
        </w:rPr>
        <w:t xml:space="preserve">A4. </w:t>
      </w:r>
      <w:r w:rsidRPr="00EF52AE" w:rsidR="00A67DE5">
        <w:rPr>
          <w:rFonts w:ascii="Times New Roman" w:hAnsi="Times New Roman"/>
        </w:rPr>
        <w:t>Identifying Duplication</w:t>
      </w:r>
      <w:bookmarkEnd w:id="10"/>
    </w:p>
    <w:p w:rsidR="009249A3" w:rsidP="000B0B03" w:rsidRDefault="009249A3"/>
    <w:p w:rsidR="001C2D34" w:rsidP="000B0B03" w:rsidRDefault="005D29E2">
      <w:r w:rsidRPr="009249A3">
        <w:t>The proposed information collection does not duplicate any other effort and the information cannot be obtained from any other source</w:t>
      </w:r>
      <w:r>
        <w:t>. While the CAHPS Hospice Survey evaluates the care experiences of individuals who have received hospice services at the time of death, no currently existing survey instrument evaluates the care experiences of individuals who die without hospice care</w:t>
      </w:r>
      <w:r w:rsidR="001E1350">
        <w:t xml:space="preserve"> or</w:t>
      </w:r>
      <w:r>
        <w:t xml:space="preserve"> allows for comparison between individuals who have received </w:t>
      </w:r>
      <w:r w:rsidR="001C2D34">
        <w:t xml:space="preserve">hospice </w:t>
      </w:r>
      <w:r>
        <w:t>c</w:t>
      </w:r>
      <w:r w:rsidR="001C2D34">
        <w:t>are</w:t>
      </w:r>
      <w:r>
        <w:t xml:space="preserve"> and those </w:t>
      </w:r>
      <w:r w:rsidR="00DD0AEC">
        <w:t>who</w:t>
      </w:r>
      <w:r>
        <w:t xml:space="preserve"> have not. </w:t>
      </w:r>
    </w:p>
    <w:p w:rsidRPr="0085024A" w:rsidR="000950E9" w:rsidP="00106398" w:rsidRDefault="000950E9"/>
    <w:p w:rsidR="00D06953" w:rsidP="00A67DE5" w:rsidRDefault="00D06953">
      <w:pPr>
        <w:pStyle w:val="Heading2"/>
        <w:rPr>
          <w:rFonts w:ascii="Times New Roman" w:hAnsi="Times New Roman"/>
        </w:rPr>
      </w:pPr>
    </w:p>
    <w:p w:rsidR="00D06953" w:rsidP="00A67DE5" w:rsidRDefault="00D06953">
      <w:pPr>
        <w:pStyle w:val="Heading2"/>
        <w:rPr>
          <w:rFonts w:ascii="Times New Roman" w:hAnsi="Times New Roman"/>
        </w:rPr>
      </w:pPr>
    </w:p>
    <w:p w:rsidRPr="00EF52AE" w:rsidR="00A67DE5" w:rsidP="00A67DE5" w:rsidRDefault="007452B3">
      <w:pPr>
        <w:pStyle w:val="Heading2"/>
        <w:rPr>
          <w:rFonts w:ascii="Times New Roman" w:hAnsi="Times New Roman"/>
        </w:rPr>
      </w:pPr>
      <w:bookmarkStart w:name="_Toc82160147" w:id="11"/>
      <w:r>
        <w:rPr>
          <w:rFonts w:ascii="Times New Roman" w:hAnsi="Times New Roman"/>
        </w:rPr>
        <w:t xml:space="preserve">A5. </w:t>
      </w:r>
      <w:r w:rsidRPr="00EF52AE" w:rsidR="00A67DE5">
        <w:rPr>
          <w:rFonts w:ascii="Times New Roman" w:hAnsi="Times New Roman"/>
        </w:rPr>
        <w:t>Impact on Small Businesses</w:t>
      </w:r>
      <w:bookmarkEnd w:id="11"/>
    </w:p>
    <w:p w:rsidRPr="00EF52AE" w:rsidR="00A67DE5" w:rsidP="00A67DE5" w:rsidRDefault="00A67DE5">
      <w:pPr>
        <w:tabs>
          <w:tab w:val="left" w:pos="540"/>
        </w:tabs>
      </w:pPr>
    </w:p>
    <w:p w:rsidRPr="00F67776" w:rsidR="00C37C7C" w:rsidP="00C37C7C" w:rsidRDefault="009A2127">
      <w:pPr>
        <w:tabs>
          <w:tab w:val="left" w:pos="547"/>
          <w:tab w:val="left" w:pos="1080"/>
          <w:tab w:val="left" w:pos="1627"/>
          <w:tab w:val="left" w:pos="2160"/>
          <w:tab w:val="left" w:pos="2880"/>
        </w:tabs>
      </w:pPr>
      <w:r>
        <w:t xml:space="preserve">Survey respondents are </w:t>
      </w:r>
      <w:r w:rsidR="001F002C">
        <w:t xml:space="preserve">informal caregivers of patients who received care from </w:t>
      </w:r>
      <w:r w:rsidR="007A7D1E">
        <w:t>health care providers</w:t>
      </w:r>
      <w:r>
        <w:t xml:space="preserve"> within </w:t>
      </w:r>
      <w:r w:rsidRPr="001C2D34">
        <w:t xml:space="preserve">the </w:t>
      </w:r>
      <w:r w:rsidRPr="00571D43" w:rsidR="007A7D1E">
        <w:t>integrated health system</w:t>
      </w:r>
      <w:r w:rsidRPr="001C2D34" w:rsidR="007A7D1E">
        <w:t>.</w:t>
      </w:r>
      <w:r w:rsidR="007A7D1E">
        <w:t xml:space="preserve"> T</w:t>
      </w:r>
      <w:r w:rsidR="00B9631B">
        <w:t xml:space="preserve">he field test will employ a standard CAHPS </w:t>
      </w:r>
      <w:r w:rsidR="007A7D1E">
        <w:lastRenderedPageBreak/>
        <w:t>mixed mode</w:t>
      </w:r>
      <w:r w:rsidR="00B9631B">
        <w:t xml:space="preserve"> survey protocol </w:t>
      </w:r>
      <w:r w:rsidR="007A7D1E">
        <w:t xml:space="preserve">(mail with telephone follow-up), </w:t>
      </w:r>
      <w:r w:rsidR="00B9631B">
        <w:t>which is designed to minimize burden on survey respondents.  Small</w:t>
      </w:r>
      <w:r w:rsidRPr="00C848E3" w:rsidR="00C37C7C">
        <w:t xml:space="preserve"> businesses or other small entities </w:t>
      </w:r>
      <w:r w:rsidR="00C848E3">
        <w:t xml:space="preserve">will be </w:t>
      </w:r>
      <w:r w:rsidR="00B9631B">
        <w:t xml:space="preserve">not </w:t>
      </w:r>
      <w:r w:rsidR="00C848E3">
        <w:t xml:space="preserve">significantly </w:t>
      </w:r>
      <w:r w:rsidRPr="00C848E3" w:rsidR="00C37C7C">
        <w:t xml:space="preserve">impacted by </w:t>
      </w:r>
      <w:r w:rsidR="00B9631B">
        <w:t>the field test</w:t>
      </w:r>
      <w:r w:rsidRPr="00C848E3" w:rsidR="00C37C7C">
        <w:t>.</w:t>
      </w:r>
    </w:p>
    <w:p w:rsidRPr="00EF52AE" w:rsidR="00A67DE5" w:rsidP="00A67DE5" w:rsidRDefault="00A67DE5">
      <w:pPr>
        <w:tabs>
          <w:tab w:val="left" w:pos="540"/>
        </w:tabs>
      </w:pPr>
    </w:p>
    <w:p w:rsidRPr="00EF52AE" w:rsidR="00A67DE5" w:rsidP="00A67DE5" w:rsidRDefault="007452B3">
      <w:pPr>
        <w:pStyle w:val="Heading2"/>
        <w:rPr>
          <w:rFonts w:ascii="Times New Roman" w:hAnsi="Times New Roman"/>
        </w:rPr>
      </w:pPr>
      <w:bookmarkStart w:name="_Toc82160148" w:id="12"/>
      <w:r>
        <w:rPr>
          <w:rFonts w:ascii="Times New Roman" w:hAnsi="Times New Roman"/>
        </w:rPr>
        <w:t xml:space="preserve">A6. </w:t>
      </w:r>
      <w:r w:rsidRPr="00EF52AE" w:rsidR="00A67DE5">
        <w:rPr>
          <w:rFonts w:ascii="Times New Roman" w:hAnsi="Times New Roman"/>
        </w:rPr>
        <w:t>Consequences of Less Frequent Data Collection</w:t>
      </w:r>
      <w:bookmarkEnd w:id="12"/>
    </w:p>
    <w:p w:rsidRPr="00EF52AE" w:rsidR="00A67DE5" w:rsidP="00A67DE5" w:rsidRDefault="00A67DE5">
      <w:pPr>
        <w:tabs>
          <w:tab w:val="left" w:pos="540"/>
        </w:tabs>
      </w:pPr>
    </w:p>
    <w:p w:rsidR="00107082" w:rsidP="00107082" w:rsidRDefault="00B9631B">
      <w:pPr>
        <w:tabs>
          <w:tab w:val="left" w:pos="540"/>
        </w:tabs>
      </w:pPr>
      <w:r>
        <w:t>This is a</w:t>
      </w:r>
      <w:r w:rsidR="00107082">
        <w:t xml:space="preserve"> one-time </w:t>
      </w:r>
      <w:r>
        <w:t>field test</w:t>
      </w:r>
      <w:r w:rsidR="00107082">
        <w:t xml:space="preserve">. </w:t>
      </w:r>
    </w:p>
    <w:p w:rsidRPr="00EF52AE" w:rsidR="00A67DE5" w:rsidP="00A67DE5" w:rsidRDefault="00A67DE5">
      <w:pPr>
        <w:tabs>
          <w:tab w:val="left" w:pos="540"/>
        </w:tabs>
      </w:pPr>
    </w:p>
    <w:p w:rsidRPr="00EF52AE" w:rsidR="00A67DE5" w:rsidP="00A67DE5" w:rsidRDefault="007452B3">
      <w:pPr>
        <w:pStyle w:val="Heading2"/>
        <w:rPr>
          <w:rFonts w:ascii="Times New Roman" w:hAnsi="Times New Roman"/>
        </w:rPr>
      </w:pPr>
      <w:bookmarkStart w:name="_Toc82160149" w:id="13"/>
      <w:r>
        <w:rPr>
          <w:rFonts w:ascii="Times New Roman" w:hAnsi="Times New Roman"/>
        </w:rPr>
        <w:t xml:space="preserve">A7. </w:t>
      </w:r>
      <w:r w:rsidRPr="00EF52AE" w:rsidR="00A67DE5">
        <w:rPr>
          <w:rFonts w:ascii="Times New Roman" w:hAnsi="Times New Roman"/>
        </w:rPr>
        <w:t>Special Circumstances</w:t>
      </w:r>
      <w:bookmarkEnd w:id="13"/>
    </w:p>
    <w:p w:rsidRPr="00EF52AE" w:rsidR="00A67DE5" w:rsidP="00A67DE5" w:rsidRDefault="00A67DE5">
      <w:pPr>
        <w:tabs>
          <w:tab w:val="left" w:pos="540"/>
        </w:tabs>
      </w:pPr>
    </w:p>
    <w:p w:rsidRPr="00EF52AE" w:rsidR="00A67DE5" w:rsidP="00A67DE5" w:rsidRDefault="00107082">
      <w:pPr>
        <w:tabs>
          <w:tab w:val="left" w:pos="540"/>
        </w:tabs>
      </w:pPr>
      <w:r>
        <w:t>There are no special circumstances associated with this information collection request.</w:t>
      </w:r>
    </w:p>
    <w:p w:rsidRPr="00EF52AE" w:rsidR="00A67DE5" w:rsidP="00A67DE5" w:rsidRDefault="00A67DE5">
      <w:pPr>
        <w:tabs>
          <w:tab w:val="left" w:pos="540"/>
        </w:tabs>
      </w:pPr>
    </w:p>
    <w:p w:rsidRPr="00EF52AE" w:rsidR="00A67DE5" w:rsidP="00A67DE5" w:rsidRDefault="007452B3">
      <w:pPr>
        <w:pStyle w:val="Heading2"/>
        <w:rPr>
          <w:rFonts w:ascii="Times New Roman" w:hAnsi="Times New Roman"/>
        </w:rPr>
      </w:pPr>
      <w:bookmarkStart w:name="_Toc82160150" w:id="14"/>
      <w:r>
        <w:rPr>
          <w:rFonts w:ascii="Times New Roman" w:hAnsi="Times New Roman"/>
        </w:rPr>
        <w:t xml:space="preserve">A8. </w:t>
      </w:r>
      <w:r w:rsidRPr="00EF52AE" w:rsidR="00A67DE5">
        <w:rPr>
          <w:rFonts w:ascii="Times New Roman" w:hAnsi="Times New Roman"/>
        </w:rPr>
        <w:t>CMS Federal Register Notice</w:t>
      </w:r>
      <w:bookmarkEnd w:id="14"/>
    </w:p>
    <w:p w:rsidRPr="00EF52AE" w:rsidR="00A67DE5" w:rsidP="00A67DE5" w:rsidRDefault="00A67DE5">
      <w:pPr>
        <w:tabs>
          <w:tab w:val="left" w:pos="540"/>
        </w:tabs>
      </w:pPr>
    </w:p>
    <w:p w:rsidRPr="0008648D" w:rsidR="00B9631B" w:rsidP="00B9631B" w:rsidRDefault="00B9631B">
      <w:r w:rsidRPr="003F5CAB">
        <w:rPr>
          <w:bCs/>
          <w:iCs/>
        </w:rPr>
        <w:t xml:space="preserve">This </w:t>
      </w:r>
      <w:r>
        <w:rPr>
          <w:bCs/>
          <w:iCs/>
        </w:rPr>
        <w:t>proposed information collection is being</w:t>
      </w:r>
      <w:r w:rsidRPr="003F5CAB">
        <w:rPr>
          <w:bCs/>
          <w:iCs/>
        </w:rPr>
        <w:t xml:space="preserve"> submitted under AHRQ’s generic clearance</w:t>
      </w:r>
      <w:r w:rsidRPr="003F5CAB">
        <w:t xml:space="preserve"> (OMB No. </w:t>
      </w:r>
      <w:r w:rsidRPr="003F6AC3">
        <w:t>0935-0124</w:t>
      </w:r>
      <w:bookmarkStart w:name="_GoBack" w:id="15"/>
      <w:bookmarkEnd w:id="15"/>
      <w:r w:rsidRPr="003F5CAB">
        <w:t>).</w:t>
      </w:r>
      <w:r>
        <w:t xml:space="preserve">  Therefore, publication in the Federal Register is not required.</w:t>
      </w:r>
    </w:p>
    <w:p w:rsidRPr="00EF52AE" w:rsidR="002E6B83" w:rsidP="00A67DE5" w:rsidRDefault="002E6B83">
      <w:pPr>
        <w:tabs>
          <w:tab w:val="left" w:pos="540"/>
        </w:tabs>
      </w:pPr>
    </w:p>
    <w:p w:rsidRPr="00EF52AE" w:rsidR="00A67DE5" w:rsidP="00A67DE5" w:rsidRDefault="007452B3">
      <w:pPr>
        <w:pStyle w:val="Heading2"/>
        <w:rPr>
          <w:rFonts w:ascii="Times New Roman" w:hAnsi="Times New Roman"/>
        </w:rPr>
      </w:pPr>
      <w:bookmarkStart w:name="_Toc82160151" w:id="16"/>
      <w:r>
        <w:rPr>
          <w:rFonts w:ascii="Times New Roman" w:hAnsi="Times New Roman"/>
        </w:rPr>
        <w:t xml:space="preserve">A9. </w:t>
      </w:r>
      <w:r w:rsidRPr="00EF52AE" w:rsidR="00A67DE5">
        <w:rPr>
          <w:rFonts w:ascii="Times New Roman" w:hAnsi="Times New Roman"/>
        </w:rPr>
        <w:t>Respondent Payments or Gifts</w:t>
      </w:r>
      <w:bookmarkEnd w:id="16"/>
    </w:p>
    <w:p w:rsidRPr="00EF52AE" w:rsidR="00A67DE5" w:rsidP="00A67DE5" w:rsidRDefault="00A67DE5">
      <w:pPr>
        <w:tabs>
          <w:tab w:val="left" w:pos="540"/>
        </w:tabs>
      </w:pPr>
    </w:p>
    <w:p w:rsidRPr="005078D0" w:rsidR="00A67DE5" w:rsidP="004C5131" w:rsidRDefault="004C5131">
      <w:pPr>
        <w:pStyle w:val="Default"/>
      </w:pPr>
      <w:r w:rsidRPr="005078D0">
        <w:t xml:space="preserve">This data collection </w:t>
      </w:r>
      <w:r w:rsidRPr="005078D0" w:rsidR="002F1C2F">
        <w:t>does not include any respondent payments or gifts.</w:t>
      </w:r>
    </w:p>
    <w:p w:rsidRPr="00EF52AE" w:rsidR="00A67DE5" w:rsidP="00A67DE5" w:rsidRDefault="00A67DE5">
      <w:pPr>
        <w:tabs>
          <w:tab w:val="left" w:pos="540"/>
        </w:tabs>
        <w:rPr>
          <w:b/>
        </w:rPr>
      </w:pPr>
    </w:p>
    <w:p w:rsidRPr="00EF52AE" w:rsidR="00A67DE5" w:rsidP="00A67DE5" w:rsidRDefault="007452B3">
      <w:pPr>
        <w:pStyle w:val="Heading2"/>
        <w:rPr>
          <w:rFonts w:ascii="Times New Roman" w:hAnsi="Times New Roman"/>
        </w:rPr>
      </w:pPr>
      <w:bookmarkStart w:name="_Toc82160152" w:id="17"/>
      <w:r>
        <w:rPr>
          <w:rFonts w:ascii="Times New Roman" w:hAnsi="Times New Roman"/>
        </w:rPr>
        <w:t xml:space="preserve">A10. </w:t>
      </w:r>
      <w:r w:rsidRPr="00EF52AE" w:rsidR="00A67DE5">
        <w:rPr>
          <w:rFonts w:ascii="Times New Roman" w:hAnsi="Times New Roman"/>
        </w:rPr>
        <w:t>Assurance of Confidentiality</w:t>
      </w:r>
      <w:bookmarkEnd w:id="17"/>
    </w:p>
    <w:p w:rsidR="00A67DE5" w:rsidP="00A67DE5" w:rsidRDefault="00A67DE5">
      <w:pPr>
        <w:tabs>
          <w:tab w:val="left" w:pos="540"/>
        </w:tabs>
      </w:pPr>
    </w:p>
    <w:p w:rsidRPr="001E1350" w:rsidR="001C2D34" w:rsidP="001E1350" w:rsidRDefault="00D92368">
      <w:pPr>
        <w:pStyle w:val="Default"/>
      </w:pPr>
      <w:r w:rsidRPr="001E1350">
        <w:t>Survey respondents will be told that the survey is voluntary</w:t>
      </w:r>
      <w:r w:rsidRPr="001E1350" w:rsidR="005D29E2">
        <w:t>.</w:t>
      </w:r>
      <w:r w:rsidRPr="001E1350">
        <w:t xml:space="preserve">  </w:t>
      </w:r>
    </w:p>
    <w:p w:rsidRPr="001E1350" w:rsidR="001C2D34" w:rsidP="001E1350" w:rsidRDefault="001C2D34">
      <w:pPr>
        <w:pStyle w:val="Default"/>
      </w:pPr>
    </w:p>
    <w:p w:rsidR="00015EE4" w:rsidP="001E1350" w:rsidRDefault="001C2D34">
      <w:pPr>
        <w:pStyle w:val="Default"/>
      </w:pPr>
      <w:r w:rsidRPr="001E1350">
        <w:t>Comments provided by caregivers responding to the survey will be provided to the integrated health system</w:t>
      </w:r>
      <w:r w:rsidRPr="001E1350" w:rsidR="00D92368">
        <w:t xml:space="preserve">, so they may follow up with respondents for purposes of quality improvement. </w:t>
      </w:r>
      <w:r w:rsidRPr="001E1350" w:rsidR="00184411">
        <w:t xml:space="preserve"> Therefore, an assurance of confidentiality will not be provided. Instead</w:t>
      </w:r>
      <w:r w:rsidRPr="001E1350" w:rsidR="000860A0">
        <w:t>,</w:t>
      </w:r>
      <w:r w:rsidRPr="001E1350" w:rsidR="00D92368">
        <w:t xml:space="preserve"> the</w:t>
      </w:r>
      <w:r w:rsidRPr="001E1350" w:rsidR="00684BFA">
        <w:t xml:space="preserve"> </w:t>
      </w:r>
      <w:r w:rsidRPr="001E1350" w:rsidR="00D92368">
        <w:t xml:space="preserve">letter that accompanies the survey instrument </w:t>
      </w:r>
      <w:r w:rsidRPr="001E1350" w:rsidR="00684BFA">
        <w:t>will be printed with</w:t>
      </w:r>
      <w:r w:rsidRPr="001E1350" w:rsidR="00D85E9B">
        <w:t xml:space="preserve"> </w:t>
      </w:r>
      <w:r w:rsidRPr="001E1350" w:rsidR="00684BFA">
        <w:t>the following statement:</w:t>
      </w:r>
    </w:p>
    <w:p w:rsidRPr="001E1350" w:rsidR="001E1350" w:rsidP="001E1350" w:rsidRDefault="001E1350">
      <w:pPr>
        <w:pStyle w:val="Default"/>
      </w:pPr>
    </w:p>
    <w:p w:rsidRPr="00752056" w:rsidR="00752056" w:rsidP="00752056" w:rsidRDefault="00752056">
      <w:pPr>
        <w:ind w:left="720"/>
        <w:rPr>
          <w:rFonts w:ascii="Verdana" w:hAnsi="Verdana"/>
          <w:sz w:val="20"/>
          <w:szCs w:val="20"/>
        </w:rPr>
      </w:pPr>
      <w:r w:rsidRPr="00752056">
        <w:rPr>
          <w:rFonts w:ascii="Verdana" w:hAnsi="Verdana"/>
          <w:b/>
          <w:sz w:val="20"/>
          <w:szCs w:val="20"/>
        </w:rPr>
        <w:t>Your Participation is Voluntary</w:t>
      </w:r>
      <w:r w:rsidRPr="00752056">
        <w:rPr>
          <w:rFonts w:ascii="Verdana" w:hAnsi="Verdana"/>
          <w:sz w:val="20"/>
          <w:szCs w:val="20"/>
        </w:rPr>
        <w:t xml:space="preserve">. </w:t>
      </w:r>
      <w:r w:rsidR="00D92368">
        <w:rPr>
          <w:rFonts w:ascii="Verdana" w:hAnsi="Verdana"/>
          <w:sz w:val="20"/>
          <w:szCs w:val="20"/>
        </w:rPr>
        <w:t xml:space="preserve">Your answers may be shared with </w:t>
      </w:r>
      <w:r w:rsidR="00184411">
        <w:rPr>
          <w:rFonts w:ascii="Verdana" w:hAnsi="Verdana"/>
          <w:sz w:val="20"/>
          <w:szCs w:val="20"/>
        </w:rPr>
        <w:t>[NAME OF INTEGRATED HEALTH SYSTEM]</w:t>
      </w:r>
      <w:r w:rsidR="00D92368">
        <w:rPr>
          <w:rFonts w:ascii="Verdana" w:hAnsi="Verdana"/>
          <w:sz w:val="20"/>
          <w:szCs w:val="20"/>
        </w:rPr>
        <w:t xml:space="preserve"> for purposes of quality improvement.</w:t>
      </w:r>
    </w:p>
    <w:p w:rsidR="00015EE4" w:rsidP="00D85E9B" w:rsidRDefault="00015EE4">
      <w:pPr>
        <w:pStyle w:val="Default"/>
      </w:pPr>
    </w:p>
    <w:p w:rsidRPr="005078D0" w:rsidR="00D85E9B" w:rsidP="00D85E9B" w:rsidRDefault="00D85E9B">
      <w:pPr>
        <w:pStyle w:val="Default"/>
      </w:pPr>
      <w:r w:rsidRPr="005078D0">
        <w:t xml:space="preserve">Informed consent from </w:t>
      </w:r>
      <w:r w:rsidR="00184411">
        <w:t xml:space="preserve">caregiver </w:t>
      </w:r>
      <w:r w:rsidR="00684BFA">
        <w:t>survey respondents</w:t>
      </w:r>
      <w:r w:rsidRPr="005078D0">
        <w:t xml:space="preserve"> will be </w:t>
      </w:r>
      <w:r w:rsidR="00684BFA">
        <w:t>implied</w:t>
      </w:r>
      <w:r w:rsidR="005078D0">
        <w:t xml:space="preserve"> by their completion of the survey</w:t>
      </w:r>
      <w:r w:rsidRPr="005078D0">
        <w:t xml:space="preserve">. </w:t>
      </w:r>
      <w:r w:rsidR="001C2D34">
        <w:t xml:space="preserve">Caregivers </w:t>
      </w:r>
      <w:r w:rsidR="00684BFA">
        <w:t>in the survey sample</w:t>
      </w:r>
      <w:r w:rsidRPr="005078D0">
        <w:t xml:space="preserve"> will receive </w:t>
      </w:r>
      <w:r w:rsidR="00684BFA">
        <w:t xml:space="preserve">additional </w:t>
      </w:r>
      <w:r w:rsidRPr="005078D0">
        <w:t xml:space="preserve">informed consent via the </w:t>
      </w:r>
      <w:r w:rsidR="007A7D1E">
        <w:t>telephone script for the telephone survey</w:t>
      </w:r>
      <w:r w:rsidRPr="005078D0">
        <w:t xml:space="preserve"> (</w:t>
      </w:r>
      <w:r w:rsidR="006D7DA3">
        <w:t>See Attachment A for English language survey materials, and Attachment B for Spanish language survey materials</w:t>
      </w:r>
      <w:r w:rsidRPr="005078D0">
        <w:t>)</w:t>
      </w:r>
      <w:r w:rsidR="007A7D1E">
        <w:t xml:space="preserve">. </w:t>
      </w:r>
    </w:p>
    <w:p w:rsidR="00D85E9B" w:rsidP="00D85E9B" w:rsidRDefault="00D85E9B">
      <w:pPr>
        <w:pStyle w:val="Default"/>
        <w:rPr>
          <w:sz w:val="23"/>
          <w:szCs w:val="23"/>
        </w:rPr>
      </w:pPr>
    </w:p>
    <w:p w:rsidRPr="005078D0" w:rsidR="00D85E9B" w:rsidP="00571D43" w:rsidRDefault="00D85E9B">
      <w:pPr>
        <w:pStyle w:val="Default"/>
      </w:pPr>
      <w:r w:rsidRPr="005078D0">
        <w:t xml:space="preserve">The study will have a Data Safeguarding Plan to ensure the </w:t>
      </w:r>
      <w:r w:rsidR="00D92368">
        <w:t>safeguarding</w:t>
      </w:r>
      <w:r w:rsidRPr="005078D0" w:rsidR="00D92368">
        <w:t xml:space="preserve"> </w:t>
      </w:r>
      <w:r w:rsidRPr="005078D0">
        <w:t xml:space="preserve">of </w:t>
      </w:r>
      <w:r w:rsidR="00D92368">
        <w:t xml:space="preserve">respondent and survey </w:t>
      </w:r>
      <w:r w:rsidRPr="005078D0">
        <w:t>information</w:t>
      </w:r>
      <w:r w:rsidR="00D92368">
        <w:t xml:space="preserve"> at RAND</w:t>
      </w:r>
      <w:r w:rsidRPr="005078D0">
        <w:t xml:space="preserve">. </w:t>
      </w:r>
      <w:r w:rsidR="00684BFA">
        <w:t>In addition, RAND will</w:t>
      </w:r>
      <w:r w:rsidR="00D92368">
        <w:t xml:space="preserve"> t</w:t>
      </w:r>
      <w:r w:rsidR="00684BFA">
        <w:t xml:space="preserve">ransmit and store </w:t>
      </w:r>
      <w:r w:rsidRPr="005078D0" w:rsidR="00D40DB5">
        <w:t>data files and files</w:t>
      </w:r>
      <w:r w:rsidRPr="005078D0">
        <w:t xml:space="preserve"> containing contact information for data collection following procedures reviewed and approved by RAND’s </w:t>
      </w:r>
      <w:r w:rsidR="007A7D1E">
        <w:t xml:space="preserve">Human Subjects Protection Committee (its </w:t>
      </w:r>
      <w:r w:rsidRPr="005078D0">
        <w:t>Institutional Review Board</w:t>
      </w:r>
      <w:r w:rsidR="007A7D1E">
        <w:t>)</w:t>
      </w:r>
      <w:r w:rsidRPr="005078D0">
        <w:t xml:space="preserve">. </w:t>
      </w:r>
    </w:p>
    <w:p w:rsidRPr="00EF52AE" w:rsidR="00D85E9B" w:rsidP="00A67DE5" w:rsidRDefault="00D85E9B">
      <w:pPr>
        <w:tabs>
          <w:tab w:val="left" w:pos="540"/>
        </w:tabs>
      </w:pPr>
    </w:p>
    <w:p w:rsidRPr="008C525E" w:rsidR="00D85E9B" w:rsidP="00D85E9B" w:rsidRDefault="00D85E9B">
      <w:pPr>
        <w:autoSpaceDE w:val="0"/>
        <w:autoSpaceDN w:val="0"/>
        <w:adjustRightInd w:val="0"/>
      </w:pPr>
      <w:r>
        <w:t>RAND</w:t>
      </w:r>
      <w:r w:rsidRPr="008C525E">
        <w:t xml:space="preserve"> will </w:t>
      </w:r>
      <w:r>
        <w:t>execute a data use agreement with</w:t>
      </w:r>
      <w:r w:rsidRPr="008C525E">
        <w:t xml:space="preserve"> </w:t>
      </w:r>
      <w:r w:rsidRPr="001C2D34" w:rsidR="001C2D34">
        <w:t xml:space="preserve">the </w:t>
      </w:r>
      <w:r w:rsidRPr="00032545" w:rsidR="001C2D34">
        <w:t>integrated health system</w:t>
      </w:r>
      <w:r w:rsidR="001C2D34">
        <w:t xml:space="preserve"> </w:t>
      </w:r>
      <w:r w:rsidRPr="008C525E">
        <w:t xml:space="preserve">to </w:t>
      </w:r>
      <w:r>
        <w:t>receive</w:t>
      </w:r>
      <w:r w:rsidRPr="008C525E">
        <w:t xml:space="preserve"> </w:t>
      </w:r>
      <w:r w:rsidR="00686D91">
        <w:t>consumer</w:t>
      </w:r>
      <w:r>
        <w:t xml:space="preserve"> contact and provider</w:t>
      </w:r>
      <w:r w:rsidRPr="008C525E">
        <w:t xml:space="preserve"> information as part of the sample.</w:t>
      </w:r>
      <w:r>
        <w:t xml:space="preserve">  </w:t>
      </w:r>
      <w:r w:rsidRPr="001F366C">
        <w:t>(See Part B for more details of survey procedures.)</w:t>
      </w:r>
    </w:p>
    <w:p w:rsidR="001300A6" w:rsidP="00894DEC" w:rsidRDefault="001300A6">
      <w:pPr>
        <w:pStyle w:val="Default"/>
        <w:rPr>
          <w:sz w:val="23"/>
          <w:szCs w:val="23"/>
        </w:rPr>
      </w:pPr>
    </w:p>
    <w:p w:rsidRPr="00EF52AE" w:rsidR="00A67DE5" w:rsidP="00A67DE5" w:rsidRDefault="007452B3">
      <w:pPr>
        <w:pStyle w:val="Heading2"/>
        <w:rPr>
          <w:rFonts w:ascii="Times New Roman" w:hAnsi="Times New Roman"/>
        </w:rPr>
      </w:pPr>
      <w:bookmarkStart w:name="_Toc82160153" w:id="18"/>
      <w:r>
        <w:rPr>
          <w:rFonts w:ascii="Times New Roman" w:hAnsi="Times New Roman"/>
        </w:rPr>
        <w:lastRenderedPageBreak/>
        <w:t xml:space="preserve">A11. </w:t>
      </w:r>
      <w:r w:rsidRPr="00EF52AE" w:rsidR="00A67DE5">
        <w:rPr>
          <w:rFonts w:ascii="Times New Roman" w:hAnsi="Times New Roman"/>
        </w:rPr>
        <w:t>Sensitive Questions</w:t>
      </w:r>
      <w:bookmarkEnd w:id="18"/>
    </w:p>
    <w:p w:rsidRPr="00EF52AE" w:rsidR="00A67DE5" w:rsidP="00A67DE5" w:rsidRDefault="00A67DE5">
      <w:pPr>
        <w:tabs>
          <w:tab w:val="left" w:pos="540"/>
        </w:tabs>
      </w:pPr>
    </w:p>
    <w:p w:rsidRPr="00571D43" w:rsidR="007A7D1E" w:rsidP="007A7D1E" w:rsidRDefault="007A7D1E">
      <w:pPr>
        <w:tabs>
          <w:tab w:val="left" w:pos="540"/>
        </w:tabs>
      </w:pPr>
      <w:r w:rsidRPr="00F67776">
        <w:t>As this survey requests information from bereaved family members</w:t>
      </w:r>
      <w:r>
        <w:t xml:space="preserve"> or close friends of a deceased patient</w:t>
      </w:r>
      <w:r w:rsidRPr="00F67776">
        <w:t xml:space="preserve">, the potential for distress is possible; however, </w:t>
      </w:r>
      <w:r>
        <w:t xml:space="preserve">the RAND team’s experience with this through contracts supporting </w:t>
      </w:r>
      <w:r w:rsidR="00EA5357">
        <w:t xml:space="preserve">the Centers for Medicare &amp; Medicaid Services’ national implementation of the </w:t>
      </w:r>
      <w:r>
        <w:t xml:space="preserve">CAHPS Hospice Survey </w:t>
      </w:r>
      <w:r w:rsidRPr="00562B3A">
        <w:t>indicates that this is a</w:t>
      </w:r>
      <w:r>
        <w:t xml:space="preserve"> very rare event. </w:t>
      </w:r>
      <w:r w:rsidRPr="00562B3A">
        <w:t xml:space="preserve">The cover letter </w:t>
      </w:r>
      <w:r w:rsidR="00EA5357">
        <w:t>that accompanies</w:t>
      </w:r>
      <w:r w:rsidRPr="00562B3A">
        <w:t xml:space="preserve"> mailed surveys </w:t>
      </w:r>
      <w:r w:rsidR="00EA5357">
        <w:t>will</w:t>
      </w:r>
      <w:r>
        <w:t xml:space="preserve"> </w:t>
      </w:r>
      <w:r w:rsidRPr="00562B3A">
        <w:t>include a toll-free number which respondents may use for questions or concerns</w:t>
      </w:r>
      <w:r>
        <w:t>. S</w:t>
      </w:r>
      <w:r w:rsidRPr="00562B3A">
        <w:t xml:space="preserve">hould a respondent experience distress significant enough for him or her to request additional support, </w:t>
      </w:r>
      <w:r w:rsidR="00EA5357">
        <w:t>RAND’s</w:t>
      </w:r>
      <w:r>
        <w:t xml:space="preserve"> </w:t>
      </w:r>
      <w:r w:rsidR="00EA5357">
        <w:t xml:space="preserve">Survey Research Group </w:t>
      </w:r>
      <w:r w:rsidRPr="00571D43">
        <w:t xml:space="preserve">telephone staff </w:t>
      </w:r>
      <w:r w:rsidRPr="00571D43" w:rsidR="00EA5357">
        <w:t xml:space="preserve">will </w:t>
      </w:r>
      <w:r w:rsidRPr="00571D43">
        <w:t xml:space="preserve">put the respondent in contact with </w:t>
      </w:r>
      <w:r w:rsidRPr="00571D43" w:rsidR="001C2D34">
        <w:t xml:space="preserve">an </w:t>
      </w:r>
      <w:r w:rsidRPr="00571D43">
        <w:t xml:space="preserve">appropriate resource </w:t>
      </w:r>
      <w:r w:rsidRPr="00571D43" w:rsidR="001C2D34">
        <w:t xml:space="preserve">provided by the integrated health system. </w:t>
      </w:r>
    </w:p>
    <w:p w:rsidRPr="00571D43" w:rsidR="00C32807" w:rsidP="00C32807" w:rsidRDefault="00C32807">
      <w:pPr>
        <w:tabs>
          <w:tab w:val="left" w:pos="540"/>
        </w:tabs>
        <w:rPr>
          <w:sz w:val="23"/>
          <w:szCs w:val="23"/>
        </w:rPr>
      </w:pPr>
    </w:p>
    <w:p w:rsidRPr="00571D43" w:rsidR="00A67DE5" w:rsidP="00C32807" w:rsidRDefault="007452B3">
      <w:pPr>
        <w:pStyle w:val="Heading1"/>
      </w:pPr>
      <w:bookmarkStart w:name="_Toc82160154" w:id="19"/>
      <w:r w:rsidRPr="00571D43">
        <w:t xml:space="preserve">A12. </w:t>
      </w:r>
      <w:r w:rsidRPr="00571D43" w:rsidR="00A67DE5">
        <w:t>Burden of Information Collection</w:t>
      </w:r>
      <w:bookmarkEnd w:id="19"/>
    </w:p>
    <w:p w:rsidRPr="00571D43" w:rsidR="00A67DE5" w:rsidP="00A67DE5" w:rsidRDefault="00A67DE5">
      <w:pPr>
        <w:tabs>
          <w:tab w:val="left" w:pos="540"/>
        </w:tabs>
      </w:pPr>
    </w:p>
    <w:p w:rsidRPr="00571D43" w:rsidR="00686D91" w:rsidP="006620B6" w:rsidRDefault="00F25E4C">
      <w:pPr>
        <w:keepLines/>
      </w:pPr>
      <w:r w:rsidRPr="00571D43">
        <w:t xml:space="preserve">Table 1 shows the estimated annualized burden and cost for </w:t>
      </w:r>
      <w:r w:rsidRPr="00571D43" w:rsidR="00686D91">
        <w:t>survey</w:t>
      </w:r>
      <w:r w:rsidRPr="00571D43">
        <w:t xml:space="preserve"> respondents' time to participate in this data collection. </w:t>
      </w:r>
    </w:p>
    <w:p w:rsidRPr="00571D43" w:rsidR="00686D91" w:rsidP="006620B6" w:rsidRDefault="00686D91">
      <w:pPr>
        <w:keepLines/>
      </w:pPr>
    </w:p>
    <w:p w:rsidRPr="00571D43" w:rsidR="00F25E4C" w:rsidP="006620B6" w:rsidRDefault="00686D91">
      <w:pPr>
        <w:keepLines/>
        <w:rPr>
          <w:bCs/>
        </w:rPr>
      </w:pPr>
      <w:r w:rsidRPr="00571D43">
        <w:t xml:space="preserve">The length of the </w:t>
      </w:r>
      <w:r w:rsidRPr="00571D43" w:rsidR="000860A0">
        <w:t xml:space="preserve">Survey of </w:t>
      </w:r>
      <w:r w:rsidRPr="00571D43" w:rsidR="00EA5357">
        <w:t>End-of-Life Care</w:t>
      </w:r>
      <w:r w:rsidRPr="00571D43">
        <w:t xml:space="preserve"> is estimated at </w:t>
      </w:r>
      <w:r w:rsidR="00D06953">
        <w:t>0</w:t>
      </w:r>
      <w:r w:rsidRPr="00571D43">
        <w:t>.1</w:t>
      </w:r>
      <w:r w:rsidRPr="00571D43" w:rsidR="00184411">
        <w:t>9</w:t>
      </w:r>
      <w:r w:rsidRPr="00571D43">
        <w:t xml:space="preserve"> hours (</w:t>
      </w:r>
      <w:r w:rsidRPr="00571D43" w:rsidR="00184411">
        <w:t>11</w:t>
      </w:r>
      <w:r w:rsidRPr="00571D43">
        <w:t>.</w:t>
      </w:r>
      <w:r w:rsidRPr="00571D43" w:rsidR="00184411">
        <w:t>43</w:t>
      </w:r>
      <w:r w:rsidRPr="00571D43">
        <w:t xml:space="preserve"> minutes</w:t>
      </w:r>
      <w:r w:rsidRPr="00571D43" w:rsidR="00EA5357">
        <w:t>)</w:t>
      </w:r>
      <w:r w:rsidRPr="00571D43" w:rsidR="008E419F">
        <w:t>. The estimates are based</w:t>
      </w:r>
      <w:r w:rsidRPr="00571D43">
        <w:t xml:space="preserve"> on tests of the survey conducted on nine or fewer persons and </w:t>
      </w:r>
      <w:r w:rsidRPr="00571D43">
        <w:rPr>
          <w:color w:val="000000"/>
        </w:rPr>
        <w:t>on prior work that established guidelines for estimating survey completion time (Berry, 2009).</w:t>
      </w:r>
    </w:p>
    <w:p w:rsidRPr="00571D43" w:rsidR="00686D91" w:rsidP="006620B6" w:rsidRDefault="00686D91">
      <w:pPr>
        <w:keepLines/>
        <w:rPr>
          <w:bCs/>
        </w:rPr>
      </w:pPr>
    </w:p>
    <w:p w:rsidRPr="005078D0" w:rsidR="00686D91" w:rsidP="006620B6" w:rsidRDefault="00686D91">
      <w:pPr>
        <w:keepLines/>
        <w:rPr>
          <w:color w:val="000000"/>
          <w:highlight w:val="yellow"/>
        </w:rPr>
      </w:pPr>
      <w:r w:rsidRPr="00571D43">
        <w:rPr>
          <w:bCs/>
        </w:rPr>
        <w:t xml:space="preserve">The May </w:t>
      </w:r>
      <w:bookmarkStart w:name="_Hlk64466417" w:id="20"/>
      <w:r w:rsidRPr="00571D43" w:rsidR="00284501">
        <w:rPr>
          <w:bCs/>
        </w:rPr>
        <w:t>20</w:t>
      </w:r>
      <w:r w:rsidR="00284501">
        <w:rPr>
          <w:bCs/>
        </w:rPr>
        <w:t>20</w:t>
      </w:r>
      <w:r w:rsidRPr="00571D43" w:rsidR="00284501">
        <w:rPr>
          <w:bCs/>
        </w:rPr>
        <w:t xml:space="preserve"> </w:t>
      </w:r>
      <w:r w:rsidRPr="00571D43">
        <w:rPr>
          <w:bCs/>
        </w:rPr>
        <w:t>National Employment and Wage Estimates reported by the Bureau</w:t>
      </w:r>
      <w:r>
        <w:rPr>
          <w:bCs/>
        </w:rPr>
        <w:t xml:space="preserve"> of Labor </w:t>
      </w:r>
      <w:r w:rsidR="00221D2D">
        <w:rPr>
          <w:bCs/>
        </w:rPr>
        <w:t xml:space="preserve">Statistics </w:t>
      </w:r>
      <w:r>
        <w:rPr>
          <w:bCs/>
        </w:rPr>
        <w:t>indicate an average hourly wage of $2</w:t>
      </w:r>
      <w:r w:rsidR="00284501">
        <w:rPr>
          <w:bCs/>
        </w:rPr>
        <w:t>7</w:t>
      </w:r>
      <w:r>
        <w:rPr>
          <w:bCs/>
        </w:rPr>
        <w:t>.</w:t>
      </w:r>
      <w:bookmarkStart w:name="_Hlk64466448" w:id="21"/>
      <w:bookmarkEnd w:id="20"/>
      <w:r w:rsidR="00284501">
        <w:rPr>
          <w:bCs/>
        </w:rPr>
        <w:t xml:space="preserve">07 </w:t>
      </w:r>
      <w:r w:rsidR="008E419F">
        <w:rPr>
          <w:bCs/>
        </w:rPr>
        <w:t>across the 50 U.S. states and the District of Columbia</w:t>
      </w:r>
      <w:bookmarkEnd w:id="21"/>
      <w:r w:rsidR="008E419F">
        <w:rPr>
          <w:bCs/>
        </w:rPr>
        <w:t>. We have used the national average to estimate the wages of survey respondents.</w:t>
      </w:r>
    </w:p>
    <w:p w:rsidR="00F25E4C" w:rsidP="006620B6" w:rsidRDefault="00F25E4C">
      <w:pPr>
        <w:keepLines/>
        <w:rPr>
          <w:color w:val="000000"/>
          <w:highlight w:val="yellow"/>
        </w:rPr>
      </w:pPr>
    </w:p>
    <w:p w:rsidRPr="005E4797" w:rsidR="00B73898" w:rsidP="00A67DE5" w:rsidRDefault="008E419F">
      <w:pPr>
        <w:keepNext/>
        <w:rPr>
          <w:color w:val="000000"/>
        </w:rPr>
      </w:pPr>
      <w:r>
        <w:rPr>
          <w:color w:val="000000"/>
        </w:rPr>
        <w:br w:type="page"/>
      </w:r>
      <w:r w:rsidRPr="00C760C0" w:rsidR="007452B3">
        <w:rPr>
          <w:b/>
          <w:bCs/>
          <w:color w:val="000000"/>
        </w:rPr>
        <w:lastRenderedPageBreak/>
        <w:t xml:space="preserve">Table 1. </w:t>
      </w:r>
      <w:r w:rsidRPr="00C760C0" w:rsidR="00A67DE5">
        <w:rPr>
          <w:b/>
          <w:bCs/>
          <w:color w:val="000000"/>
        </w:rPr>
        <w:t>Estimated annualized burden hours</w:t>
      </w:r>
      <w:r w:rsidRPr="00C760C0" w:rsidR="00B73898">
        <w:rPr>
          <w:b/>
          <w:bCs/>
          <w:color w:val="000000"/>
        </w:rPr>
        <w:t xml:space="preserve"> and cost</w:t>
      </w:r>
    </w:p>
    <w:tbl>
      <w:tblPr>
        <w:tblW w:w="955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00" w:firstRow="0" w:lastRow="0" w:firstColumn="0" w:lastColumn="0" w:noHBand="0" w:noVBand="0"/>
      </w:tblPr>
      <w:tblGrid>
        <w:gridCol w:w="1728"/>
        <w:gridCol w:w="1620"/>
        <w:gridCol w:w="1620"/>
        <w:gridCol w:w="1260"/>
        <w:gridCol w:w="990"/>
        <w:gridCol w:w="1080"/>
        <w:gridCol w:w="1260"/>
      </w:tblGrid>
      <w:tr w:rsidRPr="00571D43" w:rsidR="00B73898" w:rsidTr="00575C98">
        <w:tblPrEx>
          <w:tblCellMar>
            <w:top w:w="0" w:type="dxa"/>
            <w:bottom w:w="0" w:type="dxa"/>
          </w:tblCellMar>
        </w:tblPrEx>
        <w:trPr>
          <w:trHeight w:val="565"/>
        </w:trPr>
        <w:tc>
          <w:tcPr>
            <w:tcW w:w="1728" w:type="dxa"/>
            <w:vAlign w:val="center"/>
          </w:tcPr>
          <w:p w:rsidRPr="00571D43" w:rsidR="00B73898" w:rsidP="00B73898" w:rsidRDefault="00B73898">
            <w:pPr>
              <w:pStyle w:val="Default"/>
              <w:jc w:val="center"/>
              <w:rPr>
                <w:b/>
              </w:rPr>
            </w:pPr>
            <w:r w:rsidRPr="00571D43">
              <w:rPr>
                <w:b/>
              </w:rPr>
              <w:t>Collection Task</w:t>
            </w:r>
          </w:p>
        </w:tc>
        <w:tc>
          <w:tcPr>
            <w:tcW w:w="1620" w:type="dxa"/>
            <w:vAlign w:val="center"/>
          </w:tcPr>
          <w:p w:rsidRPr="00571D43" w:rsidR="00B73898" w:rsidP="00B73898" w:rsidRDefault="00B73898">
            <w:pPr>
              <w:pStyle w:val="Default"/>
              <w:jc w:val="center"/>
              <w:rPr>
                <w:b/>
              </w:rPr>
            </w:pPr>
            <w:r w:rsidRPr="00571D43">
              <w:rPr>
                <w:b/>
              </w:rPr>
              <w:t>Number of Respondents</w:t>
            </w:r>
          </w:p>
        </w:tc>
        <w:tc>
          <w:tcPr>
            <w:tcW w:w="1620" w:type="dxa"/>
            <w:vAlign w:val="center"/>
          </w:tcPr>
          <w:p w:rsidRPr="00571D43" w:rsidR="00B73898" w:rsidP="00B73898" w:rsidRDefault="00B73898">
            <w:pPr>
              <w:pStyle w:val="Default"/>
              <w:jc w:val="center"/>
              <w:rPr>
                <w:b/>
              </w:rPr>
            </w:pPr>
            <w:r w:rsidRPr="00571D43">
              <w:rPr>
                <w:b/>
              </w:rPr>
              <w:t>Number of Responses per Respondent</w:t>
            </w:r>
          </w:p>
        </w:tc>
        <w:tc>
          <w:tcPr>
            <w:tcW w:w="1260" w:type="dxa"/>
            <w:vAlign w:val="center"/>
          </w:tcPr>
          <w:p w:rsidRPr="00571D43" w:rsidR="00B73898" w:rsidP="00B73898" w:rsidRDefault="00B73898">
            <w:pPr>
              <w:pStyle w:val="Default"/>
              <w:jc w:val="center"/>
              <w:rPr>
                <w:b/>
              </w:rPr>
            </w:pPr>
            <w:r w:rsidRPr="00571D43">
              <w:rPr>
                <w:b/>
              </w:rPr>
              <w:t>Hours per Response</w:t>
            </w:r>
          </w:p>
        </w:tc>
        <w:tc>
          <w:tcPr>
            <w:tcW w:w="990" w:type="dxa"/>
            <w:vAlign w:val="center"/>
          </w:tcPr>
          <w:p w:rsidRPr="00571D43" w:rsidR="00B73898" w:rsidP="00B73898" w:rsidRDefault="00B73898">
            <w:pPr>
              <w:pStyle w:val="Default"/>
              <w:jc w:val="center"/>
              <w:rPr>
                <w:b/>
              </w:rPr>
            </w:pPr>
            <w:r w:rsidRPr="00571D43">
              <w:rPr>
                <w:b/>
              </w:rPr>
              <w:t>Total Burden hours</w:t>
            </w:r>
          </w:p>
        </w:tc>
        <w:tc>
          <w:tcPr>
            <w:tcW w:w="1080" w:type="dxa"/>
            <w:vAlign w:val="center"/>
          </w:tcPr>
          <w:p w:rsidRPr="00571D43" w:rsidR="00B73898" w:rsidP="00B73898" w:rsidRDefault="00B73898">
            <w:pPr>
              <w:pStyle w:val="Default"/>
              <w:jc w:val="center"/>
              <w:rPr>
                <w:b/>
              </w:rPr>
            </w:pPr>
            <w:r w:rsidRPr="00571D43">
              <w:rPr>
                <w:b/>
              </w:rPr>
              <w:t>Average Hourly Wage Rate*</w:t>
            </w:r>
          </w:p>
        </w:tc>
        <w:tc>
          <w:tcPr>
            <w:tcW w:w="1260" w:type="dxa"/>
            <w:vAlign w:val="center"/>
          </w:tcPr>
          <w:p w:rsidRPr="00571D43" w:rsidR="00B73898" w:rsidP="00B73898" w:rsidRDefault="00B73898">
            <w:pPr>
              <w:pStyle w:val="Default"/>
              <w:jc w:val="center"/>
              <w:rPr>
                <w:b/>
              </w:rPr>
            </w:pPr>
            <w:r w:rsidRPr="00571D43">
              <w:rPr>
                <w:b/>
              </w:rPr>
              <w:t>Total Cost Burden</w:t>
            </w:r>
          </w:p>
        </w:tc>
      </w:tr>
      <w:tr w:rsidRPr="00571D43" w:rsidR="00B73898" w:rsidTr="000860A0">
        <w:tblPrEx>
          <w:tblCellMar>
            <w:top w:w="0" w:type="dxa"/>
            <w:bottom w:w="0" w:type="dxa"/>
          </w:tblCellMar>
        </w:tblPrEx>
        <w:trPr>
          <w:trHeight w:val="437"/>
        </w:trPr>
        <w:tc>
          <w:tcPr>
            <w:tcW w:w="1728" w:type="dxa"/>
          </w:tcPr>
          <w:p w:rsidRPr="00571D43" w:rsidR="00B73898" w:rsidP="00B73898" w:rsidRDefault="00EA5357">
            <w:pPr>
              <w:pStyle w:val="Default"/>
              <w:rPr>
                <w:sz w:val="23"/>
                <w:szCs w:val="23"/>
              </w:rPr>
            </w:pPr>
            <w:r w:rsidRPr="00571D43">
              <w:rPr>
                <w:sz w:val="23"/>
                <w:szCs w:val="23"/>
              </w:rPr>
              <w:t>End-of-life Care Survey</w:t>
            </w:r>
          </w:p>
        </w:tc>
        <w:tc>
          <w:tcPr>
            <w:tcW w:w="1620" w:type="dxa"/>
            <w:vAlign w:val="center"/>
          </w:tcPr>
          <w:p w:rsidRPr="00571D43" w:rsidR="00B73898" w:rsidP="00B73898" w:rsidRDefault="00184411">
            <w:pPr>
              <w:pStyle w:val="Default"/>
              <w:jc w:val="center"/>
              <w:rPr>
                <w:sz w:val="23"/>
                <w:szCs w:val="23"/>
              </w:rPr>
            </w:pPr>
            <w:r w:rsidRPr="00571D43">
              <w:rPr>
                <w:sz w:val="23"/>
                <w:szCs w:val="23"/>
              </w:rPr>
              <w:t>510</w:t>
            </w:r>
          </w:p>
        </w:tc>
        <w:tc>
          <w:tcPr>
            <w:tcW w:w="1620" w:type="dxa"/>
            <w:vAlign w:val="center"/>
          </w:tcPr>
          <w:p w:rsidRPr="00571D43" w:rsidR="00B73898" w:rsidP="00B73898" w:rsidRDefault="00B73898">
            <w:pPr>
              <w:pStyle w:val="Default"/>
              <w:jc w:val="center"/>
              <w:rPr>
                <w:sz w:val="23"/>
                <w:szCs w:val="23"/>
              </w:rPr>
            </w:pPr>
            <w:r w:rsidRPr="00571D43">
              <w:rPr>
                <w:sz w:val="23"/>
                <w:szCs w:val="23"/>
              </w:rPr>
              <w:t>1</w:t>
            </w:r>
          </w:p>
        </w:tc>
        <w:tc>
          <w:tcPr>
            <w:tcW w:w="1260" w:type="dxa"/>
            <w:vAlign w:val="center"/>
          </w:tcPr>
          <w:p w:rsidRPr="00571D43" w:rsidR="00B73898" w:rsidP="00B73898" w:rsidRDefault="00D06953">
            <w:pPr>
              <w:pStyle w:val="Default"/>
              <w:jc w:val="center"/>
              <w:rPr>
                <w:sz w:val="23"/>
                <w:szCs w:val="23"/>
              </w:rPr>
            </w:pPr>
            <w:r>
              <w:rPr>
                <w:sz w:val="23"/>
                <w:szCs w:val="23"/>
              </w:rPr>
              <w:t>0</w:t>
            </w:r>
            <w:r w:rsidRPr="00571D43" w:rsidR="00D660A8">
              <w:rPr>
                <w:sz w:val="23"/>
                <w:szCs w:val="23"/>
              </w:rPr>
              <w:t>.</w:t>
            </w:r>
            <w:r w:rsidRPr="00571D43" w:rsidR="00F42096">
              <w:rPr>
                <w:sz w:val="23"/>
                <w:szCs w:val="23"/>
              </w:rPr>
              <w:t>1</w:t>
            </w:r>
            <w:r w:rsidRPr="00571D43" w:rsidR="00184411">
              <w:rPr>
                <w:sz w:val="23"/>
                <w:szCs w:val="23"/>
              </w:rPr>
              <w:t>9</w:t>
            </w:r>
          </w:p>
        </w:tc>
        <w:tc>
          <w:tcPr>
            <w:tcW w:w="990" w:type="dxa"/>
            <w:vAlign w:val="center"/>
          </w:tcPr>
          <w:p w:rsidRPr="00571D43" w:rsidR="00B73898" w:rsidP="00B73898" w:rsidRDefault="00184411">
            <w:pPr>
              <w:pStyle w:val="Default"/>
              <w:jc w:val="center"/>
              <w:rPr>
                <w:sz w:val="23"/>
                <w:szCs w:val="23"/>
              </w:rPr>
            </w:pPr>
            <w:r w:rsidRPr="00571D43">
              <w:rPr>
                <w:sz w:val="23"/>
                <w:szCs w:val="23"/>
              </w:rPr>
              <w:t>96.9</w:t>
            </w:r>
          </w:p>
        </w:tc>
        <w:tc>
          <w:tcPr>
            <w:tcW w:w="1080" w:type="dxa"/>
            <w:vAlign w:val="center"/>
          </w:tcPr>
          <w:p w:rsidRPr="00571D43" w:rsidR="00B73898" w:rsidP="00B73898" w:rsidRDefault="00F42096">
            <w:pPr>
              <w:pStyle w:val="Default"/>
              <w:jc w:val="center"/>
              <w:rPr>
                <w:sz w:val="23"/>
                <w:szCs w:val="23"/>
              </w:rPr>
            </w:pPr>
            <w:r w:rsidRPr="00571D43">
              <w:rPr>
                <w:sz w:val="23"/>
                <w:szCs w:val="23"/>
              </w:rPr>
              <w:t>$</w:t>
            </w:r>
            <w:r w:rsidRPr="00571D43" w:rsidR="000E1E08">
              <w:rPr>
                <w:sz w:val="23"/>
                <w:szCs w:val="23"/>
              </w:rPr>
              <w:t>2</w:t>
            </w:r>
            <w:r w:rsidR="000E1E08">
              <w:rPr>
                <w:sz w:val="23"/>
                <w:szCs w:val="23"/>
              </w:rPr>
              <w:t>7</w:t>
            </w:r>
            <w:r w:rsidRPr="00571D43" w:rsidR="00B73898">
              <w:rPr>
                <w:sz w:val="23"/>
                <w:szCs w:val="23"/>
              </w:rPr>
              <w:t>.</w:t>
            </w:r>
            <w:r w:rsidR="000E1E08">
              <w:rPr>
                <w:sz w:val="23"/>
                <w:szCs w:val="23"/>
              </w:rPr>
              <w:t>07</w:t>
            </w:r>
          </w:p>
        </w:tc>
        <w:tc>
          <w:tcPr>
            <w:tcW w:w="1260" w:type="dxa"/>
            <w:vAlign w:val="center"/>
          </w:tcPr>
          <w:p w:rsidRPr="00571D43" w:rsidR="00B73898" w:rsidP="00B73898" w:rsidRDefault="00D660A8">
            <w:pPr>
              <w:pStyle w:val="Default"/>
              <w:jc w:val="center"/>
              <w:rPr>
                <w:sz w:val="23"/>
                <w:szCs w:val="23"/>
              </w:rPr>
            </w:pPr>
            <w:r w:rsidRPr="00571D43">
              <w:rPr>
                <w:sz w:val="23"/>
                <w:szCs w:val="23"/>
              </w:rPr>
              <w:t>$</w:t>
            </w:r>
            <w:r w:rsidRPr="00571D43" w:rsidR="00184411">
              <w:rPr>
                <w:sz w:val="23"/>
                <w:szCs w:val="23"/>
              </w:rPr>
              <w:t>2,</w:t>
            </w:r>
            <w:r w:rsidR="000E1E08">
              <w:rPr>
                <w:sz w:val="23"/>
                <w:szCs w:val="23"/>
              </w:rPr>
              <w:t>623</w:t>
            </w:r>
            <w:r w:rsidRPr="00571D43" w:rsidR="00184411">
              <w:rPr>
                <w:sz w:val="23"/>
                <w:szCs w:val="23"/>
              </w:rPr>
              <w:t>.</w:t>
            </w:r>
            <w:r w:rsidR="000E1E08">
              <w:rPr>
                <w:sz w:val="23"/>
                <w:szCs w:val="23"/>
              </w:rPr>
              <w:t>08</w:t>
            </w:r>
          </w:p>
        </w:tc>
      </w:tr>
      <w:tr w:rsidRPr="00571D43" w:rsidR="00B73898" w:rsidTr="00575C98">
        <w:tblPrEx>
          <w:tblCellMar>
            <w:top w:w="0" w:type="dxa"/>
            <w:bottom w:w="0" w:type="dxa"/>
          </w:tblCellMar>
        </w:tblPrEx>
        <w:trPr>
          <w:trHeight w:val="437"/>
        </w:trPr>
        <w:tc>
          <w:tcPr>
            <w:tcW w:w="1728" w:type="dxa"/>
            <w:vAlign w:val="center"/>
          </w:tcPr>
          <w:p w:rsidRPr="00571D43" w:rsidR="00B73898" w:rsidP="00DF14FF" w:rsidRDefault="00B73898">
            <w:pPr>
              <w:pStyle w:val="Default"/>
              <w:rPr>
                <w:sz w:val="23"/>
                <w:szCs w:val="23"/>
              </w:rPr>
            </w:pPr>
            <w:r w:rsidRPr="00571D43">
              <w:rPr>
                <w:b/>
                <w:bCs/>
                <w:sz w:val="23"/>
                <w:szCs w:val="23"/>
              </w:rPr>
              <w:t>Total</w:t>
            </w:r>
          </w:p>
        </w:tc>
        <w:tc>
          <w:tcPr>
            <w:tcW w:w="1620" w:type="dxa"/>
            <w:vAlign w:val="center"/>
          </w:tcPr>
          <w:p w:rsidRPr="00571D43" w:rsidR="00B73898" w:rsidP="00B73898" w:rsidRDefault="00B73898">
            <w:pPr>
              <w:pStyle w:val="Default"/>
              <w:jc w:val="center"/>
              <w:rPr>
                <w:sz w:val="23"/>
                <w:szCs w:val="23"/>
              </w:rPr>
            </w:pPr>
          </w:p>
        </w:tc>
        <w:tc>
          <w:tcPr>
            <w:tcW w:w="1620" w:type="dxa"/>
            <w:vAlign w:val="center"/>
          </w:tcPr>
          <w:p w:rsidRPr="00DF14FF" w:rsidR="00B73898" w:rsidP="00B73898" w:rsidRDefault="00F42096">
            <w:pPr>
              <w:pStyle w:val="Default"/>
              <w:jc w:val="center"/>
              <w:rPr>
                <w:b/>
                <w:bCs/>
                <w:sz w:val="23"/>
                <w:szCs w:val="23"/>
              </w:rPr>
            </w:pPr>
            <w:r w:rsidRPr="00DF14FF">
              <w:rPr>
                <w:b/>
                <w:bCs/>
                <w:sz w:val="23"/>
                <w:szCs w:val="23"/>
              </w:rPr>
              <w:t>1</w:t>
            </w:r>
          </w:p>
        </w:tc>
        <w:tc>
          <w:tcPr>
            <w:tcW w:w="1260" w:type="dxa"/>
            <w:vAlign w:val="center"/>
          </w:tcPr>
          <w:p w:rsidRPr="00DF14FF" w:rsidR="00B73898" w:rsidP="00B73898" w:rsidRDefault="00D06953">
            <w:pPr>
              <w:pStyle w:val="Default"/>
              <w:jc w:val="center"/>
              <w:rPr>
                <w:b/>
                <w:bCs/>
                <w:sz w:val="23"/>
                <w:szCs w:val="23"/>
              </w:rPr>
            </w:pPr>
            <w:r w:rsidRPr="00DF14FF">
              <w:rPr>
                <w:b/>
                <w:bCs/>
                <w:sz w:val="23"/>
                <w:szCs w:val="23"/>
              </w:rPr>
              <w:t>0</w:t>
            </w:r>
            <w:r w:rsidRPr="00DF14FF" w:rsidR="00F42096">
              <w:rPr>
                <w:b/>
                <w:bCs/>
                <w:sz w:val="23"/>
                <w:szCs w:val="23"/>
              </w:rPr>
              <w:t>.1</w:t>
            </w:r>
            <w:r w:rsidRPr="00DF14FF" w:rsidR="00184411">
              <w:rPr>
                <w:b/>
                <w:bCs/>
                <w:sz w:val="23"/>
                <w:szCs w:val="23"/>
              </w:rPr>
              <w:t>9</w:t>
            </w:r>
          </w:p>
        </w:tc>
        <w:tc>
          <w:tcPr>
            <w:tcW w:w="990" w:type="dxa"/>
            <w:vAlign w:val="center"/>
          </w:tcPr>
          <w:p w:rsidRPr="00DF14FF" w:rsidR="00B73898" w:rsidP="00B73898" w:rsidRDefault="00184411">
            <w:pPr>
              <w:pStyle w:val="Default"/>
              <w:jc w:val="center"/>
              <w:rPr>
                <w:b/>
                <w:bCs/>
                <w:sz w:val="23"/>
                <w:szCs w:val="23"/>
              </w:rPr>
            </w:pPr>
            <w:r w:rsidRPr="00DF14FF">
              <w:rPr>
                <w:b/>
                <w:bCs/>
                <w:sz w:val="23"/>
                <w:szCs w:val="23"/>
              </w:rPr>
              <w:t>96.9</w:t>
            </w:r>
          </w:p>
        </w:tc>
        <w:tc>
          <w:tcPr>
            <w:tcW w:w="1080" w:type="dxa"/>
            <w:vAlign w:val="center"/>
          </w:tcPr>
          <w:p w:rsidRPr="00DF14FF" w:rsidR="00B73898" w:rsidP="00B73898" w:rsidRDefault="00B73898">
            <w:pPr>
              <w:pStyle w:val="Default"/>
              <w:jc w:val="center"/>
              <w:rPr>
                <w:b/>
                <w:bCs/>
                <w:sz w:val="23"/>
                <w:szCs w:val="23"/>
              </w:rPr>
            </w:pPr>
          </w:p>
        </w:tc>
        <w:tc>
          <w:tcPr>
            <w:tcW w:w="1260" w:type="dxa"/>
            <w:vAlign w:val="center"/>
          </w:tcPr>
          <w:p w:rsidRPr="00DF14FF" w:rsidR="00B73898" w:rsidP="00B73898" w:rsidRDefault="00F42096">
            <w:pPr>
              <w:pStyle w:val="Default"/>
              <w:jc w:val="center"/>
              <w:rPr>
                <w:b/>
                <w:bCs/>
                <w:sz w:val="23"/>
                <w:szCs w:val="23"/>
              </w:rPr>
            </w:pPr>
            <w:r w:rsidRPr="00DF14FF">
              <w:rPr>
                <w:b/>
                <w:bCs/>
                <w:sz w:val="23"/>
                <w:szCs w:val="23"/>
              </w:rPr>
              <w:t>$</w:t>
            </w:r>
            <w:r w:rsidRPr="00DF14FF" w:rsidR="00184411">
              <w:rPr>
                <w:b/>
                <w:bCs/>
                <w:sz w:val="23"/>
                <w:szCs w:val="23"/>
              </w:rPr>
              <w:t>2,</w:t>
            </w:r>
            <w:r w:rsidRPr="00DF14FF" w:rsidR="000E1E08">
              <w:rPr>
                <w:b/>
                <w:bCs/>
                <w:sz w:val="23"/>
                <w:szCs w:val="23"/>
              </w:rPr>
              <w:t>623</w:t>
            </w:r>
            <w:r w:rsidRPr="00DF14FF" w:rsidR="00184411">
              <w:rPr>
                <w:b/>
                <w:bCs/>
                <w:sz w:val="23"/>
                <w:szCs w:val="23"/>
              </w:rPr>
              <w:t>.</w:t>
            </w:r>
            <w:r w:rsidRPr="00DF14FF" w:rsidR="000E1E08">
              <w:rPr>
                <w:b/>
                <w:bCs/>
                <w:sz w:val="23"/>
                <w:szCs w:val="23"/>
              </w:rPr>
              <w:t>08</w:t>
            </w:r>
          </w:p>
        </w:tc>
      </w:tr>
    </w:tbl>
    <w:p w:rsidRPr="00571D43" w:rsidR="00B73898" w:rsidP="005E4797" w:rsidRDefault="005E4797">
      <w:pPr>
        <w:rPr>
          <w:color w:val="000000"/>
          <w:sz w:val="20"/>
          <w:szCs w:val="20"/>
        </w:rPr>
      </w:pPr>
      <w:bookmarkStart w:name="_Hlk64466635" w:id="22"/>
      <w:r w:rsidRPr="00571D43">
        <w:rPr>
          <w:color w:val="000000"/>
          <w:sz w:val="20"/>
          <w:szCs w:val="20"/>
        </w:rPr>
        <w:t>*Based upon mean hourly wage, “May 20</w:t>
      </w:r>
      <w:r w:rsidR="000E1E08">
        <w:rPr>
          <w:color w:val="000000"/>
          <w:sz w:val="20"/>
          <w:szCs w:val="20"/>
        </w:rPr>
        <w:t>20</w:t>
      </w:r>
      <w:r w:rsidRPr="00571D43">
        <w:rPr>
          <w:color w:val="000000"/>
          <w:sz w:val="20"/>
          <w:szCs w:val="20"/>
        </w:rPr>
        <w:t xml:space="preserve"> National Occupational Employment and Wage Estimates United States,” U.S. Department of Labor, Bureau of Labor Statistics, retrieved at </w:t>
      </w:r>
      <w:r w:rsidRPr="00571D43" w:rsidR="00672E08">
        <w:rPr>
          <w:color w:val="000000"/>
          <w:sz w:val="20"/>
          <w:szCs w:val="20"/>
        </w:rPr>
        <w:t>https://www.bls.gov/oes/current/oes_nat.htm#00-0000</w:t>
      </w:r>
    </w:p>
    <w:bookmarkEnd w:id="22"/>
    <w:p w:rsidRPr="00571D43" w:rsidR="00A67DE5" w:rsidP="00A67DE5" w:rsidRDefault="00A67DE5">
      <w:pPr>
        <w:rPr>
          <w:b/>
          <w:color w:val="000000"/>
        </w:rPr>
      </w:pPr>
    </w:p>
    <w:p w:rsidRPr="00571D43" w:rsidR="00686D91" w:rsidP="00686D91" w:rsidRDefault="00686D91">
      <w:pPr>
        <w:keepLines/>
        <w:rPr>
          <w:bCs/>
        </w:rPr>
      </w:pPr>
      <w:r w:rsidRPr="00571D43">
        <w:rPr>
          <w:color w:val="000000"/>
        </w:rPr>
        <w:t>As indicated in Table 1 above</w:t>
      </w:r>
      <w:r w:rsidR="000E1E08">
        <w:rPr>
          <w:color w:val="000000"/>
        </w:rPr>
        <w:t>,</w:t>
      </w:r>
      <w:r w:rsidRPr="00571D43">
        <w:rPr>
          <w:color w:val="000000"/>
        </w:rPr>
        <w:t xml:space="preserve"> </w:t>
      </w:r>
      <w:r w:rsidRPr="00571D43">
        <w:rPr>
          <w:bCs/>
        </w:rPr>
        <w:t xml:space="preserve">the annual burden hours are estimated to be </w:t>
      </w:r>
      <w:r w:rsidRPr="00571D43" w:rsidR="00184411">
        <w:rPr>
          <w:bCs/>
        </w:rPr>
        <w:t xml:space="preserve">96.9 </w:t>
      </w:r>
      <w:r w:rsidRPr="00571D43" w:rsidR="008E419F">
        <w:rPr>
          <w:bCs/>
        </w:rPr>
        <w:t xml:space="preserve">hours in total for </w:t>
      </w:r>
      <w:r w:rsidRPr="00571D43" w:rsidR="00184411">
        <w:rPr>
          <w:bCs/>
        </w:rPr>
        <w:t>510</w:t>
      </w:r>
      <w:r w:rsidRPr="00571D43" w:rsidR="001C2D34">
        <w:rPr>
          <w:bCs/>
        </w:rPr>
        <w:t xml:space="preserve"> caregivers</w:t>
      </w:r>
      <w:r w:rsidRPr="00571D43" w:rsidR="008E419F">
        <w:rPr>
          <w:bCs/>
        </w:rPr>
        <w:t xml:space="preserve"> responding to </w:t>
      </w:r>
      <w:r w:rsidRPr="00571D43" w:rsidR="008B5E79">
        <w:rPr>
          <w:color w:val="000000"/>
        </w:rPr>
        <w:t xml:space="preserve">the </w:t>
      </w:r>
      <w:r w:rsidRPr="00571D43" w:rsidR="00A94FE4">
        <w:rPr>
          <w:color w:val="000000"/>
        </w:rPr>
        <w:t xml:space="preserve">Survey of </w:t>
      </w:r>
      <w:r w:rsidRPr="00571D43" w:rsidR="008B5E79">
        <w:rPr>
          <w:color w:val="000000"/>
        </w:rPr>
        <w:t>End-of-Life Care</w:t>
      </w:r>
      <w:r w:rsidRPr="00571D43" w:rsidR="008E419F">
        <w:t>.</w:t>
      </w:r>
    </w:p>
    <w:p w:rsidRPr="007E49C6" w:rsidR="00686D91" w:rsidP="00A67DE5" w:rsidRDefault="00686D91">
      <w:pPr>
        <w:rPr>
          <w:b/>
          <w:color w:val="000000"/>
        </w:rPr>
      </w:pPr>
    </w:p>
    <w:p w:rsidRPr="007E49C6" w:rsidR="00A67DE5" w:rsidP="00A67DE5" w:rsidRDefault="007452B3">
      <w:pPr>
        <w:pStyle w:val="Heading2"/>
        <w:rPr>
          <w:rFonts w:ascii="Times New Roman" w:hAnsi="Times New Roman"/>
          <w:color w:val="000000"/>
        </w:rPr>
      </w:pPr>
      <w:bookmarkStart w:name="_Toc82160155" w:id="23"/>
      <w:r>
        <w:rPr>
          <w:rFonts w:ascii="Times New Roman" w:hAnsi="Times New Roman"/>
          <w:color w:val="000000"/>
        </w:rPr>
        <w:t xml:space="preserve">A13. </w:t>
      </w:r>
      <w:r w:rsidRPr="007E49C6" w:rsidR="00A67DE5">
        <w:rPr>
          <w:rFonts w:ascii="Times New Roman" w:hAnsi="Times New Roman"/>
          <w:color w:val="000000"/>
        </w:rPr>
        <w:t>Capital Costs</w:t>
      </w:r>
      <w:bookmarkEnd w:id="23"/>
    </w:p>
    <w:p w:rsidRPr="007E49C6" w:rsidR="00A67DE5" w:rsidP="00A67DE5" w:rsidRDefault="00A67DE5">
      <w:pPr>
        <w:tabs>
          <w:tab w:val="left" w:pos="540"/>
        </w:tabs>
        <w:rPr>
          <w:color w:val="000000"/>
        </w:rPr>
      </w:pPr>
    </w:p>
    <w:p w:rsidR="00A67DE5" w:rsidP="00A67DE5" w:rsidRDefault="002619D5">
      <w:pPr>
        <w:tabs>
          <w:tab w:val="left" w:pos="540"/>
        </w:tabs>
      </w:pPr>
      <w:r>
        <w:t xml:space="preserve">Capital and maintenance costs include the purchase of equipment, computers or computer software or services, or storage facilities for records, as a result of complying with this data </w:t>
      </w:r>
      <w:r>
        <w:lastRenderedPageBreak/>
        <w:t>collection.  There are no direct costs to respondents other than their time to participate in the study.</w:t>
      </w:r>
    </w:p>
    <w:p w:rsidRPr="007E49C6" w:rsidR="009D6ED4" w:rsidP="00A67DE5" w:rsidRDefault="009D6ED4">
      <w:pPr>
        <w:tabs>
          <w:tab w:val="left" w:pos="540"/>
        </w:tabs>
        <w:rPr>
          <w:b/>
          <w:color w:val="000000"/>
        </w:rPr>
      </w:pPr>
    </w:p>
    <w:p w:rsidRPr="007E49C6" w:rsidR="00A67DE5" w:rsidP="00A67DE5" w:rsidRDefault="007452B3">
      <w:pPr>
        <w:pStyle w:val="Heading2"/>
        <w:rPr>
          <w:rFonts w:ascii="Times New Roman" w:hAnsi="Times New Roman"/>
          <w:color w:val="000000"/>
        </w:rPr>
      </w:pPr>
      <w:bookmarkStart w:name="_Toc82160156" w:id="24"/>
      <w:r>
        <w:rPr>
          <w:rFonts w:ascii="Times New Roman" w:hAnsi="Times New Roman"/>
          <w:color w:val="000000"/>
        </w:rPr>
        <w:t xml:space="preserve">A14. </w:t>
      </w:r>
      <w:r w:rsidR="00E359BC">
        <w:rPr>
          <w:rFonts w:ascii="Times New Roman" w:hAnsi="Times New Roman"/>
          <w:color w:val="000000"/>
        </w:rPr>
        <w:t>Estimates of Annualized Cost to the Government</w:t>
      </w:r>
      <w:bookmarkEnd w:id="24"/>
    </w:p>
    <w:p w:rsidRPr="007E49C6" w:rsidR="00A67DE5" w:rsidP="00A67DE5" w:rsidRDefault="00A67DE5">
      <w:pPr>
        <w:tabs>
          <w:tab w:val="left" w:pos="540"/>
        </w:tabs>
        <w:rPr>
          <w:color w:val="000000"/>
        </w:rPr>
      </w:pPr>
    </w:p>
    <w:p w:rsidR="00DF14FF" w:rsidP="00DF14FF" w:rsidRDefault="00DF14FF">
      <w:r>
        <w:t xml:space="preserve">Funding for the one-time data collection is from AHRQ award number </w:t>
      </w:r>
      <w:r>
        <w:rPr>
          <w:color w:val="000000"/>
          <w:shd w:val="clear" w:color="auto" w:fill="FFFFFF"/>
        </w:rPr>
        <w:t>U18HS025920 to RAND</w:t>
      </w:r>
      <w:r>
        <w:t xml:space="preserve">. The cost of the data collection is estimated to be $155,530. </w:t>
      </w:r>
      <w:r w:rsidR="00017DC9">
        <w:t>As shown in Table 2, w</w:t>
      </w:r>
      <w:r>
        <w:t>e estimate an additional cost of about $12,590 for AHRQ agency staff to oversee the effort. Therefore, the total annual cost to the government is estimated to be $168,120.</w:t>
      </w:r>
    </w:p>
    <w:p w:rsidR="00017DC9" w:rsidP="00DF14FF" w:rsidRDefault="00017DC9">
      <w:pPr>
        <w:rPr>
          <w:highlight w:val="yellow"/>
        </w:rPr>
      </w:pPr>
    </w:p>
    <w:p w:rsidRPr="00DF14FF" w:rsidR="00667F02" w:rsidP="00E359BC" w:rsidRDefault="00DF14FF">
      <w:pPr>
        <w:rPr>
          <w:b/>
          <w:bCs/>
        </w:rPr>
      </w:pPr>
      <w:r w:rsidRPr="00DF14FF">
        <w:rPr>
          <w:b/>
          <w:bCs/>
        </w:rPr>
        <w:t>Table 2. Estimated Cost of AHRQ Agency Staff to Oversee Data Collection</w:t>
      </w:r>
    </w:p>
    <w:tbl>
      <w:tblPr>
        <w:tblW w:w="6678" w:type="dxa"/>
        <w:tblLook w:val="04A0" w:firstRow="1" w:lastRow="0" w:firstColumn="1" w:lastColumn="0" w:noHBand="0" w:noVBand="1"/>
      </w:tblPr>
      <w:tblGrid>
        <w:gridCol w:w="3258"/>
        <w:gridCol w:w="1260"/>
        <w:gridCol w:w="2160"/>
      </w:tblGrid>
      <w:tr w:rsidRPr="00DF14FF" w:rsidR="00667F02" w:rsidTr="005621E5">
        <w:trPr>
          <w:trHeight w:val="449"/>
        </w:trPr>
        <w:tc>
          <w:tcPr>
            <w:tcW w:w="3258" w:type="dxa"/>
            <w:tcBorders>
              <w:top w:val="single" w:color="auto" w:sz="12" w:space="0"/>
              <w:left w:val="single" w:color="auto" w:sz="12" w:space="0"/>
              <w:bottom w:val="single" w:color="auto" w:sz="12" w:space="0"/>
              <w:right w:val="single" w:color="auto" w:sz="12" w:space="0"/>
            </w:tcBorders>
            <w:shd w:val="clear" w:color="auto" w:fill="auto"/>
          </w:tcPr>
          <w:p w:rsidRPr="00DF14FF" w:rsidR="00667F02" w:rsidP="00E359BC" w:rsidRDefault="00667F02">
            <w:pPr>
              <w:rPr>
                <w:b/>
                <w:bCs/>
              </w:rPr>
            </w:pPr>
            <w:r w:rsidRPr="00DF14FF">
              <w:rPr>
                <w:b/>
                <w:bCs/>
              </w:rPr>
              <w:t>AHRQ pos</w:t>
            </w:r>
            <w:r w:rsidRPr="00DF14FF" w:rsidR="00CC6644">
              <w:rPr>
                <w:b/>
                <w:bCs/>
              </w:rPr>
              <w:t>i</w:t>
            </w:r>
            <w:r w:rsidRPr="00DF14FF">
              <w:rPr>
                <w:b/>
                <w:bCs/>
              </w:rPr>
              <w:t>tion</w:t>
            </w:r>
          </w:p>
        </w:tc>
        <w:tc>
          <w:tcPr>
            <w:tcW w:w="1260" w:type="dxa"/>
            <w:tcBorders>
              <w:top w:val="single" w:color="auto" w:sz="12" w:space="0"/>
              <w:left w:val="single" w:color="auto" w:sz="12" w:space="0"/>
              <w:bottom w:val="single" w:color="auto" w:sz="12" w:space="0"/>
              <w:right w:val="single" w:color="auto" w:sz="12" w:space="0"/>
            </w:tcBorders>
            <w:shd w:val="clear" w:color="auto" w:fill="auto"/>
          </w:tcPr>
          <w:p w:rsidRPr="00DF14FF" w:rsidR="00667F02" w:rsidP="00E359BC" w:rsidRDefault="00CC6644">
            <w:pPr>
              <w:rPr>
                <w:b/>
                <w:bCs/>
              </w:rPr>
            </w:pPr>
            <w:r w:rsidRPr="00DF14FF">
              <w:rPr>
                <w:b/>
                <w:bCs/>
              </w:rPr>
              <w:t>% time</w:t>
            </w:r>
          </w:p>
        </w:tc>
        <w:tc>
          <w:tcPr>
            <w:tcW w:w="2160" w:type="dxa"/>
            <w:tcBorders>
              <w:top w:val="single" w:color="auto" w:sz="12" w:space="0"/>
              <w:left w:val="single" w:color="auto" w:sz="12" w:space="0"/>
              <w:bottom w:val="single" w:color="auto" w:sz="12" w:space="0"/>
              <w:right w:val="single" w:color="auto" w:sz="12" w:space="0"/>
            </w:tcBorders>
            <w:shd w:val="clear" w:color="auto" w:fill="auto"/>
          </w:tcPr>
          <w:p w:rsidRPr="00DF14FF" w:rsidR="00667F02" w:rsidP="00E359BC" w:rsidRDefault="00CC6644">
            <w:pPr>
              <w:rPr>
                <w:b/>
                <w:bCs/>
              </w:rPr>
            </w:pPr>
            <w:r w:rsidRPr="00DF14FF">
              <w:rPr>
                <w:b/>
                <w:bCs/>
              </w:rPr>
              <w:t xml:space="preserve"> Annualized Cost</w:t>
            </w:r>
            <w:r w:rsidR="00DF14FF">
              <w:rPr>
                <w:b/>
                <w:bCs/>
              </w:rPr>
              <w:t>*</w:t>
            </w:r>
          </w:p>
        </w:tc>
      </w:tr>
      <w:tr w:rsidRPr="00DF14FF" w:rsidR="00667F02" w:rsidTr="005621E5">
        <w:trPr>
          <w:trHeight w:val="433"/>
        </w:trPr>
        <w:tc>
          <w:tcPr>
            <w:tcW w:w="3258" w:type="dxa"/>
            <w:tcBorders>
              <w:top w:val="single" w:color="auto" w:sz="12" w:space="0"/>
              <w:left w:val="single" w:color="auto" w:sz="12" w:space="0"/>
              <w:bottom w:val="single" w:color="auto" w:sz="12" w:space="0"/>
              <w:right w:val="single" w:color="auto" w:sz="12" w:space="0"/>
            </w:tcBorders>
            <w:shd w:val="clear" w:color="auto" w:fill="auto"/>
          </w:tcPr>
          <w:p w:rsidRPr="00DF14FF" w:rsidR="00667F02" w:rsidP="00E359BC" w:rsidRDefault="00CC6644">
            <w:r w:rsidRPr="00DF14FF">
              <w:t>GS-15, Step-5</w:t>
            </w:r>
          </w:p>
        </w:tc>
        <w:tc>
          <w:tcPr>
            <w:tcW w:w="1260" w:type="dxa"/>
            <w:tcBorders>
              <w:top w:val="single" w:color="auto" w:sz="12" w:space="0"/>
              <w:left w:val="single" w:color="auto" w:sz="12" w:space="0"/>
              <w:bottom w:val="single" w:color="auto" w:sz="12" w:space="0"/>
              <w:right w:val="single" w:color="auto" w:sz="12" w:space="0"/>
            </w:tcBorders>
            <w:shd w:val="clear" w:color="auto" w:fill="auto"/>
          </w:tcPr>
          <w:p w:rsidRPr="00DF14FF" w:rsidR="00667F02" w:rsidP="00E359BC" w:rsidRDefault="00CC6644">
            <w:r w:rsidRPr="00DF14FF">
              <w:t>3%</w:t>
            </w:r>
          </w:p>
        </w:tc>
        <w:tc>
          <w:tcPr>
            <w:tcW w:w="2160" w:type="dxa"/>
            <w:tcBorders>
              <w:top w:val="single" w:color="auto" w:sz="12" w:space="0"/>
              <w:left w:val="single" w:color="auto" w:sz="12" w:space="0"/>
              <w:bottom w:val="single" w:color="auto" w:sz="12" w:space="0"/>
              <w:right w:val="single" w:color="auto" w:sz="12" w:space="0"/>
            </w:tcBorders>
            <w:shd w:val="clear" w:color="auto" w:fill="auto"/>
          </w:tcPr>
          <w:p w:rsidRPr="00DF14FF" w:rsidR="00667F02" w:rsidP="00E359BC" w:rsidRDefault="00CC6644">
            <w:r w:rsidRPr="00DF14FF">
              <w:t>$4,900</w:t>
            </w:r>
          </w:p>
        </w:tc>
      </w:tr>
      <w:tr w:rsidRPr="00DF14FF" w:rsidR="00667F02" w:rsidTr="005621E5">
        <w:trPr>
          <w:trHeight w:val="449"/>
        </w:trPr>
        <w:tc>
          <w:tcPr>
            <w:tcW w:w="3258" w:type="dxa"/>
            <w:tcBorders>
              <w:top w:val="single" w:color="auto" w:sz="12" w:space="0"/>
              <w:left w:val="single" w:color="auto" w:sz="12" w:space="0"/>
              <w:right w:val="single" w:color="auto" w:sz="12" w:space="0"/>
            </w:tcBorders>
            <w:shd w:val="clear" w:color="auto" w:fill="auto"/>
          </w:tcPr>
          <w:p w:rsidRPr="00DF14FF" w:rsidR="00667F02" w:rsidP="00E359BC" w:rsidRDefault="00CC6644">
            <w:r w:rsidRPr="00DF14FF">
              <w:t>GS-14, Step -5</w:t>
            </w:r>
          </w:p>
        </w:tc>
        <w:tc>
          <w:tcPr>
            <w:tcW w:w="1260" w:type="dxa"/>
            <w:tcBorders>
              <w:top w:val="single" w:color="auto" w:sz="12" w:space="0"/>
              <w:left w:val="single" w:color="auto" w:sz="12" w:space="0"/>
              <w:right w:val="single" w:color="auto" w:sz="12" w:space="0"/>
            </w:tcBorders>
            <w:shd w:val="clear" w:color="auto" w:fill="auto"/>
          </w:tcPr>
          <w:p w:rsidRPr="00DF14FF" w:rsidR="00667F02" w:rsidP="00E359BC" w:rsidRDefault="00CC6644">
            <w:r w:rsidRPr="00DF14FF">
              <w:t>3%</w:t>
            </w:r>
          </w:p>
        </w:tc>
        <w:tc>
          <w:tcPr>
            <w:tcW w:w="2160" w:type="dxa"/>
            <w:tcBorders>
              <w:top w:val="single" w:color="auto" w:sz="12" w:space="0"/>
              <w:left w:val="single" w:color="auto" w:sz="12" w:space="0"/>
              <w:right w:val="single" w:color="auto" w:sz="12" w:space="0"/>
            </w:tcBorders>
            <w:shd w:val="clear" w:color="auto" w:fill="auto"/>
          </w:tcPr>
          <w:p w:rsidRPr="00DF14FF" w:rsidR="00667F02" w:rsidP="00E359BC" w:rsidRDefault="00CC6644">
            <w:r w:rsidRPr="00DF14FF">
              <w:t>$4,165</w:t>
            </w:r>
          </w:p>
        </w:tc>
      </w:tr>
      <w:tr w:rsidRPr="00DF14FF" w:rsidR="00667F02" w:rsidTr="005621E5">
        <w:trPr>
          <w:trHeight w:val="433"/>
        </w:trPr>
        <w:tc>
          <w:tcPr>
            <w:tcW w:w="3258" w:type="dxa"/>
            <w:tcBorders>
              <w:top w:val="single" w:color="auto" w:sz="12" w:space="0"/>
              <w:left w:val="single" w:color="auto" w:sz="12" w:space="0"/>
              <w:bottom w:val="single" w:color="auto" w:sz="12" w:space="0"/>
              <w:right w:val="single" w:color="auto" w:sz="12" w:space="0"/>
            </w:tcBorders>
            <w:shd w:val="clear" w:color="auto" w:fill="auto"/>
          </w:tcPr>
          <w:p w:rsidRPr="00DF14FF" w:rsidR="00667F02" w:rsidP="00E359BC" w:rsidRDefault="00CC6644">
            <w:r w:rsidRPr="00DF14FF">
              <w:t>GS-13, Step- 5</w:t>
            </w:r>
          </w:p>
        </w:tc>
        <w:tc>
          <w:tcPr>
            <w:tcW w:w="1260" w:type="dxa"/>
            <w:tcBorders>
              <w:top w:val="single" w:color="auto" w:sz="12" w:space="0"/>
              <w:left w:val="single" w:color="auto" w:sz="12" w:space="0"/>
              <w:bottom w:val="single" w:color="auto" w:sz="12" w:space="0"/>
              <w:right w:val="single" w:color="auto" w:sz="12" w:space="0"/>
            </w:tcBorders>
            <w:shd w:val="clear" w:color="auto" w:fill="auto"/>
          </w:tcPr>
          <w:p w:rsidRPr="00DF14FF" w:rsidR="00667F02" w:rsidP="00E359BC" w:rsidRDefault="00CC6644">
            <w:r w:rsidRPr="00DF14FF">
              <w:t>3%</w:t>
            </w:r>
          </w:p>
        </w:tc>
        <w:tc>
          <w:tcPr>
            <w:tcW w:w="2160" w:type="dxa"/>
            <w:tcBorders>
              <w:top w:val="single" w:color="auto" w:sz="12" w:space="0"/>
              <w:left w:val="single" w:color="auto" w:sz="12" w:space="0"/>
              <w:bottom w:val="single" w:color="auto" w:sz="12" w:space="0"/>
              <w:right w:val="single" w:color="auto" w:sz="12" w:space="0"/>
            </w:tcBorders>
            <w:shd w:val="clear" w:color="auto" w:fill="auto"/>
          </w:tcPr>
          <w:p w:rsidRPr="00DF14FF" w:rsidR="00667F02" w:rsidP="00E359BC" w:rsidRDefault="00CC6644">
            <w:r w:rsidRPr="00DF14FF">
              <w:t>$3,525</w:t>
            </w:r>
          </w:p>
        </w:tc>
      </w:tr>
      <w:tr w:rsidRPr="00DF14FF" w:rsidR="00667F02" w:rsidTr="005621E5">
        <w:trPr>
          <w:trHeight w:val="449"/>
        </w:trPr>
        <w:tc>
          <w:tcPr>
            <w:tcW w:w="3258" w:type="dxa"/>
            <w:tcBorders>
              <w:top w:val="single" w:color="auto" w:sz="12" w:space="0"/>
              <w:left w:val="single" w:color="auto" w:sz="12" w:space="0"/>
              <w:bottom w:val="single" w:color="auto" w:sz="12" w:space="0"/>
              <w:right w:val="single" w:color="auto" w:sz="12" w:space="0"/>
            </w:tcBorders>
            <w:shd w:val="clear" w:color="auto" w:fill="auto"/>
          </w:tcPr>
          <w:p w:rsidRPr="00DF14FF" w:rsidR="00667F02" w:rsidP="00E359BC" w:rsidRDefault="00CC6644">
            <w:pPr>
              <w:rPr>
                <w:b/>
                <w:bCs/>
              </w:rPr>
            </w:pPr>
            <w:r w:rsidRPr="00DF14FF">
              <w:rPr>
                <w:b/>
                <w:bCs/>
              </w:rPr>
              <w:t>Total</w:t>
            </w:r>
          </w:p>
        </w:tc>
        <w:tc>
          <w:tcPr>
            <w:tcW w:w="1260" w:type="dxa"/>
            <w:tcBorders>
              <w:top w:val="single" w:color="auto" w:sz="12" w:space="0"/>
              <w:left w:val="single" w:color="auto" w:sz="12" w:space="0"/>
              <w:bottom w:val="single" w:color="auto" w:sz="12" w:space="0"/>
              <w:right w:val="single" w:color="auto" w:sz="12" w:space="0"/>
            </w:tcBorders>
            <w:shd w:val="clear" w:color="auto" w:fill="auto"/>
          </w:tcPr>
          <w:p w:rsidRPr="00DF14FF" w:rsidR="00667F02" w:rsidP="00E359BC" w:rsidRDefault="00667F02">
            <w:pPr>
              <w:rPr>
                <w:b/>
                <w:bCs/>
              </w:rPr>
            </w:pPr>
          </w:p>
        </w:tc>
        <w:tc>
          <w:tcPr>
            <w:tcW w:w="2160" w:type="dxa"/>
            <w:tcBorders>
              <w:top w:val="single" w:color="auto" w:sz="12" w:space="0"/>
              <w:left w:val="single" w:color="auto" w:sz="12" w:space="0"/>
              <w:bottom w:val="single" w:color="auto" w:sz="12" w:space="0"/>
              <w:right w:val="single" w:color="auto" w:sz="12" w:space="0"/>
            </w:tcBorders>
            <w:shd w:val="clear" w:color="auto" w:fill="auto"/>
          </w:tcPr>
          <w:p w:rsidRPr="00DF14FF" w:rsidR="00667F02" w:rsidP="00E359BC" w:rsidRDefault="00CC6644">
            <w:pPr>
              <w:rPr>
                <w:b/>
                <w:bCs/>
              </w:rPr>
            </w:pPr>
            <w:r w:rsidRPr="00DF14FF">
              <w:rPr>
                <w:b/>
                <w:bCs/>
              </w:rPr>
              <w:t>$12,590</w:t>
            </w:r>
          </w:p>
        </w:tc>
      </w:tr>
    </w:tbl>
    <w:p w:rsidR="00087CBC" w:rsidP="00E359BC" w:rsidRDefault="00DF14FF">
      <w:pPr>
        <w:rPr>
          <w:highlight w:val="yellow"/>
        </w:rPr>
      </w:pPr>
      <w:r w:rsidRPr="00571D43">
        <w:rPr>
          <w:color w:val="000000"/>
          <w:sz w:val="20"/>
          <w:szCs w:val="20"/>
        </w:rPr>
        <w:lastRenderedPageBreak/>
        <w:t>*Based upon</w:t>
      </w:r>
      <w:r>
        <w:rPr>
          <w:color w:val="000000"/>
          <w:sz w:val="20"/>
          <w:szCs w:val="20"/>
        </w:rPr>
        <w:t xml:space="preserve"> “Pay &amp; Leave Salaries &amp; Wages,”</w:t>
      </w:r>
      <w:r w:rsidRPr="00571D43">
        <w:rPr>
          <w:color w:val="000000"/>
          <w:sz w:val="20"/>
          <w:szCs w:val="20"/>
        </w:rPr>
        <w:t xml:space="preserve"> </w:t>
      </w:r>
      <w:r>
        <w:rPr>
          <w:color w:val="000000"/>
          <w:sz w:val="20"/>
          <w:szCs w:val="20"/>
        </w:rPr>
        <w:t xml:space="preserve">U.S. Office of Personnel Management, retrieved at </w:t>
      </w:r>
      <w:r w:rsidRPr="00DF14FF" w:rsidR="005D4022">
        <w:rPr>
          <w:sz w:val="20"/>
          <w:szCs w:val="20"/>
        </w:rPr>
        <w:t>https://www.opm.gov/policy-data-oversight/pay-leave/salaries-wages/salary-tables/21Tables/html/DCB.aspx</w:t>
      </w:r>
    </w:p>
    <w:p w:rsidR="005D4022" w:rsidP="00E359BC" w:rsidRDefault="005D4022">
      <w:pPr>
        <w:rPr>
          <w:highlight w:val="yellow"/>
        </w:rPr>
      </w:pPr>
    </w:p>
    <w:p w:rsidR="005D4022" w:rsidP="00E359BC" w:rsidRDefault="005D4022">
      <w:pPr>
        <w:rPr>
          <w:highlight w:val="yellow"/>
        </w:rPr>
      </w:pPr>
    </w:p>
    <w:p w:rsidR="00A67DE5" w:rsidP="00A67DE5" w:rsidRDefault="007452B3">
      <w:pPr>
        <w:pStyle w:val="Heading2"/>
      </w:pPr>
      <w:bookmarkStart w:name="_Toc82160157" w:id="25"/>
      <w:r>
        <w:rPr>
          <w:rFonts w:ascii="Times New Roman" w:hAnsi="Times New Roman"/>
        </w:rPr>
        <w:t xml:space="preserve">A15. </w:t>
      </w:r>
      <w:r w:rsidRPr="00EF52AE" w:rsidR="00A67DE5">
        <w:rPr>
          <w:rFonts w:ascii="Times New Roman" w:hAnsi="Times New Roman"/>
        </w:rPr>
        <w:t>Program Changes or Adjustments to Annual Burden</w:t>
      </w:r>
      <w:bookmarkEnd w:id="25"/>
    </w:p>
    <w:p w:rsidRPr="00EF52AE" w:rsidR="00A67DE5" w:rsidP="00A67DE5" w:rsidRDefault="00A67DE5"/>
    <w:p w:rsidRPr="00CE5AAB" w:rsidR="00CE5AAB" w:rsidP="00A67DE5" w:rsidRDefault="00CE5AAB">
      <w:pPr>
        <w:tabs>
          <w:tab w:val="left" w:pos="540"/>
        </w:tabs>
      </w:pPr>
      <w:r w:rsidRPr="00A74F7C">
        <w:t xml:space="preserve">This is a new information collection request. </w:t>
      </w:r>
    </w:p>
    <w:p w:rsidR="00A67DE5" w:rsidP="00A67DE5" w:rsidRDefault="00A67DE5">
      <w:pPr>
        <w:tabs>
          <w:tab w:val="left" w:pos="540"/>
        </w:tabs>
      </w:pPr>
    </w:p>
    <w:p w:rsidRPr="00EF52AE" w:rsidR="00A67DE5" w:rsidP="00A67DE5" w:rsidRDefault="007452B3">
      <w:pPr>
        <w:pStyle w:val="Heading2"/>
        <w:rPr>
          <w:rFonts w:ascii="Times New Roman" w:hAnsi="Times New Roman"/>
        </w:rPr>
      </w:pPr>
      <w:bookmarkStart w:name="_Toc82160158" w:id="26"/>
      <w:r>
        <w:rPr>
          <w:rFonts w:ascii="Times New Roman" w:hAnsi="Times New Roman"/>
        </w:rPr>
        <w:t xml:space="preserve">A16. </w:t>
      </w:r>
      <w:r w:rsidR="0095184A">
        <w:rPr>
          <w:rFonts w:ascii="Times New Roman" w:hAnsi="Times New Roman"/>
        </w:rPr>
        <w:t xml:space="preserve">Time Schedule, </w:t>
      </w:r>
      <w:r w:rsidRPr="00EF52AE" w:rsidR="00A67DE5">
        <w:rPr>
          <w:rFonts w:ascii="Times New Roman" w:hAnsi="Times New Roman"/>
        </w:rPr>
        <w:t>Tabulation and Publication of Results</w:t>
      </w:r>
      <w:bookmarkEnd w:id="26"/>
    </w:p>
    <w:p w:rsidR="00A67DE5" w:rsidP="00A67DE5" w:rsidRDefault="00A67DE5">
      <w:pPr>
        <w:tabs>
          <w:tab w:val="left" w:pos="540"/>
        </w:tabs>
      </w:pPr>
    </w:p>
    <w:p w:rsidRPr="005078D0" w:rsidR="005078D0" w:rsidP="00A67DE5" w:rsidRDefault="006430AC">
      <w:pPr>
        <w:tabs>
          <w:tab w:val="left" w:pos="540"/>
        </w:tabs>
      </w:pPr>
      <w:r w:rsidRPr="001C2D34">
        <w:t xml:space="preserve">For planning </w:t>
      </w:r>
      <w:r w:rsidRPr="001C2D34" w:rsidR="00D40DB5">
        <w:t>purposes,</w:t>
      </w:r>
      <w:r w:rsidRPr="001C2D34">
        <w:t xml:space="preserve"> we anticipate data collection will begin </w:t>
      </w:r>
      <w:r w:rsidRPr="00571D43" w:rsidR="007F59E6">
        <w:t xml:space="preserve">as early as </w:t>
      </w:r>
      <w:r w:rsidRPr="00571D43" w:rsidR="001F002C">
        <w:t>October 2021</w:t>
      </w:r>
      <w:r w:rsidRPr="00571D43" w:rsidR="007F59E6">
        <w:t xml:space="preserve"> </w:t>
      </w:r>
      <w:proofErr w:type="gramStart"/>
      <w:r w:rsidRPr="00571D43" w:rsidR="007F59E6">
        <w:t>and</w:t>
      </w:r>
      <w:proofErr w:type="gramEnd"/>
      <w:r w:rsidR="00575C98">
        <w:t xml:space="preserve"> </w:t>
      </w:r>
      <w:r w:rsidR="0043769D">
        <w:t>no later than January 2022</w:t>
      </w:r>
      <w:r w:rsidRPr="00571D43" w:rsidR="007F59E6">
        <w:t>.</w:t>
      </w:r>
      <w:r w:rsidRPr="001C2D34" w:rsidR="007F59E6">
        <w:t xml:space="preserve"> Table </w:t>
      </w:r>
      <w:r w:rsidR="00DF14FF">
        <w:t>3</w:t>
      </w:r>
      <w:r w:rsidRPr="001C2D34" w:rsidR="007F59E6">
        <w:t xml:space="preserve"> provides an approximate timeline for survey</w:t>
      </w:r>
      <w:r w:rsidR="007F59E6">
        <w:t xml:space="preserve"> tasks including tabulation </w:t>
      </w:r>
      <w:r w:rsidR="0095184A">
        <w:t>of data</w:t>
      </w:r>
      <w:r w:rsidR="007F59E6">
        <w:t xml:space="preserve"> following </w:t>
      </w:r>
      <w:r w:rsidR="0095184A">
        <w:t>review and approval of this field test.</w:t>
      </w:r>
    </w:p>
    <w:p w:rsidR="006430AC" w:rsidP="00A67DE5" w:rsidRDefault="006430AC">
      <w:pPr>
        <w:tabs>
          <w:tab w:val="left" w:pos="540"/>
        </w:tabs>
        <w:rPr>
          <w:sz w:val="23"/>
          <w:szCs w:val="23"/>
        </w:rPr>
      </w:pPr>
    </w:p>
    <w:p w:rsidR="006430AC" w:rsidP="00A67DE5" w:rsidRDefault="006430AC">
      <w:pPr>
        <w:tabs>
          <w:tab w:val="left" w:pos="540"/>
        </w:tabs>
        <w:rPr>
          <w:sz w:val="23"/>
          <w:szCs w:val="23"/>
        </w:rPr>
      </w:pPr>
      <w:r w:rsidRPr="00CE402A">
        <w:rPr>
          <w:b/>
          <w:bCs/>
          <w:sz w:val="23"/>
          <w:szCs w:val="23"/>
        </w:rPr>
        <w:t xml:space="preserve">Table </w:t>
      </w:r>
      <w:r w:rsidR="00DF14FF">
        <w:rPr>
          <w:b/>
          <w:bCs/>
          <w:sz w:val="23"/>
          <w:szCs w:val="23"/>
        </w:rPr>
        <w:t>3</w:t>
      </w:r>
      <w:r w:rsidRPr="00CE402A">
        <w:rPr>
          <w:b/>
          <w:bCs/>
          <w:sz w:val="23"/>
          <w:szCs w:val="23"/>
        </w:rPr>
        <w:t xml:space="preserve">: </w:t>
      </w:r>
      <w:r w:rsidR="0095184A">
        <w:rPr>
          <w:b/>
          <w:bCs/>
          <w:sz w:val="23"/>
          <w:szCs w:val="23"/>
        </w:rPr>
        <w:t>Time Schedule</w:t>
      </w:r>
      <w:r>
        <w:rPr>
          <w:b/>
          <w:bCs/>
          <w:sz w:val="23"/>
          <w:szCs w:val="23"/>
        </w:rPr>
        <w:t xml:space="preserve"> of Survey Tasks</w:t>
      </w:r>
    </w:p>
    <w:p w:rsidR="006430AC" w:rsidP="00A67DE5" w:rsidRDefault="006430AC">
      <w:pPr>
        <w:tabs>
          <w:tab w:val="left" w:pos="540"/>
        </w:tabs>
        <w:rPr>
          <w:sz w:val="23"/>
          <w:szCs w:val="23"/>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00" w:firstRow="0" w:lastRow="0" w:firstColumn="0" w:lastColumn="0" w:noHBand="0" w:noVBand="0"/>
      </w:tblPr>
      <w:tblGrid>
        <w:gridCol w:w="4011"/>
        <w:gridCol w:w="4011"/>
      </w:tblGrid>
      <w:tr w:rsidR="006430AC" w:rsidTr="00AA53E3">
        <w:tblPrEx>
          <w:tblCellMar>
            <w:top w:w="0" w:type="dxa"/>
            <w:bottom w:w="0" w:type="dxa"/>
          </w:tblCellMar>
        </w:tblPrEx>
        <w:trPr>
          <w:trHeight w:val="159"/>
        </w:trPr>
        <w:tc>
          <w:tcPr>
            <w:tcW w:w="4011" w:type="dxa"/>
          </w:tcPr>
          <w:p w:rsidR="006430AC" w:rsidRDefault="006430AC">
            <w:pPr>
              <w:pStyle w:val="Default"/>
              <w:rPr>
                <w:sz w:val="23"/>
                <w:szCs w:val="23"/>
              </w:rPr>
            </w:pPr>
            <w:r>
              <w:rPr>
                <w:b/>
                <w:bCs/>
                <w:sz w:val="23"/>
                <w:szCs w:val="23"/>
              </w:rPr>
              <w:t xml:space="preserve">Activity </w:t>
            </w:r>
          </w:p>
        </w:tc>
        <w:tc>
          <w:tcPr>
            <w:tcW w:w="4011" w:type="dxa"/>
          </w:tcPr>
          <w:p w:rsidR="006430AC" w:rsidRDefault="006430AC">
            <w:pPr>
              <w:pStyle w:val="Default"/>
              <w:rPr>
                <w:sz w:val="23"/>
                <w:szCs w:val="23"/>
              </w:rPr>
            </w:pPr>
            <w:r>
              <w:rPr>
                <w:b/>
                <w:bCs/>
                <w:sz w:val="23"/>
                <w:szCs w:val="23"/>
              </w:rPr>
              <w:t xml:space="preserve">Proposed Timing of Activity </w:t>
            </w:r>
          </w:p>
        </w:tc>
      </w:tr>
      <w:tr w:rsidR="006430AC" w:rsidTr="00AA53E3">
        <w:tblPrEx>
          <w:tblCellMar>
            <w:top w:w="0" w:type="dxa"/>
            <w:bottom w:w="0" w:type="dxa"/>
          </w:tblCellMar>
        </w:tblPrEx>
        <w:trPr>
          <w:trHeight w:val="157"/>
        </w:trPr>
        <w:tc>
          <w:tcPr>
            <w:tcW w:w="4011" w:type="dxa"/>
          </w:tcPr>
          <w:p w:rsidR="006430AC" w:rsidRDefault="006430AC">
            <w:pPr>
              <w:pStyle w:val="Default"/>
              <w:rPr>
                <w:sz w:val="23"/>
                <w:szCs w:val="23"/>
              </w:rPr>
            </w:pPr>
            <w:r>
              <w:rPr>
                <w:sz w:val="23"/>
                <w:szCs w:val="23"/>
              </w:rPr>
              <w:lastRenderedPageBreak/>
              <w:t xml:space="preserve">Prepare field materials </w:t>
            </w:r>
          </w:p>
        </w:tc>
        <w:tc>
          <w:tcPr>
            <w:tcW w:w="4011" w:type="dxa"/>
          </w:tcPr>
          <w:p w:rsidRPr="008B4272" w:rsidR="006430AC" w:rsidP="008B4272" w:rsidRDefault="007F59E6">
            <w:pPr>
              <w:pStyle w:val="Default"/>
              <w:rPr>
                <w:sz w:val="23"/>
                <w:szCs w:val="23"/>
              </w:rPr>
            </w:pPr>
            <w:r>
              <w:rPr>
                <w:sz w:val="23"/>
                <w:szCs w:val="23"/>
              </w:rPr>
              <w:t xml:space="preserve">Months 1 and 2 </w:t>
            </w:r>
          </w:p>
        </w:tc>
      </w:tr>
      <w:tr w:rsidR="006430AC" w:rsidTr="00AA53E3">
        <w:tblPrEx>
          <w:tblCellMar>
            <w:top w:w="0" w:type="dxa"/>
            <w:bottom w:w="0" w:type="dxa"/>
          </w:tblCellMar>
        </w:tblPrEx>
        <w:trPr>
          <w:trHeight w:val="157"/>
        </w:trPr>
        <w:tc>
          <w:tcPr>
            <w:tcW w:w="4011" w:type="dxa"/>
          </w:tcPr>
          <w:p w:rsidR="006430AC" w:rsidRDefault="006430AC">
            <w:pPr>
              <w:pStyle w:val="Default"/>
              <w:rPr>
                <w:sz w:val="23"/>
                <w:szCs w:val="23"/>
              </w:rPr>
            </w:pPr>
            <w:r>
              <w:rPr>
                <w:sz w:val="23"/>
                <w:szCs w:val="23"/>
              </w:rPr>
              <w:t xml:space="preserve">Identify target respondent </w:t>
            </w:r>
          </w:p>
        </w:tc>
        <w:tc>
          <w:tcPr>
            <w:tcW w:w="4011" w:type="dxa"/>
          </w:tcPr>
          <w:p w:rsidRPr="008B4272" w:rsidR="006430AC" w:rsidRDefault="007F59E6">
            <w:pPr>
              <w:pStyle w:val="Default"/>
              <w:rPr>
                <w:sz w:val="23"/>
                <w:szCs w:val="23"/>
              </w:rPr>
            </w:pPr>
            <w:r>
              <w:rPr>
                <w:sz w:val="23"/>
                <w:szCs w:val="23"/>
              </w:rPr>
              <w:t xml:space="preserve">Months 2 and 3 </w:t>
            </w:r>
          </w:p>
        </w:tc>
      </w:tr>
      <w:tr w:rsidR="006430AC" w:rsidTr="00AA53E3">
        <w:tblPrEx>
          <w:tblCellMar>
            <w:top w:w="0" w:type="dxa"/>
            <w:bottom w:w="0" w:type="dxa"/>
          </w:tblCellMar>
        </w:tblPrEx>
        <w:trPr>
          <w:trHeight w:val="293"/>
        </w:trPr>
        <w:tc>
          <w:tcPr>
            <w:tcW w:w="4011" w:type="dxa"/>
          </w:tcPr>
          <w:p w:rsidR="006430AC" w:rsidP="00AA53E3" w:rsidRDefault="00D10632">
            <w:pPr>
              <w:pStyle w:val="Default"/>
              <w:rPr>
                <w:sz w:val="23"/>
                <w:szCs w:val="23"/>
              </w:rPr>
            </w:pPr>
            <w:r>
              <w:rPr>
                <w:sz w:val="23"/>
                <w:szCs w:val="23"/>
              </w:rPr>
              <w:t>Collect survey data</w:t>
            </w:r>
            <w:r w:rsidR="006430AC">
              <w:rPr>
                <w:sz w:val="23"/>
                <w:szCs w:val="23"/>
              </w:rPr>
              <w:t xml:space="preserve"> </w:t>
            </w:r>
          </w:p>
        </w:tc>
        <w:tc>
          <w:tcPr>
            <w:tcW w:w="4011" w:type="dxa"/>
          </w:tcPr>
          <w:p w:rsidR="006430AC" w:rsidP="00264273" w:rsidRDefault="007F59E6">
            <w:pPr>
              <w:pStyle w:val="Default"/>
              <w:rPr>
                <w:sz w:val="23"/>
                <w:szCs w:val="23"/>
              </w:rPr>
            </w:pPr>
            <w:r>
              <w:rPr>
                <w:sz w:val="23"/>
                <w:szCs w:val="23"/>
              </w:rPr>
              <w:t>Months 4 through 6</w:t>
            </w:r>
            <w:r w:rsidRPr="000E1E08" w:rsidR="000E1E08">
              <w:rPr>
                <w:sz w:val="23"/>
                <w:szCs w:val="23"/>
              </w:rPr>
              <w:t>*</w:t>
            </w:r>
          </w:p>
        </w:tc>
      </w:tr>
      <w:tr w:rsidR="006430AC" w:rsidTr="00AA53E3">
        <w:tblPrEx>
          <w:tblCellMar>
            <w:top w:w="0" w:type="dxa"/>
            <w:bottom w:w="0" w:type="dxa"/>
          </w:tblCellMar>
        </w:tblPrEx>
        <w:trPr>
          <w:trHeight w:val="157"/>
        </w:trPr>
        <w:tc>
          <w:tcPr>
            <w:tcW w:w="4011" w:type="dxa"/>
          </w:tcPr>
          <w:p w:rsidR="006430AC" w:rsidRDefault="006430AC">
            <w:pPr>
              <w:pStyle w:val="Default"/>
              <w:rPr>
                <w:sz w:val="23"/>
                <w:szCs w:val="23"/>
              </w:rPr>
            </w:pPr>
            <w:r>
              <w:rPr>
                <w:sz w:val="23"/>
                <w:szCs w:val="23"/>
              </w:rPr>
              <w:t xml:space="preserve">Analyze data </w:t>
            </w:r>
          </w:p>
        </w:tc>
        <w:tc>
          <w:tcPr>
            <w:tcW w:w="4011" w:type="dxa"/>
          </w:tcPr>
          <w:p w:rsidR="006430AC" w:rsidP="00264273" w:rsidRDefault="0095184A">
            <w:pPr>
              <w:pStyle w:val="Default"/>
              <w:rPr>
                <w:sz w:val="23"/>
                <w:szCs w:val="23"/>
              </w:rPr>
            </w:pPr>
            <w:r>
              <w:rPr>
                <w:sz w:val="23"/>
                <w:szCs w:val="23"/>
              </w:rPr>
              <w:t>Months 7 and 8</w:t>
            </w:r>
            <w:r w:rsidR="006430AC">
              <w:rPr>
                <w:sz w:val="23"/>
                <w:szCs w:val="23"/>
              </w:rPr>
              <w:t xml:space="preserve"> </w:t>
            </w:r>
          </w:p>
        </w:tc>
      </w:tr>
      <w:tr w:rsidR="006430AC" w:rsidTr="00AA53E3">
        <w:tblPrEx>
          <w:tblCellMar>
            <w:top w:w="0" w:type="dxa"/>
            <w:bottom w:w="0" w:type="dxa"/>
          </w:tblCellMar>
        </w:tblPrEx>
        <w:trPr>
          <w:trHeight w:val="293"/>
        </w:trPr>
        <w:tc>
          <w:tcPr>
            <w:tcW w:w="4011" w:type="dxa"/>
          </w:tcPr>
          <w:p w:rsidR="006430AC" w:rsidP="00AA53E3" w:rsidRDefault="002F1C2F">
            <w:pPr>
              <w:pStyle w:val="Default"/>
              <w:rPr>
                <w:sz w:val="23"/>
                <w:szCs w:val="23"/>
              </w:rPr>
            </w:pPr>
            <w:r>
              <w:rPr>
                <w:sz w:val="23"/>
                <w:szCs w:val="23"/>
              </w:rPr>
              <w:t>Revise Survey</w:t>
            </w:r>
            <w:r w:rsidR="006430AC">
              <w:rPr>
                <w:sz w:val="23"/>
                <w:szCs w:val="23"/>
              </w:rPr>
              <w:t xml:space="preserve"> </w:t>
            </w:r>
          </w:p>
        </w:tc>
        <w:tc>
          <w:tcPr>
            <w:tcW w:w="4011" w:type="dxa"/>
          </w:tcPr>
          <w:p w:rsidR="006430AC" w:rsidP="00264273" w:rsidRDefault="0095184A">
            <w:pPr>
              <w:pStyle w:val="Default"/>
              <w:rPr>
                <w:sz w:val="23"/>
                <w:szCs w:val="23"/>
              </w:rPr>
            </w:pPr>
            <w:r>
              <w:rPr>
                <w:sz w:val="23"/>
                <w:szCs w:val="23"/>
              </w:rPr>
              <w:t>Month 9</w:t>
            </w:r>
            <w:r w:rsidR="006430AC">
              <w:rPr>
                <w:sz w:val="23"/>
                <w:szCs w:val="23"/>
              </w:rPr>
              <w:t xml:space="preserve"> </w:t>
            </w:r>
          </w:p>
        </w:tc>
      </w:tr>
    </w:tbl>
    <w:p w:rsidRPr="00D10632" w:rsidR="00A67DE5" w:rsidP="00A67DE5" w:rsidRDefault="000E1E08">
      <w:pPr>
        <w:tabs>
          <w:tab w:val="left" w:pos="540"/>
        </w:tabs>
        <w:rPr>
          <w:sz w:val="20"/>
          <w:szCs w:val="20"/>
        </w:rPr>
      </w:pPr>
      <w:r w:rsidRPr="000E1E08">
        <w:rPr>
          <w:sz w:val="23"/>
          <w:szCs w:val="23"/>
        </w:rPr>
        <w:t>*</w:t>
      </w:r>
      <w:r w:rsidRPr="00D10632" w:rsidR="00D10632">
        <w:rPr>
          <w:sz w:val="20"/>
          <w:szCs w:val="20"/>
          <w:vertAlign w:val="superscript"/>
        </w:rPr>
        <w:t xml:space="preserve"> </w:t>
      </w:r>
      <w:r w:rsidRPr="00D10632" w:rsidR="00D10632">
        <w:rPr>
          <w:sz w:val="20"/>
          <w:szCs w:val="20"/>
        </w:rPr>
        <w:t xml:space="preserve">Data collection will begin as early as October 2021 </w:t>
      </w:r>
      <w:proofErr w:type="gramStart"/>
      <w:r w:rsidRPr="00D10632" w:rsidR="00D10632">
        <w:rPr>
          <w:sz w:val="20"/>
          <w:szCs w:val="20"/>
        </w:rPr>
        <w:t>and</w:t>
      </w:r>
      <w:proofErr w:type="gramEnd"/>
      <w:r w:rsidRPr="00D10632" w:rsidR="00D10632">
        <w:rPr>
          <w:sz w:val="20"/>
          <w:szCs w:val="20"/>
        </w:rPr>
        <w:t xml:space="preserve"> no later than January 2022.</w:t>
      </w:r>
    </w:p>
    <w:p w:rsidR="00D10632" w:rsidP="00A67DE5" w:rsidRDefault="00D10632">
      <w:pPr>
        <w:tabs>
          <w:tab w:val="left" w:pos="540"/>
        </w:tabs>
      </w:pPr>
    </w:p>
    <w:p w:rsidR="002F1C2F" w:rsidP="00A67DE5" w:rsidRDefault="0048726E">
      <w:pPr>
        <w:tabs>
          <w:tab w:val="left" w:pos="540"/>
        </w:tabs>
      </w:pPr>
      <w:r>
        <w:t xml:space="preserve">Results of the field test, including a description of overall and subgroup response rates, and measure and psychometric properties, </w:t>
      </w:r>
      <w:r w:rsidR="002B4A5D">
        <w:t>may</w:t>
      </w:r>
      <w:r>
        <w:t xml:space="preserve"> be published in a peer-reviewed journal, and disseminated via conferences.</w:t>
      </w:r>
    </w:p>
    <w:p w:rsidR="0048726E" w:rsidP="00A67DE5" w:rsidRDefault="0048726E">
      <w:pPr>
        <w:tabs>
          <w:tab w:val="left" w:pos="540"/>
        </w:tabs>
      </w:pPr>
    </w:p>
    <w:p w:rsidRPr="00EF52AE" w:rsidR="00A67DE5" w:rsidP="00A67DE5" w:rsidRDefault="007452B3">
      <w:pPr>
        <w:pStyle w:val="Heading2"/>
        <w:rPr>
          <w:rFonts w:ascii="Times New Roman" w:hAnsi="Times New Roman"/>
        </w:rPr>
      </w:pPr>
      <w:bookmarkStart w:name="_Toc82160159" w:id="27"/>
      <w:r>
        <w:rPr>
          <w:rFonts w:ascii="Times New Roman" w:hAnsi="Times New Roman"/>
        </w:rPr>
        <w:t xml:space="preserve">A17. </w:t>
      </w:r>
      <w:r w:rsidRPr="00EF52AE" w:rsidR="00A67DE5">
        <w:rPr>
          <w:rFonts w:ascii="Times New Roman" w:hAnsi="Times New Roman"/>
        </w:rPr>
        <w:t>Display of OMB Expiration Date</w:t>
      </w:r>
      <w:bookmarkEnd w:id="27"/>
    </w:p>
    <w:p w:rsidR="00A67DE5" w:rsidP="00A67DE5" w:rsidRDefault="00A67DE5">
      <w:pPr>
        <w:tabs>
          <w:tab w:val="left" w:pos="540"/>
        </w:tabs>
      </w:pPr>
    </w:p>
    <w:p w:rsidR="00A67DE5" w:rsidP="00A67DE5" w:rsidRDefault="00A67DE5">
      <w:pPr>
        <w:tabs>
          <w:tab w:val="left" w:pos="540"/>
        </w:tabs>
      </w:pPr>
      <w:r>
        <w:t>The expiration date for OMB approval of this information collection will be displayed on the survey.</w:t>
      </w:r>
    </w:p>
    <w:p w:rsidR="00A67DE5" w:rsidP="00A67DE5" w:rsidRDefault="00A67DE5">
      <w:pPr>
        <w:tabs>
          <w:tab w:val="left" w:pos="540"/>
        </w:tabs>
      </w:pPr>
    </w:p>
    <w:p w:rsidR="004C5131" w:rsidP="004C5131" w:rsidRDefault="004C5131">
      <w:pPr>
        <w:pStyle w:val="Heading1"/>
        <w:jc w:val="center"/>
      </w:pPr>
      <w:r>
        <w:br w:type="page"/>
      </w:r>
      <w:bookmarkStart w:name="_Toc82160160" w:id="28"/>
      <w:r>
        <w:lastRenderedPageBreak/>
        <w:t>References</w:t>
      </w:r>
      <w:bookmarkEnd w:id="28"/>
    </w:p>
    <w:p w:rsidRPr="004C5131" w:rsidR="004C5131" w:rsidP="004C5131" w:rsidRDefault="004C5131"/>
    <w:p w:rsidR="004C5131" w:rsidP="004C5131" w:rsidRDefault="004C5131">
      <w:pPr>
        <w:pStyle w:val="Default"/>
        <w:rPr>
          <w:sz w:val="23"/>
          <w:szCs w:val="23"/>
        </w:rPr>
      </w:pPr>
    </w:p>
    <w:p w:rsidRPr="00F84B00" w:rsidR="005E4797" w:rsidP="005E4797" w:rsidRDefault="005E4797">
      <w:r>
        <w:rPr>
          <w:rFonts w:cs="Arial"/>
        </w:rPr>
        <w:t>Berry, S. (2009)</w:t>
      </w:r>
      <w:r w:rsidR="00F84B00">
        <w:rPr>
          <w:rFonts w:cs="Arial"/>
        </w:rPr>
        <w:t>.</w:t>
      </w:r>
      <w:r>
        <w:rPr>
          <w:rFonts w:cs="Arial"/>
        </w:rPr>
        <w:t xml:space="preserve"> </w:t>
      </w:r>
      <w:r w:rsidRPr="004D55E9">
        <w:rPr>
          <w:rFonts w:cs="Arial"/>
        </w:rPr>
        <w:t>How To Estimate Questionnaire Administration Time Before Pretesting: An Interactive Spreadsheet Approach</w:t>
      </w:r>
      <w:r>
        <w:rPr>
          <w:rFonts w:cs="Arial"/>
        </w:rPr>
        <w:t xml:space="preserve">.  </w:t>
      </w:r>
      <w:r w:rsidRPr="00F84B00">
        <w:rPr>
          <w:i/>
        </w:rPr>
        <w:t>Survey Practice</w:t>
      </w:r>
      <w:r w:rsidRPr="00F84B00">
        <w:t>, Vol 2(3).</w:t>
      </w:r>
    </w:p>
    <w:p w:rsidRPr="00F84B00" w:rsidR="00F84B00" w:rsidP="005E4797" w:rsidRDefault="00F84B00"/>
    <w:p w:rsidRPr="00F84B00" w:rsidR="00F84B00" w:rsidP="005E4797" w:rsidRDefault="00F84B00">
      <w:r w:rsidRPr="00F84B00">
        <w:t>National Academies of Sciences, Engineering, and Medicine. (2017)</w:t>
      </w:r>
      <w:proofErr w:type="gramStart"/>
      <w:r w:rsidRPr="00F84B00">
        <w:t>.</w:t>
      </w:r>
      <w:r w:rsidR="00FE4F6A">
        <w:t xml:space="preserve">  </w:t>
      </w:r>
      <w:r w:rsidRPr="00F84B00">
        <w:t>Integrating</w:t>
      </w:r>
      <w:proofErr w:type="gramEnd"/>
      <w:r w:rsidRPr="00F84B00">
        <w:t xml:space="preserve"> the patient and caregiver voice into serious illness care: Proceedings of a workshop. Washington, DC: The National Academies Press. </w:t>
      </w:r>
      <w:proofErr w:type="gramStart"/>
      <w:r w:rsidRPr="00F84B00">
        <w:t>doi</w:t>
      </w:r>
      <w:proofErr w:type="gramEnd"/>
      <w:r w:rsidRPr="00F84B00">
        <w:t xml:space="preserve">: </w:t>
      </w:r>
      <w:hyperlink w:history="1" r:id="rId11">
        <w:r w:rsidRPr="00F84B00">
          <w:rPr>
            <w:rStyle w:val="Hyperlink"/>
          </w:rPr>
          <w:t>https://doi.org/10.17226/24802</w:t>
        </w:r>
      </w:hyperlink>
      <w:r w:rsidRPr="00F84B00">
        <w:t xml:space="preserve">.  </w:t>
      </w:r>
    </w:p>
    <w:p w:rsidRPr="001447E9" w:rsidR="005078D0" w:rsidP="005E4797" w:rsidRDefault="005078D0">
      <w:pPr>
        <w:rPr>
          <w:noProof/>
        </w:rPr>
      </w:pPr>
    </w:p>
    <w:p w:rsidR="009F7E16" w:rsidP="004C5131" w:rsidRDefault="00D85E9B">
      <w:pPr>
        <w:tabs>
          <w:tab w:val="left" w:pos="540"/>
        </w:tabs>
      </w:pPr>
      <w:r>
        <w:br w:type="page"/>
      </w:r>
      <w:r w:rsidRPr="00087CBC">
        <w:lastRenderedPageBreak/>
        <w:t xml:space="preserve">Attachment </w:t>
      </w:r>
      <w:proofErr w:type="gramStart"/>
      <w:r w:rsidRPr="00087CBC">
        <w:t>A</w:t>
      </w:r>
      <w:proofErr w:type="gramEnd"/>
      <w:r w:rsidRPr="00087CBC">
        <w:t xml:space="preserve"> –</w:t>
      </w:r>
      <w:r w:rsidR="002B57BE">
        <w:t xml:space="preserve"> </w:t>
      </w:r>
      <w:r w:rsidRPr="00087CBC" w:rsidR="00790763">
        <w:t>Survey</w:t>
      </w:r>
    </w:p>
    <w:p w:rsidRPr="00087CBC" w:rsidR="004C5131" w:rsidP="004C5131" w:rsidRDefault="009F7E16">
      <w:pPr>
        <w:tabs>
          <w:tab w:val="left" w:pos="540"/>
        </w:tabs>
      </w:pPr>
      <w:r>
        <w:t>Attachment B –</w:t>
      </w:r>
      <w:r w:rsidR="002B57BE">
        <w:t xml:space="preserve"> </w:t>
      </w:r>
      <w:r w:rsidRPr="00087CBC" w:rsidR="00790763">
        <w:t>S</w:t>
      </w:r>
      <w:r>
        <w:t>u</w:t>
      </w:r>
      <w:r w:rsidRPr="00087CBC" w:rsidR="00790763">
        <w:t>rvey Cover Letter</w:t>
      </w:r>
      <w:r>
        <w:t xml:space="preserve"> and Telephone Interview Introduction </w:t>
      </w:r>
    </w:p>
    <w:p w:rsidR="00D85E9B" w:rsidP="004C5131" w:rsidRDefault="00D85E9B">
      <w:pPr>
        <w:tabs>
          <w:tab w:val="left" w:pos="540"/>
        </w:tabs>
      </w:pPr>
    </w:p>
    <w:sectPr w:rsidR="00D85E9B" w:rsidSect="00081B9F">
      <w:pgSz w:w="12240" w:h="15840"/>
      <w:pgMar w:top="1440" w:right="1800" w:bottom="1440" w:left="1800"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A65A9" w:rsidRDefault="00CA65A9">
      <w:r>
        <w:separator/>
      </w:r>
    </w:p>
  </w:endnote>
  <w:endnote w:type="continuationSeparator" w:id="0">
    <w:p w:rsidR="00CA65A9" w:rsidRDefault="00CA65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Futura Std Book">
    <w:charset w:val="00"/>
    <w:family w:val="swiss"/>
    <w:notTrueType/>
    <w:pitch w:val="variable"/>
    <w:sig w:usb0="800000AF" w:usb1="4000204A" w:usb2="00000000" w:usb3="00000000" w:csb0="00000001" w:csb1="00000000"/>
  </w:font>
  <w:font w:name="Lucida Grande">
    <w:altName w:val="Segoe UI"/>
    <w:charset w:val="00"/>
    <w:family w:val="swiss"/>
    <w:pitch w:val="variable"/>
    <w:sig w:usb0="E1000AEF" w:usb1="5000A1FF" w:usb2="00000000" w:usb3="00000000" w:csb0="000001BF" w:csb1="00000000"/>
  </w:font>
  <w:font w:name="Futura Condensed">
    <w:altName w:val="Arial"/>
    <w:charset w:val="B1"/>
    <w:family w:val="swiss"/>
    <w:pitch w:val="variable"/>
    <w:sig w:usb0="80000867" w:usb1="00000000" w:usb2="00000000" w:usb3="00000000" w:csb0="000001FB"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81B9F" w:rsidRDefault="00081B9F" w:rsidP="00207838">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rsidR="00081B9F" w:rsidRDefault="00081B9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81B9F" w:rsidRDefault="00081B9F" w:rsidP="00207838">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sidR="003F6AC3">
      <w:rPr>
        <w:rStyle w:val="PageNumber"/>
        <w:noProof/>
      </w:rPr>
      <w:t>3</w:t>
    </w:r>
    <w:r>
      <w:rPr>
        <w:rStyle w:val="PageNumber"/>
      </w:rPr>
      <w:fldChar w:fldCharType="end"/>
    </w:r>
  </w:p>
  <w:p w:rsidR="00081B9F" w:rsidRDefault="00081B9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10660" w:rsidRDefault="00D10660" w:rsidP="00BE67F0">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3F6AC3">
      <w:rPr>
        <w:rStyle w:val="PageNumber"/>
        <w:noProof/>
      </w:rPr>
      <w:t>1</w:t>
    </w:r>
    <w:r>
      <w:rPr>
        <w:rStyle w:val="PageNumber"/>
      </w:rPr>
      <w:fldChar w:fldCharType="end"/>
    </w:r>
  </w:p>
  <w:p w:rsidR="001274AF" w:rsidRDefault="001274AF" w:rsidP="00D10660">
    <w:pPr>
      <w:pStyle w:val="Footer"/>
      <w:tabs>
        <w:tab w:val="clear" w:pos="4320"/>
        <w:tab w:val="clear" w:pos="8640"/>
        <w:tab w:val="left" w:pos="6320"/>
      </w:tabs>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A65A9" w:rsidRDefault="00CA65A9">
      <w:r>
        <w:separator/>
      </w:r>
    </w:p>
  </w:footnote>
  <w:footnote w:type="continuationSeparator" w:id="0">
    <w:p w:rsidR="00CA65A9" w:rsidRDefault="00CA65A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1D"/>
    <w:multiLevelType w:val="multilevel"/>
    <w:tmpl w:val="3EA6E976"/>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8B66A21"/>
    <w:multiLevelType w:val="hybridMultilevel"/>
    <w:tmpl w:val="96D851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B3C4048"/>
    <w:multiLevelType w:val="hybridMultilevel"/>
    <w:tmpl w:val="530075FC"/>
    <w:lvl w:ilvl="0" w:tplc="C70244D0">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0065783"/>
    <w:multiLevelType w:val="hybridMultilevel"/>
    <w:tmpl w:val="00F05C58"/>
    <w:lvl w:ilvl="0" w:tplc="04090001">
      <w:start w:val="1"/>
      <w:numFmt w:val="bullet"/>
      <w:lvlText w:val=""/>
      <w:lvlJc w:val="left"/>
      <w:pPr>
        <w:ind w:left="720" w:hanging="360"/>
      </w:pPr>
      <w:rPr>
        <w:rFonts w:ascii="Symbol" w:eastAsia="Times New Roman"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8A6403C"/>
    <w:multiLevelType w:val="hybridMultilevel"/>
    <w:tmpl w:val="206E9FF2"/>
    <w:lvl w:ilvl="0" w:tplc="0409000B">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B431989"/>
    <w:multiLevelType w:val="hybridMultilevel"/>
    <w:tmpl w:val="B9F0DB44"/>
    <w:lvl w:ilvl="0" w:tplc="04090001">
      <w:start w:val="1"/>
      <w:numFmt w:val="bullet"/>
      <w:lvlText w:val=""/>
      <w:lvlJc w:val="left"/>
      <w:pPr>
        <w:ind w:left="783" w:hanging="360"/>
      </w:pPr>
      <w:rPr>
        <w:rFonts w:ascii="Symbol" w:hAnsi="Symbol" w:hint="default"/>
      </w:rPr>
    </w:lvl>
    <w:lvl w:ilvl="1" w:tplc="04090003" w:tentative="1">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6" w15:restartNumberingAfterBreak="0">
    <w:nsid w:val="27E70786"/>
    <w:multiLevelType w:val="hybridMultilevel"/>
    <w:tmpl w:val="3C9CA25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2ED788D"/>
    <w:multiLevelType w:val="multilevel"/>
    <w:tmpl w:val="7FB4824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457845A5"/>
    <w:multiLevelType w:val="hybridMultilevel"/>
    <w:tmpl w:val="39E8DF0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1312647"/>
    <w:multiLevelType w:val="hybridMultilevel"/>
    <w:tmpl w:val="651E903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778F737F"/>
    <w:multiLevelType w:val="hybridMultilevel"/>
    <w:tmpl w:val="29CCE2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A5C7D45"/>
    <w:multiLevelType w:val="hybridMultilevel"/>
    <w:tmpl w:val="3698C7EE"/>
    <w:lvl w:ilvl="0" w:tplc="04090001">
      <w:start w:val="1"/>
      <w:numFmt w:val="bullet"/>
      <w:lvlText w:val=""/>
      <w:lvlJc w:val="left"/>
      <w:pPr>
        <w:ind w:left="1620" w:hanging="360"/>
      </w:pPr>
      <w:rPr>
        <w:rFonts w:ascii="Symbol" w:hAnsi="Symbol" w:hint="default"/>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num w:numId="1">
    <w:abstractNumId w:val="4"/>
  </w:num>
  <w:num w:numId="2">
    <w:abstractNumId w:val="9"/>
  </w:num>
  <w:num w:numId="3">
    <w:abstractNumId w:val="2"/>
  </w:num>
  <w:num w:numId="4">
    <w:abstractNumId w:val="0"/>
  </w:num>
  <w:num w:numId="5">
    <w:abstractNumId w:val="1"/>
  </w:num>
  <w:num w:numId="6">
    <w:abstractNumId w:val="11"/>
  </w:num>
  <w:num w:numId="7">
    <w:abstractNumId w:val="5"/>
  </w:num>
  <w:num w:numId="8">
    <w:abstractNumId w:val="6"/>
  </w:num>
  <w:num w:numId="9">
    <w:abstractNumId w:val="7"/>
  </w:num>
  <w:num w:numId="10">
    <w:abstractNumId w:val="10"/>
  </w:num>
  <w:num w:numId="11">
    <w:abstractNumId w:val="3"/>
  </w:num>
  <w:num w:numId="1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3074"/>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67DE5"/>
    <w:rsid w:val="00002D67"/>
    <w:rsid w:val="00003FA0"/>
    <w:rsid w:val="0001391C"/>
    <w:rsid w:val="00013A52"/>
    <w:rsid w:val="00015EE4"/>
    <w:rsid w:val="00017DC9"/>
    <w:rsid w:val="00025FA2"/>
    <w:rsid w:val="000432E7"/>
    <w:rsid w:val="00053C3C"/>
    <w:rsid w:val="00055EDC"/>
    <w:rsid w:val="00066EB6"/>
    <w:rsid w:val="00081AC3"/>
    <w:rsid w:val="00081B9F"/>
    <w:rsid w:val="000860A0"/>
    <w:rsid w:val="00087CBC"/>
    <w:rsid w:val="000950E9"/>
    <w:rsid w:val="00097010"/>
    <w:rsid w:val="000A1E31"/>
    <w:rsid w:val="000B0B03"/>
    <w:rsid w:val="000C6EE6"/>
    <w:rsid w:val="000E1E08"/>
    <w:rsid w:val="000E38BB"/>
    <w:rsid w:val="000F22B2"/>
    <w:rsid w:val="000F36F4"/>
    <w:rsid w:val="000F5522"/>
    <w:rsid w:val="00106398"/>
    <w:rsid w:val="00107082"/>
    <w:rsid w:val="00122E88"/>
    <w:rsid w:val="00124C9D"/>
    <w:rsid w:val="00126E54"/>
    <w:rsid w:val="001274AF"/>
    <w:rsid w:val="001300A6"/>
    <w:rsid w:val="001328DF"/>
    <w:rsid w:val="001440DC"/>
    <w:rsid w:val="0014423D"/>
    <w:rsid w:val="001447E9"/>
    <w:rsid w:val="00156398"/>
    <w:rsid w:val="00156552"/>
    <w:rsid w:val="0017351B"/>
    <w:rsid w:val="00174CAF"/>
    <w:rsid w:val="00183CF9"/>
    <w:rsid w:val="00184411"/>
    <w:rsid w:val="00191F3A"/>
    <w:rsid w:val="001B1819"/>
    <w:rsid w:val="001B370C"/>
    <w:rsid w:val="001C2CFD"/>
    <w:rsid w:val="001C2D34"/>
    <w:rsid w:val="001D2B4C"/>
    <w:rsid w:val="001D7CD0"/>
    <w:rsid w:val="001E0ED5"/>
    <w:rsid w:val="001E1350"/>
    <w:rsid w:val="001E21E3"/>
    <w:rsid w:val="001E24B1"/>
    <w:rsid w:val="001E51D3"/>
    <w:rsid w:val="001F002C"/>
    <w:rsid w:val="002058BD"/>
    <w:rsid w:val="00207838"/>
    <w:rsid w:val="00221D2D"/>
    <w:rsid w:val="00230D6F"/>
    <w:rsid w:val="00244677"/>
    <w:rsid w:val="0026072A"/>
    <w:rsid w:val="002619D5"/>
    <w:rsid w:val="00264273"/>
    <w:rsid w:val="00284501"/>
    <w:rsid w:val="00290DE4"/>
    <w:rsid w:val="00292287"/>
    <w:rsid w:val="002A392C"/>
    <w:rsid w:val="002B4A5D"/>
    <w:rsid w:val="002B57BE"/>
    <w:rsid w:val="002B676C"/>
    <w:rsid w:val="002B7233"/>
    <w:rsid w:val="002C6791"/>
    <w:rsid w:val="002E046E"/>
    <w:rsid w:val="002E2B87"/>
    <w:rsid w:val="002E35AD"/>
    <w:rsid w:val="002E6B83"/>
    <w:rsid w:val="002F109C"/>
    <w:rsid w:val="002F1C2F"/>
    <w:rsid w:val="002F1DC2"/>
    <w:rsid w:val="002F3802"/>
    <w:rsid w:val="002F4630"/>
    <w:rsid w:val="002F53C9"/>
    <w:rsid w:val="002F7727"/>
    <w:rsid w:val="00301E29"/>
    <w:rsid w:val="00314A85"/>
    <w:rsid w:val="00316B42"/>
    <w:rsid w:val="003475E6"/>
    <w:rsid w:val="0036227F"/>
    <w:rsid w:val="00370001"/>
    <w:rsid w:val="00374639"/>
    <w:rsid w:val="003772C1"/>
    <w:rsid w:val="00390DD8"/>
    <w:rsid w:val="003936FF"/>
    <w:rsid w:val="0039397D"/>
    <w:rsid w:val="00397D07"/>
    <w:rsid w:val="003A3622"/>
    <w:rsid w:val="003B00DA"/>
    <w:rsid w:val="003C0CDE"/>
    <w:rsid w:val="003C11B7"/>
    <w:rsid w:val="003E49FF"/>
    <w:rsid w:val="003E4E8F"/>
    <w:rsid w:val="003F0111"/>
    <w:rsid w:val="003F6AC3"/>
    <w:rsid w:val="00415BFD"/>
    <w:rsid w:val="00421689"/>
    <w:rsid w:val="0042499D"/>
    <w:rsid w:val="00427A68"/>
    <w:rsid w:val="0043769D"/>
    <w:rsid w:val="00440118"/>
    <w:rsid w:val="00440194"/>
    <w:rsid w:val="00440B8F"/>
    <w:rsid w:val="00440F58"/>
    <w:rsid w:val="00442C49"/>
    <w:rsid w:val="00443EEF"/>
    <w:rsid w:val="004514A0"/>
    <w:rsid w:val="00456317"/>
    <w:rsid w:val="00460B03"/>
    <w:rsid w:val="00461752"/>
    <w:rsid w:val="0046659C"/>
    <w:rsid w:val="0047029F"/>
    <w:rsid w:val="00472CC4"/>
    <w:rsid w:val="00481689"/>
    <w:rsid w:val="00484F47"/>
    <w:rsid w:val="0048726E"/>
    <w:rsid w:val="00491A36"/>
    <w:rsid w:val="00497BD6"/>
    <w:rsid w:val="004C2FEC"/>
    <w:rsid w:val="004C5131"/>
    <w:rsid w:val="004E7D70"/>
    <w:rsid w:val="005062E5"/>
    <w:rsid w:val="005078D0"/>
    <w:rsid w:val="00510B52"/>
    <w:rsid w:val="0051769B"/>
    <w:rsid w:val="00523364"/>
    <w:rsid w:val="00524C00"/>
    <w:rsid w:val="005268C3"/>
    <w:rsid w:val="00533A11"/>
    <w:rsid w:val="00550834"/>
    <w:rsid w:val="005516C1"/>
    <w:rsid w:val="005621E5"/>
    <w:rsid w:val="00562B3A"/>
    <w:rsid w:val="00563EFD"/>
    <w:rsid w:val="005640E5"/>
    <w:rsid w:val="00565BA6"/>
    <w:rsid w:val="00571D43"/>
    <w:rsid w:val="00575C83"/>
    <w:rsid w:val="00575C98"/>
    <w:rsid w:val="005766C7"/>
    <w:rsid w:val="00580D54"/>
    <w:rsid w:val="00583A3C"/>
    <w:rsid w:val="00585877"/>
    <w:rsid w:val="00590C17"/>
    <w:rsid w:val="00597864"/>
    <w:rsid w:val="005A7CE6"/>
    <w:rsid w:val="005D10F9"/>
    <w:rsid w:val="005D29E2"/>
    <w:rsid w:val="005D3156"/>
    <w:rsid w:val="005D4022"/>
    <w:rsid w:val="005E03F7"/>
    <w:rsid w:val="005E110B"/>
    <w:rsid w:val="005E20CB"/>
    <w:rsid w:val="005E4797"/>
    <w:rsid w:val="005E7AF5"/>
    <w:rsid w:val="005F4237"/>
    <w:rsid w:val="005F702C"/>
    <w:rsid w:val="00600E64"/>
    <w:rsid w:val="00611B13"/>
    <w:rsid w:val="006125E3"/>
    <w:rsid w:val="00614352"/>
    <w:rsid w:val="00623994"/>
    <w:rsid w:val="00631720"/>
    <w:rsid w:val="006430AC"/>
    <w:rsid w:val="00652568"/>
    <w:rsid w:val="00661698"/>
    <w:rsid w:val="006620B6"/>
    <w:rsid w:val="00667F02"/>
    <w:rsid w:val="00670F8B"/>
    <w:rsid w:val="00672E08"/>
    <w:rsid w:val="00681D38"/>
    <w:rsid w:val="00684BFA"/>
    <w:rsid w:val="00686D91"/>
    <w:rsid w:val="006929BD"/>
    <w:rsid w:val="00693048"/>
    <w:rsid w:val="00694351"/>
    <w:rsid w:val="00696DA9"/>
    <w:rsid w:val="006B3208"/>
    <w:rsid w:val="006C2AA2"/>
    <w:rsid w:val="006C4517"/>
    <w:rsid w:val="006C4C5C"/>
    <w:rsid w:val="006C4E32"/>
    <w:rsid w:val="006C69A3"/>
    <w:rsid w:val="006C7969"/>
    <w:rsid w:val="006D053F"/>
    <w:rsid w:val="006D5D30"/>
    <w:rsid w:val="006D77E8"/>
    <w:rsid w:val="006D7DA3"/>
    <w:rsid w:val="006E1902"/>
    <w:rsid w:val="006E7164"/>
    <w:rsid w:val="006F4286"/>
    <w:rsid w:val="006F68D2"/>
    <w:rsid w:val="00712ADB"/>
    <w:rsid w:val="00740C1D"/>
    <w:rsid w:val="007452B3"/>
    <w:rsid w:val="0074741D"/>
    <w:rsid w:val="00752056"/>
    <w:rsid w:val="00755331"/>
    <w:rsid w:val="00762735"/>
    <w:rsid w:val="0076495D"/>
    <w:rsid w:val="00772056"/>
    <w:rsid w:val="00774130"/>
    <w:rsid w:val="0077422A"/>
    <w:rsid w:val="00780235"/>
    <w:rsid w:val="007838CF"/>
    <w:rsid w:val="007872EE"/>
    <w:rsid w:val="00787C63"/>
    <w:rsid w:val="00790763"/>
    <w:rsid w:val="007A2EF3"/>
    <w:rsid w:val="007A72ED"/>
    <w:rsid w:val="007A7D1E"/>
    <w:rsid w:val="007B6D64"/>
    <w:rsid w:val="007C07E2"/>
    <w:rsid w:val="007C63DE"/>
    <w:rsid w:val="007C721C"/>
    <w:rsid w:val="007D3740"/>
    <w:rsid w:val="007D72EC"/>
    <w:rsid w:val="007E00DC"/>
    <w:rsid w:val="007E489E"/>
    <w:rsid w:val="007E49C6"/>
    <w:rsid w:val="007F59E6"/>
    <w:rsid w:val="007F7376"/>
    <w:rsid w:val="00805A53"/>
    <w:rsid w:val="00815356"/>
    <w:rsid w:val="00834CDA"/>
    <w:rsid w:val="00843655"/>
    <w:rsid w:val="008448C2"/>
    <w:rsid w:val="008456D6"/>
    <w:rsid w:val="00846CF7"/>
    <w:rsid w:val="00850114"/>
    <w:rsid w:val="0085024A"/>
    <w:rsid w:val="00867AD6"/>
    <w:rsid w:val="0087003F"/>
    <w:rsid w:val="00890144"/>
    <w:rsid w:val="00894DEC"/>
    <w:rsid w:val="008A1DD9"/>
    <w:rsid w:val="008A2570"/>
    <w:rsid w:val="008A55B7"/>
    <w:rsid w:val="008B4272"/>
    <w:rsid w:val="008B5E79"/>
    <w:rsid w:val="008D22D7"/>
    <w:rsid w:val="008E0CA5"/>
    <w:rsid w:val="008E0F2B"/>
    <w:rsid w:val="008E419F"/>
    <w:rsid w:val="00900A1D"/>
    <w:rsid w:val="00912C4C"/>
    <w:rsid w:val="009249A3"/>
    <w:rsid w:val="0095184A"/>
    <w:rsid w:val="00953102"/>
    <w:rsid w:val="00966D65"/>
    <w:rsid w:val="00967552"/>
    <w:rsid w:val="0097575F"/>
    <w:rsid w:val="009A2127"/>
    <w:rsid w:val="009A29CB"/>
    <w:rsid w:val="009B3A4C"/>
    <w:rsid w:val="009B710C"/>
    <w:rsid w:val="009C1E80"/>
    <w:rsid w:val="009D2C9F"/>
    <w:rsid w:val="009D4273"/>
    <w:rsid w:val="009D5B52"/>
    <w:rsid w:val="009D6ED4"/>
    <w:rsid w:val="009F5DC0"/>
    <w:rsid w:val="009F7E16"/>
    <w:rsid w:val="00A0132C"/>
    <w:rsid w:val="00A03A30"/>
    <w:rsid w:val="00A058A1"/>
    <w:rsid w:val="00A063C6"/>
    <w:rsid w:val="00A21C39"/>
    <w:rsid w:val="00A30D7B"/>
    <w:rsid w:val="00A32AA6"/>
    <w:rsid w:val="00A40E81"/>
    <w:rsid w:val="00A42819"/>
    <w:rsid w:val="00A42F4D"/>
    <w:rsid w:val="00A445CD"/>
    <w:rsid w:val="00A45057"/>
    <w:rsid w:val="00A461F0"/>
    <w:rsid w:val="00A57AD8"/>
    <w:rsid w:val="00A61132"/>
    <w:rsid w:val="00A677FF"/>
    <w:rsid w:val="00A67DE5"/>
    <w:rsid w:val="00A74F7C"/>
    <w:rsid w:val="00A76445"/>
    <w:rsid w:val="00A845AC"/>
    <w:rsid w:val="00A92B2D"/>
    <w:rsid w:val="00A93758"/>
    <w:rsid w:val="00A94FE4"/>
    <w:rsid w:val="00AA2EA4"/>
    <w:rsid w:val="00AA53E3"/>
    <w:rsid w:val="00AA5666"/>
    <w:rsid w:val="00AB38E0"/>
    <w:rsid w:val="00AB7E13"/>
    <w:rsid w:val="00AC101B"/>
    <w:rsid w:val="00AC1E46"/>
    <w:rsid w:val="00AC5338"/>
    <w:rsid w:val="00AD7E61"/>
    <w:rsid w:val="00AE66BD"/>
    <w:rsid w:val="00AE7D67"/>
    <w:rsid w:val="00B0428B"/>
    <w:rsid w:val="00B05D85"/>
    <w:rsid w:val="00B13589"/>
    <w:rsid w:val="00B209F0"/>
    <w:rsid w:val="00B26B6C"/>
    <w:rsid w:val="00B33D29"/>
    <w:rsid w:val="00B356C7"/>
    <w:rsid w:val="00B579A6"/>
    <w:rsid w:val="00B73898"/>
    <w:rsid w:val="00B762F9"/>
    <w:rsid w:val="00B825D8"/>
    <w:rsid w:val="00B8369C"/>
    <w:rsid w:val="00B9631B"/>
    <w:rsid w:val="00BB0B9C"/>
    <w:rsid w:val="00BB3003"/>
    <w:rsid w:val="00BB3608"/>
    <w:rsid w:val="00BD1CFD"/>
    <w:rsid w:val="00BE56DE"/>
    <w:rsid w:val="00BE67F0"/>
    <w:rsid w:val="00BF0AE3"/>
    <w:rsid w:val="00C11E2E"/>
    <w:rsid w:val="00C16F00"/>
    <w:rsid w:val="00C24123"/>
    <w:rsid w:val="00C323E4"/>
    <w:rsid w:val="00C32807"/>
    <w:rsid w:val="00C3559D"/>
    <w:rsid w:val="00C35769"/>
    <w:rsid w:val="00C37C7C"/>
    <w:rsid w:val="00C41EF8"/>
    <w:rsid w:val="00C450FA"/>
    <w:rsid w:val="00C65641"/>
    <w:rsid w:val="00C720C2"/>
    <w:rsid w:val="00C72325"/>
    <w:rsid w:val="00C760C0"/>
    <w:rsid w:val="00C76835"/>
    <w:rsid w:val="00C848E3"/>
    <w:rsid w:val="00C90E08"/>
    <w:rsid w:val="00C95D7D"/>
    <w:rsid w:val="00CA164C"/>
    <w:rsid w:val="00CA53C6"/>
    <w:rsid w:val="00CA65A9"/>
    <w:rsid w:val="00CA7BA3"/>
    <w:rsid w:val="00CB222A"/>
    <w:rsid w:val="00CB3259"/>
    <w:rsid w:val="00CC4CA2"/>
    <w:rsid w:val="00CC6644"/>
    <w:rsid w:val="00CD2A52"/>
    <w:rsid w:val="00CE0F51"/>
    <w:rsid w:val="00CE402A"/>
    <w:rsid w:val="00CE5AAB"/>
    <w:rsid w:val="00CF72E5"/>
    <w:rsid w:val="00D06953"/>
    <w:rsid w:val="00D10632"/>
    <w:rsid w:val="00D10660"/>
    <w:rsid w:val="00D11DD5"/>
    <w:rsid w:val="00D14EF7"/>
    <w:rsid w:val="00D21524"/>
    <w:rsid w:val="00D32993"/>
    <w:rsid w:val="00D37A48"/>
    <w:rsid w:val="00D40DB5"/>
    <w:rsid w:val="00D44C95"/>
    <w:rsid w:val="00D4597F"/>
    <w:rsid w:val="00D54256"/>
    <w:rsid w:val="00D62D83"/>
    <w:rsid w:val="00D660A8"/>
    <w:rsid w:val="00D85E9B"/>
    <w:rsid w:val="00D92265"/>
    <w:rsid w:val="00D92368"/>
    <w:rsid w:val="00D97445"/>
    <w:rsid w:val="00DA0D65"/>
    <w:rsid w:val="00DA1D20"/>
    <w:rsid w:val="00DB41C1"/>
    <w:rsid w:val="00DD0AEC"/>
    <w:rsid w:val="00DD2A42"/>
    <w:rsid w:val="00DE1E12"/>
    <w:rsid w:val="00DF14FF"/>
    <w:rsid w:val="00DF34DC"/>
    <w:rsid w:val="00E07375"/>
    <w:rsid w:val="00E108AA"/>
    <w:rsid w:val="00E2047A"/>
    <w:rsid w:val="00E224FA"/>
    <w:rsid w:val="00E359BC"/>
    <w:rsid w:val="00E458E7"/>
    <w:rsid w:val="00E65863"/>
    <w:rsid w:val="00E700A7"/>
    <w:rsid w:val="00E82D0B"/>
    <w:rsid w:val="00E932AB"/>
    <w:rsid w:val="00EA5357"/>
    <w:rsid w:val="00EB1684"/>
    <w:rsid w:val="00EB3BF6"/>
    <w:rsid w:val="00ED295E"/>
    <w:rsid w:val="00EE22A5"/>
    <w:rsid w:val="00F002FE"/>
    <w:rsid w:val="00F05AD7"/>
    <w:rsid w:val="00F14695"/>
    <w:rsid w:val="00F16281"/>
    <w:rsid w:val="00F20848"/>
    <w:rsid w:val="00F2415F"/>
    <w:rsid w:val="00F2497A"/>
    <w:rsid w:val="00F25E4C"/>
    <w:rsid w:val="00F33299"/>
    <w:rsid w:val="00F4100F"/>
    <w:rsid w:val="00F42096"/>
    <w:rsid w:val="00F47EB7"/>
    <w:rsid w:val="00F560A8"/>
    <w:rsid w:val="00F6327C"/>
    <w:rsid w:val="00F63407"/>
    <w:rsid w:val="00F74A77"/>
    <w:rsid w:val="00F80F0A"/>
    <w:rsid w:val="00F84B00"/>
    <w:rsid w:val="00F90D2F"/>
    <w:rsid w:val="00FB296C"/>
    <w:rsid w:val="00FB7C9D"/>
    <w:rsid w:val="00FC2241"/>
    <w:rsid w:val="00FC3F5F"/>
    <w:rsid w:val="00FC690B"/>
    <w:rsid w:val="00FD4B78"/>
    <w:rsid w:val="00FE079D"/>
    <w:rsid w:val="00FE4F6A"/>
    <w:rsid w:val="00FF2534"/>
    <w:rsid w:val="00FF4054"/>
    <w:rsid w:val="00FF648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3074"/>
    <o:shapelayout v:ext="edit">
      <o:idmap v:ext="edit" data="1"/>
    </o:shapelayout>
  </w:shapeDefaults>
  <w:decimalSymbol w:val="."/>
  <w:listSeparator w:val=","/>
  <w14:docId w14:val="7716005E"/>
  <w14:defaultImageDpi w14:val="300"/>
  <w15:chartTrackingRefBased/>
  <w15:docId w15:val="{D8BC14D1-7CC5-4A81-BCC5-E50C9C41ED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MS Mincho"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qFormat="1"/>
    <w:lsdException w:name="heading 2"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semiHidden="1" w:uiPriority="37" w:unhideWhenUsed="1"/>
    <w:lsdException w:name="Grid Table 3"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078D0"/>
    <w:rPr>
      <w:rFonts w:eastAsia="Times New Roman"/>
      <w:sz w:val="24"/>
      <w:szCs w:val="24"/>
    </w:rPr>
  </w:style>
  <w:style w:type="paragraph" w:styleId="Heading1">
    <w:name w:val="heading 1"/>
    <w:aliases w:val="H1-Sec.Head"/>
    <w:basedOn w:val="Normal"/>
    <w:next w:val="Normal"/>
    <w:link w:val="Heading1Char"/>
    <w:uiPriority w:val="99"/>
    <w:qFormat/>
    <w:rsid w:val="00A67DE5"/>
    <w:pPr>
      <w:keepNext/>
      <w:outlineLvl w:val="0"/>
    </w:pPr>
    <w:rPr>
      <w:b/>
      <w:bCs/>
    </w:rPr>
  </w:style>
  <w:style w:type="paragraph" w:styleId="Heading2">
    <w:name w:val="heading 2"/>
    <w:aliases w:val="H2-Sec. Head"/>
    <w:basedOn w:val="Normal"/>
    <w:next w:val="Normal"/>
    <w:link w:val="Heading2Char"/>
    <w:uiPriority w:val="99"/>
    <w:qFormat/>
    <w:rsid w:val="00A67DE5"/>
    <w:pPr>
      <w:keepNext/>
      <w:tabs>
        <w:tab w:val="left" w:pos="1195"/>
      </w:tabs>
      <w:ind w:left="1195" w:hanging="1195"/>
      <w:outlineLvl w:val="1"/>
    </w:pPr>
    <w:rPr>
      <w:rFonts w:ascii="Arial" w:hAnsi="Arial"/>
      <w:b/>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roposalPara">
    <w:name w:val="Proposal Para"/>
    <w:basedOn w:val="Normal"/>
    <w:qFormat/>
    <w:rsid w:val="00E932AB"/>
    <w:pPr>
      <w:ind w:firstLine="360"/>
      <w:outlineLvl w:val="0"/>
    </w:pPr>
    <w:rPr>
      <w:rFonts w:ascii="Arial" w:hAnsi="Arial" w:cs="Arial"/>
      <w:b/>
      <w:sz w:val="22"/>
      <w:szCs w:val="22"/>
    </w:rPr>
  </w:style>
  <w:style w:type="paragraph" w:customStyle="1" w:styleId="Proposalpara0">
    <w:name w:val="Proposal para"/>
    <w:basedOn w:val="Normal"/>
    <w:qFormat/>
    <w:rsid w:val="00E932AB"/>
    <w:pPr>
      <w:ind w:firstLine="360"/>
      <w:outlineLvl w:val="0"/>
    </w:pPr>
    <w:rPr>
      <w:rFonts w:ascii="Arial" w:hAnsi="Arial" w:cs="Arial"/>
      <w:sz w:val="22"/>
      <w:szCs w:val="22"/>
    </w:rPr>
  </w:style>
  <w:style w:type="character" w:customStyle="1" w:styleId="Heading1Char">
    <w:name w:val="Heading 1 Char"/>
    <w:aliases w:val="H1-Sec.Head Char"/>
    <w:link w:val="Heading1"/>
    <w:uiPriority w:val="99"/>
    <w:rsid w:val="00A67DE5"/>
    <w:rPr>
      <w:rFonts w:eastAsia="Times New Roman" w:cs="Times New Roman"/>
      <w:b/>
      <w:bCs/>
    </w:rPr>
  </w:style>
  <w:style w:type="character" w:customStyle="1" w:styleId="Heading2Char">
    <w:name w:val="Heading 2 Char"/>
    <w:aliases w:val="H2-Sec. Head Char"/>
    <w:link w:val="Heading2"/>
    <w:uiPriority w:val="9"/>
    <w:rsid w:val="00A67DE5"/>
    <w:rPr>
      <w:rFonts w:ascii="Arial" w:eastAsia="Times New Roman" w:hAnsi="Arial" w:cs="Times New Roman"/>
      <w:b/>
      <w:szCs w:val="20"/>
    </w:rPr>
  </w:style>
  <w:style w:type="paragraph" w:styleId="Footer">
    <w:name w:val="footer"/>
    <w:basedOn w:val="Normal"/>
    <w:link w:val="FooterChar"/>
    <w:uiPriority w:val="99"/>
    <w:rsid w:val="00A67DE5"/>
    <w:pPr>
      <w:tabs>
        <w:tab w:val="center" w:pos="4320"/>
        <w:tab w:val="right" w:pos="8640"/>
      </w:tabs>
    </w:pPr>
  </w:style>
  <w:style w:type="character" w:customStyle="1" w:styleId="FooterChar">
    <w:name w:val="Footer Char"/>
    <w:link w:val="Footer"/>
    <w:uiPriority w:val="99"/>
    <w:rsid w:val="00A67DE5"/>
    <w:rPr>
      <w:rFonts w:eastAsia="Times New Roman" w:cs="Times New Roman"/>
    </w:rPr>
  </w:style>
  <w:style w:type="character" w:styleId="PageNumber">
    <w:name w:val="page number"/>
    <w:basedOn w:val="DefaultParagraphFont"/>
    <w:uiPriority w:val="99"/>
    <w:rsid w:val="00A67DE5"/>
  </w:style>
  <w:style w:type="paragraph" w:styleId="Header">
    <w:name w:val="header"/>
    <w:basedOn w:val="Normal"/>
    <w:link w:val="HeaderChar"/>
    <w:uiPriority w:val="99"/>
    <w:rsid w:val="00A67DE5"/>
    <w:pPr>
      <w:tabs>
        <w:tab w:val="center" w:pos="4320"/>
        <w:tab w:val="right" w:pos="8640"/>
      </w:tabs>
    </w:pPr>
  </w:style>
  <w:style w:type="character" w:customStyle="1" w:styleId="HeaderChar">
    <w:name w:val="Header Char"/>
    <w:link w:val="Header"/>
    <w:uiPriority w:val="99"/>
    <w:rsid w:val="00A67DE5"/>
    <w:rPr>
      <w:rFonts w:eastAsia="Times New Roman" w:cs="Times New Roman"/>
    </w:rPr>
  </w:style>
  <w:style w:type="paragraph" w:customStyle="1" w:styleId="Title1">
    <w:name w:val="Title1"/>
    <w:basedOn w:val="Normal"/>
    <w:rsid w:val="00A67DE5"/>
    <w:pPr>
      <w:spacing w:line="600" w:lineRule="exact"/>
    </w:pPr>
    <w:rPr>
      <w:color w:val="000000"/>
      <w:sz w:val="48"/>
      <w:szCs w:val="20"/>
    </w:rPr>
  </w:style>
  <w:style w:type="paragraph" w:customStyle="1" w:styleId="INFO">
    <w:name w:val="INFO"/>
    <w:basedOn w:val="Title1"/>
    <w:rsid w:val="00A67DE5"/>
    <w:pPr>
      <w:spacing w:after="120" w:line="240" w:lineRule="exact"/>
    </w:pPr>
    <w:rPr>
      <w:rFonts w:ascii="Futura Std Book" w:hAnsi="Futura Std Book"/>
      <w:sz w:val="16"/>
    </w:rPr>
  </w:style>
  <w:style w:type="paragraph" w:customStyle="1" w:styleId="SUB-TITLE">
    <w:name w:val="SUB-TITLE"/>
    <w:basedOn w:val="Title1"/>
    <w:next w:val="Normal"/>
    <w:rsid w:val="00A67DE5"/>
    <w:pPr>
      <w:spacing w:before="360" w:line="480" w:lineRule="exact"/>
    </w:pPr>
    <w:rPr>
      <w:sz w:val="36"/>
    </w:rPr>
  </w:style>
  <w:style w:type="character" w:styleId="CommentReference">
    <w:name w:val="annotation reference"/>
    <w:uiPriority w:val="99"/>
    <w:rsid w:val="00A67DE5"/>
    <w:rPr>
      <w:sz w:val="16"/>
      <w:szCs w:val="16"/>
    </w:rPr>
  </w:style>
  <w:style w:type="paragraph" w:styleId="CommentText">
    <w:name w:val="annotation text"/>
    <w:basedOn w:val="Normal"/>
    <w:link w:val="CommentTextChar"/>
    <w:uiPriority w:val="99"/>
    <w:semiHidden/>
    <w:rsid w:val="00A67DE5"/>
    <w:rPr>
      <w:sz w:val="20"/>
      <w:szCs w:val="20"/>
    </w:rPr>
  </w:style>
  <w:style w:type="character" w:customStyle="1" w:styleId="CommentTextChar">
    <w:name w:val="Comment Text Char"/>
    <w:link w:val="CommentText"/>
    <w:uiPriority w:val="99"/>
    <w:semiHidden/>
    <w:rsid w:val="00A67DE5"/>
    <w:rPr>
      <w:rFonts w:eastAsia="Times New Roman" w:cs="Times New Roman"/>
      <w:sz w:val="20"/>
      <w:szCs w:val="20"/>
    </w:rPr>
  </w:style>
  <w:style w:type="character" w:styleId="Hyperlink">
    <w:name w:val="Hyperlink"/>
    <w:uiPriority w:val="99"/>
    <w:rsid w:val="00A67DE5"/>
    <w:rPr>
      <w:rFonts w:cs="Times New Roman"/>
      <w:color w:val="0000FF"/>
      <w:u w:val="single"/>
    </w:rPr>
  </w:style>
  <w:style w:type="paragraph" w:styleId="TOC1">
    <w:name w:val="toc 1"/>
    <w:basedOn w:val="Normal"/>
    <w:uiPriority w:val="39"/>
    <w:rsid w:val="00A67DE5"/>
    <w:pPr>
      <w:tabs>
        <w:tab w:val="right" w:leader="dot" w:pos="10080"/>
      </w:tabs>
      <w:spacing w:after="120"/>
    </w:pPr>
    <w:rPr>
      <w:rFonts w:ascii="Arial" w:hAnsi="Arial"/>
    </w:rPr>
  </w:style>
  <w:style w:type="paragraph" w:styleId="TOC2">
    <w:name w:val="toc 2"/>
    <w:basedOn w:val="TOC1"/>
    <w:uiPriority w:val="39"/>
    <w:rsid w:val="00A67DE5"/>
    <w:pPr>
      <w:ind w:left="720"/>
    </w:pPr>
  </w:style>
  <w:style w:type="paragraph" w:styleId="BalloonText">
    <w:name w:val="Balloon Text"/>
    <w:basedOn w:val="Normal"/>
    <w:link w:val="BalloonTextChar"/>
    <w:uiPriority w:val="99"/>
    <w:semiHidden/>
    <w:unhideWhenUsed/>
    <w:rsid w:val="00A67DE5"/>
    <w:rPr>
      <w:rFonts w:ascii="Lucida Grande" w:hAnsi="Lucida Grande" w:cs="Lucida Grande"/>
      <w:sz w:val="18"/>
      <w:szCs w:val="18"/>
    </w:rPr>
  </w:style>
  <w:style w:type="character" w:customStyle="1" w:styleId="BalloonTextChar">
    <w:name w:val="Balloon Text Char"/>
    <w:link w:val="BalloonText"/>
    <w:uiPriority w:val="99"/>
    <w:semiHidden/>
    <w:rsid w:val="00A67DE5"/>
    <w:rPr>
      <w:rFonts w:ascii="Lucida Grande" w:eastAsia="Times New Roman" w:hAnsi="Lucida Grande" w:cs="Lucida Grande"/>
      <w:sz w:val="18"/>
      <w:szCs w:val="18"/>
    </w:rPr>
  </w:style>
  <w:style w:type="paragraph" w:styleId="CommentSubject">
    <w:name w:val="annotation subject"/>
    <w:basedOn w:val="CommentText"/>
    <w:next w:val="CommentText"/>
    <w:link w:val="CommentSubjectChar"/>
    <w:uiPriority w:val="99"/>
    <w:semiHidden/>
    <w:unhideWhenUsed/>
    <w:rsid w:val="005062E5"/>
    <w:rPr>
      <w:b/>
      <w:bCs/>
    </w:rPr>
  </w:style>
  <w:style w:type="character" w:customStyle="1" w:styleId="CommentSubjectChar">
    <w:name w:val="Comment Subject Char"/>
    <w:link w:val="CommentSubject"/>
    <w:uiPriority w:val="99"/>
    <w:semiHidden/>
    <w:rsid w:val="005062E5"/>
    <w:rPr>
      <w:rFonts w:eastAsia="Times New Roman" w:cs="Times New Roman"/>
      <w:b/>
      <w:bCs/>
      <w:sz w:val="20"/>
      <w:szCs w:val="20"/>
    </w:rPr>
  </w:style>
  <w:style w:type="paragraph" w:styleId="HTMLPreformatted">
    <w:name w:val="HTML Preformatted"/>
    <w:basedOn w:val="Normal"/>
    <w:link w:val="HTMLPreformattedChar"/>
    <w:rsid w:val="00CA53C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link w:val="HTMLPreformatted"/>
    <w:rsid w:val="00CA53C6"/>
    <w:rPr>
      <w:rFonts w:ascii="Courier New" w:eastAsia="Times New Roman" w:hAnsi="Courier New" w:cs="Courier New"/>
      <w:sz w:val="20"/>
      <w:szCs w:val="20"/>
    </w:rPr>
  </w:style>
  <w:style w:type="table" w:styleId="TableGrid">
    <w:name w:val="Table Grid"/>
    <w:basedOn w:val="TableNormal"/>
    <w:rsid w:val="00F90D2F"/>
    <w:rPr>
      <w:rFonts w:ascii="Futura Condensed" w:eastAsia="Times New Roman" w:hAnsi="Futura Condensed"/>
    </w:rPr>
    <w:tblPr/>
    <w:tblStylePr w:type="firstRow">
      <w:rPr>
        <w:rFonts w:ascii="Times New Roman" w:hAnsi="Times New Roman" w:cs="Times New Roman" w:hint="default"/>
        <w:sz w:val="24"/>
        <w:szCs w:val="24"/>
      </w:rPr>
      <w:tblPr/>
      <w:tcPr>
        <w:tcBorders>
          <w:top w:val="nil"/>
          <w:bottom w:val="nil"/>
        </w:tcBorders>
      </w:tcPr>
    </w:tblStylePr>
    <w:tblStylePr w:type="lastRow">
      <w:rPr>
        <w:rFonts w:ascii="Times New Roman" w:hAnsi="Times New Roman" w:cs="Times New Roman" w:hint="default"/>
        <w:sz w:val="22"/>
        <w:szCs w:val="22"/>
      </w:rPr>
      <w:tblPr/>
      <w:tcPr>
        <w:tcBorders>
          <w:top w:val="nil"/>
          <w:left w:val="nil"/>
          <w:bottom w:val="single" w:sz="8" w:space="0" w:color="auto"/>
          <w:right w:val="nil"/>
          <w:insideH w:val="nil"/>
          <w:insideV w:val="nil"/>
          <w:tl2br w:val="nil"/>
          <w:tr2bl w:val="nil"/>
        </w:tcBorders>
      </w:tcPr>
    </w:tblStylePr>
  </w:style>
  <w:style w:type="paragraph" w:styleId="BodyText3">
    <w:name w:val="Body Text 3"/>
    <w:basedOn w:val="Normal"/>
    <w:link w:val="BodyText3Char"/>
    <w:rsid w:val="00FF2534"/>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pPr>
    <w:rPr>
      <w:b/>
      <w:sz w:val="20"/>
      <w:szCs w:val="20"/>
    </w:rPr>
  </w:style>
  <w:style w:type="character" w:customStyle="1" w:styleId="BodyText3Char">
    <w:name w:val="Body Text 3 Char"/>
    <w:link w:val="BodyText3"/>
    <w:rsid w:val="00FF2534"/>
    <w:rPr>
      <w:rFonts w:eastAsia="Times New Roman" w:cs="Times New Roman"/>
      <w:b/>
      <w:sz w:val="20"/>
      <w:szCs w:val="20"/>
    </w:rPr>
  </w:style>
  <w:style w:type="paragraph" w:styleId="LightGrid-Accent3">
    <w:name w:val="Light Grid Accent 3"/>
    <w:basedOn w:val="Normal"/>
    <w:uiPriority w:val="34"/>
    <w:qFormat/>
    <w:rsid w:val="00C76835"/>
    <w:pPr>
      <w:ind w:left="720"/>
      <w:contextualSpacing/>
    </w:pPr>
  </w:style>
  <w:style w:type="paragraph" w:customStyle="1" w:styleId="AUTHOR">
    <w:name w:val="AUTHOR"/>
    <w:basedOn w:val="Title1"/>
    <w:next w:val="INFO"/>
    <w:rsid w:val="00A42F4D"/>
    <w:pPr>
      <w:spacing w:line="300" w:lineRule="exact"/>
    </w:pPr>
    <w:rPr>
      <w:caps/>
      <w:sz w:val="24"/>
    </w:rPr>
  </w:style>
  <w:style w:type="paragraph" w:styleId="BodyTextIndent">
    <w:name w:val="Body Text Indent"/>
    <w:basedOn w:val="Normal"/>
    <w:link w:val="BodyTextIndentChar"/>
    <w:uiPriority w:val="99"/>
    <w:semiHidden/>
    <w:unhideWhenUsed/>
    <w:rsid w:val="00597864"/>
    <w:pPr>
      <w:spacing w:after="120"/>
      <w:ind w:left="360"/>
    </w:pPr>
  </w:style>
  <w:style w:type="character" w:customStyle="1" w:styleId="BodyTextIndentChar">
    <w:name w:val="Body Text Indent Char"/>
    <w:link w:val="BodyTextIndent"/>
    <w:uiPriority w:val="99"/>
    <w:semiHidden/>
    <w:rsid w:val="00597864"/>
    <w:rPr>
      <w:rFonts w:eastAsia="Times New Roman" w:cs="Times New Roman"/>
    </w:rPr>
  </w:style>
  <w:style w:type="paragraph" w:customStyle="1" w:styleId="BibEntry">
    <w:name w:val="Bib Entry"/>
    <w:basedOn w:val="Normal"/>
    <w:qFormat/>
    <w:rsid w:val="00815356"/>
    <w:pPr>
      <w:spacing w:after="120" w:line="288" w:lineRule="auto"/>
      <w:ind w:left="360" w:hanging="360"/>
    </w:pPr>
    <w:rPr>
      <w:szCs w:val="20"/>
    </w:rPr>
  </w:style>
  <w:style w:type="paragraph" w:customStyle="1" w:styleId="Cover-DocumentType">
    <w:name w:val="Cover - Document Type"/>
    <w:basedOn w:val="Cover-Title"/>
    <w:next w:val="Cover-Title"/>
    <w:rsid w:val="00815356"/>
    <w:pPr>
      <w:pBdr>
        <w:bottom w:val="single" w:sz="4" w:space="1" w:color="auto"/>
      </w:pBdr>
      <w:spacing w:before="0" w:after="1680"/>
      <w:ind w:left="0" w:firstLine="0"/>
      <w:jc w:val="right"/>
    </w:pPr>
    <w:rPr>
      <w:rFonts w:cs="Arial"/>
      <w:sz w:val="28"/>
      <w:szCs w:val="28"/>
    </w:rPr>
  </w:style>
  <w:style w:type="paragraph" w:customStyle="1" w:styleId="Cover-AuthorList">
    <w:name w:val="Cover - Author List"/>
    <w:basedOn w:val="Cover-Title"/>
    <w:next w:val="Normal"/>
    <w:rsid w:val="00815356"/>
    <w:pPr>
      <w:spacing w:before="960" w:after="2040"/>
      <w:ind w:left="0" w:firstLine="0"/>
    </w:pPr>
    <w:rPr>
      <w:rFonts w:cs="Arial"/>
      <w:sz w:val="24"/>
    </w:rPr>
  </w:style>
  <w:style w:type="paragraph" w:customStyle="1" w:styleId="Cover-Title">
    <w:name w:val="Cover - Title"/>
    <w:basedOn w:val="Normal"/>
    <w:next w:val="Cover-Subtitle"/>
    <w:rsid w:val="00815356"/>
    <w:pPr>
      <w:spacing w:before="1680" w:after="360"/>
      <w:ind w:left="360" w:hanging="360"/>
    </w:pPr>
    <w:rPr>
      <w:rFonts w:ascii="Arial" w:hAnsi="Arial"/>
      <w:sz w:val="48"/>
    </w:rPr>
  </w:style>
  <w:style w:type="paragraph" w:customStyle="1" w:styleId="Cover-Subtitle">
    <w:name w:val="Cover - Subtitle"/>
    <w:basedOn w:val="Cover-Title"/>
    <w:next w:val="Cover-AuthorList"/>
    <w:rsid w:val="00815356"/>
    <w:pPr>
      <w:spacing w:before="360" w:after="960"/>
    </w:pPr>
    <w:rPr>
      <w:sz w:val="36"/>
    </w:rPr>
  </w:style>
  <w:style w:type="paragraph" w:customStyle="1" w:styleId="Default">
    <w:name w:val="Default"/>
    <w:rsid w:val="00966D65"/>
    <w:pPr>
      <w:autoSpaceDE w:val="0"/>
      <w:autoSpaceDN w:val="0"/>
      <w:adjustRightInd w:val="0"/>
    </w:pPr>
    <w:rPr>
      <w:color w:val="000000"/>
      <w:sz w:val="24"/>
      <w:szCs w:val="24"/>
    </w:rPr>
  </w:style>
  <w:style w:type="character" w:customStyle="1" w:styleId="UnresolvedMention">
    <w:name w:val="Unresolved Mention"/>
    <w:uiPriority w:val="99"/>
    <w:semiHidden/>
    <w:unhideWhenUsed/>
    <w:rsid w:val="00F42096"/>
    <w:rPr>
      <w:color w:val="808080"/>
      <w:shd w:val="clear" w:color="auto" w:fill="E6E6E6"/>
    </w:rPr>
  </w:style>
  <w:style w:type="character" w:customStyle="1" w:styleId="apple-converted-space">
    <w:name w:val="apple-converted-space"/>
    <w:rsid w:val="005078D0"/>
  </w:style>
  <w:style w:type="character" w:styleId="FootnoteReference">
    <w:name w:val="footnote reference"/>
    <w:rsid w:val="00F84B00"/>
    <w:rPr>
      <w:rFonts w:ascii="Times New Roman" w:hAnsi="Times New Roman"/>
      <w:bCs/>
      <w:iCs/>
      <w:dstrike w:val="0"/>
      <w:sz w:val="24"/>
      <w:szCs w:val="20"/>
      <w:vertAlign w:val="superscript"/>
    </w:rPr>
  </w:style>
  <w:style w:type="paragraph" w:styleId="ListParagraph">
    <w:name w:val="List Paragraph"/>
    <w:basedOn w:val="Normal"/>
    <w:uiPriority w:val="34"/>
    <w:qFormat/>
    <w:rsid w:val="007A7D1E"/>
    <w:pPr>
      <w:spacing w:line="288" w:lineRule="auto"/>
      <w:ind w:left="720" w:firstLine="360"/>
      <w:contextualSpacing/>
    </w:pPr>
  </w:style>
  <w:style w:type="paragraph" w:styleId="Revision">
    <w:name w:val="Revision"/>
    <w:hidden/>
    <w:uiPriority w:val="71"/>
    <w:rsid w:val="001C2D34"/>
    <w:rPr>
      <w:rFonts w:eastAsia="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5522923">
      <w:bodyDiv w:val="1"/>
      <w:marLeft w:val="0"/>
      <w:marRight w:val="0"/>
      <w:marTop w:val="0"/>
      <w:marBottom w:val="0"/>
      <w:divBdr>
        <w:top w:val="none" w:sz="0" w:space="0" w:color="auto"/>
        <w:left w:val="none" w:sz="0" w:space="0" w:color="auto"/>
        <w:bottom w:val="none" w:sz="0" w:space="0" w:color="auto"/>
        <w:right w:val="none" w:sz="0" w:space="0" w:color="auto"/>
      </w:divBdr>
    </w:div>
    <w:div w:id="483742779">
      <w:bodyDiv w:val="1"/>
      <w:marLeft w:val="0"/>
      <w:marRight w:val="0"/>
      <w:marTop w:val="0"/>
      <w:marBottom w:val="0"/>
      <w:divBdr>
        <w:top w:val="none" w:sz="0" w:space="0" w:color="auto"/>
        <w:left w:val="none" w:sz="0" w:space="0" w:color="auto"/>
        <w:bottom w:val="none" w:sz="0" w:space="0" w:color="auto"/>
        <w:right w:val="none" w:sz="0" w:space="0" w:color="auto"/>
      </w:divBdr>
    </w:div>
    <w:div w:id="760181306">
      <w:bodyDiv w:val="1"/>
      <w:marLeft w:val="0"/>
      <w:marRight w:val="0"/>
      <w:marTop w:val="0"/>
      <w:marBottom w:val="0"/>
      <w:divBdr>
        <w:top w:val="none" w:sz="0" w:space="0" w:color="auto"/>
        <w:left w:val="none" w:sz="0" w:space="0" w:color="auto"/>
        <w:bottom w:val="none" w:sz="0" w:space="0" w:color="auto"/>
        <w:right w:val="none" w:sz="0" w:space="0" w:color="auto"/>
      </w:divBdr>
    </w:div>
    <w:div w:id="1082339281">
      <w:bodyDiv w:val="1"/>
      <w:marLeft w:val="0"/>
      <w:marRight w:val="0"/>
      <w:marTop w:val="0"/>
      <w:marBottom w:val="0"/>
      <w:divBdr>
        <w:top w:val="none" w:sz="0" w:space="0" w:color="auto"/>
        <w:left w:val="none" w:sz="0" w:space="0" w:color="auto"/>
        <w:bottom w:val="none" w:sz="0" w:space="0" w:color="auto"/>
        <w:right w:val="none" w:sz="0" w:space="0" w:color="auto"/>
      </w:divBdr>
    </w:div>
    <w:div w:id="2084834300">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allowPNG/>
  <w:pixelsPerInch w:val="72"/>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17226/24802" TargetMode="External"/><Relationship Id="rId5" Type="http://schemas.openxmlformats.org/officeDocument/2006/relationships/footnotes" Target="footnotes.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10</Pages>
  <Words>2240</Words>
  <Characters>12769</Characters>
  <Application>Microsoft Office Word</Application>
  <DocSecurity>0</DocSecurity>
  <Lines>106</Lines>
  <Paragraphs>29</Paragraphs>
  <ScaleCrop>false</ScaleCrop>
  <HeadingPairs>
    <vt:vector size="2" baseType="variant">
      <vt:variant>
        <vt:lpstr>Title</vt:lpstr>
      </vt:variant>
      <vt:variant>
        <vt:i4>1</vt:i4>
      </vt:variant>
    </vt:vector>
  </HeadingPairs>
  <TitlesOfParts>
    <vt:vector size="1" baseType="lpstr">
      <vt:lpstr>DRAFT Supporting Statement A for Survey of Hospital Quality Leaders</vt:lpstr>
    </vt:vector>
  </TitlesOfParts>
  <Company>The RAND Corporation</Company>
  <LinksUpToDate>false</LinksUpToDate>
  <CharactersWithSpaces>14980</CharactersWithSpaces>
  <SharedDoc>false</SharedDoc>
  <HyperlinkBase/>
  <HLinks>
    <vt:vector size="138" baseType="variant">
      <vt:variant>
        <vt:i4>3145844</vt:i4>
      </vt:variant>
      <vt:variant>
        <vt:i4>135</vt:i4>
      </vt:variant>
      <vt:variant>
        <vt:i4>0</vt:i4>
      </vt:variant>
      <vt:variant>
        <vt:i4>5</vt:i4>
      </vt:variant>
      <vt:variant>
        <vt:lpwstr>https://doi.org/10.17226/24802</vt:lpwstr>
      </vt:variant>
      <vt:variant>
        <vt:lpwstr/>
      </vt:variant>
      <vt:variant>
        <vt:i4>1179711</vt:i4>
      </vt:variant>
      <vt:variant>
        <vt:i4>128</vt:i4>
      </vt:variant>
      <vt:variant>
        <vt:i4>0</vt:i4>
      </vt:variant>
      <vt:variant>
        <vt:i4>5</vt:i4>
      </vt:variant>
      <vt:variant>
        <vt:lpwstr/>
      </vt:variant>
      <vt:variant>
        <vt:lpwstr>_Toc82160160</vt:lpwstr>
      </vt:variant>
      <vt:variant>
        <vt:i4>1769532</vt:i4>
      </vt:variant>
      <vt:variant>
        <vt:i4>122</vt:i4>
      </vt:variant>
      <vt:variant>
        <vt:i4>0</vt:i4>
      </vt:variant>
      <vt:variant>
        <vt:i4>5</vt:i4>
      </vt:variant>
      <vt:variant>
        <vt:lpwstr/>
      </vt:variant>
      <vt:variant>
        <vt:lpwstr>_Toc82160159</vt:lpwstr>
      </vt:variant>
      <vt:variant>
        <vt:i4>1703996</vt:i4>
      </vt:variant>
      <vt:variant>
        <vt:i4>116</vt:i4>
      </vt:variant>
      <vt:variant>
        <vt:i4>0</vt:i4>
      </vt:variant>
      <vt:variant>
        <vt:i4>5</vt:i4>
      </vt:variant>
      <vt:variant>
        <vt:lpwstr/>
      </vt:variant>
      <vt:variant>
        <vt:lpwstr>_Toc82160158</vt:lpwstr>
      </vt:variant>
      <vt:variant>
        <vt:i4>1376316</vt:i4>
      </vt:variant>
      <vt:variant>
        <vt:i4>110</vt:i4>
      </vt:variant>
      <vt:variant>
        <vt:i4>0</vt:i4>
      </vt:variant>
      <vt:variant>
        <vt:i4>5</vt:i4>
      </vt:variant>
      <vt:variant>
        <vt:lpwstr/>
      </vt:variant>
      <vt:variant>
        <vt:lpwstr>_Toc82160157</vt:lpwstr>
      </vt:variant>
      <vt:variant>
        <vt:i4>1310780</vt:i4>
      </vt:variant>
      <vt:variant>
        <vt:i4>104</vt:i4>
      </vt:variant>
      <vt:variant>
        <vt:i4>0</vt:i4>
      </vt:variant>
      <vt:variant>
        <vt:i4>5</vt:i4>
      </vt:variant>
      <vt:variant>
        <vt:lpwstr/>
      </vt:variant>
      <vt:variant>
        <vt:lpwstr>_Toc82160156</vt:lpwstr>
      </vt:variant>
      <vt:variant>
        <vt:i4>1507388</vt:i4>
      </vt:variant>
      <vt:variant>
        <vt:i4>98</vt:i4>
      </vt:variant>
      <vt:variant>
        <vt:i4>0</vt:i4>
      </vt:variant>
      <vt:variant>
        <vt:i4>5</vt:i4>
      </vt:variant>
      <vt:variant>
        <vt:lpwstr/>
      </vt:variant>
      <vt:variant>
        <vt:lpwstr>_Toc82160155</vt:lpwstr>
      </vt:variant>
      <vt:variant>
        <vt:i4>1441852</vt:i4>
      </vt:variant>
      <vt:variant>
        <vt:i4>92</vt:i4>
      </vt:variant>
      <vt:variant>
        <vt:i4>0</vt:i4>
      </vt:variant>
      <vt:variant>
        <vt:i4>5</vt:i4>
      </vt:variant>
      <vt:variant>
        <vt:lpwstr/>
      </vt:variant>
      <vt:variant>
        <vt:lpwstr>_Toc82160154</vt:lpwstr>
      </vt:variant>
      <vt:variant>
        <vt:i4>1114172</vt:i4>
      </vt:variant>
      <vt:variant>
        <vt:i4>86</vt:i4>
      </vt:variant>
      <vt:variant>
        <vt:i4>0</vt:i4>
      </vt:variant>
      <vt:variant>
        <vt:i4>5</vt:i4>
      </vt:variant>
      <vt:variant>
        <vt:lpwstr/>
      </vt:variant>
      <vt:variant>
        <vt:lpwstr>_Toc82160153</vt:lpwstr>
      </vt:variant>
      <vt:variant>
        <vt:i4>1048636</vt:i4>
      </vt:variant>
      <vt:variant>
        <vt:i4>80</vt:i4>
      </vt:variant>
      <vt:variant>
        <vt:i4>0</vt:i4>
      </vt:variant>
      <vt:variant>
        <vt:i4>5</vt:i4>
      </vt:variant>
      <vt:variant>
        <vt:lpwstr/>
      </vt:variant>
      <vt:variant>
        <vt:lpwstr>_Toc82160152</vt:lpwstr>
      </vt:variant>
      <vt:variant>
        <vt:i4>1245244</vt:i4>
      </vt:variant>
      <vt:variant>
        <vt:i4>74</vt:i4>
      </vt:variant>
      <vt:variant>
        <vt:i4>0</vt:i4>
      </vt:variant>
      <vt:variant>
        <vt:i4>5</vt:i4>
      </vt:variant>
      <vt:variant>
        <vt:lpwstr/>
      </vt:variant>
      <vt:variant>
        <vt:lpwstr>_Toc82160151</vt:lpwstr>
      </vt:variant>
      <vt:variant>
        <vt:i4>1179708</vt:i4>
      </vt:variant>
      <vt:variant>
        <vt:i4>68</vt:i4>
      </vt:variant>
      <vt:variant>
        <vt:i4>0</vt:i4>
      </vt:variant>
      <vt:variant>
        <vt:i4>5</vt:i4>
      </vt:variant>
      <vt:variant>
        <vt:lpwstr/>
      </vt:variant>
      <vt:variant>
        <vt:lpwstr>_Toc82160150</vt:lpwstr>
      </vt:variant>
      <vt:variant>
        <vt:i4>1769533</vt:i4>
      </vt:variant>
      <vt:variant>
        <vt:i4>62</vt:i4>
      </vt:variant>
      <vt:variant>
        <vt:i4>0</vt:i4>
      </vt:variant>
      <vt:variant>
        <vt:i4>5</vt:i4>
      </vt:variant>
      <vt:variant>
        <vt:lpwstr/>
      </vt:variant>
      <vt:variant>
        <vt:lpwstr>_Toc82160149</vt:lpwstr>
      </vt:variant>
      <vt:variant>
        <vt:i4>1703997</vt:i4>
      </vt:variant>
      <vt:variant>
        <vt:i4>56</vt:i4>
      </vt:variant>
      <vt:variant>
        <vt:i4>0</vt:i4>
      </vt:variant>
      <vt:variant>
        <vt:i4>5</vt:i4>
      </vt:variant>
      <vt:variant>
        <vt:lpwstr/>
      </vt:variant>
      <vt:variant>
        <vt:lpwstr>_Toc82160148</vt:lpwstr>
      </vt:variant>
      <vt:variant>
        <vt:i4>1376317</vt:i4>
      </vt:variant>
      <vt:variant>
        <vt:i4>50</vt:i4>
      </vt:variant>
      <vt:variant>
        <vt:i4>0</vt:i4>
      </vt:variant>
      <vt:variant>
        <vt:i4>5</vt:i4>
      </vt:variant>
      <vt:variant>
        <vt:lpwstr/>
      </vt:variant>
      <vt:variant>
        <vt:lpwstr>_Toc82160147</vt:lpwstr>
      </vt:variant>
      <vt:variant>
        <vt:i4>1310781</vt:i4>
      </vt:variant>
      <vt:variant>
        <vt:i4>44</vt:i4>
      </vt:variant>
      <vt:variant>
        <vt:i4>0</vt:i4>
      </vt:variant>
      <vt:variant>
        <vt:i4>5</vt:i4>
      </vt:variant>
      <vt:variant>
        <vt:lpwstr/>
      </vt:variant>
      <vt:variant>
        <vt:lpwstr>_Toc82160146</vt:lpwstr>
      </vt:variant>
      <vt:variant>
        <vt:i4>1507389</vt:i4>
      </vt:variant>
      <vt:variant>
        <vt:i4>38</vt:i4>
      </vt:variant>
      <vt:variant>
        <vt:i4>0</vt:i4>
      </vt:variant>
      <vt:variant>
        <vt:i4>5</vt:i4>
      </vt:variant>
      <vt:variant>
        <vt:lpwstr/>
      </vt:variant>
      <vt:variant>
        <vt:lpwstr>_Toc82160145</vt:lpwstr>
      </vt:variant>
      <vt:variant>
        <vt:i4>1441853</vt:i4>
      </vt:variant>
      <vt:variant>
        <vt:i4>32</vt:i4>
      </vt:variant>
      <vt:variant>
        <vt:i4>0</vt:i4>
      </vt:variant>
      <vt:variant>
        <vt:i4>5</vt:i4>
      </vt:variant>
      <vt:variant>
        <vt:lpwstr/>
      </vt:variant>
      <vt:variant>
        <vt:lpwstr>_Toc82160144</vt:lpwstr>
      </vt:variant>
      <vt:variant>
        <vt:i4>1114173</vt:i4>
      </vt:variant>
      <vt:variant>
        <vt:i4>26</vt:i4>
      </vt:variant>
      <vt:variant>
        <vt:i4>0</vt:i4>
      </vt:variant>
      <vt:variant>
        <vt:i4>5</vt:i4>
      </vt:variant>
      <vt:variant>
        <vt:lpwstr/>
      </vt:variant>
      <vt:variant>
        <vt:lpwstr>_Toc82160143</vt:lpwstr>
      </vt:variant>
      <vt:variant>
        <vt:i4>1048637</vt:i4>
      </vt:variant>
      <vt:variant>
        <vt:i4>20</vt:i4>
      </vt:variant>
      <vt:variant>
        <vt:i4>0</vt:i4>
      </vt:variant>
      <vt:variant>
        <vt:i4>5</vt:i4>
      </vt:variant>
      <vt:variant>
        <vt:lpwstr/>
      </vt:variant>
      <vt:variant>
        <vt:lpwstr>_Toc82160142</vt:lpwstr>
      </vt:variant>
      <vt:variant>
        <vt:i4>1245245</vt:i4>
      </vt:variant>
      <vt:variant>
        <vt:i4>14</vt:i4>
      </vt:variant>
      <vt:variant>
        <vt:i4>0</vt:i4>
      </vt:variant>
      <vt:variant>
        <vt:i4>5</vt:i4>
      </vt:variant>
      <vt:variant>
        <vt:lpwstr/>
      </vt:variant>
      <vt:variant>
        <vt:lpwstr>_Toc82160141</vt:lpwstr>
      </vt:variant>
      <vt:variant>
        <vt:i4>1179709</vt:i4>
      </vt:variant>
      <vt:variant>
        <vt:i4>8</vt:i4>
      </vt:variant>
      <vt:variant>
        <vt:i4>0</vt:i4>
      </vt:variant>
      <vt:variant>
        <vt:i4>5</vt:i4>
      </vt:variant>
      <vt:variant>
        <vt:lpwstr/>
      </vt:variant>
      <vt:variant>
        <vt:lpwstr>_Toc82160140</vt:lpwstr>
      </vt:variant>
      <vt:variant>
        <vt:i4>1769530</vt:i4>
      </vt:variant>
      <vt:variant>
        <vt:i4>2</vt:i4>
      </vt:variant>
      <vt:variant>
        <vt:i4>0</vt:i4>
      </vt:variant>
      <vt:variant>
        <vt:i4>5</vt:i4>
      </vt:variant>
      <vt:variant>
        <vt:lpwstr/>
      </vt:variant>
      <vt:variant>
        <vt:lpwstr>_Toc82160139</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DRAFT Supporting Statement A for Survey of Hospital Quality Leaders</dc:title>
  <dc:subject>Supporting Statement A for Hospice Experience of Care Survey</dc:subject>
  <dc:creator>The RAND Corporation</dc:creator>
  <cp:keywords>Survey of Hospital Quality Leaders</cp:keywords>
  <dc:description>Language: English</dc:description>
  <cp:lastModifiedBy>Brown, Erwin (AHRQ/CFACT)</cp:lastModifiedBy>
  <cp:revision>3</cp:revision>
  <cp:lastPrinted>2018-03-28T17:22:00Z</cp:lastPrinted>
  <dcterms:created xsi:type="dcterms:W3CDTF">2021-09-16T19:01:00Z</dcterms:created>
  <dcterms:modified xsi:type="dcterms:W3CDTF">2021-09-16T19:01:00Z</dcterms:modified>
</cp:coreProperties>
</file>