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2DBE" w:rsidRPr="00D20211" w14:paraId="6C7B81E7" w14:textId="67158B80">
      <w:pPr>
        <w:rPr>
          <w:rFonts w:ascii="Arial" w:hAnsi="Arial" w:cs="Arial"/>
        </w:rPr>
      </w:pPr>
      <w:bookmarkStart w:id="0" w:name="_Toc337198071"/>
      <w:bookmarkStart w:id="1" w:name="_Toc423335421"/>
      <w:r>
        <w:rPr>
          <w:rFonts w:ascii="Arial" w:hAnsi="Arial" w:cs="Arial"/>
        </w:rPr>
        <w:tab/>
      </w:r>
    </w:p>
    <w:p w:rsidR="00BA2DBE" w:rsidRPr="00D20211" w14:paraId="59337D84" w14:textId="77777777">
      <w:pPr>
        <w:rPr>
          <w:rFonts w:ascii="Arial" w:hAnsi="Arial" w:cs="Arial"/>
        </w:rPr>
      </w:pPr>
    </w:p>
    <w:p w:rsidR="00BA2DBE" w:rsidRPr="00D20211" w14:paraId="276321DF" w14:textId="77777777">
      <w:pPr>
        <w:rPr>
          <w:rFonts w:ascii="Arial" w:hAnsi="Arial" w:cs="Arial"/>
        </w:rPr>
      </w:pPr>
    </w:p>
    <w:p w:rsidR="00BA2DBE" w:rsidRPr="00D20211" w14:paraId="21173796" w14:textId="77777777">
      <w:pPr>
        <w:rPr>
          <w:rFonts w:ascii="Arial" w:hAnsi="Arial" w:cs="Arial"/>
        </w:rPr>
      </w:pPr>
    </w:p>
    <w:p w:rsidR="00BA2DBE" w:rsidRPr="00D20211" w14:paraId="12BC4B96" w14:textId="77777777">
      <w:pPr>
        <w:rPr>
          <w:rFonts w:ascii="Arial" w:hAnsi="Arial" w:cs="Arial"/>
        </w:rPr>
      </w:pPr>
    </w:p>
    <w:p w:rsidR="00184B65" w:rsidRPr="00184B65" w:rsidP="009A2BD6" w14:paraId="3A6D414B" w14:textId="7ADBBF93">
      <w:pPr>
        <w:pStyle w:val="Subtitle"/>
        <w:spacing w:after="120"/>
        <w:rPr>
          <w:color w:val="auto"/>
          <w:spacing w:val="-7"/>
          <w:sz w:val="48"/>
          <w:szCs w:val="48"/>
        </w:rPr>
      </w:pPr>
      <w:r w:rsidRPr="000607D2">
        <w:rPr>
          <w:color w:val="auto"/>
          <w:spacing w:val="-7"/>
          <w:sz w:val="48"/>
          <w:szCs w:val="48"/>
        </w:rPr>
        <w:t>Distribution of Traceable Opioid Material</w:t>
      </w:r>
      <w:r w:rsidR="00F450FF">
        <w:rPr>
          <w:color w:val="auto"/>
          <w:spacing w:val="-7"/>
          <w:sz w:val="48"/>
          <w:szCs w:val="48"/>
        </w:rPr>
        <w:t>*</w:t>
      </w:r>
      <w:r w:rsidRPr="000607D2">
        <w:rPr>
          <w:color w:val="auto"/>
          <w:spacing w:val="-7"/>
          <w:sz w:val="48"/>
          <w:szCs w:val="48"/>
        </w:rPr>
        <w:t xml:space="preserve"> </w:t>
      </w:r>
      <w:r w:rsidR="00AA5921">
        <w:rPr>
          <w:color w:val="auto"/>
          <w:spacing w:val="-7"/>
          <w:sz w:val="48"/>
          <w:szCs w:val="48"/>
        </w:rPr>
        <w:t xml:space="preserve">Kits </w:t>
      </w:r>
      <w:r>
        <w:rPr>
          <w:color w:val="auto"/>
          <w:spacing w:val="-7"/>
          <w:sz w:val="48"/>
          <w:szCs w:val="48"/>
        </w:rPr>
        <w:t>(TOM Kits</w:t>
      </w:r>
      <w:r w:rsidR="009A2BD6">
        <w:rPr>
          <w:color w:val="auto"/>
          <w:spacing w:val="-7"/>
          <w:sz w:val="48"/>
          <w:szCs w:val="48"/>
        </w:rPr>
        <w:t>*</w:t>
      </w:r>
      <w:r>
        <w:rPr>
          <w:color w:val="auto"/>
          <w:spacing w:val="-7"/>
          <w:sz w:val="48"/>
          <w:szCs w:val="48"/>
        </w:rPr>
        <w:t xml:space="preserve">) </w:t>
      </w:r>
      <w:r w:rsidRPr="000607D2">
        <w:rPr>
          <w:color w:val="auto"/>
          <w:spacing w:val="-7"/>
          <w:sz w:val="48"/>
          <w:szCs w:val="48"/>
        </w:rPr>
        <w:t>across U.S.</w:t>
      </w:r>
      <w:r w:rsidR="001A09D1">
        <w:rPr>
          <w:color w:val="auto"/>
          <w:spacing w:val="-7"/>
          <w:sz w:val="48"/>
          <w:szCs w:val="48"/>
        </w:rPr>
        <w:t xml:space="preserve"> and International</w:t>
      </w:r>
      <w:r w:rsidRPr="000607D2">
        <w:rPr>
          <w:color w:val="auto"/>
          <w:spacing w:val="-7"/>
          <w:sz w:val="48"/>
          <w:szCs w:val="48"/>
        </w:rPr>
        <w:t xml:space="preserve"> Laboratories</w:t>
      </w:r>
    </w:p>
    <w:p w:rsidR="00184B65" w:rsidRPr="00184B65" w:rsidP="00184B65" w14:paraId="0CC62FC4" w14:textId="5441E2BC">
      <w:pPr>
        <w:rPr>
          <w:rFonts w:asciiTheme="majorHAnsi" w:hAnsiTheme="majorHAnsi"/>
          <w:sz w:val="36"/>
          <w:szCs w:val="36"/>
        </w:rPr>
      </w:pPr>
      <w:r w:rsidRPr="00184B65">
        <w:rPr>
          <w:rFonts w:asciiTheme="majorHAnsi" w:hAnsiTheme="majorHAnsi"/>
          <w:sz w:val="36"/>
          <w:szCs w:val="36"/>
        </w:rPr>
        <w:t>(formerly known as "Distribution of Traceable Opioid Material* Kits [TOM Kits*] across U.S. Laboratories”)</w:t>
      </w:r>
    </w:p>
    <w:p w:rsidR="00447EE5" w:rsidP="00F31325" w14:paraId="60AD0941" w14:textId="77777777">
      <w:pPr>
        <w:pStyle w:val="Subtitle"/>
        <w:spacing w:before="120" w:after="0"/>
        <w:rPr>
          <w:color w:val="auto"/>
        </w:rPr>
      </w:pPr>
      <w:r w:rsidRPr="00D20211">
        <w:rPr>
          <w:color w:val="auto"/>
        </w:rPr>
        <w:t xml:space="preserve">OMB Control </w:t>
      </w:r>
      <w:r w:rsidRPr="004D224F">
        <w:rPr>
          <w:color w:val="auto"/>
        </w:rPr>
        <w:t>N</w:t>
      </w:r>
      <w:r w:rsidRPr="004D224F" w:rsidR="00EA55C0">
        <w:rPr>
          <w:color w:val="auto"/>
        </w:rPr>
        <w:t>o</w:t>
      </w:r>
      <w:r w:rsidRPr="004D224F" w:rsidR="000607D2">
        <w:rPr>
          <w:color w:val="auto"/>
        </w:rPr>
        <w:t xml:space="preserve">. </w:t>
      </w:r>
      <w:r w:rsidR="008913CA">
        <w:rPr>
          <w:color w:val="auto"/>
        </w:rPr>
        <w:t>0920</w:t>
      </w:r>
      <w:r w:rsidRPr="004D224F" w:rsidR="00E52761">
        <w:rPr>
          <w:color w:val="auto"/>
        </w:rPr>
        <w:t>-</w:t>
      </w:r>
      <w:r>
        <w:rPr>
          <w:color w:val="auto"/>
        </w:rPr>
        <w:t>1313</w:t>
      </w:r>
    </w:p>
    <w:p w:rsidR="00BA2DBE" w:rsidRPr="00D20211" w:rsidP="001626E8" w14:paraId="61EAE914" w14:textId="1BEA3BB1">
      <w:pPr>
        <w:pStyle w:val="Subtitle"/>
        <w:rPr>
          <w:color w:val="auto"/>
        </w:rPr>
      </w:pPr>
      <w:r>
        <w:rPr>
          <w:color w:val="auto"/>
        </w:rPr>
        <w:t>Expiration Date 12/31/2022</w:t>
      </w:r>
      <w:r w:rsidRPr="00D20211" w:rsidR="00480FC6">
        <w:rPr>
          <w:color w:val="auto"/>
        </w:rPr>
        <w:t xml:space="preserve"> </w:t>
      </w:r>
    </w:p>
    <w:p w:rsidR="001626E8" w:rsidRPr="00D20211" w14:paraId="0BFC8620" w14:textId="0400C04F">
      <w:pPr>
        <w:spacing w:after="200" w:line="276" w:lineRule="auto"/>
        <w:rPr>
          <w:rFonts w:asciiTheme="majorHAnsi" w:hAnsiTheme="majorHAnsi" w:cs="Arial"/>
          <w:sz w:val="36"/>
          <w:szCs w:val="36"/>
        </w:rPr>
      </w:pPr>
      <w:r>
        <w:rPr>
          <w:rFonts w:asciiTheme="majorHAnsi" w:hAnsiTheme="majorHAnsi" w:cs="Arial"/>
          <w:sz w:val="36"/>
          <w:szCs w:val="36"/>
        </w:rPr>
        <w:t>R</w:t>
      </w:r>
      <w:r w:rsidR="00447EE5">
        <w:rPr>
          <w:rFonts w:asciiTheme="majorHAnsi" w:hAnsiTheme="majorHAnsi" w:cs="Arial"/>
          <w:sz w:val="36"/>
          <w:szCs w:val="36"/>
        </w:rPr>
        <w:t>evision</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9A2BD6" w:rsidP="009A2BD6" w14:paraId="1E4E243A" w14:textId="75043DA5">
      <w:pPr>
        <w:pStyle w:val="Subtitle"/>
      </w:pPr>
      <w:r w:rsidRPr="00D20211">
        <w:rPr>
          <w:color w:val="auto"/>
        </w:rPr>
        <w:t>Justification</w:t>
      </w:r>
    </w:p>
    <w:p w:rsidR="00BA2DBE" w:rsidRPr="00D20211" w14:paraId="36D07EFE" w14:textId="77777777">
      <w:pPr>
        <w:spacing w:after="200" w:line="276" w:lineRule="auto"/>
        <w:rPr>
          <w:rFonts w:asciiTheme="majorHAnsi" w:hAnsiTheme="majorHAnsi" w:cs="Arial"/>
          <w:sz w:val="36"/>
          <w:szCs w:val="36"/>
        </w:rPr>
      </w:pPr>
    </w:p>
    <w:p w:rsidR="00BA2DBE" w:rsidRPr="00D20211" w:rsidP="008E47E6" w14:paraId="77A49968" w14:textId="58F00E8B">
      <w:pPr>
        <w:pStyle w:val="Subtitle"/>
        <w:spacing w:after="0"/>
        <w:rPr>
          <w:color w:val="auto"/>
        </w:rPr>
      </w:pPr>
      <w:r>
        <w:rPr>
          <w:color w:val="auto"/>
        </w:rPr>
        <w:t>Project Officer</w:t>
      </w:r>
      <w:r w:rsidRPr="00D20211" w:rsidR="00480FC6">
        <w:rPr>
          <w:color w:val="auto"/>
        </w:rPr>
        <w:t xml:space="preserve">: </w:t>
      </w:r>
      <w:r>
        <w:rPr>
          <w:color w:val="auto"/>
        </w:rPr>
        <w:t>Rebekah Wharton,</w:t>
      </w:r>
      <w:r w:rsidR="00E41F32">
        <w:rPr>
          <w:color w:val="auto"/>
        </w:rPr>
        <w:t xml:space="preserve"> PhD</w:t>
      </w:r>
    </w:p>
    <w:p w:rsidR="00447EE5" w:rsidP="008E47E6" w14:paraId="68F581E2" w14:textId="0A359CB7">
      <w:pPr>
        <w:pStyle w:val="Subtitle"/>
        <w:spacing w:after="0"/>
        <w:rPr>
          <w:color w:val="auto"/>
        </w:rPr>
      </w:pPr>
      <w:r w:rsidRPr="00D20211">
        <w:rPr>
          <w:color w:val="auto"/>
        </w:rPr>
        <w:t>Title:</w:t>
      </w:r>
      <w:r w:rsidR="00835983">
        <w:rPr>
          <w:color w:val="auto"/>
        </w:rPr>
        <w:t xml:space="preserve"> </w:t>
      </w:r>
      <w:r w:rsidR="006D0A91">
        <w:rPr>
          <w:color w:val="auto"/>
        </w:rPr>
        <w:t>Senior Service Fellow</w:t>
      </w:r>
    </w:p>
    <w:p w:rsidR="00BA2DBE" w:rsidRPr="00D20211" w:rsidP="00E801D6" w14:paraId="009E2166" w14:textId="4A5687E7">
      <w:pPr>
        <w:pStyle w:val="Subtitle"/>
        <w:spacing w:after="0"/>
        <w:ind w:firstLine="720"/>
        <w:rPr>
          <w:color w:val="auto"/>
        </w:rPr>
      </w:pPr>
      <w:r>
        <w:rPr>
          <w:color w:val="auto"/>
        </w:rPr>
        <w:t>Division of Laboratory Sciences (DLS), NCEH</w:t>
      </w:r>
    </w:p>
    <w:p w:rsidR="00BA2DBE" w:rsidRPr="00D20211" w:rsidP="008E47E6" w14:paraId="4D73E7D9" w14:textId="6BAFDF96">
      <w:pPr>
        <w:pStyle w:val="Subtitle"/>
        <w:spacing w:after="0"/>
        <w:rPr>
          <w:color w:val="auto"/>
        </w:rPr>
      </w:pPr>
      <w:r w:rsidRPr="00D20211">
        <w:rPr>
          <w:color w:val="auto"/>
        </w:rPr>
        <w:t>Phone</w:t>
      </w:r>
      <w:r w:rsidRPr="00D20211" w:rsidR="00480FC6">
        <w:rPr>
          <w:color w:val="auto"/>
        </w:rPr>
        <w:t>:</w:t>
      </w:r>
      <w:r w:rsidR="00835983">
        <w:rPr>
          <w:color w:val="auto"/>
        </w:rPr>
        <w:t xml:space="preserve"> 770-488-</w:t>
      </w:r>
      <w:r w:rsidR="006D0A91">
        <w:rPr>
          <w:color w:val="auto"/>
        </w:rPr>
        <w:t>7630</w:t>
      </w:r>
    </w:p>
    <w:p w:rsidR="00BA2DBE" w:rsidRPr="00D20211" w:rsidP="00EA0849" w14:paraId="72924699" w14:textId="151B95DE">
      <w:pPr>
        <w:pStyle w:val="Subtitle"/>
        <w:spacing w:after="0"/>
        <w:rPr>
          <w:color w:val="auto"/>
        </w:rPr>
      </w:pPr>
      <w:r w:rsidRPr="00D20211">
        <w:rPr>
          <w:color w:val="auto"/>
        </w:rPr>
        <w:t>Email</w:t>
      </w:r>
      <w:r w:rsidRPr="00D20211" w:rsidR="00480FC6">
        <w:rPr>
          <w:color w:val="auto"/>
        </w:rPr>
        <w:t xml:space="preserve">: </w:t>
      </w:r>
      <w:r w:rsidR="006D0A91">
        <w:rPr>
          <w:color w:val="auto"/>
        </w:rPr>
        <w:t>flo2</w:t>
      </w:r>
      <w:r w:rsidR="00835983">
        <w:rPr>
          <w:color w:val="auto"/>
        </w:rPr>
        <w:t>@cdc.gov</w:t>
      </w:r>
    </w:p>
    <w:p w:rsidR="00BA2DBE" w:rsidRPr="00D20211" w:rsidP="008E47E6" w14:paraId="70AB4DEC" w14:textId="2EB4CED1">
      <w:pPr>
        <w:pStyle w:val="Subtitle"/>
        <w:spacing w:after="0"/>
        <w:rPr>
          <w:color w:val="auto"/>
        </w:rPr>
      </w:pPr>
      <w:r w:rsidRPr="00D20211">
        <w:rPr>
          <w:color w:val="auto"/>
        </w:rPr>
        <w:t>Fax</w:t>
      </w:r>
      <w:r w:rsidRPr="00D20211" w:rsidR="00480FC6">
        <w:rPr>
          <w:color w:val="auto"/>
        </w:rPr>
        <w:t>:</w:t>
      </w:r>
      <w:r w:rsidR="00835983">
        <w:rPr>
          <w:color w:val="auto"/>
        </w:rPr>
        <w:t xml:space="preserve"> 770-488-</w:t>
      </w:r>
      <w:r w:rsidR="00E41F32">
        <w:rPr>
          <w:color w:val="auto"/>
        </w:rPr>
        <w:t>7518</w:t>
      </w:r>
    </w:p>
    <w:p w:rsidR="00EA0849" w:rsidRPr="00D20211" w:rsidP="008E47E6" w14:paraId="14F78241" w14:textId="77777777">
      <w:pPr>
        <w:pStyle w:val="Subtitle"/>
        <w:spacing w:after="0"/>
        <w:rPr>
          <w:color w:val="auto"/>
        </w:rPr>
      </w:pPr>
    </w:p>
    <w:p w:rsidR="00965C2A" w:rsidRPr="00D20211" w:rsidP="008E47E6" w14:paraId="76D937C3" w14:textId="29B45B92">
      <w:pPr>
        <w:pStyle w:val="Subtitle"/>
        <w:spacing w:after="0"/>
        <w:rPr>
          <w:rFonts w:ascii="Arial" w:hAnsi="Arial"/>
          <w:color w:val="auto"/>
        </w:rPr>
      </w:pPr>
      <w:r w:rsidRPr="00D20211">
        <w:rPr>
          <w:color w:val="auto"/>
        </w:rPr>
        <w:t>Date:</w:t>
      </w:r>
      <w:r w:rsidR="00C9159E">
        <w:rPr>
          <w:color w:val="auto"/>
        </w:rPr>
        <w:t xml:space="preserve"> </w:t>
      </w:r>
      <w:r w:rsidR="008A366E">
        <w:rPr>
          <w:color w:val="auto"/>
        </w:rPr>
        <w:t>1</w:t>
      </w:r>
      <w:r w:rsidR="00184B65">
        <w:rPr>
          <w:color w:val="auto"/>
        </w:rPr>
        <w:t>2</w:t>
      </w:r>
      <w:r w:rsidR="003F35A4">
        <w:rPr>
          <w:color w:val="auto"/>
        </w:rPr>
        <w:t>/</w:t>
      </w:r>
      <w:r w:rsidR="00646285">
        <w:rPr>
          <w:color w:val="auto"/>
        </w:rPr>
        <w:t>0</w:t>
      </w:r>
      <w:r w:rsidR="00184B65">
        <w:rPr>
          <w:color w:val="auto"/>
        </w:rPr>
        <w:t>2</w:t>
      </w:r>
      <w:r w:rsidR="00835983">
        <w:rPr>
          <w:color w:val="auto"/>
        </w:rPr>
        <w:t>/</w:t>
      </w:r>
      <w:r w:rsidR="00F450FF">
        <w:rPr>
          <w:color w:val="auto"/>
        </w:rPr>
        <w:t>202</w:t>
      </w:r>
      <w:r w:rsidR="00447EE5">
        <w:rPr>
          <w:color w:val="auto"/>
        </w:rPr>
        <w:t>2</w:t>
      </w:r>
      <w:r w:rsidRPr="00D20211" w:rsidR="00BA2DBE">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P="0097091A" w14:paraId="1C83B101" w14:textId="2229C436">
          <w:pPr>
            <w:pStyle w:val="TOCHeading"/>
            <w:pBdr>
              <w:bottom w:val="none" w:sz="0" w:space="0" w:color="auto"/>
            </w:pBdr>
            <w:spacing w:after="480"/>
            <w:jc w:val="center"/>
            <w:rPr>
              <w:color w:val="auto"/>
            </w:rPr>
          </w:pPr>
          <w:r w:rsidRPr="00D20211">
            <w:rPr>
              <w:color w:val="auto"/>
            </w:rPr>
            <w:t>Table of Contents</w:t>
          </w:r>
        </w:p>
        <w:p w:rsidR="009A2BD6" w14:paraId="584B639C" w14:textId="08644B95">
          <w:pPr>
            <w:pStyle w:val="TOC1"/>
            <w:rPr>
              <w:noProof/>
              <w:sz w:val="22"/>
              <w:szCs w:val="22"/>
            </w:rPr>
          </w:pPr>
          <w:r w:rsidRPr="00D20211">
            <w:fldChar w:fldCharType="begin"/>
          </w:r>
          <w:r w:rsidRPr="00D20211">
            <w:instrText xml:space="preserve"> TOC \o "1-3" \h \z \u </w:instrText>
          </w:r>
          <w:r w:rsidRPr="00D20211">
            <w:fldChar w:fldCharType="separate"/>
          </w:r>
          <w:hyperlink w:anchor="_Toc121132846" w:history="1">
            <w:r w:rsidRPr="0020597F">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_Toc121132846 \h </w:instrText>
            </w:r>
            <w:r>
              <w:rPr>
                <w:noProof/>
                <w:webHidden/>
              </w:rPr>
              <w:fldChar w:fldCharType="separate"/>
            </w:r>
            <w:r w:rsidR="004F3A1E">
              <w:rPr>
                <w:noProof/>
                <w:webHidden/>
              </w:rPr>
              <w:t>4</w:t>
            </w:r>
            <w:r>
              <w:rPr>
                <w:noProof/>
                <w:webHidden/>
              </w:rPr>
              <w:fldChar w:fldCharType="end"/>
            </w:r>
          </w:hyperlink>
        </w:p>
        <w:p w:rsidR="009A2BD6" w14:paraId="5F39310F" w14:textId="0BAEF852">
          <w:pPr>
            <w:pStyle w:val="TOC1"/>
            <w:rPr>
              <w:noProof/>
              <w:sz w:val="22"/>
              <w:szCs w:val="22"/>
            </w:rPr>
          </w:pPr>
          <w:hyperlink w:anchor="_Toc121132847" w:history="1">
            <w:r w:rsidRPr="0020597F">
              <w:rPr>
                <w:rStyle w:val="Hyperlink"/>
                <w:noProof/>
              </w:rPr>
              <w:t>A.2.  Purpose and Use of the Information Collection</w:t>
            </w:r>
            <w:r>
              <w:rPr>
                <w:noProof/>
                <w:webHidden/>
              </w:rPr>
              <w:tab/>
            </w:r>
            <w:r>
              <w:rPr>
                <w:noProof/>
                <w:webHidden/>
              </w:rPr>
              <w:fldChar w:fldCharType="begin"/>
            </w:r>
            <w:r>
              <w:rPr>
                <w:noProof/>
                <w:webHidden/>
              </w:rPr>
              <w:instrText xml:space="preserve"> PAGEREF _Toc121132847 \h </w:instrText>
            </w:r>
            <w:r>
              <w:rPr>
                <w:noProof/>
                <w:webHidden/>
              </w:rPr>
              <w:fldChar w:fldCharType="separate"/>
            </w:r>
            <w:r w:rsidR="004F3A1E">
              <w:rPr>
                <w:noProof/>
                <w:webHidden/>
              </w:rPr>
              <w:t>7</w:t>
            </w:r>
            <w:r>
              <w:rPr>
                <w:noProof/>
                <w:webHidden/>
              </w:rPr>
              <w:fldChar w:fldCharType="end"/>
            </w:r>
          </w:hyperlink>
        </w:p>
        <w:p w:rsidR="009A2BD6" w14:paraId="301C010A" w14:textId="56BB85E3">
          <w:pPr>
            <w:pStyle w:val="TOC1"/>
            <w:rPr>
              <w:noProof/>
              <w:sz w:val="22"/>
              <w:szCs w:val="22"/>
            </w:rPr>
          </w:pPr>
          <w:hyperlink w:anchor="_Toc121132848" w:history="1">
            <w:r w:rsidRPr="0020597F">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_Toc121132848 \h </w:instrText>
            </w:r>
            <w:r>
              <w:rPr>
                <w:noProof/>
                <w:webHidden/>
              </w:rPr>
              <w:fldChar w:fldCharType="separate"/>
            </w:r>
            <w:r w:rsidR="004F3A1E">
              <w:rPr>
                <w:noProof/>
                <w:webHidden/>
              </w:rPr>
              <w:t>9</w:t>
            </w:r>
            <w:r>
              <w:rPr>
                <w:noProof/>
                <w:webHidden/>
              </w:rPr>
              <w:fldChar w:fldCharType="end"/>
            </w:r>
          </w:hyperlink>
        </w:p>
        <w:p w:rsidR="009A2BD6" w14:paraId="3D60A863" w14:textId="11B44F48">
          <w:pPr>
            <w:pStyle w:val="TOC1"/>
            <w:rPr>
              <w:noProof/>
              <w:sz w:val="22"/>
              <w:szCs w:val="22"/>
            </w:rPr>
          </w:pPr>
          <w:hyperlink w:anchor="_Toc121132849" w:history="1">
            <w:r w:rsidRPr="0020597F">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_Toc121132849 \h </w:instrText>
            </w:r>
            <w:r>
              <w:rPr>
                <w:noProof/>
                <w:webHidden/>
              </w:rPr>
              <w:fldChar w:fldCharType="separate"/>
            </w:r>
            <w:r w:rsidR="004F3A1E">
              <w:rPr>
                <w:noProof/>
                <w:webHidden/>
              </w:rPr>
              <w:t>9</w:t>
            </w:r>
            <w:r>
              <w:rPr>
                <w:noProof/>
                <w:webHidden/>
              </w:rPr>
              <w:fldChar w:fldCharType="end"/>
            </w:r>
          </w:hyperlink>
        </w:p>
        <w:p w:rsidR="009A2BD6" w14:paraId="4028A9F1" w14:textId="515D493E">
          <w:pPr>
            <w:pStyle w:val="TOC1"/>
            <w:rPr>
              <w:noProof/>
              <w:sz w:val="22"/>
              <w:szCs w:val="22"/>
            </w:rPr>
          </w:pPr>
          <w:hyperlink w:anchor="_Toc121132850" w:history="1">
            <w:r w:rsidRPr="0020597F">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_Toc121132850 \h </w:instrText>
            </w:r>
            <w:r>
              <w:rPr>
                <w:noProof/>
                <w:webHidden/>
              </w:rPr>
              <w:fldChar w:fldCharType="separate"/>
            </w:r>
            <w:r w:rsidR="004F3A1E">
              <w:rPr>
                <w:noProof/>
                <w:webHidden/>
              </w:rPr>
              <w:t>10</w:t>
            </w:r>
            <w:r>
              <w:rPr>
                <w:noProof/>
                <w:webHidden/>
              </w:rPr>
              <w:fldChar w:fldCharType="end"/>
            </w:r>
          </w:hyperlink>
        </w:p>
        <w:p w:rsidR="009A2BD6" w14:paraId="730C636E" w14:textId="7DD1D2B8">
          <w:pPr>
            <w:pStyle w:val="TOC1"/>
            <w:rPr>
              <w:noProof/>
              <w:sz w:val="22"/>
              <w:szCs w:val="22"/>
            </w:rPr>
          </w:pPr>
          <w:hyperlink w:anchor="_Toc121132851" w:history="1">
            <w:r w:rsidRPr="0020597F">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_Toc121132851 \h </w:instrText>
            </w:r>
            <w:r>
              <w:rPr>
                <w:noProof/>
                <w:webHidden/>
              </w:rPr>
              <w:fldChar w:fldCharType="separate"/>
            </w:r>
            <w:r w:rsidR="004F3A1E">
              <w:rPr>
                <w:noProof/>
                <w:webHidden/>
              </w:rPr>
              <w:t>10</w:t>
            </w:r>
            <w:r>
              <w:rPr>
                <w:noProof/>
                <w:webHidden/>
              </w:rPr>
              <w:fldChar w:fldCharType="end"/>
            </w:r>
          </w:hyperlink>
        </w:p>
        <w:p w:rsidR="009A2BD6" w14:paraId="3D4F6DD8" w14:textId="1876C4AD">
          <w:pPr>
            <w:pStyle w:val="TOC1"/>
            <w:rPr>
              <w:noProof/>
              <w:sz w:val="22"/>
              <w:szCs w:val="22"/>
            </w:rPr>
          </w:pPr>
          <w:hyperlink w:anchor="_Toc121132852" w:history="1">
            <w:r w:rsidRPr="0020597F">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_Toc121132852 \h </w:instrText>
            </w:r>
            <w:r>
              <w:rPr>
                <w:noProof/>
                <w:webHidden/>
              </w:rPr>
              <w:fldChar w:fldCharType="separate"/>
            </w:r>
            <w:r w:rsidR="004F3A1E">
              <w:rPr>
                <w:noProof/>
                <w:webHidden/>
              </w:rPr>
              <w:t>10</w:t>
            </w:r>
            <w:r>
              <w:rPr>
                <w:noProof/>
                <w:webHidden/>
              </w:rPr>
              <w:fldChar w:fldCharType="end"/>
            </w:r>
          </w:hyperlink>
        </w:p>
        <w:p w:rsidR="009A2BD6" w14:paraId="2B35CD1D" w14:textId="45D05706">
          <w:pPr>
            <w:pStyle w:val="TOC1"/>
            <w:rPr>
              <w:noProof/>
              <w:sz w:val="22"/>
              <w:szCs w:val="22"/>
            </w:rPr>
          </w:pPr>
          <w:hyperlink w:anchor="_Toc121132853" w:history="1">
            <w:r w:rsidRPr="0020597F">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_Toc121132853 \h </w:instrText>
            </w:r>
            <w:r>
              <w:rPr>
                <w:noProof/>
                <w:webHidden/>
              </w:rPr>
              <w:fldChar w:fldCharType="separate"/>
            </w:r>
            <w:r w:rsidR="004F3A1E">
              <w:rPr>
                <w:noProof/>
                <w:webHidden/>
              </w:rPr>
              <w:t>10</w:t>
            </w:r>
            <w:r>
              <w:rPr>
                <w:noProof/>
                <w:webHidden/>
              </w:rPr>
              <w:fldChar w:fldCharType="end"/>
            </w:r>
          </w:hyperlink>
        </w:p>
        <w:p w:rsidR="009A2BD6" w14:paraId="4A0A9C9D" w14:textId="7AF565AC">
          <w:pPr>
            <w:pStyle w:val="TOC1"/>
            <w:rPr>
              <w:noProof/>
              <w:sz w:val="22"/>
              <w:szCs w:val="22"/>
            </w:rPr>
          </w:pPr>
          <w:hyperlink w:anchor="_Toc121132854" w:history="1">
            <w:r w:rsidRPr="0020597F">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_Toc121132854 \h </w:instrText>
            </w:r>
            <w:r>
              <w:rPr>
                <w:noProof/>
                <w:webHidden/>
              </w:rPr>
              <w:fldChar w:fldCharType="separate"/>
            </w:r>
            <w:r w:rsidR="004F3A1E">
              <w:rPr>
                <w:noProof/>
                <w:webHidden/>
              </w:rPr>
              <w:t>11</w:t>
            </w:r>
            <w:r>
              <w:rPr>
                <w:noProof/>
                <w:webHidden/>
              </w:rPr>
              <w:fldChar w:fldCharType="end"/>
            </w:r>
          </w:hyperlink>
        </w:p>
        <w:p w:rsidR="009A2BD6" w14:paraId="14270D07" w14:textId="55CC258C">
          <w:pPr>
            <w:pStyle w:val="TOC1"/>
            <w:rPr>
              <w:noProof/>
              <w:sz w:val="22"/>
              <w:szCs w:val="22"/>
            </w:rPr>
          </w:pPr>
          <w:hyperlink w:anchor="_Toc121132855" w:history="1">
            <w:r w:rsidRPr="0020597F">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_Toc121132855 \h </w:instrText>
            </w:r>
            <w:r>
              <w:rPr>
                <w:noProof/>
                <w:webHidden/>
              </w:rPr>
              <w:fldChar w:fldCharType="separate"/>
            </w:r>
            <w:r w:rsidR="004F3A1E">
              <w:rPr>
                <w:noProof/>
                <w:webHidden/>
              </w:rPr>
              <w:t>11</w:t>
            </w:r>
            <w:r>
              <w:rPr>
                <w:noProof/>
                <w:webHidden/>
              </w:rPr>
              <w:fldChar w:fldCharType="end"/>
            </w:r>
          </w:hyperlink>
        </w:p>
        <w:p w:rsidR="009A2BD6" w14:paraId="392B7ECA" w14:textId="667029D6">
          <w:pPr>
            <w:pStyle w:val="TOC1"/>
            <w:rPr>
              <w:noProof/>
              <w:sz w:val="22"/>
              <w:szCs w:val="22"/>
            </w:rPr>
          </w:pPr>
          <w:hyperlink w:anchor="_Toc121132856" w:history="1">
            <w:r w:rsidRPr="0020597F">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_Toc121132856 \h </w:instrText>
            </w:r>
            <w:r>
              <w:rPr>
                <w:noProof/>
                <w:webHidden/>
              </w:rPr>
              <w:fldChar w:fldCharType="separate"/>
            </w:r>
            <w:r w:rsidR="004F3A1E">
              <w:rPr>
                <w:noProof/>
                <w:webHidden/>
              </w:rPr>
              <w:t>12</w:t>
            </w:r>
            <w:r>
              <w:rPr>
                <w:noProof/>
                <w:webHidden/>
              </w:rPr>
              <w:fldChar w:fldCharType="end"/>
            </w:r>
          </w:hyperlink>
        </w:p>
        <w:p w:rsidR="009A2BD6" w14:paraId="54ABDC87" w14:textId="31258BED">
          <w:pPr>
            <w:pStyle w:val="TOC1"/>
            <w:rPr>
              <w:noProof/>
              <w:sz w:val="22"/>
              <w:szCs w:val="22"/>
            </w:rPr>
          </w:pPr>
          <w:hyperlink w:anchor="_Toc121132857" w:history="1">
            <w:r w:rsidRPr="0020597F">
              <w:rPr>
                <w:rStyle w:val="Hyperlink"/>
                <w:noProof/>
              </w:rPr>
              <w:t>A.12.  Estimates of Annualized Burden Hours and Costs</w:t>
            </w:r>
            <w:r>
              <w:rPr>
                <w:noProof/>
                <w:webHidden/>
              </w:rPr>
              <w:tab/>
            </w:r>
            <w:r>
              <w:rPr>
                <w:noProof/>
                <w:webHidden/>
              </w:rPr>
              <w:fldChar w:fldCharType="begin"/>
            </w:r>
            <w:r>
              <w:rPr>
                <w:noProof/>
                <w:webHidden/>
              </w:rPr>
              <w:instrText xml:space="preserve"> PAGEREF _Toc121132857 \h </w:instrText>
            </w:r>
            <w:r>
              <w:rPr>
                <w:noProof/>
                <w:webHidden/>
              </w:rPr>
              <w:fldChar w:fldCharType="separate"/>
            </w:r>
            <w:r w:rsidR="004F3A1E">
              <w:rPr>
                <w:noProof/>
                <w:webHidden/>
              </w:rPr>
              <w:t>12</w:t>
            </w:r>
            <w:r>
              <w:rPr>
                <w:noProof/>
                <w:webHidden/>
              </w:rPr>
              <w:fldChar w:fldCharType="end"/>
            </w:r>
          </w:hyperlink>
        </w:p>
        <w:p w:rsidR="009A2BD6" w14:paraId="60381C61" w14:textId="7F994EE7">
          <w:pPr>
            <w:pStyle w:val="TOC1"/>
            <w:rPr>
              <w:noProof/>
              <w:sz w:val="22"/>
              <w:szCs w:val="22"/>
            </w:rPr>
          </w:pPr>
          <w:hyperlink w:anchor="_Toc121132858" w:history="1">
            <w:r w:rsidRPr="0020597F">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_Toc121132858 \h </w:instrText>
            </w:r>
            <w:r>
              <w:rPr>
                <w:noProof/>
                <w:webHidden/>
              </w:rPr>
              <w:fldChar w:fldCharType="separate"/>
            </w:r>
            <w:r w:rsidR="004F3A1E">
              <w:rPr>
                <w:noProof/>
                <w:webHidden/>
              </w:rPr>
              <w:t>14</w:t>
            </w:r>
            <w:r>
              <w:rPr>
                <w:noProof/>
                <w:webHidden/>
              </w:rPr>
              <w:fldChar w:fldCharType="end"/>
            </w:r>
          </w:hyperlink>
        </w:p>
        <w:p w:rsidR="009A2BD6" w14:paraId="63A5A04F" w14:textId="14A93EE1">
          <w:pPr>
            <w:pStyle w:val="TOC1"/>
            <w:rPr>
              <w:noProof/>
              <w:sz w:val="22"/>
              <w:szCs w:val="22"/>
            </w:rPr>
          </w:pPr>
          <w:hyperlink w:anchor="_Toc121132859" w:history="1">
            <w:r w:rsidRPr="0020597F">
              <w:rPr>
                <w:rStyle w:val="Hyperlink"/>
                <w:noProof/>
              </w:rPr>
              <w:t>A.14.  Annualized Cost to the Federal Government</w:t>
            </w:r>
            <w:r>
              <w:rPr>
                <w:noProof/>
                <w:webHidden/>
              </w:rPr>
              <w:tab/>
            </w:r>
            <w:r>
              <w:rPr>
                <w:noProof/>
                <w:webHidden/>
              </w:rPr>
              <w:fldChar w:fldCharType="begin"/>
            </w:r>
            <w:r>
              <w:rPr>
                <w:noProof/>
                <w:webHidden/>
              </w:rPr>
              <w:instrText xml:space="preserve"> PAGEREF _Toc121132859 \h </w:instrText>
            </w:r>
            <w:r>
              <w:rPr>
                <w:noProof/>
                <w:webHidden/>
              </w:rPr>
              <w:fldChar w:fldCharType="separate"/>
            </w:r>
            <w:r w:rsidR="004F3A1E">
              <w:rPr>
                <w:noProof/>
                <w:webHidden/>
              </w:rPr>
              <w:t>14</w:t>
            </w:r>
            <w:r>
              <w:rPr>
                <w:noProof/>
                <w:webHidden/>
              </w:rPr>
              <w:fldChar w:fldCharType="end"/>
            </w:r>
          </w:hyperlink>
        </w:p>
        <w:p w:rsidR="009A2BD6" w14:paraId="6403E631" w14:textId="3742A5A7">
          <w:pPr>
            <w:pStyle w:val="TOC1"/>
            <w:rPr>
              <w:noProof/>
              <w:sz w:val="22"/>
              <w:szCs w:val="22"/>
            </w:rPr>
          </w:pPr>
          <w:hyperlink w:anchor="_Toc121132860" w:history="1">
            <w:r w:rsidRPr="0020597F">
              <w:rPr>
                <w:rStyle w:val="Hyperlink"/>
                <w:noProof/>
              </w:rPr>
              <w:t>A.15.  Explanation for Program Changes or Adjustments</w:t>
            </w:r>
            <w:r>
              <w:rPr>
                <w:noProof/>
                <w:webHidden/>
              </w:rPr>
              <w:tab/>
            </w:r>
            <w:r>
              <w:rPr>
                <w:noProof/>
                <w:webHidden/>
              </w:rPr>
              <w:fldChar w:fldCharType="begin"/>
            </w:r>
            <w:r>
              <w:rPr>
                <w:noProof/>
                <w:webHidden/>
              </w:rPr>
              <w:instrText xml:space="preserve"> PAGEREF _Toc121132860 \h </w:instrText>
            </w:r>
            <w:r>
              <w:rPr>
                <w:noProof/>
                <w:webHidden/>
              </w:rPr>
              <w:fldChar w:fldCharType="separate"/>
            </w:r>
            <w:r w:rsidR="004F3A1E">
              <w:rPr>
                <w:noProof/>
                <w:webHidden/>
              </w:rPr>
              <w:t>15</w:t>
            </w:r>
            <w:r>
              <w:rPr>
                <w:noProof/>
                <w:webHidden/>
              </w:rPr>
              <w:fldChar w:fldCharType="end"/>
            </w:r>
          </w:hyperlink>
        </w:p>
        <w:p w:rsidR="009A2BD6" w14:paraId="04A2CA6F" w14:textId="6A2468DD">
          <w:pPr>
            <w:pStyle w:val="TOC1"/>
            <w:rPr>
              <w:noProof/>
              <w:sz w:val="22"/>
              <w:szCs w:val="22"/>
            </w:rPr>
          </w:pPr>
          <w:hyperlink w:anchor="_Toc121132861" w:history="1">
            <w:r w:rsidRPr="0020597F">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_Toc121132861 \h </w:instrText>
            </w:r>
            <w:r>
              <w:rPr>
                <w:noProof/>
                <w:webHidden/>
              </w:rPr>
              <w:fldChar w:fldCharType="separate"/>
            </w:r>
            <w:r w:rsidR="004F3A1E">
              <w:rPr>
                <w:noProof/>
                <w:webHidden/>
              </w:rPr>
              <w:t>19</w:t>
            </w:r>
            <w:r>
              <w:rPr>
                <w:noProof/>
                <w:webHidden/>
              </w:rPr>
              <w:fldChar w:fldCharType="end"/>
            </w:r>
          </w:hyperlink>
        </w:p>
        <w:p w:rsidR="009A2BD6" w14:paraId="743CB5A0" w14:textId="75409F90">
          <w:pPr>
            <w:pStyle w:val="TOC1"/>
            <w:rPr>
              <w:noProof/>
              <w:sz w:val="22"/>
              <w:szCs w:val="22"/>
            </w:rPr>
          </w:pPr>
          <w:hyperlink w:anchor="_Toc121132862" w:history="1">
            <w:r w:rsidRPr="0020597F">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_Toc121132862 \h </w:instrText>
            </w:r>
            <w:r>
              <w:rPr>
                <w:noProof/>
                <w:webHidden/>
              </w:rPr>
              <w:fldChar w:fldCharType="separate"/>
            </w:r>
            <w:r w:rsidR="004F3A1E">
              <w:rPr>
                <w:noProof/>
                <w:webHidden/>
              </w:rPr>
              <w:t>19</w:t>
            </w:r>
            <w:r>
              <w:rPr>
                <w:noProof/>
                <w:webHidden/>
              </w:rPr>
              <w:fldChar w:fldCharType="end"/>
            </w:r>
          </w:hyperlink>
        </w:p>
        <w:p w:rsidR="009A2BD6" w14:paraId="5810A8E5" w14:textId="5DAAD247">
          <w:pPr>
            <w:pStyle w:val="TOC1"/>
            <w:rPr>
              <w:noProof/>
              <w:sz w:val="22"/>
              <w:szCs w:val="22"/>
            </w:rPr>
          </w:pPr>
          <w:hyperlink w:anchor="_Toc121132863" w:history="1">
            <w:r w:rsidRPr="0020597F">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_Toc121132863 \h </w:instrText>
            </w:r>
            <w:r>
              <w:rPr>
                <w:noProof/>
                <w:webHidden/>
              </w:rPr>
              <w:fldChar w:fldCharType="separate"/>
            </w:r>
            <w:r w:rsidR="004F3A1E">
              <w:rPr>
                <w:noProof/>
                <w:webHidden/>
              </w:rPr>
              <w:t>19</w:t>
            </w:r>
            <w:r>
              <w:rPr>
                <w:noProof/>
                <w:webHidden/>
              </w:rPr>
              <w:fldChar w:fldCharType="end"/>
            </w:r>
          </w:hyperlink>
        </w:p>
        <w:p w:rsidR="009A2BD6" w14:paraId="122C3714" w14:textId="4868E9CB">
          <w:pPr>
            <w:pStyle w:val="TOC1"/>
            <w:rPr>
              <w:noProof/>
              <w:sz w:val="22"/>
              <w:szCs w:val="22"/>
            </w:rPr>
          </w:pPr>
          <w:hyperlink w:anchor="_Toc121132864" w:history="1">
            <w:r w:rsidRPr="0020597F">
              <w:rPr>
                <w:rStyle w:val="Hyperlink"/>
                <w:noProof/>
              </w:rPr>
              <w:t>References</w:t>
            </w:r>
            <w:r>
              <w:rPr>
                <w:noProof/>
                <w:webHidden/>
              </w:rPr>
              <w:tab/>
            </w:r>
            <w:r>
              <w:rPr>
                <w:noProof/>
                <w:webHidden/>
              </w:rPr>
              <w:fldChar w:fldCharType="begin"/>
            </w:r>
            <w:r>
              <w:rPr>
                <w:noProof/>
                <w:webHidden/>
              </w:rPr>
              <w:instrText xml:space="preserve"> PAGEREF _Toc121132864 \h </w:instrText>
            </w:r>
            <w:r>
              <w:rPr>
                <w:noProof/>
                <w:webHidden/>
              </w:rPr>
              <w:fldChar w:fldCharType="separate"/>
            </w:r>
            <w:r w:rsidR="004F3A1E">
              <w:rPr>
                <w:noProof/>
                <w:webHidden/>
              </w:rPr>
              <w:t>19</w:t>
            </w:r>
            <w:r>
              <w:rPr>
                <w:noProof/>
                <w:webHidden/>
              </w:rPr>
              <w:fldChar w:fldCharType="end"/>
            </w:r>
          </w:hyperlink>
        </w:p>
        <w:p w:rsidR="009B765E" w:rsidRPr="00D20211" w14:paraId="032A377A" w14:textId="4549C498">
          <w:r w:rsidRPr="00D20211">
            <w:rPr>
              <w:b/>
              <w:bCs/>
              <w:noProof/>
            </w:rPr>
            <w:fldChar w:fldCharType="end"/>
          </w:r>
        </w:p>
      </w:sdtContent>
    </w:sdt>
    <w:p w:rsidR="00BA2DBE" w:rsidRPr="00D20211" w14:paraId="031BBD7F" w14:textId="77777777">
      <w:pPr>
        <w:spacing w:after="200" w:line="276" w:lineRule="auto"/>
        <w:rPr>
          <w:rFonts w:eastAsiaTheme="majorEastAsia" w:cs="Arial"/>
          <w:b/>
          <w:bCs/>
          <w:sz w:val="26"/>
          <w:szCs w:val="26"/>
        </w:rPr>
      </w:pPr>
    </w:p>
    <w:bookmarkEnd w:id="0"/>
    <w:bookmarkEnd w:id="1"/>
    <w:p w:rsidR="00480FC6" w:rsidRPr="00D20211" w14:paraId="5A416702" w14:textId="77777777">
      <w:r w:rsidRPr="00D20211">
        <w:br w:type="page"/>
      </w:r>
    </w:p>
    <w:p w:rsidR="0024399D" w:rsidRPr="00D20211" w:rsidP="00EE7CF9" w14:paraId="15DFC48F" w14:textId="1F16A07F">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posOffset>-4445</wp:posOffset>
                </wp:positionH>
                <wp:positionV relativeFrom="paragraph">
                  <wp:posOffset>508000</wp:posOffset>
                </wp:positionV>
                <wp:extent cx="5930900" cy="6722745"/>
                <wp:effectExtent l="0" t="0" r="12700" b="2095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6722745"/>
                        </a:xfrm>
                        <a:prstGeom prst="rect">
                          <a:avLst/>
                        </a:prstGeom>
                        <a:solidFill>
                          <a:srgbClr val="FFFFFF"/>
                        </a:solidFill>
                        <a:ln w="9525">
                          <a:solidFill>
                            <a:schemeClr val="tx1"/>
                          </a:solidFill>
                          <a:miter lim="800000"/>
                          <a:headEnd/>
                          <a:tailEnd/>
                        </a:ln>
                      </wps:spPr>
                      <wps:txbx>
                        <w:txbxContent>
                          <w:p w:rsidR="004F3A1E" w:rsidRPr="00216DF6" w:rsidP="004F3A1E" w14:textId="77777777">
                            <w:pPr>
                              <w:spacing w:line="22" w:lineRule="atLeast"/>
                              <w:rPr>
                                <w:rFonts w:cs="ITCFranklinGothicStd-Book"/>
                                <w:sz w:val="24"/>
                                <w:szCs w:val="24"/>
                              </w:rPr>
                            </w:pPr>
                            <w:r w:rsidRPr="00216DF6">
                              <w:rPr>
                                <w:b/>
                                <w:sz w:val="24"/>
                                <w:szCs w:val="24"/>
                              </w:rPr>
                              <w:t xml:space="preserve">Goal of the study: </w:t>
                            </w:r>
                            <w:r w:rsidRPr="00216DF6">
                              <w:rPr>
                                <w:rFonts w:cs="ITCFranklinGothicStd-Book"/>
                                <w:sz w:val="24"/>
                                <w:szCs w:val="24"/>
                              </w:rPr>
                              <w:t>The purpose of this information collection</w:t>
                            </w:r>
                            <w:r>
                              <w:rPr>
                                <w:rFonts w:cs="ITCFranklinGothicStd-Book"/>
                                <w:sz w:val="24"/>
                                <w:szCs w:val="24"/>
                              </w:rPr>
                              <w:t xml:space="preserve"> request</w:t>
                            </w:r>
                            <w:r w:rsidRPr="00216DF6">
                              <w:rPr>
                                <w:rFonts w:cs="ITCFranklinGothicStd-Book"/>
                                <w:sz w:val="24"/>
                                <w:szCs w:val="24"/>
                              </w:rPr>
                              <w:t xml:space="preserve"> (IC</w:t>
                            </w:r>
                            <w:r>
                              <w:rPr>
                                <w:rFonts w:cs="ITCFranklinGothicStd-Book"/>
                                <w:sz w:val="24"/>
                                <w:szCs w:val="24"/>
                              </w:rPr>
                              <w:t>R</w:t>
                            </w:r>
                            <w:r w:rsidRPr="00216DF6">
                              <w:rPr>
                                <w:rFonts w:cs="ITCFranklinGothicStd-Book"/>
                                <w:sz w:val="24"/>
                                <w:szCs w:val="24"/>
                              </w:rPr>
                              <w:t xml:space="preserve">) is for the CDC to assure that </w:t>
                            </w:r>
                            <w:r>
                              <w:rPr>
                                <w:rFonts w:cs="ITCFranklinGothicStd-Book"/>
                                <w:sz w:val="24"/>
                                <w:szCs w:val="24"/>
                              </w:rPr>
                              <w:t>t</w:t>
                            </w:r>
                            <w:r w:rsidRPr="00216DF6">
                              <w:rPr>
                                <w:rFonts w:cs="ITCFranklinGothicStd-Book"/>
                                <w:sz w:val="24"/>
                                <w:szCs w:val="24"/>
                              </w:rPr>
                              <w:t>he Traceable Opioid Material</w:t>
                            </w:r>
                            <w:r>
                              <w:rPr>
                                <w:rFonts w:cs="ITCFranklinGothicStd-Book"/>
                                <w:sz w:val="24"/>
                                <w:szCs w:val="24"/>
                              </w:rPr>
                              <w:t>* Kits</w:t>
                            </w:r>
                            <w:r w:rsidRPr="00216DF6">
                              <w:rPr>
                                <w:rFonts w:cs="ITCFranklinGothicStd-Book"/>
                                <w:sz w:val="24"/>
                                <w:szCs w:val="24"/>
                              </w:rPr>
                              <w:t xml:space="preserve"> (TOM </w:t>
                            </w:r>
                            <w:r>
                              <w:rPr>
                                <w:rFonts w:cs="ITCFranklinGothicStd-Book"/>
                                <w:sz w:val="24"/>
                                <w:szCs w:val="24"/>
                              </w:rPr>
                              <w:t>Kits*) are</w:t>
                            </w:r>
                            <w:r w:rsidRPr="00216DF6">
                              <w:rPr>
                                <w:rFonts w:cs="ITCFranklinGothicStd-Book"/>
                                <w:sz w:val="24"/>
                                <w:szCs w:val="24"/>
                              </w:rPr>
                              <w:t xml:space="preserve"> </w:t>
                            </w:r>
                            <w:r>
                              <w:rPr>
                                <w:rFonts w:cs="ITCFranklinGothicStd-Book"/>
                                <w:sz w:val="24"/>
                                <w:szCs w:val="24"/>
                              </w:rPr>
                              <w:t xml:space="preserve">equitably </w:t>
                            </w:r>
                            <w:r w:rsidRPr="00216DF6">
                              <w:rPr>
                                <w:rFonts w:cs="ITCFranklinGothicStd-Book"/>
                                <w:sz w:val="24"/>
                                <w:szCs w:val="24"/>
                              </w:rPr>
                              <w:t xml:space="preserve">distributed to </w:t>
                            </w:r>
                            <w:r>
                              <w:rPr>
                                <w:rFonts w:cs="ITCFranklinGothicStd-Book"/>
                                <w:sz w:val="24"/>
                                <w:szCs w:val="24"/>
                              </w:rPr>
                              <w:t>domestic laboratory sectors (</w:t>
                            </w:r>
                            <w:r w:rsidRPr="00216DF6">
                              <w:rPr>
                                <w:rFonts w:cs="ITCFranklinGothicStd-Book"/>
                                <w:sz w:val="24"/>
                                <w:szCs w:val="24"/>
                              </w:rPr>
                              <w:t>public, private, and non-profit</w:t>
                            </w:r>
                            <w:r>
                              <w:rPr>
                                <w:rFonts w:cs="ITCFranklinGothicStd-Book"/>
                                <w:sz w:val="24"/>
                                <w:szCs w:val="24"/>
                              </w:rPr>
                              <w:t>) and to international partner laboratories</w:t>
                            </w:r>
                            <w:r w:rsidRPr="00216DF6">
                              <w:rPr>
                                <w:rFonts w:cs="ITCFranklinGothicStd-Book"/>
                                <w:sz w:val="24"/>
                                <w:szCs w:val="24"/>
                              </w:rPr>
                              <w:t>.</w:t>
                            </w:r>
                          </w:p>
                          <w:p w:rsidR="004F3A1E" w:rsidRPr="00216DF6" w:rsidP="004F3A1E" w14:textId="77777777">
                            <w:pPr>
                              <w:spacing w:line="22" w:lineRule="atLeast"/>
                              <w:rPr>
                                <w:b/>
                                <w:sz w:val="24"/>
                                <w:szCs w:val="24"/>
                              </w:rPr>
                            </w:pPr>
                            <w:r w:rsidRPr="00216DF6">
                              <w:rPr>
                                <w:b/>
                                <w:sz w:val="24"/>
                                <w:szCs w:val="24"/>
                              </w:rPr>
                              <w:t xml:space="preserve">Intended use of the resulting data: </w:t>
                            </w:r>
                            <w:r w:rsidRPr="00216DF6">
                              <w:rPr>
                                <w:sz w:val="24"/>
                                <w:szCs w:val="24"/>
                              </w:rPr>
                              <w:t>1)</w:t>
                            </w:r>
                            <w:r>
                              <w:rPr>
                                <w:sz w:val="24"/>
                                <w:szCs w:val="24"/>
                              </w:rPr>
                              <w:t xml:space="preserve"> </w:t>
                            </w:r>
                            <w:r w:rsidRPr="00216DF6">
                              <w:rPr>
                                <w:sz w:val="24"/>
                                <w:szCs w:val="24"/>
                              </w:rPr>
                              <w:t>To gather information on the types of laboratories requesting the kits</w:t>
                            </w:r>
                            <w:r>
                              <w:rPr>
                                <w:sz w:val="24"/>
                                <w:szCs w:val="24"/>
                              </w:rPr>
                              <w:t>, and</w:t>
                            </w:r>
                            <w:r w:rsidRPr="00216DF6">
                              <w:rPr>
                                <w:sz w:val="24"/>
                                <w:szCs w:val="24"/>
                              </w:rPr>
                              <w:t xml:space="preserve"> </w:t>
                            </w:r>
                            <w:r>
                              <w:rPr>
                                <w:sz w:val="24"/>
                                <w:szCs w:val="24"/>
                              </w:rPr>
                              <w:t>2</w:t>
                            </w:r>
                            <w:r w:rsidRPr="00216DF6">
                              <w:rPr>
                                <w:sz w:val="24"/>
                                <w:szCs w:val="24"/>
                              </w:rPr>
                              <w:t>) To determine the types of instrumentation</w:t>
                            </w:r>
                            <w:r>
                              <w:rPr>
                                <w:sz w:val="24"/>
                                <w:szCs w:val="24"/>
                              </w:rPr>
                              <w:t xml:space="preserve"> and</w:t>
                            </w:r>
                            <w:r w:rsidRPr="00216DF6">
                              <w:rPr>
                                <w:sz w:val="24"/>
                                <w:szCs w:val="24"/>
                              </w:rPr>
                              <w:t xml:space="preserve"> matrices</w:t>
                            </w:r>
                            <w:r>
                              <w:rPr>
                                <w:sz w:val="24"/>
                                <w:szCs w:val="24"/>
                              </w:rPr>
                              <w:t xml:space="preserve"> for</w:t>
                            </w:r>
                            <w:r w:rsidRPr="00216DF6">
                              <w:rPr>
                                <w:sz w:val="24"/>
                                <w:szCs w:val="24"/>
                              </w:rPr>
                              <w:t xml:space="preserve"> those requesting kits.</w:t>
                            </w:r>
                          </w:p>
                          <w:p w:rsidR="004F3A1E" w:rsidRPr="00FF0F3B" w:rsidP="004F3A1E" w14:textId="77777777">
                            <w:pPr>
                              <w:spacing w:line="22" w:lineRule="atLeast"/>
                              <w:rPr>
                                <w:sz w:val="24"/>
                                <w:szCs w:val="24"/>
                              </w:rPr>
                            </w:pPr>
                            <w:r w:rsidRPr="00216DF6">
                              <w:rPr>
                                <w:b/>
                                <w:sz w:val="24"/>
                                <w:szCs w:val="24"/>
                              </w:rPr>
                              <w:t xml:space="preserve">Methods to be used to </w:t>
                            </w:r>
                            <w:r w:rsidRPr="006A7C98">
                              <w:rPr>
                                <w:rFonts w:cstheme="minorHAnsi"/>
                                <w:b/>
                                <w:sz w:val="24"/>
                                <w:szCs w:val="24"/>
                              </w:rPr>
                              <w:t>collect:</w:t>
                            </w:r>
                            <w:r w:rsidRPr="00E801D6">
                              <w:rPr>
                                <w:rFonts w:cstheme="minorHAnsi"/>
                                <w:bCs/>
                                <w:sz w:val="24"/>
                                <w:szCs w:val="24"/>
                              </w:rPr>
                              <w:t xml:space="preserve"> </w:t>
                            </w:r>
                            <w:r>
                              <w:rPr>
                                <w:rFonts w:cstheme="minorHAnsi"/>
                                <w:bCs/>
                                <w:sz w:val="24"/>
                                <w:szCs w:val="24"/>
                              </w:rPr>
                              <w:t>The</w:t>
                            </w:r>
                            <w:r>
                              <w:rPr>
                                <w:rFonts w:cstheme="minorHAnsi"/>
                                <w:b/>
                                <w:sz w:val="24"/>
                                <w:szCs w:val="24"/>
                              </w:rPr>
                              <w:t xml:space="preserve"> </w:t>
                            </w:r>
                            <w:r w:rsidRPr="0097091A">
                              <w:rPr>
                                <w:rFonts w:cstheme="minorHAnsi"/>
                                <w:sz w:val="24"/>
                                <w:szCs w:val="24"/>
                              </w:rPr>
                              <w:t xml:space="preserve">CDC </w:t>
                            </w:r>
                            <w:r>
                              <w:rPr>
                                <w:rFonts w:cstheme="minorHAnsi"/>
                                <w:sz w:val="24"/>
                                <w:szCs w:val="24"/>
                              </w:rPr>
                              <w:t>vendor will</w:t>
                            </w:r>
                            <w:r w:rsidRPr="0097091A">
                              <w:rPr>
                                <w:rFonts w:cstheme="minorHAnsi"/>
                                <w:sz w:val="24"/>
                                <w:szCs w:val="24"/>
                              </w:rPr>
                              <w:t xml:space="preserve"> </w:t>
                            </w:r>
                            <w:r>
                              <w:rPr>
                                <w:rFonts w:cstheme="minorHAnsi"/>
                                <w:sz w:val="24"/>
                                <w:szCs w:val="24"/>
                              </w:rPr>
                              <w:t>receive domestic requests for</w:t>
                            </w:r>
                            <w:r w:rsidRPr="0097091A">
                              <w:rPr>
                                <w:rFonts w:cstheme="minorHAnsi"/>
                                <w:sz w:val="24"/>
                                <w:szCs w:val="24"/>
                              </w:rPr>
                              <w:t xml:space="preserve"> </w:t>
                            </w:r>
                            <w:r>
                              <w:rPr>
                                <w:rFonts w:cstheme="minorHAnsi"/>
                                <w:sz w:val="24"/>
                                <w:szCs w:val="24"/>
                              </w:rPr>
                              <w:t>test kits using its online application form, including questions on laboratory characteristics to equitably distribut</w:t>
                            </w:r>
                            <w:r w:rsidRPr="002E373C">
                              <w:rPr>
                                <w:rFonts w:cstheme="minorHAnsi"/>
                                <w:sz w:val="24"/>
                                <w:szCs w:val="24"/>
                              </w:rPr>
                              <w:t>e</w:t>
                            </w:r>
                            <w:r w:rsidRPr="001548E0">
                              <w:rPr>
                                <w:rFonts w:cstheme="minorHAnsi"/>
                                <w:sz w:val="24"/>
                                <w:szCs w:val="24"/>
                              </w:rPr>
                              <w:t xml:space="preserve"> test kits</w:t>
                            </w:r>
                            <w:r w:rsidRPr="00FF0F3B">
                              <w:rPr>
                                <w:rFonts w:cstheme="minorHAnsi"/>
                                <w:sz w:val="24"/>
                                <w:szCs w:val="24"/>
                              </w:rPr>
                              <w:t xml:space="preserve"> to all laboratory sectors (academic, public, or private) in the US</w:t>
                            </w:r>
                            <w:r w:rsidRPr="00FF0F3B">
                              <w:rPr>
                                <w:sz w:val="24"/>
                                <w:szCs w:val="24"/>
                              </w:rPr>
                              <w:t xml:space="preserve">. </w:t>
                            </w:r>
                            <w:r>
                              <w:rPr>
                                <w:sz w:val="24"/>
                                <w:szCs w:val="24"/>
                              </w:rPr>
                              <w:t>O</w:t>
                            </w:r>
                            <w:r w:rsidRPr="00FF0F3B">
                              <w:rPr>
                                <w:sz w:val="24"/>
                                <w:szCs w:val="24"/>
                              </w:rPr>
                              <w:t xml:space="preserve">n the </w:t>
                            </w:r>
                            <w:r>
                              <w:rPr>
                                <w:sz w:val="24"/>
                                <w:szCs w:val="24"/>
                              </w:rPr>
                              <w:t xml:space="preserve">domestic </w:t>
                            </w:r>
                            <w:r w:rsidRPr="00FF0F3B">
                              <w:rPr>
                                <w:sz w:val="24"/>
                                <w:szCs w:val="24"/>
                              </w:rPr>
                              <w:t>fro</w:t>
                            </w:r>
                            <w:r w:rsidRPr="00697A19">
                              <w:rPr>
                                <w:rFonts w:cstheme="minorHAnsi"/>
                                <w:sz w:val="24"/>
                                <w:szCs w:val="24"/>
                              </w:rPr>
                              <w:t xml:space="preserve">nt, </w:t>
                            </w:r>
                            <w:r>
                              <w:rPr>
                                <w:rFonts w:cstheme="minorHAnsi"/>
                                <w:sz w:val="24"/>
                                <w:szCs w:val="24"/>
                              </w:rPr>
                              <w:t>the shipment and distribution of test kits is federally sponsored.</w:t>
                            </w:r>
                          </w:p>
                          <w:p w:rsidR="004F3A1E" w:rsidP="004F3A1E" w14:textId="77777777">
                            <w:pPr>
                              <w:spacing w:line="22" w:lineRule="atLeast"/>
                              <w:rPr>
                                <w:rFonts w:cstheme="minorHAnsi"/>
                                <w:b/>
                                <w:sz w:val="24"/>
                                <w:szCs w:val="24"/>
                              </w:rPr>
                            </w:pPr>
                            <w:r w:rsidRPr="00FF0F3B">
                              <w:rPr>
                                <w:sz w:val="24"/>
                                <w:szCs w:val="24"/>
                              </w:rPr>
                              <w:t>On the international fro</w:t>
                            </w:r>
                            <w:r w:rsidRPr="00697A19">
                              <w:rPr>
                                <w:rFonts w:cstheme="minorHAnsi"/>
                                <w:sz w:val="24"/>
                                <w:szCs w:val="24"/>
                              </w:rPr>
                              <w:t xml:space="preserve">nt, </w:t>
                            </w:r>
                            <w:r>
                              <w:rPr>
                                <w:rFonts w:cstheme="minorHAnsi"/>
                                <w:sz w:val="24"/>
                                <w:szCs w:val="24"/>
                              </w:rPr>
                              <w:t>the shipment and distribution of test kits is not federally sponsored. Instead, t</w:t>
                            </w:r>
                            <w:r w:rsidRPr="00697A19">
                              <w:rPr>
                                <w:rFonts w:cstheme="minorHAnsi"/>
                                <w:sz w:val="24"/>
                                <w:szCs w:val="24"/>
                              </w:rPr>
                              <w:t xml:space="preserve">he CDC vendor will ship </w:t>
                            </w:r>
                            <w:r w:rsidRPr="003176CF">
                              <w:rPr>
                                <w:rFonts w:cstheme="minorHAnsi"/>
                                <w:sz w:val="24"/>
                                <w:szCs w:val="24"/>
                              </w:rPr>
                              <w:t>test kits</w:t>
                            </w:r>
                            <w:r w:rsidRPr="00BA6CDA">
                              <w:rPr>
                                <w:rFonts w:cstheme="minorHAnsi"/>
                                <w:sz w:val="24"/>
                                <w:szCs w:val="24"/>
                              </w:rPr>
                              <w:t xml:space="preserve"> </w:t>
                            </w:r>
                            <w:r>
                              <w:rPr>
                                <w:rFonts w:cstheme="minorHAnsi"/>
                                <w:sz w:val="24"/>
                                <w:szCs w:val="24"/>
                              </w:rPr>
                              <w:t>in partnership with</w:t>
                            </w:r>
                            <w:r w:rsidRPr="00BA6CDA">
                              <w:rPr>
                                <w:rFonts w:cstheme="minorHAnsi"/>
                                <w:sz w:val="24"/>
                                <w:szCs w:val="24"/>
                              </w:rPr>
                              <w:t xml:space="preserve"> the United Nations Office (UN) and </w:t>
                            </w:r>
                            <w:r>
                              <w:rPr>
                                <w:rFonts w:cstheme="minorHAnsi"/>
                                <w:sz w:val="24"/>
                                <w:szCs w:val="24"/>
                              </w:rPr>
                              <w:t xml:space="preserve">under contract with </w:t>
                            </w:r>
                            <w:r w:rsidRPr="00912E82">
                              <w:rPr>
                                <w:rFonts w:cstheme="minorHAnsi"/>
                                <w:sz w:val="24"/>
                                <w:szCs w:val="24"/>
                              </w:rPr>
                              <w:t xml:space="preserve">the </w:t>
                            </w:r>
                            <w:r w:rsidRPr="00912E82">
                              <w:rPr>
                                <w:rFonts w:cstheme="minorHAnsi"/>
                                <w:sz w:val="24"/>
                                <w:szCs w:val="24"/>
                                <w:shd w:val="clear" w:color="auto" w:fill="FFFFFF"/>
                              </w:rPr>
                              <w:t>International Narcotics Control Board (</w:t>
                            </w:r>
                            <w:r w:rsidRPr="00912E82">
                              <w:rPr>
                                <w:rStyle w:val="Strong"/>
                                <w:rFonts w:cstheme="minorHAnsi"/>
                                <w:b w:val="0"/>
                                <w:bCs w:val="0"/>
                                <w:sz w:val="24"/>
                                <w:szCs w:val="24"/>
                                <w:shd w:val="clear" w:color="auto" w:fill="FFFFFF"/>
                              </w:rPr>
                              <w:t>INCB</w:t>
                            </w:r>
                            <w:r w:rsidRPr="00912E82">
                              <w:rPr>
                                <w:rFonts w:cstheme="minorHAnsi"/>
                                <w:sz w:val="24"/>
                                <w:szCs w:val="24"/>
                                <w:shd w:val="clear" w:color="auto" w:fill="FFFFFF"/>
                              </w:rPr>
                              <w:t xml:space="preserve">) (hereafter, collectively coined the “UN”) </w:t>
                            </w:r>
                            <w:r w:rsidRPr="002E373C">
                              <w:rPr>
                                <w:rFonts w:cstheme="minorHAnsi"/>
                                <w:sz w:val="24"/>
                                <w:szCs w:val="24"/>
                              </w:rPr>
                              <w:t xml:space="preserve">for distribution. </w:t>
                            </w:r>
                            <w:r>
                              <w:rPr>
                                <w:rFonts w:cstheme="minorHAnsi"/>
                                <w:sz w:val="24"/>
                                <w:szCs w:val="24"/>
                              </w:rPr>
                              <w:t>Under the INCB contract, t</w:t>
                            </w:r>
                            <w:r w:rsidRPr="002E373C">
                              <w:rPr>
                                <w:rFonts w:cstheme="minorHAnsi"/>
                                <w:sz w:val="24"/>
                                <w:szCs w:val="24"/>
                              </w:rPr>
                              <w:t xml:space="preserve">he CDC vendor may also direct ship test kits upon UN request to select international laboratories. </w:t>
                            </w:r>
                            <w:r>
                              <w:rPr>
                                <w:rFonts w:cstheme="minorHAnsi"/>
                                <w:sz w:val="24"/>
                                <w:szCs w:val="24"/>
                              </w:rPr>
                              <w:t>The CDC vendor</w:t>
                            </w:r>
                            <w:r w:rsidRPr="002E373C">
                              <w:rPr>
                                <w:rFonts w:cstheme="minorHAnsi"/>
                                <w:sz w:val="24"/>
                                <w:szCs w:val="24"/>
                              </w:rPr>
                              <w:t xml:space="preserve"> will </w:t>
                            </w:r>
                            <w:r>
                              <w:rPr>
                                <w:rFonts w:cstheme="minorHAnsi"/>
                                <w:sz w:val="24"/>
                                <w:szCs w:val="24"/>
                              </w:rPr>
                              <w:t>maintain identifiable international applicant information on its own servers, assign each lab a unique ID, and then direct the applicants to share their laboratory characteristics identified only by their unique lab ID with the CDC using the CDC vendor website. The collection of anonymized international laboratory information is federally sponsored.</w:t>
                            </w:r>
                          </w:p>
                          <w:p w:rsidR="004F3A1E" w:rsidP="004F3A1E" w14:textId="77777777">
                            <w:pPr>
                              <w:spacing w:line="22" w:lineRule="atLeast"/>
                              <w:rPr>
                                <w:rFonts w:cstheme="minorHAnsi"/>
                                <w:sz w:val="24"/>
                                <w:szCs w:val="24"/>
                              </w:rPr>
                            </w:pPr>
                            <w:r w:rsidRPr="00B82913">
                              <w:rPr>
                                <w:rFonts w:cstheme="minorHAnsi"/>
                                <w:b/>
                                <w:sz w:val="24"/>
                                <w:szCs w:val="24"/>
                              </w:rPr>
                              <w:t xml:space="preserve">Subpopulation to be studied: </w:t>
                            </w:r>
                            <w:r w:rsidRPr="00B82913">
                              <w:rPr>
                                <w:rFonts w:cstheme="minorHAnsi"/>
                                <w:sz w:val="24"/>
                                <w:szCs w:val="24"/>
                              </w:rPr>
                              <w:t xml:space="preserve">The </w:t>
                            </w:r>
                            <w:r>
                              <w:rPr>
                                <w:rFonts w:cstheme="minorHAnsi"/>
                                <w:sz w:val="24"/>
                                <w:szCs w:val="24"/>
                              </w:rPr>
                              <w:t xml:space="preserve">domestic </w:t>
                            </w:r>
                            <w:r w:rsidRPr="00B82913">
                              <w:rPr>
                                <w:rFonts w:cstheme="minorHAnsi"/>
                                <w:sz w:val="24"/>
                                <w:szCs w:val="24"/>
                              </w:rPr>
                              <w:t xml:space="preserve">subpopulation </w:t>
                            </w:r>
                            <w:r>
                              <w:rPr>
                                <w:rFonts w:cstheme="minorHAnsi"/>
                                <w:sz w:val="24"/>
                                <w:szCs w:val="24"/>
                              </w:rPr>
                              <w:t>for this information collection</w:t>
                            </w:r>
                            <w:r w:rsidRPr="00B82913">
                              <w:rPr>
                                <w:rFonts w:cstheme="minorHAnsi"/>
                                <w:sz w:val="24"/>
                                <w:szCs w:val="24"/>
                              </w:rPr>
                              <w:t xml:space="preserve"> will be laboratories</w:t>
                            </w:r>
                            <w:r w:rsidRPr="0097091A">
                              <w:rPr>
                                <w:rFonts w:cstheme="minorHAnsi"/>
                                <w:sz w:val="24"/>
                                <w:szCs w:val="24"/>
                              </w:rPr>
                              <w:t xml:space="preserve"> located in the U.S.</w:t>
                            </w:r>
                            <w:r>
                              <w:rPr>
                                <w:rFonts w:cstheme="minorHAnsi"/>
                                <w:sz w:val="24"/>
                                <w:szCs w:val="24"/>
                              </w:rPr>
                              <w:t xml:space="preserve"> They must </w:t>
                            </w:r>
                            <w:r w:rsidRPr="0097091A">
                              <w:rPr>
                                <w:rFonts w:cstheme="minorHAnsi"/>
                                <w:sz w:val="24"/>
                                <w:szCs w:val="24"/>
                              </w:rPr>
                              <w:t xml:space="preserve">have a </w:t>
                            </w:r>
                            <w:r>
                              <w:rPr>
                                <w:rFonts w:cstheme="minorHAnsi"/>
                                <w:sz w:val="24"/>
                                <w:szCs w:val="24"/>
                              </w:rPr>
                              <w:t xml:space="preserve">verifiable business address, must have a </w:t>
                            </w:r>
                            <w:r w:rsidRPr="0097091A">
                              <w:rPr>
                                <w:rFonts w:cstheme="minorHAnsi"/>
                                <w:sz w:val="24"/>
                                <w:szCs w:val="24"/>
                              </w:rPr>
                              <w:t xml:space="preserve">current DEA registration, must comply with respective state and local regulations, and must submit requests </w:t>
                            </w:r>
                            <w:r>
                              <w:rPr>
                                <w:rFonts w:cstheme="minorHAnsi"/>
                                <w:sz w:val="24"/>
                                <w:szCs w:val="24"/>
                              </w:rPr>
                              <w:t xml:space="preserve">for test kits </w:t>
                            </w:r>
                            <w:r w:rsidRPr="0097091A">
                              <w:rPr>
                                <w:rFonts w:cstheme="minorHAnsi"/>
                                <w:sz w:val="24"/>
                                <w:szCs w:val="24"/>
                              </w:rPr>
                              <w:t>directly to the vendor.</w:t>
                            </w:r>
                            <w:r>
                              <w:rPr>
                                <w:rFonts w:cstheme="minorHAnsi"/>
                                <w:sz w:val="24"/>
                                <w:szCs w:val="24"/>
                              </w:rPr>
                              <w:t xml:space="preserve"> </w:t>
                            </w:r>
                          </w:p>
                          <w:p w:rsidR="004F3A1E" w:rsidRPr="00B82913" w:rsidP="004F3A1E" w14:textId="77777777">
                            <w:pPr>
                              <w:spacing w:line="22" w:lineRule="atLeast"/>
                              <w:rPr>
                                <w:rFonts w:cstheme="minorHAnsi"/>
                                <w:sz w:val="24"/>
                                <w:szCs w:val="24"/>
                              </w:rPr>
                            </w:pPr>
                            <w:r w:rsidRPr="000B217F">
                              <w:rPr>
                                <w:rFonts w:cstheme="minorHAnsi"/>
                                <w:sz w:val="24"/>
                                <w:szCs w:val="24"/>
                              </w:rPr>
                              <w:t xml:space="preserve">The </w:t>
                            </w:r>
                            <w:r>
                              <w:rPr>
                                <w:rFonts w:cstheme="minorHAnsi"/>
                                <w:sz w:val="24"/>
                                <w:szCs w:val="24"/>
                              </w:rPr>
                              <w:t xml:space="preserve">international </w:t>
                            </w:r>
                            <w:r w:rsidRPr="000B217F">
                              <w:rPr>
                                <w:rFonts w:cstheme="minorHAnsi"/>
                                <w:sz w:val="24"/>
                                <w:szCs w:val="24"/>
                              </w:rPr>
                              <w:t>subpopulation for this information collection will</w:t>
                            </w:r>
                            <w:r>
                              <w:rPr>
                                <w:rFonts w:cstheme="minorHAnsi"/>
                                <w:sz w:val="24"/>
                                <w:szCs w:val="24"/>
                              </w:rPr>
                              <w:t xml:space="preserve"> apply for test kits through a separate vendor application webpage for international laboratories and will verify test kit eligibility for requesting laboratories through country-specific drug enforcement laboratory certifications</w:t>
                            </w:r>
                            <w:r w:rsidRPr="000B217F">
                              <w:rPr>
                                <w:rFonts w:cstheme="minorHAnsi"/>
                                <w:sz w:val="24"/>
                                <w:szCs w:val="24"/>
                              </w:rPr>
                              <w:t>.</w:t>
                            </w:r>
                          </w:p>
                          <w:p w:rsidR="004F3A1E" w:rsidRPr="00B82913" w:rsidP="004F3A1E" w14:textId="77777777">
                            <w:pPr>
                              <w:spacing w:line="22" w:lineRule="atLeast"/>
                              <w:rPr>
                                <w:rFonts w:cstheme="minorHAnsi"/>
                                <w:sz w:val="24"/>
                                <w:szCs w:val="24"/>
                              </w:rPr>
                            </w:pPr>
                            <w:r w:rsidRPr="00B82913">
                              <w:rPr>
                                <w:rFonts w:cstheme="minorHAnsi"/>
                                <w:b/>
                                <w:sz w:val="24"/>
                                <w:szCs w:val="24"/>
                              </w:rPr>
                              <w:t xml:space="preserve">How data will be analyzed: </w:t>
                            </w:r>
                            <w:r w:rsidRPr="00B82913">
                              <w:rPr>
                                <w:rFonts w:cstheme="minorHAnsi"/>
                                <w:sz w:val="24"/>
                                <w:szCs w:val="24"/>
                              </w:rPr>
                              <w:t>General purpose statistics such as aggregation of similar responses to compare quantities with different responses.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pt;height:529.35pt;margin-top:40pt;margin-left:-0.3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color="black">
                <v:textbox>
                  <w:txbxContent>
                    <w:p w:rsidR="004F3A1E" w:rsidRPr="00216DF6" w:rsidP="004F3A1E" w14:paraId="3BDBCCFF" w14:textId="77777777">
                      <w:pPr>
                        <w:spacing w:line="22" w:lineRule="atLeast"/>
                        <w:rPr>
                          <w:rFonts w:cs="ITCFranklinGothicStd-Book"/>
                          <w:sz w:val="24"/>
                          <w:szCs w:val="24"/>
                        </w:rPr>
                      </w:pPr>
                      <w:r w:rsidRPr="00216DF6">
                        <w:rPr>
                          <w:b/>
                          <w:sz w:val="24"/>
                          <w:szCs w:val="24"/>
                        </w:rPr>
                        <w:t xml:space="preserve">Goal of the study: </w:t>
                      </w:r>
                      <w:r w:rsidRPr="00216DF6">
                        <w:rPr>
                          <w:rFonts w:cs="ITCFranklinGothicStd-Book"/>
                          <w:sz w:val="24"/>
                          <w:szCs w:val="24"/>
                        </w:rPr>
                        <w:t>The purpose of this information collection</w:t>
                      </w:r>
                      <w:r>
                        <w:rPr>
                          <w:rFonts w:cs="ITCFranklinGothicStd-Book"/>
                          <w:sz w:val="24"/>
                          <w:szCs w:val="24"/>
                        </w:rPr>
                        <w:t xml:space="preserve"> request</w:t>
                      </w:r>
                      <w:r w:rsidRPr="00216DF6">
                        <w:rPr>
                          <w:rFonts w:cs="ITCFranklinGothicStd-Book"/>
                          <w:sz w:val="24"/>
                          <w:szCs w:val="24"/>
                        </w:rPr>
                        <w:t xml:space="preserve"> (IC</w:t>
                      </w:r>
                      <w:r>
                        <w:rPr>
                          <w:rFonts w:cs="ITCFranklinGothicStd-Book"/>
                          <w:sz w:val="24"/>
                          <w:szCs w:val="24"/>
                        </w:rPr>
                        <w:t>R</w:t>
                      </w:r>
                      <w:r w:rsidRPr="00216DF6">
                        <w:rPr>
                          <w:rFonts w:cs="ITCFranklinGothicStd-Book"/>
                          <w:sz w:val="24"/>
                          <w:szCs w:val="24"/>
                        </w:rPr>
                        <w:t xml:space="preserve">) is for the CDC to assure that </w:t>
                      </w:r>
                      <w:r>
                        <w:rPr>
                          <w:rFonts w:cs="ITCFranklinGothicStd-Book"/>
                          <w:sz w:val="24"/>
                          <w:szCs w:val="24"/>
                        </w:rPr>
                        <w:t>t</w:t>
                      </w:r>
                      <w:r w:rsidRPr="00216DF6">
                        <w:rPr>
                          <w:rFonts w:cs="ITCFranklinGothicStd-Book"/>
                          <w:sz w:val="24"/>
                          <w:szCs w:val="24"/>
                        </w:rPr>
                        <w:t>he Traceable Opioid Material</w:t>
                      </w:r>
                      <w:r>
                        <w:rPr>
                          <w:rFonts w:cs="ITCFranklinGothicStd-Book"/>
                          <w:sz w:val="24"/>
                          <w:szCs w:val="24"/>
                        </w:rPr>
                        <w:t>* Kits</w:t>
                      </w:r>
                      <w:r w:rsidRPr="00216DF6">
                        <w:rPr>
                          <w:rFonts w:cs="ITCFranklinGothicStd-Book"/>
                          <w:sz w:val="24"/>
                          <w:szCs w:val="24"/>
                        </w:rPr>
                        <w:t xml:space="preserve"> (TOM </w:t>
                      </w:r>
                      <w:r>
                        <w:rPr>
                          <w:rFonts w:cs="ITCFranklinGothicStd-Book"/>
                          <w:sz w:val="24"/>
                          <w:szCs w:val="24"/>
                        </w:rPr>
                        <w:t>Kits*) are</w:t>
                      </w:r>
                      <w:r w:rsidRPr="00216DF6">
                        <w:rPr>
                          <w:rFonts w:cs="ITCFranklinGothicStd-Book"/>
                          <w:sz w:val="24"/>
                          <w:szCs w:val="24"/>
                        </w:rPr>
                        <w:t xml:space="preserve"> </w:t>
                      </w:r>
                      <w:r>
                        <w:rPr>
                          <w:rFonts w:cs="ITCFranklinGothicStd-Book"/>
                          <w:sz w:val="24"/>
                          <w:szCs w:val="24"/>
                        </w:rPr>
                        <w:t xml:space="preserve">equitably </w:t>
                      </w:r>
                      <w:r w:rsidRPr="00216DF6">
                        <w:rPr>
                          <w:rFonts w:cs="ITCFranklinGothicStd-Book"/>
                          <w:sz w:val="24"/>
                          <w:szCs w:val="24"/>
                        </w:rPr>
                        <w:t xml:space="preserve">distributed to </w:t>
                      </w:r>
                      <w:r>
                        <w:rPr>
                          <w:rFonts w:cs="ITCFranklinGothicStd-Book"/>
                          <w:sz w:val="24"/>
                          <w:szCs w:val="24"/>
                        </w:rPr>
                        <w:t>domestic laboratory sectors (</w:t>
                      </w:r>
                      <w:r w:rsidRPr="00216DF6">
                        <w:rPr>
                          <w:rFonts w:cs="ITCFranklinGothicStd-Book"/>
                          <w:sz w:val="24"/>
                          <w:szCs w:val="24"/>
                        </w:rPr>
                        <w:t>public, private, and non-profit</w:t>
                      </w:r>
                      <w:r>
                        <w:rPr>
                          <w:rFonts w:cs="ITCFranklinGothicStd-Book"/>
                          <w:sz w:val="24"/>
                          <w:szCs w:val="24"/>
                        </w:rPr>
                        <w:t>) and to international partner laboratories</w:t>
                      </w:r>
                      <w:r w:rsidRPr="00216DF6">
                        <w:rPr>
                          <w:rFonts w:cs="ITCFranklinGothicStd-Book"/>
                          <w:sz w:val="24"/>
                          <w:szCs w:val="24"/>
                        </w:rPr>
                        <w:t>.</w:t>
                      </w:r>
                    </w:p>
                    <w:p w:rsidR="004F3A1E" w:rsidRPr="00216DF6" w:rsidP="004F3A1E" w14:paraId="7A543983" w14:textId="77777777">
                      <w:pPr>
                        <w:spacing w:line="22" w:lineRule="atLeast"/>
                        <w:rPr>
                          <w:b/>
                          <w:sz w:val="24"/>
                          <w:szCs w:val="24"/>
                        </w:rPr>
                      </w:pPr>
                      <w:r w:rsidRPr="00216DF6">
                        <w:rPr>
                          <w:b/>
                          <w:sz w:val="24"/>
                          <w:szCs w:val="24"/>
                        </w:rPr>
                        <w:t xml:space="preserve">Intended use of the resulting data: </w:t>
                      </w:r>
                      <w:r w:rsidRPr="00216DF6">
                        <w:rPr>
                          <w:sz w:val="24"/>
                          <w:szCs w:val="24"/>
                        </w:rPr>
                        <w:t>1)</w:t>
                      </w:r>
                      <w:r>
                        <w:rPr>
                          <w:sz w:val="24"/>
                          <w:szCs w:val="24"/>
                        </w:rPr>
                        <w:t xml:space="preserve"> </w:t>
                      </w:r>
                      <w:r w:rsidRPr="00216DF6">
                        <w:rPr>
                          <w:sz w:val="24"/>
                          <w:szCs w:val="24"/>
                        </w:rPr>
                        <w:t>To gather information on the types of laboratories requesting the kits</w:t>
                      </w:r>
                      <w:r>
                        <w:rPr>
                          <w:sz w:val="24"/>
                          <w:szCs w:val="24"/>
                        </w:rPr>
                        <w:t>, and</w:t>
                      </w:r>
                      <w:r w:rsidRPr="00216DF6">
                        <w:rPr>
                          <w:sz w:val="24"/>
                          <w:szCs w:val="24"/>
                        </w:rPr>
                        <w:t xml:space="preserve"> </w:t>
                      </w:r>
                      <w:r>
                        <w:rPr>
                          <w:sz w:val="24"/>
                          <w:szCs w:val="24"/>
                        </w:rPr>
                        <w:t>2</w:t>
                      </w:r>
                      <w:r w:rsidRPr="00216DF6">
                        <w:rPr>
                          <w:sz w:val="24"/>
                          <w:szCs w:val="24"/>
                        </w:rPr>
                        <w:t>) To determine the types of instrumentation</w:t>
                      </w:r>
                      <w:r>
                        <w:rPr>
                          <w:sz w:val="24"/>
                          <w:szCs w:val="24"/>
                        </w:rPr>
                        <w:t xml:space="preserve"> and</w:t>
                      </w:r>
                      <w:r w:rsidRPr="00216DF6">
                        <w:rPr>
                          <w:sz w:val="24"/>
                          <w:szCs w:val="24"/>
                        </w:rPr>
                        <w:t xml:space="preserve"> matrices</w:t>
                      </w:r>
                      <w:r>
                        <w:rPr>
                          <w:sz w:val="24"/>
                          <w:szCs w:val="24"/>
                        </w:rPr>
                        <w:t xml:space="preserve"> for</w:t>
                      </w:r>
                      <w:r w:rsidRPr="00216DF6">
                        <w:rPr>
                          <w:sz w:val="24"/>
                          <w:szCs w:val="24"/>
                        </w:rPr>
                        <w:t xml:space="preserve"> those requesting kits.</w:t>
                      </w:r>
                    </w:p>
                    <w:p w:rsidR="004F3A1E" w:rsidRPr="00FF0F3B" w:rsidP="004F3A1E" w14:paraId="0C2F3F7E" w14:textId="77777777">
                      <w:pPr>
                        <w:spacing w:line="22" w:lineRule="atLeast"/>
                        <w:rPr>
                          <w:sz w:val="24"/>
                          <w:szCs w:val="24"/>
                        </w:rPr>
                      </w:pPr>
                      <w:r w:rsidRPr="00216DF6">
                        <w:rPr>
                          <w:b/>
                          <w:sz w:val="24"/>
                          <w:szCs w:val="24"/>
                        </w:rPr>
                        <w:t xml:space="preserve">Methods to be used to </w:t>
                      </w:r>
                      <w:r w:rsidRPr="006A7C98">
                        <w:rPr>
                          <w:rFonts w:cstheme="minorHAnsi"/>
                          <w:b/>
                          <w:sz w:val="24"/>
                          <w:szCs w:val="24"/>
                        </w:rPr>
                        <w:t>collect:</w:t>
                      </w:r>
                      <w:r w:rsidRPr="00E801D6">
                        <w:rPr>
                          <w:rFonts w:cstheme="minorHAnsi"/>
                          <w:bCs/>
                          <w:sz w:val="24"/>
                          <w:szCs w:val="24"/>
                        </w:rPr>
                        <w:t xml:space="preserve"> </w:t>
                      </w:r>
                      <w:r>
                        <w:rPr>
                          <w:rFonts w:cstheme="minorHAnsi"/>
                          <w:bCs/>
                          <w:sz w:val="24"/>
                          <w:szCs w:val="24"/>
                        </w:rPr>
                        <w:t>The</w:t>
                      </w:r>
                      <w:r>
                        <w:rPr>
                          <w:rFonts w:cstheme="minorHAnsi"/>
                          <w:b/>
                          <w:sz w:val="24"/>
                          <w:szCs w:val="24"/>
                        </w:rPr>
                        <w:t xml:space="preserve"> </w:t>
                      </w:r>
                      <w:r w:rsidRPr="0097091A">
                        <w:rPr>
                          <w:rFonts w:cstheme="minorHAnsi"/>
                          <w:sz w:val="24"/>
                          <w:szCs w:val="24"/>
                        </w:rPr>
                        <w:t xml:space="preserve">CDC </w:t>
                      </w:r>
                      <w:r>
                        <w:rPr>
                          <w:rFonts w:cstheme="minorHAnsi"/>
                          <w:sz w:val="24"/>
                          <w:szCs w:val="24"/>
                        </w:rPr>
                        <w:t>vendor will</w:t>
                      </w:r>
                      <w:r w:rsidRPr="0097091A">
                        <w:rPr>
                          <w:rFonts w:cstheme="minorHAnsi"/>
                          <w:sz w:val="24"/>
                          <w:szCs w:val="24"/>
                        </w:rPr>
                        <w:t xml:space="preserve"> </w:t>
                      </w:r>
                      <w:r>
                        <w:rPr>
                          <w:rFonts w:cstheme="minorHAnsi"/>
                          <w:sz w:val="24"/>
                          <w:szCs w:val="24"/>
                        </w:rPr>
                        <w:t>receive domestic requests for</w:t>
                      </w:r>
                      <w:r w:rsidRPr="0097091A">
                        <w:rPr>
                          <w:rFonts w:cstheme="minorHAnsi"/>
                          <w:sz w:val="24"/>
                          <w:szCs w:val="24"/>
                        </w:rPr>
                        <w:t xml:space="preserve"> </w:t>
                      </w:r>
                      <w:r>
                        <w:rPr>
                          <w:rFonts w:cstheme="minorHAnsi"/>
                          <w:sz w:val="24"/>
                          <w:szCs w:val="24"/>
                        </w:rPr>
                        <w:t>test kits using its online application form, including questions on laboratory characteristics to equitably distribut</w:t>
                      </w:r>
                      <w:r w:rsidRPr="002E373C">
                        <w:rPr>
                          <w:rFonts w:cstheme="minorHAnsi"/>
                          <w:sz w:val="24"/>
                          <w:szCs w:val="24"/>
                        </w:rPr>
                        <w:t>e</w:t>
                      </w:r>
                      <w:r w:rsidRPr="001548E0">
                        <w:rPr>
                          <w:rFonts w:cstheme="minorHAnsi"/>
                          <w:sz w:val="24"/>
                          <w:szCs w:val="24"/>
                        </w:rPr>
                        <w:t xml:space="preserve"> test kits</w:t>
                      </w:r>
                      <w:r w:rsidRPr="00FF0F3B">
                        <w:rPr>
                          <w:rFonts w:cstheme="minorHAnsi"/>
                          <w:sz w:val="24"/>
                          <w:szCs w:val="24"/>
                        </w:rPr>
                        <w:t xml:space="preserve"> to all laboratory sectors (academic, public, or private) in the US</w:t>
                      </w:r>
                      <w:r w:rsidRPr="00FF0F3B">
                        <w:rPr>
                          <w:sz w:val="24"/>
                          <w:szCs w:val="24"/>
                        </w:rPr>
                        <w:t xml:space="preserve">. </w:t>
                      </w:r>
                      <w:r>
                        <w:rPr>
                          <w:sz w:val="24"/>
                          <w:szCs w:val="24"/>
                        </w:rPr>
                        <w:t>O</w:t>
                      </w:r>
                      <w:r w:rsidRPr="00FF0F3B">
                        <w:rPr>
                          <w:sz w:val="24"/>
                          <w:szCs w:val="24"/>
                        </w:rPr>
                        <w:t xml:space="preserve">n the </w:t>
                      </w:r>
                      <w:r>
                        <w:rPr>
                          <w:sz w:val="24"/>
                          <w:szCs w:val="24"/>
                        </w:rPr>
                        <w:t xml:space="preserve">domestic </w:t>
                      </w:r>
                      <w:r w:rsidRPr="00FF0F3B">
                        <w:rPr>
                          <w:sz w:val="24"/>
                          <w:szCs w:val="24"/>
                        </w:rPr>
                        <w:t>fro</w:t>
                      </w:r>
                      <w:r w:rsidRPr="00697A19">
                        <w:rPr>
                          <w:rFonts w:cstheme="minorHAnsi"/>
                          <w:sz w:val="24"/>
                          <w:szCs w:val="24"/>
                        </w:rPr>
                        <w:t xml:space="preserve">nt, </w:t>
                      </w:r>
                      <w:r>
                        <w:rPr>
                          <w:rFonts w:cstheme="minorHAnsi"/>
                          <w:sz w:val="24"/>
                          <w:szCs w:val="24"/>
                        </w:rPr>
                        <w:t>the shipment and distribution of test kits is federally sponsored.</w:t>
                      </w:r>
                    </w:p>
                    <w:p w:rsidR="004F3A1E" w:rsidP="004F3A1E" w14:paraId="0BA383A4" w14:textId="77777777">
                      <w:pPr>
                        <w:spacing w:line="22" w:lineRule="atLeast"/>
                        <w:rPr>
                          <w:rFonts w:cstheme="minorHAnsi"/>
                          <w:b/>
                          <w:sz w:val="24"/>
                          <w:szCs w:val="24"/>
                        </w:rPr>
                      </w:pPr>
                      <w:r w:rsidRPr="00FF0F3B">
                        <w:rPr>
                          <w:sz w:val="24"/>
                          <w:szCs w:val="24"/>
                        </w:rPr>
                        <w:t>On the international fro</w:t>
                      </w:r>
                      <w:r w:rsidRPr="00697A19">
                        <w:rPr>
                          <w:rFonts w:cstheme="minorHAnsi"/>
                          <w:sz w:val="24"/>
                          <w:szCs w:val="24"/>
                        </w:rPr>
                        <w:t xml:space="preserve">nt, </w:t>
                      </w:r>
                      <w:r>
                        <w:rPr>
                          <w:rFonts w:cstheme="minorHAnsi"/>
                          <w:sz w:val="24"/>
                          <w:szCs w:val="24"/>
                        </w:rPr>
                        <w:t>the shipment and distribution of test kits is not federally sponsored. Instead, t</w:t>
                      </w:r>
                      <w:r w:rsidRPr="00697A19">
                        <w:rPr>
                          <w:rFonts w:cstheme="minorHAnsi"/>
                          <w:sz w:val="24"/>
                          <w:szCs w:val="24"/>
                        </w:rPr>
                        <w:t xml:space="preserve">he CDC vendor will ship </w:t>
                      </w:r>
                      <w:r w:rsidRPr="003176CF">
                        <w:rPr>
                          <w:rFonts w:cstheme="minorHAnsi"/>
                          <w:sz w:val="24"/>
                          <w:szCs w:val="24"/>
                        </w:rPr>
                        <w:t>test kits</w:t>
                      </w:r>
                      <w:r w:rsidRPr="00BA6CDA">
                        <w:rPr>
                          <w:rFonts w:cstheme="minorHAnsi"/>
                          <w:sz w:val="24"/>
                          <w:szCs w:val="24"/>
                        </w:rPr>
                        <w:t xml:space="preserve"> </w:t>
                      </w:r>
                      <w:r>
                        <w:rPr>
                          <w:rFonts w:cstheme="minorHAnsi"/>
                          <w:sz w:val="24"/>
                          <w:szCs w:val="24"/>
                        </w:rPr>
                        <w:t>in partnership with</w:t>
                      </w:r>
                      <w:r w:rsidRPr="00BA6CDA">
                        <w:rPr>
                          <w:rFonts w:cstheme="minorHAnsi"/>
                          <w:sz w:val="24"/>
                          <w:szCs w:val="24"/>
                        </w:rPr>
                        <w:t xml:space="preserve"> the United Nations Office (UN) and </w:t>
                      </w:r>
                      <w:r>
                        <w:rPr>
                          <w:rFonts w:cstheme="minorHAnsi"/>
                          <w:sz w:val="24"/>
                          <w:szCs w:val="24"/>
                        </w:rPr>
                        <w:t xml:space="preserve">under contract with </w:t>
                      </w:r>
                      <w:r w:rsidRPr="00912E82">
                        <w:rPr>
                          <w:rFonts w:cstheme="minorHAnsi"/>
                          <w:sz w:val="24"/>
                          <w:szCs w:val="24"/>
                        </w:rPr>
                        <w:t xml:space="preserve">the </w:t>
                      </w:r>
                      <w:r w:rsidRPr="00912E82">
                        <w:rPr>
                          <w:rFonts w:cstheme="minorHAnsi"/>
                          <w:sz w:val="24"/>
                          <w:szCs w:val="24"/>
                          <w:shd w:val="clear" w:color="auto" w:fill="FFFFFF"/>
                        </w:rPr>
                        <w:t>International Narcotics Control Board (</w:t>
                      </w:r>
                      <w:r w:rsidRPr="00912E82">
                        <w:rPr>
                          <w:rStyle w:val="Strong"/>
                          <w:rFonts w:cstheme="minorHAnsi"/>
                          <w:b w:val="0"/>
                          <w:bCs w:val="0"/>
                          <w:sz w:val="24"/>
                          <w:szCs w:val="24"/>
                          <w:shd w:val="clear" w:color="auto" w:fill="FFFFFF"/>
                        </w:rPr>
                        <w:t>INCB</w:t>
                      </w:r>
                      <w:r w:rsidRPr="00912E82">
                        <w:rPr>
                          <w:rFonts w:cstheme="minorHAnsi"/>
                          <w:sz w:val="24"/>
                          <w:szCs w:val="24"/>
                          <w:shd w:val="clear" w:color="auto" w:fill="FFFFFF"/>
                        </w:rPr>
                        <w:t xml:space="preserve">) (hereafter, collectively coined the “UN”) </w:t>
                      </w:r>
                      <w:r w:rsidRPr="002E373C">
                        <w:rPr>
                          <w:rFonts w:cstheme="minorHAnsi"/>
                          <w:sz w:val="24"/>
                          <w:szCs w:val="24"/>
                        </w:rPr>
                        <w:t xml:space="preserve">for distribution. </w:t>
                      </w:r>
                      <w:r>
                        <w:rPr>
                          <w:rFonts w:cstheme="minorHAnsi"/>
                          <w:sz w:val="24"/>
                          <w:szCs w:val="24"/>
                        </w:rPr>
                        <w:t>Under the INCB contract, t</w:t>
                      </w:r>
                      <w:r w:rsidRPr="002E373C">
                        <w:rPr>
                          <w:rFonts w:cstheme="minorHAnsi"/>
                          <w:sz w:val="24"/>
                          <w:szCs w:val="24"/>
                        </w:rPr>
                        <w:t xml:space="preserve">he CDC vendor may also direct ship test kits upon UN request to select international laboratories. </w:t>
                      </w:r>
                      <w:r>
                        <w:rPr>
                          <w:rFonts w:cstheme="minorHAnsi"/>
                          <w:sz w:val="24"/>
                          <w:szCs w:val="24"/>
                        </w:rPr>
                        <w:t>The CDC vendor</w:t>
                      </w:r>
                      <w:r w:rsidRPr="002E373C">
                        <w:rPr>
                          <w:rFonts w:cstheme="minorHAnsi"/>
                          <w:sz w:val="24"/>
                          <w:szCs w:val="24"/>
                        </w:rPr>
                        <w:t xml:space="preserve"> will </w:t>
                      </w:r>
                      <w:r>
                        <w:rPr>
                          <w:rFonts w:cstheme="minorHAnsi"/>
                          <w:sz w:val="24"/>
                          <w:szCs w:val="24"/>
                        </w:rPr>
                        <w:t>maintain identifiable international applicant information on its own servers, assign each lab a unique ID, and then direct the applicants to share their laboratory characteristics identified only by their unique lab ID with the CDC using the CDC vendor website. The collection of anonymized international laboratory information is federally sponsored.</w:t>
                      </w:r>
                    </w:p>
                    <w:p w:rsidR="004F3A1E" w:rsidP="004F3A1E" w14:paraId="1AFDED44" w14:textId="77777777">
                      <w:pPr>
                        <w:spacing w:line="22" w:lineRule="atLeast"/>
                        <w:rPr>
                          <w:rFonts w:cstheme="minorHAnsi"/>
                          <w:sz w:val="24"/>
                          <w:szCs w:val="24"/>
                        </w:rPr>
                      </w:pPr>
                      <w:r w:rsidRPr="00B82913">
                        <w:rPr>
                          <w:rFonts w:cstheme="minorHAnsi"/>
                          <w:b/>
                          <w:sz w:val="24"/>
                          <w:szCs w:val="24"/>
                        </w:rPr>
                        <w:t xml:space="preserve">Subpopulation to be studied: </w:t>
                      </w:r>
                      <w:r w:rsidRPr="00B82913">
                        <w:rPr>
                          <w:rFonts w:cstheme="minorHAnsi"/>
                          <w:sz w:val="24"/>
                          <w:szCs w:val="24"/>
                        </w:rPr>
                        <w:t xml:space="preserve">The </w:t>
                      </w:r>
                      <w:r>
                        <w:rPr>
                          <w:rFonts w:cstheme="minorHAnsi"/>
                          <w:sz w:val="24"/>
                          <w:szCs w:val="24"/>
                        </w:rPr>
                        <w:t xml:space="preserve">domestic </w:t>
                      </w:r>
                      <w:r w:rsidRPr="00B82913">
                        <w:rPr>
                          <w:rFonts w:cstheme="minorHAnsi"/>
                          <w:sz w:val="24"/>
                          <w:szCs w:val="24"/>
                        </w:rPr>
                        <w:t xml:space="preserve">subpopulation </w:t>
                      </w:r>
                      <w:r>
                        <w:rPr>
                          <w:rFonts w:cstheme="minorHAnsi"/>
                          <w:sz w:val="24"/>
                          <w:szCs w:val="24"/>
                        </w:rPr>
                        <w:t>for this information collection</w:t>
                      </w:r>
                      <w:r w:rsidRPr="00B82913">
                        <w:rPr>
                          <w:rFonts w:cstheme="minorHAnsi"/>
                          <w:sz w:val="24"/>
                          <w:szCs w:val="24"/>
                        </w:rPr>
                        <w:t xml:space="preserve"> will be laboratories</w:t>
                      </w:r>
                      <w:r w:rsidRPr="0097091A">
                        <w:rPr>
                          <w:rFonts w:cstheme="minorHAnsi"/>
                          <w:sz w:val="24"/>
                          <w:szCs w:val="24"/>
                        </w:rPr>
                        <w:t xml:space="preserve"> located in the U.S.</w:t>
                      </w:r>
                      <w:r>
                        <w:rPr>
                          <w:rFonts w:cstheme="minorHAnsi"/>
                          <w:sz w:val="24"/>
                          <w:szCs w:val="24"/>
                        </w:rPr>
                        <w:t xml:space="preserve"> They must </w:t>
                      </w:r>
                      <w:r w:rsidRPr="0097091A">
                        <w:rPr>
                          <w:rFonts w:cstheme="minorHAnsi"/>
                          <w:sz w:val="24"/>
                          <w:szCs w:val="24"/>
                        </w:rPr>
                        <w:t xml:space="preserve">have a </w:t>
                      </w:r>
                      <w:r>
                        <w:rPr>
                          <w:rFonts w:cstheme="minorHAnsi"/>
                          <w:sz w:val="24"/>
                          <w:szCs w:val="24"/>
                        </w:rPr>
                        <w:t xml:space="preserve">verifiable business address, must have a </w:t>
                      </w:r>
                      <w:r w:rsidRPr="0097091A">
                        <w:rPr>
                          <w:rFonts w:cstheme="minorHAnsi"/>
                          <w:sz w:val="24"/>
                          <w:szCs w:val="24"/>
                        </w:rPr>
                        <w:t xml:space="preserve">current DEA registration, must comply with respective state and local regulations, and must submit requests </w:t>
                      </w:r>
                      <w:r>
                        <w:rPr>
                          <w:rFonts w:cstheme="minorHAnsi"/>
                          <w:sz w:val="24"/>
                          <w:szCs w:val="24"/>
                        </w:rPr>
                        <w:t xml:space="preserve">for test kits </w:t>
                      </w:r>
                      <w:r w:rsidRPr="0097091A">
                        <w:rPr>
                          <w:rFonts w:cstheme="minorHAnsi"/>
                          <w:sz w:val="24"/>
                          <w:szCs w:val="24"/>
                        </w:rPr>
                        <w:t>directly to the vendor.</w:t>
                      </w:r>
                      <w:r>
                        <w:rPr>
                          <w:rFonts w:cstheme="minorHAnsi"/>
                          <w:sz w:val="24"/>
                          <w:szCs w:val="24"/>
                        </w:rPr>
                        <w:t xml:space="preserve"> </w:t>
                      </w:r>
                    </w:p>
                    <w:p w:rsidR="004F3A1E" w:rsidRPr="00B82913" w:rsidP="004F3A1E" w14:paraId="1A841682" w14:textId="77777777">
                      <w:pPr>
                        <w:spacing w:line="22" w:lineRule="atLeast"/>
                        <w:rPr>
                          <w:rFonts w:cstheme="minorHAnsi"/>
                          <w:sz w:val="24"/>
                          <w:szCs w:val="24"/>
                        </w:rPr>
                      </w:pPr>
                      <w:r w:rsidRPr="000B217F">
                        <w:rPr>
                          <w:rFonts w:cstheme="minorHAnsi"/>
                          <w:sz w:val="24"/>
                          <w:szCs w:val="24"/>
                        </w:rPr>
                        <w:t xml:space="preserve">The </w:t>
                      </w:r>
                      <w:r>
                        <w:rPr>
                          <w:rFonts w:cstheme="minorHAnsi"/>
                          <w:sz w:val="24"/>
                          <w:szCs w:val="24"/>
                        </w:rPr>
                        <w:t xml:space="preserve">international </w:t>
                      </w:r>
                      <w:r w:rsidRPr="000B217F">
                        <w:rPr>
                          <w:rFonts w:cstheme="minorHAnsi"/>
                          <w:sz w:val="24"/>
                          <w:szCs w:val="24"/>
                        </w:rPr>
                        <w:t>subpopulation for this information collection will</w:t>
                      </w:r>
                      <w:r>
                        <w:rPr>
                          <w:rFonts w:cstheme="minorHAnsi"/>
                          <w:sz w:val="24"/>
                          <w:szCs w:val="24"/>
                        </w:rPr>
                        <w:t xml:space="preserve"> apply for test kits through a separate vendor application webpage for international laboratories and will verify test kit eligibility for requesting laboratories through country-specific drug enforcement laboratory certifications</w:t>
                      </w:r>
                      <w:r w:rsidRPr="000B217F">
                        <w:rPr>
                          <w:rFonts w:cstheme="minorHAnsi"/>
                          <w:sz w:val="24"/>
                          <w:szCs w:val="24"/>
                        </w:rPr>
                        <w:t>.</w:t>
                      </w:r>
                    </w:p>
                    <w:p w:rsidR="004F3A1E" w:rsidRPr="00B82913" w:rsidP="004F3A1E" w14:paraId="586033AB" w14:textId="77777777">
                      <w:pPr>
                        <w:spacing w:line="22" w:lineRule="atLeast"/>
                        <w:rPr>
                          <w:rFonts w:cstheme="minorHAnsi"/>
                          <w:sz w:val="24"/>
                          <w:szCs w:val="24"/>
                        </w:rPr>
                      </w:pPr>
                      <w:r w:rsidRPr="00B82913">
                        <w:rPr>
                          <w:rFonts w:cstheme="minorHAnsi"/>
                          <w:b/>
                          <w:sz w:val="24"/>
                          <w:szCs w:val="24"/>
                        </w:rPr>
                        <w:t xml:space="preserve">How data will be analyzed: </w:t>
                      </w:r>
                      <w:r w:rsidRPr="00B82913">
                        <w:rPr>
                          <w:rFonts w:cstheme="minorHAnsi"/>
                          <w:sz w:val="24"/>
                          <w:szCs w:val="24"/>
                        </w:rPr>
                        <w:t>General purpose statistics such as aggregation of similar responses to compare quantities with different responses.</w:t>
                      </w:r>
                    </w:p>
                  </w:txbxContent>
                </v:textbox>
                <w10:wrap type="square"/>
              </v:shape>
            </w:pict>
          </mc:Fallback>
        </mc:AlternateContent>
      </w:r>
      <w:r w:rsidRPr="00D20211" w:rsidR="0024399D">
        <w:rPr>
          <w:rFonts w:asciiTheme="majorHAnsi" w:hAnsiTheme="majorHAnsi"/>
          <w:sz w:val="36"/>
          <w:szCs w:val="36"/>
        </w:rPr>
        <w:t>Part A. Justification</w:t>
      </w:r>
    </w:p>
    <w:p w:rsidR="00673E48" w14:paraId="300D4F54" w14:textId="5B59CCE7">
      <w:pPr>
        <w:rPr>
          <w:rFonts w:asciiTheme="majorHAnsi" w:eastAsiaTheme="majorEastAsia" w:hAnsiTheme="majorHAnsi" w:cstheme="majorBidi"/>
          <w:color w:val="FF0000"/>
          <w:sz w:val="36"/>
          <w:szCs w:val="36"/>
        </w:rPr>
      </w:pPr>
      <w:bookmarkStart w:id="2" w:name="_Toc31301591"/>
      <w:r>
        <w:rPr>
          <w:color w:val="FF0000"/>
        </w:rPr>
        <w:br w:type="page"/>
      </w:r>
    </w:p>
    <w:p w:rsidR="00B45002" w:rsidRPr="00BB52F8" w:rsidP="00C03179" w14:paraId="6564C8A5" w14:textId="3BE3DFCB">
      <w:pPr>
        <w:pStyle w:val="Heading1"/>
        <w:pBdr>
          <w:bottom w:val="none" w:sz="0" w:space="0" w:color="auto"/>
        </w:pBdr>
        <w:rPr>
          <w:color w:val="auto"/>
        </w:rPr>
      </w:pPr>
      <w:bookmarkStart w:id="3" w:name="_Toc121132846"/>
      <w:r w:rsidRPr="00BB52F8">
        <w:rPr>
          <w:color w:val="auto"/>
        </w:rPr>
        <w:t>A</w:t>
      </w:r>
      <w:r w:rsidRPr="00BB52F8" w:rsidR="0024399D">
        <w:rPr>
          <w:color w:val="auto"/>
        </w:rPr>
        <w:t>.</w:t>
      </w:r>
      <w:r w:rsidRPr="00BB52F8" w:rsidR="004D21C9">
        <w:rPr>
          <w:color w:val="auto"/>
        </w:rPr>
        <w:t xml:space="preserve">1.  </w:t>
      </w:r>
      <w:r w:rsidRPr="00BB52F8">
        <w:rPr>
          <w:color w:val="auto"/>
        </w:rPr>
        <w:t>Circumstances Making the Collection of Information Necessary</w:t>
      </w:r>
      <w:bookmarkEnd w:id="2"/>
      <w:bookmarkEnd w:id="3"/>
    </w:p>
    <w:p w:rsidR="00A17C8D" w:rsidP="00A17C8D" w14:paraId="3FB61B2B" w14:textId="688970EE"/>
    <w:p w:rsidR="009D5C96" w:rsidRPr="00A345D7" w:rsidP="00BA3D9C" w14:paraId="5E14A6DE" w14:textId="5383667E">
      <w:pPr>
        <w:rPr>
          <w:rFonts w:cstheme="minorHAnsi"/>
          <w:i/>
          <w:iCs/>
          <w:color w:val="2E2E2E"/>
          <w:spacing w:val="7"/>
          <w:sz w:val="24"/>
          <w:szCs w:val="24"/>
          <w:shd w:val="clear" w:color="auto" w:fill="FFFFFF"/>
        </w:rPr>
      </w:pPr>
      <w:bookmarkStart w:id="4" w:name="_Hlk107310091"/>
      <w:r>
        <w:rPr>
          <w:rFonts w:cstheme="minorHAnsi"/>
          <w:i/>
          <w:iCs/>
          <w:color w:val="2E2E2E"/>
          <w:spacing w:val="7"/>
          <w:sz w:val="24"/>
          <w:szCs w:val="24"/>
          <w:shd w:val="clear" w:color="auto" w:fill="FFFFFF"/>
        </w:rPr>
        <w:t xml:space="preserve">Opioid Crisis </w:t>
      </w:r>
    </w:p>
    <w:p w:rsidR="00BA3D9C" w:rsidRPr="00BA3D9C" w:rsidP="00BA3D9C" w14:paraId="203F459E" w14:textId="1C13BD61">
      <w:pPr>
        <w:rPr>
          <w:rFonts w:cstheme="minorHAnsi"/>
          <w:sz w:val="24"/>
          <w:szCs w:val="24"/>
        </w:rPr>
      </w:pPr>
      <w:r w:rsidRPr="00636DCD">
        <w:rPr>
          <w:rFonts w:cstheme="minorHAnsi"/>
          <w:color w:val="2E2E2E"/>
          <w:spacing w:val="7"/>
          <w:sz w:val="24"/>
          <w:szCs w:val="24"/>
          <w:shd w:val="clear" w:color="auto" w:fill="FFFFFF"/>
        </w:rPr>
        <w:t xml:space="preserve">The Acting Secretary of Health and Human Services </w:t>
      </w:r>
      <w:r w:rsidR="006116FE">
        <w:rPr>
          <w:rFonts w:cstheme="minorHAnsi"/>
          <w:color w:val="2E2E2E"/>
          <w:spacing w:val="7"/>
          <w:sz w:val="24"/>
          <w:szCs w:val="24"/>
          <w:shd w:val="clear" w:color="auto" w:fill="FFFFFF"/>
        </w:rPr>
        <w:t xml:space="preserve">(HHS) </w:t>
      </w:r>
      <w:r w:rsidRPr="00636DCD">
        <w:rPr>
          <w:rFonts w:cstheme="minorHAnsi"/>
          <w:color w:val="2E2E2E"/>
          <w:spacing w:val="7"/>
          <w:sz w:val="24"/>
          <w:szCs w:val="24"/>
          <w:shd w:val="clear" w:color="auto" w:fill="FFFFFF"/>
        </w:rPr>
        <w:t xml:space="preserve">declared </w:t>
      </w:r>
      <w:r w:rsidR="00636DCD">
        <w:rPr>
          <w:rFonts w:cstheme="minorHAnsi"/>
          <w:color w:val="2E2E2E"/>
          <w:spacing w:val="7"/>
          <w:sz w:val="24"/>
          <w:szCs w:val="24"/>
          <w:shd w:val="clear" w:color="auto" w:fill="FFFFFF"/>
        </w:rPr>
        <w:t xml:space="preserve">opioids </w:t>
      </w:r>
      <w:r w:rsidRPr="00636DCD">
        <w:rPr>
          <w:rFonts w:cstheme="minorHAnsi"/>
          <w:color w:val="2E2E2E"/>
          <w:spacing w:val="7"/>
          <w:sz w:val="24"/>
          <w:szCs w:val="24"/>
          <w:shd w:val="clear" w:color="auto" w:fill="FFFFFF"/>
        </w:rPr>
        <w:t>a public health emergency on October 26, 2017</w:t>
      </w:r>
      <w:r w:rsidR="00746233">
        <w:rPr>
          <w:rFonts w:cstheme="minorHAnsi"/>
          <w:color w:val="2E2E2E"/>
          <w:spacing w:val="7"/>
          <w:sz w:val="24"/>
          <w:szCs w:val="24"/>
          <w:shd w:val="clear" w:color="auto" w:fill="FFFFFF"/>
        </w:rPr>
        <w:t xml:space="preserve">. </w:t>
      </w:r>
      <w:r w:rsidR="00746233">
        <w:rPr>
          <w:rFonts w:cstheme="minorHAnsi"/>
          <w:sz w:val="24"/>
          <w:szCs w:val="24"/>
        </w:rPr>
        <w:t>This was</w:t>
      </w:r>
      <w:r w:rsidRPr="00217933" w:rsidR="00746233">
        <w:rPr>
          <w:rFonts w:cstheme="minorHAnsi"/>
          <w:sz w:val="24"/>
          <w:szCs w:val="24"/>
        </w:rPr>
        <w:t xml:space="preserve"> </w:t>
      </w:r>
      <w:r w:rsidRPr="00636DCD" w:rsidR="00746233">
        <w:rPr>
          <w:rFonts w:cstheme="minorHAnsi"/>
          <w:sz w:val="24"/>
          <w:szCs w:val="24"/>
        </w:rPr>
        <w:t>the first time that a drug class was declared a national public health emergency</w:t>
      </w:r>
      <w:r w:rsidRPr="00636DCD" w:rsidR="009C49A9">
        <w:rPr>
          <w:rFonts w:cstheme="minorHAnsi"/>
          <w:color w:val="2E2E2E"/>
          <w:spacing w:val="7"/>
          <w:sz w:val="24"/>
          <w:szCs w:val="24"/>
          <w:shd w:val="clear" w:color="auto" w:fill="FFFFFF"/>
        </w:rPr>
        <w:t xml:space="preserve"> (</w:t>
      </w:r>
      <w:r w:rsidR="00746233">
        <w:rPr>
          <w:rFonts w:cstheme="minorHAnsi"/>
          <w:color w:val="2E2E2E"/>
          <w:spacing w:val="7"/>
          <w:sz w:val="24"/>
          <w:szCs w:val="24"/>
          <w:shd w:val="clear" w:color="auto" w:fill="FFFFFF"/>
        </w:rPr>
        <w:t xml:space="preserve">Hargan, 2017; </w:t>
      </w:r>
      <w:r w:rsidRPr="00217933" w:rsidR="009C49A9">
        <w:rPr>
          <w:sz w:val="24"/>
          <w:szCs w:val="24"/>
        </w:rPr>
        <w:t>GAO, 2018</w:t>
      </w:r>
      <w:r w:rsidRPr="00636DCD" w:rsidR="009C49A9">
        <w:rPr>
          <w:sz w:val="24"/>
          <w:szCs w:val="24"/>
        </w:rPr>
        <w:t>)</w:t>
      </w:r>
      <w:r w:rsidR="00636DCD">
        <w:rPr>
          <w:rFonts w:cstheme="minorHAnsi"/>
          <w:sz w:val="24"/>
          <w:szCs w:val="24"/>
        </w:rPr>
        <w:t>.</w:t>
      </w:r>
      <w:r w:rsidRPr="00636DCD" w:rsidR="00B01DC0">
        <w:rPr>
          <w:rFonts w:cstheme="minorHAnsi"/>
          <w:sz w:val="24"/>
          <w:szCs w:val="24"/>
        </w:rPr>
        <w:t xml:space="preserve"> Since 2013, there have been </w:t>
      </w:r>
      <w:r w:rsidRPr="00E12512" w:rsidR="00B01DC0">
        <w:rPr>
          <w:rFonts w:cstheme="minorHAnsi"/>
          <w:sz w:val="24"/>
          <w:szCs w:val="24"/>
        </w:rPr>
        <w:t>significant increases in overdose deaths involving synthetic opioids – particularl</w:t>
      </w:r>
      <w:r w:rsidRPr="00E12512" w:rsidR="00B01DC0">
        <w:rPr>
          <w:sz w:val="24"/>
          <w:szCs w:val="24"/>
        </w:rPr>
        <w:t>y those involving illicitly</w:t>
      </w:r>
      <w:r w:rsidR="00454541">
        <w:rPr>
          <w:sz w:val="24"/>
          <w:szCs w:val="24"/>
        </w:rPr>
        <w:t xml:space="preserve"> </w:t>
      </w:r>
      <w:r w:rsidRPr="00E12512" w:rsidR="00B01DC0">
        <w:rPr>
          <w:sz w:val="24"/>
          <w:szCs w:val="24"/>
        </w:rPr>
        <w:t>manufacture</w:t>
      </w:r>
      <w:r w:rsidRPr="00A21507" w:rsidR="00B01DC0">
        <w:rPr>
          <w:sz w:val="24"/>
          <w:szCs w:val="24"/>
        </w:rPr>
        <w:t>d fentanyl. The U.S. Drug Enforcement Administration (DEA) estimates that 7</w:t>
      </w:r>
      <w:r w:rsidR="00EC2CD1">
        <w:rPr>
          <w:sz w:val="24"/>
          <w:szCs w:val="24"/>
        </w:rPr>
        <w:t>6</w:t>
      </w:r>
      <w:r w:rsidRPr="00A21507" w:rsidR="00B01DC0">
        <w:rPr>
          <w:sz w:val="24"/>
          <w:szCs w:val="24"/>
        </w:rPr>
        <w:t xml:space="preserve">% of all opioid identifications </w:t>
      </w:r>
      <w:r w:rsidRPr="00A21507" w:rsidR="00B01DC0">
        <w:rPr>
          <w:rFonts w:cstheme="minorHAnsi"/>
          <w:sz w:val="24"/>
          <w:szCs w:val="24"/>
        </w:rPr>
        <w:t>are illicit fentanyls (DEA, 2018 Emerging Threat Report).</w:t>
      </w:r>
      <w:r w:rsidR="00A037F3">
        <w:rPr>
          <w:rFonts w:cstheme="minorHAnsi"/>
          <w:sz w:val="24"/>
          <w:szCs w:val="24"/>
        </w:rPr>
        <w:t xml:space="preserve"> </w:t>
      </w:r>
      <w:r w:rsidRPr="00A21507" w:rsidR="00E12512">
        <w:rPr>
          <w:sz w:val="24"/>
          <w:szCs w:val="24"/>
        </w:rPr>
        <w:t xml:space="preserve">The drugs in </w:t>
      </w:r>
      <w:r w:rsidRPr="00A21507" w:rsidR="00A21507">
        <w:rPr>
          <w:sz w:val="24"/>
          <w:szCs w:val="24"/>
        </w:rPr>
        <w:t xml:space="preserve">the </w:t>
      </w:r>
      <w:r w:rsidRPr="00BA3D9C" w:rsidR="00A21507">
        <w:rPr>
          <w:sz w:val="24"/>
          <w:szCs w:val="24"/>
        </w:rPr>
        <w:t>synthetic opioids other than methadone (SOOTM)</w:t>
      </w:r>
      <w:r w:rsidRPr="00A21507" w:rsidR="00E12512">
        <w:rPr>
          <w:sz w:val="24"/>
          <w:szCs w:val="24"/>
        </w:rPr>
        <w:t xml:space="preserve"> category were involved in more than 31,335 overdose deaths in 2018 and </w:t>
      </w:r>
      <w:r w:rsidRPr="00BA3D9C" w:rsidR="00E12512">
        <w:rPr>
          <w:rFonts w:cstheme="minorHAnsi"/>
          <w:sz w:val="24"/>
          <w:szCs w:val="24"/>
        </w:rPr>
        <w:t>accounted for 67 percent of opioid-involved deaths</w:t>
      </w:r>
      <w:r w:rsidRPr="00BA3D9C">
        <w:rPr>
          <w:rFonts w:cstheme="minorHAnsi"/>
          <w:sz w:val="24"/>
          <w:szCs w:val="24"/>
        </w:rPr>
        <w:t>.</w:t>
      </w:r>
      <w:r w:rsidRPr="00BA3D9C" w:rsidR="00131AD1">
        <w:rPr>
          <w:rFonts w:cstheme="minorHAnsi"/>
          <w:sz w:val="24"/>
          <w:szCs w:val="24"/>
        </w:rPr>
        <w:t xml:space="preserve"> The drugs in this category include illicit fentanyl and legal opioids available by prescription</w:t>
      </w:r>
      <w:r w:rsidRPr="00BA3D9C" w:rsidR="00E12512">
        <w:rPr>
          <w:rFonts w:cstheme="minorHAnsi"/>
          <w:sz w:val="24"/>
          <w:szCs w:val="24"/>
        </w:rPr>
        <w:t xml:space="preserve"> (DEA, 2020 National Drug Threat Assessment).</w:t>
      </w:r>
    </w:p>
    <w:p w:rsidR="00C411E5" w:rsidRPr="00217933" w:rsidP="00FC49C5" w14:paraId="5317E8CF" w14:textId="034CF6D7">
      <w:pPr>
        <w:rPr>
          <w:rFonts w:eastAsia="Times New Roman" w:cstheme="minorHAnsi"/>
          <w:color w:val="000000"/>
          <w:sz w:val="24"/>
          <w:szCs w:val="24"/>
        </w:rPr>
      </w:pPr>
      <w:r w:rsidRPr="00FC49C5">
        <w:rPr>
          <w:rFonts w:cstheme="minorHAnsi"/>
          <w:sz w:val="24"/>
          <w:szCs w:val="24"/>
        </w:rPr>
        <w:t xml:space="preserve">To this day, </w:t>
      </w:r>
      <w:r w:rsidRPr="00FC49C5" w:rsidR="00E25691">
        <w:rPr>
          <w:rFonts w:cstheme="minorHAnsi"/>
          <w:sz w:val="24"/>
          <w:szCs w:val="24"/>
        </w:rPr>
        <w:t xml:space="preserve">the crisis continues and </w:t>
      </w:r>
      <w:r w:rsidRPr="00FC49C5">
        <w:rPr>
          <w:rFonts w:cstheme="minorHAnsi"/>
          <w:sz w:val="24"/>
          <w:szCs w:val="24"/>
        </w:rPr>
        <w:t>a public health emergency declaration for opioids remains.</w:t>
      </w:r>
      <w:r>
        <w:rPr>
          <w:rStyle w:val="FootnoteReference"/>
          <w:rFonts w:cstheme="minorHAnsi"/>
          <w:sz w:val="24"/>
          <w:szCs w:val="24"/>
        </w:rPr>
        <w:footnoteReference w:id="3"/>
      </w:r>
      <w:r w:rsidR="00FC49C5">
        <w:rPr>
          <w:rFonts w:cstheme="minorHAnsi"/>
          <w:sz w:val="24"/>
          <w:szCs w:val="24"/>
        </w:rPr>
        <w:t xml:space="preserve"> </w:t>
      </w:r>
      <w:r w:rsidRPr="00217933" w:rsidR="00FC49C5">
        <w:rPr>
          <w:rFonts w:eastAsia="Times New Roman" w:cstheme="minorHAnsi"/>
          <w:color w:val="000000"/>
          <w:sz w:val="24"/>
          <w:szCs w:val="24"/>
        </w:rPr>
        <w:t>F</w:t>
      </w:r>
      <w:r w:rsidRPr="00217933" w:rsidR="00FC49C5">
        <w:rPr>
          <w:rFonts w:cstheme="minorHAnsi"/>
          <w:sz w:val="24"/>
          <w:szCs w:val="24"/>
        </w:rPr>
        <w:t>rom 2019 to 2020, the rate of drug overdose deaths increased for all sex, age, and race and Hispanic-origin groups.</w:t>
      </w:r>
      <w:r w:rsidRPr="00217933" w:rsidR="00FC49C5">
        <w:rPr>
          <w:rFonts w:cstheme="minorHAnsi"/>
          <w:color w:val="000000"/>
          <w:sz w:val="24"/>
          <w:szCs w:val="24"/>
          <w:shd w:val="clear" w:color="auto" w:fill="FFFFFF"/>
        </w:rPr>
        <w:t> </w:t>
      </w:r>
      <w:r w:rsidRPr="00217933" w:rsidR="00FC49C5">
        <w:rPr>
          <w:rFonts w:cstheme="minorHAnsi"/>
          <w:sz w:val="24"/>
          <w:szCs w:val="24"/>
        </w:rPr>
        <w:t>The</w:t>
      </w:r>
      <w:r w:rsidRPr="00217933" w:rsidR="00FC49C5">
        <w:rPr>
          <w:rFonts w:eastAsia="Times New Roman" w:cstheme="minorHAnsi"/>
          <w:color w:val="000000"/>
          <w:sz w:val="24"/>
          <w:szCs w:val="24"/>
        </w:rPr>
        <w:t xml:space="preserve"> age-adjusted rate of drug overdose deaths increased 31</w:t>
      </w:r>
      <w:r w:rsidRPr="005A1234" w:rsidR="00FC49C5">
        <w:rPr>
          <w:rFonts w:eastAsia="Times New Roman" w:cstheme="minorHAnsi"/>
          <w:color w:val="000000"/>
          <w:sz w:val="24"/>
          <w:szCs w:val="24"/>
        </w:rPr>
        <w:t xml:space="preserve"> percent</w:t>
      </w:r>
      <w:r w:rsidRPr="00217933" w:rsidR="00FC49C5">
        <w:rPr>
          <w:rFonts w:eastAsia="Times New Roman" w:cstheme="minorHAnsi"/>
          <w:color w:val="000000"/>
          <w:sz w:val="24"/>
          <w:szCs w:val="24"/>
        </w:rPr>
        <w:t xml:space="preserve"> from 2019 (21.6 per 100,000 standard population) to 2020 (28.3). </w:t>
      </w:r>
      <w:r w:rsidRPr="00217933" w:rsidR="00FC49C5">
        <w:rPr>
          <w:rFonts w:cstheme="minorHAnsi"/>
          <w:color w:val="000000"/>
          <w:sz w:val="24"/>
          <w:szCs w:val="24"/>
          <w:shd w:val="clear" w:color="auto" w:fill="FFFFFF"/>
        </w:rPr>
        <w:t xml:space="preserve">The age-adjusted rate of drug overdose deaths for males increased from 29.6 to 39.5 and the rate for females increased from 13.7 to 17.1. </w:t>
      </w:r>
      <w:r w:rsidRPr="00217933" w:rsidR="00FC49C5">
        <w:rPr>
          <w:rFonts w:eastAsia="Times New Roman" w:cstheme="minorHAnsi"/>
          <w:color w:val="000000"/>
          <w:sz w:val="24"/>
          <w:szCs w:val="24"/>
        </w:rPr>
        <w:t xml:space="preserve">Rates </w:t>
      </w:r>
      <w:r w:rsidRPr="00217933" w:rsidR="00FC49C5">
        <w:rPr>
          <w:rFonts w:cstheme="minorHAnsi"/>
          <w:color w:val="000000"/>
          <w:sz w:val="24"/>
          <w:szCs w:val="24"/>
          <w:shd w:val="clear" w:color="auto" w:fill="FFFFFF"/>
        </w:rPr>
        <w:t>of drug overdose deaths</w:t>
      </w:r>
      <w:r w:rsidRPr="00217933" w:rsidR="00FC49C5">
        <w:rPr>
          <w:rFonts w:eastAsia="Times New Roman" w:cstheme="minorHAnsi"/>
          <w:color w:val="000000"/>
          <w:sz w:val="24"/>
          <w:szCs w:val="24"/>
        </w:rPr>
        <w:t xml:space="preserve"> increased from 2019 to 2020 for all race and Hispanic-origin groups. The rates</w:t>
      </w:r>
      <w:r w:rsidRPr="00217933" w:rsidR="00FC49C5">
        <w:rPr>
          <w:rFonts w:cstheme="minorHAnsi"/>
          <w:sz w:val="24"/>
          <w:szCs w:val="24"/>
        </w:rPr>
        <w:t xml:space="preserve"> were highest for non-Hispanic American Indian and Alaska Natives (AIANs). The greatest percentage increase in rates occurred among non-Hispanic Black and non-Hispanic Native Hawaiian and Other Pacific Islanders (NHOPIs)</w:t>
      </w:r>
      <w:r w:rsidRPr="00217933" w:rsidR="00FC49C5">
        <w:rPr>
          <w:rFonts w:eastAsia="Times New Roman" w:cstheme="minorHAnsi"/>
          <w:color w:val="000000"/>
          <w:sz w:val="24"/>
          <w:szCs w:val="24"/>
        </w:rPr>
        <w:t>.</w:t>
      </w:r>
      <w:r w:rsidRPr="00217933" w:rsidR="00E25691">
        <w:rPr>
          <w:rFonts w:cstheme="minorHAnsi"/>
          <w:sz w:val="24"/>
          <w:szCs w:val="24"/>
        </w:rPr>
        <w:t xml:space="preserve"> </w:t>
      </w:r>
      <w:r w:rsidRPr="00FC49C5" w:rsidR="00B618FF">
        <w:rPr>
          <w:rFonts w:eastAsia="Times New Roman" w:cstheme="minorHAnsi"/>
          <w:color w:val="000000"/>
          <w:sz w:val="24"/>
          <w:szCs w:val="24"/>
        </w:rPr>
        <w:t>(</w:t>
      </w:r>
      <w:r w:rsidRPr="00217933" w:rsidR="00B618FF">
        <w:rPr>
          <w:rFonts w:cstheme="minorHAnsi"/>
          <w:color w:val="000000"/>
          <w:sz w:val="24"/>
          <w:szCs w:val="24"/>
          <w:shd w:val="clear" w:color="auto" w:fill="FFFFFF"/>
        </w:rPr>
        <w:t>Hedegaard H et al., 2021)</w:t>
      </w:r>
      <w:r w:rsidRPr="00217933" w:rsidR="00B618FF">
        <w:rPr>
          <w:rFonts w:eastAsia="Times New Roman" w:cstheme="minorHAnsi"/>
          <w:color w:val="000000"/>
          <w:sz w:val="24"/>
          <w:szCs w:val="24"/>
        </w:rPr>
        <w:t>.</w:t>
      </w:r>
    </w:p>
    <w:bookmarkEnd w:id="4"/>
    <w:p w:rsidR="00B01DC0" w:rsidP="00FC49C5" w14:paraId="5F0D8416" w14:textId="796881B2">
      <w:pPr>
        <w:rPr>
          <w:sz w:val="24"/>
        </w:rPr>
      </w:pPr>
      <w:r w:rsidRPr="007D499D">
        <w:rPr>
          <w:rFonts w:cstheme="minorHAnsi"/>
          <w:sz w:val="24"/>
          <w:szCs w:val="24"/>
        </w:rPr>
        <w:t>Laboratories are routinely asked to confirm which fentanyl or other opioid</w:t>
      </w:r>
      <w:r w:rsidRPr="00B01DC0">
        <w:rPr>
          <w:sz w:val="24"/>
        </w:rPr>
        <w:t xml:space="preserve">s are involved in an overdose or encountered by first responders, as it is critical to identify and classify the types of drugs involved in an overdose, how often they are involved, and how that involvement may change over time.  By understanding which drugs are present, appropriate prevention and response activities can be implemented. </w:t>
      </w:r>
    </w:p>
    <w:p w:rsidR="00E7619C" w:rsidP="00EC31D7" w14:paraId="723CB5FF" w14:textId="6F2B3950">
      <w:pPr>
        <w:autoSpaceDE w:val="0"/>
        <w:autoSpaceDN w:val="0"/>
        <w:adjustRightInd w:val="0"/>
        <w:spacing w:line="240" w:lineRule="auto"/>
        <w:rPr>
          <w:sz w:val="24"/>
        </w:rPr>
      </w:pPr>
      <w:r w:rsidRPr="006A05D1">
        <w:rPr>
          <w:sz w:val="24"/>
        </w:rPr>
        <w:t>The illegal manufacture of a variety of fentanyl analogs presents one of the more difficult problems for laboratory analyses of forensic and post-mortem cases. In 2015, members of the scientific community called for more specificity in opioid analyses, and up until 2016, national epidemiological data was sparse on the specific illicit fentanyl analogs entering the market or causing death.</w:t>
      </w:r>
    </w:p>
    <w:p w:rsidR="009D5C96" w:rsidRPr="00A345D7" w:rsidP="00A345D7" w14:paraId="68429DBB" w14:textId="323A8682">
      <w:pPr>
        <w:rPr>
          <w:rFonts w:cstheme="minorHAnsi"/>
          <w:i/>
          <w:iCs/>
          <w:color w:val="2E2E2E"/>
          <w:spacing w:val="7"/>
          <w:sz w:val="24"/>
          <w:szCs w:val="24"/>
          <w:shd w:val="clear" w:color="auto" w:fill="FFFFFF"/>
        </w:rPr>
      </w:pPr>
      <w:r>
        <w:rPr>
          <w:rFonts w:cstheme="minorHAnsi"/>
          <w:i/>
          <w:iCs/>
          <w:color w:val="2E2E2E"/>
          <w:spacing w:val="7"/>
          <w:sz w:val="24"/>
          <w:szCs w:val="24"/>
          <w:shd w:val="clear" w:color="auto" w:fill="FFFFFF"/>
        </w:rPr>
        <w:t>CDC TOM Kits* Development</w:t>
      </w:r>
    </w:p>
    <w:p w:rsidR="00B01DC0" w:rsidRPr="00B01DC0" w:rsidP="00B01DC0" w14:paraId="2491272C" w14:textId="5DF5F802">
      <w:pPr>
        <w:rPr>
          <w:sz w:val="24"/>
        </w:rPr>
      </w:pPr>
      <w:r w:rsidRPr="00B01DC0">
        <w:rPr>
          <w:sz w:val="24"/>
        </w:rPr>
        <w:t xml:space="preserve">Laboratory testing does exist for opioids that are available clinically or are widely recognized. However, there has been a rapid expansion in new types of illicit opioids, particularly fentanyl analogues. Health care providers, public health surveillance officials, and law enforcement officers need to know which opioids are in use to treat, monitor, and investigate fatal and non-fatal overdoses.  </w:t>
      </w:r>
      <w:r w:rsidRPr="00B01DC0" w:rsidR="00C27BA5">
        <w:rPr>
          <w:sz w:val="24"/>
        </w:rPr>
        <w:t>For</w:t>
      </w:r>
      <w:r w:rsidRPr="00B01DC0">
        <w:rPr>
          <w:sz w:val="24"/>
        </w:rPr>
        <w:t xml:space="preserve"> laboratories to test them, they need samples of the new illicitly manufactured fentanyls of concern. Laboratories will use small amounts of these deadly fentanyl types to develop and maintain the critical ability to identify them. </w:t>
      </w:r>
    </w:p>
    <w:p w:rsidR="00A17C8D" w:rsidRPr="00F9520F" w:rsidP="00B01DC0" w14:paraId="7BBE3D37" w14:textId="09B16F8A">
      <w:pPr>
        <w:rPr>
          <w:rFonts w:cstheme="minorHAnsi"/>
          <w:sz w:val="24"/>
          <w:szCs w:val="24"/>
        </w:rPr>
      </w:pPr>
      <w:r w:rsidRPr="00B01DC0">
        <w:rPr>
          <w:sz w:val="24"/>
        </w:rPr>
        <w:t>T</w:t>
      </w:r>
      <w:r w:rsidR="00367138">
        <w:rPr>
          <w:sz w:val="24"/>
        </w:rPr>
        <w:t xml:space="preserve">o fill this need, </w:t>
      </w:r>
      <w:r w:rsidR="00274632">
        <w:rPr>
          <w:sz w:val="24"/>
        </w:rPr>
        <w:t xml:space="preserve">beginning in 2019, </w:t>
      </w:r>
      <w:r w:rsidR="00367138">
        <w:rPr>
          <w:sz w:val="24"/>
        </w:rPr>
        <w:t>t</w:t>
      </w:r>
      <w:r w:rsidRPr="00B01DC0">
        <w:rPr>
          <w:sz w:val="24"/>
        </w:rPr>
        <w:t>he Centers for Disease Control and Prevention (CDC)</w:t>
      </w:r>
      <w:r w:rsidR="00F9520F">
        <w:rPr>
          <w:sz w:val="24"/>
        </w:rPr>
        <w:t xml:space="preserve"> </w:t>
      </w:r>
      <w:r w:rsidRPr="00B01DC0">
        <w:rPr>
          <w:sz w:val="24"/>
        </w:rPr>
        <w:t>developed the Traceable Opioid Material</w:t>
      </w:r>
      <w:r w:rsidR="00945D53">
        <w:rPr>
          <w:sz w:val="24"/>
        </w:rPr>
        <w:t>* Kits</w:t>
      </w:r>
      <w:r w:rsidRPr="00B01DC0">
        <w:rPr>
          <w:sz w:val="24"/>
        </w:rPr>
        <w:t xml:space="preserve"> </w:t>
      </w:r>
      <w:r w:rsidR="00E93F09">
        <w:rPr>
          <w:sz w:val="24"/>
        </w:rPr>
        <w:t xml:space="preserve">(TOM </w:t>
      </w:r>
      <w:r w:rsidRPr="00B01DC0">
        <w:rPr>
          <w:sz w:val="24"/>
        </w:rPr>
        <w:t>Kits</w:t>
      </w:r>
      <w:r w:rsidR="00945D53">
        <w:rPr>
          <w:sz w:val="24"/>
        </w:rPr>
        <w:t>*)</w:t>
      </w:r>
      <w:r w:rsidRPr="00B01DC0">
        <w:rPr>
          <w:sz w:val="24"/>
        </w:rPr>
        <w:t xml:space="preserve">, which provide over </w:t>
      </w:r>
      <w:r w:rsidR="00945D53">
        <w:rPr>
          <w:sz w:val="24"/>
        </w:rPr>
        <w:t>200</w:t>
      </w:r>
      <w:r w:rsidRPr="00B01DC0" w:rsidR="00945D53">
        <w:rPr>
          <w:sz w:val="24"/>
        </w:rPr>
        <w:t xml:space="preserve"> </w:t>
      </w:r>
      <w:r w:rsidRPr="00B01DC0">
        <w:rPr>
          <w:sz w:val="24"/>
        </w:rPr>
        <w:t xml:space="preserve">opioid reference standards, including over </w:t>
      </w:r>
      <w:r w:rsidRPr="00B01DC0" w:rsidR="00945D53">
        <w:rPr>
          <w:sz w:val="24"/>
        </w:rPr>
        <w:t>1</w:t>
      </w:r>
      <w:r w:rsidR="00945D53">
        <w:rPr>
          <w:sz w:val="24"/>
        </w:rPr>
        <w:t>9</w:t>
      </w:r>
      <w:r w:rsidRPr="00B01DC0" w:rsidR="00945D53">
        <w:rPr>
          <w:sz w:val="24"/>
        </w:rPr>
        <w:t xml:space="preserve">0 </w:t>
      </w:r>
      <w:r w:rsidRPr="00B01DC0">
        <w:rPr>
          <w:sz w:val="24"/>
        </w:rPr>
        <w:t>fentanyl analogs.</w:t>
      </w:r>
      <w:r>
        <w:rPr>
          <w:rStyle w:val="FootnoteReference"/>
          <w:sz w:val="24"/>
        </w:rPr>
        <w:footnoteReference w:id="4"/>
      </w:r>
      <w:r w:rsidRPr="00B01DC0">
        <w:rPr>
          <w:sz w:val="24"/>
        </w:rPr>
        <w:t xml:space="preserve"> </w:t>
      </w:r>
      <w:r w:rsidRPr="00B6481C">
        <w:rPr>
          <w:rFonts w:cstheme="minorHAnsi"/>
          <w:sz w:val="24"/>
          <w:szCs w:val="24"/>
        </w:rPr>
        <w:t xml:space="preserve"> </w:t>
      </w:r>
      <w:r w:rsidRPr="00BA3D9C" w:rsidR="00B6481C">
        <w:rPr>
          <w:rFonts w:cstheme="minorHAnsi"/>
          <w:color w:val="221E1F"/>
          <w:sz w:val="24"/>
          <w:szCs w:val="24"/>
        </w:rPr>
        <w:t xml:space="preserve">CDC maintains the contents of the TOM Kits* based on new needs identified, in part, through </w:t>
      </w:r>
      <w:r w:rsidR="00BA3D9C">
        <w:rPr>
          <w:sz w:val="24"/>
          <w:szCs w:val="24"/>
        </w:rPr>
        <w:t xml:space="preserve">the </w:t>
      </w:r>
      <w:hyperlink r:id="rId6" w:anchor=":~:text=DEA%20Emerging%20Threat%20Reports%20The%20Drug%20Enforcement%20Administration%27s,analyzed%20by%20the%20Drug%20Enforcement%20Administration%E2%80%99s%20laboratory%20system." w:history="1">
        <w:r w:rsidRPr="009D5C96" w:rsidR="00B6481C">
          <w:rPr>
            <w:rStyle w:val="Hyperlink"/>
            <w:rFonts w:cstheme="minorHAnsi"/>
            <w:sz w:val="24"/>
            <w:szCs w:val="24"/>
          </w:rPr>
          <w:t>DEA Emerging Threat Reports</w:t>
        </w:r>
      </w:hyperlink>
      <w:r w:rsidR="00BA3D9C">
        <w:rPr>
          <w:rFonts w:cstheme="minorHAnsi"/>
          <w:color w:val="221E1F"/>
          <w:sz w:val="24"/>
          <w:szCs w:val="24"/>
        </w:rPr>
        <w:t xml:space="preserve"> (DEA, 2016-2021)</w:t>
      </w:r>
      <w:r w:rsidR="004B40C1">
        <w:rPr>
          <w:rFonts w:cstheme="minorHAnsi"/>
          <w:color w:val="221E1F"/>
          <w:sz w:val="24"/>
          <w:szCs w:val="24"/>
        </w:rPr>
        <w:t xml:space="preserve"> as well as the Center for Science Research and Education (CFSRE) Novel Psychoactive Substances (NPS) Trend and Scope Reports (2021-2022)</w:t>
      </w:r>
      <w:r w:rsidR="00274632">
        <w:rPr>
          <w:rFonts w:cstheme="minorHAnsi"/>
          <w:color w:val="221E1F"/>
          <w:sz w:val="24"/>
          <w:szCs w:val="24"/>
        </w:rPr>
        <w:t>.</w:t>
      </w:r>
      <w:r w:rsidR="00274632">
        <w:rPr>
          <w:sz w:val="24"/>
        </w:rPr>
        <w:t xml:space="preserve"> </w:t>
      </w:r>
      <w:r w:rsidRPr="00B01DC0">
        <w:rPr>
          <w:sz w:val="24"/>
        </w:rPr>
        <w:t xml:space="preserve">These kits were designed to dramatically increase laboratory capability to </w:t>
      </w:r>
      <w:r w:rsidRPr="00F9520F">
        <w:rPr>
          <w:rFonts w:cstheme="minorHAnsi"/>
          <w:sz w:val="24"/>
          <w:szCs w:val="24"/>
        </w:rPr>
        <w:t>confirm which opioids are on the streets and causing deaths. The kits are free to laboratories in the public, private, clinical, law enforcement, research, and public health domains</w:t>
      </w:r>
      <w:r w:rsidRPr="00F9520F" w:rsidR="00367138">
        <w:rPr>
          <w:rFonts w:cstheme="minorHAnsi"/>
          <w:sz w:val="24"/>
          <w:szCs w:val="24"/>
        </w:rPr>
        <w:t xml:space="preserve"> (</w:t>
      </w:r>
      <w:r w:rsidRPr="00EC31D7" w:rsidR="00367138">
        <w:rPr>
          <w:rFonts w:cstheme="minorHAnsi"/>
          <w:b/>
          <w:sz w:val="24"/>
          <w:szCs w:val="24"/>
        </w:rPr>
        <w:t xml:space="preserve">Attachment </w:t>
      </w:r>
      <w:r w:rsidR="003D2E1D">
        <w:rPr>
          <w:rFonts w:cstheme="minorHAnsi"/>
          <w:b/>
          <w:sz w:val="24"/>
          <w:szCs w:val="24"/>
        </w:rPr>
        <w:t>3</w:t>
      </w:r>
      <w:r w:rsidRPr="00F9520F" w:rsidR="00367138">
        <w:rPr>
          <w:rFonts w:cstheme="minorHAnsi"/>
          <w:sz w:val="24"/>
          <w:szCs w:val="24"/>
        </w:rPr>
        <w:t>)</w:t>
      </w:r>
      <w:r w:rsidRPr="00F9520F">
        <w:rPr>
          <w:rFonts w:cstheme="minorHAnsi"/>
          <w:sz w:val="24"/>
          <w:szCs w:val="24"/>
        </w:rPr>
        <w:t>.</w:t>
      </w:r>
    </w:p>
    <w:p w:rsidR="00837D9F" w:rsidP="001537FD" w14:paraId="6D76BC72" w14:textId="25EAAB9F">
      <w:pPr>
        <w:spacing w:line="276" w:lineRule="auto"/>
        <w:rPr>
          <w:rFonts w:cstheme="minorHAnsi"/>
          <w:sz w:val="24"/>
          <w:szCs w:val="24"/>
        </w:rPr>
      </w:pPr>
      <w:bookmarkStart w:id="5" w:name="_Hlk31302120"/>
      <w:r w:rsidRPr="00EC31D7">
        <w:rPr>
          <w:rFonts w:cstheme="minorHAnsi"/>
          <w:sz w:val="24"/>
          <w:szCs w:val="24"/>
        </w:rPr>
        <w:t>To equitably distribute the TOM Kits</w:t>
      </w:r>
      <w:r w:rsidR="00945D53">
        <w:rPr>
          <w:rFonts w:cstheme="minorHAnsi"/>
          <w:sz w:val="24"/>
          <w:szCs w:val="24"/>
        </w:rPr>
        <w:t>*</w:t>
      </w:r>
      <w:r w:rsidR="00D7437A">
        <w:rPr>
          <w:rFonts w:cstheme="minorHAnsi"/>
          <w:sz w:val="24"/>
          <w:szCs w:val="24"/>
        </w:rPr>
        <w:t>,</w:t>
      </w:r>
      <w:r w:rsidR="00AF781A">
        <w:rPr>
          <w:rFonts w:cstheme="minorHAnsi"/>
          <w:sz w:val="24"/>
          <w:szCs w:val="24"/>
        </w:rPr>
        <w:t xml:space="preserve"> in 2019</w:t>
      </w:r>
      <w:r w:rsidRPr="00EC31D7">
        <w:rPr>
          <w:rFonts w:cstheme="minorHAnsi"/>
          <w:sz w:val="24"/>
          <w:szCs w:val="24"/>
        </w:rPr>
        <w:t>, the CDC conducted an emergency information collection, titled “Distribution of Traceable Opioid Material</w:t>
      </w:r>
      <w:r w:rsidR="00945D53">
        <w:rPr>
          <w:rFonts w:cstheme="minorHAnsi"/>
          <w:sz w:val="24"/>
          <w:szCs w:val="24"/>
        </w:rPr>
        <w:t>*</w:t>
      </w:r>
      <w:r w:rsidRPr="00EC31D7">
        <w:rPr>
          <w:rFonts w:cstheme="minorHAnsi"/>
          <w:sz w:val="24"/>
          <w:szCs w:val="24"/>
        </w:rPr>
        <w:t xml:space="preserve"> </w:t>
      </w:r>
      <w:r w:rsidR="00945D53">
        <w:rPr>
          <w:rFonts w:cstheme="minorHAnsi"/>
          <w:sz w:val="24"/>
          <w:szCs w:val="24"/>
        </w:rPr>
        <w:t xml:space="preserve">Kits </w:t>
      </w:r>
      <w:r w:rsidRPr="00EC31D7">
        <w:rPr>
          <w:rFonts w:cstheme="minorHAnsi"/>
          <w:sz w:val="24"/>
          <w:szCs w:val="24"/>
        </w:rPr>
        <w:t>(TOM Kits</w:t>
      </w:r>
      <w:r w:rsidR="00945D53">
        <w:rPr>
          <w:rFonts w:cstheme="minorHAnsi"/>
          <w:sz w:val="24"/>
          <w:szCs w:val="24"/>
        </w:rPr>
        <w:t>*)</w:t>
      </w:r>
      <w:r w:rsidRPr="00EC31D7">
        <w:rPr>
          <w:rFonts w:cstheme="minorHAnsi"/>
          <w:sz w:val="24"/>
          <w:szCs w:val="24"/>
        </w:rPr>
        <w:t xml:space="preserve"> across U.S. Laboratories,” under the Health and Human Services (HHS) Secretary’s </w:t>
      </w:r>
      <w:r w:rsidR="00AF781A">
        <w:rPr>
          <w:rFonts w:cstheme="minorHAnsi"/>
          <w:sz w:val="24"/>
          <w:szCs w:val="24"/>
        </w:rPr>
        <w:t>P</w:t>
      </w:r>
      <w:r w:rsidRPr="00EC31D7">
        <w:rPr>
          <w:rFonts w:cstheme="minorHAnsi"/>
          <w:sz w:val="24"/>
          <w:szCs w:val="24"/>
        </w:rPr>
        <w:t xml:space="preserve">ublic </w:t>
      </w:r>
      <w:r w:rsidR="00AF781A">
        <w:rPr>
          <w:rFonts w:cstheme="minorHAnsi"/>
          <w:sz w:val="24"/>
          <w:szCs w:val="24"/>
        </w:rPr>
        <w:t>H</w:t>
      </w:r>
      <w:r w:rsidRPr="00EC31D7">
        <w:rPr>
          <w:rFonts w:cstheme="minorHAnsi"/>
          <w:sz w:val="24"/>
          <w:szCs w:val="24"/>
        </w:rPr>
        <w:t xml:space="preserve">ealth </w:t>
      </w:r>
      <w:r w:rsidR="00AF781A">
        <w:rPr>
          <w:rFonts w:cstheme="minorHAnsi"/>
          <w:sz w:val="24"/>
          <w:szCs w:val="24"/>
        </w:rPr>
        <w:t>E</w:t>
      </w:r>
      <w:r w:rsidRPr="00EC31D7">
        <w:rPr>
          <w:rFonts w:cstheme="minorHAnsi"/>
          <w:sz w:val="24"/>
          <w:szCs w:val="24"/>
        </w:rPr>
        <w:t xml:space="preserve">mergency Paperwork Reduction Act (PHE PRA) </w:t>
      </w:r>
      <w:r w:rsidR="00AF781A">
        <w:rPr>
          <w:rFonts w:cstheme="minorHAnsi"/>
          <w:sz w:val="24"/>
          <w:szCs w:val="24"/>
        </w:rPr>
        <w:t>W</w:t>
      </w:r>
      <w:r w:rsidRPr="00EC31D7">
        <w:rPr>
          <w:rFonts w:cstheme="minorHAnsi"/>
          <w:sz w:val="24"/>
          <w:szCs w:val="24"/>
        </w:rPr>
        <w:t>aiver mechanism for the period from 03/20/2019 to 05/10/2019</w:t>
      </w:r>
      <w:r>
        <w:rPr>
          <w:rFonts w:cstheme="minorHAnsi"/>
          <w:sz w:val="24"/>
          <w:szCs w:val="24"/>
        </w:rPr>
        <w:t xml:space="preserve"> (</w:t>
      </w:r>
      <w:r w:rsidRPr="00EC31D7">
        <w:rPr>
          <w:rFonts w:cstheme="minorHAnsi"/>
          <w:b/>
          <w:sz w:val="24"/>
          <w:szCs w:val="24"/>
        </w:rPr>
        <w:t xml:space="preserve">Attachment </w:t>
      </w:r>
      <w:r w:rsidR="003D2E1D">
        <w:rPr>
          <w:rFonts w:cstheme="minorHAnsi"/>
          <w:b/>
          <w:sz w:val="24"/>
          <w:szCs w:val="24"/>
        </w:rPr>
        <w:t>4</w:t>
      </w:r>
      <w:r w:rsidR="00BD00AA">
        <w:rPr>
          <w:rFonts w:cstheme="minorHAnsi"/>
          <w:b/>
          <w:sz w:val="24"/>
          <w:szCs w:val="24"/>
        </w:rPr>
        <w:t>a</w:t>
      </w:r>
      <w:r>
        <w:rPr>
          <w:rFonts w:cstheme="minorHAnsi"/>
          <w:sz w:val="24"/>
          <w:szCs w:val="24"/>
        </w:rPr>
        <w:t>)</w:t>
      </w:r>
      <w:r w:rsidRPr="00EC31D7">
        <w:rPr>
          <w:rFonts w:cstheme="minorHAnsi"/>
          <w:sz w:val="24"/>
          <w:szCs w:val="24"/>
        </w:rPr>
        <w:t xml:space="preserve">. From 05/10/2019, </w:t>
      </w:r>
      <w:bookmarkStart w:id="6" w:name="_Hlk108768457"/>
      <w:r w:rsidRPr="00EC31D7">
        <w:rPr>
          <w:rFonts w:cstheme="minorHAnsi"/>
          <w:sz w:val="24"/>
          <w:szCs w:val="24"/>
        </w:rPr>
        <w:t xml:space="preserve">CDC continued distributing kits using a generic </w:t>
      </w:r>
      <w:r w:rsidRPr="00FD76BD">
        <w:rPr>
          <w:rFonts w:cstheme="minorHAnsi"/>
          <w:sz w:val="24"/>
          <w:szCs w:val="24"/>
        </w:rPr>
        <w:t>information collection (GenIC) under “Generic Clearance for the Collection of Qualitative Feedback on Agency Service Delivery” (OMB Control No. 0923-0047; expiration date 01/31/2022)</w:t>
      </w:r>
      <w:bookmarkEnd w:id="6"/>
      <w:r w:rsidRPr="00FD76BD">
        <w:rPr>
          <w:rFonts w:cstheme="minorHAnsi"/>
          <w:sz w:val="24"/>
          <w:szCs w:val="24"/>
        </w:rPr>
        <w:t xml:space="preserve"> (</w:t>
      </w:r>
      <w:r w:rsidRPr="00FD76BD">
        <w:rPr>
          <w:rFonts w:cstheme="minorHAnsi"/>
          <w:b/>
          <w:sz w:val="24"/>
          <w:szCs w:val="24"/>
        </w:rPr>
        <w:t xml:space="preserve">Attachment </w:t>
      </w:r>
      <w:r w:rsidR="00BD00AA">
        <w:rPr>
          <w:rFonts w:cstheme="minorHAnsi"/>
          <w:b/>
          <w:sz w:val="24"/>
          <w:szCs w:val="24"/>
        </w:rPr>
        <w:t>4b</w:t>
      </w:r>
      <w:r w:rsidRPr="00FD76BD">
        <w:rPr>
          <w:rFonts w:cstheme="minorHAnsi"/>
          <w:sz w:val="24"/>
          <w:szCs w:val="24"/>
        </w:rPr>
        <w:t>).</w:t>
      </w:r>
      <w:bookmarkEnd w:id="5"/>
      <w:r>
        <w:rPr>
          <w:rFonts w:cstheme="minorHAnsi"/>
          <w:sz w:val="24"/>
          <w:szCs w:val="24"/>
        </w:rPr>
        <w:t xml:space="preserve"> </w:t>
      </w:r>
      <w:r w:rsidRPr="00FD76BD" w:rsidR="009C49A9">
        <w:rPr>
          <w:rFonts w:cstheme="minorHAnsi"/>
          <w:sz w:val="24"/>
          <w:szCs w:val="24"/>
        </w:rPr>
        <w:t>CDC next requested and received Paperwork Reduction Act (PRA) clearance in 2020 under “Distribution of Traceable Opioid Material* Kits (TOM Kits*) across U.S. Laboratories”</w:t>
      </w:r>
      <w:r w:rsidRPr="00FD76BD" w:rsidR="006816DA">
        <w:rPr>
          <w:rFonts w:cstheme="minorHAnsi"/>
          <w:sz w:val="24"/>
          <w:szCs w:val="24"/>
        </w:rPr>
        <w:t xml:space="preserve"> (</w:t>
      </w:r>
      <w:r w:rsidRPr="00FD76BD" w:rsidR="009C49A9">
        <w:rPr>
          <w:rFonts w:cstheme="minorHAnsi"/>
          <w:sz w:val="24"/>
          <w:szCs w:val="24"/>
        </w:rPr>
        <w:t>OMB Control No. 0920-1313, expiration date 12/31/2022</w:t>
      </w:r>
      <w:r w:rsidRPr="00FD76BD" w:rsidR="006816DA">
        <w:rPr>
          <w:rFonts w:cstheme="minorHAnsi"/>
          <w:sz w:val="24"/>
          <w:szCs w:val="24"/>
        </w:rPr>
        <w:t>)</w:t>
      </w:r>
      <w:r>
        <w:rPr>
          <w:rFonts w:cstheme="minorHAnsi"/>
          <w:sz w:val="24"/>
          <w:szCs w:val="24"/>
        </w:rPr>
        <w:t xml:space="preserve"> </w:t>
      </w:r>
      <w:r w:rsidRPr="00FD76BD" w:rsidR="00C411E5">
        <w:rPr>
          <w:rFonts w:cstheme="minorHAnsi"/>
          <w:sz w:val="24"/>
          <w:szCs w:val="24"/>
        </w:rPr>
        <w:t>(</w:t>
      </w:r>
      <w:r w:rsidRPr="00FD76BD" w:rsidR="00C411E5">
        <w:rPr>
          <w:rFonts w:cstheme="minorHAnsi"/>
          <w:b/>
          <w:bCs/>
          <w:sz w:val="24"/>
          <w:szCs w:val="24"/>
        </w:rPr>
        <w:t xml:space="preserve">Attachment </w:t>
      </w:r>
      <w:r w:rsidR="00BD00AA">
        <w:rPr>
          <w:rFonts w:cstheme="minorHAnsi"/>
          <w:b/>
          <w:bCs/>
          <w:sz w:val="24"/>
          <w:szCs w:val="24"/>
        </w:rPr>
        <w:t>4c</w:t>
      </w:r>
      <w:r w:rsidRPr="00FD76BD" w:rsidR="00C411E5">
        <w:rPr>
          <w:rFonts w:cstheme="minorHAnsi"/>
          <w:sz w:val="24"/>
          <w:szCs w:val="24"/>
        </w:rPr>
        <w:t>)</w:t>
      </w:r>
      <w:r w:rsidRPr="00FD76BD" w:rsidR="009C49A9">
        <w:rPr>
          <w:rFonts w:cstheme="minorHAnsi"/>
          <w:sz w:val="24"/>
          <w:szCs w:val="24"/>
        </w:rPr>
        <w:t>.</w:t>
      </w:r>
      <w:r w:rsidRPr="00FD76BD" w:rsidR="00FC49C5">
        <w:rPr>
          <w:rFonts w:cstheme="minorHAnsi"/>
          <w:sz w:val="24"/>
          <w:szCs w:val="24"/>
        </w:rPr>
        <w:t xml:space="preserve"> </w:t>
      </w:r>
    </w:p>
    <w:p w:rsidR="009D5C96" w:rsidRPr="00A345D7" w:rsidP="00A345D7" w14:paraId="33152BC4" w14:textId="5C812AFE">
      <w:pPr>
        <w:spacing w:before="240" w:line="276" w:lineRule="auto"/>
        <w:rPr>
          <w:rFonts w:cstheme="minorHAnsi"/>
          <w:i/>
          <w:iCs/>
          <w:sz w:val="24"/>
          <w:szCs w:val="24"/>
        </w:rPr>
      </w:pPr>
      <w:r>
        <w:rPr>
          <w:rFonts w:cstheme="minorHAnsi"/>
          <w:i/>
          <w:iCs/>
          <w:sz w:val="24"/>
          <w:szCs w:val="24"/>
        </w:rPr>
        <w:t>Emergent</w:t>
      </w:r>
      <w:r>
        <w:rPr>
          <w:rFonts w:cstheme="minorHAnsi"/>
          <w:i/>
          <w:iCs/>
          <w:sz w:val="24"/>
          <w:szCs w:val="24"/>
        </w:rPr>
        <w:t xml:space="preserve"> Drug Panel Kits</w:t>
      </w:r>
    </w:p>
    <w:p w:rsidR="006C4234" w:rsidP="002F703E" w14:paraId="15B5CFD3" w14:textId="63A60D6E">
      <w:pPr>
        <w:spacing w:line="276" w:lineRule="auto"/>
        <w:rPr>
          <w:sz w:val="24"/>
          <w:szCs w:val="24"/>
        </w:rPr>
      </w:pPr>
      <w:r w:rsidRPr="00DD34E4">
        <w:rPr>
          <w:rFonts w:cstheme="minorHAnsi"/>
          <w:sz w:val="24"/>
          <w:szCs w:val="24"/>
        </w:rPr>
        <w:t>To continue this collection, t</w:t>
      </w:r>
      <w:r w:rsidRPr="00DD34E4" w:rsidR="00312BAA">
        <w:rPr>
          <w:rFonts w:cstheme="minorHAnsi"/>
          <w:sz w:val="24"/>
          <w:szCs w:val="24"/>
        </w:rPr>
        <w:t xml:space="preserve">he CDC is requesting </w:t>
      </w:r>
      <w:r w:rsidRPr="00DD34E4" w:rsidR="008716EC">
        <w:rPr>
          <w:rFonts w:cstheme="minorHAnsi"/>
          <w:sz w:val="24"/>
          <w:szCs w:val="24"/>
        </w:rPr>
        <w:t>a three-year Paperwork Reduction Act (PRA) clearance</w:t>
      </w:r>
      <w:r w:rsidRPr="00DD34E4" w:rsidR="00312BAA">
        <w:rPr>
          <w:rFonts w:cstheme="minorHAnsi"/>
          <w:sz w:val="24"/>
          <w:szCs w:val="24"/>
        </w:rPr>
        <w:t xml:space="preserve"> for </w:t>
      </w:r>
      <w:r w:rsidRPr="00DD34E4" w:rsidR="00837D9F">
        <w:rPr>
          <w:rFonts w:cstheme="minorHAnsi"/>
          <w:sz w:val="24"/>
          <w:szCs w:val="24"/>
        </w:rPr>
        <w:t xml:space="preserve">a </w:t>
      </w:r>
      <w:r w:rsidRPr="00DD34E4" w:rsidR="009C49A9">
        <w:rPr>
          <w:rFonts w:cstheme="minorHAnsi"/>
          <w:sz w:val="24"/>
          <w:szCs w:val="24"/>
        </w:rPr>
        <w:t>revision</w:t>
      </w:r>
      <w:r w:rsidRPr="00DD34E4" w:rsidR="00312BAA">
        <w:rPr>
          <w:rFonts w:cstheme="minorHAnsi"/>
          <w:sz w:val="24"/>
          <w:szCs w:val="24"/>
        </w:rPr>
        <w:t xml:space="preserve"> information collection request (ICR)</w:t>
      </w:r>
      <w:r w:rsidRPr="00DD34E4" w:rsidR="006816DA">
        <w:rPr>
          <w:sz w:val="24"/>
          <w:szCs w:val="24"/>
        </w:rPr>
        <w:t>.</w:t>
      </w:r>
      <w:r w:rsidRPr="00DD34E4" w:rsidR="00312BAA">
        <w:rPr>
          <w:sz w:val="24"/>
          <w:szCs w:val="24"/>
        </w:rPr>
        <w:t xml:space="preserve"> </w:t>
      </w:r>
      <w:bookmarkStart w:id="7" w:name="_Hlk112133915"/>
      <w:r w:rsidRPr="00DD34E4" w:rsidR="006816DA">
        <w:rPr>
          <w:sz w:val="24"/>
          <w:szCs w:val="24"/>
        </w:rPr>
        <w:t xml:space="preserve">As part of this revision, </w:t>
      </w:r>
      <w:r w:rsidRPr="00DD34E4" w:rsidR="008716EC">
        <w:rPr>
          <w:sz w:val="24"/>
          <w:szCs w:val="24"/>
        </w:rPr>
        <w:t xml:space="preserve">CDC will </w:t>
      </w:r>
      <w:r w:rsidRPr="00DD34E4" w:rsidR="006C6ADF">
        <w:rPr>
          <w:sz w:val="24"/>
          <w:szCs w:val="24"/>
        </w:rPr>
        <w:t xml:space="preserve">be expanding its </w:t>
      </w:r>
      <w:r w:rsidR="00084AD9">
        <w:rPr>
          <w:sz w:val="24"/>
          <w:szCs w:val="24"/>
        </w:rPr>
        <w:t xml:space="preserve">TOM Kits* </w:t>
      </w:r>
      <w:r w:rsidR="009D5C96">
        <w:rPr>
          <w:sz w:val="24"/>
          <w:szCs w:val="24"/>
        </w:rPr>
        <w:t>program</w:t>
      </w:r>
      <w:r w:rsidRPr="00DD34E4" w:rsidR="006C6ADF">
        <w:rPr>
          <w:sz w:val="24"/>
          <w:szCs w:val="24"/>
        </w:rPr>
        <w:t xml:space="preserve"> to include </w:t>
      </w:r>
      <w:r w:rsidR="006606FB">
        <w:rPr>
          <w:sz w:val="24"/>
          <w:szCs w:val="24"/>
        </w:rPr>
        <w:t>its</w:t>
      </w:r>
      <w:r w:rsidRPr="00DD34E4" w:rsidR="006C6ADF">
        <w:rPr>
          <w:sz w:val="24"/>
          <w:szCs w:val="24"/>
        </w:rPr>
        <w:t xml:space="preserve"> </w:t>
      </w:r>
      <w:r w:rsidR="00B4076A">
        <w:rPr>
          <w:sz w:val="24"/>
          <w:szCs w:val="24"/>
        </w:rPr>
        <w:t xml:space="preserve">new </w:t>
      </w:r>
      <w:r w:rsidR="001F1359">
        <w:rPr>
          <w:sz w:val="24"/>
          <w:szCs w:val="24"/>
        </w:rPr>
        <w:t>Emergent</w:t>
      </w:r>
      <w:r w:rsidRPr="00DD34E4" w:rsidR="006C6ADF">
        <w:rPr>
          <w:sz w:val="24"/>
          <w:szCs w:val="24"/>
        </w:rPr>
        <w:t xml:space="preserve"> Drug Panel (EDP) Kits. </w:t>
      </w:r>
      <w:r w:rsidR="002D4D3B">
        <w:rPr>
          <w:sz w:val="24"/>
          <w:szCs w:val="24"/>
        </w:rPr>
        <w:t>For</w:t>
      </w:r>
      <w:r w:rsidRPr="00A345D7" w:rsidR="00DD34E4">
        <w:rPr>
          <w:sz w:val="24"/>
          <w:szCs w:val="24"/>
        </w:rPr>
        <w:t xml:space="preserve"> the EDP </w:t>
      </w:r>
      <w:r w:rsidR="002D4D3B">
        <w:rPr>
          <w:sz w:val="24"/>
          <w:szCs w:val="24"/>
        </w:rPr>
        <w:t>K</w:t>
      </w:r>
      <w:r w:rsidRPr="00A345D7" w:rsidR="00DD34E4">
        <w:rPr>
          <w:sz w:val="24"/>
          <w:szCs w:val="24"/>
        </w:rPr>
        <w:t>its, the compounds w</w:t>
      </w:r>
      <w:r w:rsidR="00E77607">
        <w:rPr>
          <w:sz w:val="24"/>
          <w:szCs w:val="24"/>
        </w:rPr>
        <w:t>ill be</w:t>
      </w:r>
      <w:r w:rsidRPr="00A345D7" w:rsidR="00DD34E4">
        <w:rPr>
          <w:sz w:val="24"/>
          <w:szCs w:val="24"/>
        </w:rPr>
        <w:t xml:space="preserve"> identified by doing a search of recent lists put out by the DEA and</w:t>
      </w:r>
      <w:r w:rsidR="00DD34E4">
        <w:rPr>
          <w:sz w:val="24"/>
          <w:szCs w:val="24"/>
        </w:rPr>
        <w:t xml:space="preserve"> the</w:t>
      </w:r>
      <w:r w:rsidR="009642F1">
        <w:rPr>
          <w:sz w:val="24"/>
          <w:szCs w:val="24"/>
        </w:rPr>
        <w:t xml:space="preserve"> CFSRE</w:t>
      </w:r>
      <w:r w:rsidRPr="00A345D7" w:rsidR="00DD34E4">
        <w:rPr>
          <w:sz w:val="24"/>
          <w:szCs w:val="24"/>
        </w:rPr>
        <w:t xml:space="preserve">. These lists provide data on all classes of drugs that </w:t>
      </w:r>
      <w:r w:rsidR="006606FB">
        <w:rPr>
          <w:sz w:val="24"/>
          <w:szCs w:val="24"/>
        </w:rPr>
        <w:t>a</w:t>
      </w:r>
      <w:r w:rsidRPr="00A345D7" w:rsidR="00DD34E4">
        <w:rPr>
          <w:sz w:val="24"/>
          <w:szCs w:val="24"/>
        </w:rPr>
        <w:t xml:space="preserve">re recently identified in the field and provide recommendations on which drugs should be included in testing. These lists </w:t>
      </w:r>
      <w:r w:rsidRPr="00A345D7" w:rsidR="00DD34E4">
        <w:rPr>
          <w:sz w:val="24"/>
          <w:szCs w:val="24"/>
        </w:rPr>
        <w:t xml:space="preserve">are updated several times a year and keep </w:t>
      </w:r>
      <w:r w:rsidRPr="00496406" w:rsidR="00DD34E4">
        <w:rPr>
          <w:rFonts w:cstheme="minorHAnsi"/>
          <w:sz w:val="24"/>
          <w:szCs w:val="24"/>
        </w:rPr>
        <w:t xml:space="preserve">up with the changing drug landscape in the United States. </w:t>
      </w:r>
      <w:r w:rsidRPr="002E26F8" w:rsidR="00496406">
        <w:rPr>
          <w:rFonts w:cstheme="minorHAnsi"/>
          <w:sz w:val="24"/>
          <w:szCs w:val="24"/>
        </w:rPr>
        <w:t>For the current round, EDP Kits will include s</w:t>
      </w:r>
      <w:r w:rsidRPr="002E26F8" w:rsidR="00496406">
        <w:rPr>
          <w:rFonts w:cstheme="minorHAnsi"/>
          <w:bCs/>
          <w:sz w:val="24"/>
          <w:szCs w:val="24"/>
        </w:rPr>
        <w:t>ynthetic cannabinoids</w:t>
      </w:r>
      <w:r w:rsidRPr="002E26F8" w:rsidR="00496406">
        <w:rPr>
          <w:rFonts w:cstheme="minorHAnsi"/>
          <w:sz w:val="24"/>
          <w:szCs w:val="24"/>
        </w:rPr>
        <w:t xml:space="preserve">, </w:t>
      </w:r>
      <w:r w:rsidRPr="002E26F8" w:rsidR="00496406">
        <w:rPr>
          <w:rFonts w:cstheme="minorHAnsi"/>
          <w:bCs/>
          <w:sz w:val="24"/>
          <w:szCs w:val="24"/>
        </w:rPr>
        <w:t>stimulants, hallucinogens</w:t>
      </w:r>
      <w:r w:rsidRPr="002E26F8" w:rsidR="00496406">
        <w:rPr>
          <w:rFonts w:cstheme="minorHAnsi"/>
          <w:sz w:val="24"/>
          <w:szCs w:val="24"/>
        </w:rPr>
        <w:t>, and b</w:t>
      </w:r>
      <w:r w:rsidRPr="002E26F8" w:rsidR="00496406">
        <w:rPr>
          <w:rFonts w:cstheme="minorHAnsi"/>
          <w:bCs/>
          <w:sz w:val="24"/>
          <w:szCs w:val="24"/>
        </w:rPr>
        <w:t>enzodiazepines</w:t>
      </w:r>
      <w:r w:rsidR="00AD2336">
        <w:rPr>
          <w:rFonts w:cstheme="minorHAnsi"/>
          <w:bCs/>
          <w:sz w:val="24"/>
          <w:szCs w:val="24"/>
        </w:rPr>
        <w:t xml:space="preserve"> as well as opioids</w:t>
      </w:r>
      <w:r w:rsidRPr="002E26F8" w:rsidR="00496406">
        <w:rPr>
          <w:rFonts w:cstheme="minorHAnsi"/>
          <w:sz w:val="24"/>
          <w:szCs w:val="24"/>
        </w:rPr>
        <w:t>.</w:t>
      </w:r>
    </w:p>
    <w:bookmarkEnd w:id="7"/>
    <w:p w:rsidR="006C4234" w:rsidRPr="00A345D7" w:rsidP="00A345D7" w14:paraId="46C73F31" w14:textId="5D0D408A">
      <w:pPr>
        <w:spacing w:before="240" w:line="276" w:lineRule="auto"/>
        <w:rPr>
          <w:i/>
          <w:iCs/>
          <w:sz w:val="24"/>
          <w:szCs w:val="24"/>
        </w:rPr>
      </w:pPr>
      <w:r>
        <w:rPr>
          <w:i/>
          <w:iCs/>
          <w:sz w:val="24"/>
          <w:szCs w:val="24"/>
        </w:rPr>
        <w:t>Distribution to Domestic and International Laboratories</w:t>
      </w:r>
    </w:p>
    <w:p w:rsidR="002F703E" w:rsidRPr="00A22B9E" w:rsidP="002F703E" w14:paraId="7ED5744B" w14:textId="299E6F7B">
      <w:pPr>
        <w:spacing w:line="276" w:lineRule="auto"/>
        <w:rPr>
          <w:sz w:val="24"/>
          <w:szCs w:val="24"/>
        </w:rPr>
      </w:pPr>
      <w:bookmarkStart w:id="8" w:name="_Hlk112135841"/>
      <w:r>
        <w:rPr>
          <w:sz w:val="24"/>
          <w:szCs w:val="24"/>
        </w:rPr>
        <w:t xml:space="preserve">CDC will </w:t>
      </w:r>
      <w:r w:rsidRPr="009804DE" w:rsidR="008716EC">
        <w:rPr>
          <w:sz w:val="24"/>
          <w:szCs w:val="24"/>
        </w:rPr>
        <w:t xml:space="preserve">continue to distribute </w:t>
      </w:r>
      <w:r w:rsidR="00E523BC">
        <w:rPr>
          <w:sz w:val="24"/>
          <w:szCs w:val="24"/>
        </w:rPr>
        <w:t>TOM</w:t>
      </w:r>
      <w:r w:rsidRPr="009804DE" w:rsidR="008716EC">
        <w:rPr>
          <w:sz w:val="24"/>
          <w:szCs w:val="24"/>
        </w:rPr>
        <w:t xml:space="preserve"> Kits</w:t>
      </w:r>
      <w:r w:rsidR="00E523BC">
        <w:rPr>
          <w:sz w:val="24"/>
          <w:szCs w:val="24"/>
        </w:rPr>
        <w:t>*</w:t>
      </w:r>
      <w:r w:rsidR="00BD00AA">
        <w:rPr>
          <w:sz w:val="24"/>
          <w:szCs w:val="24"/>
        </w:rPr>
        <w:t>,</w:t>
      </w:r>
      <w:r w:rsidRPr="009804DE" w:rsidR="008716EC">
        <w:rPr>
          <w:sz w:val="24"/>
          <w:szCs w:val="24"/>
        </w:rPr>
        <w:t xml:space="preserve"> </w:t>
      </w:r>
      <w:r w:rsidR="00D063EC">
        <w:rPr>
          <w:sz w:val="24"/>
          <w:szCs w:val="24"/>
        </w:rPr>
        <w:t xml:space="preserve">including </w:t>
      </w:r>
      <w:r w:rsidR="00BD00AA">
        <w:rPr>
          <w:sz w:val="24"/>
          <w:szCs w:val="24"/>
        </w:rPr>
        <w:t xml:space="preserve">the new </w:t>
      </w:r>
      <w:r>
        <w:rPr>
          <w:sz w:val="24"/>
          <w:szCs w:val="24"/>
        </w:rPr>
        <w:t>EDP Kits</w:t>
      </w:r>
      <w:r w:rsidR="00BD00AA">
        <w:rPr>
          <w:sz w:val="24"/>
          <w:szCs w:val="24"/>
        </w:rPr>
        <w:t>,</w:t>
      </w:r>
      <w:r>
        <w:rPr>
          <w:sz w:val="24"/>
          <w:szCs w:val="24"/>
        </w:rPr>
        <w:t xml:space="preserve"> </w:t>
      </w:r>
      <w:r w:rsidRPr="009804DE" w:rsidR="008716EC">
        <w:rPr>
          <w:sz w:val="24"/>
          <w:szCs w:val="24"/>
        </w:rPr>
        <w:t>through a single vendor</w:t>
      </w:r>
      <w:r w:rsidR="00E523BC">
        <w:rPr>
          <w:sz w:val="24"/>
          <w:szCs w:val="24"/>
        </w:rPr>
        <w:t xml:space="preserve"> instead of the previous two</w:t>
      </w:r>
      <w:r w:rsidRPr="009804DE" w:rsidR="008716EC">
        <w:rPr>
          <w:sz w:val="24"/>
          <w:szCs w:val="24"/>
        </w:rPr>
        <w:t xml:space="preserve">. </w:t>
      </w:r>
      <w:r>
        <w:rPr>
          <w:sz w:val="24"/>
          <w:szCs w:val="24"/>
        </w:rPr>
        <w:t>The CDC vendor will distribute these kits to domestic</w:t>
      </w:r>
      <w:r w:rsidR="00A22B9E">
        <w:rPr>
          <w:sz w:val="24"/>
          <w:szCs w:val="24"/>
        </w:rPr>
        <w:t xml:space="preserve"> laboratories, as previously approved</w:t>
      </w:r>
      <w:r w:rsidR="00EE22B7">
        <w:rPr>
          <w:sz w:val="24"/>
          <w:szCs w:val="24"/>
        </w:rPr>
        <w:t>.</w:t>
      </w:r>
      <w:r>
        <w:rPr>
          <w:sz w:val="24"/>
          <w:szCs w:val="24"/>
        </w:rPr>
        <w:t xml:space="preserve"> </w:t>
      </w:r>
      <w:r w:rsidR="00AA2254">
        <w:rPr>
          <w:sz w:val="24"/>
          <w:szCs w:val="24"/>
        </w:rPr>
        <w:t xml:space="preserve">Additionally, the CDC vendor will now ship TOM Kits*, </w:t>
      </w:r>
      <w:r w:rsidR="003424D4">
        <w:rPr>
          <w:sz w:val="24"/>
          <w:szCs w:val="24"/>
        </w:rPr>
        <w:t xml:space="preserve">currently </w:t>
      </w:r>
      <w:r w:rsidR="00AA2254">
        <w:rPr>
          <w:sz w:val="24"/>
          <w:szCs w:val="24"/>
        </w:rPr>
        <w:t xml:space="preserve">excluding the EDP kits, </w:t>
      </w:r>
      <w:r w:rsidR="00A22B9E">
        <w:rPr>
          <w:sz w:val="24"/>
          <w:szCs w:val="24"/>
        </w:rPr>
        <w:t xml:space="preserve">to </w:t>
      </w:r>
      <w:r w:rsidRPr="00EC020C">
        <w:rPr>
          <w:sz w:val="24"/>
          <w:szCs w:val="24"/>
        </w:rPr>
        <w:t>international laboratories</w:t>
      </w:r>
      <w:r w:rsidRPr="00EC020C" w:rsidR="00A22B9E">
        <w:rPr>
          <w:sz w:val="24"/>
          <w:szCs w:val="24"/>
        </w:rPr>
        <w:t xml:space="preserve"> in partnership with t</w:t>
      </w:r>
      <w:r w:rsidRPr="00EC020C" w:rsidR="00F05274">
        <w:rPr>
          <w:rFonts w:cstheme="minorHAnsi"/>
          <w:sz w:val="24"/>
          <w:szCs w:val="24"/>
        </w:rPr>
        <w:t>he United Nations (UN)</w:t>
      </w:r>
      <w:r w:rsidRPr="00EC020C" w:rsidR="006606FB">
        <w:rPr>
          <w:rStyle w:val="Hyperlink"/>
          <w:rFonts w:cstheme="minorHAnsi"/>
          <w:color w:val="auto"/>
          <w:sz w:val="24"/>
          <w:szCs w:val="24"/>
          <w:u w:val="none"/>
        </w:rPr>
        <w:t xml:space="preserve"> and </w:t>
      </w:r>
      <w:r w:rsidRPr="00EC020C" w:rsidR="002E26F8">
        <w:rPr>
          <w:rStyle w:val="Hyperlink"/>
          <w:rFonts w:cstheme="minorHAnsi"/>
          <w:color w:val="auto"/>
          <w:sz w:val="24"/>
          <w:szCs w:val="24"/>
          <w:u w:val="none"/>
        </w:rPr>
        <w:t xml:space="preserve">under a separate non-CDC contract with the </w:t>
      </w:r>
      <w:r w:rsidRPr="00EC020C" w:rsidR="006606FB">
        <w:rPr>
          <w:rFonts w:cstheme="minorHAnsi"/>
          <w:sz w:val="24"/>
          <w:szCs w:val="24"/>
          <w:shd w:val="clear" w:color="auto" w:fill="FFFFFF"/>
        </w:rPr>
        <w:t xml:space="preserve">International Narcotics Control Board (INCB) </w:t>
      </w:r>
      <w:r w:rsidRPr="003424D4" w:rsidR="006606FB">
        <w:rPr>
          <w:rFonts w:cstheme="minorHAnsi"/>
          <w:sz w:val="24"/>
          <w:szCs w:val="24"/>
          <w:shd w:val="clear" w:color="auto" w:fill="FFFFFF"/>
        </w:rPr>
        <w:t xml:space="preserve">(hereafter, </w:t>
      </w:r>
      <w:r w:rsidRPr="003424D4" w:rsidR="006559AF">
        <w:rPr>
          <w:rFonts w:cstheme="minorHAnsi"/>
          <w:sz w:val="24"/>
          <w:szCs w:val="24"/>
          <w:shd w:val="clear" w:color="auto" w:fill="FFFFFF"/>
        </w:rPr>
        <w:t xml:space="preserve">collectively coined </w:t>
      </w:r>
      <w:r w:rsidRPr="003424D4" w:rsidR="006606FB">
        <w:rPr>
          <w:rFonts w:cstheme="minorHAnsi"/>
          <w:sz w:val="24"/>
          <w:szCs w:val="24"/>
          <w:shd w:val="clear" w:color="auto" w:fill="FFFFFF"/>
        </w:rPr>
        <w:t>the “UN”)</w:t>
      </w:r>
      <w:r w:rsidRPr="003424D4">
        <w:rPr>
          <w:rFonts w:cstheme="minorHAnsi"/>
          <w:sz w:val="24"/>
          <w:szCs w:val="24"/>
        </w:rPr>
        <w:t xml:space="preserve">. </w:t>
      </w:r>
      <w:r w:rsidR="00A22B9E">
        <w:rPr>
          <w:rFonts w:cstheme="minorHAnsi"/>
          <w:sz w:val="24"/>
          <w:szCs w:val="24"/>
        </w:rPr>
        <w:t>T</w:t>
      </w:r>
      <w:r w:rsidRPr="00F10FB1" w:rsidR="00525663">
        <w:rPr>
          <w:rFonts w:cstheme="minorHAnsi"/>
          <w:sz w:val="24"/>
          <w:szCs w:val="24"/>
        </w:rPr>
        <w:t xml:space="preserve">he CDC vendor </w:t>
      </w:r>
      <w:r w:rsidR="00A22B9E">
        <w:rPr>
          <w:rFonts w:cstheme="minorHAnsi"/>
          <w:sz w:val="24"/>
          <w:szCs w:val="24"/>
        </w:rPr>
        <w:t>may</w:t>
      </w:r>
      <w:r w:rsidRPr="00F10FB1" w:rsidR="00525663">
        <w:rPr>
          <w:rFonts w:cstheme="minorHAnsi"/>
          <w:sz w:val="24"/>
          <w:szCs w:val="24"/>
        </w:rPr>
        <w:t xml:space="preserve"> direct ship </w:t>
      </w:r>
      <w:r w:rsidR="00A22B9E">
        <w:rPr>
          <w:rFonts w:cstheme="minorHAnsi"/>
          <w:sz w:val="24"/>
          <w:szCs w:val="24"/>
        </w:rPr>
        <w:t>these kits</w:t>
      </w:r>
      <w:r w:rsidRPr="00F10FB1" w:rsidR="00525663">
        <w:rPr>
          <w:rFonts w:cstheme="minorHAnsi"/>
          <w:sz w:val="24"/>
          <w:szCs w:val="24"/>
        </w:rPr>
        <w:t xml:space="preserve"> to select international laboratories</w:t>
      </w:r>
      <w:r w:rsidR="00A22B9E">
        <w:rPr>
          <w:rFonts w:cstheme="minorHAnsi"/>
          <w:sz w:val="24"/>
          <w:szCs w:val="24"/>
        </w:rPr>
        <w:t xml:space="preserve"> </w:t>
      </w:r>
      <w:r w:rsidR="00F915EB">
        <w:rPr>
          <w:rFonts w:cstheme="minorHAnsi"/>
          <w:sz w:val="24"/>
          <w:szCs w:val="24"/>
        </w:rPr>
        <w:t>upon</w:t>
      </w:r>
      <w:r w:rsidR="00A22B9E">
        <w:rPr>
          <w:rFonts w:cstheme="minorHAnsi"/>
          <w:sz w:val="24"/>
          <w:szCs w:val="24"/>
        </w:rPr>
        <w:t xml:space="preserve"> UN</w:t>
      </w:r>
      <w:r w:rsidR="00F915EB">
        <w:rPr>
          <w:rFonts w:cstheme="minorHAnsi"/>
          <w:sz w:val="24"/>
          <w:szCs w:val="24"/>
        </w:rPr>
        <w:t xml:space="preserve"> request</w:t>
      </w:r>
      <w:r w:rsidRPr="00F10FB1" w:rsidR="00525663">
        <w:rPr>
          <w:rFonts w:cstheme="minorHAnsi"/>
          <w:sz w:val="24"/>
          <w:szCs w:val="24"/>
        </w:rPr>
        <w:t>.</w:t>
      </w:r>
    </w:p>
    <w:bookmarkEnd w:id="8"/>
    <w:p w:rsidR="00B47A30" w:rsidP="002F703E" w14:paraId="5BF0604F" w14:textId="198DA66B">
      <w:pPr>
        <w:spacing w:line="276" w:lineRule="auto"/>
        <w:rPr>
          <w:sz w:val="24"/>
          <w:szCs w:val="24"/>
        </w:rPr>
      </w:pPr>
      <w:r w:rsidRPr="009804DE">
        <w:rPr>
          <w:sz w:val="24"/>
          <w:szCs w:val="24"/>
        </w:rPr>
        <w:t xml:space="preserve">CDC is updating </w:t>
      </w:r>
      <w:r w:rsidRPr="009804DE">
        <w:rPr>
          <w:b/>
          <w:bCs/>
          <w:sz w:val="24"/>
          <w:szCs w:val="24"/>
        </w:rPr>
        <w:t xml:space="preserve">Attachment </w:t>
      </w:r>
      <w:r w:rsidR="00BD00AA">
        <w:rPr>
          <w:b/>
          <w:bCs/>
          <w:sz w:val="24"/>
          <w:szCs w:val="24"/>
        </w:rPr>
        <w:t>5</w:t>
      </w:r>
      <w:r w:rsidR="00A50C89">
        <w:rPr>
          <w:b/>
          <w:bCs/>
          <w:sz w:val="24"/>
          <w:szCs w:val="24"/>
        </w:rPr>
        <w:t>a</w:t>
      </w:r>
      <w:r w:rsidRPr="009804DE">
        <w:rPr>
          <w:sz w:val="24"/>
          <w:szCs w:val="24"/>
        </w:rPr>
        <w:t xml:space="preserve"> </w:t>
      </w:r>
      <w:r w:rsidR="002F703E">
        <w:rPr>
          <w:sz w:val="24"/>
          <w:szCs w:val="24"/>
        </w:rPr>
        <w:t xml:space="preserve">(formerly </w:t>
      </w:r>
      <w:r w:rsidR="002F703E">
        <w:rPr>
          <w:b/>
          <w:bCs/>
          <w:sz w:val="24"/>
          <w:szCs w:val="24"/>
        </w:rPr>
        <w:t xml:space="preserve">Attachment </w:t>
      </w:r>
      <w:r w:rsidR="00E77607">
        <w:rPr>
          <w:b/>
          <w:bCs/>
          <w:sz w:val="24"/>
          <w:szCs w:val="24"/>
        </w:rPr>
        <w:t>7</w:t>
      </w:r>
      <w:r w:rsidR="002F703E">
        <w:rPr>
          <w:sz w:val="24"/>
          <w:szCs w:val="24"/>
        </w:rPr>
        <w:t xml:space="preserve">) </w:t>
      </w:r>
      <w:r w:rsidRPr="008D6F0E">
        <w:rPr>
          <w:sz w:val="24"/>
          <w:szCs w:val="24"/>
        </w:rPr>
        <w:t>to display</w:t>
      </w:r>
      <w:r w:rsidRPr="009804DE">
        <w:rPr>
          <w:sz w:val="24"/>
          <w:szCs w:val="24"/>
        </w:rPr>
        <w:t xml:space="preserve"> the</w:t>
      </w:r>
      <w:r w:rsidRPr="008D6F0E">
        <w:rPr>
          <w:sz w:val="24"/>
          <w:szCs w:val="24"/>
        </w:rPr>
        <w:t xml:space="preserve"> </w:t>
      </w:r>
      <w:r w:rsidRPr="009804DE">
        <w:rPr>
          <w:sz w:val="24"/>
          <w:szCs w:val="24"/>
        </w:rPr>
        <w:t>vendor</w:t>
      </w:r>
      <w:r w:rsidRPr="008D6F0E">
        <w:rPr>
          <w:sz w:val="24"/>
          <w:szCs w:val="24"/>
        </w:rPr>
        <w:t>’s</w:t>
      </w:r>
      <w:r w:rsidRPr="009804DE">
        <w:rPr>
          <w:sz w:val="24"/>
          <w:szCs w:val="24"/>
        </w:rPr>
        <w:t xml:space="preserve"> online application and </w:t>
      </w:r>
      <w:r w:rsidR="00327A84">
        <w:rPr>
          <w:sz w:val="24"/>
          <w:szCs w:val="24"/>
        </w:rPr>
        <w:t xml:space="preserve">questions </w:t>
      </w:r>
      <w:r w:rsidR="00C3684A">
        <w:rPr>
          <w:sz w:val="24"/>
          <w:szCs w:val="24"/>
        </w:rPr>
        <w:t>for US laboratories</w:t>
      </w:r>
      <w:r w:rsidRPr="009804DE">
        <w:rPr>
          <w:sz w:val="24"/>
          <w:szCs w:val="24"/>
        </w:rPr>
        <w:t xml:space="preserve">. </w:t>
      </w:r>
      <w:r>
        <w:rPr>
          <w:sz w:val="24"/>
          <w:szCs w:val="24"/>
        </w:rPr>
        <w:t>CDC is proposing several modifications to the</w:t>
      </w:r>
      <w:r w:rsidR="00A50C89">
        <w:rPr>
          <w:sz w:val="24"/>
          <w:szCs w:val="24"/>
        </w:rPr>
        <w:t xml:space="preserve"> questions</w:t>
      </w:r>
      <w:r>
        <w:rPr>
          <w:sz w:val="24"/>
          <w:szCs w:val="24"/>
        </w:rPr>
        <w:t xml:space="preserve"> to </w:t>
      </w:r>
      <w:r w:rsidRPr="00AC7083">
        <w:rPr>
          <w:sz w:val="24"/>
          <w:szCs w:val="24"/>
        </w:rPr>
        <w:t xml:space="preserve">accommodate the next round of vendor requirements. </w:t>
      </w:r>
      <w:r w:rsidR="00787A2A">
        <w:rPr>
          <w:sz w:val="24"/>
          <w:szCs w:val="24"/>
        </w:rPr>
        <w:t xml:space="preserve">See </w:t>
      </w:r>
      <w:r w:rsidRPr="00787A2A" w:rsidR="00787A2A">
        <w:rPr>
          <w:b/>
          <w:bCs/>
          <w:sz w:val="24"/>
          <w:szCs w:val="24"/>
        </w:rPr>
        <w:t>Section A.15</w:t>
      </w:r>
      <w:r w:rsidR="00787A2A">
        <w:rPr>
          <w:sz w:val="24"/>
          <w:szCs w:val="24"/>
        </w:rPr>
        <w:t xml:space="preserve"> for a detailed description of the form modifications.</w:t>
      </w:r>
    </w:p>
    <w:p w:rsidR="006C4234" w:rsidP="007977CA" w14:paraId="6CEA03E3" w14:textId="43973B0F">
      <w:pPr>
        <w:spacing w:line="276" w:lineRule="auto"/>
        <w:rPr>
          <w:rFonts w:cstheme="minorHAnsi"/>
          <w:sz w:val="24"/>
          <w:szCs w:val="24"/>
        </w:rPr>
      </w:pPr>
      <w:r>
        <w:rPr>
          <w:sz w:val="24"/>
          <w:szCs w:val="24"/>
        </w:rPr>
        <w:t>As part of the revision ICR</w:t>
      </w:r>
      <w:r w:rsidR="006E3EE3">
        <w:rPr>
          <w:sz w:val="24"/>
          <w:szCs w:val="24"/>
        </w:rPr>
        <w:t xml:space="preserve"> and in parallel to the domestic application information, </w:t>
      </w:r>
      <w:r w:rsidR="00F61F62">
        <w:rPr>
          <w:sz w:val="24"/>
          <w:szCs w:val="24"/>
        </w:rPr>
        <w:t xml:space="preserve">the </w:t>
      </w:r>
      <w:r w:rsidR="0029011B">
        <w:rPr>
          <w:sz w:val="24"/>
          <w:szCs w:val="24"/>
        </w:rPr>
        <w:t>CDC vendor</w:t>
      </w:r>
      <w:r w:rsidR="00F61F62">
        <w:rPr>
          <w:sz w:val="24"/>
          <w:szCs w:val="24"/>
        </w:rPr>
        <w:t xml:space="preserve"> will </w:t>
      </w:r>
      <w:r w:rsidR="00C62C60">
        <w:rPr>
          <w:sz w:val="24"/>
          <w:szCs w:val="24"/>
        </w:rPr>
        <w:t>also</w:t>
      </w:r>
      <w:r w:rsidR="00E11E9A">
        <w:rPr>
          <w:sz w:val="24"/>
          <w:szCs w:val="24"/>
        </w:rPr>
        <w:t xml:space="preserve"> </w:t>
      </w:r>
      <w:r w:rsidR="00F61F62">
        <w:rPr>
          <w:sz w:val="24"/>
          <w:szCs w:val="24"/>
        </w:rPr>
        <w:t>receive test kit applications</w:t>
      </w:r>
      <w:r>
        <w:rPr>
          <w:sz w:val="24"/>
          <w:szCs w:val="24"/>
        </w:rPr>
        <w:t xml:space="preserve"> </w:t>
      </w:r>
      <w:r w:rsidR="00F61F62">
        <w:rPr>
          <w:sz w:val="24"/>
          <w:szCs w:val="24"/>
        </w:rPr>
        <w:t>from</w:t>
      </w:r>
      <w:r>
        <w:rPr>
          <w:sz w:val="24"/>
          <w:szCs w:val="24"/>
        </w:rPr>
        <w:t xml:space="preserve"> international laboratories </w:t>
      </w:r>
      <w:r w:rsidR="0048725C">
        <w:rPr>
          <w:sz w:val="24"/>
          <w:szCs w:val="24"/>
        </w:rPr>
        <w:t xml:space="preserve">which are </w:t>
      </w:r>
      <w:r w:rsidR="00E11E9A">
        <w:rPr>
          <w:sz w:val="24"/>
          <w:szCs w:val="24"/>
        </w:rPr>
        <w:t>directed to the CDC vendor website by the UN</w:t>
      </w:r>
      <w:r w:rsidR="00F61F62">
        <w:rPr>
          <w:rFonts w:cstheme="minorHAnsi"/>
          <w:sz w:val="24"/>
          <w:szCs w:val="24"/>
        </w:rPr>
        <w:t xml:space="preserve">, assign each lab a unique ID, and then direct the applicants to complete questions on their laboratory characteristics using the CDC vendor website, and identified only by their unique lab ID. See the </w:t>
      </w:r>
      <w:r>
        <w:rPr>
          <w:sz w:val="24"/>
          <w:szCs w:val="24"/>
        </w:rPr>
        <w:t xml:space="preserve">new </w:t>
      </w:r>
      <w:r>
        <w:rPr>
          <w:b/>
          <w:bCs/>
          <w:sz w:val="24"/>
          <w:szCs w:val="24"/>
        </w:rPr>
        <w:t xml:space="preserve">Attachment </w:t>
      </w:r>
      <w:r w:rsidR="00BD00AA">
        <w:rPr>
          <w:b/>
          <w:bCs/>
          <w:sz w:val="24"/>
          <w:szCs w:val="24"/>
        </w:rPr>
        <w:t>5</w:t>
      </w:r>
      <w:r>
        <w:rPr>
          <w:b/>
          <w:bCs/>
          <w:sz w:val="24"/>
          <w:szCs w:val="24"/>
        </w:rPr>
        <w:t>b</w:t>
      </w:r>
      <w:r w:rsidRPr="00A345D7" w:rsidR="00BD00AA">
        <w:rPr>
          <w:sz w:val="24"/>
          <w:szCs w:val="24"/>
        </w:rPr>
        <w:t>.</w:t>
      </w:r>
    </w:p>
    <w:p w:rsidR="006C4234" w:rsidRPr="00A345D7" w:rsidP="00A345D7" w14:paraId="7ACC009B" w14:textId="0BDA1650">
      <w:pPr>
        <w:spacing w:before="240" w:line="276" w:lineRule="auto"/>
        <w:rPr>
          <w:rFonts w:cstheme="minorHAnsi"/>
          <w:i/>
          <w:iCs/>
          <w:sz w:val="24"/>
          <w:szCs w:val="24"/>
        </w:rPr>
      </w:pPr>
      <w:r>
        <w:rPr>
          <w:rFonts w:cstheme="minorHAnsi"/>
          <w:i/>
          <w:iCs/>
          <w:sz w:val="24"/>
          <w:szCs w:val="24"/>
        </w:rPr>
        <w:t xml:space="preserve">Proposed Changes to </w:t>
      </w:r>
      <w:r>
        <w:rPr>
          <w:rFonts w:cstheme="minorHAnsi"/>
          <w:i/>
          <w:iCs/>
          <w:sz w:val="24"/>
          <w:szCs w:val="24"/>
        </w:rPr>
        <w:t>Estimated Burden Hours and Responses</w:t>
      </w:r>
    </w:p>
    <w:p w:rsidR="00B72443" w:rsidP="007977CA" w14:paraId="48DEE1BF" w14:textId="2B9CFD09">
      <w:pPr>
        <w:spacing w:line="276" w:lineRule="auto"/>
        <w:rPr>
          <w:rFonts w:cstheme="minorHAnsi"/>
          <w:sz w:val="24"/>
          <w:szCs w:val="24"/>
        </w:rPr>
      </w:pPr>
      <w:bookmarkStart w:id="9" w:name="_Hlk112086809"/>
      <w:r w:rsidRPr="002361A8">
        <w:rPr>
          <w:rFonts w:cstheme="minorHAnsi"/>
          <w:sz w:val="24"/>
          <w:szCs w:val="24"/>
        </w:rPr>
        <w:t xml:space="preserve">The following </w:t>
      </w:r>
      <w:r>
        <w:rPr>
          <w:rFonts w:cstheme="minorHAnsi"/>
          <w:sz w:val="24"/>
          <w:szCs w:val="24"/>
        </w:rPr>
        <w:t xml:space="preserve">changes to </w:t>
      </w:r>
      <w:r w:rsidRPr="002361A8">
        <w:rPr>
          <w:rFonts w:cstheme="minorHAnsi"/>
          <w:sz w:val="24"/>
          <w:szCs w:val="24"/>
        </w:rPr>
        <w:t xml:space="preserve">burden hours and </w:t>
      </w:r>
      <w:r w:rsidR="00E77607">
        <w:rPr>
          <w:rFonts w:cstheme="minorHAnsi"/>
          <w:sz w:val="24"/>
          <w:szCs w:val="24"/>
        </w:rPr>
        <w:t xml:space="preserve">to </w:t>
      </w:r>
      <w:r w:rsidR="00A212F1">
        <w:rPr>
          <w:rFonts w:cstheme="minorHAnsi"/>
          <w:sz w:val="24"/>
          <w:szCs w:val="24"/>
        </w:rPr>
        <w:t xml:space="preserve">the </w:t>
      </w:r>
      <w:r w:rsidRPr="002361A8">
        <w:rPr>
          <w:rFonts w:cstheme="minorHAnsi"/>
          <w:sz w:val="24"/>
          <w:szCs w:val="24"/>
        </w:rPr>
        <w:t xml:space="preserve">number of responses </w:t>
      </w:r>
      <w:r w:rsidR="00966130">
        <w:rPr>
          <w:rFonts w:cstheme="minorHAnsi"/>
          <w:sz w:val="24"/>
          <w:szCs w:val="24"/>
        </w:rPr>
        <w:t xml:space="preserve">per year </w:t>
      </w:r>
      <w:r w:rsidR="00A212F1">
        <w:rPr>
          <w:rFonts w:cstheme="minorHAnsi"/>
          <w:sz w:val="24"/>
          <w:szCs w:val="24"/>
        </w:rPr>
        <w:t xml:space="preserve">are </w:t>
      </w:r>
      <w:r w:rsidR="00E77607">
        <w:rPr>
          <w:rFonts w:cstheme="minorHAnsi"/>
          <w:sz w:val="24"/>
          <w:szCs w:val="24"/>
        </w:rPr>
        <w:t>as follows</w:t>
      </w:r>
      <w:r w:rsidRPr="002361A8">
        <w:rPr>
          <w:rFonts w:cstheme="minorHAnsi"/>
          <w:sz w:val="24"/>
          <w:szCs w:val="24"/>
        </w:rPr>
        <w:t>.</w:t>
      </w:r>
      <w:r>
        <w:rPr>
          <w:rFonts w:cstheme="minorHAnsi"/>
          <w:sz w:val="24"/>
          <w:szCs w:val="24"/>
        </w:rPr>
        <w:t xml:space="preserve"> </w:t>
      </w:r>
      <w:r>
        <w:rPr>
          <w:rFonts w:cstheme="minorHAnsi"/>
          <w:sz w:val="24"/>
          <w:szCs w:val="24"/>
        </w:rPr>
        <w:t xml:space="preserve">We estimate a total time burden of </w:t>
      </w:r>
      <w:r w:rsidR="002E26F8">
        <w:rPr>
          <w:rFonts w:cstheme="minorHAnsi"/>
          <w:sz w:val="24"/>
          <w:szCs w:val="24"/>
        </w:rPr>
        <w:t>8</w:t>
      </w:r>
      <w:r>
        <w:rPr>
          <w:rFonts w:cstheme="minorHAnsi"/>
          <w:sz w:val="24"/>
          <w:szCs w:val="24"/>
        </w:rPr>
        <w:t xml:space="preserve">0 hours, which is a decrease of </w:t>
      </w:r>
      <w:r w:rsidR="002E26F8">
        <w:rPr>
          <w:rFonts w:cstheme="minorHAnsi"/>
          <w:sz w:val="24"/>
          <w:szCs w:val="24"/>
        </w:rPr>
        <w:t>4</w:t>
      </w:r>
      <w:r>
        <w:rPr>
          <w:rFonts w:cstheme="minorHAnsi"/>
          <w:sz w:val="24"/>
          <w:szCs w:val="24"/>
        </w:rPr>
        <w:t xml:space="preserve">0 hours over the previously approved 120 hours. We estimate </w:t>
      </w:r>
      <w:r w:rsidR="000A66CD">
        <w:rPr>
          <w:rFonts w:cstheme="minorHAnsi"/>
          <w:sz w:val="24"/>
          <w:szCs w:val="24"/>
        </w:rPr>
        <w:t>a</w:t>
      </w:r>
      <w:r>
        <w:rPr>
          <w:rFonts w:cstheme="minorHAnsi"/>
          <w:sz w:val="24"/>
          <w:szCs w:val="24"/>
        </w:rPr>
        <w:t xml:space="preserve"> total number of </w:t>
      </w:r>
      <w:r w:rsidR="002E26F8">
        <w:rPr>
          <w:rFonts w:cstheme="minorHAnsi"/>
          <w:sz w:val="24"/>
          <w:szCs w:val="24"/>
        </w:rPr>
        <w:t>9</w:t>
      </w:r>
      <w:r>
        <w:rPr>
          <w:rFonts w:cstheme="minorHAnsi"/>
          <w:sz w:val="24"/>
          <w:szCs w:val="24"/>
        </w:rPr>
        <w:t>0</w:t>
      </w:r>
      <w:r w:rsidR="002E26F8">
        <w:rPr>
          <w:rFonts w:cstheme="minorHAnsi"/>
          <w:sz w:val="24"/>
          <w:szCs w:val="24"/>
        </w:rPr>
        <w:t>0</w:t>
      </w:r>
      <w:r>
        <w:rPr>
          <w:rFonts w:cstheme="minorHAnsi"/>
          <w:sz w:val="24"/>
          <w:szCs w:val="24"/>
        </w:rPr>
        <w:t xml:space="preserve"> annual responses which is a decrease of </w:t>
      </w:r>
      <w:r w:rsidR="002E26F8">
        <w:rPr>
          <w:rFonts w:cstheme="minorHAnsi"/>
          <w:sz w:val="24"/>
          <w:szCs w:val="24"/>
        </w:rPr>
        <w:t>300</w:t>
      </w:r>
      <w:r>
        <w:rPr>
          <w:rFonts w:cstheme="minorHAnsi"/>
          <w:sz w:val="24"/>
          <w:szCs w:val="24"/>
        </w:rPr>
        <w:t xml:space="preserve"> over the previously approved 1,200 responses.</w:t>
      </w:r>
    </w:p>
    <w:p w:rsidR="00D947C3" w:rsidP="00D40333" w14:paraId="2EBE5F13" w14:textId="40A40BA0">
      <w:pPr>
        <w:pStyle w:val="ListParagraph"/>
        <w:numPr>
          <w:ilvl w:val="0"/>
          <w:numId w:val="14"/>
        </w:numPr>
        <w:spacing w:line="276" w:lineRule="auto"/>
        <w:rPr>
          <w:rFonts w:cstheme="minorHAnsi"/>
          <w:sz w:val="24"/>
          <w:szCs w:val="24"/>
        </w:rPr>
      </w:pPr>
      <w:r w:rsidRPr="00BB52F8">
        <w:rPr>
          <w:rFonts w:cstheme="minorHAnsi"/>
          <w:sz w:val="24"/>
          <w:szCs w:val="24"/>
        </w:rPr>
        <w:t xml:space="preserve">We anticipate that 600 </w:t>
      </w:r>
      <w:r w:rsidRPr="00BB52F8" w:rsidR="00B72443">
        <w:rPr>
          <w:rFonts w:cstheme="minorHAnsi"/>
          <w:sz w:val="24"/>
          <w:szCs w:val="24"/>
        </w:rPr>
        <w:t xml:space="preserve">domestic </w:t>
      </w:r>
      <w:r w:rsidRPr="00BB52F8">
        <w:rPr>
          <w:rFonts w:cstheme="minorHAnsi"/>
          <w:sz w:val="24"/>
          <w:szCs w:val="24"/>
        </w:rPr>
        <w:t>laboratories</w:t>
      </w:r>
      <w:r w:rsidRPr="00BB52F8" w:rsidR="00B72443">
        <w:rPr>
          <w:rFonts w:cstheme="minorHAnsi"/>
          <w:sz w:val="24"/>
          <w:szCs w:val="24"/>
        </w:rPr>
        <w:t xml:space="preserve"> will request test kits per year</w:t>
      </w:r>
      <w:r w:rsidRPr="00BB52F8">
        <w:rPr>
          <w:rFonts w:cstheme="minorHAnsi"/>
          <w:sz w:val="24"/>
          <w:szCs w:val="24"/>
        </w:rPr>
        <w:t xml:space="preserve"> (a decrease of 600 applicants over the previously approved 1,200). The annual time burden </w:t>
      </w:r>
      <w:r w:rsidRPr="00BB52F8" w:rsidR="00A212F1">
        <w:rPr>
          <w:rFonts w:cstheme="minorHAnsi"/>
          <w:sz w:val="24"/>
          <w:szCs w:val="24"/>
        </w:rPr>
        <w:t xml:space="preserve">for domestic laboratories </w:t>
      </w:r>
      <w:r w:rsidRPr="00BB52F8">
        <w:rPr>
          <w:rFonts w:cstheme="minorHAnsi"/>
          <w:sz w:val="24"/>
          <w:szCs w:val="24"/>
        </w:rPr>
        <w:t>will be 60 hours.</w:t>
      </w:r>
      <w:r w:rsidRPr="00BB52F8" w:rsidR="00A212F1">
        <w:rPr>
          <w:rFonts w:cstheme="minorHAnsi"/>
          <w:sz w:val="24"/>
          <w:szCs w:val="24"/>
        </w:rPr>
        <w:t xml:space="preserve"> </w:t>
      </w:r>
    </w:p>
    <w:p w:rsidR="00B72443" w:rsidRPr="00BB52F8" w:rsidP="00D40333" w14:paraId="1586B77E" w14:textId="7FD04AE9">
      <w:pPr>
        <w:pStyle w:val="ListParagraph"/>
        <w:numPr>
          <w:ilvl w:val="0"/>
          <w:numId w:val="14"/>
        </w:numPr>
        <w:spacing w:line="276" w:lineRule="auto"/>
        <w:rPr>
          <w:rFonts w:cstheme="minorHAnsi"/>
          <w:sz w:val="24"/>
          <w:szCs w:val="24"/>
        </w:rPr>
      </w:pPr>
      <w:r w:rsidRPr="00BB52F8">
        <w:rPr>
          <w:rFonts w:cstheme="minorHAnsi"/>
          <w:sz w:val="24"/>
          <w:szCs w:val="24"/>
        </w:rPr>
        <w:t xml:space="preserve">We will add </w:t>
      </w:r>
      <w:r w:rsidR="002E26F8">
        <w:rPr>
          <w:rFonts w:cstheme="minorHAnsi"/>
          <w:sz w:val="24"/>
          <w:szCs w:val="24"/>
        </w:rPr>
        <w:t>2</w:t>
      </w:r>
      <w:r w:rsidRPr="00BB52F8">
        <w:rPr>
          <w:rFonts w:cstheme="minorHAnsi"/>
          <w:sz w:val="24"/>
          <w:szCs w:val="24"/>
        </w:rPr>
        <w:t>0 additional annual burden hours w</w:t>
      </w:r>
      <w:r w:rsidRPr="00BB52F8" w:rsidR="00A212F1">
        <w:rPr>
          <w:rFonts w:cstheme="minorHAnsi"/>
          <w:sz w:val="24"/>
          <w:szCs w:val="24"/>
        </w:rPr>
        <w:t>ith the expansion</w:t>
      </w:r>
      <w:r w:rsidRPr="00BB52F8">
        <w:rPr>
          <w:rFonts w:cstheme="minorHAnsi"/>
          <w:sz w:val="24"/>
          <w:szCs w:val="24"/>
        </w:rPr>
        <w:t xml:space="preserve"> to</w:t>
      </w:r>
      <w:r w:rsidRPr="00BB52F8" w:rsidR="00A212F1">
        <w:rPr>
          <w:rFonts w:cstheme="minorHAnsi"/>
          <w:sz w:val="24"/>
          <w:szCs w:val="24"/>
        </w:rPr>
        <w:t xml:space="preserve"> international distribution of </w:t>
      </w:r>
      <w:r w:rsidRPr="00BB52F8">
        <w:rPr>
          <w:rFonts w:cstheme="minorHAnsi"/>
          <w:sz w:val="24"/>
          <w:szCs w:val="24"/>
        </w:rPr>
        <w:t>test kits</w:t>
      </w:r>
      <w:r w:rsidR="00461875">
        <w:rPr>
          <w:rFonts w:cstheme="minorHAnsi"/>
          <w:sz w:val="24"/>
          <w:szCs w:val="24"/>
        </w:rPr>
        <w:t xml:space="preserve">, assuming that 300 international partner labs will </w:t>
      </w:r>
      <w:r w:rsidR="003C411B">
        <w:rPr>
          <w:rFonts w:cstheme="minorHAnsi"/>
          <w:sz w:val="24"/>
          <w:szCs w:val="24"/>
        </w:rPr>
        <w:t>request</w:t>
      </w:r>
      <w:r w:rsidR="00461875">
        <w:rPr>
          <w:rFonts w:cstheme="minorHAnsi"/>
          <w:sz w:val="24"/>
          <w:szCs w:val="24"/>
        </w:rPr>
        <w:t xml:space="preserve"> test kits</w:t>
      </w:r>
      <w:r w:rsidR="003C411B">
        <w:rPr>
          <w:rFonts w:cstheme="minorHAnsi"/>
          <w:sz w:val="24"/>
          <w:szCs w:val="24"/>
        </w:rPr>
        <w:t xml:space="preserve"> through the </w:t>
      </w:r>
      <w:r w:rsidR="00F31325">
        <w:rPr>
          <w:rFonts w:cstheme="minorHAnsi"/>
          <w:sz w:val="24"/>
          <w:szCs w:val="24"/>
        </w:rPr>
        <w:t>UN</w:t>
      </w:r>
      <w:r w:rsidR="002E26F8">
        <w:rPr>
          <w:rFonts w:cstheme="minorHAnsi"/>
          <w:sz w:val="24"/>
          <w:szCs w:val="24"/>
        </w:rPr>
        <w:t xml:space="preserve"> and will complete their laboratory information for the CDC</w:t>
      </w:r>
      <w:r w:rsidRPr="00BB52F8" w:rsidR="00A212F1">
        <w:rPr>
          <w:rFonts w:cstheme="minorHAnsi"/>
          <w:sz w:val="24"/>
          <w:szCs w:val="24"/>
        </w:rPr>
        <w:t>.</w:t>
      </w:r>
    </w:p>
    <w:bookmarkEnd w:id="9"/>
    <w:p w:rsidR="008D6F0E" w:rsidRPr="008A561A" w:rsidP="002F703E" w14:paraId="1517E9ED" w14:textId="45E204D7">
      <w:pPr>
        <w:spacing w:line="276" w:lineRule="auto"/>
        <w:rPr>
          <w:sz w:val="24"/>
          <w:szCs w:val="24"/>
        </w:rPr>
      </w:pPr>
      <w:r>
        <w:rPr>
          <w:sz w:val="24"/>
          <w:szCs w:val="24"/>
        </w:rPr>
        <w:t xml:space="preserve">Details of the requested revisions can be found in </w:t>
      </w:r>
      <w:r>
        <w:rPr>
          <w:b/>
          <w:bCs/>
          <w:sz w:val="24"/>
          <w:szCs w:val="24"/>
        </w:rPr>
        <w:t>Section A.15</w:t>
      </w:r>
      <w:r>
        <w:rPr>
          <w:sz w:val="24"/>
          <w:szCs w:val="24"/>
        </w:rPr>
        <w:t>.</w:t>
      </w:r>
    </w:p>
    <w:p w:rsidR="004F6C5B" w:rsidRPr="00A345D7" w:rsidP="00A345D7" w14:paraId="46C2B5BA" w14:textId="3E6C2747">
      <w:pPr>
        <w:spacing w:before="240" w:line="276" w:lineRule="auto"/>
        <w:rPr>
          <w:rFonts w:cstheme="minorHAnsi"/>
          <w:bCs/>
          <w:i/>
          <w:iCs/>
          <w:sz w:val="24"/>
          <w:szCs w:val="24"/>
        </w:rPr>
      </w:pPr>
      <w:r>
        <w:rPr>
          <w:rFonts w:cstheme="minorHAnsi"/>
          <w:bCs/>
          <w:i/>
          <w:iCs/>
          <w:sz w:val="24"/>
          <w:szCs w:val="24"/>
        </w:rPr>
        <w:t>Authority</w:t>
      </w:r>
    </w:p>
    <w:p w:rsidR="00A61F45" w:rsidRPr="009804DE" w:rsidP="002F703E" w14:paraId="0E54E250" w14:textId="324C61B3">
      <w:pPr>
        <w:spacing w:line="276" w:lineRule="auto"/>
        <w:rPr>
          <w:sz w:val="24"/>
          <w:szCs w:val="24"/>
        </w:rPr>
      </w:pPr>
      <w:r w:rsidRPr="00AC7083">
        <w:rPr>
          <w:rFonts w:cstheme="minorHAnsi"/>
          <w:bCs/>
          <w:sz w:val="24"/>
          <w:szCs w:val="24"/>
        </w:rPr>
        <w:t xml:space="preserve">CDC is authorized to carry out this </w:t>
      </w:r>
      <w:r w:rsidR="002E684A">
        <w:rPr>
          <w:rFonts w:cstheme="minorHAnsi"/>
          <w:bCs/>
          <w:sz w:val="24"/>
          <w:szCs w:val="24"/>
        </w:rPr>
        <w:t>program</w:t>
      </w:r>
      <w:r w:rsidRPr="00AC7083">
        <w:rPr>
          <w:rFonts w:cstheme="minorHAnsi"/>
          <w:bCs/>
          <w:sz w:val="24"/>
          <w:szCs w:val="24"/>
        </w:rPr>
        <w:t xml:space="preserve"> under the </w:t>
      </w:r>
      <w:r w:rsidRPr="00AC7083">
        <w:rPr>
          <w:rFonts w:cstheme="minorHAnsi"/>
          <w:sz w:val="24"/>
          <w:szCs w:val="24"/>
        </w:rPr>
        <w:t xml:space="preserve">Public Health Service Act, Section 301, “Research and </w:t>
      </w:r>
      <w:r w:rsidRPr="00AC7083" w:rsidR="00C27BA5">
        <w:rPr>
          <w:rFonts w:cstheme="minorHAnsi"/>
          <w:sz w:val="24"/>
          <w:szCs w:val="24"/>
        </w:rPr>
        <w:t>I</w:t>
      </w:r>
      <w:r w:rsidRPr="00AC7083">
        <w:rPr>
          <w:rFonts w:cstheme="minorHAnsi"/>
          <w:sz w:val="24"/>
          <w:szCs w:val="24"/>
        </w:rPr>
        <w:t>nvestigation,” (42 U.S.C. 241)</w:t>
      </w:r>
      <w:r w:rsidRPr="00AC7083">
        <w:rPr>
          <w:sz w:val="24"/>
          <w:szCs w:val="24"/>
        </w:rPr>
        <w:t xml:space="preserve"> (</w:t>
      </w:r>
      <w:r w:rsidRPr="00AC7083">
        <w:rPr>
          <w:b/>
          <w:sz w:val="24"/>
          <w:szCs w:val="24"/>
        </w:rPr>
        <w:t>Attachm</w:t>
      </w:r>
      <w:r w:rsidRPr="008D6F0E">
        <w:rPr>
          <w:b/>
          <w:sz w:val="24"/>
          <w:szCs w:val="24"/>
        </w:rPr>
        <w:t>ent 1</w:t>
      </w:r>
      <w:r w:rsidRPr="008D6F0E">
        <w:rPr>
          <w:sz w:val="24"/>
          <w:szCs w:val="24"/>
        </w:rPr>
        <w:t xml:space="preserve">). The 60-day Federal Register Notice was published on </w:t>
      </w:r>
      <w:r w:rsidRPr="00BB52F8" w:rsidR="002E26F8">
        <w:rPr>
          <w:sz w:val="24"/>
          <w:szCs w:val="24"/>
        </w:rPr>
        <w:t>09/16</w:t>
      </w:r>
      <w:r w:rsidRPr="00BB52F8" w:rsidR="006816DA">
        <w:rPr>
          <w:sz w:val="24"/>
          <w:szCs w:val="24"/>
        </w:rPr>
        <w:t>/2022</w:t>
      </w:r>
      <w:r w:rsidRPr="008D6F0E">
        <w:rPr>
          <w:sz w:val="24"/>
          <w:szCs w:val="24"/>
        </w:rPr>
        <w:t xml:space="preserve"> (</w:t>
      </w:r>
      <w:r w:rsidRPr="009804DE">
        <w:rPr>
          <w:b/>
          <w:sz w:val="24"/>
          <w:szCs w:val="24"/>
        </w:rPr>
        <w:t>Attachment 2</w:t>
      </w:r>
      <w:r w:rsidRPr="009804DE">
        <w:rPr>
          <w:sz w:val="24"/>
          <w:szCs w:val="24"/>
        </w:rPr>
        <w:t xml:space="preserve">) and is further discussed in </w:t>
      </w:r>
      <w:r w:rsidRPr="00E31748">
        <w:rPr>
          <w:b/>
          <w:bCs/>
          <w:sz w:val="24"/>
          <w:szCs w:val="24"/>
        </w:rPr>
        <w:t>Section A.8</w:t>
      </w:r>
      <w:r w:rsidRPr="00E31748">
        <w:rPr>
          <w:sz w:val="24"/>
          <w:szCs w:val="24"/>
        </w:rPr>
        <w:t>.</w:t>
      </w:r>
    </w:p>
    <w:p w:rsidR="00B45002" w:rsidRPr="00D20211" w:rsidP="00601F1A" w14:paraId="66725973" w14:textId="0EDA4642">
      <w:pPr>
        <w:pStyle w:val="Heading1"/>
        <w:pBdr>
          <w:bottom w:val="none" w:sz="0" w:space="0" w:color="auto"/>
        </w:pBdr>
        <w:rPr>
          <w:color w:val="auto"/>
        </w:rPr>
      </w:pPr>
      <w:bookmarkStart w:id="10" w:name="_Toc31301592"/>
      <w:bookmarkStart w:id="11" w:name="_Toc121132847"/>
      <w:r w:rsidRPr="00D20211">
        <w:rPr>
          <w:color w:val="auto"/>
        </w:rPr>
        <w:t>A.</w:t>
      </w:r>
      <w:r w:rsidRPr="00D20211" w:rsidR="004D21C9">
        <w:rPr>
          <w:color w:val="auto"/>
        </w:rPr>
        <w:t xml:space="preserve">2.  </w:t>
      </w:r>
      <w:r w:rsidRPr="00D20211">
        <w:rPr>
          <w:color w:val="auto"/>
        </w:rPr>
        <w:t>Purpose and Use of the Information Collection</w:t>
      </w:r>
      <w:bookmarkEnd w:id="10"/>
      <w:bookmarkEnd w:id="11"/>
    </w:p>
    <w:p w:rsidR="00A65BAD" w:rsidRPr="00D20211" w:rsidP="003F6A54" w14:paraId="1FBDFBE5" w14:textId="77777777">
      <w:pPr>
        <w:autoSpaceDE w:val="0"/>
        <w:autoSpaceDN w:val="0"/>
        <w:adjustRightInd w:val="0"/>
        <w:spacing w:after="0" w:line="240" w:lineRule="auto"/>
        <w:rPr>
          <w:rFonts w:cs="ITCFranklinGothicStd-Book"/>
          <w:sz w:val="24"/>
          <w:szCs w:val="24"/>
        </w:rPr>
      </w:pPr>
    </w:p>
    <w:p w:rsidR="00243BD5" w:rsidRPr="00FC7D97" w:rsidP="00A345D7" w14:paraId="0AC426DC" w14:textId="6A2A01DB">
      <w:pPr>
        <w:autoSpaceDE w:val="0"/>
        <w:autoSpaceDN w:val="0"/>
        <w:adjustRightInd w:val="0"/>
        <w:spacing w:line="276" w:lineRule="auto"/>
        <w:rPr>
          <w:rFonts w:cstheme="minorHAnsi"/>
          <w:sz w:val="24"/>
          <w:szCs w:val="24"/>
        </w:rPr>
      </w:pPr>
      <w:r w:rsidRPr="00FC7D97">
        <w:rPr>
          <w:rFonts w:cstheme="minorHAnsi"/>
          <w:sz w:val="24"/>
          <w:szCs w:val="24"/>
        </w:rPr>
        <w:t xml:space="preserve">The purpose of this information collection is for an application for benefits and </w:t>
      </w:r>
      <w:r w:rsidRPr="00FC7D97" w:rsidR="002E1ECB">
        <w:rPr>
          <w:rFonts w:cstheme="minorHAnsi"/>
          <w:sz w:val="24"/>
          <w:szCs w:val="24"/>
        </w:rPr>
        <w:t>general-purpose</w:t>
      </w:r>
      <w:r w:rsidRPr="00FC7D97">
        <w:rPr>
          <w:rFonts w:cstheme="minorHAnsi"/>
          <w:sz w:val="24"/>
          <w:szCs w:val="24"/>
        </w:rPr>
        <w:t xml:space="preserve"> statistics.</w:t>
      </w:r>
    </w:p>
    <w:p w:rsidR="00E80DFC" w:rsidRPr="00FC7D97" w:rsidP="00A345D7" w14:paraId="64DA7ABE" w14:textId="0F645256">
      <w:pPr>
        <w:autoSpaceDE w:val="0"/>
        <w:autoSpaceDN w:val="0"/>
        <w:adjustRightInd w:val="0"/>
        <w:spacing w:line="276" w:lineRule="auto"/>
        <w:rPr>
          <w:rFonts w:cstheme="minorHAnsi"/>
          <w:sz w:val="24"/>
          <w:szCs w:val="24"/>
        </w:rPr>
      </w:pPr>
      <w:r w:rsidRPr="00FC7D97">
        <w:rPr>
          <w:rFonts w:cstheme="minorHAnsi"/>
          <w:sz w:val="24"/>
          <w:szCs w:val="24"/>
        </w:rPr>
        <w:t xml:space="preserve">Since 2019, CDC </w:t>
      </w:r>
      <w:r w:rsidRPr="00FC7D97" w:rsidR="008D6F0E">
        <w:rPr>
          <w:rFonts w:cstheme="minorHAnsi"/>
          <w:sz w:val="24"/>
          <w:szCs w:val="24"/>
        </w:rPr>
        <w:t xml:space="preserve">began </w:t>
      </w:r>
      <w:r w:rsidRPr="00FC7D97">
        <w:rPr>
          <w:rFonts w:cstheme="minorHAnsi"/>
          <w:sz w:val="24"/>
          <w:szCs w:val="24"/>
        </w:rPr>
        <w:t>suppl</w:t>
      </w:r>
      <w:r w:rsidRPr="00FC7D97" w:rsidR="008D6F0E">
        <w:rPr>
          <w:rFonts w:cstheme="minorHAnsi"/>
          <w:sz w:val="24"/>
          <w:szCs w:val="24"/>
        </w:rPr>
        <w:t>ying</w:t>
      </w:r>
      <w:r w:rsidRPr="00FC7D97">
        <w:rPr>
          <w:rFonts w:cstheme="minorHAnsi"/>
          <w:sz w:val="24"/>
          <w:szCs w:val="24"/>
        </w:rPr>
        <w:t xml:space="preserve"> </w:t>
      </w:r>
      <w:r w:rsidR="00FC7D97">
        <w:rPr>
          <w:rFonts w:cstheme="minorHAnsi"/>
          <w:sz w:val="24"/>
          <w:szCs w:val="24"/>
        </w:rPr>
        <w:t>TOM Kits*</w:t>
      </w:r>
      <w:r w:rsidRPr="00FC7D97">
        <w:rPr>
          <w:rFonts w:cstheme="minorHAnsi"/>
          <w:sz w:val="24"/>
          <w:szCs w:val="24"/>
        </w:rPr>
        <w:t xml:space="preserve"> through two vendors including the: (1) Opioid Certified Reference Material Kit (Opioid CRM Kit); and (2) </w:t>
      </w:r>
      <w:bookmarkStart w:id="12" w:name="_Hlk111189576"/>
      <w:r w:rsidRPr="00FC7D97">
        <w:rPr>
          <w:rFonts w:cstheme="minorHAnsi"/>
          <w:sz w:val="24"/>
          <w:szCs w:val="24"/>
        </w:rPr>
        <w:t>Fentanyl Analog Screening Kit (FAS Kit)</w:t>
      </w:r>
      <w:bookmarkEnd w:id="12"/>
      <w:r w:rsidRPr="00FC7D97">
        <w:rPr>
          <w:rFonts w:cstheme="minorHAnsi"/>
          <w:sz w:val="24"/>
          <w:szCs w:val="24"/>
        </w:rPr>
        <w:t xml:space="preserve">. </w:t>
      </w:r>
      <w:r w:rsidRPr="00FC7D97" w:rsidR="006816DA">
        <w:rPr>
          <w:rFonts w:cstheme="minorHAnsi"/>
          <w:sz w:val="24"/>
          <w:szCs w:val="24"/>
        </w:rPr>
        <w:t xml:space="preserve">CDC </w:t>
      </w:r>
      <w:r w:rsidRPr="00FC7D97">
        <w:rPr>
          <w:rFonts w:cstheme="minorHAnsi"/>
          <w:sz w:val="24"/>
          <w:szCs w:val="24"/>
        </w:rPr>
        <w:t xml:space="preserve">received a total of </w:t>
      </w:r>
      <w:r w:rsidRPr="00FC7D97" w:rsidR="00106EFF">
        <w:rPr>
          <w:rFonts w:cstheme="minorHAnsi"/>
          <w:sz w:val="24"/>
          <w:szCs w:val="24"/>
        </w:rPr>
        <w:t>230</w:t>
      </w:r>
      <w:r w:rsidRPr="00FC7D97">
        <w:rPr>
          <w:rFonts w:cstheme="minorHAnsi"/>
          <w:sz w:val="24"/>
          <w:szCs w:val="24"/>
        </w:rPr>
        <w:t xml:space="preserve"> requests for and distributed </w:t>
      </w:r>
      <w:r w:rsidRPr="00FC7D97" w:rsidR="00106EFF">
        <w:rPr>
          <w:rFonts w:cstheme="minorHAnsi"/>
          <w:sz w:val="24"/>
          <w:szCs w:val="24"/>
        </w:rPr>
        <w:t>519</w:t>
      </w:r>
      <w:bookmarkStart w:id="13" w:name="_Hlk31301975"/>
      <w:r w:rsidRPr="00FC7D97" w:rsidR="002A253F">
        <w:rPr>
          <w:rFonts w:cstheme="minorHAnsi"/>
          <w:sz w:val="24"/>
          <w:szCs w:val="24"/>
        </w:rPr>
        <w:t xml:space="preserve"> </w:t>
      </w:r>
      <w:r w:rsidRPr="00FC7D97">
        <w:rPr>
          <w:rFonts w:cstheme="minorHAnsi"/>
          <w:sz w:val="24"/>
          <w:szCs w:val="24"/>
        </w:rPr>
        <w:t xml:space="preserve">Opioid CRM Kits. CDC also received a total of </w:t>
      </w:r>
      <w:r w:rsidRPr="00FC7D97" w:rsidR="00106EFF">
        <w:rPr>
          <w:rFonts w:cstheme="minorHAnsi"/>
          <w:sz w:val="24"/>
          <w:szCs w:val="24"/>
        </w:rPr>
        <w:t>1</w:t>
      </w:r>
      <w:r w:rsidRPr="00FC7D97" w:rsidR="00D5126E">
        <w:rPr>
          <w:rFonts w:cstheme="minorHAnsi"/>
          <w:sz w:val="24"/>
          <w:szCs w:val="24"/>
        </w:rPr>
        <w:t>,</w:t>
      </w:r>
      <w:r w:rsidRPr="00FC7D97" w:rsidR="00106EFF">
        <w:rPr>
          <w:rFonts w:cstheme="minorHAnsi"/>
          <w:sz w:val="24"/>
          <w:szCs w:val="24"/>
        </w:rPr>
        <w:t>242</w:t>
      </w:r>
      <w:r w:rsidRPr="00FC7D97">
        <w:rPr>
          <w:rFonts w:cstheme="minorHAnsi"/>
          <w:sz w:val="24"/>
          <w:szCs w:val="24"/>
        </w:rPr>
        <w:t xml:space="preserve"> requests for and distributed </w:t>
      </w:r>
      <w:r w:rsidRPr="00FC7D97" w:rsidR="00060B24">
        <w:rPr>
          <w:rFonts w:cstheme="minorHAnsi"/>
          <w:sz w:val="24"/>
          <w:szCs w:val="24"/>
        </w:rPr>
        <w:t>2</w:t>
      </w:r>
      <w:r w:rsidRPr="00FC7D97" w:rsidR="00D5126E">
        <w:rPr>
          <w:rFonts w:cstheme="minorHAnsi"/>
          <w:sz w:val="24"/>
          <w:szCs w:val="24"/>
        </w:rPr>
        <w:t>,</w:t>
      </w:r>
      <w:r w:rsidRPr="00FC7D97" w:rsidR="00060B24">
        <w:rPr>
          <w:rFonts w:cstheme="minorHAnsi"/>
          <w:sz w:val="24"/>
          <w:szCs w:val="24"/>
        </w:rPr>
        <w:t>488</w:t>
      </w:r>
      <w:r w:rsidRPr="00FC7D97">
        <w:rPr>
          <w:rFonts w:cstheme="minorHAnsi"/>
          <w:sz w:val="24"/>
          <w:szCs w:val="24"/>
        </w:rPr>
        <w:t xml:space="preserve"> FAS Kits. Therefore</w:t>
      </w:r>
      <w:r w:rsidR="007A0A91">
        <w:rPr>
          <w:rFonts w:cstheme="minorHAnsi"/>
          <w:sz w:val="24"/>
          <w:szCs w:val="24"/>
        </w:rPr>
        <w:t>,</w:t>
      </w:r>
      <w:r w:rsidRPr="00FC7D97">
        <w:rPr>
          <w:rFonts w:cstheme="minorHAnsi"/>
          <w:sz w:val="24"/>
          <w:szCs w:val="24"/>
        </w:rPr>
        <w:t xml:space="preserve"> the number of requests for TOM Kits* since 2019 is </w:t>
      </w:r>
      <w:r w:rsidRPr="00FC7D97" w:rsidR="00060B24">
        <w:rPr>
          <w:rFonts w:cstheme="minorHAnsi"/>
          <w:sz w:val="24"/>
          <w:szCs w:val="24"/>
        </w:rPr>
        <w:t>1</w:t>
      </w:r>
      <w:r w:rsidRPr="00FC7D97" w:rsidR="00D5126E">
        <w:rPr>
          <w:rFonts w:cstheme="minorHAnsi"/>
          <w:sz w:val="24"/>
          <w:szCs w:val="24"/>
        </w:rPr>
        <w:t>,</w:t>
      </w:r>
      <w:r w:rsidRPr="00FC7D97" w:rsidR="00060B24">
        <w:rPr>
          <w:rFonts w:cstheme="minorHAnsi"/>
          <w:sz w:val="24"/>
          <w:szCs w:val="24"/>
        </w:rPr>
        <w:t>472</w:t>
      </w:r>
      <w:r w:rsidR="000E58BD">
        <w:rPr>
          <w:rFonts w:cstheme="minorHAnsi"/>
          <w:sz w:val="24"/>
          <w:szCs w:val="24"/>
        </w:rPr>
        <w:t>, or approximately 490 requests per year (1</w:t>
      </w:r>
      <w:r w:rsidR="007366C3">
        <w:rPr>
          <w:rFonts w:cstheme="minorHAnsi"/>
          <w:sz w:val="24"/>
          <w:szCs w:val="24"/>
        </w:rPr>
        <w:t>,</w:t>
      </w:r>
      <w:r w:rsidR="000E58BD">
        <w:rPr>
          <w:rFonts w:cstheme="minorHAnsi"/>
          <w:sz w:val="24"/>
          <w:szCs w:val="24"/>
        </w:rPr>
        <w:t>472 divided by 3 = 491).</w:t>
      </w:r>
    </w:p>
    <w:p w:rsidR="00CC4BAA" w:rsidRPr="00FC7D97" w:rsidP="00BB52F8" w14:paraId="092B9CFF" w14:textId="022822F1">
      <w:pPr>
        <w:autoSpaceDE w:val="0"/>
        <w:autoSpaceDN w:val="0"/>
        <w:adjustRightInd w:val="0"/>
        <w:spacing w:line="276" w:lineRule="auto"/>
        <w:rPr>
          <w:sz w:val="24"/>
          <w:szCs w:val="24"/>
        </w:rPr>
      </w:pPr>
      <w:r w:rsidRPr="00FC7D97">
        <w:rPr>
          <w:rFonts w:cstheme="minorHAnsi"/>
          <w:sz w:val="24"/>
          <w:szCs w:val="24"/>
        </w:rPr>
        <w:t xml:space="preserve">Over the next three years, CDC will </w:t>
      </w:r>
      <w:r w:rsidRPr="00FC7D97" w:rsidR="0005569B">
        <w:rPr>
          <w:rFonts w:cstheme="minorHAnsi"/>
          <w:sz w:val="24"/>
          <w:szCs w:val="24"/>
        </w:rPr>
        <w:t>distribute</w:t>
      </w:r>
      <w:r w:rsidRPr="00FC7D97" w:rsidR="00FC7A76">
        <w:rPr>
          <w:rFonts w:cstheme="minorHAnsi"/>
          <w:sz w:val="24"/>
          <w:szCs w:val="24"/>
        </w:rPr>
        <w:t xml:space="preserve"> </w:t>
      </w:r>
      <w:r w:rsidRPr="00FC7D97" w:rsidR="00367481">
        <w:rPr>
          <w:rFonts w:cstheme="minorHAnsi"/>
          <w:sz w:val="24"/>
          <w:szCs w:val="24"/>
        </w:rPr>
        <w:t>an expanded array of</w:t>
      </w:r>
      <w:r w:rsidRPr="00FC7D97" w:rsidR="00FC7A76">
        <w:rPr>
          <w:rFonts w:cstheme="minorHAnsi"/>
          <w:sz w:val="24"/>
          <w:szCs w:val="24"/>
        </w:rPr>
        <w:t xml:space="preserve"> </w:t>
      </w:r>
      <w:r w:rsidR="00F005B3">
        <w:rPr>
          <w:rFonts w:cstheme="minorHAnsi"/>
          <w:sz w:val="24"/>
          <w:szCs w:val="24"/>
        </w:rPr>
        <w:t>TOM</w:t>
      </w:r>
      <w:r w:rsidRPr="00FC7D97" w:rsidR="00F005B3">
        <w:rPr>
          <w:rFonts w:cstheme="minorHAnsi"/>
          <w:sz w:val="24"/>
          <w:szCs w:val="24"/>
        </w:rPr>
        <w:t xml:space="preserve"> </w:t>
      </w:r>
      <w:r w:rsidRPr="00FC7D97" w:rsidR="00327A84">
        <w:rPr>
          <w:rFonts w:cstheme="minorHAnsi"/>
          <w:sz w:val="24"/>
          <w:szCs w:val="24"/>
        </w:rPr>
        <w:t>kits</w:t>
      </w:r>
      <w:r w:rsidR="00F005B3">
        <w:rPr>
          <w:rFonts w:cstheme="minorHAnsi"/>
          <w:sz w:val="24"/>
          <w:szCs w:val="24"/>
        </w:rPr>
        <w:t>*</w:t>
      </w:r>
      <w:r w:rsidRPr="00FC7D97" w:rsidR="002A253F">
        <w:rPr>
          <w:rFonts w:cstheme="minorHAnsi"/>
          <w:sz w:val="24"/>
          <w:szCs w:val="24"/>
        </w:rPr>
        <w:t xml:space="preserve"> </w:t>
      </w:r>
      <w:r w:rsidRPr="00FC7D97" w:rsidR="004B17D3">
        <w:rPr>
          <w:rFonts w:cstheme="minorHAnsi"/>
          <w:sz w:val="24"/>
          <w:szCs w:val="24"/>
        </w:rPr>
        <w:t>through a single vendor</w:t>
      </w:r>
      <w:r w:rsidRPr="00FC7D97" w:rsidR="00D5126E">
        <w:rPr>
          <w:rFonts w:cstheme="minorHAnsi"/>
          <w:sz w:val="24"/>
          <w:szCs w:val="24"/>
        </w:rPr>
        <w:t xml:space="preserve"> </w:t>
      </w:r>
      <w:r w:rsidRPr="00FC7D97" w:rsidR="002A253F">
        <w:rPr>
          <w:rFonts w:cstheme="minorHAnsi"/>
          <w:sz w:val="24"/>
          <w:szCs w:val="24"/>
        </w:rPr>
        <w:t>(</w:t>
      </w:r>
      <w:r w:rsidRPr="00FC7D97" w:rsidR="002A253F">
        <w:rPr>
          <w:rFonts w:cstheme="minorHAnsi"/>
          <w:b/>
          <w:sz w:val="24"/>
          <w:szCs w:val="24"/>
        </w:rPr>
        <w:t>Attachment 3</w:t>
      </w:r>
      <w:r w:rsidRPr="00FC7D97" w:rsidR="002A253F">
        <w:rPr>
          <w:rFonts w:cstheme="minorHAnsi"/>
          <w:sz w:val="24"/>
          <w:szCs w:val="24"/>
        </w:rPr>
        <w:t>).</w:t>
      </w:r>
      <w:bookmarkEnd w:id="13"/>
      <w:r>
        <w:rPr>
          <w:rStyle w:val="FootnoteReference"/>
          <w:rFonts w:cstheme="minorHAnsi"/>
          <w:sz w:val="24"/>
          <w:szCs w:val="24"/>
        </w:rPr>
        <w:footnoteReference w:id="5"/>
      </w:r>
      <w:r w:rsidRPr="00FC7D97" w:rsidR="004B17D3">
        <w:rPr>
          <w:rFonts w:cstheme="minorHAnsi"/>
          <w:sz w:val="24"/>
          <w:szCs w:val="24"/>
        </w:rPr>
        <w:t xml:space="preserve"> </w:t>
      </w:r>
      <w:r w:rsidR="00387E12">
        <w:rPr>
          <w:rFonts w:cstheme="minorHAnsi"/>
          <w:sz w:val="24"/>
          <w:szCs w:val="24"/>
        </w:rPr>
        <w:t xml:space="preserve">The kits are all </w:t>
      </w:r>
      <w:r w:rsidR="00387E12">
        <w:rPr>
          <w:sz w:val="24"/>
          <w:szCs w:val="24"/>
        </w:rPr>
        <w:t>m</w:t>
      </w:r>
      <w:r w:rsidRPr="00FC7D97">
        <w:rPr>
          <w:sz w:val="24"/>
          <w:szCs w:val="24"/>
        </w:rPr>
        <w:t xml:space="preserve">anufactured by </w:t>
      </w:r>
      <w:hyperlink r:id="rId7" w:history="1">
        <w:r w:rsidRPr="00FC7D97" w:rsidR="00DD12B8">
          <w:rPr>
            <w:rStyle w:val="Hyperlink"/>
            <w:sz w:val="24"/>
            <w:szCs w:val="24"/>
          </w:rPr>
          <w:t>Cayman Chemical</w:t>
        </w:r>
      </w:hyperlink>
      <w:r w:rsidRPr="00A345D7" w:rsidR="00DD12B8">
        <w:rPr>
          <w:sz w:val="24"/>
          <w:szCs w:val="24"/>
        </w:rPr>
        <w:t xml:space="preserve"> </w:t>
      </w:r>
      <w:r>
        <w:rPr>
          <w:rStyle w:val="FootnoteReference"/>
          <w:sz w:val="24"/>
          <w:szCs w:val="24"/>
        </w:rPr>
        <w:footnoteReference w:id="6"/>
      </w:r>
    </w:p>
    <w:p w:rsidR="00327A84" w:rsidP="00D40333" w14:paraId="5A8DA729" w14:textId="25FE9AD9">
      <w:pPr>
        <w:numPr>
          <w:ilvl w:val="0"/>
          <w:numId w:val="2"/>
        </w:numPr>
        <w:spacing w:after="0" w:line="276" w:lineRule="auto"/>
        <w:rPr>
          <w:sz w:val="24"/>
          <w:szCs w:val="24"/>
        </w:rPr>
      </w:pPr>
      <w:r>
        <w:rPr>
          <w:sz w:val="24"/>
          <w:szCs w:val="24"/>
        </w:rPr>
        <w:t>FAS</w:t>
      </w:r>
      <w:r w:rsidRPr="00FC7D97">
        <w:rPr>
          <w:sz w:val="24"/>
          <w:szCs w:val="24"/>
        </w:rPr>
        <w:t xml:space="preserve"> </w:t>
      </w:r>
      <w:r w:rsidRPr="00FC7D97" w:rsidR="00A64395">
        <w:rPr>
          <w:sz w:val="24"/>
          <w:szCs w:val="24"/>
        </w:rPr>
        <w:t>Kits</w:t>
      </w:r>
      <w:r w:rsidR="000E6603">
        <w:rPr>
          <w:sz w:val="24"/>
          <w:szCs w:val="24"/>
        </w:rPr>
        <w:t xml:space="preserve"> (original and four emergent panels: FAS Version 1, FAS Version 2 and 3, and FAS Version 4)</w:t>
      </w:r>
    </w:p>
    <w:p w:rsidR="00294D32" w:rsidRPr="00FC7D97" w:rsidP="00D40333" w14:paraId="2E49C76E" w14:textId="08AC212C">
      <w:pPr>
        <w:numPr>
          <w:ilvl w:val="1"/>
          <w:numId w:val="2"/>
        </w:numPr>
        <w:spacing w:after="0" w:line="276" w:lineRule="auto"/>
        <w:rPr>
          <w:sz w:val="24"/>
          <w:szCs w:val="24"/>
        </w:rPr>
      </w:pPr>
      <w:r>
        <w:rPr>
          <w:sz w:val="24"/>
          <w:szCs w:val="24"/>
        </w:rPr>
        <w:t>Opioids</w:t>
      </w:r>
    </w:p>
    <w:p w:rsidR="001C6FA1" w:rsidRPr="002E26F8" w:rsidP="00D40333" w14:paraId="5F049682" w14:textId="57F969E6">
      <w:pPr>
        <w:numPr>
          <w:ilvl w:val="2"/>
          <w:numId w:val="2"/>
        </w:numPr>
        <w:spacing w:after="0" w:line="276" w:lineRule="auto"/>
        <w:rPr>
          <w:sz w:val="24"/>
          <w:szCs w:val="24"/>
        </w:rPr>
      </w:pPr>
      <w:r>
        <w:rPr>
          <w:sz w:val="24"/>
          <w:szCs w:val="24"/>
        </w:rPr>
        <w:t xml:space="preserve">See a list of compounds in each FAS Kit panel at </w:t>
      </w:r>
      <w:hyperlink r:id="rId8" w:history="1">
        <w:r w:rsidRPr="003A3D84" w:rsidR="009362E1">
          <w:rPr>
            <w:rStyle w:val="Hyperlink"/>
            <w:sz w:val="24"/>
            <w:szCs w:val="24"/>
          </w:rPr>
          <w:t>https://www.cdc.gov/nceh/dls/erb_fas_kits.html</w:t>
        </w:r>
      </w:hyperlink>
      <w:r w:rsidR="009362E1">
        <w:rPr>
          <w:sz w:val="24"/>
          <w:szCs w:val="24"/>
        </w:rPr>
        <w:t>.</w:t>
      </w:r>
      <w:r>
        <w:rPr>
          <w:sz w:val="24"/>
          <w:szCs w:val="24"/>
        </w:rPr>
        <w:t xml:space="preserve"> </w:t>
      </w:r>
    </w:p>
    <w:p w:rsidR="00CC4BAA" w:rsidRPr="00FC7D97" w:rsidP="00D40333" w14:paraId="69328BFF" w14:textId="4B32565C">
      <w:pPr>
        <w:numPr>
          <w:ilvl w:val="2"/>
          <w:numId w:val="2"/>
        </w:numPr>
        <w:spacing w:after="0" w:line="276" w:lineRule="auto"/>
        <w:rPr>
          <w:sz w:val="24"/>
          <w:szCs w:val="24"/>
        </w:rPr>
      </w:pPr>
      <w:r w:rsidRPr="00FC7D97">
        <w:rPr>
          <w:sz w:val="24"/>
          <w:szCs w:val="24"/>
        </w:rPr>
        <w:t xml:space="preserve">Includes 200 micrograms each of </w:t>
      </w:r>
      <w:r w:rsidRPr="00FC7D97" w:rsidR="008843C5">
        <w:rPr>
          <w:sz w:val="24"/>
          <w:szCs w:val="24"/>
        </w:rPr>
        <w:t>200</w:t>
      </w:r>
      <w:r w:rsidRPr="00FC7D97">
        <w:rPr>
          <w:sz w:val="24"/>
          <w:szCs w:val="24"/>
        </w:rPr>
        <w:t>+ fentanyl analog analytical reference materials</w:t>
      </w:r>
    </w:p>
    <w:p w:rsidR="00CC4BAA" w:rsidRPr="00FC7D97" w:rsidP="00D40333" w14:paraId="533199AA" w14:textId="77777777">
      <w:pPr>
        <w:numPr>
          <w:ilvl w:val="2"/>
          <w:numId w:val="2"/>
        </w:numPr>
        <w:spacing w:after="0" w:line="276" w:lineRule="auto"/>
        <w:rPr>
          <w:sz w:val="24"/>
          <w:szCs w:val="24"/>
        </w:rPr>
      </w:pPr>
      <w:r w:rsidRPr="00FC7D97">
        <w:rPr>
          <w:sz w:val="24"/>
          <w:szCs w:val="24"/>
        </w:rPr>
        <w:t>Provides largest collection of available fentanyl analog reference materials</w:t>
      </w:r>
    </w:p>
    <w:p w:rsidR="00CC4BAA" w:rsidRPr="00FC7D97" w:rsidP="00D40333" w14:paraId="30E0FB68" w14:textId="77777777">
      <w:pPr>
        <w:numPr>
          <w:ilvl w:val="2"/>
          <w:numId w:val="2"/>
        </w:numPr>
        <w:spacing w:after="0" w:line="276" w:lineRule="auto"/>
        <w:rPr>
          <w:sz w:val="24"/>
          <w:szCs w:val="24"/>
        </w:rPr>
      </w:pPr>
      <w:r w:rsidRPr="00FC7D97">
        <w:rPr>
          <w:sz w:val="24"/>
          <w:szCs w:val="24"/>
        </w:rPr>
        <w:t>Improves immunoassay and mass spectrometry screening methods</w:t>
      </w:r>
    </w:p>
    <w:p w:rsidR="00CC4BAA" w:rsidP="00D40333" w14:paraId="5E61DFBD" w14:textId="42F5B9C4">
      <w:pPr>
        <w:numPr>
          <w:ilvl w:val="2"/>
          <w:numId w:val="2"/>
        </w:numPr>
        <w:spacing w:after="0" w:line="276" w:lineRule="auto"/>
        <w:rPr>
          <w:sz w:val="24"/>
          <w:szCs w:val="24"/>
        </w:rPr>
      </w:pPr>
      <w:r w:rsidRPr="00FC7D97">
        <w:rPr>
          <w:sz w:val="24"/>
          <w:szCs w:val="24"/>
        </w:rPr>
        <w:t>Includes structural variability for fentanyl analog</w:t>
      </w:r>
    </w:p>
    <w:p w:rsidR="0054375A" w:rsidRPr="00FC7D97" w:rsidP="00D40333" w14:paraId="67E46054" w14:textId="66859102">
      <w:pPr>
        <w:numPr>
          <w:ilvl w:val="2"/>
          <w:numId w:val="2"/>
        </w:numPr>
        <w:spacing w:after="0" w:line="276" w:lineRule="auto"/>
        <w:rPr>
          <w:sz w:val="24"/>
          <w:szCs w:val="24"/>
        </w:rPr>
      </w:pPr>
      <w:r>
        <w:rPr>
          <w:sz w:val="24"/>
          <w:szCs w:val="24"/>
        </w:rPr>
        <w:t>Distributed internationally and domestically by Cayman Chemical</w:t>
      </w:r>
    </w:p>
    <w:p w:rsidR="00367481" w:rsidRPr="00FC7D97" w:rsidP="00D40333" w14:paraId="112C2905" w14:textId="5DDAC8B9">
      <w:pPr>
        <w:numPr>
          <w:ilvl w:val="0"/>
          <w:numId w:val="2"/>
        </w:numPr>
        <w:spacing w:after="0" w:line="276" w:lineRule="auto"/>
        <w:rPr>
          <w:sz w:val="24"/>
          <w:szCs w:val="24"/>
        </w:rPr>
      </w:pPr>
      <w:r w:rsidRPr="00FC7D97">
        <w:rPr>
          <w:sz w:val="24"/>
          <w:szCs w:val="24"/>
        </w:rPr>
        <w:t>E</w:t>
      </w:r>
      <w:r w:rsidRPr="00FC7D97" w:rsidR="001A09D1">
        <w:rPr>
          <w:sz w:val="24"/>
          <w:szCs w:val="24"/>
        </w:rPr>
        <w:t>DP Kits</w:t>
      </w:r>
    </w:p>
    <w:p w:rsidR="00EA22BE" w:rsidRPr="00EA22BE" w:rsidP="00D40333" w14:paraId="3B0BB3D6" w14:textId="1F9C7C6C">
      <w:pPr>
        <w:numPr>
          <w:ilvl w:val="1"/>
          <w:numId w:val="2"/>
        </w:numPr>
        <w:spacing w:after="0" w:line="276" w:lineRule="auto"/>
        <w:rPr>
          <w:sz w:val="24"/>
          <w:szCs w:val="24"/>
        </w:rPr>
      </w:pPr>
      <w:r>
        <w:rPr>
          <w:sz w:val="24"/>
          <w:szCs w:val="24"/>
        </w:rPr>
        <w:t>Opioids</w:t>
      </w:r>
    </w:p>
    <w:p w:rsidR="001A09D1" w:rsidRPr="00FC7D97" w:rsidP="00D40333" w14:paraId="2D53380D" w14:textId="0764A49C">
      <w:pPr>
        <w:numPr>
          <w:ilvl w:val="1"/>
          <w:numId w:val="2"/>
        </w:numPr>
        <w:spacing w:after="0" w:line="276" w:lineRule="auto"/>
        <w:rPr>
          <w:sz w:val="24"/>
          <w:szCs w:val="24"/>
        </w:rPr>
      </w:pPr>
      <w:r w:rsidRPr="00FC7D97">
        <w:rPr>
          <w:rFonts w:cstheme="minorHAnsi"/>
          <w:bCs/>
          <w:sz w:val="24"/>
          <w:szCs w:val="24"/>
        </w:rPr>
        <w:t>Synthetic Cannabinoids</w:t>
      </w:r>
    </w:p>
    <w:p w:rsidR="001A09D1" w:rsidRPr="00FC7D97" w:rsidP="00D40333" w14:paraId="70BD45ED" w14:textId="69193119">
      <w:pPr>
        <w:numPr>
          <w:ilvl w:val="1"/>
          <w:numId w:val="2"/>
        </w:numPr>
        <w:spacing w:after="0" w:line="276" w:lineRule="auto"/>
        <w:rPr>
          <w:sz w:val="24"/>
          <w:szCs w:val="24"/>
        </w:rPr>
      </w:pPr>
      <w:r w:rsidRPr="00FC7D97">
        <w:rPr>
          <w:rFonts w:cstheme="minorHAnsi"/>
          <w:bCs/>
          <w:sz w:val="24"/>
          <w:szCs w:val="24"/>
        </w:rPr>
        <w:t>Stimulants and Hallucinogens</w:t>
      </w:r>
    </w:p>
    <w:p w:rsidR="001A09D1" w:rsidRPr="00EA22BE" w:rsidP="00D40333" w14:paraId="067D6E3E" w14:textId="515DECFC">
      <w:pPr>
        <w:numPr>
          <w:ilvl w:val="1"/>
          <w:numId w:val="2"/>
        </w:numPr>
        <w:spacing w:after="0" w:line="276" w:lineRule="auto"/>
        <w:rPr>
          <w:sz w:val="24"/>
          <w:szCs w:val="24"/>
        </w:rPr>
      </w:pPr>
      <w:r w:rsidRPr="00FC7D97">
        <w:rPr>
          <w:rFonts w:cstheme="minorHAnsi"/>
          <w:bCs/>
          <w:sz w:val="24"/>
          <w:szCs w:val="24"/>
        </w:rPr>
        <w:t>Benzodiazepines</w:t>
      </w:r>
    </w:p>
    <w:p w:rsidR="00EA22BE" w:rsidRPr="001B680B" w:rsidP="00D40333" w14:paraId="1B5970C4" w14:textId="3D9E4CD2">
      <w:pPr>
        <w:numPr>
          <w:ilvl w:val="2"/>
          <w:numId w:val="2"/>
        </w:numPr>
        <w:spacing w:after="0" w:line="276" w:lineRule="auto"/>
        <w:rPr>
          <w:sz w:val="24"/>
          <w:szCs w:val="24"/>
        </w:rPr>
      </w:pPr>
      <w:r>
        <w:rPr>
          <w:rFonts w:cstheme="minorHAnsi"/>
          <w:bCs/>
          <w:sz w:val="24"/>
          <w:szCs w:val="24"/>
        </w:rPr>
        <w:t>Includes 200 micrograms of each analytical reference material</w:t>
      </w:r>
    </w:p>
    <w:p w:rsidR="001B680B" w:rsidRPr="00761E0B" w:rsidP="00D40333" w14:paraId="7CF5E668" w14:textId="6FADF81A">
      <w:pPr>
        <w:numPr>
          <w:ilvl w:val="2"/>
          <w:numId w:val="2"/>
        </w:numPr>
        <w:spacing w:after="0" w:line="276" w:lineRule="auto"/>
        <w:rPr>
          <w:sz w:val="24"/>
          <w:szCs w:val="24"/>
        </w:rPr>
      </w:pPr>
      <w:r>
        <w:rPr>
          <w:rFonts w:cstheme="minorHAnsi"/>
          <w:bCs/>
          <w:sz w:val="24"/>
          <w:szCs w:val="24"/>
        </w:rPr>
        <w:t xml:space="preserve">Addresses </w:t>
      </w:r>
      <w:r w:rsidR="00667F41">
        <w:rPr>
          <w:rFonts w:cstheme="minorHAnsi"/>
          <w:bCs/>
          <w:sz w:val="24"/>
          <w:szCs w:val="24"/>
        </w:rPr>
        <w:t xml:space="preserve">the </w:t>
      </w:r>
      <w:r>
        <w:rPr>
          <w:rFonts w:cstheme="minorHAnsi"/>
          <w:bCs/>
          <w:sz w:val="24"/>
          <w:szCs w:val="24"/>
        </w:rPr>
        <w:t>most prevalent drugs</w:t>
      </w:r>
      <w:r w:rsidR="00667F41">
        <w:rPr>
          <w:rFonts w:cstheme="minorHAnsi"/>
          <w:bCs/>
          <w:sz w:val="24"/>
          <w:szCs w:val="24"/>
        </w:rPr>
        <w:t xml:space="preserve"> currently</w:t>
      </w:r>
      <w:r>
        <w:rPr>
          <w:rFonts w:cstheme="minorHAnsi"/>
          <w:bCs/>
          <w:sz w:val="24"/>
          <w:szCs w:val="24"/>
        </w:rPr>
        <w:t xml:space="preserve"> found in drug seizures and overdose deaths </w:t>
      </w:r>
      <w:r w:rsidR="00A4406C">
        <w:rPr>
          <w:rFonts w:cstheme="minorHAnsi"/>
          <w:bCs/>
          <w:sz w:val="24"/>
          <w:szCs w:val="24"/>
        </w:rPr>
        <w:t>reported by the DEA and CRSRE</w:t>
      </w:r>
    </w:p>
    <w:p w:rsidR="00761E0B" w:rsidRPr="00DF5EAD" w:rsidP="00D40333" w14:paraId="7AA4158D" w14:textId="51251EC7">
      <w:pPr>
        <w:numPr>
          <w:ilvl w:val="2"/>
          <w:numId w:val="2"/>
        </w:numPr>
        <w:spacing w:after="0" w:line="276" w:lineRule="auto"/>
        <w:rPr>
          <w:sz w:val="24"/>
          <w:szCs w:val="24"/>
        </w:rPr>
      </w:pPr>
      <w:r>
        <w:rPr>
          <w:rFonts w:cstheme="minorHAnsi"/>
          <w:bCs/>
          <w:sz w:val="24"/>
          <w:szCs w:val="24"/>
        </w:rPr>
        <w:t>Improves immunoassay and mass spectrometry screening methods</w:t>
      </w:r>
    </w:p>
    <w:p w:rsidR="00DF5EAD" w:rsidRPr="00FC7D97" w:rsidP="00D40333" w14:paraId="181A9FEC" w14:textId="1292C213">
      <w:pPr>
        <w:numPr>
          <w:ilvl w:val="2"/>
          <w:numId w:val="2"/>
        </w:numPr>
        <w:spacing w:after="0" w:line="276" w:lineRule="auto"/>
        <w:rPr>
          <w:sz w:val="24"/>
          <w:szCs w:val="24"/>
        </w:rPr>
      </w:pPr>
      <w:r>
        <w:rPr>
          <w:rFonts w:cstheme="minorHAnsi"/>
          <w:bCs/>
          <w:sz w:val="24"/>
          <w:szCs w:val="24"/>
        </w:rPr>
        <w:t>Distributed domestically by Cayman Chemical</w:t>
      </w:r>
    </w:p>
    <w:p w:rsidR="00FC7D97" w:rsidP="00FC7D97" w14:paraId="6666E7DE" w14:textId="77777777">
      <w:pPr>
        <w:spacing w:line="276" w:lineRule="auto"/>
        <w:rPr>
          <w:rFonts w:cstheme="minorHAnsi"/>
          <w:sz w:val="24"/>
          <w:szCs w:val="24"/>
        </w:rPr>
      </w:pPr>
      <w:bookmarkStart w:id="14" w:name="_Hlk31301683"/>
    </w:p>
    <w:p w:rsidR="002A253F" w:rsidRPr="00FC7D97" w:rsidP="00A345D7" w14:paraId="0FBB0A0B" w14:textId="1421B2FD">
      <w:pPr>
        <w:spacing w:line="276" w:lineRule="auto"/>
        <w:rPr>
          <w:rFonts w:cstheme="minorHAnsi"/>
          <w:sz w:val="24"/>
          <w:szCs w:val="24"/>
        </w:rPr>
      </w:pPr>
      <w:r>
        <w:rPr>
          <w:rFonts w:cstheme="minorHAnsi"/>
          <w:sz w:val="24"/>
          <w:szCs w:val="24"/>
        </w:rPr>
        <w:t>For domestic requests, r</w:t>
      </w:r>
      <w:r w:rsidRPr="00FC7D97">
        <w:rPr>
          <w:rFonts w:cstheme="minorHAnsi"/>
          <w:sz w:val="24"/>
          <w:szCs w:val="24"/>
        </w:rPr>
        <w:t xml:space="preserve">espondent laboratories requesting the kits can be from any sector (academic, public, or private), must be located in the U.S., must have a verifiable business address, must have a current </w:t>
      </w:r>
      <w:r w:rsidRPr="00FC7D97" w:rsidR="008843C5">
        <w:rPr>
          <w:rFonts w:cstheme="minorHAnsi"/>
          <w:sz w:val="24"/>
          <w:szCs w:val="24"/>
        </w:rPr>
        <w:t>Drug Enforcement Administration (</w:t>
      </w:r>
      <w:r w:rsidRPr="00FC7D97">
        <w:rPr>
          <w:rFonts w:cstheme="minorHAnsi"/>
          <w:sz w:val="24"/>
          <w:szCs w:val="24"/>
        </w:rPr>
        <w:t>DEA</w:t>
      </w:r>
      <w:r w:rsidRPr="00FC7D97" w:rsidR="008843C5">
        <w:rPr>
          <w:rFonts w:cstheme="minorHAnsi"/>
          <w:sz w:val="24"/>
          <w:szCs w:val="24"/>
        </w:rPr>
        <w:t>)</w:t>
      </w:r>
      <w:r w:rsidRPr="00FC7D97">
        <w:rPr>
          <w:rFonts w:cstheme="minorHAnsi"/>
          <w:sz w:val="24"/>
          <w:szCs w:val="24"/>
        </w:rPr>
        <w:t xml:space="preserve"> registration, must comply with respective state and local regulations, and must submit requests directly to the vendor.</w:t>
      </w:r>
      <w:bookmarkEnd w:id="14"/>
      <w:r>
        <w:rPr>
          <w:rFonts w:cstheme="minorHAnsi"/>
          <w:sz w:val="24"/>
          <w:szCs w:val="24"/>
        </w:rPr>
        <w:t xml:space="preserve"> </w:t>
      </w:r>
      <w:r w:rsidRPr="00FC7D97">
        <w:rPr>
          <w:rFonts w:cstheme="minorHAnsi"/>
          <w:sz w:val="24"/>
          <w:szCs w:val="24"/>
        </w:rPr>
        <w:t xml:space="preserve">As the number of laboratories requesting </w:t>
      </w:r>
      <w:r>
        <w:rPr>
          <w:rFonts w:cstheme="minorHAnsi"/>
          <w:sz w:val="24"/>
          <w:szCs w:val="24"/>
        </w:rPr>
        <w:t>test kits</w:t>
      </w:r>
      <w:r w:rsidRPr="00FC7D97">
        <w:rPr>
          <w:rFonts w:cstheme="minorHAnsi"/>
          <w:sz w:val="24"/>
          <w:szCs w:val="24"/>
        </w:rPr>
        <w:t xml:space="preserve"> </w:t>
      </w:r>
      <w:r w:rsidR="000D188F">
        <w:rPr>
          <w:rFonts w:cstheme="minorHAnsi"/>
          <w:sz w:val="24"/>
          <w:szCs w:val="24"/>
        </w:rPr>
        <w:t xml:space="preserve">may </w:t>
      </w:r>
      <w:r w:rsidRPr="00FC7D97" w:rsidR="00893B3E">
        <w:rPr>
          <w:rFonts w:cstheme="minorHAnsi"/>
          <w:sz w:val="24"/>
          <w:szCs w:val="24"/>
        </w:rPr>
        <w:t>exceed the supply</w:t>
      </w:r>
      <w:r w:rsidRPr="00FC7D97">
        <w:rPr>
          <w:rFonts w:cstheme="minorHAnsi"/>
          <w:sz w:val="24"/>
          <w:szCs w:val="24"/>
        </w:rPr>
        <w:t>, th</w:t>
      </w:r>
      <w:r w:rsidRPr="00FC7D97" w:rsidR="00D7437A">
        <w:rPr>
          <w:rFonts w:cstheme="minorHAnsi"/>
          <w:sz w:val="24"/>
          <w:szCs w:val="24"/>
        </w:rPr>
        <w:t>is</w:t>
      </w:r>
      <w:r w:rsidRPr="00FC7D97">
        <w:rPr>
          <w:rFonts w:cstheme="minorHAnsi"/>
          <w:sz w:val="24"/>
          <w:szCs w:val="24"/>
        </w:rPr>
        <w:t xml:space="preserve"> information collection will be used to prioritize which laboratories will receive the limited quantities of kits. The brief six-minute web-based survey will allow the CDC to (</w:t>
      </w:r>
      <w:r w:rsidRPr="00FC7D97" w:rsidR="008843C5">
        <w:rPr>
          <w:rFonts w:cstheme="minorHAnsi"/>
          <w:sz w:val="24"/>
          <w:szCs w:val="24"/>
        </w:rPr>
        <w:t>1</w:t>
      </w:r>
      <w:r w:rsidRPr="00FC7D97">
        <w:rPr>
          <w:rFonts w:cstheme="minorHAnsi"/>
          <w:sz w:val="24"/>
          <w:szCs w:val="24"/>
        </w:rPr>
        <w:t>) determine what service the recipient laboratory performs and the volume of samples the laboratory processes and (</w:t>
      </w:r>
      <w:r w:rsidRPr="00FC7D97" w:rsidR="008843C5">
        <w:rPr>
          <w:rFonts w:cstheme="minorHAnsi"/>
          <w:sz w:val="24"/>
          <w:szCs w:val="24"/>
        </w:rPr>
        <w:t>2</w:t>
      </w:r>
      <w:r w:rsidRPr="00FC7D97">
        <w:rPr>
          <w:rFonts w:cstheme="minorHAnsi"/>
          <w:sz w:val="24"/>
          <w:szCs w:val="24"/>
        </w:rPr>
        <w:t xml:space="preserve">) equitably distribute TOM </w:t>
      </w:r>
      <w:r w:rsidRPr="00FC7D97" w:rsidR="008843C5">
        <w:rPr>
          <w:rFonts w:cstheme="minorHAnsi"/>
          <w:sz w:val="24"/>
          <w:szCs w:val="24"/>
        </w:rPr>
        <w:t>K</w:t>
      </w:r>
      <w:r w:rsidRPr="00FC7D97">
        <w:rPr>
          <w:rFonts w:cstheme="minorHAnsi"/>
          <w:sz w:val="24"/>
          <w:szCs w:val="24"/>
        </w:rPr>
        <w:t>its</w:t>
      </w:r>
      <w:r w:rsidRPr="00FC7D97" w:rsidR="008843C5">
        <w:rPr>
          <w:rFonts w:cstheme="minorHAnsi"/>
          <w:sz w:val="24"/>
          <w:szCs w:val="24"/>
        </w:rPr>
        <w:t>*</w:t>
      </w:r>
      <w:r w:rsidRPr="00FC7D97">
        <w:rPr>
          <w:rFonts w:cstheme="minorHAnsi"/>
          <w:sz w:val="24"/>
          <w:szCs w:val="24"/>
        </w:rPr>
        <w:t xml:space="preserve"> based</w:t>
      </w:r>
      <w:r w:rsidRPr="00FC7D97" w:rsidR="008843C5">
        <w:rPr>
          <w:rFonts w:cstheme="minorHAnsi"/>
          <w:sz w:val="24"/>
          <w:szCs w:val="24"/>
        </w:rPr>
        <w:t xml:space="preserve"> on</w:t>
      </w:r>
      <w:r w:rsidRPr="00FC7D97">
        <w:rPr>
          <w:rFonts w:cstheme="minorHAnsi"/>
          <w:sz w:val="24"/>
          <w:szCs w:val="24"/>
        </w:rPr>
        <w:t xml:space="preserve"> the analysis techniques</w:t>
      </w:r>
      <w:r w:rsidR="002C70DC">
        <w:rPr>
          <w:rFonts w:cstheme="minorHAnsi"/>
          <w:sz w:val="24"/>
          <w:szCs w:val="24"/>
        </w:rPr>
        <w:t xml:space="preserve"> and </w:t>
      </w:r>
      <w:r w:rsidRPr="00FC7D97">
        <w:rPr>
          <w:rFonts w:cstheme="minorHAnsi"/>
          <w:sz w:val="24"/>
          <w:szCs w:val="24"/>
        </w:rPr>
        <w:t>matri</w:t>
      </w:r>
      <w:r w:rsidR="002C70DC">
        <w:rPr>
          <w:rFonts w:cstheme="minorHAnsi"/>
          <w:sz w:val="24"/>
          <w:szCs w:val="24"/>
        </w:rPr>
        <w:t>ces</w:t>
      </w:r>
      <w:r w:rsidRPr="00FC7D97">
        <w:rPr>
          <w:rFonts w:cstheme="minorHAnsi"/>
          <w:sz w:val="24"/>
          <w:szCs w:val="24"/>
        </w:rPr>
        <w:t xml:space="preserve"> used by the recipient laboratory</w:t>
      </w:r>
      <w:r w:rsidR="00CE5023">
        <w:rPr>
          <w:rFonts w:cstheme="minorHAnsi"/>
          <w:sz w:val="24"/>
          <w:szCs w:val="24"/>
        </w:rPr>
        <w:t xml:space="preserve"> (</w:t>
      </w:r>
      <w:r w:rsidRPr="00A345D7" w:rsidR="00CE5023">
        <w:rPr>
          <w:b/>
          <w:sz w:val="24"/>
          <w:szCs w:val="24"/>
        </w:rPr>
        <w:t xml:space="preserve">Attachment </w:t>
      </w:r>
      <w:r w:rsidRPr="00E77607" w:rsidR="00CE5023">
        <w:rPr>
          <w:b/>
          <w:sz w:val="24"/>
          <w:szCs w:val="24"/>
        </w:rPr>
        <w:t>5</w:t>
      </w:r>
      <w:r w:rsidR="00CE5023">
        <w:rPr>
          <w:b/>
          <w:sz w:val="24"/>
          <w:szCs w:val="24"/>
        </w:rPr>
        <w:t>a</w:t>
      </w:r>
      <w:r w:rsidR="00CE5023">
        <w:rPr>
          <w:bCs/>
          <w:sz w:val="24"/>
          <w:szCs w:val="24"/>
        </w:rPr>
        <w:t>)</w:t>
      </w:r>
      <w:r w:rsidRPr="00FC7D97">
        <w:rPr>
          <w:rFonts w:cstheme="minorHAnsi"/>
          <w:sz w:val="24"/>
          <w:szCs w:val="24"/>
        </w:rPr>
        <w:t>.</w:t>
      </w:r>
    </w:p>
    <w:p w:rsidR="00672E31" w:rsidRPr="00A345D7" w:rsidP="00A345D7" w14:paraId="726F89AB" w14:textId="102A2F2E">
      <w:pPr>
        <w:spacing w:line="276" w:lineRule="auto"/>
        <w:rPr>
          <w:rFonts w:cstheme="minorHAnsi"/>
          <w:sz w:val="24"/>
          <w:szCs w:val="24"/>
        </w:rPr>
      </w:pPr>
      <w:r w:rsidRPr="00A345D7">
        <w:rPr>
          <w:rFonts w:cstheme="minorHAnsi"/>
          <w:sz w:val="24"/>
          <w:szCs w:val="24"/>
        </w:rPr>
        <w:t xml:space="preserve">In addition, CDC will expand its distribution </w:t>
      </w:r>
      <w:r w:rsidRPr="00A345D7" w:rsidR="0011386A">
        <w:rPr>
          <w:rFonts w:cstheme="minorHAnsi"/>
          <w:sz w:val="24"/>
          <w:szCs w:val="24"/>
        </w:rPr>
        <w:t xml:space="preserve">of </w:t>
      </w:r>
      <w:r w:rsidR="0076268B">
        <w:rPr>
          <w:rFonts w:cstheme="minorHAnsi"/>
          <w:sz w:val="24"/>
          <w:szCs w:val="24"/>
        </w:rPr>
        <w:t>FAS</w:t>
      </w:r>
      <w:r w:rsidRPr="00A345D7" w:rsidR="0076268B">
        <w:rPr>
          <w:rFonts w:cstheme="minorHAnsi"/>
          <w:sz w:val="24"/>
          <w:szCs w:val="24"/>
        </w:rPr>
        <w:t xml:space="preserve"> </w:t>
      </w:r>
      <w:r w:rsidRPr="00A345D7" w:rsidR="0011386A">
        <w:rPr>
          <w:rFonts w:cstheme="minorHAnsi"/>
          <w:sz w:val="24"/>
          <w:szCs w:val="24"/>
        </w:rPr>
        <w:t xml:space="preserve">Kits </w:t>
      </w:r>
      <w:r w:rsidRPr="00A345D7">
        <w:rPr>
          <w:rFonts w:cstheme="minorHAnsi"/>
          <w:sz w:val="24"/>
          <w:szCs w:val="24"/>
        </w:rPr>
        <w:t>to international labs</w:t>
      </w:r>
      <w:r w:rsidRPr="00A345D7" w:rsidR="0011386A">
        <w:rPr>
          <w:rFonts w:cstheme="minorHAnsi"/>
          <w:sz w:val="24"/>
          <w:szCs w:val="24"/>
        </w:rPr>
        <w:t xml:space="preserve"> in partnership</w:t>
      </w:r>
      <w:r w:rsidRPr="00A345D7">
        <w:rPr>
          <w:rFonts w:cstheme="minorHAnsi"/>
          <w:sz w:val="24"/>
          <w:szCs w:val="24"/>
        </w:rPr>
        <w:t xml:space="preserve"> with the U</w:t>
      </w:r>
      <w:r w:rsidR="00F31325">
        <w:rPr>
          <w:rFonts w:cstheme="minorHAnsi"/>
          <w:sz w:val="24"/>
          <w:szCs w:val="24"/>
        </w:rPr>
        <w:t>N</w:t>
      </w:r>
      <w:r w:rsidR="002E26F8">
        <w:rPr>
          <w:rFonts w:cstheme="minorHAnsi"/>
          <w:sz w:val="24"/>
          <w:szCs w:val="24"/>
        </w:rPr>
        <w:t xml:space="preserve"> and under a non-CDC contract with the INCB</w:t>
      </w:r>
      <w:r w:rsidRPr="00A345D7">
        <w:rPr>
          <w:rFonts w:cstheme="minorHAnsi"/>
          <w:sz w:val="24"/>
          <w:szCs w:val="24"/>
        </w:rPr>
        <w:t xml:space="preserve"> (</w:t>
      </w:r>
      <w:r w:rsidRPr="00A345D7">
        <w:rPr>
          <w:rFonts w:cstheme="minorHAnsi"/>
          <w:b/>
          <w:sz w:val="24"/>
          <w:szCs w:val="24"/>
        </w:rPr>
        <w:t>Attachment 3</w:t>
      </w:r>
      <w:r w:rsidRPr="00A345D7">
        <w:rPr>
          <w:rFonts w:cstheme="minorHAnsi"/>
          <w:sz w:val="24"/>
          <w:szCs w:val="24"/>
        </w:rPr>
        <w:t xml:space="preserve">). </w:t>
      </w:r>
    </w:p>
    <w:p w:rsidR="0011386A" w:rsidRPr="00A345D7" w:rsidP="00D40333" w14:paraId="1129A2E8" w14:textId="42284308">
      <w:pPr>
        <w:numPr>
          <w:ilvl w:val="0"/>
          <w:numId w:val="2"/>
        </w:numPr>
        <w:spacing w:after="0" w:line="276" w:lineRule="auto"/>
        <w:rPr>
          <w:rFonts w:cstheme="minorHAnsi"/>
          <w:sz w:val="24"/>
          <w:szCs w:val="24"/>
        </w:rPr>
      </w:pPr>
      <w:r w:rsidRPr="00E77607">
        <w:rPr>
          <w:rFonts w:cstheme="minorHAnsi"/>
          <w:sz w:val="24"/>
          <w:szCs w:val="24"/>
        </w:rPr>
        <w:t>Cayman Chemical may direct ship test kits to international laboratories at UN</w:t>
      </w:r>
      <w:r w:rsidR="00F31325">
        <w:rPr>
          <w:rFonts w:cstheme="minorHAnsi"/>
          <w:sz w:val="24"/>
          <w:szCs w:val="24"/>
        </w:rPr>
        <w:t xml:space="preserve"> </w:t>
      </w:r>
      <w:r w:rsidRPr="00E77607">
        <w:rPr>
          <w:rFonts w:cstheme="minorHAnsi"/>
          <w:sz w:val="24"/>
          <w:szCs w:val="24"/>
        </w:rPr>
        <w:t>request.</w:t>
      </w:r>
    </w:p>
    <w:p w:rsidR="002E26F8" w:rsidRPr="002E26F8" w:rsidP="00D40333" w14:paraId="566EDAAA" w14:textId="06FC006C">
      <w:pPr>
        <w:pStyle w:val="ListParagraph"/>
        <w:numPr>
          <w:ilvl w:val="0"/>
          <w:numId w:val="2"/>
        </w:numPr>
        <w:spacing w:line="276" w:lineRule="auto"/>
        <w:rPr>
          <w:rFonts w:cstheme="minorHAnsi"/>
          <w:sz w:val="24"/>
          <w:szCs w:val="24"/>
        </w:rPr>
      </w:pPr>
      <w:r>
        <w:rPr>
          <w:sz w:val="24"/>
          <w:szCs w:val="24"/>
        </w:rPr>
        <w:t>T</w:t>
      </w:r>
      <w:r w:rsidRPr="002E26F8">
        <w:rPr>
          <w:sz w:val="24"/>
          <w:szCs w:val="24"/>
        </w:rPr>
        <w:t xml:space="preserve">he </w:t>
      </w:r>
      <w:r w:rsidR="00EF5FD3">
        <w:rPr>
          <w:sz w:val="24"/>
          <w:szCs w:val="24"/>
        </w:rPr>
        <w:t>CDC vendor</w:t>
      </w:r>
      <w:r w:rsidRPr="002E26F8">
        <w:rPr>
          <w:sz w:val="24"/>
          <w:szCs w:val="24"/>
        </w:rPr>
        <w:t xml:space="preserve"> will receive test kit applications from international laboratories on its own servers</w:t>
      </w:r>
      <w:r w:rsidRPr="002E26F8">
        <w:rPr>
          <w:rFonts w:cstheme="minorHAnsi"/>
          <w:sz w:val="24"/>
          <w:szCs w:val="24"/>
        </w:rPr>
        <w:t xml:space="preserve">, assign each lab a unique ID, and then direct the applicants to </w:t>
      </w:r>
      <w:r w:rsidR="00440D09">
        <w:rPr>
          <w:rFonts w:cstheme="minorHAnsi"/>
          <w:sz w:val="24"/>
          <w:szCs w:val="24"/>
        </w:rPr>
        <w:t xml:space="preserve">share their information with CDC by </w:t>
      </w:r>
      <w:r w:rsidRPr="002E26F8">
        <w:rPr>
          <w:rFonts w:cstheme="minorHAnsi"/>
          <w:sz w:val="24"/>
          <w:szCs w:val="24"/>
        </w:rPr>
        <w:t>complet</w:t>
      </w:r>
      <w:r w:rsidR="00440D09">
        <w:rPr>
          <w:rFonts w:cstheme="minorHAnsi"/>
          <w:sz w:val="24"/>
          <w:szCs w:val="24"/>
        </w:rPr>
        <w:t>ing</w:t>
      </w:r>
      <w:r w:rsidRPr="002E26F8">
        <w:rPr>
          <w:rFonts w:cstheme="minorHAnsi"/>
          <w:sz w:val="24"/>
          <w:szCs w:val="24"/>
        </w:rPr>
        <w:t xml:space="preserve"> questions on their laboratory characteristics </w:t>
      </w:r>
      <w:r w:rsidRPr="002E26F8" w:rsidR="00440D09">
        <w:rPr>
          <w:rFonts w:cstheme="minorHAnsi"/>
          <w:sz w:val="24"/>
          <w:szCs w:val="24"/>
        </w:rPr>
        <w:t xml:space="preserve">identified only by their unique lab ID </w:t>
      </w:r>
      <w:r w:rsidRPr="002E26F8">
        <w:rPr>
          <w:rFonts w:cstheme="minorHAnsi"/>
          <w:sz w:val="24"/>
          <w:szCs w:val="24"/>
        </w:rPr>
        <w:t xml:space="preserve">using the CDC vendor website. See the </w:t>
      </w:r>
      <w:r w:rsidRPr="002E26F8">
        <w:rPr>
          <w:sz w:val="24"/>
          <w:szCs w:val="24"/>
        </w:rPr>
        <w:t xml:space="preserve">new </w:t>
      </w:r>
      <w:r w:rsidRPr="002E26F8">
        <w:rPr>
          <w:b/>
          <w:bCs/>
          <w:sz w:val="24"/>
          <w:szCs w:val="24"/>
        </w:rPr>
        <w:t>Attachment 5b</w:t>
      </w:r>
      <w:r w:rsidRPr="002E26F8">
        <w:rPr>
          <w:sz w:val="24"/>
          <w:szCs w:val="24"/>
        </w:rPr>
        <w:t>.</w:t>
      </w:r>
    </w:p>
    <w:p w:rsidR="006A05D1" w:rsidRPr="00FC7D97" w:rsidP="00A345D7" w14:paraId="42AD1485" w14:textId="176ED4A4">
      <w:pPr>
        <w:spacing w:before="240" w:line="276" w:lineRule="auto"/>
        <w:rPr>
          <w:sz w:val="24"/>
          <w:szCs w:val="24"/>
        </w:rPr>
      </w:pPr>
      <w:r w:rsidRPr="00FC7D97">
        <w:rPr>
          <w:sz w:val="24"/>
          <w:szCs w:val="24"/>
        </w:rPr>
        <w:t>The information collection will serve</w:t>
      </w:r>
      <w:r w:rsidRPr="00FC7D97" w:rsidR="008D7BCD">
        <w:rPr>
          <w:sz w:val="24"/>
          <w:szCs w:val="24"/>
        </w:rPr>
        <w:t xml:space="preserve"> t</w:t>
      </w:r>
      <w:r w:rsidRPr="00FC7D97">
        <w:rPr>
          <w:sz w:val="24"/>
          <w:szCs w:val="24"/>
        </w:rPr>
        <w:t>o gather information on the types of laboratories reques</w:t>
      </w:r>
      <w:r w:rsidRPr="00FC7D97" w:rsidR="0049456C">
        <w:rPr>
          <w:sz w:val="24"/>
          <w:szCs w:val="24"/>
        </w:rPr>
        <w:t>ting the kits and</w:t>
      </w:r>
      <w:r w:rsidRPr="00FC7D97">
        <w:rPr>
          <w:sz w:val="24"/>
          <w:szCs w:val="24"/>
        </w:rPr>
        <w:t xml:space="preserve"> </w:t>
      </w:r>
      <w:r w:rsidRPr="00FC7D97" w:rsidR="0049456C">
        <w:rPr>
          <w:sz w:val="24"/>
          <w:szCs w:val="24"/>
        </w:rPr>
        <w:t>t</w:t>
      </w:r>
      <w:r w:rsidRPr="00FC7D97">
        <w:rPr>
          <w:sz w:val="24"/>
          <w:szCs w:val="24"/>
        </w:rPr>
        <w:t>o determine the types of instrumentation</w:t>
      </w:r>
      <w:r w:rsidR="00B2708D">
        <w:rPr>
          <w:sz w:val="24"/>
          <w:szCs w:val="24"/>
        </w:rPr>
        <w:t xml:space="preserve"> and </w:t>
      </w:r>
      <w:r w:rsidRPr="00FC7D97">
        <w:rPr>
          <w:sz w:val="24"/>
          <w:szCs w:val="24"/>
        </w:rPr>
        <w:t xml:space="preserve">matrices that those requesting kits will use them for.  </w:t>
      </w:r>
      <w:r w:rsidR="00917C4B">
        <w:rPr>
          <w:sz w:val="24"/>
          <w:szCs w:val="24"/>
        </w:rPr>
        <w:t>If</w:t>
      </w:r>
      <w:r w:rsidRPr="00FC7D97" w:rsidR="00917C4B">
        <w:rPr>
          <w:sz w:val="24"/>
          <w:szCs w:val="24"/>
        </w:rPr>
        <w:t xml:space="preserve"> </w:t>
      </w:r>
      <w:r w:rsidRPr="00FC7D97">
        <w:rPr>
          <w:sz w:val="24"/>
          <w:szCs w:val="24"/>
        </w:rPr>
        <w:t xml:space="preserve">the demand </w:t>
      </w:r>
      <w:r w:rsidRPr="00FC7D97" w:rsidR="0049456C">
        <w:rPr>
          <w:sz w:val="24"/>
          <w:szCs w:val="24"/>
        </w:rPr>
        <w:t xml:space="preserve">for the kits </w:t>
      </w:r>
      <w:r w:rsidR="006339BC">
        <w:rPr>
          <w:sz w:val="24"/>
          <w:szCs w:val="24"/>
        </w:rPr>
        <w:t xml:space="preserve">is </w:t>
      </w:r>
      <w:r w:rsidRPr="00FC7D97" w:rsidR="0049456C">
        <w:rPr>
          <w:sz w:val="24"/>
          <w:szCs w:val="24"/>
        </w:rPr>
        <w:t>greater tha</w:t>
      </w:r>
      <w:r w:rsidRPr="00FC7D97">
        <w:rPr>
          <w:sz w:val="24"/>
          <w:szCs w:val="24"/>
        </w:rPr>
        <w:t xml:space="preserve">n the supply of kits, questions about the laboratory function will aid in assuring that labs </w:t>
      </w:r>
      <w:r w:rsidRPr="00FC7D97" w:rsidR="00B95957">
        <w:rPr>
          <w:sz w:val="24"/>
          <w:szCs w:val="24"/>
        </w:rPr>
        <w:t xml:space="preserve">that serve a variety of different functions </w:t>
      </w:r>
      <w:r w:rsidRPr="00FC7D97">
        <w:rPr>
          <w:sz w:val="24"/>
          <w:szCs w:val="24"/>
        </w:rPr>
        <w:t xml:space="preserve">will have access to kits.  Collecting information about the volume </w:t>
      </w:r>
      <w:r w:rsidRPr="00FC7D97" w:rsidR="00B95957">
        <w:rPr>
          <w:sz w:val="24"/>
          <w:szCs w:val="24"/>
        </w:rPr>
        <w:t xml:space="preserve">of samples that </w:t>
      </w:r>
      <w:r w:rsidRPr="00FC7D97">
        <w:rPr>
          <w:sz w:val="24"/>
          <w:szCs w:val="24"/>
        </w:rPr>
        <w:t xml:space="preserve">the lab typically processes assures that the labs with the biggest volume do not get </w:t>
      </w:r>
      <w:r w:rsidRPr="00FC7D97" w:rsidR="00B7588B">
        <w:rPr>
          <w:sz w:val="24"/>
          <w:szCs w:val="24"/>
        </w:rPr>
        <w:t>all</w:t>
      </w:r>
      <w:r w:rsidRPr="00FC7D97">
        <w:rPr>
          <w:sz w:val="24"/>
          <w:szCs w:val="24"/>
        </w:rPr>
        <w:t xml:space="preserve"> the kits, thereby allowing smaller labs access to the kits.  Questions pertaining to the matrix</w:t>
      </w:r>
      <w:r w:rsidR="00041FB5">
        <w:rPr>
          <w:sz w:val="24"/>
          <w:szCs w:val="24"/>
        </w:rPr>
        <w:t xml:space="preserve"> </w:t>
      </w:r>
      <w:r w:rsidRPr="00FC7D97">
        <w:rPr>
          <w:sz w:val="24"/>
          <w:szCs w:val="24"/>
        </w:rPr>
        <w:t>and method of analysis is information that can be used to tailor future kits to the needs of the labs that are using the kits.</w:t>
      </w:r>
      <w:r w:rsidRPr="00FC7D97" w:rsidR="007666F6">
        <w:rPr>
          <w:sz w:val="24"/>
          <w:szCs w:val="24"/>
        </w:rPr>
        <w:t xml:space="preserve">  </w:t>
      </w:r>
    </w:p>
    <w:p w:rsidR="006A05D1" w:rsidRPr="00FC7D97" w:rsidP="00A345D7" w14:paraId="6003DB55" w14:textId="73181B4C">
      <w:pPr>
        <w:spacing w:line="276" w:lineRule="auto"/>
        <w:rPr>
          <w:rFonts w:cstheme="minorHAnsi"/>
          <w:sz w:val="24"/>
          <w:szCs w:val="24"/>
        </w:rPr>
      </w:pPr>
      <w:r w:rsidRPr="00FC7D97">
        <w:rPr>
          <w:sz w:val="24"/>
          <w:szCs w:val="24"/>
        </w:rPr>
        <w:t>If no information about lab function is collected, there may be a disproportionate distribution of kits to labs that serve similar or identical functions, thereby leaving a paucity of kits for laboratories that perform other functions.  Additionally, no</w:t>
      </w:r>
      <w:r w:rsidRPr="00FC7D97" w:rsidR="00D7035D">
        <w:rPr>
          <w:sz w:val="24"/>
          <w:szCs w:val="24"/>
        </w:rPr>
        <w:t xml:space="preserve"> information to assist in improving </w:t>
      </w:r>
      <w:r w:rsidRPr="00FC7D97" w:rsidR="00D7035D">
        <w:rPr>
          <w:rFonts w:cstheme="minorHAnsi"/>
          <w:sz w:val="24"/>
          <w:szCs w:val="24"/>
        </w:rPr>
        <w:t xml:space="preserve">the program, or how to </w:t>
      </w:r>
      <w:r w:rsidRPr="00FC7D97">
        <w:rPr>
          <w:rFonts w:cstheme="minorHAnsi"/>
          <w:sz w:val="24"/>
          <w:szCs w:val="24"/>
        </w:rPr>
        <w:t xml:space="preserve">optimize </w:t>
      </w:r>
      <w:r w:rsidRPr="00FC7D97" w:rsidR="00D7035D">
        <w:rPr>
          <w:rFonts w:cstheme="minorHAnsi"/>
          <w:sz w:val="24"/>
          <w:szCs w:val="24"/>
        </w:rPr>
        <w:t xml:space="preserve">the way </w:t>
      </w:r>
      <w:r w:rsidRPr="00FC7D97">
        <w:rPr>
          <w:rFonts w:cstheme="minorHAnsi"/>
          <w:sz w:val="24"/>
          <w:szCs w:val="24"/>
        </w:rPr>
        <w:t>the sample material is provided would be possible.</w:t>
      </w:r>
    </w:p>
    <w:p w:rsidR="00C13959" w:rsidP="004976CC" w14:paraId="28BB1B60" w14:textId="62633A68">
      <w:pPr>
        <w:pStyle w:val="Heading1"/>
        <w:pBdr>
          <w:bottom w:val="none" w:sz="0" w:space="0" w:color="auto"/>
        </w:pBdr>
        <w:rPr>
          <w:color w:val="auto"/>
        </w:rPr>
      </w:pPr>
      <w:bookmarkStart w:id="15" w:name="_Toc31301593"/>
      <w:bookmarkStart w:id="16" w:name="_Toc121132848"/>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15"/>
      <w:bookmarkEnd w:id="16"/>
    </w:p>
    <w:p w:rsidR="00AF60E9" w:rsidP="00AF60E9" w14:paraId="7B6FE52D" w14:textId="0EB7F70C"/>
    <w:p w:rsidR="004976CC" w:rsidP="004976CC" w14:paraId="31BA5F3D" w14:textId="686684E4">
      <w:pPr>
        <w:rPr>
          <w:sz w:val="24"/>
        </w:rPr>
      </w:pPr>
      <w:r w:rsidRPr="0049456C">
        <w:rPr>
          <w:sz w:val="24"/>
        </w:rPr>
        <w:t xml:space="preserve">Information </w:t>
      </w:r>
      <w:r w:rsidR="00D07224">
        <w:rPr>
          <w:sz w:val="24"/>
        </w:rPr>
        <w:t xml:space="preserve">from domestic laboratories </w:t>
      </w:r>
      <w:r w:rsidRPr="0049456C">
        <w:rPr>
          <w:sz w:val="24"/>
        </w:rPr>
        <w:t xml:space="preserve">will be </w:t>
      </w:r>
      <w:r w:rsidR="00290B1D">
        <w:rPr>
          <w:sz w:val="24"/>
        </w:rPr>
        <w:t>collected through</w:t>
      </w:r>
      <w:r w:rsidRPr="0049456C">
        <w:rPr>
          <w:sz w:val="24"/>
        </w:rPr>
        <w:t xml:space="preserve"> the TOM </w:t>
      </w:r>
      <w:r w:rsidR="00056CD6">
        <w:rPr>
          <w:sz w:val="24"/>
        </w:rPr>
        <w:t>K</w:t>
      </w:r>
      <w:r w:rsidRPr="0049456C">
        <w:rPr>
          <w:sz w:val="24"/>
        </w:rPr>
        <w:t>its</w:t>
      </w:r>
      <w:r w:rsidR="00056CD6">
        <w:rPr>
          <w:sz w:val="24"/>
        </w:rPr>
        <w:t>*</w:t>
      </w:r>
      <w:r w:rsidRPr="0049456C">
        <w:rPr>
          <w:sz w:val="24"/>
        </w:rPr>
        <w:t xml:space="preserve"> manufacturer</w:t>
      </w:r>
      <w:r w:rsidR="00290B1D">
        <w:rPr>
          <w:sz w:val="24"/>
        </w:rPr>
        <w:t>’</w:t>
      </w:r>
      <w:r w:rsidR="00243BD5">
        <w:rPr>
          <w:sz w:val="24"/>
        </w:rPr>
        <w:t>s</w:t>
      </w:r>
      <w:r w:rsidRPr="0049456C" w:rsidR="00D400C0">
        <w:rPr>
          <w:sz w:val="24"/>
        </w:rPr>
        <w:t xml:space="preserve"> website (</w:t>
      </w:r>
      <w:r w:rsidRPr="0049456C" w:rsidR="00203018">
        <w:rPr>
          <w:b/>
          <w:sz w:val="24"/>
        </w:rPr>
        <w:t>Attachment</w:t>
      </w:r>
      <w:r w:rsidR="00F44453">
        <w:rPr>
          <w:b/>
          <w:sz w:val="24"/>
        </w:rPr>
        <w:t xml:space="preserve">s </w:t>
      </w:r>
      <w:r w:rsidR="004B63AD">
        <w:rPr>
          <w:b/>
          <w:sz w:val="24"/>
        </w:rPr>
        <w:t>3</w:t>
      </w:r>
      <w:r w:rsidR="00F22CB3">
        <w:rPr>
          <w:b/>
          <w:sz w:val="24"/>
        </w:rPr>
        <w:t>,</w:t>
      </w:r>
      <w:r w:rsidR="00056CD6">
        <w:rPr>
          <w:b/>
          <w:sz w:val="24"/>
        </w:rPr>
        <w:t xml:space="preserve"> </w:t>
      </w:r>
      <w:r w:rsidR="00D07224">
        <w:rPr>
          <w:b/>
          <w:sz w:val="24"/>
        </w:rPr>
        <w:t>5a</w:t>
      </w:r>
      <w:r w:rsidR="00A47379">
        <w:rPr>
          <w:bCs/>
          <w:sz w:val="24"/>
        </w:rPr>
        <w:t>)</w:t>
      </w:r>
      <w:r w:rsidRPr="0049456C" w:rsidR="00D400C0">
        <w:rPr>
          <w:sz w:val="24"/>
        </w:rPr>
        <w:t>.  Th</w:t>
      </w:r>
      <w:r w:rsidR="00243BD5">
        <w:rPr>
          <w:sz w:val="24"/>
        </w:rPr>
        <w:t>e</w:t>
      </w:r>
      <w:r w:rsidRPr="0049456C" w:rsidR="00D400C0">
        <w:rPr>
          <w:sz w:val="24"/>
        </w:rPr>
        <w:t xml:space="preserve"> information collection is 100% electronic.  There is no special software that will be used</w:t>
      </w:r>
      <w:r w:rsidR="00290B1D">
        <w:rPr>
          <w:sz w:val="24"/>
        </w:rPr>
        <w:t>,</w:t>
      </w:r>
      <w:r w:rsidRPr="0049456C" w:rsidR="00D400C0">
        <w:rPr>
          <w:sz w:val="24"/>
        </w:rPr>
        <w:t xml:space="preserve"> and the </w:t>
      </w:r>
      <w:r w:rsidR="0067462C">
        <w:rPr>
          <w:sz w:val="24"/>
        </w:rPr>
        <w:t>survey</w:t>
      </w:r>
      <w:r w:rsidRPr="0049456C" w:rsidR="00D400C0">
        <w:rPr>
          <w:sz w:val="24"/>
        </w:rPr>
        <w:t xml:space="preserve"> use</w:t>
      </w:r>
      <w:r w:rsidR="00290B1D">
        <w:rPr>
          <w:sz w:val="24"/>
        </w:rPr>
        <w:t>s</w:t>
      </w:r>
      <w:r w:rsidRPr="0049456C" w:rsidR="00D400C0">
        <w:rPr>
          <w:sz w:val="24"/>
        </w:rPr>
        <w:t xml:space="preserve"> common internet interfaces to </w:t>
      </w:r>
      <w:r w:rsidR="004B63AD">
        <w:rPr>
          <w:sz w:val="24"/>
        </w:rPr>
        <w:t>complete</w:t>
      </w:r>
      <w:r w:rsidRPr="0049456C" w:rsidR="00D400C0">
        <w:rPr>
          <w:sz w:val="24"/>
        </w:rPr>
        <w:t xml:space="preserve">, thereby minimizing any training time and cost to </w:t>
      </w:r>
      <w:r w:rsidRPr="0049456C" w:rsidR="00141C4C">
        <w:rPr>
          <w:sz w:val="24"/>
        </w:rPr>
        <w:t>fill out the form.  Upon completion, a submission button is used to submit electronically and instantaneously.  By adopting a common internet interface, and one that can be access</w:t>
      </w:r>
      <w:r w:rsidR="00056CD6">
        <w:rPr>
          <w:sz w:val="24"/>
        </w:rPr>
        <w:t>ed</w:t>
      </w:r>
      <w:r w:rsidRPr="0049456C" w:rsidR="00141C4C">
        <w:rPr>
          <w:sz w:val="24"/>
        </w:rPr>
        <w:t xml:space="preserve"> with any major web browser, errors </w:t>
      </w:r>
      <w:r w:rsidR="00056CD6">
        <w:rPr>
          <w:sz w:val="24"/>
        </w:rPr>
        <w:t>are</w:t>
      </w:r>
      <w:r w:rsidRPr="0049456C" w:rsidR="00141C4C">
        <w:rPr>
          <w:sz w:val="24"/>
        </w:rPr>
        <w:t xml:space="preserve"> minimized, costs and burden time </w:t>
      </w:r>
      <w:r w:rsidR="00056CD6">
        <w:rPr>
          <w:sz w:val="24"/>
        </w:rPr>
        <w:t>are</w:t>
      </w:r>
      <w:r w:rsidRPr="0049456C" w:rsidR="00141C4C">
        <w:rPr>
          <w:sz w:val="24"/>
        </w:rPr>
        <w:t xml:space="preserve"> </w:t>
      </w:r>
      <w:r w:rsidR="00056CD6">
        <w:rPr>
          <w:sz w:val="24"/>
        </w:rPr>
        <w:t>reduc</w:t>
      </w:r>
      <w:r w:rsidRPr="0049456C" w:rsidR="00056CD6">
        <w:rPr>
          <w:sz w:val="24"/>
        </w:rPr>
        <w:t>ed</w:t>
      </w:r>
      <w:r w:rsidRPr="0049456C" w:rsidR="00141C4C">
        <w:rPr>
          <w:sz w:val="24"/>
        </w:rPr>
        <w:t xml:space="preserve">, and ease of submission </w:t>
      </w:r>
      <w:r w:rsidR="00056CD6">
        <w:rPr>
          <w:sz w:val="24"/>
        </w:rPr>
        <w:t>is</w:t>
      </w:r>
      <w:r w:rsidRPr="0049456C" w:rsidR="00141C4C">
        <w:rPr>
          <w:sz w:val="24"/>
        </w:rPr>
        <w:t xml:space="preserve"> </w:t>
      </w:r>
      <w:r w:rsidRPr="0049456C" w:rsidR="00056CD6">
        <w:rPr>
          <w:sz w:val="24"/>
        </w:rPr>
        <w:t>m</w:t>
      </w:r>
      <w:r w:rsidR="00056CD6">
        <w:rPr>
          <w:sz w:val="24"/>
        </w:rPr>
        <w:t>axi</w:t>
      </w:r>
      <w:r w:rsidRPr="0049456C" w:rsidR="00056CD6">
        <w:rPr>
          <w:sz w:val="24"/>
        </w:rPr>
        <w:t>mized</w:t>
      </w:r>
      <w:r w:rsidRPr="0049456C" w:rsidR="00141C4C">
        <w:rPr>
          <w:sz w:val="24"/>
        </w:rPr>
        <w:t>.</w:t>
      </w:r>
    </w:p>
    <w:p w:rsidR="00D07224" w:rsidRPr="009906BA" w:rsidP="004976CC" w14:paraId="12D4E6AD" w14:textId="27E6E7A3">
      <w:pPr>
        <w:rPr>
          <w:sz w:val="24"/>
        </w:rPr>
      </w:pPr>
      <w:r>
        <w:rPr>
          <w:sz w:val="24"/>
        </w:rPr>
        <w:t>Applicant i</w:t>
      </w:r>
      <w:r w:rsidRPr="0049456C" w:rsidR="008C2773">
        <w:rPr>
          <w:sz w:val="24"/>
        </w:rPr>
        <w:t xml:space="preserve">nformation </w:t>
      </w:r>
      <w:r w:rsidR="008C2773">
        <w:rPr>
          <w:sz w:val="24"/>
        </w:rPr>
        <w:t xml:space="preserve">from international laboratories </w:t>
      </w:r>
      <w:r w:rsidRPr="0049456C" w:rsidR="008C2773">
        <w:rPr>
          <w:sz w:val="24"/>
        </w:rPr>
        <w:t xml:space="preserve">will be </w:t>
      </w:r>
      <w:r w:rsidR="008C2773">
        <w:rPr>
          <w:sz w:val="24"/>
        </w:rPr>
        <w:t xml:space="preserve">collected by the </w:t>
      </w:r>
      <w:r w:rsidR="00876E4C">
        <w:rPr>
          <w:sz w:val="24"/>
        </w:rPr>
        <w:t>CDC vendor</w:t>
      </w:r>
      <w:r w:rsidR="008C2773">
        <w:rPr>
          <w:sz w:val="24"/>
        </w:rPr>
        <w:t xml:space="preserve"> </w:t>
      </w:r>
      <w:r>
        <w:rPr>
          <w:sz w:val="24"/>
        </w:rPr>
        <w:t xml:space="preserve">on its own secure servers. The </w:t>
      </w:r>
      <w:r w:rsidR="00635CAC">
        <w:rPr>
          <w:sz w:val="24"/>
        </w:rPr>
        <w:t xml:space="preserve">CDC vendor website </w:t>
      </w:r>
      <w:r>
        <w:rPr>
          <w:sz w:val="24"/>
        </w:rPr>
        <w:t>will direct applicants to complete the supplemental test kit questions for international laboratories located on the CDC vendor website</w:t>
      </w:r>
      <w:r w:rsidRPr="0049456C" w:rsidR="008C2773">
        <w:rPr>
          <w:sz w:val="24"/>
        </w:rPr>
        <w:t xml:space="preserve"> (</w:t>
      </w:r>
      <w:r w:rsidRPr="0049456C" w:rsidR="008C2773">
        <w:rPr>
          <w:b/>
          <w:sz w:val="24"/>
        </w:rPr>
        <w:t>Attachment</w:t>
      </w:r>
      <w:r w:rsidR="008C2773">
        <w:rPr>
          <w:b/>
          <w:sz w:val="24"/>
        </w:rPr>
        <w:t>s 3, 5b</w:t>
      </w:r>
      <w:r w:rsidR="008C2773">
        <w:rPr>
          <w:bCs/>
          <w:sz w:val="24"/>
        </w:rPr>
        <w:t>)</w:t>
      </w:r>
      <w:r w:rsidRPr="0049456C" w:rsidR="008C2773">
        <w:rPr>
          <w:sz w:val="24"/>
        </w:rPr>
        <w:t xml:space="preserve">.  </w:t>
      </w:r>
    </w:p>
    <w:p w:rsidR="00B45002" w:rsidRPr="00BB52F8" w:rsidP="004D7237" w14:paraId="32CBF19C" w14:textId="0159555E">
      <w:pPr>
        <w:pStyle w:val="Heading1"/>
        <w:pBdr>
          <w:bottom w:val="none" w:sz="0" w:space="0" w:color="auto"/>
        </w:pBdr>
        <w:rPr>
          <w:color w:val="auto"/>
        </w:rPr>
      </w:pPr>
      <w:bookmarkStart w:id="17" w:name="_Toc31301594"/>
      <w:bookmarkStart w:id="18" w:name="_Toc121132849"/>
      <w:r w:rsidRPr="00BB52F8">
        <w:rPr>
          <w:color w:val="auto"/>
        </w:rPr>
        <w:t>A.</w:t>
      </w:r>
      <w:r w:rsidRPr="00BB52F8" w:rsidR="004D21C9">
        <w:rPr>
          <w:color w:val="auto"/>
        </w:rPr>
        <w:t xml:space="preserve">4.  </w:t>
      </w:r>
      <w:r w:rsidRPr="00BB52F8">
        <w:rPr>
          <w:color w:val="auto"/>
        </w:rPr>
        <w:t>Efforts to Identify Duplication and Use of Similar Information</w:t>
      </w:r>
      <w:bookmarkEnd w:id="17"/>
      <w:bookmarkEnd w:id="18"/>
    </w:p>
    <w:p w:rsidR="004D7237" w:rsidRPr="0049456C" w:rsidP="004D7237" w14:paraId="241D43FC" w14:textId="67029411">
      <w:pPr>
        <w:rPr>
          <w:sz w:val="24"/>
        </w:rPr>
      </w:pPr>
    </w:p>
    <w:p w:rsidR="00BC4969" w:rsidRPr="00BC4969" w:rsidP="004D7237" w14:paraId="6CA72A9F" w14:textId="31D5D5B2">
      <w:pPr>
        <w:rPr>
          <w:sz w:val="24"/>
          <w:szCs w:val="24"/>
        </w:rPr>
      </w:pPr>
      <w:bookmarkStart w:id="19" w:name="_Hlk108775008"/>
      <w:r w:rsidRPr="00BC4969">
        <w:rPr>
          <w:sz w:val="24"/>
          <w:szCs w:val="24"/>
        </w:rPr>
        <w:t xml:space="preserve">It is </w:t>
      </w:r>
      <w:r w:rsidRPr="00BC4969" w:rsidR="00007F77">
        <w:rPr>
          <w:sz w:val="24"/>
          <w:szCs w:val="24"/>
        </w:rPr>
        <w:t>possible that a laboratory may submit more than one request for TOM Kits</w:t>
      </w:r>
      <w:r w:rsidR="00056CD6">
        <w:rPr>
          <w:sz w:val="24"/>
          <w:szCs w:val="24"/>
        </w:rPr>
        <w:t>*</w:t>
      </w:r>
      <w:r w:rsidRPr="00BC4969" w:rsidR="00007F77">
        <w:rPr>
          <w:sz w:val="24"/>
          <w:szCs w:val="24"/>
        </w:rPr>
        <w:t xml:space="preserve">. </w:t>
      </w:r>
      <w:r w:rsidRPr="00BC4969" w:rsidR="00614F19">
        <w:rPr>
          <w:sz w:val="24"/>
          <w:szCs w:val="24"/>
        </w:rPr>
        <w:t>The CDC website</w:t>
      </w:r>
      <w:r w:rsidR="00725CDB">
        <w:rPr>
          <w:sz w:val="24"/>
          <w:szCs w:val="24"/>
        </w:rPr>
        <w:t xml:space="preserve"> </w:t>
      </w:r>
      <w:r>
        <w:rPr>
          <w:rStyle w:val="FootnoteReference"/>
          <w:sz w:val="24"/>
          <w:szCs w:val="24"/>
        </w:rPr>
        <w:footnoteReference w:id="7"/>
      </w:r>
      <w:r>
        <w:rPr>
          <w:sz w:val="24"/>
          <w:szCs w:val="24"/>
        </w:rPr>
        <w:t>, “</w:t>
      </w:r>
      <w:hyperlink r:id="rId9" w:history="1">
        <w:r w:rsidRPr="00056CD6">
          <w:rPr>
            <w:rStyle w:val="Hyperlink"/>
            <w:sz w:val="24"/>
            <w:szCs w:val="24"/>
          </w:rPr>
          <w:t>Traceable Opioid Material* Kits to Improve Laboratory Detection of Synthetic Opioids in the U.S.</w:t>
        </w:r>
      </w:hyperlink>
      <w:r>
        <w:rPr>
          <w:sz w:val="24"/>
          <w:szCs w:val="24"/>
        </w:rPr>
        <w:t>” states</w:t>
      </w:r>
      <w:r w:rsidRPr="00BC4969" w:rsidR="00614F19">
        <w:rPr>
          <w:sz w:val="24"/>
          <w:szCs w:val="24"/>
        </w:rPr>
        <w:t xml:space="preserve"> that </w:t>
      </w:r>
      <w:r>
        <w:rPr>
          <w:sz w:val="24"/>
          <w:szCs w:val="24"/>
        </w:rPr>
        <w:t>a</w:t>
      </w:r>
      <w:r w:rsidRPr="0097091A">
        <w:rPr>
          <w:sz w:val="24"/>
          <w:szCs w:val="24"/>
        </w:rPr>
        <w:t xml:space="preserve">lthough laboratories may request multiple kits, supplies are limited and requests will be filled based on product availability. </w:t>
      </w:r>
      <w:r>
        <w:rPr>
          <w:sz w:val="24"/>
          <w:szCs w:val="24"/>
        </w:rPr>
        <w:t>If requesting multiple kits over time, t</w:t>
      </w:r>
      <w:r w:rsidRPr="00BC4969" w:rsidR="001D2A80">
        <w:rPr>
          <w:sz w:val="24"/>
          <w:szCs w:val="24"/>
        </w:rPr>
        <w:t xml:space="preserve">he attributes of </w:t>
      </w:r>
      <w:r>
        <w:rPr>
          <w:sz w:val="24"/>
          <w:szCs w:val="24"/>
        </w:rPr>
        <w:t>a</w:t>
      </w:r>
      <w:r w:rsidR="001D2A80">
        <w:rPr>
          <w:sz w:val="24"/>
        </w:rPr>
        <w:t xml:space="preserve"> lab</w:t>
      </w:r>
      <w:r>
        <w:rPr>
          <w:sz w:val="24"/>
        </w:rPr>
        <w:t>oratory</w:t>
      </w:r>
      <w:r w:rsidR="001D2A80">
        <w:rPr>
          <w:sz w:val="24"/>
        </w:rPr>
        <w:t xml:space="preserve"> and the analysis method of the TOM </w:t>
      </w:r>
      <w:r w:rsidR="00056CD6">
        <w:rPr>
          <w:sz w:val="24"/>
        </w:rPr>
        <w:t>K</w:t>
      </w:r>
      <w:r w:rsidR="001D2A80">
        <w:rPr>
          <w:sz w:val="24"/>
        </w:rPr>
        <w:t>its</w:t>
      </w:r>
      <w:r w:rsidR="00056CD6">
        <w:rPr>
          <w:sz w:val="24"/>
        </w:rPr>
        <w:t>*</w:t>
      </w:r>
      <w:r w:rsidR="001D2A80">
        <w:rPr>
          <w:sz w:val="24"/>
        </w:rPr>
        <w:t xml:space="preserve"> materials </w:t>
      </w:r>
      <w:r w:rsidRPr="0049456C" w:rsidR="00931D17">
        <w:rPr>
          <w:sz w:val="24"/>
        </w:rPr>
        <w:t>may change</w:t>
      </w:r>
      <w:r>
        <w:rPr>
          <w:sz w:val="24"/>
        </w:rPr>
        <w:t>.</w:t>
      </w:r>
      <w:r w:rsidRPr="0049456C" w:rsidR="00931D17">
        <w:rPr>
          <w:sz w:val="24"/>
        </w:rPr>
        <w:t xml:space="preserve"> </w:t>
      </w:r>
      <w:r>
        <w:rPr>
          <w:sz w:val="24"/>
        </w:rPr>
        <w:t>T</w:t>
      </w:r>
      <w:r w:rsidRPr="0049456C" w:rsidR="00931D17">
        <w:rPr>
          <w:sz w:val="24"/>
        </w:rPr>
        <w:t>herefore, future</w:t>
      </w:r>
      <w:r w:rsidR="00F323E9">
        <w:rPr>
          <w:sz w:val="24"/>
        </w:rPr>
        <w:t xml:space="preserve"> </w:t>
      </w:r>
      <w:r w:rsidRPr="0049456C" w:rsidR="00931D17">
        <w:rPr>
          <w:sz w:val="24"/>
        </w:rPr>
        <w:t xml:space="preserve">requests </w:t>
      </w:r>
      <w:r w:rsidRPr="0049456C" w:rsidR="00E50EC4">
        <w:rPr>
          <w:sz w:val="24"/>
        </w:rPr>
        <w:t xml:space="preserve">will require filling the </w:t>
      </w:r>
      <w:r w:rsidR="00203F51">
        <w:rPr>
          <w:sz w:val="24"/>
        </w:rPr>
        <w:t>survey</w:t>
      </w:r>
      <w:r w:rsidRPr="0049456C" w:rsidR="00E50EC4">
        <w:rPr>
          <w:sz w:val="24"/>
        </w:rPr>
        <w:t xml:space="preserve"> out again to </w:t>
      </w:r>
      <w:r w:rsidR="00056CD6">
        <w:rPr>
          <w:sz w:val="24"/>
        </w:rPr>
        <w:t>e</w:t>
      </w:r>
      <w:r w:rsidRPr="0049456C" w:rsidR="00E50EC4">
        <w:rPr>
          <w:sz w:val="24"/>
        </w:rPr>
        <w:t>nsure the most up-to-date information</w:t>
      </w:r>
      <w:r w:rsidR="00056CD6">
        <w:rPr>
          <w:sz w:val="24"/>
        </w:rPr>
        <w:t xml:space="preserve"> is being used to prioritize kit distribution</w:t>
      </w:r>
      <w:r w:rsidRPr="0049456C" w:rsidR="00E50EC4">
        <w:rPr>
          <w:sz w:val="24"/>
        </w:rPr>
        <w:t>.</w:t>
      </w:r>
    </w:p>
    <w:p w:rsidR="00E43C6B" w:rsidRPr="009906BA" w:rsidP="004D7237" w14:paraId="4EBA38D5" w14:textId="1704A131">
      <w:pPr>
        <w:rPr>
          <w:sz w:val="24"/>
        </w:rPr>
      </w:pPr>
      <w:r>
        <w:rPr>
          <w:sz w:val="24"/>
        </w:rPr>
        <w:t>T</w:t>
      </w:r>
      <w:r w:rsidR="001D2A80">
        <w:rPr>
          <w:sz w:val="24"/>
        </w:rPr>
        <w:t>here is no information</w:t>
      </w:r>
      <w:r w:rsidR="00F35385">
        <w:rPr>
          <w:sz w:val="24"/>
        </w:rPr>
        <w:t xml:space="preserve"> elsewhere</w:t>
      </w:r>
      <w:r w:rsidR="001D2A80">
        <w:rPr>
          <w:sz w:val="24"/>
        </w:rPr>
        <w:t xml:space="preserve"> about the types of labs, quantity of samples analyzed by the labs, or matrix types used by labs performing opioid analysis</w:t>
      </w:r>
      <w:r w:rsidR="00DA3CC3">
        <w:rPr>
          <w:sz w:val="24"/>
        </w:rPr>
        <w:t>,</w:t>
      </w:r>
      <w:r>
        <w:rPr>
          <w:sz w:val="24"/>
        </w:rPr>
        <w:t xml:space="preserve"> so it is critical that the program ask these questions for prioritizing kit distribution</w:t>
      </w:r>
      <w:r w:rsidR="001D2A80">
        <w:rPr>
          <w:sz w:val="24"/>
        </w:rPr>
        <w:t>.</w:t>
      </w:r>
    </w:p>
    <w:p w:rsidR="00B45002" w:rsidRPr="00D20211" w:rsidP="00601F1A" w14:paraId="5500B6CD" w14:textId="24BBD6C6">
      <w:pPr>
        <w:pStyle w:val="Heading1"/>
        <w:pBdr>
          <w:bottom w:val="none" w:sz="0" w:space="0" w:color="auto"/>
        </w:pBdr>
        <w:rPr>
          <w:color w:val="auto"/>
        </w:rPr>
      </w:pPr>
      <w:bookmarkStart w:id="20" w:name="_Toc31301595"/>
      <w:bookmarkStart w:id="21" w:name="_Toc121132850"/>
      <w:bookmarkEnd w:id="19"/>
      <w:r w:rsidRPr="00D20211">
        <w:rPr>
          <w:color w:val="auto"/>
        </w:rPr>
        <w:t>A.</w:t>
      </w:r>
      <w:r w:rsidRPr="00D20211" w:rsidR="004D21C9">
        <w:rPr>
          <w:color w:val="auto"/>
        </w:rPr>
        <w:t xml:space="preserve">5.  </w:t>
      </w:r>
      <w:r w:rsidRPr="00D20211">
        <w:rPr>
          <w:color w:val="auto"/>
        </w:rPr>
        <w:t>Impact on Small Businesses or Other Small Entities</w:t>
      </w:r>
      <w:bookmarkEnd w:id="20"/>
      <w:bookmarkEnd w:id="21"/>
    </w:p>
    <w:p w:rsidR="00F16DA0" w:rsidP="00F16DA0" w14:paraId="0CCAAA5D" w14:textId="4302774E">
      <w:pPr>
        <w:autoSpaceDE w:val="0"/>
        <w:autoSpaceDN w:val="0"/>
        <w:adjustRightInd w:val="0"/>
        <w:spacing w:after="0" w:line="240" w:lineRule="auto"/>
        <w:rPr>
          <w:rFonts w:cs="ITCFranklinGothicStd-Book"/>
          <w:sz w:val="24"/>
          <w:szCs w:val="24"/>
        </w:rPr>
      </w:pPr>
    </w:p>
    <w:p w:rsidR="00BC54B1" w:rsidP="00F16DA0" w14:paraId="7B4A2F93" w14:textId="34599510">
      <w:pPr>
        <w:autoSpaceDE w:val="0"/>
        <w:autoSpaceDN w:val="0"/>
        <w:adjustRightInd w:val="0"/>
        <w:spacing w:after="0" w:line="240" w:lineRule="auto"/>
        <w:rPr>
          <w:rFonts w:cs="ITCFranklinGothicStd-Book"/>
          <w:sz w:val="24"/>
          <w:szCs w:val="24"/>
        </w:rPr>
      </w:pPr>
      <w:r>
        <w:rPr>
          <w:rFonts w:cs="ITCFranklinGothicStd-Book"/>
          <w:sz w:val="24"/>
          <w:szCs w:val="24"/>
        </w:rPr>
        <w:t>Because this information collection involves laboratories</w:t>
      </w:r>
      <w:r>
        <w:rPr>
          <w:rFonts w:cs="ITCFranklinGothicStd-Book"/>
          <w:sz w:val="24"/>
          <w:szCs w:val="24"/>
        </w:rPr>
        <w:t xml:space="preserve"> as respondents</w:t>
      </w:r>
      <w:r>
        <w:rPr>
          <w:rFonts w:cs="ITCFranklinGothicStd-Book"/>
          <w:sz w:val="24"/>
          <w:szCs w:val="24"/>
        </w:rPr>
        <w:t xml:space="preserve">, a large proportion will affect small businesses or other small entities. </w:t>
      </w:r>
      <w:r w:rsidR="00327181">
        <w:rPr>
          <w:rFonts w:cs="ITCFranklinGothicStd-Book"/>
          <w:sz w:val="24"/>
          <w:szCs w:val="24"/>
        </w:rPr>
        <w:t>Nevertheless, t</w:t>
      </w:r>
      <w:r>
        <w:rPr>
          <w:rFonts w:cs="ITCFranklinGothicStd-Book"/>
          <w:sz w:val="24"/>
          <w:szCs w:val="24"/>
        </w:rPr>
        <w:t xml:space="preserve">he </w:t>
      </w:r>
      <w:r w:rsidR="006049FF">
        <w:rPr>
          <w:rFonts w:cs="ITCFranklinGothicStd-Book"/>
          <w:sz w:val="24"/>
          <w:szCs w:val="24"/>
        </w:rPr>
        <w:t>Test</w:t>
      </w:r>
      <w:r>
        <w:rPr>
          <w:rFonts w:cs="ITCFranklinGothicStd-Book"/>
          <w:sz w:val="24"/>
          <w:szCs w:val="24"/>
        </w:rPr>
        <w:t xml:space="preserve"> Kit</w:t>
      </w:r>
      <w:r w:rsidR="00DD12B8">
        <w:rPr>
          <w:rFonts w:cs="ITCFranklinGothicStd-Book"/>
          <w:sz w:val="24"/>
          <w:szCs w:val="24"/>
        </w:rPr>
        <w:t>s</w:t>
      </w:r>
      <w:r>
        <w:rPr>
          <w:rFonts w:cs="ITCFranklinGothicStd-Book"/>
          <w:sz w:val="24"/>
          <w:szCs w:val="24"/>
        </w:rPr>
        <w:t xml:space="preserve"> </w:t>
      </w:r>
      <w:r w:rsidR="00DD12B8">
        <w:rPr>
          <w:rFonts w:cs="ITCFranklinGothicStd-Book"/>
          <w:sz w:val="24"/>
          <w:szCs w:val="24"/>
        </w:rPr>
        <w:t>s</w:t>
      </w:r>
      <w:r>
        <w:rPr>
          <w:rFonts w:cs="ITCFranklinGothicStd-Book"/>
          <w:sz w:val="24"/>
          <w:szCs w:val="24"/>
        </w:rPr>
        <w:t>urvey (</w:t>
      </w:r>
      <w:r>
        <w:rPr>
          <w:rFonts w:cs="ITCFranklinGothicStd-Book"/>
          <w:b/>
          <w:sz w:val="24"/>
          <w:szCs w:val="24"/>
        </w:rPr>
        <w:t xml:space="preserve">Attachment </w:t>
      </w:r>
      <w:r w:rsidR="006049FF">
        <w:rPr>
          <w:rFonts w:cs="ITCFranklinGothicStd-Book"/>
          <w:b/>
          <w:sz w:val="24"/>
          <w:szCs w:val="24"/>
        </w:rPr>
        <w:t>5</w:t>
      </w:r>
      <w:r w:rsidR="00600DE4">
        <w:rPr>
          <w:rFonts w:cs="ITCFranklinGothicStd-Book"/>
          <w:b/>
          <w:sz w:val="24"/>
          <w:szCs w:val="24"/>
        </w:rPr>
        <w:t>a</w:t>
      </w:r>
      <w:r>
        <w:rPr>
          <w:rFonts w:cs="ITCFranklinGothicStd-Book"/>
          <w:sz w:val="24"/>
          <w:szCs w:val="24"/>
        </w:rPr>
        <w:t xml:space="preserve">) </w:t>
      </w:r>
      <w:r w:rsidR="00194487">
        <w:rPr>
          <w:rFonts w:cs="ITCFranklinGothicStd-Book"/>
          <w:sz w:val="24"/>
          <w:szCs w:val="24"/>
        </w:rPr>
        <w:t>is</w:t>
      </w:r>
      <w:r>
        <w:rPr>
          <w:rFonts w:cs="ITCFranklinGothicStd-Book"/>
          <w:sz w:val="24"/>
          <w:szCs w:val="24"/>
        </w:rPr>
        <w:t xml:space="preserve"> designed to collect the absolute minimum amount of information needed </w:t>
      </w:r>
      <w:r w:rsidR="00DD12B8">
        <w:rPr>
          <w:rFonts w:cs="ITCFranklinGothicStd-Book"/>
          <w:sz w:val="24"/>
          <w:szCs w:val="24"/>
        </w:rPr>
        <w:t xml:space="preserve">(six-minute </w:t>
      </w:r>
      <w:r w:rsidR="00DD12B8">
        <w:rPr>
          <w:rFonts w:cs="ITCFranklinGothicStd-Book"/>
          <w:sz w:val="24"/>
          <w:szCs w:val="24"/>
        </w:rPr>
        <w:t xml:space="preserve">survey) </w:t>
      </w:r>
      <w:r>
        <w:rPr>
          <w:rFonts w:cs="ITCFranklinGothicStd-Book"/>
          <w:sz w:val="24"/>
          <w:szCs w:val="24"/>
        </w:rPr>
        <w:t>to distribute materials</w:t>
      </w:r>
      <w:r w:rsidR="00DD12B8">
        <w:rPr>
          <w:rFonts w:cs="ITCFranklinGothicStd-Book"/>
          <w:sz w:val="24"/>
          <w:szCs w:val="24"/>
        </w:rPr>
        <w:t>,</w:t>
      </w:r>
      <w:r w:rsidR="00327181">
        <w:rPr>
          <w:rFonts w:cs="ITCFranklinGothicStd-Book"/>
          <w:sz w:val="24"/>
          <w:szCs w:val="24"/>
        </w:rPr>
        <w:t xml:space="preserve"> </w:t>
      </w:r>
      <w:r>
        <w:rPr>
          <w:rFonts w:cs="ITCFranklinGothicStd-Book"/>
          <w:sz w:val="24"/>
          <w:szCs w:val="24"/>
        </w:rPr>
        <w:t>and the recipient laboratories will benefit by receiving free TOM Kits</w:t>
      </w:r>
      <w:r w:rsidR="00DD12B8">
        <w:rPr>
          <w:rFonts w:cs="ITCFranklinGothicStd-Book"/>
          <w:sz w:val="24"/>
          <w:szCs w:val="24"/>
        </w:rPr>
        <w:t>*</w:t>
      </w:r>
      <w:r>
        <w:rPr>
          <w:rFonts w:cs="ITCFranklinGothicStd-Book"/>
          <w:sz w:val="24"/>
          <w:szCs w:val="24"/>
        </w:rPr>
        <w:t xml:space="preserve">. </w:t>
      </w:r>
    </w:p>
    <w:p w:rsidR="00BC54B1" w:rsidP="00F16DA0" w14:paraId="71E6A2D0" w14:textId="77777777">
      <w:pPr>
        <w:autoSpaceDE w:val="0"/>
        <w:autoSpaceDN w:val="0"/>
        <w:adjustRightInd w:val="0"/>
        <w:spacing w:after="0" w:line="240" w:lineRule="auto"/>
        <w:rPr>
          <w:rFonts w:cs="ITCFranklinGothicStd-Book"/>
          <w:sz w:val="24"/>
          <w:szCs w:val="24"/>
        </w:rPr>
      </w:pPr>
    </w:p>
    <w:p w:rsidR="00A05282" w:rsidP="00F16DA0" w14:paraId="54572FA7" w14:textId="161DED25">
      <w:pPr>
        <w:autoSpaceDE w:val="0"/>
        <w:autoSpaceDN w:val="0"/>
        <w:adjustRightInd w:val="0"/>
        <w:spacing w:after="0" w:line="240" w:lineRule="auto"/>
        <w:rPr>
          <w:rFonts w:cs="ITCFranklinGothicStd-Book"/>
          <w:sz w:val="24"/>
          <w:szCs w:val="24"/>
        </w:rPr>
      </w:pPr>
      <w:r>
        <w:rPr>
          <w:rFonts w:cs="ITCFranklinGothicStd-Book"/>
          <w:sz w:val="24"/>
          <w:szCs w:val="24"/>
        </w:rPr>
        <w:t>Based on our respondent estimates (</w:t>
      </w:r>
      <w:r>
        <w:rPr>
          <w:rFonts w:cs="ITCFranklinGothicStd-Book"/>
          <w:b/>
          <w:sz w:val="24"/>
          <w:szCs w:val="24"/>
        </w:rPr>
        <w:t>Section A</w:t>
      </w:r>
      <w:r w:rsidRPr="00877C8E">
        <w:rPr>
          <w:rFonts w:cs="ITCFranklinGothicStd-Book"/>
          <w:b/>
          <w:sz w:val="24"/>
          <w:szCs w:val="24"/>
        </w:rPr>
        <w:t>.12</w:t>
      </w:r>
      <w:r>
        <w:rPr>
          <w:rFonts w:cs="ITCFranklinGothicStd-Book"/>
          <w:sz w:val="24"/>
          <w:szCs w:val="24"/>
        </w:rPr>
        <w:t xml:space="preserve">), we </w:t>
      </w:r>
      <w:r w:rsidR="00955922">
        <w:rPr>
          <w:rFonts w:cs="ITCFranklinGothicStd-Book"/>
          <w:sz w:val="24"/>
          <w:szCs w:val="24"/>
        </w:rPr>
        <w:t>assume</w:t>
      </w:r>
      <w:r>
        <w:rPr>
          <w:rFonts w:cs="ITCFranklinGothicStd-Book"/>
          <w:sz w:val="24"/>
          <w:szCs w:val="24"/>
        </w:rPr>
        <w:t xml:space="preserve"> that </w:t>
      </w:r>
      <w:r w:rsidR="00DD12B8">
        <w:rPr>
          <w:rFonts w:cs="ITCFranklinGothicStd-Book"/>
          <w:sz w:val="24"/>
          <w:szCs w:val="24"/>
        </w:rPr>
        <w:t>67</w:t>
      </w:r>
      <w:r>
        <w:rPr>
          <w:rFonts w:cs="ITCFranklinGothicStd-Book"/>
          <w:sz w:val="24"/>
          <w:szCs w:val="24"/>
        </w:rPr>
        <w:t xml:space="preserve"> percent of the </w:t>
      </w:r>
      <w:r w:rsidR="006049FF">
        <w:rPr>
          <w:rFonts w:cs="ITCFranklinGothicStd-Book"/>
          <w:sz w:val="24"/>
          <w:szCs w:val="24"/>
        </w:rPr>
        <w:t xml:space="preserve">US </w:t>
      </w:r>
      <w:r>
        <w:rPr>
          <w:rFonts w:cs="ITCFranklinGothicStd-Book"/>
          <w:sz w:val="24"/>
          <w:szCs w:val="24"/>
        </w:rPr>
        <w:t xml:space="preserve">respondents will be small businesses or other small entities (e.g., </w:t>
      </w:r>
      <w:r w:rsidR="006049FF">
        <w:rPr>
          <w:rFonts w:cs="ITCFranklinGothicStd-Book"/>
          <w:sz w:val="24"/>
          <w:szCs w:val="24"/>
        </w:rPr>
        <w:t>2</w:t>
      </w:r>
      <w:r w:rsidR="00DD12B8">
        <w:rPr>
          <w:rFonts w:cs="ITCFranklinGothicStd-Book"/>
          <w:sz w:val="24"/>
          <w:szCs w:val="24"/>
        </w:rPr>
        <w:t>00</w:t>
      </w:r>
      <w:r>
        <w:rPr>
          <w:rFonts w:cs="ITCFranklinGothicStd-Book"/>
          <w:sz w:val="24"/>
          <w:szCs w:val="24"/>
        </w:rPr>
        <w:t xml:space="preserve"> state/local/tribal government laboratories + </w:t>
      </w:r>
      <w:r w:rsidR="006049FF">
        <w:rPr>
          <w:rFonts w:cs="ITCFranklinGothicStd-Book"/>
          <w:sz w:val="24"/>
          <w:szCs w:val="24"/>
        </w:rPr>
        <w:t>2</w:t>
      </w:r>
      <w:r w:rsidR="00DD12B8">
        <w:rPr>
          <w:rFonts w:cs="ITCFranklinGothicStd-Book"/>
          <w:sz w:val="24"/>
          <w:szCs w:val="24"/>
        </w:rPr>
        <w:t>00</w:t>
      </w:r>
      <w:r>
        <w:rPr>
          <w:rFonts w:cs="ITCFranklinGothicStd-Book"/>
          <w:sz w:val="24"/>
          <w:szCs w:val="24"/>
        </w:rPr>
        <w:t xml:space="preserve"> private/not-for-profit institutions </w:t>
      </w:r>
      <w:r>
        <w:rPr>
          <w:rFonts w:cstheme="minorHAnsi"/>
          <w:sz w:val="24"/>
          <w:szCs w:val="24"/>
        </w:rPr>
        <w:t>÷</w:t>
      </w:r>
      <w:r>
        <w:rPr>
          <w:rFonts w:cs="ITCFranklinGothicStd-Book"/>
          <w:sz w:val="24"/>
          <w:szCs w:val="24"/>
        </w:rPr>
        <w:t xml:space="preserve"> </w:t>
      </w:r>
      <w:r w:rsidR="006049FF">
        <w:rPr>
          <w:rFonts w:cs="ITCFranklinGothicStd-Book"/>
          <w:sz w:val="24"/>
          <w:szCs w:val="24"/>
        </w:rPr>
        <w:t>600</w:t>
      </w:r>
      <w:r>
        <w:rPr>
          <w:rFonts w:cs="ITCFranklinGothicStd-Book"/>
          <w:sz w:val="24"/>
          <w:szCs w:val="24"/>
        </w:rPr>
        <w:t xml:space="preserve"> = </w:t>
      </w:r>
      <w:r w:rsidR="00DD12B8">
        <w:rPr>
          <w:rFonts w:cs="ITCFranklinGothicStd-Book"/>
          <w:sz w:val="24"/>
          <w:szCs w:val="24"/>
        </w:rPr>
        <w:t>67</w:t>
      </w:r>
      <w:r>
        <w:rPr>
          <w:rFonts w:cs="ITCFranklinGothicStd-Book"/>
          <w:sz w:val="24"/>
          <w:szCs w:val="24"/>
        </w:rPr>
        <w:t xml:space="preserve">%). The remaining </w:t>
      </w:r>
      <w:r w:rsidR="00DD12B8">
        <w:rPr>
          <w:rFonts w:cs="ITCFranklinGothicStd-Book"/>
          <w:sz w:val="24"/>
          <w:szCs w:val="24"/>
        </w:rPr>
        <w:t>33</w:t>
      </w:r>
      <w:r>
        <w:rPr>
          <w:rFonts w:cs="ITCFranklinGothicStd-Book"/>
          <w:sz w:val="24"/>
          <w:szCs w:val="24"/>
        </w:rPr>
        <w:t xml:space="preserve"> percent </w:t>
      </w:r>
      <w:r w:rsidR="006049FF">
        <w:rPr>
          <w:rFonts w:cs="ITCFranklinGothicStd-Book"/>
          <w:sz w:val="24"/>
          <w:szCs w:val="24"/>
        </w:rPr>
        <w:t xml:space="preserve">(n=200) </w:t>
      </w:r>
      <w:r>
        <w:rPr>
          <w:rFonts w:cs="ITCFranklinGothicStd-Book"/>
          <w:sz w:val="24"/>
          <w:szCs w:val="24"/>
        </w:rPr>
        <w:t xml:space="preserve">of the </w:t>
      </w:r>
      <w:r w:rsidR="006049FF">
        <w:rPr>
          <w:rFonts w:cs="ITCFranklinGothicStd-Book"/>
          <w:sz w:val="24"/>
          <w:szCs w:val="24"/>
        </w:rPr>
        <w:t xml:space="preserve">US </w:t>
      </w:r>
      <w:r>
        <w:rPr>
          <w:rFonts w:cs="ITCFranklinGothicStd-Book"/>
          <w:sz w:val="24"/>
          <w:szCs w:val="24"/>
        </w:rPr>
        <w:t>respondents are estimated to come from the federal government.</w:t>
      </w:r>
    </w:p>
    <w:p w:rsidR="00B45002" w:rsidRPr="00D20211" w:rsidP="00601F1A" w14:paraId="1771BB1B" w14:textId="34134CAC">
      <w:pPr>
        <w:pStyle w:val="Heading1"/>
        <w:pBdr>
          <w:bottom w:val="none" w:sz="0" w:space="0" w:color="auto"/>
        </w:pBdr>
        <w:rPr>
          <w:color w:val="auto"/>
        </w:rPr>
      </w:pPr>
      <w:bookmarkStart w:id="22" w:name="_Toc31301596"/>
      <w:bookmarkStart w:id="23" w:name="_Toc121132851"/>
      <w:r w:rsidRPr="00D20211">
        <w:rPr>
          <w:color w:val="auto"/>
        </w:rPr>
        <w:t>A.</w:t>
      </w:r>
      <w:r w:rsidRPr="00D20211" w:rsidR="004D21C9">
        <w:rPr>
          <w:color w:val="auto"/>
        </w:rPr>
        <w:t xml:space="preserve">6.  </w:t>
      </w:r>
      <w:r w:rsidRPr="00D20211">
        <w:rPr>
          <w:color w:val="auto"/>
        </w:rPr>
        <w:t>Consequences of Collecting the Information Less Frequently</w:t>
      </w:r>
      <w:bookmarkEnd w:id="22"/>
      <w:bookmarkEnd w:id="23"/>
    </w:p>
    <w:p w:rsidR="00F82AF2" w:rsidP="002930EC" w14:paraId="4B9CAA11" w14:textId="167FA6AA">
      <w:pPr>
        <w:spacing w:after="0" w:line="240" w:lineRule="auto"/>
        <w:rPr>
          <w:sz w:val="24"/>
          <w:szCs w:val="24"/>
        </w:rPr>
      </w:pPr>
    </w:p>
    <w:p w:rsidR="00D15261" w:rsidRPr="00217933" w:rsidP="00AF0EE4" w14:paraId="12D46D0B" w14:textId="06E82457">
      <w:pPr>
        <w:rPr>
          <w:sz w:val="24"/>
          <w:szCs w:val="24"/>
        </w:rPr>
      </w:pPr>
      <w:r w:rsidRPr="004B17D3">
        <w:rPr>
          <w:sz w:val="24"/>
          <w:szCs w:val="24"/>
        </w:rPr>
        <w:t xml:space="preserve">The </w:t>
      </w:r>
      <w:r w:rsidR="006049FF">
        <w:rPr>
          <w:sz w:val="24"/>
          <w:szCs w:val="24"/>
        </w:rPr>
        <w:t xml:space="preserve">US </w:t>
      </w:r>
      <w:r w:rsidRPr="004B17D3">
        <w:rPr>
          <w:sz w:val="24"/>
          <w:szCs w:val="24"/>
        </w:rPr>
        <w:t xml:space="preserve">respondents will </w:t>
      </w:r>
      <w:r w:rsidRPr="004B17D3" w:rsidR="000826BD">
        <w:rPr>
          <w:sz w:val="24"/>
          <w:szCs w:val="24"/>
        </w:rPr>
        <w:t xml:space="preserve">be able to </w:t>
      </w:r>
      <w:r w:rsidRPr="004B17D3" w:rsidR="00614F19">
        <w:rPr>
          <w:sz w:val="24"/>
          <w:szCs w:val="24"/>
        </w:rPr>
        <w:t>follow the links from the CDC TOM Kit</w:t>
      </w:r>
      <w:r w:rsidRPr="004B17D3" w:rsidR="00DD12B8">
        <w:rPr>
          <w:sz w:val="24"/>
          <w:szCs w:val="24"/>
        </w:rPr>
        <w:t>s*</w:t>
      </w:r>
      <w:r w:rsidR="00F37301">
        <w:rPr>
          <w:sz w:val="24"/>
          <w:szCs w:val="24"/>
        </w:rPr>
        <w:t xml:space="preserve"> </w:t>
      </w:r>
      <w:r w:rsidRPr="004B17D3" w:rsidR="00614F19">
        <w:rPr>
          <w:sz w:val="24"/>
          <w:szCs w:val="24"/>
        </w:rPr>
        <w:t>Fact</w:t>
      </w:r>
      <w:r w:rsidRPr="004B17D3" w:rsidR="00CC4BAA">
        <w:rPr>
          <w:sz w:val="24"/>
          <w:szCs w:val="24"/>
        </w:rPr>
        <w:t>s</w:t>
      </w:r>
      <w:r w:rsidRPr="004B17D3" w:rsidR="00614F19">
        <w:rPr>
          <w:sz w:val="24"/>
          <w:szCs w:val="24"/>
        </w:rPr>
        <w:t xml:space="preserve">heet </w:t>
      </w:r>
      <w:r w:rsidRPr="006049FF" w:rsidR="00614F19">
        <w:rPr>
          <w:rFonts w:cstheme="minorHAnsi"/>
          <w:sz w:val="24"/>
          <w:szCs w:val="24"/>
        </w:rPr>
        <w:t>(</w:t>
      </w:r>
      <w:r w:rsidRPr="006049FF" w:rsidR="00614F19">
        <w:rPr>
          <w:rFonts w:cstheme="minorHAnsi"/>
          <w:b/>
          <w:sz w:val="24"/>
          <w:szCs w:val="24"/>
        </w:rPr>
        <w:t>Attachment 3</w:t>
      </w:r>
      <w:r w:rsidRPr="006049FF" w:rsidR="00614F19">
        <w:rPr>
          <w:rFonts w:cstheme="minorHAnsi"/>
          <w:sz w:val="24"/>
          <w:szCs w:val="24"/>
        </w:rPr>
        <w:t>)</w:t>
      </w:r>
      <w:r w:rsidRPr="006049FF" w:rsidR="00CC4BAA">
        <w:rPr>
          <w:rFonts w:cstheme="minorHAnsi"/>
          <w:sz w:val="24"/>
          <w:szCs w:val="24"/>
        </w:rPr>
        <w:t xml:space="preserve"> and </w:t>
      </w:r>
      <w:r w:rsidRPr="006049FF" w:rsidR="003420AE">
        <w:rPr>
          <w:rFonts w:cstheme="minorHAnsi"/>
          <w:sz w:val="24"/>
          <w:szCs w:val="24"/>
        </w:rPr>
        <w:t xml:space="preserve">CDC’s </w:t>
      </w:r>
      <w:r w:rsidRPr="006049FF" w:rsidR="00CC4BAA">
        <w:rPr>
          <w:rFonts w:cstheme="minorHAnsi"/>
          <w:sz w:val="24"/>
          <w:szCs w:val="24"/>
        </w:rPr>
        <w:t>website</w:t>
      </w:r>
      <w:r w:rsidRPr="006049FF" w:rsidR="00725CDB">
        <w:rPr>
          <w:rFonts w:cstheme="minorHAnsi"/>
          <w:sz w:val="24"/>
          <w:szCs w:val="24"/>
        </w:rPr>
        <w:t xml:space="preserve"> </w:t>
      </w:r>
      <w:r w:rsidRPr="006049FF" w:rsidR="00AF0EE4">
        <w:rPr>
          <w:rFonts w:cstheme="minorHAnsi"/>
          <w:sz w:val="24"/>
          <w:szCs w:val="24"/>
          <w:vertAlign w:val="superscript"/>
        </w:rPr>
        <w:t>2</w:t>
      </w:r>
      <w:r w:rsidRPr="006049FF" w:rsidR="00AF0EE4">
        <w:rPr>
          <w:rFonts w:cstheme="minorHAnsi"/>
          <w:sz w:val="24"/>
          <w:szCs w:val="24"/>
        </w:rPr>
        <w:t xml:space="preserve"> </w:t>
      </w:r>
      <w:r w:rsidRPr="006049FF" w:rsidR="00614F19">
        <w:rPr>
          <w:rFonts w:cstheme="minorHAnsi"/>
          <w:sz w:val="24"/>
          <w:szCs w:val="24"/>
        </w:rPr>
        <w:t>to the vendor website</w:t>
      </w:r>
      <w:r w:rsidRPr="006049FF" w:rsidR="00725CDB">
        <w:rPr>
          <w:rFonts w:cstheme="minorHAnsi"/>
          <w:sz w:val="24"/>
          <w:szCs w:val="24"/>
        </w:rPr>
        <w:t xml:space="preserve"> </w:t>
      </w:r>
      <w:r w:rsidRPr="006049FF" w:rsidR="00725CDB">
        <w:rPr>
          <w:rFonts w:cstheme="minorHAnsi"/>
          <w:sz w:val="24"/>
          <w:szCs w:val="24"/>
          <w:vertAlign w:val="superscript"/>
        </w:rPr>
        <w:t>4</w:t>
      </w:r>
      <w:r w:rsidRPr="006049FF" w:rsidR="00614F19">
        <w:rPr>
          <w:rFonts w:cstheme="minorHAnsi"/>
          <w:sz w:val="24"/>
          <w:szCs w:val="24"/>
        </w:rPr>
        <w:t xml:space="preserve"> </w:t>
      </w:r>
      <w:r w:rsidRPr="006049FF" w:rsidR="006B17C1">
        <w:rPr>
          <w:rFonts w:cstheme="minorHAnsi"/>
          <w:sz w:val="24"/>
          <w:szCs w:val="24"/>
        </w:rPr>
        <w:t xml:space="preserve">to </w:t>
      </w:r>
      <w:r w:rsidRPr="006049FF" w:rsidR="00D01B8D">
        <w:rPr>
          <w:rFonts w:cstheme="minorHAnsi"/>
          <w:sz w:val="24"/>
          <w:szCs w:val="24"/>
        </w:rPr>
        <w:t>fill out the</w:t>
      </w:r>
      <w:r w:rsidRPr="006049FF" w:rsidR="00600DE4">
        <w:rPr>
          <w:rFonts w:cstheme="minorHAnsi"/>
          <w:sz w:val="24"/>
          <w:szCs w:val="24"/>
        </w:rPr>
        <w:t xml:space="preserve"> </w:t>
      </w:r>
      <w:r w:rsidRPr="006049FF" w:rsidR="006049FF">
        <w:rPr>
          <w:rFonts w:cstheme="minorHAnsi"/>
          <w:sz w:val="24"/>
          <w:szCs w:val="24"/>
        </w:rPr>
        <w:t xml:space="preserve">domestic </w:t>
      </w:r>
      <w:r w:rsidRPr="006049FF" w:rsidR="005E7719">
        <w:rPr>
          <w:rFonts w:cstheme="minorHAnsi"/>
          <w:sz w:val="24"/>
          <w:szCs w:val="24"/>
        </w:rPr>
        <w:t xml:space="preserve">online </w:t>
      </w:r>
      <w:r w:rsidR="006049FF">
        <w:rPr>
          <w:rFonts w:cstheme="minorHAnsi"/>
          <w:sz w:val="24"/>
          <w:szCs w:val="24"/>
        </w:rPr>
        <w:t>“</w:t>
      </w:r>
      <w:r w:rsidRPr="00BB52F8" w:rsidR="006049FF">
        <w:rPr>
          <w:rFonts w:cstheme="minorHAnsi"/>
          <w:sz w:val="24"/>
          <w:szCs w:val="24"/>
        </w:rPr>
        <w:t>Test Kit Application and Questions for US Laboratories</w:t>
      </w:r>
      <w:r w:rsidR="006049FF">
        <w:rPr>
          <w:rFonts w:cstheme="minorHAnsi"/>
          <w:sz w:val="24"/>
          <w:szCs w:val="24"/>
        </w:rPr>
        <w:t>”</w:t>
      </w:r>
      <w:r w:rsidRPr="006049FF" w:rsidR="006B17C1">
        <w:rPr>
          <w:rFonts w:cstheme="minorHAnsi"/>
          <w:sz w:val="24"/>
          <w:szCs w:val="24"/>
        </w:rPr>
        <w:t xml:space="preserve"> (</w:t>
      </w:r>
      <w:r w:rsidRPr="006049FF" w:rsidR="006B17C1">
        <w:rPr>
          <w:rFonts w:cstheme="minorHAnsi"/>
          <w:b/>
          <w:sz w:val="24"/>
          <w:szCs w:val="24"/>
        </w:rPr>
        <w:t xml:space="preserve">Attachment </w:t>
      </w:r>
      <w:r w:rsidRPr="006049FF" w:rsidR="006049FF">
        <w:rPr>
          <w:rFonts w:cstheme="minorHAnsi"/>
          <w:b/>
          <w:sz w:val="24"/>
          <w:szCs w:val="24"/>
        </w:rPr>
        <w:t>5a</w:t>
      </w:r>
      <w:r w:rsidRPr="006049FF" w:rsidR="006B17C1">
        <w:rPr>
          <w:rFonts w:cstheme="minorHAnsi"/>
          <w:sz w:val="24"/>
          <w:szCs w:val="24"/>
        </w:rPr>
        <w:t>)</w:t>
      </w:r>
      <w:r w:rsidR="00440D09">
        <w:rPr>
          <w:rFonts w:cstheme="minorHAnsi"/>
          <w:sz w:val="24"/>
          <w:szCs w:val="24"/>
        </w:rPr>
        <w:t xml:space="preserve">. </w:t>
      </w:r>
      <w:r w:rsidR="00426DFC">
        <w:rPr>
          <w:rFonts w:cstheme="minorHAnsi"/>
          <w:sz w:val="24"/>
          <w:szCs w:val="24"/>
        </w:rPr>
        <w:t>Cayman</w:t>
      </w:r>
      <w:r w:rsidR="00440D09">
        <w:rPr>
          <w:rFonts w:cstheme="minorHAnsi"/>
          <w:sz w:val="24"/>
          <w:szCs w:val="24"/>
        </w:rPr>
        <w:t xml:space="preserve"> will provide the international applicants with a link to</w:t>
      </w:r>
      <w:r w:rsidR="00F37301">
        <w:rPr>
          <w:rFonts w:cstheme="minorHAnsi"/>
          <w:sz w:val="24"/>
          <w:szCs w:val="24"/>
        </w:rPr>
        <w:t xml:space="preserve"> the international online “Test Kit Questions for International Laboratories” (</w:t>
      </w:r>
      <w:r w:rsidR="00F37301">
        <w:rPr>
          <w:rFonts w:cstheme="minorHAnsi"/>
          <w:b/>
          <w:bCs/>
          <w:sz w:val="24"/>
          <w:szCs w:val="24"/>
        </w:rPr>
        <w:t>Attachment 5b</w:t>
      </w:r>
      <w:r w:rsidR="00F37301">
        <w:rPr>
          <w:rFonts w:cstheme="minorHAnsi"/>
          <w:sz w:val="24"/>
          <w:szCs w:val="24"/>
        </w:rPr>
        <w:t>)</w:t>
      </w:r>
      <w:r w:rsidRPr="006049FF">
        <w:rPr>
          <w:rFonts w:cstheme="minorHAnsi"/>
          <w:sz w:val="24"/>
          <w:szCs w:val="24"/>
        </w:rPr>
        <w:t>. This information collection is</w:t>
      </w:r>
      <w:r w:rsidRPr="006049FF" w:rsidR="006107F2">
        <w:rPr>
          <w:rFonts w:cstheme="minorHAnsi"/>
          <w:sz w:val="24"/>
          <w:szCs w:val="24"/>
        </w:rPr>
        <w:t xml:space="preserve"> </w:t>
      </w:r>
      <w:r w:rsidRPr="006049FF" w:rsidR="006B17C1">
        <w:rPr>
          <w:rFonts w:cstheme="minorHAnsi"/>
          <w:sz w:val="24"/>
          <w:szCs w:val="24"/>
        </w:rPr>
        <w:t>voluntary</w:t>
      </w:r>
      <w:r w:rsidRPr="006049FF" w:rsidR="008F17C7">
        <w:rPr>
          <w:rFonts w:cstheme="minorHAnsi"/>
          <w:sz w:val="24"/>
          <w:szCs w:val="24"/>
        </w:rPr>
        <w:t>, but t</w:t>
      </w:r>
      <w:r w:rsidRPr="00217933" w:rsidR="006B17C1">
        <w:rPr>
          <w:sz w:val="24"/>
          <w:szCs w:val="24"/>
        </w:rPr>
        <w:t>he respondent</w:t>
      </w:r>
      <w:r w:rsidRPr="00217933" w:rsidR="00F8699B">
        <w:rPr>
          <w:sz w:val="24"/>
          <w:szCs w:val="24"/>
        </w:rPr>
        <w:t>s</w:t>
      </w:r>
      <w:r w:rsidRPr="00217933" w:rsidR="006B17C1">
        <w:rPr>
          <w:sz w:val="24"/>
          <w:szCs w:val="24"/>
        </w:rPr>
        <w:t xml:space="preserve"> must complete the</w:t>
      </w:r>
      <w:r w:rsidRPr="00217933" w:rsidR="00F8699B">
        <w:rPr>
          <w:sz w:val="24"/>
          <w:szCs w:val="24"/>
        </w:rPr>
        <w:t>ir</w:t>
      </w:r>
      <w:r w:rsidRPr="00217933" w:rsidR="006B17C1">
        <w:rPr>
          <w:sz w:val="24"/>
          <w:szCs w:val="24"/>
        </w:rPr>
        <w:t xml:space="preserve"> </w:t>
      </w:r>
      <w:r w:rsidR="008F17C7">
        <w:rPr>
          <w:sz w:val="24"/>
          <w:szCs w:val="24"/>
        </w:rPr>
        <w:t>application</w:t>
      </w:r>
      <w:r w:rsidRPr="00217933" w:rsidR="00F8699B">
        <w:rPr>
          <w:sz w:val="24"/>
          <w:szCs w:val="24"/>
        </w:rPr>
        <w:t>s</w:t>
      </w:r>
      <w:r w:rsidRPr="00217933" w:rsidR="006B17C1">
        <w:rPr>
          <w:sz w:val="24"/>
          <w:szCs w:val="24"/>
        </w:rPr>
        <w:t xml:space="preserve"> to be </w:t>
      </w:r>
      <w:r w:rsidRPr="00217933" w:rsidR="00F8699B">
        <w:rPr>
          <w:sz w:val="24"/>
          <w:szCs w:val="24"/>
        </w:rPr>
        <w:t>considered to receive the requested TOM Kit</w:t>
      </w:r>
      <w:r w:rsidRPr="00217933" w:rsidR="00DD12B8">
        <w:rPr>
          <w:sz w:val="24"/>
          <w:szCs w:val="24"/>
        </w:rPr>
        <w:t>s*</w:t>
      </w:r>
      <w:r w:rsidR="006E1762">
        <w:rPr>
          <w:sz w:val="24"/>
          <w:szCs w:val="24"/>
        </w:rPr>
        <w:t>.</w:t>
      </w:r>
    </w:p>
    <w:p w:rsidR="00B45002" w:rsidRPr="00D20211" w:rsidP="00601F1A" w14:paraId="0123AC1E" w14:textId="408DBA40">
      <w:pPr>
        <w:pStyle w:val="Heading1"/>
        <w:pBdr>
          <w:bottom w:val="none" w:sz="0" w:space="0" w:color="auto"/>
        </w:pBdr>
        <w:rPr>
          <w:color w:val="auto"/>
        </w:rPr>
      </w:pPr>
      <w:bookmarkStart w:id="24" w:name="_Toc31301597"/>
      <w:bookmarkStart w:id="25" w:name="_Toc121132852"/>
      <w:r w:rsidRPr="00D20211">
        <w:rPr>
          <w:color w:val="auto"/>
        </w:rPr>
        <w:t>A.</w:t>
      </w:r>
      <w:r w:rsidRPr="00D20211">
        <w:rPr>
          <w:color w:val="auto"/>
        </w:rPr>
        <w:t>7.</w:t>
      </w:r>
      <w:r w:rsidRPr="00D20211" w:rsidR="004D21C9">
        <w:rPr>
          <w:color w:val="auto"/>
        </w:rPr>
        <w:t xml:space="preserve">  </w:t>
      </w:r>
      <w:r w:rsidRPr="00D20211">
        <w:rPr>
          <w:color w:val="auto"/>
        </w:rPr>
        <w:t>Special Circumstances Relating to the Guidelines of 5 CFR 1320.5</w:t>
      </w:r>
      <w:bookmarkEnd w:id="24"/>
      <w:bookmarkEnd w:id="25"/>
    </w:p>
    <w:p w:rsidR="0014151A" w:rsidP="00FB3333" w14:paraId="2A9759C6" w14:textId="7AF5B384">
      <w:pPr>
        <w:autoSpaceDE w:val="0"/>
        <w:autoSpaceDN w:val="0"/>
        <w:adjustRightInd w:val="0"/>
        <w:spacing w:line="240" w:lineRule="auto"/>
        <w:rPr>
          <w:sz w:val="24"/>
          <w:szCs w:val="24"/>
        </w:rPr>
      </w:pPr>
    </w:p>
    <w:p w:rsidR="00CE76C1" w:rsidRPr="00FD6CDE" w:rsidP="00FD6CDE" w14:paraId="090F5463" w14:textId="1A43CD84">
      <w:pPr>
        <w:autoSpaceDE w:val="0"/>
        <w:autoSpaceDN w:val="0"/>
        <w:adjustRightInd w:val="0"/>
        <w:spacing w:line="240" w:lineRule="auto"/>
        <w:rPr>
          <w:sz w:val="24"/>
          <w:szCs w:val="24"/>
        </w:rPr>
      </w:pPr>
      <w:r w:rsidRPr="00D20211">
        <w:rPr>
          <w:rFonts w:cs="ITCFranklinGothicStd-Book"/>
          <w:sz w:val="24"/>
          <w:szCs w:val="24"/>
        </w:rPr>
        <w:t>This request fully complies with the regulation 5 CFR 1320.5.</w:t>
      </w:r>
    </w:p>
    <w:p w:rsidR="00B45002" w:rsidP="00601F1A" w14:paraId="508E9BF1" w14:textId="13941EA0">
      <w:pPr>
        <w:pStyle w:val="Heading1"/>
        <w:pBdr>
          <w:bottom w:val="none" w:sz="0" w:space="0" w:color="auto"/>
        </w:pBdr>
        <w:rPr>
          <w:color w:val="auto"/>
        </w:rPr>
      </w:pPr>
      <w:bookmarkStart w:id="26" w:name="_Toc31301598"/>
      <w:bookmarkStart w:id="27" w:name="_Toc121132853"/>
      <w:r w:rsidRPr="00B25A7D">
        <w:rPr>
          <w:color w:val="auto"/>
        </w:rPr>
        <w:t>A.</w:t>
      </w:r>
      <w:r w:rsidRPr="00B25A7D" w:rsidR="004D21C9">
        <w:rPr>
          <w:color w:val="auto"/>
        </w:rPr>
        <w:t xml:space="preserve">8.  </w:t>
      </w:r>
      <w:r w:rsidRPr="00B25A7D">
        <w:rPr>
          <w:color w:val="auto"/>
        </w:rPr>
        <w:t>Comments in Response to the Federal Register Notice and Efforts to Consult Outside the Agency</w:t>
      </w:r>
      <w:bookmarkEnd w:id="26"/>
      <w:bookmarkEnd w:id="27"/>
    </w:p>
    <w:p w:rsidR="00A8385F" w:rsidRPr="00A8385F" w:rsidP="00A8385F" w14:paraId="56CB2C04" w14:textId="77777777"/>
    <w:p w:rsidR="00E002EC" w:rsidRPr="00BB6DA3" w:rsidP="00D40333" w14:paraId="3B186F4A" w14:textId="1301A0A5">
      <w:pPr>
        <w:pStyle w:val="ListParagraph"/>
        <w:numPr>
          <w:ilvl w:val="0"/>
          <w:numId w:val="1"/>
        </w:numPr>
        <w:autoSpaceDE w:val="0"/>
        <w:autoSpaceDN w:val="0"/>
        <w:adjustRightInd w:val="0"/>
        <w:spacing w:line="240" w:lineRule="auto"/>
        <w:contextualSpacing w:val="0"/>
        <w:rPr>
          <w:sz w:val="24"/>
          <w:szCs w:val="24"/>
        </w:rPr>
      </w:pPr>
      <w:r w:rsidRPr="00BB6DA3">
        <w:rPr>
          <w:rFonts w:cs="ITCFranklinGothicStd-Book"/>
          <w:sz w:val="24"/>
          <w:szCs w:val="24"/>
        </w:rPr>
        <w:t xml:space="preserve">A 60-day Federal Register Notice was published in the </w:t>
      </w:r>
      <w:r w:rsidRPr="00BB6DA3">
        <w:rPr>
          <w:rFonts w:cs="ITCFranklinGothicStd-BookIt"/>
          <w:i/>
          <w:iCs/>
          <w:sz w:val="24"/>
          <w:szCs w:val="24"/>
        </w:rPr>
        <w:t xml:space="preserve">Federal Register </w:t>
      </w:r>
      <w:r w:rsidRPr="00BB6DA3">
        <w:rPr>
          <w:rFonts w:cs="ITCFranklinGothicStd-Book"/>
          <w:sz w:val="24"/>
          <w:szCs w:val="24"/>
        </w:rPr>
        <w:t xml:space="preserve">on </w:t>
      </w:r>
      <w:r w:rsidRPr="00BB6DA3" w:rsidR="00F37301">
        <w:rPr>
          <w:rFonts w:cs="ITCFranklinGothicStd-Book"/>
          <w:sz w:val="24"/>
          <w:szCs w:val="24"/>
        </w:rPr>
        <w:t>09/16</w:t>
      </w:r>
      <w:r w:rsidRPr="00BB6DA3" w:rsidR="00A84D6A">
        <w:rPr>
          <w:rFonts w:cs="ITCFranklinGothicStd-Book"/>
          <w:sz w:val="24"/>
          <w:szCs w:val="24"/>
        </w:rPr>
        <w:t>/202</w:t>
      </w:r>
      <w:r w:rsidRPr="00BB6DA3" w:rsidR="00A81440">
        <w:rPr>
          <w:rFonts w:cs="ITCFranklinGothicStd-Book"/>
          <w:sz w:val="24"/>
          <w:szCs w:val="24"/>
        </w:rPr>
        <w:t>2</w:t>
      </w:r>
      <w:r w:rsidRPr="00BB6DA3">
        <w:rPr>
          <w:rFonts w:cs="ITCFranklinGothicStd-Book"/>
          <w:sz w:val="24"/>
          <w:szCs w:val="24"/>
        </w:rPr>
        <w:t xml:space="preserve">, </w:t>
      </w:r>
      <w:r w:rsidRPr="00BB6DA3" w:rsidR="00A84D6A">
        <w:rPr>
          <w:rFonts w:cs="ITCFranklinGothicStd-Book"/>
          <w:sz w:val="24"/>
          <w:szCs w:val="24"/>
        </w:rPr>
        <w:t>V</w:t>
      </w:r>
      <w:r w:rsidRPr="00BB6DA3">
        <w:rPr>
          <w:rFonts w:cs="ITCFranklinGothicStd-Book"/>
          <w:sz w:val="24"/>
          <w:szCs w:val="24"/>
        </w:rPr>
        <w:t xml:space="preserve">ol. </w:t>
      </w:r>
      <w:r w:rsidRPr="00BB6DA3" w:rsidR="00F37301">
        <w:rPr>
          <w:rFonts w:cs="ITCFranklinGothicStd-Book"/>
          <w:sz w:val="24"/>
          <w:szCs w:val="24"/>
        </w:rPr>
        <w:t>87</w:t>
      </w:r>
      <w:r w:rsidRPr="00BB6DA3">
        <w:rPr>
          <w:rFonts w:cs="ITCFranklinGothicStd-Book"/>
          <w:sz w:val="24"/>
          <w:szCs w:val="24"/>
        </w:rPr>
        <w:t xml:space="preserve">, No. </w:t>
      </w:r>
      <w:r w:rsidRPr="00BB6DA3" w:rsidR="00F37301">
        <w:rPr>
          <w:rFonts w:cs="ITCFranklinGothicStd-Book"/>
          <w:sz w:val="24"/>
          <w:szCs w:val="24"/>
        </w:rPr>
        <w:t>179</w:t>
      </w:r>
      <w:r w:rsidRPr="00BB6DA3">
        <w:rPr>
          <w:rFonts w:cs="ITCFranklinGothicStd-Book"/>
          <w:sz w:val="24"/>
          <w:szCs w:val="24"/>
        </w:rPr>
        <w:t xml:space="preserve">, pp. </w:t>
      </w:r>
      <w:r w:rsidRPr="00BB6DA3" w:rsidR="00F37301">
        <w:rPr>
          <w:rFonts w:cs="ITCFranklinGothicStd-Book"/>
          <w:sz w:val="24"/>
          <w:szCs w:val="24"/>
        </w:rPr>
        <w:t>56957-8</w:t>
      </w:r>
      <w:r w:rsidRPr="00BB6DA3">
        <w:rPr>
          <w:rFonts w:cs="ITCFranklinGothicStd-Book"/>
          <w:sz w:val="24"/>
          <w:szCs w:val="24"/>
        </w:rPr>
        <w:t xml:space="preserve"> (</w:t>
      </w:r>
      <w:r w:rsidRPr="00BB6DA3">
        <w:rPr>
          <w:rFonts w:cs="ITCFranklinGothicStd-Book"/>
          <w:b/>
          <w:sz w:val="24"/>
          <w:szCs w:val="24"/>
        </w:rPr>
        <w:t>Attachment 2</w:t>
      </w:r>
      <w:r w:rsidRPr="00BB6DA3">
        <w:rPr>
          <w:rFonts w:cs="ITCFranklinGothicStd-Book"/>
          <w:sz w:val="24"/>
          <w:szCs w:val="24"/>
        </w:rPr>
        <w:t xml:space="preserve">). </w:t>
      </w:r>
      <w:r w:rsidRPr="00BB6DA3">
        <w:rPr>
          <w:sz w:val="24"/>
          <w:szCs w:val="24"/>
        </w:rPr>
        <w:t>CDC</w:t>
      </w:r>
      <w:r w:rsidRPr="00867C77">
        <w:rPr>
          <w:sz w:val="24"/>
          <w:szCs w:val="24"/>
        </w:rPr>
        <w:t xml:space="preserve">/ATSDR received </w:t>
      </w:r>
      <w:r w:rsidRPr="00A80AA1" w:rsidR="00BB6DA3">
        <w:rPr>
          <w:sz w:val="24"/>
          <w:szCs w:val="24"/>
        </w:rPr>
        <w:t>one non-substantive</w:t>
      </w:r>
      <w:r w:rsidRPr="00867C77" w:rsidR="00A81440">
        <w:rPr>
          <w:sz w:val="24"/>
          <w:szCs w:val="24"/>
        </w:rPr>
        <w:t xml:space="preserve"> </w:t>
      </w:r>
      <w:r w:rsidRPr="00867C77">
        <w:rPr>
          <w:sz w:val="24"/>
          <w:szCs w:val="24"/>
        </w:rPr>
        <w:t>comment</w:t>
      </w:r>
      <w:r w:rsidRPr="00867C77" w:rsidR="00BB6DA3">
        <w:rPr>
          <w:sz w:val="24"/>
          <w:szCs w:val="24"/>
        </w:rPr>
        <w:t xml:space="preserve"> requiring no agency response</w:t>
      </w:r>
      <w:r w:rsidRPr="00867C77">
        <w:rPr>
          <w:sz w:val="24"/>
          <w:szCs w:val="24"/>
        </w:rPr>
        <w:t xml:space="preserve"> (</w:t>
      </w:r>
      <w:r w:rsidRPr="00867C77" w:rsidR="00BB6DA3">
        <w:rPr>
          <w:bCs/>
          <w:sz w:val="24"/>
          <w:szCs w:val="24"/>
        </w:rPr>
        <w:t xml:space="preserve">see </w:t>
      </w:r>
      <w:hyperlink r:id="rId10" w:history="1">
        <w:r w:rsidRPr="00FC3E3F" w:rsidR="004F3A1E">
          <w:rPr>
            <w:rStyle w:val="Hyperlink"/>
            <w:rFonts w:ascii="Calibri" w:hAnsi="Calibri" w:cs="Calibri"/>
            <w:sz w:val="24"/>
            <w:szCs w:val="24"/>
          </w:rPr>
          <w:t>https://www.regulations.gov/comment/CDC-2022-0109-0002</w:t>
        </w:r>
      </w:hyperlink>
      <w:r w:rsidR="004F3A1E">
        <w:rPr>
          <w:rFonts w:ascii="Calibri" w:hAnsi="Calibri" w:cs="Calibri"/>
          <w:sz w:val="24"/>
          <w:szCs w:val="24"/>
        </w:rPr>
        <w:t>)</w:t>
      </w:r>
      <w:r w:rsidRPr="00BB6DA3">
        <w:rPr>
          <w:sz w:val="24"/>
          <w:szCs w:val="24"/>
        </w:rPr>
        <w:t>.</w:t>
      </w:r>
    </w:p>
    <w:p w:rsidR="00E43C6B" w:rsidRPr="000B54F0" w:rsidP="00D40333" w14:paraId="770CB21B" w14:textId="37835760">
      <w:pPr>
        <w:pStyle w:val="ListParagraph"/>
        <w:numPr>
          <w:ilvl w:val="0"/>
          <w:numId w:val="1"/>
        </w:numPr>
      </w:pPr>
      <w:r w:rsidRPr="0097091A">
        <w:rPr>
          <w:sz w:val="24"/>
          <w:szCs w:val="24"/>
        </w:rPr>
        <w:t xml:space="preserve">The data collection </w:t>
      </w:r>
      <w:r w:rsidRPr="0097091A" w:rsidR="0067462C">
        <w:rPr>
          <w:sz w:val="24"/>
          <w:szCs w:val="24"/>
        </w:rPr>
        <w:t>survey</w:t>
      </w:r>
      <w:r w:rsidR="00E002EC">
        <w:rPr>
          <w:sz w:val="24"/>
          <w:szCs w:val="24"/>
        </w:rPr>
        <w:t>s</w:t>
      </w:r>
      <w:r w:rsidRPr="0097091A">
        <w:rPr>
          <w:sz w:val="24"/>
          <w:szCs w:val="24"/>
        </w:rPr>
        <w:t xml:space="preserve"> were designed collaboratively by CDC personnel.  Consultation will continue throughout the implementation process.  There were no external consultations.</w:t>
      </w:r>
    </w:p>
    <w:p w:rsidR="00B21089" w14:paraId="1FC9F302" w14:textId="7F051F96">
      <w:pPr>
        <w:rPr>
          <w:rFonts w:cs="ITCFranklinGothicStd-Book"/>
          <w:i/>
          <w:sz w:val="24"/>
          <w:szCs w:val="24"/>
        </w:rPr>
      </w:pPr>
      <w:r>
        <w:rPr>
          <w:rFonts w:cs="ITCFranklinGothicStd-Book"/>
          <w:i/>
          <w:sz w:val="24"/>
          <w:szCs w:val="24"/>
        </w:rPr>
        <w:br w:type="page"/>
      </w:r>
    </w:p>
    <w:p w:rsidR="00E43C6B" w:rsidRPr="00B25A7D" w:rsidP="00B25A7D" w14:paraId="0299B9E1" w14:textId="77777777">
      <w:pPr>
        <w:pStyle w:val="ListParagraph"/>
        <w:rPr>
          <w:rFonts w:cs="ITCFranklinGothicStd-Book"/>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440"/>
        <w:gridCol w:w="1620"/>
        <w:gridCol w:w="1570"/>
        <w:gridCol w:w="2390"/>
      </w:tblGrid>
      <w:tr w14:paraId="7A7448D2" w14:textId="77777777" w:rsidTr="009709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tcBorders>
              <w:top w:val="single" w:sz="8" w:space="0" w:color="auto"/>
              <w:left w:val="nil"/>
              <w:bottom w:val="single" w:sz="8" w:space="0" w:color="auto"/>
              <w:right w:val="nil"/>
            </w:tcBorders>
          </w:tcPr>
          <w:p w:rsidR="00B25A7D" w:rsidRPr="00D20211" w:rsidP="00B25A7D" w14:paraId="1EFAABC9"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40" w:type="dxa"/>
            <w:tcBorders>
              <w:top w:val="single" w:sz="8" w:space="0" w:color="auto"/>
              <w:left w:val="nil"/>
              <w:bottom w:val="single" w:sz="8" w:space="0" w:color="auto"/>
              <w:right w:val="nil"/>
            </w:tcBorders>
          </w:tcPr>
          <w:p w:rsidR="00B25A7D" w:rsidRPr="00D20211" w:rsidP="00B25A7D" w14:paraId="119D0FD8"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620" w:type="dxa"/>
            <w:tcBorders>
              <w:top w:val="single" w:sz="8" w:space="0" w:color="auto"/>
              <w:left w:val="nil"/>
              <w:bottom w:val="single" w:sz="8" w:space="0" w:color="auto"/>
              <w:right w:val="nil"/>
            </w:tcBorders>
          </w:tcPr>
          <w:p w:rsidR="00B25A7D" w:rsidRPr="00D20211" w:rsidP="00B25A7D" w14:paraId="5175926E"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570" w:type="dxa"/>
            <w:tcBorders>
              <w:top w:val="single" w:sz="8" w:space="0" w:color="auto"/>
              <w:left w:val="nil"/>
              <w:bottom w:val="single" w:sz="8" w:space="0" w:color="auto"/>
              <w:right w:val="nil"/>
            </w:tcBorders>
          </w:tcPr>
          <w:p w:rsidR="00B25A7D" w:rsidRPr="00D20211" w:rsidP="00B25A7D" w14:paraId="267F724F"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90" w:type="dxa"/>
            <w:tcBorders>
              <w:top w:val="single" w:sz="8" w:space="0" w:color="auto"/>
              <w:left w:val="nil"/>
              <w:bottom w:val="single" w:sz="8" w:space="0" w:color="auto"/>
              <w:right w:val="nil"/>
            </w:tcBorders>
          </w:tcPr>
          <w:p w:rsidR="00B25A7D" w:rsidRPr="00D20211" w:rsidP="00B25A7D" w14:paraId="02510D35" w14:textId="77777777">
            <w:pPr>
              <w:autoSpaceDE w:val="0"/>
              <w:autoSpaceDN w:val="0"/>
              <w:adjustRightInd w:val="0"/>
              <w:spacing w:after="0" w:line="240" w:lineRule="auto"/>
              <w:jc w:val="both"/>
              <w:rPr>
                <w:rFonts w:cstheme="minorHAnsi"/>
                <w:b/>
              </w:rPr>
            </w:pPr>
            <w:r w:rsidRPr="00D20211">
              <w:rPr>
                <w:rFonts w:cstheme="minorHAnsi"/>
                <w:b/>
              </w:rPr>
              <w:t>Email</w:t>
            </w:r>
          </w:p>
        </w:tc>
      </w:tr>
      <w:tr w14:paraId="68F64B7C" w14:textId="77777777" w:rsidTr="0097091A">
        <w:tblPrEx>
          <w:tblW w:w="0" w:type="auto"/>
          <w:tblLook w:val="04A0"/>
        </w:tblPrEx>
        <w:tc>
          <w:tcPr>
            <w:tcW w:w="2340" w:type="dxa"/>
            <w:tcBorders>
              <w:top w:val="single" w:sz="8" w:space="0" w:color="auto"/>
              <w:left w:val="nil"/>
              <w:bottom w:val="single" w:sz="8" w:space="0" w:color="auto"/>
              <w:right w:val="nil"/>
            </w:tcBorders>
            <w:vAlign w:val="center"/>
          </w:tcPr>
          <w:p w:rsidR="00480C6D" w:rsidP="00B25A7D" w14:paraId="2FE21B68" w14:textId="77777777">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vAlign w:val="center"/>
          </w:tcPr>
          <w:p w:rsidR="00480C6D" w:rsidP="00B25A7D" w14:paraId="104243DE" w14:textId="77777777">
            <w:pPr>
              <w:autoSpaceDE w:val="0"/>
              <w:autoSpaceDN w:val="0"/>
              <w:adjustRightInd w:val="0"/>
              <w:spacing w:after="0" w:line="240" w:lineRule="auto"/>
              <w:rPr>
                <w:rFonts w:cstheme="minorHAnsi"/>
                <w:sz w:val="20"/>
                <w:szCs w:val="20"/>
              </w:rPr>
            </w:pPr>
          </w:p>
        </w:tc>
        <w:tc>
          <w:tcPr>
            <w:tcW w:w="1620" w:type="dxa"/>
            <w:tcBorders>
              <w:top w:val="single" w:sz="8" w:space="0" w:color="auto"/>
              <w:left w:val="nil"/>
              <w:bottom w:val="single" w:sz="8" w:space="0" w:color="auto"/>
              <w:right w:val="nil"/>
            </w:tcBorders>
            <w:vAlign w:val="center"/>
          </w:tcPr>
          <w:p w:rsidR="00480C6D" w:rsidP="00B25A7D" w14:paraId="59326261" w14:textId="77777777">
            <w:pPr>
              <w:autoSpaceDE w:val="0"/>
              <w:autoSpaceDN w:val="0"/>
              <w:adjustRightInd w:val="0"/>
              <w:spacing w:after="0" w:line="240" w:lineRule="auto"/>
              <w:rPr>
                <w:rFonts w:cstheme="minorHAnsi"/>
                <w:sz w:val="20"/>
                <w:szCs w:val="20"/>
              </w:rPr>
            </w:pPr>
          </w:p>
        </w:tc>
        <w:tc>
          <w:tcPr>
            <w:tcW w:w="1570" w:type="dxa"/>
            <w:tcBorders>
              <w:top w:val="single" w:sz="8" w:space="0" w:color="auto"/>
              <w:left w:val="nil"/>
              <w:bottom w:val="single" w:sz="8" w:space="0" w:color="auto"/>
              <w:right w:val="nil"/>
            </w:tcBorders>
            <w:vAlign w:val="center"/>
          </w:tcPr>
          <w:p w:rsidR="00480C6D" w:rsidP="00645834" w14:paraId="7CF50F0F" w14:textId="77777777">
            <w:pPr>
              <w:autoSpaceDE w:val="0"/>
              <w:autoSpaceDN w:val="0"/>
              <w:adjustRightInd w:val="0"/>
              <w:spacing w:after="0" w:line="240" w:lineRule="auto"/>
              <w:jc w:val="center"/>
              <w:rPr>
                <w:rFonts w:cstheme="minorHAnsi"/>
                <w:i/>
                <w:sz w:val="20"/>
                <w:szCs w:val="20"/>
              </w:rPr>
            </w:pPr>
          </w:p>
        </w:tc>
        <w:tc>
          <w:tcPr>
            <w:tcW w:w="2390" w:type="dxa"/>
            <w:tcBorders>
              <w:top w:val="single" w:sz="8" w:space="0" w:color="auto"/>
              <w:left w:val="nil"/>
              <w:bottom w:val="single" w:sz="8" w:space="0" w:color="auto"/>
              <w:right w:val="nil"/>
            </w:tcBorders>
            <w:vAlign w:val="center"/>
          </w:tcPr>
          <w:p w:rsidR="00480C6D" w:rsidP="00B25A7D" w14:paraId="604F9AE6" w14:textId="77777777">
            <w:pPr>
              <w:autoSpaceDE w:val="0"/>
              <w:autoSpaceDN w:val="0"/>
              <w:adjustRightInd w:val="0"/>
              <w:spacing w:after="0" w:line="240" w:lineRule="auto"/>
              <w:jc w:val="both"/>
            </w:pPr>
          </w:p>
        </w:tc>
      </w:tr>
      <w:tr w14:paraId="32C3FAB2" w14:textId="77777777" w:rsidTr="0097091A">
        <w:tblPrEx>
          <w:tblW w:w="0" w:type="auto"/>
          <w:tblLook w:val="04A0"/>
        </w:tblPrEx>
        <w:tc>
          <w:tcPr>
            <w:tcW w:w="2340" w:type="dxa"/>
            <w:tcBorders>
              <w:top w:val="single" w:sz="8" w:space="0" w:color="auto"/>
              <w:left w:val="nil"/>
              <w:bottom w:val="single" w:sz="8" w:space="0" w:color="auto"/>
              <w:right w:val="nil"/>
            </w:tcBorders>
            <w:vAlign w:val="center"/>
          </w:tcPr>
          <w:p w:rsidR="00B25A7D" w:rsidRPr="00D20211" w:rsidP="00B25A7D" w14:paraId="5A1AA4B0" w14:textId="7149EB0B">
            <w:pPr>
              <w:autoSpaceDE w:val="0"/>
              <w:autoSpaceDN w:val="0"/>
              <w:adjustRightInd w:val="0"/>
              <w:spacing w:after="0" w:line="240" w:lineRule="auto"/>
              <w:rPr>
                <w:rFonts w:cstheme="minorHAnsi"/>
                <w:sz w:val="20"/>
                <w:szCs w:val="20"/>
              </w:rPr>
            </w:pPr>
            <w:r>
              <w:rPr>
                <w:rFonts w:cstheme="minorHAnsi"/>
                <w:sz w:val="20"/>
                <w:szCs w:val="20"/>
              </w:rPr>
              <w:t>Rebekah Wharton,</w:t>
            </w:r>
            <w:r w:rsidR="00293F32">
              <w:rPr>
                <w:rFonts w:cstheme="minorHAnsi"/>
                <w:sz w:val="20"/>
                <w:szCs w:val="20"/>
              </w:rPr>
              <w:t xml:space="preserve"> PhD</w:t>
            </w:r>
          </w:p>
        </w:tc>
        <w:tc>
          <w:tcPr>
            <w:tcW w:w="1440" w:type="dxa"/>
            <w:tcBorders>
              <w:top w:val="single" w:sz="8" w:space="0" w:color="auto"/>
              <w:left w:val="nil"/>
              <w:bottom w:val="single" w:sz="8" w:space="0" w:color="auto"/>
              <w:right w:val="nil"/>
            </w:tcBorders>
            <w:vAlign w:val="center"/>
          </w:tcPr>
          <w:p w:rsidR="00B25A7D" w:rsidRPr="00D20211" w:rsidP="00B25A7D" w14:paraId="4B2CE335" w14:textId="23D422A7">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20" w:type="dxa"/>
            <w:tcBorders>
              <w:top w:val="single" w:sz="8" w:space="0" w:color="auto"/>
              <w:left w:val="nil"/>
              <w:bottom w:val="single" w:sz="8" w:space="0" w:color="auto"/>
              <w:right w:val="nil"/>
            </w:tcBorders>
            <w:vAlign w:val="center"/>
          </w:tcPr>
          <w:p w:rsidR="00B25A7D" w:rsidRPr="00D20211" w:rsidP="00B25A7D" w14:paraId="141537FB" w14:textId="1F33FE04">
            <w:pPr>
              <w:autoSpaceDE w:val="0"/>
              <w:autoSpaceDN w:val="0"/>
              <w:adjustRightInd w:val="0"/>
              <w:spacing w:after="0" w:line="240" w:lineRule="auto"/>
              <w:rPr>
                <w:rFonts w:cstheme="minorHAnsi"/>
                <w:sz w:val="20"/>
                <w:szCs w:val="20"/>
              </w:rPr>
            </w:pPr>
            <w:r>
              <w:rPr>
                <w:rFonts w:cstheme="minorHAnsi"/>
                <w:sz w:val="20"/>
                <w:szCs w:val="20"/>
              </w:rPr>
              <w:t>Emergency Response Branch</w:t>
            </w:r>
          </w:p>
        </w:tc>
        <w:tc>
          <w:tcPr>
            <w:tcW w:w="1570" w:type="dxa"/>
            <w:tcBorders>
              <w:top w:val="single" w:sz="8" w:space="0" w:color="auto"/>
              <w:left w:val="nil"/>
              <w:bottom w:val="single" w:sz="8" w:space="0" w:color="auto"/>
              <w:right w:val="nil"/>
            </w:tcBorders>
            <w:vAlign w:val="center"/>
          </w:tcPr>
          <w:p w:rsidR="00B25A7D" w:rsidRPr="00D20211" w:rsidP="00645834" w14:paraId="0D1155DA" w14:textId="1C423005">
            <w:pPr>
              <w:autoSpaceDE w:val="0"/>
              <w:autoSpaceDN w:val="0"/>
              <w:adjustRightInd w:val="0"/>
              <w:spacing w:after="0" w:line="240" w:lineRule="auto"/>
              <w:jc w:val="center"/>
              <w:rPr>
                <w:rStyle w:val="Emphasis"/>
                <w:rFonts w:cstheme="minorHAnsi"/>
                <w:i w:val="0"/>
                <w:sz w:val="20"/>
                <w:szCs w:val="20"/>
              </w:rPr>
            </w:pPr>
            <w:r>
              <w:rPr>
                <w:rFonts w:cstheme="minorHAnsi"/>
                <w:i/>
                <w:sz w:val="20"/>
                <w:szCs w:val="20"/>
              </w:rPr>
              <w:t>(770) 488-7630</w:t>
            </w:r>
          </w:p>
        </w:tc>
        <w:tc>
          <w:tcPr>
            <w:tcW w:w="2390" w:type="dxa"/>
            <w:tcBorders>
              <w:top w:val="single" w:sz="8" w:space="0" w:color="auto"/>
              <w:left w:val="nil"/>
              <w:bottom w:val="single" w:sz="8" w:space="0" w:color="auto"/>
              <w:right w:val="nil"/>
            </w:tcBorders>
            <w:vAlign w:val="center"/>
          </w:tcPr>
          <w:p w:rsidR="00EB3127" w:rsidRPr="00BB52F8" w:rsidP="00B25A7D" w14:paraId="6D17527A" w14:textId="35F3F4D5">
            <w:pPr>
              <w:autoSpaceDE w:val="0"/>
              <w:autoSpaceDN w:val="0"/>
              <w:adjustRightInd w:val="0"/>
              <w:spacing w:after="0" w:line="240" w:lineRule="auto"/>
              <w:jc w:val="both"/>
              <w:rPr>
                <w:rStyle w:val="Emphasis"/>
                <w:i w:val="0"/>
                <w:iCs w:val="0"/>
                <w:sz w:val="20"/>
                <w:szCs w:val="20"/>
              </w:rPr>
            </w:pPr>
            <w:hyperlink r:id="rId11" w:history="1">
              <w:r w:rsidRPr="00BB52F8">
                <w:rPr>
                  <w:rStyle w:val="Hyperlink"/>
                  <w:sz w:val="20"/>
                  <w:szCs w:val="20"/>
                </w:rPr>
                <w:t>flo2@cdc.gov</w:t>
              </w:r>
            </w:hyperlink>
          </w:p>
        </w:tc>
      </w:tr>
      <w:tr w14:paraId="782BFD9A" w14:textId="77777777" w:rsidTr="0097091A">
        <w:tblPrEx>
          <w:tblW w:w="0" w:type="auto"/>
          <w:tblLook w:val="04A0"/>
        </w:tblPrEx>
        <w:tc>
          <w:tcPr>
            <w:tcW w:w="2340" w:type="dxa"/>
            <w:tcBorders>
              <w:top w:val="nil"/>
              <w:left w:val="nil"/>
              <w:bottom w:val="nil"/>
              <w:right w:val="nil"/>
            </w:tcBorders>
            <w:vAlign w:val="center"/>
          </w:tcPr>
          <w:p w:rsidR="00B25A7D" w:rsidRPr="00D20211" w:rsidP="00B25A7D" w14:paraId="7C58FF01" w14:textId="0E4F7053">
            <w:pPr>
              <w:autoSpaceDE w:val="0"/>
              <w:autoSpaceDN w:val="0"/>
              <w:adjustRightInd w:val="0"/>
              <w:spacing w:after="0" w:line="240" w:lineRule="auto"/>
              <w:jc w:val="both"/>
              <w:rPr>
                <w:rFonts w:cstheme="minorHAnsi"/>
                <w:sz w:val="20"/>
                <w:szCs w:val="20"/>
              </w:rPr>
            </w:pPr>
            <w:r>
              <w:rPr>
                <w:rFonts w:cstheme="minorHAnsi"/>
                <w:sz w:val="20"/>
                <w:szCs w:val="20"/>
              </w:rPr>
              <w:t>Rudolph, Johnson</w:t>
            </w:r>
            <w:r w:rsidRPr="00D20211">
              <w:rPr>
                <w:rFonts w:cstheme="minorHAnsi"/>
                <w:sz w:val="20"/>
                <w:szCs w:val="20"/>
              </w:rPr>
              <w:t>, PhD</w:t>
            </w:r>
          </w:p>
        </w:tc>
        <w:tc>
          <w:tcPr>
            <w:tcW w:w="1440" w:type="dxa"/>
            <w:tcBorders>
              <w:top w:val="nil"/>
              <w:left w:val="nil"/>
              <w:bottom w:val="nil"/>
              <w:right w:val="nil"/>
            </w:tcBorders>
            <w:vAlign w:val="center"/>
          </w:tcPr>
          <w:p w:rsidR="00B25A7D" w:rsidRPr="00D20211" w:rsidP="00B25A7D" w14:paraId="7D3BB3E8" w14:textId="44BBDBAF">
            <w:pPr>
              <w:autoSpaceDE w:val="0"/>
              <w:autoSpaceDN w:val="0"/>
              <w:adjustRightInd w:val="0"/>
              <w:spacing w:after="0" w:line="240" w:lineRule="auto"/>
              <w:jc w:val="both"/>
              <w:rPr>
                <w:rFonts w:cstheme="minorHAnsi"/>
                <w:sz w:val="20"/>
                <w:szCs w:val="20"/>
              </w:rPr>
            </w:pPr>
            <w:r>
              <w:rPr>
                <w:rFonts w:cstheme="minorHAnsi"/>
                <w:sz w:val="20"/>
                <w:szCs w:val="20"/>
              </w:rPr>
              <w:t xml:space="preserve">Supervisory </w:t>
            </w:r>
            <w:r w:rsidR="0097222A">
              <w:rPr>
                <w:rFonts w:cstheme="minorHAnsi"/>
                <w:sz w:val="20"/>
                <w:szCs w:val="20"/>
              </w:rPr>
              <w:t>Research Chemist</w:t>
            </w:r>
          </w:p>
        </w:tc>
        <w:tc>
          <w:tcPr>
            <w:tcW w:w="1620" w:type="dxa"/>
            <w:tcBorders>
              <w:top w:val="nil"/>
              <w:left w:val="nil"/>
              <w:bottom w:val="nil"/>
              <w:right w:val="nil"/>
            </w:tcBorders>
            <w:vAlign w:val="center"/>
          </w:tcPr>
          <w:p w:rsidR="00B25A7D" w:rsidRPr="00D20211" w:rsidP="00B25A7D" w14:paraId="7671D6DF" w14:textId="03644950">
            <w:pPr>
              <w:autoSpaceDE w:val="0"/>
              <w:autoSpaceDN w:val="0"/>
              <w:adjustRightInd w:val="0"/>
              <w:spacing w:after="0" w:line="240" w:lineRule="auto"/>
              <w:jc w:val="both"/>
              <w:rPr>
                <w:rFonts w:cstheme="minorHAnsi"/>
                <w:sz w:val="20"/>
                <w:szCs w:val="20"/>
              </w:rPr>
            </w:pPr>
            <w:r>
              <w:rPr>
                <w:rFonts w:cstheme="minorHAnsi"/>
                <w:sz w:val="20"/>
                <w:szCs w:val="20"/>
              </w:rPr>
              <w:t>Emergency Response Branch</w:t>
            </w:r>
          </w:p>
        </w:tc>
        <w:tc>
          <w:tcPr>
            <w:tcW w:w="1570" w:type="dxa"/>
            <w:tcBorders>
              <w:top w:val="nil"/>
              <w:left w:val="nil"/>
              <w:bottom w:val="nil"/>
              <w:right w:val="nil"/>
            </w:tcBorders>
            <w:vAlign w:val="center"/>
          </w:tcPr>
          <w:p w:rsidR="00B25A7D" w:rsidRPr="00D20211" w:rsidP="00645834" w14:paraId="084D1224" w14:textId="05AF8912">
            <w:pPr>
              <w:autoSpaceDE w:val="0"/>
              <w:autoSpaceDN w:val="0"/>
              <w:adjustRightInd w:val="0"/>
              <w:spacing w:after="0" w:line="240" w:lineRule="auto"/>
              <w:jc w:val="center"/>
              <w:rPr>
                <w:rStyle w:val="Emphasis"/>
                <w:rFonts w:cstheme="minorHAnsi"/>
                <w:i w:val="0"/>
                <w:sz w:val="20"/>
                <w:szCs w:val="20"/>
              </w:rPr>
            </w:pPr>
            <w:r>
              <w:rPr>
                <w:rFonts w:cstheme="minorHAnsi"/>
                <w:i/>
                <w:sz w:val="20"/>
                <w:szCs w:val="20"/>
              </w:rPr>
              <w:t>(770</w:t>
            </w:r>
            <w:r w:rsidRPr="00D20211">
              <w:rPr>
                <w:rFonts w:cstheme="minorHAnsi"/>
                <w:i/>
                <w:sz w:val="20"/>
                <w:szCs w:val="20"/>
              </w:rPr>
              <w:t xml:space="preserve">) </w:t>
            </w:r>
            <w:r>
              <w:rPr>
                <w:rFonts w:cstheme="minorHAnsi"/>
                <w:i/>
                <w:sz w:val="20"/>
                <w:szCs w:val="20"/>
              </w:rPr>
              <w:t>488-</w:t>
            </w:r>
            <w:r w:rsidRPr="0097222A">
              <w:rPr>
                <w:rFonts w:cstheme="minorHAnsi"/>
                <w:i/>
                <w:sz w:val="20"/>
                <w:szCs w:val="20"/>
              </w:rPr>
              <w:t>3543</w:t>
            </w:r>
          </w:p>
        </w:tc>
        <w:tc>
          <w:tcPr>
            <w:tcW w:w="2390" w:type="dxa"/>
            <w:tcBorders>
              <w:top w:val="nil"/>
              <w:left w:val="nil"/>
              <w:bottom w:val="nil"/>
              <w:right w:val="nil"/>
            </w:tcBorders>
            <w:vAlign w:val="center"/>
          </w:tcPr>
          <w:p w:rsidR="00B25A7D" w:rsidRPr="00D20211" w:rsidP="0097222A" w14:paraId="0FBD9C90" w14:textId="4D828E40">
            <w:pPr>
              <w:autoSpaceDE w:val="0"/>
              <w:autoSpaceDN w:val="0"/>
              <w:adjustRightInd w:val="0"/>
              <w:spacing w:after="0" w:line="240" w:lineRule="auto"/>
              <w:jc w:val="both"/>
              <w:rPr>
                <w:rStyle w:val="Emphasis"/>
                <w:rFonts w:cstheme="minorHAnsi"/>
                <w:sz w:val="20"/>
                <w:szCs w:val="20"/>
              </w:rPr>
            </w:pPr>
            <w:hyperlink r:id="rId12" w:history="1">
              <w:r w:rsidRPr="00480C6D" w:rsidR="00480C6D">
                <w:rPr>
                  <w:rStyle w:val="Hyperlink"/>
                  <w:rFonts w:cstheme="minorHAnsi"/>
                  <w:sz w:val="20"/>
                  <w:szCs w:val="20"/>
                </w:rPr>
                <w:t>r</w:t>
              </w:r>
              <w:r w:rsidRPr="00480C6D" w:rsidR="00480C6D">
                <w:rPr>
                  <w:rStyle w:val="Hyperlink"/>
                </w:rPr>
                <w:t>mj</w:t>
              </w:r>
              <w:r w:rsidRPr="001343E9" w:rsidR="00480C6D">
                <w:rPr>
                  <w:rStyle w:val="Hyperlink"/>
                  <w:rFonts w:cstheme="minorHAnsi"/>
                  <w:sz w:val="20"/>
                  <w:szCs w:val="20"/>
                </w:rPr>
                <w:t>6@cdc.gov</w:t>
              </w:r>
            </w:hyperlink>
            <w:r w:rsidRPr="00D20211">
              <w:rPr>
                <w:rStyle w:val="Emphasis"/>
                <w:rFonts w:cstheme="minorHAnsi"/>
                <w:sz w:val="20"/>
                <w:szCs w:val="20"/>
              </w:rPr>
              <w:t xml:space="preserve"> </w:t>
            </w:r>
          </w:p>
        </w:tc>
      </w:tr>
      <w:tr w14:paraId="40632293" w14:textId="77777777" w:rsidTr="0097091A">
        <w:tblPrEx>
          <w:tblW w:w="0" w:type="auto"/>
          <w:tblLook w:val="04A0"/>
        </w:tblPrEx>
        <w:tc>
          <w:tcPr>
            <w:tcW w:w="2340" w:type="dxa"/>
            <w:tcBorders>
              <w:top w:val="nil"/>
              <w:left w:val="nil"/>
              <w:bottom w:val="nil"/>
              <w:right w:val="nil"/>
            </w:tcBorders>
            <w:vAlign w:val="center"/>
          </w:tcPr>
          <w:p w:rsidR="00B25A7D" w:rsidRPr="00D20211" w:rsidP="005E77A5" w14:paraId="4AACED1D" w14:textId="006651E7">
            <w:pPr>
              <w:autoSpaceDE w:val="0"/>
              <w:autoSpaceDN w:val="0"/>
              <w:adjustRightInd w:val="0"/>
              <w:spacing w:after="0" w:line="240" w:lineRule="auto"/>
              <w:jc w:val="both"/>
              <w:rPr>
                <w:rFonts w:cstheme="minorHAnsi"/>
                <w:sz w:val="20"/>
                <w:szCs w:val="20"/>
              </w:rPr>
            </w:pPr>
            <w:r>
              <w:rPr>
                <w:rFonts w:cstheme="minorHAnsi"/>
                <w:sz w:val="20"/>
                <w:szCs w:val="20"/>
              </w:rPr>
              <w:t>Mike Mojica</w:t>
            </w:r>
            <w:r w:rsidRPr="00D20211">
              <w:rPr>
                <w:rFonts w:cstheme="minorHAnsi"/>
                <w:sz w:val="20"/>
                <w:szCs w:val="20"/>
              </w:rPr>
              <w:t>, PhD</w:t>
            </w:r>
          </w:p>
        </w:tc>
        <w:tc>
          <w:tcPr>
            <w:tcW w:w="1440" w:type="dxa"/>
            <w:tcBorders>
              <w:top w:val="nil"/>
              <w:left w:val="nil"/>
              <w:bottom w:val="nil"/>
              <w:right w:val="nil"/>
            </w:tcBorders>
            <w:vAlign w:val="center"/>
          </w:tcPr>
          <w:p w:rsidR="00B25A7D" w:rsidRPr="00D20211" w:rsidP="00B25A7D" w14:paraId="6711483A" w14:textId="746C9319">
            <w:pPr>
              <w:autoSpaceDE w:val="0"/>
              <w:autoSpaceDN w:val="0"/>
              <w:adjustRightInd w:val="0"/>
              <w:spacing w:after="0" w:line="240" w:lineRule="auto"/>
              <w:jc w:val="both"/>
              <w:rPr>
                <w:rFonts w:cstheme="minorHAnsi"/>
                <w:sz w:val="20"/>
                <w:szCs w:val="20"/>
              </w:rPr>
            </w:pPr>
            <w:r>
              <w:rPr>
                <w:rFonts w:cstheme="minorHAnsi"/>
                <w:sz w:val="20"/>
                <w:szCs w:val="20"/>
              </w:rPr>
              <w:t>Associate Service Fellow</w:t>
            </w:r>
          </w:p>
        </w:tc>
        <w:tc>
          <w:tcPr>
            <w:tcW w:w="1620" w:type="dxa"/>
            <w:tcBorders>
              <w:top w:val="nil"/>
              <w:left w:val="nil"/>
              <w:bottom w:val="nil"/>
              <w:right w:val="nil"/>
            </w:tcBorders>
            <w:vAlign w:val="center"/>
          </w:tcPr>
          <w:p w:rsidR="00B25A7D" w:rsidRPr="00D20211" w:rsidP="00B25A7D" w14:paraId="1D0CB8FB" w14:textId="435EED64">
            <w:pPr>
              <w:autoSpaceDE w:val="0"/>
              <w:autoSpaceDN w:val="0"/>
              <w:adjustRightInd w:val="0"/>
              <w:spacing w:after="0" w:line="240" w:lineRule="auto"/>
              <w:jc w:val="both"/>
              <w:rPr>
                <w:rFonts w:cstheme="minorHAnsi"/>
                <w:sz w:val="20"/>
                <w:szCs w:val="20"/>
              </w:rPr>
            </w:pPr>
            <w:r>
              <w:rPr>
                <w:rFonts w:cstheme="minorHAnsi"/>
                <w:sz w:val="20"/>
                <w:szCs w:val="20"/>
              </w:rPr>
              <w:t>Emergency Response Branch</w:t>
            </w:r>
          </w:p>
        </w:tc>
        <w:tc>
          <w:tcPr>
            <w:tcW w:w="1570" w:type="dxa"/>
            <w:tcBorders>
              <w:top w:val="nil"/>
              <w:left w:val="nil"/>
              <w:bottom w:val="nil"/>
              <w:right w:val="nil"/>
            </w:tcBorders>
            <w:vAlign w:val="center"/>
          </w:tcPr>
          <w:p w:rsidR="00B25A7D" w:rsidRPr="00D20211" w:rsidP="00645834" w14:paraId="0C213BD8" w14:textId="385F37A1">
            <w:pPr>
              <w:autoSpaceDE w:val="0"/>
              <w:autoSpaceDN w:val="0"/>
              <w:adjustRightInd w:val="0"/>
              <w:spacing w:after="0" w:line="240" w:lineRule="auto"/>
              <w:jc w:val="center"/>
              <w:rPr>
                <w:rStyle w:val="Emphasis"/>
                <w:rFonts w:cstheme="minorHAnsi"/>
                <w:i w:val="0"/>
                <w:sz w:val="20"/>
                <w:szCs w:val="20"/>
              </w:rPr>
            </w:pPr>
            <w:r>
              <w:rPr>
                <w:rFonts w:cstheme="minorHAnsi"/>
                <w:i/>
                <w:sz w:val="20"/>
                <w:szCs w:val="20"/>
              </w:rPr>
              <w:t>(</w:t>
            </w:r>
            <w:r w:rsidRPr="005E77A5">
              <w:rPr>
                <w:rFonts w:cstheme="minorHAnsi"/>
                <w:i/>
                <w:sz w:val="20"/>
                <w:szCs w:val="20"/>
              </w:rPr>
              <w:t>404</w:t>
            </w:r>
            <w:r>
              <w:rPr>
                <w:rFonts w:cstheme="minorHAnsi"/>
                <w:i/>
                <w:sz w:val="20"/>
                <w:szCs w:val="20"/>
              </w:rPr>
              <w:t xml:space="preserve">) </w:t>
            </w:r>
            <w:r w:rsidRPr="005E77A5">
              <w:rPr>
                <w:rFonts w:cstheme="minorHAnsi"/>
                <w:i/>
                <w:sz w:val="20"/>
                <w:szCs w:val="20"/>
              </w:rPr>
              <w:t>498-1404</w:t>
            </w:r>
          </w:p>
        </w:tc>
        <w:tc>
          <w:tcPr>
            <w:tcW w:w="2390" w:type="dxa"/>
            <w:tcBorders>
              <w:top w:val="nil"/>
              <w:left w:val="nil"/>
              <w:bottom w:val="nil"/>
              <w:right w:val="nil"/>
            </w:tcBorders>
            <w:vAlign w:val="center"/>
          </w:tcPr>
          <w:p w:rsidR="00645834" w:rsidRPr="00D20211" w:rsidP="00B25A7D" w14:paraId="72018BF5" w14:textId="437DB9F6">
            <w:pPr>
              <w:autoSpaceDE w:val="0"/>
              <w:autoSpaceDN w:val="0"/>
              <w:adjustRightInd w:val="0"/>
              <w:spacing w:after="0" w:line="240" w:lineRule="auto"/>
              <w:jc w:val="both"/>
              <w:rPr>
                <w:rStyle w:val="Emphasis"/>
                <w:rFonts w:cstheme="minorHAnsi"/>
                <w:sz w:val="20"/>
                <w:szCs w:val="20"/>
              </w:rPr>
            </w:pPr>
            <w:hyperlink r:id="rId13" w:history="1">
              <w:r w:rsidRPr="00066C83">
                <w:rPr>
                  <w:rStyle w:val="Hyperlink"/>
                  <w:rFonts w:cstheme="minorHAnsi"/>
                  <w:sz w:val="20"/>
                  <w:szCs w:val="20"/>
                </w:rPr>
                <w:t>lta4@CDC.gov</w:t>
              </w:r>
            </w:hyperlink>
          </w:p>
        </w:tc>
      </w:tr>
      <w:tr w14:paraId="6A34189C" w14:textId="77777777" w:rsidTr="0097091A">
        <w:tblPrEx>
          <w:tblW w:w="0" w:type="auto"/>
          <w:tblLook w:val="04A0"/>
        </w:tblPrEx>
        <w:tc>
          <w:tcPr>
            <w:tcW w:w="2340" w:type="dxa"/>
            <w:tcBorders>
              <w:top w:val="nil"/>
              <w:left w:val="nil"/>
              <w:bottom w:val="single" w:sz="8" w:space="0" w:color="auto"/>
              <w:right w:val="nil"/>
            </w:tcBorders>
            <w:vAlign w:val="center"/>
          </w:tcPr>
          <w:p w:rsidR="007E09C3" w:rsidP="005E77A5" w14:paraId="330265DF" w14:textId="79D65F09">
            <w:pPr>
              <w:autoSpaceDE w:val="0"/>
              <w:autoSpaceDN w:val="0"/>
              <w:adjustRightInd w:val="0"/>
              <w:spacing w:after="0" w:line="240" w:lineRule="auto"/>
              <w:jc w:val="both"/>
              <w:rPr>
                <w:rFonts w:cstheme="minorHAnsi"/>
                <w:sz w:val="20"/>
                <w:szCs w:val="20"/>
              </w:rPr>
            </w:pPr>
            <w:r>
              <w:rPr>
                <w:rFonts w:cstheme="minorHAnsi"/>
                <w:sz w:val="20"/>
                <w:szCs w:val="20"/>
              </w:rPr>
              <w:t>Samantha Isenberg, PhD</w:t>
            </w:r>
          </w:p>
        </w:tc>
        <w:tc>
          <w:tcPr>
            <w:tcW w:w="1440" w:type="dxa"/>
            <w:tcBorders>
              <w:top w:val="nil"/>
              <w:left w:val="nil"/>
              <w:bottom w:val="single" w:sz="8" w:space="0" w:color="auto"/>
              <w:right w:val="nil"/>
            </w:tcBorders>
            <w:vAlign w:val="center"/>
          </w:tcPr>
          <w:p w:rsidR="007E09C3" w:rsidP="00B25A7D" w14:paraId="7E0AE73C" w14:textId="4998BEF3">
            <w:pPr>
              <w:autoSpaceDE w:val="0"/>
              <w:autoSpaceDN w:val="0"/>
              <w:adjustRightInd w:val="0"/>
              <w:spacing w:after="0" w:line="240" w:lineRule="auto"/>
              <w:jc w:val="both"/>
              <w:rPr>
                <w:rFonts w:cstheme="minorHAnsi"/>
                <w:sz w:val="20"/>
                <w:szCs w:val="20"/>
              </w:rPr>
            </w:pPr>
            <w:r>
              <w:rPr>
                <w:rFonts w:cstheme="minorHAnsi"/>
                <w:sz w:val="20"/>
                <w:szCs w:val="20"/>
              </w:rPr>
              <w:t>Associate Service Fellow</w:t>
            </w:r>
          </w:p>
        </w:tc>
        <w:tc>
          <w:tcPr>
            <w:tcW w:w="1620" w:type="dxa"/>
            <w:tcBorders>
              <w:top w:val="nil"/>
              <w:left w:val="nil"/>
              <w:bottom w:val="single" w:sz="8" w:space="0" w:color="auto"/>
              <w:right w:val="nil"/>
            </w:tcBorders>
            <w:vAlign w:val="center"/>
          </w:tcPr>
          <w:p w:rsidR="007E09C3" w:rsidP="00B25A7D" w14:paraId="0355F717" w14:textId="3A732218">
            <w:pPr>
              <w:autoSpaceDE w:val="0"/>
              <w:autoSpaceDN w:val="0"/>
              <w:adjustRightInd w:val="0"/>
              <w:spacing w:after="0" w:line="240" w:lineRule="auto"/>
              <w:jc w:val="both"/>
              <w:rPr>
                <w:rFonts w:cstheme="minorHAnsi"/>
                <w:sz w:val="20"/>
                <w:szCs w:val="20"/>
              </w:rPr>
            </w:pPr>
            <w:r>
              <w:rPr>
                <w:rFonts w:cstheme="minorHAnsi"/>
                <w:sz w:val="20"/>
                <w:szCs w:val="20"/>
              </w:rPr>
              <w:t>Emergency Response Branch</w:t>
            </w:r>
          </w:p>
        </w:tc>
        <w:tc>
          <w:tcPr>
            <w:tcW w:w="1570" w:type="dxa"/>
            <w:tcBorders>
              <w:top w:val="nil"/>
              <w:left w:val="nil"/>
              <w:bottom w:val="single" w:sz="8" w:space="0" w:color="auto"/>
              <w:right w:val="nil"/>
            </w:tcBorders>
            <w:vAlign w:val="center"/>
          </w:tcPr>
          <w:p w:rsidR="007E09C3" w:rsidP="00645834" w14:paraId="13F4DE70" w14:textId="2EF25B96">
            <w:pPr>
              <w:autoSpaceDE w:val="0"/>
              <w:autoSpaceDN w:val="0"/>
              <w:adjustRightInd w:val="0"/>
              <w:spacing w:after="0" w:line="240" w:lineRule="auto"/>
              <w:jc w:val="center"/>
              <w:rPr>
                <w:rFonts w:cstheme="minorHAnsi"/>
                <w:i/>
                <w:sz w:val="20"/>
                <w:szCs w:val="20"/>
              </w:rPr>
            </w:pPr>
            <w:r>
              <w:rPr>
                <w:rFonts w:cstheme="minorHAnsi"/>
                <w:i/>
                <w:sz w:val="20"/>
                <w:szCs w:val="20"/>
              </w:rPr>
              <w:t>(770) 488-3435</w:t>
            </w:r>
          </w:p>
        </w:tc>
        <w:tc>
          <w:tcPr>
            <w:tcW w:w="2390" w:type="dxa"/>
            <w:tcBorders>
              <w:top w:val="nil"/>
              <w:left w:val="nil"/>
              <w:bottom w:val="single" w:sz="8" w:space="0" w:color="auto"/>
              <w:right w:val="nil"/>
            </w:tcBorders>
            <w:vAlign w:val="center"/>
          </w:tcPr>
          <w:p w:rsidR="007E09C3" w:rsidP="00B25A7D" w14:paraId="34062131" w14:textId="79B45EC6">
            <w:pPr>
              <w:autoSpaceDE w:val="0"/>
              <w:autoSpaceDN w:val="0"/>
              <w:adjustRightInd w:val="0"/>
              <w:spacing w:after="0" w:line="240" w:lineRule="auto"/>
              <w:jc w:val="both"/>
            </w:pPr>
            <w:hyperlink r:id="rId14" w:history="1">
              <w:r w:rsidRPr="00CC059D">
                <w:rPr>
                  <w:rStyle w:val="Hyperlink"/>
                </w:rPr>
                <w:t>yhx1@cdc.gov</w:t>
              </w:r>
            </w:hyperlink>
            <w:r>
              <w:t xml:space="preserve"> </w:t>
            </w:r>
          </w:p>
        </w:tc>
      </w:tr>
      <w:tr w14:paraId="0CBCA62A" w14:textId="77777777" w:rsidTr="00480C6D">
        <w:tblPrEx>
          <w:tblW w:w="0" w:type="auto"/>
          <w:tblLook w:val="04A0"/>
        </w:tblPrEx>
        <w:tc>
          <w:tcPr>
            <w:tcW w:w="2340" w:type="dxa"/>
            <w:tcBorders>
              <w:top w:val="nil"/>
              <w:left w:val="nil"/>
              <w:bottom w:val="single" w:sz="8" w:space="0" w:color="auto"/>
              <w:right w:val="nil"/>
            </w:tcBorders>
            <w:vAlign w:val="center"/>
          </w:tcPr>
          <w:p w:rsidR="00480C6D" w:rsidRPr="00D20211" w:rsidP="00480C6D" w14:paraId="3BD62FA7" w14:textId="77777777">
            <w:pPr>
              <w:autoSpaceDE w:val="0"/>
              <w:autoSpaceDN w:val="0"/>
              <w:adjustRightInd w:val="0"/>
              <w:spacing w:after="0" w:line="240" w:lineRule="auto"/>
              <w:jc w:val="both"/>
              <w:rPr>
                <w:rFonts w:cstheme="minorHAnsi"/>
                <w:sz w:val="20"/>
                <w:szCs w:val="20"/>
              </w:rPr>
            </w:pPr>
            <w:r>
              <w:rPr>
                <w:rFonts w:cstheme="minorHAnsi"/>
                <w:sz w:val="20"/>
                <w:szCs w:val="20"/>
              </w:rPr>
              <w:t>Melissa Carter, PhD, MBA</w:t>
            </w:r>
          </w:p>
        </w:tc>
        <w:tc>
          <w:tcPr>
            <w:tcW w:w="1440" w:type="dxa"/>
            <w:tcBorders>
              <w:top w:val="nil"/>
              <w:left w:val="nil"/>
              <w:bottom w:val="single" w:sz="8" w:space="0" w:color="auto"/>
              <w:right w:val="nil"/>
            </w:tcBorders>
            <w:vAlign w:val="center"/>
          </w:tcPr>
          <w:p w:rsidR="00480C6D" w:rsidRPr="00D20211" w:rsidP="00480C6D" w14:paraId="22EEE798" w14:textId="77777777">
            <w:pPr>
              <w:autoSpaceDE w:val="0"/>
              <w:autoSpaceDN w:val="0"/>
              <w:adjustRightInd w:val="0"/>
              <w:spacing w:after="0" w:line="240" w:lineRule="auto"/>
              <w:jc w:val="both"/>
              <w:rPr>
                <w:rFonts w:cstheme="minorHAnsi"/>
                <w:sz w:val="20"/>
                <w:szCs w:val="20"/>
              </w:rPr>
            </w:pPr>
            <w:r>
              <w:rPr>
                <w:rFonts w:cstheme="minorHAnsi"/>
                <w:sz w:val="20"/>
                <w:szCs w:val="20"/>
              </w:rPr>
              <w:t>(Former) Senior Service Fellow</w:t>
            </w:r>
          </w:p>
        </w:tc>
        <w:tc>
          <w:tcPr>
            <w:tcW w:w="1620" w:type="dxa"/>
            <w:tcBorders>
              <w:top w:val="nil"/>
              <w:left w:val="nil"/>
              <w:bottom w:val="single" w:sz="8" w:space="0" w:color="auto"/>
              <w:right w:val="nil"/>
            </w:tcBorders>
            <w:vAlign w:val="center"/>
          </w:tcPr>
          <w:p w:rsidR="00480C6D" w:rsidRPr="00D20211" w:rsidP="00480C6D" w14:paraId="42378876" w14:textId="33EB6420">
            <w:pPr>
              <w:autoSpaceDE w:val="0"/>
              <w:autoSpaceDN w:val="0"/>
              <w:adjustRightInd w:val="0"/>
              <w:spacing w:after="0" w:line="240" w:lineRule="auto"/>
              <w:jc w:val="both"/>
              <w:rPr>
                <w:rFonts w:cstheme="minorHAnsi"/>
                <w:sz w:val="20"/>
                <w:szCs w:val="20"/>
              </w:rPr>
            </w:pPr>
            <w:r>
              <w:rPr>
                <w:rFonts w:cstheme="minorHAnsi"/>
                <w:sz w:val="20"/>
                <w:szCs w:val="20"/>
              </w:rPr>
              <w:t>n/a</w:t>
            </w:r>
          </w:p>
        </w:tc>
        <w:tc>
          <w:tcPr>
            <w:tcW w:w="1570" w:type="dxa"/>
            <w:tcBorders>
              <w:top w:val="nil"/>
              <w:left w:val="nil"/>
              <w:bottom w:val="single" w:sz="8" w:space="0" w:color="auto"/>
              <w:right w:val="nil"/>
            </w:tcBorders>
            <w:vAlign w:val="center"/>
          </w:tcPr>
          <w:p w:rsidR="00480C6D" w:rsidRPr="00480C6D" w:rsidP="00507E07" w14:paraId="677AF354" w14:textId="77777777">
            <w:pPr>
              <w:autoSpaceDE w:val="0"/>
              <w:autoSpaceDN w:val="0"/>
              <w:adjustRightInd w:val="0"/>
              <w:spacing w:after="0" w:line="240" w:lineRule="auto"/>
              <w:jc w:val="center"/>
              <w:rPr>
                <w:rStyle w:val="Emphasis"/>
                <w:rFonts w:cstheme="minorHAnsi"/>
                <w:iCs w:val="0"/>
                <w:sz w:val="20"/>
                <w:szCs w:val="20"/>
              </w:rPr>
            </w:pPr>
            <w:r>
              <w:rPr>
                <w:rFonts w:cstheme="minorHAnsi"/>
                <w:i/>
                <w:sz w:val="20"/>
                <w:szCs w:val="20"/>
              </w:rPr>
              <w:t>n/a</w:t>
            </w:r>
          </w:p>
        </w:tc>
        <w:tc>
          <w:tcPr>
            <w:tcW w:w="2390" w:type="dxa"/>
            <w:tcBorders>
              <w:top w:val="nil"/>
              <w:left w:val="nil"/>
              <w:bottom w:val="single" w:sz="8" w:space="0" w:color="auto"/>
              <w:right w:val="nil"/>
            </w:tcBorders>
            <w:vAlign w:val="center"/>
          </w:tcPr>
          <w:p w:rsidR="00480C6D" w:rsidRPr="00480C6D" w:rsidP="00507E07" w14:paraId="72D5BCE6" w14:textId="77777777">
            <w:pPr>
              <w:autoSpaceDE w:val="0"/>
              <w:autoSpaceDN w:val="0"/>
              <w:adjustRightInd w:val="0"/>
              <w:spacing w:after="0" w:line="240" w:lineRule="auto"/>
              <w:jc w:val="both"/>
              <w:rPr>
                <w:rStyle w:val="Emphasis"/>
                <w:i w:val="0"/>
                <w:iCs w:val="0"/>
              </w:rPr>
            </w:pPr>
            <w:r>
              <w:t>n/a</w:t>
            </w:r>
          </w:p>
        </w:tc>
      </w:tr>
    </w:tbl>
    <w:p w:rsidR="00D62EE3" w:rsidRPr="00D20211" w:rsidP="00D62EE3" w14:paraId="1633E94E" w14:textId="362FEE96">
      <w:pPr>
        <w:autoSpaceDE w:val="0"/>
        <w:autoSpaceDN w:val="0"/>
        <w:adjustRightInd w:val="0"/>
        <w:spacing w:after="0" w:line="240" w:lineRule="auto"/>
        <w:rPr>
          <w:rFonts w:cs="ITCFranklinGothicStd-Demi"/>
          <w:sz w:val="24"/>
          <w:szCs w:val="24"/>
        </w:rPr>
      </w:pPr>
    </w:p>
    <w:p w:rsidR="00B45002" w:rsidP="00601F1A" w14:paraId="0A014A5E" w14:textId="3D9E08A2">
      <w:pPr>
        <w:pStyle w:val="Heading1"/>
        <w:pBdr>
          <w:bottom w:val="none" w:sz="0" w:space="0" w:color="auto"/>
        </w:pBdr>
        <w:rPr>
          <w:color w:val="auto"/>
        </w:rPr>
      </w:pPr>
      <w:bookmarkStart w:id="28" w:name="_Toc31301599"/>
      <w:bookmarkStart w:id="29" w:name="_Toc121132854"/>
      <w:r w:rsidRPr="00D20211">
        <w:rPr>
          <w:color w:val="auto"/>
        </w:rPr>
        <w:t>A.</w:t>
      </w:r>
      <w:r w:rsidRPr="00D20211" w:rsidR="004D21C9">
        <w:rPr>
          <w:color w:val="auto"/>
        </w:rPr>
        <w:t xml:space="preserve">9.  </w:t>
      </w:r>
      <w:r w:rsidRPr="00D20211">
        <w:rPr>
          <w:color w:val="auto"/>
        </w:rPr>
        <w:t>Explanation of Any Payment or Gift to Respondents</w:t>
      </w:r>
      <w:bookmarkEnd w:id="28"/>
      <w:bookmarkEnd w:id="29"/>
    </w:p>
    <w:p w:rsidR="00D21E16" w:rsidP="00D21E16" w14:paraId="5BEC4AF9" w14:textId="1305124B"/>
    <w:p w:rsidR="00100D0E" w:rsidRPr="00FD6CDE" w:rsidP="00FD6CDE" w14:paraId="043F830F" w14:textId="20C67A48">
      <w:pPr>
        <w:autoSpaceDE w:val="0"/>
        <w:autoSpaceDN w:val="0"/>
        <w:adjustRightInd w:val="0"/>
        <w:spacing w:line="240" w:lineRule="auto"/>
        <w:rPr>
          <w:rFonts w:cs="ITCFranklinGothicStd-Book"/>
          <w:sz w:val="24"/>
          <w:szCs w:val="24"/>
        </w:rPr>
      </w:pPr>
      <w:r>
        <w:rPr>
          <w:rFonts w:cs="ITCFranklinGothicStd-Book"/>
          <w:sz w:val="24"/>
          <w:szCs w:val="24"/>
        </w:rPr>
        <w:t>Respondents will not receive payments</w:t>
      </w:r>
      <w:r w:rsidR="00FD6CDE">
        <w:rPr>
          <w:rFonts w:cs="ITCFranklinGothicStd-Book"/>
          <w:sz w:val="24"/>
          <w:szCs w:val="24"/>
        </w:rPr>
        <w:t xml:space="preserve"> for providing information. </w:t>
      </w:r>
      <w:r w:rsidR="00DC37AE">
        <w:rPr>
          <w:rFonts w:cs="ITCFranklinGothicStd-Book"/>
          <w:sz w:val="24"/>
          <w:szCs w:val="24"/>
        </w:rPr>
        <w:t>Selected recipient laboratories will receive the TOM Kits</w:t>
      </w:r>
      <w:r w:rsidR="006F5A1C">
        <w:rPr>
          <w:rFonts w:cs="ITCFranklinGothicStd-Book"/>
          <w:sz w:val="24"/>
          <w:szCs w:val="24"/>
        </w:rPr>
        <w:t>*</w:t>
      </w:r>
      <w:r w:rsidR="00DC37AE">
        <w:rPr>
          <w:rFonts w:cs="ITCFranklinGothicStd-Book"/>
          <w:sz w:val="24"/>
          <w:szCs w:val="24"/>
        </w:rPr>
        <w:t xml:space="preserve"> </w:t>
      </w:r>
      <w:r w:rsidR="00576BE3">
        <w:rPr>
          <w:rFonts w:cs="ITCFranklinGothicStd-Book"/>
          <w:sz w:val="24"/>
          <w:szCs w:val="24"/>
        </w:rPr>
        <w:t>at no</w:t>
      </w:r>
      <w:r w:rsidR="00DC37AE">
        <w:rPr>
          <w:rFonts w:cs="ITCFranklinGothicStd-Book"/>
          <w:sz w:val="24"/>
          <w:szCs w:val="24"/>
        </w:rPr>
        <w:t xml:space="preserve"> cost as described in </w:t>
      </w:r>
      <w:r w:rsidR="00DC37AE">
        <w:rPr>
          <w:rFonts w:cs="ITCFranklinGothicStd-Book"/>
          <w:b/>
          <w:sz w:val="24"/>
          <w:szCs w:val="24"/>
        </w:rPr>
        <w:t>Section A.2</w:t>
      </w:r>
      <w:r w:rsidR="00DC37AE">
        <w:rPr>
          <w:rFonts w:cs="ITCFranklinGothicStd-Book"/>
          <w:sz w:val="24"/>
          <w:szCs w:val="24"/>
        </w:rPr>
        <w:t>.</w:t>
      </w:r>
    </w:p>
    <w:p w:rsidR="00B45002" w:rsidRPr="00D20211" w:rsidP="00010C49" w14:paraId="6E8EA09B" w14:textId="4DE90829">
      <w:pPr>
        <w:pStyle w:val="Heading1"/>
        <w:pBdr>
          <w:bottom w:val="none" w:sz="0" w:space="0" w:color="auto"/>
        </w:pBdr>
        <w:spacing w:before="480"/>
        <w:rPr>
          <w:color w:val="auto"/>
        </w:rPr>
      </w:pPr>
      <w:bookmarkStart w:id="30" w:name="_Toc31301600"/>
      <w:bookmarkStart w:id="31" w:name="_Toc121132855"/>
      <w:r w:rsidRPr="00E70802">
        <w:rPr>
          <w:color w:val="auto"/>
        </w:rPr>
        <w:t>A.</w:t>
      </w:r>
      <w:r w:rsidRPr="00E70802" w:rsidR="004D21C9">
        <w:rPr>
          <w:color w:val="auto"/>
        </w:rPr>
        <w:t xml:space="preserve">10.  </w:t>
      </w:r>
      <w:r w:rsidRPr="00E70802">
        <w:rPr>
          <w:color w:val="auto"/>
        </w:rPr>
        <w:t>Protection of the Privacy and Confidentiality of Information Provided by Respondents</w:t>
      </w:r>
      <w:bookmarkEnd w:id="30"/>
      <w:bookmarkEnd w:id="31"/>
    </w:p>
    <w:p w:rsidR="00CF7455" w:rsidP="00CF7455" w14:paraId="24BF9EC4" w14:textId="441F4B95">
      <w:pPr>
        <w:autoSpaceDE w:val="0"/>
        <w:autoSpaceDN w:val="0"/>
        <w:adjustRightInd w:val="0"/>
        <w:spacing w:line="240" w:lineRule="auto"/>
        <w:rPr>
          <w:rFonts w:cs="ITCFranklinGothicStd-Book"/>
          <w:sz w:val="24"/>
          <w:szCs w:val="24"/>
          <w:u w:val="single"/>
        </w:rPr>
      </w:pPr>
    </w:p>
    <w:p w:rsidR="009B6132" w:rsidP="009B6132" w14:paraId="58430F7E" w14:textId="2D592BE6">
      <w:pPr>
        <w:autoSpaceDE w:val="0"/>
        <w:autoSpaceDN w:val="0"/>
        <w:adjustRightInd w:val="0"/>
        <w:spacing w:line="240" w:lineRule="auto"/>
        <w:rPr>
          <w:rFonts w:cs="ITCFranklinGothicStd-Book"/>
          <w:sz w:val="24"/>
          <w:szCs w:val="24"/>
        </w:rPr>
      </w:pPr>
      <w:r w:rsidRPr="00B6486E">
        <w:rPr>
          <w:rFonts w:cs="ITCFranklinGothicStd-Book"/>
          <w:sz w:val="24"/>
          <w:szCs w:val="24"/>
        </w:rPr>
        <w:t>On 12/02/2022, the</w:t>
      </w:r>
      <w:r w:rsidRPr="00D20211">
        <w:rPr>
          <w:rFonts w:cs="ITCFranklinGothicStd-Book"/>
          <w:sz w:val="24"/>
          <w:szCs w:val="24"/>
        </w:rPr>
        <w:t xml:space="preserve"> </w:t>
      </w:r>
      <w:r>
        <w:rPr>
          <w:rFonts w:cs="ITCFranklinGothicStd-Book"/>
          <w:sz w:val="24"/>
          <w:szCs w:val="24"/>
        </w:rPr>
        <w:t xml:space="preserve">CDC Chief Privacy Officer has </w:t>
      </w:r>
      <w:r w:rsidRPr="00D20211">
        <w:rPr>
          <w:rFonts w:cs="ITCFranklinGothicStd-Book"/>
          <w:sz w:val="24"/>
          <w:szCs w:val="24"/>
        </w:rPr>
        <w:t xml:space="preserve">reviewed this submission and determined that the Privacy Act </w:t>
      </w:r>
      <w:r w:rsidRPr="00B6486E">
        <w:rPr>
          <w:rFonts w:cs="ITCFranklinGothicStd-Book"/>
          <w:sz w:val="24"/>
          <w:szCs w:val="24"/>
        </w:rPr>
        <w:t>does not apply</w:t>
      </w:r>
      <w:r>
        <w:rPr>
          <w:rFonts w:cs="ITCFranklinGothicStd-Book"/>
          <w:sz w:val="24"/>
          <w:szCs w:val="24"/>
        </w:rPr>
        <w:t xml:space="preserve"> (</w:t>
      </w:r>
      <w:r>
        <w:rPr>
          <w:rFonts w:cs="ITCFranklinGothicStd-Book"/>
          <w:b/>
          <w:sz w:val="24"/>
          <w:szCs w:val="24"/>
        </w:rPr>
        <w:t>Attachment 6</w:t>
      </w:r>
      <w:r>
        <w:rPr>
          <w:rFonts w:cs="ITCFranklinGothicStd-Book"/>
          <w:sz w:val="24"/>
          <w:szCs w:val="24"/>
        </w:rPr>
        <w:t>)</w:t>
      </w:r>
      <w:r w:rsidRPr="00D20211">
        <w:rPr>
          <w:rFonts w:cs="ITCFranklinGothicStd-Book"/>
          <w:sz w:val="24"/>
          <w:szCs w:val="24"/>
        </w:rPr>
        <w:t>.</w:t>
      </w:r>
      <w:r>
        <w:rPr>
          <w:rFonts w:cs="ITCFranklinGothicStd-Book"/>
          <w:sz w:val="24"/>
          <w:szCs w:val="24"/>
        </w:rPr>
        <w:t xml:space="preserve"> </w:t>
      </w:r>
    </w:p>
    <w:p w:rsidR="009B6132" w:rsidRPr="00011E7C" w:rsidP="009B6132" w14:paraId="1FB63775" w14:textId="77777777">
      <w:pPr>
        <w:autoSpaceDE w:val="0"/>
        <w:autoSpaceDN w:val="0"/>
        <w:adjustRightInd w:val="0"/>
        <w:spacing w:line="240" w:lineRule="auto"/>
        <w:rPr>
          <w:rFonts w:cs="ITCFranklinGothicStd-Book"/>
          <w:sz w:val="24"/>
          <w:szCs w:val="24"/>
        </w:rPr>
      </w:pPr>
      <w:r w:rsidRPr="00011E7C">
        <w:rPr>
          <w:rFonts w:cs="ITCFranklinGothicStd-Book"/>
          <w:sz w:val="24"/>
          <w:szCs w:val="24"/>
        </w:rPr>
        <w:t>The following</w:t>
      </w:r>
      <w:r>
        <w:rPr>
          <w:rFonts w:cs="ITCFranklinGothicStd-Book"/>
          <w:sz w:val="24"/>
          <w:szCs w:val="24"/>
        </w:rPr>
        <w:t xml:space="preserve"> Information in Identifiable Form (</w:t>
      </w:r>
      <w:r w:rsidRPr="00011E7C">
        <w:rPr>
          <w:rFonts w:cs="ITCFranklinGothicStd-Book"/>
          <w:sz w:val="24"/>
          <w:szCs w:val="24"/>
        </w:rPr>
        <w:t>IIF</w:t>
      </w:r>
      <w:r>
        <w:rPr>
          <w:rFonts w:cs="ITCFranklinGothicStd-Book"/>
          <w:sz w:val="24"/>
          <w:szCs w:val="24"/>
        </w:rPr>
        <w:t>)</w:t>
      </w:r>
      <w:r w:rsidRPr="00011E7C">
        <w:rPr>
          <w:rFonts w:cs="ITCFranklinGothicStd-Book"/>
          <w:sz w:val="24"/>
          <w:szCs w:val="24"/>
        </w:rPr>
        <w:t xml:space="preserve"> Categories apply to th</w:t>
      </w:r>
      <w:r>
        <w:rPr>
          <w:rFonts w:cs="ITCFranklinGothicStd-Book"/>
          <w:sz w:val="24"/>
          <w:szCs w:val="24"/>
        </w:rPr>
        <w:t xml:space="preserve">e </w:t>
      </w:r>
      <w:r w:rsidRPr="00011E7C">
        <w:rPr>
          <w:rFonts w:cs="ITCFranklinGothicStd-Book"/>
          <w:sz w:val="24"/>
          <w:szCs w:val="24"/>
        </w:rPr>
        <w:t>information collection</w:t>
      </w:r>
      <w:r>
        <w:rPr>
          <w:rFonts w:cs="ITCFranklinGothicStd-Book"/>
          <w:sz w:val="24"/>
          <w:szCs w:val="24"/>
        </w:rPr>
        <w:t xml:space="preserve"> from domestic laboratories</w:t>
      </w:r>
      <w:r w:rsidRPr="00011E7C">
        <w:rPr>
          <w:rFonts w:cs="ITCFranklinGothicStd-Book"/>
          <w:sz w:val="24"/>
          <w:szCs w:val="24"/>
        </w:rPr>
        <w:t xml:space="preserve"> (</w:t>
      </w:r>
      <w:r w:rsidRPr="00011E7C">
        <w:rPr>
          <w:rFonts w:cs="ITCFranklinGothicStd-Book"/>
          <w:b/>
          <w:sz w:val="24"/>
          <w:szCs w:val="24"/>
        </w:rPr>
        <w:t>Attachment</w:t>
      </w:r>
      <w:r>
        <w:rPr>
          <w:rFonts w:cs="ITCFranklinGothicStd-Book"/>
          <w:b/>
          <w:sz w:val="24"/>
          <w:szCs w:val="24"/>
        </w:rPr>
        <w:t xml:space="preserve"> 5a</w:t>
      </w:r>
      <w:r w:rsidRPr="00011E7C">
        <w:rPr>
          <w:rFonts w:cs="ITCFranklinGothicStd-Book"/>
          <w:sz w:val="24"/>
          <w:szCs w:val="24"/>
        </w:rPr>
        <w:t>)</w:t>
      </w:r>
      <w:r>
        <w:rPr>
          <w:rFonts w:cs="ITCFranklinGothicStd-Book"/>
          <w:sz w:val="24"/>
          <w:szCs w:val="24"/>
        </w:rPr>
        <w:t>: however, records will not be retrieved by these identifiers.</w:t>
      </w:r>
    </w:p>
    <w:p w:rsidR="009B6132" w:rsidP="009B6132" w14:paraId="2C7A3F73" w14:textId="77777777">
      <w:pPr>
        <w:spacing w:after="0" w:line="240" w:lineRule="auto"/>
        <w:rPr>
          <w:rFonts w:cs="ITCFranklinGothicStd-Book"/>
          <w:sz w:val="24"/>
          <w:szCs w:val="24"/>
        </w:rPr>
        <w:sectPr w:rsidSect="00B2108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0" w:gutter="0"/>
          <w:cols w:space="720"/>
          <w:titlePg/>
          <w:docGrid w:linePitch="286"/>
        </w:sectPr>
      </w:pPr>
    </w:p>
    <w:p w:rsidR="009B6132" w:rsidP="009B6132" w14:paraId="64E7BED7" w14:textId="77777777">
      <w:pPr>
        <w:pStyle w:val="CommentText"/>
        <w:spacing w:after="0"/>
      </w:pPr>
      <w:r>
        <w:rPr>
          <w:rFonts w:ascii="Segoe UI Symbol" w:hAnsi="Segoe UI Symbol" w:cs="Segoe UI Symbol"/>
        </w:rPr>
        <w:t>❑</w:t>
      </w:r>
      <w:r>
        <w:t xml:space="preserve"> Name (Business Contact)</w:t>
      </w:r>
    </w:p>
    <w:p w:rsidR="009B6132" w:rsidP="009B6132" w14:paraId="5DB96B60" w14:textId="77777777">
      <w:pPr>
        <w:pStyle w:val="CommentText"/>
        <w:spacing w:after="0"/>
      </w:pPr>
      <w:r>
        <w:rPr>
          <w:rFonts w:ascii="Segoe UI Symbol" w:hAnsi="Segoe UI Symbol" w:cs="Segoe UI Symbol"/>
        </w:rPr>
        <w:t>❑</w:t>
      </w:r>
      <w:r>
        <w:t xml:space="preserve"> Email Address (Business Contact)</w:t>
      </w:r>
    </w:p>
    <w:p w:rsidR="009B6132" w:rsidP="009B6132" w14:paraId="68E0DE3D" w14:textId="41726C81">
      <w:pPr>
        <w:pStyle w:val="CommentText"/>
        <w:spacing w:after="0"/>
      </w:pPr>
      <w:r>
        <w:rPr>
          <w:rFonts w:ascii="Segoe UI Symbol" w:hAnsi="Segoe UI Symbol" w:cs="Segoe UI Symbol"/>
        </w:rPr>
        <w:t>❑</w:t>
      </w:r>
      <w:r>
        <w:t xml:space="preserve"> Phone Numbers (Business Contact)</w:t>
      </w:r>
    </w:p>
    <w:p w:rsidR="00520CCD" w:rsidP="00011E7C" w14:paraId="3604F456" w14:textId="77777777">
      <w:pPr>
        <w:autoSpaceDE w:val="0"/>
        <w:autoSpaceDN w:val="0"/>
        <w:adjustRightInd w:val="0"/>
        <w:spacing w:line="240" w:lineRule="auto"/>
        <w:rPr>
          <w:rFonts w:cs="ITCFranklinGothicStd-Book"/>
          <w:sz w:val="24"/>
          <w:szCs w:val="24"/>
        </w:rPr>
      </w:pPr>
    </w:p>
    <w:p w:rsidR="00520CCD" w:rsidRPr="00520CCD" w:rsidP="00E70802" w14:paraId="2FC71F65" w14:textId="50023E57">
      <w:pPr>
        <w:autoSpaceDE w:val="0"/>
        <w:autoSpaceDN w:val="0"/>
        <w:adjustRightInd w:val="0"/>
        <w:spacing w:line="240" w:lineRule="auto"/>
        <w:rPr>
          <w:rFonts w:cs="ITCFranklinGothicStd-Book"/>
          <w:sz w:val="24"/>
          <w:szCs w:val="24"/>
        </w:rPr>
      </w:pPr>
      <w:r>
        <w:rPr>
          <w:rFonts w:cs="ITCFranklinGothicStd-Book"/>
          <w:sz w:val="24"/>
          <w:szCs w:val="24"/>
        </w:rPr>
        <w:t xml:space="preserve">The records generated from this collection </w:t>
      </w:r>
      <w:r w:rsidR="00236D38">
        <w:rPr>
          <w:rFonts w:cs="ITCFranklinGothicStd-Book"/>
          <w:sz w:val="24"/>
          <w:szCs w:val="24"/>
        </w:rPr>
        <w:t>will be</w:t>
      </w:r>
      <w:r>
        <w:rPr>
          <w:rFonts w:cs="ITCFranklinGothicStd-Book"/>
          <w:sz w:val="24"/>
          <w:szCs w:val="24"/>
        </w:rPr>
        <w:t xml:space="preserve"> for research support</w:t>
      </w:r>
      <w:r w:rsidR="008E27A0">
        <w:rPr>
          <w:rFonts w:cs="ITCFranklinGothicStd-Book"/>
          <w:sz w:val="24"/>
          <w:szCs w:val="24"/>
        </w:rPr>
        <w:t xml:space="preserve"> and will be disposed of after their administrative usefulness has been met or </w:t>
      </w:r>
      <w:r w:rsidR="00582DF8">
        <w:rPr>
          <w:rFonts w:cs="ITCFranklinGothicStd-Book"/>
          <w:sz w:val="24"/>
          <w:szCs w:val="24"/>
        </w:rPr>
        <w:t>no longer than 5 years</w:t>
      </w:r>
      <w:r w:rsidR="002C0E52">
        <w:rPr>
          <w:rFonts w:cs="ITCFranklinGothicStd-Book"/>
          <w:sz w:val="24"/>
          <w:szCs w:val="24"/>
        </w:rPr>
        <w:t xml:space="preserve"> after project completion</w:t>
      </w:r>
      <w:r w:rsidR="00EF4AE3">
        <w:rPr>
          <w:rFonts w:cs="ITCFranklinGothicStd-Book"/>
          <w:sz w:val="24"/>
          <w:szCs w:val="24"/>
        </w:rPr>
        <w:t>, depending on the program need.</w:t>
      </w:r>
    </w:p>
    <w:p w:rsidR="002A22FA" w:rsidRPr="00011E7C" w:rsidP="00011E7C" w14:paraId="1E18C503" w14:textId="77777777">
      <w:pPr>
        <w:autoSpaceDE w:val="0"/>
        <w:autoSpaceDN w:val="0"/>
        <w:adjustRightInd w:val="0"/>
        <w:spacing w:line="240" w:lineRule="auto"/>
        <w:rPr>
          <w:rFonts w:cs="ITCFranklinGothicStd-Book"/>
          <w:sz w:val="24"/>
          <w:szCs w:val="24"/>
        </w:rPr>
      </w:pPr>
    </w:p>
    <w:p w:rsidR="00B45002" w:rsidP="00D70D0B" w14:paraId="70B45DCE" w14:textId="53A258C0">
      <w:pPr>
        <w:pStyle w:val="Heading1"/>
        <w:pBdr>
          <w:bottom w:val="none" w:sz="0" w:space="0" w:color="auto"/>
        </w:pBdr>
        <w:spacing w:before="360"/>
        <w:rPr>
          <w:color w:val="auto"/>
        </w:rPr>
      </w:pPr>
      <w:bookmarkStart w:id="32" w:name="_Toc31301601"/>
      <w:bookmarkStart w:id="33" w:name="_Toc121132856"/>
      <w:r w:rsidRPr="00D20211">
        <w:rPr>
          <w:color w:val="auto"/>
        </w:rPr>
        <w:t>A.</w:t>
      </w:r>
      <w:r w:rsidRPr="00D20211" w:rsidR="004D21C9">
        <w:rPr>
          <w:color w:val="auto"/>
        </w:rPr>
        <w:t xml:space="preserve">11.  </w:t>
      </w:r>
      <w:r w:rsidRPr="00D20211">
        <w:rPr>
          <w:color w:val="auto"/>
        </w:rPr>
        <w:t>Institutional Review Board (IRB) and Justification for Sensitive Questions</w:t>
      </w:r>
      <w:bookmarkEnd w:id="32"/>
      <w:bookmarkEnd w:id="33"/>
    </w:p>
    <w:p w:rsidR="00153EA7" w:rsidP="00153EA7" w14:paraId="43FE77BE" w14:textId="3A3AD1D2">
      <w:pPr>
        <w:spacing w:line="240" w:lineRule="auto"/>
      </w:pPr>
    </w:p>
    <w:p w:rsidR="00A32FB3" w:rsidP="00A32FB3" w14:paraId="088F1F7C" w14:textId="793A992B">
      <w:pPr>
        <w:autoSpaceDE w:val="0"/>
        <w:autoSpaceDN w:val="0"/>
        <w:adjustRightInd w:val="0"/>
        <w:spacing w:line="240" w:lineRule="auto"/>
        <w:rPr>
          <w:rFonts w:cs="ITCFranklinGothicStd-Book"/>
          <w:sz w:val="24"/>
          <w:szCs w:val="24"/>
        </w:rPr>
      </w:pPr>
      <w:r>
        <w:rPr>
          <w:rFonts w:cs="ITCFranklinGothicStd-Book"/>
          <w:sz w:val="24"/>
          <w:szCs w:val="24"/>
        </w:rPr>
        <w:t>The NCEH/ATSDR Human Subjects Advisor has determined that this information collection</w:t>
      </w:r>
      <w:r w:rsidRPr="00A32FB3" w:rsidR="007C3632">
        <w:rPr>
          <w:rFonts w:cs="ITCFranklinGothicStd-Book"/>
          <w:sz w:val="24"/>
          <w:szCs w:val="24"/>
        </w:rPr>
        <w:t xml:space="preserve"> is not research involving human subjects</w:t>
      </w:r>
      <w:r>
        <w:rPr>
          <w:rFonts w:cs="ITCFranklinGothicStd-Book"/>
          <w:sz w:val="24"/>
          <w:szCs w:val="24"/>
        </w:rPr>
        <w:t xml:space="preserve"> and </w:t>
      </w:r>
      <w:r w:rsidRPr="00A32FB3" w:rsidR="007C3632">
        <w:rPr>
          <w:rFonts w:cs="ITCFranklinGothicStd-Book"/>
          <w:sz w:val="24"/>
          <w:szCs w:val="24"/>
        </w:rPr>
        <w:t>that IRB approval is not required</w:t>
      </w:r>
      <w:r>
        <w:rPr>
          <w:rFonts w:cs="ITCFranklinGothicStd-Book"/>
          <w:sz w:val="24"/>
          <w:szCs w:val="24"/>
        </w:rPr>
        <w:t xml:space="preserve"> (</w:t>
      </w:r>
      <w:r>
        <w:rPr>
          <w:rFonts w:cs="ITCFranklinGothicStd-Book"/>
          <w:b/>
          <w:sz w:val="24"/>
          <w:szCs w:val="24"/>
        </w:rPr>
        <w:t xml:space="preserve">Attachment </w:t>
      </w:r>
      <w:r w:rsidR="00AA63E1">
        <w:rPr>
          <w:rFonts w:cs="ITCFranklinGothicStd-Book"/>
          <w:b/>
          <w:sz w:val="24"/>
          <w:szCs w:val="24"/>
        </w:rPr>
        <w:t>7</w:t>
      </w:r>
      <w:r>
        <w:rPr>
          <w:rFonts w:cs="ITCFranklinGothicStd-Book"/>
          <w:sz w:val="24"/>
          <w:szCs w:val="24"/>
        </w:rPr>
        <w:t>).</w:t>
      </w:r>
    </w:p>
    <w:p w:rsidR="009857F3" w:rsidRPr="00FD6CDE" w:rsidP="0097091A" w14:paraId="684B3ECF" w14:textId="3400686B">
      <w:pPr>
        <w:autoSpaceDE w:val="0"/>
        <w:autoSpaceDN w:val="0"/>
        <w:adjustRightInd w:val="0"/>
        <w:spacing w:line="240" w:lineRule="auto"/>
        <w:rPr>
          <w:rFonts w:cs="ITCFranklinGothicStd-Book"/>
          <w:sz w:val="24"/>
          <w:szCs w:val="24"/>
        </w:rPr>
      </w:pPr>
      <w:r>
        <w:rPr>
          <w:rFonts w:cs="ITCFranklinGothicStd-Book"/>
          <w:sz w:val="24"/>
          <w:szCs w:val="24"/>
        </w:rPr>
        <w:t>CDC</w:t>
      </w:r>
      <w:r w:rsidR="00153EA7">
        <w:rPr>
          <w:rFonts w:cs="ITCFranklinGothicStd-Book"/>
          <w:sz w:val="24"/>
          <w:szCs w:val="24"/>
        </w:rPr>
        <w:t xml:space="preserve"> </w:t>
      </w:r>
      <w:r w:rsidR="000B54F0">
        <w:rPr>
          <w:rFonts w:cs="ITCFranklinGothicStd-Book"/>
          <w:sz w:val="24"/>
          <w:szCs w:val="24"/>
        </w:rPr>
        <w:t xml:space="preserve">collects information about laboratories and </w:t>
      </w:r>
      <w:r w:rsidR="00153EA7">
        <w:rPr>
          <w:rFonts w:cs="ITCFranklinGothicStd-Book"/>
          <w:sz w:val="24"/>
          <w:szCs w:val="24"/>
        </w:rPr>
        <w:t xml:space="preserve">does not collect </w:t>
      </w:r>
      <w:r w:rsidR="009C3C7B">
        <w:rPr>
          <w:rFonts w:cs="ITCFranklinGothicStd-Book"/>
          <w:sz w:val="24"/>
          <w:szCs w:val="24"/>
        </w:rPr>
        <w:t xml:space="preserve">personally </w:t>
      </w:r>
      <w:r w:rsidR="00153EA7">
        <w:rPr>
          <w:rFonts w:cs="ITCFranklinGothicStd-Book"/>
          <w:sz w:val="24"/>
          <w:szCs w:val="24"/>
        </w:rPr>
        <w:t xml:space="preserve">sensitive information. </w:t>
      </w:r>
      <w:r w:rsidR="007C3632">
        <w:rPr>
          <w:rFonts w:cs="ITCFranklinGothicStd-Book"/>
          <w:sz w:val="24"/>
          <w:szCs w:val="24"/>
        </w:rPr>
        <w:t>Laboratories may</w:t>
      </w:r>
      <w:r w:rsidRPr="00D20211" w:rsidR="007C3632">
        <w:rPr>
          <w:rFonts w:cs="ITCFranklinGothicStd-Book"/>
          <w:sz w:val="24"/>
          <w:szCs w:val="24"/>
        </w:rPr>
        <w:t xml:space="preserve"> view information collections pertaining to</w:t>
      </w:r>
      <w:r w:rsidR="00F279AA">
        <w:rPr>
          <w:rFonts w:cs="ITCFranklinGothicStd-Book"/>
          <w:sz w:val="24"/>
          <w:szCs w:val="24"/>
        </w:rPr>
        <w:t xml:space="preserve"> Drug Enforcement Agency (DEA) Numbers,</w:t>
      </w:r>
      <w:r w:rsidRPr="00D20211" w:rsidR="007C3632">
        <w:rPr>
          <w:rFonts w:cs="ITCFranklinGothicStd-Book"/>
          <w:sz w:val="24"/>
          <w:szCs w:val="24"/>
        </w:rPr>
        <w:t xml:space="preserve"> organizational policies, performance data, or other practices as sensitive</w:t>
      </w:r>
      <w:r w:rsidR="007C3632">
        <w:rPr>
          <w:rFonts w:cs="ITCFranklinGothicStd-Book"/>
          <w:sz w:val="24"/>
          <w:szCs w:val="24"/>
        </w:rPr>
        <w:t>; however, the information</w:t>
      </w:r>
      <w:r w:rsidRPr="00D20211" w:rsidR="007C3632">
        <w:rPr>
          <w:rFonts w:cs="ITCFranklinGothicStd-Book"/>
          <w:sz w:val="24"/>
          <w:szCs w:val="24"/>
        </w:rPr>
        <w:t xml:space="preserve"> </w:t>
      </w:r>
      <w:r w:rsidR="007C3632">
        <w:rPr>
          <w:rFonts w:cs="ITCFranklinGothicStd-Book"/>
          <w:sz w:val="24"/>
          <w:szCs w:val="24"/>
        </w:rPr>
        <w:t>that</w:t>
      </w:r>
      <w:r w:rsidRPr="00D20211" w:rsidR="007C3632">
        <w:rPr>
          <w:rFonts w:cs="ITCFranklinGothicStd-Book"/>
          <w:sz w:val="24"/>
          <w:szCs w:val="24"/>
        </w:rPr>
        <w:t xml:space="preserve"> </w:t>
      </w:r>
      <w:r w:rsidR="007C3632">
        <w:rPr>
          <w:rFonts w:cs="ITCFranklinGothicStd-Book"/>
          <w:sz w:val="24"/>
          <w:szCs w:val="24"/>
        </w:rPr>
        <w:t>CDC is requesting is</w:t>
      </w:r>
      <w:r w:rsidR="00A32FB3">
        <w:rPr>
          <w:rFonts w:cs="ITCFranklinGothicStd-Book"/>
          <w:sz w:val="24"/>
          <w:szCs w:val="24"/>
        </w:rPr>
        <w:t xml:space="preserve"> not anticipat</w:t>
      </w:r>
      <w:r w:rsidR="00B97CE4">
        <w:rPr>
          <w:rFonts w:cs="ITCFranklinGothicStd-Book"/>
          <w:sz w:val="24"/>
          <w:szCs w:val="24"/>
        </w:rPr>
        <w:t>ed</w:t>
      </w:r>
      <w:r w:rsidR="007C3632">
        <w:rPr>
          <w:rFonts w:cs="ITCFranklinGothicStd-Book"/>
          <w:sz w:val="24"/>
          <w:szCs w:val="24"/>
        </w:rPr>
        <w:t xml:space="preserve"> to</w:t>
      </w:r>
      <w:r w:rsidRPr="00D20211" w:rsidR="007C3632">
        <w:rPr>
          <w:rFonts w:cs="ITCFranklinGothicStd-Book"/>
          <w:sz w:val="24"/>
          <w:szCs w:val="24"/>
        </w:rPr>
        <w:t xml:space="preserve"> result in liability or competitive disadvantage </w:t>
      </w:r>
      <w:r w:rsidR="007C3632">
        <w:rPr>
          <w:rFonts w:cs="ITCFranklinGothicStd-Book"/>
          <w:sz w:val="24"/>
          <w:szCs w:val="24"/>
        </w:rPr>
        <w:t>if a breach should occur.</w:t>
      </w:r>
    </w:p>
    <w:p w:rsidR="00B45002" w:rsidRPr="00BB52F8" w:rsidP="00601F1A" w14:paraId="527F9FA5" w14:textId="63C4CEA3">
      <w:pPr>
        <w:pStyle w:val="Heading1"/>
        <w:pBdr>
          <w:bottom w:val="none" w:sz="0" w:space="0" w:color="auto"/>
        </w:pBdr>
        <w:rPr>
          <w:color w:val="auto"/>
        </w:rPr>
      </w:pPr>
      <w:bookmarkStart w:id="34" w:name="_Toc31301602"/>
      <w:bookmarkStart w:id="35" w:name="_Toc121132857"/>
      <w:r w:rsidRPr="00BB52F8">
        <w:rPr>
          <w:color w:val="auto"/>
        </w:rPr>
        <w:t>A.</w:t>
      </w:r>
      <w:r w:rsidRPr="00BB52F8" w:rsidR="004D21C9">
        <w:rPr>
          <w:color w:val="auto"/>
        </w:rPr>
        <w:t xml:space="preserve">12.  </w:t>
      </w:r>
      <w:r w:rsidRPr="00BB52F8">
        <w:rPr>
          <w:color w:val="auto"/>
        </w:rPr>
        <w:t>Estimates of Annualized Burden Hours and Costs</w:t>
      </w:r>
      <w:bookmarkEnd w:id="34"/>
      <w:bookmarkEnd w:id="35"/>
    </w:p>
    <w:p w:rsidR="0049456C" w:rsidRPr="003372B6" w:rsidP="00ED72E9" w14:paraId="7CB435EC" w14:textId="28859C8A">
      <w:pPr>
        <w:spacing w:line="240" w:lineRule="auto"/>
        <w:rPr>
          <w:rFonts w:cstheme="minorHAnsi"/>
          <w:sz w:val="24"/>
          <w:szCs w:val="24"/>
        </w:rPr>
      </w:pPr>
    </w:p>
    <w:p w:rsidR="00E43C6B" w:rsidP="0097091A" w14:paraId="32740637" w14:textId="5EC552B4">
      <w:pPr>
        <w:spacing w:line="240" w:lineRule="auto"/>
        <w:rPr>
          <w:rFonts w:cstheme="minorHAnsi"/>
          <w:sz w:val="24"/>
          <w:szCs w:val="24"/>
        </w:rPr>
      </w:pPr>
      <w:bookmarkStart w:id="36" w:name="_Hlk108775085"/>
      <w:r w:rsidRPr="002361A8">
        <w:rPr>
          <w:rFonts w:cstheme="minorHAnsi"/>
          <w:sz w:val="24"/>
          <w:szCs w:val="24"/>
        </w:rPr>
        <w:t xml:space="preserve">The following </w:t>
      </w:r>
      <w:r w:rsidR="00EF12C9">
        <w:rPr>
          <w:rFonts w:cstheme="minorHAnsi"/>
          <w:sz w:val="24"/>
          <w:szCs w:val="24"/>
        </w:rPr>
        <w:t xml:space="preserve">domestic </w:t>
      </w:r>
      <w:r w:rsidRPr="002361A8">
        <w:rPr>
          <w:rFonts w:cstheme="minorHAnsi"/>
          <w:sz w:val="24"/>
          <w:szCs w:val="24"/>
        </w:rPr>
        <w:t>burden hours and</w:t>
      </w:r>
      <w:r w:rsidRPr="002361A8" w:rsidR="00132221">
        <w:rPr>
          <w:rFonts w:cstheme="minorHAnsi"/>
          <w:sz w:val="24"/>
          <w:szCs w:val="24"/>
        </w:rPr>
        <w:t xml:space="preserve"> number of annualized</w:t>
      </w:r>
      <w:r w:rsidRPr="002361A8">
        <w:rPr>
          <w:rFonts w:cstheme="minorHAnsi"/>
          <w:sz w:val="24"/>
          <w:szCs w:val="24"/>
        </w:rPr>
        <w:t xml:space="preserve"> responses were estimated from</w:t>
      </w:r>
      <w:r w:rsidRPr="002361A8" w:rsidR="00132221">
        <w:rPr>
          <w:rFonts w:cstheme="minorHAnsi"/>
          <w:sz w:val="24"/>
          <w:szCs w:val="24"/>
        </w:rPr>
        <w:t xml:space="preserve"> </w:t>
      </w:r>
      <w:r w:rsidRPr="002361A8" w:rsidR="00F7410D">
        <w:rPr>
          <w:rFonts w:cstheme="minorHAnsi"/>
          <w:sz w:val="24"/>
          <w:szCs w:val="24"/>
        </w:rPr>
        <w:t>CDC’s experience</w:t>
      </w:r>
      <w:r w:rsidR="00725CDB">
        <w:rPr>
          <w:rFonts w:cstheme="minorHAnsi"/>
          <w:sz w:val="24"/>
          <w:szCs w:val="24"/>
        </w:rPr>
        <w:t xml:space="preserve"> since 2019</w:t>
      </w:r>
      <w:r w:rsidRPr="002361A8" w:rsidR="00132221">
        <w:rPr>
          <w:rFonts w:cstheme="minorHAnsi"/>
          <w:sz w:val="24"/>
          <w:szCs w:val="24"/>
        </w:rPr>
        <w:t>.</w:t>
      </w:r>
      <w:r w:rsidR="00F279AA">
        <w:rPr>
          <w:rFonts w:cstheme="minorHAnsi"/>
          <w:sz w:val="24"/>
          <w:szCs w:val="24"/>
        </w:rPr>
        <w:t xml:space="preserve"> CDC is </w:t>
      </w:r>
      <w:r w:rsidR="00725CDB">
        <w:rPr>
          <w:rFonts w:cstheme="minorHAnsi"/>
          <w:sz w:val="24"/>
          <w:szCs w:val="24"/>
        </w:rPr>
        <w:t xml:space="preserve">now </w:t>
      </w:r>
      <w:r w:rsidR="00F279AA">
        <w:rPr>
          <w:rFonts w:cstheme="minorHAnsi"/>
          <w:sz w:val="24"/>
          <w:szCs w:val="24"/>
        </w:rPr>
        <w:t xml:space="preserve">distributing its </w:t>
      </w:r>
      <w:r w:rsidR="00CF1232">
        <w:rPr>
          <w:rFonts w:cstheme="minorHAnsi"/>
          <w:sz w:val="24"/>
          <w:szCs w:val="24"/>
        </w:rPr>
        <w:t xml:space="preserve">domestic </w:t>
      </w:r>
      <w:r w:rsidR="00F279AA">
        <w:rPr>
          <w:rFonts w:cstheme="minorHAnsi"/>
          <w:sz w:val="24"/>
          <w:szCs w:val="24"/>
        </w:rPr>
        <w:t>product line through a single vendor</w:t>
      </w:r>
      <w:r w:rsidR="001537FD">
        <w:rPr>
          <w:rFonts w:cstheme="minorHAnsi"/>
          <w:sz w:val="24"/>
          <w:szCs w:val="24"/>
        </w:rPr>
        <w:t>.</w:t>
      </w:r>
      <w:r w:rsidR="00F279AA">
        <w:rPr>
          <w:rFonts w:cstheme="minorHAnsi"/>
          <w:sz w:val="24"/>
          <w:szCs w:val="24"/>
        </w:rPr>
        <w:t xml:space="preserve"> </w:t>
      </w:r>
      <w:r w:rsidR="001537FD">
        <w:rPr>
          <w:rFonts w:cstheme="minorHAnsi"/>
          <w:sz w:val="24"/>
          <w:szCs w:val="24"/>
        </w:rPr>
        <w:t>W</w:t>
      </w:r>
      <w:r w:rsidR="00F279AA">
        <w:rPr>
          <w:rFonts w:cstheme="minorHAnsi"/>
          <w:sz w:val="24"/>
          <w:szCs w:val="24"/>
        </w:rPr>
        <w:t xml:space="preserve">e </w:t>
      </w:r>
      <w:r w:rsidR="00675277">
        <w:rPr>
          <w:rFonts w:cstheme="minorHAnsi"/>
          <w:sz w:val="24"/>
          <w:szCs w:val="24"/>
        </w:rPr>
        <w:t>anticipate</w:t>
      </w:r>
      <w:r w:rsidR="00F279AA">
        <w:rPr>
          <w:rFonts w:cstheme="minorHAnsi"/>
          <w:sz w:val="24"/>
          <w:szCs w:val="24"/>
        </w:rPr>
        <w:t xml:space="preserve"> that the </w:t>
      </w:r>
      <w:r w:rsidR="003A60E6">
        <w:rPr>
          <w:rFonts w:cstheme="minorHAnsi"/>
          <w:sz w:val="24"/>
          <w:szCs w:val="24"/>
        </w:rPr>
        <w:t xml:space="preserve">annual </w:t>
      </w:r>
      <w:r w:rsidR="00F279AA">
        <w:rPr>
          <w:rFonts w:cstheme="minorHAnsi"/>
          <w:sz w:val="24"/>
          <w:szCs w:val="24"/>
        </w:rPr>
        <w:t xml:space="preserve">number of </w:t>
      </w:r>
      <w:r w:rsidR="001537FD">
        <w:rPr>
          <w:rFonts w:cstheme="minorHAnsi"/>
          <w:sz w:val="24"/>
          <w:szCs w:val="24"/>
        </w:rPr>
        <w:t xml:space="preserve">domestic </w:t>
      </w:r>
      <w:r w:rsidR="00F279AA">
        <w:rPr>
          <w:rFonts w:cstheme="minorHAnsi"/>
          <w:sz w:val="24"/>
          <w:szCs w:val="24"/>
        </w:rPr>
        <w:t xml:space="preserve">respondents will </w:t>
      </w:r>
      <w:r w:rsidR="001537FD">
        <w:rPr>
          <w:rFonts w:cstheme="minorHAnsi"/>
          <w:sz w:val="24"/>
          <w:szCs w:val="24"/>
        </w:rPr>
        <w:t>be 600 applicants (or 200 per sector)</w:t>
      </w:r>
      <w:r w:rsidR="00675277">
        <w:rPr>
          <w:rFonts w:cstheme="minorHAnsi"/>
          <w:sz w:val="24"/>
          <w:szCs w:val="24"/>
        </w:rPr>
        <w:t>.</w:t>
      </w:r>
      <w:r w:rsidR="00B45238">
        <w:rPr>
          <w:rFonts w:cstheme="minorHAnsi"/>
          <w:sz w:val="24"/>
          <w:szCs w:val="24"/>
        </w:rPr>
        <w:t xml:space="preserve"> With the average time per response at 6 minutes, this will yield an estimated annual burden of 20 hours per sector and a total of 60 hours for all domestic laboratories to apply for test kits.</w:t>
      </w:r>
    </w:p>
    <w:p w:rsidR="00B45238" w:rsidP="00FA3893" w14:paraId="4F164C59" w14:textId="2DB86957">
      <w:pPr>
        <w:widowControl w:val="0"/>
        <w:tabs>
          <w:tab w:val="left" w:pos="0"/>
        </w:tabs>
        <w:autoSpaceDE w:val="0"/>
        <w:autoSpaceDN w:val="0"/>
        <w:adjustRightInd w:val="0"/>
        <w:spacing w:before="240" w:after="240"/>
        <w:rPr>
          <w:rFonts w:cstheme="minorHAnsi"/>
          <w:sz w:val="24"/>
          <w:szCs w:val="24"/>
        </w:rPr>
      </w:pPr>
      <w:r w:rsidRPr="00A345D7">
        <w:rPr>
          <w:rFonts w:cstheme="minorHAnsi"/>
          <w:sz w:val="24"/>
          <w:szCs w:val="24"/>
        </w:rPr>
        <w:t>The following international burden hours</w:t>
      </w:r>
      <w:r>
        <w:rPr>
          <w:rFonts w:cstheme="minorHAnsi"/>
          <w:sz w:val="24"/>
          <w:szCs w:val="24"/>
        </w:rPr>
        <w:t xml:space="preserve"> and number of annualized responses were estimated as follows. </w:t>
      </w:r>
      <w:r w:rsidR="00017BC9">
        <w:rPr>
          <w:rFonts w:cstheme="minorHAnsi"/>
          <w:sz w:val="24"/>
          <w:szCs w:val="24"/>
        </w:rPr>
        <w:t>T</w:t>
      </w:r>
      <w:r w:rsidR="004D5E32">
        <w:rPr>
          <w:rFonts w:cstheme="minorHAnsi"/>
          <w:sz w:val="24"/>
          <w:szCs w:val="24"/>
        </w:rPr>
        <w:t xml:space="preserve">he </w:t>
      </w:r>
      <w:r w:rsidR="00CD4A8D">
        <w:rPr>
          <w:rFonts w:cstheme="minorHAnsi"/>
          <w:sz w:val="24"/>
          <w:szCs w:val="24"/>
        </w:rPr>
        <w:t xml:space="preserve">international </w:t>
      </w:r>
      <w:r w:rsidR="004D5E32">
        <w:rPr>
          <w:rFonts w:cstheme="minorHAnsi"/>
          <w:sz w:val="24"/>
          <w:szCs w:val="24"/>
        </w:rPr>
        <w:t>respondent</w:t>
      </w:r>
      <w:r w:rsidR="00CD4A8D">
        <w:rPr>
          <w:rFonts w:cstheme="minorHAnsi"/>
          <w:sz w:val="24"/>
          <w:szCs w:val="24"/>
        </w:rPr>
        <w:t>s</w:t>
      </w:r>
      <w:r>
        <w:rPr>
          <w:rFonts w:cstheme="minorHAnsi"/>
          <w:sz w:val="24"/>
          <w:szCs w:val="24"/>
        </w:rPr>
        <w:t xml:space="preserve"> will </w:t>
      </w:r>
      <w:r w:rsidR="00866BFC">
        <w:rPr>
          <w:rFonts w:cstheme="minorHAnsi"/>
          <w:sz w:val="24"/>
          <w:szCs w:val="24"/>
        </w:rPr>
        <w:t>apply for</w:t>
      </w:r>
      <w:r w:rsidR="00CD4A8D">
        <w:rPr>
          <w:rFonts w:cstheme="minorHAnsi"/>
          <w:sz w:val="24"/>
          <w:szCs w:val="24"/>
        </w:rPr>
        <w:t xml:space="preserve"> test kits </w:t>
      </w:r>
      <w:r w:rsidR="00235F83">
        <w:rPr>
          <w:rFonts w:cstheme="minorHAnsi"/>
          <w:sz w:val="24"/>
          <w:szCs w:val="24"/>
        </w:rPr>
        <w:t>on UN servers</w:t>
      </w:r>
      <w:r w:rsidR="00CD4A8D">
        <w:rPr>
          <w:rFonts w:cstheme="minorHAnsi"/>
          <w:sz w:val="24"/>
          <w:szCs w:val="24"/>
        </w:rPr>
        <w:t xml:space="preserve"> and will be </w:t>
      </w:r>
      <w:r w:rsidR="00235F83">
        <w:rPr>
          <w:rFonts w:cstheme="minorHAnsi"/>
          <w:sz w:val="24"/>
          <w:szCs w:val="24"/>
        </w:rPr>
        <w:t xml:space="preserve">directed to </w:t>
      </w:r>
      <w:r>
        <w:rPr>
          <w:rFonts w:cstheme="minorHAnsi"/>
          <w:sz w:val="24"/>
          <w:szCs w:val="24"/>
        </w:rPr>
        <w:t>re</w:t>
      </w:r>
      <w:r w:rsidR="00CD4A8D">
        <w:rPr>
          <w:rFonts w:cstheme="minorHAnsi"/>
          <w:sz w:val="24"/>
          <w:szCs w:val="24"/>
        </w:rPr>
        <w:t xml:space="preserve">spond to </w:t>
      </w:r>
      <w:r w:rsidR="00235F83">
        <w:rPr>
          <w:rFonts w:cstheme="minorHAnsi"/>
          <w:sz w:val="24"/>
          <w:szCs w:val="24"/>
        </w:rPr>
        <w:t xml:space="preserve">additional </w:t>
      </w:r>
      <w:r w:rsidR="00CD4A8D">
        <w:rPr>
          <w:rFonts w:cstheme="minorHAnsi"/>
          <w:sz w:val="24"/>
          <w:szCs w:val="24"/>
        </w:rPr>
        <w:t>test kit questions on the CDC vendor website</w:t>
      </w:r>
      <w:r w:rsidR="004D5E32">
        <w:rPr>
          <w:rFonts w:cstheme="minorHAnsi"/>
          <w:sz w:val="24"/>
          <w:szCs w:val="24"/>
        </w:rPr>
        <w:t xml:space="preserve">. </w:t>
      </w:r>
      <w:r w:rsidR="00CD4A8D">
        <w:rPr>
          <w:rFonts w:cstheme="minorHAnsi"/>
          <w:sz w:val="24"/>
          <w:szCs w:val="24"/>
        </w:rPr>
        <w:t>G</w:t>
      </w:r>
      <w:r w:rsidR="00C160DF">
        <w:rPr>
          <w:rFonts w:cstheme="minorHAnsi"/>
          <w:sz w:val="24"/>
          <w:szCs w:val="24"/>
        </w:rPr>
        <w:t>iven</w:t>
      </w:r>
      <w:r w:rsidR="00FA3893">
        <w:rPr>
          <w:rFonts w:cstheme="minorHAnsi"/>
          <w:sz w:val="24"/>
          <w:szCs w:val="24"/>
        </w:rPr>
        <w:t xml:space="preserve"> </w:t>
      </w:r>
      <w:r w:rsidR="00CD4A8D">
        <w:rPr>
          <w:rFonts w:cstheme="minorHAnsi"/>
          <w:sz w:val="24"/>
          <w:szCs w:val="24"/>
        </w:rPr>
        <w:t xml:space="preserve">that </w:t>
      </w:r>
      <w:r w:rsidR="00FA3893">
        <w:rPr>
          <w:rFonts w:cstheme="minorHAnsi"/>
          <w:sz w:val="24"/>
          <w:szCs w:val="24"/>
        </w:rPr>
        <w:t>there are 300 international partner laboratories</w:t>
      </w:r>
      <w:r w:rsidR="00CD4A8D">
        <w:rPr>
          <w:rFonts w:cstheme="minorHAnsi"/>
          <w:sz w:val="24"/>
          <w:szCs w:val="24"/>
        </w:rPr>
        <w:t>, w</w:t>
      </w:r>
      <w:r w:rsidR="00FA3893">
        <w:rPr>
          <w:rFonts w:cstheme="minorHAnsi"/>
          <w:sz w:val="24"/>
          <w:szCs w:val="24"/>
        </w:rPr>
        <w:t xml:space="preserve">e assume that </w:t>
      </w:r>
      <w:r w:rsidR="00CD4A8D">
        <w:rPr>
          <w:rFonts w:cstheme="minorHAnsi"/>
          <w:sz w:val="24"/>
          <w:szCs w:val="24"/>
        </w:rPr>
        <w:t xml:space="preserve">it will take </w:t>
      </w:r>
      <w:r w:rsidR="009D6DA7">
        <w:rPr>
          <w:rFonts w:cstheme="minorHAnsi"/>
          <w:sz w:val="24"/>
          <w:szCs w:val="24"/>
        </w:rPr>
        <w:t>4</w:t>
      </w:r>
      <w:r w:rsidR="00FA3893">
        <w:rPr>
          <w:rFonts w:cstheme="minorHAnsi"/>
          <w:sz w:val="24"/>
          <w:szCs w:val="24"/>
        </w:rPr>
        <w:t xml:space="preserve"> minutes </w:t>
      </w:r>
      <w:r w:rsidR="00CD4A8D">
        <w:rPr>
          <w:rFonts w:cstheme="minorHAnsi"/>
          <w:sz w:val="24"/>
          <w:szCs w:val="24"/>
        </w:rPr>
        <w:t xml:space="preserve">per response </w:t>
      </w:r>
      <w:r w:rsidR="00866BFC">
        <w:rPr>
          <w:rFonts w:cstheme="minorHAnsi"/>
          <w:sz w:val="24"/>
          <w:szCs w:val="24"/>
        </w:rPr>
        <w:t>for a time burden of</w:t>
      </w:r>
      <w:r>
        <w:rPr>
          <w:rFonts w:cstheme="minorHAnsi"/>
          <w:sz w:val="24"/>
          <w:szCs w:val="24"/>
        </w:rPr>
        <w:t xml:space="preserve"> </w:t>
      </w:r>
      <w:r w:rsidR="00CD4A8D">
        <w:rPr>
          <w:rFonts w:cstheme="minorHAnsi"/>
          <w:sz w:val="24"/>
          <w:szCs w:val="24"/>
        </w:rPr>
        <w:t>2</w:t>
      </w:r>
      <w:r w:rsidR="009D6DA7">
        <w:rPr>
          <w:rFonts w:cstheme="minorHAnsi"/>
          <w:sz w:val="24"/>
          <w:szCs w:val="24"/>
        </w:rPr>
        <w:t>0</w:t>
      </w:r>
      <w:r>
        <w:rPr>
          <w:rFonts w:cstheme="minorHAnsi"/>
          <w:sz w:val="24"/>
          <w:szCs w:val="24"/>
        </w:rPr>
        <w:t xml:space="preserve"> hours per year</w:t>
      </w:r>
      <w:r w:rsidR="00FA3893">
        <w:rPr>
          <w:rFonts w:cstheme="minorHAnsi"/>
          <w:sz w:val="24"/>
          <w:szCs w:val="24"/>
        </w:rPr>
        <w:t>.</w:t>
      </w:r>
    </w:p>
    <w:p w:rsidR="00EF12C9" w:rsidRPr="00A345D7" w:rsidP="00A345D7" w14:paraId="2D48DDE7" w14:textId="16AE07C6">
      <w:pPr>
        <w:widowControl w:val="0"/>
        <w:tabs>
          <w:tab w:val="left" w:pos="0"/>
        </w:tabs>
        <w:autoSpaceDE w:val="0"/>
        <w:autoSpaceDN w:val="0"/>
        <w:adjustRightInd w:val="0"/>
        <w:spacing w:before="240" w:after="240"/>
        <w:rPr>
          <w:rFonts w:cstheme="minorHAnsi"/>
          <w:sz w:val="24"/>
          <w:szCs w:val="24"/>
        </w:rPr>
      </w:pPr>
      <w:r>
        <w:rPr>
          <w:rFonts w:cstheme="minorHAnsi"/>
          <w:sz w:val="24"/>
          <w:szCs w:val="24"/>
        </w:rPr>
        <w:t xml:space="preserve">The annualized time burden requested is </w:t>
      </w:r>
      <w:r w:rsidR="00CD4A8D">
        <w:rPr>
          <w:rFonts w:cstheme="minorHAnsi"/>
          <w:sz w:val="24"/>
          <w:szCs w:val="24"/>
        </w:rPr>
        <w:t>8</w:t>
      </w:r>
      <w:r w:rsidR="009D6DA7">
        <w:rPr>
          <w:rFonts w:cstheme="minorHAnsi"/>
          <w:sz w:val="24"/>
          <w:szCs w:val="24"/>
        </w:rPr>
        <w:t>0</w:t>
      </w:r>
      <w:r>
        <w:rPr>
          <w:rFonts w:cstheme="minorHAnsi"/>
          <w:sz w:val="24"/>
          <w:szCs w:val="24"/>
        </w:rPr>
        <w:t xml:space="preserve"> hours.</w:t>
      </w:r>
    </w:p>
    <w:p w:rsidR="00E70802" w:rsidRPr="00B97CE4" w:rsidP="00E70802" w14:paraId="2EF0AC74" w14:textId="18D8C7DC">
      <w:pPr>
        <w:widowControl w:val="0"/>
        <w:tabs>
          <w:tab w:val="left" w:pos="0"/>
        </w:tabs>
        <w:autoSpaceDE w:val="0"/>
        <w:autoSpaceDN w:val="0"/>
        <w:adjustRightInd w:val="0"/>
        <w:rPr>
          <w:rFonts w:cstheme="minorHAnsi"/>
          <w:color w:val="000000"/>
          <w:sz w:val="24"/>
          <w:szCs w:val="24"/>
        </w:rPr>
      </w:pPr>
      <w:bookmarkStart w:id="37" w:name="_Hlk112076904"/>
      <w:bookmarkStart w:id="38" w:name="_Hlk32493225"/>
      <w:r w:rsidRPr="0049456C">
        <w:rPr>
          <w:rFonts w:cstheme="minorHAnsi"/>
          <w:color w:val="000000"/>
          <w:sz w:val="24"/>
          <w:szCs w:val="24"/>
          <w:u w:val="single"/>
        </w:rPr>
        <w:t>Estimated Annualized Burden Hours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559"/>
        <w:gridCol w:w="1559"/>
        <w:gridCol w:w="1559"/>
        <w:gridCol w:w="1589"/>
        <w:gridCol w:w="1530"/>
      </w:tblGrid>
      <w:tr w14:paraId="2D71BFB8" w14:textId="77777777" w:rsidTr="00F7410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59" w:type="dxa"/>
            <w:shd w:val="clear" w:color="auto" w:fill="auto"/>
          </w:tcPr>
          <w:p w:rsidR="00E70802" w:rsidRPr="00F7410D" w:rsidP="00FC7A76" w14:paraId="6214A09A" w14:textId="77777777">
            <w:pPr>
              <w:widowControl w:val="0"/>
              <w:tabs>
                <w:tab w:val="left" w:pos="0"/>
              </w:tabs>
              <w:autoSpaceDE w:val="0"/>
              <w:autoSpaceDN w:val="0"/>
              <w:adjustRightInd w:val="0"/>
              <w:spacing w:after="0" w:line="240" w:lineRule="auto"/>
              <w:jc w:val="center"/>
              <w:rPr>
                <w:rFonts w:cstheme="minorHAnsi"/>
                <w:color w:val="000000"/>
                <w:sz w:val="20"/>
                <w:szCs w:val="20"/>
              </w:rPr>
            </w:pPr>
            <w:bookmarkStart w:id="39" w:name="_Hlk116970130"/>
            <w:r w:rsidRPr="00F7410D">
              <w:rPr>
                <w:rFonts w:cstheme="minorHAnsi"/>
                <w:color w:val="000000"/>
                <w:sz w:val="20"/>
                <w:szCs w:val="20"/>
              </w:rPr>
              <w:t>Type of Respondents</w:t>
            </w:r>
          </w:p>
        </w:tc>
        <w:tc>
          <w:tcPr>
            <w:tcW w:w="1559" w:type="dxa"/>
            <w:shd w:val="clear" w:color="auto" w:fill="auto"/>
          </w:tcPr>
          <w:p w:rsidR="00E70802" w:rsidRPr="00F7410D" w:rsidP="00FC7A76" w14:paraId="4C621234" w14:textId="77777777">
            <w:pPr>
              <w:widowControl w:val="0"/>
              <w:tabs>
                <w:tab w:val="left" w:pos="0"/>
              </w:tabs>
              <w:autoSpaceDE w:val="0"/>
              <w:autoSpaceDN w:val="0"/>
              <w:adjustRightInd w:val="0"/>
              <w:spacing w:after="0" w:line="240" w:lineRule="auto"/>
              <w:jc w:val="center"/>
              <w:rPr>
                <w:rFonts w:cstheme="minorHAnsi"/>
                <w:color w:val="000000"/>
                <w:sz w:val="20"/>
                <w:szCs w:val="20"/>
              </w:rPr>
            </w:pPr>
            <w:r w:rsidRPr="00F7410D">
              <w:rPr>
                <w:rFonts w:cstheme="minorHAnsi"/>
                <w:color w:val="000000"/>
                <w:sz w:val="20"/>
                <w:szCs w:val="20"/>
              </w:rPr>
              <w:t>Form Name</w:t>
            </w:r>
          </w:p>
        </w:tc>
        <w:tc>
          <w:tcPr>
            <w:tcW w:w="1559" w:type="dxa"/>
            <w:shd w:val="clear" w:color="auto" w:fill="auto"/>
          </w:tcPr>
          <w:p w:rsidR="00E70802" w:rsidRPr="00F7410D" w:rsidP="00FC7A76" w14:paraId="6961420F" w14:textId="77777777">
            <w:pPr>
              <w:widowControl w:val="0"/>
              <w:tabs>
                <w:tab w:val="left" w:pos="0"/>
              </w:tabs>
              <w:autoSpaceDE w:val="0"/>
              <w:autoSpaceDN w:val="0"/>
              <w:adjustRightInd w:val="0"/>
              <w:spacing w:after="0" w:line="240" w:lineRule="auto"/>
              <w:jc w:val="center"/>
              <w:rPr>
                <w:rFonts w:cstheme="minorHAnsi"/>
                <w:color w:val="000000"/>
                <w:sz w:val="20"/>
                <w:szCs w:val="20"/>
              </w:rPr>
            </w:pPr>
            <w:r w:rsidRPr="00F7410D">
              <w:rPr>
                <w:rFonts w:cstheme="minorHAnsi"/>
                <w:color w:val="000000"/>
                <w:sz w:val="20"/>
                <w:szCs w:val="20"/>
              </w:rPr>
              <w:t>Number of Respondents</w:t>
            </w:r>
          </w:p>
        </w:tc>
        <w:tc>
          <w:tcPr>
            <w:tcW w:w="1559" w:type="dxa"/>
            <w:shd w:val="clear" w:color="auto" w:fill="auto"/>
          </w:tcPr>
          <w:p w:rsidR="00E70802" w:rsidRPr="00F7410D" w:rsidP="00FC7A76" w14:paraId="53302C3D" w14:textId="77777777">
            <w:pPr>
              <w:widowControl w:val="0"/>
              <w:tabs>
                <w:tab w:val="left" w:pos="0"/>
              </w:tabs>
              <w:autoSpaceDE w:val="0"/>
              <w:autoSpaceDN w:val="0"/>
              <w:adjustRightInd w:val="0"/>
              <w:spacing w:after="0" w:line="240" w:lineRule="auto"/>
              <w:jc w:val="center"/>
              <w:rPr>
                <w:rFonts w:cstheme="minorHAnsi"/>
                <w:color w:val="000000"/>
                <w:sz w:val="20"/>
                <w:szCs w:val="20"/>
              </w:rPr>
            </w:pPr>
            <w:r w:rsidRPr="00F7410D">
              <w:rPr>
                <w:rFonts w:cstheme="minorHAnsi"/>
                <w:color w:val="000000"/>
                <w:sz w:val="20"/>
                <w:szCs w:val="20"/>
              </w:rPr>
              <w:t>Number of Responses per Respondent</w:t>
            </w:r>
          </w:p>
        </w:tc>
        <w:tc>
          <w:tcPr>
            <w:tcW w:w="1589" w:type="dxa"/>
            <w:shd w:val="clear" w:color="auto" w:fill="auto"/>
          </w:tcPr>
          <w:p w:rsidR="00E70802" w:rsidRPr="00F7410D" w:rsidP="00FC7A76" w14:paraId="7A1E047C" w14:textId="77777777">
            <w:pPr>
              <w:widowControl w:val="0"/>
              <w:tabs>
                <w:tab w:val="left" w:pos="0"/>
              </w:tabs>
              <w:autoSpaceDE w:val="0"/>
              <w:autoSpaceDN w:val="0"/>
              <w:adjustRightInd w:val="0"/>
              <w:spacing w:after="0" w:line="240" w:lineRule="auto"/>
              <w:jc w:val="center"/>
              <w:rPr>
                <w:rFonts w:cstheme="minorHAnsi"/>
                <w:color w:val="000000"/>
                <w:sz w:val="20"/>
                <w:szCs w:val="20"/>
              </w:rPr>
            </w:pPr>
            <w:r w:rsidRPr="00F7410D">
              <w:rPr>
                <w:rFonts w:cstheme="minorHAnsi"/>
                <w:color w:val="000000"/>
                <w:sz w:val="20"/>
                <w:szCs w:val="20"/>
              </w:rPr>
              <w:t>Average Burden per Response (in hours)</w:t>
            </w:r>
          </w:p>
        </w:tc>
        <w:tc>
          <w:tcPr>
            <w:tcW w:w="1530" w:type="dxa"/>
            <w:shd w:val="clear" w:color="auto" w:fill="auto"/>
          </w:tcPr>
          <w:p w:rsidR="00E70802" w:rsidRPr="00F7410D" w:rsidP="00FC7A76" w14:paraId="6C9F1190" w14:textId="77777777">
            <w:pPr>
              <w:widowControl w:val="0"/>
              <w:tabs>
                <w:tab w:val="left" w:pos="0"/>
              </w:tabs>
              <w:autoSpaceDE w:val="0"/>
              <w:autoSpaceDN w:val="0"/>
              <w:adjustRightInd w:val="0"/>
              <w:spacing w:after="0" w:line="240" w:lineRule="auto"/>
              <w:jc w:val="center"/>
              <w:rPr>
                <w:rFonts w:cstheme="minorHAnsi"/>
                <w:color w:val="000000"/>
                <w:sz w:val="20"/>
                <w:szCs w:val="20"/>
              </w:rPr>
            </w:pPr>
            <w:r w:rsidRPr="00F7410D">
              <w:rPr>
                <w:rFonts w:cstheme="minorHAnsi"/>
                <w:color w:val="000000"/>
                <w:sz w:val="20"/>
                <w:szCs w:val="20"/>
              </w:rPr>
              <w:t>Total Burden (in hours)</w:t>
            </w:r>
          </w:p>
        </w:tc>
      </w:tr>
      <w:tr w14:paraId="05E7D7B9" w14:textId="77777777" w:rsidTr="00F7410D">
        <w:tblPrEx>
          <w:tblW w:w="9355" w:type="dxa"/>
          <w:tblLayout w:type="fixed"/>
          <w:tblLook w:val="04A0"/>
        </w:tblPrEx>
        <w:tc>
          <w:tcPr>
            <w:tcW w:w="1559" w:type="dxa"/>
            <w:shd w:val="clear" w:color="auto" w:fill="FFFFFF" w:themeFill="background1"/>
            <w:vAlign w:val="center"/>
          </w:tcPr>
          <w:p w:rsidR="00B61F3A" w:rsidRPr="00F7410D" w:rsidP="00FC7A76" w14:paraId="5E8D4D12" w14:textId="58835BDB">
            <w:pPr>
              <w:widowControl w:val="0"/>
              <w:tabs>
                <w:tab w:val="left" w:pos="0"/>
              </w:tabs>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US </w:t>
            </w:r>
            <w:r w:rsidRPr="00F7410D">
              <w:rPr>
                <w:rFonts w:cstheme="minorHAnsi"/>
                <w:color w:val="000000"/>
                <w:sz w:val="20"/>
                <w:szCs w:val="20"/>
              </w:rPr>
              <w:t>Federal Laboratories</w:t>
            </w:r>
          </w:p>
        </w:tc>
        <w:tc>
          <w:tcPr>
            <w:tcW w:w="1559" w:type="dxa"/>
            <w:shd w:val="clear" w:color="auto" w:fill="FFFFFF" w:themeFill="background1"/>
            <w:vAlign w:val="center"/>
          </w:tcPr>
          <w:p w:rsidR="00B61F3A" w:rsidRPr="005705E4" w:rsidP="003A60E6" w14:paraId="6DD288F9" w14:textId="74B70C71">
            <w:pPr>
              <w:widowControl w:val="0"/>
              <w:tabs>
                <w:tab w:val="left" w:pos="0"/>
              </w:tabs>
              <w:autoSpaceDE w:val="0"/>
              <w:autoSpaceDN w:val="0"/>
              <w:adjustRightInd w:val="0"/>
              <w:spacing w:after="0" w:line="240" w:lineRule="auto"/>
              <w:rPr>
                <w:rFonts w:cstheme="minorHAnsi"/>
                <w:sz w:val="20"/>
                <w:szCs w:val="20"/>
              </w:rPr>
            </w:pPr>
            <w:r w:rsidRPr="00A345D7">
              <w:rPr>
                <w:rFonts w:cstheme="minorHAnsi"/>
                <w:sz w:val="20"/>
                <w:szCs w:val="20"/>
              </w:rPr>
              <w:t>Test Kit Application and Questions for US Laboratories</w:t>
            </w:r>
            <w:r w:rsidRPr="005705E4">
              <w:rPr>
                <w:rFonts w:cstheme="minorHAnsi"/>
                <w:sz w:val="20"/>
                <w:szCs w:val="20"/>
              </w:rPr>
              <w:t xml:space="preserve"> </w:t>
            </w:r>
            <w:r w:rsidRPr="005705E4">
              <w:rPr>
                <w:rFonts w:cstheme="minorHAnsi"/>
                <w:sz w:val="20"/>
                <w:szCs w:val="20"/>
              </w:rPr>
              <w:t>(online</w:t>
            </w:r>
            <w:r w:rsidRPr="005705E4" w:rsidR="003C2A16">
              <w:rPr>
                <w:rFonts w:cstheme="minorHAnsi"/>
                <w:sz w:val="20"/>
                <w:szCs w:val="20"/>
              </w:rPr>
              <w:t>)</w:t>
            </w:r>
          </w:p>
        </w:tc>
        <w:tc>
          <w:tcPr>
            <w:tcW w:w="1559" w:type="dxa"/>
            <w:shd w:val="clear" w:color="auto" w:fill="FFFFFF" w:themeFill="background1"/>
            <w:vAlign w:val="center"/>
          </w:tcPr>
          <w:p w:rsidR="00B61F3A" w:rsidP="00FC7A76" w14:paraId="40DDA5B4" w14:textId="10E76E03">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2</w:t>
            </w:r>
            <w:r>
              <w:rPr>
                <w:rFonts w:cstheme="minorHAnsi"/>
                <w:color w:val="000000"/>
                <w:sz w:val="20"/>
                <w:szCs w:val="20"/>
              </w:rPr>
              <w:t>00</w:t>
            </w:r>
          </w:p>
        </w:tc>
        <w:tc>
          <w:tcPr>
            <w:tcW w:w="1559" w:type="dxa"/>
            <w:shd w:val="clear" w:color="auto" w:fill="FFFFFF" w:themeFill="background1"/>
            <w:vAlign w:val="center"/>
          </w:tcPr>
          <w:p w:rsidR="00B61F3A" w:rsidRPr="00F7410D" w:rsidP="00FC7A76" w14:paraId="122ABDF0" w14:textId="357CF2AD">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1</w:t>
            </w:r>
          </w:p>
        </w:tc>
        <w:tc>
          <w:tcPr>
            <w:tcW w:w="1589" w:type="dxa"/>
            <w:shd w:val="clear" w:color="auto" w:fill="FFFFFF" w:themeFill="background1"/>
            <w:vAlign w:val="center"/>
          </w:tcPr>
          <w:p w:rsidR="00B61F3A" w:rsidRPr="00F7410D" w:rsidP="00FC7A76" w14:paraId="0CC567F9" w14:textId="19741227">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6</w:t>
            </w:r>
            <w:r>
              <w:rPr>
                <w:color w:val="000000"/>
                <w:sz w:val="20"/>
                <w:szCs w:val="20"/>
              </w:rPr>
              <w:t>/60</w:t>
            </w:r>
          </w:p>
        </w:tc>
        <w:tc>
          <w:tcPr>
            <w:tcW w:w="1530" w:type="dxa"/>
            <w:shd w:val="clear" w:color="auto" w:fill="FFFFFF" w:themeFill="background1"/>
            <w:vAlign w:val="center"/>
          </w:tcPr>
          <w:p w:rsidR="00B61F3A" w:rsidP="00FC7A76" w14:paraId="0C326F63" w14:textId="14E92A54">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2</w:t>
            </w:r>
            <w:r>
              <w:rPr>
                <w:rFonts w:cstheme="minorHAnsi"/>
                <w:color w:val="000000"/>
                <w:sz w:val="20"/>
                <w:szCs w:val="20"/>
              </w:rPr>
              <w:t>0</w:t>
            </w:r>
          </w:p>
        </w:tc>
      </w:tr>
      <w:tr w14:paraId="31A4FF88" w14:textId="77777777" w:rsidTr="00F7410D">
        <w:tblPrEx>
          <w:tblW w:w="9355" w:type="dxa"/>
          <w:tblLayout w:type="fixed"/>
          <w:tblLook w:val="04A0"/>
        </w:tblPrEx>
        <w:tc>
          <w:tcPr>
            <w:tcW w:w="1559" w:type="dxa"/>
            <w:shd w:val="clear" w:color="auto" w:fill="FFFFFF" w:themeFill="background1"/>
            <w:vAlign w:val="center"/>
          </w:tcPr>
          <w:p w:rsidR="00B61F3A" w:rsidRPr="00F7410D" w:rsidP="00B61F3A" w14:paraId="12CD2133" w14:textId="0C986ABA">
            <w:pPr>
              <w:widowControl w:val="0"/>
              <w:tabs>
                <w:tab w:val="left" w:pos="0"/>
              </w:tabs>
              <w:autoSpaceDE w:val="0"/>
              <w:autoSpaceDN w:val="0"/>
              <w:adjustRightInd w:val="0"/>
              <w:spacing w:after="0" w:line="240" w:lineRule="auto"/>
              <w:rPr>
                <w:rFonts w:cstheme="minorHAnsi"/>
                <w:color w:val="000000"/>
                <w:sz w:val="20"/>
                <w:szCs w:val="20"/>
              </w:rPr>
            </w:pPr>
            <w:r w:rsidRPr="00F7410D">
              <w:rPr>
                <w:rFonts w:cstheme="minorHAnsi"/>
                <w:color w:val="000000"/>
                <w:sz w:val="20"/>
                <w:szCs w:val="20"/>
              </w:rPr>
              <w:t>State, Local, and Tribal Government Laboratories</w:t>
            </w:r>
          </w:p>
        </w:tc>
        <w:tc>
          <w:tcPr>
            <w:tcW w:w="1559" w:type="dxa"/>
            <w:shd w:val="clear" w:color="auto" w:fill="FFFFFF" w:themeFill="background1"/>
            <w:vAlign w:val="center"/>
          </w:tcPr>
          <w:p w:rsidR="00B61F3A" w:rsidRPr="005705E4" w:rsidP="003A60E6" w14:paraId="627F62F0" w14:textId="44DEA1F4">
            <w:pPr>
              <w:widowControl w:val="0"/>
              <w:tabs>
                <w:tab w:val="left" w:pos="0"/>
              </w:tabs>
              <w:autoSpaceDE w:val="0"/>
              <w:autoSpaceDN w:val="0"/>
              <w:adjustRightInd w:val="0"/>
              <w:spacing w:after="0" w:line="240" w:lineRule="auto"/>
              <w:rPr>
                <w:rFonts w:cstheme="minorHAnsi"/>
                <w:sz w:val="20"/>
                <w:szCs w:val="20"/>
              </w:rPr>
            </w:pPr>
            <w:r w:rsidRPr="00A345D7">
              <w:rPr>
                <w:rFonts w:cstheme="minorHAnsi"/>
                <w:sz w:val="20"/>
                <w:szCs w:val="20"/>
              </w:rPr>
              <w:t>Test Kit Application and Questions for US Laboratories</w:t>
            </w:r>
            <w:r w:rsidRPr="005705E4" w:rsidR="00AE1FB0">
              <w:rPr>
                <w:rFonts w:cstheme="minorHAnsi"/>
                <w:sz w:val="20"/>
                <w:szCs w:val="20"/>
              </w:rPr>
              <w:t xml:space="preserve"> </w:t>
            </w:r>
            <w:r w:rsidRPr="005705E4" w:rsidR="00AE1FB0">
              <w:rPr>
                <w:rFonts w:cstheme="minorHAnsi"/>
                <w:sz w:val="20"/>
                <w:szCs w:val="20"/>
              </w:rPr>
              <w:t>(online)</w:t>
            </w:r>
          </w:p>
        </w:tc>
        <w:tc>
          <w:tcPr>
            <w:tcW w:w="1559" w:type="dxa"/>
            <w:shd w:val="clear" w:color="auto" w:fill="FFFFFF" w:themeFill="background1"/>
            <w:vAlign w:val="center"/>
          </w:tcPr>
          <w:p w:rsidR="00B61F3A" w:rsidP="00B61F3A" w14:paraId="4C0380FB" w14:textId="0E704D04">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2</w:t>
            </w:r>
            <w:r>
              <w:rPr>
                <w:rFonts w:cstheme="minorHAnsi"/>
                <w:color w:val="000000"/>
                <w:sz w:val="20"/>
                <w:szCs w:val="20"/>
              </w:rPr>
              <w:t>00</w:t>
            </w:r>
          </w:p>
        </w:tc>
        <w:tc>
          <w:tcPr>
            <w:tcW w:w="1559" w:type="dxa"/>
            <w:shd w:val="clear" w:color="auto" w:fill="FFFFFF" w:themeFill="background1"/>
            <w:vAlign w:val="center"/>
          </w:tcPr>
          <w:p w:rsidR="00B61F3A" w:rsidRPr="00F7410D" w:rsidP="00B61F3A" w14:paraId="3D77F753" w14:textId="67578DC1">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1</w:t>
            </w:r>
          </w:p>
        </w:tc>
        <w:tc>
          <w:tcPr>
            <w:tcW w:w="1589" w:type="dxa"/>
            <w:shd w:val="clear" w:color="auto" w:fill="FFFFFF" w:themeFill="background1"/>
            <w:vAlign w:val="center"/>
          </w:tcPr>
          <w:p w:rsidR="00B61F3A" w:rsidRPr="00F7410D" w:rsidP="00B61F3A" w14:paraId="3E57F256" w14:textId="05473FDD">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6</w:t>
            </w:r>
            <w:r>
              <w:rPr>
                <w:color w:val="000000"/>
                <w:sz w:val="20"/>
                <w:szCs w:val="20"/>
              </w:rPr>
              <w:t>/60</w:t>
            </w:r>
          </w:p>
        </w:tc>
        <w:tc>
          <w:tcPr>
            <w:tcW w:w="1530" w:type="dxa"/>
            <w:shd w:val="clear" w:color="auto" w:fill="FFFFFF" w:themeFill="background1"/>
            <w:vAlign w:val="center"/>
          </w:tcPr>
          <w:p w:rsidR="00B61F3A" w:rsidP="00B61F3A" w14:paraId="4EF89626" w14:textId="1969B79C">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2</w:t>
            </w:r>
            <w:r>
              <w:rPr>
                <w:rFonts w:cstheme="minorHAnsi"/>
                <w:color w:val="000000"/>
                <w:sz w:val="20"/>
                <w:szCs w:val="20"/>
              </w:rPr>
              <w:t>0</w:t>
            </w:r>
          </w:p>
        </w:tc>
      </w:tr>
      <w:tr w14:paraId="77BF297A" w14:textId="77777777" w:rsidTr="00F7410D">
        <w:tblPrEx>
          <w:tblW w:w="9355" w:type="dxa"/>
          <w:tblLayout w:type="fixed"/>
          <w:tblLook w:val="04A0"/>
        </w:tblPrEx>
        <w:tc>
          <w:tcPr>
            <w:tcW w:w="1559" w:type="dxa"/>
            <w:shd w:val="clear" w:color="auto" w:fill="FFFFFF" w:themeFill="background1"/>
            <w:vAlign w:val="center"/>
          </w:tcPr>
          <w:p w:rsidR="00B61F3A" w:rsidRPr="00F7410D" w:rsidP="00B61F3A" w14:paraId="07FC0287" w14:textId="27895AC2">
            <w:pPr>
              <w:widowControl w:val="0"/>
              <w:tabs>
                <w:tab w:val="left" w:pos="0"/>
              </w:tabs>
              <w:autoSpaceDE w:val="0"/>
              <w:autoSpaceDN w:val="0"/>
              <w:adjustRightInd w:val="0"/>
              <w:spacing w:after="0" w:line="240" w:lineRule="auto"/>
              <w:rPr>
                <w:rFonts w:cstheme="minorHAnsi"/>
                <w:color w:val="000000"/>
                <w:sz w:val="20"/>
                <w:szCs w:val="20"/>
              </w:rPr>
            </w:pPr>
            <w:r w:rsidRPr="00F7410D">
              <w:rPr>
                <w:rFonts w:cstheme="minorHAnsi"/>
                <w:color w:val="000000"/>
                <w:sz w:val="20"/>
                <w:szCs w:val="20"/>
              </w:rPr>
              <w:t xml:space="preserve">Private or Not-for-Profit </w:t>
            </w:r>
            <w:r w:rsidR="00D50074">
              <w:rPr>
                <w:rFonts w:cstheme="minorHAnsi"/>
                <w:color w:val="000000"/>
                <w:sz w:val="20"/>
                <w:szCs w:val="20"/>
              </w:rPr>
              <w:t xml:space="preserve">US </w:t>
            </w:r>
            <w:r w:rsidRPr="00F7410D">
              <w:rPr>
                <w:rFonts w:cstheme="minorHAnsi"/>
                <w:color w:val="000000"/>
                <w:sz w:val="20"/>
                <w:szCs w:val="20"/>
              </w:rPr>
              <w:t xml:space="preserve">Institutions  </w:t>
            </w:r>
          </w:p>
        </w:tc>
        <w:tc>
          <w:tcPr>
            <w:tcW w:w="1559" w:type="dxa"/>
            <w:shd w:val="clear" w:color="auto" w:fill="FFFFFF" w:themeFill="background1"/>
            <w:vAlign w:val="center"/>
          </w:tcPr>
          <w:p w:rsidR="00B61F3A" w:rsidRPr="005705E4" w:rsidP="003A60E6" w14:paraId="69F9B5DB" w14:textId="3E9401E8">
            <w:pPr>
              <w:widowControl w:val="0"/>
              <w:tabs>
                <w:tab w:val="left" w:pos="0"/>
              </w:tabs>
              <w:autoSpaceDE w:val="0"/>
              <w:autoSpaceDN w:val="0"/>
              <w:adjustRightInd w:val="0"/>
              <w:spacing w:after="0" w:line="240" w:lineRule="auto"/>
              <w:rPr>
                <w:rFonts w:cstheme="minorHAnsi"/>
                <w:sz w:val="20"/>
                <w:szCs w:val="20"/>
              </w:rPr>
            </w:pPr>
            <w:r w:rsidRPr="00A345D7">
              <w:rPr>
                <w:rFonts w:cstheme="minorHAnsi"/>
                <w:sz w:val="20"/>
                <w:szCs w:val="20"/>
              </w:rPr>
              <w:t>Test Kit Application and Questions for US Laboratories</w:t>
            </w:r>
            <w:r w:rsidRPr="005705E4">
              <w:rPr>
                <w:rFonts w:cstheme="minorHAnsi"/>
                <w:sz w:val="20"/>
                <w:szCs w:val="20"/>
              </w:rPr>
              <w:t xml:space="preserve"> </w:t>
            </w:r>
            <w:r w:rsidRPr="005705E4" w:rsidR="00AE1FB0">
              <w:rPr>
                <w:rFonts w:cstheme="minorHAnsi"/>
                <w:sz w:val="20"/>
                <w:szCs w:val="20"/>
              </w:rPr>
              <w:t>(online)</w:t>
            </w:r>
          </w:p>
        </w:tc>
        <w:tc>
          <w:tcPr>
            <w:tcW w:w="1559" w:type="dxa"/>
            <w:shd w:val="clear" w:color="auto" w:fill="FFFFFF" w:themeFill="background1"/>
            <w:vAlign w:val="center"/>
          </w:tcPr>
          <w:p w:rsidR="00B61F3A" w:rsidP="00B61F3A" w14:paraId="2BC270F8" w14:textId="251B4EEC">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2</w:t>
            </w:r>
            <w:r>
              <w:rPr>
                <w:rFonts w:cstheme="minorHAnsi"/>
                <w:color w:val="000000"/>
                <w:sz w:val="20"/>
                <w:szCs w:val="20"/>
              </w:rPr>
              <w:t>00</w:t>
            </w:r>
          </w:p>
        </w:tc>
        <w:tc>
          <w:tcPr>
            <w:tcW w:w="1559" w:type="dxa"/>
            <w:shd w:val="clear" w:color="auto" w:fill="FFFFFF" w:themeFill="background1"/>
            <w:vAlign w:val="center"/>
          </w:tcPr>
          <w:p w:rsidR="00B61F3A" w:rsidRPr="00F7410D" w:rsidP="00B61F3A" w14:paraId="5D74AED6" w14:textId="3EE54EE1">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1</w:t>
            </w:r>
          </w:p>
        </w:tc>
        <w:tc>
          <w:tcPr>
            <w:tcW w:w="1589" w:type="dxa"/>
            <w:shd w:val="clear" w:color="auto" w:fill="FFFFFF" w:themeFill="background1"/>
            <w:vAlign w:val="center"/>
          </w:tcPr>
          <w:p w:rsidR="00B61F3A" w:rsidRPr="00F7410D" w:rsidP="00B61F3A" w14:paraId="6064324A" w14:textId="23AF6FFB">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6</w:t>
            </w:r>
            <w:r>
              <w:rPr>
                <w:color w:val="000000"/>
                <w:sz w:val="20"/>
                <w:szCs w:val="20"/>
              </w:rPr>
              <w:t>/60</w:t>
            </w:r>
          </w:p>
        </w:tc>
        <w:tc>
          <w:tcPr>
            <w:tcW w:w="1530" w:type="dxa"/>
            <w:shd w:val="clear" w:color="auto" w:fill="FFFFFF" w:themeFill="background1"/>
            <w:vAlign w:val="center"/>
          </w:tcPr>
          <w:p w:rsidR="00B61F3A" w:rsidP="00B61F3A" w14:paraId="7EEA25F5" w14:textId="1C67A529">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2</w:t>
            </w:r>
            <w:r>
              <w:rPr>
                <w:rFonts w:cstheme="minorHAnsi"/>
                <w:color w:val="000000"/>
                <w:sz w:val="20"/>
                <w:szCs w:val="20"/>
              </w:rPr>
              <w:t>0</w:t>
            </w:r>
          </w:p>
        </w:tc>
      </w:tr>
      <w:tr w14:paraId="2A1D2357" w14:textId="77777777" w:rsidTr="00A345D7">
        <w:tblPrEx>
          <w:tblW w:w="9355" w:type="dxa"/>
          <w:tblLayout w:type="fixed"/>
          <w:tblLook w:val="04A0"/>
        </w:tblPrEx>
        <w:tc>
          <w:tcPr>
            <w:tcW w:w="1559" w:type="dxa"/>
            <w:shd w:val="clear" w:color="auto" w:fill="FFFFFF" w:themeFill="background1"/>
            <w:vAlign w:val="center"/>
          </w:tcPr>
          <w:p w:rsidR="00D50074" w:rsidRPr="00244F51" w:rsidP="005705E4" w14:paraId="2B2BEE3A" w14:textId="2D6CF040">
            <w:pPr>
              <w:widowControl w:val="0"/>
              <w:tabs>
                <w:tab w:val="left" w:pos="0"/>
              </w:tabs>
              <w:autoSpaceDE w:val="0"/>
              <w:autoSpaceDN w:val="0"/>
              <w:adjustRightInd w:val="0"/>
              <w:spacing w:after="0" w:line="240" w:lineRule="auto"/>
              <w:rPr>
                <w:rFonts w:cstheme="minorHAnsi"/>
                <w:color w:val="000000"/>
                <w:sz w:val="20"/>
                <w:szCs w:val="20"/>
                <w:highlight w:val="yellow"/>
              </w:rPr>
            </w:pPr>
            <w:r>
              <w:rPr>
                <w:rFonts w:cstheme="minorHAnsi"/>
                <w:sz w:val="20"/>
                <w:szCs w:val="20"/>
              </w:rPr>
              <w:t>International Laboratories</w:t>
            </w:r>
          </w:p>
        </w:tc>
        <w:tc>
          <w:tcPr>
            <w:tcW w:w="1559" w:type="dxa"/>
            <w:shd w:val="clear" w:color="auto" w:fill="FFFFFF" w:themeFill="background1"/>
            <w:vAlign w:val="center"/>
          </w:tcPr>
          <w:p w:rsidR="00D50074" w:rsidRPr="00A345D7" w:rsidP="003A60E6" w14:paraId="4F5EECFA" w14:textId="47499F5E">
            <w:pPr>
              <w:spacing w:after="0"/>
              <w:rPr>
                <w:rFonts w:cstheme="minorHAnsi"/>
                <w:sz w:val="20"/>
                <w:szCs w:val="20"/>
              </w:rPr>
            </w:pPr>
            <w:r w:rsidRPr="00A345D7">
              <w:rPr>
                <w:rFonts w:cstheme="minorHAnsi"/>
                <w:sz w:val="20"/>
                <w:szCs w:val="20"/>
              </w:rPr>
              <w:t xml:space="preserve">Test Kit </w:t>
            </w:r>
            <w:r w:rsidR="00CD4A8D">
              <w:rPr>
                <w:rFonts w:cstheme="minorHAnsi"/>
                <w:sz w:val="20"/>
                <w:szCs w:val="20"/>
              </w:rPr>
              <w:t xml:space="preserve">Questions for </w:t>
            </w:r>
            <w:r w:rsidRPr="00A345D7">
              <w:rPr>
                <w:rFonts w:cstheme="minorHAnsi"/>
                <w:sz w:val="20"/>
                <w:szCs w:val="20"/>
              </w:rPr>
              <w:t>International Laboratories</w:t>
            </w:r>
          </w:p>
        </w:tc>
        <w:tc>
          <w:tcPr>
            <w:tcW w:w="1559" w:type="dxa"/>
            <w:shd w:val="clear" w:color="auto" w:fill="FFFFFF" w:themeFill="background1"/>
            <w:vAlign w:val="center"/>
          </w:tcPr>
          <w:p w:rsidR="00D50074" w:rsidRPr="00A345D7" w:rsidP="005705E4" w14:paraId="07B61EB9" w14:textId="6E73A400">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300</w:t>
            </w:r>
          </w:p>
        </w:tc>
        <w:tc>
          <w:tcPr>
            <w:tcW w:w="1559" w:type="dxa"/>
            <w:shd w:val="clear" w:color="auto" w:fill="FFFFFF" w:themeFill="background1"/>
            <w:vAlign w:val="center"/>
          </w:tcPr>
          <w:p w:rsidR="00D50074" w:rsidRPr="00A345D7" w:rsidP="005705E4" w14:paraId="70C541E5" w14:textId="65677F72">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1</w:t>
            </w:r>
          </w:p>
        </w:tc>
        <w:tc>
          <w:tcPr>
            <w:tcW w:w="1589" w:type="dxa"/>
            <w:shd w:val="clear" w:color="auto" w:fill="FFFFFF" w:themeFill="background1"/>
            <w:vAlign w:val="center"/>
          </w:tcPr>
          <w:p w:rsidR="00D50074" w:rsidRPr="00A345D7" w:rsidP="005705E4" w14:paraId="5A7DF237" w14:textId="313379BB">
            <w:pPr>
              <w:widowControl w:val="0"/>
              <w:tabs>
                <w:tab w:val="left" w:pos="0"/>
              </w:tabs>
              <w:autoSpaceDE w:val="0"/>
              <w:autoSpaceDN w:val="0"/>
              <w:adjustRightInd w:val="0"/>
              <w:spacing w:after="0" w:line="240" w:lineRule="auto"/>
              <w:jc w:val="center"/>
              <w:rPr>
                <w:rFonts w:cstheme="minorHAnsi"/>
                <w:color w:val="000000"/>
                <w:sz w:val="20"/>
                <w:szCs w:val="20"/>
              </w:rPr>
            </w:pPr>
            <w:r>
              <w:rPr>
                <w:color w:val="000000"/>
                <w:sz w:val="20"/>
                <w:szCs w:val="20"/>
              </w:rPr>
              <w:t>4</w:t>
            </w:r>
            <w:r w:rsidR="008961F5">
              <w:rPr>
                <w:color w:val="000000"/>
                <w:sz w:val="20"/>
                <w:szCs w:val="20"/>
              </w:rPr>
              <w:t>/60</w:t>
            </w:r>
          </w:p>
        </w:tc>
        <w:tc>
          <w:tcPr>
            <w:tcW w:w="1530" w:type="dxa"/>
            <w:shd w:val="clear" w:color="auto" w:fill="FFFFFF" w:themeFill="background1"/>
            <w:vAlign w:val="center"/>
          </w:tcPr>
          <w:p w:rsidR="00D50074" w:rsidRPr="00A345D7" w:rsidP="005705E4" w14:paraId="2CC203EB" w14:textId="7194D058">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2</w:t>
            </w:r>
            <w:r w:rsidR="009D6DA7">
              <w:rPr>
                <w:rFonts w:cstheme="minorHAnsi"/>
                <w:color w:val="000000"/>
                <w:sz w:val="20"/>
                <w:szCs w:val="20"/>
              </w:rPr>
              <w:t>0</w:t>
            </w:r>
          </w:p>
        </w:tc>
      </w:tr>
      <w:tr w14:paraId="5B54BAAE" w14:textId="77777777" w:rsidTr="00F7410D">
        <w:tblPrEx>
          <w:tblW w:w="9355" w:type="dxa"/>
          <w:tblLayout w:type="fixed"/>
          <w:tblLook w:val="04A0"/>
        </w:tblPrEx>
        <w:tc>
          <w:tcPr>
            <w:tcW w:w="7825" w:type="dxa"/>
            <w:gridSpan w:val="5"/>
            <w:shd w:val="clear" w:color="auto" w:fill="FFFFFF" w:themeFill="background1"/>
          </w:tcPr>
          <w:p w:rsidR="00B61F3A" w:rsidRPr="0097091A" w:rsidP="00FC7A76" w14:paraId="51AC9FC0" w14:textId="4F487F21">
            <w:pPr>
              <w:widowControl w:val="0"/>
              <w:tabs>
                <w:tab w:val="left" w:pos="0"/>
              </w:tabs>
              <w:autoSpaceDE w:val="0"/>
              <w:autoSpaceDN w:val="0"/>
              <w:adjustRightInd w:val="0"/>
              <w:spacing w:after="0" w:line="240" w:lineRule="auto"/>
              <w:rPr>
                <w:rFonts w:cstheme="minorHAnsi"/>
                <w:color w:val="000000"/>
                <w:sz w:val="20"/>
                <w:szCs w:val="20"/>
              </w:rPr>
            </w:pPr>
            <w:r w:rsidRPr="0097091A">
              <w:rPr>
                <w:rFonts w:cstheme="minorHAnsi"/>
                <w:color w:val="000000"/>
                <w:sz w:val="20"/>
                <w:szCs w:val="20"/>
              </w:rPr>
              <w:t>Total</w:t>
            </w:r>
          </w:p>
        </w:tc>
        <w:tc>
          <w:tcPr>
            <w:tcW w:w="1530" w:type="dxa"/>
            <w:shd w:val="clear" w:color="auto" w:fill="FFFFFF" w:themeFill="background1"/>
            <w:vAlign w:val="center"/>
          </w:tcPr>
          <w:p w:rsidR="00B61F3A" w:rsidRPr="0097091A" w:rsidP="00FC7A76" w14:paraId="66796CED" w14:textId="7509A2CC">
            <w:pPr>
              <w:widowControl w:val="0"/>
              <w:tabs>
                <w:tab w:val="left" w:pos="0"/>
              </w:tabs>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8</w:t>
            </w:r>
            <w:r w:rsidR="009D6DA7">
              <w:rPr>
                <w:rFonts w:cstheme="minorHAnsi"/>
                <w:color w:val="000000"/>
                <w:sz w:val="20"/>
                <w:szCs w:val="20"/>
              </w:rPr>
              <w:t>0</w:t>
            </w:r>
          </w:p>
        </w:tc>
      </w:tr>
      <w:bookmarkEnd w:id="36"/>
      <w:bookmarkEnd w:id="37"/>
      <w:bookmarkEnd w:id="39"/>
    </w:tbl>
    <w:p w:rsidR="00E70802" w:rsidP="00ED72E9" w14:paraId="225F8053" w14:textId="74182706">
      <w:pPr>
        <w:spacing w:line="240" w:lineRule="auto"/>
        <w:rPr>
          <w:sz w:val="24"/>
          <w:szCs w:val="24"/>
        </w:rPr>
      </w:pPr>
    </w:p>
    <w:p w:rsidR="00DC0B71" w:rsidP="00ED72E9" w14:paraId="5D9DFC53" w14:textId="30915A7F">
      <w:pPr>
        <w:spacing w:line="240" w:lineRule="auto"/>
        <w:rPr>
          <w:sz w:val="24"/>
          <w:szCs w:val="24"/>
        </w:rPr>
      </w:pPr>
      <w:r w:rsidRPr="00DC0B71">
        <w:rPr>
          <w:sz w:val="24"/>
          <w:szCs w:val="24"/>
        </w:rPr>
        <w:t xml:space="preserve">Estimates of the annualized cost to </w:t>
      </w:r>
      <w:r w:rsidR="00AC7083">
        <w:rPr>
          <w:sz w:val="24"/>
          <w:szCs w:val="24"/>
        </w:rPr>
        <w:t xml:space="preserve">domestic </w:t>
      </w:r>
      <w:r w:rsidRPr="00DC0B71">
        <w:rPr>
          <w:sz w:val="24"/>
          <w:szCs w:val="24"/>
        </w:rPr>
        <w:t>respondents were based on the Department of Labor “May 20</w:t>
      </w:r>
      <w:r w:rsidR="00F279AA">
        <w:rPr>
          <w:sz w:val="24"/>
          <w:szCs w:val="24"/>
        </w:rPr>
        <w:t>21</w:t>
      </w:r>
      <w:r w:rsidRPr="00DC0B71">
        <w:rPr>
          <w:sz w:val="24"/>
          <w:szCs w:val="24"/>
        </w:rPr>
        <w:t xml:space="preserve"> National Occupational Employment and Wage Estimates, United States” mean hourly wages. (</w:t>
      </w:r>
      <w:hyperlink r:id="rId21" w:anchor="00-0000" w:history="1">
        <w:r w:rsidRPr="00D910F5">
          <w:rPr>
            <w:rStyle w:val="Hyperlink"/>
            <w:sz w:val="24"/>
            <w:szCs w:val="24"/>
          </w:rPr>
          <w:t>https://www.bls.gov/oes/current/oes_nat.htm#00-0000</w:t>
        </w:r>
      </w:hyperlink>
      <w:r>
        <w:rPr>
          <w:sz w:val="24"/>
          <w:szCs w:val="24"/>
        </w:rPr>
        <w:t>).</w:t>
      </w:r>
    </w:p>
    <w:p w:rsidR="000830C4" w:rsidP="0097091A" w14:paraId="5CDDD04C" w14:textId="1332D6BD">
      <w:pPr>
        <w:spacing w:before="120" w:line="240" w:lineRule="auto"/>
        <w:rPr>
          <w:rFonts w:eastAsia="Times New Roman"/>
          <w:kern w:val="36"/>
          <w:sz w:val="24"/>
          <w:szCs w:val="24"/>
        </w:rPr>
      </w:pPr>
      <w:r>
        <w:rPr>
          <w:sz w:val="24"/>
          <w:szCs w:val="24"/>
        </w:rPr>
        <w:t>NCEH used</w:t>
      </w:r>
      <w:r w:rsidRPr="00DC0B71">
        <w:rPr>
          <w:rFonts w:eastAsia="Times New Roman"/>
          <w:kern w:val="36"/>
          <w:sz w:val="24"/>
          <w:szCs w:val="24"/>
        </w:rPr>
        <w:t xml:space="preserve"> </w:t>
      </w:r>
      <w:r w:rsidRPr="00626C34">
        <w:rPr>
          <w:rFonts w:eastAsia="Times New Roman"/>
          <w:kern w:val="36"/>
          <w:sz w:val="24"/>
          <w:szCs w:val="24"/>
        </w:rPr>
        <w:t xml:space="preserve">the following occupation codes and hourly wage estimates to represent each </w:t>
      </w:r>
      <w:r w:rsidR="00AC7083">
        <w:rPr>
          <w:rFonts w:eastAsia="Times New Roman"/>
          <w:kern w:val="36"/>
          <w:sz w:val="24"/>
          <w:szCs w:val="24"/>
        </w:rPr>
        <w:t xml:space="preserve">domestic </w:t>
      </w:r>
      <w:r w:rsidRPr="00626C34">
        <w:rPr>
          <w:rFonts w:eastAsia="Times New Roman"/>
          <w:kern w:val="36"/>
          <w:sz w:val="24"/>
          <w:szCs w:val="24"/>
        </w:rPr>
        <w:t>respondent type in the burden table.</w:t>
      </w:r>
      <w:r w:rsidR="00171EF4">
        <w:rPr>
          <w:rFonts w:eastAsia="Times New Roman"/>
          <w:kern w:val="36"/>
          <w:sz w:val="24"/>
          <w:szCs w:val="24"/>
        </w:rPr>
        <w:t xml:space="preserve"> Absent information</w:t>
      </w:r>
      <w:r w:rsidR="007046F6">
        <w:rPr>
          <w:rFonts w:eastAsia="Times New Roman"/>
          <w:kern w:val="36"/>
          <w:sz w:val="24"/>
          <w:szCs w:val="24"/>
        </w:rPr>
        <w:t xml:space="preserve"> on international wages</w:t>
      </w:r>
      <w:r w:rsidR="00171EF4">
        <w:rPr>
          <w:rFonts w:eastAsia="Times New Roman"/>
          <w:kern w:val="36"/>
          <w:sz w:val="24"/>
          <w:szCs w:val="24"/>
        </w:rPr>
        <w:t xml:space="preserve">, we assume the same hourly wage will apply to the </w:t>
      </w:r>
      <w:r w:rsidR="000E554C">
        <w:rPr>
          <w:rFonts w:eastAsia="Times New Roman"/>
          <w:kern w:val="36"/>
          <w:sz w:val="24"/>
          <w:szCs w:val="24"/>
        </w:rPr>
        <w:t xml:space="preserve">international laboratory respondent </w:t>
      </w:r>
      <w:r w:rsidR="00171EF4">
        <w:rPr>
          <w:rFonts w:eastAsia="Times New Roman"/>
          <w:kern w:val="36"/>
          <w:sz w:val="24"/>
          <w:szCs w:val="24"/>
        </w:rPr>
        <w:t>staff.</w:t>
      </w:r>
    </w:p>
    <w:p w:rsidR="00D14854" w:rsidP="0097091A" w14:paraId="44BAEB3B" w14:textId="77777777">
      <w:pPr>
        <w:spacing w:after="0" w:line="240" w:lineRule="auto"/>
        <w:rPr>
          <w:sz w:val="24"/>
          <w:szCs w:val="24"/>
          <w:u w:val="single"/>
        </w:rPr>
      </w:pPr>
    </w:p>
    <w:p w:rsidR="00DC0B71" w:rsidRPr="00DC0B71" w:rsidP="00DC0B71" w14:paraId="39AB1604" w14:textId="52759B3F">
      <w:pPr>
        <w:spacing w:line="240" w:lineRule="auto"/>
        <w:rPr>
          <w:sz w:val="24"/>
          <w:szCs w:val="24"/>
          <w:u w:val="single"/>
        </w:rPr>
      </w:pPr>
      <w:r w:rsidRPr="00DC0B71">
        <w:rPr>
          <w:sz w:val="24"/>
          <w:szCs w:val="24"/>
          <w:u w:val="single"/>
        </w:rPr>
        <w:t xml:space="preserve">Mean Hourly Wages for </w:t>
      </w:r>
      <w:r w:rsidR="00493DCC">
        <w:rPr>
          <w:sz w:val="24"/>
          <w:szCs w:val="24"/>
          <w:u w:val="single"/>
        </w:rPr>
        <w:t xml:space="preserve">Domestic </w:t>
      </w:r>
      <w:r w:rsidRPr="00DC0B71">
        <w:rPr>
          <w:sz w:val="24"/>
          <w:szCs w:val="24"/>
          <w:u w:val="single"/>
        </w:rPr>
        <w:t>Respondent Types</w:t>
      </w:r>
    </w:p>
    <w:tbl>
      <w:tblPr>
        <w:tblStyle w:val="TableGrid"/>
        <w:tblW w:w="9348" w:type="dxa"/>
        <w:tblLook w:val="04A0"/>
      </w:tblPr>
      <w:tblGrid>
        <w:gridCol w:w="2875"/>
        <w:gridCol w:w="1530"/>
        <w:gridCol w:w="3330"/>
        <w:gridCol w:w="1613"/>
      </w:tblGrid>
      <w:tr w14:paraId="3EADCDC4" w14:textId="77777777" w:rsidTr="002D02FE">
        <w:tblPrEx>
          <w:tblW w:w="9348" w:type="dxa"/>
          <w:tblLook w:val="04A0"/>
        </w:tblPrEx>
        <w:tc>
          <w:tcPr>
            <w:tcW w:w="2875" w:type="dxa"/>
            <w:tcBorders>
              <w:top w:val="single" w:sz="4" w:space="0" w:color="auto"/>
              <w:left w:val="single" w:sz="4" w:space="0" w:color="auto"/>
              <w:bottom w:val="single" w:sz="4" w:space="0" w:color="auto"/>
              <w:right w:val="single" w:sz="4" w:space="0" w:color="auto"/>
            </w:tcBorders>
            <w:vAlign w:val="center"/>
          </w:tcPr>
          <w:p w:rsidR="00DC0B71" w:rsidRPr="0095515B" w:rsidP="002D02FE" w14:paraId="6AA51022" w14:textId="77777777">
            <w:pPr>
              <w:jc w:val="center"/>
              <w:rPr>
                <w:color w:val="183061"/>
                <w:kern w:val="36"/>
                <w:sz w:val="20"/>
              </w:rPr>
            </w:pPr>
            <w:r w:rsidRPr="0095515B">
              <w:rPr>
                <w:sz w:val="20"/>
              </w:rPr>
              <w:t>Respondent Type</w:t>
            </w:r>
          </w:p>
        </w:tc>
        <w:tc>
          <w:tcPr>
            <w:tcW w:w="1530" w:type="dxa"/>
            <w:tcBorders>
              <w:top w:val="single" w:sz="4" w:space="0" w:color="auto"/>
              <w:left w:val="single" w:sz="4" w:space="0" w:color="auto"/>
              <w:bottom w:val="single" w:sz="4" w:space="0" w:color="auto"/>
              <w:right w:val="single" w:sz="4" w:space="0" w:color="auto"/>
            </w:tcBorders>
            <w:vAlign w:val="center"/>
          </w:tcPr>
          <w:p w:rsidR="00DC0B71" w:rsidRPr="0095515B" w:rsidP="002D02FE" w14:paraId="5968C7CF" w14:textId="77777777">
            <w:pPr>
              <w:jc w:val="center"/>
              <w:rPr>
                <w:color w:val="183061"/>
                <w:kern w:val="36"/>
                <w:sz w:val="20"/>
              </w:rPr>
            </w:pPr>
            <w:r w:rsidRPr="0095515B">
              <w:rPr>
                <w:sz w:val="20"/>
              </w:rPr>
              <w:t>Occupation Code</w:t>
            </w:r>
          </w:p>
        </w:tc>
        <w:tc>
          <w:tcPr>
            <w:tcW w:w="3330" w:type="dxa"/>
            <w:tcBorders>
              <w:top w:val="single" w:sz="4" w:space="0" w:color="auto"/>
              <w:left w:val="single" w:sz="4" w:space="0" w:color="auto"/>
              <w:bottom w:val="single" w:sz="4" w:space="0" w:color="auto"/>
              <w:right w:val="single" w:sz="4" w:space="0" w:color="auto"/>
            </w:tcBorders>
            <w:vAlign w:val="center"/>
          </w:tcPr>
          <w:p w:rsidR="00DC0B71" w:rsidRPr="0095515B" w:rsidP="002D02FE" w14:paraId="23C639C6" w14:textId="77777777">
            <w:pPr>
              <w:jc w:val="center"/>
              <w:rPr>
                <w:color w:val="183061"/>
                <w:kern w:val="36"/>
                <w:sz w:val="20"/>
              </w:rPr>
            </w:pPr>
            <w:r w:rsidRPr="0095515B">
              <w:rPr>
                <w:sz w:val="20"/>
              </w:rPr>
              <w:t>Occupation Title</w:t>
            </w:r>
          </w:p>
        </w:tc>
        <w:tc>
          <w:tcPr>
            <w:tcW w:w="1613" w:type="dxa"/>
            <w:tcBorders>
              <w:top w:val="single" w:sz="4" w:space="0" w:color="auto"/>
              <w:left w:val="single" w:sz="4" w:space="0" w:color="auto"/>
              <w:bottom w:val="single" w:sz="4" w:space="0" w:color="auto"/>
              <w:right w:val="single" w:sz="4" w:space="0" w:color="auto"/>
            </w:tcBorders>
            <w:vAlign w:val="center"/>
          </w:tcPr>
          <w:p w:rsidR="00DC0B71" w:rsidRPr="0095515B" w:rsidP="002D02FE" w14:paraId="06A33826" w14:textId="77777777">
            <w:pPr>
              <w:jc w:val="center"/>
              <w:rPr>
                <w:color w:val="183061"/>
                <w:kern w:val="36"/>
                <w:sz w:val="20"/>
              </w:rPr>
            </w:pPr>
            <w:r w:rsidRPr="0095515B">
              <w:rPr>
                <w:sz w:val="20"/>
              </w:rPr>
              <w:t>Mean Hourly Wage</w:t>
            </w:r>
          </w:p>
        </w:tc>
      </w:tr>
      <w:tr w14:paraId="22069014" w14:textId="77777777" w:rsidTr="002D02FE">
        <w:tblPrEx>
          <w:tblW w:w="9348" w:type="dxa"/>
          <w:tblLook w:val="04A0"/>
        </w:tblPrEx>
        <w:tc>
          <w:tcPr>
            <w:tcW w:w="2875" w:type="dxa"/>
            <w:tcBorders>
              <w:top w:val="single" w:sz="4" w:space="0" w:color="auto"/>
              <w:left w:val="single" w:sz="4" w:space="0" w:color="auto"/>
              <w:bottom w:val="single" w:sz="4" w:space="0" w:color="auto"/>
              <w:right w:val="single" w:sz="4" w:space="0" w:color="auto"/>
            </w:tcBorders>
            <w:vAlign w:val="center"/>
          </w:tcPr>
          <w:p w:rsidR="00DC0B71" w:rsidRPr="0095515B" w:rsidP="002D02FE" w14:paraId="2CBBA861" w14:textId="3F01E067">
            <w:pPr>
              <w:rPr>
                <w:color w:val="183061"/>
                <w:kern w:val="36"/>
                <w:sz w:val="20"/>
              </w:rPr>
            </w:pPr>
            <w:r>
              <w:rPr>
                <w:sz w:val="20"/>
              </w:rPr>
              <w:t>Laboratorians and laboratory directors</w:t>
            </w:r>
          </w:p>
        </w:tc>
        <w:tc>
          <w:tcPr>
            <w:tcW w:w="1530" w:type="dxa"/>
            <w:tcBorders>
              <w:top w:val="single" w:sz="4" w:space="0" w:color="auto"/>
              <w:left w:val="single" w:sz="4" w:space="0" w:color="auto"/>
              <w:bottom w:val="single" w:sz="4" w:space="0" w:color="auto"/>
              <w:right w:val="single" w:sz="4" w:space="0" w:color="auto"/>
            </w:tcBorders>
            <w:vAlign w:val="center"/>
          </w:tcPr>
          <w:p w:rsidR="00DC0B71" w:rsidRPr="0095515B" w:rsidP="000830C4" w14:paraId="3637525A" w14:textId="2C303868">
            <w:pPr>
              <w:jc w:val="center"/>
              <w:rPr>
                <w:color w:val="183061"/>
                <w:kern w:val="36"/>
                <w:sz w:val="20"/>
              </w:rPr>
            </w:pPr>
            <w:r>
              <w:rPr>
                <w:sz w:val="20"/>
              </w:rPr>
              <w:t>19</w:t>
            </w:r>
            <w:r w:rsidRPr="0095515B">
              <w:rPr>
                <w:sz w:val="20"/>
              </w:rPr>
              <w:t>-0000</w:t>
            </w:r>
          </w:p>
        </w:tc>
        <w:tc>
          <w:tcPr>
            <w:tcW w:w="3330" w:type="dxa"/>
            <w:tcBorders>
              <w:top w:val="single" w:sz="4" w:space="0" w:color="auto"/>
              <w:left w:val="single" w:sz="4" w:space="0" w:color="auto"/>
              <w:bottom w:val="single" w:sz="4" w:space="0" w:color="auto"/>
              <w:right w:val="single" w:sz="4" w:space="0" w:color="auto"/>
            </w:tcBorders>
            <w:vAlign w:val="center"/>
          </w:tcPr>
          <w:p w:rsidR="00DC0B71" w:rsidRPr="0095515B" w:rsidP="0097091A" w14:paraId="035F1A9E" w14:textId="042B4565">
            <w:pPr>
              <w:jc w:val="center"/>
              <w:rPr>
                <w:color w:val="183061"/>
                <w:kern w:val="36"/>
                <w:sz w:val="20"/>
              </w:rPr>
            </w:pPr>
            <w:r>
              <w:rPr>
                <w:sz w:val="20"/>
              </w:rPr>
              <w:t>Life, Physical, and Social Science Occupations</w:t>
            </w:r>
          </w:p>
        </w:tc>
        <w:tc>
          <w:tcPr>
            <w:tcW w:w="1613" w:type="dxa"/>
            <w:tcBorders>
              <w:top w:val="single" w:sz="4" w:space="0" w:color="auto"/>
              <w:left w:val="single" w:sz="4" w:space="0" w:color="auto"/>
              <w:bottom w:val="single" w:sz="4" w:space="0" w:color="auto"/>
              <w:right w:val="single" w:sz="4" w:space="0" w:color="auto"/>
            </w:tcBorders>
            <w:vAlign w:val="center"/>
          </w:tcPr>
          <w:p w:rsidR="00DC0B71" w:rsidRPr="0095515B" w:rsidP="000830C4" w14:paraId="728CE3A8" w14:textId="1A9B7761">
            <w:pPr>
              <w:jc w:val="center"/>
              <w:rPr>
                <w:color w:val="183061"/>
                <w:kern w:val="36"/>
                <w:sz w:val="20"/>
              </w:rPr>
            </w:pPr>
            <w:r w:rsidRPr="0095515B">
              <w:rPr>
                <w:sz w:val="20"/>
              </w:rPr>
              <w:t>$</w:t>
            </w:r>
            <w:r w:rsidR="00F279AA">
              <w:rPr>
                <w:sz w:val="20"/>
              </w:rPr>
              <w:t>38.81</w:t>
            </w:r>
          </w:p>
        </w:tc>
      </w:tr>
    </w:tbl>
    <w:p w:rsidR="00DC0B71" w:rsidP="00ED72E9" w14:paraId="609F1148" w14:textId="5C2DA427">
      <w:pPr>
        <w:spacing w:line="240" w:lineRule="auto"/>
        <w:rPr>
          <w:sz w:val="24"/>
          <w:szCs w:val="24"/>
        </w:rPr>
      </w:pPr>
    </w:p>
    <w:p w:rsidR="00DC0B71" w:rsidRPr="0097091A" w:rsidP="00ED72E9" w14:paraId="5DFF4196" w14:textId="593F8413">
      <w:pPr>
        <w:spacing w:line="240" w:lineRule="auto"/>
        <w:rPr>
          <w:sz w:val="24"/>
          <w:szCs w:val="24"/>
        </w:rPr>
      </w:pPr>
      <w:r w:rsidRPr="00DC0B71">
        <w:rPr>
          <w:sz w:val="24"/>
          <w:szCs w:val="24"/>
          <w:u w:val="single"/>
        </w:rPr>
        <w:t>Estimated Annualized Burden Costs</w:t>
      </w:r>
    </w:p>
    <w:tbl>
      <w:tblPr>
        <w:tblStyle w:val="TableGrid"/>
        <w:tblW w:w="0" w:type="auto"/>
        <w:tblLayout w:type="fixed"/>
        <w:tblLook w:val="04A0"/>
      </w:tblPr>
      <w:tblGrid>
        <w:gridCol w:w="1168"/>
        <w:gridCol w:w="1169"/>
        <w:gridCol w:w="1169"/>
        <w:gridCol w:w="1169"/>
        <w:gridCol w:w="1168"/>
        <w:gridCol w:w="1169"/>
        <w:gridCol w:w="1169"/>
        <w:gridCol w:w="1169"/>
      </w:tblGrid>
      <w:tr w14:paraId="3CFAF949" w14:textId="77777777" w:rsidTr="0097091A">
        <w:tblPrEx>
          <w:tblW w:w="0" w:type="auto"/>
          <w:tblLayout w:type="fixed"/>
          <w:tblLook w:val="04A0"/>
        </w:tblPrEx>
        <w:tc>
          <w:tcPr>
            <w:tcW w:w="1168" w:type="dxa"/>
            <w:vAlign w:val="center"/>
          </w:tcPr>
          <w:p w:rsidR="00DC0B71" w:rsidRPr="00171EF4" w:rsidP="002D02FE" w14:paraId="0017AE4D" w14:textId="77777777">
            <w:pPr>
              <w:jc w:val="center"/>
              <w:rPr>
                <w:sz w:val="20"/>
                <w:szCs w:val="20"/>
              </w:rPr>
            </w:pPr>
            <w:r w:rsidRPr="00171EF4">
              <w:rPr>
                <w:sz w:val="20"/>
                <w:szCs w:val="20"/>
              </w:rPr>
              <w:t>Type of Respondent</w:t>
            </w:r>
          </w:p>
        </w:tc>
        <w:tc>
          <w:tcPr>
            <w:tcW w:w="1169" w:type="dxa"/>
            <w:vAlign w:val="center"/>
          </w:tcPr>
          <w:p w:rsidR="00DC0B71" w:rsidRPr="00171EF4" w:rsidP="002D02FE" w14:paraId="278664D7" w14:textId="77777777">
            <w:pPr>
              <w:jc w:val="center"/>
              <w:rPr>
                <w:sz w:val="20"/>
                <w:szCs w:val="20"/>
              </w:rPr>
            </w:pPr>
            <w:r w:rsidRPr="00171EF4">
              <w:rPr>
                <w:sz w:val="20"/>
                <w:szCs w:val="20"/>
              </w:rPr>
              <w:t>Form Name</w:t>
            </w:r>
          </w:p>
        </w:tc>
        <w:tc>
          <w:tcPr>
            <w:tcW w:w="1169" w:type="dxa"/>
            <w:vAlign w:val="center"/>
          </w:tcPr>
          <w:p w:rsidR="00DC0B71" w:rsidRPr="00171EF4" w:rsidP="002D02FE" w14:paraId="69D74DAB" w14:textId="77777777">
            <w:pPr>
              <w:jc w:val="center"/>
              <w:rPr>
                <w:sz w:val="20"/>
                <w:szCs w:val="20"/>
              </w:rPr>
            </w:pPr>
            <w:r w:rsidRPr="00171EF4">
              <w:rPr>
                <w:sz w:val="20"/>
                <w:szCs w:val="20"/>
              </w:rPr>
              <w:t>Number of Respondents</w:t>
            </w:r>
          </w:p>
        </w:tc>
        <w:tc>
          <w:tcPr>
            <w:tcW w:w="1169" w:type="dxa"/>
            <w:vAlign w:val="center"/>
          </w:tcPr>
          <w:p w:rsidR="00DC0B71" w:rsidRPr="00171EF4" w:rsidP="002D02FE" w14:paraId="03CB7E21" w14:textId="77777777">
            <w:pPr>
              <w:jc w:val="center"/>
              <w:rPr>
                <w:sz w:val="20"/>
                <w:szCs w:val="20"/>
              </w:rPr>
            </w:pPr>
            <w:r w:rsidRPr="00171EF4">
              <w:rPr>
                <w:sz w:val="20"/>
                <w:szCs w:val="20"/>
              </w:rPr>
              <w:t>Number of Responses per Respondent</w:t>
            </w:r>
          </w:p>
        </w:tc>
        <w:tc>
          <w:tcPr>
            <w:tcW w:w="1168" w:type="dxa"/>
            <w:vAlign w:val="center"/>
          </w:tcPr>
          <w:p w:rsidR="00DC0B71" w:rsidRPr="00171EF4" w:rsidP="002D02FE" w14:paraId="30B265C5" w14:textId="77777777">
            <w:pPr>
              <w:jc w:val="center"/>
              <w:rPr>
                <w:sz w:val="20"/>
                <w:szCs w:val="20"/>
              </w:rPr>
            </w:pPr>
            <w:r w:rsidRPr="00171EF4">
              <w:rPr>
                <w:sz w:val="20"/>
                <w:szCs w:val="20"/>
              </w:rPr>
              <w:t>Average Burden per Response</w:t>
            </w:r>
          </w:p>
          <w:p w:rsidR="00DC0B71" w:rsidRPr="00171EF4" w:rsidP="002D02FE" w14:paraId="46F70FBB" w14:textId="77777777">
            <w:pPr>
              <w:jc w:val="center"/>
              <w:rPr>
                <w:sz w:val="20"/>
                <w:szCs w:val="20"/>
              </w:rPr>
            </w:pPr>
            <w:r w:rsidRPr="00171EF4">
              <w:rPr>
                <w:sz w:val="20"/>
                <w:szCs w:val="20"/>
              </w:rPr>
              <w:t>(in hours)</w:t>
            </w:r>
          </w:p>
        </w:tc>
        <w:tc>
          <w:tcPr>
            <w:tcW w:w="1169" w:type="dxa"/>
            <w:vAlign w:val="center"/>
          </w:tcPr>
          <w:p w:rsidR="00DC0B71" w:rsidRPr="00171EF4" w:rsidP="002D02FE" w14:paraId="0F23589F" w14:textId="77777777">
            <w:pPr>
              <w:jc w:val="center"/>
              <w:rPr>
                <w:sz w:val="20"/>
                <w:szCs w:val="20"/>
              </w:rPr>
            </w:pPr>
            <w:r w:rsidRPr="00171EF4">
              <w:rPr>
                <w:sz w:val="20"/>
                <w:szCs w:val="20"/>
              </w:rPr>
              <w:t>Total Burden Hours</w:t>
            </w:r>
          </w:p>
        </w:tc>
        <w:tc>
          <w:tcPr>
            <w:tcW w:w="1169" w:type="dxa"/>
            <w:vAlign w:val="center"/>
          </w:tcPr>
          <w:p w:rsidR="00DC0B71" w:rsidRPr="00171EF4" w:rsidP="002D02FE" w14:paraId="5A0B7D83" w14:textId="77777777">
            <w:pPr>
              <w:jc w:val="center"/>
              <w:rPr>
                <w:sz w:val="20"/>
                <w:szCs w:val="20"/>
              </w:rPr>
            </w:pPr>
            <w:r w:rsidRPr="00171EF4">
              <w:rPr>
                <w:sz w:val="20"/>
                <w:szCs w:val="20"/>
              </w:rPr>
              <w:t>Hourly Wage Rate</w:t>
            </w:r>
          </w:p>
        </w:tc>
        <w:tc>
          <w:tcPr>
            <w:tcW w:w="1169" w:type="dxa"/>
            <w:vAlign w:val="center"/>
          </w:tcPr>
          <w:p w:rsidR="00DC0B71" w:rsidRPr="00171EF4" w:rsidP="002D02FE" w14:paraId="05DAFBCF" w14:textId="77777777">
            <w:pPr>
              <w:jc w:val="center"/>
              <w:rPr>
                <w:sz w:val="20"/>
                <w:szCs w:val="20"/>
              </w:rPr>
            </w:pPr>
            <w:r w:rsidRPr="00171EF4">
              <w:rPr>
                <w:sz w:val="20"/>
                <w:szCs w:val="20"/>
              </w:rPr>
              <w:t>Total Respondent Costs</w:t>
            </w:r>
          </w:p>
        </w:tc>
      </w:tr>
      <w:tr w14:paraId="25639FAB" w14:textId="77777777" w:rsidTr="00CF1232">
        <w:tblPrEx>
          <w:tblW w:w="0" w:type="auto"/>
          <w:tblLayout w:type="fixed"/>
          <w:tblLook w:val="04A0"/>
        </w:tblPrEx>
        <w:tc>
          <w:tcPr>
            <w:tcW w:w="1168" w:type="dxa"/>
            <w:vAlign w:val="center"/>
          </w:tcPr>
          <w:p w:rsidR="00026C13" w:rsidRPr="00171EF4" w:rsidP="00026C13" w14:paraId="2C58F73E" w14:textId="0D593CA6">
            <w:pPr>
              <w:rPr>
                <w:rFonts w:cstheme="minorHAnsi"/>
                <w:color w:val="000000"/>
                <w:sz w:val="20"/>
                <w:szCs w:val="20"/>
              </w:rPr>
            </w:pPr>
            <w:r w:rsidRPr="00171EF4">
              <w:rPr>
                <w:rFonts w:cstheme="minorHAnsi"/>
                <w:color w:val="000000"/>
                <w:sz w:val="20"/>
                <w:szCs w:val="20"/>
              </w:rPr>
              <w:t>US Federal Laboratories</w:t>
            </w:r>
          </w:p>
        </w:tc>
        <w:tc>
          <w:tcPr>
            <w:tcW w:w="1169" w:type="dxa"/>
            <w:vAlign w:val="center"/>
          </w:tcPr>
          <w:p w:rsidR="00026C13" w:rsidRPr="00171EF4" w:rsidP="003A60E6" w14:paraId="6C11D59F" w14:textId="1C26D02E">
            <w:pPr>
              <w:rPr>
                <w:rFonts w:cs="ITCFranklinGothicStd-Book"/>
                <w:sz w:val="20"/>
                <w:szCs w:val="20"/>
              </w:rPr>
            </w:pPr>
            <w:r w:rsidRPr="00171EF4">
              <w:rPr>
                <w:rFonts w:cstheme="minorHAnsi"/>
                <w:sz w:val="20"/>
                <w:szCs w:val="20"/>
              </w:rPr>
              <w:t>Test Kit Application and Questions for US Laboratories</w:t>
            </w:r>
            <w:r w:rsidRPr="00171EF4">
              <w:rPr>
                <w:rFonts w:cstheme="minorHAnsi"/>
                <w:sz w:val="20"/>
                <w:szCs w:val="20"/>
              </w:rPr>
              <w:t xml:space="preserve"> </w:t>
            </w:r>
            <w:r w:rsidRPr="00171EF4">
              <w:rPr>
                <w:rFonts w:cstheme="minorHAnsi"/>
                <w:sz w:val="20"/>
                <w:szCs w:val="20"/>
              </w:rPr>
              <w:t>(online)</w:t>
            </w:r>
          </w:p>
        </w:tc>
        <w:tc>
          <w:tcPr>
            <w:tcW w:w="1169" w:type="dxa"/>
            <w:vAlign w:val="center"/>
          </w:tcPr>
          <w:p w:rsidR="00026C13" w:rsidRPr="00171EF4" w:rsidP="00026C13" w14:paraId="033D1546" w14:textId="5AF1AD9F">
            <w:pPr>
              <w:jc w:val="center"/>
              <w:rPr>
                <w:rFonts w:cstheme="minorHAnsi"/>
                <w:color w:val="000000"/>
                <w:sz w:val="20"/>
                <w:szCs w:val="20"/>
              </w:rPr>
            </w:pPr>
            <w:r w:rsidRPr="00171EF4">
              <w:rPr>
                <w:rFonts w:cstheme="minorHAnsi"/>
                <w:color w:val="000000"/>
                <w:sz w:val="20"/>
                <w:szCs w:val="20"/>
              </w:rPr>
              <w:t>200</w:t>
            </w:r>
          </w:p>
        </w:tc>
        <w:tc>
          <w:tcPr>
            <w:tcW w:w="1169" w:type="dxa"/>
            <w:vAlign w:val="center"/>
          </w:tcPr>
          <w:p w:rsidR="00026C13" w:rsidRPr="00171EF4" w:rsidP="00026C13" w14:paraId="5965D01B" w14:textId="07FAB1FE">
            <w:pPr>
              <w:jc w:val="center"/>
              <w:rPr>
                <w:color w:val="000000"/>
                <w:sz w:val="20"/>
                <w:szCs w:val="20"/>
              </w:rPr>
            </w:pPr>
            <w:r w:rsidRPr="00171EF4">
              <w:rPr>
                <w:color w:val="000000"/>
                <w:sz w:val="20"/>
                <w:szCs w:val="20"/>
              </w:rPr>
              <w:t>1</w:t>
            </w:r>
          </w:p>
        </w:tc>
        <w:tc>
          <w:tcPr>
            <w:tcW w:w="1168" w:type="dxa"/>
            <w:vAlign w:val="center"/>
          </w:tcPr>
          <w:p w:rsidR="00026C13" w:rsidRPr="00171EF4" w:rsidP="00026C13" w14:paraId="31ED860F" w14:textId="049E8DF3">
            <w:pPr>
              <w:jc w:val="center"/>
              <w:rPr>
                <w:color w:val="000000"/>
                <w:sz w:val="20"/>
                <w:szCs w:val="20"/>
              </w:rPr>
            </w:pPr>
            <w:r w:rsidRPr="00171EF4">
              <w:rPr>
                <w:color w:val="000000"/>
                <w:sz w:val="20"/>
                <w:szCs w:val="20"/>
              </w:rPr>
              <w:t>6/60</w:t>
            </w:r>
          </w:p>
        </w:tc>
        <w:tc>
          <w:tcPr>
            <w:tcW w:w="1169" w:type="dxa"/>
            <w:vAlign w:val="center"/>
          </w:tcPr>
          <w:p w:rsidR="00026C13" w:rsidRPr="00171EF4" w:rsidP="00026C13" w14:paraId="003CCDA9" w14:textId="51B846F1">
            <w:pPr>
              <w:jc w:val="center"/>
              <w:rPr>
                <w:rFonts w:cstheme="minorHAnsi"/>
                <w:color w:val="000000"/>
                <w:sz w:val="20"/>
                <w:szCs w:val="20"/>
              </w:rPr>
            </w:pPr>
            <w:r w:rsidRPr="00171EF4">
              <w:rPr>
                <w:rFonts w:cstheme="minorHAnsi"/>
                <w:color w:val="000000"/>
                <w:sz w:val="20"/>
                <w:szCs w:val="20"/>
              </w:rPr>
              <w:t>20</w:t>
            </w:r>
          </w:p>
        </w:tc>
        <w:tc>
          <w:tcPr>
            <w:tcW w:w="1169" w:type="dxa"/>
            <w:vAlign w:val="center"/>
          </w:tcPr>
          <w:p w:rsidR="00026C13" w:rsidRPr="00171EF4" w:rsidP="00026C13" w14:paraId="37AA8890" w14:textId="280B351C">
            <w:pPr>
              <w:jc w:val="center"/>
              <w:rPr>
                <w:sz w:val="20"/>
                <w:szCs w:val="20"/>
              </w:rPr>
            </w:pPr>
            <w:r w:rsidRPr="00171EF4">
              <w:rPr>
                <w:sz w:val="20"/>
                <w:szCs w:val="20"/>
              </w:rPr>
              <w:t>$38.81</w:t>
            </w:r>
          </w:p>
        </w:tc>
        <w:tc>
          <w:tcPr>
            <w:tcW w:w="1169" w:type="dxa"/>
            <w:vAlign w:val="center"/>
          </w:tcPr>
          <w:p w:rsidR="00026C13" w:rsidRPr="00171EF4" w:rsidP="00026C13" w14:paraId="2445D0AF" w14:textId="25867713">
            <w:pPr>
              <w:jc w:val="center"/>
              <w:rPr>
                <w:color w:val="000000"/>
                <w:sz w:val="20"/>
                <w:szCs w:val="20"/>
              </w:rPr>
            </w:pPr>
            <w:r w:rsidRPr="00A345D7">
              <w:rPr>
                <w:rFonts w:ascii="Calibri" w:hAnsi="Calibri" w:cs="Calibri"/>
                <w:color w:val="000000"/>
                <w:sz w:val="20"/>
                <w:szCs w:val="20"/>
              </w:rPr>
              <w:t>$776.20</w:t>
            </w:r>
          </w:p>
        </w:tc>
      </w:tr>
      <w:tr w14:paraId="79B0C325" w14:textId="77777777" w:rsidTr="00CF1232">
        <w:tblPrEx>
          <w:tblW w:w="0" w:type="auto"/>
          <w:tblLayout w:type="fixed"/>
          <w:tblLook w:val="04A0"/>
        </w:tblPrEx>
        <w:tc>
          <w:tcPr>
            <w:tcW w:w="1168" w:type="dxa"/>
            <w:vAlign w:val="center"/>
          </w:tcPr>
          <w:p w:rsidR="00026C13" w:rsidRPr="00171EF4" w:rsidP="00026C13" w14:paraId="792E29EE" w14:textId="4F3714BE">
            <w:pPr>
              <w:rPr>
                <w:rFonts w:cstheme="minorHAnsi"/>
                <w:color w:val="000000"/>
                <w:sz w:val="20"/>
                <w:szCs w:val="20"/>
              </w:rPr>
            </w:pPr>
            <w:r w:rsidRPr="00171EF4">
              <w:rPr>
                <w:rFonts w:cstheme="minorHAnsi"/>
                <w:color w:val="000000"/>
                <w:sz w:val="20"/>
                <w:szCs w:val="20"/>
              </w:rPr>
              <w:t>State, Local, and Tribal Government Laboratories</w:t>
            </w:r>
          </w:p>
        </w:tc>
        <w:tc>
          <w:tcPr>
            <w:tcW w:w="1169" w:type="dxa"/>
            <w:vAlign w:val="center"/>
          </w:tcPr>
          <w:p w:rsidR="00026C13" w:rsidRPr="00171EF4" w:rsidP="003A60E6" w14:paraId="7B0B91C2" w14:textId="4C3C4827">
            <w:pPr>
              <w:rPr>
                <w:rFonts w:cs="ITCFranklinGothicStd-Book"/>
                <w:sz w:val="20"/>
                <w:szCs w:val="20"/>
              </w:rPr>
            </w:pPr>
            <w:r w:rsidRPr="00171EF4">
              <w:rPr>
                <w:rFonts w:cstheme="minorHAnsi"/>
                <w:sz w:val="20"/>
                <w:szCs w:val="20"/>
              </w:rPr>
              <w:t>Test Kit Application and Questions for US Laboratories</w:t>
            </w:r>
            <w:r w:rsidRPr="00171EF4">
              <w:rPr>
                <w:rFonts w:cstheme="minorHAnsi"/>
                <w:sz w:val="20"/>
                <w:szCs w:val="20"/>
              </w:rPr>
              <w:t xml:space="preserve"> </w:t>
            </w:r>
            <w:r w:rsidRPr="00171EF4">
              <w:rPr>
                <w:rFonts w:cstheme="minorHAnsi"/>
                <w:sz w:val="20"/>
                <w:szCs w:val="20"/>
              </w:rPr>
              <w:t>(online)</w:t>
            </w:r>
          </w:p>
        </w:tc>
        <w:tc>
          <w:tcPr>
            <w:tcW w:w="1169" w:type="dxa"/>
            <w:vAlign w:val="center"/>
          </w:tcPr>
          <w:p w:rsidR="00026C13" w:rsidRPr="00171EF4" w:rsidP="00026C13" w14:paraId="05E3BAE3" w14:textId="5C695376">
            <w:pPr>
              <w:jc w:val="center"/>
              <w:rPr>
                <w:rFonts w:cstheme="minorHAnsi"/>
                <w:color w:val="000000"/>
                <w:sz w:val="20"/>
                <w:szCs w:val="20"/>
              </w:rPr>
            </w:pPr>
            <w:r w:rsidRPr="00171EF4">
              <w:rPr>
                <w:rFonts w:cstheme="minorHAnsi"/>
                <w:color w:val="000000"/>
                <w:sz w:val="20"/>
                <w:szCs w:val="20"/>
              </w:rPr>
              <w:t>200</w:t>
            </w:r>
          </w:p>
        </w:tc>
        <w:tc>
          <w:tcPr>
            <w:tcW w:w="1169" w:type="dxa"/>
            <w:vAlign w:val="center"/>
          </w:tcPr>
          <w:p w:rsidR="00026C13" w:rsidRPr="00171EF4" w:rsidP="00026C13" w14:paraId="0C85503D" w14:textId="0BC8563D">
            <w:pPr>
              <w:jc w:val="center"/>
              <w:rPr>
                <w:sz w:val="20"/>
                <w:szCs w:val="20"/>
              </w:rPr>
            </w:pPr>
            <w:r w:rsidRPr="00171EF4">
              <w:rPr>
                <w:color w:val="000000"/>
                <w:sz w:val="20"/>
                <w:szCs w:val="20"/>
              </w:rPr>
              <w:t>1</w:t>
            </w:r>
          </w:p>
        </w:tc>
        <w:tc>
          <w:tcPr>
            <w:tcW w:w="1168" w:type="dxa"/>
            <w:vAlign w:val="center"/>
          </w:tcPr>
          <w:p w:rsidR="00026C13" w:rsidRPr="00171EF4" w:rsidP="00026C13" w14:paraId="7163E95B" w14:textId="4FB3C476">
            <w:pPr>
              <w:jc w:val="center"/>
              <w:rPr>
                <w:sz w:val="20"/>
                <w:szCs w:val="20"/>
              </w:rPr>
            </w:pPr>
            <w:r w:rsidRPr="00171EF4">
              <w:rPr>
                <w:color w:val="000000"/>
                <w:sz w:val="20"/>
                <w:szCs w:val="20"/>
              </w:rPr>
              <w:t>6/60</w:t>
            </w:r>
          </w:p>
        </w:tc>
        <w:tc>
          <w:tcPr>
            <w:tcW w:w="1169" w:type="dxa"/>
            <w:vAlign w:val="center"/>
          </w:tcPr>
          <w:p w:rsidR="00026C13" w:rsidRPr="00171EF4" w:rsidP="00026C13" w14:paraId="20FC46EA" w14:textId="3FA8D80F">
            <w:pPr>
              <w:jc w:val="center"/>
              <w:rPr>
                <w:rFonts w:cstheme="minorHAnsi"/>
                <w:color w:val="000000"/>
                <w:sz w:val="20"/>
                <w:szCs w:val="20"/>
              </w:rPr>
            </w:pPr>
            <w:r w:rsidRPr="00171EF4">
              <w:rPr>
                <w:rFonts w:cstheme="minorHAnsi"/>
                <w:color w:val="000000"/>
                <w:sz w:val="20"/>
                <w:szCs w:val="20"/>
              </w:rPr>
              <w:t>20</w:t>
            </w:r>
          </w:p>
        </w:tc>
        <w:tc>
          <w:tcPr>
            <w:tcW w:w="1169" w:type="dxa"/>
            <w:vAlign w:val="center"/>
          </w:tcPr>
          <w:p w:rsidR="00026C13" w:rsidRPr="00171EF4" w:rsidP="00026C13" w14:paraId="0939466B" w14:textId="4A96D2EA">
            <w:pPr>
              <w:jc w:val="center"/>
              <w:rPr>
                <w:sz w:val="20"/>
                <w:szCs w:val="20"/>
              </w:rPr>
            </w:pPr>
            <w:r w:rsidRPr="00171EF4">
              <w:rPr>
                <w:sz w:val="20"/>
                <w:szCs w:val="20"/>
              </w:rPr>
              <w:t>$38.81</w:t>
            </w:r>
          </w:p>
        </w:tc>
        <w:tc>
          <w:tcPr>
            <w:tcW w:w="1169" w:type="dxa"/>
            <w:vAlign w:val="center"/>
          </w:tcPr>
          <w:p w:rsidR="00026C13" w:rsidRPr="00171EF4" w:rsidP="00026C13" w14:paraId="754F2E51" w14:textId="05DDB6B4">
            <w:pPr>
              <w:jc w:val="center"/>
              <w:rPr>
                <w:color w:val="000000"/>
                <w:sz w:val="20"/>
                <w:szCs w:val="20"/>
              </w:rPr>
            </w:pPr>
            <w:r w:rsidRPr="00A345D7">
              <w:rPr>
                <w:rFonts w:ascii="Calibri" w:hAnsi="Calibri" w:cs="Calibri"/>
                <w:color w:val="000000"/>
                <w:sz w:val="20"/>
                <w:szCs w:val="20"/>
              </w:rPr>
              <w:t xml:space="preserve">$776.20 </w:t>
            </w:r>
          </w:p>
        </w:tc>
      </w:tr>
      <w:tr w14:paraId="51BED948" w14:textId="77777777" w:rsidTr="00CF1232">
        <w:tblPrEx>
          <w:tblW w:w="0" w:type="auto"/>
          <w:tblLayout w:type="fixed"/>
          <w:tblLook w:val="04A0"/>
        </w:tblPrEx>
        <w:tc>
          <w:tcPr>
            <w:tcW w:w="1168" w:type="dxa"/>
            <w:vAlign w:val="center"/>
          </w:tcPr>
          <w:p w:rsidR="00026C13" w:rsidRPr="00171EF4" w:rsidP="00026C13" w14:paraId="36B7D995" w14:textId="7A5F84D7">
            <w:pPr>
              <w:rPr>
                <w:rFonts w:cstheme="minorHAnsi"/>
                <w:color w:val="000000"/>
                <w:sz w:val="20"/>
                <w:szCs w:val="20"/>
              </w:rPr>
            </w:pPr>
            <w:r w:rsidRPr="00171EF4">
              <w:rPr>
                <w:rFonts w:cstheme="minorHAnsi"/>
                <w:color w:val="000000"/>
                <w:sz w:val="20"/>
                <w:szCs w:val="20"/>
              </w:rPr>
              <w:t>Private or Not-for-</w:t>
            </w:r>
            <w:r w:rsidRPr="00171EF4">
              <w:rPr>
                <w:rFonts w:cstheme="minorHAnsi"/>
                <w:color w:val="000000"/>
                <w:sz w:val="20"/>
                <w:szCs w:val="20"/>
              </w:rPr>
              <w:t xml:space="preserve">Profit US Institutions  </w:t>
            </w:r>
          </w:p>
        </w:tc>
        <w:tc>
          <w:tcPr>
            <w:tcW w:w="1169" w:type="dxa"/>
            <w:vAlign w:val="center"/>
          </w:tcPr>
          <w:p w:rsidR="00026C13" w:rsidRPr="00171EF4" w:rsidP="003A60E6" w14:paraId="4622F6C1" w14:textId="70B0E85D">
            <w:pPr>
              <w:rPr>
                <w:rFonts w:cs="ITCFranklinGothicStd-Book"/>
                <w:sz w:val="20"/>
                <w:szCs w:val="20"/>
              </w:rPr>
            </w:pPr>
            <w:r w:rsidRPr="00171EF4">
              <w:rPr>
                <w:rFonts w:cstheme="minorHAnsi"/>
                <w:sz w:val="20"/>
                <w:szCs w:val="20"/>
              </w:rPr>
              <w:t xml:space="preserve">Test Kit Application and </w:t>
            </w:r>
            <w:r w:rsidRPr="00171EF4">
              <w:rPr>
                <w:rFonts w:cstheme="minorHAnsi"/>
                <w:sz w:val="20"/>
                <w:szCs w:val="20"/>
              </w:rPr>
              <w:t>Questions for US Laboratories</w:t>
            </w:r>
            <w:r w:rsidRPr="00171EF4">
              <w:rPr>
                <w:rFonts w:cstheme="minorHAnsi"/>
                <w:sz w:val="20"/>
                <w:szCs w:val="20"/>
              </w:rPr>
              <w:t xml:space="preserve"> </w:t>
            </w:r>
            <w:r w:rsidRPr="00171EF4">
              <w:rPr>
                <w:rFonts w:cstheme="minorHAnsi"/>
                <w:sz w:val="20"/>
                <w:szCs w:val="20"/>
              </w:rPr>
              <w:t>(online)</w:t>
            </w:r>
          </w:p>
        </w:tc>
        <w:tc>
          <w:tcPr>
            <w:tcW w:w="1169" w:type="dxa"/>
            <w:vAlign w:val="center"/>
          </w:tcPr>
          <w:p w:rsidR="00026C13" w:rsidRPr="00171EF4" w:rsidP="00026C13" w14:paraId="46612AD8" w14:textId="76050D24">
            <w:pPr>
              <w:jc w:val="center"/>
              <w:rPr>
                <w:rFonts w:cstheme="minorHAnsi"/>
                <w:color w:val="000000"/>
                <w:sz w:val="20"/>
                <w:szCs w:val="20"/>
              </w:rPr>
            </w:pPr>
            <w:r w:rsidRPr="00171EF4">
              <w:rPr>
                <w:rFonts w:cstheme="minorHAnsi"/>
                <w:color w:val="000000"/>
                <w:sz w:val="20"/>
                <w:szCs w:val="20"/>
              </w:rPr>
              <w:t>200</w:t>
            </w:r>
          </w:p>
        </w:tc>
        <w:tc>
          <w:tcPr>
            <w:tcW w:w="1169" w:type="dxa"/>
            <w:vAlign w:val="center"/>
          </w:tcPr>
          <w:p w:rsidR="00026C13" w:rsidRPr="00171EF4" w:rsidP="00026C13" w14:paraId="18B58D6B" w14:textId="331394B7">
            <w:pPr>
              <w:jc w:val="center"/>
              <w:rPr>
                <w:sz w:val="20"/>
                <w:szCs w:val="20"/>
              </w:rPr>
            </w:pPr>
            <w:r w:rsidRPr="00171EF4">
              <w:rPr>
                <w:color w:val="000000"/>
                <w:sz w:val="20"/>
                <w:szCs w:val="20"/>
              </w:rPr>
              <w:t>1</w:t>
            </w:r>
          </w:p>
        </w:tc>
        <w:tc>
          <w:tcPr>
            <w:tcW w:w="1168" w:type="dxa"/>
            <w:vAlign w:val="center"/>
          </w:tcPr>
          <w:p w:rsidR="00026C13" w:rsidRPr="00171EF4" w:rsidP="00026C13" w14:paraId="07FEF966" w14:textId="3AD627F2">
            <w:pPr>
              <w:jc w:val="center"/>
              <w:rPr>
                <w:sz w:val="20"/>
                <w:szCs w:val="20"/>
              </w:rPr>
            </w:pPr>
            <w:r w:rsidRPr="00171EF4">
              <w:rPr>
                <w:color w:val="000000"/>
                <w:sz w:val="20"/>
                <w:szCs w:val="20"/>
              </w:rPr>
              <w:t>6/60</w:t>
            </w:r>
          </w:p>
        </w:tc>
        <w:tc>
          <w:tcPr>
            <w:tcW w:w="1169" w:type="dxa"/>
            <w:vAlign w:val="center"/>
          </w:tcPr>
          <w:p w:rsidR="00026C13" w:rsidRPr="00171EF4" w:rsidP="00026C13" w14:paraId="5BB26205" w14:textId="4DCF38E3">
            <w:pPr>
              <w:jc w:val="center"/>
              <w:rPr>
                <w:rFonts w:cstheme="minorHAnsi"/>
                <w:color w:val="000000"/>
                <w:sz w:val="20"/>
                <w:szCs w:val="20"/>
              </w:rPr>
            </w:pPr>
            <w:r w:rsidRPr="00171EF4">
              <w:rPr>
                <w:rFonts w:cstheme="minorHAnsi"/>
                <w:color w:val="000000"/>
                <w:sz w:val="20"/>
                <w:szCs w:val="20"/>
              </w:rPr>
              <w:t>20</w:t>
            </w:r>
          </w:p>
        </w:tc>
        <w:tc>
          <w:tcPr>
            <w:tcW w:w="1169" w:type="dxa"/>
            <w:vAlign w:val="center"/>
          </w:tcPr>
          <w:p w:rsidR="00026C13" w:rsidRPr="00171EF4" w:rsidP="00026C13" w14:paraId="65673AD9" w14:textId="21AF7E27">
            <w:pPr>
              <w:jc w:val="center"/>
              <w:rPr>
                <w:sz w:val="20"/>
                <w:szCs w:val="20"/>
              </w:rPr>
            </w:pPr>
            <w:r w:rsidRPr="00171EF4">
              <w:rPr>
                <w:sz w:val="20"/>
                <w:szCs w:val="20"/>
              </w:rPr>
              <w:t>$38.81</w:t>
            </w:r>
          </w:p>
        </w:tc>
        <w:tc>
          <w:tcPr>
            <w:tcW w:w="1169" w:type="dxa"/>
            <w:vAlign w:val="center"/>
          </w:tcPr>
          <w:p w:rsidR="00026C13" w:rsidRPr="00171EF4" w:rsidP="00026C13" w14:paraId="4449794A" w14:textId="2D80D74D">
            <w:pPr>
              <w:jc w:val="center"/>
              <w:rPr>
                <w:color w:val="000000"/>
                <w:sz w:val="20"/>
                <w:szCs w:val="20"/>
              </w:rPr>
            </w:pPr>
            <w:r w:rsidRPr="00A345D7">
              <w:rPr>
                <w:rFonts w:ascii="Calibri" w:hAnsi="Calibri" w:cs="Calibri"/>
                <w:color w:val="000000"/>
                <w:sz w:val="20"/>
                <w:szCs w:val="20"/>
              </w:rPr>
              <w:t xml:space="preserve">$776.20 </w:t>
            </w:r>
          </w:p>
        </w:tc>
      </w:tr>
      <w:tr w14:paraId="01C0F36E" w14:textId="77777777" w:rsidTr="00830CB1">
        <w:tblPrEx>
          <w:tblW w:w="0" w:type="auto"/>
          <w:tblLayout w:type="fixed"/>
          <w:tblLook w:val="04A0"/>
        </w:tblPrEx>
        <w:tc>
          <w:tcPr>
            <w:tcW w:w="1168" w:type="dxa"/>
            <w:vAlign w:val="center"/>
          </w:tcPr>
          <w:p w:rsidR="002B2025" w:rsidRPr="00171EF4" w:rsidP="002B2025" w14:paraId="610E22A4" w14:textId="57C1E1FC">
            <w:pPr>
              <w:rPr>
                <w:sz w:val="20"/>
                <w:szCs w:val="20"/>
                <w:highlight w:val="yellow"/>
              </w:rPr>
            </w:pPr>
            <w:r>
              <w:rPr>
                <w:rFonts w:cstheme="minorHAnsi"/>
                <w:sz w:val="20"/>
                <w:szCs w:val="20"/>
              </w:rPr>
              <w:t>International Laboratories</w:t>
            </w:r>
          </w:p>
        </w:tc>
        <w:tc>
          <w:tcPr>
            <w:tcW w:w="1169" w:type="dxa"/>
            <w:vAlign w:val="center"/>
          </w:tcPr>
          <w:p w:rsidR="002B2025" w:rsidRPr="00171EF4" w:rsidP="002B2025" w14:paraId="7653D4E7" w14:textId="44076A45">
            <w:pPr>
              <w:rPr>
                <w:rFonts w:cs="ITCFranklinGothicStd-Book"/>
                <w:sz w:val="20"/>
                <w:szCs w:val="20"/>
                <w:highlight w:val="yellow"/>
              </w:rPr>
            </w:pPr>
            <w:r w:rsidRPr="00A345D7">
              <w:rPr>
                <w:rFonts w:cstheme="minorHAnsi"/>
                <w:sz w:val="20"/>
                <w:szCs w:val="20"/>
              </w:rPr>
              <w:t xml:space="preserve">Test Kit </w:t>
            </w:r>
            <w:r>
              <w:rPr>
                <w:rFonts w:cstheme="minorHAnsi"/>
                <w:sz w:val="20"/>
                <w:szCs w:val="20"/>
              </w:rPr>
              <w:t xml:space="preserve">Questions for </w:t>
            </w:r>
            <w:r w:rsidRPr="00A345D7">
              <w:rPr>
                <w:rFonts w:cstheme="minorHAnsi"/>
                <w:sz w:val="20"/>
                <w:szCs w:val="20"/>
              </w:rPr>
              <w:t>International Laboratories</w:t>
            </w:r>
          </w:p>
        </w:tc>
        <w:tc>
          <w:tcPr>
            <w:tcW w:w="1169" w:type="dxa"/>
            <w:vAlign w:val="center"/>
          </w:tcPr>
          <w:p w:rsidR="002B2025" w:rsidRPr="00A345D7" w:rsidP="002B2025" w14:paraId="091B8E45" w14:textId="6B84BE38">
            <w:pPr>
              <w:jc w:val="center"/>
              <w:rPr>
                <w:rFonts w:cstheme="minorHAnsi"/>
                <w:color w:val="000000"/>
                <w:sz w:val="20"/>
                <w:szCs w:val="20"/>
              </w:rPr>
            </w:pPr>
            <w:r>
              <w:rPr>
                <w:rFonts w:ascii="Calibri" w:hAnsi="Calibri" w:cs="Calibri"/>
                <w:color w:val="000000"/>
                <w:sz w:val="20"/>
                <w:szCs w:val="20"/>
              </w:rPr>
              <w:t>300</w:t>
            </w:r>
          </w:p>
        </w:tc>
        <w:tc>
          <w:tcPr>
            <w:tcW w:w="1169" w:type="dxa"/>
            <w:vAlign w:val="center"/>
          </w:tcPr>
          <w:p w:rsidR="002B2025" w:rsidRPr="00A345D7" w:rsidP="002B2025" w14:paraId="012D935C" w14:textId="5E824C6C">
            <w:pPr>
              <w:jc w:val="center"/>
              <w:rPr>
                <w:sz w:val="20"/>
                <w:szCs w:val="20"/>
              </w:rPr>
            </w:pPr>
            <w:r>
              <w:rPr>
                <w:rFonts w:ascii="Calibri" w:hAnsi="Calibri" w:cs="Calibri"/>
                <w:color w:val="000000"/>
                <w:sz w:val="20"/>
                <w:szCs w:val="20"/>
              </w:rPr>
              <w:t>1</w:t>
            </w:r>
          </w:p>
        </w:tc>
        <w:tc>
          <w:tcPr>
            <w:tcW w:w="1168" w:type="dxa"/>
            <w:vAlign w:val="center"/>
          </w:tcPr>
          <w:p w:rsidR="002B2025" w:rsidRPr="00A345D7" w:rsidP="002B2025" w14:paraId="4C7ADCEE" w14:textId="47BAC298">
            <w:pPr>
              <w:jc w:val="center"/>
              <w:rPr>
                <w:sz w:val="20"/>
                <w:szCs w:val="20"/>
              </w:rPr>
            </w:pPr>
            <w:r>
              <w:rPr>
                <w:rFonts w:ascii="Calibri" w:hAnsi="Calibri" w:cs="Calibri"/>
                <w:color w:val="000000"/>
                <w:sz w:val="20"/>
                <w:szCs w:val="20"/>
              </w:rPr>
              <w:t>4</w:t>
            </w:r>
            <w:r>
              <w:rPr>
                <w:rFonts w:ascii="Calibri" w:hAnsi="Calibri" w:cs="Calibri"/>
                <w:color w:val="000000"/>
                <w:sz w:val="20"/>
                <w:szCs w:val="20"/>
              </w:rPr>
              <w:t>/60</w:t>
            </w:r>
          </w:p>
        </w:tc>
        <w:tc>
          <w:tcPr>
            <w:tcW w:w="1169" w:type="dxa"/>
            <w:vAlign w:val="center"/>
          </w:tcPr>
          <w:p w:rsidR="002B2025" w:rsidRPr="00A345D7" w:rsidP="002B2025" w14:paraId="207A6C42" w14:textId="62C8289E">
            <w:pPr>
              <w:jc w:val="center"/>
              <w:rPr>
                <w:rFonts w:cstheme="minorHAnsi"/>
                <w:color w:val="000000"/>
                <w:sz w:val="20"/>
                <w:szCs w:val="20"/>
              </w:rPr>
            </w:pPr>
            <w:r>
              <w:rPr>
                <w:rFonts w:ascii="Calibri" w:hAnsi="Calibri" w:cs="Calibri"/>
                <w:color w:val="000000"/>
                <w:sz w:val="20"/>
                <w:szCs w:val="20"/>
              </w:rPr>
              <w:t>2</w:t>
            </w:r>
            <w:r w:rsidR="009D6DA7">
              <w:rPr>
                <w:rFonts w:ascii="Calibri" w:hAnsi="Calibri" w:cs="Calibri"/>
                <w:color w:val="000000"/>
                <w:sz w:val="20"/>
                <w:szCs w:val="20"/>
              </w:rPr>
              <w:t>0</w:t>
            </w:r>
          </w:p>
        </w:tc>
        <w:tc>
          <w:tcPr>
            <w:tcW w:w="1169" w:type="dxa"/>
            <w:vAlign w:val="center"/>
          </w:tcPr>
          <w:p w:rsidR="002B2025" w:rsidRPr="00A345D7" w:rsidP="002B2025" w14:paraId="1397DE18" w14:textId="33CB28B7">
            <w:pPr>
              <w:jc w:val="center"/>
              <w:rPr>
                <w:sz w:val="20"/>
                <w:szCs w:val="20"/>
              </w:rPr>
            </w:pPr>
            <w:r w:rsidRPr="00171EF4">
              <w:rPr>
                <w:sz w:val="20"/>
                <w:szCs w:val="20"/>
              </w:rPr>
              <w:t>$38.81</w:t>
            </w:r>
          </w:p>
        </w:tc>
        <w:tc>
          <w:tcPr>
            <w:tcW w:w="1169" w:type="dxa"/>
            <w:vAlign w:val="center"/>
          </w:tcPr>
          <w:p w:rsidR="002B2025" w:rsidRPr="00A345D7" w:rsidP="002B2025" w14:paraId="44300873" w14:textId="6F8B2F97">
            <w:pPr>
              <w:jc w:val="center"/>
              <w:rPr>
                <w:color w:val="000000"/>
                <w:sz w:val="20"/>
                <w:szCs w:val="20"/>
              </w:rPr>
            </w:pPr>
            <w:r>
              <w:rPr>
                <w:rFonts w:ascii="Calibri" w:hAnsi="Calibri" w:cs="Calibri"/>
                <w:color w:val="000000"/>
                <w:sz w:val="20"/>
                <w:szCs w:val="20"/>
              </w:rPr>
              <w:t>$</w:t>
            </w:r>
            <w:r w:rsidR="009D6DA7">
              <w:rPr>
                <w:rFonts w:ascii="Calibri" w:hAnsi="Calibri" w:cs="Calibri"/>
                <w:color w:val="000000"/>
                <w:sz w:val="20"/>
                <w:szCs w:val="20"/>
              </w:rPr>
              <w:t>776.20</w:t>
            </w:r>
          </w:p>
        </w:tc>
      </w:tr>
      <w:tr w14:paraId="7BE16ECA" w14:textId="77777777" w:rsidTr="00BB52F8">
        <w:tblPrEx>
          <w:tblW w:w="0" w:type="auto"/>
          <w:tblLayout w:type="fixed"/>
          <w:tblLook w:val="04A0"/>
        </w:tblPrEx>
        <w:tc>
          <w:tcPr>
            <w:tcW w:w="8181" w:type="dxa"/>
            <w:gridSpan w:val="7"/>
            <w:vAlign w:val="center"/>
          </w:tcPr>
          <w:p w:rsidR="002B2025" w:rsidRPr="00171EF4" w:rsidP="002B2025" w14:paraId="77550A78" w14:textId="11E61ED6">
            <w:pPr>
              <w:rPr>
                <w:sz w:val="20"/>
                <w:szCs w:val="20"/>
              </w:rPr>
            </w:pPr>
            <w:r w:rsidRPr="00171EF4">
              <w:rPr>
                <w:sz w:val="20"/>
                <w:szCs w:val="20"/>
              </w:rPr>
              <w:t>Total</w:t>
            </w:r>
          </w:p>
        </w:tc>
        <w:tc>
          <w:tcPr>
            <w:tcW w:w="1169" w:type="dxa"/>
            <w:vAlign w:val="bottom"/>
          </w:tcPr>
          <w:p w:rsidR="002B2025" w:rsidRPr="00A345D7" w:rsidP="002B2025" w14:paraId="147F8A18" w14:textId="6FD0B8AA">
            <w:pPr>
              <w:jc w:val="center"/>
              <w:rPr>
                <w:rFonts w:ascii="Calibri" w:hAnsi="Calibri" w:cs="Calibri"/>
                <w:color w:val="000000"/>
                <w:sz w:val="20"/>
                <w:szCs w:val="20"/>
              </w:rPr>
            </w:pPr>
            <w:r>
              <w:rPr>
                <w:rFonts w:ascii="Calibri" w:hAnsi="Calibri" w:cs="Calibri"/>
                <w:color w:val="000000"/>
                <w:sz w:val="22"/>
                <w:szCs w:val="22"/>
              </w:rPr>
              <w:t>$3,</w:t>
            </w:r>
            <w:r w:rsidR="009D6DA7">
              <w:rPr>
                <w:rFonts w:ascii="Calibri" w:hAnsi="Calibri" w:cs="Calibri"/>
                <w:color w:val="000000"/>
                <w:sz w:val="22"/>
                <w:szCs w:val="22"/>
              </w:rPr>
              <w:t>104</w:t>
            </w:r>
            <w:r>
              <w:rPr>
                <w:rFonts w:ascii="Calibri" w:hAnsi="Calibri" w:cs="Calibri"/>
                <w:color w:val="000000"/>
                <w:sz w:val="22"/>
                <w:szCs w:val="22"/>
              </w:rPr>
              <w:t>.8</w:t>
            </w:r>
            <w:r w:rsidR="009D6DA7">
              <w:rPr>
                <w:rFonts w:ascii="Calibri" w:hAnsi="Calibri" w:cs="Calibri"/>
                <w:color w:val="000000"/>
                <w:sz w:val="22"/>
                <w:szCs w:val="22"/>
              </w:rPr>
              <w:t>0</w:t>
            </w:r>
            <w:r>
              <w:rPr>
                <w:rFonts w:ascii="Calibri" w:hAnsi="Calibri" w:cs="Calibri"/>
                <w:color w:val="000000"/>
                <w:sz w:val="22"/>
                <w:szCs w:val="22"/>
              </w:rPr>
              <w:t xml:space="preserve"> </w:t>
            </w:r>
          </w:p>
        </w:tc>
      </w:tr>
    </w:tbl>
    <w:p w:rsidR="00B45002" w:rsidP="00601F1A" w14:paraId="051C67DE" w14:textId="6E9218F4">
      <w:pPr>
        <w:pStyle w:val="Heading1"/>
        <w:pBdr>
          <w:bottom w:val="none" w:sz="0" w:space="0" w:color="auto"/>
        </w:pBdr>
        <w:rPr>
          <w:color w:val="auto"/>
        </w:rPr>
      </w:pPr>
      <w:bookmarkStart w:id="40" w:name="_Toc31301603"/>
      <w:bookmarkStart w:id="41" w:name="_Toc121132858"/>
      <w:bookmarkEnd w:id="38"/>
      <w:r w:rsidRPr="00330F0A">
        <w:rPr>
          <w:color w:val="auto"/>
        </w:rPr>
        <w:t>A.</w:t>
      </w:r>
      <w:r w:rsidRPr="00330F0A" w:rsidR="00AC62CC">
        <w:rPr>
          <w:color w:val="auto"/>
        </w:rPr>
        <w:t xml:space="preserve">13.  </w:t>
      </w:r>
      <w:r w:rsidRPr="00330F0A">
        <w:rPr>
          <w:color w:val="auto"/>
        </w:rPr>
        <w:t>Estimates of Other Total Annual Cost Burden to Respondents and Record Keepers</w:t>
      </w:r>
      <w:bookmarkEnd w:id="40"/>
      <w:bookmarkEnd w:id="41"/>
    </w:p>
    <w:p w:rsidR="00A30707" w:rsidP="00A30707" w14:paraId="2082F277" w14:textId="5A9C7135"/>
    <w:p w:rsidR="00A30707" w:rsidRPr="00063261" w:rsidP="00063261" w14:paraId="3EAFDE03" w14:textId="07FE716A">
      <w:pPr>
        <w:autoSpaceDE w:val="0"/>
        <w:autoSpaceDN w:val="0"/>
        <w:adjustRightInd w:val="0"/>
        <w:spacing w:after="0" w:line="240" w:lineRule="auto"/>
        <w:rPr>
          <w:rFonts w:cs="ITCFranklinGothicStd-Book"/>
          <w:sz w:val="24"/>
          <w:szCs w:val="24"/>
        </w:rPr>
      </w:pPr>
      <w:r>
        <w:rPr>
          <w:rFonts w:cs="ITCFranklinGothicStd-Book"/>
          <w:sz w:val="24"/>
          <w:szCs w:val="24"/>
        </w:rPr>
        <w:t xml:space="preserve">The information system is designed to use existing hardware within </w:t>
      </w:r>
      <w:r w:rsidR="00493DCC">
        <w:rPr>
          <w:rFonts w:cs="ITCFranklinGothicStd-Book"/>
          <w:sz w:val="24"/>
          <w:szCs w:val="24"/>
        </w:rPr>
        <w:t>vendor</w:t>
      </w:r>
      <w:r w:rsidR="004B0C32">
        <w:rPr>
          <w:rFonts w:cs="ITCFranklinGothicStd-Book"/>
          <w:sz w:val="24"/>
          <w:szCs w:val="24"/>
        </w:rPr>
        <w:t xml:space="preserve"> and</w:t>
      </w:r>
      <w:r w:rsidR="00493DCC">
        <w:rPr>
          <w:rFonts w:cs="ITCFranklinGothicStd-Book"/>
          <w:sz w:val="24"/>
          <w:szCs w:val="24"/>
        </w:rPr>
        <w:t xml:space="preserve"> applicant</w:t>
      </w:r>
      <w:r>
        <w:rPr>
          <w:rFonts w:cs="ITCFranklinGothicStd-Book"/>
          <w:sz w:val="24"/>
          <w:szCs w:val="24"/>
        </w:rPr>
        <w:t xml:space="preserve"> sites. No capital or maintenance costs are expected. Additionally, there are no start-</w:t>
      </w:r>
      <w:r w:rsidR="00063261">
        <w:rPr>
          <w:rFonts w:cs="ITCFranklinGothicStd-Book"/>
          <w:sz w:val="24"/>
          <w:szCs w:val="24"/>
        </w:rPr>
        <w:t>up, hardware</w:t>
      </w:r>
      <w:r w:rsidR="00063F9C">
        <w:rPr>
          <w:rFonts w:cs="ITCFranklinGothicStd-Book"/>
          <w:sz w:val="24"/>
          <w:szCs w:val="24"/>
        </w:rPr>
        <w:t>,</w:t>
      </w:r>
      <w:r w:rsidR="00063261">
        <w:rPr>
          <w:rFonts w:cs="ITCFranklinGothicStd-Book"/>
          <w:sz w:val="24"/>
          <w:szCs w:val="24"/>
        </w:rPr>
        <w:t xml:space="preserve"> or software costs.</w:t>
      </w:r>
    </w:p>
    <w:p w:rsidR="00B45002" w:rsidP="00601F1A" w14:paraId="2DC96AD8" w14:textId="057CE55D">
      <w:pPr>
        <w:pStyle w:val="Heading1"/>
        <w:pBdr>
          <w:bottom w:val="none" w:sz="0" w:space="0" w:color="auto"/>
        </w:pBdr>
        <w:rPr>
          <w:color w:val="auto"/>
        </w:rPr>
      </w:pPr>
      <w:bookmarkStart w:id="42" w:name="_Toc31301604"/>
      <w:bookmarkStart w:id="43" w:name="_Toc121132859"/>
      <w:r w:rsidRPr="00653814">
        <w:rPr>
          <w:color w:val="auto"/>
        </w:rPr>
        <w:t>A.</w:t>
      </w:r>
      <w:r w:rsidRPr="00653814" w:rsidR="00AC62CC">
        <w:rPr>
          <w:color w:val="auto"/>
        </w:rPr>
        <w:t xml:space="preserve">14.  </w:t>
      </w:r>
      <w:r w:rsidRPr="00653814">
        <w:rPr>
          <w:color w:val="auto"/>
        </w:rPr>
        <w:t>Annualized Cost to the Federal Government</w:t>
      </w:r>
      <w:bookmarkEnd w:id="42"/>
      <w:bookmarkEnd w:id="43"/>
    </w:p>
    <w:p w:rsidR="00A30707" w:rsidP="00A30707" w14:paraId="57B8D08E" w14:textId="6825B372"/>
    <w:p w:rsidR="00236267" w:rsidP="00236267" w14:paraId="6A7F210C" w14:textId="7E06BF1E">
      <w:pPr>
        <w:autoSpaceDE w:val="0"/>
        <w:autoSpaceDN w:val="0"/>
        <w:adjustRightInd w:val="0"/>
        <w:spacing w:line="240" w:lineRule="auto"/>
        <w:rPr>
          <w:rFonts w:cs="ITCFranklinGothicStd-Book"/>
          <w:sz w:val="24"/>
          <w:szCs w:val="24"/>
        </w:rPr>
      </w:pPr>
      <w:r>
        <w:rPr>
          <w:rFonts w:cs="ITCFranklinGothicStd-Book"/>
          <w:sz w:val="24"/>
          <w:szCs w:val="24"/>
        </w:rPr>
        <w:t>Average annualized cost is $</w:t>
      </w:r>
      <w:r w:rsidR="00A96936">
        <w:rPr>
          <w:rFonts w:cs="ITCFranklinGothicStd-Book"/>
          <w:sz w:val="24"/>
          <w:szCs w:val="24"/>
        </w:rPr>
        <w:t>5,000,000</w:t>
      </w:r>
      <w:r>
        <w:rPr>
          <w:rFonts w:cs="ITCFranklinGothicStd-Book"/>
          <w:sz w:val="24"/>
          <w:szCs w:val="24"/>
        </w:rPr>
        <w:t xml:space="preserve"> or less.</w:t>
      </w:r>
      <w:r w:rsidR="007704BD">
        <w:rPr>
          <w:rFonts w:cs="ITCFranklinGothicStd-Book"/>
          <w:sz w:val="24"/>
          <w:szCs w:val="24"/>
        </w:rPr>
        <w:t xml:space="preserve"> This estimate was based on the following table:</w:t>
      </w:r>
    </w:p>
    <w:tbl>
      <w:tblPr>
        <w:tblStyle w:val="TableGrid"/>
        <w:tblW w:w="0" w:type="auto"/>
        <w:jc w:val="center"/>
        <w:tblLayout w:type="fixed"/>
        <w:tblLook w:val="04A0"/>
      </w:tblPr>
      <w:tblGrid>
        <w:gridCol w:w="3235"/>
        <w:gridCol w:w="1094"/>
        <w:gridCol w:w="1514"/>
        <w:gridCol w:w="1468"/>
        <w:gridCol w:w="1504"/>
      </w:tblGrid>
      <w:tr w14:paraId="13D461FF" w14:textId="77777777" w:rsidTr="0060321C">
        <w:tblPrEx>
          <w:tblW w:w="0" w:type="auto"/>
          <w:jc w:val="center"/>
          <w:tblLayout w:type="fixed"/>
          <w:tblLook w:val="04A0"/>
        </w:tblPrEx>
        <w:trPr>
          <w:jc w:val="center"/>
        </w:trPr>
        <w:tc>
          <w:tcPr>
            <w:tcW w:w="3235" w:type="dxa"/>
            <w:tcBorders>
              <w:top w:val="single" w:sz="4" w:space="0" w:color="auto"/>
              <w:left w:val="single" w:sz="4" w:space="0" w:color="auto"/>
              <w:bottom w:val="single" w:sz="4" w:space="0" w:color="auto"/>
              <w:right w:val="single" w:sz="4" w:space="0" w:color="auto"/>
            </w:tcBorders>
            <w:hideMark/>
          </w:tcPr>
          <w:p w:rsidR="007704BD" w:rsidRPr="002E55EC" w:rsidP="002D02FE" w14:paraId="54F8688C" w14:textId="77777777">
            <w:pPr>
              <w:rPr>
                <w:sz w:val="20"/>
                <w:szCs w:val="20"/>
              </w:rPr>
            </w:pPr>
            <w:r w:rsidRPr="002E55EC">
              <w:rPr>
                <w:sz w:val="20"/>
                <w:szCs w:val="20"/>
              </w:rPr>
              <w:t>Staff</w:t>
            </w:r>
          </w:p>
        </w:tc>
        <w:tc>
          <w:tcPr>
            <w:tcW w:w="1094" w:type="dxa"/>
            <w:tcBorders>
              <w:top w:val="single" w:sz="4" w:space="0" w:color="auto"/>
              <w:left w:val="single" w:sz="4" w:space="0" w:color="auto"/>
              <w:bottom w:val="single" w:sz="4" w:space="0" w:color="auto"/>
              <w:right w:val="single" w:sz="4" w:space="0" w:color="auto"/>
            </w:tcBorders>
            <w:hideMark/>
          </w:tcPr>
          <w:p w:rsidR="007704BD" w:rsidRPr="004250DD" w:rsidP="002D02FE" w14:paraId="58CF9607" w14:textId="77777777">
            <w:pPr>
              <w:jc w:val="center"/>
              <w:rPr>
                <w:sz w:val="20"/>
                <w:szCs w:val="20"/>
              </w:rPr>
            </w:pPr>
            <w:r w:rsidRPr="004250DD">
              <w:rPr>
                <w:sz w:val="20"/>
                <w:szCs w:val="20"/>
              </w:rPr>
              <w:t>GS Level</w:t>
            </w:r>
          </w:p>
        </w:tc>
        <w:tc>
          <w:tcPr>
            <w:tcW w:w="1514" w:type="dxa"/>
            <w:tcBorders>
              <w:top w:val="single" w:sz="4" w:space="0" w:color="auto"/>
              <w:left w:val="single" w:sz="4" w:space="0" w:color="auto"/>
              <w:bottom w:val="single" w:sz="4" w:space="0" w:color="auto"/>
              <w:right w:val="single" w:sz="4" w:space="0" w:color="auto"/>
            </w:tcBorders>
            <w:hideMark/>
          </w:tcPr>
          <w:p w:rsidR="007704BD" w:rsidRPr="00106EFF" w:rsidP="002D02FE" w14:paraId="2EBB7C36" w14:textId="6B9254BA">
            <w:pPr>
              <w:jc w:val="center"/>
              <w:rPr>
                <w:sz w:val="20"/>
                <w:szCs w:val="20"/>
              </w:rPr>
            </w:pPr>
            <w:r w:rsidRPr="00106EFF">
              <w:rPr>
                <w:sz w:val="20"/>
                <w:szCs w:val="20"/>
              </w:rPr>
              <w:t>Salary (20</w:t>
            </w:r>
            <w:r w:rsidR="005459D4">
              <w:rPr>
                <w:sz w:val="20"/>
                <w:szCs w:val="20"/>
              </w:rPr>
              <w:t>22</w:t>
            </w:r>
            <w:r w:rsidRPr="00106EFF">
              <w:rPr>
                <w:sz w:val="2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7704BD" w:rsidRPr="00E17A23" w:rsidP="002D02FE" w14:paraId="6998EC25" w14:textId="77777777">
            <w:pPr>
              <w:jc w:val="center"/>
              <w:rPr>
                <w:sz w:val="20"/>
                <w:szCs w:val="20"/>
              </w:rPr>
            </w:pPr>
            <w:r w:rsidRPr="00E17A23">
              <w:rPr>
                <w:sz w:val="20"/>
                <w:szCs w:val="20"/>
              </w:rPr>
              <w:t>% FTE</w:t>
            </w:r>
          </w:p>
        </w:tc>
        <w:tc>
          <w:tcPr>
            <w:tcW w:w="1504" w:type="dxa"/>
            <w:tcBorders>
              <w:top w:val="single" w:sz="4" w:space="0" w:color="auto"/>
              <w:left w:val="single" w:sz="4" w:space="0" w:color="auto"/>
              <w:bottom w:val="single" w:sz="4" w:space="0" w:color="auto"/>
              <w:right w:val="single" w:sz="4" w:space="0" w:color="auto"/>
            </w:tcBorders>
            <w:hideMark/>
          </w:tcPr>
          <w:p w:rsidR="007704BD" w:rsidRPr="002F1FD8" w:rsidP="002D02FE" w14:paraId="2AA8410D" w14:textId="77777777">
            <w:pPr>
              <w:jc w:val="center"/>
              <w:rPr>
                <w:sz w:val="20"/>
                <w:szCs w:val="20"/>
              </w:rPr>
            </w:pPr>
            <w:r w:rsidRPr="001D651F">
              <w:rPr>
                <w:sz w:val="20"/>
                <w:szCs w:val="20"/>
              </w:rPr>
              <w:t>$ Cost</w:t>
            </w:r>
          </w:p>
        </w:tc>
      </w:tr>
      <w:tr w14:paraId="36DA5EAB" w14:textId="77777777" w:rsidTr="0060321C">
        <w:tblPrEx>
          <w:tblW w:w="0" w:type="auto"/>
          <w:jc w:val="center"/>
          <w:tblLayout w:type="fixed"/>
          <w:tblLook w:val="04A0"/>
        </w:tblPrEx>
        <w:trPr>
          <w:jc w:val="center"/>
        </w:trPr>
        <w:tc>
          <w:tcPr>
            <w:tcW w:w="3235" w:type="dxa"/>
            <w:tcBorders>
              <w:top w:val="single" w:sz="4" w:space="0" w:color="auto"/>
              <w:left w:val="single" w:sz="4" w:space="0" w:color="auto"/>
              <w:bottom w:val="single" w:sz="4" w:space="0" w:color="auto"/>
              <w:right w:val="single" w:sz="4" w:space="0" w:color="auto"/>
            </w:tcBorders>
          </w:tcPr>
          <w:p w:rsidR="007704BD" w:rsidRPr="002E55EC" w:rsidP="002D02FE" w14:paraId="47740C8A" w14:textId="7313ADD7">
            <w:pPr>
              <w:rPr>
                <w:sz w:val="20"/>
                <w:szCs w:val="20"/>
              </w:rPr>
            </w:pPr>
            <w:r w:rsidRPr="002E55EC">
              <w:rPr>
                <w:sz w:val="20"/>
                <w:szCs w:val="20"/>
              </w:rPr>
              <w:t>Project Officer, Senior Service Fellow</w:t>
            </w:r>
          </w:p>
        </w:tc>
        <w:tc>
          <w:tcPr>
            <w:tcW w:w="1094" w:type="dxa"/>
            <w:tcBorders>
              <w:top w:val="single" w:sz="4" w:space="0" w:color="auto"/>
              <w:left w:val="single" w:sz="4" w:space="0" w:color="auto"/>
              <w:bottom w:val="single" w:sz="4" w:space="0" w:color="auto"/>
              <w:right w:val="single" w:sz="4" w:space="0" w:color="auto"/>
            </w:tcBorders>
            <w:vAlign w:val="center"/>
          </w:tcPr>
          <w:p w:rsidR="007704BD" w:rsidRPr="004250DD" w:rsidP="002D02FE" w14:paraId="4A11DD01" w14:textId="25B9CD2C">
            <w:pPr>
              <w:jc w:val="center"/>
              <w:rPr>
                <w:sz w:val="20"/>
                <w:szCs w:val="20"/>
              </w:rPr>
            </w:pPr>
            <w:r w:rsidRPr="004250DD">
              <w:rPr>
                <w:sz w:val="20"/>
                <w:szCs w:val="20"/>
              </w:rPr>
              <w:t>13</w:t>
            </w:r>
          </w:p>
        </w:tc>
        <w:tc>
          <w:tcPr>
            <w:tcW w:w="1514" w:type="dxa"/>
            <w:tcBorders>
              <w:top w:val="single" w:sz="4" w:space="0" w:color="auto"/>
              <w:left w:val="single" w:sz="4" w:space="0" w:color="auto"/>
              <w:bottom w:val="single" w:sz="4" w:space="0" w:color="auto"/>
              <w:right w:val="single" w:sz="4" w:space="0" w:color="auto"/>
            </w:tcBorders>
            <w:vAlign w:val="center"/>
          </w:tcPr>
          <w:p w:rsidR="007704BD" w:rsidRPr="00106EFF" w:rsidP="002D02FE" w14:paraId="2A584528" w14:textId="67C94DF7">
            <w:pPr>
              <w:jc w:val="center"/>
              <w:rPr>
                <w:sz w:val="20"/>
                <w:szCs w:val="20"/>
              </w:rPr>
            </w:pPr>
            <w:r w:rsidRPr="00106EFF">
              <w:rPr>
                <w:sz w:val="20"/>
                <w:szCs w:val="20"/>
              </w:rPr>
              <w:t>$</w:t>
            </w:r>
            <w:r w:rsidR="00F57C3F">
              <w:rPr>
                <w:sz w:val="20"/>
                <w:szCs w:val="20"/>
              </w:rPr>
              <w:t>106,234</w:t>
            </w:r>
          </w:p>
        </w:tc>
        <w:tc>
          <w:tcPr>
            <w:tcW w:w="1468" w:type="dxa"/>
            <w:tcBorders>
              <w:top w:val="single" w:sz="4" w:space="0" w:color="auto"/>
              <w:left w:val="single" w:sz="4" w:space="0" w:color="auto"/>
              <w:bottom w:val="single" w:sz="4" w:space="0" w:color="auto"/>
              <w:right w:val="single" w:sz="4" w:space="0" w:color="auto"/>
            </w:tcBorders>
            <w:vAlign w:val="center"/>
          </w:tcPr>
          <w:p w:rsidR="007704BD" w:rsidRPr="00E17A23" w:rsidP="002D02FE" w14:paraId="1761E88D" w14:textId="3AC9613D">
            <w:pPr>
              <w:jc w:val="center"/>
              <w:rPr>
                <w:sz w:val="20"/>
                <w:szCs w:val="20"/>
              </w:rPr>
            </w:pPr>
            <w:r w:rsidRPr="00E17A23">
              <w:rPr>
                <w:sz w:val="20"/>
                <w:szCs w:val="20"/>
              </w:rPr>
              <w:t>10%</w:t>
            </w:r>
          </w:p>
        </w:tc>
        <w:tc>
          <w:tcPr>
            <w:tcW w:w="1504" w:type="dxa"/>
            <w:tcBorders>
              <w:top w:val="single" w:sz="4" w:space="0" w:color="auto"/>
              <w:left w:val="single" w:sz="4" w:space="0" w:color="auto"/>
              <w:bottom w:val="single" w:sz="4" w:space="0" w:color="auto"/>
              <w:right w:val="single" w:sz="4" w:space="0" w:color="auto"/>
            </w:tcBorders>
            <w:vAlign w:val="center"/>
          </w:tcPr>
          <w:p w:rsidR="007704BD" w:rsidRPr="002F1FD8" w:rsidP="002D02FE" w14:paraId="2223149C" w14:textId="30C0FA3D">
            <w:pPr>
              <w:jc w:val="right"/>
              <w:rPr>
                <w:color w:val="000000"/>
                <w:sz w:val="20"/>
                <w:szCs w:val="20"/>
              </w:rPr>
            </w:pPr>
            <w:r w:rsidRPr="001D651F">
              <w:rPr>
                <w:color w:val="000000"/>
                <w:sz w:val="20"/>
                <w:szCs w:val="20"/>
              </w:rPr>
              <w:t>$</w:t>
            </w:r>
            <w:r w:rsidR="00D74814">
              <w:rPr>
                <w:color w:val="000000"/>
                <w:sz w:val="20"/>
                <w:szCs w:val="20"/>
              </w:rPr>
              <w:t>10,623</w:t>
            </w:r>
            <w:r w:rsidR="00807E6D">
              <w:rPr>
                <w:color w:val="000000"/>
                <w:sz w:val="20"/>
                <w:szCs w:val="20"/>
              </w:rPr>
              <w:t>.40</w:t>
            </w:r>
            <w:r w:rsidRPr="001D651F">
              <w:rPr>
                <w:color w:val="000000"/>
                <w:sz w:val="20"/>
                <w:szCs w:val="20"/>
              </w:rPr>
              <w:t xml:space="preserve"> </w:t>
            </w:r>
          </w:p>
        </w:tc>
      </w:tr>
      <w:tr w14:paraId="568FD165" w14:textId="77777777" w:rsidTr="0060321C">
        <w:tblPrEx>
          <w:tblW w:w="0" w:type="auto"/>
          <w:jc w:val="center"/>
          <w:tblLayout w:type="fixed"/>
          <w:tblLook w:val="04A0"/>
        </w:tblPrEx>
        <w:trPr>
          <w:jc w:val="center"/>
        </w:trPr>
        <w:tc>
          <w:tcPr>
            <w:tcW w:w="3235" w:type="dxa"/>
            <w:tcBorders>
              <w:top w:val="single" w:sz="4" w:space="0" w:color="auto"/>
              <w:left w:val="single" w:sz="4" w:space="0" w:color="auto"/>
              <w:bottom w:val="single" w:sz="4" w:space="0" w:color="auto"/>
              <w:right w:val="single" w:sz="4" w:space="0" w:color="auto"/>
            </w:tcBorders>
          </w:tcPr>
          <w:p w:rsidR="007704BD" w:rsidRPr="002E55EC" w:rsidP="002D02FE" w14:paraId="726E9039" w14:textId="764CB326">
            <w:pPr>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rsidR="007704BD" w:rsidRPr="004250DD" w:rsidP="002D02FE" w14:paraId="169FCD33" w14:textId="7781B376">
            <w:pPr>
              <w:jc w:val="center"/>
              <w:rPr>
                <w:sz w:val="20"/>
                <w:szCs w:val="20"/>
              </w:rPr>
            </w:pPr>
          </w:p>
        </w:tc>
        <w:tc>
          <w:tcPr>
            <w:tcW w:w="1514" w:type="dxa"/>
            <w:tcBorders>
              <w:top w:val="single" w:sz="4" w:space="0" w:color="auto"/>
              <w:left w:val="single" w:sz="4" w:space="0" w:color="auto"/>
              <w:bottom w:val="single" w:sz="4" w:space="0" w:color="auto"/>
              <w:right w:val="single" w:sz="4" w:space="0" w:color="auto"/>
            </w:tcBorders>
            <w:vAlign w:val="center"/>
          </w:tcPr>
          <w:p w:rsidR="007704BD" w:rsidRPr="00106EFF" w:rsidP="002D02FE" w14:paraId="0B8FE5FD" w14:textId="45CE9D0B">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vAlign w:val="center"/>
          </w:tcPr>
          <w:p w:rsidR="007704BD" w:rsidRPr="00E17A23" w:rsidP="002D02FE" w14:paraId="2A76C0D3" w14:textId="226B8D7C">
            <w:pPr>
              <w:jc w:val="center"/>
              <w:rPr>
                <w:sz w:val="20"/>
                <w:szCs w:val="20"/>
              </w:rPr>
            </w:pPr>
          </w:p>
        </w:tc>
        <w:tc>
          <w:tcPr>
            <w:tcW w:w="1504" w:type="dxa"/>
            <w:tcBorders>
              <w:top w:val="single" w:sz="4" w:space="0" w:color="auto"/>
              <w:left w:val="single" w:sz="4" w:space="0" w:color="auto"/>
              <w:bottom w:val="single" w:sz="4" w:space="0" w:color="auto"/>
              <w:right w:val="single" w:sz="4" w:space="0" w:color="auto"/>
            </w:tcBorders>
            <w:vAlign w:val="center"/>
          </w:tcPr>
          <w:p w:rsidR="007704BD" w:rsidRPr="002F1FD8" w:rsidP="002D02FE" w14:paraId="28D0350C" w14:textId="131F8366">
            <w:pPr>
              <w:jc w:val="right"/>
              <w:rPr>
                <w:color w:val="000000"/>
                <w:sz w:val="20"/>
                <w:szCs w:val="20"/>
              </w:rPr>
            </w:pPr>
          </w:p>
        </w:tc>
      </w:tr>
      <w:tr w14:paraId="64A29F5A" w14:textId="77777777" w:rsidTr="0060321C">
        <w:tblPrEx>
          <w:tblW w:w="0" w:type="auto"/>
          <w:jc w:val="center"/>
          <w:tblLayout w:type="fixed"/>
          <w:tblLook w:val="04A0"/>
        </w:tblPrEx>
        <w:trPr>
          <w:jc w:val="center"/>
        </w:trPr>
        <w:tc>
          <w:tcPr>
            <w:tcW w:w="3235" w:type="dxa"/>
            <w:tcBorders>
              <w:top w:val="single" w:sz="4" w:space="0" w:color="auto"/>
              <w:left w:val="single" w:sz="4" w:space="0" w:color="auto"/>
              <w:bottom w:val="double" w:sz="4" w:space="0" w:color="auto"/>
              <w:right w:val="single" w:sz="4" w:space="0" w:color="auto"/>
            </w:tcBorders>
          </w:tcPr>
          <w:p w:rsidR="007704BD" w:rsidRPr="002E55EC" w:rsidP="002D02FE" w14:paraId="6660E6D5" w14:textId="0294B2BF">
            <w:pPr>
              <w:rPr>
                <w:sz w:val="20"/>
                <w:szCs w:val="20"/>
              </w:rPr>
            </w:pPr>
            <w:r w:rsidRPr="002E55EC">
              <w:rPr>
                <w:sz w:val="20"/>
                <w:szCs w:val="20"/>
              </w:rPr>
              <w:t xml:space="preserve">Salary </w:t>
            </w:r>
            <w:r w:rsidRPr="002E55EC" w:rsidR="00D87867">
              <w:rPr>
                <w:sz w:val="20"/>
                <w:szCs w:val="20"/>
              </w:rPr>
              <w:t>Sub-total</w:t>
            </w:r>
          </w:p>
        </w:tc>
        <w:tc>
          <w:tcPr>
            <w:tcW w:w="1094" w:type="dxa"/>
            <w:tcBorders>
              <w:top w:val="single" w:sz="4" w:space="0" w:color="auto"/>
              <w:left w:val="single" w:sz="4" w:space="0" w:color="auto"/>
              <w:bottom w:val="double" w:sz="4" w:space="0" w:color="auto"/>
              <w:right w:val="single" w:sz="4" w:space="0" w:color="auto"/>
            </w:tcBorders>
          </w:tcPr>
          <w:p w:rsidR="007704BD" w:rsidRPr="004250DD" w:rsidP="002D02FE" w14:paraId="2E845CBC" w14:textId="77777777">
            <w:pPr>
              <w:jc w:val="center"/>
              <w:rPr>
                <w:sz w:val="20"/>
                <w:szCs w:val="20"/>
              </w:rPr>
            </w:pPr>
          </w:p>
        </w:tc>
        <w:tc>
          <w:tcPr>
            <w:tcW w:w="1514" w:type="dxa"/>
            <w:tcBorders>
              <w:top w:val="single" w:sz="4" w:space="0" w:color="auto"/>
              <w:left w:val="single" w:sz="4" w:space="0" w:color="auto"/>
              <w:bottom w:val="double" w:sz="4" w:space="0" w:color="auto"/>
              <w:right w:val="single" w:sz="4" w:space="0" w:color="auto"/>
            </w:tcBorders>
          </w:tcPr>
          <w:p w:rsidR="007704BD" w:rsidRPr="00106EFF" w:rsidP="002D02FE" w14:paraId="26E66C98" w14:textId="77777777">
            <w:pPr>
              <w:jc w:val="center"/>
              <w:rPr>
                <w:sz w:val="20"/>
                <w:szCs w:val="20"/>
              </w:rPr>
            </w:pPr>
          </w:p>
        </w:tc>
        <w:tc>
          <w:tcPr>
            <w:tcW w:w="1468" w:type="dxa"/>
            <w:tcBorders>
              <w:top w:val="single" w:sz="4" w:space="0" w:color="auto"/>
              <w:left w:val="single" w:sz="4" w:space="0" w:color="auto"/>
              <w:bottom w:val="double" w:sz="4" w:space="0" w:color="auto"/>
              <w:right w:val="single" w:sz="4" w:space="0" w:color="auto"/>
            </w:tcBorders>
          </w:tcPr>
          <w:p w:rsidR="007704BD" w:rsidRPr="00E17A23" w:rsidP="002D02FE" w14:paraId="70E0C3F4" w14:textId="77777777">
            <w:pPr>
              <w:jc w:val="center"/>
              <w:rPr>
                <w:sz w:val="20"/>
                <w:szCs w:val="20"/>
              </w:rPr>
            </w:pPr>
          </w:p>
        </w:tc>
        <w:tc>
          <w:tcPr>
            <w:tcW w:w="1504" w:type="dxa"/>
            <w:tcBorders>
              <w:top w:val="single" w:sz="4" w:space="0" w:color="auto"/>
              <w:left w:val="single" w:sz="4" w:space="0" w:color="auto"/>
              <w:bottom w:val="double" w:sz="4" w:space="0" w:color="auto"/>
              <w:right w:val="single" w:sz="4" w:space="0" w:color="auto"/>
            </w:tcBorders>
            <w:vAlign w:val="center"/>
          </w:tcPr>
          <w:p w:rsidR="007704BD" w:rsidRPr="001D651F" w:rsidP="0067446A" w14:paraId="79CA6571" w14:textId="3B00A01E">
            <w:pPr>
              <w:jc w:val="right"/>
              <w:rPr>
                <w:color w:val="000000"/>
                <w:sz w:val="20"/>
                <w:szCs w:val="20"/>
              </w:rPr>
            </w:pPr>
            <w:r w:rsidRPr="00E17A23">
              <w:rPr>
                <w:sz w:val="20"/>
                <w:szCs w:val="20"/>
              </w:rPr>
              <w:t>$</w:t>
            </w:r>
            <w:r w:rsidR="00CB148C">
              <w:rPr>
                <w:sz w:val="20"/>
                <w:szCs w:val="20"/>
              </w:rPr>
              <w:t>10,623.40</w:t>
            </w:r>
          </w:p>
        </w:tc>
      </w:tr>
      <w:tr w14:paraId="42D2CC54" w14:textId="77777777" w:rsidTr="002D02FE">
        <w:tblPrEx>
          <w:tblW w:w="0" w:type="auto"/>
          <w:jc w:val="center"/>
          <w:tblLayout w:type="fixed"/>
          <w:tblLook w:val="04A0"/>
        </w:tblPrEx>
        <w:trPr>
          <w:jc w:val="center"/>
        </w:trPr>
        <w:tc>
          <w:tcPr>
            <w:tcW w:w="7311" w:type="dxa"/>
            <w:gridSpan w:val="4"/>
            <w:tcBorders>
              <w:top w:val="double" w:sz="4" w:space="0" w:color="auto"/>
              <w:left w:val="single" w:sz="4" w:space="0" w:color="auto"/>
              <w:bottom w:val="single" w:sz="4" w:space="0" w:color="auto"/>
              <w:right w:val="single" w:sz="4" w:space="0" w:color="auto"/>
            </w:tcBorders>
            <w:hideMark/>
          </w:tcPr>
          <w:p w:rsidR="007704BD" w:rsidRPr="002E55EC" w:rsidP="002D02FE" w14:paraId="4DC830E9" w14:textId="77777777">
            <w:pPr>
              <w:rPr>
                <w:sz w:val="20"/>
                <w:szCs w:val="20"/>
              </w:rPr>
            </w:pPr>
            <w:r w:rsidRPr="002E55EC">
              <w:rPr>
                <w:sz w:val="20"/>
                <w:szCs w:val="20"/>
              </w:rPr>
              <w:t>Other Annualized Costs</w:t>
            </w:r>
          </w:p>
        </w:tc>
        <w:tc>
          <w:tcPr>
            <w:tcW w:w="1504" w:type="dxa"/>
            <w:tcBorders>
              <w:top w:val="double" w:sz="4" w:space="0" w:color="auto"/>
              <w:left w:val="single" w:sz="4" w:space="0" w:color="auto"/>
              <w:bottom w:val="single" w:sz="4" w:space="0" w:color="auto"/>
              <w:right w:val="single" w:sz="4" w:space="0" w:color="auto"/>
            </w:tcBorders>
            <w:hideMark/>
          </w:tcPr>
          <w:p w:rsidR="007704BD" w:rsidRPr="004250DD" w:rsidP="002D02FE" w14:paraId="14094618" w14:textId="77777777">
            <w:pPr>
              <w:jc w:val="center"/>
              <w:rPr>
                <w:sz w:val="20"/>
                <w:szCs w:val="20"/>
              </w:rPr>
            </w:pPr>
            <w:r w:rsidRPr="004250DD">
              <w:rPr>
                <w:sz w:val="20"/>
                <w:szCs w:val="20"/>
              </w:rPr>
              <w:t>$ Cost</w:t>
            </w:r>
          </w:p>
        </w:tc>
      </w:tr>
      <w:tr w14:paraId="751D005A" w14:textId="77777777" w:rsidTr="002D02FE">
        <w:tblPrEx>
          <w:tblW w:w="0" w:type="auto"/>
          <w:jc w:val="center"/>
          <w:tblLayout w:type="fixed"/>
          <w:tblLook w:val="04A0"/>
        </w:tblPrEx>
        <w:trPr>
          <w:jc w:val="center"/>
        </w:trPr>
        <w:tc>
          <w:tcPr>
            <w:tcW w:w="7311" w:type="dxa"/>
            <w:gridSpan w:val="4"/>
            <w:tcBorders>
              <w:top w:val="double" w:sz="4" w:space="0" w:color="auto"/>
              <w:left w:val="single" w:sz="4" w:space="0" w:color="auto"/>
              <w:bottom w:val="single" w:sz="4" w:space="0" w:color="auto"/>
              <w:right w:val="single" w:sz="4" w:space="0" w:color="auto"/>
            </w:tcBorders>
          </w:tcPr>
          <w:p w:rsidR="00A96936" w:rsidRPr="002E55EC" w:rsidP="002D02FE" w14:paraId="63CEE6DA" w14:textId="4DA98942">
            <w:pPr>
              <w:rPr>
                <w:sz w:val="20"/>
                <w:szCs w:val="20"/>
              </w:rPr>
            </w:pPr>
            <w:r w:rsidRPr="002E55EC">
              <w:rPr>
                <w:sz w:val="20"/>
                <w:szCs w:val="20"/>
              </w:rPr>
              <w:t>Travel</w:t>
            </w:r>
          </w:p>
        </w:tc>
        <w:tc>
          <w:tcPr>
            <w:tcW w:w="1504" w:type="dxa"/>
            <w:tcBorders>
              <w:top w:val="double" w:sz="4" w:space="0" w:color="auto"/>
              <w:left w:val="single" w:sz="4" w:space="0" w:color="auto"/>
              <w:bottom w:val="single" w:sz="4" w:space="0" w:color="auto"/>
              <w:right w:val="single" w:sz="4" w:space="0" w:color="auto"/>
            </w:tcBorders>
          </w:tcPr>
          <w:p w:rsidR="00A96936" w:rsidRPr="004250DD" w:rsidP="0060321C" w14:paraId="137B1D3A" w14:textId="6A186E2D">
            <w:pPr>
              <w:jc w:val="right"/>
              <w:rPr>
                <w:sz w:val="20"/>
                <w:szCs w:val="20"/>
              </w:rPr>
            </w:pPr>
            <w:r w:rsidRPr="004250DD">
              <w:rPr>
                <w:sz w:val="20"/>
                <w:szCs w:val="20"/>
              </w:rPr>
              <w:t>$20,000.00</w:t>
            </w:r>
          </w:p>
        </w:tc>
      </w:tr>
      <w:tr w14:paraId="331BBFA6" w14:textId="77777777" w:rsidTr="002D02FE">
        <w:tblPrEx>
          <w:tblW w:w="0" w:type="auto"/>
          <w:jc w:val="center"/>
          <w:tblLayout w:type="fixed"/>
          <w:tblLook w:val="04A0"/>
        </w:tblPrEx>
        <w:trPr>
          <w:jc w:val="center"/>
        </w:trPr>
        <w:tc>
          <w:tcPr>
            <w:tcW w:w="7311" w:type="dxa"/>
            <w:gridSpan w:val="4"/>
            <w:tcBorders>
              <w:top w:val="single" w:sz="4" w:space="0" w:color="auto"/>
              <w:left w:val="single" w:sz="4" w:space="0" w:color="auto"/>
              <w:bottom w:val="single" w:sz="4" w:space="0" w:color="auto"/>
              <w:right w:val="single" w:sz="4" w:space="0" w:color="auto"/>
            </w:tcBorders>
            <w:hideMark/>
          </w:tcPr>
          <w:p w:rsidR="007704BD" w:rsidRPr="002E55EC" w:rsidP="002D02FE" w14:paraId="2BF5828A" w14:textId="77777777">
            <w:pPr>
              <w:rPr>
                <w:sz w:val="20"/>
                <w:szCs w:val="20"/>
              </w:rPr>
            </w:pPr>
            <w:r w:rsidRPr="002E55EC">
              <w:rPr>
                <w:sz w:val="20"/>
                <w:szCs w:val="20"/>
              </w:rPr>
              <w:t>Contracts</w:t>
            </w:r>
          </w:p>
        </w:tc>
        <w:tc>
          <w:tcPr>
            <w:tcW w:w="1504" w:type="dxa"/>
            <w:tcBorders>
              <w:top w:val="single" w:sz="4" w:space="0" w:color="auto"/>
              <w:left w:val="single" w:sz="4" w:space="0" w:color="auto"/>
              <w:bottom w:val="single" w:sz="4" w:space="0" w:color="auto"/>
              <w:right w:val="single" w:sz="4" w:space="0" w:color="auto"/>
            </w:tcBorders>
          </w:tcPr>
          <w:p w:rsidR="007704BD" w:rsidRPr="004250DD" w:rsidP="002D02FE" w14:paraId="049DC1AD" w14:textId="77777777">
            <w:pPr>
              <w:jc w:val="right"/>
              <w:rPr>
                <w:sz w:val="20"/>
                <w:szCs w:val="20"/>
              </w:rPr>
            </w:pPr>
          </w:p>
        </w:tc>
      </w:tr>
      <w:tr w14:paraId="6C8058E5" w14:textId="77777777" w:rsidTr="002D02FE">
        <w:tblPrEx>
          <w:tblW w:w="0" w:type="auto"/>
          <w:jc w:val="center"/>
          <w:tblLayout w:type="fixed"/>
          <w:tblLook w:val="04A0"/>
        </w:tblPrEx>
        <w:trPr>
          <w:trHeight w:val="251"/>
          <w:jc w:val="center"/>
        </w:trPr>
        <w:tc>
          <w:tcPr>
            <w:tcW w:w="7311" w:type="dxa"/>
            <w:gridSpan w:val="4"/>
            <w:tcBorders>
              <w:top w:val="single" w:sz="4" w:space="0" w:color="auto"/>
              <w:left w:val="single" w:sz="4" w:space="0" w:color="auto"/>
              <w:bottom w:val="single" w:sz="4" w:space="0" w:color="auto"/>
              <w:right w:val="single" w:sz="4" w:space="0" w:color="auto"/>
            </w:tcBorders>
          </w:tcPr>
          <w:p w:rsidR="007704BD" w:rsidRPr="004250DD" w:rsidP="00E70A09" w14:paraId="2BD64CA7" w14:textId="0608A208">
            <w:pPr>
              <w:ind w:left="518" w:hanging="518"/>
              <w:rPr>
                <w:sz w:val="20"/>
                <w:szCs w:val="20"/>
              </w:rPr>
            </w:pPr>
            <w:r w:rsidRPr="002E55EC">
              <w:rPr>
                <w:rFonts w:cstheme="minorHAnsi"/>
                <w:sz w:val="20"/>
                <w:szCs w:val="20"/>
              </w:rPr>
              <w:t xml:space="preserve">          </w:t>
            </w:r>
            <w:r w:rsidRPr="002E55EC" w:rsidR="005069E4">
              <w:rPr>
                <w:sz w:val="20"/>
                <w:szCs w:val="20"/>
              </w:rPr>
              <w:t>Procurement of Traceable Opioid Material* Kit Materials and Recipient Laboratory Support, 75D301-19-D-0677</w:t>
            </w:r>
            <w:r w:rsidR="00BF4FDD">
              <w:rPr>
                <w:sz w:val="20"/>
                <w:szCs w:val="20"/>
              </w:rPr>
              <w:t>7</w:t>
            </w:r>
          </w:p>
        </w:tc>
        <w:tc>
          <w:tcPr>
            <w:tcW w:w="1504" w:type="dxa"/>
            <w:tcBorders>
              <w:top w:val="single" w:sz="4" w:space="0" w:color="auto"/>
              <w:left w:val="single" w:sz="4" w:space="0" w:color="auto"/>
              <w:bottom w:val="single" w:sz="4" w:space="0" w:color="auto"/>
              <w:right w:val="single" w:sz="4" w:space="0" w:color="auto"/>
            </w:tcBorders>
          </w:tcPr>
          <w:p w:rsidR="007704BD" w:rsidRPr="002E55EC" w:rsidP="002D02FE" w14:paraId="57477C82" w14:textId="48F3317E">
            <w:pPr>
              <w:jc w:val="right"/>
              <w:rPr>
                <w:sz w:val="20"/>
                <w:szCs w:val="20"/>
              </w:rPr>
            </w:pPr>
            <w:r w:rsidRPr="004250DD">
              <w:rPr>
                <w:sz w:val="20"/>
                <w:szCs w:val="20"/>
              </w:rPr>
              <w:t>$4,700,000.00</w:t>
            </w:r>
          </w:p>
        </w:tc>
      </w:tr>
      <w:tr w14:paraId="2A646F28" w14:textId="77777777" w:rsidTr="002D02FE">
        <w:tblPrEx>
          <w:tblW w:w="0" w:type="auto"/>
          <w:jc w:val="center"/>
          <w:tblLayout w:type="fixed"/>
          <w:tblLook w:val="04A0"/>
        </w:tblPrEx>
        <w:trPr>
          <w:jc w:val="center"/>
        </w:trPr>
        <w:tc>
          <w:tcPr>
            <w:tcW w:w="7311" w:type="dxa"/>
            <w:gridSpan w:val="4"/>
            <w:tcBorders>
              <w:top w:val="double" w:sz="4" w:space="0" w:color="auto"/>
              <w:left w:val="single" w:sz="4" w:space="0" w:color="auto"/>
              <w:bottom w:val="single" w:sz="4" w:space="0" w:color="auto"/>
              <w:right w:val="single" w:sz="4" w:space="0" w:color="auto"/>
            </w:tcBorders>
            <w:vAlign w:val="center"/>
            <w:hideMark/>
          </w:tcPr>
          <w:p w:rsidR="007704BD" w:rsidRPr="002E55EC" w:rsidP="002D02FE" w14:paraId="72A60516" w14:textId="77777777">
            <w:pPr>
              <w:rPr>
                <w:sz w:val="20"/>
                <w:szCs w:val="20"/>
              </w:rPr>
            </w:pPr>
            <w:r w:rsidRPr="002E55EC">
              <w:rPr>
                <w:sz w:val="20"/>
                <w:szCs w:val="20"/>
              </w:rPr>
              <w:t>Total</w:t>
            </w:r>
          </w:p>
        </w:tc>
        <w:tc>
          <w:tcPr>
            <w:tcW w:w="1504" w:type="dxa"/>
            <w:tcBorders>
              <w:top w:val="double" w:sz="4" w:space="0" w:color="auto"/>
              <w:left w:val="single" w:sz="4" w:space="0" w:color="auto"/>
              <w:bottom w:val="single" w:sz="4" w:space="0" w:color="auto"/>
              <w:right w:val="single" w:sz="4" w:space="0" w:color="auto"/>
            </w:tcBorders>
          </w:tcPr>
          <w:p w:rsidR="007704BD" w:rsidRPr="002E55EC" w:rsidP="00D87867" w14:paraId="661E104E" w14:textId="0F20E2F7">
            <w:pPr>
              <w:jc w:val="right"/>
              <w:rPr>
                <w:rFonts w:ascii="Calibri" w:hAnsi="Calibri" w:cs="Calibri"/>
                <w:color w:val="000000"/>
                <w:sz w:val="20"/>
                <w:szCs w:val="20"/>
              </w:rPr>
            </w:pPr>
            <w:r w:rsidRPr="002E55EC">
              <w:rPr>
                <w:rFonts w:ascii="Calibri" w:hAnsi="Calibri" w:cs="Calibri"/>
                <w:color w:val="000000"/>
                <w:sz w:val="20"/>
                <w:szCs w:val="20"/>
              </w:rPr>
              <w:t>$</w:t>
            </w:r>
            <w:r w:rsidRPr="002E55EC" w:rsidR="00A96936">
              <w:rPr>
                <w:rFonts w:ascii="Calibri" w:hAnsi="Calibri" w:cs="Calibri"/>
                <w:color w:val="000000"/>
                <w:sz w:val="20"/>
                <w:szCs w:val="20"/>
              </w:rPr>
              <w:t>4,737,736.60</w:t>
            </w:r>
            <w:r w:rsidRPr="002E55EC">
              <w:rPr>
                <w:rFonts w:ascii="Calibri" w:hAnsi="Calibri" w:cs="Calibri"/>
                <w:color w:val="000000"/>
                <w:sz w:val="20"/>
                <w:szCs w:val="20"/>
              </w:rPr>
              <w:t xml:space="preserve"> </w:t>
            </w:r>
            <w:r w:rsidRPr="002E55EC">
              <w:rPr>
                <w:color w:val="000000"/>
                <w:sz w:val="20"/>
                <w:szCs w:val="20"/>
              </w:rPr>
              <w:t xml:space="preserve"> </w:t>
            </w:r>
          </w:p>
        </w:tc>
      </w:tr>
    </w:tbl>
    <w:p w:rsidR="007704BD" w:rsidRPr="00D20211" w:rsidP="00236267" w14:paraId="3779E8C9" w14:textId="77777777">
      <w:pPr>
        <w:autoSpaceDE w:val="0"/>
        <w:autoSpaceDN w:val="0"/>
        <w:adjustRightInd w:val="0"/>
        <w:spacing w:line="240" w:lineRule="auto"/>
        <w:rPr>
          <w:rFonts w:cs="ITCFranklinGothicStd-Book"/>
          <w:sz w:val="24"/>
          <w:szCs w:val="24"/>
        </w:rPr>
      </w:pPr>
    </w:p>
    <w:p w:rsidR="00B45002" w:rsidRPr="00D5126E" w:rsidP="0097091A" w14:paraId="2314A6FA" w14:textId="6820A5D9">
      <w:pPr>
        <w:pStyle w:val="Heading1"/>
        <w:pBdr>
          <w:bottom w:val="none" w:sz="0" w:space="0" w:color="auto"/>
        </w:pBdr>
        <w:rPr>
          <w:rFonts w:cs="ITCFranklinGothicStd-Demi"/>
          <w:color w:val="FF0000"/>
          <w:sz w:val="24"/>
          <w:szCs w:val="24"/>
        </w:rPr>
      </w:pPr>
      <w:bookmarkStart w:id="44" w:name="_Toc31301605"/>
      <w:bookmarkStart w:id="45" w:name="_Toc121132860"/>
      <w:r w:rsidRPr="00BB52F8">
        <w:rPr>
          <w:color w:val="auto"/>
        </w:rPr>
        <w:t>A.</w:t>
      </w:r>
      <w:r w:rsidRPr="00BB52F8" w:rsidR="00AC62CC">
        <w:rPr>
          <w:color w:val="auto"/>
        </w:rPr>
        <w:t xml:space="preserve">15.  </w:t>
      </w:r>
      <w:r w:rsidRPr="00BB52F8">
        <w:rPr>
          <w:color w:val="auto"/>
        </w:rPr>
        <w:t>Explanation for Program Changes or Adjustments</w:t>
      </w:r>
      <w:bookmarkEnd w:id="44"/>
      <w:bookmarkEnd w:id="45"/>
    </w:p>
    <w:p w:rsidR="000A66CD" w:rsidP="000A66CD" w14:paraId="64F38195" w14:textId="12D512EE">
      <w:pPr>
        <w:spacing w:line="240" w:lineRule="auto"/>
        <w:rPr>
          <w:sz w:val="24"/>
          <w:szCs w:val="24"/>
        </w:rPr>
      </w:pPr>
      <w:bookmarkStart w:id="46" w:name="_Hlk108775126"/>
    </w:p>
    <w:p w:rsidR="00107487" w:rsidRPr="00404061" w:rsidP="000F7102" w14:paraId="21EC0AFE" w14:textId="59EF0C91">
      <w:pPr>
        <w:pStyle w:val="Subtitle"/>
        <w:spacing w:line="276" w:lineRule="auto"/>
        <w:rPr>
          <w:rFonts w:cstheme="minorHAnsi"/>
          <w:color w:val="auto"/>
          <w:spacing w:val="-7"/>
          <w:sz w:val="48"/>
          <w:szCs w:val="48"/>
        </w:rPr>
      </w:pPr>
      <w:r w:rsidRPr="00404061">
        <w:rPr>
          <w:rFonts w:asciiTheme="minorHAnsi" w:hAnsiTheme="minorHAnsi" w:cstheme="minorHAnsi"/>
          <w:color w:val="auto"/>
          <w:sz w:val="24"/>
          <w:szCs w:val="24"/>
        </w:rPr>
        <w:t xml:space="preserve">As part of this revision, </w:t>
      </w:r>
      <w:r w:rsidRPr="00404061">
        <w:rPr>
          <w:rFonts w:asciiTheme="minorHAnsi" w:hAnsiTheme="minorHAnsi" w:cstheme="minorHAnsi"/>
          <w:color w:val="auto"/>
          <w:sz w:val="24"/>
          <w:szCs w:val="24"/>
        </w:rPr>
        <w:t>CDC is changing the title of this ICR from “</w:t>
      </w:r>
      <w:r w:rsidRPr="003A60E6">
        <w:rPr>
          <w:rFonts w:asciiTheme="minorHAnsi" w:hAnsiTheme="minorHAnsi" w:cstheme="minorHAnsi"/>
          <w:color w:val="auto"/>
          <w:spacing w:val="-7"/>
          <w:sz w:val="24"/>
          <w:szCs w:val="24"/>
        </w:rPr>
        <w:t xml:space="preserve">Distribution of Traceable Opioid Material* Kits </w:t>
      </w:r>
      <w:r w:rsidR="00867C77">
        <w:rPr>
          <w:rFonts w:asciiTheme="minorHAnsi" w:hAnsiTheme="minorHAnsi" w:cstheme="minorHAnsi"/>
          <w:color w:val="auto"/>
          <w:spacing w:val="-7"/>
          <w:sz w:val="24"/>
          <w:szCs w:val="24"/>
        </w:rPr>
        <w:t xml:space="preserve">(TOM Kits*) </w:t>
      </w:r>
      <w:r w:rsidRPr="003A60E6">
        <w:rPr>
          <w:rFonts w:asciiTheme="minorHAnsi" w:hAnsiTheme="minorHAnsi" w:cstheme="minorHAnsi"/>
          <w:color w:val="auto"/>
          <w:spacing w:val="-7"/>
          <w:sz w:val="24"/>
          <w:szCs w:val="24"/>
        </w:rPr>
        <w:t>across U.S. Laboratories”</w:t>
      </w:r>
      <w:r w:rsidRPr="00404061">
        <w:rPr>
          <w:rFonts w:asciiTheme="minorHAnsi" w:hAnsiTheme="minorHAnsi" w:cstheme="minorHAnsi"/>
          <w:color w:val="auto"/>
          <w:sz w:val="24"/>
          <w:szCs w:val="24"/>
        </w:rPr>
        <w:t xml:space="preserve"> to “</w:t>
      </w:r>
      <w:bookmarkStart w:id="47" w:name="_Hlk112077261"/>
      <w:r w:rsidRPr="003A60E6">
        <w:rPr>
          <w:rFonts w:asciiTheme="minorHAnsi" w:hAnsiTheme="minorHAnsi" w:cstheme="minorHAnsi"/>
          <w:color w:val="auto"/>
          <w:spacing w:val="-7"/>
          <w:sz w:val="24"/>
          <w:szCs w:val="24"/>
        </w:rPr>
        <w:t>Distribution of Traceable Opioid Material*</w:t>
      </w:r>
      <w:r w:rsidRPr="00404061">
        <w:rPr>
          <w:rFonts w:asciiTheme="minorHAnsi" w:hAnsiTheme="minorHAnsi" w:cstheme="minorHAnsi"/>
          <w:i/>
          <w:iCs/>
          <w:color w:val="auto"/>
          <w:spacing w:val="-7"/>
          <w:sz w:val="24"/>
          <w:szCs w:val="24"/>
        </w:rPr>
        <w:t xml:space="preserve"> </w:t>
      </w:r>
      <w:r w:rsidRPr="00404061" w:rsidR="00697576">
        <w:rPr>
          <w:rFonts w:asciiTheme="minorHAnsi" w:hAnsiTheme="minorHAnsi" w:cstheme="minorHAnsi"/>
          <w:color w:val="auto"/>
          <w:spacing w:val="-7"/>
          <w:sz w:val="24"/>
          <w:szCs w:val="24"/>
        </w:rPr>
        <w:t xml:space="preserve">Kits </w:t>
      </w:r>
      <w:r w:rsidR="00867C77">
        <w:rPr>
          <w:rFonts w:asciiTheme="minorHAnsi" w:hAnsiTheme="minorHAnsi" w:cstheme="minorHAnsi"/>
          <w:color w:val="auto"/>
          <w:spacing w:val="-7"/>
          <w:sz w:val="24"/>
          <w:szCs w:val="24"/>
        </w:rPr>
        <w:t xml:space="preserve">(TOM Kits*) </w:t>
      </w:r>
      <w:r w:rsidRPr="003A60E6">
        <w:rPr>
          <w:rFonts w:asciiTheme="minorHAnsi" w:hAnsiTheme="minorHAnsi" w:cstheme="minorHAnsi"/>
          <w:color w:val="auto"/>
          <w:spacing w:val="-7"/>
          <w:sz w:val="24"/>
          <w:szCs w:val="24"/>
        </w:rPr>
        <w:t xml:space="preserve">across U.S. </w:t>
      </w:r>
      <w:r w:rsidRPr="00404061">
        <w:rPr>
          <w:rFonts w:asciiTheme="minorHAnsi" w:hAnsiTheme="minorHAnsi" w:cstheme="minorHAnsi"/>
          <w:i/>
          <w:iCs/>
          <w:color w:val="auto"/>
          <w:spacing w:val="-7"/>
          <w:sz w:val="24"/>
          <w:szCs w:val="24"/>
          <w:u w:val="single"/>
        </w:rPr>
        <w:t>and International</w:t>
      </w:r>
      <w:r w:rsidRPr="003A60E6">
        <w:rPr>
          <w:rFonts w:asciiTheme="minorHAnsi" w:hAnsiTheme="minorHAnsi" w:cstheme="minorHAnsi"/>
          <w:i/>
          <w:iCs/>
          <w:color w:val="auto"/>
          <w:spacing w:val="-7"/>
          <w:sz w:val="24"/>
          <w:szCs w:val="24"/>
        </w:rPr>
        <w:t xml:space="preserve"> </w:t>
      </w:r>
      <w:r w:rsidRPr="003A60E6">
        <w:rPr>
          <w:rFonts w:asciiTheme="minorHAnsi" w:hAnsiTheme="minorHAnsi" w:cstheme="minorHAnsi"/>
          <w:color w:val="auto"/>
          <w:spacing w:val="-7"/>
          <w:sz w:val="24"/>
          <w:szCs w:val="24"/>
        </w:rPr>
        <w:t>Laboratories</w:t>
      </w:r>
      <w:bookmarkEnd w:id="47"/>
      <w:r w:rsidRPr="003A60E6">
        <w:rPr>
          <w:rFonts w:asciiTheme="minorHAnsi" w:hAnsiTheme="minorHAnsi" w:cstheme="minorHAnsi"/>
          <w:color w:val="auto"/>
          <w:spacing w:val="-7"/>
          <w:sz w:val="24"/>
          <w:szCs w:val="24"/>
        </w:rPr>
        <w:t xml:space="preserve">.” The title change is necessary </w:t>
      </w:r>
      <w:r w:rsidR="000F7102">
        <w:rPr>
          <w:rFonts w:asciiTheme="minorHAnsi" w:hAnsiTheme="minorHAnsi" w:cstheme="minorHAnsi"/>
          <w:color w:val="auto"/>
          <w:spacing w:val="-7"/>
          <w:sz w:val="24"/>
          <w:szCs w:val="24"/>
        </w:rPr>
        <w:t>due to the expansion of test kit distribution to international customers. Additional revisions include the following:</w:t>
      </w:r>
    </w:p>
    <w:p w:rsidR="000A66CD" w:rsidP="000F7102" w14:paraId="75552654" w14:textId="0FABB284">
      <w:pPr>
        <w:pStyle w:val="ListParagraph"/>
        <w:numPr>
          <w:ilvl w:val="0"/>
          <w:numId w:val="3"/>
        </w:numPr>
        <w:spacing w:line="276" w:lineRule="auto"/>
        <w:contextualSpacing w:val="0"/>
        <w:rPr>
          <w:sz w:val="24"/>
          <w:szCs w:val="24"/>
        </w:rPr>
      </w:pPr>
      <w:r w:rsidRPr="00A345D7">
        <w:rPr>
          <w:sz w:val="24"/>
          <w:szCs w:val="24"/>
        </w:rPr>
        <w:t>CDC is adding their new</w:t>
      </w:r>
      <w:r w:rsidRPr="00465AA5" w:rsidR="00107487">
        <w:rPr>
          <w:sz w:val="24"/>
          <w:szCs w:val="24"/>
        </w:rPr>
        <w:t xml:space="preserve"> </w:t>
      </w:r>
      <w:r w:rsidR="00F41C57">
        <w:rPr>
          <w:sz w:val="24"/>
          <w:szCs w:val="24"/>
        </w:rPr>
        <w:t xml:space="preserve">line of </w:t>
      </w:r>
      <w:r w:rsidR="00B40082">
        <w:rPr>
          <w:sz w:val="24"/>
          <w:szCs w:val="24"/>
        </w:rPr>
        <w:t>TOM Kits*</w:t>
      </w:r>
      <w:r w:rsidR="00F41C57">
        <w:rPr>
          <w:sz w:val="24"/>
          <w:szCs w:val="24"/>
        </w:rPr>
        <w:t>,</w:t>
      </w:r>
      <w:r w:rsidRPr="00A345D7">
        <w:rPr>
          <w:sz w:val="24"/>
          <w:szCs w:val="24"/>
        </w:rPr>
        <w:t xml:space="preserve"> </w:t>
      </w:r>
      <w:r w:rsidR="001F1359">
        <w:rPr>
          <w:sz w:val="24"/>
          <w:szCs w:val="24"/>
        </w:rPr>
        <w:t>Emergent</w:t>
      </w:r>
      <w:r w:rsidRPr="00A345D7">
        <w:rPr>
          <w:sz w:val="24"/>
          <w:szCs w:val="24"/>
        </w:rPr>
        <w:t xml:space="preserve"> Drug Panel (EDP) Kits</w:t>
      </w:r>
      <w:r w:rsidR="00F41C57">
        <w:rPr>
          <w:sz w:val="24"/>
          <w:szCs w:val="24"/>
        </w:rPr>
        <w:t>,</w:t>
      </w:r>
      <w:r w:rsidRPr="00A345D7">
        <w:rPr>
          <w:sz w:val="24"/>
          <w:szCs w:val="24"/>
        </w:rPr>
        <w:t xml:space="preserve"> for distribution</w:t>
      </w:r>
      <w:r w:rsidRPr="00A345D7">
        <w:rPr>
          <w:sz w:val="24"/>
          <w:szCs w:val="24"/>
        </w:rPr>
        <w:t xml:space="preserve">. </w:t>
      </w:r>
      <w:r w:rsidR="0062580D">
        <w:rPr>
          <w:sz w:val="24"/>
          <w:szCs w:val="24"/>
        </w:rPr>
        <w:t>T</w:t>
      </w:r>
      <w:r w:rsidRPr="00A345D7">
        <w:rPr>
          <w:sz w:val="24"/>
          <w:szCs w:val="24"/>
        </w:rPr>
        <w:t xml:space="preserve">he EDP compounds </w:t>
      </w:r>
      <w:r w:rsidR="004266E4">
        <w:rPr>
          <w:sz w:val="24"/>
          <w:szCs w:val="24"/>
        </w:rPr>
        <w:t>are</w:t>
      </w:r>
      <w:r w:rsidRPr="00A345D7">
        <w:rPr>
          <w:sz w:val="24"/>
          <w:szCs w:val="24"/>
        </w:rPr>
        <w:t xml:space="preserve"> identified by doing a search of recent lists put out by the DEA and the </w:t>
      </w:r>
      <w:hyperlink r:id="rId22" w:history="1">
        <w:r w:rsidRPr="00465AA5">
          <w:rPr>
            <w:rStyle w:val="Hyperlink"/>
            <w:sz w:val="24"/>
            <w:szCs w:val="24"/>
          </w:rPr>
          <w:t>Center for Forensic Science Research and Education (CFSRE)</w:t>
        </w:r>
      </w:hyperlink>
      <w:r w:rsidRPr="00A345D7">
        <w:rPr>
          <w:sz w:val="24"/>
          <w:szCs w:val="24"/>
        </w:rPr>
        <w:t xml:space="preserve">. These lists provide data on all classes of drugs that were recently identified in the field and provide recommendations on which drugs should be included in testing. </w:t>
      </w:r>
      <w:r w:rsidR="004266E4">
        <w:rPr>
          <w:sz w:val="24"/>
          <w:szCs w:val="24"/>
        </w:rPr>
        <w:t xml:space="preserve">These classes of drugs may be found mixed with opioids and contribute to the opioid epidemic. </w:t>
      </w:r>
      <w:r w:rsidRPr="00A345D7">
        <w:rPr>
          <w:sz w:val="24"/>
          <w:szCs w:val="24"/>
        </w:rPr>
        <w:t xml:space="preserve">These lists are updated several times a year and keep up with the changing drug landscape in the United States. </w:t>
      </w:r>
      <w:r w:rsidR="00DA7220">
        <w:rPr>
          <w:sz w:val="24"/>
          <w:szCs w:val="24"/>
        </w:rPr>
        <w:t xml:space="preserve"> </w:t>
      </w:r>
    </w:p>
    <w:p w:rsidR="00D72833" w:rsidRPr="00BB52F8" w:rsidP="00D40333" w14:paraId="3573C1CB" w14:textId="523631ED">
      <w:pPr>
        <w:pStyle w:val="ListParagraph"/>
        <w:numPr>
          <w:ilvl w:val="0"/>
          <w:numId w:val="3"/>
        </w:numPr>
        <w:spacing w:line="276" w:lineRule="auto"/>
        <w:contextualSpacing w:val="0"/>
        <w:rPr>
          <w:sz w:val="24"/>
          <w:szCs w:val="24"/>
        </w:rPr>
      </w:pPr>
      <w:r w:rsidRPr="00BB52F8">
        <w:rPr>
          <w:sz w:val="24"/>
          <w:szCs w:val="24"/>
        </w:rPr>
        <w:t>CDC will continue to distribute TOM Kits*</w:t>
      </w:r>
      <w:r w:rsidR="008E4EEB">
        <w:rPr>
          <w:sz w:val="24"/>
          <w:szCs w:val="24"/>
        </w:rPr>
        <w:t xml:space="preserve">, </w:t>
      </w:r>
      <w:r w:rsidR="00F41C57">
        <w:rPr>
          <w:sz w:val="24"/>
          <w:szCs w:val="24"/>
        </w:rPr>
        <w:t>including</w:t>
      </w:r>
      <w:r w:rsidRPr="00BB52F8">
        <w:rPr>
          <w:sz w:val="24"/>
          <w:szCs w:val="24"/>
        </w:rPr>
        <w:t xml:space="preserve"> the new EDP Kits, through a single vendor instead of two.</w:t>
      </w:r>
    </w:p>
    <w:p w:rsidR="007C22AC" w:rsidRPr="00BB52F8" w:rsidP="00BB52F8" w14:paraId="17F5D6A0" w14:textId="5FE75C21">
      <w:pPr>
        <w:pStyle w:val="ListParagraph"/>
        <w:spacing w:after="240"/>
        <w:contextualSpacing w:val="0"/>
        <w:rPr>
          <w:sz w:val="24"/>
          <w:szCs w:val="24"/>
        </w:rPr>
      </w:pPr>
      <w:r w:rsidRPr="00F41C57">
        <w:rPr>
          <w:rFonts w:cstheme="minorHAnsi"/>
          <w:sz w:val="24"/>
          <w:szCs w:val="24"/>
        </w:rPr>
        <w:t xml:space="preserve">To adjust for this </w:t>
      </w:r>
      <w:r w:rsidRPr="008712C5" w:rsidR="00B40082">
        <w:rPr>
          <w:rFonts w:cstheme="minorHAnsi"/>
          <w:sz w:val="24"/>
          <w:szCs w:val="24"/>
        </w:rPr>
        <w:t xml:space="preserve">program </w:t>
      </w:r>
      <w:r w:rsidRPr="002A10FF">
        <w:rPr>
          <w:rFonts w:cstheme="minorHAnsi"/>
          <w:sz w:val="24"/>
          <w:szCs w:val="24"/>
        </w:rPr>
        <w:t xml:space="preserve">expansion, </w:t>
      </w:r>
      <w:r w:rsidRPr="003D662C" w:rsidR="00D72833">
        <w:rPr>
          <w:rFonts w:cstheme="minorHAnsi"/>
          <w:sz w:val="24"/>
          <w:szCs w:val="24"/>
        </w:rPr>
        <w:t xml:space="preserve">for domestic laboratories, </w:t>
      </w:r>
      <w:r w:rsidRPr="003D662C">
        <w:rPr>
          <w:rFonts w:cstheme="minorHAnsi"/>
          <w:sz w:val="24"/>
          <w:szCs w:val="24"/>
        </w:rPr>
        <w:t>CDC is modifying</w:t>
      </w:r>
      <w:r w:rsidRPr="00BB52F8" w:rsidR="00D72833">
        <w:rPr>
          <w:rFonts w:cstheme="minorHAnsi"/>
          <w:sz w:val="24"/>
          <w:szCs w:val="24"/>
        </w:rPr>
        <w:t xml:space="preserve"> </w:t>
      </w:r>
      <w:r w:rsidRPr="00BB52F8">
        <w:rPr>
          <w:rFonts w:cstheme="minorHAnsi"/>
          <w:b/>
          <w:bCs/>
          <w:sz w:val="24"/>
          <w:szCs w:val="24"/>
        </w:rPr>
        <w:t>Attachment 5a</w:t>
      </w:r>
      <w:r w:rsidRPr="00BB52F8">
        <w:rPr>
          <w:rFonts w:cstheme="minorHAnsi"/>
          <w:sz w:val="24"/>
          <w:szCs w:val="24"/>
        </w:rPr>
        <w:t xml:space="preserve"> (Test Kit Application and Questions for US Laboratories</w:t>
      </w:r>
      <w:r w:rsidRPr="00BB52F8" w:rsidR="00D72833">
        <w:rPr>
          <w:rFonts w:cstheme="minorHAnsi"/>
          <w:sz w:val="24"/>
          <w:szCs w:val="24"/>
        </w:rPr>
        <w:t xml:space="preserve"> </w:t>
      </w:r>
      <w:r w:rsidRPr="00BB52F8">
        <w:rPr>
          <w:rFonts w:cstheme="minorHAnsi"/>
          <w:sz w:val="24"/>
          <w:szCs w:val="24"/>
        </w:rPr>
        <w:t>[</w:t>
      </w:r>
      <w:r w:rsidRPr="00BB52F8" w:rsidR="009D6DA7">
        <w:rPr>
          <w:rFonts w:cstheme="minorHAnsi"/>
          <w:sz w:val="24"/>
          <w:szCs w:val="24"/>
        </w:rPr>
        <w:t>screenshots/</w:t>
      </w:r>
      <w:r w:rsidRPr="00BB52F8" w:rsidR="00980ACF">
        <w:rPr>
          <w:rFonts w:cstheme="minorHAnsi"/>
          <w:sz w:val="24"/>
          <w:szCs w:val="24"/>
        </w:rPr>
        <w:t>Word</w:t>
      </w:r>
      <w:r w:rsidRPr="00BB52F8">
        <w:rPr>
          <w:rFonts w:cstheme="minorHAnsi"/>
          <w:sz w:val="24"/>
          <w:szCs w:val="24"/>
        </w:rPr>
        <w:t xml:space="preserve">], formerly </w:t>
      </w:r>
      <w:r w:rsidRPr="00BB52F8">
        <w:rPr>
          <w:rFonts w:cstheme="minorHAnsi"/>
          <w:b/>
          <w:bCs/>
          <w:sz w:val="24"/>
          <w:szCs w:val="24"/>
        </w:rPr>
        <w:t xml:space="preserve">Attachment </w:t>
      </w:r>
      <w:r w:rsidRPr="00BB52F8" w:rsidR="007046F6">
        <w:rPr>
          <w:rFonts w:cstheme="minorHAnsi"/>
          <w:b/>
          <w:bCs/>
          <w:sz w:val="24"/>
          <w:szCs w:val="24"/>
        </w:rPr>
        <w:t>7</w:t>
      </w:r>
      <w:r w:rsidRPr="00BB52F8">
        <w:rPr>
          <w:rFonts w:cstheme="minorHAnsi"/>
          <w:sz w:val="24"/>
          <w:szCs w:val="24"/>
        </w:rPr>
        <w:t>)</w:t>
      </w:r>
      <w:r w:rsidRPr="00BB52F8" w:rsidR="00DA7220">
        <w:rPr>
          <w:rFonts w:cstheme="minorHAnsi"/>
          <w:sz w:val="24"/>
          <w:szCs w:val="24"/>
        </w:rPr>
        <w:t xml:space="preserve">. </w:t>
      </w:r>
      <w:r w:rsidRPr="009D6DA7" w:rsidR="009D6DA7">
        <w:rPr>
          <w:sz w:val="24"/>
          <w:szCs w:val="24"/>
        </w:rPr>
        <w:t xml:space="preserve"> </w:t>
      </w:r>
    </w:p>
    <w:tbl>
      <w:tblPr>
        <w:tblStyle w:val="TableGrid"/>
        <w:tblW w:w="0" w:type="auto"/>
        <w:tblLayout w:type="fixed"/>
        <w:tblLook w:val="04A0"/>
      </w:tblPr>
      <w:tblGrid>
        <w:gridCol w:w="3325"/>
        <w:gridCol w:w="4410"/>
        <w:gridCol w:w="1615"/>
      </w:tblGrid>
      <w:tr w14:paraId="46EFAF6C" w14:textId="4577F345" w:rsidTr="00D5126E">
        <w:tblPrEx>
          <w:tblW w:w="0" w:type="auto"/>
          <w:tblLayout w:type="fixed"/>
          <w:tblLook w:val="04A0"/>
        </w:tblPrEx>
        <w:tc>
          <w:tcPr>
            <w:tcW w:w="9350" w:type="dxa"/>
            <w:gridSpan w:val="3"/>
          </w:tcPr>
          <w:p w:rsidR="004009E7" w:rsidRPr="00404061" w:rsidP="00CA4FE0" w14:paraId="25BC66D3" w14:textId="1C9A1A62">
            <w:pPr>
              <w:rPr>
                <w:rFonts w:cstheme="minorHAnsi"/>
                <w:i/>
                <w:iCs/>
                <w:sz w:val="20"/>
                <w:szCs w:val="20"/>
              </w:rPr>
            </w:pPr>
            <w:r>
              <w:rPr>
                <w:rFonts w:cstheme="minorHAnsi"/>
                <w:b/>
                <w:bCs/>
                <w:i/>
                <w:iCs/>
                <w:sz w:val="20"/>
                <w:szCs w:val="20"/>
              </w:rPr>
              <w:t>Attachment 5a</w:t>
            </w:r>
            <w:r>
              <w:rPr>
                <w:rFonts w:cstheme="minorHAnsi"/>
                <w:i/>
                <w:iCs/>
                <w:sz w:val="20"/>
                <w:szCs w:val="20"/>
              </w:rPr>
              <w:t xml:space="preserve">. </w:t>
            </w:r>
            <w:r w:rsidRPr="00404061" w:rsidR="007046F6">
              <w:rPr>
                <w:rFonts w:cstheme="minorHAnsi"/>
                <w:i/>
                <w:iCs/>
                <w:sz w:val="20"/>
                <w:szCs w:val="20"/>
              </w:rPr>
              <w:t>O</w:t>
            </w:r>
            <w:r w:rsidRPr="00404061" w:rsidR="00B40082">
              <w:rPr>
                <w:rFonts w:cstheme="minorHAnsi"/>
                <w:i/>
                <w:iCs/>
                <w:sz w:val="20"/>
                <w:szCs w:val="20"/>
              </w:rPr>
              <w:t>nline application fields for US laboratories</w:t>
            </w:r>
            <w:r w:rsidR="006B7A7C">
              <w:rPr>
                <w:rFonts w:cstheme="minorHAnsi"/>
                <w:i/>
                <w:iCs/>
                <w:sz w:val="20"/>
                <w:szCs w:val="20"/>
              </w:rPr>
              <w:t xml:space="preserve"> (Modifications shown in </w:t>
            </w:r>
            <w:r w:rsidRPr="00404061" w:rsidR="006B7A7C">
              <w:rPr>
                <w:rFonts w:cstheme="minorHAnsi"/>
                <w:i/>
                <w:iCs/>
                <w:color w:val="FF0000"/>
                <w:sz w:val="20"/>
                <w:szCs w:val="20"/>
              </w:rPr>
              <w:t>RED</w:t>
            </w:r>
            <w:r w:rsidR="006B7A7C">
              <w:rPr>
                <w:rFonts w:cstheme="minorHAnsi"/>
                <w:i/>
                <w:iCs/>
                <w:sz w:val="20"/>
                <w:szCs w:val="20"/>
              </w:rPr>
              <w:t xml:space="preserve"> text.)</w:t>
            </w:r>
          </w:p>
        </w:tc>
      </w:tr>
      <w:tr w14:paraId="3505F92A" w14:textId="77777777" w:rsidTr="00194B18">
        <w:tblPrEx>
          <w:tblW w:w="0" w:type="auto"/>
          <w:tblLayout w:type="fixed"/>
          <w:tblLook w:val="04A0"/>
        </w:tblPrEx>
        <w:tc>
          <w:tcPr>
            <w:tcW w:w="3325" w:type="dxa"/>
          </w:tcPr>
          <w:p w:rsidR="007046F6" w:rsidRPr="007366C3" w:rsidP="007046F6" w14:paraId="6A3397B7" w14:textId="361AF9E6">
            <w:pPr>
              <w:jc w:val="center"/>
              <w:rPr>
                <w:rFonts w:cstheme="minorHAnsi"/>
                <w:i/>
                <w:iCs/>
                <w:sz w:val="20"/>
                <w:szCs w:val="20"/>
              </w:rPr>
            </w:pPr>
            <w:r w:rsidRPr="007366C3">
              <w:rPr>
                <w:sz w:val="20"/>
                <w:szCs w:val="20"/>
              </w:rPr>
              <w:t>Approved 2020</w:t>
            </w:r>
          </w:p>
        </w:tc>
        <w:tc>
          <w:tcPr>
            <w:tcW w:w="4410" w:type="dxa"/>
          </w:tcPr>
          <w:p w:rsidR="007046F6" w:rsidRPr="007366C3" w:rsidP="007046F6" w14:paraId="585042F6" w14:textId="43F1C56B">
            <w:pPr>
              <w:jc w:val="center"/>
              <w:rPr>
                <w:rFonts w:cstheme="minorHAnsi"/>
                <w:sz w:val="20"/>
                <w:szCs w:val="20"/>
              </w:rPr>
            </w:pPr>
            <w:r w:rsidRPr="007366C3">
              <w:rPr>
                <w:sz w:val="20"/>
                <w:szCs w:val="20"/>
              </w:rPr>
              <w:t>Proposed 2022</w:t>
            </w:r>
          </w:p>
        </w:tc>
        <w:tc>
          <w:tcPr>
            <w:tcW w:w="1615" w:type="dxa"/>
            <w:vAlign w:val="center"/>
          </w:tcPr>
          <w:p w:rsidR="007046F6" w:rsidRPr="007366C3" w:rsidP="007046F6" w14:paraId="1A25BE65" w14:textId="6F98B744">
            <w:pPr>
              <w:jc w:val="center"/>
              <w:rPr>
                <w:sz w:val="20"/>
                <w:szCs w:val="20"/>
              </w:rPr>
            </w:pPr>
            <w:r w:rsidRPr="007366C3">
              <w:rPr>
                <w:sz w:val="20"/>
                <w:szCs w:val="20"/>
              </w:rPr>
              <w:t>Requested Change in 2022</w:t>
            </w:r>
          </w:p>
        </w:tc>
      </w:tr>
      <w:tr w14:paraId="6DB7EE9A" w14:textId="77777777" w:rsidTr="00194B18">
        <w:tblPrEx>
          <w:tblW w:w="0" w:type="auto"/>
          <w:tblLayout w:type="fixed"/>
          <w:tblLook w:val="04A0"/>
        </w:tblPrEx>
        <w:tc>
          <w:tcPr>
            <w:tcW w:w="3325" w:type="dxa"/>
            <w:vAlign w:val="center"/>
          </w:tcPr>
          <w:p w:rsidR="00F36C43" w:rsidRPr="007366C3" w:rsidP="0092627E" w14:paraId="41349D3E" w14:textId="0F73119F">
            <w:pPr>
              <w:rPr>
                <w:rFonts w:cstheme="minorHAnsi"/>
                <w:sz w:val="20"/>
                <w:szCs w:val="20"/>
              </w:rPr>
            </w:pPr>
            <w:r w:rsidRPr="007366C3">
              <w:rPr>
                <w:rFonts w:cstheme="minorHAnsi"/>
                <w:sz w:val="20"/>
                <w:szCs w:val="20"/>
              </w:rPr>
              <w:t>First Name</w:t>
            </w:r>
          </w:p>
        </w:tc>
        <w:tc>
          <w:tcPr>
            <w:tcW w:w="4410" w:type="dxa"/>
            <w:vAlign w:val="center"/>
          </w:tcPr>
          <w:p w:rsidR="00F36C43" w:rsidRPr="007366C3" w:rsidP="0092627E" w14:paraId="1A813D53" w14:textId="1B235440">
            <w:pPr>
              <w:rPr>
                <w:rFonts w:cstheme="minorHAnsi"/>
                <w:sz w:val="20"/>
                <w:szCs w:val="20"/>
              </w:rPr>
            </w:pPr>
            <w:r w:rsidRPr="007366C3">
              <w:rPr>
                <w:rFonts w:cstheme="minorHAnsi"/>
                <w:sz w:val="20"/>
                <w:szCs w:val="20"/>
              </w:rPr>
              <w:t>First Name</w:t>
            </w:r>
          </w:p>
        </w:tc>
        <w:tc>
          <w:tcPr>
            <w:tcW w:w="1615" w:type="dxa"/>
            <w:vMerge w:val="restart"/>
            <w:vAlign w:val="center"/>
          </w:tcPr>
          <w:p w:rsidR="00F36C43" w:rsidRPr="007366C3" w:rsidP="0092627E" w14:paraId="6B1A5EE9" w14:textId="5521BE8F">
            <w:pPr>
              <w:rPr>
                <w:sz w:val="20"/>
                <w:szCs w:val="20"/>
              </w:rPr>
            </w:pPr>
            <w:r w:rsidRPr="007366C3">
              <w:rPr>
                <w:rFonts w:eastAsia="Times New Roman" w:cstheme="minorHAnsi"/>
                <w:color w:val="222222"/>
                <w:sz w:val="20"/>
                <w:szCs w:val="20"/>
              </w:rPr>
              <w:t>No change to text</w:t>
            </w:r>
          </w:p>
        </w:tc>
      </w:tr>
      <w:tr w14:paraId="41BFF186" w14:textId="77777777" w:rsidTr="00194B18">
        <w:tblPrEx>
          <w:tblW w:w="0" w:type="auto"/>
          <w:tblLayout w:type="fixed"/>
          <w:tblLook w:val="04A0"/>
        </w:tblPrEx>
        <w:tc>
          <w:tcPr>
            <w:tcW w:w="3325" w:type="dxa"/>
            <w:vAlign w:val="center"/>
          </w:tcPr>
          <w:p w:rsidR="00F36C43" w:rsidRPr="007366C3" w:rsidP="00A345D7" w14:paraId="444981C1" w14:textId="02FD99DE">
            <w:pPr>
              <w:rPr>
                <w:rFonts w:cstheme="minorHAnsi"/>
                <w:sz w:val="20"/>
                <w:szCs w:val="20"/>
              </w:rPr>
            </w:pPr>
            <w:r w:rsidRPr="007366C3">
              <w:rPr>
                <w:rFonts w:cstheme="minorHAnsi"/>
                <w:sz w:val="20"/>
                <w:szCs w:val="20"/>
              </w:rPr>
              <w:t>Last Name</w:t>
            </w:r>
          </w:p>
        </w:tc>
        <w:tc>
          <w:tcPr>
            <w:tcW w:w="4410" w:type="dxa"/>
            <w:vAlign w:val="center"/>
          </w:tcPr>
          <w:p w:rsidR="00F36C43" w:rsidRPr="007366C3" w:rsidP="00A345D7" w14:paraId="5303B409" w14:textId="3563CF7A">
            <w:pPr>
              <w:rPr>
                <w:rFonts w:cstheme="minorHAnsi"/>
                <w:sz w:val="20"/>
                <w:szCs w:val="20"/>
              </w:rPr>
            </w:pPr>
            <w:r w:rsidRPr="007366C3">
              <w:rPr>
                <w:rFonts w:cstheme="minorHAnsi"/>
                <w:sz w:val="20"/>
                <w:szCs w:val="20"/>
              </w:rPr>
              <w:t>Last Name</w:t>
            </w:r>
          </w:p>
        </w:tc>
        <w:tc>
          <w:tcPr>
            <w:tcW w:w="1615" w:type="dxa"/>
            <w:vMerge/>
            <w:vAlign w:val="center"/>
          </w:tcPr>
          <w:p w:rsidR="00F36C43" w:rsidRPr="007366C3" w:rsidP="00A345D7" w14:paraId="501E9ED3" w14:textId="77777777">
            <w:pPr>
              <w:rPr>
                <w:sz w:val="20"/>
                <w:szCs w:val="20"/>
              </w:rPr>
            </w:pPr>
          </w:p>
        </w:tc>
      </w:tr>
      <w:tr w14:paraId="72D6353C" w14:textId="77777777" w:rsidTr="00194B18">
        <w:tblPrEx>
          <w:tblW w:w="0" w:type="auto"/>
          <w:tblLayout w:type="fixed"/>
          <w:tblLook w:val="04A0"/>
        </w:tblPrEx>
        <w:tc>
          <w:tcPr>
            <w:tcW w:w="3325" w:type="dxa"/>
            <w:vAlign w:val="center"/>
          </w:tcPr>
          <w:p w:rsidR="00F36C43" w:rsidRPr="007366C3" w:rsidP="00A345D7" w14:paraId="7BA17898" w14:textId="65F92695">
            <w:pPr>
              <w:rPr>
                <w:rFonts w:cstheme="minorHAnsi"/>
                <w:sz w:val="20"/>
                <w:szCs w:val="20"/>
              </w:rPr>
            </w:pPr>
            <w:r w:rsidRPr="007366C3">
              <w:rPr>
                <w:rFonts w:cstheme="minorHAnsi"/>
                <w:sz w:val="20"/>
                <w:szCs w:val="20"/>
              </w:rPr>
              <w:t>Institution</w:t>
            </w:r>
          </w:p>
        </w:tc>
        <w:tc>
          <w:tcPr>
            <w:tcW w:w="4410" w:type="dxa"/>
            <w:vAlign w:val="center"/>
          </w:tcPr>
          <w:p w:rsidR="00F36C43" w:rsidRPr="007366C3" w:rsidP="00A345D7" w14:paraId="7C9C5407" w14:textId="511B45F3">
            <w:pPr>
              <w:rPr>
                <w:rFonts w:cstheme="minorHAnsi"/>
                <w:sz w:val="20"/>
                <w:szCs w:val="20"/>
              </w:rPr>
            </w:pPr>
            <w:r w:rsidRPr="007366C3">
              <w:rPr>
                <w:rFonts w:cstheme="minorHAnsi"/>
                <w:sz w:val="20"/>
                <w:szCs w:val="20"/>
              </w:rPr>
              <w:t>Institution</w:t>
            </w:r>
          </w:p>
        </w:tc>
        <w:tc>
          <w:tcPr>
            <w:tcW w:w="1615" w:type="dxa"/>
            <w:vMerge/>
            <w:vAlign w:val="center"/>
          </w:tcPr>
          <w:p w:rsidR="00F36C43" w:rsidRPr="007366C3" w:rsidP="00A345D7" w14:paraId="145097A4" w14:textId="77777777">
            <w:pPr>
              <w:rPr>
                <w:sz w:val="20"/>
                <w:szCs w:val="20"/>
              </w:rPr>
            </w:pPr>
          </w:p>
        </w:tc>
      </w:tr>
      <w:tr w14:paraId="1EFDF060" w14:textId="77777777" w:rsidTr="00194B18">
        <w:tblPrEx>
          <w:tblW w:w="0" w:type="auto"/>
          <w:tblLayout w:type="fixed"/>
          <w:tblLook w:val="04A0"/>
        </w:tblPrEx>
        <w:tc>
          <w:tcPr>
            <w:tcW w:w="3325" w:type="dxa"/>
            <w:vAlign w:val="center"/>
          </w:tcPr>
          <w:p w:rsidR="00F36C43" w:rsidRPr="007366C3" w:rsidP="00A345D7" w14:paraId="1EC523A7" w14:textId="301DA1ED">
            <w:pPr>
              <w:rPr>
                <w:rFonts w:cstheme="minorHAnsi"/>
                <w:sz w:val="20"/>
                <w:szCs w:val="20"/>
              </w:rPr>
            </w:pPr>
            <w:r w:rsidRPr="007366C3">
              <w:rPr>
                <w:rFonts w:cstheme="minorHAnsi"/>
                <w:sz w:val="20"/>
                <w:szCs w:val="20"/>
              </w:rPr>
              <w:t>Lab Name (optional)</w:t>
            </w:r>
          </w:p>
        </w:tc>
        <w:tc>
          <w:tcPr>
            <w:tcW w:w="4410" w:type="dxa"/>
            <w:vAlign w:val="center"/>
          </w:tcPr>
          <w:p w:rsidR="00F36C43" w:rsidRPr="007366C3" w:rsidP="00A345D7" w14:paraId="0BF58407" w14:textId="1E5751D2">
            <w:pPr>
              <w:rPr>
                <w:rFonts w:cstheme="minorHAnsi"/>
                <w:sz w:val="20"/>
                <w:szCs w:val="20"/>
              </w:rPr>
            </w:pPr>
            <w:r w:rsidRPr="007366C3">
              <w:rPr>
                <w:rFonts w:cstheme="minorHAnsi"/>
                <w:sz w:val="20"/>
                <w:szCs w:val="20"/>
              </w:rPr>
              <w:t>Lab Name (optional)</w:t>
            </w:r>
          </w:p>
        </w:tc>
        <w:tc>
          <w:tcPr>
            <w:tcW w:w="1615" w:type="dxa"/>
            <w:vMerge/>
            <w:vAlign w:val="center"/>
          </w:tcPr>
          <w:p w:rsidR="00F36C43" w:rsidRPr="007366C3" w:rsidP="00A345D7" w14:paraId="64D6C985" w14:textId="77777777">
            <w:pPr>
              <w:rPr>
                <w:sz w:val="20"/>
                <w:szCs w:val="20"/>
              </w:rPr>
            </w:pPr>
          </w:p>
        </w:tc>
      </w:tr>
      <w:tr w14:paraId="2F5F4BC9" w14:textId="77777777" w:rsidTr="00194B18">
        <w:tblPrEx>
          <w:tblW w:w="0" w:type="auto"/>
          <w:tblLayout w:type="fixed"/>
          <w:tblLook w:val="04A0"/>
        </w:tblPrEx>
        <w:tc>
          <w:tcPr>
            <w:tcW w:w="3325" w:type="dxa"/>
            <w:vAlign w:val="center"/>
          </w:tcPr>
          <w:p w:rsidR="00F36C43" w:rsidRPr="007366C3" w:rsidP="00A345D7" w14:paraId="0EFB4C6C" w14:textId="334C7E1D">
            <w:pPr>
              <w:rPr>
                <w:rFonts w:cstheme="minorHAnsi"/>
                <w:sz w:val="20"/>
                <w:szCs w:val="20"/>
              </w:rPr>
            </w:pPr>
            <w:r w:rsidRPr="007366C3">
              <w:rPr>
                <w:rFonts w:eastAsia="Times New Roman" w:cstheme="minorHAnsi"/>
                <w:color w:val="222222"/>
                <w:sz w:val="20"/>
                <w:szCs w:val="20"/>
              </w:rPr>
              <w:t>Street Address Line 1</w:t>
            </w:r>
            <w:r w:rsidRPr="007366C3">
              <w:rPr>
                <w:rFonts w:eastAsia="Times New Roman" w:cstheme="minorHAnsi"/>
                <w:color w:val="222222"/>
                <w:sz w:val="20"/>
                <w:szCs w:val="20"/>
              </w:rPr>
              <w:tab/>
            </w:r>
          </w:p>
        </w:tc>
        <w:tc>
          <w:tcPr>
            <w:tcW w:w="4410" w:type="dxa"/>
            <w:vAlign w:val="center"/>
          </w:tcPr>
          <w:p w:rsidR="00F36C43" w:rsidRPr="007366C3" w:rsidP="00A345D7" w14:paraId="59AF91E4" w14:textId="16EAB743">
            <w:pPr>
              <w:rPr>
                <w:rFonts w:cstheme="minorHAnsi"/>
                <w:sz w:val="20"/>
                <w:szCs w:val="20"/>
              </w:rPr>
            </w:pPr>
            <w:r w:rsidRPr="007366C3">
              <w:rPr>
                <w:rFonts w:eastAsia="Times New Roman" w:cstheme="minorHAnsi"/>
                <w:color w:val="222222"/>
                <w:sz w:val="20"/>
                <w:szCs w:val="20"/>
              </w:rPr>
              <w:t>Street Address Line 1</w:t>
            </w:r>
            <w:r w:rsidRPr="007366C3">
              <w:rPr>
                <w:rFonts w:eastAsia="Times New Roman" w:cstheme="minorHAnsi"/>
                <w:color w:val="222222"/>
                <w:sz w:val="20"/>
                <w:szCs w:val="20"/>
              </w:rPr>
              <w:tab/>
            </w:r>
          </w:p>
        </w:tc>
        <w:tc>
          <w:tcPr>
            <w:tcW w:w="1615" w:type="dxa"/>
            <w:vMerge/>
            <w:vAlign w:val="center"/>
          </w:tcPr>
          <w:p w:rsidR="00F36C43" w:rsidRPr="007366C3" w:rsidP="00A345D7" w14:paraId="3F7CBCAF" w14:textId="77777777">
            <w:pPr>
              <w:rPr>
                <w:sz w:val="20"/>
                <w:szCs w:val="20"/>
              </w:rPr>
            </w:pPr>
          </w:p>
        </w:tc>
      </w:tr>
      <w:tr w14:paraId="763B4F6D" w14:textId="77777777" w:rsidTr="00194B18">
        <w:tblPrEx>
          <w:tblW w:w="0" w:type="auto"/>
          <w:tblLayout w:type="fixed"/>
          <w:tblLook w:val="04A0"/>
        </w:tblPrEx>
        <w:tc>
          <w:tcPr>
            <w:tcW w:w="3325" w:type="dxa"/>
            <w:vAlign w:val="center"/>
          </w:tcPr>
          <w:p w:rsidR="00F36C43" w:rsidRPr="007366C3" w:rsidP="00A345D7" w14:paraId="75EB190F" w14:textId="318106BB">
            <w:pPr>
              <w:rPr>
                <w:rFonts w:cstheme="minorHAnsi"/>
                <w:sz w:val="20"/>
                <w:szCs w:val="20"/>
              </w:rPr>
            </w:pPr>
            <w:r w:rsidRPr="007366C3">
              <w:rPr>
                <w:rFonts w:eastAsia="Times New Roman" w:cstheme="minorHAnsi"/>
                <w:color w:val="222222"/>
                <w:sz w:val="20"/>
                <w:szCs w:val="20"/>
              </w:rPr>
              <w:t>Street Address Line 2</w:t>
            </w:r>
            <w:r w:rsidRPr="007366C3">
              <w:rPr>
                <w:rFonts w:eastAsia="Times New Roman" w:cstheme="minorHAnsi"/>
                <w:color w:val="222222"/>
                <w:sz w:val="20"/>
                <w:szCs w:val="20"/>
              </w:rPr>
              <w:tab/>
            </w:r>
          </w:p>
        </w:tc>
        <w:tc>
          <w:tcPr>
            <w:tcW w:w="4410" w:type="dxa"/>
            <w:vAlign w:val="center"/>
          </w:tcPr>
          <w:p w:rsidR="00F36C43" w:rsidRPr="007366C3" w:rsidP="00A345D7" w14:paraId="572D59BF" w14:textId="4585543D">
            <w:pPr>
              <w:rPr>
                <w:rFonts w:cstheme="minorHAnsi"/>
                <w:sz w:val="20"/>
                <w:szCs w:val="20"/>
              </w:rPr>
            </w:pPr>
            <w:r w:rsidRPr="007366C3">
              <w:rPr>
                <w:rFonts w:eastAsia="Times New Roman" w:cstheme="minorHAnsi"/>
                <w:color w:val="222222"/>
                <w:sz w:val="20"/>
                <w:szCs w:val="20"/>
              </w:rPr>
              <w:t>Street Address Line 2</w:t>
            </w:r>
            <w:r w:rsidRPr="007366C3">
              <w:rPr>
                <w:rFonts w:eastAsia="Times New Roman" w:cstheme="minorHAnsi"/>
                <w:color w:val="222222"/>
                <w:sz w:val="20"/>
                <w:szCs w:val="20"/>
              </w:rPr>
              <w:tab/>
            </w:r>
          </w:p>
        </w:tc>
        <w:tc>
          <w:tcPr>
            <w:tcW w:w="1615" w:type="dxa"/>
            <w:vMerge/>
            <w:vAlign w:val="center"/>
          </w:tcPr>
          <w:p w:rsidR="00F36C43" w:rsidRPr="007366C3" w:rsidP="00A345D7" w14:paraId="01D8D3A0" w14:textId="77777777">
            <w:pPr>
              <w:rPr>
                <w:sz w:val="20"/>
                <w:szCs w:val="20"/>
              </w:rPr>
            </w:pPr>
          </w:p>
        </w:tc>
      </w:tr>
      <w:tr w14:paraId="4B254666" w14:textId="77777777" w:rsidTr="00194B18">
        <w:tblPrEx>
          <w:tblW w:w="0" w:type="auto"/>
          <w:tblLayout w:type="fixed"/>
          <w:tblLook w:val="04A0"/>
        </w:tblPrEx>
        <w:tc>
          <w:tcPr>
            <w:tcW w:w="3325" w:type="dxa"/>
            <w:vAlign w:val="center"/>
          </w:tcPr>
          <w:p w:rsidR="00F36C43" w:rsidRPr="007366C3" w:rsidP="00A345D7" w14:paraId="5C63128B" w14:textId="4FD8D037">
            <w:pPr>
              <w:rPr>
                <w:rFonts w:cstheme="minorHAnsi"/>
                <w:sz w:val="20"/>
                <w:szCs w:val="20"/>
              </w:rPr>
            </w:pPr>
            <w:r w:rsidRPr="007366C3">
              <w:rPr>
                <w:rFonts w:cstheme="minorHAnsi"/>
                <w:sz w:val="20"/>
                <w:szCs w:val="20"/>
              </w:rPr>
              <w:t>City</w:t>
            </w:r>
          </w:p>
        </w:tc>
        <w:tc>
          <w:tcPr>
            <w:tcW w:w="4410" w:type="dxa"/>
            <w:vAlign w:val="center"/>
          </w:tcPr>
          <w:p w:rsidR="00F36C43" w:rsidRPr="007366C3" w:rsidP="00A345D7" w14:paraId="5FCB3855" w14:textId="26FD8C44">
            <w:pPr>
              <w:rPr>
                <w:rFonts w:cstheme="minorHAnsi"/>
                <w:sz w:val="20"/>
                <w:szCs w:val="20"/>
              </w:rPr>
            </w:pPr>
            <w:r w:rsidRPr="007366C3">
              <w:rPr>
                <w:rFonts w:cstheme="minorHAnsi"/>
                <w:sz w:val="20"/>
                <w:szCs w:val="20"/>
              </w:rPr>
              <w:t>City</w:t>
            </w:r>
          </w:p>
        </w:tc>
        <w:tc>
          <w:tcPr>
            <w:tcW w:w="1615" w:type="dxa"/>
            <w:vMerge/>
            <w:vAlign w:val="center"/>
          </w:tcPr>
          <w:p w:rsidR="00F36C43" w:rsidRPr="007366C3" w:rsidP="00A345D7" w14:paraId="123D0CEB" w14:textId="77777777">
            <w:pPr>
              <w:rPr>
                <w:sz w:val="20"/>
                <w:szCs w:val="20"/>
              </w:rPr>
            </w:pPr>
          </w:p>
        </w:tc>
      </w:tr>
      <w:tr w14:paraId="71224883" w14:textId="77777777" w:rsidTr="00194B18">
        <w:tblPrEx>
          <w:tblW w:w="0" w:type="auto"/>
          <w:tblLayout w:type="fixed"/>
          <w:tblLook w:val="04A0"/>
        </w:tblPrEx>
        <w:tc>
          <w:tcPr>
            <w:tcW w:w="3325" w:type="dxa"/>
            <w:vAlign w:val="center"/>
          </w:tcPr>
          <w:p w:rsidR="00F36C43" w:rsidRPr="007366C3" w:rsidP="00A345D7" w14:paraId="700A8547" w14:textId="5725A22B">
            <w:pPr>
              <w:rPr>
                <w:rFonts w:cstheme="minorHAnsi"/>
                <w:sz w:val="20"/>
                <w:szCs w:val="20"/>
              </w:rPr>
            </w:pPr>
            <w:r w:rsidRPr="007366C3">
              <w:rPr>
                <w:rFonts w:cstheme="minorHAnsi"/>
                <w:sz w:val="20"/>
                <w:szCs w:val="20"/>
              </w:rPr>
              <w:t>State</w:t>
            </w:r>
          </w:p>
        </w:tc>
        <w:tc>
          <w:tcPr>
            <w:tcW w:w="4410" w:type="dxa"/>
            <w:vAlign w:val="center"/>
          </w:tcPr>
          <w:p w:rsidR="00F36C43" w:rsidRPr="007366C3" w:rsidP="00A345D7" w14:paraId="5EA7E6E8" w14:textId="67FAD9F4">
            <w:pPr>
              <w:rPr>
                <w:rFonts w:cstheme="minorHAnsi"/>
                <w:sz w:val="20"/>
                <w:szCs w:val="20"/>
              </w:rPr>
            </w:pPr>
            <w:r w:rsidRPr="007366C3">
              <w:rPr>
                <w:rFonts w:cstheme="minorHAnsi"/>
                <w:sz w:val="20"/>
                <w:szCs w:val="20"/>
              </w:rPr>
              <w:t>State</w:t>
            </w:r>
          </w:p>
        </w:tc>
        <w:tc>
          <w:tcPr>
            <w:tcW w:w="1615" w:type="dxa"/>
            <w:vMerge/>
            <w:vAlign w:val="center"/>
          </w:tcPr>
          <w:p w:rsidR="00F36C43" w:rsidRPr="007366C3" w:rsidP="00A345D7" w14:paraId="6A5244B2" w14:textId="77777777">
            <w:pPr>
              <w:rPr>
                <w:sz w:val="20"/>
                <w:szCs w:val="20"/>
              </w:rPr>
            </w:pPr>
          </w:p>
        </w:tc>
      </w:tr>
      <w:tr w14:paraId="3133B4E9" w14:textId="77777777" w:rsidTr="00194B18">
        <w:tblPrEx>
          <w:tblW w:w="0" w:type="auto"/>
          <w:tblLayout w:type="fixed"/>
          <w:tblLook w:val="04A0"/>
        </w:tblPrEx>
        <w:tc>
          <w:tcPr>
            <w:tcW w:w="3325" w:type="dxa"/>
            <w:vAlign w:val="center"/>
          </w:tcPr>
          <w:p w:rsidR="00F36C43" w:rsidRPr="007366C3" w:rsidP="0092627E" w14:paraId="4B44C05A" w14:textId="710FA26F">
            <w:pPr>
              <w:rPr>
                <w:rFonts w:cstheme="minorHAnsi"/>
                <w:sz w:val="20"/>
                <w:szCs w:val="20"/>
              </w:rPr>
            </w:pPr>
            <w:r w:rsidRPr="007366C3">
              <w:rPr>
                <w:rFonts w:cstheme="minorHAnsi"/>
                <w:sz w:val="20"/>
                <w:szCs w:val="20"/>
              </w:rPr>
              <w:t>Zip Code</w:t>
            </w:r>
          </w:p>
        </w:tc>
        <w:tc>
          <w:tcPr>
            <w:tcW w:w="4410" w:type="dxa"/>
            <w:vAlign w:val="center"/>
          </w:tcPr>
          <w:p w:rsidR="00F36C43" w:rsidRPr="007366C3" w:rsidP="0092627E" w14:paraId="279412CA" w14:textId="1D8849E6">
            <w:pPr>
              <w:rPr>
                <w:rFonts w:cstheme="minorHAnsi"/>
                <w:sz w:val="20"/>
                <w:szCs w:val="20"/>
              </w:rPr>
            </w:pPr>
            <w:r w:rsidRPr="007366C3">
              <w:rPr>
                <w:rFonts w:cstheme="minorHAnsi"/>
                <w:sz w:val="20"/>
                <w:szCs w:val="20"/>
              </w:rPr>
              <w:t>Zip Code</w:t>
            </w:r>
          </w:p>
        </w:tc>
        <w:tc>
          <w:tcPr>
            <w:tcW w:w="1615" w:type="dxa"/>
            <w:vMerge/>
            <w:vAlign w:val="center"/>
          </w:tcPr>
          <w:p w:rsidR="00F36C43" w:rsidRPr="007366C3" w:rsidP="0092627E" w14:paraId="76A19DE8" w14:textId="77777777">
            <w:pPr>
              <w:rPr>
                <w:sz w:val="20"/>
                <w:szCs w:val="20"/>
              </w:rPr>
            </w:pPr>
          </w:p>
        </w:tc>
      </w:tr>
      <w:tr w14:paraId="0CC34372" w14:textId="77777777" w:rsidTr="00194B18">
        <w:tblPrEx>
          <w:tblW w:w="0" w:type="auto"/>
          <w:tblLayout w:type="fixed"/>
          <w:tblLook w:val="04A0"/>
        </w:tblPrEx>
        <w:tc>
          <w:tcPr>
            <w:tcW w:w="3325" w:type="dxa"/>
            <w:vAlign w:val="center"/>
          </w:tcPr>
          <w:p w:rsidR="0092627E" w:rsidRPr="007366C3" w:rsidP="0092627E" w14:paraId="3CFF15E2" w14:textId="38CFEB61">
            <w:pPr>
              <w:rPr>
                <w:rFonts w:cstheme="minorHAnsi"/>
                <w:sz w:val="20"/>
                <w:szCs w:val="20"/>
              </w:rPr>
            </w:pPr>
            <w:r w:rsidRPr="007366C3">
              <w:rPr>
                <w:rFonts w:cstheme="minorHAnsi"/>
                <w:sz w:val="20"/>
                <w:szCs w:val="20"/>
              </w:rPr>
              <w:t>County</w:t>
            </w:r>
          </w:p>
        </w:tc>
        <w:tc>
          <w:tcPr>
            <w:tcW w:w="4410" w:type="dxa"/>
            <w:vAlign w:val="center"/>
          </w:tcPr>
          <w:p w:rsidR="0092627E" w:rsidRPr="007366C3" w:rsidP="0092627E" w14:paraId="20F75E30" w14:textId="09EC6D7E">
            <w:pPr>
              <w:rPr>
                <w:rFonts w:cstheme="minorHAnsi"/>
                <w:sz w:val="20"/>
                <w:szCs w:val="20"/>
              </w:rPr>
            </w:pPr>
            <w:r w:rsidRPr="00BB52F8">
              <w:rPr>
                <w:rFonts w:cstheme="minorHAnsi"/>
                <w:color w:val="FF0000"/>
                <w:sz w:val="20"/>
                <w:szCs w:val="20"/>
              </w:rPr>
              <w:t>[DELETED]</w:t>
            </w:r>
          </w:p>
        </w:tc>
        <w:tc>
          <w:tcPr>
            <w:tcW w:w="1615" w:type="dxa"/>
            <w:vAlign w:val="center"/>
          </w:tcPr>
          <w:p w:rsidR="0092627E" w:rsidRPr="007366C3" w:rsidP="0092627E" w14:paraId="4CE51E2B" w14:textId="24AF7348">
            <w:pPr>
              <w:rPr>
                <w:sz w:val="20"/>
                <w:szCs w:val="20"/>
              </w:rPr>
            </w:pPr>
            <w:r w:rsidRPr="007366C3">
              <w:rPr>
                <w:sz w:val="20"/>
                <w:szCs w:val="20"/>
              </w:rPr>
              <w:t>Redundant</w:t>
            </w:r>
            <w:r w:rsidRPr="007366C3" w:rsidR="00204643">
              <w:rPr>
                <w:sz w:val="20"/>
                <w:szCs w:val="20"/>
              </w:rPr>
              <w:t xml:space="preserve"> with address</w:t>
            </w:r>
          </w:p>
        </w:tc>
      </w:tr>
      <w:tr w14:paraId="7D2856CE" w14:textId="77777777" w:rsidTr="00194B18">
        <w:tblPrEx>
          <w:tblW w:w="0" w:type="auto"/>
          <w:tblLayout w:type="fixed"/>
          <w:tblLook w:val="04A0"/>
        </w:tblPrEx>
        <w:tc>
          <w:tcPr>
            <w:tcW w:w="3325" w:type="dxa"/>
            <w:vAlign w:val="center"/>
          </w:tcPr>
          <w:p w:rsidR="00F36C43" w:rsidRPr="007366C3" w:rsidP="0092627E" w14:paraId="0CD43CF5" w14:textId="0A035DB0">
            <w:pPr>
              <w:rPr>
                <w:rFonts w:cstheme="minorHAnsi"/>
                <w:sz w:val="20"/>
                <w:szCs w:val="20"/>
              </w:rPr>
            </w:pPr>
            <w:r w:rsidRPr="007366C3">
              <w:rPr>
                <w:rFonts w:cstheme="minorHAnsi"/>
                <w:sz w:val="20"/>
                <w:szCs w:val="20"/>
              </w:rPr>
              <w:t>Email</w:t>
            </w:r>
          </w:p>
        </w:tc>
        <w:tc>
          <w:tcPr>
            <w:tcW w:w="4410" w:type="dxa"/>
            <w:vAlign w:val="center"/>
          </w:tcPr>
          <w:p w:rsidR="00F36C43" w:rsidRPr="007366C3" w:rsidP="0092627E" w14:paraId="4533379B" w14:textId="40ACB240">
            <w:pPr>
              <w:rPr>
                <w:rFonts w:cstheme="minorHAnsi"/>
                <w:sz w:val="20"/>
                <w:szCs w:val="20"/>
              </w:rPr>
            </w:pPr>
            <w:r w:rsidRPr="007366C3">
              <w:rPr>
                <w:rFonts w:cstheme="minorHAnsi"/>
                <w:sz w:val="20"/>
                <w:szCs w:val="20"/>
              </w:rPr>
              <w:t>Email</w:t>
            </w:r>
          </w:p>
        </w:tc>
        <w:tc>
          <w:tcPr>
            <w:tcW w:w="1615" w:type="dxa"/>
            <w:vMerge w:val="restart"/>
            <w:vAlign w:val="center"/>
          </w:tcPr>
          <w:p w:rsidR="00F36C43" w:rsidRPr="007366C3" w:rsidP="0092627E" w14:paraId="58E8FC6A" w14:textId="104F8D0F">
            <w:pPr>
              <w:rPr>
                <w:sz w:val="20"/>
                <w:szCs w:val="20"/>
              </w:rPr>
            </w:pPr>
            <w:r w:rsidRPr="007366C3">
              <w:rPr>
                <w:rFonts w:eastAsia="Times New Roman" w:cstheme="minorHAnsi"/>
                <w:color w:val="222222"/>
                <w:sz w:val="20"/>
                <w:szCs w:val="20"/>
              </w:rPr>
              <w:t>No change to text</w:t>
            </w:r>
          </w:p>
        </w:tc>
      </w:tr>
      <w:tr w14:paraId="3BB1320A" w14:textId="77777777" w:rsidTr="00194B18">
        <w:tblPrEx>
          <w:tblW w:w="0" w:type="auto"/>
          <w:tblLayout w:type="fixed"/>
          <w:tblLook w:val="04A0"/>
        </w:tblPrEx>
        <w:tc>
          <w:tcPr>
            <w:tcW w:w="3325" w:type="dxa"/>
            <w:vAlign w:val="center"/>
          </w:tcPr>
          <w:p w:rsidR="00F36C43" w:rsidRPr="007366C3" w:rsidP="0092627E" w14:paraId="41201D76" w14:textId="20B95983">
            <w:pPr>
              <w:rPr>
                <w:rFonts w:cstheme="minorHAnsi"/>
                <w:sz w:val="20"/>
                <w:szCs w:val="20"/>
              </w:rPr>
            </w:pPr>
            <w:r w:rsidRPr="007366C3">
              <w:rPr>
                <w:rFonts w:cstheme="minorHAnsi"/>
                <w:sz w:val="20"/>
                <w:szCs w:val="20"/>
              </w:rPr>
              <w:t>Verify Email</w:t>
            </w:r>
          </w:p>
        </w:tc>
        <w:tc>
          <w:tcPr>
            <w:tcW w:w="4410" w:type="dxa"/>
            <w:vAlign w:val="center"/>
          </w:tcPr>
          <w:p w:rsidR="00F36C43" w:rsidRPr="007366C3" w:rsidP="0092627E" w14:paraId="08171D53" w14:textId="3C3F1D30">
            <w:pPr>
              <w:rPr>
                <w:rFonts w:cstheme="minorHAnsi"/>
                <w:sz w:val="20"/>
                <w:szCs w:val="20"/>
              </w:rPr>
            </w:pPr>
            <w:r w:rsidRPr="007366C3">
              <w:rPr>
                <w:rFonts w:cstheme="minorHAnsi"/>
                <w:sz w:val="20"/>
                <w:szCs w:val="20"/>
              </w:rPr>
              <w:t>Verify Email</w:t>
            </w:r>
          </w:p>
        </w:tc>
        <w:tc>
          <w:tcPr>
            <w:tcW w:w="1615" w:type="dxa"/>
            <w:vMerge/>
            <w:vAlign w:val="center"/>
          </w:tcPr>
          <w:p w:rsidR="00F36C43" w:rsidRPr="007366C3" w:rsidP="0092627E" w14:paraId="79CCAA61" w14:textId="77777777">
            <w:pPr>
              <w:rPr>
                <w:sz w:val="20"/>
                <w:szCs w:val="20"/>
              </w:rPr>
            </w:pPr>
          </w:p>
        </w:tc>
      </w:tr>
      <w:tr w14:paraId="29102ADD" w14:textId="77777777" w:rsidTr="00194B18">
        <w:tblPrEx>
          <w:tblW w:w="0" w:type="auto"/>
          <w:tblLayout w:type="fixed"/>
          <w:tblLook w:val="04A0"/>
        </w:tblPrEx>
        <w:tc>
          <w:tcPr>
            <w:tcW w:w="3325" w:type="dxa"/>
            <w:vAlign w:val="center"/>
          </w:tcPr>
          <w:p w:rsidR="00F36C43" w:rsidRPr="007366C3" w:rsidP="0092627E" w14:paraId="17D98B91" w14:textId="506D0A95">
            <w:pPr>
              <w:rPr>
                <w:rFonts w:cstheme="minorHAnsi"/>
                <w:sz w:val="20"/>
                <w:szCs w:val="20"/>
              </w:rPr>
            </w:pPr>
            <w:r w:rsidRPr="007366C3">
              <w:rPr>
                <w:rFonts w:cstheme="minorHAnsi"/>
                <w:sz w:val="20"/>
                <w:szCs w:val="20"/>
              </w:rPr>
              <w:t>Telephone</w:t>
            </w:r>
          </w:p>
        </w:tc>
        <w:tc>
          <w:tcPr>
            <w:tcW w:w="4410" w:type="dxa"/>
            <w:vAlign w:val="center"/>
          </w:tcPr>
          <w:p w:rsidR="00F36C43" w:rsidRPr="007366C3" w:rsidP="0092627E" w14:paraId="0FCBFCAA" w14:textId="5C4F8F68">
            <w:pPr>
              <w:rPr>
                <w:rFonts w:cstheme="minorHAnsi"/>
                <w:sz w:val="20"/>
                <w:szCs w:val="20"/>
              </w:rPr>
            </w:pPr>
            <w:r w:rsidRPr="007366C3">
              <w:rPr>
                <w:rFonts w:cstheme="minorHAnsi"/>
                <w:sz w:val="20"/>
                <w:szCs w:val="20"/>
              </w:rPr>
              <w:t>Telephone</w:t>
            </w:r>
          </w:p>
        </w:tc>
        <w:tc>
          <w:tcPr>
            <w:tcW w:w="1615" w:type="dxa"/>
            <w:vMerge/>
            <w:vAlign w:val="center"/>
          </w:tcPr>
          <w:p w:rsidR="00F36C43" w:rsidRPr="007366C3" w:rsidP="0092627E" w14:paraId="1FA8C812" w14:textId="77777777">
            <w:pPr>
              <w:rPr>
                <w:sz w:val="20"/>
                <w:szCs w:val="20"/>
              </w:rPr>
            </w:pPr>
          </w:p>
        </w:tc>
      </w:tr>
      <w:tr w14:paraId="367D00C5" w14:textId="77777777" w:rsidTr="00194B18">
        <w:tblPrEx>
          <w:tblW w:w="0" w:type="auto"/>
          <w:tblLayout w:type="fixed"/>
          <w:tblLook w:val="04A0"/>
        </w:tblPrEx>
        <w:tc>
          <w:tcPr>
            <w:tcW w:w="3325" w:type="dxa"/>
            <w:vAlign w:val="center"/>
          </w:tcPr>
          <w:p w:rsidR="003655D4" w:rsidRPr="007366C3" w:rsidP="0092627E" w14:paraId="6C492F55" w14:textId="5FC41A8B">
            <w:pPr>
              <w:rPr>
                <w:rFonts w:cstheme="minorHAnsi"/>
                <w:sz w:val="20"/>
                <w:szCs w:val="20"/>
              </w:rPr>
            </w:pPr>
            <w:r w:rsidRPr="007366C3">
              <w:rPr>
                <w:rFonts w:cstheme="minorHAnsi"/>
                <w:sz w:val="20"/>
                <w:szCs w:val="20"/>
              </w:rPr>
              <w:t>Quantity Requested</w:t>
            </w:r>
          </w:p>
        </w:tc>
        <w:tc>
          <w:tcPr>
            <w:tcW w:w="4410" w:type="dxa"/>
            <w:vAlign w:val="center"/>
          </w:tcPr>
          <w:p w:rsidR="003655D4" w:rsidRPr="007366C3" w:rsidP="0092627E" w14:paraId="4EA9C1EB" w14:textId="249215DD">
            <w:pPr>
              <w:rPr>
                <w:rFonts w:cstheme="minorHAnsi"/>
                <w:sz w:val="20"/>
                <w:szCs w:val="20"/>
              </w:rPr>
            </w:pPr>
            <w:r w:rsidRPr="00BB52F8">
              <w:rPr>
                <w:rFonts w:cstheme="minorHAnsi"/>
                <w:color w:val="FF0000"/>
                <w:sz w:val="20"/>
                <w:szCs w:val="20"/>
              </w:rPr>
              <w:t>[DELETED]</w:t>
            </w:r>
          </w:p>
        </w:tc>
        <w:tc>
          <w:tcPr>
            <w:tcW w:w="1615" w:type="dxa"/>
            <w:vAlign w:val="center"/>
          </w:tcPr>
          <w:p w:rsidR="003655D4" w:rsidRPr="007366C3" w:rsidP="0092627E" w14:paraId="61813FE4" w14:textId="5F4A6BC9">
            <w:pPr>
              <w:rPr>
                <w:sz w:val="20"/>
                <w:szCs w:val="20"/>
              </w:rPr>
            </w:pPr>
            <w:r w:rsidRPr="007366C3">
              <w:rPr>
                <w:sz w:val="20"/>
                <w:szCs w:val="20"/>
              </w:rPr>
              <w:t>Move question after asking for test kit type</w:t>
            </w:r>
            <w:r w:rsidRPr="007366C3" w:rsidR="001762EC">
              <w:rPr>
                <w:sz w:val="20"/>
                <w:szCs w:val="20"/>
              </w:rPr>
              <w:t>(s)</w:t>
            </w:r>
            <w:r w:rsidRPr="007366C3" w:rsidR="0092627E">
              <w:rPr>
                <w:sz w:val="20"/>
                <w:szCs w:val="20"/>
              </w:rPr>
              <w:t xml:space="preserve"> requested.</w:t>
            </w:r>
          </w:p>
        </w:tc>
      </w:tr>
      <w:tr w14:paraId="5CDD12EA" w14:textId="77777777" w:rsidTr="00194B18">
        <w:tblPrEx>
          <w:tblW w:w="0" w:type="auto"/>
          <w:tblLayout w:type="fixed"/>
          <w:tblLook w:val="04A0"/>
        </w:tblPrEx>
        <w:tc>
          <w:tcPr>
            <w:tcW w:w="3325" w:type="dxa"/>
            <w:vAlign w:val="center"/>
          </w:tcPr>
          <w:p w:rsidR="003655D4" w:rsidRPr="007366C3" w:rsidP="0092627E" w14:paraId="33E6CE82" w14:textId="153927B4">
            <w:pPr>
              <w:rPr>
                <w:rFonts w:eastAsia="Times New Roman" w:cstheme="minorHAnsi"/>
                <w:color w:val="222222"/>
                <w:sz w:val="20"/>
                <w:szCs w:val="20"/>
              </w:rPr>
            </w:pPr>
            <w:r w:rsidRPr="007366C3">
              <w:rPr>
                <w:rFonts w:eastAsia="Times New Roman" w:cstheme="minorHAnsi"/>
                <w:color w:val="222222"/>
                <w:sz w:val="20"/>
                <w:szCs w:val="20"/>
              </w:rPr>
              <w:t>Does you</w:t>
            </w:r>
            <w:r w:rsidRPr="007366C3" w:rsidR="00D17698">
              <w:rPr>
                <w:rFonts w:eastAsia="Times New Roman" w:cstheme="minorHAnsi"/>
                <w:color w:val="222222"/>
                <w:sz w:val="20"/>
                <w:szCs w:val="20"/>
              </w:rPr>
              <w:t>r</w:t>
            </w:r>
            <w:r w:rsidRPr="007366C3">
              <w:rPr>
                <w:rFonts w:eastAsia="Times New Roman" w:cstheme="minorHAnsi"/>
                <w:color w:val="222222"/>
                <w:sz w:val="20"/>
                <w:szCs w:val="20"/>
              </w:rPr>
              <w:t xml:space="preserve"> laboratory have a current DEA registration to handle scheduled substances?</w:t>
            </w:r>
          </w:p>
          <w:p w:rsidR="003655D4" w:rsidRPr="007366C3" w:rsidP="00D40333" w14:paraId="7D2F39E5" w14:textId="77777777">
            <w:pPr>
              <w:pStyle w:val="ListParagraph"/>
              <w:numPr>
                <w:ilvl w:val="0"/>
                <w:numId w:val="13"/>
              </w:numPr>
              <w:rPr>
                <w:rFonts w:cstheme="minorHAnsi"/>
                <w:sz w:val="20"/>
                <w:szCs w:val="20"/>
              </w:rPr>
            </w:pPr>
            <w:r w:rsidRPr="007366C3">
              <w:rPr>
                <w:rFonts w:cstheme="minorHAnsi"/>
                <w:sz w:val="20"/>
                <w:szCs w:val="20"/>
              </w:rPr>
              <w:t>Yes</w:t>
            </w:r>
          </w:p>
          <w:p w:rsidR="003655D4" w:rsidRPr="007366C3" w:rsidP="00D40333" w14:paraId="74935177" w14:textId="0E4788F7">
            <w:pPr>
              <w:pStyle w:val="ListParagraph"/>
              <w:numPr>
                <w:ilvl w:val="0"/>
                <w:numId w:val="13"/>
              </w:numPr>
              <w:rPr>
                <w:rFonts w:cstheme="minorHAnsi"/>
                <w:sz w:val="20"/>
                <w:szCs w:val="20"/>
              </w:rPr>
            </w:pPr>
            <w:r w:rsidRPr="007366C3">
              <w:rPr>
                <w:rFonts w:cstheme="minorHAnsi"/>
                <w:sz w:val="20"/>
                <w:szCs w:val="20"/>
              </w:rPr>
              <w:t>No</w:t>
            </w:r>
          </w:p>
        </w:tc>
        <w:tc>
          <w:tcPr>
            <w:tcW w:w="4410" w:type="dxa"/>
            <w:vAlign w:val="center"/>
          </w:tcPr>
          <w:p w:rsidR="0092627E" w:rsidRPr="007366C3" w:rsidP="0092627E" w14:paraId="6DC8EA0C" w14:textId="77777777">
            <w:pPr>
              <w:rPr>
                <w:rFonts w:eastAsia="Times New Roman" w:cstheme="minorHAnsi"/>
                <w:color w:val="222222"/>
                <w:sz w:val="20"/>
                <w:szCs w:val="20"/>
              </w:rPr>
            </w:pPr>
            <w:r w:rsidRPr="007366C3">
              <w:rPr>
                <w:rFonts w:eastAsia="Times New Roman" w:cstheme="minorHAnsi"/>
                <w:color w:val="222222"/>
                <w:sz w:val="20"/>
                <w:szCs w:val="20"/>
              </w:rPr>
              <w:t>Does your laboratory have a current DEA registration to handle scheduled substances?</w:t>
            </w:r>
          </w:p>
          <w:p w:rsidR="0092627E" w:rsidRPr="007366C3" w:rsidP="00D40333" w14:paraId="2B788F61" w14:textId="03232CC7">
            <w:pPr>
              <w:pStyle w:val="ListParagraph"/>
              <w:numPr>
                <w:ilvl w:val="0"/>
                <w:numId w:val="13"/>
              </w:numPr>
              <w:rPr>
                <w:rFonts w:cstheme="minorHAnsi"/>
                <w:sz w:val="20"/>
                <w:szCs w:val="20"/>
              </w:rPr>
            </w:pPr>
            <w:r w:rsidRPr="007366C3">
              <w:rPr>
                <w:rFonts w:cstheme="minorHAnsi"/>
                <w:sz w:val="20"/>
                <w:szCs w:val="20"/>
              </w:rPr>
              <w:t>Yes</w:t>
            </w:r>
          </w:p>
          <w:p w:rsidR="003655D4" w:rsidRPr="007366C3" w:rsidP="00D40333" w14:paraId="52A94282" w14:textId="2ED138B0">
            <w:pPr>
              <w:pStyle w:val="ListParagraph"/>
              <w:numPr>
                <w:ilvl w:val="0"/>
                <w:numId w:val="13"/>
              </w:numPr>
              <w:rPr>
                <w:rFonts w:cstheme="minorHAnsi"/>
                <w:sz w:val="20"/>
                <w:szCs w:val="20"/>
              </w:rPr>
            </w:pPr>
            <w:r w:rsidRPr="007366C3">
              <w:rPr>
                <w:rFonts w:cstheme="minorHAnsi"/>
                <w:sz w:val="20"/>
                <w:szCs w:val="20"/>
              </w:rPr>
              <w:t>No</w:t>
            </w:r>
          </w:p>
        </w:tc>
        <w:tc>
          <w:tcPr>
            <w:tcW w:w="1615" w:type="dxa"/>
            <w:vAlign w:val="center"/>
          </w:tcPr>
          <w:p w:rsidR="003655D4" w:rsidRPr="00404061" w:rsidP="0092627E" w14:paraId="42694DDE" w14:textId="1F4102FC">
            <w:pPr>
              <w:rPr>
                <w:color w:val="FF0000"/>
                <w:sz w:val="20"/>
                <w:szCs w:val="20"/>
              </w:rPr>
            </w:pPr>
            <w:r w:rsidRPr="007366C3">
              <w:rPr>
                <w:rFonts w:eastAsia="Times New Roman" w:cstheme="minorHAnsi"/>
                <w:color w:val="222222"/>
                <w:sz w:val="20"/>
                <w:szCs w:val="20"/>
              </w:rPr>
              <w:t>No change to text</w:t>
            </w:r>
          </w:p>
        </w:tc>
      </w:tr>
      <w:tr w14:paraId="3714753E" w14:textId="77777777" w:rsidTr="00194B18">
        <w:tblPrEx>
          <w:tblW w:w="0" w:type="auto"/>
          <w:tblLayout w:type="fixed"/>
          <w:tblLook w:val="04A0"/>
        </w:tblPrEx>
        <w:tc>
          <w:tcPr>
            <w:tcW w:w="3325" w:type="dxa"/>
          </w:tcPr>
          <w:p w:rsidR="003655D4" w:rsidRPr="007366C3" w:rsidP="00D77DBC" w14:paraId="282B8FF9" w14:textId="0DB5B3F2">
            <w:pPr>
              <w:rPr>
                <w:rFonts w:cstheme="minorHAnsi"/>
                <w:sz w:val="20"/>
                <w:szCs w:val="20"/>
              </w:rPr>
            </w:pPr>
            <w:bookmarkStart w:id="48" w:name="_Hlk112163658"/>
          </w:p>
        </w:tc>
        <w:tc>
          <w:tcPr>
            <w:tcW w:w="4410" w:type="dxa"/>
          </w:tcPr>
          <w:p w:rsidR="00AB2246" w:rsidRPr="00273212" w:rsidP="00D40333" w14:paraId="011F115C" w14:textId="7E07D46B">
            <w:pPr>
              <w:pStyle w:val="ListParagraph"/>
              <w:numPr>
                <w:ilvl w:val="0"/>
                <w:numId w:val="15"/>
              </w:numPr>
              <w:ind w:left="346"/>
              <w:rPr>
                <w:rFonts w:cstheme="minorHAnsi"/>
                <w:color w:val="FF0000"/>
                <w:sz w:val="20"/>
                <w:szCs w:val="20"/>
              </w:rPr>
            </w:pPr>
            <w:r w:rsidRPr="00273212">
              <w:rPr>
                <w:rFonts w:cstheme="minorHAnsi"/>
                <w:color w:val="FF0000"/>
                <w:sz w:val="20"/>
                <w:szCs w:val="20"/>
              </w:rPr>
              <w:t>Which test kit(s) are you requesting</w:t>
            </w:r>
            <w:r w:rsidRPr="00273212" w:rsidR="009167AD">
              <w:rPr>
                <w:rFonts w:cstheme="minorHAnsi"/>
                <w:color w:val="FF0000"/>
                <w:sz w:val="20"/>
                <w:szCs w:val="20"/>
              </w:rPr>
              <w:t>/have you previously received</w:t>
            </w:r>
            <w:r w:rsidRPr="00273212">
              <w:rPr>
                <w:rFonts w:cstheme="minorHAnsi"/>
                <w:color w:val="FF0000"/>
                <w:sz w:val="20"/>
                <w:szCs w:val="20"/>
              </w:rPr>
              <w:t xml:space="preserve">? </w:t>
            </w:r>
            <w:r w:rsidRPr="00273212">
              <w:rPr>
                <w:rFonts w:cstheme="minorHAnsi"/>
                <w:i/>
                <w:iCs/>
                <w:color w:val="FF0000"/>
                <w:sz w:val="20"/>
                <w:szCs w:val="20"/>
              </w:rPr>
              <w:t>(provide quantity requested)</w:t>
            </w:r>
          </w:p>
          <w:p w:rsidR="007366C3" w:rsidRPr="008D7747" w:rsidP="00194B18" w14:paraId="0C5461B0" w14:textId="77777777">
            <w:pPr>
              <w:pStyle w:val="ListParagraph"/>
              <w:ind w:left="461"/>
              <w:rPr>
                <w:rFonts w:cstheme="minorHAnsi"/>
                <w:color w:val="FF0000"/>
                <w:sz w:val="20"/>
                <w:szCs w:val="20"/>
              </w:rPr>
            </w:pPr>
            <w:r w:rsidRPr="00063F9C">
              <w:rPr>
                <w:rFonts w:cstheme="minorHAnsi"/>
                <w:color w:val="FF0000"/>
                <w:sz w:val="20"/>
                <w:szCs w:val="20"/>
              </w:rPr>
              <w:t>Fentanyl Analog Screening</w:t>
            </w:r>
          </w:p>
          <w:p w:rsidR="00AB2246" w:rsidRPr="00063F9C" w:rsidP="00404061" w14:paraId="1FE9AAE0" w14:textId="7C2994C2">
            <w:pPr>
              <w:pStyle w:val="ListParagraph"/>
              <w:ind w:left="461"/>
              <w:rPr>
                <w:rFonts w:cstheme="minorHAnsi"/>
                <w:color w:val="FF0000"/>
                <w:sz w:val="20"/>
                <w:szCs w:val="20"/>
              </w:rPr>
            </w:pPr>
            <w:r w:rsidRPr="00867C77">
              <w:rPr>
                <w:rFonts w:cstheme="minorHAnsi"/>
                <w:color w:val="FF0000"/>
                <w:sz w:val="20"/>
                <w:szCs w:val="20"/>
              </w:rPr>
              <w:t xml:space="preserve">      (</w:t>
            </w:r>
            <w:r w:rsidRPr="00867C77">
              <w:rPr>
                <w:rFonts w:cstheme="minorHAnsi"/>
                <w:color w:val="FF0000"/>
                <w:sz w:val="20"/>
                <w:szCs w:val="20"/>
              </w:rPr>
              <w:t>FAS</w:t>
            </w:r>
            <w:r w:rsidRPr="00867C77">
              <w:rPr>
                <w:rFonts w:cstheme="minorHAnsi"/>
                <w:color w:val="FF0000"/>
                <w:sz w:val="20"/>
                <w:szCs w:val="20"/>
              </w:rPr>
              <w:t>)</w:t>
            </w:r>
            <w:r w:rsidRPr="00063F9C">
              <w:rPr>
                <w:rFonts w:cstheme="minorHAnsi"/>
                <w:color w:val="FF0000"/>
                <w:sz w:val="20"/>
                <w:szCs w:val="20"/>
              </w:rPr>
              <w:tab/>
            </w:r>
            <w:r w:rsidRPr="00063F9C" w:rsidR="00204643">
              <w:rPr>
                <w:rFonts w:cstheme="minorHAnsi"/>
                <w:color w:val="FF0000"/>
                <w:sz w:val="20"/>
                <w:szCs w:val="20"/>
              </w:rPr>
              <w:t xml:space="preserve">       </w:t>
            </w:r>
            <w:r w:rsidRPr="00063F9C" w:rsidR="00404061">
              <w:rPr>
                <w:rFonts w:cstheme="minorHAnsi"/>
                <w:color w:val="FF0000"/>
                <w:sz w:val="20"/>
                <w:szCs w:val="20"/>
              </w:rPr>
              <w:t xml:space="preserve">         </w:t>
            </w:r>
            <w:r w:rsidRPr="00063F9C" w:rsidR="00204643">
              <w:rPr>
                <w:rFonts w:cstheme="minorHAnsi"/>
                <w:color w:val="FF0000"/>
                <w:sz w:val="20"/>
                <w:szCs w:val="20"/>
              </w:rPr>
              <w:t xml:space="preserve"> </w:t>
            </w:r>
            <w:r w:rsidRPr="00063F9C" w:rsidR="00404061">
              <w:rPr>
                <w:rFonts w:cstheme="minorHAnsi"/>
                <w:color w:val="FF0000"/>
                <w:sz w:val="20"/>
                <w:szCs w:val="20"/>
              </w:rPr>
              <w:t xml:space="preserve">   </w:t>
            </w:r>
            <w:r w:rsidRPr="00063F9C" w:rsidR="00063F9C">
              <w:rPr>
                <w:rFonts w:cstheme="minorHAnsi"/>
                <w:color w:val="FF0000"/>
                <w:sz w:val="20"/>
                <w:szCs w:val="20"/>
              </w:rPr>
              <w:t xml:space="preserve">            </w:t>
            </w:r>
            <w:r w:rsidRPr="00063F9C">
              <w:rPr>
                <w:rFonts w:cstheme="minorHAnsi"/>
                <w:color w:val="FF0000"/>
                <w:sz w:val="20"/>
                <w:szCs w:val="20"/>
              </w:rPr>
              <w:t>Quantity [___]</w:t>
            </w:r>
          </w:p>
          <w:p w:rsidR="00AB2246" w:rsidRPr="00063F9C" w:rsidP="00194B18" w14:paraId="624D0C8B" w14:textId="50612146">
            <w:pPr>
              <w:pStyle w:val="ListParagraph"/>
              <w:ind w:left="461"/>
              <w:rPr>
                <w:rFonts w:cstheme="minorHAnsi"/>
                <w:color w:val="FF0000"/>
                <w:sz w:val="20"/>
                <w:szCs w:val="20"/>
              </w:rPr>
            </w:pPr>
            <w:r w:rsidRPr="00063F9C">
              <w:rPr>
                <w:rFonts w:cstheme="minorHAnsi"/>
                <w:color w:val="FF0000"/>
                <w:sz w:val="20"/>
                <w:szCs w:val="20"/>
              </w:rPr>
              <w:t>FAS V</w:t>
            </w:r>
            <w:r w:rsidRPr="00063F9C" w:rsidR="00404061">
              <w:rPr>
                <w:rFonts w:cstheme="minorHAnsi"/>
                <w:color w:val="FF0000"/>
                <w:sz w:val="20"/>
                <w:szCs w:val="20"/>
              </w:rPr>
              <w:t xml:space="preserve">ersion </w:t>
            </w:r>
            <w:r w:rsidRPr="00063F9C">
              <w:rPr>
                <w:rFonts w:cstheme="minorHAnsi"/>
                <w:color w:val="FF0000"/>
                <w:sz w:val="20"/>
                <w:szCs w:val="20"/>
              </w:rPr>
              <w:t>1</w:t>
            </w:r>
            <w:r w:rsidRPr="00063F9C" w:rsidR="00204643">
              <w:rPr>
                <w:rFonts w:cstheme="minorHAnsi"/>
                <w:color w:val="FF0000"/>
                <w:sz w:val="20"/>
                <w:szCs w:val="20"/>
              </w:rPr>
              <w:t xml:space="preserve"> </w:t>
            </w:r>
            <w:r w:rsidRPr="00063F9C" w:rsidR="00404061">
              <w:rPr>
                <w:rFonts w:cstheme="minorHAnsi"/>
                <w:color w:val="FF0000"/>
                <w:sz w:val="20"/>
                <w:szCs w:val="20"/>
              </w:rPr>
              <w:t xml:space="preserve">         </w:t>
            </w:r>
            <w:r w:rsidRPr="00063F9C" w:rsidR="00194B18">
              <w:rPr>
                <w:rFonts w:cstheme="minorHAnsi"/>
                <w:color w:val="FF0000"/>
                <w:sz w:val="20"/>
                <w:szCs w:val="20"/>
              </w:rPr>
              <w:t xml:space="preserve">      </w:t>
            </w:r>
            <w:r w:rsidRPr="00063F9C" w:rsidR="00404061">
              <w:rPr>
                <w:rFonts w:cstheme="minorHAnsi"/>
                <w:color w:val="FF0000"/>
                <w:sz w:val="20"/>
                <w:szCs w:val="20"/>
              </w:rPr>
              <w:t xml:space="preserve"> </w:t>
            </w:r>
            <w:r w:rsidRPr="00063F9C" w:rsidR="00063F9C">
              <w:rPr>
                <w:rFonts w:cstheme="minorHAnsi"/>
                <w:color w:val="FF0000"/>
                <w:sz w:val="20"/>
                <w:szCs w:val="20"/>
              </w:rPr>
              <w:t xml:space="preserve">            </w:t>
            </w:r>
            <w:r w:rsidRPr="00063F9C">
              <w:rPr>
                <w:rFonts w:cstheme="minorHAnsi"/>
                <w:color w:val="FF0000"/>
                <w:sz w:val="20"/>
                <w:szCs w:val="20"/>
              </w:rPr>
              <w:t>Quantity [___]</w:t>
            </w:r>
          </w:p>
          <w:p w:rsidR="00AB2246" w:rsidRPr="00063F9C" w:rsidP="00194B18" w14:paraId="40E72C8A" w14:textId="5BD56EED">
            <w:pPr>
              <w:pStyle w:val="ListParagraph"/>
              <w:ind w:left="461"/>
              <w:rPr>
                <w:rFonts w:cstheme="minorHAnsi"/>
                <w:color w:val="FF0000"/>
                <w:sz w:val="20"/>
                <w:szCs w:val="20"/>
              </w:rPr>
            </w:pPr>
            <w:r w:rsidRPr="00063F9C">
              <w:rPr>
                <w:rFonts w:cstheme="minorHAnsi"/>
                <w:color w:val="FF0000"/>
                <w:sz w:val="20"/>
                <w:szCs w:val="20"/>
              </w:rPr>
              <w:t>FAS V</w:t>
            </w:r>
            <w:r w:rsidRPr="00063F9C" w:rsidR="00404061">
              <w:rPr>
                <w:rFonts w:cstheme="minorHAnsi"/>
                <w:color w:val="FF0000"/>
                <w:sz w:val="20"/>
                <w:szCs w:val="20"/>
              </w:rPr>
              <w:t>ersion 2</w:t>
            </w:r>
            <w:r w:rsidRPr="00063F9C" w:rsidR="00204643">
              <w:rPr>
                <w:rFonts w:cstheme="minorHAnsi"/>
                <w:color w:val="FF0000"/>
                <w:sz w:val="20"/>
                <w:szCs w:val="20"/>
              </w:rPr>
              <w:t xml:space="preserve"> </w:t>
            </w:r>
            <w:r w:rsidRPr="00063F9C" w:rsidR="00063F9C">
              <w:rPr>
                <w:rFonts w:cstheme="minorHAnsi"/>
                <w:color w:val="FF0000"/>
                <w:sz w:val="20"/>
                <w:szCs w:val="20"/>
              </w:rPr>
              <w:t>and 3</w:t>
            </w:r>
            <w:r w:rsidRPr="00063F9C" w:rsidR="00204643">
              <w:rPr>
                <w:rFonts w:cstheme="minorHAnsi"/>
                <w:color w:val="FF0000"/>
                <w:sz w:val="20"/>
                <w:szCs w:val="20"/>
              </w:rPr>
              <w:t xml:space="preserve">   </w:t>
            </w:r>
            <w:r w:rsidRPr="00063F9C" w:rsidR="00404061">
              <w:rPr>
                <w:rFonts w:cstheme="minorHAnsi"/>
                <w:color w:val="FF0000"/>
                <w:sz w:val="20"/>
                <w:szCs w:val="20"/>
              </w:rPr>
              <w:t xml:space="preserve">   </w:t>
            </w:r>
            <w:r w:rsidRPr="00063F9C" w:rsidR="00063F9C">
              <w:rPr>
                <w:rFonts w:cstheme="minorHAnsi"/>
                <w:color w:val="FF0000"/>
                <w:sz w:val="20"/>
                <w:szCs w:val="20"/>
              </w:rPr>
              <w:t xml:space="preserve">  </w:t>
            </w:r>
            <w:r w:rsidR="001865D4">
              <w:rPr>
                <w:rFonts w:cstheme="minorHAnsi"/>
                <w:color w:val="FF0000"/>
                <w:sz w:val="20"/>
                <w:szCs w:val="20"/>
              </w:rPr>
              <w:t xml:space="preserve">          </w:t>
            </w:r>
            <w:r w:rsidRPr="00063F9C">
              <w:rPr>
                <w:rFonts w:cstheme="minorHAnsi"/>
                <w:color w:val="FF0000"/>
                <w:sz w:val="20"/>
                <w:szCs w:val="20"/>
              </w:rPr>
              <w:t>Quantity [___]</w:t>
            </w:r>
          </w:p>
          <w:p w:rsidR="00AB2246" w:rsidRPr="00063F9C" w:rsidP="00194B18" w14:paraId="7FA48BD6" w14:textId="1FBB1114">
            <w:pPr>
              <w:pStyle w:val="ListParagraph"/>
              <w:ind w:left="461"/>
              <w:rPr>
                <w:rFonts w:cstheme="minorHAnsi"/>
                <w:color w:val="FF0000"/>
                <w:sz w:val="20"/>
                <w:szCs w:val="20"/>
              </w:rPr>
            </w:pPr>
            <w:r w:rsidRPr="00063F9C">
              <w:rPr>
                <w:rFonts w:cstheme="minorHAnsi"/>
                <w:color w:val="FF0000"/>
                <w:sz w:val="20"/>
                <w:szCs w:val="20"/>
              </w:rPr>
              <w:t>FAS V</w:t>
            </w:r>
            <w:r w:rsidRPr="00063F9C" w:rsidR="00404061">
              <w:rPr>
                <w:rFonts w:cstheme="minorHAnsi"/>
                <w:color w:val="FF0000"/>
                <w:sz w:val="20"/>
                <w:szCs w:val="20"/>
              </w:rPr>
              <w:t xml:space="preserve">ersion </w:t>
            </w:r>
            <w:r w:rsidRPr="00063F9C">
              <w:rPr>
                <w:rFonts w:cstheme="minorHAnsi"/>
                <w:color w:val="FF0000"/>
                <w:sz w:val="20"/>
                <w:szCs w:val="20"/>
              </w:rPr>
              <w:t>4</w:t>
            </w:r>
            <w:r w:rsidRPr="00063F9C">
              <w:rPr>
                <w:rFonts w:cstheme="minorHAnsi"/>
                <w:color w:val="FF0000"/>
                <w:sz w:val="20"/>
                <w:szCs w:val="20"/>
              </w:rPr>
              <w:tab/>
            </w:r>
            <w:r w:rsidRPr="00063F9C" w:rsidR="00204643">
              <w:rPr>
                <w:rFonts w:cstheme="minorHAnsi"/>
                <w:color w:val="FF0000"/>
                <w:sz w:val="20"/>
                <w:szCs w:val="20"/>
              </w:rPr>
              <w:t xml:space="preserve">    </w:t>
            </w:r>
            <w:r w:rsidRPr="00063F9C" w:rsidR="00063F9C">
              <w:rPr>
                <w:rFonts w:cstheme="minorHAnsi"/>
                <w:color w:val="FF0000"/>
                <w:sz w:val="20"/>
                <w:szCs w:val="20"/>
              </w:rPr>
              <w:t xml:space="preserve">            </w:t>
            </w:r>
            <w:r w:rsidRPr="00063F9C">
              <w:rPr>
                <w:rFonts w:cstheme="minorHAnsi"/>
                <w:color w:val="FF0000"/>
                <w:sz w:val="20"/>
                <w:szCs w:val="20"/>
              </w:rPr>
              <w:t>Quantity [___]</w:t>
            </w:r>
          </w:p>
          <w:p w:rsidR="00F36C43" w:rsidRPr="009A2BD6" w:rsidP="00063F9C" w14:paraId="1B7F20ED" w14:textId="4E1CC3E6">
            <w:pPr>
              <w:pStyle w:val="ListParagraph"/>
              <w:ind w:left="461"/>
              <w:rPr>
                <w:color w:val="FF0000"/>
                <w:sz w:val="20"/>
              </w:rPr>
            </w:pPr>
            <w:r w:rsidRPr="00063F9C">
              <w:rPr>
                <w:rFonts w:cstheme="minorHAnsi"/>
                <w:color w:val="FF0000"/>
                <w:sz w:val="20"/>
                <w:szCs w:val="20"/>
              </w:rPr>
              <w:t>Emergent</w:t>
            </w:r>
            <w:r w:rsidRPr="00063F9C" w:rsidR="007366C3">
              <w:rPr>
                <w:rFonts w:cstheme="minorHAnsi"/>
                <w:color w:val="FF0000"/>
                <w:sz w:val="20"/>
                <w:szCs w:val="20"/>
              </w:rPr>
              <w:t xml:space="preserve"> Drug Panel</w:t>
            </w:r>
            <w:r w:rsidRPr="00063F9C" w:rsidR="00063F9C">
              <w:rPr>
                <w:rFonts w:cstheme="minorHAnsi"/>
                <w:color w:val="FF0000"/>
                <w:sz w:val="20"/>
                <w:szCs w:val="20"/>
              </w:rPr>
              <w:t xml:space="preserve"> (EDP)</w:t>
            </w:r>
            <w:r w:rsidRPr="00063F9C" w:rsidR="007366C3">
              <w:rPr>
                <w:rFonts w:cstheme="minorHAnsi"/>
                <w:color w:val="FF0000"/>
                <w:sz w:val="20"/>
                <w:szCs w:val="20"/>
              </w:rPr>
              <w:t xml:space="preserve"> </w:t>
            </w:r>
            <w:r w:rsidRPr="00063F9C" w:rsidR="00063F9C">
              <w:rPr>
                <w:rFonts w:cstheme="minorHAnsi"/>
                <w:color w:val="FF0000"/>
                <w:sz w:val="20"/>
                <w:szCs w:val="20"/>
              </w:rPr>
              <w:t xml:space="preserve">   </w:t>
            </w:r>
            <w:r w:rsidRPr="009A2BD6">
              <w:rPr>
                <w:color w:val="FF0000"/>
                <w:sz w:val="20"/>
              </w:rPr>
              <w:t>Quantity [___]</w:t>
            </w:r>
          </w:p>
          <w:p w:rsidR="004B03C4" w:rsidRPr="00404061" w:rsidP="00404061" w14:paraId="2A3F0BB1" w14:textId="3BE90830">
            <w:pPr>
              <w:pStyle w:val="ListParagraph"/>
              <w:rPr>
                <w:color w:val="FF0000"/>
              </w:rPr>
            </w:pPr>
          </w:p>
        </w:tc>
        <w:tc>
          <w:tcPr>
            <w:tcW w:w="1615" w:type="dxa"/>
            <w:vAlign w:val="center"/>
          </w:tcPr>
          <w:p w:rsidR="003655D4" w:rsidRPr="007366C3" w:rsidP="00D77DBC" w14:paraId="4FB03CAC" w14:textId="49C63761">
            <w:pPr>
              <w:rPr>
                <w:sz w:val="20"/>
                <w:szCs w:val="20"/>
              </w:rPr>
            </w:pPr>
            <w:r w:rsidRPr="007366C3">
              <w:rPr>
                <w:sz w:val="20"/>
                <w:szCs w:val="20"/>
              </w:rPr>
              <w:t xml:space="preserve">Adjusting online application to expanded list of TOM Kits </w:t>
            </w:r>
          </w:p>
        </w:tc>
      </w:tr>
      <w:bookmarkEnd w:id="48"/>
      <w:tr w14:paraId="63079E64" w14:textId="77777777" w:rsidTr="00194B18">
        <w:tblPrEx>
          <w:tblW w:w="0" w:type="auto"/>
          <w:tblLayout w:type="fixed"/>
          <w:tblLook w:val="04A0"/>
        </w:tblPrEx>
        <w:tc>
          <w:tcPr>
            <w:tcW w:w="3325" w:type="dxa"/>
          </w:tcPr>
          <w:p w:rsidR="003655D4" w:rsidRPr="007366C3" w:rsidP="003655D4" w14:paraId="06A5BBC9" w14:textId="77777777">
            <w:pPr>
              <w:rPr>
                <w:rFonts w:cstheme="minorHAnsi"/>
                <w:sz w:val="20"/>
                <w:szCs w:val="20"/>
              </w:rPr>
            </w:pPr>
          </w:p>
        </w:tc>
        <w:tc>
          <w:tcPr>
            <w:tcW w:w="4410" w:type="dxa"/>
          </w:tcPr>
          <w:p w:rsidR="003655D4" w:rsidRPr="007366C3" w:rsidP="003655D4" w14:paraId="1F21AFD1" w14:textId="77777777">
            <w:pPr>
              <w:rPr>
                <w:rFonts w:cstheme="minorHAnsi"/>
                <w:sz w:val="20"/>
                <w:szCs w:val="20"/>
              </w:rPr>
            </w:pPr>
          </w:p>
        </w:tc>
        <w:tc>
          <w:tcPr>
            <w:tcW w:w="1615" w:type="dxa"/>
            <w:vAlign w:val="center"/>
          </w:tcPr>
          <w:p w:rsidR="003655D4" w:rsidRPr="007366C3" w:rsidP="003655D4" w14:paraId="6A629554" w14:textId="77777777">
            <w:pPr>
              <w:rPr>
                <w:sz w:val="20"/>
                <w:szCs w:val="20"/>
              </w:rPr>
            </w:pPr>
          </w:p>
        </w:tc>
      </w:tr>
      <w:tr w14:paraId="782ED4A2" w14:textId="77777777" w:rsidTr="00E457CF">
        <w:tblPrEx>
          <w:tblW w:w="0" w:type="auto"/>
          <w:tblLayout w:type="fixed"/>
          <w:tblLook w:val="04A0"/>
        </w:tblPrEx>
        <w:tc>
          <w:tcPr>
            <w:tcW w:w="9350" w:type="dxa"/>
            <w:gridSpan w:val="3"/>
          </w:tcPr>
          <w:p w:rsidR="007046F6" w:rsidRPr="007366C3" w:rsidP="00A345D7" w14:paraId="288101CD" w14:textId="7CB5983A">
            <w:pPr>
              <w:rPr>
                <w:sz w:val="20"/>
                <w:szCs w:val="20"/>
              </w:rPr>
            </w:pPr>
            <w:r w:rsidRPr="00404061">
              <w:rPr>
                <w:rFonts w:cstheme="minorHAnsi"/>
                <w:i/>
                <w:iCs/>
                <w:sz w:val="20"/>
                <w:szCs w:val="20"/>
              </w:rPr>
              <w:t xml:space="preserve">Modifications to TOM Kit* Questions due to </w:t>
            </w:r>
            <w:r w:rsidRPr="00404061" w:rsidR="00F12F77">
              <w:rPr>
                <w:rFonts w:cstheme="minorHAnsi"/>
                <w:i/>
                <w:iCs/>
                <w:sz w:val="20"/>
                <w:szCs w:val="20"/>
              </w:rPr>
              <w:t>expanding to</w:t>
            </w:r>
            <w:r w:rsidRPr="00404061">
              <w:rPr>
                <w:rFonts w:cstheme="minorHAnsi"/>
                <w:i/>
                <w:iCs/>
                <w:sz w:val="20"/>
                <w:szCs w:val="20"/>
              </w:rPr>
              <w:t xml:space="preserve"> several types of Opioid Kits and addition of </w:t>
            </w:r>
            <w:r w:rsidRPr="00404061">
              <w:rPr>
                <w:rFonts w:eastAsia="Times New Roman" w:cstheme="minorHAnsi"/>
                <w:i/>
                <w:iCs/>
                <w:color w:val="222222"/>
                <w:sz w:val="20"/>
                <w:szCs w:val="20"/>
              </w:rPr>
              <w:t xml:space="preserve">new </w:t>
            </w:r>
            <w:r w:rsidR="001F1359">
              <w:rPr>
                <w:rFonts w:eastAsia="Times New Roman" w:cstheme="minorHAnsi"/>
                <w:i/>
                <w:iCs/>
                <w:color w:val="222222"/>
                <w:sz w:val="20"/>
                <w:szCs w:val="20"/>
              </w:rPr>
              <w:t>Emergent</w:t>
            </w:r>
            <w:r w:rsidRPr="00404061">
              <w:rPr>
                <w:rFonts w:eastAsia="Times New Roman" w:cstheme="minorHAnsi"/>
                <w:i/>
                <w:iCs/>
                <w:color w:val="222222"/>
                <w:sz w:val="20"/>
                <w:szCs w:val="20"/>
              </w:rPr>
              <w:t xml:space="preserve"> Drug Panel (EDP) types</w:t>
            </w:r>
          </w:p>
        </w:tc>
      </w:tr>
      <w:tr w14:paraId="176FDF14" w14:textId="77777777" w:rsidTr="00194B18">
        <w:tblPrEx>
          <w:tblW w:w="0" w:type="auto"/>
          <w:tblLayout w:type="fixed"/>
          <w:tblLook w:val="04A0"/>
        </w:tblPrEx>
        <w:tc>
          <w:tcPr>
            <w:tcW w:w="3325" w:type="dxa"/>
          </w:tcPr>
          <w:p w:rsidR="00DB59F6" w:rsidRPr="007366C3" w:rsidP="00D5126E" w14:paraId="23AD401F" w14:textId="77777777">
            <w:pPr>
              <w:jc w:val="center"/>
              <w:rPr>
                <w:rFonts w:cstheme="minorHAnsi"/>
                <w:i/>
                <w:iCs/>
                <w:sz w:val="20"/>
                <w:szCs w:val="20"/>
              </w:rPr>
            </w:pPr>
            <w:r w:rsidRPr="007366C3">
              <w:rPr>
                <w:rFonts w:cstheme="minorHAnsi"/>
                <w:i/>
                <w:iCs/>
                <w:sz w:val="20"/>
                <w:szCs w:val="20"/>
              </w:rPr>
              <w:t xml:space="preserve">TOM Kit* Questions </w:t>
            </w:r>
          </w:p>
          <w:p w:rsidR="00DB59F6" w:rsidRPr="00404061" w:rsidP="00D5126E" w14:paraId="3C4EFD18" w14:textId="57FB6B40">
            <w:pPr>
              <w:jc w:val="center"/>
              <w:rPr>
                <w:rFonts w:cstheme="minorHAnsi"/>
                <w:i/>
                <w:iCs/>
                <w:sz w:val="20"/>
                <w:szCs w:val="20"/>
              </w:rPr>
            </w:pPr>
            <w:r w:rsidRPr="00404061">
              <w:rPr>
                <w:i/>
                <w:iCs/>
                <w:sz w:val="20"/>
                <w:szCs w:val="20"/>
              </w:rPr>
              <w:t xml:space="preserve">(formerly Attachment </w:t>
            </w:r>
            <w:r w:rsidRPr="00404061" w:rsidR="00F36C43">
              <w:rPr>
                <w:i/>
                <w:iCs/>
                <w:sz w:val="20"/>
                <w:szCs w:val="20"/>
              </w:rPr>
              <w:t>7</w:t>
            </w:r>
            <w:r w:rsidRPr="00404061">
              <w:rPr>
                <w:i/>
                <w:iCs/>
                <w:sz w:val="20"/>
                <w:szCs w:val="20"/>
              </w:rPr>
              <w:t>)</w:t>
            </w:r>
          </w:p>
        </w:tc>
        <w:tc>
          <w:tcPr>
            <w:tcW w:w="4410" w:type="dxa"/>
          </w:tcPr>
          <w:p w:rsidR="00DB59F6" w:rsidRPr="00404061" w:rsidP="00D5126E" w14:paraId="0E8E4BB2" w14:textId="21EF5A52">
            <w:pPr>
              <w:jc w:val="center"/>
              <w:rPr>
                <w:rFonts w:cstheme="minorHAnsi"/>
                <w:i/>
                <w:iCs/>
                <w:sz w:val="20"/>
                <w:szCs w:val="20"/>
              </w:rPr>
            </w:pPr>
            <w:r w:rsidRPr="00404061">
              <w:rPr>
                <w:rFonts w:cstheme="minorHAnsi"/>
                <w:i/>
                <w:iCs/>
                <w:sz w:val="20"/>
                <w:szCs w:val="20"/>
              </w:rPr>
              <w:t>Test Kit</w:t>
            </w:r>
            <w:r w:rsidRPr="00404061" w:rsidR="00F36C43">
              <w:rPr>
                <w:rFonts w:cstheme="minorHAnsi"/>
                <w:i/>
                <w:iCs/>
                <w:sz w:val="20"/>
                <w:szCs w:val="20"/>
              </w:rPr>
              <w:t xml:space="preserve"> </w:t>
            </w:r>
            <w:r w:rsidRPr="00404061">
              <w:rPr>
                <w:rFonts w:cstheme="minorHAnsi"/>
                <w:i/>
                <w:iCs/>
                <w:sz w:val="20"/>
                <w:szCs w:val="20"/>
              </w:rPr>
              <w:t>Questions</w:t>
            </w:r>
          </w:p>
          <w:p w:rsidR="00DB59F6" w:rsidRPr="00404061" w:rsidP="00D5126E" w14:paraId="3D505CFB" w14:textId="01C6E31A">
            <w:pPr>
              <w:jc w:val="center"/>
              <w:rPr>
                <w:rFonts w:cstheme="minorHAnsi"/>
                <w:i/>
                <w:iCs/>
                <w:sz w:val="20"/>
                <w:szCs w:val="20"/>
              </w:rPr>
            </w:pPr>
            <w:r w:rsidRPr="00404061">
              <w:rPr>
                <w:i/>
                <w:iCs/>
                <w:sz w:val="20"/>
                <w:szCs w:val="20"/>
              </w:rPr>
              <w:t>(renamed; now Attachment 5a)</w:t>
            </w:r>
          </w:p>
        </w:tc>
        <w:tc>
          <w:tcPr>
            <w:tcW w:w="1615" w:type="dxa"/>
            <w:vMerge w:val="restart"/>
            <w:vAlign w:val="center"/>
          </w:tcPr>
          <w:p w:rsidR="00DB59F6" w:rsidRPr="007366C3" w:rsidP="00DB59F6" w14:paraId="4F0BEC2A" w14:textId="18D9FFD4">
            <w:pPr>
              <w:jc w:val="center"/>
              <w:rPr>
                <w:sz w:val="20"/>
                <w:szCs w:val="20"/>
              </w:rPr>
            </w:pPr>
            <w:r w:rsidRPr="007366C3">
              <w:rPr>
                <w:sz w:val="20"/>
                <w:szCs w:val="20"/>
              </w:rPr>
              <w:t>Requested Change in 2022</w:t>
            </w:r>
          </w:p>
        </w:tc>
      </w:tr>
      <w:tr w14:paraId="1F42AF33" w14:textId="47C16E70" w:rsidTr="00194B18">
        <w:tblPrEx>
          <w:tblW w:w="0" w:type="auto"/>
          <w:tblLayout w:type="fixed"/>
          <w:tblLook w:val="04A0"/>
        </w:tblPrEx>
        <w:tc>
          <w:tcPr>
            <w:tcW w:w="3325" w:type="dxa"/>
          </w:tcPr>
          <w:p w:rsidR="00DB59F6" w:rsidRPr="007366C3" w:rsidP="00BF058F" w14:paraId="7C2FCCBE" w14:textId="7C41AE70">
            <w:pPr>
              <w:jc w:val="center"/>
              <w:rPr>
                <w:sz w:val="20"/>
                <w:szCs w:val="20"/>
              </w:rPr>
            </w:pPr>
            <w:bookmarkStart w:id="49" w:name="_Hlk112068150"/>
            <w:r w:rsidRPr="007366C3">
              <w:rPr>
                <w:sz w:val="20"/>
                <w:szCs w:val="20"/>
              </w:rPr>
              <w:t>Approved 2020</w:t>
            </w:r>
          </w:p>
        </w:tc>
        <w:tc>
          <w:tcPr>
            <w:tcW w:w="4410" w:type="dxa"/>
          </w:tcPr>
          <w:p w:rsidR="00DB59F6" w:rsidRPr="007366C3" w:rsidP="00BF058F" w14:paraId="50CE8EA2" w14:textId="42A53A68">
            <w:pPr>
              <w:jc w:val="center"/>
              <w:rPr>
                <w:sz w:val="20"/>
                <w:szCs w:val="20"/>
              </w:rPr>
            </w:pPr>
            <w:r w:rsidRPr="007366C3">
              <w:rPr>
                <w:sz w:val="20"/>
                <w:szCs w:val="20"/>
              </w:rPr>
              <w:t>Proposed 2022</w:t>
            </w:r>
          </w:p>
        </w:tc>
        <w:tc>
          <w:tcPr>
            <w:tcW w:w="1615" w:type="dxa"/>
            <w:vMerge/>
          </w:tcPr>
          <w:p w:rsidR="00DB59F6" w:rsidRPr="007366C3" w:rsidP="007C22AC" w14:paraId="62B6AAF5" w14:textId="6DEC2F28">
            <w:pPr>
              <w:jc w:val="center"/>
              <w:rPr>
                <w:sz w:val="20"/>
                <w:szCs w:val="20"/>
              </w:rPr>
            </w:pPr>
          </w:p>
        </w:tc>
      </w:tr>
      <w:bookmarkEnd w:id="49"/>
      <w:tr w14:paraId="2D188B4E" w14:textId="2181C01F" w:rsidTr="00194B18">
        <w:tblPrEx>
          <w:tblW w:w="0" w:type="auto"/>
          <w:tblLayout w:type="fixed"/>
          <w:tblLook w:val="04A0"/>
        </w:tblPrEx>
        <w:tc>
          <w:tcPr>
            <w:tcW w:w="3325" w:type="dxa"/>
          </w:tcPr>
          <w:p w:rsidR="004009E7" w:rsidRPr="007366C3" w:rsidP="00D40333" w14:paraId="6F00DA29" w14:textId="77777777">
            <w:pPr>
              <w:pStyle w:val="ListParagraph"/>
              <w:numPr>
                <w:ilvl w:val="0"/>
                <w:numId w:val="5"/>
              </w:numPr>
              <w:shd w:val="clear" w:color="auto" w:fill="F8F8F8"/>
              <w:ind w:left="340" w:hanging="360"/>
              <w:rPr>
                <w:rFonts w:eastAsia="Times New Roman" w:cstheme="minorHAnsi"/>
                <w:color w:val="222222"/>
                <w:sz w:val="20"/>
                <w:szCs w:val="20"/>
              </w:rPr>
            </w:pPr>
            <w:r w:rsidRPr="007366C3">
              <w:rPr>
                <w:rFonts w:eastAsia="Times New Roman" w:cstheme="minorHAnsi"/>
                <w:color w:val="222222"/>
                <w:sz w:val="20"/>
                <w:szCs w:val="20"/>
              </w:rPr>
              <w:t xml:space="preserve">Which of the following best describes your laboratory? </w:t>
            </w:r>
            <w:r w:rsidRPr="007366C3">
              <w:rPr>
                <w:rFonts w:eastAsia="Times New Roman" w:cstheme="minorHAnsi"/>
                <w:i/>
                <w:iCs/>
                <w:color w:val="222222"/>
                <w:sz w:val="20"/>
                <w:szCs w:val="20"/>
              </w:rPr>
              <w:t>(Select only one)</w:t>
            </w:r>
          </w:p>
          <w:p w:rsidR="004009E7" w:rsidRPr="007366C3" w:rsidP="00D40333" w14:paraId="0EBE5BD2" w14:textId="77777777">
            <w:pPr>
              <w:pStyle w:val="ListParagraph"/>
              <w:numPr>
                <w:ilvl w:val="1"/>
                <w:numId w:val="5"/>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Academic Research Laboratory</w:t>
            </w:r>
          </w:p>
          <w:p w:rsidR="004009E7" w:rsidRPr="007366C3" w:rsidP="00D40333" w14:paraId="37D543C2" w14:textId="77777777">
            <w:pPr>
              <w:pStyle w:val="ListParagraph"/>
              <w:numPr>
                <w:ilvl w:val="1"/>
                <w:numId w:val="5"/>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Environmental Laboratory</w:t>
            </w:r>
          </w:p>
          <w:p w:rsidR="004009E7" w:rsidRPr="007366C3" w:rsidP="00D40333" w14:paraId="0B95335C" w14:textId="77777777">
            <w:pPr>
              <w:pStyle w:val="ListParagraph"/>
              <w:numPr>
                <w:ilvl w:val="1"/>
                <w:numId w:val="5"/>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Government Crime Laboratory</w:t>
            </w:r>
          </w:p>
          <w:p w:rsidR="004009E7" w:rsidRPr="007366C3" w:rsidP="00D40333" w14:paraId="75E007A4" w14:textId="77777777">
            <w:pPr>
              <w:pStyle w:val="ListParagraph"/>
              <w:numPr>
                <w:ilvl w:val="1"/>
                <w:numId w:val="5"/>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Government Toxicology Laboratory</w:t>
            </w:r>
          </w:p>
          <w:p w:rsidR="004009E7" w:rsidRPr="007366C3" w:rsidP="00D40333" w14:paraId="2E9219C3" w14:textId="77777777">
            <w:pPr>
              <w:pStyle w:val="ListParagraph"/>
              <w:numPr>
                <w:ilvl w:val="1"/>
                <w:numId w:val="5"/>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 xml:space="preserve">Private </w:t>
            </w:r>
            <w:r w:rsidRPr="007366C3">
              <w:rPr>
                <w:rFonts w:eastAsia="Times New Roman" w:cstheme="minorHAnsi"/>
                <w:color w:val="FF0000"/>
                <w:sz w:val="20"/>
                <w:szCs w:val="20"/>
              </w:rPr>
              <w:t>of</w:t>
            </w:r>
            <w:r w:rsidRPr="007366C3">
              <w:rPr>
                <w:rFonts w:eastAsia="Times New Roman" w:cstheme="minorHAnsi"/>
                <w:color w:val="222222"/>
                <w:sz w:val="20"/>
                <w:szCs w:val="20"/>
              </w:rPr>
              <w:t xml:space="preserve"> Public Clinical Laboratory</w:t>
            </w:r>
          </w:p>
          <w:p w:rsidR="004009E7" w:rsidRPr="007366C3" w:rsidP="00D40333" w14:paraId="35F318FE" w14:textId="6BA85E3F">
            <w:pPr>
              <w:pStyle w:val="ListParagraph"/>
              <w:numPr>
                <w:ilvl w:val="1"/>
                <w:numId w:val="5"/>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 xml:space="preserve">Other </w:t>
            </w:r>
            <w:r w:rsidRPr="007366C3">
              <w:rPr>
                <w:rFonts w:eastAsia="Times New Roman" w:cstheme="minorHAnsi"/>
                <w:i/>
                <w:iCs/>
                <w:color w:val="222222"/>
                <w:sz w:val="20"/>
                <w:szCs w:val="20"/>
              </w:rPr>
              <w:t>(please specify)</w:t>
            </w:r>
            <w:r w:rsidRPr="007366C3">
              <w:rPr>
                <w:rFonts w:cstheme="minorHAnsi"/>
                <w:i/>
                <w:iCs/>
                <w:sz w:val="20"/>
                <w:szCs w:val="20"/>
              </w:rPr>
              <w:t xml:space="preserve"> </w:t>
            </w:r>
            <w:r w:rsidRPr="007366C3">
              <w:rPr>
                <w:rFonts w:cstheme="minorHAnsi"/>
                <w:i/>
                <w:iCs/>
                <w:sz w:val="20"/>
                <w:szCs w:val="20"/>
              </w:rPr>
              <w:softHyphen/>
            </w:r>
            <w:r w:rsidRPr="007366C3">
              <w:rPr>
                <w:rFonts w:cstheme="minorHAnsi"/>
                <w:i/>
                <w:iCs/>
                <w:sz w:val="20"/>
                <w:szCs w:val="20"/>
              </w:rPr>
              <w:softHyphen/>
            </w:r>
            <w:r w:rsidRPr="007366C3">
              <w:rPr>
                <w:rFonts w:cstheme="minorHAnsi"/>
                <w:i/>
                <w:iCs/>
                <w:sz w:val="20"/>
                <w:szCs w:val="20"/>
              </w:rPr>
              <w:softHyphen/>
              <w:t>__________________</w:t>
            </w:r>
          </w:p>
          <w:p w:rsidR="004009E7" w:rsidRPr="007366C3" w:rsidP="00CA4FE0" w14:paraId="51A44DC8" w14:textId="77777777">
            <w:pPr>
              <w:rPr>
                <w:sz w:val="20"/>
                <w:szCs w:val="20"/>
              </w:rPr>
            </w:pPr>
          </w:p>
        </w:tc>
        <w:tc>
          <w:tcPr>
            <w:tcW w:w="4410" w:type="dxa"/>
          </w:tcPr>
          <w:p w:rsidR="004009E7" w:rsidRPr="007366C3" w:rsidP="00A345D7" w14:paraId="11EF32CE" w14:textId="0349B3C9">
            <w:pPr>
              <w:shd w:val="clear" w:color="auto" w:fill="F8F8F8"/>
              <w:ind w:left="191" w:hanging="191"/>
              <w:rPr>
                <w:rFonts w:eastAsia="Times New Roman" w:cstheme="minorHAnsi"/>
                <w:color w:val="222222"/>
                <w:sz w:val="20"/>
                <w:szCs w:val="20"/>
              </w:rPr>
            </w:pPr>
            <w:r>
              <w:rPr>
                <w:rFonts w:eastAsia="Times New Roman" w:cstheme="minorHAnsi"/>
                <w:sz w:val="20"/>
                <w:szCs w:val="20"/>
              </w:rPr>
              <w:t>2</w:t>
            </w:r>
            <w:r w:rsidRPr="007366C3" w:rsidR="00E70A09">
              <w:rPr>
                <w:rFonts w:eastAsia="Times New Roman" w:cstheme="minorHAnsi"/>
                <w:sz w:val="20"/>
                <w:szCs w:val="20"/>
              </w:rPr>
              <w:t xml:space="preserve">. </w:t>
            </w:r>
            <w:r w:rsidRPr="007366C3">
              <w:rPr>
                <w:rFonts w:eastAsia="Times New Roman" w:cstheme="minorHAnsi"/>
                <w:color w:val="222222"/>
                <w:sz w:val="20"/>
                <w:szCs w:val="20"/>
              </w:rPr>
              <w:t xml:space="preserve">Which of the following best describes your laboratory? </w:t>
            </w:r>
            <w:r w:rsidRPr="007366C3">
              <w:rPr>
                <w:rFonts w:eastAsia="Times New Roman" w:cstheme="minorHAnsi"/>
                <w:i/>
                <w:iCs/>
                <w:color w:val="222222"/>
                <w:sz w:val="20"/>
                <w:szCs w:val="20"/>
              </w:rPr>
              <w:t>(Select only one)</w:t>
            </w:r>
          </w:p>
          <w:p w:rsidR="004009E7" w:rsidRPr="007366C3" w:rsidP="00D40333" w14:paraId="207CB558" w14:textId="77777777">
            <w:pPr>
              <w:pStyle w:val="ListParagraph"/>
              <w:numPr>
                <w:ilvl w:val="1"/>
                <w:numId w:val="8"/>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Academic Research Laboratory</w:t>
            </w:r>
          </w:p>
          <w:p w:rsidR="004009E7" w:rsidRPr="007366C3" w:rsidP="00D40333" w14:paraId="6B45C6C2" w14:textId="77777777">
            <w:pPr>
              <w:pStyle w:val="ListParagraph"/>
              <w:numPr>
                <w:ilvl w:val="1"/>
                <w:numId w:val="8"/>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Environmental Laboratory</w:t>
            </w:r>
          </w:p>
          <w:p w:rsidR="004009E7" w:rsidRPr="007366C3" w:rsidP="00D40333" w14:paraId="6EE6FFDA" w14:textId="77777777">
            <w:pPr>
              <w:pStyle w:val="ListParagraph"/>
              <w:numPr>
                <w:ilvl w:val="1"/>
                <w:numId w:val="8"/>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Government Crime Laboratory</w:t>
            </w:r>
          </w:p>
          <w:p w:rsidR="004009E7" w:rsidRPr="007366C3" w:rsidP="00D40333" w14:paraId="2EF2464F" w14:textId="77777777">
            <w:pPr>
              <w:pStyle w:val="ListParagraph"/>
              <w:numPr>
                <w:ilvl w:val="1"/>
                <w:numId w:val="8"/>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Government Toxicology Laboratory</w:t>
            </w:r>
          </w:p>
          <w:p w:rsidR="004009E7" w:rsidRPr="007366C3" w:rsidP="00D40333" w14:paraId="1F7FFEC5" w14:textId="353478F8">
            <w:pPr>
              <w:pStyle w:val="ListParagraph"/>
              <w:numPr>
                <w:ilvl w:val="1"/>
                <w:numId w:val="8"/>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 xml:space="preserve">Private </w:t>
            </w:r>
            <w:r w:rsidRPr="007366C3">
              <w:rPr>
                <w:rFonts w:eastAsia="Times New Roman" w:cstheme="minorHAnsi"/>
                <w:color w:val="FF0000"/>
                <w:sz w:val="20"/>
                <w:szCs w:val="20"/>
              </w:rPr>
              <w:t>or</w:t>
            </w:r>
            <w:r w:rsidRPr="007366C3">
              <w:rPr>
                <w:rFonts w:eastAsia="Times New Roman" w:cstheme="minorHAnsi"/>
                <w:color w:val="222222"/>
                <w:sz w:val="20"/>
                <w:szCs w:val="20"/>
              </w:rPr>
              <w:t xml:space="preserve"> Public Clinical Laboratory</w:t>
            </w:r>
          </w:p>
          <w:p w:rsidR="004009E7" w:rsidRPr="007366C3" w:rsidP="00D40333" w14:paraId="0C5D9CA4" w14:textId="39119318">
            <w:pPr>
              <w:pStyle w:val="ListParagraph"/>
              <w:numPr>
                <w:ilvl w:val="1"/>
                <w:numId w:val="8"/>
              </w:numPr>
              <w:shd w:val="clear" w:color="auto" w:fill="F8F8F8"/>
              <w:ind w:left="720" w:hanging="360"/>
              <w:rPr>
                <w:rFonts w:eastAsia="Times New Roman" w:cstheme="minorHAnsi"/>
                <w:color w:val="222222"/>
                <w:sz w:val="20"/>
                <w:szCs w:val="20"/>
              </w:rPr>
            </w:pPr>
            <w:r w:rsidRPr="007366C3">
              <w:rPr>
                <w:rFonts w:eastAsia="Times New Roman" w:cstheme="minorHAnsi"/>
                <w:color w:val="222222"/>
                <w:sz w:val="20"/>
                <w:szCs w:val="20"/>
              </w:rPr>
              <w:t xml:space="preserve">Other </w:t>
            </w:r>
            <w:r w:rsidRPr="007366C3">
              <w:rPr>
                <w:rFonts w:eastAsia="Times New Roman" w:cstheme="minorHAnsi"/>
                <w:i/>
                <w:iCs/>
                <w:color w:val="222222"/>
                <w:sz w:val="20"/>
                <w:szCs w:val="20"/>
              </w:rPr>
              <w:t>(please specify)</w:t>
            </w:r>
            <w:r w:rsidRPr="007366C3">
              <w:rPr>
                <w:rFonts w:cstheme="minorHAnsi"/>
                <w:i/>
                <w:iCs/>
                <w:sz w:val="20"/>
                <w:szCs w:val="20"/>
              </w:rPr>
              <w:t xml:space="preserve"> </w:t>
            </w:r>
            <w:r w:rsidRPr="007366C3">
              <w:rPr>
                <w:rFonts w:cstheme="minorHAnsi"/>
                <w:i/>
                <w:iCs/>
                <w:sz w:val="20"/>
                <w:szCs w:val="20"/>
              </w:rPr>
              <w:softHyphen/>
            </w:r>
            <w:r w:rsidRPr="007366C3">
              <w:rPr>
                <w:rFonts w:cstheme="minorHAnsi"/>
                <w:i/>
                <w:iCs/>
                <w:sz w:val="20"/>
                <w:szCs w:val="20"/>
              </w:rPr>
              <w:softHyphen/>
            </w:r>
            <w:r w:rsidRPr="007366C3">
              <w:rPr>
                <w:rFonts w:cstheme="minorHAnsi"/>
                <w:i/>
                <w:iCs/>
                <w:sz w:val="20"/>
                <w:szCs w:val="20"/>
              </w:rPr>
              <w:softHyphen/>
              <w:t>__________________</w:t>
            </w:r>
          </w:p>
          <w:p w:rsidR="004009E7" w:rsidRPr="007366C3" w:rsidP="00CA4FE0" w14:paraId="2748C0C8" w14:textId="77777777">
            <w:pPr>
              <w:rPr>
                <w:sz w:val="20"/>
                <w:szCs w:val="20"/>
              </w:rPr>
            </w:pPr>
          </w:p>
        </w:tc>
        <w:tc>
          <w:tcPr>
            <w:tcW w:w="1615" w:type="dxa"/>
            <w:vAlign w:val="center"/>
          </w:tcPr>
          <w:p w:rsidR="004009E7" w:rsidRPr="007366C3" w:rsidP="00D5126E" w14:paraId="09B41AB0" w14:textId="4239F7D8">
            <w:pPr>
              <w:shd w:val="clear" w:color="auto" w:fill="F8F8F8"/>
              <w:ind w:left="40"/>
              <w:rPr>
                <w:rFonts w:eastAsia="Times New Roman" w:cstheme="minorHAnsi"/>
                <w:color w:val="222222"/>
                <w:sz w:val="20"/>
                <w:szCs w:val="20"/>
              </w:rPr>
            </w:pPr>
            <w:r>
              <w:rPr>
                <w:rFonts w:eastAsia="Times New Roman" w:cstheme="minorHAnsi"/>
                <w:color w:val="222222"/>
                <w:sz w:val="20"/>
                <w:szCs w:val="20"/>
              </w:rPr>
              <w:t xml:space="preserve">Renumber </w:t>
            </w:r>
            <w:r w:rsidR="00087DC8">
              <w:rPr>
                <w:rFonts w:eastAsia="Times New Roman" w:cstheme="minorHAnsi"/>
                <w:color w:val="222222"/>
                <w:sz w:val="20"/>
                <w:szCs w:val="20"/>
              </w:rPr>
              <w:t xml:space="preserve">as 2. </w:t>
            </w:r>
            <w:r w:rsidRPr="007366C3" w:rsidR="00E70A09">
              <w:rPr>
                <w:rFonts w:eastAsia="Times New Roman" w:cstheme="minorHAnsi"/>
                <w:color w:val="222222"/>
                <w:sz w:val="20"/>
                <w:szCs w:val="20"/>
              </w:rPr>
              <w:t>C</w:t>
            </w:r>
            <w:r w:rsidRPr="007366C3" w:rsidR="00353E7E">
              <w:rPr>
                <w:rFonts w:eastAsia="Times New Roman" w:cstheme="minorHAnsi"/>
                <w:color w:val="222222"/>
                <w:sz w:val="20"/>
                <w:szCs w:val="20"/>
              </w:rPr>
              <w:t>orrect typo from “of” to “or”</w:t>
            </w:r>
          </w:p>
        </w:tc>
      </w:tr>
      <w:tr w14:paraId="4F643DF5" w14:textId="5D7098F8" w:rsidTr="00194B18">
        <w:tblPrEx>
          <w:tblW w:w="0" w:type="auto"/>
          <w:tblLayout w:type="fixed"/>
          <w:tblLook w:val="04A0"/>
        </w:tblPrEx>
        <w:tc>
          <w:tcPr>
            <w:tcW w:w="3325" w:type="dxa"/>
          </w:tcPr>
          <w:p w:rsidR="004009E7" w:rsidRPr="007366C3" w:rsidP="00D40333" w14:paraId="11C319F6" w14:textId="77777777">
            <w:pPr>
              <w:pStyle w:val="ListParagraph"/>
              <w:numPr>
                <w:ilvl w:val="0"/>
                <w:numId w:val="5"/>
              </w:numPr>
              <w:shd w:val="clear" w:color="auto" w:fill="F8F8F8"/>
              <w:ind w:left="360" w:hanging="360"/>
              <w:contextualSpacing w:val="0"/>
              <w:rPr>
                <w:rFonts w:eastAsia="Times New Roman" w:cstheme="minorHAnsi"/>
                <w:color w:val="222222"/>
                <w:sz w:val="20"/>
                <w:szCs w:val="20"/>
              </w:rPr>
            </w:pPr>
            <w:r w:rsidRPr="007366C3">
              <w:rPr>
                <w:rFonts w:eastAsia="Times New Roman" w:cstheme="minorHAnsi"/>
                <w:color w:val="222222"/>
                <w:sz w:val="20"/>
                <w:szCs w:val="20"/>
              </w:rPr>
              <w:t xml:space="preserve">Which of the following tests or services are performed by your laboratory? </w:t>
            </w:r>
            <w:r w:rsidRPr="007366C3">
              <w:rPr>
                <w:rFonts w:eastAsia="Times New Roman" w:cstheme="minorHAnsi"/>
                <w:i/>
                <w:iCs/>
                <w:color w:val="222222"/>
                <w:sz w:val="20"/>
                <w:szCs w:val="20"/>
              </w:rPr>
              <w:t>(Select all that apply)</w:t>
            </w:r>
          </w:p>
          <w:p w:rsidR="004009E7" w:rsidRPr="007366C3" w:rsidP="00D40333" w14:paraId="04C7B355"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Seized drug sample</w:t>
            </w:r>
            <w:r w:rsidRPr="007366C3">
              <w:rPr>
                <w:rFonts w:asciiTheme="minorHAnsi" w:hAnsiTheme="minorHAnsi" w:cstheme="minorHAnsi"/>
                <w:spacing w:val="-24"/>
                <w:sz w:val="20"/>
                <w:szCs w:val="20"/>
              </w:rPr>
              <w:t xml:space="preserve"> </w:t>
            </w:r>
            <w:r w:rsidRPr="007366C3">
              <w:rPr>
                <w:rFonts w:asciiTheme="minorHAnsi" w:hAnsiTheme="minorHAnsi" w:cstheme="minorHAnsi"/>
                <w:sz w:val="20"/>
                <w:szCs w:val="20"/>
              </w:rPr>
              <w:t>testing</w:t>
            </w:r>
          </w:p>
          <w:p w:rsidR="004009E7" w:rsidRPr="007366C3" w:rsidP="00D40333" w14:paraId="7C3789DC"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Post-mortem toxicology sample</w:t>
            </w:r>
            <w:r w:rsidRPr="007366C3">
              <w:rPr>
                <w:rFonts w:asciiTheme="minorHAnsi" w:hAnsiTheme="minorHAnsi" w:cstheme="minorHAnsi"/>
                <w:spacing w:val="-47"/>
                <w:sz w:val="20"/>
                <w:szCs w:val="20"/>
              </w:rPr>
              <w:t xml:space="preserve"> </w:t>
            </w:r>
            <w:r w:rsidRPr="007366C3">
              <w:rPr>
                <w:rFonts w:asciiTheme="minorHAnsi" w:hAnsiTheme="minorHAnsi" w:cstheme="minorHAnsi"/>
                <w:sz w:val="20"/>
                <w:szCs w:val="20"/>
              </w:rPr>
              <w:t>testing</w:t>
            </w:r>
          </w:p>
          <w:p w:rsidR="004009E7" w:rsidRPr="007366C3" w:rsidP="00D40333" w14:paraId="79B0AFC9"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pacing w:val="-3"/>
                <w:sz w:val="20"/>
                <w:szCs w:val="20"/>
              </w:rPr>
              <w:t xml:space="preserve">Workplace </w:t>
            </w:r>
            <w:r w:rsidRPr="007366C3">
              <w:rPr>
                <w:rFonts w:asciiTheme="minorHAnsi" w:hAnsiTheme="minorHAnsi" w:cstheme="minorHAnsi"/>
                <w:sz w:val="20"/>
                <w:szCs w:val="20"/>
              </w:rPr>
              <w:t>drug</w:t>
            </w:r>
            <w:r w:rsidRPr="007366C3">
              <w:rPr>
                <w:rFonts w:asciiTheme="minorHAnsi" w:hAnsiTheme="minorHAnsi" w:cstheme="minorHAnsi"/>
                <w:spacing w:val="-3"/>
                <w:sz w:val="20"/>
                <w:szCs w:val="20"/>
              </w:rPr>
              <w:t xml:space="preserve"> </w:t>
            </w:r>
            <w:r w:rsidRPr="007366C3">
              <w:rPr>
                <w:rFonts w:asciiTheme="minorHAnsi" w:hAnsiTheme="minorHAnsi" w:cstheme="minorHAnsi"/>
                <w:sz w:val="20"/>
                <w:szCs w:val="20"/>
              </w:rPr>
              <w:t>screening</w:t>
            </w:r>
          </w:p>
          <w:p w:rsidR="004009E7" w:rsidRPr="007366C3" w:rsidP="00D40333" w14:paraId="0A549D65"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Newborn drug</w:t>
            </w:r>
            <w:r w:rsidRPr="007366C3">
              <w:rPr>
                <w:rFonts w:asciiTheme="minorHAnsi" w:hAnsiTheme="minorHAnsi" w:cstheme="minorHAnsi"/>
                <w:spacing w:val="-15"/>
                <w:sz w:val="20"/>
                <w:szCs w:val="20"/>
              </w:rPr>
              <w:t xml:space="preserve"> </w:t>
            </w:r>
            <w:r w:rsidRPr="007366C3">
              <w:rPr>
                <w:rFonts w:asciiTheme="minorHAnsi" w:hAnsiTheme="minorHAnsi" w:cstheme="minorHAnsi"/>
                <w:sz w:val="20"/>
                <w:szCs w:val="20"/>
              </w:rPr>
              <w:t>screening</w:t>
            </w:r>
          </w:p>
          <w:p w:rsidR="004009E7" w:rsidRPr="007366C3" w:rsidP="00D40333" w14:paraId="6B26EA67"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Drug pharmacology and pharmacokinetics</w:t>
            </w:r>
            <w:r w:rsidRPr="007366C3">
              <w:rPr>
                <w:rFonts w:asciiTheme="minorHAnsi" w:hAnsiTheme="minorHAnsi" w:cstheme="minorHAnsi"/>
                <w:spacing w:val="-21"/>
                <w:sz w:val="20"/>
                <w:szCs w:val="20"/>
              </w:rPr>
              <w:t xml:space="preserve"> </w:t>
            </w:r>
            <w:r w:rsidRPr="007366C3">
              <w:rPr>
                <w:rFonts w:asciiTheme="minorHAnsi" w:hAnsiTheme="minorHAnsi" w:cstheme="minorHAnsi"/>
                <w:spacing w:val="-3"/>
                <w:sz w:val="20"/>
                <w:szCs w:val="20"/>
              </w:rPr>
              <w:t>research</w:t>
            </w:r>
          </w:p>
          <w:p w:rsidR="004009E7" w:rsidRPr="007366C3" w:rsidP="00D40333" w14:paraId="4EFB72E5"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 xml:space="preserve">Clinical testing </w:t>
            </w:r>
            <w:r w:rsidRPr="007366C3">
              <w:rPr>
                <w:rFonts w:asciiTheme="minorHAnsi" w:hAnsiTheme="minorHAnsi" w:cstheme="minorHAnsi"/>
                <w:spacing w:val="-3"/>
                <w:sz w:val="20"/>
                <w:szCs w:val="20"/>
              </w:rPr>
              <w:t xml:space="preserve">for </w:t>
            </w:r>
            <w:r w:rsidRPr="007366C3">
              <w:rPr>
                <w:rFonts w:asciiTheme="minorHAnsi" w:hAnsiTheme="minorHAnsi" w:cstheme="minorHAnsi"/>
                <w:sz w:val="20"/>
                <w:szCs w:val="20"/>
              </w:rPr>
              <w:t>disease diagnosis and treatment or</w:t>
            </w:r>
            <w:r w:rsidRPr="007366C3">
              <w:rPr>
                <w:rFonts w:asciiTheme="minorHAnsi" w:hAnsiTheme="minorHAnsi" w:cstheme="minorHAnsi"/>
                <w:spacing w:val="-49"/>
                <w:sz w:val="20"/>
                <w:szCs w:val="20"/>
              </w:rPr>
              <w:t xml:space="preserve"> </w:t>
            </w:r>
            <w:r w:rsidRPr="007366C3">
              <w:rPr>
                <w:rFonts w:asciiTheme="minorHAnsi" w:hAnsiTheme="minorHAnsi" w:cstheme="minorHAnsi"/>
                <w:sz w:val="20"/>
                <w:szCs w:val="20"/>
              </w:rPr>
              <w:t>surveillance</w:t>
            </w:r>
          </w:p>
          <w:p w:rsidR="004009E7" w:rsidRPr="007366C3" w:rsidP="00D40333" w14:paraId="1F73903D" w14:textId="77777777">
            <w:pPr>
              <w:pStyle w:val="ListParagraph"/>
              <w:numPr>
                <w:ilvl w:val="1"/>
                <w:numId w:val="5"/>
              </w:numPr>
              <w:shd w:val="clear" w:color="auto" w:fill="F8F8F8"/>
              <w:ind w:left="720" w:hanging="360"/>
              <w:rPr>
                <w:rFonts w:eastAsia="Times New Roman" w:cstheme="minorHAnsi"/>
                <w:color w:val="222222"/>
                <w:sz w:val="20"/>
                <w:szCs w:val="20"/>
              </w:rPr>
            </w:pPr>
            <w:r w:rsidRPr="007366C3">
              <w:rPr>
                <w:rFonts w:cstheme="minorHAnsi"/>
                <w:sz w:val="20"/>
                <w:szCs w:val="20"/>
              </w:rPr>
              <w:t>Other</w:t>
            </w:r>
          </w:p>
          <w:p w:rsidR="004009E7" w:rsidRPr="007366C3" w:rsidP="004009E7" w14:paraId="4FA0A016" w14:textId="77777777">
            <w:pPr>
              <w:rPr>
                <w:sz w:val="20"/>
                <w:szCs w:val="20"/>
              </w:rPr>
            </w:pPr>
          </w:p>
        </w:tc>
        <w:tc>
          <w:tcPr>
            <w:tcW w:w="4410" w:type="dxa"/>
          </w:tcPr>
          <w:p w:rsidR="004009E7" w:rsidRPr="001337CB" w:rsidP="00D40333" w14:paraId="196A38AE" w14:textId="6E64C1A2">
            <w:pPr>
              <w:pStyle w:val="ListParagraph"/>
              <w:numPr>
                <w:ilvl w:val="0"/>
                <w:numId w:val="5"/>
              </w:numPr>
              <w:shd w:val="clear" w:color="auto" w:fill="F8F8F8"/>
              <w:ind w:left="256"/>
              <w:rPr>
                <w:rFonts w:eastAsia="Times New Roman" w:cstheme="minorHAnsi"/>
                <w:color w:val="222222"/>
                <w:sz w:val="20"/>
                <w:szCs w:val="20"/>
              </w:rPr>
            </w:pPr>
            <w:r w:rsidRPr="001337CB">
              <w:rPr>
                <w:rFonts w:eastAsia="Times New Roman" w:cstheme="minorHAnsi"/>
                <w:color w:val="222222"/>
                <w:sz w:val="20"/>
                <w:szCs w:val="20"/>
              </w:rPr>
              <w:t xml:space="preserve">Which of the following tests or services are performed by your laboratory? </w:t>
            </w:r>
            <w:r w:rsidRPr="001337CB">
              <w:rPr>
                <w:rFonts w:eastAsia="Times New Roman" w:cstheme="minorHAnsi"/>
                <w:i/>
                <w:iCs/>
                <w:color w:val="222222"/>
                <w:sz w:val="20"/>
                <w:szCs w:val="20"/>
              </w:rPr>
              <w:t>(Select all that apply)</w:t>
            </w:r>
          </w:p>
          <w:p w:rsidR="004009E7" w:rsidRPr="007366C3" w:rsidP="00D40333" w14:paraId="1B0D35EB"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Seized drug sample</w:t>
            </w:r>
            <w:r w:rsidRPr="007366C3">
              <w:rPr>
                <w:rFonts w:asciiTheme="minorHAnsi" w:hAnsiTheme="minorHAnsi" w:cstheme="minorHAnsi"/>
                <w:spacing w:val="-24"/>
                <w:sz w:val="20"/>
                <w:szCs w:val="20"/>
              </w:rPr>
              <w:t xml:space="preserve"> </w:t>
            </w:r>
            <w:r w:rsidRPr="007366C3">
              <w:rPr>
                <w:rFonts w:asciiTheme="minorHAnsi" w:hAnsiTheme="minorHAnsi" w:cstheme="minorHAnsi"/>
                <w:sz w:val="20"/>
                <w:szCs w:val="20"/>
              </w:rPr>
              <w:t>testing</w:t>
            </w:r>
          </w:p>
          <w:p w:rsidR="004009E7" w:rsidRPr="007366C3" w:rsidP="00D40333" w14:paraId="64DA2F84"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Post-mortem toxicology sample</w:t>
            </w:r>
            <w:r w:rsidRPr="007366C3">
              <w:rPr>
                <w:rFonts w:asciiTheme="minorHAnsi" w:hAnsiTheme="minorHAnsi"/>
                <w:sz w:val="20"/>
                <w:szCs w:val="20"/>
              </w:rPr>
              <w:t xml:space="preserve"> </w:t>
            </w:r>
            <w:r w:rsidRPr="007366C3">
              <w:rPr>
                <w:rFonts w:asciiTheme="minorHAnsi" w:hAnsiTheme="minorHAnsi" w:cstheme="minorHAnsi"/>
                <w:sz w:val="20"/>
                <w:szCs w:val="20"/>
              </w:rPr>
              <w:t>testing</w:t>
            </w:r>
          </w:p>
          <w:p w:rsidR="004009E7" w:rsidRPr="007366C3" w:rsidP="00D40333" w14:paraId="215DCF2B"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pacing w:val="-3"/>
                <w:sz w:val="20"/>
                <w:szCs w:val="20"/>
              </w:rPr>
              <w:t xml:space="preserve">Workplace </w:t>
            </w:r>
            <w:r w:rsidRPr="007366C3">
              <w:rPr>
                <w:rFonts w:asciiTheme="minorHAnsi" w:hAnsiTheme="minorHAnsi" w:cstheme="minorHAnsi"/>
                <w:sz w:val="20"/>
                <w:szCs w:val="20"/>
              </w:rPr>
              <w:t>drug</w:t>
            </w:r>
            <w:r w:rsidRPr="007366C3">
              <w:rPr>
                <w:rFonts w:asciiTheme="minorHAnsi" w:hAnsiTheme="minorHAnsi" w:cstheme="minorHAnsi"/>
                <w:spacing w:val="-3"/>
                <w:sz w:val="20"/>
                <w:szCs w:val="20"/>
              </w:rPr>
              <w:t xml:space="preserve"> </w:t>
            </w:r>
            <w:r w:rsidRPr="007366C3">
              <w:rPr>
                <w:rFonts w:asciiTheme="minorHAnsi" w:hAnsiTheme="minorHAnsi" w:cstheme="minorHAnsi"/>
                <w:sz w:val="20"/>
                <w:szCs w:val="20"/>
              </w:rPr>
              <w:t>screening</w:t>
            </w:r>
          </w:p>
          <w:p w:rsidR="004009E7" w:rsidRPr="007366C3" w:rsidP="00D40333" w14:paraId="26E173E6"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Newborn drug</w:t>
            </w:r>
            <w:r w:rsidRPr="007366C3">
              <w:rPr>
                <w:rFonts w:asciiTheme="minorHAnsi" w:hAnsiTheme="minorHAnsi" w:cstheme="minorHAnsi"/>
                <w:spacing w:val="-15"/>
                <w:sz w:val="20"/>
                <w:szCs w:val="20"/>
              </w:rPr>
              <w:t xml:space="preserve"> </w:t>
            </w:r>
            <w:r w:rsidRPr="007366C3">
              <w:rPr>
                <w:rFonts w:asciiTheme="minorHAnsi" w:hAnsiTheme="minorHAnsi" w:cstheme="minorHAnsi"/>
                <w:sz w:val="20"/>
                <w:szCs w:val="20"/>
              </w:rPr>
              <w:t>screening</w:t>
            </w:r>
          </w:p>
          <w:p w:rsidR="004009E7" w:rsidRPr="007366C3" w:rsidP="00D40333" w14:paraId="3227F8C6"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Drug pharmacology and pharmacokinetics</w:t>
            </w:r>
            <w:r w:rsidRPr="007366C3">
              <w:rPr>
                <w:rFonts w:asciiTheme="minorHAnsi" w:hAnsiTheme="minorHAnsi" w:cstheme="minorHAnsi"/>
                <w:spacing w:val="-21"/>
                <w:sz w:val="20"/>
                <w:szCs w:val="20"/>
              </w:rPr>
              <w:t xml:space="preserve"> </w:t>
            </w:r>
            <w:r w:rsidRPr="007366C3">
              <w:rPr>
                <w:rFonts w:asciiTheme="minorHAnsi" w:hAnsiTheme="minorHAnsi" w:cstheme="minorHAnsi"/>
                <w:spacing w:val="-3"/>
                <w:sz w:val="20"/>
                <w:szCs w:val="20"/>
              </w:rPr>
              <w:t>research</w:t>
            </w:r>
          </w:p>
          <w:p w:rsidR="004009E7" w:rsidRPr="007366C3" w:rsidP="00D40333" w14:paraId="427FA2F0" w14:textId="77777777">
            <w:pPr>
              <w:pStyle w:val="TableParagraph"/>
              <w:numPr>
                <w:ilvl w:val="1"/>
                <w:numId w:val="5"/>
              </w:numPr>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 xml:space="preserve">Clinical testing </w:t>
            </w:r>
            <w:r w:rsidRPr="007366C3">
              <w:rPr>
                <w:rFonts w:asciiTheme="minorHAnsi" w:hAnsiTheme="minorHAnsi" w:cstheme="minorHAnsi"/>
                <w:spacing w:val="-3"/>
                <w:sz w:val="20"/>
                <w:szCs w:val="20"/>
              </w:rPr>
              <w:t xml:space="preserve">for </w:t>
            </w:r>
            <w:r w:rsidRPr="007366C3">
              <w:rPr>
                <w:rFonts w:asciiTheme="minorHAnsi" w:hAnsiTheme="minorHAnsi" w:cstheme="minorHAnsi"/>
                <w:sz w:val="20"/>
                <w:szCs w:val="20"/>
              </w:rPr>
              <w:t>disease diagnosis and treatment or</w:t>
            </w:r>
            <w:r w:rsidRPr="007366C3">
              <w:rPr>
                <w:rFonts w:asciiTheme="minorHAnsi" w:hAnsiTheme="minorHAnsi"/>
                <w:sz w:val="20"/>
                <w:szCs w:val="20"/>
              </w:rPr>
              <w:t xml:space="preserve"> </w:t>
            </w:r>
            <w:r w:rsidRPr="007366C3">
              <w:rPr>
                <w:rFonts w:asciiTheme="minorHAnsi" w:hAnsiTheme="minorHAnsi" w:cstheme="minorHAnsi"/>
                <w:sz w:val="20"/>
                <w:szCs w:val="20"/>
              </w:rPr>
              <w:t>surveillance</w:t>
            </w:r>
          </w:p>
          <w:p w:rsidR="004009E7" w:rsidRPr="007366C3" w:rsidP="00D40333" w14:paraId="359AB751" w14:textId="77777777">
            <w:pPr>
              <w:pStyle w:val="ListParagraph"/>
              <w:numPr>
                <w:ilvl w:val="1"/>
                <w:numId w:val="5"/>
              </w:numPr>
              <w:shd w:val="clear" w:color="auto" w:fill="F8F8F8"/>
              <w:ind w:left="720" w:hanging="360"/>
              <w:rPr>
                <w:rFonts w:eastAsia="Times New Roman" w:cstheme="minorHAnsi"/>
                <w:color w:val="222222"/>
                <w:sz w:val="20"/>
                <w:szCs w:val="20"/>
              </w:rPr>
            </w:pPr>
            <w:r w:rsidRPr="007366C3">
              <w:rPr>
                <w:rFonts w:cstheme="minorHAnsi"/>
                <w:sz w:val="20"/>
                <w:szCs w:val="20"/>
              </w:rPr>
              <w:t>Other</w:t>
            </w:r>
          </w:p>
          <w:p w:rsidR="004009E7" w:rsidRPr="007366C3" w:rsidP="004009E7" w14:paraId="602A3C9D" w14:textId="77777777">
            <w:pPr>
              <w:rPr>
                <w:sz w:val="20"/>
                <w:szCs w:val="20"/>
              </w:rPr>
            </w:pPr>
          </w:p>
        </w:tc>
        <w:tc>
          <w:tcPr>
            <w:tcW w:w="1615" w:type="dxa"/>
            <w:vAlign w:val="center"/>
          </w:tcPr>
          <w:p w:rsidR="004009E7" w:rsidRPr="007366C3" w:rsidP="00A345D7" w14:paraId="43A9436D" w14:textId="73217559">
            <w:pPr>
              <w:shd w:val="clear" w:color="auto" w:fill="F8F8F8"/>
              <w:rPr>
                <w:rFonts w:eastAsia="Times New Roman" w:cstheme="minorHAnsi"/>
                <w:color w:val="222222"/>
                <w:sz w:val="20"/>
                <w:szCs w:val="20"/>
              </w:rPr>
            </w:pPr>
            <w:r>
              <w:rPr>
                <w:rFonts w:eastAsia="Times New Roman" w:cstheme="minorHAnsi"/>
                <w:color w:val="222222"/>
                <w:sz w:val="20"/>
                <w:szCs w:val="20"/>
              </w:rPr>
              <w:t>Renumber as 3</w:t>
            </w:r>
          </w:p>
        </w:tc>
      </w:tr>
      <w:tr w14:paraId="5B2A9737" w14:textId="4F8C8490" w:rsidTr="00194B18">
        <w:tblPrEx>
          <w:tblW w:w="0" w:type="auto"/>
          <w:tblLayout w:type="fixed"/>
          <w:tblLook w:val="04A0"/>
        </w:tblPrEx>
        <w:tc>
          <w:tcPr>
            <w:tcW w:w="3325" w:type="dxa"/>
          </w:tcPr>
          <w:p w:rsidR="004009E7" w:rsidRPr="007366C3" w:rsidP="00D5126E" w14:paraId="1E41AA14" w14:textId="77777777">
            <w:pPr>
              <w:pStyle w:val="ListParagraph"/>
              <w:shd w:val="clear" w:color="auto" w:fill="F8F8F8"/>
              <w:ind w:left="360"/>
              <w:contextualSpacing w:val="0"/>
              <w:rPr>
                <w:rFonts w:eastAsia="Times New Roman" w:cstheme="minorHAnsi"/>
                <w:color w:val="222222"/>
                <w:sz w:val="20"/>
                <w:szCs w:val="20"/>
              </w:rPr>
            </w:pPr>
          </w:p>
        </w:tc>
        <w:tc>
          <w:tcPr>
            <w:tcW w:w="4410" w:type="dxa"/>
          </w:tcPr>
          <w:p w:rsidR="004009E7" w:rsidRPr="007366C3" w:rsidP="00D40333" w14:paraId="5FE58885" w14:textId="77777777">
            <w:pPr>
              <w:pStyle w:val="TableParagraph"/>
              <w:numPr>
                <w:ilvl w:val="0"/>
                <w:numId w:val="5"/>
              </w:numPr>
              <w:tabs>
                <w:tab w:val="left" w:pos="360"/>
              </w:tabs>
              <w:spacing w:line="240" w:lineRule="auto"/>
              <w:ind w:left="281" w:hanging="281"/>
              <w:rPr>
                <w:rFonts w:asciiTheme="minorHAnsi" w:hAnsiTheme="minorHAnsi"/>
                <w:color w:val="FF0000"/>
                <w:sz w:val="20"/>
                <w:szCs w:val="20"/>
              </w:rPr>
            </w:pPr>
            <w:r w:rsidRPr="007366C3">
              <w:rPr>
                <w:rFonts w:asciiTheme="minorHAnsi" w:hAnsiTheme="minorHAnsi" w:cstheme="minorHAnsi"/>
                <w:color w:val="FF0000"/>
                <w:sz w:val="20"/>
                <w:szCs w:val="20"/>
              </w:rPr>
              <w:t>Which of the following drug categories does your laboratory test for?</w:t>
            </w:r>
            <w:r w:rsidRPr="007366C3">
              <w:rPr>
                <w:rFonts w:asciiTheme="minorHAnsi" w:hAnsiTheme="minorHAnsi"/>
                <w:color w:val="FF0000"/>
                <w:sz w:val="20"/>
                <w:szCs w:val="20"/>
              </w:rPr>
              <w:t xml:space="preserve"> (</w:t>
            </w:r>
            <w:r w:rsidRPr="007366C3">
              <w:rPr>
                <w:rFonts w:asciiTheme="minorHAnsi" w:hAnsiTheme="minorHAnsi" w:cstheme="minorHAnsi"/>
                <w:i/>
                <w:iCs/>
                <w:color w:val="FF0000"/>
                <w:sz w:val="20"/>
                <w:szCs w:val="20"/>
              </w:rPr>
              <w:t>Select all that</w:t>
            </w:r>
            <w:r w:rsidRPr="007366C3">
              <w:rPr>
                <w:rFonts w:asciiTheme="minorHAnsi" w:hAnsiTheme="minorHAnsi"/>
                <w:i/>
                <w:color w:val="FF0000"/>
                <w:sz w:val="20"/>
                <w:szCs w:val="20"/>
              </w:rPr>
              <w:t xml:space="preserve"> </w:t>
            </w:r>
            <w:r w:rsidRPr="007366C3">
              <w:rPr>
                <w:rFonts w:asciiTheme="minorHAnsi" w:hAnsiTheme="minorHAnsi" w:cstheme="minorHAnsi"/>
                <w:i/>
                <w:iCs/>
                <w:color w:val="FF0000"/>
                <w:sz w:val="20"/>
                <w:szCs w:val="20"/>
              </w:rPr>
              <w:t>apply</w:t>
            </w:r>
            <w:r w:rsidRPr="007366C3">
              <w:rPr>
                <w:rFonts w:asciiTheme="minorHAnsi" w:hAnsiTheme="minorHAnsi"/>
                <w:color w:val="FF0000"/>
                <w:sz w:val="20"/>
                <w:szCs w:val="20"/>
              </w:rPr>
              <w:t>)</w:t>
            </w:r>
          </w:p>
          <w:p w:rsidR="004009E7" w:rsidRPr="007366C3" w:rsidP="004009E7" w14:paraId="03B34849" w14:textId="77777777">
            <w:pPr>
              <w:pStyle w:val="TableParagraph"/>
              <w:tabs>
                <w:tab w:val="left" w:pos="360"/>
              </w:tabs>
              <w:spacing w:line="240" w:lineRule="auto"/>
              <w:ind w:left="720" w:hanging="360"/>
              <w:rPr>
                <w:rFonts w:asciiTheme="minorHAnsi" w:hAnsiTheme="minorHAnsi" w:cstheme="minorHAnsi"/>
                <w:color w:val="FF0000"/>
                <w:sz w:val="20"/>
                <w:szCs w:val="20"/>
              </w:rPr>
            </w:pPr>
            <w:r w:rsidRPr="007366C3">
              <w:rPr>
                <w:rFonts w:ascii="Wingdings" w:hAnsi="Wingdings" w:cstheme="minorHAnsi"/>
                <w:color w:val="FF0000"/>
                <w:sz w:val="20"/>
                <w:szCs w:val="20"/>
              </w:rPr>
              <w:t>q</w:t>
            </w:r>
            <w:r w:rsidRPr="007366C3">
              <w:rPr>
                <w:rFonts w:asciiTheme="minorHAnsi" w:hAnsiTheme="minorHAnsi" w:cstheme="minorHAnsi"/>
                <w:color w:val="FF0000"/>
                <w:spacing w:val="79"/>
                <w:sz w:val="20"/>
                <w:szCs w:val="20"/>
              </w:rPr>
              <w:t xml:space="preserve"> </w:t>
            </w:r>
            <w:r w:rsidRPr="007366C3">
              <w:rPr>
                <w:rFonts w:asciiTheme="minorHAnsi" w:hAnsiTheme="minorHAnsi" w:cstheme="minorHAnsi"/>
                <w:color w:val="FF0000"/>
                <w:sz w:val="20"/>
                <w:szCs w:val="20"/>
              </w:rPr>
              <w:t>Opioids</w:t>
            </w:r>
          </w:p>
          <w:p w:rsidR="004009E7" w:rsidRPr="007366C3" w:rsidP="004009E7" w14:paraId="0FE8D690" w14:textId="77777777">
            <w:pPr>
              <w:pStyle w:val="TableParagraph"/>
              <w:tabs>
                <w:tab w:val="left" w:pos="360"/>
              </w:tabs>
              <w:spacing w:line="240" w:lineRule="auto"/>
              <w:ind w:left="720" w:hanging="360"/>
              <w:rPr>
                <w:rFonts w:asciiTheme="minorHAnsi" w:hAnsiTheme="minorHAnsi" w:cstheme="minorHAnsi"/>
                <w:color w:val="FF0000"/>
                <w:sz w:val="20"/>
                <w:szCs w:val="20"/>
              </w:rPr>
            </w:pPr>
            <w:r w:rsidRPr="007366C3">
              <w:rPr>
                <w:rFonts w:ascii="Wingdings" w:hAnsi="Wingdings" w:cstheme="minorHAnsi"/>
                <w:color w:val="FF0000"/>
                <w:sz w:val="20"/>
                <w:szCs w:val="20"/>
              </w:rPr>
              <w:t>q</w:t>
            </w:r>
            <w:r w:rsidRPr="007366C3">
              <w:rPr>
                <w:rFonts w:asciiTheme="minorHAnsi" w:hAnsiTheme="minorHAnsi" w:cstheme="minorHAnsi"/>
                <w:color w:val="FF0000"/>
                <w:spacing w:val="79"/>
                <w:sz w:val="20"/>
                <w:szCs w:val="20"/>
              </w:rPr>
              <w:t xml:space="preserve"> </w:t>
            </w:r>
            <w:r w:rsidRPr="007366C3">
              <w:rPr>
                <w:rFonts w:asciiTheme="minorHAnsi" w:hAnsiTheme="minorHAnsi" w:cstheme="minorHAnsi"/>
                <w:color w:val="FF0000"/>
                <w:sz w:val="20"/>
                <w:szCs w:val="20"/>
              </w:rPr>
              <w:t>Synthetic Cannabinoids</w:t>
            </w:r>
          </w:p>
          <w:p w:rsidR="004009E7" w:rsidRPr="007366C3" w:rsidP="004009E7" w14:paraId="727C1512" w14:textId="77777777">
            <w:pPr>
              <w:pStyle w:val="TableParagraph"/>
              <w:tabs>
                <w:tab w:val="left" w:pos="360"/>
              </w:tabs>
              <w:spacing w:line="240" w:lineRule="auto"/>
              <w:ind w:left="720" w:hanging="360"/>
              <w:rPr>
                <w:rFonts w:asciiTheme="minorHAnsi" w:hAnsiTheme="minorHAnsi" w:cstheme="minorHAnsi"/>
                <w:color w:val="FF0000"/>
                <w:sz w:val="20"/>
                <w:szCs w:val="20"/>
              </w:rPr>
            </w:pPr>
            <w:r w:rsidRPr="007366C3">
              <w:rPr>
                <w:rFonts w:ascii="Wingdings" w:hAnsi="Wingdings" w:cstheme="minorHAnsi"/>
                <w:color w:val="FF0000"/>
                <w:sz w:val="20"/>
                <w:szCs w:val="20"/>
              </w:rPr>
              <w:t>q</w:t>
            </w:r>
            <w:r w:rsidRPr="007366C3">
              <w:rPr>
                <w:rFonts w:asciiTheme="minorHAnsi" w:hAnsiTheme="minorHAnsi" w:cstheme="minorHAnsi"/>
                <w:color w:val="FF0000"/>
                <w:spacing w:val="75"/>
                <w:sz w:val="20"/>
                <w:szCs w:val="20"/>
              </w:rPr>
              <w:t xml:space="preserve"> </w:t>
            </w:r>
            <w:r w:rsidRPr="007366C3">
              <w:rPr>
                <w:rFonts w:asciiTheme="minorHAnsi" w:hAnsiTheme="minorHAnsi" w:cstheme="minorHAnsi"/>
                <w:color w:val="FF0000"/>
                <w:sz w:val="20"/>
                <w:szCs w:val="20"/>
              </w:rPr>
              <w:t>Stimulants and Hallucinogens</w:t>
            </w:r>
          </w:p>
          <w:p w:rsidR="004009E7" w:rsidRPr="007366C3" w:rsidP="004009E7" w14:paraId="75AB2E19" w14:textId="77777777">
            <w:pPr>
              <w:pStyle w:val="TableParagraph"/>
              <w:tabs>
                <w:tab w:val="left" w:pos="360"/>
              </w:tabs>
              <w:spacing w:line="240" w:lineRule="auto"/>
              <w:ind w:left="720" w:hanging="360"/>
              <w:rPr>
                <w:rFonts w:asciiTheme="minorHAnsi" w:hAnsiTheme="minorHAnsi" w:cstheme="minorHAnsi"/>
                <w:color w:val="FF0000"/>
                <w:sz w:val="20"/>
                <w:szCs w:val="20"/>
              </w:rPr>
            </w:pPr>
            <w:r w:rsidRPr="007366C3">
              <w:rPr>
                <w:rFonts w:ascii="Wingdings" w:hAnsi="Wingdings" w:cstheme="minorHAnsi"/>
                <w:color w:val="FF0000"/>
                <w:sz w:val="20"/>
                <w:szCs w:val="20"/>
              </w:rPr>
              <w:t>q</w:t>
            </w:r>
            <w:r w:rsidRPr="007366C3">
              <w:rPr>
                <w:rFonts w:asciiTheme="minorHAnsi" w:hAnsiTheme="minorHAnsi" w:cstheme="minorHAnsi"/>
                <w:color w:val="FF0000"/>
                <w:spacing w:val="78"/>
                <w:sz w:val="20"/>
                <w:szCs w:val="20"/>
              </w:rPr>
              <w:t xml:space="preserve"> </w:t>
            </w:r>
            <w:r w:rsidRPr="007366C3">
              <w:rPr>
                <w:rFonts w:asciiTheme="minorHAnsi" w:hAnsiTheme="minorHAnsi" w:cstheme="minorHAnsi"/>
                <w:color w:val="FF0000"/>
                <w:sz w:val="20"/>
                <w:szCs w:val="20"/>
              </w:rPr>
              <w:t>Benzodiazepines</w:t>
            </w:r>
          </w:p>
          <w:p w:rsidR="004009E7" w:rsidRPr="007366C3" w:rsidP="00D5126E" w14:paraId="582694E2" w14:textId="43AD97F3">
            <w:pPr>
              <w:pStyle w:val="TableParagraph"/>
              <w:tabs>
                <w:tab w:val="left" w:pos="360"/>
              </w:tabs>
              <w:spacing w:line="240" w:lineRule="auto"/>
              <w:ind w:left="720" w:hanging="360"/>
              <w:rPr>
                <w:rFonts w:asciiTheme="minorHAnsi" w:hAnsiTheme="minorHAnsi" w:cstheme="minorHAnsi"/>
                <w:sz w:val="20"/>
                <w:szCs w:val="20"/>
              </w:rPr>
            </w:pPr>
          </w:p>
        </w:tc>
        <w:tc>
          <w:tcPr>
            <w:tcW w:w="1615" w:type="dxa"/>
            <w:vAlign w:val="center"/>
          </w:tcPr>
          <w:p w:rsidR="004009E7" w:rsidRPr="007366C3" w:rsidP="00D5126E" w14:paraId="5CC66B97" w14:textId="3C25C23E">
            <w:pPr>
              <w:pStyle w:val="TableParagraph"/>
              <w:tabs>
                <w:tab w:val="left" w:pos="360"/>
              </w:tabs>
              <w:spacing w:line="240" w:lineRule="auto"/>
              <w:ind w:left="40" w:firstLine="0"/>
              <w:rPr>
                <w:rFonts w:asciiTheme="minorHAnsi" w:hAnsiTheme="minorHAnsi" w:cstheme="minorHAnsi"/>
                <w:sz w:val="20"/>
                <w:szCs w:val="20"/>
              </w:rPr>
            </w:pPr>
            <w:r w:rsidRPr="007366C3">
              <w:rPr>
                <w:rFonts w:eastAsia="Times New Roman" w:cstheme="minorHAnsi"/>
                <w:color w:val="222222"/>
                <w:sz w:val="20"/>
                <w:szCs w:val="20"/>
              </w:rPr>
              <w:t>Add n</w:t>
            </w:r>
            <w:r w:rsidRPr="007366C3" w:rsidR="00353E7E">
              <w:rPr>
                <w:rFonts w:eastAsia="Times New Roman" w:cstheme="minorHAnsi"/>
                <w:color w:val="222222"/>
                <w:sz w:val="20"/>
                <w:szCs w:val="20"/>
              </w:rPr>
              <w:t>ew questio</w:t>
            </w:r>
            <w:r w:rsidRPr="007366C3">
              <w:rPr>
                <w:rFonts w:eastAsia="Times New Roman" w:cstheme="minorHAnsi"/>
                <w:color w:val="222222"/>
                <w:sz w:val="20"/>
                <w:szCs w:val="20"/>
              </w:rPr>
              <w:t>n</w:t>
            </w:r>
            <w:r w:rsidRPr="007366C3" w:rsidR="00D72833">
              <w:rPr>
                <w:rFonts w:eastAsia="Times New Roman" w:cstheme="minorHAnsi"/>
                <w:color w:val="222222"/>
                <w:sz w:val="20"/>
                <w:szCs w:val="20"/>
              </w:rPr>
              <w:t xml:space="preserve"> </w:t>
            </w:r>
            <w:r w:rsidR="00087DC8">
              <w:rPr>
                <w:rFonts w:eastAsia="Times New Roman" w:cstheme="minorHAnsi"/>
                <w:color w:val="222222"/>
                <w:sz w:val="20"/>
                <w:szCs w:val="20"/>
              </w:rPr>
              <w:t>4</w:t>
            </w:r>
            <w:r w:rsidRPr="007366C3" w:rsidR="00107487">
              <w:rPr>
                <w:rFonts w:eastAsia="Times New Roman" w:cstheme="minorHAnsi"/>
                <w:color w:val="222222"/>
                <w:sz w:val="20"/>
                <w:szCs w:val="20"/>
              </w:rPr>
              <w:t xml:space="preserve">; </w:t>
            </w:r>
            <w:r w:rsidRPr="007366C3" w:rsidR="00107487">
              <w:rPr>
                <w:rFonts w:cstheme="minorHAnsi"/>
                <w:sz w:val="20"/>
                <w:szCs w:val="20"/>
              </w:rPr>
              <w:t>TOM Kits*</w:t>
            </w:r>
            <w:r w:rsidRPr="007366C3" w:rsidR="00107487">
              <w:rPr>
                <w:rFonts w:asciiTheme="minorHAnsi" w:hAnsiTheme="minorHAnsi" w:cstheme="minorHAnsi"/>
                <w:sz w:val="20"/>
                <w:szCs w:val="20"/>
              </w:rPr>
              <w:t xml:space="preserve"> </w:t>
            </w:r>
            <w:r w:rsidRPr="007366C3" w:rsidR="00107487">
              <w:rPr>
                <w:rFonts w:cstheme="minorHAnsi"/>
                <w:sz w:val="20"/>
                <w:szCs w:val="20"/>
              </w:rPr>
              <w:t>includes</w:t>
            </w:r>
            <w:r w:rsidRPr="007366C3" w:rsidR="00107487">
              <w:rPr>
                <w:rFonts w:asciiTheme="minorHAnsi" w:hAnsiTheme="minorHAnsi" w:cstheme="minorHAnsi"/>
                <w:sz w:val="20"/>
                <w:szCs w:val="20"/>
              </w:rPr>
              <w:t xml:space="preserve"> </w:t>
            </w:r>
            <w:r w:rsidRPr="007366C3" w:rsidR="00107487">
              <w:rPr>
                <w:rFonts w:cstheme="minorHAnsi"/>
                <w:sz w:val="20"/>
                <w:szCs w:val="20"/>
              </w:rPr>
              <w:t xml:space="preserve">a variety of </w:t>
            </w:r>
            <w:r w:rsidRPr="007366C3" w:rsidR="00107487">
              <w:rPr>
                <w:rFonts w:asciiTheme="minorHAnsi" w:hAnsiTheme="minorHAnsi" w:cstheme="minorHAnsi"/>
                <w:sz w:val="20"/>
                <w:szCs w:val="20"/>
              </w:rPr>
              <w:t>opioids</w:t>
            </w:r>
            <w:r w:rsidRPr="007366C3" w:rsidR="00107487">
              <w:rPr>
                <w:rFonts w:cstheme="minorHAnsi"/>
                <w:sz w:val="20"/>
                <w:szCs w:val="20"/>
              </w:rPr>
              <w:t>, of which</w:t>
            </w:r>
            <w:r w:rsidRPr="007366C3" w:rsidR="00107487">
              <w:rPr>
                <w:rFonts w:asciiTheme="minorHAnsi" w:hAnsiTheme="minorHAnsi" w:cstheme="minorHAnsi"/>
                <w:sz w:val="20"/>
                <w:szCs w:val="20"/>
              </w:rPr>
              <w:t xml:space="preserve"> FAS Kits</w:t>
            </w:r>
            <w:r w:rsidRPr="007366C3" w:rsidR="00107487">
              <w:rPr>
                <w:rFonts w:cstheme="minorHAnsi"/>
                <w:sz w:val="20"/>
                <w:szCs w:val="20"/>
              </w:rPr>
              <w:t xml:space="preserve"> are a subtype</w:t>
            </w:r>
            <w:r w:rsidRPr="007366C3" w:rsidR="00107487">
              <w:rPr>
                <w:rFonts w:asciiTheme="minorHAnsi" w:hAnsiTheme="minorHAnsi" w:cstheme="minorHAnsi"/>
                <w:sz w:val="20"/>
                <w:szCs w:val="20"/>
              </w:rPr>
              <w:t>.</w:t>
            </w:r>
            <w:r w:rsidRPr="007366C3" w:rsidR="00674EE4">
              <w:rPr>
                <w:rFonts w:asciiTheme="minorHAnsi" w:hAnsiTheme="minorHAnsi" w:cstheme="minorHAnsi"/>
                <w:sz w:val="20"/>
                <w:szCs w:val="20"/>
              </w:rPr>
              <w:t xml:space="preserve"> The other three categories are part of the EDP Kits.</w:t>
            </w:r>
          </w:p>
        </w:tc>
      </w:tr>
      <w:tr w14:paraId="326AE1B4" w14:textId="431A738B" w:rsidTr="00194B18">
        <w:tblPrEx>
          <w:tblW w:w="0" w:type="auto"/>
          <w:tblLayout w:type="fixed"/>
          <w:tblLook w:val="04A0"/>
        </w:tblPrEx>
        <w:tc>
          <w:tcPr>
            <w:tcW w:w="3325" w:type="dxa"/>
          </w:tcPr>
          <w:p w:rsidR="004009E7" w:rsidRPr="007366C3" w:rsidP="00D40333" w14:paraId="059F51EC" w14:textId="77777777">
            <w:pPr>
              <w:pStyle w:val="TableParagraph"/>
              <w:numPr>
                <w:ilvl w:val="0"/>
                <w:numId w:val="6"/>
              </w:numPr>
              <w:tabs>
                <w:tab w:val="left" w:pos="360"/>
              </w:tabs>
              <w:spacing w:line="240" w:lineRule="auto"/>
              <w:ind w:left="340" w:hanging="340"/>
              <w:rPr>
                <w:rFonts w:asciiTheme="minorHAnsi" w:hAnsiTheme="minorHAnsi" w:cstheme="minorHAnsi"/>
                <w:sz w:val="20"/>
                <w:szCs w:val="20"/>
              </w:rPr>
            </w:pPr>
            <w:r w:rsidRPr="007366C3">
              <w:rPr>
                <w:rFonts w:asciiTheme="minorHAnsi" w:hAnsiTheme="minorHAnsi" w:cstheme="minorHAnsi"/>
                <w:sz w:val="20"/>
                <w:szCs w:val="20"/>
              </w:rPr>
              <w:t>On</w:t>
            </w:r>
            <w:r w:rsidRPr="007366C3">
              <w:rPr>
                <w:rFonts w:asciiTheme="minorHAnsi" w:hAnsiTheme="minorHAnsi" w:cstheme="minorHAnsi"/>
                <w:spacing w:val="-3"/>
                <w:sz w:val="20"/>
                <w:szCs w:val="20"/>
              </w:rPr>
              <w:t xml:space="preserve"> average,</w:t>
            </w:r>
            <w:r w:rsidRPr="007366C3">
              <w:rPr>
                <w:rFonts w:asciiTheme="minorHAnsi" w:hAnsiTheme="minorHAnsi" w:cstheme="minorHAnsi"/>
                <w:spacing w:val="-5"/>
                <w:sz w:val="20"/>
                <w:szCs w:val="20"/>
              </w:rPr>
              <w:t xml:space="preserve"> </w:t>
            </w:r>
            <w:r w:rsidRPr="007366C3">
              <w:rPr>
                <w:rFonts w:asciiTheme="minorHAnsi" w:hAnsiTheme="minorHAnsi" w:cstheme="minorHAnsi"/>
                <w:sz w:val="20"/>
                <w:szCs w:val="20"/>
              </w:rPr>
              <w:t>how</w:t>
            </w:r>
            <w:r w:rsidRPr="007366C3">
              <w:rPr>
                <w:rFonts w:asciiTheme="minorHAnsi" w:hAnsiTheme="minorHAnsi" w:cstheme="minorHAnsi"/>
                <w:spacing w:val="-7"/>
                <w:sz w:val="20"/>
                <w:szCs w:val="20"/>
              </w:rPr>
              <w:t xml:space="preserve"> </w:t>
            </w:r>
            <w:r w:rsidRPr="007366C3">
              <w:rPr>
                <w:rFonts w:asciiTheme="minorHAnsi" w:hAnsiTheme="minorHAnsi" w:cstheme="minorHAnsi"/>
                <w:sz w:val="20"/>
                <w:szCs w:val="20"/>
              </w:rPr>
              <w:t>many</w:t>
            </w:r>
            <w:r w:rsidRPr="007366C3">
              <w:rPr>
                <w:rFonts w:asciiTheme="minorHAnsi" w:hAnsiTheme="minorHAnsi" w:cstheme="minorHAnsi"/>
                <w:spacing w:val="-2"/>
                <w:sz w:val="20"/>
                <w:szCs w:val="20"/>
              </w:rPr>
              <w:t xml:space="preserve"> </w:t>
            </w:r>
            <w:r w:rsidRPr="007366C3">
              <w:rPr>
                <w:rFonts w:asciiTheme="minorHAnsi" w:hAnsiTheme="minorHAnsi" w:cstheme="minorHAnsi"/>
                <w:sz w:val="20"/>
                <w:szCs w:val="20"/>
              </w:rPr>
              <w:t>opioid-related</w:t>
            </w:r>
            <w:r w:rsidRPr="007366C3">
              <w:rPr>
                <w:rFonts w:asciiTheme="minorHAnsi" w:hAnsiTheme="minorHAnsi" w:cstheme="minorHAnsi"/>
                <w:spacing w:val="-10"/>
                <w:sz w:val="20"/>
                <w:szCs w:val="20"/>
              </w:rPr>
              <w:t xml:space="preserve"> </w:t>
            </w:r>
            <w:r w:rsidRPr="007366C3">
              <w:rPr>
                <w:rFonts w:asciiTheme="minorHAnsi" w:hAnsiTheme="minorHAnsi" w:cstheme="minorHAnsi"/>
                <w:sz w:val="20"/>
                <w:szCs w:val="20"/>
              </w:rPr>
              <w:t>samples</w:t>
            </w:r>
            <w:r w:rsidRPr="007366C3">
              <w:rPr>
                <w:rFonts w:asciiTheme="minorHAnsi" w:hAnsiTheme="minorHAnsi" w:cstheme="minorHAnsi"/>
                <w:spacing w:val="-7"/>
                <w:sz w:val="20"/>
                <w:szCs w:val="20"/>
              </w:rPr>
              <w:t xml:space="preserve"> </w:t>
            </w:r>
            <w:r w:rsidRPr="007366C3">
              <w:rPr>
                <w:rFonts w:asciiTheme="minorHAnsi" w:hAnsiTheme="minorHAnsi" w:cstheme="minorHAnsi"/>
                <w:sz w:val="20"/>
                <w:szCs w:val="20"/>
              </w:rPr>
              <w:t>does</w:t>
            </w:r>
            <w:r w:rsidRPr="007366C3">
              <w:rPr>
                <w:rFonts w:asciiTheme="minorHAnsi" w:hAnsiTheme="minorHAnsi" w:cstheme="minorHAnsi"/>
                <w:spacing w:val="-5"/>
                <w:sz w:val="20"/>
                <w:szCs w:val="20"/>
              </w:rPr>
              <w:t xml:space="preserve"> </w:t>
            </w:r>
            <w:r w:rsidRPr="007366C3">
              <w:rPr>
                <w:rFonts w:asciiTheme="minorHAnsi" w:hAnsiTheme="minorHAnsi" w:cstheme="minorHAnsi"/>
                <w:sz w:val="20"/>
                <w:szCs w:val="20"/>
              </w:rPr>
              <w:t>your</w:t>
            </w:r>
            <w:r w:rsidRPr="007366C3">
              <w:rPr>
                <w:rFonts w:asciiTheme="minorHAnsi" w:hAnsiTheme="minorHAnsi" w:cstheme="minorHAnsi"/>
                <w:spacing w:val="-3"/>
                <w:sz w:val="20"/>
                <w:szCs w:val="20"/>
              </w:rPr>
              <w:t xml:space="preserve"> </w:t>
            </w:r>
            <w:r w:rsidRPr="007366C3">
              <w:rPr>
                <w:rFonts w:asciiTheme="minorHAnsi" w:hAnsiTheme="minorHAnsi" w:cstheme="minorHAnsi"/>
                <w:sz w:val="20"/>
                <w:szCs w:val="20"/>
              </w:rPr>
              <w:t>laboratory</w:t>
            </w:r>
            <w:r w:rsidRPr="007366C3">
              <w:rPr>
                <w:rFonts w:asciiTheme="minorHAnsi" w:hAnsiTheme="minorHAnsi" w:cstheme="minorHAnsi"/>
                <w:spacing w:val="-4"/>
                <w:sz w:val="20"/>
                <w:szCs w:val="20"/>
              </w:rPr>
              <w:t xml:space="preserve"> </w:t>
            </w:r>
            <w:r w:rsidRPr="007366C3">
              <w:rPr>
                <w:rFonts w:asciiTheme="minorHAnsi" w:hAnsiTheme="minorHAnsi" w:cstheme="minorHAnsi"/>
                <w:sz w:val="20"/>
                <w:szCs w:val="20"/>
              </w:rPr>
              <w:t>analyze</w:t>
            </w:r>
            <w:r w:rsidRPr="007366C3">
              <w:rPr>
                <w:rFonts w:asciiTheme="minorHAnsi" w:hAnsiTheme="minorHAnsi" w:cstheme="minorHAnsi"/>
                <w:spacing w:val="-9"/>
                <w:sz w:val="20"/>
                <w:szCs w:val="20"/>
              </w:rPr>
              <w:t xml:space="preserve"> </w:t>
            </w:r>
            <w:r w:rsidRPr="007366C3">
              <w:rPr>
                <w:rFonts w:asciiTheme="minorHAnsi" w:hAnsiTheme="minorHAnsi" w:cstheme="minorHAnsi"/>
                <w:sz w:val="20"/>
                <w:szCs w:val="20"/>
              </w:rPr>
              <w:t>on</w:t>
            </w:r>
            <w:r w:rsidRPr="007366C3">
              <w:rPr>
                <w:rFonts w:asciiTheme="minorHAnsi" w:hAnsiTheme="minorHAnsi" w:cstheme="minorHAnsi"/>
                <w:spacing w:val="-5"/>
                <w:sz w:val="20"/>
                <w:szCs w:val="20"/>
              </w:rPr>
              <w:t xml:space="preserve"> </w:t>
            </w:r>
            <w:r w:rsidRPr="007366C3">
              <w:rPr>
                <w:rFonts w:asciiTheme="minorHAnsi" w:hAnsiTheme="minorHAnsi" w:cstheme="minorHAnsi"/>
                <w:sz w:val="20"/>
                <w:szCs w:val="20"/>
              </w:rPr>
              <w:t>a</w:t>
            </w:r>
            <w:r w:rsidRPr="007366C3">
              <w:rPr>
                <w:rFonts w:asciiTheme="minorHAnsi" w:hAnsiTheme="minorHAnsi" w:cstheme="minorHAnsi"/>
                <w:spacing w:val="-6"/>
                <w:sz w:val="20"/>
                <w:szCs w:val="20"/>
              </w:rPr>
              <w:t xml:space="preserve"> </w:t>
            </w:r>
            <w:r w:rsidRPr="007366C3">
              <w:rPr>
                <w:rFonts w:asciiTheme="minorHAnsi" w:hAnsiTheme="minorHAnsi" w:cstheme="minorHAnsi"/>
                <w:sz w:val="20"/>
                <w:szCs w:val="20"/>
                <w:u w:val="thick"/>
              </w:rPr>
              <w:t>weekly</w:t>
            </w:r>
            <w:r w:rsidRPr="007366C3">
              <w:rPr>
                <w:rFonts w:asciiTheme="minorHAnsi" w:hAnsiTheme="minorHAnsi" w:cstheme="minorHAnsi"/>
                <w:spacing w:val="-9"/>
                <w:sz w:val="20"/>
                <w:szCs w:val="20"/>
                <w:u w:val="thick"/>
              </w:rPr>
              <w:t xml:space="preserve"> </w:t>
            </w:r>
            <w:r w:rsidRPr="007366C3">
              <w:rPr>
                <w:rFonts w:asciiTheme="minorHAnsi" w:hAnsiTheme="minorHAnsi" w:cstheme="minorHAnsi"/>
                <w:sz w:val="20"/>
                <w:szCs w:val="20"/>
              </w:rPr>
              <w:t>basis?</w:t>
            </w:r>
          </w:p>
          <w:p w:rsidR="004009E7" w:rsidRPr="007366C3" w:rsidP="00D40333" w14:paraId="4C166D80"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&lt;100</w:t>
            </w:r>
          </w:p>
          <w:p w:rsidR="004009E7" w:rsidRPr="007366C3" w:rsidP="00D40333" w14:paraId="1373AC22"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color w:val="FF0000"/>
                <w:sz w:val="20"/>
                <w:szCs w:val="20"/>
              </w:rPr>
              <w:t>101</w:t>
            </w:r>
            <w:r w:rsidRPr="007366C3">
              <w:rPr>
                <w:rFonts w:asciiTheme="minorHAnsi" w:hAnsiTheme="minorHAnsi" w:cstheme="minorHAnsi"/>
                <w:sz w:val="20"/>
                <w:szCs w:val="20"/>
              </w:rPr>
              <w:t>-500</w:t>
            </w:r>
          </w:p>
          <w:p w:rsidR="004009E7" w:rsidRPr="007366C3" w:rsidP="00D40333" w14:paraId="579F45A7"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501-1000</w:t>
            </w:r>
          </w:p>
          <w:p w:rsidR="004009E7" w:rsidRPr="007366C3" w:rsidP="00D40333" w14:paraId="14400571"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&gt;1000</w:t>
            </w:r>
          </w:p>
          <w:p w:rsidR="004009E7" w:rsidRPr="007366C3" w:rsidP="004009E7" w14:paraId="327377D2" w14:textId="77777777">
            <w:pPr>
              <w:rPr>
                <w:sz w:val="20"/>
                <w:szCs w:val="20"/>
              </w:rPr>
            </w:pPr>
          </w:p>
        </w:tc>
        <w:tc>
          <w:tcPr>
            <w:tcW w:w="4410" w:type="dxa"/>
          </w:tcPr>
          <w:p w:rsidR="004009E7" w:rsidRPr="007366C3" w:rsidP="00D40333" w14:paraId="287C7B9A" w14:textId="63DE5880">
            <w:pPr>
              <w:pStyle w:val="TableParagraph"/>
              <w:numPr>
                <w:ilvl w:val="0"/>
                <w:numId w:val="5"/>
              </w:numPr>
              <w:tabs>
                <w:tab w:val="left" w:pos="360"/>
              </w:tabs>
              <w:spacing w:line="240" w:lineRule="auto"/>
              <w:ind w:left="256"/>
              <w:rPr>
                <w:rFonts w:asciiTheme="minorHAnsi" w:hAnsiTheme="minorHAnsi" w:cstheme="minorHAnsi"/>
                <w:sz w:val="20"/>
                <w:szCs w:val="20"/>
              </w:rPr>
            </w:pPr>
            <w:r w:rsidRPr="007366C3">
              <w:rPr>
                <w:rFonts w:asciiTheme="minorHAnsi" w:hAnsiTheme="minorHAnsi" w:cstheme="minorHAnsi"/>
                <w:sz w:val="20"/>
                <w:szCs w:val="20"/>
              </w:rPr>
              <w:t>On</w:t>
            </w:r>
            <w:r w:rsidRPr="007366C3">
              <w:rPr>
                <w:rFonts w:asciiTheme="minorHAnsi" w:hAnsiTheme="minorHAnsi" w:cstheme="minorHAnsi"/>
                <w:spacing w:val="-3"/>
                <w:sz w:val="20"/>
                <w:szCs w:val="20"/>
              </w:rPr>
              <w:t xml:space="preserve"> average,</w:t>
            </w:r>
            <w:r w:rsidRPr="007366C3">
              <w:rPr>
                <w:rFonts w:asciiTheme="minorHAnsi" w:hAnsiTheme="minorHAnsi" w:cstheme="minorHAnsi"/>
                <w:spacing w:val="-5"/>
                <w:sz w:val="20"/>
                <w:szCs w:val="20"/>
              </w:rPr>
              <w:t xml:space="preserve"> </w:t>
            </w:r>
            <w:r w:rsidRPr="007366C3">
              <w:rPr>
                <w:rFonts w:asciiTheme="minorHAnsi" w:hAnsiTheme="minorHAnsi" w:cstheme="minorHAnsi"/>
                <w:sz w:val="20"/>
                <w:szCs w:val="20"/>
              </w:rPr>
              <w:t>how</w:t>
            </w:r>
            <w:r w:rsidRPr="007366C3">
              <w:rPr>
                <w:rFonts w:asciiTheme="minorHAnsi" w:hAnsiTheme="minorHAnsi" w:cstheme="minorHAnsi"/>
                <w:spacing w:val="-7"/>
                <w:sz w:val="20"/>
                <w:szCs w:val="20"/>
              </w:rPr>
              <w:t xml:space="preserve"> </w:t>
            </w:r>
            <w:r w:rsidRPr="007366C3">
              <w:rPr>
                <w:rFonts w:asciiTheme="minorHAnsi" w:hAnsiTheme="minorHAnsi" w:cstheme="minorHAnsi"/>
                <w:sz w:val="20"/>
                <w:szCs w:val="20"/>
              </w:rPr>
              <w:t>many</w:t>
            </w:r>
            <w:r w:rsidRPr="007366C3">
              <w:rPr>
                <w:rFonts w:asciiTheme="minorHAnsi" w:hAnsiTheme="minorHAnsi" w:cstheme="minorHAnsi"/>
                <w:spacing w:val="-2"/>
                <w:sz w:val="20"/>
                <w:szCs w:val="20"/>
              </w:rPr>
              <w:t xml:space="preserve"> </w:t>
            </w:r>
            <w:r w:rsidRPr="007366C3">
              <w:rPr>
                <w:rFonts w:asciiTheme="minorHAnsi" w:hAnsiTheme="minorHAnsi" w:cstheme="minorHAnsi"/>
                <w:sz w:val="20"/>
                <w:szCs w:val="20"/>
              </w:rPr>
              <w:t>opioid</w:t>
            </w:r>
            <w:r w:rsidRPr="007366C3">
              <w:rPr>
                <w:rFonts w:asciiTheme="minorHAnsi" w:hAnsiTheme="minorHAnsi" w:cstheme="minorHAnsi"/>
                <w:color w:val="FF0000"/>
                <w:sz w:val="20"/>
                <w:szCs w:val="20"/>
              </w:rPr>
              <w:t>, synthetic cannabinoid, stimulant, hallucinogen, or benzodiazepine-related</w:t>
            </w:r>
            <w:r w:rsidRPr="007366C3">
              <w:rPr>
                <w:rFonts w:asciiTheme="minorHAnsi" w:hAnsiTheme="minorHAnsi" w:cstheme="minorHAnsi"/>
                <w:spacing w:val="-10"/>
                <w:sz w:val="20"/>
                <w:szCs w:val="20"/>
              </w:rPr>
              <w:t xml:space="preserve"> </w:t>
            </w:r>
            <w:r w:rsidRPr="007366C3">
              <w:rPr>
                <w:rFonts w:asciiTheme="minorHAnsi" w:hAnsiTheme="minorHAnsi" w:cstheme="minorHAnsi"/>
                <w:sz w:val="20"/>
                <w:szCs w:val="20"/>
              </w:rPr>
              <w:t>samples</w:t>
            </w:r>
            <w:r w:rsidRPr="007366C3">
              <w:rPr>
                <w:rFonts w:asciiTheme="minorHAnsi" w:hAnsiTheme="minorHAnsi" w:cstheme="minorHAnsi"/>
                <w:spacing w:val="-7"/>
                <w:sz w:val="20"/>
                <w:szCs w:val="20"/>
              </w:rPr>
              <w:t xml:space="preserve"> </w:t>
            </w:r>
            <w:r w:rsidRPr="007366C3">
              <w:rPr>
                <w:rFonts w:asciiTheme="minorHAnsi" w:hAnsiTheme="minorHAnsi" w:cstheme="minorHAnsi"/>
                <w:sz w:val="20"/>
                <w:szCs w:val="20"/>
              </w:rPr>
              <w:t>does</w:t>
            </w:r>
            <w:r w:rsidRPr="007366C3">
              <w:rPr>
                <w:rFonts w:asciiTheme="minorHAnsi" w:hAnsiTheme="minorHAnsi" w:cstheme="minorHAnsi"/>
                <w:spacing w:val="-5"/>
                <w:sz w:val="20"/>
                <w:szCs w:val="20"/>
              </w:rPr>
              <w:t xml:space="preserve"> </w:t>
            </w:r>
            <w:r w:rsidRPr="007366C3">
              <w:rPr>
                <w:rFonts w:asciiTheme="minorHAnsi" w:hAnsiTheme="minorHAnsi" w:cstheme="minorHAnsi"/>
                <w:sz w:val="20"/>
                <w:szCs w:val="20"/>
              </w:rPr>
              <w:t>your</w:t>
            </w:r>
            <w:r w:rsidRPr="007366C3">
              <w:rPr>
                <w:rFonts w:asciiTheme="minorHAnsi" w:hAnsiTheme="minorHAnsi" w:cstheme="minorHAnsi"/>
                <w:spacing w:val="-3"/>
                <w:sz w:val="20"/>
                <w:szCs w:val="20"/>
              </w:rPr>
              <w:t xml:space="preserve"> </w:t>
            </w:r>
            <w:r w:rsidRPr="007366C3">
              <w:rPr>
                <w:rFonts w:asciiTheme="minorHAnsi" w:hAnsiTheme="minorHAnsi" w:cstheme="minorHAnsi"/>
                <w:sz w:val="20"/>
                <w:szCs w:val="20"/>
              </w:rPr>
              <w:t>laboratory</w:t>
            </w:r>
            <w:r w:rsidRPr="007366C3">
              <w:rPr>
                <w:rFonts w:asciiTheme="minorHAnsi" w:hAnsiTheme="minorHAnsi" w:cstheme="minorHAnsi"/>
                <w:spacing w:val="-4"/>
                <w:sz w:val="20"/>
                <w:szCs w:val="20"/>
              </w:rPr>
              <w:t xml:space="preserve"> </w:t>
            </w:r>
            <w:r w:rsidRPr="007366C3">
              <w:rPr>
                <w:rFonts w:asciiTheme="minorHAnsi" w:hAnsiTheme="minorHAnsi" w:cstheme="minorHAnsi"/>
                <w:sz w:val="20"/>
                <w:szCs w:val="20"/>
              </w:rPr>
              <w:t>analyze</w:t>
            </w:r>
            <w:r w:rsidRPr="007366C3">
              <w:rPr>
                <w:rFonts w:asciiTheme="minorHAnsi" w:hAnsiTheme="minorHAnsi" w:cstheme="minorHAnsi"/>
                <w:spacing w:val="-9"/>
                <w:sz w:val="20"/>
                <w:szCs w:val="20"/>
              </w:rPr>
              <w:t xml:space="preserve"> </w:t>
            </w:r>
            <w:r w:rsidRPr="007366C3">
              <w:rPr>
                <w:rFonts w:asciiTheme="minorHAnsi" w:hAnsiTheme="minorHAnsi" w:cstheme="minorHAnsi"/>
                <w:sz w:val="20"/>
                <w:szCs w:val="20"/>
              </w:rPr>
              <w:t>on</w:t>
            </w:r>
            <w:r w:rsidRPr="007366C3">
              <w:rPr>
                <w:rFonts w:asciiTheme="minorHAnsi" w:hAnsiTheme="minorHAnsi" w:cstheme="minorHAnsi"/>
                <w:spacing w:val="-5"/>
                <w:sz w:val="20"/>
                <w:szCs w:val="20"/>
              </w:rPr>
              <w:t xml:space="preserve"> </w:t>
            </w:r>
            <w:r w:rsidRPr="007366C3">
              <w:rPr>
                <w:rFonts w:asciiTheme="minorHAnsi" w:hAnsiTheme="minorHAnsi" w:cstheme="minorHAnsi"/>
                <w:sz w:val="20"/>
                <w:szCs w:val="20"/>
              </w:rPr>
              <w:t>a</w:t>
            </w:r>
            <w:r w:rsidRPr="007366C3">
              <w:rPr>
                <w:rFonts w:asciiTheme="minorHAnsi" w:hAnsiTheme="minorHAnsi" w:cstheme="minorHAnsi"/>
                <w:spacing w:val="-6"/>
                <w:sz w:val="20"/>
                <w:szCs w:val="20"/>
              </w:rPr>
              <w:t xml:space="preserve"> </w:t>
            </w:r>
            <w:r w:rsidRPr="007366C3">
              <w:rPr>
                <w:rFonts w:asciiTheme="minorHAnsi" w:hAnsiTheme="minorHAnsi" w:cstheme="minorHAnsi"/>
                <w:sz w:val="20"/>
                <w:szCs w:val="20"/>
                <w:u w:val="thick"/>
              </w:rPr>
              <w:t>weekly</w:t>
            </w:r>
            <w:r w:rsidRPr="007366C3">
              <w:rPr>
                <w:rFonts w:asciiTheme="minorHAnsi" w:hAnsiTheme="minorHAnsi" w:cstheme="minorHAnsi"/>
                <w:spacing w:val="-9"/>
                <w:sz w:val="20"/>
                <w:szCs w:val="20"/>
                <w:u w:val="thick"/>
              </w:rPr>
              <w:t xml:space="preserve"> </w:t>
            </w:r>
            <w:r w:rsidRPr="007366C3">
              <w:rPr>
                <w:rFonts w:asciiTheme="minorHAnsi" w:hAnsiTheme="minorHAnsi" w:cstheme="minorHAnsi"/>
                <w:sz w:val="20"/>
                <w:szCs w:val="20"/>
              </w:rPr>
              <w:t>basis?</w:t>
            </w:r>
          </w:p>
          <w:p w:rsidR="004009E7" w:rsidRPr="007366C3" w:rsidP="004009E7" w14:paraId="4A9E822F" w14:textId="77777777">
            <w:pPr>
              <w:pStyle w:val="TableParagraph"/>
              <w:tabs>
                <w:tab w:val="left" w:pos="360"/>
              </w:tabs>
              <w:spacing w:line="240" w:lineRule="auto"/>
              <w:ind w:left="720" w:hanging="360"/>
              <w:rPr>
                <w:rFonts w:asciiTheme="minorHAnsi" w:hAnsiTheme="minorHAnsi" w:cstheme="minorHAnsi"/>
                <w:sz w:val="20"/>
                <w:szCs w:val="20"/>
              </w:rPr>
            </w:pPr>
            <w:r w:rsidRPr="007366C3">
              <w:rPr>
                <w:rFonts w:ascii="Wingdings" w:hAnsi="Wingdings"/>
                <w:sz w:val="20"/>
                <w:szCs w:val="20"/>
              </w:rPr>
              <w:t>q</w:t>
            </w:r>
            <w:r w:rsidRPr="007366C3">
              <w:rPr>
                <w:rFonts w:asciiTheme="minorHAnsi" w:hAnsiTheme="minorHAnsi" w:cstheme="minorHAnsi"/>
                <w:spacing w:val="79"/>
                <w:sz w:val="20"/>
                <w:szCs w:val="20"/>
              </w:rPr>
              <w:t xml:space="preserve"> </w:t>
            </w:r>
            <w:r w:rsidRPr="007366C3">
              <w:rPr>
                <w:rFonts w:asciiTheme="minorHAnsi" w:hAnsiTheme="minorHAnsi" w:cstheme="minorHAnsi"/>
                <w:sz w:val="20"/>
                <w:szCs w:val="20"/>
              </w:rPr>
              <w:t>&lt;100</w:t>
            </w:r>
          </w:p>
          <w:p w:rsidR="004009E7" w:rsidRPr="007366C3" w:rsidP="004009E7" w14:paraId="3DF52A9A" w14:textId="77777777">
            <w:pPr>
              <w:pStyle w:val="TableParagraph"/>
              <w:tabs>
                <w:tab w:val="left" w:pos="360"/>
              </w:tabs>
              <w:spacing w:line="240" w:lineRule="auto"/>
              <w:ind w:left="720" w:hanging="360"/>
              <w:rPr>
                <w:rFonts w:asciiTheme="minorHAnsi" w:hAnsiTheme="minorHAnsi" w:cstheme="minorHAnsi"/>
                <w:sz w:val="20"/>
                <w:szCs w:val="20"/>
              </w:rPr>
            </w:pPr>
            <w:r w:rsidRPr="007366C3">
              <w:rPr>
                <w:rFonts w:ascii="Wingdings" w:hAnsi="Wingdings" w:cstheme="minorHAnsi"/>
                <w:sz w:val="20"/>
                <w:szCs w:val="20"/>
              </w:rPr>
              <w:t>q</w:t>
            </w:r>
            <w:r w:rsidRPr="007366C3">
              <w:rPr>
                <w:rFonts w:asciiTheme="minorHAnsi" w:hAnsiTheme="minorHAnsi" w:cstheme="minorHAnsi"/>
                <w:spacing w:val="79"/>
                <w:sz w:val="20"/>
                <w:szCs w:val="20"/>
              </w:rPr>
              <w:t xml:space="preserve"> </w:t>
            </w:r>
            <w:r w:rsidRPr="007366C3">
              <w:rPr>
                <w:rFonts w:asciiTheme="minorHAnsi" w:hAnsiTheme="minorHAnsi" w:cstheme="minorHAnsi"/>
                <w:color w:val="FF0000"/>
                <w:sz w:val="20"/>
                <w:szCs w:val="20"/>
              </w:rPr>
              <w:t>100</w:t>
            </w:r>
            <w:r w:rsidRPr="007366C3">
              <w:rPr>
                <w:rFonts w:asciiTheme="minorHAnsi" w:hAnsiTheme="minorHAnsi" w:cstheme="minorHAnsi"/>
                <w:sz w:val="20"/>
                <w:szCs w:val="20"/>
              </w:rPr>
              <w:t>-500</w:t>
            </w:r>
          </w:p>
          <w:p w:rsidR="004009E7" w:rsidRPr="007366C3" w:rsidP="004009E7" w14:paraId="01703482" w14:textId="77777777">
            <w:pPr>
              <w:pStyle w:val="TableParagraph"/>
              <w:tabs>
                <w:tab w:val="left" w:pos="360"/>
              </w:tabs>
              <w:spacing w:line="240" w:lineRule="auto"/>
              <w:ind w:left="720" w:hanging="360"/>
              <w:rPr>
                <w:rFonts w:asciiTheme="minorHAnsi" w:hAnsiTheme="minorHAnsi" w:cstheme="minorHAnsi"/>
                <w:sz w:val="20"/>
                <w:szCs w:val="20"/>
              </w:rPr>
            </w:pPr>
            <w:r w:rsidRPr="007366C3">
              <w:rPr>
                <w:rFonts w:ascii="Wingdings" w:hAnsi="Wingdings"/>
                <w:sz w:val="20"/>
                <w:szCs w:val="20"/>
              </w:rPr>
              <w:t>q</w:t>
            </w:r>
            <w:r w:rsidRPr="007366C3">
              <w:rPr>
                <w:rFonts w:asciiTheme="minorHAnsi" w:hAnsiTheme="minorHAnsi" w:cstheme="minorHAnsi"/>
                <w:spacing w:val="75"/>
                <w:sz w:val="20"/>
                <w:szCs w:val="20"/>
              </w:rPr>
              <w:t xml:space="preserve"> </w:t>
            </w:r>
            <w:r w:rsidRPr="007366C3">
              <w:rPr>
                <w:rFonts w:asciiTheme="minorHAnsi" w:hAnsiTheme="minorHAnsi" w:cstheme="minorHAnsi"/>
                <w:sz w:val="20"/>
                <w:szCs w:val="20"/>
              </w:rPr>
              <w:t>501-1000</w:t>
            </w:r>
          </w:p>
          <w:p w:rsidR="004009E7" w:rsidRPr="007366C3" w:rsidP="004009E7" w14:paraId="489B1B8B" w14:textId="77777777">
            <w:pPr>
              <w:pStyle w:val="TableParagraph"/>
              <w:tabs>
                <w:tab w:val="left" w:pos="360"/>
              </w:tabs>
              <w:spacing w:line="240" w:lineRule="auto"/>
              <w:ind w:left="720" w:hanging="360"/>
              <w:rPr>
                <w:rFonts w:asciiTheme="minorHAnsi" w:hAnsiTheme="minorHAnsi" w:cstheme="minorHAnsi"/>
                <w:sz w:val="20"/>
                <w:szCs w:val="20"/>
              </w:rPr>
            </w:pPr>
            <w:r w:rsidRPr="007366C3">
              <w:rPr>
                <w:rFonts w:ascii="Wingdings" w:hAnsi="Wingdings"/>
                <w:sz w:val="20"/>
                <w:szCs w:val="20"/>
              </w:rPr>
              <w:t>q</w:t>
            </w:r>
            <w:r w:rsidRPr="007366C3">
              <w:rPr>
                <w:rFonts w:asciiTheme="minorHAnsi" w:hAnsiTheme="minorHAnsi" w:cstheme="minorHAnsi"/>
                <w:spacing w:val="78"/>
                <w:sz w:val="20"/>
                <w:szCs w:val="20"/>
              </w:rPr>
              <w:t xml:space="preserve"> </w:t>
            </w:r>
            <w:r w:rsidRPr="007366C3">
              <w:rPr>
                <w:rFonts w:asciiTheme="minorHAnsi" w:hAnsiTheme="minorHAnsi" w:cstheme="minorHAnsi"/>
                <w:sz w:val="20"/>
                <w:szCs w:val="20"/>
              </w:rPr>
              <w:t>&gt;1000</w:t>
            </w:r>
          </w:p>
          <w:p w:rsidR="004009E7" w:rsidRPr="007366C3" w:rsidP="00D5126E" w14:paraId="12C88A35" w14:textId="77777777">
            <w:pPr>
              <w:pStyle w:val="TableParagraph"/>
              <w:tabs>
                <w:tab w:val="left" w:pos="360"/>
              </w:tabs>
              <w:spacing w:line="240" w:lineRule="auto"/>
              <w:ind w:left="720" w:hanging="360"/>
              <w:rPr>
                <w:sz w:val="20"/>
                <w:szCs w:val="20"/>
              </w:rPr>
            </w:pPr>
          </w:p>
        </w:tc>
        <w:tc>
          <w:tcPr>
            <w:tcW w:w="1615" w:type="dxa"/>
            <w:vAlign w:val="center"/>
          </w:tcPr>
          <w:p w:rsidR="004009E7" w:rsidRPr="007366C3" w:rsidP="00D5126E" w14:paraId="68CF86B7" w14:textId="61A43262">
            <w:pPr>
              <w:pStyle w:val="TableParagraph"/>
              <w:tabs>
                <w:tab w:val="left" w:pos="360"/>
              </w:tabs>
              <w:spacing w:line="240" w:lineRule="auto"/>
              <w:ind w:left="40" w:firstLine="0"/>
              <w:rPr>
                <w:rFonts w:asciiTheme="minorHAnsi" w:hAnsiTheme="minorHAnsi" w:cstheme="minorHAnsi"/>
                <w:sz w:val="20"/>
                <w:szCs w:val="20"/>
              </w:rPr>
            </w:pPr>
            <w:r w:rsidRPr="007366C3">
              <w:rPr>
                <w:rFonts w:eastAsia="Times New Roman" w:cstheme="minorHAnsi"/>
                <w:color w:val="222222"/>
                <w:sz w:val="20"/>
                <w:szCs w:val="20"/>
              </w:rPr>
              <w:t>Renumber</w:t>
            </w:r>
            <w:r w:rsidRPr="007366C3" w:rsidR="00674EE4">
              <w:rPr>
                <w:rFonts w:eastAsia="Times New Roman" w:cstheme="minorHAnsi"/>
                <w:color w:val="222222"/>
                <w:sz w:val="20"/>
                <w:szCs w:val="20"/>
              </w:rPr>
              <w:t xml:space="preserve"> as </w:t>
            </w:r>
            <w:r w:rsidR="006F3FA5">
              <w:rPr>
                <w:rFonts w:eastAsia="Times New Roman" w:cstheme="minorHAnsi"/>
                <w:color w:val="222222"/>
                <w:sz w:val="20"/>
                <w:szCs w:val="20"/>
              </w:rPr>
              <w:t>5</w:t>
            </w:r>
            <w:r w:rsidRPr="007366C3">
              <w:rPr>
                <w:rFonts w:eastAsia="Times New Roman" w:cstheme="minorHAnsi"/>
                <w:color w:val="222222"/>
                <w:sz w:val="20"/>
                <w:szCs w:val="20"/>
              </w:rPr>
              <w:t xml:space="preserve">; specify </w:t>
            </w:r>
            <w:r w:rsidRPr="007366C3" w:rsidR="00BF058F">
              <w:rPr>
                <w:rFonts w:eastAsia="Times New Roman" w:cstheme="minorHAnsi"/>
                <w:color w:val="222222"/>
                <w:sz w:val="20"/>
                <w:szCs w:val="20"/>
              </w:rPr>
              <w:t xml:space="preserve">new </w:t>
            </w:r>
            <w:r w:rsidR="001F1359">
              <w:rPr>
                <w:rFonts w:eastAsia="Times New Roman" w:cstheme="minorHAnsi"/>
                <w:color w:val="222222"/>
                <w:sz w:val="20"/>
                <w:szCs w:val="20"/>
              </w:rPr>
              <w:t>Emergent</w:t>
            </w:r>
            <w:r w:rsidRPr="007366C3" w:rsidR="00BF058F">
              <w:rPr>
                <w:rFonts w:eastAsia="Times New Roman" w:cstheme="minorHAnsi"/>
                <w:color w:val="222222"/>
                <w:sz w:val="20"/>
                <w:szCs w:val="20"/>
              </w:rPr>
              <w:t xml:space="preserve"> Drug Panel (EDP)</w:t>
            </w:r>
            <w:r w:rsidRPr="007366C3">
              <w:rPr>
                <w:rFonts w:eastAsia="Times New Roman" w:cstheme="minorHAnsi"/>
                <w:color w:val="222222"/>
                <w:sz w:val="20"/>
                <w:szCs w:val="20"/>
              </w:rPr>
              <w:t xml:space="preserve"> types; correct typo from “101” to “100”</w:t>
            </w:r>
          </w:p>
        </w:tc>
      </w:tr>
      <w:tr w14:paraId="4E84A734" w14:textId="7C7017E8" w:rsidTr="00194B18">
        <w:tblPrEx>
          <w:tblW w:w="0" w:type="auto"/>
          <w:tblLayout w:type="fixed"/>
          <w:tblLook w:val="04A0"/>
        </w:tblPrEx>
        <w:tc>
          <w:tcPr>
            <w:tcW w:w="3325" w:type="dxa"/>
          </w:tcPr>
          <w:p w:rsidR="004009E7" w:rsidRPr="007366C3" w:rsidP="00D40333" w14:paraId="76399DEB" w14:textId="7EAE9A6D">
            <w:pPr>
              <w:pStyle w:val="TableParagraph"/>
              <w:numPr>
                <w:ilvl w:val="0"/>
                <w:numId w:val="9"/>
              </w:numPr>
              <w:tabs>
                <w:tab w:val="left" w:pos="360"/>
              </w:tabs>
              <w:spacing w:line="240" w:lineRule="auto"/>
              <w:ind w:left="337" w:hanging="360"/>
              <w:rPr>
                <w:rFonts w:asciiTheme="minorHAnsi" w:hAnsiTheme="minorHAnsi" w:cstheme="minorHAnsi"/>
                <w:sz w:val="20"/>
                <w:szCs w:val="20"/>
              </w:rPr>
            </w:pPr>
            <w:r w:rsidRPr="007366C3">
              <w:rPr>
                <w:rFonts w:asciiTheme="minorHAnsi" w:hAnsiTheme="minorHAnsi" w:cstheme="minorHAnsi"/>
                <w:sz w:val="20"/>
                <w:szCs w:val="20"/>
              </w:rPr>
              <w:t xml:space="preserve">Which of the following analytical techniques do you perform in </w:t>
            </w:r>
            <w:r w:rsidRPr="007366C3">
              <w:rPr>
                <w:rFonts w:asciiTheme="minorHAnsi" w:hAnsiTheme="minorHAnsi" w:cstheme="minorHAnsi"/>
                <w:spacing w:val="-50"/>
                <w:sz w:val="20"/>
                <w:szCs w:val="20"/>
              </w:rPr>
              <w:t xml:space="preserve">   </w:t>
            </w:r>
            <w:r w:rsidRPr="007366C3">
              <w:rPr>
                <w:rFonts w:asciiTheme="minorHAnsi" w:hAnsiTheme="minorHAnsi" w:cstheme="minorHAnsi"/>
                <w:sz w:val="20"/>
                <w:szCs w:val="20"/>
              </w:rPr>
              <w:t xml:space="preserve">your laboratory? </w:t>
            </w:r>
            <w:r w:rsidRPr="007366C3">
              <w:rPr>
                <w:rFonts w:asciiTheme="minorHAnsi" w:hAnsiTheme="minorHAnsi" w:cstheme="minorHAnsi"/>
                <w:i/>
                <w:sz w:val="20"/>
                <w:szCs w:val="20"/>
              </w:rPr>
              <w:t>(Select all that apply)</w:t>
            </w:r>
          </w:p>
          <w:p w:rsidR="004009E7" w:rsidRPr="007366C3" w:rsidP="00D40333" w14:paraId="1B6C27A0"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Immunoassay</w:t>
            </w:r>
          </w:p>
          <w:p w:rsidR="004009E7" w:rsidRPr="007366C3" w:rsidP="00D40333" w14:paraId="1F38E44B"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pacing w:val="-3"/>
                <w:sz w:val="20"/>
                <w:szCs w:val="20"/>
              </w:rPr>
              <w:t>Infrared</w:t>
            </w:r>
            <w:r w:rsidRPr="007366C3">
              <w:rPr>
                <w:rFonts w:asciiTheme="minorHAnsi" w:hAnsiTheme="minorHAnsi" w:cstheme="minorHAnsi"/>
                <w:spacing w:val="-15"/>
                <w:sz w:val="20"/>
                <w:szCs w:val="20"/>
              </w:rPr>
              <w:t xml:space="preserve"> </w:t>
            </w:r>
            <w:r w:rsidRPr="007366C3">
              <w:rPr>
                <w:rFonts w:asciiTheme="minorHAnsi" w:hAnsiTheme="minorHAnsi" w:cstheme="minorHAnsi"/>
                <w:sz w:val="20"/>
                <w:szCs w:val="20"/>
              </w:rPr>
              <w:t>Spectroscopy</w:t>
            </w:r>
          </w:p>
          <w:p w:rsidR="004009E7" w:rsidRPr="007366C3" w:rsidP="00D40333" w14:paraId="649AC971"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Mass</w:t>
            </w:r>
            <w:r w:rsidRPr="007366C3">
              <w:rPr>
                <w:rFonts w:asciiTheme="minorHAnsi" w:hAnsiTheme="minorHAnsi" w:cstheme="minorHAnsi"/>
                <w:spacing w:val="-22"/>
                <w:sz w:val="20"/>
                <w:szCs w:val="20"/>
              </w:rPr>
              <w:t xml:space="preserve"> </w:t>
            </w:r>
            <w:r w:rsidRPr="007366C3">
              <w:rPr>
                <w:rFonts w:asciiTheme="minorHAnsi" w:hAnsiTheme="minorHAnsi" w:cstheme="minorHAnsi"/>
                <w:sz w:val="20"/>
                <w:szCs w:val="20"/>
              </w:rPr>
              <w:t>Spectrometry</w:t>
            </w:r>
          </w:p>
          <w:p w:rsidR="004009E7" w:rsidRPr="007366C3" w:rsidP="00D40333" w14:paraId="212ED6BC" w14:textId="77777777">
            <w:pPr>
              <w:pStyle w:val="TableParagraph"/>
              <w:numPr>
                <w:ilvl w:val="1"/>
                <w:numId w:val="4"/>
              </w:numPr>
              <w:tabs>
                <w:tab w:val="left" w:pos="720"/>
              </w:tabs>
              <w:spacing w:line="240" w:lineRule="auto"/>
              <w:ind w:left="700" w:hanging="340"/>
              <w:rPr>
                <w:rFonts w:asciiTheme="minorHAnsi" w:hAnsiTheme="minorHAnsi" w:cstheme="minorHAnsi"/>
                <w:sz w:val="20"/>
                <w:szCs w:val="20"/>
              </w:rPr>
            </w:pPr>
            <w:r w:rsidRPr="007366C3">
              <w:rPr>
                <w:rFonts w:asciiTheme="minorHAnsi" w:hAnsiTheme="minorHAnsi" w:cstheme="minorHAnsi"/>
                <w:sz w:val="20"/>
                <w:szCs w:val="20"/>
              </w:rPr>
              <w:t>Nuclear Magnetic Resonance</w:t>
            </w:r>
            <w:r w:rsidRPr="007366C3">
              <w:rPr>
                <w:rFonts w:asciiTheme="minorHAnsi" w:hAnsiTheme="minorHAnsi" w:cstheme="minorHAnsi"/>
                <w:spacing w:val="-42"/>
                <w:sz w:val="20"/>
                <w:szCs w:val="20"/>
              </w:rPr>
              <w:t xml:space="preserve"> </w:t>
            </w:r>
            <w:r w:rsidRPr="007366C3">
              <w:rPr>
                <w:rFonts w:asciiTheme="minorHAnsi" w:hAnsiTheme="minorHAnsi" w:cstheme="minorHAnsi"/>
                <w:sz w:val="20"/>
                <w:szCs w:val="20"/>
              </w:rPr>
              <w:t>Spectroscopy</w:t>
            </w:r>
          </w:p>
          <w:p w:rsidR="004009E7" w:rsidRPr="007366C3" w:rsidP="00D40333" w14:paraId="1CF0A63E"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Raman</w:t>
            </w:r>
            <w:r w:rsidRPr="007366C3">
              <w:rPr>
                <w:rFonts w:asciiTheme="minorHAnsi" w:hAnsiTheme="minorHAnsi" w:cstheme="minorHAnsi"/>
                <w:spacing w:val="-26"/>
                <w:sz w:val="20"/>
                <w:szCs w:val="20"/>
              </w:rPr>
              <w:t xml:space="preserve"> </w:t>
            </w:r>
            <w:r w:rsidRPr="007366C3">
              <w:rPr>
                <w:rFonts w:asciiTheme="minorHAnsi" w:hAnsiTheme="minorHAnsi" w:cstheme="minorHAnsi"/>
                <w:sz w:val="20"/>
                <w:szCs w:val="20"/>
              </w:rPr>
              <w:t>Spectroscopy</w:t>
            </w:r>
          </w:p>
          <w:p w:rsidR="004009E7" w:rsidRPr="007366C3" w:rsidP="00D40333" w14:paraId="572657FD"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pacing w:val="-3"/>
                <w:sz w:val="20"/>
                <w:szCs w:val="20"/>
              </w:rPr>
              <w:t>X-ray</w:t>
            </w:r>
            <w:r w:rsidRPr="007366C3">
              <w:rPr>
                <w:rFonts w:asciiTheme="minorHAnsi" w:hAnsiTheme="minorHAnsi" w:cstheme="minorHAnsi"/>
                <w:spacing w:val="-15"/>
                <w:sz w:val="20"/>
                <w:szCs w:val="20"/>
              </w:rPr>
              <w:t xml:space="preserve"> </w:t>
            </w:r>
            <w:r w:rsidRPr="007366C3">
              <w:rPr>
                <w:rFonts w:asciiTheme="minorHAnsi" w:hAnsiTheme="minorHAnsi" w:cstheme="minorHAnsi"/>
                <w:sz w:val="20"/>
                <w:szCs w:val="20"/>
              </w:rPr>
              <w:t>Diffraction</w:t>
            </w:r>
          </w:p>
          <w:p w:rsidR="004009E7" w:rsidRPr="007366C3" w:rsidP="00D40333" w14:paraId="750A58FA" w14:textId="77777777">
            <w:pPr>
              <w:pStyle w:val="TableParagraph"/>
              <w:numPr>
                <w:ilvl w:val="1"/>
                <w:numId w:val="4"/>
              </w:numPr>
              <w:tabs>
                <w:tab w:val="left" w:pos="720"/>
              </w:tabs>
              <w:spacing w:line="240" w:lineRule="auto"/>
              <w:ind w:left="700" w:hanging="1725"/>
              <w:rPr>
                <w:rFonts w:asciiTheme="minorHAnsi" w:hAnsiTheme="minorHAnsi" w:cstheme="minorHAnsi"/>
                <w:sz w:val="20"/>
                <w:szCs w:val="20"/>
              </w:rPr>
            </w:pPr>
            <w:r w:rsidRPr="007366C3">
              <w:rPr>
                <w:rFonts w:asciiTheme="minorHAnsi" w:hAnsiTheme="minorHAnsi" w:cstheme="minorHAnsi"/>
                <w:sz w:val="20"/>
                <w:szCs w:val="20"/>
              </w:rPr>
              <w:t>Chromatographic</w:t>
            </w:r>
            <w:r w:rsidRPr="007366C3">
              <w:rPr>
                <w:rFonts w:asciiTheme="minorHAnsi" w:hAnsiTheme="minorHAnsi" w:cstheme="minorHAnsi"/>
                <w:spacing w:val="-45"/>
                <w:sz w:val="20"/>
                <w:szCs w:val="20"/>
              </w:rPr>
              <w:t xml:space="preserve"> </w:t>
            </w:r>
            <w:r w:rsidRPr="007366C3">
              <w:rPr>
                <w:rFonts w:asciiTheme="minorHAnsi" w:hAnsiTheme="minorHAnsi" w:cstheme="minorHAnsi"/>
                <w:sz w:val="20"/>
                <w:szCs w:val="20"/>
              </w:rPr>
              <w:t>Separation</w:t>
            </w:r>
          </w:p>
          <w:p w:rsidR="004009E7" w:rsidRPr="007366C3" w:rsidP="00D40333" w14:paraId="29046762"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pacing w:val="-4"/>
                <w:sz w:val="20"/>
                <w:szCs w:val="20"/>
              </w:rPr>
              <w:t>UV/Vis</w:t>
            </w:r>
          </w:p>
          <w:p w:rsidR="004009E7" w:rsidRPr="007366C3" w:rsidP="00D40333" w14:paraId="28FED81F" w14:textId="625AD47E">
            <w:pPr>
              <w:pStyle w:val="TableParagraph"/>
              <w:numPr>
                <w:ilvl w:val="1"/>
                <w:numId w:val="4"/>
              </w:numPr>
              <w:tabs>
                <w:tab w:val="left" w:pos="720"/>
                <w:tab w:val="left" w:pos="10912"/>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Other</w:t>
            </w:r>
            <w:r w:rsidRPr="007366C3">
              <w:rPr>
                <w:rFonts w:asciiTheme="minorHAnsi" w:hAnsiTheme="minorHAnsi" w:cstheme="minorHAnsi"/>
                <w:i/>
                <w:iCs/>
                <w:sz w:val="20"/>
                <w:szCs w:val="20"/>
              </w:rPr>
              <w:t xml:space="preserve"> (please</w:t>
            </w:r>
            <w:r w:rsidRPr="007366C3">
              <w:rPr>
                <w:rFonts w:asciiTheme="minorHAnsi" w:hAnsiTheme="minorHAnsi" w:cstheme="minorHAnsi"/>
                <w:i/>
                <w:iCs/>
                <w:spacing w:val="-6"/>
                <w:sz w:val="20"/>
                <w:szCs w:val="20"/>
              </w:rPr>
              <w:t xml:space="preserve"> </w:t>
            </w:r>
            <w:r w:rsidRPr="007366C3">
              <w:rPr>
                <w:rFonts w:asciiTheme="minorHAnsi" w:hAnsiTheme="minorHAnsi" w:cstheme="minorHAnsi"/>
                <w:i/>
                <w:iCs/>
                <w:sz w:val="20"/>
                <w:szCs w:val="20"/>
              </w:rPr>
              <w:t xml:space="preserve">specify) </w:t>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t>__________________</w:t>
            </w:r>
          </w:p>
          <w:p w:rsidR="004009E7" w:rsidRPr="007366C3" w:rsidP="004009E7" w14:paraId="3FEC8D56" w14:textId="77777777">
            <w:pPr>
              <w:rPr>
                <w:sz w:val="20"/>
                <w:szCs w:val="20"/>
              </w:rPr>
            </w:pPr>
          </w:p>
        </w:tc>
        <w:tc>
          <w:tcPr>
            <w:tcW w:w="4410" w:type="dxa"/>
          </w:tcPr>
          <w:p w:rsidR="004009E7" w:rsidRPr="007366C3" w:rsidP="00D40333" w14:paraId="6BD6EFB9" w14:textId="35350810">
            <w:pPr>
              <w:pStyle w:val="TableParagraph"/>
              <w:numPr>
                <w:ilvl w:val="0"/>
                <w:numId w:val="5"/>
              </w:numPr>
              <w:tabs>
                <w:tab w:val="left" w:pos="360"/>
              </w:tabs>
              <w:spacing w:line="240" w:lineRule="auto"/>
              <w:ind w:left="256"/>
              <w:rPr>
                <w:rFonts w:asciiTheme="minorHAnsi" w:hAnsiTheme="minorHAnsi" w:cstheme="minorHAnsi"/>
                <w:sz w:val="20"/>
                <w:szCs w:val="20"/>
              </w:rPr>
            </w:pPr>
            <w:r w:rsidRPr="007366C3">
              <w:rPr>
                <w:rFonts w:asciiTheme="minorHAnsi" w:hAnsiTheme="minorHAnsi" w:cstheme="minorHAnsi"/>
                <w:sz w:val="20"/>
                <w:szCs w:val="20"/>
              </w:rPr>
              <w:t xml:space="preserve">Which of the following analytical techniques do you perform in </w:t>
            </w:r>
            <w:r w:rsidRPr="007366C3">
              <w:rPr>
                <w:rFonts w:asciiTheme="minorHAnsi" w:hAnsiTheme="minorHAnsi" w:cstheme="minorHAnsi"/>
                <w:spacing w:val="-50"/>
                <w:sz w:val="20"/>
                <w:szCs w:val="20"/>
              </w:rPr>
              <w:t xml:space="preserve">   </w:t>
            </w:r>
            <w:r w:rsidRPr="007366C3">
              <w:rPr>
                <w:rFonts w:asciiTheme="minorHAnsi" w:hAnsiTheme="minorHAnsi" w:cstheme="minorHAnsi"/>
                <w:sz w:val="20"/>
                <w:szCs w:val="20"/>
              </w:rPr>
              <w:t xml:space="preserve">your laboratory? </w:t>
            </w:r>
            <w:r w:rsidRPr="007366C3">
              <w:rPr>
                <w:rFonts w:asciiTheme="minorHAnsi" w:hAnsiTheme="minorHAnsi" w:cstheme="minorHAnsi"/>
                <w:i/>
                <w:sz w:val="20"/>
                <w:szCs w:val="20"/>
              </w:rPr>
              <w:t>(Select all that apply)</w:t>
            </w:r>
          </w:p>
          <w:p w:rsidR="004009E7" w:rsidRPr="007366C3" w:rsidP="00D40333" w14:paraId="2FB785F8"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Immunoassay</w:t>
            </w:r>
          </w:p>
          <w:p w:rsidR="004009E7" w:rsidRPr="007366C3" w:rsidP="00D40333" w14:paraId="2E9B3504"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pacing w:val="-3"/>
                <w:sz w:val="20"/>
                <w:szCs w:val="20"/>
              </w:rPr>
              <w:t>Infrared</w:t>
            </w:r>
            <w:r w:rsidRPr="007366C3">
              <w:rPr>
                <w:rFonts w:asciiTheme="minorHAnsi" w:hAnsiTheme="minorHAnsi" w:cstheme="minorHAnsi"/>
                <w:spacing w:val="-15"/>
                <w:sz w:val="20"/>
                <w:szCs w:val="20"/>
              </w:rPr>
              <w:t xml:space="preserve"> </w:t>
            </w:r>
            <w:r w:rsidRPr="007366C3">
              <w:rPr>
                <w:rFonts w:asciiTheme="minorHAnsi" w:hAnsiTheme="minorHAnsi" w:cstheme="minorHAnsi"/>
                <w:sz w:val="20"/>
                <w:szCs w:val="20"/>
              </w:rPr>
              <w:t>Spectroscopy</w:t>
            </w:r>
          </w:p>
          <w:p w:rsidR="004009E7" w:rsidRPr="007366C3" w:rsidP="00D40333" w14:paraId="134D9D98"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Mass</w:t>
            </w:r>
            <w:r w:rsidRPr="007366C3">
              <w:rPr>
                <w:rFonts w:asciiTheme="minorHAnsi" w:hAnsiTheme="minorHAnsi" w:cstheme="minorHAnsi"/>
                <w:spacing w:val="-22"/>
                <w:sz w:val="20"/>
                <w:szCs w:val="20"/>
              </w:rPr>
              <w:t xml:space="preserve"> </w:t>
            </w:r>
            <w:r w:rsidRPr="007366C3">
              <w:rPr>
                <w:rFonts w:asciiTheme="minorHAnsi" w:hAnsiTheme="minorHAnsi" w:cstheme="minorHAnsi"/>
                <w:sz w:val="20"/>
                <w:szCs w:val="20"/>
              </w:rPr>
              <w:t>Spectrometry</w:t>
            </w:r>
          </w:p>
          <w:p w:rsidR="004009E7" w:rsidRPr="007366C3" w:rsidP="00D40333" w14:paraId="23A37A1B" w14:textId="77777777">
            <w:pPr>
              <w:pStyle w:val="TableParagraph"/>
              <w:numPr>
                <w:ilvl w:val="1"/>
                <w:numId w:val="4"/>
              </w:numPr>
              <w:tabs>
                <w:tab w:val="left" w:pos="720"/>
              </w:tabs>
              <w:spacing w:line="240" w:lineRule="auto"/>
              <w:ind w:left="730" w:hanging="1725"/>
              <w:rPr>
                <w:rFonts w:asciiTheme="minorHAnsi" w:hAnsiTheme="minorHAnsi" w:cstheme="minorHAnsi"/>
                <w:sz w:val="20"/>
                <w:szCs w:val="20"/>
              </w:rPr>
            </w:pPr>
            <w:r w:rsidRPr="007366C3">
              <w:rPr>
                <w:rFonts w:asciiTheme="minorHAnsi" w:hAnsiTheme="minorHAnsi" w:cstheme="minorHAnsi"/>
                <w:sz w:val="20"/>
                <w:szCs w:val="20"/>
              </w:rPr>
              <w:t>Nuclear Magnetic Resonance</w:t>
            </w:r>
            <w:r w:rsidRPr="007366C3">
              <w:rPr>
                <w:rFonts w:asciiTheme="minorHAnsi" w:hAnsiTheme="minorHAnsi" w:cstheme="minorHAnsi"/>
                <w:spacing w:val="-42"/>
                <w:sz w:val="20"/>
                <w:szCs w:val="20"/>
              </w:rPr>
              <w:t xml:space="preserve"> </w:t>
            </w:r>
            <w:r w:rsidRPr="007366C3">
              <w:rPr>
                <w:rFonts w:asciiTheme="minorHAnsi" w:hAnsiTheme="minorHAnsi" w:cstheme="minorHAnsi"/>
                <w:sz w:val="20"/>
                <w:szCs w:val="20"/>
              </w:rPr>
              <w:t>Spectroscopy</w:t>
            </w:r>
          </w:p>
          <w:p w:rsidR="004009E7" w:rsidRPr="007366C3" w:rsidP="00D40333" w14:paraId="519025E4"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z w:val="20"/>
                <w:szCs w:val="20"/>
              </w:rPr>
              <w:t>Raman</w:t>
            </w:r>
            <w:r w:rsidRPr="007366C3">
              <w:rPr>
                <w:rFonts w:asciiTheme="minorHAnsi" w:hAnsiTheme="minorHAnsi" w:cstheme="minorHAnsi"/>
                <w:spacing w:val="-26"/>
                <w:sz w:val="20"/>
                <w:szCs w:val="20"/>
              </w:rPr>
              <w:t xml:space="preserve"> </w:t>
            </w:r>
            <w:r w:rsidRPr="007366C3">
              <w:rPr>
                <w:rFonts w:asciiTheme="minorHAnsi" w:hAnsiTheme="minorHAnsi" w:cstheme="minorHAnsi"/>
                <w:sz w:val="20"/>
                <w:szCs w:val="20"/>
              </w:rPr>
              <w:t>Spectroscopy</w:t>
            </w:r>
          </w:p>
          <w:p w:rsidR="004009E7" w:rsidRPr="007366C3" w:rsidP="00D40333" w14:paraId="220A6BA1"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pacing w:val="-3"/>
                <w:sz w:val="20"/>
                <w:szCs w:val="20"/>
              </w:rPr>
              <w:t>X-ray</w:t>
            </w:r>
            <w:r w:rsidRPr="007366C3">
              <w:rPr>
                <w:rFonts w:asciiTheme="minorHAnsi" w:hAnsiTheme="minorHAnsi" w:cstheme="minorHAnsi"/>
                <w:spacing w:val="-15"/>
                <w:sz w:val="20"/>
                <w:szCs w:val="20"/>
              </w:rPr>
              <w:t xml:space="preserve"> </w:t>
            </w:r>
            <w:r w:rsidRPr="007366C3">
              <w:rPr>
                <w:rFonts w:asciiTheme="minorHAnsi" w:hAnsiTheme="minorHAnsi" w:cstheme="minorHAnsi"/>
                <w:sz w:val="20"/>
                <w:szCs w:val="20"/>
              </w:rPr>
              <w:t>Diffraction</w:t>
            </w:r>
          </w:p>
          <w:p w:rsidR="004009E7" w:rsidRPr="007366C3" w:rsidP="00D40333" w14:paraId="04CFC420" w14:textId="77777777">
            <w:pPr>
              <w:pStyle w:val="TableParagraph"/>
              <w:numPr>
                <w:ilvl w:val="1"/>
                <w:numId w:val="4"/>
              </w:numPr>
              <w:tabs>
                <w:tab w:val="left" w:pos="720"/>
              </w:tabs>
              <w:spacing w:line="240" w:lineRule="auto"/>
              <w:ind w:left="730" w:hanging="1725"/>
              <w:rPr>
                <w:rFonts w:asciiTheme="minorHAnsi" w:hAnsiTheme="minorHAnsi" w:cstheme="minorHAnsi"/>
                <w:sz w:val="20"/>
                <w:szCs w:val="20"/>
              </w:rPr>
            </w:pPr>
            <w:r w:rsidRPr="007366C3">
              <w:rPr>
                <w:rFonts w:asciiTheme="minorHAnsi" w:hAnsiTheme="minorHAnsi" w:cstheme="minorHAnsi"/>
                <w:sz w:val="20"/>
                <w:szCs w:val="20"/>
              </w:rPr>
              <w:t>Chromatographic</w:t>
            </w:r>
            <w:r w:rsidRPr="007366C3">
              <w:rPr>
                <w:rFonts w:asciiTheme="minorHAnsi" w:hAnsiTheme="minorHAnsi"/>
                <w:sz w:val="20"/>
                <w:szCs w:val="20"/>
              </w:rPr>
              <w:t xml:space="preserve"> </w:t>
            </w:r>
            <w:r w:rsidRPr="007366C3">
              <w:rPr>
                <w:rFonts w:asciiTheme="minorHAnsi" w:hAnsiTheme="minorHAnsi" w:cstheme="minorHAnsi"/>
                <w:sz w:val="20"/>
                <w:szCs w:val="20"/>
              </w:rPr>
              <w:t>Separation</w:t>
            </w:r>
          </w:p>
          <w:p w:rsidR="004009E7" w:rsidRPr="007366C3" w:rsidP="00D40333" w14:paraId="31A3C1CA" w14:textId="77777777">
            <w:pPr>
              <w:pStyle w:val="TableParagraph"/>
              <w:numPr>
                <w:ilvl w:val="1"/>
                <w:numId w:val="4"/>
              </w:numPr>
              <w:tabs>
                <w:tab w:val="left" w:pos="720"/>
              </w:tabs>
              <w:spacing w:line="240" w:lineRule="auto"/>
              <w:ind w:left="2085" w:hanging="1725"/>
              <w:rPr>
                <w:rFonts w:asciiTheme="minorHAnsi" w:hAnsiTheme="minorHAnsi" w:cstheme="minorHAnsi"/>
                <w:sz w:val="20"/>
                <w:szCs w:val="20"/>
              </w:rPr>
            </w:pPr>
            <w:r w:rsidRPr="007366C3">
              <w:rPr>
                <w:rFonts w:asciiTheme="minorHAnsi" w:hAnsiTheme="minorHAnsi" w:cstheme="minorHAnsi"/>
                <w:spacing w:val="-4"/>
                <w:sz w:val="20"/>
                <w:szCs w:val="20"/>
              </w:rPr>
              <w:t>UV/Vis</w:t>
            </w:r>
          </w:p>
          <w:p w:rsidR="004009E7" w:rsidRPr="007366C3" w:rsidP="00D40333" w14:paraId="724E24C4" w14:textId="5196E06E">
            <w:pPr>
              <w:pStyle w:val="TableParagraph"/>
              <w:numPr>
                <w:ilvl w:val="1"/>
                <w:numId w:val="4"/>
              </w:numPr>
              <w:tabs>
                <w:tab w:val="left" w:pos="720"/>
                <w:tab w:val="left" w:pos="10912"/>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Other</w:t>
            </w:r>
            <w:r w:rsidRPr="007366C3">
              <w:rPr>
                <w:rFonts w:asciiTheme="minorHAnsi" w:hAnsiTheme="minorHAnsi" w:cstheme="minorHAnsi"/>
                <w:i/>
                <w:iCs/>
                <w:sz w:val="20"/>
                <w:szCs w:val="20"/>
              </w:rPr>
              <w:t xml:space="preserve"> (please</w:t>
            </w:r>
            <w:r w:rsidRPr="007366C3">
              <w:rPr>
                <w:rFonts w:asciiTheme="minorHAnsi" w:hAnsiTheme="minorHAnsi" w:cstheme="minorHAnsi"/>
                <w:i/>
                <w:iCs/>
                <w:spacing w:val="-6"/>
                <w:sz w:val="20"/>
                <w:szCs w:val="20"/>
              </w:rPr>
              <w:t xml:space="preserve"> </w:t>
            </w:r>
            <w:r w:rsidRPr="007366C3">
              <w:rPr>
                <w:rFonts w:asciiTheme="minorHAnsi" w:hAnsiTheme="minorHAnsi" w:cstheme="minorHAnsi"/>
                <w:i/>
                <w:iCs/>
                <w:sz w:val="20"/>
                <w:szCs w:val="20"/>
              </w:rPr>
              <w:t xml:space="preserve">specify) </w:t>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t>__________________</w:t>
            </w:r>
          </w:p>
          <w:p w:rsidR="004009E7" w:rsidRPr="007366C3" w:rsidP="00D5126E" w14:paraId="70F6FE3F" w14:textId="77777777">
            <w:pPr>
              <w:pStyle w:val="TableParagraph"/>
              <w:tabs>
                <w:tab w:val="left" w:pos="360"/>
              </w:tabs>
              <w:spacing w:line="240" w:lineRule="auto"/>
              <w:ind w:left="720" w:hanging="360"/>
              <w:rPr>
                <w:sz w:val="20"/>
                <w:szCs w:val="20"/>
              </w:rPr>
            </w:pPr>
          </w:p>
        </w:tc>
        <w:tc>
          <w:tcPr>
            <w:tcW w:w="1615" w:type="dxa"/>
            <w:vAlign w:val="center"/>
          </w:tcPr>
          <w:p w:rsidR="004009E7" w:rsidRPr="007366C3" w:rsidP="00D5126E" w14:paraId="73522207" w14:textId="1487B3A5">
            <w:pPr>
              <w:pStyle w:val="TableParagraph"/>
              <w:tabs>
                <w:tab w:val="left" w:pos="360"/>
              </w:tabs>
              <w:spacing w:line="240" w:lineRule="auto"/>
              <w:ind w:left="40" w:firstLine="0"/>
              <w:rPr>
                <w:rFonts w:asciiTheme="minorHAnsi" w:hAnsiTheme="minorHAnsi" w:cstheme="minorHAnsi"/>
                <w:sz w:val="20"/>
                <w:szCs w:val="20"/>
              </w:rPr>
            </w:pPr>
            <w:r w:rsidRPr="007366C3">
              <w:rPr>
                <w:rFonts w:eastAsia="Times New Roman" w:cstheme="minorHAnsi"/>
                <w:color w:val="222222"/>
                <w:sz w:val="20"/>
                <w:szCs w:val="20"/>
              </w:rPr>
              <w:t>Renumber</w:t>
            </w:r>
            <w:r w:rsidRPr="007366C3" w:rsidR="00674EE4">
              <w:rPr>
                <w:rFonts w:eastAsia="Times New Roman" w:cstheme="minorHAnsi"/>
                <w:color w:val="222222"/>
                <w:sz w:val="20"/>
                <w:szCs w:val="20"/>
              </w:rPr>
              <w:t xml:space="preserve"> as </w:t>
            </w:r>
            <w:r w:rsidR="006F3FA5">
              <w:rPr>
                <w:rFonts w:eastAsia="Times New Roman" w:cstheme="minorHAnsi"/>
                <w:color w:val="222222"/>
                <w:sz w:val="20"/>
                <w:szCs w:val="20"/>
              </w:rPr>
              <w:t>6</w:t>
            </w:r>
            <w:r w:rsidRPr="007366C3">
              <w:rPr>
                <w:rFonts w:eastAsia="Times New Roman" w:cstheme="minorHAnsi"/>
                <w:color w:val="222222"/>
                <w:sz w:val="20"/>
                <w:szCs w:val="20"/>
              </w:rPr>
              <w:t>; no change to text</w:t>
            </w:r>
          </w:p>
        </w:tc>
      </w:tr>
      <w:tr w14:paraId="3CD1FF74" w14:textId="30F06566" w:rsidTr="00194B18">
        <w:tblPrEx>
          <w:tblW w:w="0" w:type="auto"/>
          <w:tblLayout w:type="fixed"/>
          <w:tblLook w:val="04A0"/>
        </w:tblPrEx>
        <w:tc>
          <w:tcPr>
            <w:tcW w:w="3325" w:type="dxa"/>
          </w:tcPr>
          <w:p w:rsidR="004009E7" w:rsidRPr="007366C3" w:rsidP="00D40333" w14:paraId="56571D42" w14:textId="77777777">
            <w:pPr>
              <w:pStyle w:val="TableParagraph"/>
              <w:numPr>
                <w:ilvl w:val="0"/>
                <w:numId w:val="10"/>
              </w:numPr>
              <w:tabs>
                <w:tab w:val="left" w:pos="360"/>
              </w:tabs>
              <w:spacing w:line="240" w:lineRule="auto"/>
              <w:ind w:left="337" w:hanging="360"/>
              <w:rPr>
                <w:rFonts w:asciiTheme="minorHAnsi" w:hAnsiTheme="minorHAnsi" w:cstheme="minorHAnsi"/>
                <w:i/>
                <w:sz w:val="20"/>
                <w:szCs w:val="20"/>
              </w:rPr>
            </w:pPr>
            <w:r w:rsidRPr="007366C3">
              <w:rPr>
                <w:rFonts w:asciiTheme="minorHAnsi" w:hAnsiTheme="minorHAnsi" w:cstheme="minorHAnsi"/>
                <w:sz w:val="20"/>
                <w:szCs w:val="20"/>
              </w:rPr>
              <w:t xml:space="preserve">Which </w:t>
            </w:r>
            <w:r w:rsidRPr="007366C3">
              <w:rPr>
                <w:rFonts w:asciiTheme="minorHAnsi" w:hAnsiTheme="minorHAnsi" w:cstheme="minorHAnsi"/>
                <w:color w:val="FF0000"/>
                <w:sz w:val="20"/>
                <w:szCs w:val="20"/>
              </w:rPr>
              <w:t>matrix type</w:t>
            </w:r>
            <w:r w:rsidRPr="007366C3">
              <w:rPr>
                <w:rFonts w:asciiTheme="minorHAnsi" w:hAnsiTheme="minorHAnsi" w:cstheme="minorHAnsi"/>
                <w:sz w:val="20"/>
                <w:szCs w:val="20"/>
              </w:rPr>
              <w:t xml:space="preserve"> does your laboratory analyze? </w:t>
            </w:r>
            <w:r w:rsidRPr="007366C3">
              <w:rPr>
                <w:rFonts w:asciiTheme="minorHAnsi" w:hAnsiTheme="minorHAnsi" w:cstheme="minorHAnsi"/>
                <w:i/>
                <w:sz w:val="20"/>
                <w:szCs w:val="20"/>
              </w:rPr>
              <w:t xml:space="preserve">(Select all that </w:t>
            </w:r>
            <w:r w:rsidRPr="007366C3">
              <w:rPr>
                <w:rFonts w:asciiTheme="minorHAnsi" w:hAnsiTheme="minorHAnsi" w:cstheme="minorHAnsi"/>
                <w:i/>
                <w:spacing w:val="-49"/>
                <w:sz w:val="20"/>
                <w:szCs w:val="20"/>
              </w:rPr>
              <w:t xml:space="preserve"> </w:t>
            </w:r>
            <w:r w:rsidRPr="007366C3">
              <w:rPr>
                <w:rFonts w:asciiTheme="minorHAnsi" w:hAnsiTheme="minorHAnsi" w:cstheme="minorHAnsi"/>
                <w:i/>
                <w:sz w:val="20"/>
                <w:szCs w:val="20"/>
              </w:rPr>
              <w:t>apply)</w:t>
            </w:r>
          </w:p>
          <w:p w:rsidR="004009E7" w:rsidRPr="007366C3" w:rsidP="00D40333" w14:paraId="670A50A1" w14:textId="77777777">
            <w:pPr>
              <w:pStyle w:val="TableParagraph"/>
              <w:numPr>
                <w:ilvl w:val="1"/>
                <w:numId w:val="4"/>
              </w:numPr>
              <w:tabs>
                <w:tab w:val="left" w:pos="720"/>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Blood</w:t>
            </w:r>
          </w:p>
          <w:p w:rsidR="004009E7" w:rsidRPr="007366C3" w:rsidP="00D40333" w14:paraId="11C420A9" w14:textId="77777777">
            <w:pPr>
              <w:pStyle w:val="TableParagraph"/>
              <w:numPr>
                <w:ilvl w:val="1"/>
                <w:numId w:val="4"/>
              </w:numPr>
              <w:tabs>
                <w:tab w:val="left" w:pos="720"/>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Urine</w:t>
            </w:r>
          </w:p>
          <w:p w:rsidR="004009E7" w:rsidRPr="007366C3" w:rsidP="00D40333" w14:paraId="2C25A3A6" w14:textId="242CC310">
            <w:pPr>
              <w:pStyle w:val="TableParagraph"/>
              <w:numPr>
                <w:ilvl w:val="1"/>
                <w:numId w:val="4"/>
              </w:numPr>
              <w:tabs>
                <w:tab w:val="left" w:pos="720"/>
                <w:tab w:val="left" w:pos="10912"/>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Other (please</w:t>
            </w:r>
            <w:r w:rsidRPr="007366C3">
              <w:rPr>
                <w:rFonts w:asciiTheme="minorHAnsi" w:hAnsiTheme="minorHAnsi" w:cstheme="minorHAnsi"/>
                <w:spacing w:val="-6"/>
                <w:sz w:val="20"/>
                <w:szCs w:val="20"/>
              </w:rPr>
              <w:t xml:space="preserve"> </w:t>
            </w:r>
            <w:r w:rsidRPr="007366C3">
              <w:rPr>
                <w:rFonts w:asciiTheme="minorHAnsi" w:hAnsiTheme="minorHAnsi" w:cstheme="minorHAnsi"/>
                <w:sz w:val="20"/>
                <w:szCs w:val="20"/>
              </w:rPr>
              <w:t>specify)</w:t>
            </w:r>
            <w:r w:rsidRPr="007366C3">
              <w:rPr>
                <w:rFonts w:asciiTheme="minorHAnsi" w:hAnsiTheme="minorHAnsi" w:cstheme="minorHAnsi"/>
                <w:spacing w:val="-2"/>
                <w:sz w:val="20"/>
                <w:szCs w:val="20"/>
              </w:rPr>
              <w:t xml:space="preserve"> </w:t>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t>__________________</w:t>
            </w:r>
          </w:p>
          <w:p w:rsidR="004009E7" w:rsidRPr="007366C3" w:rsidP="00C17029" w14:paraId="321077FC" w14:textId="70C1349A">
            <w:pPr>
              <w:rPr>
                <w:sz w:val="20"/>
                <w:szCs w:val="20"/>
              </w:rPr>
            </w:pPr>
          </w:p>
        </w:tc>
        <w:tc>
          <w:tcPr>
            <w:tcW w:w="4410" w:type="dxa"/>
          </w:tcPr>
          <w:p w:rsidR="004009E7" w:rsidRPr="007366C3" w:rsidP="00D40333" w14:paraId="7B6476E2" w14:textId="3529F8F1">
            <w:pPr>
              <w:pStyle w:val="TableParagraph"/>
              <w:numPr>
                <w:ilvl w:val="0"/>
                <w:numId w:val="5"/>
              </w:numPr>
              <w:tabs>
                <w:tab w:val="left" w:pos="360"/>
              </w:tabs>
              <w:spacing w:line="240" w:lineRule="auto"/>
              <w:ind w:left="256"/>
              <w:rPr>
                <w:rFonts w:asciiTheme="minorHAnsi" w:hAnsiTheme="minorHAnsi" w:cstheme="minorHAnsi"/>
                <w:i/>
                <w:sz w:val="20"/>
                <w:szCs w:val="20"/>
              </w:rPr>
            </w:pPr>
            <w:r w:rsidRPr="007366C3">
              <w:rPr>
                <w:rFonts w:asciiTheme="minorHAnsi" w:hAnsiTheme="minorHAnsi" w:cstheme="minorHAnsi"/>
                <w:sz w:val="20"/>
                <w:szCs w:val="20"/>
              </w:rPr>
              <w:t xml:space="preserve">Which </w:t>
            </w:r>
            <w:r w:rsidRPr="007366C3">
              <w:rPr>
                <w:rFonts w:asciiTheme="minorHAnsi" w:hAnsiTheme="minorHAnsi" w:cstheme="minorHAnsi"/>
                <w:color w:val="FF0000"/>
                <w:sz w:val="20"/>
                <w:szCs w:val="20"/>
              </w:rPr>
              <w:t>sample matrices</w:t>
            </w:r>
            <w:r w:rsidRPr="007366C3">
              <w:rPr>
                <w:rFonts w:asciiTheme="minorHAnsi" w:hAnsiTheme="minorHAnsi" w:cstheme="minorHAnsi"/>
                <w:sz w:val="20"/>
                <w:szCs w:val="20"/>
              </w:rPr>
              <w:t xml:space="preserve"> does your laboratory analyze? </w:t>
            </w:r>
            <w:r w:rsidRPr="007366C3">
              <w:rPr>
                <w:rFonts w:asciiTheme="minorHAnsi" w:hAnsiTheme="minorHAnsi" w:cstheme="minorHAnsi"/>
                <w:i/>
                <w:sz w:val="20"/>
                <w:szCs w:val="20"/>
              </w:rPr>
              <w:t>(Select all that apply)</w:t>
            </w:r>
          </w:p>
          <w:p w:rsidR="004009E7" w:rsidRPr="007366C3" w:rsidP="00D40333" w14:paraId="5831A6F3" w14:textId="77777777">
            <w:pPr>
              <w:pStyle w:val="TableParagraph"/>
              <w:numPr>
                <w:ilvl w:val="1"/>
                <w:numId w:val="4"/>
              </w:numPr>
              <w:tabs>
                <w:tab w:val="left" w:pos="720"/>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Blood</w:t>
            </w:r>
          </w:p>
          <w:p w:rsidR="004009E7" w:rsidRPr="007366C3" w:rsidP="00D40333" w14:paraId="03DE9305" w14:textId="77777777">
            <w:pPr>
              <w:pStyle w:val="TableParagraph"/>
              <w:numPr>
                <w:ilvl w:val="1"/>
                <w:numId w:val="4"/>
              </w:numPr>
              <w:tabs>
                <w:tab w:val="left" w:pos="720"/>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Urine</w:t>
            </w:r>
          </w:p>
          <w:p w:rsidR="004009E7" w:rsidRPr="007366C3" w:rsidP="00D40333" w14:paraId="7724631D" w14:textId="687523B4">
            <w:pPr>
              <w:pStyle w:val="TableParagraph"/>
              <w:numPr>
                <w:ilvl w:val="1"/>
                <w:numId w:val="4"/>
              </w:numPr>
              <w:tabs>
                <w:tab w:val="left" w:pos="720"/>
              </w:tabs>
              <w:spacing w:line="240" w:lineRule="auto"/>
              <w:ind w:left="720" w:hanging="360"/>
              <w:rPr>
                <w:rFonts w:asciiTheme="minorHAnsi" w:hAnsiTheme="minorHAnsi" w:cstheme="minorHAnsi"/>
                <w:color w:val="FF0000"/>
                <w:sz w:val="20"/>
                <w:szCs w:val="20"/>
              </w:rPr>
            </w:pPr>
            <w:r w:rsidRPr="007366C3">
              <w:rPr>
                <w:rFonts w:asciiTheme="minorHAnsi" w:hAnsiTheme="minorHAnsi" w:cstheme="minorHAnsi"/>
                <w:color w:val="FF0000"/>
                <w:sz w:val="20"/>
                <w:szCs w:val="20"/>
              </w:rPr>
              <w:t>Drug Powders</w:t>
            </w:r>
          </w:p>
          <w:p w:rsidR="004009E7" w:rsidRPr="007366C3" w:rsidP="00D40333" w14:paraId="49FB489E" w14:textId="77777777">
            <w:pPr>
              <w:pStyle w:val="TableParagraph"/>
              <w:numPr>
                <w:ilvl w:val="1"/>
                <w:numId w:val="4"/>
              </w:numPr>
              <w:tabs>
                <w:tab w:val="left" w:pos="720"/>
              </w:tabs>
              <w:spacing w:line="240" w:lineRule="auto"/>
              <w:ind w:left="720" w:hanging="360"/>
              <w:rPr>
                <w:rFonts w:asciiTheme="minorHAnsi" w:hAnsiTheme="minorHAnsi" w:cstheme="minorHAnsi"/>
                <w:color w:val="FF0000"/>
                <w:sz w:val="20"/>
                <w:szCs w:val="20"/>
              </w:rPr>
            </w:pPr>
            <w:r w:rsidRPr="007366C3">
              <w:rPr>
                <w:rFonts w:asciiTheme="minorHAnsi" w:hAnsiTheme="minorHAnsi" w:cstheme="minorHAnsi"/>
                <w:color w:val="FF0000"/>
                <w:sz w:val="20"/>
                <w:szCs w:val="20"/>
              </w:rPr>
              <w:t>Waste Water</w:t>
            </w:r>
          </w:p>
          <w:p w:rsidR="004009E7" w:rsidRPr="007366C3" w:rsidP="00D40333" w14:paraId="3B16BEDE" w14:textId="77F3E6CE">
            <w:pPr>
              <w:pStyle w:val="TableParagraph"/>
              <w:numPr>
                <w:ilvl w:val="1"/>
                <w:numId w:val="4"/>
              </w:numPr>
              <w:tabs>
                <w:tab w:val="left" w:pos="720"/>
                <w:tab w:val="left" w:pos="10912"/>
              </w:tabs>
              <w:spacing w:line="240" w:lineRule="auto"/>
              <w:ind w:left="720" w:hanging="360"/>
              <w:rPr>
                <w:rFonts w:asciiTheme="minorHAnsi" w:hAnsiTheme="minorHAnsi" w:cstheme="minorHAnsi"/>
                <w:sz w:val="20"/>
                <w:szCs w:val="20"/>
              </w:rPr>
            </w:pPr>
            <w:r w:rsidRPr="007366C3">
              <w:rPr>
                <w:rFonts w:asciiTheme="minorHAnsi" w:hAnsiTheme="minorHAnsi" w:cstheme="minorHAnsi"/>
                <w:sz w:val="20"/>
                <w:szCs w:val="20"/>
              </w:rPr>
              <w:t>Other (</w:t>
            </w:r>
            <w:r w:rsidRPr="007366C3">
              <w:rPr>
                <w:rFonts w:asciiTheme="minorHAnsi" w:hAnsiTheme="minorHAnsi"/>
                <w:i/>
                <w:sz w:val="20"/>
                <w:szCs w:val="20"/>
              </w:rPr>
              <w:t>please</w:t>
            </w:r>
            <w:r w:rsidRPr="007366C3">
              <w:rPr>
                <w:rFonts w:asciiTheme="minorHAnsi" w:hAnsiTheme="minorHAnsi"/>
                <w:i/>
                <w:spacing w:val="-6"/>
                <w:sz w:val="20"/>
                <w:szCs w:val="20"/>
              </w:rPr>
              <w:t xml:space="preserve"> </w:t>
            </w:r>
            <w:r w:rsidRPr="007366C3">
              <w:rPr>
                <w:rFonts w:asciiTheme="minorHAnsi" w:hAnsiTheme="minorHAnsi"/>
                <w:i/>
                <w:sz w:val="20"/>
                <w:szCs w:val="20"/>
              </w:rPr>
              <w:t>specify</w:t>
            </w:r>
            <w:r w:rsidRPr="007366C3">
              <w:rPr>
                <w:rFonts w:asciiTheme="minorHAnsi" w:hAnsiTheme="minorHAnsi" w:cstheme="minorHAnsi"/>
                <w:sz w:val="20"/>
                <w:szCs w:val="20"/>
              </w:rPr>
              <w:t>)</w:t>
            </w:r>
            <w:r w:rsidRPr="007366C3">
              <w:rPr>
                <w:rFonts w:asciiTheme="minorHAnsi" w:hAnsiTheme="minorHAnsi" w:cstheme="minorHAnsi"/>
                <w:spacing w:val="-2"/>
                <w:sz w:val="20"/>
                <w:szCs w:val="20"/>
              </w:rPr>
              <w:t xml:space="preserve"> </w:t>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t>__________________</w:t>
            </w:r>
          </w:p>
          <w:p w:rsidR="004009E7" w:rsidRPr="007366C3" w:rsidP="00353E7E" w14:paraId="3CD7C5F4" w14:textId="77777777">
            <w:pPr>
              <w:rPr>
                <w:sz w:val="20"/>
                <w:szCs w:val="20"/>
              </w:rPr>
            </w:pPr>
          </w:p>
        </w:tc>
        <w:tc>
          <w:tcPr>
            <w:tcW w:w="1615" w:type="dxa"/>
            <w:vAlign w:val="center"/>
          </w:tcPr>
          <w:p w:rsidR="004009E7" w:rsidRPr="007366C3" w:rsidP="00D5126E" w14:paraId="116EC177" w14:textId="4F269AA4">
            <w:pPr>
              <w:pStyle w:val="TableParagraph"/>
              <w:tabs>
                <w:tab w:val="left" w:pos="360"/>
              </w:tabs>
              <w:spacing w:line="240" w:lineRule="auto"/>
              <w:ind w:left="40" w:firstLine="0"/>
              <w:rPr>
                <w:rFonts w:asciiTheme="minorHAnsi" w:hAnsiTheme="minorHAnsi" w:cstheme="minorHAnsi"/>
                <w:sz w:val="20"/>
                <w:szCs w:val="20"/>
              </w:rPr>
            </w:pPr>
            <w:r w:rsidRPr="007366C3">
              <w:rPr>
                <w:rFonts w:eastAsia="Times New Roman" w:cstheme="minorHAnsi"/>
                <w:color w:val="222222"/>
                <w:sz w:val="20"/>
                <w:szCs w:val="20"/>
              </w:rPr>
              <w:t>Renumber</w:t>
            </w:r>
            <w:r w:rsidRPr="007366C3" w:rsidR="00674EE4">
              <w:rPr>
                <w:rFonts w:eastAsia="Times New Roman" w:cstheme="minorHAnsi"/>
                <w:color w:val="222222"/>
                <w:sz w:val="20"/>
                <w:szCs w:val="20"/>
              </w:rPr>
              <w:t xml:space="preserve"> as </w:t>
            </w:r>
            <w:r w:rsidR="006F3FA5">
              <w:rPr>
                <w:rFonts w:eastAsia="Times New Roman" w:cstheme="minorHAnsi"/>
                <w:color w:val="222222"/>
                <w:sz w:val="20"/>
                <w:szCs w:val="20"/>
              </w:rPr>
              <w:t>7</w:t>
            </w:r>
            <w:r w:rsidRPr="007366C3">
              <w:rPr>
                <w:rFonts w:eastAsia="Times New Roman" w:cstheme="minorHAnsi"/>
                <w:color w:val="222222"/>
                <w:sz w:val="20"/>
                <w:szCs w:val="20"/>
              </w:rPr>
              <w:t xml:space="preserve">; modify “matrix type” to </w:t>
            </w:r>
            <w:r w:rsidRPr="007366C3" w:rsidR="003C5A24">
              <w:rPr>
                <w:rFonts w:eastAsia="Times New Roman" w:cstheme="minorHAnsi"/>
                <w:color w:val="222222"/>
                <w:sz w:val="20"/>
                <w:szCs w:val="20"/>
              </w:rPr>
              <w:t>“</w:t>
            </w:r>
            <w:r w:rsidRPr="007366C3">
              <w:rPr>
                <w:rFonts w:eastAsia="Times New Roman" w:cstheme="minorHAnsi"/>
                <w:color w:val="222222"/>
                <w:sz w:val="20"/>
                <w:szCs w:val="20"/>
              </w:rPr>
              <w:t xml:space="preserve">sample matrices;” add two </w:t>
            </w:r>
            <w:r w:rsidRPr="007366C3" w:rsidR="00010C49">
              <w:rPr>
                <w:rFonts w:eastAsia="Times New Roman" w:cstheme="minorHAnsi"/>
                <w:color w:val="222222"/>
                <w:sz w:val="20"/>
                <w:szCs w:val="20"/>
              </w:rPr>
              <w:t xml:space="preserve">additional </w:t>
            </w:r>
            <w:r w:rsidRPr="007366C3" w:rsidR="00730BAA">
              <w:rPr>
                <w:rFonts w:eastAsia="Times New Roman" w:cstheme="minorHAnsi"/>
                <w:color w:val="222222"/>
                <w:sz w:val="20"/>
                <w:szCs w:val="20"/>
              </w:rPr>
              <w:t xml:space="preserve">types of </w:t>
            </w:r>
            <w:r w:rsidRPr="007366C3">
              <w:rPr>
                <w:rFonts w:eastAsia="Times New Roman" w:cstheme="minorHAnsi"/>
                <w:color w:val="222222"/>
                <w:sz w:val="20"/>
                <w:szCs w:val="20"/>
              </w:rPr>
              <w:t>sample matrices</w:t>
            </w:r>
          </w:p>
        </w:tc>
      </w:tr>
      <w:tr w14:paraId="0B381BB8" w14:textId="6100A9AD" w:rsidTr="00194B18">
        <w:tblPrEx>
          <w:tblW w:w="0" w:type="auto"/>
          <w:tblLayout w:type="fixed"/>
          <w:tblLook w:val="04A0"/>
        </w:tblPrEx>
        <w:tc>
          <w:tcPr>
            <w:tcW w:w="3325" w:type="dxa"/>
          </w:tcPr>
          <w:p w:rsidR="004009E7" w:rsidRPr="007366C3" w:rsidP="00D40333" w14:paraId="28D2C375" w14:textId="77777777">
            <w:pPr>
              <w:pStyle w:val="TableParagraph"/>
              <w:numPr>
                <w:ilvl w:val="0"/>
                <w:numId w:val="11"/>
              </w:numPr>
              <w:tabs>
                <w:tab w:val="left" w:pos="360"/>
              </w:tabs>
              <w:spacing w:before="240" w:line="240" w:lineRule="auto"/>
              <w:ind w:left="337" w:hanging="337"/>
              <w:rPr>
                <w:rFonts w:asciiTheme="minorHAnsi" w:hAnsiTheme="minorHAnsi" w:cstheme="minorHAnsi"/>
                <w:i/>
                <w:sz w:val="20"/>
                <w:szCs w:val="20"/>
              </w:rPr>
            </w:pPr>
            <w:r w:rsidRPr="007366C3">
              <w:rPr>
                <w:rFonts w:asciiTheme="minorHAnsi" w:hAnsiTheme="minorHAnsi" w:cstheme="minorHAnsi"/>
                <w:sz w:val="20"/>
                <w:szCs w:val="20"/>
              </w:rPr>
              <w:t xml:space="preserve">What sample sizes are being </w:t>
            </w:r>
            <w:r w:rsidRPr="007366C3">
              <w:rPr>
                <w:rFonts w:asciiTheme="minorHAnsi" w:hAnsiTheme="minorHAnsi" w:cstheme="minorHAnsi"/>
                <w:spacing w:val="-3"/>
                <w:sz w:val="20"/>
                <w:szCs w:val="20"/>
              </w:rPr>
              <w:t xml:space="preserve">tested?  </w:t>
            </w:r>
            <w:r w:rsidRPr="007366C3">
              <w:rPr>
                <w:rFonts w:asciiTheme="minorHAnsi" w:hAnsiTheme="minorHAnsi" w:cstheme="minorHAnsi"/>
                <w:i/>
                <w:sz w:val="20"/>
                <w:szCs w:val="20"/>
              </w:rPr>
              <w:t>(Select all that</w:t>
            </w:r>
            <w:r w:rsidRPr="007366C3">
              <w:rPr>
                <w:rFonts w:asciiTheme="minorHAnsi" w:hAnsiTheme="minorHAnsi" w:cstheme="minorHAnsi"/>
                <w:i/>
                <w:spacing w:val="-31"/>
                <w:sz w:val="20"/>
                <w:szCs w:val="20"/>
              </w:rPr>
              <w:t xml:space="preserve"> </w:t>
            </w:r>
            <w:r w:rsidRPr="007366C3">
              <w:rPr>
                <w:rFonts w:asciiTheme="minorHAnsi" w:hAnsiTheme="minorHAnsi" w:cstheme="minorHAnsi"/>
                <w:i/>
                <w:sz w:val="20"/>
                <w:szCs w:val="20"/>
              </w:rPr>
              <w:t>apply)</w:t>
            </w:r>
          </w:p>
          <w:p w:rsidR="004009E7" w:rsidRPr="007366C3" w:rsidP="00D40333" w14:paraId="38A120D8" w14:textId="08952E02">
            <w:pPr>
              <w:pStyle w:val="TableParagraph"/>
              <w:numPr>
                <w:ilvl w:val="0"/>
                <w:numId w:val="7"/>
              </w:numPr>
              <w:tabs>
                <w:tab w:val="left" w:pos="700"/>
              </w:tabs>
              <w:spacing w:line="240" w:lineRule="auto"/>
              <w:ind w:left="340" w:firstLine="0"/>
              <w:rPr>
                <w:rFonts w:asciiTheme="minorHAnsi" w:hAnsiTheme="minorHAnsi" w:cstheme="minorHAnsi"/>
                <w:sz w:val="20"/>
                <w:szCs w:val="20"/>
              </w:rPr>
            </w:pPr>
            <w:r w:rsidRPr="007366C3">
              <w:rPr>
                <w:rFonts w:asciiTheme="minorHAnsi" w:hAnsiTheme="minorHAnsi" w:cstheme="minorHAnsi"/>
                <w:sz w:val="20"/>
                <w:szCs w:val="20"/>
              </w:rPr>
              <w:t>&lt;0.1 mL</w:t>
            </w:r>
          </w:p>
          <w:p w:rsidR="004009E7" w:rsidRPr="007366C3" w:rsidP="00D40333" w14:paraId="1875C0EF" w14:textId="5E12B72D">
            <w:pPr>
              <w:pStyle w:val="TableParagraph"/>
              <w:numPr>
                <w:ilvl w:val="0"/>
                <w:numId w:val="7"/>
              </w:numPr>
              <w:tabs>
                <w:tab w:val="left" w:pos="700"/>
              </w:tabs>
              <w:spacing w:line="240" w:lineRule="auto"/>
              <w:ind w:left="340" w:firstLine="0"/>
              <w:rPr>
                <w:rFonts w:asciiTheme="minorHAnsi" w:hAnsiTheme="minorHAnsi" w:cstheme="minorHAnsi"/>
                <w:sz w:val="20"/>
                <w:szCs w:val="20"/>
              </w:rPr>
            </w:pPr>
            <w:r w:rsidRPr="007366C3">
              <w:rPr>
                <w:rFonts w:asciiTheme="minorHAnsi" w:hAnsiTheme="minorHAnsi" w:cstheme="minorHAnsi"/>
                <w:sz w:val="20"/>
                <w:szCs w:val="20"/>
              </w:rPr>
              <w:t>0.1- 0.5 mL</w:t>
            </w:r>
          </w:p>
          <w:p w:rsidR="004009E7" w:rsidRPr="007366C3" w:rsidP="00D40333" w14:paraId="787748B8" w14:textId="0F0A18E2">
            <w:pPr>
              <w:pStyle w:val="TableParagraph"/>
              <w:numPr>
                <w:ilvl w:val="0"/>
                <w:numId w:val="7"/>
              </w:numPr>
              <w:tabs>
                <w:tab w:val="left" w:pos="700"/>
              </w:tabs>
              <w:spacing w:line="240" w:lineRule="auto"/>
              <w:ind w:left="340" w:firstLine="0"/>
              <w:rPr>
                <w:rFonts w:asciiTheme="minorHAnsi" w:hAnsiTheme="minorHAnsi" w:cstheme="minorHAnsi"/>
                <w:sz w:val="20"/>
                <w:szCs w:val="20"/>
              </w:rPr>
            </w:pPr>
            <w:r w:rsidRPr="007366C3">
              <w:rPr>
                <w:rFonts w:asciiTheme="minorHAnsi" w:hAnsiTheme="minorHAnsi" w:cstheme="minorHAnsi"/>
                <w:sz w:val="20"/>
                <w:szCs w:val="20"/>
              </w:rPr>
              <w:t>&gt;0.5 mL</w:t>
            </w:r>
          </w:p>
          <w:p w:rsidR="004009E7" w:rsidRPr="007366C3" w:rsidP="00D40333" w14:paraId="132DA804" w14:textId="77777777">
            <w:pPr>
              <w:pStyle w:val="TableParagraph"/>
              <w:numPr>
                <w:ilvl w:val="1"/>
                <w:numId w:val="4"/>
              </w:numPr>
              <w:tabs>
                <w:tab w:val="left" w:pos="700"/>
                <w:tab w:val="left" w:pos="10912"/>
              </w:tabs>
              <w:spacing w:line="240" w:lineRule="auto"/>
              <w:ind w:left="360" w:firstLine="0"/>
              <w:rPr>
                <w:rFonts w:asciiTheme="minorHAnsi" w:hAnsiTheme="minorHAnsi" w:cstheme="minorHAnsi"/>
                <w:sz w:val="20"/>
                <w:szCs w:val="20"/>
              </w:rPr>
            </w:pPr>
            <w:r w:rsidRPr="007366C3">
              <w:rPr>
                <w:rFonts w:asciiTheme="minorHAnsi" w:hAnsiTheme="minorHAnsi" w:cstheme="minorHAnsi"/>
                <w:sz w:val="20"/>
                <w:szCs w:val="20"/>
              </w:rPr>
              <w:t>Other (please</w:t>
            </w:r>
            <w:r w:rsidRPr="007366C3">
              <w:rPr>
                <w:rFonts w:asciiTheme="minorHAnsi" w:hAnsiTheme="minorHAnsi" w:cstheme="minorHAnsi"/>
                <w:spacing w:val="-7"/>
                <w:sz w:val="20"/>
                <w:szCs w:val="20"/>
              </w:rPr>
              <w:t xml:space="preserve"> </w:t>
            </w:r>
            <w:r w:rsidRPr="007366C3">
              <w:rPr>
                <w:rFonts w:asciiTheme="minorHAnsi" w:hAnsiTheme="minorHAnsi" w:cstheme="minorHAnsi"/>
                <w:sz w:val="20"/>
                <w:szCs w:val="20"/>
              </w:rPr>
              <w:t>specify)</w:t>
            </w:r>
            <w:r w:rsidRPr="007366C3">
              <w:rPr>
                <w:rFonts w:asciiTheme="minorHAnsi" w:hAnsiTheme="minorHAnsi" w:cstheme="minorHAnsi"/>
                <w:spacing w:val="-2"/>
                <w:sz w:val="20"/>
                <w:szCs w:val="20"/>
              </w:rPr>
              <w:t xml:space="preserve"> </w:t>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r>
            <w:r w:rsidRPr="007366C3">
              <w:rPr>
                <w:rFonts w:asciiTheme="minorHAnsi" w:hAnsiTheme="minorHAnsi" w:cstheme="minorHAnsi"/>
                <w:i/>
                <w:iCs/>
                <w:sz w:val="20"/>
                <w:szCs w:val="20"/>
              </w:rPr>
              <w:softHyphen/>
              <w:t>____________________</w:t>
            </w:r>
          </w:p>
          <w:p w:rsidR="004009E7" w:rsidRPr="007366C3" w:rsidP="00D5126E" w14:paraId="6CD9DEEA" w14:textId="77777777">
            <w:pPr>
              <w:pStyle w:val="TableParagraph"/>
              <w:tabs>
                <w:tab w:val="left" w:pos="360"/>
              </w:tabs>
              <w:spacing w:before="240" w:line="240" w:lineRule="auto"/>
              <w:ind w:left="360" w:firstLine="0"/>
              <w:rPr>
                <w:rFonts w:asciiTheme="minorHAnsi" w:hAnsiTheme="minorHAnsi" w:cstheme="minorHAnsi"/>
                <w:sz w:val="20"/>
                <w:szCs w:val="20"/>
              </w:rPr>
            </w:pPr>
          </w:p>
        </w:tc>
        <w:tc>
          <w:tcPr>
            <w:tcW w:w="4410" w:type="dxa"/>
            <w:vAlign w:val="center"/>
          </w:tcPr>
          <w:p w:rsidR="004009E7" w:rsidRPr="007366C3" w:rsidP="00A345D7" w14:paraId="7D499723" w14:textId="7C5A025F">
            <w:pPr>
              <w:rPr>
                <w:sz w:val="20"/>
                <w:szCs w:val="20"/>
              </w:rPr>
            </w:pPr>
            <w:r w:rsidRPr="00BB52F8">
              <w:rPr>
                <w:color w:val="FF0000"/>
                <w:sz w:val="20"/>
                <w:szCs w:val="20"/>
              </w:rPr>
              <w:t>[DELETED]</w:t>
            </w:r>
          </w:p>
        </w:tc>
        <w:tc>
          <w:tcPr>
            <w:tcW w:w="1615" w:type="dxa"/>
            <w:vAlign w:val="center"/>
          </w:tcPr>
          <w:p w:rsidR="004009E7" w:rsidRPr="007366C3" w:rsidP="004009E7" w14:paraId="717A3B92" w14:textId="720B68F2">
            <w:pPr>
              <w:rPr>
                <w:sz w:val="20"/>
                <w:szCs w:val="20"/>
              </w:rPr>
            </w:pPr>
            <w:r w:rsidRPr="007366C3">
              <w:rPr>
                <w:sz w:val="20"/>
                <w:szCs w:val="20"/>
              </w:rPr>
              <w:t>Eliminate q</w:t>
            </w:r>
            <w:r w:rsidRPr="007366C3">
              <w:rPr>
                <w:sz w:val="20"/>
                <w:szCs w:val="20"/>
              </w:rPr>
              <w:t>uestion</w:t>
            </w:r>
          </w:p>
        </w:tc>
      </w:tr>
      <w:tr w14:paraId="7E45B289" w14:textId="794C3530" w:rsidTr="00260307">
        <w:tblPrEx>
          <w:tblW w:w="0" w:type="auto"/>
          <w:tblLayout w:type="fixed"/>
          <w:tblLook w:val="04A0"/>
        </w:tblPrEx>
        <w:tc>
          <w:tcPr>
            <w:tcW w:w="9350" w:type="dxa"/>
            <w:gridSpan w:val="3"/>
          </w:tcPr>
          <w:p w:rsidR="004009E7" w:rsidRPr="007366C3" w:rsidP="004009E7" w14:paraId="7BA17B07" w14:textId="364EDDA7">
            <w:pPr>
              <w:pStyle w:val="TableParagraph"/>
              <w:spacing w:line="240" w:lineRule="auto"/>
              <w:ind w:left="0" w:firstLine="0"/>
              <w:rPr>
                <w:rFonts w:asciiTheme="minorHAnsi" w:hAnsiTheme="minorHAnsi" w:cstheme="minorHAnsi"/>
                <w:sz w:val="20"/>
                <w:szCs w:val="20"/>
              </w:rPr>
            </w:pPr>
            <w:r w:rsidRPr="007366C3">
              <w:rPr>
                <w:rFonts w:cstheme="minorHAnsi"/>
                <w:sz w:val="20"/>
                <w:szCs w:val="20"/>
              </w:rPr>
              <w:t>*TRACEABLE OPIOID MATERIAL, TOM KITS, and the TOM KITS logo are marks of the U.S. Department of Health and Human Services.</w:t>
            </w:r>
          </w:p>
        </w:tc>
      </w:tr>
    </w:tbl>
    <w:p w:rsidR="007C22AC" w:rsidP="00CA4FE0" w14:paraId="0DE0B42F" w14:textId="1477E15C">
      <w:pPr>
        <w:spacing w:line="240" w:lineRule="auto"/>
        <w:rPr>
          <w:sz w:val="24"/>
          <w:szCs w:val="24"/>
        </w:rPr>
      </w:pPr>
    </w:p>
    <w:p w:rsidR="00D72833" w:rsidRPr="00A345D7" w:rsidP="00D40333" w14:paraId="36A39B6D" w14:textId="029C1187">
      <w:pPr>
        <w:pStyle w:val="ListParagraph"/>
        <w:numPr>
          <w:ilvl w:val="0"/>
          <w:numId w:val="3"/>
        </w:numPr>
        <w:spacing w:line="276" w:lineRule="auto"/>
        <w:contextualSpacing w:val="0"/>
        <w:rPr>
          <w:sz w:val="24"/>
          <w:szCs w:val="24"/>
        </w:rPr>
      </w:pPr>
      <w:r w:rsidRPr="00465AA5">
        <w:rPr>
          <w:sz w:val="24"/>
          <w:szCs w:val="24"/>
        </w:rPr>
        <w:t xml:space="preserve">CDC is expanding the distribution of these test kits to international laboratories through a partnership with the </w:t>
      </w:r>
      <w:r w:rsidR="00F31325">
        <w:rPr>
          <w:sz w:val="24"/>
          <w:szCs w:val="24"/>
        </w:rPr>
        <w:t>UN</w:t>
      </w:r>
      <w:r w:rsidRPr="00465AA5">
        <w:rPr>
          <w:sz w:val="24"/>
          <w:szCs w:val="24"/>
        </w:rPr>
        <w:t>.</w:t>
      </w:r>
      <w:r w:rsidR="00321BB5">
        <w:rPr>
          <w:sz w:val="24"/>
          <w:szCs w:val="24"/>
        </w:rPr>
        <w:t xml:space="preserve"> </w:t>
      </w:r>
      <w:r w:rsidRPr="00A345D7">
        <w:rPr>
          <w:rFonts w:cstheme="minorHAnsi"/>
          <w:sz w:val="24"/>
          <w:szCs w:val="24"/>
        </w:rPr>
        <w:t>The CDC vendor will bulk ship t</w:t>
      </w:r>
      <w:r w:rsidR="00321BB5">
        <w:rPr>
          <w:rFonts w:cstheme="minorHAnsi"/>
          <w:sz w:val="24"/>
          <w:szCs w:val="24"/>
        </w:rPr>
        <w:t>est</w:t>
      </w:r>
      <w:r w:rsidRPr="00A345D7">
        <w:rPr>
          <w:rFonts w:cstheme="minorHAnsi"/>
          <w:sz w:val="24"/>
          <w:szCs w:val="24"/>
        </w:rPr>
        <w:t xml:space="preserve"> kits to </w:t>
      </w:r>
      <w:r w:rsidR="00F31325">
        <w:rPr>
          <w:rFonts w:cstheme="minorHAnsi"/>
          <w:sz w:val="24"/>
          <w:szCs w:val="24"/>
        </w:rPr>
        <w:t>UN</w:t>
      </w:r>
      <w:r w:rsidRPr="00A345D7">
        <w:rPr>
          <w:rFonts w:cstheme="minorHAnsi"/>
          <w:sz w:val="24"/>
          <w:szCs w:val="24"/>
        </w:rPr>
        <w:t xml:space="preserve"> for international distribution, or the vendor may direct ship these kits to select international laboratories upon </w:t>
      </w:r>
      <w:r w:rsidR="00F31325">
        <w:rPr>
          <w:rFonts w:cstheme="minorHAnsi"/>
          <w:sz w:val="24"/>
          <w:szCs w:val="24"/>
        </w:rPr>
        <w:t>UN</w:t>
      </w:r>
      <w:r w:rsidRPr="00A345D7">
        <w:rPr>
          <w:rFonts w:cstheme="minorHAnsi"/>
          <w:sz w:val="24"/>
          <w:szCs w:val="24"/>
        </w:rPr>
        <w:t xml:space="preserve"> request.</w:t>
      </w:r>
    </w:p>
    <w:p w:rsidR="00D34B99" w:rsidRPr="004B0C32" w:rsidP="008712C5" w14:paraId="4C91CEDD" w14:textId="2026B5E5">
      <w:pPr>
        <w:pStyle w:val="ListParagraph"/>
        <w:spacing w:after="240"/>
        <w:contextualSpacing w:val="0"/>
        <w:rPr>
          <w:sz w:val="24"/>
          <w:szCs w:val="24"/>
        </w:rPr>
      </w:pPr>
      <w:r w:rsidRPr="00A345D7">
        <w:rPr>
          <w:rFonts w:cstheme="minorHAnsi"/>
          <w:sz w:val="24"/>
          <w:szCs w:val="24"/>
        </w:rPr>
        <w:t xml:space="preserve">Based on this change, we are adding </w:t>
      </w:r>
      <w:r w:rsidRPr="00A345D7">
        <w:rPr>
          <w:rFonts w:cstheme="minorHAnsi"/>
          <w:b/>
          <w:bCs/>
          <w:sz w:val="24"/>
          <w:szCs w:val="24"/>
        </w:rPr>
        <w:t>Attachment 5b</w:t>
      </w:r>
      <w:r w:rsidRPr="00A345D7">
        <w:rPr>
          <w:rFonts w:cstheme="minorHAnsi"/>
          <w:sz w:val="24"/>
          <w:szCs w:val="24"/>
        </w:rPr>
        <w:t xml:space="preserve"> (Test Kit </w:t>
      </w:r>
      <w:r w:rsidR="00F31325">
        <w:rPr>
          <w:rFonts w:cstheme="minorHAnsi"/>
          <w:sz w:val="24"/>
          <w:szCs w:val="24"/>
        </w:rPr>
        <w:t>Questions</w:t>
      </w:r>
      <w:r w:rsidRPr="00A345D7">
        <w:rPr>
          <w:rFonts w:cstheme="minorHAnsi"/>
          <w:sz w:val="24"/>
          <w:szCs w:val="24"/>
        </w:rPr>
        <w:t xml:space="preserve"> for International Laboratories</w:t>
      </w:r>
      <w:r w:rsidR="004B0C32">
        <w:rPr>
          <w:rFonts w:cstheme="minorHAnsi"/>
          <w:sz w:val="24"/>
          <w:szCs w:val="24"/>
        </w:rPr>
        <w:t xml:space="preserve"> [</w:t>
      </w:r>
      <w:r w:rsidR="009D6DA7">
        <w:rPr>
          <w:rFonts w:cstheme="minorHAnsi"/>
          <w:sz w:val="24"/>
          <w:szCs w:val="24"/>
        </w:rPr>
        <w:t>screenshot</w:t>
      </w:r>
      <w:r w:rsidR="009C07D4">
        <w:rPr>
          <w:rFonts w:cstheme="minorHAnsi"/>
          <w:sz w:val="24"/>
          <w:szCs w:val="24"/>
        </w:rPr>
        <w:t>s</w:t>
      </w:r>
      <w:r w:rsidR="009D6DA7">
        <w:rPr>
          <w:rFonts w:cstheme="minorHAnsi"/>
          <w:sz w:val="24"/>
          <w:szCs w:val="24"/>
        </w:rPr>
        <w:t>/</w:t>
      </w:r>
      <w:r w:rsidR="004B0C32">
        <w:rPr>
          <w:rFonts w:cstheme="minorHAnsi"/>
          <w:sz w:val="24"/>
          <w:szCs w:val="24"/>
        </w:rPr>
        <w:t>Word]</w:t>
      </w:r>
      <w:r w:rsidRPr="00A345D7">
        <w:rPr>
          <w:rFonts w:cstheme="minorHAnsi"/>
          <w:sz w:val="24"/>
          <w:szCs w:val="24"/>
        </w:rPr>
        <w:t xml:space="preserve">) and a new row in the burden table (Section A12). </w:t>
      </w:r>
      <w:r w:rsidR="00D72833">
        <w:rPr>
          <w:rFonts w:cstheme="minorHAnsi"/>
          <w:sz w:val="24"/>
          <w:szCs w:val="24"/>
        </w:rPr>
        <w:t>These reports will contain similar laboratory information as on the domestic application (</w:t>
      </w:r>
      <w:r w:rsidR="00D72833">
        <w:rPr>
          <w:rFonts w:cstheme="minorHAnsi"/>
          <w:b/>
          <w:bCs/>
          <w:sz w:val="24"/>
          <w:szCs w:val="24"/>
        </w:rPr>
        <w:t>Attachment 5a</w:t>
      </w:r>
      <w:r w:rsidR="00D72833">
        <w:rPr>
          <w:rFonts w:cstheme="minorHAnsi"/>
          <w:sz w:val="24"/>
          <w:szCs w:val="24"/>
        </w:rPr>
        <w:t xml:space="preserve">). </w:t>
      </w:r>
      <w:r w:rsidR="00867C77">
        <w:rPr>
          <w:rFonts w:cstheme="minorHAnsi"/>
          <w:sz w:val="24"/>
          <w:szCs w:val="24"/>
        </w:rPr>
        <w:t xml:space="preserve">On behalf of the UN, the vendor, but not </w:t>
      </w:r>
      <w:r w:rsidR="009C07D4">
        <w:rPr>
          <w:rFonts w:cstheme="minorHAnsi"/>
          <w:sz w:val="24"/>
          <w:szCs w:val="24"/>
        </w:rPr>
        <w:t>CDC</w:t>
      </w:r>
      <w:r w:rsidR="00867C77">
        <w:rPr>
          <w:rFonts w:cstheme="minorHAnsi"/>
          <w:sz w:val="24"/>
          <w:szCs w:val="24"/>
        </w:rPr>
        <w:t>,</w:t>
      </w:r>
      <w:r w:rsidR="009C07D4">
        <w:rPr>
          <w:rFonts w:cstheme="minorHAnsi"/>
          <w:sz w:val="24"/>
          <w:szCs w:val="24"/>
        </w:rPr>
        <w:t xml:space="preserve"> will collect application PII on international laboratories. </w:t>
      </w:r>
      <w:r w:rsidRPr="00A345D7">
        <w:rPr>
          <w:rFonts w:cstheme="minorHAnsi"/>
          <w:sz w:val="24"/>
          <w:szCs w:val="24"/>
        </w:rPr>
        <w:t>International laboratories may receive the same test kits as domestic laboratories</w:t>
      </w:r>
      <w:r w:rsidR="004266E4">
        <w:rPr>
          <w:rFonts w:cstheme="minorHAnsi"/>
          <w:sz w:val="24"/>
          <w:szCs w:val="24"/>
        </w:rPr>
        <w:t>, except for the EDP kits</w:t>
      </w:r>
      <w:r w:rsidRPr="00A345D7">
        <w:rPr>
          <w:rFonts w:cstheme="minorHAnsi"/>
          <w:sz w:val="24"/>
          <w:szCs w:val="24"/>
        </w:rPr>
        <w:t>.</w:t>
      </w:r>
      <w:r w:rsidR="004B0C32">
        <w:rPr>
          <w:rFonts w:cstheme="minorHAnsi"/>
          <w:sz w:val="24"/>
          <w:szCs w:val="24"/>
        </w:rPr>
        <w:t xml:space="preserve"> </w:t>
      </w:r>
    </w:p>
    <w:p w:rsidR="00980ACF" w:rsidP="00CA4FE0" w14:paraId="05FD8231" w14:textId="77777777">
      <w:pPr>
        <w:spacing w:line="240" w:lineRule="auto"/>
        <w:rPr>
          <w:i/>
          <w:iCs/>
          <w:sz w:val="24"/>
          <w:szCs w:val="24"/>
        </w:rPr>
      </w:pPr>
    </w:p>
    <w:p w:rsidR="00980ACF" w:rsidRPr="00A345D7" w:rsidP="00CA4FE0" w14:paraId="03F930A9" w14:textId="175B388C">
      <w:pPr>
        <w:spacing w:line="240" w:lineRule="auto"/>
        <w:rPr>
          <w:i/>
          <w:iCs/>
          <w:sz w:val="24"/>
          <w:szCs w:val="24"/>
        </w:rPr>
      </w:pPr>
      <w:r>
        <w:rPr>
          <w:i/>
          <w:iCs/>
          <w:sz w:val="24"/>
          <w:szCs w:val="24"/>
        </w:rPr>
        <w:t>Burden Estimations</w:t>
      </w:r>
    </w:p>
    <w:p w:rsidR="00321BB5" w:rsidRPr="00A345D7" w:rsidP="00A345D7" w14:paraId="0ECCB914" w14:textId="77777777">
      <w:pPr>
        <w:spacing w:line="276" w:lineRule="auto"/>
        <w:rPr>
          <w:rFonts w:cstheme="minorHAnsi"/>
          <w:sz w:val="24"/>
          <w:szCs w:val="24"/>
        </w:rPr>
      </w:pPr>
      <w:r w:rsidRPr="00A345D7">
        <w:rPr>
          <w:rFonts w:cstheme="minorHAnsi"/>
          <w:sz w:val="24"/>
          <w:szCs w:val="24"/>
        </w:rPr>
        <w:t xml:space="preserve">The following changes to burden hours and the number of annualized responses are as follows. </w:t>
      </w:r>
    </w:p>
    <w:p w:rsidR="00980ACF" w:rsidRPr="00A345D7" w:rsidP="00D40333" w14:paraId="514C872D" w14:textId="4C2CD2CC">
      <w:pPr>
        <w:pStyle w:val="ListParagraph"/>
        <w:numPr>
          <w:ilvl w:val="0"/>
          <w:numId w:val="3"/>
        </w:numPr>
        <w:spacing w:line="276" w:lineRule="auto"/>
        <w:contextualSpacing w:val="0"/>
        <w:rPr>
          <w:rFonts w:cstheme="minorHAnsi"/>
          <w:sz w:val="24"/>
          <w:szCs w:val="24"/>
        </w:rPr>
      </w:pPr>
      <w:r w:rsidRPr="00A345D7">
        <w:rPr>
          <w:rFonts w:cstheme="minorHAnsi"/>
          <w:sz w:val="24"/>
          <w:szCs w:val="24"/>
        </w:rPr>
        <w:t xml:space="preserve">We estimate a total time burden of </w:t>
      </w:r>
      <w:r w:rsidR="000477F4">
        <w:rPr>
          <w:rFonts w:cstheme="minorHAnsi"/>
          <w:sz w:val="24"/>
          <w:szCs w:val="24"/>
        </w:rPr>
        <w:t>8</w:t>
      </w:r>
      <w:r w:rsidR="009C07D4">
        <w:rPr>
          <w:rFonts w:cstheme="minorHAnsi"/>
          <w:sz w:val="24"/>
          <w:szCs w:val="24"/>
        </w:rPr>
        <w:t>0</w:t>
      </w:r>
      <w:r w:rsidRPr="00A345D7">
        <w:rPr>
          <w:rFonts w:cstheme="minorHAnsi"/>
          <w:sz w:val="24"/>
          <w:szCs w:val="24"/>
        </w:rPr>
        <w:t xml:space="preserve"> hours, which is a decrease of </w:t>
      </w:r>
      <w:r w:rsidR="009C07D4">
        <w:rPr>
          <w:rFonts w:cstheme="minorHAnsi"/>
          <w:sz w:val="24"/>
          <w:szCs w:val="24"/>
        </w:rPr>
        <w:t>40</w:t>
      </w:r>
      <w:r w:rsidRPr="00A345D7">
        <w:rPr>
          <w:rFonts w:cstheme="minorHAnsi"/>
          <w:sz w:val="24"/>
          <w:szCs w:val="24"/>
        </w:rPr>
        <w:t xml:space="preserve"> hours over the previously approved 120 hours. We estimate a total number of </w:t>
      </w:r>
      <w:r w:rsidR="000477F4">
        <w:rPr>
          <w:rFonts w:cstheme="minorHAnsi"/>
          <w:sz w:val="24"/>
          <w:szCs w:val="24"/>
        </w:rPr>
        <w:t>900</w:t>
      </w:r>
      <w:r w:rsidRPr="00A345D7">
        <w:rPr>
          <w:rFonts w:cstheme="minorHAnsi"/>
          <w:sz w:val="24"/>
          <w:szCs w:val="24"/>
        </w:rPr>
        <w:t xml:space="preserve"> annual responses which is a decrease of </w:t>
      </w:r>
      <w:r w:rsidR="000477F4">
        <w:rPr>
          <w:rFonts w:cstheme="minorHAnsi"/>
          <w:sz w:val="24"/>
          <w:szCs w:val="24"/>
        </w:rPr>
        <w:t>300</w:t>
      </w:r>
      <w:r w:rsidRPr="00A345D7">
        <w:rPr>
          <w:rFonts w:cstheme="minorHAnsi"/>
          <w:sz w:val="24"/>
          <w:szCs w:val="24"/>
        </w:rPr>
        <w:t xml:space="preserve"> over the previously approved 1,200 responses.</w:t>
      </w:r>
    </w:p>
    <w:p w:rsidR="00A64395" w:rsidP="00D40333" w14:paraId="77BA1386" w14:textId="10658562">
      <w:pPr>
        <w:pStyle w:val="ListParagraph"/>
        <w:numPr>
          <w:ilvl w:val="0"/>
          <w:numId w:val="3"/>
        </w:numPr>
        <w:spacing w:line="276" w:lineRule="auto"/>
        <w:ind w:left="1080"/>
        <w:contextualSpacing w:val="0"/>
        <w:rPr>
          <w:rFonts w:cstheme="minorHAnsi"/>
          <w:sz w:val="24"/>
          <w:szCs w:val="24"/>
        </w:rPr>
      </w:pPr>
      <w:r>
        <w:rPr>
          <w:rFonts w:cstheme="minorHAnsi"/>
          <w:sz w:val="24"/>
          <w:szCs w:val="24"/>
        </w:rPr>
        <w:t>Changes to the burden for domestic laboratories are as follows</w:t>
      </w:r>
      <w:r w:rsidR="00321BB5">
        <w:rPr>
          <w:rFonts w:cstheme="minorHAnsi"/>
          <w:sz w:val="24"/>
          <w:szCs w:val="24"/>
        </w:rPr>
        <w:t>, based on CDC’s experience since 2019</w:t>
      </w:r>
      <w:r>
        <w:rPr>
          <w:rFonts w:cstheme="minorHAnsi"/>
          <w:sz w:val="24"/>
          <w:szCs w:val="24"/>
        </w:rPr>
        <w:t>:</w:t>
      </w:r>
    </w:p>
    <w:p w:rsidR="00321BB5" w:rsidP="00D40333" w14:paraId="38E33C04" w14:textId="14BD5F40">
      <w:pPr>
        <w:pStyle w:val="ListParagraph"/>
        <w:numPr>
          <w:ilvl w:val="1"/>
          <w:numId w:val="3"/>
        </w:numPr>
        <w:spacing w:line="276" w:lineRule="auto"/>
        <w:ind w:left="1800"/>
        <w:contextualSpacing w:val="0"/>
        <w:rPr>
          <w:rFonts w:cstheme="minorHAnsi"/>
          <w:sz w:val="24"/>
          <w:szCs w:val="24"/>
        </w:rPr>
      </w:pPr>
      <w:r>
        <w:rPr>
          <w:rFonts w:cstheme="minorHAnsi"/>
          <w:sz w:val="24"/>
          <w:szCs w:val="24"/>
        </w:rPr>
        <w:t xml:space="preserve">The annual number of responses are 600, with 200 responses from each of the three sectors </w:t>
      </w:r>
      <w:r>
        <w:rPr>
          <w:rFonts w:cstheme="minorHAnsi"/>
          <w:sz w:val="24"/>
          <w:szCs w:val="24"/>
        </w:rPr>
        <w:t>(</w:t>
      </w:r>
      <w:r w:rsidRPr="00CC4BAA">
        <w:rPr>
          <w:rFonts w:cstheme="minorHAnsi"/>
          <w:sz w:val="24"/>
          <w:szCs w:val="24"/>
        </w:rPr>
        <w:t>academic, public, or private</w:t>
      </w:r>
      <w:r>
        <w:rPr>
          <w:rFonts w:cstheme="minorHAnsi"/>
          <w:sz w:val="24"/>
          <w:szCs w:val="24"/>
        </w:rPr>
        <w:t>). This is a decrease of 600 applicants over the previously approved 1,200.</w:t>
      </w:r>
    </w:p>
    <w:p w:rsidR="00321BB5" w:rsidRPr="00A17175" w:rsidP="00D40333" w14:paraId="4BA66230" w14:textId="5D282FA7">
      <w:pPr>
        <w:pStyle w:val="ListParagraph"/>
        <w:numPr>
          <w:ilvl w:val="1"/>
          <w:numId w:val="3"/>
        </w:numPr>
        <w:spacing w:line="276" w:lineRule="auto"/>
        <w:ind w:left="1800"/>
        <w:contextualSpacing w:val="0"/>
        <w:rPr>
          <w:rFonts w:cstheme="minorHAnsi"/>
          <w:sz w:val="24"/>
          <w:szCs w:val="24"/>
        </w:rPr>
      </w:pPr>
      <w:r w:rsidRPr="00A17175">
        <w:rPr>
          <w:rFonts w:cstheme="minorHAnsi"/>
          <w:sz w:val="24"/>
          <w:szCs w:val="24"/>
        </w:rPr>
        <w:t>The annual time burden will be 60 hours</w:t>
      </w:r>
      <w:r>
        <w:rPr>
          <w:rFonts w:cstheme="minorHAnsi"/>
          <w:sz w:val="24"/>
          <w:szCs w:val="24"/>
        </w:rPr>
        <w:t xml:space="preserve">, which is </w:t>
      </w:r>
      <w:r w:rsidRPr="00A17175">
        <w:rPr>
          <w:rFonts w:cstheme="minorHAnsi"/>
          <w:sz w:val="24"/>
          <w:szCs w:val="24"/>
        </w:rPr>
        <w:t xml:space="preserve">a decrease of 60 hours over the previously approved 120 hours. </w:t>
      </w:r>
    </w:p>
    <w:p w:rsidR="00321BB5" w:rsidP="00D40333" w14:paraId="0C718E9F" w14:textId="46CBED82">
      <w:pPr>
        <w:pStyle w:val="ListParagraph"/>
        <w:numPr>
          <w:ilvl w:val="0"/>
          <w:numId w:val="12"/>
        </w:numPr>
        <w:spacing w:line="276" w:lineRule="auto"/>
        <w:ind w:left="1080"/>
        <w:rPr>
          <w:rFonts w:cstheme="minorHAnsi"/>
          <w:sz w:val="24"/>
          <w:szCs w:val="24"/>
        </w:rPr>
      </w:pPr>
      <w:r w:rsidRPr="00A17175">
        <w:rPr>
          <w:rFonts w:cstheme="minorHAnsi"/>
          <w:sz w:val="24"/>
          <w:szCs w:val="24"/>
        </w:rPr>
        <w:t>With the expansion to international distribution of test kits</w:t>
      </w:r>
      <w:r>
        <w:rPr>
          <w:rFonts w:cstheme="minorHAnsi"/>
          <w:sz w:val="24"/>
          <w:szCs w:val="24"/>
        </w:rPr>
        <w:t>, the following changes have been made.</w:t>
      </w:r>
    </w:p>
    <w:p w:rsidR="00321BB5" w:rsidP="00D40333" w14:paraId="18635F62" w14:textId="32B432E8">
      <w:pPr>
        <w:pStyle w:val="ListParagraph"/>
        <w:numPr>
          <w:ilvl w:val="1"/>
          <w:numId w:val="12"/>
        </w:numPr>
        <w:spacing w:line="276" w:lineRule="auto"/>
        <w:ind w:left="1800"/>
        <w:contextualSpacing w:val="0"/>
        <w:rPr>
          <w:rFonts w:cstheme="minorHAnsi"/>
          <w:sz w:val="24"/>
          <w:szCs w:val="24"/>
        </w:rPr>
      </w:pPr>
      <w:r>
        <w:rPr>
          <w:rFonts w:cstheme="minorHAnsi"/>
          <w:sz w:val="24"/>
          <w:szCs w:val="24"/>
        </w:rPr>
        <w:t>A new row in the time and cost burden tables have been added (</w:t>
      </w:r>
      <w:r>
        <w:rPr>
          <w:rFonts w:cstheme="minorHAnsi"/>
          <w:b/>
          <w:bCs/>
          <w:sz w:val="24"/>
          <w:szCs w:val="24"/>
        </w:rPr>
        <w:t>Section A12</w:t>
      </w:r>
      <w:r>
        <w:rPr>
          <w:rFonts w:cstheme="minorHAnsi"/>
          <w:sz w:val="24"/>
          <w:szCs w:val="24"/>
        </w:rPr>
        <w:t>).</w:t>
      </w:r>
    </w:p>
    <w:p w:rsidR="00321BB5" w:rsidP="00D40333" w14:paraId="11A13819" w14:textId="6F017588">
      <w:pPr>
        <w:pStyle w:val="ListParagraph"/>
        <w:numPr>
          <w:ilvl w:val="1"/>
          <w:numId w:val="12"/>
        </w:numPr>
        <w:spacing w:line="276" w:lineRule="auto"/>
        <w:ind w:left="1800"/>
        <w:contextualSpacing w:val="0"/>
        <w:rPr>
          <w:rFonts w:cstheme="minorHAnsi"/>
          <w:sz w:val="24"/>
          <w:szCs w:val="24"/>
        </w:rPr>
      </w:pPr>
      <w:r>
        <w:rPr>
          <w:rFonts w:cstheme="minorHAnsi"/>
          <w:sz w:val="24"/>
          <w:szCs w:val="24"/>
        </w:rPr>
        <w:t>We assume that 300 international partner laboratories</w:t>
      </w:r>
      <w:r w:rsidR="00F31325">
        <w:rPr>
          <w:rFonts w:cstheme="minorHAnsi"/>
          <w:sz w:val="24"/>
          <w:szCs w:val="24"/>
        </w:rPr>
        <w:t xml:space="preserve"> will request test kits</w:t>
      </w:r>
      <w:r>
        <w:rPr>
          <w:rFonts w:cstheme="minorHAnsi"/>
          <w:sz w:val="24"/>
          <w:szCs w:val="24"/>
        </w:rPr>
        <w:t xml:space="preserve">. </w:t>
      </w:r>
    </w:p>
    <w:p w:rsidR="00ED4BB5" w:rsidRPr="00A17175" w:rsidP="00D40333" w14:paraId="06B3115A" w14:textId="0E13BCFD">
      <w:pPr>
        <w:pStyle w:val="ListParagraph"/>
        <w:numPr>
          <w:ilvl w:val="1"/>
          <w:numId w:val="12"/>
        </w:numPr>
        <w:spacing w:line="276" w:lineRule="auto"/>
        <w:ind w:left="1800"/>
        <w:contextualSpacing w:val="0"/>
      </w:pPr>
      <w:r>
        <w:rPr>
          <w:rFonts w:cstheme="minorHAnsi"/>
          <w:sz w:val="24"/>
          <w:szCs w:val="24"/>
        </w:rPr>
        <w:t>Each international laboratory</w:t>
      </w:r>
      <w:r w:rsidR="00A17175">
        <w:rPr>
          <w:rFonts w:cstheme="minorHAnsi"/>
          <w:sz w:val="24"/>
          <w:szCs w:val="24"/>
        </w:rPr>
        <w:t xml:space="preserve"> will take </w:t>
      </w:r>
      <w:r w:rsidR="009C07D4">
        <w:rPr>
          <w:rFonts w:cstheme="minorHAnsi"/>
          <w:sz w:val="24"/>
          <w:szCs w:val="24"/>
        </w:rPr>
        <w:t>4</w:t>
      </w:r>
      <w:r w:rsidR="00A17175">
        <w:rPr>
          <w:rFonts w:cstheme="minorHAnsi"/>
          <w:sz w:val="24"/>
          <w:szCs w:val="24"/>
        </w:rPr>
        <w:t xml:space="preserve"> minutes</w:t>
      </w:r>
      <w:r>
        <w:rPr>
          <w:rFonts w:cstheme="minorHAnsi"/>
          <w:sz w:val="24"/>
          <w:szCs w:val="24"/>
        </w:rPr>
        <w:t xml:space="preserve"> to complete this information on the CDC vendor website</w:t>
      </w:r>
      <w:r w:rsidR="00A17175">
        <w:rPr>
          <w:rFonts w:cstheme="minorHAnsi"/>
          <w:sz w:val="24"/>
          <w:szCs w:val="24"/>
        </w:rPr>
        <w:t xml:space="preserve"> </w:t>
      </w:r>
      <w:r>
        <w:rPr>
          <w:rFonts w:cstheme="minorHAnsi"/>
          <w:sz w:val="24"/>
          <w:szCs w:val="24"/>
        </w:rPr>
        <w:t>(2</w:t>
      </w:r>
      <w:r w:rsidR="009C07D4">
        <w:rPr>
          <w:rFonts w:cstheme="minorHAnsi"/>
          <w:sz w:val="24"/>
          <w:szCs w:val="24"/>
        </w:rPr>
        <w:t>0</w:t>
      </w:r>
      <w:r w:rsidR="00A17175">
        <w:rPr>
          <w:rFonts w:cstheme="minorHAnsi"/>
          <w:sz w:val="24"/>
          <w:szCs w:val="24"/>
        </w:rPr>
        <w:t xml:space="preserve"> hours </w:t>
      </w:r>
      <w:r>
        <w:rPr>
          <w:rFonts w:cstheme="minorHAnsi"/>
          <w:sz w:val="24"/>
          <w:szCs w:val="24"/>
        </w:rPr>
        <w:t xml:space="preserve">for 300 laboratories </w:t>
      </w:r>
      <w:r w:rsidR="00A17175">
        <w:rPr>
          <w:rFonts w:cstheme="minorHAnsi"/>
          <w:sz w:val="24"/>
          <w:szCs w:val="24"/>
        </w:rPr>
        <w:t>per year).</w:t>
      </w:r>
      <w:bookmarkStart w:id="50" w:name="_Hlk110525768"/>
    </w:p>
    <w:p w:rsidR="00B45002" w:rsidRPr="00653814" w:rsidP="00601F1A" w14:paraId="6A569BBC" w14:textId="3F857C67">
      <w:pPr>
        <w:pStyle w:val="Heading1"/>
        <w:pBdr>
          <w:bottom w:val="none" w:sz="0" w:space="0" w:color="auto"/>
        </w:pBdr>
        <w:rPr>
          <w:color w:val="auto"/>
        </w:rPr>
      </w:pPr>
      <w:bookmarkStart w:id="51" w:name="_Toc31301606"/>
      <w:bookmarkStart w:id="52" w:name="_Toc121132861"/>
      <w:bookmarkEnd w:id="46"/>
      <w:bookmarkEnd w:id="50"/>
      <w:r w:rsidRPr="00653814">
        <w:rPr>
          <w:color w:val="auto"/>
        </w:rPr>
        <w:t>A.</w:t>
      </w:r>
      <w:r w:rsidRPr="00653814" w:rsidR="00AC62CC">
        <w:rPr>
          <w:color w:val="auto"/>
        </w:rPr>
        <w:t xml:space="preserve">16.  </w:t>
      </w:r>
      <w:r w:rsidRPr="00653814">
        <w:rPr>
          <w:color w:val="auto"/>
        </w:rPr>
        <w:t>Plans for Tabulation and Publication and Project Time Schedule</w:t>
      </w:r>
      <w:bookmarkEnd w:id="51"/>
      <w:bookmarkEnd w:id="52"/>
    </w:p>
    <w:p w:rsidR="003248A4" w:rsidRPr="00653814" w:rsidP="003248A4" w14:paraId="04966E2D" w14:textId="77777777"/>
    <w:p w:rsidR="003248A4" w:rsidRPr="00653814" w:rsidP="003248A4" w14:paraId="1A0D6FEC" w14:textId="7CB4E897">
      <w:pPr>
        <w:spacing w:line="240" w:lineRule="auto"/>
        <w:rPr>
          <w:rFonts w:cs="ITCFranklinGothicStd-Book"/>
          <w:sz w:val="24"/>
          <w:szCs w:val="24"/>
        </w:rPr>
      </w:pPr>
      <w:r w:rsidRPr="00653814">
        <w:rPr>
          <w:rFonts w:cs="ITCFranklinGothicStd-Book"/>
          <w:sz w:val="24"/>
          <w:szCs w:val="24"/>
        </w:rPr>
        <w:t>Information collected will be used to prioritize requests received by the CDC. If this prioritization is discussed within a manuscript describing kit distribution, then it may be published with other data.</w:t>
      </w:r>
    </w:p>
    <w:p w:rsidR="003C21A1" w:rsidRPr="00653814" w:rsidP="003248A4" w14:paraId="5776BDC1" w14:textId="77777777">
      <w:pPr>
        <w:spacing w:line="240" w:lineRule="auto"/>
        <w:rPr>
          <w:rFonts w:cs="ITCFranklinGothicStd-Book"/>
          <w:sz w:val="24"/>
          <w:szCs w:val="24"/>
        </w:rPr>
      </w:pPr>
    </w:p>
    <w:p w:rsidR="003C21A1" w:rsidRPr="00653814" w:rsidP="003248A4" w14:paraId="015A75DA" w14:textId="7BAFDBFE">
      <w:pPr>
        <w:spacing w:line="240" w:lineRule="auto"/>
        <w:rPr>
          <w:rFonts w:cs="ITCFranklinGothicStd-Book"/>
          <w:sz w:val="24"/>
          <w:szCs w:val="24"/>
        </w:rPr>
      </w:pPr>
      <w:r w:rsidRPr="00653814">
        <w:rPr>
          <w:rFonts w:cs="ITCFranklinGothicStd-Book"/>
          <w:sz w:val="24"/>
          <w:szCs w:val="24"/>
        </w:rPr>
        <w:t>Table A.16.1</w:t>
      </w:r>
    </w:p>
    <w:tbl>
      <w:tblPr>
        <w:tblStyle w:val="TableGrid"/>
        <w:tblW w:w="0" w:type="auto"/>
        <w:tblLook w:val="04A0"/>
      </w:tblPr>
      <w:tblGrid>
        <w:gridCol w:w="4675"/>
        <w:gridCol w:w="4675"/>
      </w:tblGrid>
      <w:tr w14:paraId="46E66349" w14:textId="77777777" w:rsidTr="003C21A1">
        <w:tblPrEx>
          <w:tblW w:w="0" w:type="auto"/>
          <w:tblLook w:val="04A0"/>
        </w:tblPrEx>
        <w:tc>
          <w:tcPr>
            <w:tcW w:w="9350" w:type="dxa"/>
            <w:gridSpan w:val="2"/>
          </w:tcPr>
          <w:p w:rsidR="003C21A1" w:rsidRPr="00653814" w:rsidP="003C21A1" w14:paraId="129A5CCA" w14:textId="5719DC65">
            <w:pPr>
              <w:jc w:val="center"/>
              <w:rPr>
                <w:sz w:val="24"/>
                <w:szCs w:val="24"/>
              </w:rPr>
            </w:pPr>
            <w:r w:rsidRPr="00653814">
              <w:rPr>
                <w:sz w:val="24"/>
                <w:szCs w:val="24"/>
              </w:rPr>
              <w:t>Project Time Schedule</w:t>
            </w:r>
          </w:p>
        </w:tc>
      </w:tr>
      <w:tr w14:paraId="638A7FA3" w14:textId="77777777" w:rsidTr="003C21A1">
        <w:tblPrEx>
          <w:tblW w:w="0" w:type="auto"/>
          <w:tblLook w:val="04A0"/>
        </w:tblPrEx>
        <w:tc>
          <w:tcPr>
            <w:tcW w:w="4675" w:type="dxa"/>
          </w:tcPr>
          <w:p w:rsidR="003C21A1" w:rsidRPr="00653814" w:rsidP="003C21A1" w14:paraId="0F7BC050" w14:textId="1628E485">
            <w:pPr>
              <w:jc w:val="center"/>
              <w:rPr>
                <w:sz w:val="24"/>
                <w:szCs w:val="24"/>
              </w:rPr>
            </w:pPr>
            <w:r w:rsidRPr="00653814">
              <w:rPr>
                <w:sz w:val="24"/>
                <w:szCs w:val="24"/>
              </w:rPr>
              <w:t>Activity</w:t>
            </w:r>
          </w:p>
        </w:tc>
        <w:tc>
          <w:tcPr>
            <w:tcW w:w="4675" w:type="dxa"/>
          </w:tcPr>
          <w:p w:rsidR="003C21A1" w:rsidRPr="00653814" w:rsidP="003C21A1" w14:paraId="198D79E8" w14:textId="39D38407">
            <w:pPr>
              <w:jc w:val="center"/>
              <w:rPr>
                <w:sz w:val="24"/>
                <w:szCs w:val="24"/>
              </w:rPr>
            </w:pPr>
            <w:r w:rsidRPr="00653814">
              <w:rPr>
                <w:sz w:val="24"/>
                <w:szCs w:val="24"/>
              </w:rPr>
              <w:t>Time Schedule</w:t>
            </w:r>
          </w:p>
        </w:tc>
      </w:tr>
      <w:tr w14:paraId="67DDDE7C" w14:textId="77777777" w:rsidTr="003C21A1">
        <w:tblPrEx>
          <w:tblW w:w="0" w:type="auto"/>
          <w:tblLook w:val="04A0"/>
        </w:tblPrEx>
        <w:tc>
          <w:tcPr>
            <w:tcW w:w="4675" w:type="dxa"/>
          </w:tcPr>
          <w:p w:rsidR="00F30919" w:rsidRPr="00653814" w:rsidP="00F30919" w14:paraId="534F7F8F" w14:textId="71EF271C">
            <w:pPr>
              <w:jc w:val="center"/>
              <w:rPr>
                <w:sz w:val="24"/>
                <w:szCs w:val="24"/>
              </w:rPr>
            </w:pPr>
            <w:r w:rsidRPr="00653814">
              <w:rPr>
                <w:rFonts w:cs="ITCFranklinGothicStd-BkCd"/>
                <w:sz w:val="24"/>
                <w:szCs w:val="24"/>
              </w:rPr>
              <w:t xml:space="preserve">Collection </w:t>
            </w:r>
            <w:r w:rsidR="002B4F66">
              <w:rPr>
                <w:rFonts w:cs="ITCFranklinGothicStd-BkCd"/>
                <w:sz w:val="24"/>
                <w:szCs w:val="24"/>
              </w:rPr>
              <w:t>continues with PRA clearance</w:t>
            </w:r>
          </w:p>
        </w:tc>
        <w:tc>
          <w:tcPr>
            <w:tcW w:w="4675" w:type="dxa"/>
          </w:tcPr>
          <w:p w:rsidR="00F30919" w:rsidRPr="00653814" w:rsidP="00F30919" w14:paraId="2BDD67A5" w14:textId="42893487">
            <w:pPr>
              <w:jc w:val="center"/>
              <w:rPr>
                <w:sz w:val="24"/>
                <w:szCs w:val="24"/>
              </w:rPr>
            </w:pPr>
            <w:r>
              <w:rPr>
                <w:rFonts w:cs="ITCFranklinGothicStd-BkCd"/>
                <w:sz w:val="24"/>
                <w:szCs w:val="24"/>
              </w:rPr>
              <w:t>Beginning January</w:t>
            </w:r>
            <w:r w:rsidRPr="00653814" w:rsidR="002B4F66">
              <w:rPr>
                <w:rFonts w:cs="ITCFranklinGothicStd-BkCd"/>
                <w:sz w:val="24"/>
                <w:szCs w:val="24"/>
              </w:rPr>
              <w:t xml:space="preserve"> </w:t>
            </w:r>
            <w:r w:rsidRPr="00653814" w:rsidR="00653814">
              <w:rPr>
                <w:rFonts w:cs="ITCFranklinGothicStd-BkCd"/>
                <w:sz w:val="24"/>
                <w:szCs w:val="24"/>
              </w:rPr>
              <w:t>202</w:t>
            </w:r>
            <w:r>
              <w:rPr>
                <w:rFonts w:cs="ITCFranklinGothicStd-BkCd"/>
                <w:sz w:val="24"/>
                <w:szCs w:val="24"/>
              </w:rPr>
              <w:t>3</w:t>
            </w:r>
          </w:p>
        </w:tc>
      </w:tr>
      <w:tr w14:paraId="6E24D274" w14:textId="77777777" w:rsidTr="003C21A1">
        <w:tblPrEx>
          <w:tblW w:w="0" w:type="auto"/>
          <w:tblLook w:val="04A0"/>
        </w:tblPrEx>
        <w:tc>
          <w:tcPr>
            <w:tcW w:w="4675" w:type="dxa"/>
          </w:tcPr>
          <w:p w:rsidR="00F30919" w:rsidRPr="00653814" w:rsidP="00F30919" w14:paraId="6ED5C938" w14:textId="59643BCD">
            <w:pPr>
              <w:jc w:val="center"/>
              <w:rPr>
                <w:sz w:val="24"/>
                <w:szCs w:val="24"/>
              </w:rPr>
            </w:pPr>
            <w:r w:rsidRPr="00653814">
              <w:rPr>
                <w:rFonts w:cs="ITCFranklinGothicStd-BkCd"/>
                <w:sz w:val="24"/>
                <w:szCs w:val="24"/>
              </w:rPr>
              <w:t>Analyses</w:t>
            </w:r>
          </w:p>
        </w:tc>
        <w:tc>
          <w:tcPr>
            <w:tcW w:w="4675" w:type="dxa"/>
          </w:tcPr>
          <w:p w:rsidR="00F30919" w:rsidRPr="00653814" w:rsidP="00F30919" w14:paraId="1A955684" w14:textId="4989071B">
            <w:pPr>
              <w:jc w:val="center"/>
              <w:rPr>
                <w:sz w:val="24"/>
                <w:szCs w:val="24"/>
              </w:rPr>
            </w:pPr>
            <w:r w:rsidRPr="00653814">
              <w:rPr>
                <w:rFonts w:cs="ITCFranklinGothicStd-BkCd"/>
                <w:sz w:val="24"/>
                <w:szCs w:val="24"/>
              </w:rPr>
              <w:t>As needed</w:t>
            </w:r>
          </w:p>
        </w:tc>
      </w:tr>
      <w:tr w14:paraId="78FD6E78" w14:textId="77777777" w:rsidTr="003C21A1">
        <w:tblPrEx>
          <w:tblW w:w="0" w:type="auto"/>
          <w:tblLook w:val="04A0"/>
        </w:tblPrEx>
        <w:tc>
          <w:tcPr>
            <w:tcW w:w="4675" w:type="dxa"/>
          </w:tcPr>
          <w:p w:rsidR="00F30919" w:rsidRPr="00653814" w:rsidP="00F30919" w14:paraId="15AA9771" w14:textId="68F542E9">
            <w:pPr>
              <w:jc w:val="center"/>
              <w:rPr>
                <w:sz w:val="24"/>
                <w:szCs w:val="24"/>
              </w:rPr>
            </w:pPr>
            <w:r w:rsidRPr="00653814">
              <w:rPr>
                <w:rFonts w:cs="ITCFranklinGothicStd-BkCd"/>
                <w:sz w:val="24"/>
                <w:szCs w:val="24"/>
              </w:rPr>
              <w:t>Publication</w:t>
            </w:r>
          </w:p>
        </w:tc>
        <w:tc>
          <w:tcPr>
            <w:tcW w:w="4675" w:type="dxa"/>
          </w:tcPr>
          <w:p w:rsidR="00F30919" w:rsidRPr="006065B9" w:rsidP="00F30919" w14:paraId="4C8081B9" w14:textId="092B998C">
            <w:pPr>
              <w:jc w:val="center"/>
              <w:rPr>
                <w:sz w:val="24"/>
                <w:szCs w:val="24"/>
              </w:rPr>
            </w:pPr>
            <w:r w:rsidRPr="00653814">
              <w:rPr>
                <w:rFonts w:cs="ITCFranklinGothicStd-BkCd"/>
                <w:sz w:val="24"/>
                <w:szCs w:val="24"/>
              </w:rPr>
              <w:t>TBD if applicable</w:t>
            </w:r>
          </w:p>
        </w:tc>
      </w:tr>
    </w:tbl>
    <w:p w:rsidR="003C21A1" w:rsidRPr="00D20211" w:rsidP="003248A4" w14:paraId="53C48A52" w14:textId="77777777">
      <w:pPr>
        <w:spacing w:line="240" w:lineRule="auto"/>
        <w:rPr>
          <w:sz w:val="24"/>
          <w:szCs w:val="24"/>
        </w:rPr>
      </w:pPr>
    </w:p>
    <w:p w:rsidR="00B45002" w:rsidRPr="00D20211" w:rsidP="00601F1A" w14:paraId="17A1701D" w14:textId="6DB283C5">
      <w:pPr>
        <w:pStyle w:val="Heading1"/>
        <w:pBdr>
          <w:bottom w:val="none" w:sz="0" w:space="0" w:color="auto"/>
        </w:pBdr>
        <w:rPr>
          <w:color w:val="auto"/>
        </w:rPr>
      </w:pPr>
      <w:bookmarkStart w:id="53" w:name="_Toc31301607"/>
      <w:bookmarkStart w:id="54" w:name="_Toc121132862"/>
      <w:r w:rsidRPr="00330F0A">
        <w:rPr>
          <w:color w:val="auto"/>
        </w:rPr>
        <w:t>A.</w:t>
      </w:r>
      <w:r w:rsidRPr="00330F0A" w:rsidR="00AC62CC">
        <w:rPr>
          <w:color w:val="auto"/>
        </w:rPr>
        <w:t xml:space="preserve">17.  </w:t>
      </w:r>
      <w:r w:rsidRPr="00330F0A">
        <w:rPr>
          <w:color w:val="auto"/>
        </w:rPr>
        <w:t>Reason(s) Display of OMB Expiration Date is Inappropriate</w:t>
      </w:r>
      <w:bookmarkEnd w:id="53"/>
      <w:bookmarkEnd w:id="54"/>
    </w:p>
    <w:p w:rsidR="005B6E55" w:rsidRPr="00330F0A" w:rsidP="005B6E55" w14:paraId="7135D023" w14:textId="6FA3FB0F">
      <w:pPr>
        <w:rPr>
          <w:sz w:val="24"/>
        </w:rPr>
      </w:pPr>
    </w:p>
    <w:p w:rsidR="00330F0A" w:rsidP="005B6E55" w14:paraId="7DE99353" w14:textId="677A80E4">
      <w:pPr>
        <w:rPr>
          <w:sz w:val="24"/>
        </w:rPr>
      </w:pPr>
      <w:r w:rsidRPr="00330F0A">
        <w:rPr>
          <w:sz w:val="24"/>
        </w:rPr>
        <w:t>The display of the OMB expiration date is appropriate.</w:t>
      </w:r>
    </w:p>
    <w:p w:rsidR="008C154D" w:rsidP="0097091A" w14:paraId="661E4960" w14:textId="4D833C72">
      <w:pPr>
        <w:pStyle w:val="Heading1"/>
        <w:pBdr>
          <w:bottom w:val="none" w:sz="0" w:space="0" w:color="auto"/>
        </w:pBdr>
      </w:pPr>
      <w:bookmarkStart w:id="55" w:name="_Toc31301608"/>
      <w:bookmarkStart w:id="56" w:name="_Toc121132863"/>
      <w:r w:rsidRPr="00330F0A">
        <w:rPr>
          <w:color w:val="auto"/>
        </w:rPr>
        <w:t>A.</w:t>
      </w:r>
      <w:r w:rsidRPr="00330F0A" w:rsidR="00B45002">
        <w:rPr>
          <w:color w:val="auto"/>
        </w:rPr>
        <w:t>18</w:t>
      </w:r>
      <w:r w:rsidRPr="00330F0A" w:rsidR="00AC62CC">
        <w:rPr>
          <w:color w:val="auto"/>
        </w:rPr>
        <w:t xml:space="preserve">.  </w:t>
      </w:r>
      <w:r w:rsidRPr="00330F0A" w:rsidR="00B45002">
        <w:rPr>
          <w:color w:val="auto"/>
        </w:rPr>
        <w:t>Exceptions to Certification for Paperwork Reduction Act Submissions</w:t>
      </w:r>
      <w:bookmarkEnd w:id="55"/>
      <w:bookmarkEnd w:id="56"/>
    </w:p>
    <w:p w:rsidR="00330F0A" w:rsidP="00330F0A" w14:paraId="332CDD15" w14:textId="77777777">
      <w:pPr>
        <w:tabs>
          <w:tab w:val="right" w:pos="9360"/>
        </w:tabs>
        <w:spacing w:after="0" w:line="276" w:lineRule="auto"/>
        <w:rPr>
          <w:rFonts w:ascii="Cambria" w:hAnsi="Cambria"/>
          <w:b/>
          <w:sz w:val="24"/>
        </w:rPr>
      </w:pPr>
    </w:p>
    <w:p w:rsidR="00620087" w:rsidP="00E43C6B" w14:paraId="00A0B253" w14:textId="4BE779A5">
      <w:pPr>
        <w:tabs>
          <w:tab w:val="right" w:pos="9360"/>
        </w:tabs>
        <w:spacing w:after="0" w:line="276" w:lineRule="auto"/>
        <w:rPr>
          <w:sz w:val="24"/>
        </w:rPr>
      </w:pPr>
      <w:r>
        <w:rPr>
          <w:sz w:val="24"/>
        </w:rPr>
        <w:t>There are no exceptions to the certification.  These activities comply with the requirements in 5 CFR 1320.9.</w:t>
      </w:r>
    </w:p>
    <w:p w:rsidR="000D7A3D" w:rsidRPr="00E43C6B" w:rsidP="00E43C6B" w14:paraId="0A329692" w14:textId="77777777">
      <w:pPr>
        <w:tabs>
          <w:tab w:val="right" w:pos="9360"/>
        </w:tabs>
        <w:spacing w:after="0" w:line="276" w:lineRule="auto"/>
        <w:rPr>
          <w:sz w:val="24"/>
        </w:rPr>
      </w:pPr>
    </w:p>
    <w:p w:rsidR="001E595A" w:rsidRPr="00276CD8" w:rsidP="0097091A" w14:paraId="0CC1ADDF" w14:textId="5D68EA9E">
      <w:pPr>
        <w:pStyle w:val="Heading1"/>
        <w:pBdr>
          <w:bottom w:val="none" w:sz="0" w:space="0" w:color="auto"/>
        </w:pBdr>
        <w:spacing w:after="240"/>
      </w:pPr>
      <w:bookmarkStart w:id="57" w:name="_Toc31301609"/>
      <w:bookmarkStart w:id="58" w:name="_Toc121132864"/>
      <w:r w:rsidRPr="0097091A">
        <w:rPr>
          <w:color w:val="auto"/>
        </w:rPr>
        <w:t>References</w:t>
      </w:r>
      <w:bookmarkEnd w:id="57"/>
      <w:bookmarkEnd w:id="58"/>
    </w:p>
    <w:p w:rsidR="00B6481C" w:rsidRPr="00B6481C" w:rsidP="00010C49" w14:paraId="2A64C2FF" w14:textId="28F26A8E">
      <w:pPr>
        <w:rPr>
          <w:sz w:val="24"/>
          <w:szCs w:val="24"/>
        </w:rPr>
      </w:pPr>
      <w:r w:rsidRPr="00B6481C">
        <w:rPr>
          <w:sz w:val="24"/>
          <w:szCs w:val="24"/>
        </w:rPr>
        <w:t xml:space="preserve">U.S. Drug Enforcement Agency (DEA). 2016-2021. </w:t>
      </w:r>
      <w:r w:rsidRPr="00E801D6">
        <w:rPr>
          <w:sz w:val="24"/>
          <w:szCs w:val="24"/>
        </w:rPr>
        <w:t>DEA Emerging Threat Reports</w:t>
      </w:r>
      <w:r>
        <w:rPr>
          <w:sz w:val="24"/>
          <w:szCs w:val="24"/>
        </w:rPr>
        <w:t>. (</w:t>
      </w:r>
      <w:r w:rsidRPr="00E801D6">
        <w:rPr>
          <w:sz w:val="24"/>
          <w:szCs w:val="24"/>
        </w:rPr>
        <w:t>CESAR</w:t>
      </w:r>
      <w:r>
        <w:rPr>
          <w:sz w:val="24"/>
          <w:szCs w:val="24"/>
        </w:rPr>
        <w:t>)</w:t>
      </w:r>
      <w:r w:rsidRPr="00E801D6">
        <w:rPr>
          <w:sz w:val="24"/>
          <w:szCs w:val="24"/>
        </w:rPr>
        <w:t xml:space="preserve"> Center for Substance Abuse Research</w:t>
      </w:r>
      <w:r>
        <w:rPr>
          <w:sz w:val="24"/>
          <w:szCs w:val="24"/>
        </w:rPr>
        <w:t xml:space="preserve">. </w:t>
      </w:r>
      <w:r w:rsidRPr="00E801D6">
        <w:rPr>
          <w:sz w:val="24"/>
          <w:szCs w:val="24"/>
        </w:rPr>
        <w:t xml:space="preserve">University of Maryland. </w:t>
      </w:r>
      <w:r>
        <w:rPr>
          <w:sz w:val="24"/>
          <w:szCs w:val="24"/>
        </w:rPr>
        <w:t>(</w:t>
      </w:r>
      <w:r w:rsidRPr="00E801D6">
        <w:rPr>
          <w:sz w:val="24"/>
          <w:szCs w:val="24"/>
        </w:rPr>
        <w:t xml:space="preserve">Accessed 07/14/2022 at </w:t>
      </w:r>
      <w:hyperlink r:id="rId6" w:anchor=":~:text=DEA%20Emerging%20Threat%20Reports%20The%20Drug%20Enforcement%20Administration%27s,analyzed%20by%20the%20Drug%20Enforcement%20Administration%E2%80%99s%20laboratory%20system" w:history="1">
        <w:r w:rsidRPr="00A7611F" w:rsidR="00010C49">
          <w:rPr>
            <w:rStyle w:val="Hyperlink"/>
            <w:sz w:val="24"/>
            <w:szCs w:val="24"/>
          </w:rPr>
          <w:t>https://cesar.umd.edu/publications/dea-emerging-threat-reports#:~:text=DEA%20Emerging%20Threat%20Reports%20The%20Drug%20Enforcement%20Administration%27s,analyzed%20by%20the%20Drug%20Enforcement%20Administration%E2%80%99s%20laboratory%20system</w:t>
        </w:r>
      </w:hyperlink>
      <w:r w:rsidR="00010C49">
        <w:rPr>
          <w:sz w:val="24"/>
          <w:szCs w:val="24"/>
        </w:rPr>
        <w:t>.</w:t>
      </w:r>
      <w:r>
        <w:rPr>
          <w:sz w:val="24"/>
          <w:szCs w:val="24"/>
        </w:rPr>
        <w:t>)</w:t>
      </w:r>
    </w:p>
    <w:p w:rsidR="007F57E3" w:rsidRPr="007F57E3" w:rsidP="00010C49" w14:paraId="5A11F8ED" w14:textId="1F2A073F">
      <w:pPr>
        <w:rPr>
          <w:sz w:val="24"/>
          <w:szCs w:val="24"/>
        </w:rPr>
      </w:pPr>
      <w:r w:rsidRPr="007F57E3">
        <w:rPr>
          <w:sz w:val="24"/>
          <w:szCs w:val="24"/>
        </w:rPr>
        <w:t xml:space="preserve">U.S. Drug Enforcement Agency (DEA). </w:t>
      </w:r>
      <w:r>
        <w:rPr>
          <w:sz w:val="24"/>
          <w:szCs w:val="24"/>
        </w:rPr>
        <w:t xml:space="preserve">2021. </w:t>
      </w:r>
      <w:r w:rsidRPr="00E801D6">
        <w:rPr>
          <w:sz w:val="24"/>
          <w:szCs w:val="24"/>
        </w:rPr>
        <w:t>2020 National Drug Threat Assessment (NDTA)</w:t>
      </w:r>
      <w:r>
        <w:rPr>
          <w:sz w:val="24"/>
          <w:szCs w:val="24"/>
        </w:rPr>
        <w:t xml:space="preserve">. </w:t>
      </w:r>
      <w:r w:rsidRPr="00217933">
        <w:rPr>
          <w:sz w:val="24"/>
          <w:szCs w:val="24"/>
        </w:rPr>
        <w:t xml:space="preserve">(Accessed 07/14/2022 at </w:t>
      </w:r>
      <w:hyperlink r:id="rId23" w:history="1">
        <w:r w:rsidRPr="00481E00">
          <w:rPr>
            <w:rStyle w:val="Hyperlink"/>
            <w:sz w:val="24"/>
            <w:szCs w:val="24"/>
          </w:rPr>
          <w:t>https://www.dea.gov/sites/default/files/2021-02/DIR-008-21%202020%20National%20Drug%20Threat%20Assessment_WEB.pdf</w:t>
        </w:r>
      </w:hyperlink>
      <w:r>
        <w:rPr>
          <w:sz w:val="24"/>
          <w:szCs w:val="24"/>
        </w:rPr>
        <w:t>)</w:t>
      </w:r>
    </w:p>
    <w:p w:rsidR="009852B6" w:rsidRPr="00217933" w:rsidP="00010C49" w14:paraId="7E7EB7FE" w14:textId="21149CA4">
      <w:pPr>
        <w:rPr>
          <w:sz w:val="24"/>
          <w:szCs w:val="24"/>
        </w:rPr>
      </w:pPr>
      <w:r w:rsidRPr="007F57E3">
        <w:rPr>
          <w:sz w:val="24"/>
          <w:szCs w:val="24"/>
        </w:rPr>
        <w:t xml:space="preserve">U.S. Government Accountability Office (GAO). </w:t>
      </w:r>
      <w:r w:rsidR="007F57E3">
        <w:rPr>
          <w:sz w:val="24"/>
          <w:szCs w:val="24"/>
        </w:rPr>
        <w:t xml:space="preserve">2018. </w:t>
      </w:r>
      <w:r w:rsidRPr="00E801D6">
        <w:rPr>
          <w:sz w:val="24"/>
          <w:szCs w:val="24"/>
        </w:rPr>
        <w:t>Opioid Crisis: Status of Public Health Emergency Authorities (GAO-18-685R). 2018</w:t>
      </w:r>
      <w:r w:rsidRPr="00217933">
        <w:rPr>
          <w:sz w:val="24"/>
          <w:szCs w:val="24"/>
        </w:rPr>
        <w:t xml:space="preserve">. (Accessed 07/14/2022 at </w:t>
      </w:r>
      <w:hyperlink r:id="rId24" w:history="1">
        <w:r w:rsidRPr="00E801D6" w:rsidR="00217933">
          <w:rPr>
            <w:rStyle w:val="Hyperlink"/>
            <w:sz w:val="24"/>
            <w:szCs w:val="24"/>
          </w:rPr>
          <w:t>https://www.gao.gov/assets/gao-18-685r.pdf</w:t>
        </w:r>
      </w:hyperlink>
      <w:r w:rsidRPr="00217933">
        <w:rPr>
          <w:sz w:val="24"/>
          <w:szCs w:val="24"/>
        </w:rPr>
        <w:t>)</w:t>
      </w:r>
    </w:p>
    <w:p w:rsidR="005A1234" w:rsidRPr="004F579E" w:rsidP="004F579E" w14:paraId="0F1AA6F1" w14:textId="375F38DE">
      <w:pPr>
        <w:rPr>
          <w:color w:val="000000"/>
        </w:rPr>
      </w:pPr>
      <w:r w:rsidRPr="004F579E">
        <w:t xml:space="preserve">Hargan ED. 2017. </w:t>
      </w:r>
      <w:r w:rsidRPr="004F579E" w:rsidR="00746233">
        <w:t>HHS Acti</w:t>
      </w:r>
      <w:r w:rsidRPr="004F579E" w:rsidR="00746233">
        <w:rPr>
          <w:color w:val="000000"/>
        </w:rPr>
        <w:t>ng Secretary Declares Public Health Emergency to Address National Opioid Crisis</w:t>
      </w:r>
      <w:r w:rsidRPr="004F579E">
        <w:t xml:space="preserve">. (Accessed 07/14/2022 at </w:t>
      </w:r>
      <w:hyperlink r:id="rId25" w:history="1">
        <w:r w:rsidRPr="009A2BD6" w:rsidR="00746233">
          <w:rPr>
            <w:rStyle w:val="Hyperlink"/>
            <w:sz w:val="24"/>
          </w:rPr>
          <w:t>https://public3.pagefreezer.com/browse/HHS.gov/31-12-2020T08:51/https://www.hhs.gov/about/news/2017/10/26/hhs-acting-secretary-declares-public-health-emergency-address-national-opioid-crisis.html</w:t>
        </w:r>
      </w:hyperlink>
      <w:r w:rsidRPr="004F579E" w:rsidR="00746233">
        <w:t xml:space="preserve"> and at </w:t>
      </w:r>
      <w:hyperlink r:id="rId26" w:history="1">
        <w:r w:rsidRPr="009A2BD6" w:rsidR="00010C49">
          <w:rPr>
            <w:rStyle w:val="Hyperlink"/>
            <w:sz w:val="24"/>
          </w:rPr>
          <w:t>https://public3.pagefreezer.com/browse/HHS.gov/31-12-2020T08:51/https://www.hhs.gov/sites/default/files/opioid%20PHE%20Declaration-no-sig.pdf</w:t>
        </w:r>
      </w:hyperlink>
      <w:r w:rsidRPr="004F579E" w:rsidR="00010C49">
        <w:t>).</w:t>
      </w:r>
    </w:p>
    <w:p w:rsidR="00217933" w:rsidRPr="004F579E" w:rsidP="00D96459" w14:paraId="0ECFCB1D" w14:textId="36A96972">
      <w:r w:rsidRPr="004F579E">
        <w:t xml:space="preserve">Hedegaard H, Miniño AM, Spencer MR, Warner M. Drug overdose deaths in the United States, 1999–2020. NCHS Data Brief, no 428. Hyattsville, MD: National Center for Health Statistics. 2021. DOI: </w:t>
      </w:r>
      <w:hyperlink r:id="rId27" w:history="1">
        <w:r w:rsidRPr="00E801D6" w:rsidR="007F57E3">
          <w:rPr>
            <w:rStyle w:val="Hyperlink"/>
            <w:sz w:val="24"/>
            <w:szCs w:val="24"/>
          </w:rPr>
          <w:t>https://dx.doi.org/10.15620/cdc:112340</w:t>
        </w:r>
      </w:hyperlink>
      <w:r w:rsidRPr="004F579E">
        <w:t>.</w:t>
      </w:r>
      <w:r w:rsidRPr="004F579E" w:rsidR="007F57E3">
        <w:t xml:space="preserve"> (Accessed 07/14/2022 at </w:t>
      </w:r>
      <w:hyperlink r:id="rId28" w:history="1">
        <w:r w:rsidRPr="00A7611F" w:rsidR="00010C49">
          <w:rPr>
            <w:rStyle w:val="Hyperlink"/>
            <w:sz w:val="24"/>
            <w:szCs w:val="24"/>
          </w:rPr>
          <w:t>https://www.cdc.gov/nchs/products/databriefs/db428.htm</w:t>
        </w:r>
      </w:hyperlink>
      <w:r w:rsidRPr="004F579E" w:rsidR="00010C49">
        <w:t>)</w:t>
      </w:r>
    </w:p>
    <w:p w:rsidR="00A60D52" w:rsidRPr="004F579E" w:rsidP="004F579E" w14:paraId="716F72F1" w14:textId="05FEF4EE">
      <w:pPr>
        <w:rPr>
          <w:color w:val="000000"/>
        </w:rPr>
      </w:pPr>
      <w:r w:rsidRPr="004F579E">
        <w:rPr>
          <w:color w:val="000000"/>
        </w:rPr>
        <w:t>Traceable Opioid Material</w:t>
      </w:r>
      <w:r w:rsidRPr="004F579E">
        <w:rPr>
          <w:color w:val="000000"/>
          <w:vertAlign w:val="superscript"/>
        </w:rPr>
        <w:t>®</w:t>
      </w:r>
      <w:r w:rsidRPr="004F579E">
        <w:rPr>
          <w:color w:val="000000"/>
        </w:rPr>
        <w:t xml:space="preserve"> Kits to Improve Laboratory Detection of Synthetic Opioids in the U.S. </w:t>
      </w:r>
      <w:hyperlink r:id="rId9" w:history="1">
        <w:r w:rsidRPr="009A2BD6" w:rsidR="002B4F66">
          <w:rPr>
            <w:rStyle w:val="Hyperlink"/>
            <w:sz w:val="24"/>
          </w:rPr>
          <w:t>https://www.cdc.gov/nceh/dls/erb_opioid_kits.html</w:t>
        </w:r>
      </w:hyperlink>
    </w:p>
    <w:p w:rsidR="00A60D52" w:rsidRPr="004F579E" w:rsidP="004F579E" w14:paraId="48E9AD5D" w14:textId="4FD5E970">
      <w:hyperlink r:id="rId29" w:history="1">
        <w:r w:rsidRPr="00010C49">
          <w:rPr>
            <w:rStyle w:val="Hyperlink"/>
            <w:rFonts w:cstheme="minorHAnsi"/>
            <w:sz w:val="24"/>
            <w:szCs w:val="24"/>
          </w:rPr>
          <w:t>https://www.cdc.gov/nceh/dls/pdf/Opiod_Factsheet-508.pdf</w:t>
        </w:r>
      </w:hyperlink>
    </w:p>
    <w:p w:rsidR="00A60D52" w:rsidRPr="004F579E" w:rsidP="004F579E" w14:paraId="71AE853A" w14:textId="3E67C42C">
      <w:hyperlink r:id="rId30" w:history="1">
        <w:r w:rsidRPr="00010C49">
          <w:rPr>
            <w:rStyle w:val="Hyperlink"/>
            <w:rFonts w:cstheme="minorHAnsi"/>
            <w:sz w:val="24"/>
            <w:szCs w:val="24"/>
          </w:rPr>
          <w:t>https://www.caymanchem.com/forensics/faskit/?q=*%3A*</w:t>
        </w:r>
      </w:hyperlink>
    </w:p>
    <w:p w:rsidR="008C154D" w:rsidRPr="008B24CB" w:rsidP="008C154D" w14:paraId="000E963E" w14:textId="21654327">
      <w:pPr>
        <w:rPr>
          <w:rFonts w:ascii="Cambria" w:hAnsi="Cambria"/>
          <w:sz w:val="32"/>
          <w:szCs w:val="32"/>
        </w:rPr>
      </w:pPr>
    </w:p>
    <w:sectPr w:rsidSect="000F7102">
      <w:footerReference w:type="default" r:id="rId31"/>
      <w:type w:val="continuous"/>
      <w:pgSz w:w="12240" w:h="15840" w:code="1"/>
      <w:pgMar w:top="1440" w:right="1440" w:bottom="1440" w:left="1440" w:header="720" w:footer="2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02" w14:paraId="0E9480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09E" w:rsidRPr="00E87AB9" w:rsidP="00D6709E" w14:paraId="72667F45" w14:textId="77777777">
    <w:pPr>
      <w:pStyle w:val="Footer"/>
      <w:rPr>
        <w:sz w:val="18"/>
        <w:szCs w:val="18"/>
      </w:rPr>
    </w:pPr>
    <w:r w:rsidRPr="00E87AB9">
      <w:rPr>
        <w:sz w:val="18"/>
        <w:szCs w:val="18"/>
      </w:rPr>
      <w:t>*TRACEABLE OPIOID MATERIAL, TOM KITS, and the TOM KITS logo are marks of the U.S. Department of Health and Human Services</w:t>
    </w:r>
  </w:p>
  <w:p w:rsidR="009B6132" w14:paraId="36D5F9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02" w14:paraId="4DB17C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45903"/>
      <w:docPartObj>
        <w:docPartGallery w:val="Page Numbers (Bottom of Page)"/>
        <w:docPartUnique/>
      </w:docPartObj>
    </w:sdtPr>
    <w:sdtEndPr>
      <w:rPr>
        <w:noProof/>
      </w:rPr>
    </w:sdtEndPr>
    <w:sdtContent>
      <w:p w:rsidR="00AD6861" w14:paraId="7F766B5B" w14:textId="3E2893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D6861" w14:paraId="08F2E1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C2E9E" w:rsidP="008B5D54" w14:paraId="1E2B8C09" w14:textId="77777777">
      <w:r>
        <w:separator/>
      </w:r>
    </w:p>
  </w:footnote>
  <w:footnote w:type="continuationSeparator" w:id="1">
    <w:p w:rsidR="00AC2E9E" w:rsidP="008B5D54" w14:paraId="519E21C7" w14:textId="77777777">
      <w:r>
        <w:continuationSeparator/>
      </w:r>
    </w:p>
  </w:footnote>
  <w:footnote w:type="continuationNotice" w:id="2">
    <w:p w:rsidR="00AC2E9E" w14:paraId="455F63D4" w14:textId="77777777">
      <w:pPr>
        <w:spacing w:after="0" w:line="240" w:lineRule="auto"/>
      </w:pPr>
    </w:p>
  </w:footnote>
  <w:footnote w:id="3">
    <w:p w:rsidR="001D020E" w:rsidP="001D020E" w14:paraId="1617CDF9" w14:textId="6A6BAB49">
      <w:pPr>
        <w:pStyle w:val="FootnoteText"/>
      </w:pPr>
      <w:r>
        <w:rPr>
          <w:rStyle w:val="FootnoteReference"/>
        </w:rPr>
        <w:footnoteRef/>
      </w:r>
      <w:r w:rsidR="00217933">
        <w:t xml:space="preserve"> </w:t>
      </w:r>
      <w:r>
        <w:t>Public Health Emergency Declarations:</w:t>
      </w:r>
      <w:r w:rsidR="00217933">
        <w:t xml:space="preserve"> </w:t>
      </w:r>
      <w:hyperlink r:id="rId1" w:history="1">
        <w:r w:rsidRPr="00217933" w:rsidR="00217933">
          <w:rPr>
            <w:rStyle w:val="Hyperlink"/>
          </w:rPr>
          <w:t>https://www.phe.gov/emergency/news/healthactions/phe/Pages/default.aspx</w:t>
        </w:r>
      </w:hyperlink>
      <w:r>
        <w:t>.</w:t>
      </w:r>
    </w:p>
  </w:footnote>
  <w:footnote w:id="4">
    <w:p w:rsidR="00AD6861" w14:paraId="02A97128" w14:textId="71A758EA">
      <w:pPr>
        <w:pStyle w:val="FootnoteText"/>
      </w:pPr>
      <w:r>
        <w:rPr>
          <w:rStyle w:val="FootnoteReference"/>
        </w:rPr>
        <w:footnoteRef/>
      </w:r>
      <w:r>
        <w:t xml:space="preserve"> See CDC TOM Kits website at </w:t>
      </w:r>
      <w:hyperlink r:id="rId2" w:history="1">
        <w:r w:rsidRPr="008E4775" w:rsidR="00BA3D9C">
          <w:rPr>
            <w:rStyle w:val="Hyperlink"/>
          </w:rPr>
          <w:t>https://www.cdc.gov/nceh/dls/erb_opioid_kits.html</w:t>
        </w:r>
      </w:hyperlink>
      <w:r w:rsidR="00BA3D9C">
        <w:t xml:space="preserve">. </w:t>
      </w:r>
    </w:p>
  </w:footnote>
  <w:footnote w:id="5">
    <w:p w:rsidR="001C6FA1" w14:paraId="5DC4C937" w14:textId="434B60A1">
      <w:pPr>
        <w:pStyle w:val="FootnoteText"/>
      </w:pPr>
      <w:r>
        <w:rPr>
          <w:rStyle w:val="FootnoteReference"/>
        </w:rPr>
        <w:footnoteRef/>
      </w:r>
      <w:r>
        <w:t xml:space="preserve"> </w:t>
      </w:r>
      <w:hyperlink r:id="rId3" w:history="1">
        <w:r>
          <w:rPr>
            <w:rStyle w:val="Hyperlink"/>
          </w:rPr>
          <w:t>Fentanyl Analog Screening Kit (FAS Kit) and Emergent Panels | CDC</w:t>
        </w:r>
      </w:hyperlink>
    </w:p>
  </w:footnote>
  <w:footnote w:id="6">
    <w:p w:rsidR="00AD6861" w14:paraId="195DF699" w14:textId="2F5B7467">
      <w:pPr>
        <w:pStyle w:val="FootnoteText"/>
      </w:pPr>
      <w:r>
        <w:rPr>
          <w:rStyle w:val="FootnoteReference"/>
        </w:rPr>
        <w:footnoteRef/>
      </w:r>
      <w:r>
        <w:t xml:space="preserve"> Cayman Chemical - </w:t>
      </w:r>
      <w:hyperlink r:id="rId4" w:history="1">
        <w:r w:rsidRPr="00405102">
          <w:rPr>
            <w:rStyle w:val="Hyperlink"/>
          </w:rPr>
          <w:t>https://www.caymanchem.com/</w:t>
        </w:r>
      </w:hyperlink>
      <w:r>
        <w:t xml:space="preserve">  </w:t>
      </w:r>
    </w:p>
  </w:footnote>
  <w:footnote w:id="7">
    <w:p w:rsidR="00725CDB" w14:paraId="3DD5851A" w14:textId="0C95F6F5">
      <w:pPr>
        <w:pStyle w:val="FootnoteText"/>
      </w:pPr>
      <w:r>
        <w:rPr>
          <w:rStyle w:val="FootnoteReference"/>
        </w:rPr>
        <w:footnoteRef/>
      </w:r>
      <w:r>
        <w:t xml:space="preserve"> Available at </w:t>
      </w:r>
      <w:r w:rsidRPr="00725CDB">
        <w:t>https://www.cdc.gov/nceh/dls/erb_opioid_kits.html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02" w14:paraId="7E5DC0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02" w14:paraId="0AD320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102" w14:paraId="1CFC65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6C28CC"/>
    <w:multiLevelType w:val="hybridMultilevel"/>
    <w:tmpl w:val="E96ED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CE4949"/>
    <w:multiLevelType w:val="hybridMultilevel"/>
    <w:tmpl w:val="BBA06D04"/>
    <w:lvl w:ilvl="0">
      <w:start w:val="3"/>
      <w:numFmt w:val="decimal"/>
      <w:lvlText w:val="%1."/>
      <w:lvlJc w:val="left"/>
      <w:pPr>
        <w:ind w:left="1233" w:hanging="320"/>
      </w:pPr>
      <w:rPr>
        <w:rFonts w:ascii="Calibri" w:eastAsia="Calibri" w:hAnsi="Calibri" w:cs="Calibri" w:hint="default"/>
        <w:b w:val="0"/>
        <w:bCs w:val="0"/>
        <w:color w:val="auto"/>
        <w:spacing w:val="-1"/>
        <w:w w:val="99"/>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D963C0"/>
    <w:multiLevelType w:val="hybridMultilevel"/>
    <w:tmpl w:val="3432C25A"/>
    <w:lvl w:ilvl="0">
      <w:start w:val="6"/>
      <w:numFmt w:val="decimal"/>
      <w:lvlText w:val="%1."/>
      <w:lvlJc w:val="left"/>
      <w:pPr>
        <w:ind w:left="1233" w:hanging="320"/>
      </w:pPr>
      <w:rPr>
        <w:rFonts w:ascii="Calibri" w:eastAsia="Calibri" w:hAnsi="Calibri" w:cs="Calibri" w:hint="default"/>
        <w:b w:val="0"/>
        <w:bCs w:val="0"/>
        <w:i w:val="0"/>
        <w:iCs/>
        <w:color w:val="auto"/>
        <w:spacing w:val="-1"/>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033820"/>
    <w:multiLevelType w:val="hybridMultilevel"/>
    <w:tmpl w:val="44DC2126"/>
    <w:lvl w:ilvl="0">
      <w:start w:val="5"/>
      <w:numFmt w:val="decimal"/>
      <w:lvlText w:val="%1."/>
      <w:lvlJc w:val="left"/>
      <w:pPr>
        <w:ind w:left="1233" w:hanging="320"/>
      </w:pPr>
      <w:rPr>
        <w:rFonts w:ascii="Calibri" w:eastAsia="Calibri" w:hAnsi="Calibri" w:cs="Calibri" w:hint="default"/>
        <w:b w:val="0"/>
        <w:bCs w:val="0"/>
        <w:i w:val="0"/>
        <w:iCs/>
        <w:color w:val="auto"/>
        <w:spacing w:val="-1"/>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2D0603"/>
    <w:multiLevelType w:val="hybridMultilevel"/>
    <w:tmpl w:val="BA4A3A86"/>
    <w:lvl w:ilvl="0">
      <w:start w:val="1"/>
      <w:numFmt w:val="decimal"/>
      <w:lvlText w:val="%1."/>
      <w:lvlJc w:val="left"/>
      <w:pPr>
        <w:ind w:left="1233" w:hanging="320"/>
      </w:pPr>
      <w:rPr>
        <w:rFonts w:ascii="Calibri" w:eastAsia="Calibri" w:hAnsi="Calibri" w:cs="Calibri" w:hint="default"/>
        <w:b w:val="0"/>
        <w:bCs w:val="0"/>
        <w:color w:val="auto"/>
        <w:spacing w:val="-1"/>
        <w:w w:val="99"/>
        <w:sz w:val="24"/>
        <w:szCs w:val="24"/>
      </w:rPr>
    </w:lvl>
    <w:lvl w:ilvl="1">
      <w:start w:val="0"/>
      <w:numFmt w:val="bullet"/>
      <w:lvlText w:val=""/>
      <w:lvlJc w:val="left"/>
      <w:pPr>
        <w:ind w:left="2086" w:hanging="452"/>
      </w:pPr>
      <w:rPr>
        <w:rFonts w:ascii="Wingdings" w:eastAsia="Wingdings" w:hAnsi="Wingdings" w:cs="Wingdings" w:hint="default"/>
        <w:w w:val="99"/>
        <w:sz w:val="24"/>
        <w:szCs w:val="24"/>
      </w:rPr>
    </w:lvl>
    <w:lvl w:ilvl="2">
      <w:start w:val="0"/>
      <w:numFmt w:val="bullet"/>
      <w:lvlText w:val="•"/>
      <w:lvlJc w:val="left"/>
      <w:pPr>
        <w:ind w:left="3511" w:hanging="452"/>
      </w:pPr>
    </w:lvl>
    <w:lvl w:ilvl="3">
      <w:start w:val="0"/>
      <w:numFmt w:val="bullet"/>
      <w:lvlText w:val="•"/>
      <w:lvlJc w:val="left"/>
      <w:pPr>
        <w:ind w:left="4943" w:hanging="452"/>
      </w:pPr>
    </w:lvl>
    <w:lvl w:ilvl="4">
      <w:start w:val="0"/>
      <w:numFmt w:val="bullet"/>
      <w:lvlText w:val="•"/>
      <w:lvlJc w:val="left"/>
      <w:pPr>
        <w:ind w:left="6375" w:hanging="452"/>
      </w:pPr>
    </w:lvl>
    <w:lvl w:ilvl="5">
      <w:start w:val="0"/>
      <w:numFmt w:val="bullet"/>
      <w:lvlText w:val="•"/>
      <w:lvlJc w:val="left"/>
      <w:pPr>
        <w:ind w:left="7807" w:hanging="452"/>
      </w:pPr>
    </w:lvl>
    <w:lvl w:ilvl="6">
      <w:start w:val="0"/>
      <w:numFmt w:val="bullet"/>
      <w:lvlText w:val="•"/>
      <w:lvlJc w:val="left"/>
      <w:pPr>
        <w:ind w:left="9239" w:hanging="452"/>
      </w:pPr>
    </w:lvl>
    <w:lvl w:ilvl="7">
      <w:start w:val="0"/>
      <w:numFmt w:val="bullet"/>
      <w:lvlText w:val="•"/>
      <w:lvlJc w:val="left"/>
      <w:pPr>
        <w:ind w:left="10670" w:hanging="452"/>
      </w:pPr>
    </w:lvl>
    <w:lvl w:ilvl="8">
      <w:start w:val="0"/>
      <w:numFmt w:val="bullet"/>
      <w:lvlText w:val="•"/>
      <w:lvlJc w:val="left"/>
      <w:pPr>
        <w:ind w:left="12102" w:hanging="452"/>
      </w:pPr>
    </w:lvl>
  </w:abstractNum>
  <w:abstractNum w:abstractNumId="5">
    <w:nsid w:val="2A332AB6"/>
    <w:multiLevelType w:val="hybridMultilevel"/>
    <w:tmpl w:val="80106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032CCC"/>
    <w:multiLevelType w:val="hybridMultilevel"/>
    <w:tmpl w:val="674425A4"/>
    <w:lvl w:ilvl="0">
      <w:start w:val="0"/>
      <w:numFmt w:val="bullet"/>
      <w:lvlText w:val=""/>
      <w:lvlJc w:val="left"/>
      <w:pPr>
        <w:ind w:left="1080" w:hanging="360"/>
      </w:pPr>
      <w:rPr>
        <w:rFonts w:ascii="Wingdings" w:eastAsia="Wingdings" w:hAnsi="Wingdings" w:cs="Wingdings" w:hint="default"/>
        <w:w w:val="99"/>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1456D39"/>
    <w:multiLevelType w:val="hybridMultilevel"/>
    <w:tmpl w:val="E64A5C6C"/>
    <w:lvl w:ilvl="0">
      <w:start w:val="4"/>
      <w:numFmt w:val="decimal"/>
      <w:lvlText w:val="%1."/>
      <w:lvlJc w:val="left"/>
      <w:pPr>
        <w:ind w:left="1233" w:hanging="320"/>
      </w:pPr>
      <w:rPr>
        <w:rFonts w:ascii="Calibri" w:eastAsia="Calibri" w:hAnsi="Calibri" w:cs="Calibri" w:hint="default"/>
        <w:b w:val="0"/>
        <w:bCs w:val="0"/>
        <w:i w:val="0"/>
        <w:iCs/>
        <w:color w:val="auto"/>
        <w:spacing w:val="-1"/>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9654CB"/>
    <w:multiLevelType w:val="hybridMultilevel"/>
    <w:tmpl w:val="843EE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5261B9"/>
    <w:multiLevelType w:val="hybridMultilevel"/>
    <w:tmpl w:val="DF2073A0"/>
    <w:lvl w:ilvl="0">
      <w:start w:val="1"/>
      <w:numFmt w:val="decimal"/>
      <w:lvlText w:val="%1."/>
      <w:lvlJc w:val="left"/>
      <w:pPr>
        <w:ind w:left="1233" w:hanging="320"/>
      </w:pPr>
      <w:rPr>
        <w:rFonts w:ascii="Calibri" w:eastAsia="Calibri" w:hAnsi="Calibri" w:cs="Calibri" w:hint="default"/>
        <w:b/>
        <w:bCs/>
        <w:spacing w:val="-1"/>
        <w:w w:val="99"/>
        <w:sz w:val="24"/>
        <w:szCs w:val="24"/>
      </w:rPr>
    </w:lvl>
    <w:lvl w:ilvl="1">
      <w:start w:val="0"/>
      <w:numFmt w:val="bullet"/>
      <w:lvlText w:val=""/>
      <w:lvlJc w:val="left"/>
      <w:pPr>
        <w:ind w:left="2086" w:hanging="452"/>
      </w:pPr>
      <w:rPr>
        <w:rFonts w:ascii="Wingdings" w:eastAsia="Wingdings" w:hAnsi="Wingdings" w:cs="Wingdings" w:hint="default"/>
        <w:w w:val="99"/>
        <w:sz w:val="24"/>
        <w:szCs w:val="24"/>
      </w:rPr>
    </w:lvl>
    <w:lvl w:ilvl="2">
      <w:start w:val="0"/>
      <w:numFmt w:val="bullet"/>
      <w:lvlText w:val="•"/>
      <w:lvlJc w:val="left"/>
      <w:pPr>
        <w:ind w:left="3511" w:hanging="452"/>
      </w:pPr>
    </w:lvl>
    <w:lvl w:ilvl="3">
      <w:start w:val="0"/>
      <w:numFmt w:val="bullet"/>
      <w:lvlText w:val="•"/>
      <w:lvlJc w:val="left"/>
      <w:pPr>
        <w:ind w:left="4943" w:hanging="452"/>
      </w:pPr>
    </w:lvl>
    <w:lvl w:ilvl="4">
      <w:start w:val="0"/>
      <w:numFmt w:val="bullet"/>
      <w:lvlText w:val="•"/>
      <w:lvlJc w:val="left"/>
      <w:pPr>
        <w:ind w:left="6375" w:hanging="452"/>
      </w:pPr>
    </w:lvl>
    <w:lvl w:ilvl="5">
      <w:start w:val="0"/>
      <w:numFmt w:val="bullet"/>
      <w:lvlText w:val="•"/>
      <w:lvlJc w:val="left"/>
      <w:pPr>
        <w:ind w:left="7807" w:hanging="452"/>
      </w:pPr>
    </w:lvl>
    <w:lvl w:ilvl="6">
      <w:start w:val="0"/>
      <w:numFmt w:val="bullet"/>
      <w:lvlText w:val="•"/>
      <w:lvlJc w:val="left"/>
      <w:pPr>
        <w:ind w:left="9239" w:hanging="452"/>
      </w:pPr>
    </w:lvl>
    <w:lvl w:ilvl="7">
      <w:start w:val="0"/>
      <w:numFmt w:val="bullet"/>
      <w:lvlText w:val="•"/>
      <w:lvlJc w:val="left"/>
      <w:pPr>
        <w:ind w:left="10670" w:hanging="452"/>
      </w:pPr>
    </w:lvl>
    <w:lvl w:ilvl="8">
      <w:start w:val="0"/>
      <w:numFmt w:val="bullet"/>
      <w:lvlText w:val="•"/>
      <w:lvlJc w:val="left"/>
      <w:pPr>
        <w:ind w:left="12102" w:hanging="452"/>
      </w:pPr>
    </w:lvl>
  </w:abstractNum>
  <w:abstractNum w:abstractNumId="11">
    <w:nsid w:val="599D24F8"/>
    <w:multiLevelType w:val="hybridMultilevel"/>
    <w:tmpl w:val="5E208934"/>
    <w:lvl w:ilvl="0">
      <w:start w:val="1"/>
      <w:numFmt w:val="bullet"/>
      <w:lvlText w:val=""/>
      <w:lvlJc w:val="left"/>
      <w:pPr>
        <w:ind w:left="720" w:hanging="360"/>
      </w:pPr>
      <w:rPr>
        <w:rFonts w:ascii="Symbol" w:hAnsi="Symbol" w:hint="default"/>
        <w:color w:val="auto"/>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843B1F"/>
    <w:multiLevelType w:val="hybridMultilevel"/>
    <w:tmpl w:val="A70CFE4E"/>
    <w:lvl w:ilvl="0">
      <w:start w:val="0"/>
      <w:numFmt w:val="bullet"/>
      <w:lvlText w:val=""/>
      <w:lvlJc w:val="left"/>
      <w:pPr>
        <w:ind w:left="720" w:hanging="360"/>
      </w:pPr>
      <w:rPr>
        <w:rFonts w:ascii="Wingdings" w:eastAsia="Wingdings" w:hAnsi="Wingdings" w:cs="Wingdings" w:hint="default"/>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8B128B"/>
    <w:multiLevelType w:val="hybridMultilevel"/>
    <w:tmpl w:val="2B84A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DF5421"/>
    <w:multiLevelType w:val="hybridMultilevel"/>
    <w:tmpl w:val="4C72412A"/>
    <w:lvl w:ilvl="0">
      <w:start w:val="1"/>
      <w:numFmt w:val="decimal"/>
      <w:lvlText w:val="%1."/>
      <w:lvlJc w:val="left"/>
      <w:pPr>
        <w:ind w:left="1233" w:hanging="320"/>
      </w:pPr>
      <w:rPr>
        <w:rFonts w:ascii="Calibri" w:eastAsia="Calibri" w:hAnsi="Calibri" w:cs="Calibri" w:hint="default"/>
        <w:b w:val="0"/>
        <w:bCs w:val="0"/>
        <w:color w:val="auto"/>
        <w:spacing w:val="-1"/>
        <w:w w:val="99"/>
        <w:sz w:val="24"/>
        <w:szCs w:val="24"/>
      </w:rPr>
    </w:lvl>
    <w:lvl w:ilvl="1">
      <w:start w:val="0"/>
      <w:numFmt w:val="bullet"/>
      <w:lvlText w:val=""/>
      <w:lvlJc w:val="left"/>
      <w:pPr>
        <w:ind w:left="2086" w:hanging="452"/>
      </w:pPr>
      <w:rPr>
        <w:rFonts w:ascii="Wingdings" w:eastAsia="Wingdings" w:hAnsi="Wingdings" w:cs="Wingdings" w:hint="default"/>
        <w:w w:val="99"/>
        <w:sz w:val="24"/>
        <w:szCs w:val="24"/>
      </w:rPr>
    </w:lvl>
    <w:lvl w:ilvl="2">
      <w:start w:val="0"/>
      <w:numFmt w:val="bullet"/>
      <w:lvlText w:val="•"/>
      <w:lvlJc w:val="left"/>
      <w:pPr>
        <w:ind w:left="3511" w:hanging="452"/>
      </w:pPr>
    </w:lvl>
    <w:lvl w:ilvl="3">
      <w:start w:val="0"/>
      <w:numFmt w:val="bullet"/>
      <w:lvlText w:val="•"/>
      <w:lvlJc w:val="left"/>
      <w:pPr>
        <w:ind w:left="4943" w:hanging="452"/>
      </w:pPr>
    </w:lvl>
    <w:lvl w:ilvl="4">
      <w:start w:val="0"/>
      <w:numFmt w:val="bullet"/>
      <w:lvlText w:val="•"/>
      <w:lvlJc w:val="left"/>
      <w:pPr>
        <w:ind w:left="6375" w:hanging="452"/>
      </w:pPr>
    </w:lvl>
    <w:lvl w:ilvl="5">
      <w:start w:val="0"/>
      <w:numFmt w:val="bullet"/>
      <w:lvlText w:val="•"/>
      <w:lvlJc w:val="left"/>
      <w:pPr>
        <w:ind w:left="7807" w:hanging="452"/>
      </w:pPr>
    </w:lvl>
    <w:lvl w:ilvl="6">
      <w:start w:val="0"/>
      <w:numFmt w:val="bullet"/>
      <w:lvlText w:val="•"/>
      <w:lvlJc w:val="left"/>
      <w:pPr>
        <w:ind w:left="9239" w:hanging="452"/>
      </w:pPr>
    </w:lvl>
    <w:lvl w:ilvl="7">
      <w:start w:val="0"/>
      <w:numFmt w:val="bullet"/>
      <w:lvlText w:val="•"/>
      <w:lvlJc w:val="left"/>
      <w:pPr>
        <w:ind w:left="10670" w:hanging="452"/>
      </w:pPr>
    </w:lvl>
    <w:lvl w:ilvl="8">
      <w:start w:val="0"/>
      <w:numFmt w:val="bullet"/>
      <w:lvlText w:val="•"/>
      <w:lvlJc w:val="left"/>
      <w:pPr>
        <w:ind w:left="12102" w:hanging="452"/>
      </w:pPr>
    </w:lvl>
  </w:abstractNum>
  <w:num w:numId="1">
    <w:abstractNumId w:val="9"/>
  </w:num>
  <w:num w:numId="2">
    <w:abstractNumId w:val="8"/>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1"/>
  </w:num>
  <w:num w:numId="7">
    <w:abstractNumId w:val="6"/>
  </w:num>
  <w:num w:numId="8">
    <w:abstractNumId w:val="14"/>
  </w:num>
  <w:num w:numId="9">
    <w:abstractNumId w:val="7"/>
  </w:num>
  <w:num w:numId="10">
    <w:abstractNumId w:val="3"/>
  </w:num>
  <w:num w:numId="11">
    <w:abstractNumId w:val="2"/>
  </w:num>
  <w:num w:numId="12">
    <w:abstractNumId w:val="13"/>
  </w:num>
  <w:num w:numId="13">
    <w:abstractNumId w:val="12"/>
  </w:num>
  <w:num w:numId="14">
    <w:abstractNumId w:val="1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removeDateAndTime/>
  <w:defaultTabStop w:val="720"/>
  <w:drawingGridHorizontalSpacing w:val="110"/>
  <w:displayHorizontalDrawingGridEvery w:val="2"/>
  <w:displayVertic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689D"/>
    <w:rsid w:val="000071D1"/>
    <w:rsid w:val="00007F77"/>
    <w:rsid w:val="00010C49"/>
    <w:rsid w:val="00011E49"/>
    <w:rsid w:val="00011E7C"/>
    <w:rsid w:val="00012B62"/>
    <w:rsid w:val="00013DB5"/>
    <w:rsid w:val="00017BC9"/>
    <w:rsid w:val="0002168F"/>
    <w:rsid w:val="00023695"/>
    <w:rsid w:val="00026800"/>
    <w:rsid w:val="00026C13"/>
    <w:rsid w:val="000273E9"/>
    <w:rsid w:val="00027B1B"/>
    <w:rsid w:val="00030ABE"/>
    <w:rsid w:val="000361C8"/>
    <w:rsid w:val="00036E3E"/>
    <w:rsid w:val="00040E13"/>
    <w:rsid w:val="00040F4A"/>
    <w:rsid w:val="00041FB5"/>
    <w:rsid w:val="00043A32"/>
    <w:rsid w:val="000441D3"/>
    <w:rsid w:val="0004487B"/>
    <w:rsid w:val="00045A02"/>
    <w:rsid w:val="00047490"/>
    <w:rsid w:val="000477F4"/>
    <w:rsid w:val="00051810"/>
    <w:rsid w:val="00051816"/>
    <w:rsid w:val="00051B38"/>
    <w:rsid w:val="0005569B"/>
    <w:rsid w:val="00055746"/>
    <w:rsid w:val="00056CD6"/>
    <w:rsid w:val="000602B8"/>
    <w:rsid w:val="000607D2"/>
    <w:rsid w:val="00060B24"/>
    <w:rsid w:val="0006228C"/>
    <w:rsid w:val="00063261"/>
    <w:rsid w:val="00063F9C"/>
    <w:rsid w:val="00064766"/>
    <w:rsid w:val="0006511B"/>
    <w:rsid w:val="00065509"/>
    <w:rsid w:val="00066C83"/>
    <w:rsid w:val="000712F6"/>
    <w:rsid w:val="0007169E"/>
    <w:rsid w:val="00072010"/>
    <w:rsid w:val="000743BE"/>
    <w:rsid w:val="00075A8C"/>
    <w:rsid w:val="00076C74"/>
    <w:rsid w:val="000771B9"/>
    <w:rsid w:val="0007753E"/>
    <w:rsid w:val="00077A0C"/>
    <w:rsid w:val="00077D23"/>
    <w:rsid w:val="000826BD"/>
    <w:rsid w:val="00082EC4"/>
    <w:rsid w:val="000830C4"/>
    <w:rsid w:val="00084AD9"/>
    <w:rsid w:val="00087DC8"/>
    <w:rsid w:val="00092392"/>
    <w:rsid w:val="00094108"/>
    <w:rsid w:val="00094E12"/>
    <w:rsid w:val="000A08F7"/>
    <w:rsid w:val="000A14F8"/>
    <w:rsid w:val="000A16FA"/>
    <w:rsid w:val="000A204D"/>
    <w:rsid w:val="000A30A8"/>
    <w:rsid w:val="000A4BD7"/>
    <w:rsid w:val="000A5983"/>
    <w:rsid w:val="000A5AC6"/>
    <w:rsid w:val="000A66CD"/>
    <w:rsid w:val="000A6E17"/>
    <w:rsid w:val="000A77B0"/>
    <w:rsid w:val="000B0207"/>
    <w:rsid w:val="000B14F2"/>
    <w:rsid w:val="000B217F"/>
    <w:rsid w:val="000B4BEC"/>
    <w:rsid w:val="000B54F0"/>
    <w:rsid w:val="000B62F8"/>
    <w:rsid w:val="000C5D9C"/>
    <w:rsid w:val="000D188F"/>
    <w:rsid w:val="000D4B1E"/>
    <w:rsid w:val="000D66EA"/>
    <w:rsid w:val="000D7A3D"/>
    <w:rsid w:val="000E554C"/>
    <w:rsid w:val="000E58BD"/>
    <w:rsid w:val="000E6603"/>
    <w:rsid w:val="000E7ACA"/>
    <w:rsid w:val="000E7FAD"/>
    <w:rsid w:val="000F000B"/>
    <w:rsid w:val="000F3F3E"/>
    <w:rsid w:val="000F7102"/>
    <w:rsid w:val="00100D0E"/>
    <w:rsid w:val="00103DFD"/>
    <w:rsid w:val="00104051"/>
    <w:rsid w:val="00106836"/>
    <w:rsid w:val="00106EFF"/>
    <w:rsid w:val="00107476"/>
    <w:rsid w:val="00107487"/>
    <w:rsid w:val="001075E2"/>
    <w:rsid w:val="00110D29"/>
    <w:rsid w:val="0011321F"/>
    <w:rsid w:val="0011386A"/>
    <w:rsid w:val="00116841"/>
    <w:rsid w:val="00120024"/>
    <w:rsid w:val="001232E4"/>
    <w:rsid w:val="00123A3D"/>
    <w:rsid w:val="00124561"/>
    <w:rsid w:val="0013040A"/>
    <w:rsid w:val="001317DF"/>
    <w:rsid w:val="00131AD1"/>
    <w:rsid w:val="00132004"/>
    <w:rsid w:val="00132221"/>
    <w:rsid w:val="001324C6"/>
    <w:rsid w:val="00132705"/>
    <w:rsid w:val="001337CB"/>
    <w:rsid w:val="00133BEC"/>
    <w:rsid w:val="001343E9"/>
    <w:rsid w:val="001346BF"/>
    <w:rsid w:val="00134BEF"/>
    <w:rsid w:val="00135E6D"/>
    <w:rsid w:val="0013662A"/>
    <w:rsid w:val="001372DB"/>
    <w:rsid w:val="0013764F"/>
    <w:rsid w:val="001413FF"/>
    <w:rsid w:val="0014151A"/>
    <w:rsid w:val="001417E6"/>
    <w:rsid w:val="00141C4C"/>
    <w:rsid w:val="00142483"/>
    <w:rsid w:val="001434C6"/>
    <w:rsid w:val="0014763A"/>
    <w:rsid w:val="00147AEA"/>
    <w:rsid w:val="00150025"/>
    <w:rsid w:val="0015103C"/>
    <w:rsid w:val="00151318"/>
    <w:rsid w:val="00152CB2"/>
    <w:rsid w:val="001537FD"/>
    <w:rsid w:val="00153EA7"/>
    <w:rsid w:val="00154573"/>
    <w:rsid w:val="001548E0"/>
    <w:rsid w:val="001550C9"/>
    <w:rsid w:val="00157093"/>
    <w:rsid w:val="0016017A"/>
    <w:rsid w:val="00160A9B"/>
    <w:rsid w:val="001626E8"/>
    <w:rsid w:val="00163AD1"/>
    <w:rsid w:val="00163C21"/>
    <w:rsid w:val="00167A15"/>
    <w:rsid w:val="00170AD5"/>
    <w:rsid w:val="00171EF4"/>
    <w:rsid w:val="001727C1"/>
    <w:rsid w:val="001762EC"/>
    <w:rsid w:val="00176AF4"/>
    <w:rsid w:val="00177ABE"/>
    <w:rsid w:val="00180050"/>
    <w:rsid w:val="00181EF2"/>
    <w:rsid w:val="00184B65"/>
    <w:rsid w:val="00185386"/>
    <w:rsid w:val="001855E3"/>
    <w:rsid w:val="001865D4"/>
    <w:rsid w:val="00186E5A"/>
    <w:rsid w:val="001872E6"/>
    <w:rsid w:val="00194487"/>
    <w:rsid w:val="00194B18"/>
    <w:rsid w:val="001963A2"/>
    <w:rsid w:val="00196C12"/>
    <w:rsid w:val="001A09D1"/>
    <w:rsid w:val="001A15F9"/>
    <w:rsid w:val="001A5EC6"/>
    <w:rsid w:val="001B2712"/>
    <w:rsid w:val="001B30D7"/>
    <w:rsid w:val="001B3522"/>
    <w:rsid w:val="001B680B"/>
    <w:rsid w:val="001C040F"/>
    <w:rsid w:val="001C066E"/>
    <w:rsid w:val="001C1DD5"/>
    <w:rsid w:val="001C268C"/>
    <w:rsid w:val="001C27CC"/>
    <w:rsid w:val="001C2DDA"/>
    <w:rsid w:val="001C3EBE"/>
    <w:rsid w:val="001C5F3D"/>
    <w:rsid w:val="001C6FA1"/>
    <w:rsid w:val="001D020E"/>
    <w:rsid w:val="001D0C05"/>
    <w:rsid w:val="001D0E0A"/>
    <w:rsid w:val="001D2A80"/>
    <w:rsid w:val="001D305C"/>
    <w:rsid w:val="001D373B"/>
    <w:rsid w:val="001D391B"/>
    <w:rsid w:val="001D3A50"/>
    <w:rsid w:val="001D56E7"/>
    <w:rsid w:val="001D651F"/>
    <w:rsid w:val="001D75CC"/>
    <w:rsid w:val="001E27D7"/>
    <w:rsid w:val="001E595A"/>
    <w:rsid w:val="001E72B5"/>
    <w:rsid w:val="001E744D"/>
    <w:rsid w:val="001F0992"/>
    <w:rsid w:val="001F1359"/>
    <w:rsid w:val="001F19FD"/>
    <w:rsid w:val="001F1D97"/>
    <w:rsid w:val="001F23DF"/>
    <w:rsid w:val="001F2A83"/>
    <w:rsid w:val="001F3995"/>
    <w:rsid w:val="001F4FFA"/>
    <w:rsid w:val="001F53D2"/>
    <w:rsid w:val="001F5BDA"/>
    <w:rsid w:val="00200DE2"/>
    <w:rsid w:val="00201308"/>
    <w:rsid w:val="00203018"/>
    <w:rsid w:val="00203A62"/>
    <w:rsid w:val="00203F51"/>
    <w:rsid w:val="00204643"/>
    <w:rsid w:val="00204DD3"/>
    <w:rsid w:val="0020597F"/>
    <w:rsid w:val="002064EF"/>
    <w:rsid w:val="00206A3D"/>
    <w:rsid w:val="00206AAE"/>
    <w:rsid w:val="00215202"/>
    <w:rsid w:val="00216DF6"/>
    <w:rsid w:val="00217933"/>
    <w:rsid w:val="002203E0"/>
    <w:rsid w:val="00227817"/>
    <w:rsid w:val="0023081C"/>
    <w:rsid w:val="00231951"/>
    <w:rsid w:val="00235F83"/>
    <w:rsid w:val="002361A8"/>
    <w:rsid w:val="002361EE"/>
    <w:rsid w:val="00236267"/>
    <w:rsid w:val="0023630E"/>
    <w:rsid w:val="002369DA"/>
    <w:rsid w:val="00236D38"/>
    <w:rsid w:val="002379B5"/>
    <w:rsid w:val="0024399D"/>
    <w:rsid w:val="00243BD5"/>
    <w:rsid w:val="00244F46"/>
    <w:rsid w:val="00244F51"/>
    <w:rsid w:val="00252161"/>
    <w:rsid w:val="00253793"/>
    <w:rsid w:val="0025443E"/>
    <w:rsid w:val="0025492A"/>
    <w:rsid w:val="00257CB0"/>
    <w:rsid w:val="00257CB9"/>
    <w:rsid w:val="002605A1"/>
    <w:rsid w:val="00261399"/>
    <w:rsid w:val="002634BD"/>
    <w:rsid w:val="00265663"/>
    <w:rsid w:val="00271C0C"/>
    <w:rsid w:val="00273212"/>
    <w:rsid w:val="00274632"/>
    <w:rsid w:val="00274D11"/>
    <w:rsid w:val="0027619F"/>
    <w:rsid w:val="00276CD8"/>
    <w:rsid w:val="002771FE"/>
    <w:rsid w:val="00283881"/>
    <w:rsid w:val="0028491D"/>
    <w:rsid w:val="00287A8C"/>
    <w:rsid w:val="00287B5A"/>
    <w:rsid w:val="0029011B"/>
    <w:rsid w:val="00290B1D"/>
    <w:rsid w:val="00290F85"/>
    <w:rsid w:val="002928DF"/>
    <w:rsid w:val="002930EC"/>
    <w:rsid w:val="00293F32"/>
    <w:rsid w:val="00294D32"/>
    <w:rsid w:val="00294E11"/>
    <w:rsid w:val="0029799D"/>
    <w:rsid w:val="002A10FF"/>
    <w:rsid w:val="002A1AB0"/>
    <w:rsid w:val="002A22FA"/>
    <w:rsid w:val="002A253F"/>
    <w:rsid w:val="002A3655"/>
    <w:rsid w:val="002A674E"/>
    <w:rsid w:val="002B0F7B"/>
    <w:rsid w:val="002B1D7C"/>
    <w:rsid w:val="002B2025"/>
    <w:rsid w:val="002B4F66"/>
    <w:rsid w:val="002C01DF"/>
    <w:rsid w:val="002C06A1"/>
    <w:rsid w:val="002C0E52"/>
    <w:rsid w:val="002C1279"/>
    <w:rsid w:val="002C2A8D"/>
    <w:rsid w:val="002C645E"/>
    <w:rsid w:val="002C6753"/>
    <w:rsid w:val="002C70DC"/>
    <w:rsid w:val="002D02FE"/>
    <w:rsid w:val="002D3A9E"/>
    <w:rsid w:val="002D4D3B"/>
    <w:rsid w:val="002E0397"/>
    <w:rsid w:val="002E1ECB"/>
    <w:rsid w:val="002E26F8"/>
    <w:rsid w:val="002E2E4E"/>
    <w:rsid w:val="002E368A"/>
    <w:rsid w:val="002E373C"/>
    <w:rsid w:val="002E3C81"/>
    <w:rsid w:val="002E3C96"/>
    <w:rsid w:val="002E4498"/>
    <w:rsid w:val="002E48A7"/>
    <w:rsid w:val="002E55EC"/>
    <w:rsid w:val="002E5C52"/>
    <w:rsid w:val="002E684A"/>
    <w:rsid w:val="002F1474"/>
    <w:rsid w:val="002F1EC0"/>
    <w:rsid w:val="002F1FD8"/>
    <w:rsid w:val="002F3924"/>
    <w:rsid w:val="002F703E"/>
    <w:rsid w:val="002F7146"/>
    <w:rsid w:val="00300406"/>
    <w:rsid w:val="00300DC8"/>
    <w:rsid w:val="003012B5"/>
    <w:rsid w:val="00302CC4"/>
    <w:rsid w:val="00306DDE"/>
    <w:rsid w:val="00307FE7"/>
    <w:rsid w:val="003113D2"/>
    <w:rsid w:val="00312BAA"/>
    <w:rsid w:val="0031498F"/>
    <w:rsid w:val="00316980"/>
    <w:rsid w:val="00316ADF"/>
    <w:rsid w:val="003176CF"/>
    <w:rsid w:val="00320135"/>
    <w:rsid w:val="003210B3"/>
    <w:rsid w:val="00321BB5"/>
    <w:rsid w:val="00323C10"/>
    <w:rsid w:val="003248A4"/>
    <w:rsid w:val="00326844"/>
    <w:rsid w:val="00327181"/>
    <w:rsid w:val="00327A84"/>
    <w:rsid w:val="00330703"/>
    <w:rsid w:val="00330F0A"/>
    <w:rsid w:val="00332993"/>
    <w:rsid w:val="0033330D"/>
    <w:rsid w:val="0033469A"/>
    <w:rsid w:val="003363C4"/>
    <w:rsid w:val="003372B6"/>
    <w:rsid w:val="00340E99"/>
    <w:rsid w:val="003420AE"/>
    <w:rsid w:val="003424D4"/>
    <w:rsid w:val="00342BA4"/>
    <w:rsid w:val="00345208"/>
    <w:rsid w:val="00346C4C"/>
    <w:rsid w:val="00346E41"/>
    <w:rsid w:val="00347E4F"/>
    <w:rsid w:val="003506B8"/>
    <w:rsid w:val="003507B3"/>
    <w:rsid w:val="00351235"/>
    <w:rsid w:val="00351A8D"/>
    <w:rsid w:val="00353E7E"/>
    <w:rsid w:val="00354A4E"/>
    <w:rsid w:val="00354E0E"/>
    <w:rsid w:val="00355B97"/>
    <w:rsid w:val="00357FB5"/>
    <w:rsid w:val="00360896"/>
    <w:rsid w:val="00360BBB"/>
    <w:rsid w:val="00361201"/>
    <w:rsid w:val="00361AF0"/>
    <w:rsid w:val="003648A2"/>
    <w:rsid w:val="00364CCC"/>
    <w:rsid w:val="003655D4"/>
    <w:rsid w:val="0036566F"/>
    <w:rsid w:val="00365B89"/>
    <w:rsid w:val="00367138"/>
    <w:rsid w:val="00367481"/>
    <w:rsid w:val="003712EB"/>
    <w:rsid w:val="00373456"/>
    <w:rsid w:val="003810E2"/>
    <w:rsid w:val="003833C5"/>
    <w:rsid w:val="00383848"/>
    <w:rsid w:val="00383E2E"/>
    <w:rsid w:val="003846F9"/>
    <w:rsid w:val="00385207"/>
    <w:rsid w:val="00386C3A"/>
    <w:rsid w:val="00387C4A"/>
    <w:rsid w:val="00387E12"/>
    <w:rsid w:val="00390B2D"/>
    <w:rsid w:val="00391007"/>
    <w:rsid w:val="00391972"/>
    <w:rsid w:val="003924FB"/>
    <w:rsid w:val="003A007B"/>
    <w:rsid w:val="003A0349"/>
    <w:rsid w:val="003A1D58"/>
    <w:rsid w:val="003A258A"/>
    <w:rsid w:val="003A2F76"/>
    <w:rsid w:val="003A3D84"/>
    <w:rsid w:val="003A4B8F"/>
    <w:rsid w:val="003A5DD1"/>
    <w:rsid w:val="003A60E6"/>
    <w:rsid w:val="003A7637"/>
    <w:rsid w:val="003B1968"/>
    <w:rsid w:val="003B2A57"/>
    <w:rsid w:val="003B3057"/>
    <w:rsid w:val="003C064E"/>
    <w:rsid w:val="003C0795"/>
    <w:rsid w:val="003C0CED"/>
    <w:rsid w:val="003C21A1"/>
    <w:rsid w:val="003C2A16"/>
    <w:rsid w:val="003C411B"/>
    <w:rsid w:val="003C4886"/>
    <w:rsid w:val="003C530B"/>
    <w:rsid w:val="003C5A24"/>
    <w:rsid w:val="003D1A64"/>
    <w:rsid w:val="003D2E1D"/>
    <w:rsid w:val="003D3E78"/>
    <w:rsid w:val="003D662C"/>
    <w:rsid w:val="003D702E"/>
    <w:rsid w:val="003D7C7F"/>
    <w:rsid w:val="003E092D"/>
    <w:rsid w:val="003E2707"/>
    <w:rsid w:val="003E6595"/>
    <w:rsid w:val="003E6E6E"/>
    <w:rsid w:val="003E79E7"/>
    <w:rsid w:val="003E7D3C"/>
    <w:rsid w:val="003F08BB"/>
    <w:rsid w:val="003F2C06"/>
    <w:rsid w:val="003F35A4"/>
    <w:rsid w:val="003F51BF"/>
    <w:rsid w:val="003F612D"/>
    <w:rsid w:val="003F6A54"/>
    <w:rsid w:val="003F7043"/>
    <w:rsid w:val="004009E7"/>
    <w:rsid w:val="00400C55"/>
    <w:rsid w:val="00400E7D"/>
    <w:rsid w:val="00404061"/>
    <w:rsid w:val="00405102"/>
    <w:rsid w:val="0040594D"/>
    <w:rsid w:val="00407B3E"/>
    <w:rsid w:val="0041047D"/>
    <w:rsid w:val="00411D9C"/>
    <w:rsid w:val="00412B31"/>
    <w:rsid w:val="00413951"/>
    <w:rsid w:val="004154B7"/>
    <w:rsid w:val="00416242"/>
    <w:rsid w:val="00417C5F"/>
    <w:rsid w:val="004250DD"/>
    <w:rsid w:val="0042567B"/>
    <w:rsid w:val="00425DC6"/>
    <w:rsid w:val="004261DA"/>
    <w:rsid w:val="004264E9"/>
    <w:rsid w:val="004266E4"/>
    <w:rsid w:val="00426DFC"/>
    <w:rsid w:val="004302E3"/>
    <w:rsid w:val="004302E9"/>
    <w:rsid w:val="00434368"/>
    <w:rsid w:val="00434825"/>
    <w:rsid w:val="00434990"/>
    <w:rsid w:val="00434A3F"/>
    <w:rsid w:val="00436064"/>
    <w:rsid w:val="0044037B"/>
    <w:rsid w:val="00440D09"/>
    <w:rsid w:val="004417A7"/>
    <w:rsid w:val="00441874"/>
    <w:rsid w:val="00444DFE"/>
    <w:rsid w:val="0044654D"/>
    <w:rsid w:val="00446E91"/>
    <w:rsid w:val="00447EE5"/>
    <w:rsid w:val="00451BBD"/>
    <w:rsid w:val="00454541"/>
    <w:rsid w:val="00455158"/>
    <w:rsid w:val="00455277"/>
    <w:rsid w:val="004558AD"/>
    <w:rsid w:val="0045782A"/>
    <w:rsid w:val="00457B78"/>
    <w:rsid w:val="0046051C"/>
    <w:rsid w:val="00460AE2"/>
    <w:rsid w:val="0046144C"/>
    <w:rsid w:val="00461875"/>
    <w:rsid w:val="0046193B"/>
    <w:rsid w:val="00462755"/>
    <w:rsid w:val="00462CB7"/>
    <w:rsid w:val="00463291"/>
    <w:rsid w:val="00465813"/>
    <w:rsid w:val="00465AA5"/>
    <w:rsid w:val="004677EB"/>
    <w:rsid w:val="00474F20"/>
    <w:rsid w:val="0047610D"/>
    <w:rsid w:val="00476284"/>
    <w:rsid w:val="0047778A"/>
    <w:rsid w:val="00477BB5"/>
    <w:rsid w:val="00480C6D"/>
    <w:rsid w:val="00480FC6"/>
    <w:rsid w:val="00481E00"/>
    <w:rsid w:val="004834F8"/>
    <w:rsid w:val="004837AB"/>
    <w:rsid w:val="00483E2D"/>
    <w:rsid w:val="004863C6"/>
    <w:rsid w:val="0048688C"/>
    <w:rsid w:val="0048725C"/>
    <w:rsid w:val="004876AE"/>
    <w:rsid w:val="0049091C"/>
    <w:rsid w:val="004939F0"/>
    <w:rsid w:val="00493DCC"/>
    <w:rsid w:val="0049456C"/>
    <w:rsid w:val="0049499E"/>
    <w:rsid w:val="00496406"/>
    <w:rsid w:val="00496470"/>
    <w:rsid w:val="00496C37"/>
    <w:rsid w:val="004976CC"/>
    <w:rsid w:val="004A0C8C"/>
    <w:rsid w:val="004A3C34"/>
    <w:rsid w:val="004A52D0"/>
    <w:rsid w:val="004A7B18"/>
    <w:rsid w:val="004B03C4"/>
    <w:rsid w:val="004B091D"/>
    <w:rsid w:val="004B0C32"/>
    <w:rsid w:val="004B1388"/>
    <w:rsid w:val="004B17D3"/>
    <w:rsid w:val="004B1E79"/>
    <w:rsid w:val="004B2746"/>
    <w:rsid w:val="004B40C1"/>
    <w:rsid w:val="004B597B"/>
    <w:rsid w:val="004B63AD"/>
    <w:rsid w:val="004B69EF"/>
    <w:rsid w:val="004B7E0F"/>
    <w:rsid w:val="004C14FF"/>
    <w:rsid w:val="004C37C5"/>
    <w:rsid w:val="004C6137"/>
    <w:rsid w:val="004C78BB"/>
    <w:rsid w:val="004D194E"/>
    <w:rsid w:val="004D21C9"/>
    <w:rsid w:val="004D224F"/>
    <w:rsid w:val="004D3245"/>
    <w:rsid w:val="004D5E32"/>
    <w:rsid w:val="004D5F3D"/>
    <w:rsid w:val="004D6095"/>
    <w:rsid w:val="004D621C"/>
    <w:rsid w:val="004D6B87"/>
    <w:rsid w:val="004D7237"/>
    <w:rsid w:val="004E0F3F"/>
    <w:rsid w:val="004E12A7"/>
    <w:rsid w:val="004E1D4C"/>
    <w:rsid w:val="004E2176"/>
    <w:rsid w:val="004E29A9"/>
    <w:rsid w:val="004E3771"/>
    <w:rsid w:val="004E3F14"/>
    <w:rsid w:val="004E40CE"/>
    <w:rsid w:val="004E556A"/>
    <w:rsid w:val="004E580C"/>
    <w:rsid w:val="004E5B73"/>
    <w:rsid w:val="004E62B1"/>
    <w:rsid w:val="004E7FB2"/>
    <w:rsid w:val="004F0165"/>
    <w:rsid w:val="004F0C5D"/>
    <w:rsid w:val="004F1D6F"/>
    <w:rsid w:val="004F3917"/>
    <w:rsid w:val="004F3A1E"/>
    <w:rsid w:val="004F579E"/>
    <w:rsid w:val="004F60BA"/>
    <w:rsid w:val="004F6A28"/>
    <w:rsid w:val="004F6C5B"/>
    <w:rsid w:val="004F7591"/>
    <w:rsid w:val="005006A5"/>
    <w:rsid w:val="005043DC"/>
    <w:rsid w:val="005069E4"/>
    <w:rsid w:val="00507E07"/>
    <w:rsid w:val="00520CCD"/>
    <w:rsid w:val="00523A2A"/>
    <w:rsid w:val="00523E96"/>
    <w:rsid w:val="00524D01"/>
    <w:rsid w:val="00525663"/>
    <w:rsid w:val="00525695"/>
    <w:rsid w:val="00533675"/>
    <w:rsid w:val="00533B33"/>
    <w:rsid w:val="00534088"/>
    <w:rsid w:val="0054047D"/>
    <w:rsid w:val="0054053A"/>
    <w:rsid w:val="005407DB"/>
    <w:rsid w:val="00541808"/>
    <w:rsid w:val="0054375A"/>
    <w:rsid w:val="0054388C"/>
    <w:rsid w:val="00543C8C"/>
    <w:rsid w:val="00543DCF"/>
    <w:rsid w:val="00544418"/>
    <w:rsid w:val="005459BB"/>
    <w:rsid w:val="005459D4"/>
    <w:rsid w:val="0055030C"/>
    <w:rsid w:val="0055099A"/>
    <w:rsid w:val="00551931"/>
    <w:rsid w:val="00554201"/>
    <w:rsid w:val="0056388A"/>
    <w:rsid w:val="005655A6"/>
    <w:rsid w:val="00566D2A"/>
    <w:rsid w:val="00567B7B"/>
    <w:rsid w:val="00567E7A"/>
    <w:rsid w:val="005705E4"/>
    <w:rsid w:val="00572450"/>
    <w:rsid w:val="00574749"/>
    <w:rsid w:val="00576B16"/>
    <w:rsid w:val="00576BE3"/>
    <w:rsid w:val="005773F6"/>
    <w:rsid w:val="00581C29"/>
    <w:rsid w:val="0058290A"/>
    <w:rsid w:val="00582DF8"/>
    <w:rsid w:val="00583B69"/>
    <w:rsid w:val="00584D88"/>
    <w:rsid w:val="00585152"/>
    <w:rsid w:val="00586B0B"/>
    <w:rsid w:val="005918F7"/>
    <w:rsid w:val="00597B55"/>
    <w:rsid w:val="00597F5E"/>
    <w:rsid w:val="005A033A"/>
    <w:rsid w:val="005A1234"/>
    <w:rsid w:val="005A17F8"/>
    <w:rsid w:val="005A1A61"/>
    <w:rsid w:val="005A1E38"/>
    <w:rsid w:val="005A38FD"/>
    <w:rsid w:val="005A5FA1"/>
    <w:rsid w:val="005B03EC"/>
    <w:rsid w:val="005B07B8"/>
    <w:rsid w:val="005B191C"/>
    <w:rsid w:val="005B1AD5"/>
    <w:rsid w:val="005B610F"/>
    <w:rsid w:val="005B6E55"/>
    <w:rsid w:val="005B7771"/>
    <w:rsid w:val="005C33C7"/>
    <w:rsid w:val="005C34DF"/>
    <w:rsid w:val="005C465C"/>
    <w:rsid w:val="005C7CF0"/>
    <w:rsid w:val="005D2176"/>
    <w:rsid w:val="005D29F7"/>
    <w:rsid w:val="005D31AE"/>
    <w:rsid w:val="005D7A20"/>
    <w:rsid w:val="005E0182"/>
    <w:rsid w:val="005E0AD5"/>
    <w:rsid w:val="005E2138"/>
    <w:rsid w:val="005E24DB"/>
    <w:rsid w:val="005E27A1"/>
    <w:rsid w:val="005E52D5"/>
    <w:rsid w:val="005E69D1"/>
    <w:rsid w:val="005E7243"/>
    <w:rsid w:val="005E7719"/>
    <w:rsid w:val="005E77A5"/>
    <w:rsid w:val="005E7F09"/>
    <w:rsid w:val="005F0539"/>
    <w:rsid w:val="005F5FF7"/>
    <w:rsid w:val="00600DE4"/>
    <w:rsid w:val="00601F1A"/>
    <w:rsid w:val="0060321C"/>
    <w:rsid w:val="0060347C"/>
    <w:rsid w:val="00603C64"/>
    <w:rsid w:val="006049FF"/>
    <w:rsid w:val="006065B9"/>
    <w:rsid w:val="00606634"/>
    <w:rsid w:val="00607BC0"/>
    <w:rsid w:val="006107F2"/>
    <w:rsid w:val="00610DFB"/>
    <w:rsid w:val="006116FE"/>
    <w:rsid w:val="00611F76"/>
    <w:rsid w:val="006145BC"/>
    <w:rsid w:val="00614A15"/>
    <w:rsid w:val="00614ABC"/>
    <w:rsid w:val="00614F19"/>
    <w:rsid w:val="00617C0E"/>
    <w:rsid w:val="00620087"/>
    <w:rsid w:val="006206E1"/>
    <w:rsid w:val="006223BF"/>
    <w:rsid w:val="00622886"/>
    <w:rsid w:val="00623105"/>
    <w:rsid w:val="00623EE7"/>
    <w:rsid w:val="006253E1"/>
    <w:rsid w:val="0062580D"/>
    <w:rsid w:val="00626C34"/>
    <w:rsid w:val="00630B3A"/>
    <w:rsid w:val="006316B5"/>
    <w:rsid w:val="006322DF"/>
    <w:rsid w:val="0063308C"/>
    <w:rsid w:val="006339BC"/>
    <w:rsid w:val="00635CAC"/>
    <w:rsid w:val="00636036"/>
    <w:rsid w:val="00636A45"/>
    <w:rsid w:val="00636DCD"/>
    <w:rsid w:val="00637DF7"/>
    <w:rsid w:val="0064011A"/>
    <w:rsid w:val="00641218"/>
    <w:rsid w:val="00643590"/>
    <w:rsid w:val="006435DE"/>
    <w:rsid w:val="006445FF"/>
    <w:rsid w:val="0064474F"/>
    <w:rsid w:val="00645834"/>
    <w:rsid w:val="00645E96"/>
    <w:rsid w:val="00646285"/>
    <w:rsid w:val="0064662B"/>
    <w:rsid w:val="00647EBF"/>
    <w:rsid w:val="00650FD6"/>
    <w:rsid w:val="00653814"/>
    <w:rsid w:val="00653F5D"/>
    <w:rsid w:val="006542B8"/>
    <w:rsid w:val="00654A1D"/>
    <w:rsid w:val="006559AF"/>
    <w:rsid w:val="006562A8"/>
    <w:rsid w:val="006570C6"/>
    <w:rsid w:val="006606FB"/>
    <w:rsid w:val="00662B27"/>
    <w:rsid w:val="00664763"/>
    <w:rsid w:val="00664ABF"/>
    <w:rsid w:val="00666272"/>
    <w:rsid w:val="00667F41"/>
    <w:rsid w:val="00670118"/>
    <w:rsid w:val="00672E31"/>
    <w:rsid w:val="00673E48"/>
    <w:rsid w:val="0067446A"/>
    <w:rsid w:val="0067462C"/>
    <w:rsid w:val="00674EE4"/>
    <w:rsid w:val="00675016"/>
    <w:rsid w:val="00675277"/>
    <w:rsid w:val="0068062A"/>
    <w:rsid w:val="006806D2"/>
    <w:rsid w:val="006816DA"/>
    <w:rsid w:val="00681BC2"/>
    <w:rsid w:val="00684E9A"/>
    <w:rsid w:val="006851AD"/>
    <w:rsid w:val="006859E6"/>
    <w:rsid w:val="006875EA"/>
    <w:rsid w:val="00690562"/>
    <w:rsid w:val="0069712B"/>
    <w:rsid w:val="006971FA"/>
    <w:rsid w:val="00697576"/>
    <w:rsid w:val="0069768B"/>
    <w:rsid w:val="00697A19"/>
    <w:rsid w:val="006A05D1"/>
    <w:rsid w:val="006A1D99"/>
    <w:rsid w:val="006A1E30"/>
    <w:rsid w:val="006A7316"/>
    <w:rsid w:val="006A7C98"/>
    <w:rsid w:val="006B1681"/>
    <w:rsid w:val="006B1727"/>
    <w:rsid w:val="006B17C1"/>
    <w:rsid w:val="006B3ACC"/>
    <w:rsid w:val="006B438B"/>
    <w:rsid w:val="006B486C"/>
    <w:rsid w:val="006B5B71"/>
    <w:rsid w:val="006B6A68"/>
    <w:rsid w:val="006B7A7C"/>
    <w:rsid w:val="006B7C14"/>
    <w:rsid w:val="006B7E68"/>
    <w:rsid w:val="006C00B3"/>
    <w:rsid w:val="006C0E5C"/>
    <w:rsid w:val="006C4234"/>
    <w:rsid w:val="006C448B"/>
    <w:rsid w:val="006C4FDD"/>
    <w:rsid w:val="006C51A7"/>
    <w:rsid w:val="006C5B84"/>
    <w:rsid w:val="006C5E92"/>
    <w:rsid w:val="006C6445"/>
    <w:rsid w:val="006C6578"/>
    <w:rsid w:val="006C6ADF"/>
    <w:rsid w:val="006C6F2C"/>
    <w:rsid w:val="006D0A91"/>
    <w:rsid w:val="006D1B41"/>
    <w:rsid w:val="006D35F6"/>
    <w:rsid w:val="006D3D2C"/>
    <w:rsid w:val="006D432C"/>
    <w:rsid w:val="006D4FB7"/>
    <w:rsid w:val="006E1762"/>
    <w:rsid w:val="006E334B"/>
    <w:rsid w:val="006E3EE3"/>
    <w:rsid w:val="006E4729"/>
    <w:rsid w:val="006E4D0D"/>
    <w:rsid w:val="006F1213"/>
    <w:rsid w:val="006F125A"/>
    <w:rsid w:val="006F18C4"/>
    <w:rsid w:val="006F2B95"/>
    <w:rsid w:val="006F3FA5"/>
    <w:rsid w:val="006F5A1C"/>
    <w:rsid w:val="006F66B2"/>
    <w:rsid w:val="00702423"/>
    <w:rsid w:val="00702996"/>
    <w:rsid w:val="00702BFD"/>
    <w:rsid w:val="007046F6"/>
    <w:rsid w:val="00704E08"/>
    <w:rsid w:val="0070708A"/>
    <w:rsid w:val="00712830"/>
    <w:rsid w:val="00715733"/>
    <w:rsid w:val="007157E4"/>
    <w:rsid w:val="0071670C"/>
    <w:rsid w:val="0071784C"/>
    <w:rsid w:val="0072106B"/>
    <w:rsid w:val="0072405E"/>
    <w:rsid w:val="00725912"/>
    <w:rsid w:val="00725CDB"/>
    <w:rsid w:val="00726E14"/>
    <w:rsid w:val="00727EDB"/>
    <w:rsid w:val="00730BAA"/>
    <w:rsid w:val="00734F65"/>
    <w:rsid w:val="007366C3"/>
    <w:rsid w:val="00740EDF"/>
    <w:rsid w:val="00745D15"/>
    <w:rsid w:val="00746233"/>
    <w:rsid w:val="007504EA"/>
    <w:rsid w:val="00752773"/>
    <w:rsid w:val="007532D4"/>
    <w:rsid w:val="007541E5"/>
    <w:rsid w:val="00754C47"/>
    <w:rsid w:val="00754F1A"/>
    <w:rsid w:val="00755987"/>
    <w:rsid w:val="007565A5"/>
    <w:rsid w:val="00761E0B"/>
    <w:rsid w:val="0076268B"/>
    <w:rsid w:val="00763F4A"/>
    <w:rsid w:val="00765159"/>
    <w:rsid w:val="007666F6"/>
    <w:rsid w:val="007704BD"/>
    <w:rsid w:val="00771A9A"/>
    <w:rsid w:val="00772307"/>
    <w:rsid w:val="007752A6"/>
    <w:rsid w:val="007756CB"/>
    <w:rsid w:val="0077698C"/>
    <w:rsid w:val="00777753"/>
    <w:rsid w:val="007829B4"/>
    <w:rsid w:val="00783896"/>
    <w:rsid w:val="00786866"/>
    <w:rsid w:val="00787A2A"/>
    <w:rsid w:val="00790966"/>
    <w:rsid w:val="0079260A"/>
    <w:rsid w:val="00794160"/>
    <w:rsid w:val="007977CA"/>
    <w:rsid w:val="00797B1C"/>
    <w:rsid w:val="007A03FA"/>
    <w:rsid w:val="007A0A91"/>
    <w:rsid w:val="007A1283"/>
    <w:rsid w:val="007A2363"/>
    <w:rsid w:val="007A2AB6"/>
    <w:rsid w:val="007A4BAC"/>
    <w:rsid w:val="007A5A11"/>
    <w:rsid w:val="007A5A47"/>
    <w:rsid w:val="007A629D"/>
    <w:rsid w:val="007A6725"/>
    <w:rsid w:val="007A7A76"/>
    <w:rsid w:val="007B1E0A"/>
    <w:rsid w:val="007B3448"/>
    <w:rsid w:val="007B5AA7"/>
    <w:rsid w:val="007C145D"/>
    <w:rsid w:val="007C22AC"/>
    <w:rsid w:val="007C25FE"/>
    <w:rsid w:val="007C3001"/>
    <w:rsid w:val="007C3632"/>
    <w:rsid w:val="007C40BD"/>
    <w:rsid w:val="007C46F5"/>
    <w:rsid w:val="007D206B"/>
    <w:rsid w:val="007D499D"/>
    <w:rsid w:val="007D4F53"/>
    <w:rsid w:val="007D55AD"/>
    <w:rsid w:val="007E09C3"/>
    <w:rsid w:val="007E26B9"/>
    <w:rsid w:val="007E36E8"/>
    <w:rsid w:val="007E6427"/>
    <w:rsid w:val="007E6DA6"/>
    <w:rsid w:val="007F1D07"/>
    <w:rsid w:val="007F3330"/>
    <w:rsid w:val="007F57E3"/>
    <w:rsid w:val="007F5C80"/>
    <w:rsid w:val="007F6841"/>
    <w:rsid w:val="007F6CB2"/>
    <w:rsid w:val="0080091A"/>
    <w:rsid w:val="00803390"/>
    <w:rsid w:val="00803988"/>
    <w:rsid w:val="00807133"/>
    <w:rsid w:val="00807E6D"/>
    <w:rsid w:val="00810D85"/>
    <w:rsid w:val="00815268"/>
    <w:rsid w:val="00816EAF"/>
    <w:rsid w:val="00817403"/>
    <w:rsid w:val="008205F3"/>
    <w:rsid w:val="00820DBF"/>
    <w:rsid w:val="00821D8F"/>
    <w:rsid w:val="0082222A"/>
    <w:rsid w:val="008235B0"/>
    <w:rsid w:val="008235B2"/>
    <w:rsid w:val="0082388A"/>
    <w:rsid w:val="00824698"/>
    <w:rsid w:val="008266BD"/>
    <w:rsid w:val="00830EB8"/>
    <w:rsid w:val="00831253"/>
    <w:rsid w:val="008329DF"/>
    <w:rsid w:val="00832C83"/>
    <w:rsid w:val="00835983"/>
    <w:rsid w:val="00837C67"/>
    <w:rsid w:val="00837D9F"/>
    <w:rsid w:val="00841F6B"/>
    <w:rsid w:val="00842A4C"/>
    <w:rsid w:val="00845576"/>
    <w:rsid w:val="008458FA"/>
    <w:rsid w:val="00846F82"/>
    <w:rsid w:val="00847DB7"/>
    <w:rsid w:val="0085194F"/>
    <w:rsid w:val="00853428"/>
    <w:rsid w:val="00853C63"/>
    <w:rsid w:val="0085726D"/>
    <w:rsid w:val="00861D3A"/>
    <w:rsid w:val="00866BFC"/>
    <w:rsid w:val="00867C77"/>
    <w:rsid w:val="008705D5"/>
    <w:rsid w:val="00870FB7"/>
    <w:rsid w:val="008712C5"/>
    <w:rsid w:val="008716EC"/>
    <w:rsid w:val="008734A9"/>
    <w:rsid w:val="00876DE3"/>
    <w:rsid w:val="00876E4C"/>
    <w:rsid w:val="00877C8E"/>
    <w:rsid w:val="00877F7C"/>
    <w:rsid w:val="00882793"/>
    <w:rsid w:val="008843C5"/>
    <w:rsid w:val="00887415"/>
    <w:rsid w:val="008913CA"/>
    <w:rsid w:val="0089388E"/>
    <w:rsid w:val="00893B3E"/>
    <w:rsid w:val="00894AE4"/>
    <w:rsid w:val="00894DCC"/>
    <w:rsid w:val="008960B8"/>
    <w:rsid w:val="008961F5"/>
    <w:rsid w:val="0089651E"/>
    <w:rsid w:val="008A254B"/>
    <w:rsid w:val="008A366E"/>
    <w:rsid w:val="008A561A"/>
    <w:rsid w:val="008A6EA6"/>
    <w:rsid w:val="008B24CB"/>
    <w:rsid w:val="008B2F36"/>
    <w:rsid w:val="008B5D54"/>
    <w:rsid w:val="008B5FD8"/>
    <w:rsid w:val="008B6A7E"/>
    <w:rsid w:val="008B7395"/>
    <w:rsid w:val="008C0677"/>
    <w:rsid w:val="008C154D"/>
    <w:rsid w:val="008C1C0B"/>
    <w:rsid w:val="008C2773"/>
    <w:rsid w:val="008C36BB"/>
    <w:rsid w:val="008C46E9"/>
    <w:rsid w:val="008C536A"/>
    <w:rsid w:val="008C5F91"/>
    <w:rsid w:val="008C61A1"/>
    <w:rsid w:val="008C6811"/>
    <w:rsid w:val="008D1AE4"/>
    <w:rsid w:val="008D678D"/>
    <w:rsid w:val="008D6F0E"/>
    <w:rsid w:val="008D7747"/>
    <w:rsid w:val="008D7BCD"/>
    <w:rsid w:val="008E1058"/>
    <w:rsid w:val="008E27A0"/>
    <w:rsid w:val="008E3A6C"/>
    <w:rsid w:val="008E4366"/>
    <w:rsid w:val="008E4775"/>
    <w:rsid w:val="008E47E6"/>
    <w:rsid w:val="008E49FD"/>
    <w:rsid w:val="008E4EEB"/>
    <w:rsid w:val="008E7A31"/>
    <w:rsid w:val="008E7AAE"/>
    <w:rsid w:val="008F0707"/>
    <w:rsid w:val="008F17C7"/>
    <w:rsid w:val="008F26E1"/>
    <w:rsid w:val="008F2FA9"/>
    <w:rsid w:val="008F6D26"/>
    <w:rsid w:val="008F6E48"/>
    <w:rsid w:val="009001C1"/>
    <w:rsid w:val="0090078A"/>
    <w:rsid w:val="00901E43"/>
    <w:rsid w:val="00904757"/>
    <w:rsid w:val="00904FB6"/>
    <w:rsid w:val="0090515B"/>
    <w:rsid w:val="00906B16"/>
    <w:rsid w:val="00910526"/>
    <w:rsid w:val="00912E82"/>
    <w:rsid w:val="0091320B"/>
    <w:rsid w:val="00913909"/>
    <w:rsid w:val="00915629"/>
    <w:rsid w:val="009163A4"/>
    <w:rsid w:val="0091651D"/>
    <w:rsid w:val="009167AD"/>
    <w:rsid w:val="0091725D"/>
    <w:rsid w:val="00917B52"/>
    <w:rsid w:val="00917C4B"/>
    <w:rsid w:val="00925143"/>
    <w:rsid w:val="00925F13"/>
    <w:rsid w:val="009261D9"/>
    <w:rsid w:val="0092627E"/>
    <w:rsid w:val="00930D68"/>
    <w:rsid w:val="00931D17"/>
    <w:rsid w:val="00932BF5"/>
    <w:rsid w:val="00932F1B"/>
    <w:rsid w:val="009362E1"/>
    <w:rsid w:val="009363D4"/>
    <w:rsid w:val="00940376"/>
    <w:rsid w:val="00941F15"/>
    <w:rsid w:val="00943FCF"/>
    <w:rsid w:val="00945D53"/>
    <w:rsid w:val="009462BD"/>
    <w:rsid w:val="00952841"/>
    <w:rsid w:val="00952BF9"/>
    <w:rsid w:val="009535EC"/>
    <w:rsid w:val="0095515B"/>
    <w:rsid w:val="00955922"/>
    <w:rsid w:val="009577A5"/>
    <w:rsid w:val="00962A73"/>
    <w:rsid w:val="00962CEC"/>
    <w:rsid w:val="00963A1F"/>
    <w:rsid w:val="009642F1"/>
    <w:rsid w:val="0096490B"/>
    <w:rsid w:val="00964F8C"/>
    <w:rsid w:val="00965C2A"/>
    <w:rsid w:val="00966130"/>
    <w:rsid w:val="0097091A"/>
    <w:rsid w:val="0097222A"/>
    <w:rsid w:val="00975121"/>
    <w:rsid w:val="009758DC"/>
    <w:rsid w:val="00976EBB"/>
    <w:rsid w:val="009804DE"/>
    <w:rsid w:val="00980ACF"/>
    <w:rsid w:val="00982413"/>
    <w:rsid w:val="0098257E"/>
    <w:rsid w:val="009852B6"/>
    <w:rsid w:val="009857F3"/>
    <w:rsid w:val="0098610E"/>
    <w:rsid w:val="00987AF5"/>
    <w:rsid w:val="009906BA"/>
    <w:rsid w:val="00993AAD"/>
    <w:rsid w:val="009948CC"/>
    <w:rsid w:val="009977B4"/>
    <w:rsid w:val="009A107B"/>
    <w:rsid w:val="009A2BD6"/>
    <w:rsid w:val="009A379F"/>
    <w:rsid w:val="009A48ED"/>
    <w:rsid w:val="009A57A2"/>
    <w:rsid w:val="009A7D8A"/>
    <w:rsid w:val="009B1521"/>
    <w:rsid w:val="009B26BF"/>
    <w:rsid w:val="009B46AF"/>
    <w:rsid w:val="009B4E9B"/>
    <w:rsid w:val="009B6132"/>
    <w:rsid w:val="009B6BCE"/>
    <w:rsid w:val="009B6C89"/>
    <w:rsid w:val="009B6DBA"/>
    <w:rsid w:val="009B72A3"/>
    <w:rsid w:val="009B765E"/>
    <w:rsid w:val="009C07D4"/>
    <w:rsid w:val="009C3C7B"/>
    <w:rsid w:val="009C4626"/>
    <w:rsid w:val="009C49A9"/>
    <w:rsid w:val="009C49EF"/>
    <w:rsid w:val="009C654B"/>
    <w:rsid w:val="009C7ACF"/>
    <w:rsid w:val="009C7F04"/>
    <w:rsid w:val="009D0E8F"/>
    <w:rsid w:val="009D2718"/>
    <w:rsid w:val="009D5C96"/>
    <w:rsid w:val="009D6DA7"/>
    <w:rsid w:val="009D6EBD"/>
    <w:rsid w:val="009D7F7F"/>
    <w:rsid w:val="009E313A"/>
    <w:rsid w:val="009E3AC2"/>
    <w:rsid w:val="009E4B22"/>
    <w:rsid w:val="009E756F"/>
    <w:rsid w:val="009E7B1B"/>
    <w:rsid w:val="00A007C5"/>
    <w:rsid w:val="00A0092A"/>
    <w:rsid w:val="00A037F3"/>
    <w:rsid w:val="00A049D2"/>
    <w:rsid w:val="00A05282"/>
    <w:rsid w:val="00A076CE"/>
    <w:rsid w:val="00A104B6"/>
    <w:rsid w:val="00A10A8C"/>
    <w:rsid w:val="00A10AE5"/>
    <w:rsid w:val="00A131F4"/>
    <w:rsid w:val="00A14821"/>
    <w:rsid w:val="00A148A3"/>
    <w:rsid w:val="00A150EF"/>
    <w:rsid w:val="00A17175"/>
    <w:rsid w:val="00A17C8D"/>
    <w:rsid w:val="00A212F1"/>
    <w:rsid w:val="00A21507"/>
    <w:rsid w:val="00A22372"/>
    <w:rsid w:val="00A22630"/>
    <w:rsid w:val="00A22B44"/>
    <w:rsid w:val="00A22B9E"/>
    <w:rsid w:val="00A22E60"/>
    <w:rsid w:val="00A30192"/>
    <w:rsid w:val="00A30707"/>
    <w:rsid w:val="00A321C9"/>
    <w:rsid w:val="00A32FB3"/>
    <w:rsid w:val="00A345D7"/>
    <w:rsid w:val="00A35131"/>
    <w:rsid w:val="00A376AD"/>
    <w:rsid w:val="00A40E0B"/>
    <w:rsid w:val="00A414FE"/>
    <w:rsid w:val="00A43C9D"/>
    <w:rsid w:val="00A4406C"/>
    <w:rsid w:val="00A446D4"/>
    <w:rsid w:val="00A45AE6"/>
    <w:rsid w:val="00A47379"/>
    <w:rsid w:val="00A50C89"/>
    <w:rsid w:val="00A50F29"/>
    <w:rsid w:val="00A51051"/>
    <w:rsid w:val="00A54359"/>
    <w:rsid w:val="00A547C7"/>
    <w:rsid w:val="00A54B7A"/>
    <w:rsid w:val="00A550DC"/>
    <w:rsid w:val="00A561BB"/>
    <w:rsid w:val="00A6012F"/>
    <w:rsid w:val="00A609A6"/>
    <w:rsid w:val="00A60D52"/>
    <w:rsid w:val="00A61F45"/>
    <w:rsid w:val="00A635F0"/>
    <w:rsid w:val="00A64299"/>
    <w:rsid w:val="00A64395"/>
    <w:rsid w:val="00A65244"/>
    <w:rsid w:val="00A6592C"/>
    <w:rsid w:val="00A65BAD"/>
    <w:rsid w:val="00A664B4"/>
    <w:rsid w:val="00A6728E"/>
    <w:rsid w:val="00A70A6F"/>
    <w:rsid w:val="00A71627"/>
    <w:rsid w:val="00A73D78"/>
    <w:rsid w:val="00A7611F"/>
    <w:rsid w:val="00A766E9"/>
    <w:rsid w:val="00A76EB9"/>
    <w:rsid w:val="00A80AA1"/>
    <w:rsid w:val="00A81440"/>
    <w:rsid w:val="00A81AAF"/>
    <w:rsid w:val="00A8385F"/>
    <w:rsid w:val="00A84859"/>
    <w:rsid w:val="00A84D6A"/>
    <w:rsid w:val="00A85D03"/>
    <w:rsid w:val="00A85F25"/>
    <w:rsid w:val="00A866D5"/>
    <w:rsid w:val="00A92678"/>
    <w:rsid w:val="00A931CD"/>
    <w:rsid w:val="00A94610"/>
    <w:rsid w:val="00A96936"/>
    <w:rsid w:val="00A96F70"/>
    <w:rsid w:val="00AA03E9"/>
    <w:rsid w:val="00AA0D3D"/>
    <w:rsid w:val="00AA1D9C"/>
    <w:rsid w:val="00AA208A"/>
    <w:rsid w:val="00AA2254"/>
    <w:rsid w:val="00AA2343"/>
    <w:rsid w:val="00AA2F28"/>
    <w:rsid w:val="00AA31BE"/>
    <w:rsid w:val="00AA4F3C"/>
    <w:rsid w:val="00AA54F3"/>
    <w:rsid w:val="00AA5921"/>
    <w:rsid w:val="00AA63E1"/>
    <w:rsid w:val="00AA6ABC"/>
    <w:rsid w:val="00AB09FF"/>
    <w:rsid w:val="00AB12D6"/>
    <w:rsid w:val="00AB18A6"/>
    <w:rsid w:val="00AB2246"/>
    <w:rsid w:val="00AB2DFE"/>
    <w:rsid w:val="00AB3C31"/>
    <w:rsid w:val="00AB3CEB"/>
    <w:rsid w:val="00AB46DB"/>
    <w:rsid w:val="00AC252D"/>
    <w:rsid w:val="00AC2E9E"/>
    <w:rsid w:val="00AC3037"/>
    <w:rsid w:val="00AC361C"/>
    <w:rsid w:val="00AC4C7D"/>
    <w:rsid w:val="00AC512D"/>
    <w:rsid w:val="00AC5BD1"/>
    <w:rsid w:val="00AC5C74"/>
    <w:rsid w:val="00AC62CC"/>
    <w:rsid w:val="00AC7083"/>
    <w:rsid w:val="00AC76C2"/>
    <w:rsid w:val="00AD2336"/>
    <w:rsid w:val="00AD362D"/>
    <w:rsid w:val="00AD3E88"/>
    <w:rsid w:val="00AD4E9D"/>
    <w:rsid w:val="00AD5E41"/>
    <w:rsid w:val="00AD6861"/>
    <w:rsid w:val="00AD6A63"/>
    <w:rsid w:val="00AE1D9F"/>
    <w:rsid w:val="00AE1FB0"/>
    <w:rsid w:val="00AE419D"/>
    <w:rsid w:val="00AE5246"/>
    <w:rsid w:val="00AE66CE"/>
    <w:rsid w:val="00AF0689"/>
    <w:rsid w:val="00AF0D5E"/>
    <w:rsid w:val="00AF0EE4"/>
    <w:rsid w:val="00AF3796"/>
    <w:rsid w:val="00AF60E9"/>
    <w:rsid w:val="00AF781A"/>
    <w:rsid w:val="00AF7E84"/>
    <w:rsid w:val="00B01DC0"/>
    <w:rsid w:val="00B04C37"/>
    <w:rsid w:val="00B04CD7"/>
    <w:rsid w:val="00B07141"/>
    <w:rsid w:val="00B0727E"/>
    <w:rsid w:val="00B10E0C"/>
    <w:rsid w:val="00B128A4"/>
    <w:rsid w:val="00B131E0"/>
    <w:rsid w:val="00B15E05"/>
    <w:rsid w:val="00B1789C"/>
    <w:rsid w:val="00B17BE9"/>
    <w:rsid w:val="00B209BD"/>
    <w:rsid w:val="00B21089"/>
    <w:rsid w:val="00B2287C"/>
    <w:rsid w:val="00B25A7D"/>
    <w:rsid w:val="00B26652"/>
    <w:rsid w:val="00B266F0"/>
    <w:rsid w:val="00B2708D"/>
    <w:rsid w:val="00B3235B"/>
    <w:rsid w:val="00B32586"/>
    <w:rsid w:val="00B33C10"/>
    <w:rsid w:val="00B35B76"/>
    <w:rsid w:val="00B362F9"/>
    <w:rsid w:val="00B40082"/>
    <w:rsid w:val="00B405D8"/>
    <w:rsid w:val="00B4076A"/>
    <w:rsid w:val="00B40DFF"/>
    <w:rsid w:val="00B415C5"/>
    <w:rsid w:val="00B45002"/>
    <w:rsid w:val="00B45238"/>
    <w:rsid w:val="00B45779"/>
    <w:rsid w:val="00B459A6"/>
    <w:rsid w:val="00B462C3"/>
    <w:rsid w:val="00B4706E"/>
    <w:rsid w:val="00B4734F"/>
    <w:rsid w:val="00B47A30"/>
    <w:rsid w:val="00B47F60"/>
    <w:rsid w:val="00B5095A"/>
    <w:rsid w:val="00B50EA9"/>
    <w:rsid w:val="00B51D5C"/>
    <w:rsid w:val="00B53975"/>
    <w:rsid w:val="00B551F3"/>
    <w:rsid w:val="00B55735"/>
    <w:rsid w:val="00B56D3E"/>
    <w:rsid w:val="00B56E8A"/>
    <w:rsid w:val="00B572CF"/>
    <w:rsid w:val="00B608AC"/>
    <w:rsid w:val="00B618FF"/>
    <w:rsid w:val="00B61F3A"/>
    <w:rsid w:val="00B620B6"/>
    <w:rsid w:val="00B62148"/>
    <w:rsid w:val="00B6481C"/>
    <w:rsid w:val="00B6486E"/>
    <w:rsid w:val="00B655CA"/>
    <w:rsid w:val="00B65C2F"/>
    <w:rsid w:val="00B65C54"/>
    <w:rsid w:val="00B65C6B"/>
    <w:rsid w:val="00B67D13"/>
    <w:rsid w:val="00B71584"/>
    <w:rsid w:val="00B72443"/>
    <w:rsid w:val="00B72DCD"/>
    <w:rsid w:val="00B7588B"/>
    <w:rsid w:val="00B81631"/>
    <w:rsid w:val="00B82913"/>
    <w:rsid w:val="00B82B61"/>
    <w:rsid w:val="00B83B8C"/>
    <w:rsid w:val="00B855BC"/>
    <w:rsid w:val="00B909F9"/>
    <w:rsid w:val="00B9184D"/>
    <w:rsid w:val="00B9186E"/>
    <w:rsid w:val="00B91B41"/>
    <w:rsid w:val="00B92BFB"/>
    <w:rsid w:val="00B9370C"/>
    <w:rsid w:val="00B95957"/>
    <w:rsid w:val="00B95D90"/>
    <w:rsid w:val="00B97C3B"/>
    <w:rsid w:val="00B97CE4"/>
    <w:rsid w:val="00BA0C28"/>
    <w:rsid w:val="00BA0CB2"/>
    <w:rsid w:val="00BA1015"/>
    <w:rsid w:val="00BA1042"/>
    <w:rsid w:val="00BA2D35"/>
    <w:rsid w:val="00BA2DBE"/>
    <w:rsid w:val="00BA3007"/>
    <w:rsid w:val="00BA3D9C"/>
    <w:rsid w:val="00BA4A65"/>
    <w:rsid w:val="00BA60FD"/>
    <w:rsid w:val="00BA6BB7"/>
    <w:rsid w:val="00BA6CDA"/>
    <w:rsid w:val="00BA7856"/>
    <w:rsid w:val="00BA79BE"/>
    <w:rsid w:val="00BB0E8E"/>
    <w:rsid w:val="00BB2182"/>
    <w:rsid w:val="00BB2F55"/>
    <w:rsid w:val="00BB3447"/>
    <w:rsid w:val="00BB375A"/>
    <w:rsid w:val="00BB52F8"/>
    <w:rsid w:val="00BB5AE3"/>
    <w:rsid w:val="00BB5DB9"/>
    <w:rsid w:val="00BB6DA3"/>
    <w:rsid w:val="00BC1584"/>
    <w:rsid w:val="00BC17AA"/>
    <w:rsid w:val="00BC4969"/>
    <w:rsid w:val="00BC54B1"/>
    <w:rsid w:val="00BC6AF8"/>
    <w:rsid w:val="00BD00AA"/>
    <w:rsid w:val="00BD24A8"/>
    <w:rsid w:val="00BD4653"/>
    <w:rsid w:val="00BD4D7F"/>
    <w:rsid w:val="00BD70C4"/>
    <w:rsid w:val="00BD7198"/>
    <w:rsid w:val="00BE035C"/>
    <w:rsid w:val="00BE14E2"/>
    <w:rsid w:val="00BE223E"/>
    <w:rsid w:val="00BE23D8"/>
    <w:rsid w:val="00BE580E"/>
    <w:rsid w:val="00BE5BD0"/>
    <w:rsid w:val="00BE6013"/>
    <w:rsid w:val="00BE6F95"/>
    <w:rsid w:val="00BE7F98"/>
    <w:rsid w:val="00BF0134"/>
    <w:rsid w:val="00BF058F"/>
    <w:rsid w:val="00BF3E5B"/>
    <w:rsid w:val="00BF4FDD"/>
    <w:rsid w:val="00BF6A71"/>
    <w:rsid w:val="00BF6C67"/>
    <w:rsid w:val="00C000CD"/>
    <w:rsid w:val="00C00DE8"/>
    <w:rsid w:val="00C01D4E"/>
    <w:rsid w:val="00C03179"/>
    <w:rsid w:val="00C0357E"/>
    <w:rsid w:val="00C0417E"/>
    <w:rsid w:val="00C0561A"/>
    <w:rsid w:val="00C10248"/>
    <w:rsid w:val="00C10594"/>
    <w:rsid w:val="00C10AE3"/>
    <w:rsid w:val="00C1136E"/>
    <w:rsid w:val="00C11E84"/>
    <w:rsid w:val="00C1323F"/>
    <w:rsid w:val="00C13936"/>
    <w:rsid w:val="00C13959"/>
    <w:rsid w:val="00C14779"/>
    <w:rsid w:val="00C14824"/>
    <w:rsid w:val="00C160DF"/>
    <w:rsid w:val="00C17029"/>
    <w:rsid w:val="00C17718"/>
    <w:rsid w:val="00C17A31"/>
    <w:rsid w:val="00C210DD"/>
    <w:rsid w:val="00C2613E"/>
    <w:rsid w:val="00C264D7"/>
    <w:rsid w:val="00C26766"/>
    <w:rsid w:val="00C27BA5"/>
    <w:rsid w:val="00C314B6"/>
    <w:rsid w:val="00C3162E"/>
    <w:rsid w:val="00C32985"/>
    <w:rsid w:val="00C33AF3"/>
    <w:rsid w:val="00C3684A"/>
    <w:rsid w:val="00C36D37"/>
    <w:rsid w:val="00C36D9E"/>
    <w:rsid w:val="00C3726E"/>
    <w:rsid w:val="00C376E3"/>
    <w:rsid w:val="00C409FC"/>
    <w:rsid w:val="00C411E5"/>
    <w:rsid w:val="00C426F5"/>
    <w:rsid w:val="00C42CF5"/>
    <w:rsid w:val="00C47304"/>
    <w:rsid w:val="00C50474"/>
    <w:rsid w:val="00C54298"/>
    <w:rsid w:val="00C54885"/>
    <w:rsid w:val="00C564AD"/>
    <w:rsid w:val="00C56C35"/>
    <w:rsid w:val="00C610F6"/>
    <w:rsid w:val="00C62C60"/>
    <w:rsid w:val="00C63466"/>
    <w:rsid w:val="00C63A84"/>
    <w:rsid w:val="00C63AD7"/>
    <w:rsid w:val="00C70072"/>
    <w:rsid w:val="00C71F09"/>
    <w:rsid w:val="00C72C51"/>
    <w:rsid w:val="00C7696E"/>
    <w:rsid w:val="00C773A9"/>
    <w:rsid w:val="00C829E4"/>
    <w:rsid w:val="00C836A1"/>
    <w:rsid w:val="00C9159E"/>
    <w:rsid w:val="00C929D2"/>
    <w:rsid w:val="00C92BCB"/>
    <w:rsid w:val="00C92EB6"/>
    <w:rsid w:val="00C94FEC"/>
    <w:rsid w:val="00C952A8"/>
    <w:rsid w:val="00CA2658"/>
    <w:rsid w:val="00CA4658"/>
    <w:rsid w:val="00CA4FE0"/>
    <w:rsid w:val="00CA72CD"/>
    <w:rsid w:val="00CA736B"/>
    <w:rsid w:val="00CB0BD9"/>
    <w:rsid w:val="00CB148C"/>
    <w:rsid w:val="00CB14BD"/>
    <w:rsid w:val="00CB17F2"/>
    <w:rsid w:val="00CB18A3"/>
    <w:rsid w:val="00CB2814"/>
    <w:rsid w:val="00CB2A9E"/>
    <w:rsid w:val="00CB4B3C"/>
    <w:rsid w:val="00CB4EE6"/>
    <w:rsid w:val="00CB747C"/>
    <w:rsid w:val="00CC059D"/>
    <w:rsid w:val="00CC22C6"/>
    <w:rsid w:val="00CC254B"/>
    <w:rsid w:val="00CC4BAA"/>
    <w:rsid w:val="00CC5D4E"/>
    <w:rsid w:val="00CD11AD"/>
    <w:rsid w:val="00CD2060"/>
    <w:rsid w:val="00CD2300"/>
    <w:rsid w:val="00CD4A8D"/>
    <w:rsid w:val="00CD5C72"/>
    <w:rsid w:val="00CD7A35"/>
    <w:rsid w:val="00CE4B47"/>
    <w:rsid w:val="00CE5023"/>
    <w:rsid w:val="00CE6DFF"/>
    <w:rsid w:val="00CE70D0"/>
    <w:rsid w:val="00CE71F8"/>
    <w:rsid w:val="00CE76C1"/>
    <w:rsid w:val="00CF1232"/>
    <w:rsid w:val="00CF1C88"/>
    <w:rsid w:val="00CF24E4"/>
    <w:rsid w:val="00CF3AD3"/>
    <w:rsid w:val="00CF526F"/>
    <w:rsid w:val="00CF603B"/>
    <w:rsid w:val="00CF7455"/>
    <w:rsid w:val="00CF766A"/>
    <w:rsid w:val="00D00836"/>
    <w:rsid w:val="00D01949"/>
    <w:rsid w:val="00D01B8D"/>
    <w:rsid w:val="00D02999"/>
    <w:rsid w:val="00D05D04"/>
    <w:rsid w:val="00D063EC"/>
    <w:rsid w:val="00D07224"/>
    <w:rsid w:val="00D07EA8"/>
    <w:rsid w:val="00D10D04"/>
    <w:rsid w:val="00D12B9C"/>
    <w:rsid w:val="00D14854"/>
    <w:rsid w:val="00D14962"/>
    <w:rsid w:val="00D150A8"/>
    <w:rsid w:val="00D15261"/>
    <w:rsid w:val="00D16598"/>
    <w:rsid w:val="00D17698"/>
    <w:rsid w:val="00D179EA"/>
    <w:rsid w:val="00D20211"/>
    <w:rsid w:val="00D2041B"/>
    <w:rsid w:val="00D21504"/>
    <w:rsid w:val="00D21E16"/>
    <w:rsid w:val="00D22285"/>
    <w:rsid w:val="00D22A94"/>
    <w:rsid w:val="00D234B1"/>
    <w:rsid w:val="00D23859"/>
    <w:rsid w:val="00D30BDF"/>
    <w:rsid w:val="00D312D8"/>
    <w:rsid w:val="00D31369"/>
    <w:rsid w:val="00D31C8E"/>
    <w:rsid w:val="00D32500"/>
    <w:rsid w:val="00D34B99"/>
    <w:rsid w:val="00D367BD"/>
    <w:rsid w:val="00D37D8C"/>
    <w:rsid w:val="00D400C0"/>
    <w:rsid w:val="00D40333"/>
    <w:rsid w:val="00D408B1"/>
    <w:rsid w:val="00D40D1B"/>
    <w:rsid w:val="00D431BD"/>
    <w:rsid w:val="00D44D99"/>
    <w:rsid w:val="00D476FA"/>
    <w:rsid w:val="00D50074"/>
    <w:rsid w:val="00D5126E"/>
    <w:rsid w:val="00D51816"/>
    <w:rsid w:val="00D5249F"/>
    <w:rsid w:val="00D5424F"/>
    <w:rsid w:val="00D54C0F"/>
    <w:rsid w:val="00D5583A"/>
    <w:rsid w:val="00D62EE3"/>
    <w:rsid w:val="00D651E8"/>
    <w:rsid w:val="00D6587B"/>
    <w:rsid w:val="00D6709E"/>
    <w:rsid w:val="00D67B08"/>
    <w:rsid w:val="00D7035D"/>
    <w:rsid w:val="00D70D0B"/>
    <w:rsid w:val="00D726E5"/>
    <w:rsid w:val="00D72833"/>
    <w:rsid w:val="00D72EA8"/>
    <w:rsid w:val="00D73538"/>
    <w:rsid w:val="00D7437A"/>
    <w:rsid w:val="00D74814"/>
    <w:rsid w:val="00D75001"/>
    <w:rsid w:val="00D777DD"/>
    <w:rsid w:val="00D77DBC"/>
    <w:rsid w:val="00D80860"/>
    <w:rsid w:val="00D815D4"/>
    <w:rsid w:val="00D839FF"/>
    <w:rsid w:val="00D83A5F"/>
    <w:rsid w:val="00D84506"/>
    <w:rsid w:val="00D86483"/>
    <w:rsid w:val="00D86EBC"/>
    <w:rsid w:val="00D87867"/>
    <w:rsid w:val="00D90BBE"/>
    <w:rsid w:val="00D910F5"/>
    <w:rsid w:val="00D91D4C"/>
    <w:rsid w:val="00D938F7"/>
    <w:rsid w:val="00D947C3"/>
    <w:rsid w:val="00D9512F"/>
    <w:rsid w:val="00D96459"/>
    <w:rsid w:val="00DA096E"/>
    <w:rsid w:val="00DA0D05"/>
    <w:rsid w:val="00DA1FD9"/>
    <w:rsid w:val="00DA2BC4"/>
    <w:rsid w:val="00DA3CC3"/>
    <w:rsid w:val="00DA54A6"/>
    <w:rsid w:val="00DA5A96"/>
    <w:rsid w:val="00DA6118"/>
    <w:rsid w:val="00DA7220"/>
    <w:rsid w:val="00DB2341"/>
    <w:rsid w:val="00DB40A8"/>
    <w:rsid w:val="00DB4709"/>
    <w:rsid w:val="00DB59F6"/>
    <w:rsid w:val="00DC0B71"/>
    <w:rsid w:val="00DC337F"/>
    <w:rsid w:val="00DC352E"/>
    <w:rsid w:val="00DC37AE"/>
    <w:rsid w:val="00DC557C"/>
    <w:rsid w:val="00DC57CC"/>
    <w:rsid w:val="00DC635B"/>
    <w:rsid w:val="00DC7E2A"/>
    <w:rsid w:val="00DD046B"/>
    <w:rsid w:val="00DD12B8"/>
    <w:rsid w:val="00DD160E"/>
    <w:rsid w:val="00DD30E1"/>
    <w:rsid w:val="00DD34E4"/>
    <w:rsid w:val="00DD4FF6"/>
    <w:rsid w:val="00DD523C"/>
    <w:rsid w:val="00DD5C03"/>
    <w:rsid w:val="00DD7989"/>
    <w:rsid w:val="00DD7ABB"/>
    <w:rsid w:val="00DE0E6C"/>
    <w:rsid w:val="00DE320D"/>
    <w:rsid w:val="00DE5708"/>
    <w:rsid w:val="00DE5B37"/>
    <w:rsid w:val="00DE7583"/>
    <w:rsid w:val="00DF2BF4"/>
    <w:rsid w:val="00DF5EAD"/>
    <w:rsid w:val="00DF5F5A"/>
    <w:rsid w:val="00E002EC"/>
    <w:rsid w:val="00E00EAC"/>
    <w:rsid w:val="00E03B5A"/>
    <w:rsid w:val="00E0513B"/>
    <w:rsid w:val="00E073FF"/>
    <w:rsid w:val="00E11E9A"/>
    <w:rsid w:val="00E11F63"/>
    <w:rsid w:val="00E12512"/>
    <w:rsid w:val="00E159B2"/>
    <w:rsid w:val="00E17A23"/>
    <w:rsid w:val="00E22E3A"/>
    <w:rsid w:val="00E25691"/>
    <w:rsid w:val="00E25AB9"/>
    <w:rsid w:val="00E25E4F"/>
    <w:rsid w:val="00E26D57"/>
    <w:rsid w:val="00E2725E"/>
    <w:rsid w:val="00E278FC"/>
    <w:rsid w:val="00E31748"/>
    <w:rsid w:val="00E321A1"/>
    <w:rsid w:val="00E344AA"/>
    <w:rsid w:val="00E3707E"/>
    <w:rsid w:val="00E41F32"/>
    <w:rsid w:val="00E42C3E"/>
    <w:rsid w:val="00E43C6B"/>
    <w:rsid w:val="00E44001"/>
    <w:rsid w:val="00E443DB"/>
    <w:rsid w:val="00E44C4F"/>
    <w:rsid w:val="00E44D74"/>
    <w:rsid w:val="00E47940"/>
    <w:rsid w:val="00E50EC4"/>
    <w:rsid w:val="00E523BC"/>
    <w:rsid w:val="00E52761"/>
    <w:rsid w:val="00E53CD8"/>
    <w:rsid w:val="00E54167"/>
    <w:rsid w:val="00E54F24"/>
    <w:rsid w:val="00E64C21"/>
    <w:rsid w:val="00E70802"/>
    <w:rsid w:val="00E70A09"/>
    <w:rsid w:val="00E71A5F"/>
    <w:rsid w:val="00E71CA4"/>
    <w:rsid w:val="00E733C0"/>
    <w:rsid w:val="00E73437"/>
    <w:rsid w:val="00E73BE0"/>
    <w:rsid w:val="00E747E6"/>
    <w:rsid w:val="00E75B19"/>
    <w:rsid w:val="00E7619C"/>
    <w:rsid w:val="00E77607"/>
    <w:rsid w:val="00E801D6"/>
    <w:rsid w:val="00E80DFC"/>
    <w:rsid w:val="00E81BB5"/>
    <w:rsid w:val="00E82C63"/>
    <w:rsid w:val="00E85215"/>
    <w:rsid w:val="00E857BB"/>
    <w:rsid w:val="00E86A57"/>
    <w:rsid w:val="00E87AB9"/>
    <w:rsid w:val="00E87F96"/>
    <w:rsid w:val="00E93F09"/>
    <w:rsid w:val="00E94C11"/>
    <w:rsid w:val="00E95E3C"/>
    <w:rsid w:val="00E95E60"/>
    <w:rsid w:val="00E96D35"/>
    <w:rsid w:val="00E96F1E"/>
    <w:rsid w:val="00EA0849"/>
    <w:rsid w:val="00EA22BE"/>
    <w:rsid w:val="00EA2AFC"/>
    <w:rsid w:val="00EA3339"/>
    <w:rsid w:val="00EA36AC"/>
    <w:rsid w:val="00EA52EC"/>
    <w:rsid w:val="00EA538D"/>
    <w:rsid w:val="00EA55C0"/>
    <w:rsid w:val="00EA7430"/>
    <w:rsid w:val="00EB0B5C"/>
    <w:rsid w:val="00EB246C"/>
    <w:rsid w:val="00EB3127"/>
    <w:rsid w:val="00EB4334"/>
    <w:rsid w:val="00EB5E6E"/>
    <w:rsid w:val="00EB7725"/>
    <w:rsid w:val="00EC020C"/>
    <w:rsid w:val="00EC1D86"/>
    <w:rsid w:val="00EC2CD1"/>
    <w:rsid w:val="00EC31D7"/>
    <w:rsid w:val="00EC5E2E"/>
    <w:rsid w:val="00EC639B"/>
    <w:rsid w:val="00EC64FB"/>
    <w:rsid w:val="00EC709F"/>
    <w:rsid w:val="00ED0D0E"/>
    <w:rsid w:val="00ED4142"/>
    <w:rsid w:val="00ED4BB5"/>
    <w:rsid w:val="00ED614F"/>
    <w:rsid w:val="00ED72E9"/>
    <w:rsid w:val="00ED73C0"/>
    <w:rsid w:val="00EE2130"/>
    <w:rsid w:val="00EE22B7"/>
    <w:rsid w:val="00EE2348"/>
    <w:rsid w:val="00EE7CF9"/>
    <w:rsid w:val="00EF0F25"/>
    <w:rsid w:val="00EF12C9"/>
    <w:rsid w:val="00EF1ECD"/>
    <w:rsid w:val="00EF4047"/>
    <w:rsid w:val="00EF4AE3"/>
    <w:rsid w:val="00EF5FD3"/>
    <w:rsid w:val="00EF674C"/>
    <w:rsid w:val="00EF7B37"/>
    <w:rsid w:val="00F005B3"/>
    <w:rsid w:val="00F0184E"/>
    <w:rsid w:val="00F01AF6"/>
    <w:rsid w:val="00F0210B"/>
    <w:rsid w:val="00F024E8"/>
    <w:rsid w:val="00F02D04"/>
    <w:rsid w:val="00F04E9A"/>
    <w:rsid w:val="00F05274"/>
    <w:rsid w:val="00F10FB1"/>
    <w:rsid w:val="00F11EF3"/>
    <w:rsid w:val="00F1279E"/>
    <w:rsid w:val="00F12AD6"/>
    <w:rsid w:val="00F12F77"/>
    <w:rsid w:val="00F13451"/>
    <w:rsid w:val="00F15FD3"/>
    <w:rsid w:val="00F1603C"/>
    <w:rsid w:val="00F16DA0"/>
    <w:rsid w:val="00F1710D"/>
    <w:rsid w:val="00F17368"/>
    <w:rsid w:val="00F20B48"/>
    <w:rsid w:val="00F219A6"/>
    <w:rsid w:val="00F226AD"/>
    <w:rsid w:val="00F22CB3"/>
    <w:rsid w:val="00F23A4F"/>
    <w:rsid w:val="00F2476B"/>
    <w:rsid w:val="00F262CE"/>
    <w:rsid w:val="00F279AA"/>
    <w:rsid w:val="00F27D33"/>
    <w:rsid w:val="00F30919"/>
    <w:rsid w:val="00F31325"/>
    <w:rsid w:val="00F323E9"/>
    <w:rsid w:val="00F32FA5"/>
    <w:rsid w:val="00F335E7"/>
    <w:rsid w:val="00F33B65"/>
    <w:rsid w:val="00F35385"/>
    <w:rsid w:val="00F36C43"/>
    <w:rsid w:val="00F37301"/>
    <w:rsid w:val="00F37988"/>
    <w:rsid w:val="00F4116A"/>
    <w:rsid w:val="00F41C57"/>
    <w:rsid w:val="00F4354C"/>
    <w:rsid w:val="00F44453"/>
    <w:rsid w:val="00F450FF"/>
    <w:rsid w:val="00F51527"/>
    <w:rsid w:val="00F546BB"/>
    <w:rsid w:val="00F55293"/>
    <w:rsid w:val="00F557E4"/>
    <w:rsid w:val="00F57C3F"/>
    <w:rsid w:val="00F6029C"/>
    <w:rsid w:val="00F61266"/>
    <w:rsid w:val="00F61F62"/>
    <w:rsid w:val="00F63FAF"/>
    <w:rsid w:val="00F643DD"/>
    <w:rsid w:val="00F71763"/>
    <w:rsid w:val="00F7214F"/>
    <w:rsid w:val="00F7410D"/>
    <w:rsid w:val="00F74623"/>
    <w:rsid w:val="00F74A04"/>
    <w:rsid w:val="00F76B97"/>
    <w:rsid w:val="00F77C21"/>
    <w:rsid w:val="00F8030A"/>
    <w:rsid w:val="00F81630"/>
    <w:rsid w:val="00F82AF2"/>
    <w:rsid w:val="00F84999"/>
    <w:rsid w:val="00F84FB5"/>
    <w:rsid w:val="00F8699B"/>
    <w:rsid w:val="00F86B2F"/>
    <w:rsid w:val="00F86B72"/>
    <w:rsid w:val="00F90B8D"/>
    <w:rsid w:val="00F915EB"/>
    <w:rsid w:val="00F916B5"/>
    <w:rsid w:val="00F91C38"/>
    <w:rsid w:val="00F9520F"/>
    <w:rsid w:val="00FA029C"/>
    <w:rsid w:val="00FA3893"/>
    <w:rsid w:val="00FA3AEA"/>
    <w:rsid w:val="00FA4342"/>
    <w:rsid w:val="00FA4DE0"/>
    <w:rsid w:val="00FA77F8"/>
    <w:rsid w:val="00FB0989"/>
    <w:rsid w:val="00FB25EB"/>
    <w:rsid w:val="00FB3333"/>
    <w:rsid w:val="00FB4799"/>
    <w:rsid w:val="00FB6BD6"/>
    <w:rsid w:val="00FC0239"/>
    <w:rsid w:val="00FC2B23"/>
    <w:rsid w:val="00FC2F2A"/>
    <w:rsid w:val="00FC3011"/>
    <w:rsid w:val="00FC3E3F"/>
    <w:rsid w:val="00FC49C5"/>
    <w:rsid w:val="00FC5B5A"/>
    <w:rsid w:val="00FC79E7"/>
    <w:rsid w:val="00FC7A76"/>
    <w:rsid w:val="00FC7D97"/>
    <w:rsid w:val="00FD00E5"/>
    <w:rsid w:val="00FD0FB4"/>
    <w:rsid w:val="00FD2411"/>
    <w:rsid w:val="00FD3374"/>
    <w:rsid w:val="00FD4190"/>
    <w:rsid w:val="00FD6CDE"/>
    <w:rsid w:val="00FD76BD"/>
    <w:rsid w:val="00FE23B5"/>
    <w:rsid w:val="00FE3F77"/>
    <w:rsid w:val="00FE5AEA"/>
    <w:rsid w:val="00FE60FC"/>
    <w:rsid w:val="00FE6313"/>
    <w:rsid w:val="00FF0F3B"/>
    <w:rsid w:val="00FF3693"/>
    <w:rsid w:val="00FF7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8FBF9"/>
  <w15:chartTrackingRefBased/>
  <w15:docId w15:val="{AC2C7FF6-1B0D-429E-9F56-903409AE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E321A1"/>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A60D52"/>
    <w:rPr>
      <w:color w:val="605E5C"/>
      <w:shd w:val="clear" w:color="auto" w:fill="E1DFDD"/>
    </w:rPr>
  </w:style>
  <w:style w:type="paragraph" w:styleId="Revision">
    <w:name w:val="Revision"/>
    <w:hidden/>
    <w:uiPriority w:val="99"/>
    <w:semiHidden/>
    <w:rsid w:val="007C3632"/>
    <w:pPr>
      <w:spacing w:after="0" w:line="240" w:lineRule="auto"/>
    </w:pPr>
  </w:style>
  <w:style w:type="character" w:customStyle="1" w:styleId="sr-only">
    <w:name w:val="sr-only"/>
    <w:basedOn w:val="DefaultParagraphFont"/>
    <w:rsid w:val="0089388E"/>
  </w:style>
  <w:style w:type="paragraph" w:styleId="FootnoteText">
    <w:name w:val="footnote text"/>
    <w:basedOn w:val="Normal"/>
    <w:link w:val="FootnoteTextChar"/>
    <w:uiPriority w:val="99"/>
    <w:semiHidden/>
    <w:unhideWhenUsed/>
    <w:rsid w:val="00CC4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BAA"/>
    <w:rPr>
      <w:sz w:val="20"/>
      <w:szCs w:val="20"/>
    </w:rPr>
  </w:style>
  <w:style w:type="character" w:styleId="FootnoteReference">
    <w:name w:val="footnote reference"/>
    <w:basedOn w:val="DefaultParagraphFont"/>
    <w:uiPriority w:val="99"/>
    <w:semiHidden/>
    <w:unhideWhenUsed/>
    <w:rsid w:val="00CC4BAA"/>
    <w:rPr>
      <w:vertAlign w:val="superscript"/>
    </w:rPr>
  </w:style>
  <w:style w:type="paragraph" w:customStyle="1" w:styleId="TableParagraph">
    <w:name w:val="Table Paragraph"/>
    <w:basedOn w:val="Normal"/>
    <w:uiPriority w:val="1"/>
    <w:qFormat/>
    <w:rsid w:val="007C22AC"/>
    <w:pPr>
      <w:widowControl w:val="0"/>
      <w:autoSpaceDE w:val="0"/>
      <w:autoSpaceDN w:val="0"/>
      <w:spacing w:after="0" w:line="384" w:lineRule="exact"/>
      <w:ind w:left="2085" w:hanging="45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comment/CDC-2022-0109-0002" TargetMode="External" /><Relationship Id="rId11" Type="http://schemas.openxmlformats.org/officeDocument/2006/relationships/hyperlink" Target="mailto:flo2@cdc.gov" TargetMode="External" /><Relationship Id="rId12" Type="http://schemas.openxmlformats.org/officeDocument/2006/relationships/hyperlink" Target="mailto:rmj6@cdc.gov" TargetMode="External" /><Relationship Id="rId13" Type="http://schemas.openxmlformats.org/officeDocument/2006/relationships/hyperlink" Target="mailto:lta4@CDC.gov" TargetMode="External" /><Relationship Id="rId14" Type="http://schemas.openxmlformats.org/officeDocument/2006/relationships/hyperlink" Target="mailto:yhx1@cdc.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hyperlink" Target="https://www.bls.gov/oes/current/oes_nat.htm" TargetMode="External" /><Relationship Id="rId22" Type="http://schemas.openxmlformats.org/officeDocument/2006/relationships/hyperlink" Target="https://www.cfsre.org/about-us" TargetMode="External" /><Relationship Id="rId23" Type="http://schemas.openxmlformats.org/officeDocument/2006/relationships/hyperlink" Target="https://www.dea.gov/sites/default/files/2021-02/DIR-008-21%202020%20National%20Drug%20Threat%20Assessment_WEB.pdf" TargetMode="External" /><Relationship Id="rId24" Type="http://schemas.openxmlformats.org/officeDocument/2006/relationships/hyperlink" Target="https://www.gao.gov/assets/gao-18-685r.pdf" TargetMode="External" /><Relationship Id="rId25" Type="http://schemas.openxmlformats.org/officeDocument/2006/relationships/hyperlink" Target="https://public3.pagefreezer.com/browse/HHS.gov/31-12-2020T08:51/https://www.hhs.gov/about/news/2017/10/26/hhs-acting-secretary-declares-public-health-emergency-address-national-opioid-crisis.html" TargetMode="External" /><Relationship Id="rId26" Type="http://schemas.openxmlformats.org/officeDocument/2006/relationships/hyperlink" Target="https://public3.pagefreezer.com/browse/HHS.gov/31-12-2020T08:51/https://www.hhs.gov/sites/default/files/opioid%20PHE%20Declaration-no-sig.pdf" TargetMode="External" /><Relationship Id="rId27" Type="http://schemas.openxmlformats.org/officeDocument/2006/relationships/hyperlink" Target="https://dx.doi.org/10.15620/cdc:112340" TargetMode="External" /><Relationship Id="rId28" Type="http://schemas.openxmlformats.org/officeDocument/2006/relationships/hyperlink" Target="https://www.cdc.gov/nchs/products/databriefs/db428.htm" TargetMode="External" /><Relationship Id="rId29" Type="http://schemas.openxmlformats.org/officeDocument/2006/relationships/hyperlink" Target="https://www.cdc.gov/nceh/dls/pdf/Opiod_Factsheet-508.pdf" TargetMode="External" /><Relationship Id="rId3" Type="http://schemas.openxmlformats.org/officeDocument/2006/relationships/webSettings" Target="webSettings.xml" /><Relationship Id="rId30" Type="http://schemas.openxmlformats.org/officeDocument/2006/relationships/hyperlink" Target="https://www.caymanchem.com/forensics/faskit/?q=*%3A*" TargetMode="External" /><Relationship Id="rId31" Type="http://schemas.openxmlformats.org/officeDocument/2006/relationships/footer" Target="footer4.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cesar.umd.edu/publications/dea-emerging-threat-reports" TargetMode="External" /><Relationship Id="rId7" Type="http://schemas.openxmlformats.org/officeDocument/2006/relationships/hyperlink" Target="https://www.caymanchem.com/" TargetMode="External" /><Relationship Id="rId8" Type="http://schemas.openxmlformats.org/officeDocument/2006/relationships/hyperlink" Target="https://www.cdc.gov/nceh/dls/erb_fas_kits.html" TargetMode="External" /><Relationship Id="rId9" Type="http://schemas.openxmlformats.org/officeDocument/2006/relationships/hyperlink" Target="https://www.cdc.gov/nceh/dls/erb_opioid_kit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phe.gov/emergency/news/healthactions/phe/Pages/default.aspx" TargetMode="External" /><Relationship Id="rId2" Type="http://schemas.openxmlformats.org/officeDocument/2006/relationships/hyperlink" Target="https://www.cdc.gov/nceh/dls/erb_opioid_kits.html" TargetMode="External" /><Relationship Id="rId3" Type="http://schemas.openxmlformats.org/officeDocument/2006/relationships/hyperlink" Target="https://www.cdc.gov/nceh/dls/erb_fas_kits.html" TargetMode="External" /><Relationship Id="rId4" Type="http://schemas.openxmlformats.org/officeDocument/2006/relationships/hyperlink" Target="https://www.caymanche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45F2-6882-4F78-A28C-7247680B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20</Pages>
  <Words>5819</Words>
  <Characters>33172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36</cp:revision>
  <dcterms:created xsi:type="dcterms:W3CDTF">2022-11-17T13:20:00Z</dcterms:created>
  <dcterms:modified xsi:type="dcterms:W3CDTF">2022-12-07T16:06:00Z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7d35351a-09f9-4843-91c2-ad795d18c792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2022-06-21T20:32:02Z</vt:lpwstr>
  </property>
  <property fmtid="{D5CDD505-2E9C-101B-9397-08002B2CF9AE}" pid="8" name="MSIP_Label_8af03ff0-41c5-4c41-b55e-fabb8fae94be_SiteId">
    <vt:lpwstr>9ce70869-60db-44fd-abe8-d2767077fc8f</vt:lpwstr>
  </property>
</Properties>
</file>