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34AC7" w:rsidP="00034AC7" w14:paraId="5E98835B" w14:textId="5E6F1959">
      <w:pPr>
        <w:rPr>
          <w:rFonts w:ascii="Calibri" w:eastAsia="Times New Roman" w:hAnsi="Calibri" w:cs="Calibri"/>
          <w:color w:val="000000"/>
          <w:szCs w:val="22"/>
        </w:rPr>
      </w:pPr>
      <w:r w:rsidRPr="00034AC7">
        <w:rPr>
          <w:rFonts w:ascii="Calibri" w:eastAsia="Times New Roman" w:hAnsi="Calibri" w:cs="Calibri"/>
          <w:color w:val="000000"/>
          <w:szCs w:val="22"/>
        </w:rPr>
        <w:t xml:space="preserve">To complete Methodological Testing in FY 2024 before renewing this generic clearance, </w:t>
      </w:r>
      <w:r>
        <w:rPr>
          <w:rFonts w:ascii="Calibri" w:eastAsia="Times New Roman" w:hAnsi="Calibri" w:cs="Calibri"/>
          <w:color w:val="000000"/>
          <w:szCs w:val="22"/>
        </w:rPr>
        <w:t>we</w:t>
      </w:r>
      <w:r w:rsidRPr="00034AC7">
        <w:rPr>
          <w:rFonts w:ascii="Calibri" w:eastAsia="Times New Roman" w:hAnsi="Calibri" w:cs="Calibri"/>
          <w:color w:val="000000"/>
          <w:szCs w:val="22"/>
        </w:rPr>
        <w:t xml:space="preserve"> request that </w:t>
      </w:r>
      <w:r>
        <w:rPr>
          <w:rFonts w:ascii="Calibri" w:eastAsia="Times New Roman" w:hAnsi="Calibri" w:cs="Calibri"/>
          <w:color w:val="000000"/>
          <w:szCs w:val="22"/>
        </w:rPr>
        <w:t>an</w:t>
      </w:r>
      <w:r w:rsidRPr="00034AC7">
        <w:rPr>
          <w:rFonts w:ascii="Calibri" w:eastAsia="Times New Roman" w:hAnsi="Calibri" w:cs="Calibri"/>
          <w:color w:val="000000"/>
          <w:szCs w:val="22"/>
        </w:rPr>
        <w:t xml:space="preserve"> increase </w:t>
      </w:r>
      <w:r>
        <w:rPr>
          <w:rFonts w:ascii="Calibri" w:eastAsia="Times New Roman" w:hAnsi="Calibri" w:cs="Calibri"/>
          <w:color w:val="000000"/>
          <w:szCs w:val="22"/>
        </w:rPr>
        <w:t xml:space="preserve">to </w:t>
      </w:r>
      <w:r w:rsidRPr="00034AC7">
        <w:rPr>
          <w:rFonts w:ascii="Calibri" w:eastAsia="Times New Roman" w:hAnsi="Calibri" w:cs="Calibri"/>
          <w:color w:val="000000"/>
          <w:szCs w:val="22"/>
        </w:rPr>
        <w:t>the Burden Hours for the Methodological Testing (MT) Generic Clearance (2700-0159) by 605 burden hours to</w:t>
      </w:r>
      <w:r>
        <w:rPr>
          <w:rFonts w:ascii="Calibri" w:eastAsia="Times New Roman" w:hAnsi="Calibri" w:cs="Calibri"/>
          <w:color w:val="000000"/>
          <w:szCs w:val="22"/>
        </w:rPr>
        <w:t xml:space="preserve">: </w:t>
      </w:r>
    </w:p>
    <w:p w:rsidR="00034AC7" w:rsidP="00034AC7" w14:paraId="70029FE4" w14:textId="77777777">
      <w:pPr>
        <w:rPr>
          <w:rFonts w:ascii="Calibri" w:eastAsia="Times New Roman" w:hAnsi="Calibri" w:cs="Calibri"/>
          <w:color w:val="000000"/>
          <w:szCs w:val="22"/>
        </w:rPr>
      </w:pPr>
    </w:p>
    <w:p w:rsidR="00034AC7" w:rsidP="00034AC7" w14:paraId="00F94A35" w14:textId="05823A48">
      <w:pPr>
        <w:ind w:left="720"/>
        <w:rPr>
          <w:rFonts w:ascii="Calibri" w:eastAsia="Times New Roman" w:hAnsi="Calibri" w:cs="Calibri"/>
          <w:color w:val="000000"/>
          <w:szCs w:val="22"/>
        </w:rPr>
      </w:pPr>
      <w:r w:rsidRPr="00034AC7">
        <w:rPr>
          <w:rFonts w:ascii="Calibri" w:eastAsia="Times New Roman" w:hAnsi="Calibri" w:cs="Calibri"/>
          <w:color w:val="000000"/>
          <w:szCs w:val="22"/>
        </w:rPr>
        <w:t xml:space="preserve">1) conduct testing of several additional modifications to the K-12 STEM Inventory (K-12 Student Outcome Assessment Suite of Surveys) which is estimated to be 466.67 Burden Hours; and </w:t>
      </w:r>
    </w:p>
    <w:p w:rsidR="00034AC7" w:rsidP="00034AC7" w14:paraId="796FAF6A" w14:textId="77777777">
      <w:pPr>
        <w:ind w:left="720"/>
        <w:rPr>
          <w:rFonts w:ascii="Calibri" w:eastAsia="Times New Roman" w:hAnsi="Calibri" w:cs="Calibri"/>
          <w:color w:val="000000"/>
          <w:szCs w:val="22"/>
        </w:rPr>
      </w:pPr>
    </w:p>
    <w:p w:rsidR="00034AC7" w:rsidP="00034AC7" w14:paraId="09B36AB6" w14:textId="2FBCCF76">
      <w:pPr>
        <w:ind w:left="720"/>
        <w:rPr>
          <w:rFonts w:ascii="Calibri" w:eastAsia="Times New Roman" w:hAnsi="Calibri" w:cs="Calibri"/>
          <w:color w:val="000000"/>
          <w:szCs w:val="22"/>
        </w:rPr>
      </w:pPr>
      <w:r w:rsidRPr="00034AC7">
        <w:rPr>
          <w:rFonts w:ascii="Calibri" w:eastAsia="Times New Roman" w:hAnsi="Calibri" w:cs="Calibri"/>
          <w:color w:val="000000"/>
          <w:szCs w:val="22"/>
        </w:rPr>
        <w:t xml:space="preserve">2) provide an additional 166.67 burden hours for testing of any potential new instrument(s) to support evaluation and assessment interests of NASA STEM Engagement Investments and Stakeholders.  </w:t>
      </w:r>
    </w:p>
    <w:p w:rsidR="00034AC7" w:rsidP="00034AC7" w14:paraId="106ECB84" w14:textId="77777777">
      <w:pPr>
        <w:rPr>
          <w:rFonts w:ascii="Calibri" w:eastAsia="Times New Roman" w:hAnsi="Calibri" w:cs="Calibri"/>
          <w:color w:val="000000"/>
          <w:szCs w:val="22"/>
        </w:rPr>
      </w:pPr>
    </w:p>
    <w:p w:rsidR="00034AC7" w:rsidRPr="00034AC7" w:rsidP="00034AC7" w14:paraId="667A7407" w14:textId="4311797F">
      <w:pPr>
        <w:rPr>
          <w:rFonts w:ascii="Calibri" w:eastAsia="Times New Roman" w:hAnsi="Calibri" w:cs="Calibri"/>
          <w:color w:val="000000"/>
          <w:szCs w:val="22"/>
        </w:rPr>
      </w:pPr>
      <w:r w:rsidRPr="00034AC7">
        <w:rPr>
          <w:rFonts w:ascii="Calibri" w:eastAsia="Times New Roman" w:hAnsi="Calibri" w:cs="Calibri"/>
          <w:color w:val="000000"/>
          <w:szCs w:val="22"/>
        </w:rPr>
        <w:t>With this increase we’ll be able to complete our current planned testing activities and support any potential new requests through the end of the FY 2024.</w:t>
      </w:r>
    </w:p>
    <w:p w:rsidR="00034AC7" w:rsidRPr="00034AC7" w:rsidP="00034AC7" w14:paraId="02C20EF5" w14:textId="77777777">
      <w:pPr>
        <w:rPr>
          <w:rFonts w:ascii="Calibri" w:eastAsia="Times New Roman" w:hAnsi="Calibri" w:cs="Calibri"/>
          <w:color w:val="000000"/>
          <w:szCs w:val="22"/>
        </w:rPr>
      </w:pPr>
      <w:r w:rsidRPr="00034AC7">
        <w:rPr>
          <w:rFonts w:ascii="Calibri" w:eastAsia="Times New Roman" w:hAnsi="Calibri" w:cs="Calibri"/>
          <w:color w:val="000000"/>
          <w:szCs w:val="22"/>
        </w:rPr>
        <w:t> </w:t>
      </w:r>
    </w:p>
    <w:p w:rsidR="00AD3B28" w14:paraId="7DFB039B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AC7"/>
    <w:rsid w:val="00034AC7"/>
    <w:rsid w:val="00AD3B2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865473"/>
  <w15:chartTrackingRefBased/>
  <w15:docId w15:val="{4ADAADB8-26F9-4740-BB0D-DCAD46C1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Reiff, Scott (LARC-B713)[LAMPS 2]</dc:creator>
  <cp:lastModifiedBy>Reiff, Scott (LARC-B713)[LAMPS 2]</cp:lastModifiedBy>
  <cp:revision>1</cp:revision>
  <dcterms:created xsi:type="dcterms:W3CDTF">2023-12-13T16:53:00Z</dcterms:created>
  <dcterms:modified xsi:type="dcterms:W3CDTF">2023-12-13T16:57:00Z</dcterms:modified>
</cp:coreProperties>
</file>