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37AF2" w:rsidP="006A0B1C" w14:paraId="267E1592" w14:textId="77777777">
      <w:pPr>
        <w:pStyle w:val="Title"/>
        <w:rPr>
          <w:sz w:val="24"/>
          <w:szCs w:val="24"/>
        </w:rPr>
      </w:pPr>
    </w:p>
    <w:p w:rsidR="00EB5E96" w:rsidRPr="00596A43" w:rsidP="006A0B1C" w14:paraId="6BC64690" w14:textId="6263B75B">
      <w:pPr>
        <w:pStyle w:val="Title"/>
        <w:rPr>
          <w:sz w:val="24"/>
          <w:szCs w:val="24"/>
        </w:rPr>
      </w:pPr>
      <w:r w:rsidRPr="00596A43">
        <w:rPr>
          <w:sz w:val="24"/>
          <w:szCs w:val="24"/>
        </w:rPr>
        <w:t>Supporting Statement for Paperwork Reduction Act Submissions</w:t>
      </w:r>
    </w:p>
    <w:p w:rsidR="00EB5E96" w:rsidRPr="00596A43" w:rsidP="000C4293" w14:paraId="308DE512" w14:textId="77777777">
      <w:pPr>
        <w:tabs>
          <w:tab w:val="left" w:pos="-720"/>
        </w:tabs>
        <w:suppressAutoHyphens/>
        <w:ind w:right="-720"/>
        <w:jc w:val="both"/>
        <w:rPr>
          <w:b/>
        </w:rPr>
      </w:pPr>
    </w:p>
    <w:p w:rsidR="32188AFE" w:rsidP="6E0422A7" w14:paraId="227B916F" w14:textId="1FB76DA1">
      <w:pPr>
        <w:jc w:val="center"/>
      </w:pPr>
      <w:r w:rsidRPr="6E0422A7">
        <w:rPr>
          <w:b/>
          <w:bCs/>
        </w:rPr>
        <w:t>Title:  CISA Gateway User Registration</w:t>
      </w:r>
    </w:p>
    <w:p w:rsidR="32188AFE" w:rsidP="6E0422A7" w14:paraId="4238DE3B" w14:textId="336B03D3">
      <w:pPr>
        <w:jc w:val="center"/>
      </w:pPr>
      <w:r w:rsidRPr="6E0422A7">
        <w:rPr>
          <w:b/>
          <w:bCs/>
        </w:rPr>
        <w:t xml:space="preserve"> </w:t>
      </w:r>
    </w:p>
    <w:p w:rsidR="32188AFE" w:rsidP="6E0422A7" w14:paraId="367D7DA2" w14:textId="1790C1A8">
      <w:pPr>
        <w:jc w:val="center"/>
      </w:pPr>
      <w:r w:rsidRPr="6E0422A7">
        <w:rPr>
          <w:b/>
          <w:bCs/>
        </w:rPr>
        <w:t>OMB Control Number:  1670-0009</w:t>
      </w:r>
    </w:p>
    <w:p w:rsidR="32188AFE" w:rsidP="6E0422A7" w14:paraId="60369F31" w14:textId="2061479A">
      <w:pPr>
        <w:jc w:val="center"/>
      </w:pPr>
      <w:r w:rsidRPr="6E0422A7">
        <w:rPr>
          <w:b/>
          <w:bCs/>
        </w:rPr>
        <w:t xml:space="preserve"> </w:t>
      </w:r>
    </w:p>
    <w:p w:rsidR="32188AFE" w:rsidP="6E0422A7" w14:paraId="7024B27B" w14:textId="2706D0D9">
      <w:pPr>
        <w:jc w:val="center"/>
      </w:pPr>
      <w:r w:rsidRPr="6E0422A7">
        <w:rPr>
          <w:b/>
          <w:bCs/>
        </w:rPr>
        <w:t xml:space="preserve">Supporting </w:t>
      </w:r>
      <w:bookmarkStart w:id="0" w:name="_Int_KUou10mS"/>
      <w:r w:rsidRPr="6E0422A7">
        <w:rPr>
          <w:b/>
          <w:bCs/>
        </w:rPr>
        <w:t>Statement</w:t>
      </w:r>
      <w:bookmarkEnd w:id="0"/>
      <w:r w:rsidRPr="6E0422A7">
        <w:rPr>
          <w:b/>
          <w:bCs/>
        </w:rPr>
        <w:t xml:space="preserve"> A</w:t>
      </w:r>
    </w:p>
    <w:p w:rsidR="6E0422A7" w:rsidP="6E0422A7" w14:paraId="40C80B80" w14:textId="6C92CC10">
      <w:pPr>
        <w:jc w:val="center"/>
        <w:rPr>
          <w:b/>
          <w:bCs/>
        </w:rPr>
      </w:pPr>
    </w:p>
    <w:p w:rsidR="00EB5E96" w:rsidRPr="00596A43" w:rsidP="000C4293" w14:paraId="56887A23" w14:textId="77777777">
      <w:pPr>
        <w:pStyle w:val="Heading1"/>
        <w:jc w:val="both"/>
        <w:rPr>
          <w:sz w:val="24"/>
          <w:szCs w:val="24"/>
        </w:rPr>
      </w:pPr>
      <w:r w:rsidRPr="00596A43">
        <w:rPr>
          <w:sz w:val="24"/>
          <w:szCs w:val="24"/>
        </w:rPr>
        <w:t>A.  Justification</w:t>
      </w:r>
    </w:p>
    <w:p w:rsidR="00EB5E96" w:rsidRPr="00596A43" w:rsidP="000C4293" w14:paraId="4CC277F7" w14:textId="77777777">
      <w:pPr>
        <w:tabs>
          <w:tab w:val="left" w:pos="-720"/>
        </w:tabs>
        <w:suppressAutoHyphens/>
        <w:jc w:val="both"/>
      </w:pPr>
    </w:p>
    <w:p w:rsidR="00EB5E96" w:rsidRPr="00596A43" w:rsidP="000C4293" w14:paraId="5B81241B" w14:textId="77777777">
      <w:pPr>
        <w:shd w:val="pct25" w:color="auto" w:fill="auto"/>
        <w:tabs>
          <w:tab w:val="left" w:pos="-720"/>
        </w:tabs>
        <w:suppressAutoHyphens/>
        <w:jc w:val="both"/>
      </w:pPr>
      <w:r w:rsidRPr="00596A43">
        <w:rPr>
          <w:color w:val="2B579A"/>
          <w:shd w:val="clear" w:color="auto" w:fill="E6E6E6"/>
        </w:rPr>
        <w:fldChar w:fldCharType="begin"/>
      </w:r>
      <w:r w:rsidRPr="00596A43">
        <w:instrText>ADVANCE \R 0.95</w:instrText>
      </w:r>
      <w:r w:rsidRPr="00596A43">
        <w:rPr>
          <w:color w:val="2B579A"/>
          <w:shd w:val="clear" w:color="auto" w:fill="E6E6E6"/>
        </w:rPr>
        <w:fldChar w:fldCharType="end"/>
      </w:r>
      <w:r w:rsidRPr="00596A43">
        <w:t>1.  Explain the circumstances that make the collection of information necessary.  Identify any legal or administrative requirements that necessitate the collection.  Attach a copy of the appropriate section of each statute and regulation mandating or autho</w:t>
      </w:r>
      <w:r w:rsidRPr="00596A43">
        <w:t xml:space="preserve">rizing the collection of information.  </w:t>
      </w:r>
    </w:p>
    <w:p w:rsidR="000E7B5C" w:rsidRPr="00596A43" w:rsidP="000C4293" w14:paraId="045316CC" w14:textId="77777777">
      <w:pPr>
        <w:tabs>
          <w:tab w:val="left" w:pos="-720"/>
        </w:tabs>
        <w:suppressAutoHyphens/>
        <w:jc w:val="both"/>
      </w:pPr>
    </w:p>
    <w:p w:rsidR="00775631" w:rsidRPr="00E51A78" w:rsidP="6E0422A7" w14:paraId="586E3B4C" w14:textId="320344D2">
      <w:pPr>
        <w:suppressAutoHyphens/>
        <w:jc w:val="both"/>
      </w:pPr>
      <w:r w:rsidRPr="00E51A78">
        <w:t>The Presidential Policy Directive-21 (PPD-21) (2013) and the National Infrastructure Protection Plan (NIPP) (2013) (Public Law 107-296) highlight the need for a centrally managed repository of infrastructure attribu</w:t>
      </w:r>
      <w:r w:rsidRPr="00E51A78">
        <w:t xml:space="preserve">tes capable of assessing risks and facilitating data sharing.  To support this mission need, the Department of Homeland Security’s (DHS) Cybersecurity and Infrastructure Security Agency (CISA) has developed the </w:t>
      </w:r>
      <w:r w:rsidRPr="00E51A78" w:rsidR="7C279A3D">
        <w:t>CISA</w:t>
      </w:r>
      <w:r w:rsidRPr="00E51A78">
        <w:t xml:space="preserve"> Gateway.  The CISA Gateway contains seve</w:t>
      </w:r>
      <w:r w:rsidRPr="00E51A78">
        <w:t xml:space="preserve">ral capabilities which support the homeland security mission in the area of critical infrastructure (CI) protection. </w:t>
      </w:r>
      <w:r w:rsidRPr="003A0B1A" w:rsidR="003A0B1A">
        <w:t xml:space="preserve">The collection was initially approved on October ,9 2007 and the most recent approval was on August 28, </w:t>
      </w:r>
      <w:r w:rsidRPr="003A0B1A" w:rsidR="00711A33">
        <w:t>2020,</w:t>
      </w:r>
      <w:r w:rsidRPr="003A0B1A" w:rsidR="003A0B1A">
        <w:t xml:space="preserve"> with an expiration date of August 31, 2023.</w:t>
      </w:r>
    </w:p>
    <w:p w:rsidR="00775631" w:rsidP="6E0422A7" w14:paraId="65DF5DBD" w14:textId="1D6C174B">
      <w:pPr>
        <w:suppressAutoHyphens/>
        <w:jc w:val="both"/>
      </w:pPr>
    </w:p>
    <w:p w:rsidR="00184412" w:rsidRPr="00640111" w:rsidP="00640111" w14:paraId="6E46A732" w14:textId="52B94AAF">
      <w:pPr>
        <w:pStyle w:val="Default"/>
        <w:rPr>
          <w:sz w:val="23"/>
          <w:szCs w:val="23"/>
        </w:rPr>
      </w:pPr>
      <w:r>
        <w:rPr>
          <w:sz w:val="23"/>
          <w:szCs w:val="23"/>
        </w:rPr>
        <w:t xml:space="preserve">The </w:t>
      </w:r>
      <w:r w:rsidR="007B53AE">
        <w:rPr>
          <w:sz w:val="23"/>
          <w:szCs w:val="23"/>
        </w:rPr>
        <w:t xml:space="preserve">CISA </w:t>
      </w:r>
      <w:r>
        <w:rPr>
          <w:sz w:val="23"/>
          <w:szCs w:val="23"/>
        </w:rPr>
        <w:t xml:space="preserve">requests the Office of Management and Budget (OMB) use the emergency review and approval process to reinstate an expired Paperwork Reduction Act (PRA) information collection, 1670-0009 CISA Gateway User Registration. See </w:t>
      </w:r>
      <w:r w:rsidR="007B53AE">
        <w:rPr>
          <w:sz w:val="23"/>
          <w:szCs w:val="23"/>
        </w:rPr>
        <w:t xml:space="preserve">Request for Emergency Clearance: CISA Gateway User Registration. </w:t>
      </w:r>
      <w:r>
        <w:rPr>
          <w:sz w:val="23"/>
          <w:szCs w:val="23"/>
        </w:rPr>
        <w:t xml:space="preserve"> </w:t>
      </w:r>
    </w:p>
    <w:p w:rsidR="002C326F" w:rsidRPr="00E51A78" w:rsidP="6E0422A7" w14:paraId="177D9B16" w14:textId="77777777">
      <w:pPr>
        <w:suppressAutoHyphens/>
        <w:jc w:val="both"/>
      </w:pPr>
    </w:p>
    <w:p w:rsidR="00561B42" w:rsidP="5FDDBC33" w14:paraId="354D8D8C" w14:textId="0FD9BF15">
      <w:pPr>
        <w:suppressAutoHyphens/>
        <w:jc w:val="both"/>
      </w:pPr>
      <w:r w:rsidRPr="00E51A78">
        <w:t xml:space="preserve">The purpose of this collection is to gather the details pertaining to the users of the </w:t>
      </w:r>
      <w:r w:rsidRPr="00E51A78" w:rsidR="5E518C2A">
        <w:t>CISA</w:t>
      </w:r>
      <w:r w:rsidRPr="00E51A78">
        <w:t xml:space="preserve"> Gateway for the purpose of creating accounts to access the CISA Gateway.  This information is also used to verify a need to know to access the </w:t>
      </w:r>
      <w:r w:rsidRPr="00E51A78" w:rsidR="3CDEF7CC">
        <w:t>CISA</w:t>
      </w:r>
      <w:r w:rsidRPr="00E51A78">
        <w:t xml:space="preserve"> Gateway.  After being vetted and granted access, users are prompted and required to take an online training</w:t>
      </w:r>
      <w:r w:rsidRPr="00E51A78">
        <w:t xml:space="preserve"> course upon first logging into the system. After completing the training, users are permitted full access to the </w:t>
      </w:r>
      <w:r>
        <w:t>system.</w:t>
      </w:r>
    </w:p>
    <w:p w:rsidR="5FDDBC33" w:rsidP="5FDDBC33" w14:paraId="3D47DF29" w14:textId="1E63D9EE">
      <w:pPr>
        <w:jc w:val="both"/>
      </w:pPr>
    </w:p>
    <w:p w:rsidR="00855D68" w:rsidP="5FDDBC33" w14:paraId="352AFDBC" w14:textId="4ABF32F5">
      <w:pPr>
        <w:jc w:val="both"/>
      </w:pPr>
      <w:r>
        <w:t>The title for this collection will be changed from “IP Gateway User Registration” to “CISA Gateway User Registration.</w:t>
      </w:r>
      <w:r w:rsidR="12FAD233">
        <w:t>”</w:t>
      </w:r>
      <w:r w:rsidR="00882658">
        <w:t xml:space="preserve"> The instrument “IP Gat</w:t>
      </w:r>
      <w:r w:rsidR="008C7FA8">
        <w:t xml:space="preserve">eway Utilization Survey” </w:t>
      </w:r>
      <w:r w:rsidR="004C016D">
        <w:t>will be removed</w:t>
      </w:r>
      <w:r w:rsidR="005F0B78">
        <w:t xml:space="preserve"> for this collection and will </w:t>
      </w:r>
      <w:r w:rsidR="005F0B78">
        <w:t>not longer</w:t>
      </w:r>
      <w:r w:rsidR="005F0B78">
        <w:t xml:space="preserve"> be uti</w:t>
      </w:r>
      <w:r w:rsidR="00A44F82">
        <w:t>lized</w:t>
      </w:r>
      <w:r w:rsidR="00FF36DE">
        <w:t>.</w:t>
      </w:r>
      <w:r w:rsidR="000067FC">
        <w:t xml:space="preserve"> This </w:t>
      </w:r>
      <w:r w:rsidR="00611BDC">
        <w:t xml:space="preserve">will result in </w:t>
      </w:r>
      <w:r w:rsidR="00A44F82">
        <w:t>reducing the number of burden hours</w:t>
      </w:r>
      <w:r w:rsidR="000067FC">
        <w:t xml:space="preserve"> and the removal of the </w:t>
      </w:r>
      <w:r w:rsidR="00C30717">
        <w:t>“</w:t>
      </w:r>
      <w:r w:rsidR="00611BDC">
        <w:t>Suppo</w:t>
      </w:r>
      <w:r w:rsidR="00C30717">
        <w:t>r</w:t>
      </w:r>
      <w:r w:rsidR="00611BDC">
        <w:t>t</w:t>
      </w:r>
      <w:r w:rsidR="00C30717">
        <w:t>ing Statement B”.</w:t>
      </w:r>
    </w:p>
    <w:p w:rsidR="00775631" w:rsidRPr="00E51A78" w:rsidP="000C4293" w14:paraId="2B72C135" w14:textId="20E2A189">
      <w:pPr>
        <w:tabs>
          <w:tab w:val="left" w:pos="-720"/>
        </w:tabs>
        <w:suppressAutoHyphens/>
        <w:jc w:val="both"/>
        <w:rPr>
          <w:b/>
          <w:spacing w:val="-3"/>
          <w:u w:val="single"/>
        </w:rPr>
      </w:pPr>
      <w:r>
        <w:t xml:space="preserve"> </w:t>
      </w:r>
    </w:p>
    <w:p w:rsidR="00EB5E96" w:rsidRPr="00E51A78" w:rsidP="000C4293" w14:paraId="292D1E97" w14:textId="38E7D185">
      <w:pPr>
        <w:shd w:val="pct25" w:color="auto" w:fill="auto"/>
        <w:tabs>
          <w:tab w:val="left" w:pos="-720"/>
        </w:tabs>
        <w:suppressAutoHyphens/>
        <w:jc w:val="both"/>
      </w:pPr>
      <w:r w:rsidRPr="00E51A78">
        <w:rPr>
          <w:color w:val="2B579A"/>
          <w:shd w:val="clear" w:color="auto" w:fill="E6E6E6"/>
        </w:rPr>
        <w:fldChar w:fldCharType="begin"/>
      </w:r>
      <w:r w:rsidRPr="00E51A78">
        <w:instrText>ADVANCE \R 0.95</w:instrText>
      </w:r>
      <w:r w:rsidRPr="00E51A78">
        <w:rPr>
          <w:color w:val="2B579A"/>
          <w:shd w:val="clear" w:color="auto" w:fill="E6E6E6"/>
        </w:rPr>
        <w:fldChar w:fldCharType="end"/>
      </w:r>
      <w:r w:rsidRPr="00E51A78">
        <w:t>2.  Indicate ho</w:t>
      </w:r>
      <w:r w:rsidRPr="00E51A78">
        <w:t xml:space="preserve">w, by whom, and for what purpose the information is to be used.  Except for a new collection, indicate the actual use the agency has made of the information received from the current collection. </w:t>
      </w:r>
    </w:p>
    <w:p w:rsidR="00D73BBC" w:rsidRPr="00E51A78" w:rsidP="00D73BBC" w14:paraId="42FB41F9" w14:textId="77777777">
      <w:pPr>
        <w:tabs>
          <w:tab w:val="left" w:pos="-720"/>
        </w:tabs>
        <w:suppressAutoHyphens/>
        <w:jc w:val="both"/>
        <w:rPr>
          <w:i/>
          <w:spacing w:val="-3"/>
          <w:sz w:val="20"/>
        </w:rPr>
      </w:pPr>
    </w:p>
    <w:p w:rsidR="00E151DA" w:rsidRPr="00E51A78" w:rsidP="6E0422A7" w14:paraId="48A3146C" w14:textId="57049115">
      <w:pPr>
        <w:pStyle w:val="Default"/>
      </w:pPr>
      <w:r w:rsidRPr="00E51A78">
        <w:t>The information gathered will be used by the CISA Gateway P</w:t>
      </w:r>
      <w:r w:rsidRPr="00E51A78">
        <w:t>rogram Management Team to vet users for a need to know and grant access to the system.  As part of the registration process</w:t>
      </w:r>
      <w:r w:rsidR="00E51A78">
        <w:t xml:space="preserve"> </w:t>
      </w:r>
      <w:r w:rsidRPr="00E51A78">
        <w:t xml:space="preserve">are required to take a one-time online training course.  When logging into the system for the first </w:t>
      </w:r>
      <w:r w:rsidRPr="00E51A78">
        <w:t>time, the system prompts users t</w:t>
      </w:r>
      <w:r w:rsidRPr="00E51A78">
        <w:t>o take the training courses.  Users cannot opt out of t</w:t>
      </w:r>
      <w:r w:rsidR="00561B42">
        <w:t>h</w:t>
      </w:r>
      <w:r w:rsidRPr="00E51A78">
        <w:t>e training and are required to take the course in order to gain and maintain access to the system. When users complete the training, the system automatically logs that the training is complete and all</w:t>
      </w:r>
      <w:r w:rsidRPr="00E51A78">
        <w:t>ows full access to the system.</w:t>
      </w:r>
    </w:p>
    <w:p w:rsidR="0037322A" w:rsidRPr="00E51A78" w:rsidP="004C5DDB" w14:paraId="7B36142C" w14:textId="55ABF3B7">
      <w:pPr>
        <w:pStyle w:val="Default"/>
      </w:pPr>
    </w:p>
    <w:p w:rsidR="0037322A" w:rsidRPr="00E51A78" w:rsidP="6E0422A7" w14:paraId="547B879B" w14:textId="648B737F">
      <w:pPr>
        <w:jc w:val="both"/>
      </w:pPr>
      <w:r w:rsidRPr="00E51A78">
        <w:t>Below is a list of identified system users and stakeholders.</w:t>
      </w:r>
    </w:p>
    <w:p w:rsidR="0037322A" w:rsidRPr="00E51A78" w:rsidP="6E0422A7" w14:paraId="0D01DB5F" w14:textId="75BDF64D">
      <w:pPr>
        <w:jc w:val="both"/>
      </w:pPr>
      <w:r w:rsidRPr="00E51A78">
        <w:t xml:space="preserve"> </w:t>
      </w:r>
    </w:p>
    <w:p w:rsidR="0037322A" w:rsidRPr="00E51A78" w:rsidP="6E0422A7" w14:paraId="036EE0FC" w14:textId="3A734B8A">
      <w:pPr>
        <w:pStyle w:val="ListParagraph"/>
        <w:numPr>
          <w:ilvl w:val="0"/>
          <w:numId w:val="2"/>
        </w:numPr>
      </w:pPr>
      <w:r w:rsidRPr="00E51A78">
        <w:t>Critical Infrastructure Community</w:t>
      </w:r>
    </w:p>
    <w:p w:rsidR="0037322A" w:rsidRPr="00E51A78" w:rsidP="6E0422A7" w14:paraId="27F08A5E" w14:textId="38E3F9B9">
      <w:pPr>
        <w:pStyle w:val="ListParagraph"/>
        <w:numPr>
          <w:ilvl w:val="0"/>
          <w:numId w:val="2"/>
        </w:numPr>
      </w:pPr>
      <w:r w:rsidRPr="00E51A78">
        <w:t>Protective Security Advisors (PSAs)</w:t>
      </w:r>
    </w:p>
    <w:p w:rsidR="0037322A" w:rsidRPr="00E51A78" w:rsidP="6E0422A7" w14:paraId="0D07504C" w14:textId="10B6EAD4">
      <w:pPr>
        <w:pStyle w:val="ListParagraph"/>
        <w:numPr>
          <w:ilvl w:val="0"/>
          <w:numId w:val="2"/>
        </w:numPr>
      </w:pPr>
      <w:r w:rsidRPr="00E51A78">
        <w:t>State Fusion Centers</w:t>
      </w:r>
    </w:p>
    <w:p w:rsidR="0037322A" w:rsidRPr="00E51A78" w:rsidP="6E0422A7" w14:paraId="0F927DC2" w14:textId="4BA3DEEA">
      <w:pPr>
        <w:pStyle w:val="ListParagraph"/>
        <w:numPr>
          <w:ilvl w:val="0"/>
          <w:numId w:val="2"/>
        </w:numPr>
      </w:pPr>
      <w:r w:rsidRPr="00E51A78">
        <w:t xml:space="preserve">The State, Local, Tribal, and Territorial Governing </w:t>
      </w:r>
      <w:r w:rsidRPr="00E51A78">
        <w:t>Coordinating Council (SLTTGCC)</w:t>
      </w:r>
    </w:p>
    <w:p w:rsidR="0037322A" w:rsidRPr="00E51A78" w:rsidP="6E0422A7" w14:paraId="22C992EF" w14:textId="66B056F9">
      <w:pPr>
        <w:pStyle w:val="ListParagraph"/>
        <w:numPr>
          <w:ilvl w:val="0"/>
          <w:numId w:val="2"/>
        </w:numPr>
      </w:pPr>
      <w:r w:rsidRPr="00E51A78">
        <w:t>State representatives for critical infrastructure</w:t>
      </w:r>
    </w:p>
    <w:p w:rsidR="0037322A" w:rsidRPr="00E51A78" w:rsidP="6E0422A7" w14:paraId="05B3CB97" w14:textId="15F5EB26">
      <w:pPr>
        <w:pStyle w:val="ListParagraph"/>
        <w:numPr>
          <w:ilvl w:val="0"/>
          <w:numId w:val="2"/>
        </w:numPr>
      </w:pPr>
      <w:r w:rsidRPr="00E51A78">
        <w:t>Facility owner/operators</w:t>
      </w:r>
    </w:p>
    <w:p w:rsidR="0037322A" w:rsidRPr="00E51A78" w:rsidP="6E0422A7" w14:paraId="709A1C03" w14:textId="46CC4784">
      <w:pPr>
        <w:pStyle w:val="ListParagraph"/>
        <w:numPr>
          <w:ilvl w:val="0"/>
          <w:numId w:val="2"/>
        </w:numPr>
      </w:pPr>
      <w:r w:rsidRPr="00E51A78">
        <w:t>DHS Components and Sub-components to include:</w:t>
      </w:r>
    </w:p>
    <w:p w:rsidR="0037322A" w:rsidRPr="00E51A78" w:rsidP="6E0422A7" w14:paraId="0ED1FC02" w14:textId="2767AC30">
      <w:pPr>
        <w:pStyle w:val="ListParagraph"/>
        <w:numPr>
          <w:ilvl w:val="1"/>
          <w:numId w:val="2"/>
        </w:numPr>
      </w:pPr>
      <w:r w:rsidRPr="00E51A78">
        <w:t>Cybersecurity and Infrastructure Security Agency (CISA)</w:t>
      </w:r>
    </w:p>
    <w:p w:rsidR="0037322A" w:rsidRPr="00E51A78" w:rsidP="6E0422A7" w14:paraId="6407737F" w14:textId="6EEA085C">
      <w:pPr>
        <w:pStyle w:val="ListParagraph"/>
        <w:numPr>
          <w:ilvl w:val="1"/>
          <w:numId w:val="2"/>
        </w:numPr>
      </w:pPr>
      <w:r w:rsidRPr="00E51A78">
        <w:t>Federal Protective Service (FPS)</w:t>
      </w:r>
    </w:p>
    <w:p w:rsidR="0037322A" w:rsidRPr="00E51A78" w:rsidP="6E0422A7" w14:paraId="1E0E99FF" w14:textId="0B6E5CD7">
      <w:pPr>
        <w:pStyle w:val="ListParagraph"/>
        <w:numPr>
          <w:ilvl w:val="1"/>
          <w:numId w:val="2"/>
        </w:numPr>
      </w:pPr>
      <w:r w:rsidRPr="00E51A78">
        <w:t>Cybersecurity D</w:t>
      </w:r>
      <w:r w:rsidRPr="00E51A78">
        <w:t>ivision (CSD)</w:t>
      </w:r>
    </w:p>
    <w:p w:rsidR="0037322A" w:rsidRPr="00E51A78" w:rsidP="6E0422A7" w14:paraId="0C67143F" w14:textId="5F242E72">
      <w:pPr>
        <w:pStyle w:val="ListParagraph"/>
        <w:numPr>
          <w:ilvl w:val="1"/>
          <w:numId w:val="2"/>
        </w:numPr>
      </w:pPr>
      <w:r w:rsidRPr="00E51A78">
        <w:t>Infrastructure Security Division (ISD)</w:t>
      </w:r>
    </w:p>
    <w:p w:rsidR="0037322A" w:rsidRPr="00E51A78" w:rsidP="6E0422A7" w14:paraId="74FC763F" w14:textId="44450B06">
      <w:pPr>
        <w:pStyle w:val="ListParagraph"/>
        <w:numPr>
          <w:ilvl w:val="1"/>
          <w:numId w:val="2"/>
        </w:numPr>
      </w:pPr>
      <w:r w:rsidRPr="00E51A78">
        <w:t>Emergency Communications Division (ECD)</w:t>
      </w:r>
    </w:p>
    <w:p w:rsidR="0037322A" w:rsidRPr="00E51A78" w:rsidP="6E0422A7" w14:paraId="1843503E" w14:textId="262A0BF4">
      <w:pPr>
        <w:pStyle w:val="ListParagraph"/>
        <w:numPr>
          <w:ilvl w:val="1"/>
          <w:numId w:val="2"/>
        </w:numPr>
      </w:pPr>
      <w:r w:rsidRPr="00E51A78">
        <w:t>Integrated Operations Division (IOD)</w:t>
      </w:r>
    </w:p>
    <w:p w:rsidR="0037322A" w:rsidRPr="00E51A78" w:rsidP="6E0422A7" w14:paraId="6548D691" w14:textId="5729D5B9">
      <w:pPr>
        <w:pStyle w:val="ListParagraph"/>
        <w:numPr>
          <w:ilvl w:val="2"/>
          <w:numId w:val="2"/>
        </w:numPr>
      </w:pPr>
      <w:r w:rsidRPr="00E51A78">
        <w:t>Cyber Security Advisors (CSAs)</w:t>
      </w:r>
    </w:p>
    <w:p w:rsidR="0037322A" w:rsidRPr="00E51A78" w:rsidP="6E0422A7" w14:paraId="764F1731" w14:textId="0C93C779">
      <w:pPr>
        <w:pStyle w:val="ListParagraph"/>
        <w:numPr>
          <w:ilvl w:val="2"/>
          <w:numId w:val="2"/>
        </w:numPr>
      </w:pPr>
      <w:r w:rsidRPr="00E51A78">
        <w:t>Protective Security Advisors (PSAs)</w:t>
      </w:r>
    </w:p>
    <w:p w:rsidR="0037322A" w:rsidRPr="00E51A78" w:rsidP="6E0422A7" w14:paraId="582D27D5" w14:textId="68ADBA4D">
      <w:pPr>
        <w:pStyle w:val="ListParagraph"/>
        <w:numPr>
          <w:ilvl w:val="2"/>
          <w:numId w:val="2"/>
        </w:numPr>
      </w:pPr>
      <w:r w:rsidRPr="00E51A78">
        <w:t>CISA Central Operations</w:t>
      </w:r>
    </w:p>
    <w:p w:rsidR="0037322A" w:rsidRPr="00E51A78" w:rsidP="6E0422A7" w14:paraId="22C5403E" w14:textId="0FC52069">
      <w:pPr>
        <w:pStyle w:val="ListParagraph"/>
        <w:numPr>
          <w:ilvl w:val="1"/>
          <w:numId w:val="2"/>
        </w:numPr>
      </w:pPr>
      <w:r w:rsidRPr="00E51A78">
        <w:t xml:space="preserve">Infrastructure Security </w:t>
      </w:r>
      <w:r w:rsidRPr="00E51A78">
        <w:t>Division (ISD)</w:t>
      </w:r>
    </w:p>
    <w:p w:rsidR="0037322A" w:rsidRPr="00E51A78" w:rsidP="6E0422A7" w14:paraId="2FE31846" w14:textId="51407D5F">
      <w:pPr>
        <w:pStyle w:val="ListParagraph"/>
        <w:numPr>
          <w:ilvl w:val="1"/>
          <w:numId w:val="2"/>
        </w:numPr>
      </w:pPr>
      <w:r w:rsidRPr="00E51A78">
        <w:t>National Risk Management Center (NRMC)</w:t>
      </w:r>
    </w:p>
    <w:p w:rsidR="0037322A" w:rsidRPr="00E51A78" w:rsidP="6E0422A7" w14:paraId="340E6EC2" w14:textId="33762947">
      <w:pPr>
        <w:pStyle w:val="ListParagraph"/>
        <w:numPr>
          <w:ilvl w:val="1"/>
          <w:numId w:val="2"/>
        </w:numPr>
      </w:pPr>
      <w:r w:rsidRPr="00E51A78">
        <w:t>Stakeholder Engagement Division (SED)</w:t>
      </w:r>
    </w:p>
    <w:p w:rsidR="0037322A" w:rsidRPr="00E51A78" w:rsidP="6E0422A7" w14:paraId="349A724C" w14:textId="2407B0C0">
      <w:pPr>
        <w:pStyle w:val="ListParagraph"/>
        <w:numPr>
          <w:ilvl w:val="1"/>
          <w:numId w:val="2"/>
        </w:numPr>
      </w:pPr>
      <w:r w:rsidRPr="00E51A78">
        <w:t>Transportation Security Administration (TSA)</w:t>
      </w:r>
    </w:p>
    <w:p w:rsidR="0037322A" w:rsidRPr="00E51A78" w:rsidP="6E0422A7" w14:paraId="126152FF" w14:textId="36458460">
      <w:pPr>
        <w:pStyle w:val="ListParagraph"/>
        <w:numPr>
          <w:ilvl w:val="1"/>
          <w:numId w:val="2"/>
        </w:numPr>
      </w:pPr>
      <w:r w:rsidRPr="00E51A78">
        <w:t>Office of Health Affairs (OHA)</w:t>
      </w:r>
    </w:p>
    <w:p w:rsidR="0037322A" w:rsidRPr="00E51A78" w:rsidP="6E0422A7" w14:paraId="4554E5D6" w14:textId="54A5CDC5">
      <w:pPr>
        <w:pStyle w:val="ListParagraph"/>
        <w:numPr>
          <w:ilvl w:val="1"/>
          <w:numId w:val="2"/>
        </w:numPr>
      </w:pPr>
      <w:r w:rsidRPr="00E51A78">
        <w:t>Sector-Specific Agencies (SSAs)</w:t>
      </w:r>
    </w:p>
    <w:p w:rsidR="0037322A" w:rsidRPr="00E51A78" w:rsidP="6E0422A7" w14:paraId="46174943" w14:textId="589408E9">
      <w:pPr>
        <w:pStyle w:val="ListParagraph"/>
        <w:numPr>
          <w:ilvl w:val="0"/>
          <w:numId w:val="2"/>
        </w:numPr>
      </w:pPr>
      <w:r w:rsidRPr="00E51A78">
        <w:t>Critical Infrastructure Sectors:</w:t>
      </w:r>
    </w:p>
    <w:p w:rsidR="0037322A" w:rsidRPr="00E51A78" w:rsidP="6E0422A7" w14:paraId="211A86B7" w14:textId="2ABD7F0B">
      <w:pPr>
        <w:pStyle w:val="ListParagraph"/>
        <w:numPr>
          <w:ilvl w:val="1"/>
          <w:numId w:val="2"/>
        </w:numPr>
      </w:pPr>
      <w:r w:rsidRPr="00E51A78">
        <w:t>Chemical Sector</w:t>
      </w:r>
    </w:p>
    <w:p w:rsidR="0037322A" w:rsidRPr="00E51A78" w:rsidP="6E0422A7" w14:paraId="03221229" w14:textId="5DC9156D">
      <w:pPr>
        <w:pStyle w:val="ListParagraph"/>
        <w:numPr>
          <w:ilvl w:val="1"/>
          <w:numId w:val="2"/>
        </w:numPr>
      </w:pPr>
      <w:r w:rsidRPr="00E51A78">
        <w:t>Commerc</w:t>
      </w:r>
      <w:r w:rsidRPr="00E51A78">
        <w:t>ial Facilities Sector</w:t>
      </w:r>
    </w:p>
    <w:p w:rsidR="0037322A" w:rsidRPr="00E51A78" w:rsidP="6E0422A7" w14:paraId="23B82C39" w14:textId="0D580DA3">
      <w:pPr>
        <w:pStyle w:val="ListParagraph"/>
        <w:numPr>
          <w:ilvl w:val="1"/>
          <w:numId w:val="2"/>
        </w:numPr>
      </w:pPr>
      <w:r w:rsidRPr="00E51A78">
        <w:t>Communications Sector</w:t>
      </w:r>
    </w:p>
    <w:p w:rsidR="0037322A" w:rsidRPr="00E51A78" w:rsidP="6E0422A7" w14:paraId="5A90BA5C" w14:textId="53A05667">
      <w:pPr>
        <w:pStyle w:val="ListParagraph"/>
        <w:numPr>
          <w:ilvl w:val="1"/>
          <w:numId w:val="2"/>
        </w:numPr>
      </w:pPr>
      <w:r w:rsidRPr="00E51A78">
        <w:t>Critical Manufacturing Sector</w:t>
      </w:r>
    </w:p>
    <w:p w:rsidR="0037322A" w:rsidRPr="00E51A78" w:rsidP="6E0422A7" w14:paraId="79AA27D4" w14:textId="4DACA038">
      <w:pPr>
        <w:pStyle w:val="ListParagraph"/>
        <w:numPr>
          <w:ilvl w:val="1"/>
          <w:numId w:val="2"/>
        </w:numPr>
      </w:pPr>
      <w:r w:rsidRPr="00E51A78">
        <w:t>Dams Sector</w:t>
      </w:r>
    </w:p>
    <w:p w:rsidR="0037322A" w:rsidRPr="00E51A78" w:rsidP="6E0422A7" w14:paraId="4A852247" w14:textId="75050426">
      <w:pPr>
        <w:pStyle w:val="ListParagraph"/>
        <w:numPr>
          <w:ilvl w:val="1"/>
          <w:numId w:val="2"/>
        </w:numPr>
      </w:pPr>
      <w:r w:rsidRPr="00E51A78">
        <w:t>Defense Industrial Base Sector</w:t>
      </w:r>
    </w:p>
    <w:p w:rsidR="0037322A" w:rsidRPr="00E51A78" w:rsidP="6E0422A7" w14:paraId="694286A4" w14:textId="784A1C5F">
      <w:pPr>
        <w:pStyle w:val="ListParagraph"/>
        <w:numPr>
          <w:ilvl w:val="1"/>
          <w:numId w:val="2"/>
        </w:numPr>
      </w:pPr>
      <w:r w:rsidRPr="00E51A78">
        <w:t xml:space="preserve">Emergency Services Sector </w:t>
      </w:r>
    </w:p>
    <w:p w:rsidR="0037322A" w:rsidRPr="00E51A78" w:rsidP="6E0422A7" w14:paraId="62A7DCB0" w14:textId="1EDE1B99">
      <w:pPr>
        <w:pStyle w:val="ListParagraph"/>
        <w:numPr>
          <w:ilvl w:val="1"/>
          <w:numId w:val="2"/>
        </w:numPr>
      </w:pPr>
      <w:r w:rsidRPr="00E51A78">
        <w:t>Energy Sector</w:t>
      </w:r>
    </w:p>
    <w:p w:rsidR="0037322A" w:rsidRPr="00E51A78" w:rsidP="6E0422A7" w14:paraId="021E3916" w14:textId="5ABF274F">
      <w:pPr>
        <w:pStyle w:val="ListParagraph"/>
        <w:numPr>
          <w:ilvl w:val="1"/>
          <w:numId w:val="2"/>
        </w:numPr>
      </w:pPr>
      <w:r w:rsidRPr="00E51A78">
        <w:t>Financial Services Sector</w:t>
      </w:r>
    </w:p>
    <w:p w:rsidR="0037322A" w:rsidRPr="00E51A78" w:rsidP="6E0422A7" w14:paraId="0DB1E24D" w14:textId="757A0A63">
      <w:pPr>
        <w:pStyle w:val="ListParagraph"/>
        <w:numPr>
          <w:ilvl w:val="1"/>
          <w:numId w:val="2"/>
        </w:numPr>
      </w:pPr>
      <w:r w:rsidRPr="00E51A78">
        <w:t>Food and Agriculture Sector</w:t>
      </w:r>
    </w:p>
    <w:p w:rsidR="0037322A" w:rsidRPr="00E51A78" w:rsidP="6E0422A7" w14:paraId="2ED938BA" w14:textId="3DFCD9E8">
      <w:pPr>
        <w:pStyle w:val="ListParagraph"/>
        <w:numPr>
          <w:ilvl w:val="1"/>
          <w:numId w:val="2"/>
        </w:numPr>
      </w:pPr>
      <w:r w:rsidRPr="00E51A78">
        <w:t>Government Facilities Sector</w:t>
      </w:r>
    </w:p>
    <w:p w:rsidR="0037322A" w:rsidRPr="00E51A78" w:rsidP="6E0422A7" w14:paraId="6D32E641" w14:textId="697EF8DA">
      <w:pPr>
        <w:pStyle w:val="ListParagraph"/>
        <w:numPr>
          <w:ilvl w:val="1"/>
          <w:numId w:val="2"/>
        </w:numPr>
      </w:pPr>
      <w:r w:rsidRPr="00E51A78">
        <w:t xml:space="preserve">Healthcare and </w:t>
      </w:r>
      <w:r w:rsidRPr="00E51A78">
        <w:t>Public Health Sector</w:t>
      </w:r>
    </w:p>
    <w:p w:rsidR="0037322A" w:rsidRPr="00E51A78" w:rsidP="6E0422A7" w14:paraId="3B846BF1" w14:textId="38143797">
      <w:pPr>
        <w:pStyle w:val="ListParagraph"/>
        <w:numPr>
          <w:ilvl w:val="1"/>
          <w:numId w:val="2"/>
        </w:numPr>
      </w:pPr>
      <w:r w:rsidRPr="00E51A78">
        <w:t>Information Technology Sector</w:t>
      </w:r>
    </w:p>
    <w:p w:rsidR="0037322A" w:rsidRPr="00E51A78" w:rsidP="6E0422A7" w14:paraId="78CB9F6A" w14:textId="50FD8C25">
      <w:pPr>
        <w:pStyle w:val="ListParagraph"/>
        <w:numPr>
          <w:ilvl w:val="1"/>
          <w:numId w:val="2"/>
        </w:numPr>
      </w:pPr>
      <w:r w:rsidRPr="00E51A78">
        <w:t>Nuclear Reactors, Materials, and Waste Sector</w:t>
      </w:r>
    </w:p>
    <w:p w:rsidR="0037322A" w:rsidRPr="00E51A78" w:rsidP="6E0422A7" w14:paraId="1502132E" w14:textId="5BBFE82F">
      <w:pPr>
        <w:pStyle w:val="ListParagraph"/>
        <w:numPr>
          <w:ilvl w:val="1"/>
          <w:numId w:val="2"/>
        </w:numPr>
      </w:pPr>
      <w:r w:rsidRPr="00E51A78">
        <w:t>Transportation Systems Sector</w:t>
      </w:r>
    </w:p>
    <w:p w:rsidR="0037322A" w:rsidRPr="00E51A78" w:rsidP="6E0422A7" w14:paraId="0D65F500" w14:textId="516B7B6B">
      <w:pPr>
        <w:pStyle w:val="ListParagraph"/>
        <w:numPr>
          <w:ilvl w:val="1"/>
          <w:numId w:val="2"/>
        </w:numPr>
      </w:pPr>
      <w:r w:rsidRPr="00E51A78">
        <w:t>Water and Wastewater Systems Sector</w:t>
      </w:r>
    </w:p>
    <w:p w:rsidR="0037322A" w:rsidRPr="00E51A78" w:rsidP="6E0422A7" w14:paraId="73AD2A8F" w14:textId="00D12F15">
      <w:pPr>
        <w:pStyle w:val="ListParagraph"/>
        <w:numPr>
          <w:ilvl w:val="0"/>
          <w:numId w:val="2"/>
        </w:numPr>
      </w:pPr>
      <w:r w:rsidRPr="00E51A78">
        <w:t>Army Corp of Engineers</w:t>
      </w:r>
    </w:p>
    <w:p w:rsidR="002F49E0" w:rsidP="002F49E0" w14:paraId="5546AD87" w14:textId="51316AAA">
      <w:pPr>
        <w:pStyle w:val="Default"/>
        <w:rPr>
          <w:color w:val="auto"/>
          <w:sz w:val="22"/>
          <w:szCs w:val="22"/>
        </w:rPr>
      </w:pPr>
    </w:p>
    <w:p w:rsidR="000215BD" w:rsidP="002F49E0" w14:paraId="6FD5D884" w14:textId="66AF1676">
      <w:pPr>
        <w:pStyle w:val="Default"/>
        <w:rPr>
          <w:color w:val="auto"/>
          <w:sz w:val="22"/>
          <w:szCs w:val="22"/>
        </w:rPr>
      </w:pPr>
      <w:r>
        <w:t>The “Supporting Statement B”</w:t>
      </w:r>
      <w:r>
        <w:t xml:space="preserve"> will be removed as it is no longer needed due to the removal of the “IP Gateway Utilization Survey”,</w:t>
      </w:r>
    </w:p>
    <w:p w:rsidR="000215BD" w:rsidRPr="00E51A78" w:rsidP="002F49E0" w14:paraId="0F4F5C63" w14:textId="77777777">
      <w:pPr>
        <w:pStyle w:val="Default"/>
        <w:rPr>
          <w:color w:val="auto"/>
          <w:sz w:val="22"/>
          <w:szCs w:val="22"/>
        </w:rPr>
      </w:pPr>
    </w:p>
    <w:p w:rsidR="00EB5E96" w:rsidRPr="00E51A78" w:rsidP="000C4293" w14:paraId="137BFE5F" w14:textId="77777777">
      <w:pPr>
        <w:shd w:val="pct25" w:color="auto" w:fill="auto"/>
        <w:tabs>
          <w:tab w:val="left" w:pos="-720"/>
        </w:tabs>
        <w:suppressAutoHyphens/>
        <w:jc w:val="both"/>
      </w:pPr>
      <w:r w:rsidRPr="00E51A78">
        <w:rPr>
          <w:color w:val="2B579A"/>
          <w:shd w:val="clear" w:color="auto" w:fill="E6E6E6"/>
        </w:rPr>
        <w:fldChar w:fldCharType="begin"/>
      </w:r>
      <w:r w:rsidRPr="00E51A78">
        <w:instrText>ADVANCE \R 0.95</w:instrText>
      </w:r>
      <w:r w:rsidRPr="00E51A78">
        <w:rPr>
          <w:color w:val="2B579A"/>
          <w:shd w:val="clear" w:color="auto" w:fill="E6E6E6"/>
        </w:rPr>
        <w:fldChar w:fldCharType="end"/>
      </w:r>
      <w:r w:rsidRPr="00E51A78">
        <w:t xml:space="preserve">3.  Describe whether, and to what extent, the collection of information involves the use of automated, electronic, </w:t>
      </w:r>
      <w:r w:rsidRPr="00E51A78">
        <w:t>mechanical, or other technological collection techniques or other forms of information technology, e.g., permitting electronic submission of responses, and the basis for the decision for adopting this means of collection.  Also describe any consideration o</w:t>
      </w:r>
      <w:r w:rsidRPr="00E51A78">
        <w:t>f using information technology to reduce burden.</w:t>
      </w:r>
      <w:r w:rsidRPr="00E51A78">
        <w:tab/>
      </w:r>
    </w:p>
    <w:p w:rsidR="00EB5E96" w:rsidRPr="00E51A78" w:rsidP="000C4293" w14:paraId="16DA2C53" w14:textId="77777777">
      <w:pPr>
        <w:tabs>
          <w:tab w:val="left" w:pos="-720"/>
        </w:tabs>
        <w:suppressAutoHyphens/>
        <w:jc w:val="both"/>
      </w:pPr>
    </w:p>
    <w:p w:rsidR="7A510F5D" w:rsidRPr="00E51A78" w:rsidP="6E0422A7" w14:paraId="6DBBD9C0" w14:textId="1A768AA9">
      <w:pPr>
        <w:pStyle w:val="Default"/>
        <w:jc w:val="both"/>
      </w:pPr>
      <w:r w:rsidRPr="00E51A78">
        <w:t>The collection of information uses automated electronic forms.  During the online registration process, there is an electronic form used to create a user account and an online training course required to g</w:t>
      </w:r>
      <w:r w:rsidRPr="00E51A78">
        <w:t>rant access.</w:t>
      </w:r>
    </w:p>
    <w:p w:rsidR="7A510F5D" w:rsidRPr="00E51A78" w:rsidP="6E0422A7" w14:paraId="72266316" w14:textId="2C6662B7">
      <w:pPr>
        <w:pStyle w:val="Default"/>
      </w:pPr>
      <w:r w:rsidRPr="00E51A78">
        <w:t xml:space="preserve"> </w:t>
      </w:r>
    </w:p>
    <w:p w:rsidR="00EB5E96" w:rsidRPr="00E51A78" w:rsidP="000C4293" w14:paraId="74B08762" w14:textId="77777777">
      <w:pPr>
        <w:shd w:val="pct25" w:color="auto" w:fill="auto"/>
        <w:tabs>
          <w:tab w:val="left" w:pos="-720"/>
        </w:tabs>
        <w:suppressAutoHyphens/>
        <w:jc w:val="both"/>
      </w:pPr>
      <w:r w:rsidRPr="00E51A78">
        <w:rPr>
          <w:color w:val="2B579A"/>
          <w:shd w:val="clear" w:color="auto" w:fill="E6E6E6"/>
        </w:rPr>
        <w:fldChar w:fldCharType="begin"/>
      </w:r>
      <w:r w:rsidRPr="00E51A78">
        <w:instrText>ADVANCE \R 0.95</w:instrText>
      </w:r>
      <w:r w:rsidRPr="00E51A78">
        <w:rPr>
          <w:color w:val="2B579A"/>
          <w:shd w:val="clear" w:color="auto" w:fill="E6E6E6"/>
        </w:rPr>
        <w:fldChar w:fldCharType="end"/>
      </w:r>
      <w:r w:rsidRPr="00E51A78">
        <w:t xml:space="preserve">4.  Describe efforts to identify duplication.   Show specifically why any similar information already available cannot be used or modified for use for the purposes described in Item 2 above. </w:t>
      </w:r>
    </w:p>
    <w:p w:rsidR="0029007F" w:rsidRPr="00E51A78" w:rsidP="00FF5DDF" w14:paraId="38740572" w14:textId="77777777">
      <w:pPr>
        <w:tabs>
          <w:tab w:val="left" w:pos="-720"/>
        </w:tabs>
        <w:suppressAutoHyphens/>
        <w:contextualSpacing/>
      </w:pPr>
    </w:p>
    <w:p w:rsidR="276AA176" w:rsidRPr="00E51A78" w:rsidP="6E0422A7" w14:paraId="03CE4D20" w14:textId="3295C915">
      <w:pPr>
        <w:jc w:val="both"/>
      </w:pPr>
      <w:r w:rsidRPr="00E51A78">
        <w:t>Currently there are no known si</w:t>
      </w:r>
      <w:r w:rsidRPr="00E51A78">
        <w:t>milar programs or information collections that collect CI facility information pertaining to security and resiliency.  A search of reginfo.gov also revealed that this information is not collected or duplicated elsewhere.</w:t>
      </w:r>
    </w:p>
    <w:p w:rsidR="00AA3F82" w:rsidRPr="00E51A78" w:rsidP="000C4293" w14:paraId="1DA65EDD" w14:textId="77777777">
      <w:pPr>
        <w:tabs>
          <w:tab w:val="left" w:pos="-720"/>
        </w:tabs>
        <w:suppressAutoHyphens/>
        <w:jc w:val="both"/>
      </w:pPr>
    </w:p>
    <w:p w:rsidR="00EB5E96" w:rsidRPr="00E51A78" w:rsidP="000C4293" w14:paraId="12920507" w14:textId="77777777">
      <w:pPr>
        <w:shd w:val="pct25" w:color="auto" w:fill="auto"/>
        <w:tabs>
          <w:tab w:val="left" w:pos="-720"/>
        </w:tabs>
        <w:suppressAutoHyphens/>
        <w:jc w:val="both"/>
      </w:pPr>
      <w:r w:rsidRPr="00E51A78">
        <w:rPr>
          <w:color w:val="2B579A"/>
          <w:shd w:val="clear" w:color="auto" w:fill="E6E6E6"/>
        </w:rPr>
        <w:fldChar w:fldCharType="begin"/>
      </w:r>
      <w:r w:rsidRPr="00E51A78">
        <w:instrText>ADVANCE \R 0.95</w:instrText>
      </w:r>
      <w:r w:rsidRPr="00E51A78">
        <w:rPr>
          <w:color w:val="2B579A"/>
          <w:shd w:val="clear" w:color="auto" w:fill="E6E6E6"/>
        </w:rPr>
        <w:fldChar w:fldCharType="end"/>
      </w:r>
      <w:r w:rsidRPr="00E51A78">
        <w:t>5.  If the collec</w:t>
      </w:r>
      <w:r w:rsidRPr="00E51A78">
        <w:t>tion of information impacts small businesses or other small entities (Item 5 of OMB Form 83-I), describe any methods used to minimize.</w:t>
      </w:r>
      <w:r w:rsidRPr="00E51A78">
        <w:tab/>
      </w:r>
    </w:p>
    <w:p w:rsidR="00EB5E96" w:rsidRPr="00E51A78" w:rsidP="000C4293" w14:paraId="06D78EA0" w14:textId="77777777">
      <w:pPr>
        <w:tabs>
          <w:tab w:val="left" w:pos="-720"/>
        </w:tabs>
        <w:suppressAutoHyphens/>
        <w:jc w:val="both"/>
        <w:rPr>
          <w:spacing w:val="-3"/>
        </w:rPr>
      </w:pPr>
    </w:p>
    <w:p w:rsidR="15C79D43" w:rsidRPr="00E51A78" w:rsidP="6E0422A7" w14:paraId="70F3703F" w14:textId="187E1EF1">
      <w:pPr>
        <w:jc w:val="both"/>
      </w:pPr>
      <w:r w:rsidRPr="00E51A78">
        <w:t xml:space="preserve">The program </w:t>
      </w:r>
      <w:r>
        <w:t>do</w:t>
      </w:r>
      <w:r w:rsidR="44CBD00C">
        <w:t>es</w:t>
      </w:r>
      <w:r w:rsidRPr="00E51A78">
        <w:t xml:space="preserve"> not impact small business or other small entities.</w:t>
      </w:r>
    </w:p>
    <w:p w:rsidR="00EB5E96" w:rsidRPr="00E51A78" w:rsidP="000C4293" w14:paraId="5E13DE4C" w14:textId="77777777">
      <w:pPr>
        <w:tabs>
          <w:tab w:val="left" w:pos="-720"/>
        </w:tabs>
        <w:suppressAutoHyphens/>
        <w:jc w:val="both"/>
        <w:rPr>
          <w:spacing w:val="-3"/>
        </w:rPr>
      </w:pPr>
    </w:p>
    <w:p w:rsidR="00EB5E96" w:rsidRPr="00E51A78" w:rsidP="000C4293" w14:paraId="3B43F236" w14:textId="77777777">
      <w:pPr>
        <w:shd w:val="pct25" w:color="auto" w:fill="auto"/>
        <w:tabs>
          <w:tab w:val="left" w:pos="-720"/>
        </w:tabs>
        <w:suppressAutoHyphens/>
        <w:jc w:val="both"/>
      </w:pPr>
      <w:r w:rsidRPr="00E51A78">
        <w:rPr>
          <w:color w:val="2B579A"/>
          <w:shd w:val="clear" w:color="auto" w:fill="E6E6E6"/>
        </w:rPr>
        <w:fldChar w:fldCharType="begin"/>
      </w:r>
      <w:r w:rsidRPr="00E51A78">
        <w:instrText>ADVANCE \R 0.95</w:instrText>
      </w:r>
      <w:r w:rsidRPr="00E51A78">
        <w:rPr>
          <w:color w:val="2B579A"/>
          <w:shd w:val="clear" w:color="auto" w:fill="E6E6E6"/>
        </w:rPr>
        <w:fldChar w:fldCharType="end"/>
      </w:r>
      <w:r w:rsidRPr="00E51A78">
        <w:t xml:space="preserve">6.  Describe the </w:t>
      </w:r>
      <w:r w:rsidRPr="00E51A78">
        <w:t>consequence to Federal/</w:t>
      </w:r>
      <w:r w:rsidRPr="00E51A78" w:rsidR="00460234">
        <w:t>DHS</w:t>
      </w:r>
      <w:r w:rsidRPr="00E51A78">
        <w:t xml:space="preserve"> program or policy activities if the collection of information is not conducted, or is conducted less frequently, as well as any technical or legal obstacles to reducing burden.</w:t>
      </w:r>
    </w:p>
    <w:p w:rsidR="00EB5E96" w:rsidRPr="00E51A78" w:rsidP="000C4293" w14:paraId="38AFCAF9" w14:textId="77777777">
      <w:pPr>
        <w:tabs>
          <w:tab w:val="left" w:pos="-720"/>
        </w:tabs>
        <w:suppressAutoHyphens/>
        <w:jc w:val="both"/>
        <w:rPr>
          <w:spacing w:val="-3"/>
        </w:rPr>
      </w:pPr>
    </w:p>
    <w:p w:rsidR="7491B526" w:rsidRPr="00E51A78" w:rsidP="6E0422A7" w14:paraId="3C1CEE96" w14:textId="0B745262">
      <w:pPr>
        <w:jc w:val="both"/>
      </w:pPr>
      <w:r w:rsidRPr="00E51A78">
        <w:t>By not collecting this information, the CISA Gatewa</w:t>
      </w:r>
      <w:r w:rsidRPr="00E51A78">
        <w:t>y program could not vet and verify users need to know and could not grant access to the system.  If the training is not collected automatically during registration process, a much more costly and cumbersome method to distribute and verify completion of the</w:t>
      </w:r>
      <w:r w:rsidRPr="00E51A78">
        <w:t xml:space="preserve"> training requirement would be needed.  </w:t>
      </w:r>
    </w:p>
    <w:p w:rsidR="00AA3F82" w:rsidRPr="00E51A78" w:rsidP="000C4293" w14:paraId="6DB53CCA" w14:textId="77777777">
      <w:pPr>
        <w:tabs>
          <w:tab w:val="left" w:pos="-720"/>
        </w:tabs>
        <w:suppressAutoHyphens/>
        <w:jc w:val="both"/>
        <w:rPr>
          <w:spacing w:val="-3"/>
        </w:rPr>
      </w:pPr>
    </w:p>
    <w:p w:rsidR="00EB5E96" w:rsidRPr="00E51A78" w:rsidP="000C4293" w14:paraId="5CEA0046" w14:textId="77777777">
      <w:pPr>
        <w:shd w:val="pct25" w:color="auto" w:fill="auto"/>
        <w:tabs>
          <w:tab w:val="left" w:pos="-720"/>
        </w:tabs>
        <w:suppressAutoHyphens/>
        <w:jc w:val="both"/>
      </w:pPr>
      <w:r w:rsidRPr="00E51A78">
        <w:rPr>
          <w:color w:val="2B579A"/>
          <w:shd w:val="clear" w:color="auto" w:fill="E6E6E6"/>
        </w:rPr>
        <w:fldChar w:fldCharType="begin"/>
      </w:r>
      <w:r w:rsidRPr="00E51A78">
        <w:instrText>ADVANCE \R 0.95</w:instrText>
      </w:r>
      <w:r w:rsidRPr="00E51A78">
        <w:rPr>
          <w:color w:val="2B579A"/>
          <w:shd w:val="clear" w:color="auto" w:fill="E6E6E6"/>
        </w:rPr>
        <w:fldChar w:fldCharType="end"/>
      </w:r>
      <w:r w:rsidRPr="00E51A78">
        <w:t>7.  Explain any special circumstances that would cause an information collection to be conducted in a manner:</w:t>
      </w:r>
    </w:p>
    <w:p w:rsidR="00EB5E96" w:rsidRPr="00E51A78" w:rsidP="000C4293" w14:paraId="1819770B" w14:textId="77777777">
      <w:pPr>
        <w:shd w:val="pct25" w:color="auto" w:fill="FFFFFF"/>
        <w:tabs>
          <w:tab w:val="left" w:pos="-720"/>
        </w:tabs>
        <w:suppressAutoHyphens/>
        <w:jc w:val="both"/>
      </w:pPr>
    </w:p>
    <w:p w:rsidR="00EB5E96" w:rsidRPr="00E51A78" w:rsidP="005C472E" w14:paraId="23F88CE8" w14:textId="77777777">
      <w:pPr>
        <w:numPr>
          <w:ilvl w:val="0"/>
          <w:numId w:val="28"/>
        </w:numPr>
        <w:shd w:val="clear" w:color="auto" w:fill="C0C0C0"/>
        <w:tabs>
          <w:tab w:val="left" w:pos="-720"/>
        </w:tabs>
        <w:suppressAutoHyphens/>
        <w:jc w:val="both"/>
      </w:pPr>
      <w:r w:rsidRPr="00E51A78">
        <w:rPr>
          <w:color w:val="2B579A"/>
          <w:shd w:val="clear" w:color="auto" w:fill="E6E6E6"/>
        </w:rPr>
        <w:fldChar w:fldCharType="begin"/>
      </w:r>
      <w:r w:rsidRPr="00E51A78">
        <w:instrText>ADVANCE \R 0.95</w:instrText>
      </w:r>
      <w:r w:rsidRPr="00E51A78">
        <w:rPr>
          <w:color w:val="2B579A"/>
          <w:shd w:val="clear" w:color="auto" w:fill="E6E6E6"/>
        </w:rPr>
        <w:fldChar w:fldCharType="end"/>
      </w:r>
      <w:r w:rsidRPr="00E51A78">
        <w:t xml:space="preserve">Requiring respondents to report information to the agency more often </w:t>
      </w:r>
      <w:r w:rsidRPr="00E51A78">
        <w:t>than quarterly.</w:t>
      </w:r>
    </w:p>
    <w:p w:rsidR="005C472E" w:rsidRPr="00E51A78" w:rsidP="005C472E" w14:paraId="114264B2" w14:textId="77777777">
      <w:pPr>
        <w:tabs>
          <w:tab w:val="left" w:pos="-720"/>
        </w:tabs>
        <w:suppressAutoHyphens/>
        <w:contextualSpacing/>
      </w:pPr>
    </w:p>
    <w:p w:rsidR="6334238B" w:rsidRPr="00E51A78" w:rsidP="6E0422A7" w14:paraId="615990E5" w14:textId="7068DEE9">
      <w:pPr>
        <w:spacing w:line="259" w:lineRule="auto"/>
        <w:contextualSpacing/>
      </w:pPr>
      <w:r w:rsidRPr="00E51A78">
        <w:t>N/A</w:t>
      </w:r>
    </w:p>
    <w:p w:rsidR="005C472E" w:rsidRPr="00E51A78" w:rsidP="005C472E" w14:paraId="7CA6057B" w14:textId="77777777">
      <w:pPr>
        <w:tabs>
          <w:tab w:val="left" w:pos="-720"/>
        </w:tabs>
        <w:suppressAutoHyphens/>
        <w:contextualSpacing/>
      </w:pPr>
    </w:p>
    <w:p w:rsidR="005C472E" w:rsidRPr="00E51A78" w:rsidP="005C472E" w14:paraId="082D3C38" w14:textId="77777777">
      <w:pPr>
        <w:shd w:val="clear" w:color="auto" w:fill="C0C0C0"/>
        <w:tabs>
          <w:tab w:val="left" w:pos="-720"/>
        </w:tabs>
        <w:suppressAutoHyphens/>
        <w:jc w:val="both"/>
      </w:pPr>
    </w:p>
    <w:p w:rsidR="00EB5E96" w:rsidRPr="00E51A78" w:rsidP="005C472E" w14:paraId="4A6BDFA0" w14:textId="77777777">
      <w:pPr>
        <w:numPr>
          <w:ilvl w:val="0"/>
          <w:numId w:val="28"/>
        </w:numPr>
        <w:shd w:val="clear" w:color="auto" w:fill="C0C0C0"/>
      </w:pPr>
      <w:r w:rsidRPr="00E51A78">
        <w:rPr>
          <w:color w:val="2B579A"/>
          <w:shd w:val="clear" w:color="auto" w:fill="E6E6E6"/>
        </w:rPr>
        <w:fldChar w:fldCharType="begin"/>
      </w:r>
      <w:r w:rsidRPr="00E51A78">
        <w:instrText>ADVANCE \R 0.95</w:instrText>
      </w:r>
      <w:r w:rsidRPr="00E51A78">
        <w:rPr>
          <w:color w:val="2B579A"/>
          <w:shd w:val="clear" w:color="auto" w:fill="E6E6E6"/>
        </w:rPr>
        <w:fldChar w:fldCharType="end"/>
      </w:r>
      <w:r w:rsidRPr="00E51A78">
        <w:rPr>
          <w:color w:val="2B579A"/>
          <w:shd w:val="clear" w:color="auto" w:fill="E6E6E6"/>
        </w:rPr>
        <w:fldChar w:fldCharType="begin"/>
      </w:r>
      <w:r w:rsidRPr="00E51A78">
        <w:instrText>ADVANCE \R 0.95</w:instrText>
      </w:r>
      <w:r w:rsidRPr="00E51A78">
        <w:rPr>
          <w:color w:val="2B579A"/>
          <w:shd w:val="clear" w:color="auto" w:fill="E6E6E6"/>
        </w:rPr>
        <w:fldChar w:fldCharType="end"/>
      </w:r>
      <w:r w:rsidRPr="00E51A78">
        <w:t>Requiring respondents to prepare a written response to a collection of information in fewer than 30 days after receipt of it.</w:t>
      </w:r>
    </w:p>
    <w:p w:rsidR="005C472E" w:rsidRPr="00E51A78" w:rsidP="005C472E" w14:paraId="276EC834" w14:textId="77777777">
      <w:pPr>
        <w:tabs>
          <w:tab w:val="left" w:pos="-720"/>
        </w:tabs>
        <w:suppressAutoHyphens/>
        <w:contextualSpacing/>
      </w:pPr>
    </w:p>
    <w:p w:rsidR="1295EEEA" w:rsidRPr="00E51A78" w:rsidP="6E0422A7" w14:paraId="48F32B39" w14:textId="4F38E565">
      <w:pPr>
        <w:spacing w:line="259" w:lineRule="auto"/>
        <w:contextualSpacing/>
      </w:pPr>
      <w:r w:rsidRPr="00E51A78">
        <w:t>N/A</w:t>
      </w:r>
    </w:p>
    <w:p w:rsidR="005C472E" w:rsidRPr="00E51A78" w:rsidP="005C472E" w14:paraId="79A93358" w14:textId="77777777">
      <w:pPr>
        <w:tabs>
          <w:tab w:val="left" w:pos="-720"/>
        </w:tabs>
        <w:suppressAutoHyphens/>
        <w:contextualSpacing/>
      </w:pPr>
    </w:p>
    <w:p w:rsidR="005C472E" w:rsidRPr="00E51A78" w:rsidP="005C472E" w14:paraId="6B23AE7A" w14:textId="77777777">
      <w:pPr>
        <w:shd w:val="clear" w:color="auto" w:fill="C0C0C0"/>
        <w:ind w:left="720"/>
      </w:pPr>
    </w:p>
    <w:p w:rsidR="00EB5E96" w:rsidRPr="00E51A78" w:rsidP="005C472E" w14:paraId="52E973BB" w14:textId="77777777">
      <w:pPr>
        <w:numPr>
          <w:ilvl w:val="0"/>
          <w:numId w:val="28"/>
        </w:numPr>
        <w:shd w:val="pct25" w:color="auto" w:fill="auto"/>
        <w:tabs>
          <w:tab w:val="left" w:pos="-720"/>
        </w:tabs>
        <w:suppressAutoHyphens/>
        <w:jc w:val="both"/>
      </w:pPr>
      <w:r w:rsidRPr="00E51A78">
        <w:rPr>
          <w:color w:val="2B579A"/>
          <w:shd w:val="clear" w:color="auto" w:fill="E6E6E6"/>
        </w:rPr>
        <w:fldChar w:fldCharType="begin"/>
      </w:r>
      <w:r w:rsidRPr="00E51A78">
        <w:instrText>ADVANCE \R 0.95</w:instrText>
      </w:r>
      <w:r w:rsidRPr="00E51A78">
        <w:rPr>
          <w:color w:val="2B579A"/>
          <w:shd w:val="clear" w:color="auto" w:fill="E6E6E6"/>
        </w:rPr>
        <w:fldChar w:fldCharType="end"/>
      </w:r>
      <w:r w:rsidRPr="00E51A78">
        <w:t xml:space="preserve">Requiring respondents to submit more than an </w:t>
      </w:r>
      <w:r w:rsidRPr="00E51A78">
        <w:t>original and two copies of any document.</w:t>
      </w:r>
    </w:p>
    <w:p w:rsidR="005C472E" w:rsidRPr="00E51A78" w:rsidP="005C472E" w14:paraId="6109BF0C" w14:textId="77777777">
      <w:pPr>
        <w:tabs>
          <w:tab w:val="left" w:pos="-720"/>
        </w:tabs>
        <w:suppressAutoHyphens/>
        <w:contextualSpacing/>
        <w:jc w:val="both"/>
      </w:pPr>
    </w:p>
    <w:p w:rsidR="5FB5C97B" w:rsidRPr="00E51A78" w:rsidP="6E0422A7" w14:paraId="687545B1" w14:textId="504458C7">
      <w:pPr>
        <w:spacing w:line="259" w:lineRule="auto"/>
        <w:contextualSpacing/>
        <w:jc w:val="both"/>
      </w:pPr>
      <w:r w:rsidRPr="00E51A78">
        <w:t>N/A</w:t>
      </w:r>
    </w:p>
    <w:p w:rsidR="005C472E" w:rsidRPr="00E51A78" w:rsidP="005C472E" w14:paraId="0360B0EA" w14:textId="77777777">
      <w:pPr>
        <w:tabs>
          <w:tab w:val="left" w:pos="-720"/>
        </w:tabs>
        <w:suppressAutoHyphens/>
        <w:contextualSpacing/>
        <w:jc w:val="both"/>
      </w:pPr>
    </w:p>
    <w:p w:rsidR="005C472E" w:rsidRPr="00E51A78" w:rsidP="005C472E" w14:paraId="2F6FAF2A" w14:textId="77777777">
      <w:pPr>
        <w:shd w:val="pct25" w:color="auto" w:fill="auto"/>
        <w:tabs>
          <w:tab w:val="left" w:pos="-720"/>
        </w:tabs>
        <w:suppressAutoHyphens/>
        <w:ind w:left="720"/>
        <w:jc w:val="both"/>
      </w:pPr>
    </w:p>
    <w:p w:rsidR="00EB5E96" w:rsidRPr="00E51A78" w:rsidP="005C472E" w14:paraId="6A9FB3E6" w14:textId="77777777">
      <w:pPr>
        <w:numPr>
          <w:ilvl w:val="0"/>
          <w:numId w:val="28"/>
        </w:numPr>
        <w:shd w:val="clear" w:color="auto" w:fill="C0C0C0"/>
        <w:tabs>
          <w:tab w:val="left" w:pos="-720"/>
        </w:tabs>
        <w:suppressAutoHyphens/>
        <w:jc w:val="both"/>
      </w:pPr>
      <w:r w:rsidRPr="00E51A78">
        <w:rPr>
          <w:color w:val="2B579A"/>
          <w:shd w:val="clear" w:color="auto" w:fill="E6E6E6"/>
        </w:rPr>
        <w:fldChar w:fldCharType="begin"/>
      </w:r>
      <w:r w:rsidRPr="00E51A78">
        <w:instrText>ADVANCE \R 0.95</w:instrText>
      </w:r>
      <w:r w:rsidRPr="00E51A78">
        <w:rPr>
          <w:color w:val="2B579A"/>
          <w:shd w:val="clear" w:color="auto" w:fill="E6E6E6"/>
        </w:rPr>
        <w:fldChar w:fldCharType="end"/>
      </w:r>
      <w:r w:rsidRPr="00E51A78">
        <w:t>Requiring respondents to retain records, other than health, medical, government contract, grant-in-aid, or tax records for more than three years.</w:t>
      </w:r>
    </w:p>
    <w:p w:rsidR="005C472E" w:rsidRPr="00E51A78" w:rsidP="005C472E" w14:paraId="0BC57000" w14:textId="77777777">
      <w:pPr>
        <w:tabs>
          <w:tab w:val="left" w:pos="-720"/>
        </w:tabs>
        <w:suppressAutoHyphens/>
        <w:contextualSpacing/>
      </w:pPr>
    </w:p>
    <w:p w:rsidR="005C472E" w:rsidRPr="00E51A78" w:rsidP="6E0422A7" w14:paraId="306663A0" w14:textId="30BBDFDE">
      <w:pPr>
        <w:suppressAutoHyphens/>
        <w:contextualSpacing/>
      </w:pPr>
      <w:r w:rsidRPr="00E51A78">
        <w:tab/>
      </w:r>
      <w:r w:rsidRPr="00E51A78" w:rsidR="0F1451CB">
        <w:rPr>
          <w:spacing w:val="-3"/>
        </w:rPr>
        <w:t>N/A</w:t>
      </w:r>
    </w:p>
    <w:p w:rsidR="005C472E" w:rsidRPr="00E51A78" w:rsidP="005C472E" w14:paraId="6308D0BB" w14:textId="77777777">
      <w:pPr>
        <w:tabs>
          <w:tab w:val="left" w:pos="-720"/>
        </w:tabs>
        <w:suppressAutoHyphens/>
        <w:contextualSpacing/>
      </w:pPr>
    </w:p>
    <w:p w:rsidR="005C472E" w:rsidRPr="00E51A78" w:rsidP="005C472E" w14:paraId="643C8D71" w14:textId="77777777">
      <w:pPr>
        <w:shd w:val="clear" w:color="auto" w:fill="C0C0C0"/>
        <w:tabs>
          <w:tab w:val="left" w:pos="-720"/>
        </w:tabs>
        <w:suppressAutoHyphens/>
        <w:ind w:left="720"/>
        <w:jc w:val="both"/>
      </w:pPr>
    </w:p>
    <w:p w:rsidR="00EB5E96" w:rsidRPr="00E51A78" w:rsidP="005C472E" w14:paraId="020B1D65" w14:textId="77777777">
      <w:pPr>
        <w:numPr>
          <w:ilvl w:val="0"/>
          <w:numId w:val="28"/>
        </w:numPr>
        <w:shd w:val="clear" w:color="auto" w:fill="C0C0C0"/>
        <w:tabs>
          <w:tab w:val="left" w:pos="-720"/>
        </w:tabs>
        <w:suppressAutoHyphens/>
        <w:jc w:val="both"/>
      </w:pPr>
      <w:r w:rsidRPr="00E51A78">
        <w:rPr>
          <w:color w:val="2B579A"/>
          <w:shd w:val="clear" w:color="auto" w:fill="E6E6E6"/>
        </w:rPr>
        <w:fldChar w:fldCharType="begin"/>
      </w:r>
      <w:r w:rsidRPr="00E51A78">
        <w:instrText>ADVANCE \R 0.95</w:instrText>
      </w:r>
      <w:r w:rsidRPr="00E51A78">
        <w:rPr>
          <w:color w:val="2B579A"/>
          <w:shd w:val="clear" w:color="auto" w:fill="E6E6E6"/>
        </w:rPr>
        <w:fldChar w:fldCharType="end"/>
      </w:r>
      <w:r w:rsidRPr="00E51A78">
        <w:t xml:space="preserve">In </w:t>
      </w:r>
      <w:r w:rsidRPr="00E51A78">
        <w:t>connection with a statistical survey, that is not designed to produce valid and reliable results that can be generalized to the universe of study.</w:t>
      </w:r>
    </w:p>
    <w:p w:rsidR="005C472E" w:rsidRPr="00E51A78" w:rsidP="005C472E" w14:paraId="7F734A09" w14:textId="77777777">
      <w:pPr>
        <w:tabs>
          <w:tab w:val="left" w:pos="-720"/>
        </w:tabs>
        <w:suppressAutoHyphens/>
        <w:contextualSpacing/>
      </w:pPr>
    </w:p>
    <w:p w:rsidR="6A9EF26A" w:rsidRPr="00E51A78" w:rsidP="6E0422A7" w14:paraId="64678B84" w14:textId="10B701A2">
      <w:pPr>
        <w:spacing w:line="259" w:lineRule="auto"/>
        <w:contextualSpacing/>
      </w:pPr>
      <w:r w:rsidRPr="00E51A78">
        <w:t>N/A</w:t>
      </w:r>
    </w:p>
    <w:p w:rsidR="005C472E" w:rsidRPr="00E51A78" w:rsidP="005C472E" w14:paraId="4B9DAE6D" w14:textId="77777777">
      <w:pPr>
        <w:shd w:val="clear" w:color="auto" w:fill="C0C0C0"/>
        <w:tabs>
          <w:tab w:val="left" w:pos="-720"/>
        </w:tabs>
        <w:suppressAutoHyphens/>
        <w:ind w:left="720"/>
        <w:jc w:val="both"/>
      </w:pPr>
    </w:p>
    <w:p w:rsidR="00EB5E96" w:rsidRPr="00E51A78" w:rsidP="005C472E" w14:paraId="7B397638" w14:textId="77777777">
      <w:pPr>
        <w:numPr>
          <w:ilvl w:val="0"/>
          <w:numId w:val="28"/>
        </w:numPr>
        <w:shd w:val="clear" w:color="auto" w:fill="C0C0C0"/>
        <w:tabs>
          <w:tab w:val="left" w:pos="-720"/>
        </w:tabs>
        <w:suppressAutoHyphens/>
        <w:jc w:val="both"/>
      </w:pPr>
      <w:r w:rsidRPr="00E51A78">
        <w:rPr>
          <w:color w:val="2B579A"/>
          <w:shd w:val="clear" w:color="auto" w:fill="E6E6E6"/>
        </w:rPr>
        <w:fldChar w:fldCharType="begin"/>
      </w:r>
      <w:r w:rsidRPr="00E51A78">
        <w:instrText>ADVANCE \R 0.95</w:instrText>
      </w:r>
      <w:r w:rsidRPr="00E51A78">
        <w:rPr>
          <w:color w:val="2B579A"/>
          <w:shd w:val="clear" w:color="auto" w:fill="E6E6E6"/>
        </w:rPr>
        <w:fldChar w:fldCharType="end"/>
      </w:r>
      <w:r w:rsidRPr="00E51A78">
        <w:rPr>
          <w:color w:val="2B579A"/>
          <w:shd w:val="clear" w:color="auto" w:fill="E6E6E6"/>
        </w:rPr>
        <w:fldChar w:fldCharType="begin"/>
      </w:r>
      <w:r w:rsidRPr="00E51A78">
        <w:instrText>ADVANCE \R 0.95</w:instrText>
      </w:r>
      <w:r w:rsidRPr="00E51A78">
        <w:rPr>
          <w:color w:val="2B579A"/>
          <w:shd w:val="clear" w:color="auto" w:fill="E6E6E6"/>
        </w:rPr>
        <w:fldChar w:fldCharType="end"/>
      </w:r>
      <w:r w:rsidRPr="00E51A78">
        <w:t>Requiring the use of a statistical data classification that has not b</w:t>
      </w:r>
      <w:r w:rsidRPr="00E51A78">
        <w:t>een reviewed and approved by OMB.</w:t>
      </w:r>
    </w:p>
    <w:p w:rsidR="005C472E" w:rsidRPr="00E51A78" w:rsidP="005C472E" w14:paraId="66792E63" w14:textId="77777777">
      <w:pPr>
        <w:tabs>
          <w:tab w:val="left" w:pos="-720"/>
        </w:tabs>
        <w:suppressAutoHyphens/>
        <w:contextualSpacing/>
      </w:pPr>
    </w:p>
    <w:p w:rsidR="005C472E" w:rsidRPr="00E51A78" w:rsidP="6E0422A7" w14:paraId="53A7A3F3" w14:textId="341DFF87">
      <w:pPr>
        <w:suppressAutoHyphens/>
        <w:contextualSpacing/>
      </w:pPr>
      <w:r w:rsidRPr="00E51A78">
        <w:t>N/A</w:t>
      </w:r>
    </w:p>
    <w:p w:rsidR="005C472E" w:rsidRPr="00E51A78" w:rsidP="005C472E" w14:paraId="61497592" w14:textId="77777777">
      <w:pPr>
        <w:shd w:val="clear" w:color="auto" w:fill="C0C0C0"/>
        <w:tabs>
          <w:tab w:val="left" w:pos="-720"/>
        </w:tabs>
        <w:suppressAutoHyphens/>
        <w:ind w:left="720"/>
        <w:jc w:val="both"/>
      </w:pPr>
    </w:p>
    <w:p w:rsidR="00EB5E96" w:rsidRPr="00E51A78" w:rsidP="005C472E" w14:paraId="5A304924" w14:textId="77777777">
      <w:pPr>
        <w:numPr>
          <w:ilvl w:val="0"/>
          <w:numId w:val="28"/>
        </w:numPr>
        <w:shd w:val="clear" w:color="auto" w:fill="C0C0C0"/>
        <w:tabs>
          <w:tab w:val="left" w:pos="-720"/>
        </w:tabs>
        <w:suppressAutoHyphens/>
        <w:jc w:val="both"/>
      </w:pPr>
      <w:r w:rsidRPr="00E51A78">
        <w:rPr>
          <w:color w:val="2B579A"/>
          <w:shd w:val="clear" w:color="auto" w:fill="E6E6E6"/>
        </w:rPr>
        <w:fldChar w:fldCharType="begin"/>
      </w:r>
      <w:r w:rsidRPr="00E51A78">
        <w:instrText>ADVANCE \R 0.95</w:instrText>
      </w:r>
      <w:r w:rsidRPr="00E51A78">
        <w:rPr>
          <w:color w:val="2B579A"/>
          <w:shd w:val="clear" w:color="auto" w:fill="E6E6E6"/>
        </w:rPr>
        <w:fldChar w:fldCharType="end"/>
      </w:r>
      <w:r w:rsidRPr="00E51A78">
        <w:t>That includes a pledge of confidentiality that is not supported by authority established in statute or regulation, that is not supported by disclosure and data security policies that are consistent w</w:t>
      </w:r>
      <w:r w:rsidRPr="00E51A78">
        <w:t>ith the pledge, or which unnecessarily impedes sharing of data with other agencies for compatible confidential use.</w:t>
      </w:r>
    </w:p>
    <w:p w:rsidR="00A57406" w:rsidRPr="00E51A78" w:rsidP="005C472E" w14:paraId="4EA4305D" w14:textId="26549767">
      <w:pPr>
        <w:contextualSpacing/>
      </w:pPr>
      <w:r w:rsidRPr="00E51A78">
        <w:t>N/A</w:t>
      </w:r>
    </w:p>
    <w:p w:rsidR="005C472E" w:rsidRPr="00E51A78" w:rsidP="6E0422A7" w14:paraId="43A1A0B4" w14:textId="5C60EC00">
      <w:pPr>
        <w:shd w:val="clear" w:color="auto" w:fill="C0C0C0"/>
        <w:suppressAutoHyphens/>
        <w:jc w:val="both"/>
      </w:pPr>
    </w:p>
    <w:p w:rsidR="00EB5E96" w:rsidRPr="00E51A78" w:rsidP="00AE41B7" w14:paraId="2A9EE2BF" w14:textId="77777777">
      <w:pPr>
        <w:shd w:val="clear" w:color="auto" w:fill="C0C0C0"/>
        <w:tabs>
          <w:tab w:val="left" w:pos="-720"/>
        </w:tabs>
        <w:suppressAutoHyphens/>
        <w:jc w:val="both"/>
      </w:pPr>
      <w:r w:rsidRPr="00E51A78">
        <w:rPr>
          <w:color w:val="2B579A"/>
          <w:shd w:val="clear" w:color="auto" w:fill="E6E6E6"/>
        </w:rPr>
        <w:fldChar w:fldCharType="begin"/>
      </w:r>
      <w:r w:rsidRPr="00E51A78">
        <w:instrText>ADVANCE \R 0.95</w:instrText>
      </w:r>
      <w:r w:rsidRPr="00E51A78">
        <w:rPr>
          <w:color w:val="2B579A"/>
          <w:shd w:val="clear" w:color="auto" w:fill="E6E6E6"/>
        </w:rPr>
        <w:fldChar w:fldCharType="end"/>
      </w:r>
      <w:r w:rsidRPr="00E51A78">
        <w:rPr>
          <w:shd w:val="clear" w:color="auto" w:fill="C0C0C0"/>
        </w:rPr>
        <w:t xml:space="preserve">(h) Requiring respondents to submit proprietary trade secret, or other confidential information unless the agency can </w:t>
      </w:r>
      <w:r w:rsidRPr="00E51A78">
        <w:rPr>
          <w:shd w:val="clear" w:color="auto" w:fill="C0C0C0"/>
        </w:rPr>
        <w:t>demonstrate that it has instituted procedures to protect the information’s confidentiality to the extent permitted by law.</w:t>
      </w:r>
    </w:p>
    <w:p w:rsidR="002B0649" w:rsidRPr="00E51A78" w:rsidP="000C4293" w14:paraId="2C6D8C8F" w14:textId="77777777">
      <w:pPr>
        <w:tabs>
          <w:tab w:val="left" w:pos="-720"/>
        </w:tabs>
        <w:suppressAutoHyphens/>
        <w:ind w:left="144"/>
        <w:jc w:val="both"/>
      </w:pPr>
      <w:r w:rsidRPr="00E51A78">
        <w:rPr>
          <w:color w:val="2B579A"/>
          <w:shd w:val="clear" w:color="auto" w:fill="E6E6E6"/>
        </w:rPr>
        <w:fldChar w:fldCharType="begin"/>
      </w:r>
      <w:r w:rsidRPr="00E51A78">
        <w:instrText>ADVANCE \R 0.95</w:instrText>
      </w:r>
      <w:r w:rsidRPr="00E51A78">
        <w:rPr>
          <w:color w:val="2B579A"/>
          <w:shd w:val="clear" w:color="auto" w:fill="E6E6E6"/>
        </w:rPr>
        <w:fldChar w:fldCharType="end"/>
      </w:r>
    </w:p>
    <w:p w:rsidR="00AE41B7" w:rsidRPr="00E51A78" w:rsidP="6E0422A7" w14:paraId="415A2725" w14:textId="311D584F">
      <w:pPr>
        <w:suppressAutoHyphens/>
        <w:jc w:val="both"/>
      </w:pPr>
      <w:r w:rsidRPr="00E51A78">
        <w:t>N/A</w:t>
      </w:r>
    </w:p>
    <w:p w:rsidR="00EB5E96" w:rsidRPr="00E51A78" w:rsidP="004C21F8" w14:paraId="3A9C89B1" w14:textId="77777777">
      <w:pPr>
        <w:shd w:val="pct25" w:color="auto" w:fill="auto"/>
        <w:tabs>
          <w:tab w:val="left" w:pos="-720"/>
        </w:tabs>
        <w:suppressAutoHyphens/>
        <w:jc w:val="both"/>
      </w:pPr>
      <w:r w:rsidRPr="00E51A78">
        <w:rPr>
          <w:color w:val="2B579A"/>
          <w:shd w:val="clear" w:color="auto" w:fill="E6E6E6"/>
        </w:rPr>
        <w:fldChar w:fldCharType="begin"/>
      </w:r>
      <w:r w:rsidRPr="00E51A78">
        <w:instrText>ADVANCE \R 0.95</w:instrText>
      </w:r>
      <w:r w:rsidRPr="00E51A78">
        <w:rPr>
          <w:color w:val="2B579A"/>
          <w:shd w:val="clear" w:color="auto" w:fill="E6E6E6"/>
        </w:rPr>
        <w:fldChar w:fldCharType="end"/>
      </w:r>
      <w:r w:rsidRPr="00E51A78">
        <w:t xml:space="preserve">8.  Federal Register Notice: </w:t>
      </w:r>
    </w:p>
    <w:p w:rsidR="00EB5E96" w:rsidRPr="00E51A78" w:rsidP="004C21F8" w14:paraId="225B0E37" w14:textId="77777777">
      <w:pPr>
        <w:shd w:val="clear" w:color="auto" w:fill="C0C0C0"/>
        <w:tabs>
          <w:tab w:val="left" w:pos="-720"/>
        </w:tabs>
        <w:suppressAutoHyphens/>
        <w:jc w:val="both"/>
      </w:pPr>
      <w:r w:rsidRPr="00E51A78">
        <w:rPr>
          <w:color w:val="2B579A"/>
          <w:shd w:val="clear" w:color="auto" w:fill="E6E6E6"/>
        </w:rPr>
        <w:fldChar w:fldCharType="begin"/>
      </w:r>
      <w:r w:rsidRPr="00E51A78">
        <w:instrText>ADVANCE \R 0.95</w:instrText>
      </w:r>
      <w:r w:rsidRPr="00E51A78">
        <w:rPr>
          <w:color w:val="2B579A"/>
          <w:shd w:val="clear" w:color="auto" w:fill="E6E6E6"/>
        </w:rPr>
        <w:fldChar w:fldCharType="end"/>
      </w:r>
      <w:r w:rsidRPr="00E51A78">
        <w:rPr>
          <w:color w:val="2B579A"/>
          <w:shd w:val="clear" w:color="auto" w:fill="E6E6E6"/>
        </w:rPr>
        <w:fldChar w:fldCharType="begin"/>
      </w:r>
      <w:r w:rsidRPr="00E51A78">
        <w:instrText>ADVANCE \R 0.95</w:instrText>
      </w:r>
      <w:r w:rsidRPr="00E51A78">
        <w:rPr>
          <w:color w:val="2B579A"/>
          <w:shd w:val="clear" w:color="auto" w:fill="E6E6E6"/>
        </w:rPr>
        <w:fldChar w:fldCharType="end"/>
      </w:r>
      <w:r w:rsidRPr="00E51A78">
        <w:t xml:space="preserve">a.   Provide a copy and </w:t>
      </w:r>
      <w:r w:rsidRPr="00E51A78">
        <w:t>identify the date and page number of publication in the Federal Register of the agency’s notice soliciting comments on the information collection prior to submission to OMB.  Summarize public comments received in response to that notice and describe action</w:t>
      </w:r>
      <w:r w:rsidRPr="00E51A78">
        <w:t>s taken by the agency in response to these comments.  Specifically address comments received on cost and hour burden.</w:t>
      </w:r>
    </w:p>
    <w:p w:rsidR="00EB5E96" w:rsidRPr="00E51A78" w:rsidP="004C21F8" w14:paraId="1A3D0F54" w14:textId="77777777">
      <w:pPr>
        <w:shd w:val="pct25" w:color="auto" w:fill="auto"/>
        <w:tabs>
          <w:tab w:val="left" w:pos="-720"/>
        </w:tabs>
        <w:suppressAutoHyphens/>
        <w:jc w:val="both"/>
      </w:pPr>
      <w:r w:rsidRPr="00E51A78">
        <w:rPr>
          <w:color w:val="2B579A"/>
          <w:shd w:val="clear" w:color="auto" w:fill="E6E6E6"/>
        </w:rPr>
        <w:fldChar w:fldCharType="begin"/>
      </w:r>
      <w:r w:rsidRPr="00E51A78">
        <w:instrText>ADVANCE \R 0.95</w:instrText>
      </w:r>
      <w:r w:rsidRPr="00E51A78">
        <w:rPr>
          <w:color w:val="2B579A"/>
          <w:shd w:val="clear" w:color="auto" w:fill="E6E6E6"/>
        </w:rPr>
        <w:fldChar w:fldCharType="end"/>
      </w:r>
      <w:r w:rsidRPr="00E51A78">
        <w:rPr>
          <w:color w:val="2B579A"/>
          <w:shd w:val="clear" w:color="auto" w:fill="E6E6E6"/>
        </w:rPr>
        <w:fldChar w:fldCharType="begin"/>
      </w:r>
      <w:r w:rsidRPr="00E51A78">
        <w:instrText>ADVANCE \R 0.95</w:instrText>
      </w:r>
      <w:r w:rsidRPr="00E51A78">
        <w:rPr>
          <w:color w:val="2B579A"/>
          <w:shd w:val="clear" w:color="auto" w:fill="E6E6E6"/>
        </w:rPr>
        <w:fldChar w:fldCharType="end"/>
      </w:r>
      <w:r w:rsidRPr="00E51A78">
        <w:t>b.  Describe efforts to consult with persons outside the agency to obtain their views on the availabilit</w:t>
      </w:r>
      <w:r w:rsidRPr="00E51A78">
        <w:t xml:space="preserve">y of data, frequency of collection, the clarity of instructions and recordkeeping, disclosure, or reporting format (if any), and on the data elements to be recorded, disclosed, or reported. </w:t>
      </w:r>
    </w:p>
    <w:p w:rsidR="00EB5E96" w:rsidRPr="00E51A78" w:rsidP="004C21F8" w14:paraId="3381B799" w14:textId="77777777">
      <w:pPr>
        <w:shd w:val="pct25" w:color="auto" w:fill="auto"/>
        <w:tabs>
          <w:tab w:val="left" w:pos="-720"/>
        </w:tabs>
        <w:suppressAutoHyphens/>
        <w:jc w:val="both"/>
      </w:pPr>
      <w:r w:rsidRPr="00E51A78">
        <w:rPr>
          <w:color w:val="2B579A"/>
          <w:shd w:val="clear" w:color="auto" w:fill="E6E6E6"/>
        </w:rPr>
        <w:fldChar w:fldCharType="begin"/>
      </w:r>
      <w:r w:rsidRPr="00E51A78">
        <w:instrText>ADVANCE \R 0.95</w:instrText>
      </w:r>
      <w:r w:rsidRPr="00E51A78">
        <w:rPr>
          <w:color w:val="2B579A"/>
          <w:shd w:val="clear" w:color="auto" w:fill="E6E6E6"/>
        </w:rPr>
        <w:fldChar w:fldCharType="end"/>
      </w:r>
      <w:r w:rsidRPr="00E51A78">
        <w:t xml:space="preserve">c.  Describe consultations with representatives </w:t>
      </w:r>
      <w:r w:rsidRPr="00E51A78">
        <w:t>of those from whom information is to be obtained or those who must compile records.  Consultation should occur at least once every three years, even if the collection of information activities is the same as in prior periods.  There may be circumstances th</w:t>
      </w:r>
      <w:r w:rsidRPr="00E51A78">
        <w:t xml:space="preserve">at may preclude consultation in a specific situation.  These circumstances should be explained.  </w:t>
      </w:r>
    </w:p>
    <w:p w:rsidR="00EB5E96" w:rsidRPr="00E51A78" w:rsidP="000C4293" w14:paraId="126D3743" w14:textId="77777777">
      <w:pPr>
        <w:tabs>
          <w:tab w:val="left" w:pos="-720"/>
        </w:tabs>
        <w:suppressAutoHyphens/>
        <w:jc w:val="both"/>
      </w:pPr>
      <w:r w:rsidRPr="00E51A78">
        <w:rPr>
          <w:color w:val="2B579A"/>
          <w:shd w:val="clear" w:color="auto" w:fill="E6E6E6"/>
        </w:rPr>
        <w:fldChar w:fldCharType="begin"/>
      </w:r>
      <w:r w:rsidRPr="00E51A78">
        <w:instrText>ADVANCE \R 0.95</w:instrText>
      </w:r>
      <w:r w:rsidRPr="00E51A78">
        <w:rPr>
          <w:color w:val="2B579A"/>
          <w:shd w:val="clear" w:color="auto" w:fill="E6E6E6"/>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8"/>
        <w:gridCol w:w="2700"/>
        <w:gridCol w:w="1080"/>
        <w:gridCol w:w="1080"/>
        <w:gridCol w:w="900"/>
        <w:gridCol w:w="1532"/>
      </w:tblGrid>
      <w:tr w14:paraId="4910E6DD" w14:textId="77777777" w:rsidTr="000963AA">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268" w:type="dxa"/>
            <w:shd w:val="clear" w:color="auto" w:fill="000000"/>
          </w:tcPr>
          <w:p w:rsidR="00B67664" w:rsidRPr="00E51A78" w:rsidP="00D3411B" w14:paraId="02EDAE2E" w14:textId="77777777">
            <w:pPr>
              <w:tabs>
                <w:tab w:val="left" w:pos="-720"/>
              </w:tabs>
              <w:suppressAutoHyphens/>
              <w:jc w:val="both"/>
            </w:pPr>
          </w:p>
        </w:tc>
        <w:tc>
          <w:tcPr>
            <w:tcW w:w="2700" w:type="dxa"/>
            <w:shd w:val="clear" w:color="auto" w:fill="BFBFBF"/>
          </w:tcPr>
          <w:p w:rsidR="00B67664" w:rsidRPr="00E51A78" w:rsidP="00D3411B" w14:paraId="733FCDF6" w14:textId="77777777">
            <w:pPr>
              <w:tabs>
                <w:tab w:val="left" w:pos="-720"/>
              </w:tabs>
              <w:suppressAutoHyphens/>
              <w:jc w:val="center"/>
              <w:rPr>
                <w:b/>
              </w:rPr>
            </w:pPr>
            <w:r w:rsidRPr="00E51A78">
              <w:rPr>
                <w:b/>
              </w:rPr>
              <w:t>Date of Publication</w:t>
            </w:r>
          </w:p>
        </w:tc>
        <w:tc>
          <w:tcPr>
            <w:tcW w:w="1080" w:type="dxa"/>
            <w:shd w:val="clear" w:color="auto" w:fill="BFBFBF"/>
            <w:vAlign w:val="center"/>
          </w:tcPr>
          <w:p w:rsidR="00B67664" w:rsidRPr="00E51A78" w:rsidP="00D3411B" w14:paraId="71CD397F" w14:textId="77777777">
            <w:pPr>
              <w:tabs>
                <w:tab w:val="left" w:pos="-720"/>
              </w:tabs>
              <w:suppressAutoHyphens/>
              <w:jc w:val="center"/>
              <w:rPr>
                <w:b/>
              </w:rPr>
            </w:pPr>
            <w:r w:rsidRPr="00E51A78">
              <w:rPr>
                <w:b/>
              </w:rPr>
              <w:t>Volume #</w:t>
            </w:r>
          </w:p>
        </w:tc>
        <w:tc>
          <w:tcPr>
            <w:tcW w:w="1080" w:type="dxa"/>
            <w:shd w:val="clear" w:color="auto" w:fill="BFBFBF"/>
            <w:vAlign w:val="center"/>
          </w:tcPr>
          <w:p w:rsidR="00B67664" w:rsidRPr="00E51A78" w:rsidP="00D3411B" w14:paraId="6923B9E4" w14:textId="77777777">
            <w:pPr>
              <w:tabs>
                <w:tab w:val="left" w:pos="-720"/>
              </w:tabs>
              <w:suppressAutoHyphens/>
              <w:jc w:val="center"/>
              <w:rPr>
                <w:b/>
              </w:rPr>
            </w:pPr>
            <w:r w:rsidRPr="00E51A78">
              <w:rPr>
                <w:b/>
              </w:rPr>
              <w:t>Number #</w:t>
            </w:r>
          </w:p>
        </w:tc>
        <w:tc>
          <w:tcPr>
            <w:tcW w:w="900" w:type="dxa"/>
            <w:shd w:val="clear" w:color="auto" w:fill="BFBFBF"/>
            <w:vAlign w:val="center"/>
          </w:tcPr>
          <w:p w:rsidR="00B67664" w:rsidRPr="00E51A78" w:rsidP="00D3411B" w14:paraId="1A9F4A4E" w14:textId="77777777">
            <w:pPr>
              <w:tabs>
                <w:tab w:val="left" w:pos="-720"/>
              </w:tabs>
              <w:suppressAutoHyphens/>
              <w:jc w:val="center"/>
              <w:rPr>
                <w:b/>
              </w:rPr>
            </w:pPr>
            <w:r w:rsidRPr="00E51A78">
              <w:rPr>
                <w:b/>
              </w:rPr>
              <w:t>Page #</w:t>
            </w:r>
          </w:p>
        </w:tc>
        <w:tc>
          <w:tcPr>
            <w:tcW w:w="1532" w:type="dxa"/>
            <w:shd w:val="clear" w:color="auto" w:fill="BFBFBF"/>
          </w:tcPr>
          <w:p w:rsidR="00B67664" w:rsidRPr="00E51A78" w:rsidP="00D3411B" w14:paraId="6BF24A15" w14:textId="77777777">
            <w:pPr>
              <w:tabs>
                <w:tab w:val="left" w:pos="-720"/>
              </w:tabs>
              <w:suppressAutoHyphens/>
              <w:jc w:val="center"/>
              <w:rPr>
                <w:b/>
              </w:rPr>
            </w:pPr>
            <w:r w:rsidRPr="00E51A78">
              <w:rPr>
                <w:b/>
              </w:rPr>
              <w:t>Comments Addressed</w:t>
            </w:r>
          </w:p>
        </w:tc>
      </w:tr>
      <w:tr w14:paraId="196416DF" w14:textId="77777777" w:rsidTr="0022626A">
        <w:tblPrEx>
          <w:tblW w:w="0" w:type="auto"/>
          <w:tblLayout w:type="fixed"/>
          <w:tblLook w:val="04A0"/>
        </w:tblPrEx>
        <w:tc>
          <w:tcPr>
            <w:tcW w:w="2268" w:type="dxa"/>
            <w:vAlign w:val="center"/>
          </w:tcPr>
          <w:p w:rsidR="00B67664" w:rsidRPr="00E51A78" w:rsidP="0022626A" w14:paraId="28758108" w14:textId="77777777">
            <w:pPr>
              <w:tabs>
                <w:tab w:val="left" w:pos="-720"/>
              </w:tabs>
              <w:suppressAutoHyphens/>
              <w:jc w:val="center"/>
              <w:rPr>
                <w:i/>
              </w:rPr>
            </w:pPr>
            <w:r w:rsidRPr="00E51A78">
              <w:rPr>
                <w:i/>
              </w:rPr>
              <w:t>60</w:t>
            </w:r>
            <w:r w:rsidRPr="00E51A78" w:rsidR="00C860B7">
              <w:rPr>
                <w:i/>
              </w:rPr>
              <w:t>-</w:t>
            </w:r>
            <w:r w:rsidRPr="00E51A78">
              <w:rPr>
                <w:i/>
              </w:rPr>
              <w:t>Day Federal Register Notice:</w:t>
            </w:r>
          </w:p>
        </w:tc>
        <w:tc>
          <w:tcPr>
            <w:tcW w:w="2700" w:type="dxa"/>
            <w:vAlign w:val="center"/>
          </w:tcPr>
          <w:p w:rsidR="00B67664" w:rsidRPr="00E51A78" w:rsidP="0029007F" w14:paraId="3EE3D417" w14:textId="190ECFB8">
            <w:pPr>
              <w:tabs>
                <w:tab w:val="left" w:pos="-720"/>
              </w:tabs>
              <w:suppressAutoHyphens/>
              <w:jc w:val="center"/>
            </w:pPr>
          </w:p>
        </w:tc>
        <w:tc>
          <w:tcPr>
            <w:tcW w:w="1080" w:type="dxa"/>
            <w:vAlign w:val="center"/>
          </w:tcPr>
          <w:p w:rsidR="00B67664" w:rsidRPr="00E51A78" w:rsidP="0029007F" w14:paraId="454C5B6F" w14:textId="3857BD88">
            <w:pPr>
              <w:tabs>
                <w:tab w:val="left" w:pos="-720"/>
              </w:tabs>
              <w:suppressAutoHyphens/>
              <w:jc w:val="center"/>
            </w:pPr>
          </w:p>
        </w:tc>
        <w:tc>
          <w:tcPr>
            <w:tcW w:w="1080" w:type="dxa"/>
            <w:vAlign w:val="center"/>
          </w:tcPr>
          <w:p w:rsidR="00B67664" w:rsidRPr="00E51A78" w:rsidP="0029007F" w14:paraId="1D5C8C71" w14:textId="06C46B5F">
            <w:pPr>
              <w:tabs>
                <w:tab w:val="left" w:pos="-720"/>
              </w:tabs>
              <w:suppressAutoHyphens/>
              <w:jc w:val="center"/>
            </w:pPr>
          </w:p>
        </w:tc>
        <w:tc>
          <w:tcPr>
            <w:tcW w:w="900" w:type="dxa"/>
            <w:vAlign w:val="center"/>
          </w:tcPr>
          <w:p w:rsidR="00B67664" w:rsidRPr="00E51A78" w:rsidP="0029007F" w14:paraId="028479BC" w14:textId="33A61D72">
            <w:pPr>
              <w:tabs>
                <w:tab w:val="left" w:pos="-720"/>
              </w:tabs>
              <w:suppressAutoHyphens/>
              <w:jc w:val="center"/>
            </w:pPr>
          </w:p>
        </w:tc>
        <w:tc>
          <w:tcPr>
            <w:tcW w:w="1532" w:type="dxa"/>
            <w:vAlign w:val="center"/>
          </w:tcPr>
          <w:p w:rsidR="00B67664" w:rsidRPr="00E51A78" w:rsidP="0029007F" w14:paraId="2F3EDAFE" w14:textId="2AE0E46B">
            <w:pPr>
              <w:tabs>
                <w:tab w:val="left" w:pos="-720"/>
              </w:tabs>
              <w:suppressAutoHyphens/>
              <w:jc w:val="center"/>
            </w:pPr>
          </w:p>
        </w:tc>
      </w:tr>
      <w:tr w14:paraId="1AEC9597" w14:textId="77777777" w:rsidTr="0022626A">
        <w:tblPrEx>
          <w:tblW w:w="0" w:type="auto"/>
          <w:tblLayout w:type="fixed"/>
          <w:tblLook w:val="04A0"/>
        </w:tblPrEx>
        <w:tc>
          <w:tcPr>
            <w:tcW w:w="2268" w:type="dxa"/>
            <w:vAlign w:val="center"/>
          </w:tcPr>
          <w:p w:rsidR="00B67664" w:rsidRPr="00E51A78" w:rsidP="0022626A" w14:paraId="2FCE3644" w14:textId="77777777">
            <w:pPr>
              <w:tabs>
                <w:tab w:val="left" w:pos="-720"/>
              </w:tabs>
              <w:suppressAutoHyphens/>
              <w:jc w:val="center"/>
            </w:pPr>
            <w:r w:rsidRPr="00E51A78">
              <w:rPr>
                <w:i/>
              </w:rPr>
              <w:t>30-Day Federal Register Notice</w:t>
            </w:r>
          </w:p>
        </w:tc>
        <w:tc>
          <w:tcPr>
            <w:tcW w:w="2700" w:type="dxa"/>
            <w:vAlign w:val="center"/>
          </w:tcPr>
          <w:p w:rsidR="00B67664" w:rsidRPr="00E51A78" w:rsidP="0029007F" w14:paraId="15048C99" w14:textId="10A7ADF2">
            <w:pPr>
              <w:tabs>
                <w:tab w:val="left" w:pos="-720"/>
              </w:tabs>
              <w:suppressAutoHyphens/>
              <w:jc w:val="center"/>
            </w:pPr>
          </w:p>
        </w:tc>
        <w:tc>
          <w:tcPr>
            <w:tcW w:w="1080" w:type="dxa"/>
            <w:vAlign w:val="center"/>
          </w:tcPr>
          <w:p w:rsidR="00B67664" w:rsidRPr="00E51A78" w:rsidP="0029007F" w14:paraId="6A927E67" w14:textId="0BC8E4EC">
            <w:pPr>
              <w:tabs>
                <w:tab w:val="left" w:pos="-720"/>
              </w:tabs>
              <w:suppressAutoHyphens/>
              <w:jc w:val="center"/>
            </w:pPr>
          </w:p>
        </w:tc>
        <w:tc>
          <w:tcPr>
            <w:tcW w:w="1080" w:type="dxa"/>
            <w:vAlign w:val="center"/>
          </w:tcPr>
          <w:p w:rsidR="00B67664" w:rsidRPr="00E51A78" w:rsidP="0029007F" w14:paraId="110837CC" w14:textId="3502FA91">
            <w:pPr>
              <w:tabs>
                <w:tab w:val="left" w:pos="-720"/>
              </w:tabs>
              <w:suppressAutoHyphens/>
              <w:jc w:val="center"/>
            </w:pPr>
          </w:p>
        </w:tc>
        <w:tc>
          <w:tcPr>
            <w:tcW w:w="900" w:type="dxa"/>
            <w:vAlign w:val="center"/>
          </w:tcPr>
          <w:p w:rsidR="00B67664" w:rsidRPr="00E51A78" w:rsidP="0029007F" w14:paraId="035142B0" w14:textId="4E53556E">
            <w:pPr>
              <w:tabs>
                <w:tab w:val="left" w:pos="-720"/>
              </w:tabs>
              <w:suppressAutoHyphens/>
              <w:jc w:val="center"/>
            </w:pPr>
          </w:p>
        </w:tc>
        <w:tc>
          <w:tcPr>
            <w:tcW w:w="1532" w:type="dxa"/>
            <w:vAlign w:val="center"/>
          </w:tcPr>
          <w:p w:rsidR="00B67664" w:rsidRPr="00E51A78" w:rsidP="0029007F" w14:paraId="5F78088B" w14:textId="6E01451C">
            <w:pPr>
              <w:tabs>
                <w:tab w:val="left" w:pos="-720"/>
              </w:tabs>
              <w:suppressAutoHyphens/>
              <w:jc w:val="center"/>
            </w:pPr>
          </w:p>
        </w:tc>
      </w:tr>
    </w:tbl>
    <w:p w:rsidR="00B67664" w:rsidP="000C4293" w14:paraId="01338B37" w14:textId="77777777">
      <w:pPr>
        <w:tabs>
          <w:tab w:val="left" w:pos="-720"/>
        </w:tabs>
        <w:suppressAutoHyphens/>
        <w:jc w:val="both"/>
      </w:pPr>
    </w:p>
    <w:p w:rsidR="004503B8" w:rsidP="00C75FE1" w14:paraId="1BCED80B" w14:textId="6942DB0F">
      <w:pPr>
        <w:tabs>
          <w:tab w:val="left" w:pos="-720"/>
        </w:tabs>
        <w:suppressAutoHyphens/>
        <w:jc w:val="both"/>
      </w:pPr>
    </w:p>
    <w:p w:rsidR="004503B8" w:rsidRPr="00E51A78" w:rsidP="00C75FE1" w14:paraId="44DAD013" w14:textId="407F22AC">
      <w:pPr>
        <w:tabs>
          <w:tab w:val="left" w:pos="-720"/>
        </w:tabs>
        <w:suppressAutoHyphens/>
        <w:jc w:val="both"/>
      </w:pPr>
      <w:r>
        <w:t xml:space="preserve">CISA is </w:t>
      </w:r>
      <w:r w:rsidRPr="004503B8">
        <w:t xml:space="preserve">currently seeking emergency approval of this collection.  In light of the ongoing </w:t>
      </w:r>
      <w:r>
        <w:t>need</w:t>
      </w:r>
      <w:r w:rsidRPr="004503B8">
        <w:t xml:space="preserve">, </w:t>
      </w:r>
      <w:r>
        <w:t>CI</w:t>
      </w:r>
      <w:r w:rsidRPr="004503B8">
        <w:t xml:space="preserve">SA is seeking a waiver to the requirement in 5 CFR 1320.13(d) to publish a Federal Register notice announcing </w:t>
      </w:r>
      <w:r>
        <w:t>CISA</w:t>
      </w:r>
      <w:r w:rsidRPr="004503B8">
        <w:t xml:space="preserve"> is seeking emergency processing of this ICR.  Upon approval of the Emergency Request, </w:t>
      </w:r>
      <w:r>
        <w:t>CI</w:t>
      </w:r>
      <w:r w:rsidRPr="004503B8">
        <w:t>SA will seek public comment on the collection following the normal clearance process providing a 60 and 30 Day commenting period.</w:t>
      </w:r>
    </w:p>
    <w:p w:rsidR="00CC2508" w:rsidRPr="00E51A78" w:rsidP="000C4293" w14:paraId="4CCB5FA8" w14:textId="77777777">
      <w:pPr>
        <w:tabs>
          <w:tab w:val="left" w:pos="-720"/>
        </w:tabs>
        <w:suppressAutoHyphens/>
        <w:jc w:val="both"/>
      </w:pPr>
    </w:p>
    <w:p w:rsidR="00EB5E96" w:rsidRPr="00E51A78" w:rsidP="000C4293" w14:paraId="31219CD4" w14:textId="77777777">
      <w:pPr>
        <w:shd w:val="pct25" w:color="auto" w:fill="auto"/>
        <w:tabs>
          <w:tab w:val="left" w:pos="-720"/>
        </w:tabs>
        <w:suppressAutoHyphens/>
        <w:jc w:val="both"/>
      </w:pPr>
      <w:r w:rsidRPr="00E51A78">
        <w:rPr>
          <w:color w:val="2B579A"/>
          <w:shd w:val="clear" w:color="auto" w:fill="E6E6E6"/>
        </w:rPr>
        <w:fldChar w:fldCharType="begin"/>
      </w:r>
      <w:r w:rsidRPr="00E51A78">
        <w:instrText>ADVANCE \R 0.95</w:instrText>
      </w:r>
      <w:r w:rsidRPr="00E51A78">
        <w:rPr>
          <w:color w:val="2B579A"/>
          <w:shd w:val="clear" w:color="auto" w:fill="E6E6E6"/>
        </w:rPr>
        <w:fldChar w:fldCharType="end"/>
      </w:r>
      <w:r w:rsidRPr="00E51A78">
        <w:t>9.  Explain any decision to provide any payment or gift to respondents, other than remuneration of contractors or grantees.</w:t>
      </w:r>
    </w:p>
    <w:p w:rsidR="00EB5E96" w:rsidRPr="00E51A78" w:rsidP="000C4293" w14:paraId="718A40F6" w14:textId="77777777">
      <w:pPr>
        <w:tabs>
          <w:tab w:val="left" w:pos="-720"/>
        </w:tabs>
        <w:suppressAutoHyphens/>
        <w:jc w:val="both"/>
      </w:pPr>
    </w:p>
    <w:p w:rsidR="50F096F6" w:rsidRPr="00E51A78" w:rsidP="6E0422A7" w14:paraId="56DA1BE5" w14:textId="31FCD010">
      <w:pPr>
        <w:jc w:val="both"/>
      </w:pPr>
      <w:r w:rsidRPr="00E51A78">
        <w:t>There is no offer of monetary or material value for this in</w:t>
      </w:r>
      <w:r w:rsidRPr="00E51A78">
        <w:t>formation.</w:t>
      </w:r>
    </w:p>
    <w:p w:rsidR="00A57406" w:rsidRPr="00E51A78" w:rsidP="00A57406" w14:paraId="1C10D90F" w14:textId="77777777">
      <w:pPr>
        <w:tabs>
          <w:tab w:val="left" w:pos="-720"/>
        </w:tabs>
        <w:suppressAutoHyphens/>
        <w:contextualSpacing/>
      </w:pPr>
    </w:p>
    <w:p w:rsidR="00EB5E96" w:rsidRPr="00E51A78" w:rsidP="000C4293" w14:paraId="5B892EDA" w14:textId="77777777">
      <w:pPr>
        <w:shd w:val="pct25" w:color="auto" w:fill="auto"/>
        <w:tabs>
          <w:tab w:val="left" w:pos="-720"/>
        </w:tabs>
        <w:suppressAutoHyphens/>
        <w:jc w:val="both"/>
      </w:pPr>
      <w:r w:rsidRPr="00E51A78">
        <w:rPr>
          <w:color w:val="2B579A"/>
          <w:shd w:val="clear" w:color="auto" w:fill="E6E6E6"/>
        </w:rPr>
        <w:fldChar w:fldCharType="begin"/>
      </w:r>
      <w:r w:rsidRPr="00E51A78">
        <w:instrText>ADVANCE \R 0.95</w:instrText>
      </w:r>
      <w:r w:rsidRPr="00E51A78">
        <w:rPr>
          <w:color w:val="2B579A"/>
          <w:shd w:val="clear" w:color="auto" w:fill="E6E6E6"/>
        </w:rPr>
        <w:fldChar w:fldCharType="end"/>
      </w:r>
      <w:r w:rsidRPr="00E51A78">
        <w:t xml:space="preserve">10.  Describe any assurance of confidentiality provided to respondents and the basis for the assurance in statute, regulation, or agency policy.  </w:t>
      </w:r>
    </w:p>
    <w:p w:rsidR="00EB5E96" w:rsidRPr="00E51A78" w:rsidP="000C4293" w14:paraId="38D74F91" w14:textId="77777777">
      <w:pPr>
        <w:tabs>
          <w:tab w:val="left" w:pos="-720"/>
        </w:tabs>
        <w:suppressAutoHyphens/>
        <w:jc w:val="both"/>
      </w:pPr>
      <w:r w:rsidRPr="00E51A78">
        <w:rPr>
          <w:color w:val="2B579A"/>
          <w:shd w:val="clear" w:color="auto" w:fill="E6E6E6"/>
        </w:rPr>
        <w:fldChar w:fldCharType="begin"/>
      </w:r>
      <w:r w:rsidRPr="00E51A78">
        <w:instrText>ADVANCE \R 0.95</w:instrText>
      </w:r>
      <w:r w:rsidRPr="00E51A78">
        <w:rPr>
          <w:color w:val="2B579A"/>
          <w:shd w:val="clear" w:color="auto" w:fill="E6E6E6"/>
        </w:rPr>
        <w:fldChar w:fldCharType="end"/>
      </w:r>
    </w:p>
    <w:p w:rsidR="01977FCB" w:rsidRPr="00E51A78" w:rsidP="6E0422A7" w14:paraId="70822058" w14:textId="500D7355">
      <w:pPr>
        <w:pStyle w:val="Default"/>
      </w:pPr>
      <w:r w:rsidRPr="00E51A78">
        <w:t>There is no assurance of confidentiality.  All user informatio</w:t>
      </w:r>
      <w:r w:rsidRPr="00E51A78">
        <w:t xml:space="preserve">n and surveys are for internal use only and are not published to the public.  </w:t>
      </w:r>
    </w:p>
    <w:p w:rsidR="01977FCB" w:rsidRPr="00E51A78" w:rsidP="6E0422A7" w14:paraId="25BC157E" w14:textId="778E6B33">
      <w:pPr>
        <w:pStyle w:val="Default"/>
      </w:pPr>
      <w:r w:rsidRPr="00E51A78">
        <w:t xml:space="preserve"> </w:t>
      </w:r>
    </w:p>
    <w:p w:rsidR="01977FCB" w:rsidRPr="00E51A78" w:rsidP="6E0422A7" w14:paraId="2C9DF668" w14:textId="0C3EC583">
      <w:pPr>
        <w:pStyle w:val="Default"/>
      </w:pPr>
      <w:r w:rsidRPr="00E51A78">
        <w:t xml:space="preserve">The DHS Privacy Office review finds that this a privacy sensitive collection requiring a Privacy Impact Assessment (PIA) and Systems of Records Notice (SORN).  The collection </w:t>
      </w:r>
      <w:r w:rsidRPr="00E51A78">
        <w:t>is covered by PIA, DHS/NPPD/PIA-023 – Infrastructure Protection Gateway, and SORN, DHS/ALL-004 – General Information Technology Access Account Records System (GITAARS) November 27, 2012, 77 FR 70792.</w:t>
      </w:r>
    </w:p>
    <w:p w:rsidR="6E0422A7" w:rsidRPr="00E51A78" w:rsidP="6E0422A7" w14:paraId="35BFB7EF" w14:textId="721405F7">
      <w:pPr>
        <w:pStyle w:val="Default"/>
      </w:pPr>
    </w:p>
    <w:p w:rsidR="00A57406" w:rsidRPr="00E51A78" w:rsidP="00A57406" w14:paraId="0186E627" w14:textId="77777777">
      <w:pPr>
        <w:pStyle w:val="Default"/>
      </w:pPr>
    </w:p>
    <w:p w:rsidR="00EB5E96" w:rsidRPr="00E51A78" w:rsidP="000C4293" w14:paraId="7289D4B3" w14:textId="77777777">
      <w:pPr>
        <w:shd w:val="pct25" w:color="auto" w:fill="auto"/>
        <w:tabs>
          <w:tab w:val="left" w:pos="-720"/>
        </w:tabs>
        <w:suppressAutoHyphens/>
        <w:jc w:val="both"/>
      </w:pPr>
      <w:r w:rsidRPr="00E51A78">
        <w:t>11.  Provide additional justification for any question</w:t>
      </w:r>
      <w:r w:rsidRPr="00E51A78">
        <w:t>s of a sensitive nature, such as sexual behavior and attitudes, religious beliefs, and other matters that are commonly considered private.  This justification should include the reasons why the agency considers the questions necessary, the specific uses to</w:t>
      </w:r>
      <w:r w:rsidRPr="00E51A78">
        <w:t xml:space="preserve"> be made of the information, the explanation to be given to persons from whom the information is requested, and any steps to be taken to obtain their consent. </w:t>
      </w:r>
    </w:p>
    <w:p w:rsidR="00EB5E96" w:rsidRPr="00E51A78" w:rsidP="000C4293" w14:paraId="2CB1C672" w14:textId="77777777">
      <w:pPr>
        <w:shd w:val="clear" w:color="auto" w:fill="FFFFFF"/>
        <w:tabs>
          <w:tab w:val="left" w:pos="-720"/>
        </w:tabs>
        <w:suppressAutoHyphens/>
        <w:jc w:val="both"/>
      </w:pPr>
    </w:p>
    <w:p w:rsidR="250F0B26" w:rsidRPr="00E51A78" w:rsidP="6E0422A7" w14:paraId="36711D2F" w14:textId="00BA5FF9">
      <w:pPr>
        <w:shd w:val="clear" w:color="auto" w:fill="FFFFFF" w:themeFill="background1"/>
        <w:jc w:val="both"/>
      </w:pPr>
      <w:r w:rsidRPr="00E51A78">
        <w:t xml:space="preserve">The survey and assessments template does not contain any questions that are sensitive in </w:t>
      </w:r>
      <w:r w:rsidRPr="00E51A78">
        <w:t>nature.</w:t>
      </w:r>
    </w:p>
    <w:p w:rsidR="00A57406" w:rsidRPr="00E51A78" w:rsidP="000C4293" w14:paraId="7B856486" w14:textId="232CB56E">
      <w:pPr>
        <w:shd w:val="clear" w:color="auto" w:fill="FFFFFF"/>
        <w:tabs>
          <w:tab w:val="left" w:pos="-720"/>
        </w:tabs>
        <w:suppressAutoHyphens/>
        <w:jc w:val="both"/>
        <w:rPr>
          <w:spacing w:val="-3"/>
        </w:rPr>
      </w:pPr>
    </w:p>
    <w:p w:rsidR="00A57406" w:rsidRPr="00E51A78" w:rsidP="000C4293" w14:paraId="0538FA7B" w14:textId="77777777">
      <w:pPr>
        <w:shd w:val="clear" w:color="auto" w:fill="FFFFFF"/>
        <w:tabs>
          <w:tab w:val="left" w:pos="-720"/>
        </w:tabs>
        <w:suppressAutoHyphens/>
        <w:jc w:val="both"/>
      </w:pPr>
    </w:p>
    <w:p w:rsidR="00EB5E96" w:rsidRPr="00E51A78" w:rsidP="000C4293" w14:paraId="5AEDC439" w14:textId="77777777">
      <w:pPr>
        <w:shd w:val="pct25" w:color="auto" w:fill="FFFFFF"/>
        <w:tabs>
          <w:tab w:val="left" w:pos="-720"/>
        </w:tabs>
        <w:suppressAutoHyphens/>
        <w:jc w:val="both"/>
      </w:pPr>
      <w:r w:rsidRPr="00E51A78">
        <w:rPr>
          <w:color w:val="2B579A"/>
          <w:shd w:val="clear" w:color="auto" w:fill="E6E6E6"/>
        </w:rPr>
        <w:fldChar w:fldCharType="begin"/>
      </w:r>
      <w:r w:rsidRPr="00E51A78">
        <w:instrText>ADVANCE \R 0.95</w:instrText>
      </w:r>
      <w:r w:rsidRPr="00E51A78">
        <w:rPr>
          <w:color w:val="2B579A"/>
          <w:shd w:val="clear" w:color="auto" w:fill="E6E6E6"/>
        </w:rPr>
        <w:fldChar w:fldCharType="end"/>
      </w:r>
      <w:r w:rsidRPr="00E51A78">
        <w:rPr>
          <w:color w:val="2B579A"/>
          <w:shd w:val="clear" w:color="auto" w:fill="E6E6E6"/>
        </w:rPr>
        <w:fldChar w:fldCharType="begin"/>
      </w:r>
      <w:r w:rsidRPr="00E51A78">
        <w:instrText>ADVANCE \R 0.95</w:instrText>
      </w:r>
      <w:r w:rsidRPr="00E51A78">
        <w:rPr>
          <w:color w:val="2B579A"/>
          <w:shd w:val="clear" w:color="auto" w:fill="E6E6E6"/>
        </w:rPr>
        <w:fldChar w:fldCharType="end"/>
      </w:r>
      <w:r w:rsidRPr="00E51A78">
        <w:t>12. Provide estimates of the hour burden of the collection of information.  The statement should:</w:t>
      </w:r>
    </w:p>
    <w:p w:rsidR="00EB5E96" w:rsidRPr="00E51A78" w:rsidP="000C4293" w14:paraId="6E8DA07C" w14:textId="77777777">
      <w:pPr>
        <w:tabs>
          <w:tab w:val="left" w:pos="-720"/>
        </w:tabs>
        <w:suppressAutoHyphens/>
        <w:jc w:val="both"/>
      </w:pPr>
      <w:r w:rsidRPr="00E51A78">
        <w:rPr>
          <w:color w:val="2B579A"/>
          <w:shd w:val="clear" w:color="auto" w:fill="E6E6E6"/>
        </w:rPr>
        <w:fldChar w:fldCharType="begin"/>
      </w:r>
      <w:r w:rsidRPr="00E51A78">
        <w:instrText>ADVANCE \R 0.95</w:instrText>
      </w:r>
      <w:r w:rsidRPr="00E51A78">
        <w:rPr>
          <w:color w:val="2B579A"/>
          <w:shd w:val="clear" w:color="auto" w:fill="E6E6E6"/>
        </w:rPr>
        <w:fldChar w:fldCharType="end"/>
      </w:r>
    </w:p>
    <w:p w:rsidR="00F861A5" w:rsidRPr="00E51A78" w:rsidP="00F861A5" w14:paraId="623C8734" w14:textId="77777777">
      <w:pPr>
        <w:widowControl w:val="0"/>
        <w:tabs>
          <w:tab w:val="left" w:pos="720"/>
          <w:tab w:val="left" w:pos="1440"/>
        </w:tabs>
        <w:spacing w:before="120"/>
        <w:ind w:left="765"/>
        <w:contextualSpacing/>
      </w:pPr>
    </w:p>
    <w:p w:rsidR="00A57406" w:rsidRPr="00E51A78" w:rsidP="6E0422A7" w14:paraId="3B0FFB3B" w14:textId="24740019">
      <w:pPr>
        <w:widowControl w:val="0"/>
        <w:tabs>
          <w:tab w:val="left" w:pos="720"/>
          <w:tab w:val="left" w:pos="1440"/>
        </w:tabs>
        <w:spacing w:before="120"/>
        <w:ind w:left="360"/>
        <w:contextualSpacing/>
      </w:pPr>
      <w:r w:rsidRPr="00E51A78">
        <w:t>The CISA Gateway was designed and built to fill the lack of a repository for the Nation’s criti</w:t>
      </w:r>
      <w:r w:rsidRPr="00E51A78">
        <w:t>cal infrastructure (CI) community.  Examples of users of the CI community include federal, state,</w:t>
      </w:r>
      <w:r w:rsidRPr="00E51A78" w:rsidR="55CEA633">
        <w:t xml:space="preserve"> local</w:t>
      </w:r>
      <w:r w:rsidRPr="00E51A78">
        <w:t xml:space="preserve"> and county representatives as well as emergency response personnel, facility owners, and security personnel.  </w:t>
      </w:r>
    </w:p>
    <w:p w:rsidR="00A57406" w:rsidRPr="00E51A78" w:rsidP="6E0422A7" w14:paraId="6CC0396B" w14:textId="370F77E8">
      <w:pPr>
        <w:widowControl w:val="0"/>
        <w:tabs>
          <w:tab w:val="left" w:pos="720"/>
          <w:tab w:val="left" w:pos="1440"/>
        </w:tabs>
        <w:spacing w:before="120"/>
        <w:ind w:left="360"/>
        <w:contextualSpacing/>
      </w:pPr>
      <w:r w:rsidRPr="00E51A78">
        <w:t xml:space="preserve"> </w:t>
      </w:r>
    </w:p>
    <w:p w:rsidR="00A57406" w:rsidRPr="00E51A78" w:rsidP="6E0422A7" w14:paraId="6482DEE1" w14:textId="70FC12CD">
      <w:pPr>
        <w:widowControl w:val="0"/>
        <w:tabs>
          <w:tab w:val="left" w:pos="720"/>
          <w:tab w:val="left" w:pos="1440"/>
        </w:tabs>
        <w:spacing w:before="120"/>
        <w:ind w:left="360"/>
        <w:contextualSpacing/>
      </w:pPr>
      <w:r w:rsidRPr="00E51A78">
        <w:t>The frequency of response is the durati</w:t>
      </w:r>
      <w:r w:rsidRPr="00E51A78">
        <w:t xml:space="preserve">on of completion of the registration page information, which requires a maximum of ten minutes.  Information is automatically collected for the training requirement.  Trainees may suspend training before </w:t>
      </w:r>
      <w:r w:rsidRPr="00E51A78" w:rsidR="15900E17">
        <w:t>completion and</w:t>
      </w:r>
      <w:r w:rsidRPr="00E51A78">
        <w:t xml:space="preserve"> may later return and log-on to the pr</w:t>
      </w:r>
      <w:r w:rsidRPr="00E51A78">
        <w:t xml:space="preserve">ogram to continue training, in as many sessions as suits their individual situation.  Therefore, collection of data could take place over several sessions, or could be completed in only one session.  </w:t>
      </w:r>
    </w:p>
    <w:p w:rsidR="00A57406" w:rsidRPr="00E51A78" w:rsidP="6E0422A7" w14:paraId="50BAFA68" w14:textId="29826EF2">
      <w:pPr>
        <w:widowControl w:val="0"/>
        <w:tabs>
          <w:tab w:val="left" w:pos="720"/>
          <w:tab w:val="left" w:pos="1440"/>
        </w:tabs>
        <w:spacing w:before="120"/>
        <w:ind w:left="360"/>
        <w:contextualSpacing/>
      </w:pPr>
    </w:p>
    <w:p w:rsidR="00CC65BA" w:rsidRPr="00E51A78" w:rsidP="00CC65BA" w14:paraId="1BB255DA" w14:textId="2C0D4679">
      <w:r w:rsidRPr="00E51A78">
        <w:t xml:space="preserve">CISA estimates that 100 respondents will complete </w:t>
      </w:r>
      <w:r w:rsidRPr="00E51A78" w:rsidR="4B48FF06">
        <w:t>CISA</w:t>
      </w:r>
      <w:r w:rsidRPr="00E51A78">
        <w:t xml:space="preserve"> Gateway Registration annually, and that each respondent will spend .167 hours (10 minutes) to complete the registration, for an annual burden of 17 hours.  CISA uses Bureau of Labor Statistics (BLS) wage data for Emergency Management Directors to esti</w:t>
      </w:r>
      <w:r w:rsidRPr="00E51A78">
        <w:t>mate the cost of this collection. The average wage for Emergency Management Directors is $</w:t>
      </w:r>
      <w:r w:rsidRPr="00E51A78" w:rsidR="006F0939">
        <w:t>42.74</w:t>
      </w:r>
      <w:r w:rsidRPr="00E51A78">
        <w:t>.</w:t>
      </w:r>
      <w:r>
        <w:rPr>
          <w:rStyle w:val="FootnoteReference"/>
        </w:rPr>
        <w:footnoteReference w:id="3"/>
      </w:r>
      <w:r w:rsidRPr="00E51A78">
        <w:t xml:space="preserve"> This wage is multiplied by a compensation factor of </w:t>
      </w:r>
      <w:r w:rsidRPr="00E51A78" w:rsidR="006F0939">
        <w:t>1.4488</w:t>
      </w:r>
      <w:r>
        <w:rPr>
          <w:rStyle w:val="FootnoteReference"/>
        </w:rPr>
        <w:footnoteReference w:id="4"/>
      </w:r>
      <w:r w:rsidRPr="00E51A78">
        <w:t xml:space="preserve"> to account for benefits and non-wage compensation, for an hourly compensation rate of $</w:t>
      </w:r>
      <w:r w:rsidRPr="00E51A78" w:rsidR="00A61FBC">
        <w:t>61.92</w:t>
      </w:r>
      <w:r w:rsidRPr="00E51A78">
        <w:t>. Mu</w:t>
      </w:r>
      <w:r w:rsidRPr="00E51A78">
        <w:t>ltiplying the hourly compensation rate by the estimated total burden hours of 17 provides an estimated annual respondent cost of $</w:t>
      </w:r>
      <w:r w:rsidRPr="00E51A78" w:rsidR="00A61FBC">
        <w:t>1,032</w:t>
      </w:r>
      <w:r w:rsidRPr="00E51A78">
        <w:t xml:space="preserve"> for registration.  The last instrument in this collection is the </w:t>
      </w:r>
      <w:r w:rsidRPr="00E51A78" w:rsidR="493EB961">
        <w:t>CISA</w:t>
      </w:r>
      <w:r w:rsidRPr="00E51A78">
        <w:t xml:space="preserve"> Registration training requirement, which CISA esti</w:t>
      </w:r>
      <w:r w:rsidRPr="00E51A78">
        <w:t>mates 100 respondents will spend .5 hours completing, for a total of 50 hours.  Using the same hourly compensation rate of $</w:t>
      </w:r>
      <w:r w:rsidRPr="00E51A78" w:rsidR="00A61FBC">
        <w:t>61.92</w:t>
      </w:r>
      <w:r w:rsidRPr="00E51A78">
        <w:t>, CISA estimates a cost of $</w:t>
      </w:r>
      <w:r w:rsidRPr="00E51A78" w:rsidR="00A61FBC">
        <w:t>3,096</w:t>
      </w:r>
      <w:r w:rsidRPr="00E51A78">
        <w:t xml:space="preserve"> for training requirements. The total annual cost of all three instruments covered by this col</w:t>
      </w:r>
      <w:r w:rsidRPr="00E51A78">
        <w:t>lection is estimated to be $</w:t>
      </w:r>
      <w:r w:rsidRPr="00E51A78" w:rsidR="007E1595">
        <w:t>4,128</w:t>
      </w:r>
      <w:r w:rsidRPr="00E51A78">
        <w:t>, as presented in Table A.12.</w:t>
      </w:r>
    </w:p>
    <w:p w:rsidR="00CC65BA" w:rsidRPr="00E51A78" w:rsidP="00CC65BA" w14:paraId="23943E66" w14:textId="77777777">
      <w:pPr>
        <w:rPr>
          <w:szCs w:val="22"/>
        </w:rPr>
      </w:pPr>
    </w:p>
    <w:p w:rsidR="00CC65BA" w:rsidRPr="00E51A78" w:rsidP="00CC65BA" w14:paraId="092A9D5C" w14:textId="77777777">
      <w:r w:rsidRPr="00E51A78">
        <w:t>Table A.12: Estimated Annualized Burden Hours and Costs</w:t>
      </w:r>
    </w:p>
    <w:tbl>
      <w:tblPr>
        <w:tblW w:w="10308" w:type="dxa"/>
        <w:jc w:val="center"/>
        <w:tblLook w:val="04A0"/>
      </w:tblPr>
      <w:tblGrid>
        <w:gridCol w:w="1685"/>
        <w:gridCol w:w="1415"/>
        <w:gridCol w:w="1592"/>
        <w:gridCol w:w="1440"/>
        <w:gridCol w:w="1350"/>
        <w:gridCol w:w="1800"/>
        <w:gridCol w:w="1026"/>
      </w:tblGrid>
      <w:tr w14:paraId="7B1AF793" w14:textId="77777777" w:rsidTr="00CC65BA">
        <w:tblPrEx>
          <w:tblW w:w="10308" w:type="dxa"/>
          <w:jc w:val="center"/>
          <w:tblLook w:val="04A0"/>
        </w:tblPrEx>
        <w:trPr>
          <w:trHeight w:val="1185"/>
          <w:jc w:val="center"/>
        </w:trPr>
        <w:tc>
          <w:tcPr>
            <w:tcW w:w="1685" w:type="dxa"/>
            <w:tcBorders>
              <w:top w:val="single" w:sz="4" w:space="0" w:color="auto"/>
              <w:left w:val="single" w:sz="4" w:space="0" w:color="auto"/>
              <w:bottom w:val="single" w:sz="4" w:space="0" w:color="auto"/>
              <w:right w:val="single" w:sz="4" w:space="0" w:color="auto"/>
            </w:tcBorders>
            <w:vAlign w:val="center"/>
            <w:hideMark/>
          </w:tcPr>
          <w:p w:rsidR="00CC65BA" w:rsidRPr="00E51A78" w14:paraId="42E37EC8" w14:textId="77777777">
            <w:pPr>
              <w:jc w:val="center"/>
              <w:rPr>
                <w:b/>
                <w:bCs/>
                <w:color w:val="000000"/>
                <w:sz w:val="22"/>
                <w:szCs w:val="22"/>
              </w:rPr>
            </w:pPr>
            <w:r w:rsidRPr="00E51A78">
              <w:rPr>
                <w:b/>
                <w:bCs/>
                <w:color w:val="000000"/>
                <w:sz w:val="22"/>
                <w:szCs w:val="22"/>
              </w:rPr>
              <w:t>Instrument</w:t>
            </w:r>
          </w:p>
        </w:tc>
        <w:tc>
          <w:tcPr>
            <w:tcW w:w="1415" w:type="dxa"/>
            <w:tcBorders>
              <w:top w:val="single" w:sz="4" w:space="0" w:color="auto"/>
              <w:left w:val="nil"/>
              <w:bottom w:val="single" w:sz="4" w:space="0" w:color="auto"/>
              <w:right w:val="single" w:sz="4" w:space="0" w:color="auto"/>
            </w:tcBorders>
            <w:vAlign w:val="center"/>
            <w:hideMark/>
          </w:tcPr>
          <w:p w:rsidR="00CC65BA" w:rsidRPr="00E51A78" w14:paraId="2C838684" w14:textId="77777777">
            <w:pPr>
              <w:jc w:val="center"/>
              <w:rPr>
                <w:b/>
                <w:bCs/>
                <w:color w:val="000000"/>
                <w:sz w:val="22"/>
                <w:szCs w:val="22"/>
              </w:rPr>
            </w:pPr>
            <w:r w:rsidRPr="00E51A78">
              <w:rPr>
                <w:b/>
                <w:bCs/>
                <w:color w:val="000000"/>
                <w:sz w:val="22"/>
                <w:szCs w:val="22"/>
              </w:rPr>
              <w:t>Number of Respondents</w:t>
            </w:r>
          </w:p>
        </w:tc>
        <w:tc>
          <w:tcPr>
            <w:tcW w:w="1592" w:type="dxa"/>
            <w:tcBorders>
              <w:top w:val="single" w:sz="4" w:space="0" w:color="auto"/>
              <w:left w:val="nil"/>
              <w:bottom w:val="single" w:sz="4" w:space="0" w:color="auto"/>
              <w:right w:val="single" w:sz="4" w:space="0" w:color="auto"/>
            </w:tcBorders>
            <w:vAlign w:val="center"/>
            <w:hideMark/>
          </w:tcPr>
          <w:p w:rsidR="00CC65BA" w:rsidRPr="00E51A78" w14:paraId="4CCC30D9" w14:textId="77777777">
            <w:pPr>
              <w:jc w:val="center"/>
              <w:rPr>
                <w:b/>
                <w:bCs/>
                <w:color w:val="000000"/>
                <w:sz w:val="22"/>
                <w:szCs w:val="22"/>
              </w:rPr>
            </w:pPr>
            <w:r w:rsidRPr="00E51A78">
              <w:rPr>
                <w:b/>
                <w:bCs/>
                <w:color w:val="000000"/>
                <w:sz w:val="22"/>
                <w:szCs w:val="22"/>
              </w:rPr>
              <w:t>Number of Responses per Respondent</w:t>
            </w:r>
          </w:p>
        </w:tc>
        <w:tc>
          <w:tcPr>
            <w:tcW w:w="1440" w:type="dxa"/>
            <w:tcBorders>
              <w:top w:val="single" w:sz="4" w:space="0" w:color="auto"/>
              <w:left w:val="nil"/>
              <w:bottom w:val="single" w:sz="4" w:space="0" w:color="auto"/>
              <w:right w:val="single" w:sz="4" w:space="0" w:color="auto"/>
            </w:tcBorders>
            <w:vAlign w:val="center"/>
            <w:hideMark/>
          </w:tcPr>
          <w:p w:rsidR="00CC65BA" w:rsidRPr="00E51A78" w14:paraId="507AC5D4" w14:textId="77777777">
            <w:pPr>
              <w:jc w:val="center"/>
              <w:rPr>
                <w:b/>
                <w:bCs/>
                <w:color w:val="000000"/>
                <w:sz w:val="22"/>
                <w:szCs w:val="22"/>
              </w:rPr>
            </w:pPr>
            <w:r w:rsidRPr="00E51A78">
              <w:rPr>
                <w:b/>
                <w:bCs/>
                <w:color w:val="000000"/>
                <w:sz w:val="22"/>
                <w:szCs w:val="22"/>
              </w:rPr>
              <w:t>Average Burden per Response (hours)</w:t>
            </w:r>
          </w:p>
        </w:tc>
        <w:tc>
          <w:tcPr>
            <w:tcW w:w="1350" w:type="dxa"/>
            <w:tcBorders>
              <w:top w:val="single" w:sz="4" w:space="0" w:color="auto"/>
              <w:left w:val="nil"/>
              <w:bottom w:val="single" w:sz="4" w:space="0" w:color="auto"/>
              <w:right w:val="single" w:sz="4" w:space="0" w:color="auto"/>
            </w:tcBorders>
            <w:vAlign w:val="center"/>
            <w:hideMark/>
          </w:tcPr>
          <w:p w:rsidR="00CC65BA" w:rsidRPr="00E51A78" w14:paraId="11043D6B" w14:textId="77777777">
            <w:pPr>
              <w:jc w:val="center"/>
              <w:rPr>
                <w:b/>
                <w:bCs/>
                <w:color w:val="000000"/>
                <w:sz w:val="22"/>
                <w:szCs w:val="22"/>
              </w:rPr>
            </w:pPr>
            <w:r w:rsidRPr="00E51A78">
              <w:rPr>
                <w:b/>
                <w:bCs/>
                <w:color w:val="000000"/>
                <w:sz w:val="22"/>
                <w:szCs w:val="22"/>
              </w:rPr>
              <w:t>Total Time Burden (hours)</w:t>
            </w:r>
          </w:p>
        </w:tc>
        <w:tc>
          <w:tcPr>
            <w:tcW w:w="1800" w:type="dxa"/>
            <w:tcBorders>
              <w:top w:val="single" w:sz="4" w:space="0" w:color="auto"/>
              <w:left w:val="nil"/>
              <w:bottom w:val="single" w:sz="4" w:space="0" w:color="auto"/>
              <w:right w:val="single" w:sz="4" w:space="0" w:color="auto"/>
            </w:tcBorders>
            <w:vAlign w:val="center"/>
            <w:hideMark/>
          </w:tcPr>
          <w:p w:rsidR="00CC65BA" w:rsidRPr="00E51A78" w14:paraId="6AB4FED2" w14:textId="77777777">
            <w:pPr>
              <w:jc w:val="center"/>
              <w:rPr>
                <w:b/>
                <w:bCs/>
                <w:color w:val="000000"/>
                <w:sz w:val="22"/>
                <w:szCs w:val="22"/>
              </w:rPr>
            </w:pPr>
            <w:r w:rsidRPr="00E51A78">
              <w:rPr>
                <w:b/>
                <w:bCs/>
                <w:color w:val="000000"/>
                <w:sz w:val="22"/>
                <w:szCs w:val="22"/>
              </w:rPr>
              <w:t>Average Hourly Compensation Rate</w:t>
            </w:r>
          </w:p>
        </w:tc>
        <w:tc>
          <w:tcPr>
            <w:tcW w:w="1026" w:type="dxa"/>
            <w:tcBorders>
              <w:top w:val="single" w:sz="4" w:space="0" w:color="auto"/>
              <w:left w:val="nil"/>
              <w:bottom w:val="single" w:sz="4" w:space="0" w:color="auto"/>
              <w:right w:val="single" w:sz="4" w:space="0" w:color="auto"/>
            </w:tcBorders>
            <w:vAlign w:val="center"/>
            <w:hideMark/>
          </w:tcPr>
          <w:p w:rsidR="00CC65BA" w:rsidRPr="00E51A78" w14:paraId="3CA0AD09" w14:textId="77777777">
            <w:pPr>
              <w:jc w:val="center"/>
              <w:rPr>
                <w:b/>
                <w:bCs/>
                <w:color w:val="000000"/>
                <w:sz w:val="22"/>
                <w:szCs w:val="22"/>
              </w:rPr>
            </w:pPr>
            <w:r w:rsidRPr="00E51A78">
              <w:rPr>
                <w:b/>
                <w:bCs/>
                <w:color w:val="000000"/>
                <w:sz w:val="22"/>
                <w:szCs w:val="22"/>
              </w:rPr>
              <w:t>Total Labor Cost</w:t>
            </w:r>
          </w:p>
        </w:tc>
      </w:tr>
      <w:tr w14:paraId="32930D6E" w14:textId="77777777" w:rsidTr="00CC65BA">
        <w:tblPrEx>
          <w:tblW w:w="10308" w:type="dxa"/>
          <w:jc w:val="center"/>
          <w:tblLook w:val="04A0"/>
        </w:tblPrEx>
        <w:trPr>
          <w:trHeight w:val="330"/>
          <w:jc w:val="center"/>
        </w:trPr>
        <w:tc>
          <w:tcPr>
            <w:tcW w:w="1685" w:type="dxa"/>
            <w:tcBorders>
              <w:top w:val="nil"/>
              <w:left w:val="single" w:sz="8" w:space="0" w:color="auto"/>
              <w:bottom w:val="single" w:sz="8" w:space="0" w:color="auto"/>
              <w:right w:val="single" w:sz="8" w:space="0" w:color="auto"/>
            </w:tcBorders>
            <w:vAlign w:val="center"/>
            <w:hideMark/>
          </w:tcPr>
          <w:p w:rsidR="007A77AD" w:rsidRPr="00E51A78" w:rsidP="007A77AD" w14:paraId="5498C347" w14:textId="0CFC05E2">
            <w:pPr>
              <w:rPr>
                <w:color w:val="000000"/>
              </w:rPr>
            </w:pPr>
            <w:r w:rsidRPr="00E51A78">
              <w:rPr>
                <w:color w:val="000000" w:themeColor="text1"/>
              </w:rPr>
              <w:t>CISA</w:t>
            </w:r>
            <w:r w:rsidR="00B15D8F">
              <w:rPr>
                <w:color w:val="000000" w:themeColor="text1"/>
              </w:rPr>
              <w:t xml:space="preserve"> </w:t>
            </w:r>
            <w:r w:rsidRPr="00E51A78">
              <w:rPr>
                <w:color w:val="000000" w:themeColor="text1"/>
              </w:rPr>
              <w:t>Gateway Registration</w:t>
            </w:r>
          </w:p>
        </w:tc>
        <w:tc>
          <w:tcPr>
            <w:tcW w:w="1415" w:type="dxa"/>
            <w:tcBorders>
              <w:top w:val="nil"/>
              <w:left w:val="single" w:sz="4" w:space="0" w:color="auto"/>
              <w:bottom w:val="single" w:sz="4" w:space="0" w:color="auto"/>
              <w:right w:val="single" w:sz="4" w:space="0" w:color="auto"/>
            </w:tcBorders>
            <w:noWrap/>
            <w:vAlign w:val="center"/>
            <w:hideMark/>
          </w:tcPr>
          <w:p w:rsidR="007A77AD" w:rsidRPr="00E51A78" w:rsidP="007A77AD" w14:paraId="038864D2" w14:textId="77777777">
            <w:pPr>
              <w:jc w:val="center"/>
              <w:rPr>
                <w:color w:val="000000"/>
                <w:sz w:val="22"/>
                <w:szCs w:val="22"/>
              </w:rPr>
            </w:pPr>
            <w:r w:rsidRPr="00E51A78">
              <w:rPr>
                <w:color w:val="000000"/>
                <w:sz w:val="22"/>
                <w:szCs w:val="22"/>
              </w:rPr>
              <w:t>100</w:t>
            </w:r>
          </w:p>
        </w:tc>
        <w:tc>
          <w:tcPr>
            <w:tcW w:w="1592" w:type="dxa"/>
            <w:tcBorders>
              <w:top w:val="nil"/>
              <w:left w:val="nil"/>
              <w:bottom w:val="single" w:sz="4" w:space="0" w:color="auto"/>
              <w:right w:val="single" w:sz="4" w:space="0" w:color="auto"/>
            </w:tcBorders>
            <w:noWrap/>
            <w:vAlign w:val="center"/>
            <w:hideMark/>
          </w:tcPr>
          <w:p w:rsidR="007A77AD" w:rsidRPr="00E51A78" w:rsidP="007A77AD" w14:paraId="22908097" w14:textId="77777777">
            <w:pPr>
              <w:jc w:val="center"/>
              <w:rPr>
                <w:color w:val="000000"/>
                <w:sz w:val="22"/>
                <w:szCs w:val="22"/>
              </w:rPr>
            </w:pPr>
            <w:r w:rsidRPr="00E51A78">
              <w:rPr>
                <w:color w:val="000000"/>
                <w:sz w:val="22"/>
                <w:szCs w:val="22"/>
              </w:rPr>
              <w:t>1</w:t>
            </w:r>
          </w:p>
        </w:tc>
        <w:tc>
          <w:tcPr>
            <w:tcW w:w="1440" w:type="dxa"/>
            <w:tcBorders>
              <w:top w:val="nil"/>
              <w:left w:val="nil"/>
              <w:bottom w:val="single" w:sz="4" w:space="0" w:color="auto"/>
              <w:right w:val="single" w:sz="4" w:space="0" w:color="auto"/>
            </w:tcBorders>
            <w:noWrap/>
            <w:vAlign w:val="center"/>
            <w:hideMark/>
          </w:tcPr>
          <w:p w:rsidR="007A77AD" w:rsidRPr="00E51A78" w:rsidP="007A77AD" w14:paraId="1CA1F274" w14:textId="77777777">
            <w:pPr>
              <w:jc w:val="center"/>
              <w:rPr>
                <w:color w:val="000000"/>
                <w:sz w:val="22"/>
                <w:szCs w:val="22"/>
              </w:rPr>
            </w:pPr>
            <w:r w:rsidRPr="00E51A78">
              <w:rPr>
                <w:color w:val="000000"/>
                <w:sz w:val="22"/>
                <w:szCs w:val="22"/>
              </w:rPr>
              <w:t>0.17</w:t>
            </w:r>
          </w:p>
        </w:tc>
        <w:tc>
          <w:tcPr>
            <w:tcW w:w="1350" w:type="dxa"/>
            <w:tcBorders>
              <w:top w:val="nil"/>
              <w:left w:val="nil"/>
              <w:bottom w:val="single" w:sz="4" w:space="0" w:color="auto"/>
              <w:right w:val="single" w:sz="4" w:space="0" w:color="auto"/>
            </w:tcBorders>
            <w:noWrap/>
            <w:vAlign w:val="center"/>
            <w:hideMark/>
          </w:tcPr>
          <w:p w:rsidR="007A77AD" w:rsidRPr="00E51A78" w:rsidP="007A77AD" w14:paraId="0BDF1E91" w14:textId="77777777">
            <w:pPr>
              <w:jc w:val="center"/>
              <w:rPr>
                <w:color w:val="000000"/>
                <w:sz w:val="22"/>
                <w:szCs w:val="22"/>
              </w:rPr>
            </w:pPr>
            <w:r w:rsidRPr="00E51A78">
              <w:rPr>
                <w:color w:val="000000"/>
                <w:sz w:val="22"/>
                <w:szCs w:val="22"/>
              </w:rPr>
              <w:t>17</w:t>
            </w:r>
          </w:p>
        </w:tc>
        <w:tc>
          <w:tcPr>
            <w:tcW w:w="1800" w:type="dxa"/>
            <w:tcBorders>
              <w:top w:val="nil"/>
              <w:left w:val="nil"/>
              <w:bottom w:val="single" w:sz="4" w:space="0" w:color="auto"/>
              <w:right w:val="single" w:sz="4" w:space="0" w:color="auto"/>
            </w:tcBorders>
            <w:vAlign w:val="center"/>
            <w:hideMark/>
          </w:tcPr>
          <w:p w:rsidR="007A77AD" w:rsidRPr="00E51A78" w:rsidP="007A77AD" w14:paraId="09A44CAA" w14:textId="38ABD08D">
            <w:pPr>
              <w:jc w:val="center"/>
              <w:rPr>
                <w:color w:val="000000"/>
                <w:sz w:val="22"/>
                <w:szCs w:val="22"/>
              </w:rPr>
            </w:pPr>
            <w:r w:rsidRPr="00E51A78">
              <w:rPr>
                <w:color w:val="000000"/>
                <w:sz w:val="22"/>
                <w:szCs w:val="22"/>
              </w:rPr>
              <w:t>$61.92</w:t>
            </w:r>
          </w:p>
        </w:tc>
        <w:tc>
          <w:tcPr>
            <w:tcW w:w="1026" w:type="dxa"/>
            <w:tcBorders>
              <w:top w:val="nil"/>
              <w:left w:val="nil"/>
              <w:bottom w:val="single" w:sz="4" w:space="0" w:color="auto"/>
              <w:right w:val="single" w:sz="4" w:space="0" w:color="auto"/>
            </w:tcBorders>
            <w:vAlign w:val="center"/>
            <w:hideMark/>
          </w:tcPr>
          <w:p w:rsidR="007A77AD" w:rsidRPr="00E51A78" w:rsidP="007A77AD" w14:paraId="7F1DBAC5" w14:textId="0559E1F1">
            <w:pPr>
              <w:jc w:val="center"/>
              <w:rPr>
                <w:color w:val="000000"/>
                <w:sz w:val="22"/>
                <w:szCs w:val="22"/>
              </w:rPr>
            </w:pPr>
            <w:r w:rsidRPr="00E51A78">
              <w:rPr>
                <w:color w:val="000000"/>
                <w:sz w:val="22"/>
                <w:szCs w:val="22"/>
              </w:rPr>
              <w:t>$1,032</w:t>
            </w:r>
          </w:p>
        </w:tc>
      </w:tr>
      <w:tr w14:paraId="3FD5EDB4" w14:textId="77777777" w:rsidTr="00CC65BA">
        <w:tblPrEx>
          <w:tblW w:w="10308" w:type="dxa"/>
          <w:jc w:val="center"/>
          <w:tblLook w:val="04A0"/>
        </w:tblPrEx>
        <w:trPr>
          <w:trHeight w:val="330"/>
          <w:jc w:val="center"/>
        </w:trPr>
        <w:tc>
          <w:tcPr>
            <w:tcW w:w="1685" w:type="dxa"/>
            <w:tcBorders>
              <w:top w:val="nil"/>
              <w:left w:val="single" w:sz="8" w:space="0" w:color="auto"/>
              <w:bottom w:val="single" w:sz="8" w:space="0" w:color="auto"/>
              <w:right w:val="single" w:sz="8" w:space="0" w:color="auto"/>
            </w:tcBorders>
            <w:vAlign w:val="center"/>
            <w:hideMark/>
          </w:tcPr>
          <w:p w:rsidR="007A77AD" w:rsidRPr="00E51A78" w:rsidP="007A77AD" w14:paraId="3025940F" w14:textId="2C13456C">
            <w:pPr>
              <w:rPr>
                <w:color w:val="000000"/>
              </w:rPr>
            </w:pPr>
            <w:r w:rsidRPr="00E51A78">
              <w:rPr>
                <w:color w:val="000000" w:themeColor="text1"/>
              </w:rPr>
              <w:t xml:space="preserve">CISA Registration Training </w:t>
            </w:r>
          </w:p>
          <w:p w:rsidR="007A77AD" w:rsidRPr="00E51A78" w:rsidP="007A77AD" w14:paraId="2CADDB44" w14:textId="77777777">
            <w:pPr>
              <w:rPr>
                <w:color w:val="000000"/>
              </w:rPr>
            </w:pPr>
            <w:r w:rsidRPr="00E51A78">
              <w:rPr>
                <w:color w:val="000000"/>
              </w:rPr>
              <w:t>Requirement</w:t>
            </w:r>
            <w:r w:rsidRPr="00E51A78">
              <w:rPr>
                <w:color w:val="000000"/>
                <w:sz w:val="16"/>
                <w:szCs w:val="16"/>
              </w:rPr>
              <w:t> </w:t>
            </w:r>
          </w:p>
        </w:tc>
        <w:tc>
          <w:tcPr>
            <w:tcW w:w="1415" w:type="dxa"/>
            <w:tcBorders>
              <w:top w:val="nil"/>
              <w:left w:val="single" w:sz="4" w:space="0" w:color="auto"/>
              <w:bottom w:val="single" w:sz="4" w:space="0" w:color="auto"/>
              <w:right w:val="single" w:sz="4" w:space="0" w:color="auto"/>
            </w:tcBorders>
            <w:noWrap/>
            <w:vAlign w:val="center"/>
            <w:hideMark/>
          </w:tcPr>
          <w:p w:rsidR="007A77AD" w:rsidRPr="00E51A78" w:rsidP="007A77AD" w14:paraId="24C1950C" w14:textId="77777777">
            <w:pPr>
              <w:jc w:val="center"/>
              <w:rPr>
                <w:color w:val="000000"/>
                <w:sz w:val="22"/>
                <w:szCs w:val="22"/>
              </w:rPr>
            </w:pPr>
            <w:r w:rsidRPr="00E51A78">
              <w:rPr>
                <w:color w:val="000000"/>
                <w:sz w:val="22"/>
                <w:szCs w:val="22"/>
              </w:rPr>
              <w:t>100</w:t>
            </w:r>
          </w:p>
        </w:tc>
        <w:tc>
          <w:tcPr>
            <w:tcW w:w="1592" w:type="dxa"/>
            <w:tcBorders>
              <w:top w:val="nil"/>
              <w:left w:val="nil"/>
              <w:bottom w:val="single" w:sz="4" w:space="0" w:color="auto"/>
              <w:right w:val="single" w:sz="4" w:space="0" w:color="auto"/>
            </w:tcBorders>
            <w:noWrap/>
            <w:vAlign w:val="center"/>
            <w:hideMark/>
          </w:tcPr>
          <w:p w:rsidR="007A77AD" w:rsidRPr="00E51A78" w:rsidP="007A77AD" w14:paraId="317FC2EE" w14:textId="77777777">
            <w:pPr>
              <w:jc w:val="center"/>
              <w:rPr>
                <w:color w:val="000000"/>
                <w:sz w:val="22"/>
                <w:szCs w:val="22"/>
              </w:rPr>
            </w:pPr>
            <w:r w:rsidRPr="00E51A78">
              <w:rPr>
                <w:color w:val="000000"/>
                <w:sz w:val="22"/>
                <w:szCs w:val="22"/>
              </w:rPr>
              <w:t>1</w:t>
            </w:r>
          </w:p>
        </w:tc>
        <w:tc>
          <w:tcPr>
            <w:tcW w:w="1440" w:type="dxa"/>
            <w:tcBorders>
              <w:top w:val="nil"/>
              <w:left w:val="nil"/>
              <w:bottom w:val="single" w:sz="4" w:space="0" w:color="auto"/>
              <w:right w:val="single" w:sz="4" w:space="0" w:color="auto"/>
            </w:tcBorders>
            <w:noWrap/>
            <w:vAlign w:val="center"/>
            <w:hideMark/>
          </w:tcPr>
          <w:p w:rsidR="007A77AD" w:rsidRPr="00E51A78" w:rsidP="007A77AD" w14:paraId="0D65E893" w14:textId="77777777">
            <w:pPr>
              <w:jc w:val="center"/>
              <w:rPr>
                <w:color w:val="000000"/>
                <w:sz w:val="22"/>
                <w:szCs w:val="22"/>
              </w:rPr>
            </w:pPr>
            <w:r w:rsidRPr="00E51A78">
              <w:rPr>
                <w:color w:val="000000"/>
                <w:sz w:val="22"/>
                <w:szCs w:val="22"/>
              </w:rPr>
              <w:t>0.50</w:t>
            </w:r>
          </w:p>
        </w:tc>
        <w:tc>
          <w:tcPr>
            <w:tcW w:w="1350" w:type="dxa"/>
            <w:tcBorders>
              <w:top w:val="nil"/>
              <w:left w:val="nil"/>
              <w:bottom w:val="single" w:sz="4" w:space="0" w:color="auto"/>
              <w:right w:val="single" w:sz="4" w:space="0" w:color="auto"/>
            </w:tcBorders>
            <w:noWrap/>
            <w:vAlign w:val="center"/>
            <w:hideMark/>
          </w:tcPr>
          <w:p w:rsidR="007A77AD" w:rsidRPr="00E51A78" w:rsidP="007A77AD" w14:paraId="19980727" w14:textId="77777777">
            <w:pPr>
              <w:jc w:val="center"/>
              <w:rPr>
                <w:color w:val="000000"/>
                <w:sz w:val="22"/>
                <w:szCs w:val="22"/>
              </w:rPr>
            </w:pPr>
            <w:r w:rsidRPr="00E51A78">
              <w:rPr>
                <w:color w:val="000000"/>
                <w:sz w:val="22"/>
                <w:szCs w:val="22"/>
              </w:rPr>
              <w:t>50</w:t>
            </w:r>
          </w:p>
        </w:tc>
        <w:tc>
          <w:tcPr>
            <w:tcW w:w="1800" w:type="dxa"/>
            <w:tcBorders>
              <w:top w:val="nil"/>
              <w:left w:val="nil"/>
              <w:bottom w:val="single" w:sz="4" w:space="0" w:color="auto"/>
              <w:right w:val="single" w:sz="4" w:space="0" w:color="auto"/>
            </w:tcBorders>
            <w:vAlign w:val="center"/>
            <w:hideMark/>
          </w:tcPr>
          <w:p w:rsidR="007A77AD" w:rsidRPr="00E51A78" w:rsidP="007A77AD" w14:paraId="78571C09" w14:textId="0F2E8F8F">
            <w:pPr>
              <w:jc w:val="center"/>
              <w:rPr>
                <w:color w:val="000000"/>
                <w:sz w:val="22"/>
                <w:szCs w:val="22"/>
              </w:rPr>
            </w:pPr>
            <w:r w:rsidRPr="00E51A78">
              <w:rPr>
                <w:color w:val="000000"/>
                <w:sz w:val="22"/>
                <w:szCs w:val="22"/>
              </w:rPr>
              <w:t>$61.92</w:t>
            </w:r>
          </w:p>
        </w:tc>
        <w:tc>
          <w:tcPr>
            <w:tcW w:w="1026" w:type="dxa"/>
            <w:tcBorders>
              <w:top w:val="nil"/>
              <w:left w:val="nil"/>
              <w:bottom w:val="single" w:sz="4" w:space="0" w:color="auto"/>
              <w:right w:val="single" w:sz="4" w:space="0" w:color="auto"/>
            </w:tcBorders>
            <w:vAlign w:val="center"/>
            <w:hideMark/>
          </w:tcPr>
          <w:p w:rsidR="007A77AD" w:rsidRPr="00E51A78" w:rsidP="007A77AD" w14:paraId="40DB804D" w14:textId="04E35BC1">
            <w:pPr>
              <w:jc w:val="center"/>
              <w:rPr>
                <w:color w:val="000000"/>
                <w:sz w:val="22"/>
                <w:szCs w:val="22"/>
              </w:rPr>
            </w:pPr>
            <w:r w:rsidRPr="00E51A78">
              <w:rPr>
                <w:color w:val="000000"/>
                <w:sz w:val="22"/>
                <w:szCs w:val="22"/>
              </w:rPr>
              <w:t>$3,096</w:t>
            </w:r>
          </w:p>
        </w:tc>
      </w:tr>
      <w:tr w14:paraId="7EFD078C" w14:textId="77777777" w:rsidTr="00FB44BF">
        <w:tblPrEx>
          <w:tblW w:w="10308" w:type="dxa"/>
          <w:jc w:val="center"/>
          <w:tblLook w:val="04A0"/>
        </w:tblPrEx>
        <w:trPr>
          <w:trHeight w:val="300"/>
          <w:jc w:val="center"/>
        </w:trPr>
        <w:tc>
          <w:tcPr>
            <w:tcW w:w="1685" w:type="dxa"/>
            <w:tcBorders>
              <w:top w:val="single" w:sz="4" w:space="0" w:color="auto"/>
              <w:left w:val="single" w:sz="4" w:space="0" w:color="auto"/>
              <w:bottom w:val="single" w:sz="4" w:space="0" w:color="auto"/>
              <w:right w:val="single" w:sz="4" w:space="0" w:color="auto"/>
            </w:tcBorders>
            <w:noWrap/>
            <w:vAlign w:val="center"/>
            <w:hideMark/>
          </w:tcPr>
          <w:p w:rsidR="007A77AD" w:rsidRPr="00E51A78" w:rsidP="007A77AD" w14:paraId="0D0CE32B" w14:textId="77777777">
            <w:pPr>
              <w:jc w:val="center"/>
              <w:rPr>
                <w:b/>
                <w:bCs/>
                <w:color w:val="000000"/>
                <w:sz w:val="22"/>
                <w:szCs w:val="22"/>
              </w:rPr>
            </w:pPr>
            <w:r w:rsidRPr="00E51A78">
              <w:rPr>
                <w:b/>
                <w:bCs/>
                <w:color w:val="000000"/>
                <w:sz w:val="22"/>
                <w:szCs w:val="22"/>
              </w:rPr>
              <w:t>Total</w:t>
            </w:r>
          </w:p>
        </w:tc>
        <w:tc>
          <w:tcPr>
            <w:tcW w:w="1415" w:type="dxa"/>
            <w:tcBorders>
              <w:top w:val="nil"/>
              <w:left w:val="nil"/>
              <w:bottom w:val="single" w:sz="4" w:space="0" w:color="auto"/>
              <w:right w:val="single" w:sz="4" w:space="0" w:color="auto"/>
            </w:tcBorders>
            <w:noWrap/>
            <w:vAlign w:val="center"/>
            <w:hideMark/>
          </w:tcPr>
          <w:p w:rsidR="007A77AD" w:rsidRPr="00E51A78" w:rsidP="007A77AD" w14:paraId="427394C1" w14:textId="413E8A39">
            <w:pPr>
              <w:jc w:val="center"/>
              <w:rPr>
                <w:b/>
                <w:bCs/>
                <w:color w:val="000000"/>
                <w:sz w:val="22"/>
                <w:szCs w:val="22"/>
              </w:rPr>
            </w:pPr>
            <w:r w:rsidRPr="00E51A78">
              <w:rPr>
                <w:b/>
                <w:bCs/>
                <w:color w:val="000000"/>
                <w:sz w:val="22"/>
                <w:szCs w:val="22"/>
              </w:rPr>
              <w:t>200</w:t>
            </w:r>
          </w:p>
        </w:tc>
        <w:tc>
          <w:tcPr>
            <w:tcW w:w="1592" w:type="dxa"/>
            <w:tcBorders>
              <w:top w:val="nil"/>
              <w:left w:val="nil"/>
              <w:bottom w:val="single" w:sz="4" w:space="0" w:color="auto"/>
              <w:right w:val="single" w:sz="4" w:space="0" w:color="auto"/>
            </w:tcBorders>
            <w:noWrap/>
            <w:vAlign w:val="center"/>
            <w:hideMark/>
          </w:tcPr>
          <w:p w:rsidR="007A77AD" w:rsidRPr="00E51A78" w:rsidP="007A77AD" w14:paraId="671E896D" w14:textId="77777777">
            <w:pPr>
              <w:jc w:val="center"/>
              <w:rPr>
                <w:b/>
                <w:bCs/>
                <w:color w:val="000000"/>
                <w:sz w:val="22"/>
                <w:szCs w:val="22"/>
              </w:rPr>
            </w:pPr>
            <w:r w:rsidRPr="00E51A78">
              <w:rPr>
                <w:b/>
                <w:bCs/>
                <w:color w:val="000000"/>
                <w:sz w:val="22"/>
                <w:szCs w:val="22"/>
              </w:rPr>
              <w:t> </w:t>
            </w:r>
          </w:p>
        </w:tc>
        <w:tc>
          <w:tcPr>
            <w:tcW w:w="1440" w:type="dxa"/>
            <w:tcBorders>
              <w:top w:val="nil"/>
              <w:left w:val="nil"/>
              <w:bottom w:val="single" w:sz="4" w:space="0" w:color="auto"/>
              <w:right w:val="single" w:sz="4" w:space="0" w:color="auto"/>
            </w:tcBorders>
            <w:noWrap/>
            <w:vAlign w:val="center"/>
            <w:hideMark/>
          </w:tcPr>
          <w:p w:rsidR="007A77AD" w:rsidRPr="00E51A78" w:rsidP="007A77AD" w14:paraId="198B0838" w14:textId="77777777">
            <w:pPr>
              <w:jc w:val="center"/>
              <w:rPr>
                <w:b/>
                <w:bCs/>
                <w:color w:val="000000"/>
                <w:sz w:val="22"/>
                <w:szCs w:val="22"/>
              </w:rPr>
            </w:pPr>
            <w:r w:rsidRPr="00E51A78">
              <w:rPr>
                <w:b/>
                <w:bCs/>
                <w:color w:val="000000"/>
                <w:sz w:val="22"/>
                <w:szCs w:val="22"/>
              </w:rPr>
              <w:t> </w:t>
            </w:r>
          </w:p>
        </w:tc>
        <w:tc>
          <w:tcPr>
            <w:tcW w:w="1350" w:type="dxa"/>
            <w:tcBorders>
              <w:top w:val="nil"/>
              <w:left w:val="nil"/>
              <w:bottom w:val="single" w:sz="4" w:space="0" w:color="auto"/>
              <w:right w:val="single" w:sz="4" w:space="0" w:color="auto"/>
            </w:tcBorders>
            <w:noWrap/>
            <w:vAlign w:val="center"/>
            <w:hideMark/>
          </w:tcPr>
          <w:p w:rsidR="007A77AD" w:rsidRPr="00E51A78" w:rsidP="007A77AD" w14:paraId="05C71C39" w14:textId="460DC49D">
            <w:pPr>
              <w:jc w:val="center"/>
              <w:rPr>
                <w:b/>
                <w:bCs/>
                <w:color w:val="000000"/>
                <w:sz w:val="22"/>
                <w:szCs w:val="22"/>
              </w:rPr>
            </w:pPr>
            <w:r w:rsidRPr="00E51A78">
              <w:rPr>
                <w:b/>
                <w:bCs/>
                <w:color w:val="000000"/>
                <w:sz w:val="22"/>
                <w:szCs w:val="22"/>
              </w:rPr>
              <w:t>67</w:t>
            </w:r>
          </w:p>
        </w:tc>
        <w:tc>
          <w:tcPr>
            <w:tcW w:w="1800" w:type="dxa"/>
            <w:tcBorders>
              <w:top w:val="nil"/>
              <w:left w:val="nil"/>
              <w:bottom w:val="single" w:sz="4" w:space="0" w:color="auto"/>
              <w:right w:val="single" w:sz="4" w:space="0" w:color="auto"/>
            </w:tcBorders>
            <w:vAlign w:val="center"/>
            <w:hideMark/>
          </w:tcPr>
          <w:p w:rsidR="007A77AD" w:rsidRPr="00E51A78" w:rsidP="007A77AD" w14:paraId="42925BF2" w14:textId="3D1D6210">
            <w:pPr>
              <w:jc w:val="center"/>
              <w:rPr>
                <w:b/>
                <w:bCs/>
                <w:color w:val="000000"/>
                <w:sz w:val="22"/>
                <w:szCs w:val="22"/>
              </w:rPr>
            </w:pPr>
            <w:r w:rsidRPr="00E51A78">
              <w:rPr>
                <w:b/>
                <w:bCs/>
                <w:color w:val="000000"/>
                <w:sz w:val="22"/>
                <w:szCs w:val="22"/>
              </w:rPr>
              <w:t> </w:t>
            </w:r>
          </w:p>
        </w:tc>
        <w:tc>
          <w:tcPr>
            <w:tcW w:w="1026" w:type="dxa"/>
            <w:tcBorders>
              <w:top w:val="nil"/>
              <w:left w:val="nil"/>
              <w:bottom w:val="single" w:sz="4" w:space="0" w:color="auto"/>
              <w:right w:val="single" w:sz="4" w:space="0" w:color="auto"/>
            </w:tcBorders>
            <w:vAlign w:val="center"/>
            <w:hideMark/>
          </w:tcPr>
          <w:p w:rsidR="007A77AD" w:rsidRPr="00E51A78" w:rsidP="007A77AD" w14:paraId="03DE3752" w14:textId="4441213B">
            <w:pPr>
              <w:jc w:val="center"/>
              <w:rPr>
                <w:b/>
                <w:bCs/>
                <w:color w:val="000000"/>
                <w:sz w:val="22"/>
                <w:szCs w:val="22"/>
              </w:rPr>
            </w:pPr>
            <w:r w:rsidRPr="00E51A78">
              <w:rPr>
                <w:b/>
                <w:bCs/>
                <w:color w:val="000000"/>
                <w:sz w:val="22"/>
                <w:szCs w:val="22"/>
              </w:rPr>
              <w:t>$</w:t>
            </w:r>
            <w:r w:rsidRPr="00E51A78" w:rsidR="00FB44BF">
              <w:rPr>
                <w:b/>
                <w:bCs/>
                <w:color w:val="000000"/>
                <w:sz w:val="22"/>
                <w:szCs w:val="22"/>
              </w:rPr>
              <w:t>4,128</w:t>
            </w:r>
          </w:p>
        </w:tc>
      </w:tr>
    </w:tbl>
    <w:p w:rsidR="00CC65BA" w:rsidRPr="00E51A78" w:rsidP="00CC65BA" w14:paraId="4C177FFE" w14:textId="77777777"/>
    <w:p w:rsidR="00B128D9" w:rsidRPr="00E51A78" w:rsidP="00F861A5" w14:paraId="3473D65F" w14:textId="04A42273">
      <w:pPr>
        <w:widowControl w:val="0"/>
        <w:tabs>
          <w:tab w:val="left" w:pos="720"/>
          <w:tab w:val="left" w:pos="1440"/>
        </w:tabs>
        <w:spacing w:before="120"/>
        <w:ind w:left="765"/>
        <w:contextualSpacing/>
      </w:pPr>
    </w:p>
    <w:p w:rsidR="00B128D9" w:rsidRPr="00E51A78" w:rsidP="00F861A5" w14:paraId="5AF3C0F1" w14:textId="77777777">
      <w:pPr>
        <w:widowControl w:val="0"/>
        <w:tabs>
          <w:tab w:val="left" w:pos="720"/>
          <w:tab w:val="left" w:pos="1440"/>
        </w:tabs>
        <w:spacing w:before="120"/>
        <w:ind w:left="765"/>
        <w:contextualSpacing/>
      </w:pPr>
    </w:p>
    <w:p w:rsidR="00FE5661" w:rsidRPr="00E51A78" w:rsidP="000C4293" w14:paraId="543DD3DD" w14:textId="77777777">
      <w:pPr>
        <w:shd w:val="pct25" w:color="auto" w:fill="auto"/>
        <w:tabs>
          <w:tab w:val="left" w:pos="-720"/>
        </w:tabs>
        <w:suppressAutoHyphens/>
        <w:jc w:val="both"/>
      </w:pPr>
      <w:r w:rsidRPr="00E51A78">
        <w:rPr>
          <w:color w:val="2B579A"/>
          <w:shd w:val="clear" w:color="auto" w:fill="E6E6E6"/>
        </w:rPr>
        <w:fldChar w:fldCharType="begin"/>
      </w:r>
      <w:r w:rsidRPr="00E51A78">
        <w:instrText>ADVANCE \R 0.95</w:instrText>
      </w:r>
      <w:r w:rsidRPr="00E51A78">
        <w:rPr>
          <w:color w:val="2B579A"/>
          <w:shd w:val="clear" w:color="auto" w:fill="E6E6E6"/>
        </w:rPr>
        <w:fldChar w:fldCharType="end"/>
      </w:r>
      <w:r w:rsidRPr="00E51A78">
        <w:t xml:space="preserve">13.   Provide an estimate of </w:t>
      </w:r>
      <w:r w:rsidRPr="00E51A78">
        <w:t>the total annual cost burden to respondents or record</w:t>
      </w:r>
      <w:r w:rsidRPr="00E51A78" w:rsidR="00D93841">
        <w:t xml:space="preserve"> </w:t>
      </w:r>
      <w:r w:rsidRPr="00E51A78">
        <w:t>keepers resulting from the collection of information.  (Do not include the cost of any hour burden shown in Items 12 and 14.)</w:t>
      </w:r>
    </w:p>
    <w:p w:rsidR="00FE5661" w:rsidRPr="00E51A78" w:rsidP="00FE5661" w14:paraId="62F597DB" w14:textId="77777777">
      <w:pPr>
        <w:tabs>
          <w:tab w:val="left" w:pos="-720"/>
        </w:tabs>
        <w:suppressAutoHyphens/>
        <w:contextualSpacing/>
      </w:pPr>
    </w:p>
    <w:p w:rsidR="5FC2B422" w:rsidRPr="00E51A78" w:rsidP="6E0422A7" w14:paraId="77223487" w14:textId="3B9263F4">
      <w:pPr>
        <w:contextualSpacing/>
      </w:pPr>
      <w:r w:rsidRPr="00E51A78">
        <w:t>There are no recordkeeping, capital, start-up, or maintenance costs to resp</w:t>
      </w:r>
      <w:r w:rsidRPr="00E51A78">
        <w:t xml:space="preserve">ondents associated with this information collection.   </w:t>
      </w:r>
    </w:p>
    <w:p w:rsidR="00FE5661" w:rsidRPr="00E51A78" w:rsidP="00FE5661" w14:paraId="6F5AFD9A" w14:textId="77777777">
      <w:pPr>
        <w:tabs>
          <w:tab w:val="left" w:pos="-720"/>
        </w:tabs>
        <w:suppressAutoHyphens/>
        <w:contextualSpacing/>
      </w:pPr>
    </w:p>
    <w:p w:rsidR="00333D1E" w:rsidRPr="00E51A78" w:rsidP="000C4293" w14:paraId="10BFF390" w14:textId="77777777">
      <w:pPr>
        <w:shd w:val="clear" w:color="auto" w:fill="FFFFFF"/>
        <w:tabs>
          <w:tab w:val="left" w:pos="-720"/>
        </w:tabs>
        <w:suppressAutoHyphens/>
        <w:jc w:val="both"/>
      </w:pPr>
    </w:p>
    <w:p w:rsidR="00EB5E96" w:rsidRPr="00E51A78" w:rsidP="000C4293" w14:paraId="2EEF9409" w14:textId="77777777">
      <w:pPr>
        <w:shd w:val="pct25" w:color="auto" w:fill="auto"/>
        <w:tabs>
          <w:tab w:val="left" w:pos="-720"/>
        </w:tabs>
        <w:suppressAutoHyphens/>
        <w:jc w:val="both"/>
      </w:pPr>
      <w:r w:rsidRPr="00E51A78">
        <w:rPr>
          <w:color w:val="2B579A"/>
          <w:shd w:val="clear" w:color="auto" w:fill="E6E6E6"/>
        </w:rPr>
        <w:fldChar w:fldCharType="begin"/>
      </w:r>
      <w:r w:rsidRPr="00E51A78">
        <w:instrText>ADVANCE \R 0.95</w:instrText>
      </w:r>
      <w:r w:rsidRPr="00E51A78">
        <w:rPr>
          <w:color w:val="2B579A"/>
          <w:shd w:val="clear" w:color="auto" w:fill="E6E6E6"/>
        </w:rPr>
        <w:fldChar w:fldCharType="end"/>
      </w:r>
      <w:r w:rsidRPr="00E51A78">
        <w:t xml:space="preserve">     14.  Provide estimates of annualized cost to the Federal Government.  </w:t>
      </w:r>
      <w:r w:rsidRPr="00E51A78" w:rsidR="008924F0">
        <w:t xml:space="preserve">Also, provide a description of the method used to estimate cost, which should include quantification of hours, operational expenses (such as equipment, overhead, printing and support staff), and any other expense that would have been incurred without this collection of information.   </w:t>
      </w:r>
      <w:r w:rsidRPr="00E51A78">
        <w:t xml:space="preserve">You may also aggregate cost estimates for Items 12, 13, and 14 in a single table.  </w:t>
      </w:r>
    </w:p>
    <w:p w:rsidR="00EB5E96" w:rsidRPr="00E51A78" w:rsidP="000C4293" w14:paraId="380EE401" w14:textId="77777777">
      <w:pPr>
        <w:suppressAutoHyphens/>
        <w:jc w:val="both"/>
      </w:pPr>
      <w:r w:rsidRPr="00E51A78">
        <w:rPr>
          <w:color w:val="2B579A"/>
          <w:shd w:val="clear" w:color="auto" w:fill="E6E6E6"/>
        </w:rPr>
        <w:fldChar w:fldCharType="begin"/>
      </w:r>
      <w:r w:rsidRPr="00E51A78">
        <w:instrText>ADVANCE \R 0.95</w:instrText>
      </w:r>
      <w:r w:rsidRPr="00E51A78">
        <w:rPr>
          <w:color w:val="2B579A"/>
          <w:shd w:val="clear" w:color="auto" w:fill="E6E6E6"/>
        </w:rPr>
        <w:fldChar w:fldCharType="end"/>
      </w:r>
    </w:p>
    <w:p w:rsidR="00EB5E96" w:rsidRPr="00E51A78" w:rsidP="6E0422A7" w14:paraId="13E84B2A" w14:textId="1C080060">
      <w:pPr>
        <w:suppressAutoHyphens/>
        <w:jc w:val="both"/>
      </w:pPr>
      <w:r w:rsidRPr="00E51A78">
        <w:t>CISA estimates that the federal government will respond to 1</w:t>
      </w:r>
      <w:r w:rsidRPr="00E51A78" w:rsidR="006611A5">
        <w:t>0</w:t>
      </w:r>
      <w:r w:rsidRPr="00E51A78" w:rsidR="45C0E42B">
        <w:t>0</w:t>
      </w:r>
      <w:r w:rsidRPr="00E51A78">
        <w:t xml:space="preserve"> registrations</w:t>
      </w:r>
      <w:r w:rsidRPr="00E51A78" w:rsidR="005704CC">
        <w:t xml:space="preserve"> per year</w:t>
      </w:r>
      <w:r w:rsidRPr="00E51A78" w:rsidR="0BAAF3EE">
        <w:t>.</w:t>
      </w:r>
      <w:r w:rsidRPr="00E51A78">
        <w:t xml:space="preserve">  The government burden to respond to a</w:t>
      </w:r>
      <w:r w:rsidRPr="00E51A78">
        <w:t xml:space="preserve"> registration will be .5 hours, for a total of </w:t>
      </w:r>
      <w:r w:rsidRPr="00E51A78" w:rsidR="005704CC">
        <w:t xml:space="preserve">50 </w:t>
      </w:r>
      <w:r w:rsidRPr="00E51A78">
        <w:t>hours. To estimate the burden to the federal government, the annual burden hours, the estimated annual time burden is multiplied by the fully loaded hourly wage rate. Using the Office of Personnel Managemen</w:t>
      </w:r>
      <w:r w:rsidRPr="00E51A78">
        <w:t>t Salary Table for GS14 step 3 wage rate of $</w:t>
      </w:r>
      <w:r w:rsidRPr="00E51A78" w:rsidR="001C555E">
        <w:t>67.5</w:t>
      </w:r>
      <w:r>
        <w:rPr>
          <w:rStyle w:val="FootnoteReference"/>
        </w:rPr>
        <w:footnoteReference w:id="5"/>
      </w:r>
      <w:r w:rsidRPr="00E51A78">
        <w:t xml:space="preserve"> per hour multiplied by a load factor of 1.6919</w:t>
      </w:r>
      <w:r>
        <w:rPr>
          <w:rStyle w:val="FootnoteReference"/>
        </w:rPr>
        <w:footnoteReference w:id="6"/>
      </w:r>
      <w:r w:rsidRPr="00E51A78">
        <w:t>, we get a total compensation rate of $</w:t>
      </w:r>
      <w:r w:rsidRPr="00E51A78" w:rsidR="00184592">
        <w:t>114.46</w:t>
      </w:r>
      <w:r w:rsidRPr="00E51A78">
        <w:t xml:space="preserve">. Multiplying the compensation rate by the estimated total burden hours of </w:t>
      </w:r>
      <w:r w:rsidRPr="00E51A78" w:rsidR="00562C50">
        <w:t xml:space="preserve">50 </w:t>
      </w:r>
      <w:r w:rsidRPr="00E51A78">
        <w:t>provides an estimated annual gove</w:t>
      </w:r>
      <w:r w:rsidRPr="00E51A78">
        <w:t>rnment cost of $</w:t>
      </w:r>
      <w:r w:rsidRPr="00E51A78" w:rsidR="00562C50">
        <w:t>5,723</w:t>
      </w:r>
      <w:r w:rsidRPr="00E51A78">
        <w:t xml:space="preserve">, as shown in Table 2. </w:t>
      </w:r>
    </w:p>
    <w:p w:rsidR="00EB5E96" w:rsidRPr="00E51A78" w:rsidP="6E0422A7" w14:paraId="3C096C5E" w14:textId="6413F1D9">
      <w:pPr>
        <w:suppressAutoHyphens/>
        <w:jc w:val="both"/>
      </w:pPr>
    </w:p>
    <w:tbl>
      <w:tblPr>
        <w:tblW w:w="9360" w:type="dxa"/>
        <w:tblLayout w:type="fixed"/>
        <w:tblLook w:val="04A0"/>
      </w:tblPr>
      <w:tblGrid>
        <w:gridCol w:w="1725"/>
        <w:gridCol w:w="1165"/>
        <w:gridCol w:w="1725"/>
        <w:gridCol w:w="1553"/>
        <w:gridCol w:w="1725"/>
        <w:gridCol w:w="1467"/>
      </w:tblGrid>
      <w:tr w14:paraId="1182BEDC" w14:textId="77777777" w:rsidTr="00033020">
        <w:tblPrEx>
          <w:tblW w:w="9360" w:type="dxa"/>
          <w:tblLayout w:type="fixed"/>
          <w:tblLook w:val="04A0"/>
        </w:tblPrEx>
        <w:trPr>
          <w:trHeight w:val="1155"/>
        </w:trPr>
        <w:tc>
          <w:tcPr>
            <w:tcW w:w="17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6E0422A7" w:rsidRPr="00E51A78" w:rsidP="6E0422A7" w14:paraId="7A43B8DC" w14:textId="7C4ACBE1">
            <w:pPr>
              <w:jc w:val="center"/>
            </w:pPr>
            <w:r w:rsidRPr="00E51A78">
              <w:rPr>
                <w:b/>
                <w:bCs/>
                <w:color w:val="000000" w:themeColor="text1"/>
                <w:sz w:val="22"/>
                <w:szCs w:val="22"/>
              </w:rPr>
              <w:t>Instrument</w:t>
            </w:r>
          </w:p>
        </w:tc>
        <w:tc>
          <w:tcPr>
            <w:tcW w:w="116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rsidR="6E0422A7" w:rsidRPr="00E51A78" w:rsidP="6E0422A7" w14:paraId="682E6A92" w14:textId="03BDFAA2">
            <w:pPr>
              <w:jc w:val="center"/>
            </w:pPr>
            <w:r w:rsidRPr="00E51A78">
              <w:rPr>
                <w:b/>
                <w:bCs/>
                <w:color w:val="000000" w:themeColor="text1"/>
                <w:sz w:val="22"/>
                <w:szCs w:val="22"/>
              </w:rPr>
              <w:t>Number of Reports</w:t>
            </w:r>
          </w:p>
        </w:tc>
        <w:tc>
          <w:tcPr>
            <w:tcW w:w="17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6E0422A7" w:rsidRPr="00E51A78" w:rsidP="6E0422A7" w14:paraId="6F99DAD9" w14:textId="0BF22DAF">
            <w:pPr>
              <w:jc w:val="center"/>
            </w:pPr>
            <w:r w:rsidRPr="00E51A78">
              <w:rPr>
                <w:b/>
                <w:bCs/>
                <w:color w:val="000000" w:themeColor="text1"/>
                <w:sz w:val="22"/>
                <w:szCs w:val="22"/>
              </w:rPr>
              <w:t>Average Burden per Report (hours)</w:t>
            </w:r>
          </w:p>
        </w:tc>
        <w:tc>
          <w:tcPr>
            <w:tcW w:w="1553"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rsidR="6E0422A7" w:rsidRPr="00E51A78" w:rsidP="6E0422A7" w14:paraId="70D10F82" w14:textId="0F8EE6E1">
            <w:pPr>
              <w:jc w:val="center"/>
            </w:pPr>
            <w:r w:rsidRPr="00E51A78">
              <w:rPr>
                <w:b/>
                <w:bCs/>
                <w:color w:val="000000" w:themeColor="text1"/>
                <w:sz w:val="22"/>
                <w:szCs w:val="22"/>
              </w:rPr>
              <w:t>Total Time Burden (hours)</w:t>
            </w:r>
          </w:p>
        </w:tc>
        <w:tc>
          <w:tcPr>
            <w:tcW w:w="172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rsidR="6E0422A7" w:rsidRPr="00E51A78" w:rsidP="6E0422A7" w14:paraId="41F20AA1" w14:textId="0375C532">
            <w:pPr>
              <w:jc w:val="center"/>
            </w:pPr>
            <w:r w:rsidRPr="00E51A78">
              <w:rPr>
                <w:b/>
                <w:bCs/>
                <w:color w:val="000000" w:themeColor="text1"/>
                <w:sz w:val="22"/>
                <w:szCs w:val="22"/>
              </w:rPr>
              <w:t>Average Hourly Compensation Rate</w:t>
            </w:r>
          </w:p>
        </w:tc>
        <w:tc>
          <w:tcPr>
            <w:tcW w:w="1467"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rsidR="6E0422A7" w:rsidRPr="00E51A78" w:rsidP="6E0422A7" w14:paraId="7931844C" w14:textId="7F3C81C7">
            <w:pPr>
              <w:jc w:val="center"/>
            </w:pPr>
            <w:r w:rsidRPr="00E51A78">
              <w:rPr>
                <w:b/>
                <w:bCs/>
                <w:color w:val="000000" w:themeColor="text1"/>
                <w:sz w:val="22"/>
                <w:szCs w:val="22"/>
              </w:rPr>
              <w:t>Total Labor Cost</w:t>
            </w:r>
          </w:p>
        </w:tc>
      </w:tr>
      <w:tr w14:paraId="706A5C1B" w14:textId="77777777" w:rsidTr="00033020">
        <w:tblPrEx>
          <w:tblW w:w="9360" w:type="dxa"/>
          <w:tblLayout w:type="fixed"/>
          <w:tblLook w:val="04A0"/>
        </w:tblPrEx>
        <w:trPr>
          <w:trHeight w:val="330"/>
        </w:trPr>
        <w:tc>
          <w:tcPr>
            <w:tcW w:w="17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33020" w:rsidRPr="00E51A78" w:rsidP="00033020" w14:paraId="762A8961" w14:textId="1E81CD1F">
            <w:r w:rsidRPr="00E51A78">
              <w:rPr>
                <w:color w:val="000000" w:themeColor="text1"/>
              </w:rPr>
              <w:t>Registration and Assessments</w:t>
            </w:r>
          </w:p>
        </w:tc>
        <w:tc>
          <w:tcPr>
            <w:tcW w:w="116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rsidR="00033020" w:rsidRPr="00E51A78" w:rsidP="00033020" w14:paraId="74C7521E" w14:textId="17969AE2">
            <w:pPr>
              <w:jc w:val="center"/>
            </w:pPr>
            <w:r w:rsidRPr="00E51A78">
              <w:rPr>
                <w:color w:val="000000"/>
                <w:sz w:val="22"/>
                <w:szCs w:val="22"/>
              </w:rPr>
              <w:t>100</w:t>
            </w:r>
          </w:p>
        </w:tc>
        <w:tc>
          <w:tcPr>
            <w:tcW w:w="172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rsidR="00033020" w:rsidRPr="00E51A78" w:rsidP="00033020" w14:paraId="17886309" w14:textId="3814C9D9">
            <w:pPr>
              <w:jc w:val="center"/>
            </w:pPr>
            <w:r w:rsidRPr="00E51A78">
              <w:rPr>
                <w:color w:val="000000"/>
                <w:sz w:val="22"/>
                <w:szCs w:val="22"/>
              </w:rPr>
              <w:t>0.50</w:t>
            </w:r>
          </w:p>
        </w:tc>
        <w:tc>
          <w:tcPr>
            <w:tcW w:w="1553"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rsidR="00033020" w:rsidRPr="00E51A78" w:rsidP="00033020" w14:paraId="46E19870" w14:textId="57ABC8CF">
            <w:pPr>
              <w:jc w:val="center"/>
            </w:pPr>
            <w:r w:rsidRPr="00E51A78">
              <w:rPr>
                <w:color w:val="000000"/>
                <w:sz w:val="22"/>
                <w:szCs w:val="22"/>
              </w:rPr>
              <w:t>50</w:t>
            </w:r>
          </w:p>
        </w:tc>
        <w:tc>
          <w:tcPr>
            <w:tcW w:w="172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rsidR="00033020" w:rsidRPr="00E51A78" w:rsidP="00033020" w14:paraId="186F80A6" w14:textId="477DF3A0">
            <w:pPr>
              <w:jc w:val="center"/>
            </w:pPr>
            <w:r w:rsidRPr="00E51A78">
              <w:rPr>
                <w:color w:val="000000"/>
                <w:sz w:val="22"/>
                <w:szCs w:val="22"/>
              </w:rPr>
              <w:t>$114.46</w:t>
            </w:r>
          </w:p>
        </w:tc>
        <w:tc>
          <w:tcPr>
            <w:tcW w:w="1467"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rsidR="00033020" w:rsidRPr="00E51A78" w:rsidP="00033020" w14:paraId="596F6C65" w14:textId="0D1C93F7">
            <w:pPr>
              <w:jc w:val="center"/>
            </w:pPr>
            <w:r w:rsidRPr="00E51A78">
              <w:rPr>
                <w:color w:val="000000"/>
                <w:sz w:val="22"/>
                <w:szCs w:val="22"/>
              </w:rPr>
              <w:t>$</w:t>
            </w:r>
            <w:r w:rsidRPr="00E51A78" w:rsidR="00562C50">
              <w:rPr>
                <w:color w:val="000000"/>
                <w:sz w:val="22"/>
                <w:szCs w:val="22"/>
              </w:rPr>
              <w:t>5,723</w:t>
            </w:r>
          </w:p>
        </w:tc>
      </w:tr>
    </w:tbl>
    <w:p w:rsidR="00EB5E96" w:rsidRPr="00E51A78" w:rsidP="6E0422A7" w14:paraId="6620DAF5" w14:textId="2FAD82D3">
      <w:pPr>
        <w:suppressAutoHyphens/>
        <w:jc w:val="both"/>
      </w:pPr>
    </w:p>
    <w:p w:rsidR="00EB5E96" w:rsidRPr="00E51A78" w:rsidP="6E0422A7" w14:paraId="6141C989" w14:textId="01B34329">
      <w:pPr>
        <w:suppressAutoHyphens/>
        <w:jc w:val="both"/>
      </w:pPr>
      <w:r w:rsidRPr="00E51A78">
        <w:br/>
      </w:r>
      <w:r w:rsidRPr="00E51A78">
        <w:br/>
      </w:r>
      <w:r w:rsidRPr="00E51A78">
        <w:rPr>
          <w:color w:val="2B579A"/>
          <w:shd w:val="clear" w:color="auto" w:fill="E6E6E6"/>
        </w:rPr>
        <w:fldChar w:fldCharType="begin"/>
      </w:r>
      <w:r w:rsidRPr="00E51A78">
        <w:instrText>ADVANCE \R 0.95</w:instrText>
      </w:r>
      <w:r w:rsidRPr="00E51A78">
        <w:rPr>
          <w:color w:val="2B579A"/>
          <w:shd w:val="clear" w:color="auto" w:fill="E6E6E6"/>
        </w:rPr>
        <w:fldChar w:fldCharType="end"/>
      </w:r>
      <w:r w:rsidRPr="00E51A78">
        <w:t xml:space="preserve">15.  Explain the reasons for any program changes or adjustments reported in Items 13 or 14 of the OMB Form 83-I.  Changes in hour burden, i.e., program changes or adjustments made to annual reporting and recordkeeping </w:t>
      </w:r>
      <w:r w:rsidRPr="00E51A78">
        <w:rPr>
          <w:b/>
          <w:bCs/>
        </w:rPr>
        <w:t>hour</w:t>
      </w:r>
      <w:r w:rsidRPr="00E51A78">
        <w:t xml:space="preserve"> and </w:t>
      </w:r>
      <w:r w:rsidRPr="00E51A78">
        <w:rPr>
          <w:b/>
          <w:bCs/>
        </w:rPr>
        <w:t>cost</w:t>
      </w:r>
      <w:r w:rsidRPr="00E51A78">
        <w:t xml:space="preserve"> burden.</w:t>
      </w:r>
      <w:r w:rsidRPr="00E51A78">
        <w:t xml:space="preserve">  A program change is the result of deliberate Federal government action.  All new collections and any subsequent revisions of existing collections (e.g., the addition or deletion of questions) are recorded as program changes.  An adjustment is a change th</w:t>
      </w:r>
      <w:r w:rsidRPr="00E51A78">
        <w:t xml:space="preserve">at is not the result of a deliberate Federal government action.  These changes that result from new estimates or actions not controllable by the Federal government are recorded as adjustments. </w:t>
      </w:r>
    </w:p>
    <w:p w:rsidR="00EB5E96" w:rsidRPr="00E51A78" w:rsidP="000C4293" w14:paraId="33DD84A8" w14:textId="77777777">
      <w:pPr>
        <w:tabs>
          <w:tab w:val="left" w:pos="-720"/>
        </w:tabs>
        <w:suppressAutoHyphens/>
        <w:jc w:val="both"/>
      </w:pPr>
      <w:r w:rsidRPr="00E51A78">
        <w:rPr>
          <w:color w:val="2B579A"/>
          <w:shd w:val="clear" w:color="auto" w:fill="E6E6E6"/>
        </w:rPr>
        <w:fldChar w:fldCharType="begin"/>
      </w:r>
      <w:r w:rsidRPr="00E51A78">
        <w:instrText>ADVANCE \R 0.95</w:instrText>
      </w:r>
      <w:r w:rsidRPr="00E51A78">
        <w:rPr>
          <w:color w:val="2B579A"/>
          <w:shd w:val="clear" w:color="auto" w:fill="E6E6E6"/>
        </w:rPr>
        <w:fldChar w:fldCharType="end"/>
      </w:r>
    </w:p>
    <w:p w:rsidR="3FC8D4A0" w:rsidRPr="00E51A78" w:rsidP="00835042" w14:paraId="5B5CDF59" w14:textId="4C065E65">
      <w:pPr>
        <w:jc w:val="both"/>
      </w:pPr>
      <w:r w:rsidRPr="00E51A78">
        <w:t>The changes to the collection since the prev</w:t>
      </w:r>
      <w:r w:rsidRPr="00E51A78">
        <w:t xml:space="preserve">ious OMB approval include: </w:t>
      </w:r>
    </w:p>
    <w:p w:rsidR="3FC8D4A0" w:rsidRPr="00E51A78" w:rsidP="6E0422A7" w14:paraId="701B4E69" w14:textId="4A9720CB">
      <w:pPr>
        <w:jc w:val="both"/>
      </w:pPr>
      <w:r w:rsidRPr="00E51A78">
        <w:t xml:space="preserve">The total annual burden cost for the collection has </w:t>
      </w:r>
      <w:r w:rsidRPr="00E51A78" w:rsidR="007E1595">
        <w:t>decreased</w:t>
      </w:r>
      <w:r w:rsidRPr="00E51A78" w:rsidR="00835042">
        <w:t xml:space="preserve"> </w:t>
      </w:r>
      <w:r w:rsidRPr="00E51A78">
        <w:t>by $</w:t>
      </w:r>
      <w:r w:rsidRPr="00E51A78" w:rsidR="007E1595">
        <w:t>1,193</w:t>
      </w:r>
      <w:r w:rsidRPr="00E51A78">
        <w:t>, from $</w:t>
      </w:r>
      <w:r w:rsidRPr="00E51A78" w:rsidR="00942C0B">
        <w:t>5,321</w:t>
      </w:r>
      <w:r w:rsidRPr="00E51A78">
        <w:t xml:space="preserve"> to $</w:t>
      </w:r>
      <w:r w:rsidRPr="00E51A78" w:rsidR="007E1595">
        <w:t>4,128</w:t>
      </w:r>
      <w:r w:rsidRPr="00E51A78">
        <w:t xml:space="preserve"> due to </w:t>
      </w:r>
      <w:r w:rsidRPr="00E51A78" w:rsidR="007E1595">
        <w:t xml:space="preserve">the removal of the </w:t>
      </w:r>
      <w:r w:rsidRPr="00E51A78" w:rsidR="00A94C41">
        <w:t>utilization survey</w:t>
      </w:r>
      <w:r w:rsidR="00BF3D8B">
        <w:t>.</w:t>
      </w:r>
    </w:p>
    <w:p w:rsidR="3FC8D4A0" w:rsidRPr="00E51A78" w:rsidP="6E0422A7" w14:paraId="363182A3" w14:textId="2F4B53C1">
      <w:pPr>
        <w:jc w:val="both"/>
      </w:pPr>
      <w:r w:rsidRPr="00E51A78">
        <w:t xml:space="preserve"> </w:t>
      </w:r>
    </w:p>
    <w:p w:rsidR="3FC8D4A0" w:rsidRPr="00E51A78" w:rsidP="6E0422A7" w14:paraId="0EBEC056" w14:textId="7BF5AA93">
      <w:pPr>
        <w:jc w:val="both"/>
      </w:pPr>
      <w:r w:rsidRPr="00E51A78">
        <w:t xml:space="preserve">The total number of responses has </w:t>
      </w:r>
      <w:r w:rsidR="279BC287">
        <w:t>d</w:t>
      </w:r>
      <w:r w:rsidRPr="00E51A78" w:rsidR="00A94C41">
        <w:t>ecreased from 350 to 200 due to the removal of the utilization survey.</w:t>
      </w:r>
    </w:p>
    <w:p w:rsidR="3FC8D4A0" w:rsidRPr="00E51A78" w:rsidP="6E0422A7" w14:paraId="5DA0A2D3" w14:textId="3CCD31EA">
      <w:pPr>
        <w:jc w:val="both"/>
      </w:pPr>
      <w:r w:rsidRPr="00E51A78">
        <w:t xml:space="preserve"> </w:t>
      </w:r>
    </w:p>
    <w:p w:rsidR="3FC8D4A0" w:rsidRPr="00E51A78" w:rsidP="6E0422A7" w14:paraId="0A4569E9" w14:textId="6F4558FF">
      <w:pPr>
        <w:jc w:val="both"/>
      </w:pPr>
      <w:r w:rsidRPr="00E51A78">
        <w:t xml:space="preserve">The annual government cost for the collection has </w:t>
      </w:r>
      <w:r w:rsidRPr="00E51A78" w:rsidR="00BF3D8B">
        <w:t>decreased by</w:t>
      </w:r>
      <w:r w:rsidRPr="00E51A78">
        <w:t xml:space="preserve"> $</w:t>
      </w:r>
      <w:r w:rsidRPr="00E51A78" w:rsidR="00095597">
        <w:t>6,945</w:t>
      </w:r>
      <w:r w:rsidRPr="00E51A78">
        <w:t xml:space="preserve"> from $12,668</w:t>
      </w:r>
      <w:r w:rsidRPr="00E51A78" w:rsidR="00A26D6A">
        <w:t xml:space="preserve"> to $</w:t>
      </w:r>
      <w:r w:rsidRPr="00E51A78" w:rsidR="00095597">
        <w:t>5,723</w:t>
      </w:r>
      <w:r w:rsidRPr="00E51A78">
        <w:t xml:space="preserve">, due </w:t>
      </w:r>
      <w:r w:rsidRPr="00E51A78" w:rsidR="00095597">
        <w:t>to the removal of the utilization survey</w:t>
      </w:r>
      <w:r w:rsidRPr="00E51A78">
        <w:t>.</w:t>
      </w:r>
    </w:p>
    <w:p w:rsidR="00A57406" w:rsidRPr="00E51A78" w:rsidP="000C4293" w14:paraId="25A40919" w14:textId="20FDD695">
      <w:pPr>
        <w:tabs>
          <w:tab w:val="left" w:pos="-720"/>
        </w:tabs>
        <w:suppressAutoHyphens/>
        <w:jc w:val="both"/>
        <w:rPr>
          <w:spacing w:val="-3"/>
        </w:rPr>
      </w:pPr>
    </w:p>
    <w:p w:rsidR="00A57406" w:rsidRPr="00E51A78" w:rsidP="000C4293" w14:paraId="451DC515" w14:textId="77777777">
      <w:pPr>
        <w:tabs>
          <w:tab w:val="left" w:pos="-720"/>
        </w:tabs>
        <w:suppressAutoHyphens/>
        <w:jc w:val="both"/>
      </w:pPr>
    </w:p>
    <w:p w:rsidR="00EB5E96" w:rsidRPr="00E51A78" w:rsidP="000C4293" w14:paraId="4B519A5E" w14:textId="77777777">
      <w:pPr>
        <w:shd w:val="pct25" w:color="auto" w:fill="auto"/>
        <w:tabs>
          <w:tab w:val="left" w:pos="-720"/>
        </w:tabs>
        <w:suppressAutoHyphens/>
        <w:jc w:val="both"/>
      </w:pPr>
      <w:r w:rsidRPr="00E51A78">
        <w:rPr>
          <w:color w:val="2B579A"/>
          <w:shd w:val="clear" w:color="auto" w:fill="E6E6E6"/>
        </w:rPr>
        <w:fldChar w:fldCharType="begin"/>
      </w:r>
      <w:r w:rsidRPr="00E51A78">
        <w:instrText>ADVANCE \R 0.95</w:instrText>
      </w:r>
      <w:r w:rsidRPr="00E51A78">
        <w:rPr>
          <w:color w:val="2B579A"/>
          <w:shd w:val="clear" w:color="auto" w:fill="E6E6E6"/>
        </w:rPr>
        <w:fldChar w:fldCharType="end"/>
      </w:r>
      <w:r w:rsidRPr="00E51A78">
        <w:t>16.  For collections of information whose results will be published, outline plans for tabulation and publication.  Address any complex analytical techniques that will be used.  Provide the time schedule for the entire project, including beginning and endi</w:t>
      </w:r>
      <w:r w:rsidRPr="00E51A78">
        <w:t xml:space="preserve">ng dates of the collection of information, completion of report, publication dates, and other actions. </w:t>
      </w:r>
    </w:p>
    <w:p w:rsidR="00EB5E96" w:rsidRPr="00E51A78" w:rsidP="000C4293" w14:paraId="149BE177" w14:textId="77777777">
      <w:pPr>
        <w:suppressAutoHyphens/>
        <w:jc w:val="both"/>
      </w:pPr>
      <w:r w:rsidRPr="00E51A78">
        <w:rPr>
          <w:color w:val="2B579A"/>
          <w:shd w:val="clear" w:color="auto" w:fill="E6E6E6"/>
        </w:rPr>
        <w:fldChar w:fldCharType="begin"/>
      </w:r>
      <w:r w:rsidRPr="00E51A78">
        <w:instrText>ADVANCE \R 0.95</w:instrText>
      </w:r>
      <w:r w:rsidRPr="00E51A78">
        <w:rPr>
          <w:color w:val="2B579A"/>
          <w:shd w:val="clear" w:color="auto" w:fill="E6E6E6"/>
        </w:rPr>
        <w:fldChar w:fldCharType="end"/>
      </w:r>
    </w:p>
    <w:p w:rsidR="1D7442FF" w:rsidRPr="00E51A78" w:rsidP="6E0422A7" w14:paraId="16EA239C" w14:textId="0E338796">
      <w:pPr>
        <w:jc w:val="both"/>
      </w:pPr>
      <w:r w:rsidRPr="00E51A78">
        <w:t xml:space="preserve">The results of the survey will not be published or used outside of the Program.  The information gathered is for internal use only.  </w:t>
      </w:r>
    </w:p>
    <w:p w:rsidR="00A57406" w:rsidRPr="00E51A78" w:rsidP="000C4293" w14:paraId="7DCDFE34" w14:textId="629E1BA8">
      <w:pPr>
        <w:suppressAutoHyphens/>
        <w:jc w:val="both"/>
        <w:rPr>
          <w:spacing w:val="-3"/>
        </w:rPr>
      </w:pPr>
    </w:p>
    <w:p w:rsidR="00A57406" w:rsidRPr="00E51A78" w:rsidP="000C4293" w14:paraId="6697E527" w14:textId="77777777">
      <w:pPr>
        <w:suppressAutoHyphens/>
        <w:jc w:val="both"/>
      </w:pPr>
    </w:p>
    <w:p w:rsidR="00EB5E96" w:rsidRPr="00E51A78" w:rsidP="000C4293" w14:paraId="733EB5AA" w14:textId="77777777">
      <w:pPr>
        <w:shd w:val="pct25" w:color="auto" w:fill="auto"/>
        <w:tabs>
          <w:tab w:val="left" w:pos="-720"/>
        </w:tabs>
        <w:suppressAutoHyphens/>
        <w:jc w:val="both"/>
      </w:pPr>
      <w:r w:rsidRPr="00E51A78">
        <w:rPr>
          <w:color w:val="2B579A"/>
          <w:shd w:val="clear" w:color="auto" w:fill="E6E6E6"/>
        </w:rPr>
        <w:fldChar w:fldCharType="begin"/>
      </w:r>
      <w:r w:rsidRPr="00E51A78">
        <w:instrText>ADVANCE \R 0.95</w:instrText>
      </w:r>
      <w:r w:rsidRPr="00E51A78">
        <w:rPr>
          <w:color w:val="2B579A"/>
          <w:shd w:val="clear" w:color="auto" w:fill="E6E6E6"/>
        </w:rPr>
        <w:fldChar w:fldCharType="end"/>
      </w:r>
      <w:r w:rsidRPr="00E51A78">
        <w:t>17.  If seeking approval to not display the expiration date for OMB approval of the information collection, explain reasons that display would be inappropriate.</w:t>
      </w:r>
    </w:p>
    <w:p w:rsidR="00EB5E96" w:rsidRPr="00E51A78" w:rsidP="000C4293" w14:paraId="47CC23E2" w14:textId="77777777">
      <w:pPr>
        <w:tabs>
          <w:tab w:val="left" w:pos="-720"/>
        </w:tabs>
        <w:suppressAutoHyphens/>
        <w:jc w:val="both"/>
      </w:pPr>
      <w:r w:rsidRPr="00E51A78">
        <w:rPr>
          <w:color w:val="2B579A"/>
          <w:shd w:val="clear" w:color="auto" w:fill="E6E6E6"/>
        </w:rPr>
        <w:fldChar w:fldCharType="begin"/>
      </w:r>
      <w:r w:rsidRPr="00E51A78">
        <w:instrText>ADVANCE \R 0.95</w:instrText>
      </w:r>
      <w:r w:rsidRPr="00E51A78">
        <w:rPr>
          <w:color w:val="2B579A"/>
          <w:shd w:val="clear" w:color="auto" w:fill="E6E6E6"/>
        </w:rPr>
        <w:fldChar w:fldCharType="end"/>
      </w:r>
    </w:p>
    <w:p w:rsidR="7CC6B597" w:rsidRPr="00E51A78" w:rsidP="6E0422A7" w14:paraId="6CF6A02C" w14:textId="0F5FF4E6">
      <w:pPr>
        <w:jc w:val="both"/>
      </w:pPr>
      <w:r>
        <w:t>CISA</w:t>
      </w:r>
      <w:r w:rsidRPr="00E51A78">
        <w:t xml:space="preserve"> will display the expiration date for the OMB approval</w:t>
      </w:r>
      <w:r w:rsidRPr="00E51A78">
        <w:t>.</w:t>
      </w:r>
    </w:p>
    <w:p w:rsidR="00A57406" w:rsidRPr="00E51A78" w:rsidP="000C4293" w14:paraId="1D032D88" w14:textId="77777777">
      <w:pPr>
        <w:tabs>
          <w:tab w:val="left" w:pos="-720"/>
        </w:tabs>
        <w:suppressAutoHyphens/>
        <w:jc w:val="both"/>
      </w:pPr>
    </w:p>
    <w:p w:rsidR="0077056F" w:rsidRPr="00E51A78" w:rsidP="000C4293" w14:paraId="62727DFE" w14:textId="77777777">
      <w:pPr>
        <w:shd w:val="pct25" w:color="auto" w:fill="auto"/>
        <w:tabs>
          <w:tab w:val="left" w:pos="-720"/>
        </w:tabs>
        <w:suppressAutoHyphens/>
        <w:jc w:val="both"/>
      </w:pPr>
      <w:r w:rsidRPr="00E51A78">
        <w:rPr>
          <w:color w:val="2B579A"/>
          <w:shd w:val="clear" w:color="auto" w:fill="E6E6E6"/>
        </w:rPr>
        <w:fldChar w:fldCharType="begin"/>
      </w:r>
      <w:r w:rsidRPr="00E51A78">
        <w:instrText>ADVANCE \R 0.95</w:instrText>
      </w:r>
      <w:r w:rsidRPr="00E51A78">
        <w:rPr>
          <w:color w:val="2B579A"/>
          <w:shd w:val="clear" w:color="auto" w:fill="E6E6E6"/>
        </w:rPr>
        <w:fldChar w:fldCharType="end"/>
      </w:r>
      <w:r w:rsidRPr="00E51A78">
        <w:t>18.  Explain each exception to the certification statement identified in Item 19 “Certification for Paperwork Reduction Act Submissions,” of OMB Form 83-I.</w:t>
      </w:r>
    </w:p>
    <w:p w:rsidR="0077056F" w:rsidRPr="00E51A78" w:rsidP="0077056F" w14:paraId="5D585DD3" w14:textId="77777777">
      <w:pPr>
        <w:tabs>
          <w:tab w:val="left" w:pos="-720"/>
        </w:tabs>
        <w:suppressAutoHyphens/>
        <w:jc w:val="both"/>
      </w:pPr>
    </w:p>
    <w:p w:rsidR="0077056F" w:rsidRPr="00E51A78" w:rsidP="6E0422A7" w14:paraId="64067AC8" w14:textId="6F42E55B">
      <w:pPr>
        <w:suppressAutoHyphens/>
        <w:jc w:val="both"/>
      </w:pPr>
      <w:r>
        <w:t>CISA</w:t>
      </w:r>
      <w:r w:rsidRPr="00E51A78" w:rsidR="716F2143">
        <w:t xml:space="preserve"> is not requesting an exception.</w:t>
      </w:r>
    </w:p>
    <w:p w:rsidR="0077056F" w:rsidRPr="00596A43" w:rsidP="6E0422A7" w14:paraId="02825E03" w14:textId="1DF68F27">
      <w:pPr>
        <w:suppressAutoHyphens/>
        <w:jc w:val="both"/>
      </w:pPr>
    </w:p>
    <w:sectPr w:rsidSect="00460234">
      <w:footerReference w:type="even" r:id="rId10"/>
      <w:footerReference w:type="default" r:id="rId11"/>
      <w:pgSz w:w="12240" w:h="15840" w:code="1"/>
      <w:pgMar w:top="1440" w:right="1440" w:bottom="1440" w:left="1440" w:header="720" w:footer="720" w:gutter="0"/>
      <w:pgNumType w:start="1"/>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99D" w:rsidP="00DB0532" w14:paraId="17BEEDFC"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A199D" w:rsidP="00DC6E79" w14:paraId="12BCA0BC"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99D" w:rsidP="00DB0532" w14:paraId="64064D33"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72C2C">
      <w:rPr>
        <w:rStyle w:val="PageNumber"/>
        <w:noProof/>
      </w:rPr>
      <w:t>2</w:t>
    </w:r>
    <w:r>
      <w:rPr>
        <w:rStyle w:val="PageNumber"/>
      </w:rPr>
      <w:fldChar w:fldCharType="end"/>
    </w:r>
  </w:p>
  <w:p w:rsidR="001A199D" w:rsidP="00DC6E79" w14:paraId="60CC98EF" w14:textId="77777777">
    <w:pPr>
      <w:pStyle w:val="Footer"/>
      <w:tabs>
        <w:tab w:val="clear" w:pos="8640"/>
        <w:tab w:val="right" w:pos="9360"/>
      </w:tabs>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440A4" w14:paraId="1BAFB953" w14:textId="77777777">
      <w:r>
        <w:separator/>
      </w:r>
    </w:p>
  </w:footnote>
  <w:footnote w:type="continuationSeparator" w:id="1">
    <w:p w:rsidR="007440A4" w14:paraId="2E7EA4BB" w14:textId="77777777">
      <w:r>
        <w:continuationSeparator/>
      </w:r>
    </w:p>
  </w:footnote>
  <w:footnote w:type="continuationNotice" w:id="2">
    <w:p w:rsidR="007440A4" w14:paraId="639DE742" w14:textId="77777777"/>
  </w:footnote>
  <w:footnote w:id="3">
    <w:p w:rsidR="00CC65BA" w:rsidP="00CC65BA" w14:paraId="3C96101C" w14:textId="639A9096">
      <w:pPr>
        <w:rPr>
          <w:sz w:val="20"/>
          <w:szCs w:val="20"/>
        </w:rPr>
      </w:pPr>
      <w:r>
        <w:rPr>
          <w:rStyle w:val="FootnoteReference"/>
        </w:rPr>
        <w:footnoteRef/>
      </w:r>
      <w:r>
        <w:t xml:space="preserve"> </w:t>
      </w:r>
      <w:r>
        <w:rPr>
          <w:sz w:val="20"/>
          <w:szCs w:val="20"/>
        </w:rPr>
        <w:t>Bureau of Labor Statistics OES data.  Average wage for Emergency Management Directors Code 11-9161.  https://www.bls.gov/oes/20</w:t>
      </w:r>
      <w:r w:rsidR="007A77AD">
        <w:rPr>
          <w:sz w:val="20"/>
          <w:szCs w:val="20"/>
        </w:rPr>
        <w:t>22</w:t>
      </w:r>
      <w:r>
        <w:rPr>
          <w:sz w:val="20"/>
          <w:szCs w:val="20"/>
        </w:rPr>
        <w:t>/may/oes119161.htm</w:t>
      </w:r>
    </w:p>
    <w:p w:rsidR="00CC65BA" w:rsidP="00CC65BA" w14:paraId="63F4DE08" w14:textId="77777777">
      <w:pPr>
        <w:pStyle w:val="FootnoteText"/>
      </w:pPr>
    </w:p>
  </w:footnote>
  <w:footnote w:id="4">
    <w:p w:rsidR="00CC65BA" w:rsidP="00CC65BA" w14:paraId="43F6CD45" w14:textId="6110A8A3">
      <w:pPr>
        <w:pStyle w:val="FootnoteText"/>
      </w:pPr>
      <w:r>
        <w:rPr>
          <w:rStyle w:val="FootnoteReference"/>
        </w:rPr>
        <w:footnoteRef/>
      </w:r>
      <w:r>
        <w:t xml:space="preserve"> </w:t>
      </w:r>
      <w:r w:rsidRPr="00161F5F">
        <w:rPr>
          <w:rFonts w:ascii="Times New Roman" w:eastAsia="Times New Roman" w:hAnsi="Times New Roman"/>
          <w:lang w:val="en-US" w:eastAsia="en-US"/>
        </w:rPr>
        <w:t>BLS.  Employer Costs for Employee Compensation – December 20</w:t>
      </w:r>
      <w:r w:rsidRPr="00161F5F" w:rsidR="007A77AD">
        <w:rPr>
          <w:rFonts w:ascii="Times New Roman" w:eastAsia="Times New Roman" w:hAnsi="Times New Roman"/>
          <w:lang w:val="en-US" w:eastAsia="en-US"/>
        </w:rPr>
        <w:t>23</w:t>
      </w:r>
      <w:r w:rsidRPr="00161F5F">
        <w:rPr>
          <w:rFonts w:ascii="Times New Roman" w:eastAsia="Times New Roman" w:hAnsi="Times New Roman"/>
          <w:lang w:val="en-US" w:eastAsia="en-US"/>
        </w:rPr>
        <w:t>. Table 1. Employer Costs per Ho</w:t>
      </w:r>
      <w:r w:rsidRPr="00161F5F">
        <w:rPr>
          <w:rFonts w:ascii="Times New Roman" w:eastAsia="Times New Roman" w:hAnsi="Times New Roman"/>
          <w:lang w:val="en-US" w:eastAsia="en-US"/>
        </w:rPr>
        <w:t xml:space="preserve">ur Worked for Employee Compensation and Costs as a Percent of Total Compensation: Civilian Workers, by Major Occupational and Industry Group, December 2018. </w:t>
      </w:r>
      <w:hyperlink r:id="rId1" w:history="1">
        <w:r w:rsidRPr="00161F5F" w:rsidR="00161F5F">
          <w:rPr>
            <w:rFonts w:ascii="Times New Roman" w:eastAsia="Times New Roman" w:hAnsi="Times New Roman"/>
            <w:lang w:val="en-US" w:eastAsia="en-US"/>
          </w:rPr>
          <w:t>https://www.bls.gov/news.release/archives/ecec_03</w:t>
        </w:r>
        <w:r w:rsidRPr="00161F5F" w:rsidR="00161F5F">
          <w:rPr>
            <w:rFonts w:ascii="Times New Roman" w:eastAsia="Times New Roman" w:hAnsi="Times New Roman"/>
            <w:lang w:eastAsia="en-US"/>
          </w:rPr>
          <w:t>172023</w:t>
        </w:r>
        <w:r w:rsidRPr="00161F5F" w:rsidR="00161F5F">
          <w:rPr>
            <w:rFonts w:ascii="Times New Roman" w:eastAsia="Times New Roman" w:hAnsi="Times New Roman"/>
            <w:lang w:val="en-US" w:eastAsia="en-US"/>
          </w:rPr>
          <w:t>.pdf</w:t>
        </w:r>
      </w:hyperlink>
      <w:r w:rsidRPr="00161F5F">
        <w:rPr>
          <w:rFonts w:ascii="Times New Roman" w:eastAsia="Times New Roman" w:hAnsi="Times New Roman"/>
          <w:lang w:val="en-US" w:eastAsia="en-US"/>
        </w:rPr>
        <w:t>. The compensation factor of 1.4</w:t>
      </w:r>
      <w:r w:rsidRPr="00161F5F" w:rsidR="00161F5F">
        <w:rPr>
          <w:rFonts w:ascii="Times New Roman" w:eastAsia="Times New Roman" w:hAnsi="Times New Roman"/>
          <w:lang w:val="en-US" w:eastAsia="en-US"/>
        </w:rPr>
        <w:t>488</w:t>
      </w:r>
      <w:r w:rsidRPr="00161F5F">
        <w:rPr>
          <w:rFonts w:ascii="Times New Roman" w:eastAsia="Times New Roman" w:hAnsi="Times New Roman"/>
          <w:lang w:val="en-US" w:eastAsia="en-US"/>
        </w:rPr>
        <w:t xml:space="preserve"> is estimated by dividing total compensation ($</w:t>
      </w:r>
      <w:r w:rsidRPr="00161F5F" w:rsidR="00161F5F">
        <w:rPr>
          <w:rFonts w:ascii="Times New Roman" w:eastAsia="Times New Roman" w:hAnsi="Times New Roman"/>
          <w:lang w:val="en-US" w:eastAsia="en-US"/>
        </w:rPr>
        <w:t>42.48</w:t>
      </w:r>
      <w:r w:rsidRPr="00161F5F">
        <w:rPr>
          <w:rFonts w:ascii="Times New Roman" w:eastAsia="Times New Roman" w:hAnsi="Times New Roman"/>
          <w:lang w:val="en-US" w:eastAsia="en-US"/>
        </w:rPr>
        <w:t>) by wages and salaries ($</w:t>
      </w:r>
      <w:r w:rsidRPr="00161F5F" w:rsidR="00161F5F">
        <w:rPr>
          <w:rFonts w:ascii="Times New Roman" w:eastAsia="Times New Roman" w:hAnsi="Times New Roman"/>
          <w:lang w:val="en-US" w:eastAsia="en-US"/>
        </w:rPr>
        <w:t>29.32</w:t>
      </w:r>
      <w:r w:rsidRPr="00161F5F">
        <w:rPr>
          <w:rFonts w:ascii="Times New Roman" w:eastAsia="Times New Roman" w:hAnsi="Times New Roman"/>
          <w:lang w:val="en-US" w:eastAsia="en-US"/>
        </w:rPr>
        <w:t>).</w:t>
      </w:r>
    </w:p>
  </w:footnote>
  <w:footnote w:id="5">
    <w:p w:rsidR="001941D6" w:rsidRPr="0075710F" w:rsidP="001941D6" w14:paraId="7F8F8389" w14:textId="43B77D52">
      <w:pPr>
        <w:pStyle w:val="FootnoteText"/>
        <w:rPr>
          <w:rFonts w:ascii="Times New Roman" w:eastAsia="Times New Roman" w:hAnsi="Times New Roman"/>
          <w:lang w:val="en-US" w:eastAsia="en-US"/>
        </w:rPr>
      </w:pPr>
      <w:r w:rsidRPr="0075710F">
        <w:rPr>
          <w:rFonts w:ascii="Times New Roman" w:eastAsia="Times New Roman" w:hAnsi="Times New Roman"/>
          <w:vertAlign w:val="superscript"/>
          <w:lang w:val="en-US" w:eastAsia="en-US"/>
        </w:rPr>
        <w:footnoteRef/>
      </w:r>
      <w:r w:rsidRPr="0075710F">
        <w:rPr>
          <w:rFonts w:ascii="Times New Roman" w:eastAsia="Times New Roman" w:hAnsi="Times New Roman"/>
          <w:vertAlign w:val="superscript"/>
          <w:lang w:val="en-US" w:eastAsia="en-US"/>
        </w:rPr>
        <w:t xml:space="preserve"> </w:t>
      </w:r>
      <w:r w:rsidRPr="0075710F">
        <w:rPr>
          <w:rFonts w:ascii="Times New Roman" w:eastAsia="Times New Roman" w:hAnsi="Times New Roman"/>
          <w:lang w:val="en-US" w:eastAsia="en-US"/>
        </w:rPr>
        <w:t>Office of Personnel Management. Salary Table 2023-DCB. Average hourly wage rate for GS-14, Step 3.</w:t>
      </w:r>
      <w:r w:rsidRPr="0075710F">
        <w:rPr>
          <w:rFonts w:ascii="Times New Roman" w:eastAsia="Times New Roman" w:hAnsi="Times New Roman"/>
          <w:lang w:val="en-US" w:eastAsia="en-US"/>
        </w:rPr>
        <w:t xml:space="preserve"> </w:t>
      </w:r>
      <w:hyperlink r:id="rId2" w:history="1">
        <w:r w:rsidRPr="0075710F" w:rsidR="0075710F">
          <w:rPr>
            <w:rFonts w:ascii="Times New Roman" w:eastAsia="Times New Roman" w:hAnsi="Times New Roman"/>
            <w:lang w:val="en-US" w:eastAsia="en-US"/>
          </w:rPr>
          <w:t>https://www.opm.gov/policy-data-oversight/pay-leave/salaries-wages/salary-tables/</w:t>
        </w:r>
        <w:r w:rsidRPr="0075710F" w:rsidR="0075710F">
          <w:rPr>
            <w:rFonts w:ascii="Times New Roman" w:eastAsia="Times New Roman" w:hAnsi="Times New Roman"/>
            <w:lang w:eastAsia="en-US"/>
          </w:rPr>
          <w:t>23</w:t>
        </w:r>
        <w:r w:rsidRPr="0075710F" w:rsidR="0075710F">
          <w:rPr>
            <w:rFonts w:ascii="Times New Roman" w:eastAsia="Times New Roman" w:hAnsi="Times New Roman"/>
            <w:lang w:val="en-US" w:eastAsia="en-US"/>
          </w:rPr>
          <w:t>Tables/html/DCB_h.aspx</w:t>
        </w:r>
      </w:hyperlink>
    </w:p>
    <w:p w:rsidR="00A57A34" w:rsidRPr="00FA7095" w14:paraId="0C7AADB4" w14:textId="3FB621F8">
      <w:pPr>
        <w:pStyle w:val="FootnoteText"/>
        <w:rPr>
          <w:rFonts w:ascii="Times New Roman" w:eastAsia="Times New Roman" w:hAnsi="Times New Roman"/>
          <w:lang w:val="en-US" w:eastAsia="en-US"/>
        </w:rPr>
      </w:pPr>
    </w:p>
  </w:footnote>
  <w:footnote w:id="6">
    <w:p w:rsidR="0075710F" w:rsidRPr="0075710F" w:rsidP="0075710F" w14:paraId="4BFA2B10" w14:textId="77777777">
      <w:pPr>
        <w:pStyle w:val="FootnoteText"/>
        <w:rPr>
          <w:rFonts w:ascii="Times New Roman" w:eastAsia="Times New Roman" w:hAnsi="Times New Roman"/>
          <w:lang w:val="en-US" w:eastAsia="en-US"/>
        </w:rPr>
      </w:pPr>
      <w:r w:rsidRPr="0075710F">
        <w:rPr>
          <w:rFonts w:ascii="Times New Roman" w:eastAsia="Times New Roman" w:hAnsi="Times New Roman"/>
          <w:vertAlign w:val="superscript"/>
          <w:lang w:val="en-US" w:eastAsia="en-US"/>
        </w:rPr>
        <w:footnoteRef/>
      </w:r>
      <w:r w:rsidRPr="0075710F">
        <w:rPr>
          <w:rFonts w:ascii="Times New Roman" w:eastAsia="Times New Roman" w:hAnsi="Times New Roman"/>
          <w:vertAlign w:val="superscript"/>
          <w:lang w:val="en-US" w:eastAsia="en-US"/>
        </w:rPr>
        <w:t xml:space="preserve"> </w:t>
      </w:r>
      <w:r w:rsidRPr="0075710F">
        <w:rPr>
          <w:rFonts w:ascii="Times New Roman" w:eastAsia="Times New Roman" w:hAnsi="Times New Roman"/>
          <w:lang w:val="en-US" w:eastAsia="en-US"/>
        </w:rPr>
        <w:t xml:space="preserve">Congressional Budget Office. Comparing the Compensation of Federal and Private-Sector Employees, 2011 to 2015. April 2017. </w:t>
      </w:r>
      <w:hyperlink r:id="rId3" w:history="1">
        <w:r w:rsidRPr="0075710F">
          <w:rPr>
            <w:rFonts w:ascii="Times New Roman" w:eastAsia="Times New Roman" w:hAnsi="Times New Roman"/>
            <w:lang w:val="en-US" w:eastAsia="en-US"/>
          </w:rPr>
          <w:t>https://www.cbo.gov/publication/52637</w:t>
        </w:r>
      </w:hyperlink>
      <w:r w:rsidRPr="0075710F">
        <w:rPr>
          <w:rFonts w:ascii="Times New Roman" w:eastAsia="Times New Roman" w:hAnsi="Times New Roman"/>
          <w:lang w:val="en-US" w:eastAsia="en-US"/>
        </w:rPr>
        <w:t>. According to Table 4, average total compensation for all levels of education is $64.80. According to Table 2, average wages for all levels of education is $38.30.  DHS estimates the</w:t>
      </w:r>
      <w:r w:rsidRPr="0075710F">
        <w:rPr>
          <w:rFonts w:ascii="Times New Roman" w:eastAsia="Times New Roman" w:hAnsi="Times New Roman"/>
          <w:lang w:val="en-US" w:eastAsia="en-US"/>
        </w:rPr>
        <w:t xml:space="preserve"> compensation factor by dividing total compensation by average wages.</w:t>
      </w:r>
    </w:p>
    <w:p w:rsidR="0075710F" w:rsidRPr="00FA7095" w14:paraId="543C600F" w14:textId="5752F0C8">
      <w:pPr>
        <w:pStyle w:val="FootnoteText"/>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237358F"/>
    <w:multiLevelType w:val="hybridMultilevel"/>
    <w:tmpl w:val="A694F816"/>
    <w:lvl w:ilvl="0">
      <w:start w:val="1"/>
      <w:numFmt w:val="bullet"/>
      <w:pStyle w:val="BulletSingle"/>
      <w:lvlText w:val="•"/>
      <w:lvlJc w:val="left"/>
      <w:pPr>
        <w:tabs>
          <w:tab w:val="num" w:pos="720"/>
        </w:tabs>
        <w:ind w:left="720" w:hanging="360"/>
      </w:pPr>
      <w:rPr>
        <w:rFonts w:ascii="Times New Roman" w:hAnsi="Times New Roman" w:cs="Times New Roman" w:hint="default"/>
        <w:b w:val="0"/>
        <w:i w:val="0"/>
        <w:sz w:val="24"/>
        <w:szCs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b w:val="0"/>
        <w:i w:val="0"/>
        <w:sz w:val="24"/>
        <w:szCs w:val="24"/>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F264650"/>
    <w:multiLevelType w:val="hybridMultilevel"/>
    <w:tmpl w:val="6B946BF8"/>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6330790"/>
    <w:multiLevelType w:val="hybridMultilevel"/>
    <w:tmpl w:val="864CBA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77E671F"/>
    <w:multiLevelType w:val="hybridMultilevel"/>
    <w:tmpl w:val="B96CDED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A2370EB"/>
    <w:multiLevelType w:val="hybridMultilevel"/>
    <w:tmpl w:val="B5121AB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D090A14"/>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7">
    <w:nsid w:val="20B73F06"/>
    <w:multiLevelType w:val="singleLevel"/>
    <w:tmpl w:val="14405D10"/>
    <w:lvl w:ilvl="0">
      <w:start w:val="1"/>
      <w:numFmt w:val="decimal"/>
      <w:lvlText w:val="%1."/>
      <w:lvlJc w:val="left"/>
      <w:pPr>
        <w:tabs>
          <w:tab w:val="num" w:pos="720"/>
        </w:tabs>
        <w:ind w:left="720" w:hanging="720"/>
      </w:pPr>
      <w:rPr>
        <w:rFonts w:hint="default"/>
      </w:rPr>
    </w:lvl>
  </w:abstractNum>
  <w:abstractNum w:abstractNumId="8">
    <w:nsid w:val="261242F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9">
    <w:nsid w:val="29B9550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0">
    <w:nsid w:val="2E9E2F2E"/>
    <w:multiLevelType w:val="hybridMultilevel"/>
    <w:tmpl w:val="CC4E82FA"/>
    <w:lvl w:ilvl="0">
      <w:start w:val="1"/>
      <w:numFmt w:val="lowerLetter"/>
      <w:lvlText w:val="%1."/>
      <w:lvlJc w:val="left"/>
      <w:pPr>
        <w:ind w:left="765" w:hanging="40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7CC4EE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2">
    <w:nsid w:val="3E7E35C4"/>
    <w:multiLevelType w:val="singleLevel"/>
    <w:tmpl w:val="D494F150"/>
    <w:lvl w:ilvl="0">
      <w:start w:val="1"/>
      <w:numFmt w:val="decimal"/>
      <w:lvlText w:val="(%1)"/>
      <w:lvlJc w:val="left"/>
      <w:pPr>
        <w:tabs>
          <w:tab w:val="num" w:pos="1440"/>
        </w:tabs>
        <w:ind w:left="1440" w:hanging="720"/>
      </w:pPr>
      <w:rPr>
        <w:rFonts w:hint="default"/>
      </w:rPr>
    </w:lvl>
  </w:abstractNum>
  <w:abstractNum w:abstractNumId="13">
    <w:nsid w:val="40A82AB2"/>
    <w:multiLevelType w:val="hybridMultilevel"/>
    <w:tmpl w:val="EB6C4D7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47A32B9"/>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5">
    <w:nsid w:val="471E094B"/>
    <w:multiLevelType w:val="singleLevel"/>
    <w:tmpl w:val="B6460F1E"/>
    <w:lvl w:ilvl="0">
      <w:start w:val="3"/>
      <w:numFmt w:val="decimal"/>
      <w:lvlText w:val="%1."/>
      <w:lvlJc w:val="left"/>
      <w:pPr>
        <w:tabs>
          <w:tab w:val="num" w:pos="360"/>
        </w:tabs>
        <w:ind w:left="360" w:hanging="360"/>
      </w:pPr>
      <w:rPr>
        <w:rFonts w:hint="default"/>
      </w:rPr>
    </w:lvl>
  </w:abstractNum>
  <w:abstractNum w:abstractNumId="16">
    <w:nsid w:val="49EE04FE"/>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7">
    <w:nsid w:val="4B2D489E"/>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8">
    <w:nsid w:val="4B890193"/>
    <w:multiLevelType w:val="hybridMultilevel"/>
    <w:tmpl w:val="28FEEAC4"/>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4E597103"/>
    <w:multiLevelType w:val="singleLevel"/>
    <w:tmpl w:val="1EECB71E"/>
    <w:lvl w:ilvl="0">
      <w:start w:val="1"/>
      <w:numFmt w:val="bullet"/>
      <w:lvlText w:val=""/>
      <w:lvlJc w:val="left"/>
      <w:pPr>
        <w:tabs>
          <w:tab w:val="num" w:pos="360"/>
        </w:tabs>
        <w:ind w:left="360" w:hanging="360"/>
      </w:pPr>
      <w:rPr>
        <w:rFonts w:ascii="Symbol" w:hAnsi="Symbol" w:hint="default"/>
      </w:rPr>
    </w:lvl>
  </w:abstractNum>
  <w:abstractNum w:abstractNumId="20">
    <w:nsid w:val="55224B55"/>
    <w:multiLevelType w:val="singleLevel"/>
    <w:tmpl w:val="82B4DD2E"/>
    <w:lvl w:ilvl="0">
      <w:start w:val="1"/>
      <w:numFmt w:val="decimal"/>
      <w:lvlText w:val="(%1)"/>
      <w:lvlJc w:val="left"/>
      <w:pPr>
        <w:tabs>
          <w:tab w:val="num" w:pos="1440"/>
        </w:tabs>
        <w:ind w:left="1440" w:hanging="720"/>
      </w:pPr>
      <w:rPr>
        <w:rFonts w:hint="default"/>
      </w:rPr>
    </w:lvl>
  </w:abstractNum>
  <w:abstractNum w:abstractNumId="21">
    <w:nsid w:val="56F71A6F"/>
    <w:multiLevelType w:val="singleLevel"/>
    <w:tmpl w:val="A4C6B1C0"/>
    <w:lvl w:ilvl="0">
      <w:start w:val="1"/>
      <w:numFmt w:val="decimal"/>
      <w:lvlText w:val="%1."/>
      <w:lvlJc w:val="left"/>
      <w:pPr>
        <w:tabs>
          <w:tab w:val="num" w:pos="870"/>
        </w:tabs>
        <w:ind w:left="870" w:hanging="360"/>
      </w:pPr>
      <w:rPr>
        <w:rFonts w:hint="default"/>
      </w:rPr>
    </w:lvl>
  </w:abstractNum>
  <w:abstractNum w:abstractNumId="22">
    <w:nsid w:val="5B05244D"/>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23">
    <w:nsid w:val="5B3076FC"/>
    <w:multiLevelType w:val="singleLevel"/>
    <w:tmpl w:val="D3EEEA92"/>
    <w:lvl w:ilvl="0">
      <w:start w:val="1"/>
      <w:numFmt w:val="decimal"/>
      <w:lvlText w:val="(%1)"/>
      <w:lvlJc w:val="left"/>
      <w:pPr>
        <w:tabs>
          <w:tab w:val="num" w:pos="1440"/>
        </w:tabs>
        <w:ind w:left="1440" w:hanging="720"/>
      </w:pPr>
      <w:rPr>
        <w:rFonts w:hint="default"/>
      </w:rPr>
    </w:lvl>
  </w:abstractNum>
  <w:abstractNum w:abstractNumId="24">
    <w:nsid w:val="5D000DF6"/>
    <w:multiLevelType w:val="singleLevel"/>
    <w:tmpl w:val="1EECB71E"/>
    <w:lvl w:ilvl="0">
      <w:start w:val="1"/>
      <w:numFmt w:val="bullet"/>
      <w:lvlText w:val=""/>
      <w:lvlJc w:val="left"/>
      <w:pPr>
        <w:tabs>
          <w:tab w:val="num" w:pos="360"/>
        </w:tabs>
        <w:ind w:left="360" w:hanging="360"/>
      </w:pPr>
      <w:rPr>
        <w:rFonts w:ascii="Symbol" w:hAnsi="Symbol" w:hint="default"/>
      </w:rPr>
    </w:lvl>
  </w:abstractNum>
  <w:abstractNum w:abstractNumId="25">
    <w:nsid w:val="66D19D0F"/>
    <w:multiLevelType w:val="hybridMultilevel"/>
    <w:tmpl w:val="2414A0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68863B9A"/>
    <w:multiLevelType w:val="singleLevel"/>
    <w:tmpl w:val="7A4065D4"/>
    <w:lvl w:ilvl="0">
      <w:start w:val="2"/>
      <w:numFmt w:val="lowerLetter"/>
      <w:lvlText w:val="%1."/>
      <w:lvlJc w:val="left"/>
      <w:pPr>
        <w:tabs>
          <w:tab w:val="num" w:pos="1080"/>
        </w:tabs>
        <w:ind w:left="1080" w:hanging="360"/>
      </w:pPr>
      <w:rPr>
        <w:rFonts w:hint="default"/>
      </w:rPr>
    </w:lvl>
  </w:abstractNum>
  <w:abstractNum w:abstractNumId="27">
    <w:nsid w:val="6E144BE8"/>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28">
    <w:nsid w:val="7B77458B"/>
    <w:multiLevelType w:val="singleLevel"/>
    <w:tmpl w:val="0696E2FC"/>
    <w:lvl w:ilvl="0">
      <w:start w:val="1"/>
      <w:numFmt w:val="bullet"/>
      <w:lvlText w:val=""/>
      <w:lvlJc w:val="left"/>
      <w:pPr>
        <w:tabs>
          <w:tab w:val="num" w:pos="1080"/>
        </w:tabs>
        <w:ind w:left="864" w:hanging="144"/>
      </w:pPr>
      <w:rPr>
        <w:rFonts w:ascii="Symbol" w:hAnsi="Symbol" w:hint="default"/>
      </w:rPr>
    </w:lvl>
  </w:abstractNum>
  <w:num w:numId="1" w16cid:durableId="1294943955">
    <w:abstractNumId w:val="3"/>
  </w:num>
  <w:num w:numId="2" w16cid:durableId="919369458">
    <w:abstractNumId w:val="25"/>
  </w:num>
  <w:num w:numId="3" w16cid:durableId="1906335624">
    <w:abstractNumId w:val="7"/>
  </w:num>
  <w:num w:numId="4" w16cid:durableId="1680690368">
    <w:abstractNumId w:val="20"/>
  </w:num>
  <w:num w:numId="5" w16cid:durableId="2072117553">
    <w:abstractNumId w:val="23"/>
  </w:num>
  <w:num w:numId="6" w16cid:durableId="1875387353">
    <w:abstractNumId w:val="12"/>
  </w:num>
  <w:num w:numId="7" w16cid:durableId="1043335606">
    <w:abstractNumId w:val="15"/>
  </w:num>
  <w:num w:numId="8" w16cid:durableId="1784767830">
    <w:abstractNumId w:val="21"/>
  </w:num>
  <w:num w:numId="9" w16cid:durableId="1185822825">
    <w:abstractNumId w:val="22"/>
  </w:num>
  <w:num w:numId="10" w16cid:durableId="1293439703">
    <w:abstractNumId w:val="17"/>
  </w:num>
  <w:num w:numId="11" w16cid:durableId="1000425551">
    <w:abstractNumId w:val="9"/>
  </w:num>
  <w:num w:numId="12" w16cid:durableId="243993349">
    <w:abstractNumId w:val="27"/>
  </w:num>
  <w:num w:numId="13" w16cid:durableId="1224681131">
    <w:abstractNumId w:val="14"/>
  </w:num>
  <w:num w:numId="14" w16cid:durableId="1278218865">
    <w:abstractNumId w:val="8"/>
  </w:num>
  <w:num w:numId="15" w16cid:durableId="2017462532">
    <w:abstractNumId w:val="28"/>
  </w:num>
  <w:num w:numId="16" w16cid:durableId="79765448">
    <w:abstractNumId w:val="6"/>
  </w:num>
  <w:num w:numId="17" w16cid:durableId="663895969">
    <w:abstractNumId w:val="16"/>
  </w:num>
  <w:num w:numId="18" w16cid:durableId="476998519">
    <w:abstractNumId w:val="11"/>
  </w:num>
  <w:num w:numId="19" w16cid:durableId="726683627">
    <w:abstractNumId w:val="26"/>
  </w:num>
  <w:num w:numId="20" w16cid:durableId="588856874">
    <w:abstractNumId w:val="0"/>
    <w:lvlOverride w:ilvl="0">
      <w:lvl w:ilvl="0">
        <w:start w:val="1"/>
        <w:numFmt w:val="bullet"/>
        <w:lvlText w:val=""/>
        <w:legacy w:legacy="1" w:legacySpace="0" w:legacyIndent="360"/>
        <w:lvlJc w:val="left"/>
        <w:pPr>
          <w:ind w:left="2880" w:hanging="360"/>
        </w:pPr>
        <w:rPr>
          <w:rFonts w:ascii="Symbol" w:hAnsi="Symbol" w:hint="default"/>
        </w:rPr>
      </w:lvl>
    </w:lvlOverride>
  </w:num>
  <w:num w:numId="21" w16cid:durableId="290790005">
    <w:abstractNumId w:val="19"/>
  </w:num>
  <w:num w:numId="22" w16cid:durableId="1891721447">
    <w:abstractNumId w:val="24"/>
  </w:num>
  <w:num w:numId="23" w16cid:durableId="1020546240">
    <w:abstractNumId w:val="18"/>
  </w:num>
  <w:num w:numId="24" w16cid:durableId="1508789694">
    <w:abstractNumId w:val="13"/>
  </w:num>
  <w:num w:numId="25" w16cid:durableId="955647917">
    <w:abstractNumId w:val="4"/>
  </w:num>
  <w:num w:numId="26" w16cid:durableId="176425406">
    <w:abstractNumId w:val="2"/>
  </w:num>
  <w:num w:numId="27" w16cid:durableId="2107578896">
    <w:abstractNumId w:val="1"/>
  </w:num>
  <w:num w:numId="28" w16cid:durableId="1683043579">
    <w:abstractNumId w:val="5"/>
  </w:num>
  <w:num w:numId="29" w16cid:durableId="9164070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autoHyphenation/>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FD6"/>
    <w:rsid w:val="000067FC"/>
    <w:rsid w:val="00007D6C"/>
    <w:rsid w:val="00012FBC"/>
    <w:rsid w:val="0001462D"/>
    <w:rsid w:val="000215BD"/>
    <w:rsid w:val="000319C5"/>
    <w:rsid w:val="00031ED5"/>
    <w:rsid w:val="00033020"/>
    <w:rsid w:val="0003359D"/>
    <w:rsid w:val="000335C8"/>
    <w:rsid w:val="00042924"/>
    <w:rsid w:val="00046AE5"/>
    <w:rsid w:val="00047173"/>
    <w:rsid w:val="00051FDA"/>
    <w:rsid w:val="00053802"/>
    <w:rsid w:val="000667AD"/>
    <w:rsid w:val="00076EF2"/>
    <w:rsid w:val="00086189"/>
    <w:rsid w:val="0009313B"/>
    <w:rsid w:val="00095597"/>
    <w:rsid w:val="000963AA"/>
    <w:rsid w:val="000A4358"/>
    <w:rsid w:val="000A4447"/>
    <w:rsid w:val="000A4BDA"/>
    <w:rsid w:val="000A6FC5"/>
    <w:rsid w:val="000B399B"/>
    <w:rsid w:val="000C4293"/>
    <w:rsid w:val="000C584E"/>
    <w:rsid w:val="000D0877"/>
    <w:rsid w:val="000D26F2"/>
    <w:rsid w:val="000E7B5C"/>
    <w:rsid w:val="0010054B"/>
    <w:rsid w:val="001137C6"/>
    <w:rsid w:val="001305EB"/>
    <w:rsid w:val="001335DE"/>
    <w:rsid w:val="00134135"/>
    <w:rsid w:val="001408DE"/>
    <w:rsid w:val="00141549"/>
    <w:rsid w:val="00141C5C"/>
    <w:rsid w:val="0015593C"/>
    <w:rsid w:val="00160B6D"/>
    <w:rsid w:val="00161F5F"/>
    <w:rsid w:val="00175034"/>
    <w:rsid w:val="00184412"/>
    <w:rsid w:val="00184592"/>
    <w:rsid w:val="00191158"/>
    <w:rsid w:val="001941D6"/>
    <w:rsid w:val="00194A62"/>
    <w:rsid w:val="00197B49"/>
    <w:rsid w:val="001A199D"/>
    <w:rsid w:val="001A2C95"/>
    <w:rsid w:val="001A32FD"/>
    <w:rsid w:val="001B1D53"/>
    <w:rsid w:val="001B2714"/>
    <w:rsid w:val="001B6DF0"/>
    <w:rsid w:val="001C18B1"/>
    <w:rsid w:val="001C4B22"/>
    <w:rsid w:val="001C4CC1"/>
    <w:rsid w:val="001C555E"/>
    <w:rsid w:val="001E25FC"/>
    <w:rsid w:val="001F652F"/>
    <w:rsid w:val="002030D4"/>
    <w:rsid w:val="00203848"/>
    <w:rsid w:val="00205739"/>
    <w:rsid w:val="00222489"/>
    <w:rsid w:val="0022399E"/>
    <w:rsid w:val="0022626A"/>
    <w:rsid w:val="00232278"/>
    <w:rsid w:val="00235123"/>
    <w:rsid w:val="002366B4"/>
    <w:rsid w:val="00237711"/>
    <w:rsid w:val="002451D9"/>
    <w:rsid w:val="00251725"/>
    <w:rsid w:val="00252E0E"/>
    <w:rsid w:val="002578EC"/>
    <w:rsid w:val="00264251"/>
    <w:rsid w:val="00264743"/>
    <w:rsid w:val="0026788F"/>
    <w:rsid w:val="00272CF0"/>
    <w:rsid w:val="002840AB"/>
    <w:rsid w:val="0029007F"/>
    <w:rsid w:val="002900C5"/>
    <w:rsid w:val="00290AAB"/>
    <w:rsid w:val="00292D20"/>
    <w:rsid w:val="00294EA5"/>
    <w:rsid w:val="00297C37"/>
    <w:rsid w:val="002A7031"/>
    <w:rsid w:val="002B0649"/>
    <w:rsid w:val="002B4BF6"/>
    <w:rsid w:val="002B6175"/>
    <w:rsid w:val="002C05B0"/>
    <w:rsid w:val="002C326F"/>
    <w:rsid w:val="002D062E"/>
    <w:rsid w:val="002D6219"/>
    <w:rsid w:val="002D65E3"/>
    <w:rsid w:val="002F105D"/>
    <w:rsid w:val="002F2294"/>
    <w:rsid w:val="002F2A01"/>
    <w:rsid w:val="002F2BC7"/>
    <w:rsid w:val="002F49E0"/>
    <w:rsid w:val="002F5FDA"/>
    <w:rsid w:val="003067CB"/>
    <w:rsid w:val="00320E95"/>
    <w:rsid w:val="00323CBE"/>
    <w:rsid w:val="00333D1E"/>
    <w:rsid w:val="00337AF2"/>
    <w:rsid w:val="00341049"/>
    <w:rsid w:val="0034148A"/>
    <w:rsid w:val="00350700"/>
    <w:rsid w:val="00360B5A"/>
    <w:rsid w:val="00364EE8"/>
    <w:rsid w:val="0037322A"/>
    <w:rsid w:val="00377D10"/>
    <w:rsid w:val="00381F93"/>
    <w:rsid w:val="00383A50"/>
    <w:rsid w:val="0039325E"/>
    <w:rsid w:val="00394081"/>
    <w:rsid w:val="003A0B1A"/>
    <w:rsid w:val="003A221C"/>
    <w:rsid w:val="003A3B94"/>
    <w:rsid w:val="003A4655"/>
    <w:rsid w:val="003B1574"/>
    <w:rsid w:val="003B5E20"/>
    <w:rsid w:val="003B68FA"/>
    <w:rsid w:val="003B6BC6"/>
    <w:rsid w:val="003C4DEC"/>
    <w:rsid w:val="003D2D93"/>
    <w:rsid w:val="003D64C9"/>
    <w:rsid w:val="003E0D23"/>
    <w:rsid w:val="003E2CC1"/>
    <w:rsid w:val="003E4418"/>
    <w:rsid w:val="003E6DD8"/>
    <w:rsid w:val="003F056D"/>
    <w:rsid w:val="003F0E07"/>
    <w:rsid w:val="003F2C89"/>
    <w:rsid w:val="003F3F6D"/>
    <w:rsid w:val="00405F8C"/>
    <w:rsid w:val="004076BD"/>
    <w:rsid w:val="00413E8E"/>
    <w:rsid w:val="00426D0C"/>
    <w:rsid w:val="00444AFC"/>
    <w:rsid w:val="00447C3A"/>
    <w:rsid w:val="004503B8"/>
    <w:rsid w:val="00460234"/>
    <w:rsid w:val="00462C47"/>
    <w:rsid w:val="0047555D"/>
    <w:rsid w:val="00482F9B"/>
    <w:rsid w:val="004A0DE6"/>
    <w:rsid w:val="004A42B4"/>
    <w:rsid w:val="004A5AE1"/>
    <w:rsid w:val="004A7572"/>
    <w:rsid w:val="004B62D9"/>
    <w:rsid w:val="004C016D"/>
    <w:rsid w:val="004C21F8"/>
    <w:rsid w:val="004C5DDB"/>
    <w:rsid w:val="004C73D5"/>
    <w:rsid w:val="004F19C6"/>
    <w:rsid w:val="00502D04"/>
    <w:rsid w:val="00503C69"/>
    <w:rsid w:val="00505A42"/>
    <w:rsid w:val="00507A4E"/>
    <w:rsid w:val="0051005D"/>
    <w:rsid w:val="00513942"/>
    <w:rsid w:val="005202D4"/>
    <w:rsid w:val="005416F5"/>
    <w:rsid w:val="005420D3"/>
    <w:rsid w:val="00546CE1"/>
    <w:rsid w:val="00547688"/>
    <w:rsid w:val="00550B78"/>
    <w:rsid w:val="00561B42"/>
    <w:rsid w:val="00562C50"/>
    <w:rsid w:val="00563211"/>
    <w:rsid w:val="00565489"/>
    <w:rsid w:val="005704CC"/>
    <w:rsid w:val="00573B59"/>
    <w:rsid w:val="00577868"/>
    <w:rsid w:val="00580711"/>
    <w:rsid w:val="005817B5"/>
    <w:rsid w:val="00582F4C"/>
    <w:rsid w:val="00587DDA"/>
    <w:rsid w:val="00590524"/>
    <w:rsid w:val="005924FE"/>
    <w:rsid w:val="00596A43"/>
    <w:rsid w:val="005A0C14"/>
    <w:rsid w:val="005A1881"/>
    <w:rsid w:val="005A30A6"/>
    <w:rsid w:val="005C3DCA"/>
    <w:rsid w:val="005C472E"/>
    <w:rsid w:val="005C7058"/>
    <w:rsid w:val="005D0717"/>
    <w:rsid w:val="005D0E97"/>
    <w:rsid w:val="005D5551"/>
    <w:rsid w:val="005D6EC2"/>
    <w:rsid w:val="005D7769"/>
    <w:rsid w:val="005D781B"/>
    <w:rsid w:val="005E5F0E"/>
    <w:rsid w:val="005F0B78"/>
    <w:rsid w:val="00611BDC"/>
    <w:rsid w:val="006145D1"/>
    <w:rsid w:val="00615DFD"/>
    <w:rsid w:val="00625391"/>
    <w:rsid w:val="00636364"/>
    <w:rsid w:val="00636D2A"/>
    <w:rsid w:val="00640111"/>
    <w:rsid w:val="00654C9F"/>
    <w:rsid w:val="00657687"/>
    <w:rsid w:val="006611A5"/>
    <w:rsid w:val="006651B2"/>
    <w:rsid w:val="00670988"/>
    <w:rsid w:val="006749D4"/>
    <w:rsid w:val="0068258B"/>
    <w:rsid w:val="006A0B1C"/>
    <w:rsid w:val="006A7FF1"/>
    <w:rsid w:val="006B4994"/>
    <w:rsid w:val="006B56B1"/>
    <w:rsid w:val="006D0E62"/>
    <w:rsid w:val="006D5CCE"/>
    <w:rsid w:val="006D5EB7"/>
    <w:rsid w:val="006D785E"/>
    <w:rsid w:val="006E32D9"/>
    <w:rsid w:val="006E4F17"/>
    <w:rsid w:val="006E73C9"/>
    <w:rsid w:val="006F0939"/>
    <w:rsid w:val="00702A68"/>
    <w:rsid w:val="00707653"/>
    <w:rsid w:val="00711A33"/>
    <w:rsid w:val="00712A0B"/>
    <w:rsid w:val="007277A8"/>
    <w:rsid w:val="00741B83"/>
    <w:rsid w:val="00742F2D"/>
    <w:rsid w:val="007440A4"/>
    <w:rsid w:val="007443F3"/>
    <w:rsid w:val="00752D76"/>
    <w:rsid w:val="0075710F"/>
    <w:rsid w:val="0075772E"/>
    <w:rsid w:val="00760399"/>
    <w:rsid w:val="00762809"/>
    <w:rsid w:val="0077056F"/>
    <w:rsid w:val="00775631"/>
    <w:rsid w:val="00784B44"/>
    <w:rsid w:val="00785A9A"/>
    <w:rsid w:val="007967F0"/>
    <w:rsid w:val="00796AB1"/>
    <w:rsid w:val="007A66B5"/>
    <w:rsid w:val="007A77AD"/>
    <w:rsid w:val="007B53AE"/>
    <w:rsid w:val="007B5D9D"/>
    <w:rsid w:val="007C0E87"/>
    <w:rsid w:val="007C3B0D"/>
    <w:rsid w:val="007D0399"/>
    <w:rsid w:val="007D6212"/>
    <w:rsid w:val="007E1595"/>
    <w:rsid w:val="007F331F"/>
    <w:rsid w:val="007F61EC"/>
    <w:rsid w:val="007F79EE"/>
    <w:rsid w:val="00804556"/>
    <w:rsid w:val="00814F82"/>
    <w:rsid w:val="00835042"/>
    <w:rsid w:val="008350A1"/>
    <w:rsid w:val="00835B42"/>
    <w:rsid w:val="00837A56"/>
    <w:rsid w:val="00840338"/>
    <w:rsid w:val="008419A6"/>
    <w:rsid w:val="0084685B"/>
    <w:rsid w:val="008500FB"/>
    <w:rsid w:val="00851BF1"/>
    <w:rsid w:val="00855D68"/>
    <w:rsid w:val="0085645B"/>
    <w:rsid w:val="008571DF"/>
    <w:rsid w:val="008719E8"/>
    <w:rsid w:val="008724DE"/>
    <w:rsid w:val="00875586"/>
    <w:rsid w:val="00877753"/>
    <w:rsid w:val="008804CB"/>
    <w:rsid w:val="00882658"/>
    <w:rsid w:val="00887178"/>
    <w:rsid w:val="008924F0"/>
    <w:rsid w:val="00896FF3"/>
    <w:rsid w:val="0089711A"/>
    <w:rsid w:val="008A165F"/>
    <w:rsid w:val="008A221D"/>
    <w:rsid w:val="008A4194"/>
    <w:rsid w:val="008A698A"/>
    <w:rsid w:val="008B38A9"/>
    <w:rsid w:val="008B4728"/>
    <w:rsid w:val="008B5690"/>
    <w:rsid w:val="008B6F0E"/>
    <w:rsid w:val="008B7403"/>
    <w:rsid w:val="008B7F2B"/>
    <w:rsid w:val="008C27C3"/>
    <w:rsid w:val="008C293E"/>
    <w:rsid w:val="008C7FA8"/>
    <w:rsid w:val="008D5A33"/>
    <w:rsid w:val="008D61ED"/>
    <w:rsid w:val="008D744F"/>
    <w:rsid w:val="008E2061"/>
    <w:rsid w:val="008E4152"/>
    <w:rsid w:val="008F2F44"/>
    <w:rsid w:val="008F5FC2"/>
    <w:rsid w:val="00913A27"/>
    <w:rsid w:val="0091750F"/>
    <w:rsid w:val="00917BAF"/>
    <w:rsid w:val="009224A1"/>
    <w:rsid w:val="00924C84"/>
    <w:rsid w:val="0093542A"/>
    <w:rsid w:val="009361D5"/>
    <w:rsid w:val="00942617"/>
    <w:rsid w:val="00942C0B"/>
    <w:rsid w:val="0094389A"/>
    <w:rsid w:val="00944494"/>
    <w:rsid w:val="00945106"/>
    <w:rsid w:val="00946B58"/>
    <w:rsid w:val="009501B2"/>
    <w:rsid w:val="009539A8"/>
    <w:rsid w:val="00954901"/>
    <w:rsid w:val="00961FD6"/>
    <w:rsid w:val="0096453F"/>
    <w:rsid w:val="0096736F"/>
    <w:rsid w:val="0097514C"/>
    <w:rsid w:val="00987EC2"/>
    <w:rsid w:val="00991009"/>
    <w:rsid w:val="00993095"/>
    <w:rsid w:val="00993801"/>
    <w:rsid w:val="00993F06"/>
    <w:rsid w:val="00995211"/>
    <w:rsid w:val="009A7B24"/>
    <w:rsid w:val="009B4A68"/>
    <w:rsid w:val="009B5900"/>
    <w:rsid w:val="009C4719"/>
    <w:rsid w:val="009D0EDC"/>
    <w:rsid w:val="009F06EB"/>
    <w:rsid w:val="009F25F0"/>
    <w:rsid w:val="009F5E5D"/>
    <w:rsid w:val="00A00007"/>
    <w:rsid w:val="00A0781B"/>
    <w:rsid w:val="00A2037D"/>
    <w:rsid w:val="00A26D6A"/>
    <w:rsid w:val="00A42A18"/>
    <w:rsid w:val="00A42E47"/>
    <w:rsid w:val="00A44F82"/>
    <w:rsid w:val="00A476E8"/>
    <w:rsid w:val="00A50F4E"/>
    <w:rsid w:val="00A57406"/>
    <w:rsid w:val="00A57A34"/>
    <w:rsid w:val="00A61FBC"/>
    <w:rsid w:val="00A75AF7"/>
    <w:rsid w:val="00A85317"/>
    <w:rsid w:val="00A94C41"/>
    <w:rsid w:val="00AA09F9"/>
    <w:rsid w:val="00AA3F82"/>
    <w:rsid w:val="00AA6813"/>
    <w:rsid w:val="00AC215C"/>
    <w:rsid w:val="00AC2315"/>
    <w:rsid w:val="00AD45BF"/>
    <w:rsid w:val="00AE0D1F"/>
    <w:rsid w:val="00AE2606"/>
    <w:rsid w:val="00AE41B7"/>
    <w:rsid w:val="00AF4918"/>
    <w:rsid w:val="00AF71FB"/>
    <w:rsid w:val="00B02152"/>
    <w:rsid w:val="00B109D4"/>
    <w:rsid w:val="00B128D9"/>
    <w:rsid w:val="00B139CF"/>
    <w:rsid w:val="00B15D8F"/>
    <w:rsid w:val="00B17D05"/>
    <w:rsid w:val="00B23792"/>
    <w:rsid w:val="00B24910"/>
    <w:rsid w:val="00B31B75"/>
    <w:rsid w:val="00B35A9A"/>
    <w:rsid w:val="00B410FE"/>
    <w:rsid w:val="00B51142"/>
    <w:rsid w:val="00B52ECA"/>
    <w:rsid w:val="00B57157"/>
    <w:rsid w:val="00B67664"/>
    <w:rsid w:val="00B83D4C"/>
    <w:rsid w:val="00B91395"/>
    <w:rsid w:val="00BA11D1"/>
    <w:rsid w:val="00BA1948"/>
    <w:rsid w:val="00BA2768"/>
    <w:rsid w:val="00BB5DC8"/>
    <w:rsid w:val="00BC0228"/>
    <w:rsid w:val="00BC37FD"/>
    <w:rsid w:val="00BC4542"/>
    <w:rsid w:val="00BD1AE6"/>
    <w:rsid w:val="00BE3542"/>
    <w:rsid w:val="00BE387A"/>
    <w:rsid w:val="00BE4B9B"/>
    <w:rsid w:val="00BF1853"/>
    <w:rsid w:val="00BF3D8B"/>
    <w:rsid w:val="00BF4882"/>
    <w:rsid w:val="00C10ACB"/>
    <w:rsid w:val="00C234A4"/>
    <w:rsid w:val="00C30717"/>
    <w:rsid w:val="00C3419E"/>
    <w:rsid w:val="00C40A7F"/>
    <w:rsid w:val="00C443A2"/>
    <w:rsid w:val="00C458E1"/>
    <w:rsid w:val="00C520DC"/>
    <w:rsid w:val="00C6068E"/>
    <w:rsid w:val="00C67C73"/>
    <w:rsid w:val="00C75797"/>
    <w:rsid w:val="00C75FE1"/>
    <w:rsid w:val="00C77539"/>
    <w:rsid w:val="00C77C49"/>
    <w:rsid w:val="00C860B7"/>
    <w:rsid w:val="00CA3099"/>
    <w:rsid w:val="00CA51E1"/>
    <w:rsid w:val="00CA6710"/>
    <w:rsid w:val="00CA7AF8"/>
    <w:rsid w:val="00CB4DEF"/>
    <w:rsid w:val="00CB5356"/>
    <w:rsid w:val="00CB6507"/>
    <w:rsid w:val="00CC096F"/>
    <w:rsid w:val="00CC2508"/>
    <w:rsid w:val="00CC65BA"/>
    <w:rsid w:val="00CD2DFE"/>
    <w:rsid w:val="00CD466A"/>
    <w:rsid w:val="00CD6C6D"/>
    <w:rsid w:val="00CE3D0D"/>
    <w:rsid w:val="00CE45F2"/>
    <w:rsid w:val="00CF45CF"/>
    <w:rsid w:val="00D04C05"/>
    <w:rsid w:val="00D219B0"/>
    <w:rsid w:val="00D24E50"/>
    <w:rsid w:val="00D253AC"/>
    <w:rsid w:val="00D27628"/>
    <w:rsid w:val="00D30CA9"/>
    <w:rsid w:val="00D3411B"/>
    <w:rsid w:val="00D363AB"/>
    <w:rsid w:val="00D450C8"/>
    <w:rsid w:val="00D5640C"/>
    <w:rsid w:val="00D6268A"/>
    <w:rsid w:val="00D73BBC"/>
    <w:rsid w:val="00D74AB2"/>
    <w:rsid w:val="00D93841"/>
    <w:rsid w:val="00D94254"/>
    <w:rsid w:val="00DA0968"/>
    <w:rsid w:val="00DB0392"/>
    <w:rsid w:val="00DB0532"/>
    <w:rsid w:val="00DB6BCE"/>
    <w:rsid w:val="00DB6F30"/>
    <w:rsid w:val="00DC6E79"/>
    <w:rsid w:val="00DD300E"/>
    <w:rsid w:val="00DD6682"/>
    <w:rsid w:val="00DE10DB"/>
    <w:rsid w:val="00E12104"/>
    <w:rsid w:val="00E151DA"/>
    <w:rsid w:val="00E17198"/>
    <w:rsid w:val="00E2481E"/>
    <w:rsid w:val="00E476EF"/>
    <w:rsid w:val="00E51A78"/>
    <w:rsid w:val="00E534D7"/>
    <w:rsid w:val="00E56E74"/>
    <w:rsid w:val="00E70205"/>
    <w:rsid w:val="00E77073"/>
    <w:rsid w:val="00EB5E96"/>
    <w:rsid w:val="00EC2392"/>
    <w:rsid w:val="00EE29AA"/>
    <w:rsid w:val="00EE5272"/>
    <w:rsid w:val="00EF73D7"/>
    <w:rsid w:val="00F049F5"/>
    <w:rsid w:val="00F117AB"/>
    <w:rsid w:val="00F320FD"/>
    <w:rsid w:val="00F33B1A"/>
    <w:rsid w:val="00F37F32"/>
    <w:rsid w:val="00F415B7"/>
    <w:rsid w:val="00F4411A"/>
    <w:rsid w:val="00F55C02"/>
    <w:rsid w:val="00F625CB"/>
    <w:rsid w:val="00F65FEC"/>
    <w:rsid w:val="00F7152E"/>
    <w:rsid w:val="00F72C2C"/>
    <w:rsid w:val="00F750A3"/>
    <w:rsid w:val="00F861A5"/>
    <w:rsid w:val="00F916F4"/>
    <w:rsid w:val="00F92107"/>
    <w:rsid w:val="00F930EE"/>
    <w:rsid w:val="00FA7095"/>
    <w:rsid w:val="00FB44BF"/>
    <w:rsid w:val="00FC7086"/>
    <w:rsid w:val="00FD2846"/>
    <w:rsid w:val="00FD3AB4"/>
    <w:rsid w:val="00FE3E33"/>
    <w:rsid w:val="00FE5661"/>
    <w:rsid w:val="00FE5940"/>
    <w:rsid w:val="00FF02DE"/>
    <w:rsid w:val="00FF1073"/>
    <w:rsid w:val="00FF36DE"/>
    <w:rsid w:val="00FF39AE"/>
    <w:rsid w:val="00FF5DDF"/>
    <w:rsid w:val="0142F723"/>
    <w:rsid w:val="01977FCB"/>
    <w:rsid w:val="023AB1BF"/>
    <w:rsid w:val="0350373B"/>
    <w:rsid w:val="04D44BF7"/>
    <w:rsid w:val="04F70C87"/>
    <w:rsid w:val="07BA629B"/>
    <w:rsid w:val="08B8BF29"/>
    <w:rsid w:val="0A11FD67"/>
    <w:rsid w:val="0AE79FCF"/>
    <w:rsid w:val="0BAAF3EE"/>
    <w:rsid w:val="0C2FA8B7"/>
    <w:rsid w:val="0C943BCF"/>
    <w:rsid w:val="0E0851CE"/>
    <w:rsid w:val="0F1451CB"/>
    <w:rsid w:val="1047806B"/>
    <w:rsid w:val="12242101"/>
    <w:rsid w:val="1295EEEA"/>
    <w:rsid w:val="12DEF5B2"/>
    <w:rsid w:val="12F92C4D"/>
    <w:rsid w:val="12FAD233"/>
    <w:rsid w:val="1464B18A"/>
    <w:rsid w:val="14BFB1F0"/>
    <w:rsid w:val="15900E17"/>
    <w:rsid w:val="15C79D43"/>
    <w:rsid w:val="181F3ADF"/>
    <w:rsid w:val="19278EB5"/>
    <w:rsid w:val="1D7442FF"/>
    <w:rsid w:val="223768DE"/>
    <w:rsid w:val="23519FD6"/>
    <w:rsid w:val="250F0B26"/>
    <w:rsid w:val="26FF4010"/>
    <w:rsid w:val="276AA176"/>
    <w:rsid w:val="279BC287"/>
    <w:rsid w:val="294AC189"/>
    <w:rsid w:val="2A19F75D"/>
    <w:rsid w:val="2C55E8B7"/>
    <w:rsid w:val="2FB75AA2"/>
    <w:rsid w:val="317CFBD4"/>
    <w:rsid w:val="317EC21D"/>
    <w:rsid w:val="320B09D8"/>
    <w:rsid w:val="32188AFE"/>
    <w:rsid w:val="323030DB"/>
    <w:rsid w:val="32AF8E98"/>
    <w:rsid w:val="335C534F"/>
    <w:rsid w:val="3490A5B3"/>
    <w:rsid w:val="3519EFAC"/>
    <w:rsid w:val="36256717"/>
    <w:rsid w:val="37C13778"/>
    <w:rsid w:val="3A54F222"/>
    <w:rsid w:val="3CD61451"/>
    <w:rsid w:val="3CDEF7CC"/>
    <w:rsid w:val="3D91CBEC"/>
    <w:rsid w:val="3F9D8CE9"/>
    <w:rsid w:val="3FC8D4A0"/>
    <w:rsid w:val="410F3B88"/>
    <w:rsid w:val="4179F741"/>
    <w:rsid w:val="4482DF26"/>
    <w:rsid w:val="449DC2DE"/>
    <w:rsid w:val="44CBD00C"/>
    <w:rsid w:val="45C0E42B"/>
    <w:rsid w:val="45C3408A"/>
    <w:rsid w:val="4639933F"/>
    <w:rsid w:val="468C9D38"/>
    <w:rsid w:val="47423779"/>
    <w:rsid w:val="493EB961"/>
    <w:rsid w:val="497B1929"/>
    <w:rsid w:val="49CF8B89"/>
    <w:rsid w:val="4B48FF06"/>
    <w:rsid w:val="4BE58824"/>
    <w:rsid w:val="4D806336"/>
    <w:rsid w:val="4E71E604"/>
    <w:rsid w:val="4FFC3830"/>
    <w:rsid w:val="50D43878"/>
    <w:rsid w:val="50F096F6"/>
    <w:rsid w:val="51D0B1A0"/>
    <w:rsid w:val="535CD9C9"/>
    <w:rsid w:val="536C8201"/>
    <w:rsid w:val="55CEA633"/>
    <w:rsid w:val="568AE70D"/>
    <w:rsid w:val="5A8FEC02"/>
    <w:rsid w:val="5ACCAC77"/>
    <w:rsid w:val="5BD4AB4C"/>
    <w:rsid w:val="5C94D20B"/>
    <w:rsid w:val="5E518C2A"/>
    <w:rsid w:val="5FB5C97B"/>
    <w:rsid w:val="5FC2B422"/>
    <w:rsid w:val="5FDDBC33"/>
    <w:rsid w:val="5FDF0489"/>
    <w:rsid w:val="60EBEFD9"/>
    <w:rsid w:val="629AFDE7"/>
    <w:rsid w:val="6334238B"/>
    <w:rsid w:val="65D29EA9"/>
    <w:rsid w:val="6937C084"/>
    <w:rsid w:val="699AB9EF"/>
    <w:rsid w:val="6A9EF26A"/>
    <w:rsid w:val="6AB5A44E"/>
    <w:rsid w:val="6BF03756"/>
    <w:rsid w:val="6BF68C6D"/>
    <w:rsid w:val="6C2FA937"/>
    <w:rsid w:val="6C8D4E05"/>
    <w:rsid w:val="6E0422A7"/>
    <w:rsid w:val="6E5EF28F"/>
    <w:rsid w:val="70342E62"/>
    <w:rsid w:val="716F2143"/>
    <w:rsid w:val="745A3BCE"/>
    <w:rsid w:val="7491B526"/>
    <w:rsid w:val="75E5E686"/>
    <w:rsid w:val="767C339A"/>
    <w:rsid w:val="7830BA46"/>
    <w:rsid w:val="785F40F7"/>
    <w:rsid w:val="7936E703"/>
    <w:rsid w:val="7A510F5D"/>
    <w:rsid w:val="7B9DBF93"/>
    <w:rsid w:val="7C279A3D"/>
    <w:rsid w:val="7C5FF17D"/>
    <w:rsid w:val="7CC6B597"/>
    <w:rsid w:val="7DBA0BEC"/>
    <w:rsid w:val="7E7CC617"/>
    <w:rsid w:val="7FA244B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EBECBC0"/>
  <w15:chartTrackingRefBased/>
  <w15:docId w15:val="{D4C1F97F-0518-4447-8095-C814BEFD8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tabs>
        <w:tab w:val="left" w:pos="-720"/>
      </w:tabs>
      <w:suppressAutoHyphens/>
      <w:outlineLvl w:val="0"/>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hd w:val="pct25" w:color="auto" w:fill="auto"/>
      <w:tabs>
        <w:tab w:val="left" w:pos="-720"/>
      </w:tabs>
      <w:suppressAutoHyphens/>
    </w:pPr>
  </w:style>
  <w:style w:type="paragraph" w:styleId="Title">
    <w:name w:val="Title"/>
    <w:basedOn w:val="Normal"/>
    <w:qFormat/>
    <w:pPr>
      <w:suppressAutoHyphens/>
      <w:jc w:val="center"/>
    </w:pPr>
    <w:rPr>
      <w:b/>
      <w:sz w:val="32"/>
      <w:szCs w:val="20"/>
    </w:rPr>
  </w:style>
  <w:style w:type="paragraph" w:styleId="BodyText3">
    <w:name w:val="Body Text 3"/>
    <w:basedOn w:val="Normal"/>
    <w:pPr>
      <w:shd w:val="pct25" w:color="auto" w:fill="auto"/>
      <w:tabs>
        <w:tab w:val="left" w:pos="-720"/>
        <w:tab w:val="left" w:pos="720"/>
      </w:tabs>
      <w:suppressAutoHyphens/>
    </w:pPr>
    <w:rPr>
      <w:sz w:val="26"/>
      <w:szCs w:val="20"/>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Hyperlink">
    <w:name w:val="Hyperlink"/>
    <w:rPr>
      <w:color w:val="0000FF"/>
      <w:u w:val="single"/>
    </w:rPr>
  </w:style>
  <w:style w:type="paragraph" w:styleId="Header">
    <w:name w:val="header"/>
    <w:basedOn w:val="Normal"/>
    <w:rsid w:val="00D04C05"/>
    <w:pPr>
      <w:tabs>
        <w:tab w:val="center" w:pos="4320"/>
        <w:tab w:val="right" w:pos="8640"/>
      </w:tabs>
    </w:pPr>
  </w:style>
  <w:style w:type="paragraph" w:styleId="Footer">
    <w:name w:val="footer"/>
    <w:basedOn w:val="Normal"/>
    <w:rsid w:val="00D04C05"/>
    <w:pPr>
      <w:tabs>
        <w:tab w:val="center" w:pos="4320"/>
        <w:tab w:val="right" w:pos="8640"/>
      </w:tabs>
    </w:pPr>
  </w:style>
  <w:style w:type="character" w:styleId="PageNumber">
    <w:name w:val="page number"/>
    <w:basedOn w:val="DefaultParagraphFont"/>
    <w:rsid w:val="00D04C05"/>
  </w:style>
  <w:style w:type="character" w:styleId="CommentReference">
    <w:name w:val="annotation reference"/>
    <w:semiHidden/>
    <w:rsid w:val="008F2F44"/>
    <w:rPr>
      <w:sz w:val="16"/>
      <w:szCs w:val="16"/>
    </w:rPr>
  </w:style>
  <w:style w:type="paragraph" w:styleId="CommentText">
    <w:name w:val="annotation text"/>
    <w:basedOn w:val="Normal"/>
    <w:link w:val="CommentTextChar"/>
    <w:semiHidden/>
    <w:rsid w:val="008F2F44"/>
    <w:rPr>
      <w:sz w:val="20"/>
      <w:szCs w:val="20"/>
    </w:rPr>
  </w:style>
  <w:style w:type="paragraph" w:styleId="CommentSubject">
    <w:name w:val="annotation subject"/>
    <w:basedOn w:val="CommentText"/>
    <w:next w:val="CommentText"/>
    <w:semiHidden/>
    <w:rsid w:val="008F2F44"/>
    <w:rPr>
      <w:b/>
      <w:bCs/>
    </w:rPr>
  </w:style>
  <w:style w:type="paragraph" w:styleId="BalloonText">
    <w:name w:val="Balloon Text"/>
    <w:basedOn w:val="Normal"/>
    <w:semiHidden/>
    <w:rsid w:val="008F2F44"/>
    <w:rPr>
      <w:rFonts w:ascii="Tahoma" w:hAnsi="Tahoma" w:cs="Tahoma"/>
      <w:sz w:val="16"/>
      <w:szCs w:val="16"/>
    </w:rPr>
  </w:style>
  <w:style w:type="paragraph" w:customStyle="1" w:styleId="CharCharCharCharCharCharCharCharCharChar">
    <w:name w:val="Char Char Char Char Char Char Char Char Char Char"/>
    <w:basedOn w:val="Normal"/>
    <w:rsid w:val="000E7B5C"/>
    <w:pPr>
      <w:spacing w:after="160" w:line="240" w:lineRule="exact"/>
    </w:pPr>
  </w:style>
  <w:style w:type="paragraph" w:customStyle="1" w:styleId="BulletSingle">
    <w:name w:val="Bullet Single"/>
    <w:basedOn w:val="Title"/>
    <w:link w:val="BulletSingleChar"/>
    <w:rsid w:val="00F049F5"/>
    <w:pPr>
      <w:numPr>
        <w:numId w:val="27"/>
      </w:numPr>
      <w:suppressAutoHyphens w:val="0"/>
      <w:jc w:val="left"/>
    </w:pPr>
    <w:rPr>
      <w:rFonts w:cs="Arial"/>
      <w:b w:val="0"/>
      <w:bCs/>
      <w:sz w:val="24"/>
    </w:rPr>
  </w:style>
  <w:style w:type="character" w:customStyle="1" w:styleId="BulletSingleChar">
    <w:name w:val="Bullet Single Char"/>
    <w:link w:val="BulletSingle"/>
    <w:rsid w:val="00F049F5"/>
    <w:rPr>
      <w:rFonts w:cs="Arial"/>
      <w:bCs/>
      <w:sz w:val="24"/>
      <w:lang w:val="en-US" w:eastAsia="en-US" w:bidi="ar-SA"/>
    </w:rPr>
  </w:style>
  <w:style w:type="table" w:styleId="TableGrid">
    <w:name w:val="Table Grid"/>
    <w:basedOn w:val="TableNormal"/>
    <w:rsid w:val="00333D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49E0"/>
    <w:pPr>
      <w:autoSpaceDE w:val="0"/>
      <w:autoSpaceDN w:val="0"/>
      <w:adjustRightInd w:val="0"/>
    </w:pPr>
    <w:rPr>
      <w:color w:val="000000"/>
      <w:sz w:val="24"/>
      <w:szCs w:val="24"/>
      <w:lang w:eastAsia="en-US"/>
    </w:rPr>
  </w:style>
  <w:style w:type="paragraph" w:styleId="PlainText">
    <w:name w:val="Plain Text"/>
    <w:basedOn w:val="Normal"/>
    <w:link w:val="PlainTextChar"/>
    <w:uiPriority w:val="99"/>
    <w:unhideWhenUsed/>
    <w:rsid w:val="00FE5661"/>
    <w:rPr>
      <w:rFonts w:ascii="Consolas" w:eastAsia="Calibri" w:hAnsi="Consolas"/>
      <w:sz w:val="21"/>
      <w:szCs w:val="21"/>
    </w:rPr>
  </w:style>
  <w:style w:type="character" w:customStyle="1" w:styleId="PlainTextChar">
    <w:name w:val="Plain Text Char"/>
    <w:link w:val="PlainText"/>
    <w:uiPriority w:val="99"/>
    <w:rsid w:val="00FE5661"/>
    <w:rPr>
      <w:rFonts w:ascii="Consolas" w:eastAsia="Calibri" w:hAnsi="Consolas"/>
      <w:sz w:val="21"/>
      <w:szCs w:val="21"/>
    </w:rPr>
  </w:style>
  <w:style w:type="character" w:styleId="FootnoteReference">
    <w:name w:val="footnote reference"/>
    <w:unhideWhenUsed/>
    <w:rsid w:val="002900C5"/>
    <w:rPr>
      <w:vertAlign w:val="superscript"/>
    </w:rPr>
  </w:style>
  <w:style w:type="character" w:customStyle="1" w:styleId="CommentTextChar">
    <w:name w:val="Comment Text Char"/>
    <w:link w:val="CommentText"/>
    <w:semiHidden/>
    <w:rsid w:val="00EC2392"/>
  </w:style>
  <w:style w:type="paragraph" w:styleId="Revision">
    <w:name w:val="Revision"/>
    <w:hidden/>
    <w:uiPriority w:val="99"/>
    <w:semiHidden/>
    <w:rsid w:val="00837A56"/>
    <w:rPr>
      <w:sz w:val="24"/>
      <w:szCs w:val="24"/>
      <w:lang w:eastAsia="en-US"/>
    </w:rPr>
  </w:style>
  <w:style w:type="paragraph" w:styleId="FootnoteText">
    <w:name w:val="footnote text"/>
    <w:basedOn w:val="Normal"/>
    <w:link w:val="FootnoteTextChar"/>
    <w:unhideWhenUsed/>
    <w:rsid w:val="00B128D9"/>
    <w:pPr>
      <w:jc w:val="both"/>
    </w:pPr>
    <w:rPr>
      <w:rFonts w:ascii="Arial" w:eastAsia="Calibri" w:hAnsi="Arial"/>
      <w:sz w:val="20"/>
      <w:szCs w:val="20"/>
      <w:lang w:val="x-none" w:eastAsia="x-none"/>
    </w:rPr>
  </w:style>
  <w:style w:type="character" w:customStyle="1" w:styleId="FootnoteTextChar">
    <w:name w:val="Footnote Text Char"/>
    <w:link w:val="FootnoteText"/>
    <w:rsid w:val="00B128D9"/>
    <w:rPr>
      <w:rFonts w:ascii="Arial" w:eastAsia="Calibri" w:hAnsi="Arial"/>
      <w:lang w:val="x-none" w:eastAsia="x-none"/>
    </w:rPr>
  </w:style>
  <w:style w:type="character" w:styleId="UnresolvedMention">
    <w:name w:val="Unresolved Mention"/>
    <w:uiPriority w:val="99"/>
    <w:semiHidden/>
    <w:unhideWhenUsed/>
    <w:rsid w:val="00EE29AA"/>
    <w:rPr>
      <w:color w:val="605E5C"/>
      <w:shd w:val="clear" w:color="auto" w:fill="E1DFDD"/>
    </w:rPr>
  </w:style>
  <w:style w:type="paragraph" w:styleId="ListParagraph">
    <w:name w:val="List Paragraph"/>
    <w:basedOn w:val="Normal"/>
    <w:uiPriority w:val="34"/>
    <w:qFormat/>
    <w:pPr>
      <w:ind w:left="720"/>
      <w:contextualSpacing/>
    </w:p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news.release/archives/ecec_03172023.pdf" TargetMode="External" /><Relationship Id="rId2" Type="http://schemas.openxmlformats.org/officeDocument/2006/relationships/hyperlink" Target="https://www.opm.gov/policy-data-oversight/pay-leave/salaries-wages/salary-tables/23Tables/html/DCB_h.aspx" TargetMode="External" /><Relationship Id="rId3" Type="http://schemas.openxmlformats.org/officeDocument/2006/relationships/hyperlink" Target="https://www.cbo.gov/publication/5263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OCPOStatus xmlns="35ed0374-b151-4ae4-94a0-04f0fe261645" xsi:nil="true"/>
    <IsParent xmlns="35ed0374-b151-4ae4-94a0-04f0fe261645">false</IsParent>
    <PRANumber xmlns="35ed0374-b151-4ae4-94a0-04f0fe261645">PRA-ISD-00001301</PRANumber>
    <OCIOStatus xmlns="35ed0374-b151-4ae4-94a0-04f0fe261645" xsi:nil="true"/>
    <Stage xmlns="35ed0374-b151-4ae4-94a0-04f0fe261645" xsi:nil="true"/>
    <PackageType xmlns="35ed0374-b151-4ae4-94a0-04f0fe261645" xsi:nil="true"/>
    <OCEStatus xmlns="35ed0374-b151-4ae4-94a0-04f0fe261645" xsi:nil="true"/>
    <ProgramOffice xmlns="35ed0374-b151-4ae4-94a0-04f0fe261645" xsi:nil="true"/>
    <Comments xmlns="35ed0374-b151-4ae4-94a0-04f0fe261645" xsi:nil="true"/>
    <Requester xmlns="35ed0374-b151-4ae4-94a0-04f0fe261645">
      <UserInfo>
        <DisplayName/>
        <AccountId xsi:nil="true"/>
        <AccountType/>
      </UserInfo>
    </Requester>
    <PublicComments xmlns="35ed0374-b151-4ae4-94a0-04f0fe261645" xsi:nil="true"/>
    <OCCRegulatoryStatus xmlns="35ed0374-b151-4ae4-94a0-04f0fe261645" xsi:nil="true"/>
    <OCCStatus xmlns="35ed0374-b151-4ae4-94a0-04f0fe261645" xsi:nil="true"/>
    <CIOStatus xmlns="35ed0374-b151-4ae4-94a0-04f0fe261645" xsi:nil="true"/>
    <RequestTitle xmlns="35ed0374-b151-4ae4-94a0-04f0fe261645" xsi:nil="true"/>
    <FinalEmail xmlns="35ed0374-b151-4ae4-94a0-04f0fe261645">No</FinalEmail>
    <PACTApprove xmlns="35ed0374-b151-4ae4-94a0-04f0fe261645">No</PACTApprove>
    <OCIOApprove xmlns="35ed0374-b151-4ae4-94a0-04f0fe261645">No</OCIOApprove>
    <UnderReviewDateOCC xmlns="35ed0374-b151-4ae4-94a0-04f0fe261645" xsi:nil="true"/>
    <StagesStatus xmlns="35ed0374-b151-4ae4-94a0-04f0fe261645" xsi:nil="true"/>
    <ROCISUpload xmlns="35ed0374-b151-4ae4-94a0-04f0fe261645">No</ROCISUpload>
    <SenttoOMB xmlns="35ed0374-b151-4ae4-94a0-04f0fe261645">No</SenttoOMB>
    <UnderReviewDateOCIO xmlns="35ed0374-b151-4ae4-94a0-04f0fe261645" xsi:nil="true"/>
    <UnderReviewDateCIO xmlns="35ed0374-b151-4ae4-94a0-04f0fe261645" xsi:nil="true"/>
    <UnderReviewDateOCCReg xmlns="35ed0374-b151-4ae4-94a0-04f0fe261645" xsi:nil="true"/>
    <DraftEmailSent_x003f_ xmlns="35ed0374-b151-4ae4-94a0-04f0fe261645">No</DraftEmailSent_x003f_>
    <OCCRegulatoryApprove xmlns="35ed0374-b151-4ae4-94a0-04f0fe261645">No</OCCRegulatoryApprove>
    <OCCApprove xmlns="35ed0374-b151-4ae4-94a0-04f0fe261645">No</OCCApprove>
    <OCIO_x002d_Current_x002d_Stage xmlns="35ed0374-b151-4ae4-94a0-04f0fe261645" xsi:nil="true"/>
    <CIOApprove xmlns="35ed0374-b151-4ae4-94a0-04f0fe261645">No</CIOApprove>
    <DHSHQEmail xmlns="35ed0374-b151-4ae4-94a0-04f0fe261645">No</DHSHQEmail>
    <UnderReviewOCEPACT xmlns="35ed0374-b151-4ae4-94a0-04f0fe261645" xsi:nil="true"/>
    <OCEApprove xmlns="35ed0374-b151-4ae4-94a0-04f0fe261645">No</OCEApprove>
    <SharedWithUsers xmlns="bb9c4385-f00e-424a-8666-326e0b072e9d">
      <UserInfo>
        <DisplayName>Bird, Gregory</DisplayName>
        <AccountId>930</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471D1F9F56563478D31D8EF70E6A94E" ma:contentTypeVersion="61" ma:contentTypeDescription="Create a new document." ma:contentTypeScope="" ma:versionID="88112b0a7d1bb6208944f517d525e03c">
  <xsd:schema xmlns:xsd="http://www.w3.org/2001/XMLSchema" xmlns:xs="http://www.w3.org/2001/XMLSchema" xmlns:p="http://schemas.microsoft.com/office/2006/metadata/properties" xmlns:ns2="35ed0374-b151-4ae4-94a0-04f0fe261645" xmlns:ns3="bb9c4385-f00e-424a-8666-326e0b072e9d" targetNamespace="http://schemas.microsoft.com/office/2006/metadata/properties" ma:root="true" ma:fieldsID="79f285da41a334dd8370c8aa51b4e872" ns2:_="" ns3:_="">
    <xsd:import namespace="35ed0374-b151-4ae4-94a0-04f0fe261645"/>
    <xsd:import namespace="bb9c4385-f00e-424a-8666-326e0b072e9d"/>
    <xsd:element name="properties">
      <xsd:complexType>
        <xsd:sequence>
          <xsd:element name="documentManagement">
            <xsd:complexType>
              <xsd:all>
                <xsd:element ref="ns2:PRANumber" minOccurs="0"/>
                <xsd:element ref="ns2:Requester" minOccurs="0"/>
                <xsd:element ref="ns2:IsParent" minOccurs="0"/>
                <xsd:element ref="ns2:Stage" minOccurs="0"/>
                <xsd:element ref="ns2:OCCStatus" minOccurs="0"/>
                <xsd:element ref="ns2:OCEStatus" minOccurs="0"/>
                <xsd:element ref="ns2:OCPOStatus" minOccurs="0"/>
                <xsd:element ref="ns2:ProgramOffice" minOccurs="0"/>
                <xsd:element ref="ns2:Comments" minOccurs="0"/>
                <xsd:element ref="ns2:OCIOStatus" minOccurs="0"/>
                <xsd:element ref="ns2:PackageType" minOccurs="0"/>
                <xsd:element ref="ns2:PublicComments" minOccurs="0"/>
                <xsd:element ref="ns2:CIOStatus" minOccurs="0"/>
                <xsd:element ref="ns2:OCCRegulatoryStatus" minOccurs="0"/>
                <xsd:element ref="ns2:MediaServiceMetadata" minOccurs="0"/>
                <xsd:element ref="ns2:MediaServiceFastMetadata" minOccurs="0"/>
                <xsd:element ref="ns3:SharedWithUsers" minOccurs="0"/>
                <xsd:element ref="ns3:SharedWithDetails" minOccurs="0"/>
                <xsd:element ref="ns2:RequestTitle" minOccurs="0"/>
                <xsd:element ref="ns2:MediaServiceObjectDetectorVersions" minOccurs="0"/>
                <xsd:element ref="ns2:DHSHQEmail" minOccurs="0"/>
                <xsd:element ref="ns2:DraftEmailSent_x003f_" minOccurs="0"/>
                <xsd:element ref="ns2:FinalEmail" minOccurs="0"/>
                <xsd:element ref="ns2:OCCApprove" minOccurs="0"/>
                <xsd:element ref="ns2:OCCRegulatoryApprove" minOccurs="0"/>
                <xsd:element ref="ns2:OCIOApprove" minOccurs="0"/>
                <xsd:element ref="ns2:OCEApprove" minOccurs="0"/>
                <xsd:element ref="ns2:OCIO_x002d_Current_x002d_Stage" minOccurs="0"/>
                <xsd:element ref="ns2:PACTApprove" minOccurs="0"/>
                <xsd:element ref="ns2:ROCISUpload" minOccurs="0"/>
                <xsd:element ref="ns2:SenttoOMB" minOccurs="0"/>
                <xsd:element ref="ns2:UnderReviewDateCIO" minOccurs="0"/>
                <xsd:element ref="ns2:UnderReviewDateOCC" minOccurs="0"/>
                <xsd:element ref="ns2:UnderReviewDateOCCReg" minOccurs="0"/>
                <xsd:element ref="ns2:UnderReviewDateOCIO" minOccurs="0"/>
                <xsd:element ref="ns2:UnderReviewOCEPACT" minOccurs="0"/>
                <xsd:element ref="ns2:CIOApprove" minOccurs="0"/>
                <xsd:element ref="ns2:Stages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ed0374-b151-4ae4-94a0-04f0fe261645" elementFormDefault="qualified">
    <xsd:import namespace="http://schemas.microsoft.com/office/2006/documentManagement/types"/>
    <xsd:import namespace="http://schemas.microsoft.com/office/infopath/2007/PartnerControls"/>
    <xsd:element name="PRANumber" ma:index="8" nillable="true" ma:displayName="PRA #" ma:internalName="PRANumber" ma:readOnly="false">
      <xsd:simpleType>
        <xsd:restriction base="dms:Text">
          <xsd:maxLength value="255"/>
        </xsd:restriction>
      </xsd:simpleType>
    </xsd:element>
    <xsd:element name="Requester" ma:index="9" nillable="true" ma:displayName="Requester" ma:list="UserInfo" ma:SharePointGroup="0" ma:internalName="Reques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sParent" ma:index="10" nillable="true" ma:displayName="IsParent" ma:default="0" ma:internalName="IsParent" ma:readOnly="false">
      <xsd:simpleType>
        <xsd:restriction base="dms:Boolean"/>
      </xsd:simpleType>
    </xsd:element>
    <xsd:element name="Stage" ma:index="11" nillable="true" ma:displayName="Stage" ma:format="Dropdown" ma:internalName="Stage" ma:readOnly="false">
      <xsd:simpleType>
        <xsd:restriction base="dms:Choice">
          <xsd:enumeration value="Developing Collection Instruments/Drafting SS-A and 60-Day FRN"/>
          <xsd:enumeration value="Developing Generic Collections Form"/>
          <xsd:enumeration value="Pending OCE/PACT Approval (Generic Collection)"/>
          <xsd:enumeration value="Pending OCC Approval (60-Day FRN)"/>
          <xsd:enumeration value="Pending OCC Approval (Generic Collection)"/>
          <xsd:enumeration value="Pending OCIO Approval (Generic Collection)"/>
          <xsd:enumeration value="Pending PACT/OCE Approval (60-Day FRN)"/>
          <xsd:enumeration value="Pending OCIO Approval (60-Day FRN)"/>
          <xsd:enumeration value="Pending OCC Regulatory Approval (60-Day FRN)"/>
          <xsd:enumeration value="Pending Federal Docket Number (60-Day FRN)"/>
          <xsd:enumeration value="Pending CATT Approval (60 Day FRN)"/>
          <xsd:enumeration value="Pending CIO Signature (60-Day FRN)"/>
          <xsd:enumeration value="60-Day FRN Published"/>
          <xsd:enumeration value="Adjudicating 60-Day FRN Comments"/>
          <xsd:enumeration value="Drafting 30-Day FRN"/>
          <xsd:enumeration value="Pending PACT/OCE Approval (30-Day FRN)"/>
          <xsd:enumeration value="Pending OCIO Approval (30-Day FRN)"/>
          <xsd:enumeration value="Pending OCC Regulatory Approval (30-Day FRN)"/>
          <xsd:enumeration value="Pending OCC Approval (30-Day FRN)"/>
          <xsd:enumeration value="Pending CATT Approval (30 Day FRN)"/>
          <xsd:enumeration value="Pending CIO Signature (30-Day FRN)"/>
          <xsd:enumeration value="30-Day FRN Published"/>
          <xsd:enumeration value="Pending OCIO Approval"/>
          <xsd:enumeration value="Pending OCIO CATT Approval"/>
          <xsd:enumeration value="Generic Approved by OCIO"/>
          <xsd:enumeration value="Pending Upload to ROCIS"/>
          <xsd:enumeration value="With DHS HQ"/>
          <xsd:enumeration value="With OMB"/>
          <xsd:enumeration value="Approved By OMB"/>
          <xsd:enumeration value="Discontinued"/>
          <xsd:enumeration value="Remove PRA"/>
          <xsd:enumeration value="Test Stage"/>
        </xsd:restriction>
      </xsd:simpleType>
    </xsd:element>
    <xsd:element name="OCCStatus" ma:index="12" nillable="true" ma:displayName="OCC Status" ma:format="Dropdown" ma:internalName="OCCStatus" ma:readOnly="false">
      <xsd:simpleType>
        <xsd:restriction base="dms:Choice">
          <xsd:enumeration value="Pending"/>
          <xsd:enumeration value="Under Review"/>
          <xsd:enumeration value="More Information"/>
          <xsd:enumeration value="Approved"/>
        </xsd:restriction>
      </xsd:simpleType>
    </xsd:element>
    <xsd:element name="OCEStatus" ma:index="13" nillable="true" ma:displayName="OCE Status" ma:format="Dropdown" ma:internalName="OCEStatus" ma:readOnly="false">
      <xsd:simpleType>
        <xsd:restriction base="dms:Choice">
          <xsd:enumeration value="Pending"/>
          <xsd:enumeration value="Under Review"/>
          <xsd:enumeration value="More Information"/>
          <xsd:enumeration value="Approved"/>
        </xsd:restriction>
      </xsd:simpleType>
    </xsd:element>
    <xsd:element name="OCPOStatus" ma:index="14" nillable="true" ma:displayName="PACT Status" ma:format="Dropdown" ma:internalName="OCPOStatus" ma:readOnly="false">
      <xsd:simpleType>
        <xsd:restriction base="dms:Choice">
          <xsd:enumeration value="Pending"/>
          <xsd:enumeration value="Under Review"/>
          <xsd:enumeration value="More Information"/>
          <xsd:enumeration value="Approved"/>
        </xsd:restriction>
      </xsd:simpleType>
    </xsd:element>
    <xsd:element name="ProgramOffice" ma:index="15" nillable="true" ma:displayName="Program Office" ma:internalName="ProgramOffice" ma:readOnly="false">
      <xsd:simpleType>
        <xsd:restriction base="dms:Text">
          <xsd:maxLength value="255"/>
        </xsd:restriction>
      </xsd:simpleType>
    </xsd:element>
    <xsd:element name="Comments" ma:index="16" nillable="true" ma:displayName="Comments" ma:internalName="Comments" ma:readOnly="false">
      <xsd:simpleType>
        <xsd:restriction base="dms:Note"/>
      </xsd:simpleType>
    </xsd:element>
    <xsd:element name="OCIOStatus" ma:index="17" nillable="true" ma:displayName="OCIO Status" ma:format="Dropdown" ma:internalName="OCIOStatus" ma:readOnly="false">
      <xsd:simpleType>
        <xsd:restriction base="dms:Choice">
          <xsd:enumeration value="Pending"/>
          <xsd:enumeration value="Under Review"/>
          <xsd:enumeration value="More Information"/>
          <xsd:enumeration value="Approved"/>
        </xsd:restriction>
      </xsd:simpleType>
    </xsd:element>
    <xsd:element name="PackageType" ma:index="18" nillable="true" ma:displayName="Package Type" ma:internalName="PackageType" ma:readOnly="false">
      <xsd:simpleType>
        <xsd:restriction base="dms:Text">
          <xsd:maxLength value="255"/>
        </xsd:restriction>
      </xsd:simpleType>
    </xsd:element>
    <xsd:element name="PublicComments" ma:index="19" nillable="true" ma:displayName="Public Comments" ma:internalName="PublicComments" ma:readOnly="false">
      <xsd:simpleType>
        <xsd:restriction base="dms:Note"/>
      </xsd:simpleType>
    </xsd:element>
    <xsd:element name="CIOStatus" ma:index="20" nillable="true" ma:displayName="CIO Status" ma:format="Dropdown" ma:internalName="CIOStatus" ma:readOnly="false">
      <xsd:simpleType>
        <xsd:restriction base="dms:Choice">
          <xsd:enumeration value="Pending"/>
          <xsd:enumeration value="Under Review"/>
          <xsd:enumeration value="More Information"/>
          <xsd:enumeration value="Approved"/>
          <xsd:enumeration value="N/A"/>
        </xsd:restriction>
      </xsd:simpleType>
    </xsd:element>
    <xsd:element name="OCCRegulatoryStatus" ma:index="21" nillable="true" ma:displayName="OCC Regulatory Status" ma:format="Dropdown" ma:internalName="OCCRegulatoryStatus" ma:readOnly="false">
      <xsd:simpleType>
        <xsd:restriction base="dms:Choice">
          <xsd:enumeration value="Pending"/>
          <xsd:enumeration value="Under Review"/>
          <xsd:enumeration value="More Information"/>
          <xsd:enumeration value="Approved"/>
          <xsd:enumeration value="N/A"/>
        </xsd:restriction>
      </xsd:simple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RequestTitle" ma:index="26" nillable="true" ma:displayName="Request Title" ma:format="Dropdown" ma:internalName="RequestTitle">
      <xsd:simpleType>
        <xsd:restriction base="dms:Text">
          <xsd:maxLength value="255"/>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DHSHQEmail" ma:index="28" nillable="true" ma:displayName="DHSHQEmail" ma:default="No" ma:format="Dropdown" ma:internalName="DHSHQEmail">
      <xsd:simpleType>
        <xsd:restriction base="dms:Choice">
          <xsd:enumeration value="No"/>
          <xsd:enumeration value="Yes"/>
        </xsd:restriction>
      </xsd:simpleType>
    </xsd:element>
    <xsd:element name="DraftEmailSent_x003f_" ma:index="29" nillable="true" ma:displayName="DraftEmailSent?" ma:default="No" ma:format="Dropdown" ma:internalName="DraftEmailSent_x003f_">
      <xsd:simpleType>
        <xsd:restriction base="dms:Choice">
          <xsd:enumeration value="Yes"/>
          <xsd:enumeration value="No"/>
        </xsd:restriction>
      </xsd:simpleType>
    </xsd:element>
    <xsd:element name="FinalEmail" ma:index="30" nillable="true" ma:displayName="FinalEmail" ma:default="No" ma:format="Dropdown" ma:internalName="FinalEmail">
      <xsd:simpleType>
        <xsd:restriction base="dms:Choice">
          <xsd:enumeration value="Yes"/>
          <xsd:enumeration value="No"/>
        </xsd:restriction>
      </xsd:simpleType>
    </xsd:element>
    <xsd:element name="OCCApprove" ma:index="31" nillable="true" ma:displayName="OCCApprove" ma:default="No" ma:format="Dropdown" ma:internalName="OCCApprove">
      <xsd:simpleType>
        <xsd:restriction base="dms:Choice">
          <xsd:enumeration value="Yes"/>
          <xsd:enumeration value="No"/>
          <xsd:enumeration value="Need More Information"/>
        </xsd:restriction>
      </xsd:simpleType>
    </xsd:element>
    <xsd:element name="OCCRegulatoryApprove" ma:index="32" nillable="true" ma:displayName="OCCRegulatoryApprove" ma:default="No" ma:format="Dropdown" ma:internalName="OCCRegulatoryApprove">
      <xsd:simpleType>
        <xsd:restriction base="dms:Choice">
          <xsd:enumeration value="Yes"/>
          <xsd:enumeration value="No"/>
          <xsd:enumeration value="Need More Information"/>
        </xsd:restriction>
      </xsd:simpleType>
    </xsd:element>
    <xsd:element name="OCIOApprove" ma:index="33" nillable="true" ma:displayName="OCIOApprove" ma:default="No" ma:format="Dropdown" ma:internalName="OCIOApprove">
      <xsd:simpleType>
        <xsd:restriction base="dms:Choice">
          <xsd:enumeration value="Yes"/>
          <xsd:enumeration value="No"/>
          <xsd:enumeration value="Need More Information"/>
        </xsd:restriction>
      </xsd:simpleType>
    </xsd:element>
    <xsd:element name="OCEApprove" ma:index="34" nillable="true" ma:displayName="OCEApprove" ma:default="No" ma:format="Dropdown" ma:internalName="OCEApprove">
      <xsd:simpleType>
        <xsd:restriction base="dms:Choice">
          <xsd:enumeration value="Yes"/>
          <xsd:enumeration value="No"/>
          <xsd:enumeration value="Need More Information"/>
        </xsd:restriction>
      </xsd:simpleType>
    </xsd:element>
    <xsd:element name="OCIO_x002d_Current_x002d_Stage" ma:index="35" nillable="true" ma:displayName="OCIO-Current-Stage" ma:format="Dropdown" ma:internalName="OCIO_x002d_Current_x002d_Stage">
      <xsd:simpleType>
        <xsd:restriction base="dms:Choice">
          <xsd:enumeration value="OCIO Generic Approval"/>
          <xsd:enumeration value="OCIO 60 Days FRN Approval"/>
          <xsd:enumeration value="OCIO 30 Days FRN Approval"/>
          <xsd:enumeration value="OCIO Pending 60 Days CATT Approval"/>
          <xsd:enumeration value="OCIO Pending 30 Days CATT Approval"/>
        </xsd:restriction>
      </xsd:simpleType>
    </xsd:element>
    <xsd:element name="PACTApprove" ma:index="36" nillable="true" ma:displayName="PACTApprove" ma:default="No" ma:format="Dropdown" ma:internalName="PACTApprove">
      <xsd:simpleType>
        <xsd:restriction base="dms:Choice">
          <xsd:enumeration value="Yes"/>
          <xsd:enumeration value="No"/>
          <xsd:enumeration value="Need More Information"/>
        </xsd:restriction>
      </xsd:simpleType>
    </xsd:element>
    <xsd:element name="ROCISUpload" ma:index="37" nillable="true" ma:displayName="ROCISUpload" ma:default="No" ma:format="Dropdown" ma:internalName="ROCISUpload">
      <xsd:simpleType>
        <xsd:restriction base="dms:Choice">
          <xsd:enumeration value="Yes"/>
          <xsd:enumeration value="No"/>
        </xsd:restriction>
      </xsd:simpleType>
    </xsd:element>
    <xsd:element name="SenttoOMB" ma:index="38" nillable="true" ma:displayName="SenttoOMB" ma:default="No" ma:format="Dropdown" ma:internalName="SenttoOMB">
      <xsd:simpleType>
        <xsd:restriction base="dms:Choice">
          <xsd:enumeration value="Yes"/>
          <xsd:enumeration value="No"/>
        </xsd:restriction>
      </xsd:simpleType>
    </xsd:element>
    <xsd:element name="UnderReviewDateCIO" ma:index="39" nillable="true" ma:displayName="UnderReviewDateCIO" ma:format="DateOnly" ma:internalName="UnderReviewDateCIO">
      <xsd:simpleType>
        <xsd:restriction base="dms:DateTime"/>
      </xsd:simpleType>
    </xsd:element>
    <xsd:element name="UnderReviewDateOCC" ma:index="40" nillable="true" ma:displayName="UnderReviewDateOCC" ma:format="DateOnly" ma:internalName="UnderReviewDateOCC">
      <xsd:simpleType>
        <xsd:restriction base="dms:DateTime"/>
      </xsd:simpleType>
    </xsd:element>
    <xsd:element name="UnderReviewDateOCCReg" ma:index="41" nillable="true" ma:displayName="UnderReviewDateOCCReg" ma:format="DateOnly" ma:internalName="UnderReviewDateOCCReg">
      <xsd:simpleType>
        <xsd:restriction base="dms:DateTime"/>
      </xsd:simpleType>
    </xsd:element>
    <xsd:element name="UnderReviewDateOCIO" ma:index="42" nillable="true" ma:displayName="UnderReviewDateOCIO" ma:format="DateOnly" ma:internalName="UnderReviewDateOCIO">
      <xsd:simpleType>
        <xsd:restriction base="dms:DateTime"/>
      </xsd:simpleType>
    </xsd:element>
    <xsd:element name="UnderReviewOCEPACT" ma:index="43" nillable="true" ma:displayName="UnderReviewOCEPACT" ma:format="DateOnly" ma:internalName="UnderReviewOCEPACT">
      <xsd:simpleType>
        <xsd:restriction base="dms:DateTime"/>
      </xsd:simpleType>
    </xsd:element>
    <xsd:element name="CIOApprove" ma:index="44" nillable="true" ma:displayName="CIOApprove" ma:default="No" ma:format="Dropdown" ma:internalName="CIOApprove">
      <xsd:simpleType>
        <xsd:restriction base="dms:Choice">
          <xsd:enumeration value="Yes"/>
          <xsd:enumeration value="No"/>
          <xsd:enumeration value="Need More Information"/>
        </xsd:restriction>
      </xsd:simpleType>
    </xsd:element>
    <xsd:element name="StagesStatus" ma:index="45" nillable="true" ma:displayName="Stages Status" ma:format="Dropdown" ma:internalName="StagesStatus">
      <xsd:simpleType>
        <xsd:restriction base="dms:Choice">
          <xsd:enumeration value="60 Days FRN"/>
          <xsd:enumeration value="30 Days FRN"/>
          <xsd:enumeration value="Collections"/>
        </xsd:restriction>
      </xsd:simpleType>
    </xsd:element>
  </xsd:schema>
  <xsd:schema xmlns:xsd="http://www.w3.org/2001/XMLSchema" xmlns:xs="http://www.w3.org/2001/XMLSchema" xmlns:dms="http://schemas.microsoft.com/office/2006/documentManagement/types" xmlns:pc="http://schemas.microsoft.com/office/infopath/2007/PartnerControls" targetNamespace="bb9c4385-f00e-424a-8666-326e0b072e9d" elementFormDefault="qualified">
    <xsd:import namespace="http://schemas.microsoft.com/office/2006/documentManagement/types"/>
    <xsd:import namespace="http://schemas.microsoft.com/office/infopath/2007/PartnerControls"/>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793D00-62E4-45B7-8F16-2CBE9030AE4F}">
  <ds:schemaRefs>
    <ds:schemaRef ds:uri="http://schemas.microsoft.com/office/2006/metadata/longProperties"/>
  </ds:schemaRefs>
</ds:datastoreItem>
</file>

<file path=customXml/itemProps2.xml><?xml version="1.0" encoding="utf-8"?>
<ds:datastoreItem xmlns:ds="http://schemas.openxmlformats.org/officeDocument/2006/customXml" ds:itemID="{F6530DE0-D0FE-40D3-A365-BE4AEB284509}">
  <ds:schemaRefs>
    <ds:schemaRef ds:uri="http://schemas.openxmlformats.org/officeDocument/2006/bibliography"/>
  </ds:schemaRefs>
</ds:datastoreItem>
</file>

<file path=customXml/itemProps3.xml><?xml version="1.0" encoding="utf-8"?>
<ds:datastoreItem xmlns:ds="http://schemas.openxmlformats.org/officeDocument/2006/customXml" ds:itemID="{3032BC89-F5C7-43D2-B999-37D6AFEF801D}">
  <ds:schemaRefs>
    <ds:schemaRef ds:uri="http://schemas.microsoft.com/office/2006/metadata/properties"/>
    <ds:schemaRef ds:uri="http://schemas.microsoft.com/office/infopath/2007/PartnerControls"/>
    <ds:schemaRef ds:uri="35ed0374-b151-4ae4-94a0-04f0fe261645"/>
    <ds:schemaRef ds:uri="bb9c4385-f00e-424a-8666-326e0b072e9d"/>
  </ds:schemaRefs>
</ds:datastoreItem>
</file>

<file path=customXml/itemProps4.xml><?xml version="1.0" encoding="utf-8"?>
<ds:datastoreItem xmlns:ds="http://schemas.openxmlformats.org/officeDocument/2006/customXml" ds:itemID="{4A60EFC1-8B26-485B-A595-C77C703E9FEA}">
  <ds:schemaRefs>
    <ds:schemaRef ds:uri="http://schemas.microsoft.com/sharepoint/v3/contenttype/forms"/>
  </ds:schemaRefs>
</ds:datastoreItem>
</file>

<file path=customXml/itemProps5.xml><?xml version="1.0" encoding="utf-8"?>
<ds:datastoreItem xmlns:ds="http://schemas.openxmlformats.org/officeDocument/2006/customXml" ds:itemID="{A4B436E7-9A3E-4C6B-8B11-CAEB7A4EB4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ed0374-b151-4ae4-94a0-04f0fe261645"/>
    <ds:schemaRef ds:uri="bb9c4385-f00e-424a-8666-326e0b072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2632</Words>
  <Characters>15354</Characters>
  <Application>Microsoft Office Word</Application>
  <DocSecurity>0</DocSecurity>
  <Lines>127</Lines>
  <Paragraphs>35</Paragraphs>
  <ScaleCrop>false</ScaleCrop>
  <Company>FEMA</Company>
  <LinksUpToDate>false</LinksUpToDate>
  <CharactersWithSpaces>17951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 Template</dc:title>
  <dc:creator>fema user</dc:creator>
  <cp:lastModifiedBy>WALSH, CHRISTINA</cp:lastModifiedBy>
  <cp:revision>2</cp:revision>
  <cp:lastPrinted>2014-02-10T22:56:00Z</cp:lastPrinted>
  <dcterms:created xsi:type="dcterms:W3CDTF">2023-12-19T19:49:00Z</dcterms:created>
  <dcterms:modified xsi:type="dcterms:W3CDTF">2023-12-19T19:49:00Z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Supporting Statement A</vt:lpwstr>
  </property>
  <property fmtid="{D5CDD505-2E9C-101B-9397-08002B2CF9AE}" pid="3" name="CIOApprovalLink">
    <vt:lpwstr>, </vt:lpwstr>
  </property>
  <property fmtid="{D5CDD505-2E9C-101B-9397-08002B2CF9AE}" pid="4" name="CIOResubmitLink">
    <vt:lpwstr>, </vt:lpwstr>
  </property>
  <property fmtid="{D5CDD505-2E9C-101B-9397-08002B2CF9AE}" pid="5" name="ContentType">
    <vt:lpwstr>Document</vt:lpwstr>
  </property>
  <property fmtid="{D5CDD505-2E9C-101B-9397-08002B2CF9AE}" pid="6" name="ContentTypeId">
    <vt:lpwstr>0x0101009471D1F9F56563478D31D8EF70E6A94E</vt:lpwstr>
  </property>
  <property fmtid="{D5CDD505-2E9C-101B-9397-08002B2CF9AE}" pid="7" name="Document Type">
    <vt:lpwstr>ICR Forms &amp; Templates</vt:lpwstr>
  </property>
  <property fmtid="{D5CDD505-2E9C-101B-9397-08002B2CF9AE}" pid="8" name="ICR Element">
    <vt:lpwstr>Supporting Statement A</vt:lpwstr>
  </property>
  <property fmtid="{D5CDD505-2E9C-101B-9397-08002B2CF9AE}" pid="9" name="MSIP_Label_a2eef23d-2e95-4428-9a3c-2526d95b164a_ActionId">
    <vt:lpwstr>7d023c0b-3d0d-42bb-a7fa-174207722881</vt:lpwstr>
  </property>
  <property fmtid="{D5CDD505-2E9C-101B-9397-08002B2CF9AE}" pid="10" name="MSIP_Label_a2eef23d-2e95-4428-9a3c-2526d95b164a_ContentBits">
    <vt:lpwstr>0</vt:lpwstr>
  </property>
  <property fmtid="{D5CDD505-2E9C-101B-9397-08002B2CF9AE}" pid="11" name="MSIP_Label_a2eef23d-2e95-4428-9a3c-2526d95b164a_Enabled">
    <vt:lpwstr>true</vt:lpwstr>
  </property>
  <property fmtid="{D5CDD505-2E9C-101B-9397-08002B2CF9AE}" pid="12" name="MSIP_Label_a2eef23d-2e95-4428-9a3c-2526d95b164a_Method">
    <vt:lpwstr>Standard</vt:lpwstr>
  </property>
  <property fmtid="{D5CDD505-2E9C-101B-9397-08002B2CF9AE}" pid="13" name="MSIP_Label_a2eef23d-2e95-4428-9a3c-2526d95b164a_Name">
    <vt:lpwstr>For Official Use Only (FOUO)</vt:lpwstr>
  </property>
  <property fmtid="{D5CDD505-2E9C-101B-9397-08002B2CF9AE}" pid="14" name="MSIP_Label_a2eef23d-2e95-4428-9a3c-2526d95b164a_SetDate">
    <vt:lpwstr>2022-02-28T18:52:21Z</vt:lpwstr>
  </property>
  <property fmtid="{D5CDD505-2E9C-101B-9397-08002B2CF9AE}" pid="15" name="MSIP_Label_a2eef23d-2e95-4428-9a3c-2526d95b164a_SiteId">
    <vt:lpwstr>3ccde76c-946d-4a12-bb7a-fc9d0842354a</vt:lpwstr>
  </property>
  <property fmtid="{D5CDD505-2E9C-101B-9397-08002B2CF9AE}" pid="16" name="OCCApprovalLink">
    <vt:lpwstr>, </vt:lpwstr>
  </property>
  <property fmtid="{D5CDD505-2E9C-101B-9397-08002B2CF9AE}" pid="17" name="OCCRegulatoryApprovalLink">
    <vt:lpwstr>, </vt:lpwstr>
  </property>
  <property fmtid="{D5CDD505-2E9C-101B-9397-08002B2CF9AE}" pid="18" name="OCCRegulatoryResubmitLink">
    <vt:lpwstr>, </vt:lpwstr>
  </property>
  <property fmtid="{D5CDD505-2E9C-101B-9397-08002B2CF9AE}" pid="19" name="OCCResubmitLink">
    <vt:lpwstr>, </vt:lpwstr>
  </property>
  <property fmtid="{D5CDD505-2E9C-101B-9397-08002B2CF9AE}" pid="20" name="OCEApprovalLink">
    <vt:lpwstr>, </vt:lpwstr>
  </property>
  <property fmtid="{D5CDD505-2E9C-101B-9397-08002B2CF9AE}" pid="21" name="OCEResubmitLink">
    <vt:lpwstr>, </vt:lpwstr>
  </property>
  <property fmtid="{D5CDD505-2E9C-101B-9397-08002B2CF9AE}" pid="22" name="OCIOApprovalLink">
    <vt:lpwstr>, </vt:lpwstr>
  </property>
  <property fmtid="{D5CDD505-2E9C-101B-9397-08002B2CF9AE}" pid="23" name="OCIOResubmitLink">
    <vt:lpwstr>, </vt:lpwstr>
  </property>
  <property fmtid="{D5CDD505-2E9C-101B-9397-08002B2CF9AE}" pid="24" name="OCPOApprovalLink">
    <vt:lpwstr>, </vt:lpwstr>
  </property>
  <property fmtid="{D5CDD505-2E9C-101B-9397-08002B2CF9AE}" pid="25" name="OCPOResubmitLink">
    <vt:lpwstr>, </vt:lpwstr>
  </property>
  <property fmtid="{D5CDD505-2E9C-101B-9397-08002B2CF9AE}" pid="26" name="_dlc_DocId">
    <vt:lpwstr>5YJZXJV6V4SC-902-312</vt:lpwstr>
  </property>
  <property fmtid="{D5CDD505-2E9C-101B-9397-08002B2CF9AE}" pid="27" name="_dlc_DocIdItemGuid">
    <vt:lpwstr>3e86c814-91a3-41ee-b2a6-675f3a60a67c</vt:lpwstr>
  </property>
  <property fmtid="{D5CDD505-2E9C-101B-9397-08002B2CF9AE}" pid="28" name="_dlc_DocIdUrl">
    <vt:lpwstr>http://sptapp.dhs.gov/ESTT/CIO_PRA/_layouts/DocIdRedir.aspx?ID=5YJZXJV6V4SC-902-312, 5YJZXJV6V4SC-902-312</vt:lpwstr>
  </property>
  <property fmtid="{D5CDD505-2E9C-101B-9397-08002B2CF9AE}" pid="29" name="_ExtendedDescription">
    <vt:lpwstr/>
  </property>
</Properties>
</file>