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C05" w:rsidP="009F4D1C" w14:paraId="41776762" w14:textId="4E1BEDA8">
      <w:pPr>
        <w:jc w:val="center"/>
        <w:rPr>
          <w:b/>
          <w:bCs/>
        </w:rPr>
      </w:pPr>
      <w:r w:rsidRPr="00A66B23">
        <w:rPr>
          <w:b/>
          <w:bCs/>
        </w:rPr>
        <w:t>Supporting Statement</w:t>
      </w:r>
    </w:p>
    <w:p w:rsidR="00A66B23" w:rsidRPr="00A66B23" w:rsidP="009F4D1C" w14:paraId="0B357ECA" w14:textId="7B2824E2">
      <w:pPr>
        <w:jc w:val="center"/>
        <w:rPr>
          <w:b/>
          <w:bCs/>
        </w:rPr>
      </w:pPr>
      <w:r>
        <w:rPr>
          <w:b/>
          <w:bCs/>
        </w:rPr>
        <w:t>Internal Revenue Service</w:t>
      </w:r>
    </w:p>
    <w:p w:rsidR="00CA69D2" w:rsidP="003C068B" w14:paraId="352C7EBC" w14:textId="08B434CB">
      <w:pPr>
        <w:jc w:val="center"/>
      </w:pPr>
      <w:r>
        <w:t xml:space="preserve">Form 15424, </w:t>
      </w:r>
      <w:r w:rsidRPr="00CA69D2">
        <w:t>Taxpayer Experience Office Speaker Request</w:t>
      </w:r>
    </w:p>
    <w:p w:rsidR="00930944" w:rsidP="003C068B" w14:paraId="41776764" w14:textId="63EBF29D">
      <w:pPr>
        <w:jc w:val="center"/>
      </w:pPr>
      <w:r>
        <w:t xml:space="preserve">OMB </w:t>
      </w:r>
      <w:r w:rsidR="000E3F50">
        <w:t>Control Number</w:t>
      </w:r>
      <w:r>
        <w:t xml:space="preserve"> 1545-</w:t>
      </w:r>
      <w:r w:rsidR="000F4CD7">
        <w:t>New</w:t>
      </w:r>
    </w:p>
    <w:p w:rsidR="005C2C05" w:rsidRPr="0025604D" w14:paraId="41776765" w14:textId="77777777"/>
    <w:p w:rsidR="005C2C05" w:rsidP="00F41911" w14:paraId="41776766" w14:textId="77777777">
      <w:pPr>
        <w:numPr>
          <w:ilvl w:val="0"/>
          <w:numId w:val="12"/>
        </w:numPr>
        <w:rPr>
          <w:u w:val="single"/>
        </w:rPr>
      </w:pPr>
      <w:r w:rsidRPr="0025604D">
        <w:t xml:space="preserve"> </w:t>
      </w:r>
      <w:r w:rsidRPr="0025604D">
        <w:rPr>
          <w:u w:val="single"/>
        </w:rPr>
        <w:t>Circumstances necessitating the collection of information</w:t>
      </w:r>
    </w:p>
    <w:p w:rsidR="005C2C05" w:rsidRPr="0025604D" w:rsidP="00990870" w14:paraId="41776767" w14:textId="77777777">
      <w:pPr>
        <w:ind w:left="360"/>
        <w:rPr>
          <w:u w:val="single"/>
        </w:rPr>
      </w:pPr>
    </w:p>
    <w:p w:rsidR="00CF0E68" w:rsidP="00CF0E68" w14:paraId="06A1D30D" w14:textId="0125D222">
      <w:bookmarkStart w:id="0" w:name="_Hlk126268962"/>
      <w:r w:rsidRPr="000F4CD7">
        <w:t xml:space="preserve">If an organization would like a representative from Internal Revenue Service (IRS) Taxpayer Experience Office to speak at their event, they can complete the speaker request form. This form provides organizations with a more structured way of making the request. Also, the form streamlines the process by ensuring the IRS receives the necessary information in order to provide a speaker.   </w:t>
      </w:r>
    </w:p>
    <w:p w:rsidR="000F4CD7" w:rsidP="00CF0E68" w14:paraId="22FB1096" w14:textId="08D70734"/>
    <w:p w:rsidR="000F4CD7" w:rsidRPr="008C7C38" w:rsidP="00CF0E68" w14:paraId="3C3C15E1" w14:textId="6DC7574F">
      <w:r>
        <w:t xml:space="preserve">This collection is authorized by </w:t>
      </w:r>
      <w:r>
        <w:t xml:space="preserve">26 </w:t>
      </w:r>
      <w:r>
        <w:t>U</w:t>
      </w:r>
      <w:r w:rsidR="000E3F50">
        <w:t>.</w:t>
      </w:r>
      <w:r>
        <w:t>S</w:t>
      </w:r>
      <w:r w:rsidR="000E3F50">
        <w:t>.</w:t>
      </w:r>
      <w:r>
        <w:t>C</w:t>
      </w:r>
      <w:r w:rsidR="000E3F50">
        <w:t>.</w:t>
      </w:r>
      <w:r>
        <w:t xml:space="preserve"> 7</w:t>
      </w:r>
      <w:r w:rsidR="006F5AF3">
        <w:t>803</w:t>
      </w:r>
      <w:r>
        <w:t xml:space="preserve">. </w:t>
      </w:r>
    </w:p>
    <w:bookmarkEnd w:id="0"/>
    <w:p w:rsidR="005C2C05" w:rsidRPr="0025604D" w:rsidP="00CE2D06" w14:paraId="41776769" w14:textId="77777777"/>
    <w:p w:rsidR="005C2C05" w:rsidRPr="0025604D" w:rsidP="00F41911" w14:paraId="4177676A" w14:textId="77777777">
      <w:pPr>
        <w:numPr>
          <w:ilvl w:val="0"/>
          <w:numId w:val="12"/>
        </w:numPr>
      </w:pPr>
      <w:r w:rsidRPr="0025604D">
        <w:rPr>
          <w:u w:val="single"/>
        </w:rPr>
        <w:t>Use of the data</w:t>
      </w:r>
    </w:p>
    <w:p w:rsidR="005C2C05" w:rsidRPr="0025604D" w:rsidP="003C1AB8" w14:paraId="4177676B" w14:textId="77777777">
      <w:pPr>
        <w:rPr>
          <w:u w:val="single"/>
        </w:rPr>
      </w:pPr>
    </w:p>
    <w:p w:rsidR="00CF0E68" w:rsidP="00CF0E68" w14:paraId="63255A3F" w14:textId="59F076E8">
      <w:r w:rsidRPr="00CA69D2">
        <w:t xml:space="preserve">The data will be used to determine if an IRS speaker will be assigned </w:t>
      </w:r>
      <w:r>
        <w:t xml:space="preserve">to participate in the event </w:t>
      </w:r>
      <w:r w:rsidRPr="00CA69D2">
        <w:t>and to follow up with the requester.</w:t>
      </w:r>
    </w:p>
    <w:p w:rsidR="005C2C05" w:rsidRPr="0025604D" w:rsidP="003C1AB8" w14:paraId="4177676D" w14:textId="77777777">
      <w:r>
        <w:t xml:space="preserve">  </w:t>
      </w:r>
    </w:p>
    <w:p w:rsidR="005C2C05" w:rsidRPr="005378E3" w:rsidP="005378E3" w14:paraId="4177676E" w14:textId="7A929D8D">
      <w:pPr>
        <w:numPr>
          <w:ilvl w:val="0"/>
          <w:numId w:val="12"/>
        </w:numPr>
        <w:rPr>
          <w:u w:val="single"/>
        </w:rPr>
      </w:pPr>
      <w:r w:rsidRPr="0025604D">
        <w:rPr>
          <w:u w:val="single"/>
        </w:rPr>
        <w:t>Use of information technology</w:t>
      </w:r>
      <w:r w:rsidRPr="005378E3">
        <w:rPr>
          <w:u w:val="single"/>
        </w:rPr>
        <w:t xml:space="preserve"> </w:t>
      </w:r>
    </w:p>
    <w:p w:rsidR="005C2C05" w:rsidRPr="0025604D" w:rsidP="00961823" w14:paraId="4177676F" w14:textId="77777777">
      <w:pPr>
        <w:keepNext/>
      </w:pPr>
    </w:p>
    <w:p w:rsidR="005C2C05" w:rsidP="00F72D0B" w14:paraId="41776770" w14:textId="54A9760F">
      <w:r>
        <w:rPr>
          <w:rFonts w:cs="Arial"/>
        </w:rPr>
        <w:t xml:space="preserve">The </w:t>
      </w:r>
      <w:r w:rsidR="00CA69D2">
        <w:rPr>
          <w:rFonts w:cs="Arial"/>
        </w:rPr>
        <w:t xml:space="preserve">IRS provides electronic filing for Form 15424. Requestors can submit their completed form by email directly to the Taxpayer Experience Office. </w:t>
      </w:r>
    </w:p>
    <w:p w:rsidR="005C2C05" w:rsidRPr="0025604D" w:rsidP="00F72D0B" w14:paraId="41776771" w14:textId="77777777"/>
    <w:p w:rsidR="005C2C05" w:rsidRPr="005378E3" w:rsidP="005378E3" w14:paraId="41776772" w14:textId="1117578E">
      <w:pPr>
        <w:numPr>
          <w:ilvl w:val="0"/>
          <w:numId w:val="12"/>
        </w:numPr>
        <w:rPr>
          <w:u w:val="single"/>
        </w:rPr>
      </w:pPr>
      <w:r w:rsidRPr="0025604D">
        <w:rPr>
          <w:u w:val="single"/>
        </w:rPr>
        <w:t>Efforts to identify duplication</w:t>
      </w:r>
      <w:r w:rsidRPr="005378E3">
        <w:rPr>
          <w:u w:val="single"/>
        </w:rPr>
        <w:t xml:space="preserve">   </w:t>
      </w:r>
    </w:p>
    <w:p w:rsidR="005C2C05" w:rsidP="00CC4534" w14:paraId="41776773" w14:textId="77777777"/>
    <w:p w:rsidR="004470CC" w:rsidP="004470CC" w14:paraId="41776774" w14:textId="77777777">
      <w:r w:rsidRPr="00131D26">
        <w:t>The information obtained through this collection is unique and is not already available for use or adaptation from another source.</w:t>
      </w:r>
    </w:p>
    <w:p w:rsidR="005C2C05" w:rsidRPr="0025604D" w:rsidP="00F72D0B" w14:paraId="41776775" w14:textId="77777777"/>
    <w:p w:rsidR="005C2C05" w:rsidRPr="0025604D" w:rsidP="005378E3" w14:paraId="41776776" w14:textId="32966E3A">
      <w:pPr>
        <w:numPr>
          <w:ilvl w:val="0"/>
          <w:numId w:val="12"/>
        </w:numPr>
        <w:rPr>
          <w:u w:val="single"/>
        </w:rPr>
      </w:pPr>
      <w:r w:rsidRPr="0025604D">
        <w:rPr>
          <w:u w:val="single"/>
        </w:rPr>
        <w:t>Impact on small entities</w:t>
      </w:r>
    </w:p>
    <w:p w:rsidR="005C2C05" w:rsidRPr="0025604D" w:rsidP="00F72D0B" w14:paraId="41776777" w14:textId="77777777"/>
    <w:p w:rsidR="004470CC" w:rsidRPr="00131D26" w:rsidP="004470CC" w14:paraId="41776778" w14:textId="77777777">
      <w:r w:rsidRPr="00131D26">
        <w:t>The collection of information requirement will not have a significant economic impact on a substantial number of small entities.</w:t>
      </w:r>
    </w:p>
    <w:p w:rsidR="005C2C05" w:rsidRPr="0025604D" w:rsidP="00F72D0B" w14:paraId="41776779" w14:textId="77777777"/>
    <w:p w:rsidR="005C2C05" w:rsidRPr="0025604D" w:rsidP="005378E3" w14:paraId="4177677A" w14:textId="0A42C96B">
      <w:pPr>
        <w:numPr>
          <w:ilvl w:val="0"/>
          <w:numId w:val="12"/>
        </w:numPr>
        <w:rPr>
          <w:u w:val="single"/>
        </w:rPr>
      </w:pPr>
      <w:r w:rsidRPr="0025604D">
        <w:rPr>
          <w:u w:val="single"/>
        </w:rPr>
        <w:t>Consequences of less frequent collection and obstacles to burden reduction</w:t>
      </w:r>
    </w:p>
    <w:p w:rsidR="005C2C05" w:rsidRPr="0025604D" w:rsidP="00F72D0B" w14:paraId="4177677B" w14:textId="77777777"/>
    <w:p w:rsidR="005C2C05" w:rsidP="00F72D0B" w14:paraId="4177677E" w14:textId="0F01A3C9">
      <w:r w:rsidRPr="00CA69D2">
        <w:t>Consequences of less frequent collection would result in the IRS being unable to ve</w:t>
      </w:r>
      <w:r>
        <w:t>rify t</w:t>
      </w:r>
      <w:r w:rsidRPr="00CA69D2">
        <w:t>he appropriate information received for an event</w:t>
      </w:r>
      <w:r>
        <w:t xml:space="preserve">. As a result, </w:t>
      </w:r>
      <w:r w:rsidRPr="00CA69D2">
        <w:t>IRS representatives will not be approved to speak at that event.</w:t>
      </w:r>
    </w:p>
    <w:p w:rsidR="00CF0E68" w:rsidRPr="0025604D" w:rsidP="00F72D0B" w14:paraId="26A1001F" w14:textId="77777777"/>
    <w:p w:rsidR="005C2C05" w:rsidRPr="0025604D" w:rsidP="005378E3" w14:paraId="4177677F" w14:textId="5D3AB640">
      <w:pPr>
        <w:numPr>
          <w:ilvl w:val="0"/>
          <w:numId w:val="12"/>
        </w:numPr>
        <w:rPr>
          <w:u w:val="single"/>
        </w:rPr>
      </w:pPr>
      <w:r w:rsidRPr="0025604D">
        <w:rPr>
          <w:u w:val="single"/>
        </w:rPr>
        <w:t>Circumstances requiring special information collection</w:t>
      </w:r>
    </w:p>
    <w:p w:rsidR="005C2C05" w:rsidP="00CB003A" w14:paraId="41776780" w14:textId="77777777">
      <w:pPr>
        <w:rPr>
          <w:u w:val="single"/>
        </w:rPr>
      </w:pPr>
    </w:p>
    <w:p w:rsidR="00CF0E68" w:rsidRPr="00F31337" w:rsidP="00CF0E68" w14:paraId="43FDE6AA" w14:textId="77777777">
      <w:r w:rsidRPr="00930944">
        <w:t xml:space="preserve">There are no special circumstances requiring data collection to be inconsistent with </w:t>
      </w:r>
      <w:r>
        <w:t>g</w:t>
      </w:r>
      <w:r w:rsidRPr="00930944">
        <w:t>uidelines in 5 CFR 1320.5(d)(2)</w:t>
      </w:r>
      <w:r>
        <w:t>.</w:t>
      </w:r>
    </w:p>
    <w:p w:rsidR="005C2C05" w:rsidRPr="0025604D" w:rsidP="00CB003A" w14:paraId="41776782" w14:textId="77777777"/>
    <w:p w:rsidR="005C2C05" w:rsidRPr="0025604D" w:rsidP="005378E3" w14:paraId="41776783" w14:textId="0828EB6B">
      <w:pPr>
        <w:numPr>
          <w:ilvl w:val="0"/>
          <w:numId w:val="12"/>
        </w:numPr>
        <w:rPr>
          <w:u w:val="single"/>
        </w:rPr>
      </w:pPr>
      <w:r w:rsidRPr="0025604D">
        <w:rPr>
          <w:u w:val="single"/>
        </w:rPr>
        <w:t>Solicitation of comments on information collection</w:t>
      </w:r>
    </w:p>
    <w:p w:rsidR="005C2C05" w:rsidRPr="0025604D" w:rsidP="00CB003A" w14:paraId="41776784" w14:textId="77777777"/>
    <w:p w:rsidR="00C935EA" w:rsidRPr="00961267" w:rsidP="00961267" w14:paraId="43722CAD" w14:textId="106828DA">
      <w:r w:rsidRPr="00961267">
        <w:t xml:space="preserve">In response to the Federal Register notice dated </w:t>
      </w:r>
      <w:r w:rsidR="005B5BDC">
        <w:t>September 1</w:t>
      </w:r>
      <w:r w:rsidR="009F009A">
        <w:t>9</w:t>
      </w:r>
      <w:r w:rsidRPr="00961267">
        <w:t>,</w:t>
      </w:r>
      <w:r w:rsidR="005B5BDC">
        <w:t xml:space="preserve"> 2023,</w:t>
      </w:r>
      <w:r w:rsidRPr="00961267">
        <w:t xml:space="preserve"> </w:t>
      </w:r>
      <w:r w:rsidR="005B5BDC">
        <w:t xml:space="preserve">88 </w:t>
      </w:r>
      <w:r w:rsidRPr="00961267">
        <w:t xml:space="preserve">FR </w:t>
      </w:r>
      <w:r w:rsidR="000E3F50">
        <w:t>64521</w:t>
      </w:r>
      <w:r w:rsidRPr="00961267">
        <w:t xml:space="preserve">, </w:t>
      </w:r>
      <w:r w:rsidR="001D09DC">
        <w:t xml:space="preserve">the </w:t>
      </w:r>
      <w:r w:rsidR="005B5BDC">
        <w:t xml:space="preserve">IRS did not </w:t>
      </w:r>
      <w:r w:rsidRPr="005B5BDC" w:rsidR="005B5BDC">
        <w:t>receive</w:t>
      </w:r>
      <w:r w:rsidRPr="00961267">
        <w:t xml:space="preserve"> </w:t>
      </w:r>
      <w:r w:rsidR="005B5BDC">
        <w:t xml:space="preserve">any </w:t>
      </w:r>
      <w:r w:rsidRPr="00961267">
        <w:t>comments during the comment period</w:t>
      </w:r>
      <w:r>
        <w:t>.</w:t>
      </w:r>
      <w:r w:rsidRPr="00961267">
        <w:t xml:space="preserve"> </w:t>
      </w:r>
    </w:p>
    <w:p w:rsidR="005C2C05" w:rsidRPr="0025604D" w:rsidP="00CB003A" w14:paraId="41776788" w14:textId="77777777"/>
    <w:p w:rsidR="00923A34" w:rsidRPr="00923A34" w:rsidP="008D00D2" w14:paraId="41776789" w14:textId="04A11156">
      <w:pPr>
        <w:numPr>
          <w:ilvl w:val="0"/>
          <w:numId w:val="12"/>
        </w:numPr>
        <w:rPr>
          <w:u w:val="single"/>
        </w:rPr>
      </w:pPr>
      <w:r w:rsidRPr="00923A34">
        <w:rPr>
          <w:u w:val="single"/>
        </w:rPr>
        <w:t>E</w:t>
      </w:r>
      <w:r>
        <w:rPr>
          <w:u w:val="single"/>
        </w:rPr>
        <w:t>xplanation of decision to provide any payment or gift to respondents</w:t>
      </w:r>
    </w:p>
    <w:p w:rsidR="00923A34" w:rsidRPr="00923A34" w:rsidP="00923A34" w14:paraId="4177678A" w14:textId="77777777">
      <w:pPr>
        <w:keepNext/>
        <w:ind w:firstLine="360"/>
        <w:rPr>
          <w:u w:val="single"/>
        </w:rPr>
      </w:pPr>
    </w:p>
    <w:p w:rsidR="005C2C05" w:rsidRPr="00923A34" w:rsidP="00923A34" w14:paraId="4177678B" w14:textId="03F0B5FD">
      <w:pPr>
        <w:keepNext/>
      </w:pPr>
      <w:r w:rsidRPr="00923A34">
        <w:t>No payment or gift has been provided to any respondents</w:t>
      </w:r>
      <w:r w:rsidR="00CB3662">
        <w:t>.</w:t>
      </w:r>
    </w:p>
    <w:p w:rsidR="00923A34" w:rsidRPr="0025604D" w:rsidP="00923A34" w14:paraId="4177678C" w14:textId="77777777">
      <w:pPr>
        <w:keepNext/>
        <w:ind w:firstLine="360"/>
      </w:pPr>
    </w:p>
    <w:p w:rsidR="005C2C05" w:rsidRPr="008D00D2" w:rsidP="008D00D2" w14:paraId="4177678D" w14:textId="2EEEB465">
      <w:pPr>
        <w:numPr>
          <w:ilvl w:val="0"/>
          <w:numId w:val="12"/>
        </w:numPr>
        <w:rPr>
          <w:u w:val="single"/>
        </w:rPr>
      </w:pPr>
      <w:r w:rsidRPr="0025604D">
        <w:rPr>
          <w:u w:val="single"/>
        </w:rPr>
        <w:t>Assurance of confidentiality</w:t>
      </w:r>
    </w:p>
    <w:p w:rsidR="005C2C05" w:rsidRPr="0025604D" w:rsidP="00666B6D" w14:paraId="4177678E" w14:textId="77777777">
      <w:pPr>
        <w:keepNext/>
      </w:pPr>
    </w:p>
    <w:p w:rsidR="005C2C05" w:rsidP="00CB003A" w14:paraId="4177678F" w14:textId="60DC6C95">
      <w:r>
        <w:t>Generally, tax returns and tax return information are confidential as required by 26 U</w:t>
      </w:r>
      <w:r w:rsidR="000E3F50">
        <w:t>.</w:t>
      </w:r>
      <w:r>
        <w:t>S</w:t>
      </w:r>
      <w:r w:rsidR="000E3F50">
        <w:t>.</w:t>
      </w:r>
      <w:r>
        <w:t>C</w:t>
      </w:r>
      <w:r w:rsidR="000E3F50">
        <w:t>.</w:t>
      </w:r>
      <w:r>
        <w:t xml:space="preserve"> 6103.</w:t>
      </w:r>
    </w:p>
    <w:p w:rsidR="005C2C05" w:rsidRPr="0025604D" w:rsidP="00CB003A" w14:paraId="41776790" w14:textId="77777777"/>
    <w:p w:rsidR="005C2C05" w:rsidRPr="0025604D" w:rsidP="008D00D2" w14:paraId="41776791" w14:textId="4AB00ED6">
      <w:pPr>
        <w:numPr>
          <w:ilvl w:val="0"/>
          <w:numId w:val="12"/>
        </w:numPr>
        <w:rPr>
          <w:u w:val="single"/>
        </w:rPr>
      </w:pPr>
      <w:r w:rsidRPr="0025604D">
        <w:rPr>
          <w:u w:val="single"/>
        </w:rPr>
        <w:t>Justification of sensitive questions</w:t>
      </w:r>
    </w:p>
    <w:p w:rsidR="005C2C05" w:rsidRPr="0025604D" w:rsidP="00CB003A" w14:paraId="41776792" w14:textId="77777777"/>
    <w:p w:rsidR="00116640" w:rsidP="00116640" w14:paraId="41776793" w14:textId="68DB9513">
      <w:r>
        <w:t xml:space="preserve">A privacy impact assessment (PIA) has been conducted for information collected under this request as part of the </w:t>
      </w:r>
      <w:r w:rsidRPr="00CA69D2" w:rsidR="00691F70">
        <w:rPr>
          <w:bCs/>
        </w:rPr>
        <w:t>“</w:t>
      </w:r>
      <w:r w:rsidR="00E67451">
        <w:t>Correspondence Files and Correspondence Control Files—Treasury/IRS.</w:t>
      </w:r>
      <w:r w:rsidRPr="00CA69D2" w:rsidR="00691F70">
        <w:rPr>
          <w:bCs/>
        </w:rPr>
        <w:t>”</w:t>
      </w:r>
      <w:r>
        <w:t xml:space="preserve"> system</w:t>
      </w:r>
      <w:r w:rsidR="00691F70">
        <w:t>,</w:t>
      </w:r>
      <w:r>
        <w:t xml:space="preserve"> and a Privacy Act System of Records notice (SORN) has been issued for this system under </w:t>
      </w:r>
      <w:r w:rsidRPr="00691F70" w:rsidR="00691F70">
        <w:t xml:space="preserve">IRS </w:t>
      </w:r>
      <w:r w:rsidR="006F6EEB">
        <w:t xml:space="preserve">00.001 - </w:t>
      </w:r>
      <w:r w:rsidRPr="006F6EEB" w:rsidR="006F6EEB">
        <w:t>Correspondence Files and Correspondence Control Files</w:t>
      </w:r>
      <w:r>
        <w:t xml:space="preserve">. The Department of Treasury </w:t>
      </w:r>
      <w:r w:rsidR="000F4CD7">
        <w:t>SORN</w:t>
      </w:r>
      <w:r>
        <w:t>s can be found at</w:t>
      </w:r>
      <w:r w:rsidR="000F4CD7">
        <w:t xml:space="preserve"> </w:t>
      </w:r>
      <w:hyperlink r:id="rId5" w:history="1">
        <w:r w:rsidR="000F4CD7">
          <w:rPr>
            <w:rStyle w:val="Hyperlink"/>
          </w:rPr>
          <w:t>System of Records Notices (SORNs) | U.S. Department of the Treasury</w:t>
        </w:r>
      </w:hyperlink>
      <w:r w:rsidR="000F4CD7">
        <w:t xml:space="preserve">. </w:t>
      </w:r>
      <w:r>
        <w:t xml:space="preserve"> </w:t>
      </w:r>
    </w:p>
    <w:p w:rsidR="00116640" w:rsidP="00116640" w14:paraId="41776794" w14:textId="77777777"/>
    <w:p w:rsidR="005C2C05" w:rsidRPr="008D00D2" w:rsidP="008D00D2" w14:paraId="41776797" w14:textId="0E64A274">
      <w:pPr>
        <w:numPr>
          <w:ilvl w:val="0"/>
          <w:numId w:val="12"/>
        </w:numPr>
        <w:rPr>
          <w:u w:val="single"/>
        </w:rPr>
      </w:pPr>
      <w:bookmarkStart w:id="1" w:name="OLE_LINK1"/>
      <w:r w:rsidRPr="0025604D">
        <w:rPr>
          <w:u w:val="single"/>
        </w:rPr>
        <w:t>Estimated burden of information collection</w:t>
      </w:r>
    </w:p>
    <w:bookmarkEnd w:id="1"/>
    <w:p w:rsidR="005C2C05" w:rsidP="00CB003A" w14:paraId="41776798" w14:textId="77777777"/>
    <w:p w:rsidR="005C2C05" w:rsidP="00CB003A" w14:paraId="41776799" w14:textId="0A1EF26A">
      <w:r>
        <w:t xml:space="preserve">It is estimated that there will be approximately </w:t>
      </w:r>
      <w:r w:rsidR="003A6C7D">
        <w:t>100</w:t>
      </w:r>
      <w:r>
        <w:t xml:space="preserve"> applicants for this program</w:t>
      </w:r>
      <w:r w:rsidR="008F199A">
        <w:t xml:space="preserve">. It is estimated that it will take a total of </w:t>
      </w:r>
      <w:r w:rsidR="003A6C7D">
        <w:t>10</w:t>
      </w:r>
      <w:r w:rsidR="008F199A">
        <w:t xml:space="preserve"> minutes </w:t>
      </w:r>
      <w:r w:rsidR="003A6C7D">
        <w:t xml:space="preserve">per respondent </w:t>
      </w:r>
      <w:r w:rsidR="008F199A">
        <w:t xml:space="preserve">to complete and submit the </w:t>
      </w:r>
      <w:r w:rsidR="003A6C7D">
        <w:t xml:space="preserve">Speaker Request </w:t>
      </w:r>
      <w:r w:rsidR="008F199A">
        <w:t>application process</w:t>
      </w:r>
      <w:r>
        <w:t xml:space="preserve">. The estimated annual reporting burden is therefore </w:t>
      </w:r>
      <w:r w:rsidR="003A6C7D">
        <w:t>17</w:t>
      </w:r>
      <w:r w:rsidR="00CF0E68">
        <w:t xml:space="preserve"> </w:t>
      </w:r>
      <w:r>
        <w:t>hours.</w:t>
      </w:r>
    </w:p>
    <w:p w:rsidR="00CB3662" w:rsidP="00CB003A" w14:paraId="0BACEC44" w14:textId="77777777"/>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440"/>
        <w:gridCol w:w="1620"/>
        <w:gridCol w:w="1260"/>
        <w:gridCol w:w="1800"/>
        <w:gridCol w:w="990"/>
      </w:tblGrid>
      <w:tr w14:paraId="417767A1" w14:textId="77777777" w:rsidTr="003A6C7D">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25" w:type="dxa"/>
            <w:vAlign w:val="bottom"/>
          </w:tcPr>
          <w:p w:rsidR="00B94EFD" w:rsidRPr="003A6C7D" w:rsidP="00810978" w14:paraId="4177679B" w14:textId="77777777">
            <w:pPr>
              <w:numPr>
                <w:ilvl w:val="12"/>
                <w:numId w:val="0"/>
              </w:numPr>
              <w:jc w:val="center"/>
              <w:rPr>
                <w:rFonts w:ascii="Arial Narrow" w:hAnsi="Arial Narrow"/>
                <w:b/>
                <w:sz w:val="22"/>
                <w:szCs w:val="22"/>
              </w:rPr>
            </w:pPr>
            <w:r w:rsidRPr="003A6C7D">
              <w:rPr>
                <w:rFonts w:ascii="Arial Narrow" w:hAnsi="Arial Narrow"/>
                <w:b/>
                <w:sz w:val="22"/>
                <w:szCs w:val="22"/>
              </w:rPr>
              <w:t>Description</w:t>
            </w:r>
          </w:p>
        </w:tc>
        <w:tc>
          <w:tcPr>
            <w:tcW w:w="1440" w:type="dxa"/>
            <w:vAlign w:val="bottom"/>
          </w:tcPr>
          <w:p w:rsidR="00B94EFD" w:rsidRPr="003A6C7D" w:rsidP="00810978" w14:paraId="4177679C" w14:textId="77777777">
            <w:pPr>
              <w:numPr>
                <w:ilvl w:val="12"/>
                <w:numId w:val="0"/>
              </w:numPr>
              <w:jc w:val="center"/>
              <w:rPr>
                <w:rFonts w:ascii="Arial Narrow" w:hAnsi="Arial Narrow"/>
                <w:b/>
                <w:sz w:val="22"/>
                <w:szCs w:val="22"/>
              </w:rPr>
            </w:pPr>
            <w:r w:rsidRPr="003A6C7D">
              <w:rPr>
                <w:rFonts w:ascii="Arial Narrow" w:hAnsi="Arial Narrow"/>
                <w:b/>
                <w:sz w:val="22"/>
                <w:szCs w:val="22"/>
              </w:rPr>
              <w:t>Number of Respondents</w:t>
            </w:r>
          </w:p>
        </w:tc>
        <w:tc>
          <w:tcPr>
            <w:tcW w:w="1620" w:type="dxa"/>
            <w:vAlign w:val="bottom"/>
          </w:tcPr>
          <w:p w:rsidR="00B94EFD" w:rsidRPr="003A6C7D" w:rsidP="00810978" w14:paraId="4177679D" w14:textId="77777777">
            <w:pPr>
              <w:numPr>
                <w:ilvl w:val="12"/>
                <w:numId w:val="0"/>
              </w:numPr>
              <w:jc w:val="center"/>
              <w:rPr>
                <w:rFonts w:ascii="Arial Narrow" w:hAnsi="Arial Narrow"/>
                <w:b/>
                <w:sz w:val="22"/>
                <w:szCs w:val="22"/>
              </w:rPr>
            </w:pPr>
            <w:r w:rsidRPr="003A6C7D">
              <w:rPr>
                <w:rFonts w:ascii="Arial Narrow" w:hAnsi="Arial Narrow"/>
                <w:b/>
                <w:sz w:val="22"/>
                <w:szCs w:val="22"/>
              </w:rPr>
              <w:t>Number of Responses per Respondent</w:t>
            </w:r>
          </w:p>
        </w:tc>
        <w:tc>
          <w:tcPr>
            <w:tcW w:w="1260" w:type="dxa"/>
            <w:shd w:val="clear" w:color="auto" w:fill="auto"/>
            <w:vAlign w:val="bottom"/>
          </w:tcPr>
          <w:p w:rsidR="00B94EFD" w:rsidRPr="003A6C7D" w:rsidP="00810978" w14:paraId="4177679E" w14:textId="77777777">
            <w:pPr>
              <w:numPr>
                <w:ilvl w:val="12"/>
                <w:numId w:val="0"/>
              </w:numPr>
              <w:jc w:val="center"/>
              <w:rPr>
                <w:rFonts w:ascii="Arial Narrow" w:hAnsi="Arial Narrow"/>
                <w:b/>
                <w:sz w:val="22"/>
                <w:szCs w:val="22"/>
              </w:rPr>
            </w:pPr>
            <w:r w:rsidRPr="003A6C7D">
              <w:rPr>
                <w:rFonts w:ascii="Arial Narrow" w:hAnsi="Arial Narrow"/>
                <w:b/>
                <w:sz w:val="22"/>
                <w:szCs w:val="22"/>
              </w:rPr>
              <w:t>Annual Responses</w:t>
            </w:r>
          </w:p>
        </w:tc>
        <w:tc>
          <w:tcPr>
            <w:tcW w:w="1800" w:type="dxa"/>
            <w:vAlign w:val="bottom"/>
          </w:tcPr>
          <w:p w:rsidR="00B94EFD" w:rsidRPr="003A6C7D" w:rsidP="00810978" w14:paraId="4177679F" w14:textId="77777777">
            <w:pPr>
              <w:numPr>
                <w:ilvl w:val="12"/>
                <w:numId w:val="0"/>
              </w:numPr>
              <w:jc w:val="center"/>
              <w:rPr>
                <w:rFonts w:ascii="Arial Narrow" w:hAnsi="Arial Narrow"/>
                <w:b/>
                <w:sz w:val="22"/>
                <w:szCs w:val="22"/>
              </w:rPr>
            </w:pPr>
            <w:r w:rsidRPr="003A6C7D">
              <w:rPr>
                <w:rFonts w:ascii="Arial Narrow" w:hAnsi="Arial Narrow"/>
                <w:b/>
                <w:sz w:val="22"/>
                <w:szCs w:val="22"/>
              </w:rPr>
              <w:t>Hours per Response</w:t>
            </w:r>
          </w:p>
        </w:tc>
        <w:tc>
          <w:tcPr>
            <w:tcW w:w="990" w:type="dxa"/>
            <w:shd w:val="clear" w:color="auto" w:fill="auto"/>
            <w:vAlign w:val="bottom"/>
          </w:tcPr>
          <w:p w:rsidR="00B94EFD" w:rsidRPr="003A6C7D" w:rsidP="00810978" w14:paraId="417767A0" w14:textId="77777777">
            <w:pPr>
              <w:numPr>
                <w:ilvl w:val="12"/>
                <w:numId w:val="0"/>
              </w:numPr>
              <w:jc w:val="center"/>
              <w:rPr>
                <w:rFonts w:ascii="Arial Narrow" w:hAnsi="Arial Narrow"/>
                <w:b/>
                <w:sz w:val="22"/>
                <w:szCs w:val="22"/>
              </w:rPr>
            </w:pPr>
            <w:r w:rsidRPr="003A6C7D">
              <w:rPr>
                <w:rFonts w:ascii="Arial Narrow" w:hAnsi="Arial Narrow"/>
                <w:b/>
                <w:sz w:val="22"/>
                <w:szCs w:val="22"/>
              </w:rPr>
              <w:t>Total Burden</w:t>
            </w:r>
          </w:p>
        </w:tc>
      </w:tr>
      <w:tr w14:paraId="417767A9" w14:textId="77777777" w:rsidTr="003A6C7D">
        <w:tblPrEx>
          <w:tblW w:w="8635" w:type="dxa"/>
          <w:tblLayout w:type="fixed"/>
          <w:tblLook w:val="04A0"/>
        </w:tblPrEx>
        <w:tc>
          <w:tcPr>
            <w:tcW w:w="1525" w:type="dxa"/>
            <w:vAlign w:val="bottom"/>
          </w:tcPr>
          <w:p w:rsidR="00B94EFD" w:rsidRPr="003A6C7D" w:rsidP="00810978" w14:paraId="417767A3" w14:textId="6F246B6D">
            <w:pPr>
              <w:numPr>
                <w:ilvl w:val="12"/>
                <w:numId w:val="0"/>
              </w:numPr>
              <w:jc w:val="center"/>
              <w:rPr>
                <w:rFonts w:ascii="Arial Narrow" w:hAnsi="Arial Narrow"/>
                <w:sz w:val="22"/>
                <w:szCs w:val="22"/>
              </w:rPr>
            </w:pPr>
            <w:r w:rsidRPr="003A6C7D">
              <w:rPr>
                <w:rFonts w:ascii="Arial Narrow" w:hAnsi="Arial Narrow"/>
                <w:sz w:val="22"/>
                <w:szCs w:val="22"/>
              </w:rPr>
              <w:t>Form 15424</w:t>
            </w:r>
          </w:p>
        </w:tc>
        <w:tc>
          <w:tcPr>
            <w:tcW w:w="1440" w:type="dxa"/>
            <w:vAlign w:val="bottom"/>
          </w:tcPr>
          <w:p w:rsidR="00B94EFD" w:rsidRPr="003A6C7D" w:rsidP="00810978" w14:paraId="417767A4" w14:textId="45733269">
            <w:pPr>
              <w:numPr>
                <w:ilvl w:val="12"/>
                <w:numId w:val="0"/>
              </w:numPr>
              <w:jc w:val="center"/>
              <w:rPr>
                <w:rFonts w:ascii="Arial Narrow" w:hAnsi="Arial Narrow"/>
                <w:sz w:val="22"/>
                <w:szCs w:val="22"/>
              </w:rPr>
            </w:pPr>
            <w:r w:rsidRPr="003A6C7D">
              <w:rPr>
                <w:rFonts w:ascii="Arial Narrow" w:hAnsi="Arial Narrow"/>
                <w:sz w:val="22"/>
                <w:szCs w:val="22"/>
              </w:rPr>
              <w:t>100</w:t>
            </w:r>
          </w:p>
        </w:tc>
        <w:tc>
          <w:tcPr>
            <w:tcW w:w="1620" w:type="dxa"/>
            <w:vAlign w:val="bottom"/>
          </w:tcPr>
          <w:p w:rsidR="00B94EFD" w:rsidRPr="003A6C7D" w:rsidP="00810978" w14:paraId="417767A5" w14:textId="77777777">
            <w:pPr>
              <w:numPr>
                <w:ilvl w:val="12"/>
                <w:numId w:val="0"/>
              </w:numPr>
              <w:jc w:val="center"/>
              <w:rPr>
                <w:rFonts w:ascii="Arial Narrow" w:hAnsi="Arial Narrow"/>
                <w:sz w:val="22"/>
                <w:szCs w:val="22"/>
              </w:rPr>
            </w:pPr>
            <w:r w:rsidRPr="003A6C7D">
              <w:rPr>
                <w:rFonts w:ascii="Arial Narrow" w:hAnsi="Arial Narrow"/>
                <w:sz w:val="22"/>
                <w:szCs w:val="22"/>
              </w:rPr>
              <w:t>1</w:t>
            </w:r>
          </w:p>
        </w:tc>
        <w:tc>
          <w:tcPr>
            <w:tcW w:w="1260" w:type="dxa"/>
            <w:shd w:val="clear" w:color="auto" w:fill="auto"/>
            <w:vAlign w:val="bottom"/>
          </w:tcPr>
          <w:p w:rsidR="00B94EFD" w:rsidRPr="003A6C7D" w:rsidP="00810978" w14:paraId="417767A6" w14:textId="3F1BB50D">
            <w:pPr>
              <w:numPr>
                <w:ilvl w:val="12"/>
                <w:numId w:val="0"/>
              </w:numPr>
              <w:jc w:val="center"/>
              <w:rPr>
                <w:rFonts w:ascii="Arial Narrow" w:hAnsi="Arial Narrow"/>
                <w:sz w:val="22"/>
                <w:szCs w:val="22"/>
              </w:rPr>
            </w:pPr>
            <w:r w:rsidRPr="003A6C7D">
              <w:rPr>
                <w:rFonts w:ascii="Arial Narrow" w:hAnsi="Arial Narrow"/>
                <w:sz w:val="22"/>
                <w:szCs w:val="22"/>
              </w:rPr>
              <w:t>100</w:t>
            </w:r>
          </w:p>
        </w:tc>
        <w:tc>
          <w:tcPr>
            <w:tcW w:w="1800" w:type="dxa"/>
            <w:vAlign w:val="bottom"/>
          </w:tcPr>
          <w:p w:rsidR="00B94EFD" w:rsidRPr="003A6C7D" w:rsidP="00810978" w14:paraId="417767A7" w14:textId="4BF0391A">
            <w:pPr>
              <w:numPr>
                <w:ilvl w:val="12"/>
                <w:numId w:val="0"/>
              </w:numPr>
              <w:jc w:val="center"/>
              <w:rPr>
                <w:rFonts w:ascii="Arial Narrow" w:hAnsi="Arial Narrow"/>
                <w:sz w:val="22"/>
                <w:szCs w:val="22"/>
              </w:rPr>
            </w:pPr>
            <w:r w:rsidRPr="003A6C7D">
              <w:rPr>
                <w:rFonts w:ascii="Arial Narrow" w:hAnsi="Arial Narrow"/>
                <w:sz w:val="22"/>
                <w:szCs w:val="22"/>
              </w:rPr>
              <w:t>10 minutes (.17 hr.)</w:t>
            </w:r>
          </w:p>
        </w:tc>
        <w:tc>
          <w:tcPr>
            <w:tcW w:w="990" w:type="dxa"/>
            <w:shd w:val="clear" w:color="auto" w:fill="auto"/>
            <w:vAlign w:val="bottom"/>
          </w:tcPr>
          <w:p w:rsidR="00B94EFD" w:rsidRPr="003A6C7D" w:rsidP="00810978" w14:paraId="417767A8" w14:textId="77427786">
            <w:pPr>
              <w:numPr>
                <w:ilvl w:val="12"/>
                <w:numId w:val="0"/>
              </w:numPr>
              <w:jc w:val="center"/>
              <w:rPr>
                <w:rFonts w:ascii="Arial Narrow" w:hAnsi="Arial Narrow"/>
                <w:sz w:val="22"/>
                <w:szCs w:val="22"/>
              </w:rPr>
            </w:pPr>
            <w:r w:rsidRPr="003A6C7D">
              <w:rPr>
                <w:rFonts w:ascii="Arial Narrow" w:hAnsi="Arial Narrow"/>
                <w:sz w:val="22"/>
                <w:szCs w:val="22"/>
              </w:rPr>
              <w:t>17 hours</w:t>
            </w:r>
          </w:p>
        </w:tc>
      </w:tr>
      <w:tr w14:paraId="417767B1" w14:textId="77777777" w:rsidTr="003A6C7D">
        <w:tblPrEx>
          <w:tblW w:w="8635" w:type="dxa"/>
          <w:tblLayout w:type="fixed"/>
          <w:tblLook w:val="04A0"/>
        </w:tblPrEx>
        <w:tc>
          <w:tcPr>
            <w:tcW w:w="1525" w:type="dxa"/>
            <w:vAlign w:val="bottom"/>
          </w:tcPr>
          <w:p w:rsidR="00B94EFD" w:rsidRPr="003A6C7D" w:rsidP="00810978" w14:paraId="417767AB" w14:textId="257D5EF1">
            <w:pPr>
              <w:numPr>
                <w:ilvl w:val="12"/>
                <w:numId w:val="0"/>
              </w:numPr>
              <w:jc w:val="center"/>
              <w:rPr>
                <w:rFonts w:ascii="Arial Narrow" w:hAnsi="Arial Narrow"/>
                <w:b/>
                <w:bCs/>
                <w:sz w:val="22"/>
                <w:szCs w:val="22"/>
              </w:rPr>
            </w:pPr>
            <w:r w:rsidRPr="003A6C7D">
              <w:rPr>
                <w:rFonts w:ascii="Arial Narrow" w:hAnsi="Arial Narrow"/>
                <w:b/>
                <w:bCs/>
                <w:sz w:val="22"/>
                <w:szCs w:val="22"/>
              </w:rPr>
              <w:t>Total</w:t>
            </w:r>
          </w:p>
        </w:tc>
        <w:tc>
          <w:tcPr>
            <w:tcW w:w="1440" w:type="dxa"/>
            <w:vAlign w:val="bottom"/>
          </w:tcPr>
          <w:p w:rsidR="00B94EFD" w:rsidRPr="003A6C7D" w:rsidP="00810978" w14:paraId="417767AC" w14:textId="62943940">
            <w:pPr>
              <w:numPr>
                <w:ilvl w:val="12"/>
                <w:numId w:val="0"/>
              </w:numPr>
              <w:jc w:val="center"/>
              <w:rPr>
                <w:rFonts w:ascii="Arial Narrow" w:hAnsi="Arial Narrow"/>
                <w:b/>
                <w:bCs/>
                <w:sz w:val="22"/>
                <w:szCs w:val="22"/>
              </w:rPr>
            </w:pPr>
            <w:r w:rsidRPr="003A6C7D">
              <w:rPr>
                <w:rFonts w:ascii="Arial Narrow" w:hAnsi="Arial Narrow"/>
                <w:b/>
                <w:bCs/>
                <w:sz w:val="22"/>
                <w:szCs w:val="22"/>
              </w:rPr>
              <w:t>100</w:t>
            </w:r>
          </w:p>
        </w:tc>
        <w:tc>
          <w:tcPr>
            <w:tcW w:w="1620" w:type="dxa"/>
            <w:vAlign w:val="bottom"/>
          </w:tcPr>
          <w:p w:rsidR="00B94EFD" w:rsidRPr="003A6C7D" w:rsidP="00810978" w14:paraId="417767AD" w14:textId="77777777">
            <w:pPr>
              <w:numPr>
                <w:ilvl w:val="12"/>
                <w:numId w:val="0"/>
              </w:numPr>
              <w:jc w:val="center"/>
              <w:rPr>
                <w:rFonts w:ascii="Arial Narrow" w:hAnsi="Arial Narrow"/>
                <w:b/>
                <w:bCs/>
                <w:sz w:val="22"/>
                <w:szCs w:val="22"/>
              </w:rPr>
            </w:pPr>
          </w:p>
        </w:tc>
        <w:tc>
          <w:tcPr>
            <w:tcW w:w="1260" w:type="dxa"/>
            <w:shd w:val="clear" w:color="auto" w:fill="auto"/>
            <w:vAlign w:val="bottom"/>
          </w:tcPr>
          <w:p w:rsidR="00B94EFD" w:rsidRPr="003A6C7D" w:rsidP="00810978" w14:paraId="417767AE" w14:textId="5D38083E">
            <w:pPr>
              <w:numPr>
                <w:ilvl w:val="12"/>
                <w:numId w:val="0"/>
              </w:numPr>
              <w:jc w:val="center"/>
              <w:rPr>
                <w:rFonts w:ascii="Arial Narrow" w:hAnsi="Arial Narrow"/>
                <w:b/>
                <w:bCs/>
                <w:sz w:val="22"/>
                <w:szCs w:val="22"/>
              </w:rPr>
            </w:pPr>
            <w:r w:rsidRPr="003A6C7D">
              <w:rPr>
                <w:rFonts w:ascii="Arial Narrow" w:hAnsi="Arial Narrow"/>
                <w:b/>
                <w:bCs/>
                <w:sz w:val="22"/>
                <w:szCs w:val="22"/>
              </w:rPr>
              <w:t>100</w:t>
            </w:r>
          </w:p>
        </w:tc>
        <w:tc>
          <w:tcPr>
            <w:tcW w:w="1800" w:type="dxa"/>
            <w:vAlign w:val="bottom"/>
          </w:tcPr>
          <w:p w:rsidR="00B94EFD" w:rsidRPr="003A6C7D" w:rsidP="00810978" w14:paraId="417767AF" w14:textId="1216982C">
            <w:pPr>
              <w:numPr>
                <w:ilvl w:val="12"/>
                <w:numId w:val="0"/>
              </w:numPr>
              <w:jc w:val="center"/>
              <w:rPr>
                <w:rFonts w:ascii="Arial Narrow" w:hAnsi="Arial Narrow"/>
                <w:b/>
                <w:bCs/>
                <w:sz w:val="22"/>
                <w:szCs w:val="22"/>
              </w:rPr>
            </w:pPr>
          </w:p>
        </w:tc>
        <w:tc>
          <w:tcPr>
            <w:tcW w:w="990" w:type="dxa"/>
            <w:shd w:val="clear" w:color="auto" w:fill="auto"/>
            <w:vAlign w:val="bottom"/>
          </w:tcPr>
          <w:p w:rsidR="00B94EFD" w:rsidRPr="003A6C7D" w:rsidP="00810978" w14:paraId="417767B0" w14:textId="64276E86">
            <w:pPr>
              <w:numPr>
                <w:ilvl w:val="12"/>
                <w:numId w:val="0"/>
              </w:numPr>
              <w:jc w:val="center"/>
              <w:rPr>
                <w:rFonts w:ascii="Arial Narrow" w:hAnsi="Arial Narrow"/>
                <w:b/>
                <w:bCs/>
                <w:sz w:val="22"/>
                <w:szCs w:val="22"/>
              </w:rPr>
            </w:pPr>
            <w:r w:rsidRPr="003A6C7D">
              <w:rPr>
                <w:rFonts w:ascii="Arial Narrow" w:hAnsi="Arial Narrow"/>
                <w:b/>
                <w:bCs/>
                <w:sz w:val="22"/>
                <w:szCs w:val="22"/>
              </w:rPr>
              <w:t>17 hours</w:t>
            </w:r>
          </w:p>
        </w:tc>
      </w:tr>
    </w:tbl>
    <w:p w:rsidR="005C2C05" w:rsidRPr="0025604D" w:rsidP="00CB003A" w14:paraId="417767B3" w14:textId="77777777"/>
    <w:p w:rsidR="005C2C05" w:rsidRPr="008D00D2" w:rsidP="008D00D2" w14:paraId="417767B4" w14:textId="767F1427">
      <w:pPr>
        <w:numPr>
          <w:ilvl w:val="0"/>
          <w:numId w:val="12"/>
        </w:numPr>
        <w:rPr>
          <w:u w:val="single"/>
        </w:rPr>
      </w:pPr>
      <w:r w:rsidRPr="0025604D">
        <w:rPr>
          <w:u w:val="single"/>
        </w:rPr>
        <w:t>Estimated total annual cost burden to respondents</w:t>
      </w:r>
      <w:r w:rsidRPr="005C6A93">
        <w:t>  </w:t>
      </w:r>
    </w:p>
    <w:p w:rsidR="005C2C05" w:rsidRPr="0025604D" w:rsidP="00FB7F1C" w14:paraId="417767B5" w14:textId="77777777">
      <w:pPr>
        <w:keepNext/>
      </w:pPr>
    </w:p>
    <w:p w:rsidR="005C2C05" w:rsidP="00CB003A" w14:paraId="417767B6" w14:textId="2484CBAD">
      <w:pPr>
        <w:rPr>
          <w:bCs/>
        </w:rPr>
      </w:pPr>
      <w:r w:rsidRPr="00923A34">
        <w:rPr>
          <w:bCs/>
        </w:rPr>
        <w:t>There are no start-up costs associated with this collection</w:t>
      </w:r>
      <w:r w:rsidR="00AF1141">
        <w:rPr>
          <w:bCs/>
        </w:rPr>
        <w:t>.</w:t>
      </w:r>
    </w:p>
    <w:p w:rsidR="00923A34" w:rsidRPr="0025604D" w:rsidP="00CB003A" w14:paraId="417767B7" w14:textId="77777777"/>
    <w:p w:rsidR="005C2C05" w:rsidRPr="008D00D2" w:rsidP="008D00D2" w14:paraId="417767B8" w14:textId="42E0640B">
      <w:pPr>
        <w:numPr>
          <w:ilvl w:val="0"/>
          <w:numId w:val="12"/>
        </w:numPr>
        <w:rPr>
          <w:u w:val="single"/>
        </w:rPr>
      </w:pPr>
      <w:r w:rsidRPr="0025604D">
        <w:rPr>
          <w:u w:val="single"/>
        </w:rPr>
        <w:t>Estimated cost to the federal government</w:t>
      </w:r>
    </w:p>
    <w:p w:rsidR="005C2C05" w:rsidRPr="0025604D" w:rsidP="00CB003A" w14:paraId="417767B9" w14:textId="77777777"/>
    <w:p w:rsidR="005C2C05" w:rsidP="00CB003A" w14:paraId="417767BB" w14:textId="6E0883CD">
      <w:r w:rsidRPr="003A6C7D">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w:t>
      </w:r>
      <w:r w:rsidRPr="003A6C7D">
        <w:t>for all the materials.</w:t>
      </w:r>
      <w:r>
        <w:t xml:space="preserve"> </w:t>
      </w:r>
      <w:r w:rsidRPr="003A6C7D">
        <w:t xml:space="preserve">These costs do not include any activities such as taxpayer assistance and enforcement. </w:t>
      </w:r>
      <w:r w:rsidR="000E3F50">
        <w:t xml:space="preserve">The </w:t>
      </w:r>
      <w:r w:rsidRPr="003A6C7D">
        <w:t>IRS estimates have determined that the cost of developing, printing, distribution and overhead for the form is $</w:t>
      </w:r>
      <w:r>
        <w:t>11,821</w:t>
      </w:r>
      <w:r w:rsidRPr="003A6C7D">
        <w:t>.</w:t>
      </w:r>
    </w:p>
    <w:p w:rsidR="003A6C7D" w:rsidRPr="0025604D" w:rsidP="00CB003A" w14:paraId="74E537CA" w14:textId="77777777"/>
    <w:p w:rsidR="005C2C05" w:rsidRPr="008D00D2" w:rsidP="008D00D2" w14:paraId="417767BC" w14:textId="06777A48">
      <w:pPr>
        <w:numPr>
          <w:ilvl w:val="0"/>
          <w:numId w:val="12"/>
        </w:numPr>
        <w:rPr>
          <w:u w:val="single"/>
        </w:rPr>
      </w:pPr>
      <w:r w:rsidRPr="0025604D">
        <w:rPr>
          <w:u w:val="single"/>
        </w:rPr>
        <w:t>Reasons for change in burden</w:t>
      </w:r>
    </w:p>
    <w:p w:rsidR="005C2C05" w:rsidRPr="0025604D" w:rsidP="00666B6D" w14:paraId="417767BD" w14:textId="77777777">
      <w:pPr>
        <w:keepNext/>
      </w:pPr>
    </w:p>
    <w:p w:rsidR="006F3F21" w:rsidRPr="006F3F21" w:rsidP="006F3F21" w14:paraId="4FDC56A8" w14:textId="69371B39">
      <w:pPr>
        <w:keepNext/>
      </w:pPr>
      <w:r>
        <w:t>Th</w:t>
      </w:r>
      <w:r w:rsidR="00927F52">
        <w:t xml:space="preserve">is is a new </w:t>
      </w:r>
      <w:r w:rsidR="00F3771F">
        <w:t>collection.</w:t>
      </w:r>
      <w:r w:rsidR="00927F52">
        <w:t xml:space="preserve"> </w:t>
      </w:r>
    </w:p>
    <w:p w:rsidR="005C2C05" w:rsidRPr="0025604D" w:rsidP="00CB003A" w14:paraId="417767BF" w14:textId="77777777"/>
    <w:p w:rsidR="005C2C05" w:rsidRPr="008D00D2" w:rsidP="008D00D2" w14:paraId="417767C0" w14:textId="7A7A90BC">
      <w:pPr>
        <w:numPr>
          <w:ilvl w:val="0"/>
          <w:numId w:val="12"/>
        </w:numPr>
        <w:rPr>
          <w:u w:val="single"/>
        </w:rPr>
      </w:pPr>
      <w:r w:rsidRPr="0025604D">
        <w:rPr>
          <w:u w:val="single"/>
        </w:rPr>
        <w:t>Plans for tabulation, statistical analysis and publication</w:t>
      </w:r>
    </w:p>
    <w:p w:rsidR="005C2C05" w:rsidRPr="0025604D" w:rsidP="00CB003A" w14:paraId="417767C1" w14:textId="77777777"/>
    <w:p w:rsidR="00923A34" w:rsidP="00CB003A" w14:paraId="417767C3" w14:textId="7BD3B96E">
      <w:r w:rsidRPr="00927F52">
        <w:t>There are no plans for tabulation, statistical analysis, and publication.</w:t>
      </w:r>
    </w:p>
    <w:p w:rsidR="00927F52" w:rsidRPr="0025604D" w:rsidP="00CB003A" w14:paraId="047D9E49" w14:textId="77777777"/>
    <w:p w:rsidR="005C2C05" w:rsidRPr="008D00D2" w:rsidP="008D00D2" w14:paraId="417767C4" w14:textId="4319FA24">
      <w:pPr>
        <w:numPr>
          <w:ilvl w:val="0"/>
          <w:numId w:val="12"/>
        </w:numPr>
        <w:rPr>
          <w:u w:val="single"/>
        </w:rPr>
      </w:pPr>
      <w:r w:rsidRPr="0025604D">
        <w:rPr>
          <w:u w:val="single"/>
        </w:rPr>
        <w:t xml:space="preserve">Reasons why displaying the OMB expiration date is </w:t>
      </w:r>
      <w:r w:rsidRPr="0025604D">
        <w:rPr>
          <w:u w:val="single"/>
        </w:rPr>
        <w:t>inappropriate</w:t>
      </w:r>
    </w:p>
    <w:p w:rsidR="005C2C05" w:rsidRPr="0025604D" w:rsidP="00CB003A" w14:paraId="417767C5" w14:textId="77777777"/>
    <w:p w:rsidR="005378E3" w:rsidRPr="005378E3" w:rsidP="005378E3" w14:paraId="59BDB34E" w14:textId="42145670">
      <w:r>
        <w:t xml:space="preserve">The </w:t>
      </w:r>
      <w:r w:rsidRPr="005378E3">
        <w:t xml:space="preserve">IRS believes that displaying the OMB expiration date is inappropriate because it could cause confusion by leading taxpayers to believe that the </w:t>
      </w:r>
      <w:r>
        <w:t>information collection expires</w:t>
      </w:r>
      <w:r w:rsidRPr="005378E3">
        <w:t xml:space="preserve"> as of the expiration date. Taxpayers are not likely to be aware that </w:t>
      </w:r>
      <w:r>
        <w:t xml:space="preserve">the </w:t>
      </w:r>
      <w:r w:rsidRPr="005378E3">
        <w:t>IRS intends to request renewal of the OMB approval and obtain a new expiration date before the old one expires.</w:t>
      </w:r>
    </w:p>
    <w:p w:rsidR="005C2C05" w:rsidRPr="0025604D" w:rsidP="00CB003A" w14:paraId="417767D1" w14:textId="296F31B4">
      <w:r>
        <w:t xml:space="preserve">   </w:t>
      </w:r>
    </w:p>
    <w:p w:rsidR="005C2C05" w:rsidRPr="00282304" w:rsidP="00282304" w14:paraId="417767D2" w14:textId="4F9FA139">
      <w:pPr>
        <w:numPr>
          <w:ilvl w:val="0"/>
          <w:numId w:val="12"/>
        </w:numPr>
        <w:rPr>
          <w:u w:val="single"/>
        </w:rPr>
      </w:pPr>
      <w:r w:rsidRPr="0025604D">
        <w:rPr>
          <w:u w:val="single"/>
        </w:rPr>
        <w:t xml:space="preserve">Exceptions to certification </w:t>
      </w:r>
    </w:p>
    <w:p w:rsidR="005C2C05" w:rsidRPr="0025604D" w:rsidP="00CB003A" w14:paraId="417767D3" w14:textId="77777777"/>
    <w:p w:rsidR="005C2C05" w:rsidP="00A90BAB" w14:paraId="417767D4" w14:textId="0CFFE326">
      <w:r w:rsidRPr="00923A34">
        <w:t>There are no exceptions to the certification statement.</w:t>
      </w:r>
    </w:p>
    <w:p w:rsidR="006F3F21" w:rsidP="00A90BAB" w14:paraId="27C97C69" w14:textId="77777777"/>
    <w:p w:rsidR="005C2C05" w:rsidRPr="0008675A" w:rsidP="00521924" w14:paraId="417767D5" w14:textId="77777777">
      <w:r w:rsidRPr="0008675A">
        <w:rPr>
          <w:u w:val="single"/>
        </w:rPr>
        <w:t>Note:</w:t>
      </w:r>
      <w:r w:rsidRPr="0008675A">
        <w:t xml:space="preserve">   The following paragraph applies to all of the collections of information in this submission:</w:t>
      </w:r>
    </w:p>
    <w:p w:rsidR="005C2C05" w:rsidRPr="0008675A" w:rsidP="00521924" w14:paraId="417767D6" w14:textId="77777777"/>
    <w:p w:rsidR="005C2C05" w:rsidRPr="0008675A" w:rsidP="00521924" w14:paraId="417767D7" w14:textId="69FC117F">
      <w:r w:rsidRPr="0008675A">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5C2C05" w:rsidP="00521924" w14:paraId="417767D8" w14:textId="77777777"/>
    <w:sectPr w:rsidSect="00EB5E62">
      <w:footerReference w:type="even" r:id="rId6"/>
      <w:footerReference w:type="defaul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5C2C05" w14:paraId="41776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14:paraId="417767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97529"/>
    <w:multiLevelType w:val="hybridMultilevel"/>
    <w:tmpl w:val="1EB8F01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start w:val="1"/>
      <w:numFmt w:val="decimal"/>
      <w:lvlText w:val="%1."/>
      <w:lvlJc w:val="left"/>
      <w:pPr>
        <w:tabs>
          <w:tab w:val="num" w:pos="360"/>
        </w:tabs>
        <w:ind w:left="36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start w:val="8"/>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start w:val="7"/>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9">
    <w:nsid w:val="599316C5"/>
    <w:multiLevelType w:val="hybridMultilevel"/>
    <w:tmpl w:val="A814A21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648A58CB"/>
    <w:multiLevelType w:val="hybridMultilevel"/>
    <w:tmpl w:val="CB2E28FE"/>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7223731"/>
    <w:multiLevelType w:val="hybridMultilevel"/>
    <w:tmpl w:val="6F48BAA8"/>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7C5466C4"/>
    <w:multiLevelType w:val="hybridMultilevel"/>
    <w:tmpl w:val="D6DEBB8C"/>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208831190">
    <w:abstractNumId w:val="2"/>
  </w:num>
  <w:num w:numId="2" w16cid:durableId="966740132">
    <w:abstractNumId w:val="10"/>
  </w:num>
  <w:num w:numId="3" w16cid:durableId="40137891">
    <w:abstractNumId w:val="12"/>
  </w:num>
  <w:num w:numId="4" w16cid:durableId="1650286649">
    <w:abstractNumId w:val="4"/>
  </w:num>
  <w:num w:numId="5" w16cid:durableId="894702637">
    <w:abstractNumId w:val="11"/>
  </w:num>
  <w:num w:numId="6" w16cid:durableId="172188136">
    <w:abstractNumId w:val="3"/>
  </w:num>
  <w:num w:numId="7" w16cid:durableId="1696611753">
    <w:abstractNumId w:val="0"/>
  </w:num>
  <w:num w:numId="8" w16cid:durableId="547882149">
    <w:abstractNumId w:val="7"/>
  </w:num>
  <w:num w:numId="9" w16cid:durableId="447092587">
    <w:abstractNumId w:val="6"/>
  </w:num>
  <w:num w:numId="10" w16cid:durableId="1990742861">
    <w:abstractNumId w:val="9"/>
  </w:num>
  <w:num w:numId="11" w16cid:durableId="1773434589">
    <w:abstractNumId w:val="1"/>
  </w:num>
  <w:num w:numId="12" w16cid:durableId="885873902">
    <w:abstractNumId w:val="5"/>
  </w:num>
  <w:num w:numId="13" w16cid:durableId="1565532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3A36"/>
    <w:rsid w:val="0001560A"/>
    <w:rsid w:val="00022F56"/>
    <w:rsid w:val="00032166"/>
    <w:rsid w:val="00046778"/>
    <w:rsid w:val="00073704"/>
    <w:rsid w:val="000762ED"/>
    <w:rsid w:val="0008675A"/>
    <w:rsid w:val="000B0264"/>
    <w:rsid w:val="000C7031"/>
    <w:rsid w:val="000E1F44"/>
    <w:rsid w:val="000E3F50"/>
    <w:rsid w:val="000F2AE6"/>
    <w:rsid w:val="000F4CD7"/>
    <w:rsid w:val="000F53C2"/>
    <w:rsid w:val="0010021E"/>
    <w:rsid w:val="00105553"/>
    <w:rsid w:val="001110E6"/>
    <w:rsid w:val="00116640"/>
    <w:rsid w:val="00131D26"/>
    <w:rsid w:val="001348F8"/>
    <w:rsid w:val="00147A26"/>
    <w:rsid w:val="0015169B"/>
    <w:rsid w:val="00156E23"/>
    <w:rsid w:val="00161711"/>
    <w:rsid w:val="00166D33"/>
    <w:rsid w:val="00170A2A"/>
    <w:rsid w:val="001719E5"/>
    <w:rsid w:val="001819F2"/>
    <w:rsid w:val="00181F21"/>
    <w:rsid w:val="0018375D"/>
    <w:rsid w:val="001A4A80"/>
    <w:rsid w:val="001A6115"/>
    <w:rsid w:val="001C20AF"/>
    <w:rsid w:val="001C3DA8"/>
    <w:rsid w:val="001D09DC"/>
    <w:rsid w:val="001D6012"/>
    <w:rsid w:val="001E127C"/>
    <w:rsid w:val="001E4BCF"/>
    <w:rsid w:val="001E74D7"/>
    <w:rsid w:val="00203DB3"/>
    <w:rsid w:val="00212C35"/>
    <w:rsid w:val="002154CF"/>
    <w:rsid w:val="00223FF1"/>
    <w:rsid w:val="00235BDF"/>
    <w:rsid w:val="00237FAA"/>
    <w:rsid w:val="0024000F"/>
    <w:rsid w:val="00241849"/>
    <w:rsid w:val="00241A1F"/>
    <w:rsid w:val="0025604D"/>
    <w:rsid w:val="00256911"/>
    <w:rsid w:val="00271992"/>
    <w:rsid w:val="00275BF4"/>
    <w:rsid w:val="00282304"/>
    <w:rsid w:val="00293974"/>
    <w:rsid w:val="002A5F33"/>
    <w:rsid w:val="002C2A5D"/>
    <w:rsid w:val="003265D6"/>
    <w:rsid w:val="00333F3C"/>
    <w:rsid w:val="00365005"/>
    <w:rsid w:val="003737FC"/>
    <w:rsid w:val="00380639"/>
    <w:rsid w:val="00385107"/>
    <w:rsid w:val="00387E3B"/>
    <w:rsid w:val="00392B31"/>
    <w:rsid w:val="00394A61"/>
    <w:rsid w:val="00396A75"/>
    <w:rsid w:val="003A0116"/>
    <w:rsid w:val="003A347F"/>
    <w:rsid w:val="003A6C7D"/>
    <w:rsid w:val="003C068B"/>
    <w:rsid w:val="003C1AB8"/>
    <w:rsid w:val="003D781F"/>
    <w:rsid w:val="003F3118"/>
    <w:rsid w:val="00406DAA"/>
    <w:rsid w:val="00436C40"/>
    <w:rsid w:val="0044510E"/>
    <w:rsid w:val="004470CC"/>
    <w:rsid w:val="004550C8"/>
    <w:rsid w:val="00460B20"/>
    <w:rsid w:val="004746FF"/>
    <w:rsid w:val="00475022"/>
    <w:rsid w:val="00475731"/>
    <w:rsid w:val="0047668D"/>
    <w:rsid w:val="00492259"/>
    <w:rsid w:val="00493B99"/>
    <w:rsid w:val="004A78A5"/>
    <w:rsid w:val="004B06B5"/>
    <w:rsid w:val="004B32A0"/>
    <w:rsid w:val="004E0DE8"/>
    <w:rsid w:val="004E4145"/>
    <w:rsid w:val="004E6996"/>
    <w:rsid w:val="004F5145"/>
    <w:rsid w:val="00511978"/>
    <w:rsid w:val="00511CB4"/>
    <w:rsid w:val="00513CFE"/>
    <w:rsid w:val="00521924"/>
    <w:rsid w:val="0052662E"/>
    <w:rsid w:val="00534EA9"/>
    <w:rsid w:val="00535AD0"/>
    <w:rsid w:val="005366FC"/>
    <w:rsid w:val="005378E3"/>
    <w:rsid w:val="00546AA2"/>
    <w:rsid w:val="00572D2C"/>
    <w:rsid w:val="00592774"/>
    <w:rsid w:val="005A112D"/>
    <w:rsid w:val="005A228B"/>
    <w:rsid w:val="005B5BDC"/>
    <w:rsid w:val="005C2C05"/>
    <w:rsid w:val="005C6A93"/>
    <w:rsid w:val="005D35C0"/>
    <w:rsid w:val="005D6C80"/>
    <w:rsid w:val="005D7EE0"/>
    <w:rsid w:val="005F2B55"/>
    <w:rsid w:val="005F43A7"/>
    <w:rsid w:val="0060168D"/>
    <w:rsid w:val="006049CB"/>
    <w:rsid w:val="00610580"/>
    <w:rsid w:val="00612025"/>
    <w:rsid w:val="006137E1"/>
    <w:rsid w:val="00625411"/>
    <w:rsid w:val="006264E3"/>
    <w:rsid w:val="00633442"/>
    <w:rsid w:val="0064051D"/>
    <w:rsid w:val="00643306"/>
    <w:rsid w:val="006536E9"/>
    <w:rsid w:val="00666B6D"/>
    <w:rsid w:val="00671064"/>
    <w:rsid w:val="00686B96"/>
    <w:rsid w:val="00691F70"/>
    <w:rsid w:val="006B22D1"/>
    <w:rsid w:val="006B3E5B"/>
    <w:rsid w:val="006B4F5B"/>
    <w:rsid w:val="006C24DF"/>
    <w:rsid w:val="006E6507"/>
    <w:rsid w:val="006F02DD"/>
    <w:rsid w:val="006F3F21"/>
    <w:rsid w:val="006F5AF3"/>
    <w:rsid w:val="006F6EEB"/>
    <w:rsid w:val="00701278"/>
    <w:rsid w:val="00707BDE"/>
    <w:rsid w:val="0072387B"/>
    <w:rsid w:val="00726B6C"/>
    <w:rsid w:val="00740121"/>
    <w:rsid w:val="00775C08"/>
    <w:rsid w:val="007775A3"/>
    <w:rsid w:val="00790257"/>
    <w:rsid w:val="00795CCA"/>
    <w:rsid w:val="007A0B8F"/>
    <w:rsid w:val="007A544E"/>
    <w:rsid w:val="007D0B41"/>
    <w:rsid w:val="007D7889"/>
    <w:rsid w:val="007E69B3"/>
    <w:rsid w:val="007F0335"/>
    <w:rsid w:val="00800D3C"/>
    <w:rsid w:val="00810171"/>
    <w:rsid w:val="00810250"/>
    <w:rsid w:val="00810978"/>
    <w:rsid w:val="0081132F"/>
    <w:rsid w:val="00813491"/>
    <w:rsid w:val="008166BA"/>
    <w:rsid w:val="00826A91"/>
    <w:rsid w:val="00832450"/>
    <w:rsid w:val="00856DD0"/>
    <w:rsid w:val="008803A0"/>
    <w:rsid w:val="0089247F"/>
    <w:rsid w:val="008956BA"/>
    <w:rsid w:val="008A3399"/>
    <w:rsid w:val="008A3E67"/>
    <w:rsid w:val="008A4440"/>
    <w:rsid w:val="008A5AEA"/>
    <w:rsid w:val="008A6D0F"/>
    <w:rsid w:val="008B7CB1"/>
    <w:rsid w:val="008C7C38"/>
    <w:rsid w:val="008D00D2"/>
    <w:rsid w:val="008D183E"/>
    <w:rsid w:val="008E2756"/>
    <w:rsid w:val="008E5DE9"/>
    <w:rsid w:val="008F199A"/>
    <w:rsid w:val="00900F75"/>
    <w:rsid w:val="00901860"/>
    <w:rsid w:val="00921EA8"/>
    <w:rsid w:val="00923A34"/>
    <w:rsid w:val="00927F52"/>
    <w:rsid w:val="00930637"/>
    <w:rsid w:val="00930944"/>
    <w:rsid w:val="009339C5"/>
    <w:rsid w:val="009379CE"/>
    <w:rsid w:val="00946EB3"/>
    <w:rsid w:val="00950A9E"/>
    <w:rsid w:val="00954BC9"/>
    <w:rsid w:val="00961267"/>
    <w:rsid w:val="00961823"/>
    <w:rsid w:val="009663D0"/>
    <w:rsid w:val="00983B56"/>
    <w:rsid w:val="00986077"/>
    <w:rsid w:val="00990870"/>
    <w:rsid w:val="009B1F03"/>
    <w:rsid w:val="009C112D"/>
    <w:rsid w:val="009D0AFE"/>
    <w:rsid w:val="009D6458"/>
    <w:rsid w:val="009E48DD"/>
    <w:rsid w:val="009F009A"/>
    <w:rsid w:val="009F01E5"/>
    <w:rsid w:val="009F2F67"/>
    <w:rsid w:val="009F45CC"/>
    <w:rsid w:val="009F4D1C"/>
    <w:rsid w:val="00A00740"/>
    <w:rsid w:val="00A0124D"/>
    <w:rsid w:val="00A10A09"/>
    <w:rsid w:val="00A10BA6"/>
    <w:rsid w:val="00A1769D"/>
    <w:rsid w:val="00A2596F"/>
    <w:rsid w:val="00A32B20"/>
    <w:rsid w:val="00A66B23"/>
    <w:rsid w:val="00A67505"/>
    <w:rsid w:val="00A70D48"/>
    <w:rsid w:val="00A71A4F"/>
    <w:rsid w:val="00A73657"/>
    <w:rsid w:val="00A85556"/>
    <w:rsid w:val="00A90BAB"/>
    <w:rsid w:val="00A93EA3"/>
    <w:rsid w:val="00A9744C"/>
    <w:rsid w:val="00AF0E0E"/>
    <w:rsid w:val="00AF1141"/>
    <w:rsid w:val="00B002FE"/>
    <w:rsid w:val="00B07D95"/>
    <w:rsid w:val="00B41318"/>
    <w:rsid w:val="00B50861"/>
    <w:rsid w:val="00B61494"/>
    <w:rsid w:val="00B716A8"/>
    <w:rsid w:val="00B94EFD"/>
    <w:rsid w:val="00B96D67"/>
    <w:rsid w:val="00BA59A6"/>
    <w:rsid w:val="00BB4D18"/>
    <w:rsid w:val="00BC310B"/>
    <w:rsid w:val="00BC318B"/>
    <w:rsid w:val="00BC4F4E"/>
    <w:rsid w:val="00C0391A"/>
    <w:rsid w:val="00C34F74"/>
    <w:rsid w:val="00C36F16"/>
    <w:rsid w:val="00C525D3"/>
    <w:rsid w:val="00C60DF5"/>
    <w:rsid w:val="00C643B1"/>
    <w:rsid w:val="00C65F8F"/>
    <w:rsid w:val="00C70990"/>
    <w:rsid w:val="00C73E4B"/>
    <w:rsid w:val="00C75252"/>
    <w:rsid w:val="00C93531"/>
    <w:rsid w:val="00C935EA"/>
    <w:rsid w:val="00C954EA"/>
    <w:rsid w:val="00CA69D2"/>
    <w:rsid w:val="00CB003A"/>
    <w:rsid w:val="00CB3662"/>
    <w:rsid w:val="00CC0B33"/>
    <w:rsid w:val="00CC4534"/>
    <w:rsid w:val="00CD27FF"/>
    <w:rsid w:val="00CE2D06"/>
    <w:rsid w:val="00CF0E68"/>
    <w:rsid w:val="00CF3850"/>
    <w:rsid w:val="00D01718"/>
    <w:rsid w:val="00D3369D"/>
    <w:rsid w:val="00D55D86"/>
    <w:rsid w:val="00D8477F"/>
    <w:rsid w:val="00D94983"/>
    <w:rsid w:val="00DA0F09"/>
    <w:rsid w:val="00DA5F5B"/>
    <w:rsid w:val="00DC2EC0"/>
    <w:rsid w:val="00DC6AE5"/>
    <w:rsid w:val="00DF6BD6"/>
    <w:rsid w:val="00E2008C"/>
    <w:rsid w:val="00E20513"/>
    <w:rsid w:val="00E3262A"/>
    <w:rsid w:val="00E65994"/>
    <w:rsid w:val="00E673FE"/>
    <w:rsid w:val="00E67451"/>
    <w:rsid w:val="00E71397"/>
    <w:rsid w:val="00E7768F"/>
    <w:rsid w:val="00E8070F"/>
    <w:rsid w:val="00EA0E7F"/>
    <w:rsid w:val="00EB1FF7"/>
    <w:rsid w:val="00EB5E62"/>
    <w:rsid w:val="00EC4EB8"/>
    <w:rsid w:val="00ED261A"/>
    <w:rsid w:val="00EE0B0E"/>
    <w:rsid w:val="00EE2F8A"/>
    <w:rsid w:val="00F24F5A"/>
    <w:rsid w:val="00F27C5F"/>
    <w:rsid w:val="00F31337"/>
    <w:rsid w:val="00F3771F"/>
    <w:rsid w:val="00F41911"/>
    <w:rsid w:val="00F51DC7"/>
    <w:rsid w:val="00F6303F"/>
    <w:rsid w:val="00F72D0B"/>
    <w:rsid w:val="00F73B1E"/>
    <w:rsid w:val="00F75895"/>
    <w:rsid w:val="00F92511"/>
    <w:rsid w:val="00FB24C0"/>
    <w:rsid w:val="00FB7F1C"/>
    <w:rsid w:val="00FC174E"/>
    <w:rsid w:val="00FC2B60"/>
    <w:rsid w:val="00FD0BF8"/>
    <w:rsid w:val="00FF0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776760"/>
  <w15:docId w15:val="{3E1C1210-FF42-4005-9193-56B5353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 w:type="character" w:styleId="CommentReference">
    <w:name w:val="annotation reference"/>
    <w:basedOn w:val="DefaultParagraphFont"/>
    <w:uiPriority w:val="99"/>
    <w:semiHidden/>
    <w:unhideWhenUsed/>
    <w:rsid w:val="002154CF"/>
    <w:rPr>
      <w:sz w:val="16"/>
      <w:szCs w:val="16"/>
    </w:rPr>
  </w:style>
  <w:style w:type="paragraph" w:styleId="CommentText">
    <w:name w:val="annotation text"/>
    <w:basedOn w:val="Normal"/>
    <w:link w:val="CommentTextChar"/>
    <w:uiPriority w:val="99"/>
    <w:unhideWhenUsed/>
    <w:rsid w:val="002154CF"/>
    <w:rPr>
      <w:sz w:val="20"/>
      <w:szCs w:val="20"/>
    </w:rPr>
  </w:style>
  <w:style w:type="character" w:customStyle="1" w:styleId="CommentTextChar">
    <w:name w:val="Comment Text Char"/>
    <w:basedOn w:val="DefaultParagraphFont"/>
    <w:link w:val="CommentText"/>
    <w:uiPriority w:val="99"/>
    <w:rsid w:val="002154CF"/>
    <w:rPr>
      <w:sz w:val="20"/>
      <w:szCs w:val="20"/>
    </w:rPr>
  </w:style>
  <w:style w:type="paragraph" w:styleId="CommentSubject">
    <w:name w:val="annotation subject"/>
    <w:basedOn w:val="CommentText"/>
    <w:next w:val="CommentText"/>
    <w:link w:val="CommentSubjectChar"/>
    <w:uiPriority w:val="99"/>
    <w:semiHidden/>
    <w:unhideWhenUsed/>
    <w:rsid w:val="002154CF"/>
    <w:rPr>
      <w:b/>
      <w:bCs/>
    </w:rPr>
  </w:style>
  <w:style w:type="character" w:customStyle="1" w:styleId="CommentSubjectChar">
    <w:name w:val="Comment Subject Char"/>
    <w:basedOn w:val="CommentTextChar"/>
    <w:link w:val="CommentSubject"/>
    <w:uiPriority w:val="99"/>
    <w:semiHidden/>
    <w:rsid w:val="002154CF"/>
    <w:rPr>
      <w:b/>
      <w:bCs/>
      <w:sz w:val="20"/>
      <w:szCs w:val="20"/>
    </w:rPr>
  </w:style>
  <w:style w:type="paragraph" w:styleId="Revision">
    <w:name w:val="Revision"/>
    <w:hidden/>
    <w:uiPriority w:val="99"/>
    <w:semiHidden/>
    <w:rsid w:val="008E2756"/>
    <w:rPr>
      <w:sz w:val="24"/>
      <w:szCs w:val="24"/>
    </w:rPr>
  </w:style>
  <w:style w:type="character" w:styleId="Hyperlink">
    <w:name w:val="Hyperlink"/>
    <w:basedOn w:val="DefaultParagraphFont"/>
    <w:unhideWhenUsed/>
    <w:rsid w:val="00691F70"/>
    <w:rPr>
      <w:color w:val="0000FF" w:themeColor="hyperlink"/>
      <w:u w:val="single"/>
    </w:rPr>
  </w:style>
  <w:style w:type="character" w:styleId="FollowedHyperlink">
    <w:name w:val="FollowedHyperlink"/>
    <w:basedOn w:val="DefaultParagraphFont"/>
    <w:uiPriority w:val="99"/>
    <w:semiHidden/>
    <w:unhideWhenUsed/>
    <w:rsid w:val="00691F70"/>
    <w:rPr>
      <w:color w:val="800080" w:themeColor="followedHyperlink"/>
      <w:u w:val="single"/>
    </w:rPr>
  </w:style>
  <w:style w:type="character" w:styleId="UnresolvedMention">
    <w:name w:val="Unresolved Mention"/>
    <w:basedOn w:val="DefaultParagraphFont"/>
    <w:uiPriority w:val="99"/>
    <w:semiHidden/>
    <w:unhideWhenUsed/>
    <w:rsid w:val="006F6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ome.treasury.gov/footer/privacy-act/system-of-records-notices-sorn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834</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Garcia Andres</cp:lastModifiedBy>
  <cp:revision>2</cp:revision>
  <cp:lastPrinted>2008-10-24T12:52:00Z</cp:lastPrinted>
  <dcterms:created xsi:type="dcterms:W3CDTF">2023-12-27T14:37:00Z</dcterms:created>
  <dcterms:modified xsi:type="dcterms:W3CDTF">2023-12-27T14:37:00Z</dcterms:modified>
</cp:coreProperties>
</file>