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C05" w14:paraId="41776760" w14:textId="77777777"/>
    <w:p w:rsidR="005C2C05" w:rsidRPr="0025604D" w:rsidP="009F4D1C" w14:paraId="41776761" w14:textId="781957D3">
      <w:pPr>
        <w:jc w:val="center"/>
      </w:pPr>
    </w:p>
    <w:p w:rsidR="005C2C05" w:rsidP="009F4D1C" w14:paraId="41776762" w14:textId="09012001">
      <w:pPr>
        <w:jc w:val="center"/>
        <w:rPr>
          <w:b/>
          <w:bCs/>
        </w:rPr>
      </w:pPr>
      <w:r w:rsidRPr="00A66B23">
        <w:rPr>
          <w:b/>
          <w:bCs/>
        </w:rPr>
        <w:t xml:space="preserve">Supporting Statement </w:t>
      </w:r>
    </w:p>
    <w:p w:rsidR="00A66B23" w:rsidRPr="00A66B23" w:rsidP="009F4D1C" w14:paraId="0B357ECA" w14:textId="290459E3">
      <w:pPr>
        <w:jc w:val="center"/>
        <w:rPr>
          <w:b/>
          <w:bCs/>
        </w:rPr>
      </w:pPr>
      <w:r>
        <w:rPr>
          <w:b/>
          <w:bCs/>
        </w:rPr>
        <w:t>Internal Revenue Service</w:t>
      </w:r>
    </w:p>
    <w:p w:rsidR="00A04CCF" w:rsidP="003C068B" w14:paraId="6ADD8E8C" w14:textId="3E2D67B9">
      <w:pPr>
        <w:jc w:val="center"/>
      </w:pPr>
      <w:r>
        <w:t>Employee Retention Credit Voluntary Disclosure Program</w:t>
      </w:r>
    </w:p>
    <w:p w:rsidR="00930944" w:rsidP="003C068B" w14:paraId="41776764" w14:textId="2BEA9F94">
      <w:pPr>
        <w:jc w:val="center"/>
      </w:pPr>
      <w:r>
        <w:t xml:space="preserve">OMB </w:t>
      </w:r>
      <w:r w:rsidR="0064550F">
        <w:t>Control 1545-NEW</w:t>
      </w:r>
    </w:p>
    <w:p w:rsidR="005C2C05" w:rsidRPr="0025604D" w14:paraId="41776765" w14:textId="77777777"/>
    <w:p w:rsidR="005C2C05" w:rsidP="00F41911" w14:paraId="41776766" w14:textId="76445DA3">
      <w:pPr>
        <w:numPr>
          <w:ilvl w:val="0"/>
          <w:numId w:val="12"/>
        </w:numPr>
        <w:rPr>
          <w:u w:val="single"/>
        </w:rPr>
      </w:pPr>
      <w:r w:rsidRPr="0025604D">
        <w:t xml:space="preserve"> </w:t>
      </w:r>
      <w:r w:rsidRPr="0025604D" w:rsidR="00C63684">
        <w:rPr>
          <w:u w:val="single"/>
        </w:rPr>
        <w:t>CIRCUMSTANCES NECESSITATING THE COLLECTION OF INFORMATION</w:t>
      </w:r>
    </w:p>
    <w:p w:rsidR="005C2C05" w:rsidRPr="0025604D" w:rsidP="00990870" w14:paraId="41776767" w14:textId="77777777">
      <w:pPr>
        <w:ind w:left="360"/>
        <w:rPr>
          <w:u w:val="single"/>
        </w:rPr>
      </w:pPr>
    </w:p>
    <w:p w:rsidR="00D34E0E" w:rsidP="00DE7804" w14:paraId="3491958A" w14:textId="18AABEC4">
      <w:pPr>
        <w:ind w:left="450"/>
      </w:pPr>
      <w:bookmarkStart w:id="0" w:name="_Hlk126268962"/>
      <w:r>
        <w:t>In</w:t>
      </w:r>
      <w:r w:rsidR="00994566">
        <w:t xml:space="preserve"> recent months</w:t>
      </w:r>
      <w:r>
        <w:t xml:space="preserve">, there has been a proliferation of </w:t>
      </w:r>
      <w:r w:rsidRPr="00D34E0E">
        <w:t>false and misleading public advertisements and scams taking advantage of taxpayers</w:t>
      </w:r>
      <w:r>
        <w:t xml:space="preserve"> by encouraging the filing of improper</w:t>
      </w:r>
      <w:r w:rsidR="00994566">
        <w:t xml:space="preserve"> Employee Retention Credit (ERC)</w:t>
      </w:r>
      <w:r>
        <w:t xml:space="preserve"> </w:t>
      </w:r>
      <w:r w:rsidR="00994566">
        <w:t xml:space="preserve">refund </w:t>
      </w:r>
      <w:r>
        <w:t>claims.  The IRS has been inundated with hundreds of thousands of refund claims, many of which the IRS believes contain improper claims for the ERC.</w:t>
      </w:r>
    </w:p>
    <w:p w:rsidR="00B82195" w:rsidP="00DE7804" w14:paraId="6965312E" w14:textId="6A1C9297">
      <w:pPr>
        <w:ind w:left="450"/>
      </w:pPr>
    </w:p>
    <w:p w:rsidR="0064550F" w:rsidP="00DE7804" w14:paraId="60C6339A" w14:textId="3978D5B8">
      <w:pPr>
        <w:ind w:left="450"/>
      </w:pPr>
      <w:r>
        <w:t>On November 30, 2023, under</w:t>
      </w:r>
      <w:r>
        <w:t xml:space="preserve"> Internal Revenue Code</w:t>
      </w:r>
      <w:r>
        <w:t xml:space="preserve"> </w:t>
      </w:r>
      <w:r>
        <w:t>(</w:t>
      </w:r>
      <w:r>
        <w:t>IRC</w:t>
      </w:r>
      <w:r>
        <w:t>) Section</w:t>
      </w:r>
      <w:r>
        <w:t xml:space="preserve"> 7803, the </w:t>
      </w:r>
      <w:r>
        <w:t xml:space="preserve">Internal Revenue Service (IRS) </w:t>
      </w:r>
      <w:r>
        <w:t>Commissioner approved</w:t>
      </w:r>
      <w:r w:rsidR="00DC2CF1">
        <w:t xml:space="preserve"> the</w:t>
      </w:r>
      <w:r>
        <w:t xml:space="preserve"> Employee Retention Credit Voluntary Disclosure Program (ERC-VDP). </w:t>
      </w:r>
      <w:r w:rsidR="003E6220">
        <w:t xml:space="preserve">The </w:t>
      </w:r>
      <w:r w:rsidR="00994566">
        <w:t xml:space="preserve">ERC-VDP was created in order to provide a streamlined avenue for taxpayers to return funds and be afforded a 20% reduction in the amount to return. </w:t>
      </w:r>
      <w:r w:rsidR="008D600E">
        <w:t xml:space="preserve"> </w:t>
      </w:r>
      <w:r w:rsidRPr="00262F05" w:rsidR="008D600E">
        <w:t xml:space="preserve">IRS </w:t>
      </w:r>
      <w:r w:rsidR="00262F05">
        <w:t xml:space="preserve">will </w:t>
      </w:r>
      <w:r w:rsidR="007E11F0">
        <w:t>announce the</w:t>
      </w:r>
      <w:r w:rsidR="008D600E">
        <w:t xml:space="preserve"> </w:t>
      </w:r>
      <w:r w:rsidR="00994566">
        <w:t>ERC-VDP</w:t>
      </w:r>
      <w:r w:rsidR="008D600E">
        <w:t xml:space="preserve"> for taxpayers who </w:t>
      </w:r>
      <w:r w:rsidR="00195AFE">
        <w:t>improper</w:t>
      </w:r>
      <w:r w:rsidR="00F1700E">
        <w:t>ly</w:t>
      </w:r>
      <w:r w:rsidR="00195AFE">
        <w:t xml:space="preserve"> claim</w:t>
      </w:r>
      <w:r w:rsidR="00F1700E">
        <w:t>ed</w:t>
      </w:r>
      <w:r w:rsidR="00195AFE">
        <w:t xml:space="preserve"> the ERC and received</w:t>
      </w:r>
      <w:r w:rsidR="0094066E">
        <w:t xml:space="preserve"> the</w:t>
      </w:r>
      <w:r w:rsidR="00195AFE">
        <w:t xml:space="preserve"> refund.  </w:t>
      </w:r>
    </w:p>
    <w:p w:rsidR="0064550F" w:rsidP="00DE7804" w14:paraId="753C6CDA" w14:textId="77777777">
      <w:pPr>
        <w:ind w:left="450"/>
      </w:pPr>
    </w:p>
    <w:p w:rsidR="00B174DB" w:rsidP="00DE7804" w14:paraId="2B553A7D" w14:textId="313FC1C8">
      <w:pPr>
        <w:ind w:left="450"/>
      </w:pPr>
      <w:r>
        <w:t>To participate in the initiative, taxpayers must submit information about the</w:t>
      </w:r>
      <w:r w:rsidR="00F1700E">
        <w:t xml:space="preserve"> improper ERC claimed,</w:t>
      </w:r>
      <w:r>
        <w:t xml:space="preserve"> refund received, their identifying information, and the identifying </w:t>
      </w:r>
      <w:r w:rsidR="00AE1A8D">
        <w:t xml:space="preserve">information of any </w:t>
      </w:r>
      <w:r w:rsidR="0094066E">
        <w:t>preparer/advisor who</w:t>
      </w:r>
      <w:r w:rsidR="00AE1A8D">
        <w:t xml:space="preserve"> assisted</w:t>
      </w:r>
      <w:r w:rsidR="0094066E">
        <w:t xml:space="preserve"> them</w:t>
      </w:r>
      <w:r w:rsidR="00AE1A8D">
        <w:t xml:space="preserve"> with the </w:t>
      </w:r>
      <w:r w:rsidR="00F1700E">
        <w:t xml:space="preserve">ERC </w:t>
      </w:r>
      <w:r w:rsidR="00AE1A8D">
        <w:t xml:space="preserve">claim. </w:t>
      </w:r>
      <w:r w:rsidR="0064550F">
        <w:t xml:space="preserve"> IRS </w:t>
      </w:r>
      <w:r>
        <w:t>ha</w:t>
      </w:r>
      <w:r w:rsidR="0064550F">
        <w:t>s creat</w:t>
      </w:r>
      <w:r>
        <w:t>ed</w:t>
      </w:r>
      <w:r w:rsidR="0064550F">
        <w:t xml:space="preserve"> a Form </w:t>
      </w:r>
      <w:r w:rsidR="00DD2869">
        <w:t xml:space="preserve">15434 to capture these collection </w:t>
      </w:r>
      <w:r w:rsidRPr="00262F05" w:rsidR="00DD2869">
        <w:t>requirements.</w:t>
      </w:r>
      <w:r w:rsidR="00DD2869">
        <w:t xml:space="preserve">   </w:t>
      </w:r>
      <w:r>
        <w:t xml:space="preserve">In order to qualify for the ERC-VDP, taxpayers </w:t>
      </w:r>
      <w:r w:rsidR="00346F92">
        <w:t>must not currently be under audit or criminal investigation.</w:t>
      </w:r>
    </w:p>
    <w:p w:rsidR="00B174DB" w:rsidP="00DE7804" w14:paraId="1F252D00" w14:textId="77777777">
      <w:pPr>
        <w:ind w:left="450"/>
      </w:pPr>
    </w:p>
    <w:p w:rsidR="008D600E" w:rsidP="00DE7804" w14:paraId="6C65A92E" w14:textId="4D1760D7">
      <w:pPr>
        <w:ind w:left="450"/>
      </w:pPr>
      <w:r>
        <w:t>Additionally</w:t>
      </w:r>
      <w:r w:rsidR="00DD2869">
        <w:t xml:space="preserve">, the IRS </w:t>
      </w:r>
      <w:r w:rsidR="00262F05">
        <w:t>will</w:t>
      </w:r>
      <w:r w:rsidR="00DD2869">
        <w:t xml:space="preserve"> p</w:t>
      </w:r>
      <w:r w:rsidR="00B174DB">
        <w:t xml:space="preserve">rovide procedures and requirements </w:t>
      </w:r>
      <w:r w:rsidR="003E6220">
        <w:t>with respect to</w:t>
      </w:r>
      <w:r w:rsidR="00B174DB">
        <w:t xml:space="preserve"> closing agreements that </w:t>
      </w:r>
      <w:r w:rsidR="003E6220">
        <w:t>must be entered in to by</w:t>
      </w:r>
      <w:r w:rsidR="00B174DB">
        <w:t xml:space="preserve"> taxpayers that qualify for the ERC-VDP.   These closing agreements will be captured on Form 15434-A.  </w:t>
      </w:r>
      <w:r w:rsidR="00B1689E">
        <w:t xml:space="preserve">This form is exempt from the Paperwork Reduction Act (PRA) under 5 CFR 1320.4(a)(2) as an administrative action for a specific individual and is not subject to the Office of Management and Budget (OMB) review and approval. </w:t>
      </w:r>
    </w:p>
    <w:p w:rsidR="00B82195" w:rsidP="00CF0E68" w14:paraId="74E0FA25" w14:textId="77777777"/>
    <w:bookmarkEnd w:id="0"/>
    <w:p w:rsidR="005C2C05" w:rsidRPr="00D34E0E" w:rsidP="00CE2D06" w14:paraId="41776769" w14:textId="77777777">
      <w:pPr>
        <w:rPr>
          <w:color w:val="FF0000"/>
        </w:rPr>
      </w:pPr>
    </w:p>
    <w:p w:rsidR="005C2C05" w:rsidRPr="00AE1A8D" w:rsidP="00F41911" w14:paraId="4177676A" w14:textId="6BDD53B0">
      <w:pPr>
        <w:numPr>
          <w:ilvl w:val="0"/>
          <w:numId w:val="12"/>
        </w:numPr>
      </w:pPr>
      <w:r w:rsidRPr="00AE1A8D">
        <w:rPr>
          <w:u w:val="single"/>
        </w:rPr>
        <w:t>USE OF THE DATA</w:t>
      </w:r>
    </w:p>
    <w:p w:rsidR="005C2C05" w:rsidRPr="00AE1A8D" w:rsidP="003C1AB8" w14:paraId="4177676B" w14:textId="77777777">
      <w:pPr>
        <w:rPr>
          <w:u w:val="single"/>
        </w:rPr>
      </w:pPr>
    </w:p>
    <w:p w:rsidR="00781D2D" w:rsidP="00DE7804" w14:paraId="5EE62719" w14:textId="024B918E">
      <w:pPr>
        <w:ind w:left="360"/>
      </w:pPr>
      <w:r w:rsidRPr="00AE1A8D">
        <w:t xml:space="preserve">The information </w:t>
      </w:r>
      <w:r>
        <w:t xml:space="preserve">collected on Form 15434 </w:t>
      </w:r>
      <w:r w:rsidRPr="00AE1A8D">
        <w:t xml:space="preserve">will be used </w:t>
      </w:r>
      <w:r w:rsidRPr="00AE1A8D" w:rsidR="00CB3662">
        <w:t>by</w:t>
      </w:r>
      <w:r w:rsidRPr="00AE1A8D" w:rsidR="00AE1A8D">
        <w:t xml:space="preserve"> the IRS to </w:t>
      </w:r>
      <w:r w:rsidR="00AE1A8D">
        <w:t>(1)</w:t>
      </w:r>
      <w:r w:rsidR="00D22CE9">
        <w:t xml:space="preserve"> allow taxpayers an opportunity to correct issues with inadvertently claiming the ERC, (2) </w:t>
      </w:r>
      <w:r w:rsidR="00AE1A8D">
        <w:t>identify taxpayer</w:t>
      </w:r>
      <w:r w:rsidR="0094066E">
        <w:t>s who were not eligible for ERC</w:t>
      </w:r>
      <w:r w:rsidR="00D22CE9">
        <w:t xml:space="preserve">, </w:t>
      </w:r>
      <w:r w:rsidR="00AE1A8D">
        <w:t>and (</w:t>
      </w:r>
      <w:r w:rsidR="00D22CE9">
        <w:t>3</w:t>
      </w:r>
      <w:r w:rsidR="00AE1A8D">
        <w:t xml:space="preserve">) identify </w:t>
      </w:r>
      <w:r w:rsidR="0094066E">
        <w:t>preparers/advisors</w:t>
      </w:r>
      <w:r w:rsidR="00AE1A8D">
        <w:t xml:space="preserve"> that are encouraging and aiding taxpayers in filing improper claims</w:t>
      </w:r>
      <w:r w:rsidR="004C12A0">
        <w:t xml:space="preserve"> for possible investigation</w:t>
      </w:r>
      <w:r>
        <w:t>.</w:t>
      </w:r>
      <w:r w:rsidR="00AE1A8D">
        <w:t xml:space="preserve">    </w:t>
      </w:r>
    </w:p>
    <w:p w:rsidR="00781D2D" w:rsidP="00CF0E68" w14:paraId="6F075871" w14:textId="77777777"/>
    <w:p w:rsidR="005C2C05" w:rsidRPr="00AE1A8D" w:rsidP="003C1AB8" w14:paraId="4177676D" w14:textId="77777777">
      <w:r w:rsidRPr="00AE1A8D">
        <w:t xml:space="preserve">  </w:t>
      </w:r>
    </w:p>
    <w:p w:rsidR="005C2C05" w:rsidRPr="00AE1A8D" w:rsidP="005378E3" w14:paraId="4177676E" w14:textId="3C97F19D">
      <w:pPr>
        <w:numPr>
          <w:ilvl w:val="0"/>
          <w:numId w:val="12"/>
        </w:numPr>
        <w:rPr>
          <w:u w:val="single"/>
        </w:rPr>
      </w:pPr>
      <w:r w:rsidRPr="00AE1A8D">
        <w:rPr>
          <w:u w:val="single"/>
        </w:rPr>
        <w:t xml:space="preserve">USE OF </w:t>
      </w:r>
      <w:r>
        <w:rPr>
          <w:u w:val="single"/>
        </w:rPr>
        <w:t xml:space="preserve">IMPROVED </w:t>
      </w:r>
      <w:r w:rsidRPr="00AE1A8D">
        <w:rPr>
          <w:u w:val="single"/>
        </w:rPr>
        <w:t>INFORMATION TECHNOLOGY</w:t>
      </w:r>
      <w:r>
        <w:rPr>
          <w:u w:val="single"/>
        </w:rPr>
        <w:t xml:space="preserve"> TO REDUCE BURDEN</w:t>
      </w:r>
      <w:r w:rsidRPr="00AE1A8D" w:rsidR="00C63684">
        <w:rPr>
          <w:u w:val="single"/>
        </w:rPr>
        <w:t xml:space="preserve"> </w:t>
      </w:r>
    </w:p>
    <w:p w:rsidR="005C2C05" w:rsidRPr="00AE1A8D" w:rsidP="00961823" w14:paraId="4177676F" w14:textId="77777777">
      <w:pPr>
        <w:keepNext/>
      </w:pPr>
    </w:p>
    <w:p w:rsidR="005C2C05" w:rsidRPr="00AE1A8D" w:rsidP="00DE7804" w14:paraId="41776770" w14:textId="64CFD2D0">
      <w:pPr>
        <w:ind w:left="360"/>
      </w:pPr>
      <w:r>
        <w:rPr>
          <w:rFonts w:cs="Arial"/>
        </w:rPr>
        <w:t xml:space="preserve">These collections </w:t>
      </w:r>
      <w:r w:rsidR="0094066E">
        <w:rPr>
          <w:rFonts w:cs="Arial"/>
        </w:rPr>
        <w:t>will be 100% electronic.</w:t>
      </w:r>
      <w:r>
        <w:rPr>
          <w:rFonts w:cs="Arial"/>
        </w:rPr>
        <w:t xml:space="preserve">  </w:t>
      </w:r>
      <w:r w:rsidR="00B1689E">
        <w:rPr>
          <w:rFonts w:cs="Arial"/>
        </w:rPr>
        <w:t>Form 15434</w:t>
      </w:r>
      <w:r>
        <w:rPr>
          <w:rFonts w:cs="Arial"/>
        </w:rPr>
        <w:t xml:space="preserve"> </w:t>
      </w:r>
      <w:r w:rsidR="00B1689E">
        <w:rPr>
          <w:rFonts w:cs="Arial"/>
        </w:rPr>
        <w:t>is</w:t>
      </w:r>
      <w:r>
        <w:rPr>
          <w:rFonts w:cs="Arial"/>
        </w:rPr>
        <w:t xml:space="preserve"> available as fillable pdf on IRS.gov.   Additionally, t</w:t>
      </w:r>
      <w:r w:rsidR="0094066E">
        <w:rPr>
          <w:rFonts w:cs="Arial"/>
        </w:rPr>
        <w:t xml:space="preserve">axpayers will submit their application for </w:t>
      </w:r>
      <w:r w:rsidR="00863ADB">
        <w:rPr>
          <w:rFonts w:cs="Arial"/>
        </w:rPr>
        <w:t xml:space="preserve">the </w:t>
      </w:r>
      <w:r w:rsidR="0094066E">
        <w:rPr>
          <w:rFonts w:cs="Arial"/>
        </w:rPr>
        <w:t>ERC-VDP through the Document Upload Tool</w:t>
      </w:r>
      <w:r>
        <w:rPr>
          <w:rFonts w:cs="Arial"/>
        </w:rPr>
        <w:t xml:space="preserve"> available at </w:t>
      </w:r>
      <w:hyperlink r:id="rId5" w:history="1">
        <w:r>
          <w:rPr>
            <w:rStyle w:val="Hyperlink"/>
          </w:rPr>
          <w:t>https://www.irs.gov/help/irs-document-upload-tool</w:t>
        </w:r>
      </w:hyperlink>
      <w:r w:rsidR="0094066E">
        <w:rPr>
          <w:rFonts w:cs="Arial"/>
        </w:rPr>
        <w:t xml:space="preserve">.  </w:t>
      </w:r>
    </w:p>
    <w:p w:rsidR="005C2C05" w:rsidRPr="00AE1A8D" w:rsidP="00F72D0B" w14:paraId="41776771" w14:textId="77777777"/>
    <w:p w:rsidR="005C2C05" w:rsidRPr="00AE1A8D" w:rsidP="005378E3" w14:paraId="41776772" w14:textId="7B7C966F">
      <w:pPr>
        <w:numPr>
          <w:ilvl w:val="0"/>
          <w:numId w:val="12"/>
        </w:numPr>
        <w:rPr>
          <w:u w:val="single"/>
        </w:rPr>
      </w:pPr>
      <w:r w:rsidRPr="00AE1A8D">
        <w:rPr>
          <w:u w:val="single"/>
        </w:rPr>
        <w:t xml:space="preserve">EFFORTS TO IDENTIFY DUPLICATION   </w:t>
      </w:r>
    </w:p>
    <w:p w:rsidR="005C2C05" w:rsidRPr="00AE1A8D" w:rsidP="00CC4534" w14:paraId="41776773" w14:textId="77777777"/>
    <w:p w:rsidR="004470CC" w:rsidRPr="00AE1A8D" w:rsidP="00DE7804" w14:paraId="41776774" w14:textId="77777777">
      <w:pPr>
        <w:ind w:left="360"/>
      </w:pPr>
      <w:r w:rsidRPr="00AE1A8D">
        <w:t>The information obtained through this collection is unique and is not already available for use or adaptation from another source.</w:t>
      </w:r>
    </w:p>
    <w:p w:rsidR="005C2C05" w:rsidRPr="00AE1A8D" w:rsidP="00F72D0B" w14:paraId="41776775" w14:textId="77777777"/>
    <w:p w:rsidR="005C2C05" w:rsidRPr="00AE1A8D" w:rsidP="005378E3" w14:paraId="41776776" w14:textId="1C70919F">
      <w:pPr>
        <w:numPr>
          <w:ilvl w:val="0"/>
          <w:numId w:val="12"/>
        </w:numPr>
        <w:rPr>
          <w:u w:val="single"/>
        </w:rPr>
      </w:pPr>
      <w:r>
        <w:rPr>
          <w:u w:val="single"/>
        </w:rPr>
        <w:t xml:space="preserve">METHODS TO MINIMIZE BURDEN ON </w:t>
      </w:r>
      <w:r w:rsidRPr="00AE1A8D">
        <w:rPr>
          <w:u w:val="single"/>
        </w:rPr>
        <w:t xml:space="preserve">SMALL </w:t>
      </w:r>
      <w:r>
        <w:rPr>
          <w:u w:val="single"/>
        </w:rPr>
        <w:t xml:space="preserve">BUSINESSES OR OTHER SMALL </w:t>
      </w:r>
      <w:r w:rsidRPr="00AE1A8D">
        <w:rPr>
          <w:u w:val="single"/>
        </w:rPr>
        <w:t>ENTITIES</w:t>
      </w:r>
    </w:p>
    <w:p w:rsidR="005C2C05" w:rsidRPr="00AE1A8D" w:rsidP="00F72D0B" w14:paraId="41776777" w14:textId="77777777"/>
    <w:p w:rsidR="004470CC" w:rsidRPr="004C12A0" w:rsidP="00DE7804" w14:paraId="41776778" w14:textId="77777777">
      <w:pPr>
        <w:ind w:left="360"/>
      </w:pPr>
      <w:r w:rsidRPr="00AE1A8D">
        <w:t xml:space="preserve">The collection of information requirement will not have a significant economic impact on </w:t>
      </w:r>
      <w:r w:rsidRPr="004C12A0">
        <w:t>a substantial number of small entities.</w:t>
      </w:r>
    </w:p>
    <w:p w:rsidR="005C2C05" w:rsidRPr="004C12A0" w:rsidP="00F72D0B" w14:paraId="41776779" w14:textId="77777777"/>
    <w:p w:rsidR="005C2C05" w:rsidRPr="004C12A0" w:rsidP="005378E3" w14:paraId="4177677A" w14:textId="04A8393F">
      <w:pPr>
        <w:numPr>
          <w:ilvl w:val="0"/>
          <w:numId w:val="12"/>
        </w:numPr>
        <w:rPr>
          <w:u w:val="single"/>
        </w:rPr>
      </w:pPr>
      <w:r w:rsidRPr="004C12A0">
        <w:rPr>
          <w:u w:val="single"/>
        </w:rPr>
        <w:t xml:space="preserve">CONSEQUENCES OF LESS FREQUENT COLLECTION </w:t>
      </w:r>
      <w:r>
        <w:rPr>
          <w:u w:val="single"/>
        </w:rPr>
        <w:t xml:space="preserve">ON FEDERAL PROGRAMS OR POLICY ACTIVITIES </w:t>
      </w:r>
    </w:p>
    <w:p w:rsidR="005C2C05" w:rsidRPr="004C12A0" w:rsidP="00F72D0B" w14:paraId="4177677B" w14:textId="77777777"/>
    <w:p w:rsidR="005C2C05" w:rsidRPr="004C12A0" w:rsidP="00DE7804" w14:paraId="4177677E" w14:textId="30F81712">
      <w:pPr>
        <w:ind w:left="360"/>
      </w:pPr>
      <w:r>
        <w:t>T</w:t>
      </w:r>
      <w:r w:rsidRPr="004C12A0">
        <w:t xml:space="preserve">he information collected will be used to </w:t>
      </w:r>
      <w:r w:rsidRPr="004C12A0" w:rsidR="004C12A0">
        <w:t xml:space="preserve">make appropriate adjustments to taxpayer accounts and identify promoters who are encouraging a proliferation of improper refund claims.  </w:t>
      </w:r>
      <w:r w:rsidRPr="004C12A0">
        <w:t xml:space="preserve">A less frequent collection will not enable the IRS to appropriately </w:t>
      </w:r>
      <w:r w:rsidRPr="004C12A0" w:rsidR="004C12A0">
        <w:t xml:space="preserve">adjust accounts or </w:t>
      </w:r>
      <w:r w:rsidR="00E24908">
        <w:t>investigate</w:t>
      </w:r>
      <w:r w:rsidRPr="004C12A0" w:rsidR="004C12A0">
        <w:t xml:space="preserve"> promoters causing harm to taxpayers.  </w:t>
      </w:r>
    </w:p>
    <w:p w:rsidR="00CF0E68" w:rsidRPr="004C12A0" w:rsidP="00F72D0B" w14:paraId="26A1001F" w14:textId="77777777"/>
    <w:p w:rsidR="005C2C05" w:rsidRPr="004C12A0" w:rsidP="005378E3" w14:paraId="4177677F" w14:textId="751B225C">
      <w:pPr>
        <w:numPr>
          <w:ilvl w:val="0"/>
          <w:numId w:val="12"/>
        </w:numPr>
        <w:rPr>
          <w:u w:val="single"/>
        </w:rPr>
      </w:pPr>
      <w:r w:rsidRPr="004C12A0">
        <w:rPr>
          <w:u w:val="single"/>
        </w:rPr>
        <w:t>CIRCUMSTANCES REQUIRING SPECIAL INFORMATION COLLECTION</w:t>
      </w:r>
    </w:p>
    <w:p w:rsidR="005C2C05" w:rsidRPr="004C12A0" w:rsidP="00CB003A" w14:paraId="41776780" w14:textId="77777777">
      <w:pPr>
        <w:rPr>
          <w:u w:val="single"/>
        </w:rPr>
      </w:pPr>
    </w:p>
    <w:p w:rsidR="00CF0E68" w:rsidRPr="004C12A0" w:rsidP="00DE7804" w14:paraId="43FDE6AA" w14:textId="77777777">
      <w:pPr>
        <w:ind w:left="360"/>
      </w:pPr>
      <w:r w:rsidRPr="004C12A0">
        <w:t>There are no special circumstances requiring data collection to be inconsistent with guidelines in 5 CFR 1320.5(d)(2).</w:t>
      </w:r>
    </w:p>
    <w:p w:rsidR="005C2C05" w:rsidRPr="00CD1127" w:rsidP="00DE7804" w14:paraId="41776782" w14:textId="77777777">
      <w:pPr>
        <w:ind w:left="360"/>
      </w:pPr>
    </w:p>
    <w:p w:rsidR="005C2C05" w:rsidRPr="00CD1127" w:rsidP="005378E3" w14:paraId="41776783" w14:textId="7393D17C">
      <w:pPr>
        <w:numPr>
          <w:ilvl w:val="0"/>
          <w:numId w:val="12"/>
        </w:numPr>
        <w:rPr>
          <w:u w:val="single"/>
        </w:rPr>
      </w:pPr>
      <w:r w:rsidRPr="00CD1127">
        <w:rPr>
          <w:u w:val="single"/>
        </w:rPr>
        <w:t>SOLICITATION OF COMMENTS ON INFORMATION COLLECTION</w:t>
      </w:r>
    </w:p>
    <w:p w:rsidR="005C2C05" w:rsidRPr="00CD1127" w:rsidP="00CB003A" w14:paraId="41776784" w14:textId="77777777"/>
    <w:p w:rsidR="00003A36" w:rsidRPr="00CD1127" w:rsidP="00DE7804" w14:paraId="5E2E3AE7" w14:textId="6863F6BD">
      <w:pPr>
        <w:ind w:left="360"/>
      </w:pPr>
      <w:r w:rsidRPr="00CD1127">
        <w:t>Due to the extraordinary circumstances</w:t>
      </w:r>
      <w:r w:rsidR="0094066E">
        <w:t xml:space="preserve"> resulting from the upcoming</w:t>
      </w:r>
      <w:r w:rsidR="00DD6048">
        <w:t xml:space="preserve"> assessment</w:t>
      </w:r>
      <w:r w:rsidR="0094066E">
        <w:t xml:space="preserve"> statute</w:t>
      </w:r>
      <w:r w:rsidR="00DD6048">
        <w:t xml:space="preserve"> of limitations expiration date</w:t>
      </w:r>
      <w:r w:rsidR="0094066E">
        <w:t xml:space="preserve"> of 4/15/2024 </w:t>
      </w:r>
      <w:r w:rsidR="00863ADB">
        <w:t>with respect to</w:t>
      </w:r>
      <w:r w:rsidR="0094066E">
        <w:t xml:space="preserve"> 2020 employment tax periods</w:t>
      </w:r>
      <w:r w:rsidRPr="00CD1127" w:rsidR="00CD1127">
        <w:t xml:space="preserve">, </w:t>
      </w:r>
      <w:r w:rsidRPr="00CD1127">
        <w:t xml:space="preserve">the Department of Treasury and IRS request emergency processing of this information collection. Given the inability to seek public comment during such a short timeframe, IRS also respectfully requests a waiver from the requirement to publish a notice in the Federal Register seeking public comment during the period of Office of Management and Budget review.  </w:t>
      </w:r>
    </w:p>
    <w:p w:rsidR="005C2C05" w:rsidRPr="00D34E0E" w:rsidP="00CB003A" w14:paraId="41776788" w14:textId="77777777">
      <w:pPr>
        <w:rPr>
          <w:color w:val="FF0000"/>
        </w:rPr>
      </w:pPr>
    </w:p>
    <w:p w:rsidR="00923A34" w:rsidRPr="00CD1127" w:rsidP="008D00D2" w14:paraId="41776789" w14:textId="70FBF1C1">
      <w:pPr>
        <w:numPr>
          <w:ilvl w:val="0"/>
          <w:numId w:val="12"/>
        </w:numPr>
        <w:rPr>
          <w:u w:val="single"/>
        </w:rPr>
      </w:pPr>
      <w:r w:rsidRPr="00CD1127">
        <w:rPr>
          <w:u w:val="single"/>
        </w:rPr>
        <w:t>EXPLANATION OF DECISION TO PROVIDE ANY PAYMENT OR GIFT TO RESPONDENTS</w:t>
      </w:r>
    </w:p>
    <w:p w:rsidR="00923A34" w:rsidRPr="00CD1127" w:rsidP="00923A34" w14:paraId="4177678A" w14:textId="77777777">
      <w:pPr>
        <w:keepNext/>
        <w:ind w:firstLine="360"/>
        <w:rPr>
          <w:u w:val="single"/>
        </w:rPr>
      </w:pPr>
    </w:p>
    <w:p w:rsidR="005C2C05" w:rsidRPr="00CD1127" w:rsidP="00DE7804" w14:paraId="4177678B" w14:textId="158A9877">
      <w:pPr>
        <w:keepNext/>
        <w:ind w:left="450"/>
      </w:pPr>
      <w:r>
        <w:t>No payment or gift will be provided to any respondents</w:t>
      </w:r>
      <w:r w:rsidR="00963116">
        <w:t>.</w:t>
      </w:r>
    </w:p>
    <w:p w:rsidR="00923A34" w:rsidRPr="00CD1127" w:rsidP="00923A34" w14:paraId="4177678C" w14:textId="77777777">
      <w:pPr>
        <w:keepNext/>
        <w:ind w:firstLine="360"/>
      </w:pPr>
    </w:p>
    <w:p w:rsidR="005C2C05" w:rsidRPr="00CD1127" w:rsidP="008D00D2" w14:paraId="4177678D" w14:textId="14D32BB7">
      <w:pPr>
        <w:numPr>
          <w:ilvl w:val="0"/>
          <w:numId w:val="12"/>
        </w:numPr>
        <w:rPr>
          <w:u w:val="single"/>
        </w:rPr>
      </w:pPr>
      <w:r w:rsidRPr="00CD1127">
        <w:rPr>
          <w:u w:val="single"/>
        </w:rPr>
        <w:t>ASSURANCE OF CONFIDENTIALITY</w:t>
      </w:r>
      <w:r>
        <w:rPr>
          <w:u w:val="single"/>
        </w:rPr>
        <w:t xml:space="preserve"> OF RESPONSES </w:t>
      </w:r>
    </w:p>
    <w:p w:rsidR="005C2C05" w:rsidRPr="00CD1127" w:rsidP="00666B6D" w14:paraId="4177678E" w14:textId="77777777">
      <w:pPr>
        <w:keepNext/>
      </w:pPr>
    </w:p>
    <w:p w:rsidR="005C2C05" w:rsidRPr="00CD1127" w:rsidP="00DE7804" w14:paraId="4177678F" w14:textId="4CC7C36F">
      <w:pPr>
        <w:ind w:left="360"/>
      </w:pPr>
      <w:r w:rsidRPr="00CD1127">
        <w:t>Generally, tax returns and tax return information are confidential as required by 26 USC 6103.</w:t>
      </w:r>
      <w:r w:rsidRPr="00CD1127" w:rsidR="00FB24C0">
        <w:t xml:space="preserve">  </w:t>
      </w:r>
    </w:p>
    <w:p w:rsidR="005C2C05" w:rsidRPr="00CD1127" w:rsidP="00CB003A" w14:paraId="41776790" w14:textId="77777777"/>
    <w:p w:rsidR="005C2C05" w:rsidRPr="00CD1127" w:rsidP="008D00D2" w14:paraId="41776791" w14:textId="268DB38D">
      <w:pPr>
        <w:numPr>
          <w:ilvl w:val="0"/>
          <w:numId w:val="12"/>
        </w:numPr>
        <w:rPr>
          <w:u w:val="single"/>
        </w:rPr>
      </w:pPr>
      <w:r w:rsidRPr="00CD1127">
        <w:rPr>
          <w:u w:val="single"/>
        </w:rPr>
        <w:t>JUSTIFICATION OF SENSITIVE QUESTIONS</w:t>
      </w:r>
    </w:p>
    <w:p w:rsidR="005C2C05" w:rsidRPr="00CD1127" w:rsidP="00CB003A" w14:paraId="41776792" w14:textId="77777777"/>
    <w:p w:rsidR="00116640" w:rsidRPr="00CD1127" w:rsidP="00DE7804" w14:paraId="41776793" w14:textId="66BC8208">
      <w:pPr>
        <w:tabs>
          <w:tab w:val="left" w:pos="540"/>
        </w:tabs>
        <w:ind w:left="360"/>
      </w:pPr>
      <w:r w:rsidRPr="00CD1127">
        <w:t>A privacy impact assessment (PIA) has been conducted for information collected under this request as part of the “</w:t>
      </w:r>
      <w:r w:rsidR="009E457D">
        <w:t>Business</w:t>
      </w:r>
      <w:r w:rsidRPr="00CD1127">
        <w:t xml:space="preserve"> Master File (</w:t>
      </w:r>
      <w:r w:rsidR="009E457D">
        <w:t>B</w:t>
      </w:r>
      <w:r w:rsidRPr="00CD1127">
        <w:t>MF)” system and a Privacy Act System of Records notice (SORN) has been issued for this system under IRS 24.0</w:t>
      </w:r>
      <w:r w:rsidR="009E457D">
        <w:t>46</w:t>
      </w:r>
      <w:r w:rsidRPr="00CD1127">
        <w:t xml:space="preserve">--Customer Account Data Engine </w:t>
      </w:r>
      <w:r w:rsidR="009E457D">
        <w:t>Business</w:t>
      </w:r>
      <w:r w:rsidRPr="00CD1127">
        <w:t xml:space="preserve"> Master File, and IRS 34.037--IRS Audit Trail and Security Records System.  The Department of Treasury PIAs can be found at </w:t>
      </w:r>
      <w:hyperlink r:id="rId6" w:history="1">
        <w:r w:rsidRPr="00676867" w:rsidR="009E457D">
          <w:rPr>
            <w:rStyle w:val="Hyperlink"/>
          </w:rPr>
          <w:t>https://www.irs.gov/uac/Privacy-Impact-Assessments-PIA</w:t>
        </w:r>
      </w:hyperlink>
      <w:r w:rsidRPr="00CD1127">
        <w:t>.</w:t>
      </w:r>
      <w:r w:rsidR="009E457D">
        <w:t xml:space="preserve"> </w:t>
      </w:r>
    </w:p>
    <w:p w:rsidR="00116640" w:rsidRPr="00CD1127" w:rsidP="00DE7804" w14:paraId="41776794" w14:textId="77777777">
      <w:pPr>
        <w:tabs>
          <w:tab w:val="left" w:pos="540"/>
        </w:tabs>
        <w:ind w:left="360"/>
      </w:pPr>
    </w:p>
    <w:p w:rsidR="005C2C05" w:rsidRPr="00CD1127" w:rsidP="00DE7804" w14:paraId="41776795" w14:textId="691C6E90">
      <w:pPr>
        <w:tabs>
          <w:tab w:val="left" w:pos="540"/>
        </w:tabs>
        <w:ind w:left="360"/>
      </w:pPr>
      <w:r w:rsidRPr="00CD1127">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5C2C05" w:rsidRPr="00CD1127" w:rsidP="00DE7804" w14:paraId="41776796" w14:textId="77777777">
      <w:pPr>
        <w:tabs>
          <w:tab w:val="left" w:pos="540"/>
        </w:tabs>
        <w:ind w:left="360"/>
      </w:pPr>
    </w:p>
    <w:p w:rsidR="005C2C05" w:rsidRPr="00CD1127" w:rsidP="008D00D2" w14:paraId="41776797" w14:textId="394E6695">
      <w:pPr>
        <w:numPr>
          <w:ilvl w:val="0"/>
          <w:numId w:val="12"/>
        </w:numPr>
        <w:rPr>
          <w:u w:val="single"/>
        </w:rPr>
      </w:pPr>
      <w:bookmarkStart w:id="1" w:name="OLE_LINK1"/>
      <w:r w:rsidRPr="00CD1127">
        <w:rPr>
          <w:u w:val="single"/>
        </w:rPr>
        <w:t>ESTIMATED BURDEN OF INFORMATION COLLECTION</w:t>
      </w:r>
    </w:p>
    <w:bookmarkEnd w:id="1"/>
    <w:p w:rsidR="005C2C05" w:rsidP="00CB003A" w14:paraId="41776798" w14:textId="1367CCFC"/>
    <w:tbl>
      <w:tblPr>
        <w:tblW w:w="85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10"/>
        <w:gridCol w:w="1800"/>
        <w:gridCol w:w="1260"/>
        <w:gridCol w:w="1260"/>
        <w:gridCol w:w="990"/>
      </w:tblGrid>
      <w:tr w14:paraId="119BAF94" w14:textId="77777777" w:rsidTr="00DE7804">
        <w:tblPrEx>
          <w:tblW w:w="85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530" w:type="dxa"/>
            <w:shd w:val="clear" w:color="auto" w:fill="auto"/>
            <w:vAlign w:val="center"/>
          </w:tcPr>
          <w:p w:rsidR="008103D1" w:rsidRPr="00994566" w:rsidP="005B1672" w14:paraId="61AB5028" w14:textId="77777777">
            <w:pPr>
              <w:jc w:val="center"/>
              <w:rPr>
                <w:b/>
                <w:bCs/>
                <w:sz w:val="22"/>
                <w:szCs w:val="22"/>
              </w:rPr>
            </w:pPr>
            <w:r w:rsidRPr="00994566">
              <w:rPr>
                <w:b/>
                <w:bCs/>
                <w:sz w:val="22"/>
                <w:szCs w:val="22"/>
              </w:rPr>
              <w:t>Description</w:t>
            </w:r>
          </w:p>
        </w:tc>
        <w:tc>
          <w:tcPr>
            <w:tcW w:w="1710" w:type="dxa"/>
            <w:shd w:val="clear" w:color="auto" w:fill="auto"/>
            <w:vAlign w:val="center"/>
          </w:tcPr>
          <w:p w:rsidR="008103D1" w:rsidRPr="00994566" w:rsidP="005B1672" w14:paraId="042EEAD9" w14:textId="77777777">
            <w:pPr>
              <w:jc w:val="center"/>
              <w:rPr>
                <w:b/>
                <w:bCs/>
                <w:sz w:val="22"/>
                <w:szCs w:val="22"/>
              </w:rPr>
            </w:pPr>
            <w:r w:rsidRPr="00994566">
              <w:rPr>
                <w:b/>
                <w:bCs/>
                <w:sz w:val="22"/>
                <w:szCs w:val="22"/>
              </w:rPr>
              <w:t># of Respondents</w:t>
            </w:r>
          </w:p>
        </w:tc>
        <w:tc>
          <w:tcPr>
            <w:tcW w:w="1800" w:type="dxa"/>
            <w:shd w:val="clear" w:color="auto" w:fill="auto"/>
            <w:vAlign w:val="center"/>
          </w:tcPr>
          <w:p w:rsidR="008103D1" w:rsidRPr="00994566" w:rsidP="005B1672" w14:paraId="16F431EB" w14:textId="77777777">
            <w:pPr>
              <w:jc w:val="center"/>
              <w:rPr>
                <w:b/>
                <w:bCs/>
                <w:sz w:val="22"/>
                <w:szCs w:val="22"/>
              </w:rPr>
            </w:pPr>
            <w:r w:rsidRPr="00994566">
              <w:rPr>
                <w:b/>
                <w:bCs/>
                <w:sz w:val="22"/>
                <w:szCs w:val="22"/>
              </w:rPr>
              <w:t># Responses per</w:t>
            </w:r>
          </w:p>
          <w:p w:rsidR="008103D1" w:rsidRPr="00994566" w:rsidP="005B1672" w14:paraId="312BC8DB" w14:textId="77777777">
            <w:pPr>
              <w:jc w:val="center"/>
              <w:rPr>
                <w:b/>
                <w:bCs/>
                <w:sz w:val="22"/>
                <w:szCs w:val="22"/>
              </w:rPr>
            </w:pPr>
            <w:r w:rsidRPr="00994566">
              <w:rPr>
                <w:b/>
                <w:bCs/>
                <w:sz w:val="22"/>
                <w:szCs w:val="22"/>
              </w:rPr>
              <w:t>Respondent</w:t>
            </w:r>
          </w:p>
        </w:tc>
        <w:tc>
          <w:tcPr>
            <w:tcW w:w="1260" w:type="dxa"/>
            <w:shd w:val="clear" w:color="auto" w:fill="auto"/>
            <w:vAlign w:val="center"/>
          </w:tcPr>
          <w:p w:rsidR="008103D1" w:rsidRPr="00994566" w:rsidP="005B1672" w14:paraId="77C55425" w14:textId="77777777">
            <w:pPr>
              <w:jc w:val="center"/>
              <w:rPr>
                <w:b/>
                <w:bCs/>
                <w:sz w:val="22"/>
                <w:szCs w:val="22"/>
              </w:rPr>
            </w:pPr>
            <w:r w:rsidRPr="00994566">
              <w:rPr>
                <w:b/>
                <w:bCs/>
                <w:sz w:val="22"/>
                <w:szCs w:val="22"/>
              </w:rPr>
              <w:t>Annual</w:t>
            </w:r>
          </w:p>
          <w:p w:rsidR="008103D1" w:rsidRPr="00994566" w:rsidP="005B1672" w14:paraId="683A006E" w14:textId="77777777">
            <w:pPr>
              <w:jc w:val="center"/>
              <w:rPr>
                <w:b/>
                <w:bCs/>
                <w:sz w:val="22"/>
                <w:szCs w:val="22"/>
              </w:rPr>
            </w:pPr>
            <w:r w:rsidRPr="00994566">
              <w:rPr>
                <w:b/>
                <w:bCs/>
                <w:sz w:val="22"/>
                <w:szCs w:val="22"/>
              </w:rPr>
              <w:t>Response</w:t>
            </w:r>
          </w:p>
        </w:tc>
        <w:tc>
          <w:tcPr>
            <w:tcW w:w="1260" w:type="dxa"/>
            <w:shd w:val="clear" w:color="auto" w:fill="auto"/>
            <w:vAlign w:val="center"/>
          </w:tcPr>
          <w:p w:rsidR="008103D1" w:rsidRPr="00994566" w:rsidP="005B1672" w14:paraId="142F78DF" w14:textId="77777777">
            <w:pPr>
              <w:jc w:val="center"/>
              <w:rPr>
                <w:b/>
                <w:bCs/>
                <w:sz w:val="22"/>
                <w:szCs w:val="22"/>
              </w:rPr>
            </w:pPr>
            <w:r w:rsidRPr="00994566">
              <w:rPr>
                <w:b/>
                <w:bCs/>
                <w:sz w:val="22"/>
                <w:szCs w:val="22"/>
              </w:rPr>
              <w:t>Hours per</w:t>
            </w:r>
          </w:p>
          <w:p w:rsidR="008103D1" w:rsidRPr="00994566" w:rsidP="005B1672" w14:paraId="7C3CAE9E" w14:textId="77777777">
            <w:pPr>
              <w:jc w:val="center"/>
              <w:rPr>
                <w:b/>
                <w:bCs/>
                <w:sz w:val="22"/>
                <w:szCs w:val="22"/>
              </w:rPr>
            </w:pPr>
            <w:r w:rsidRPr="00994566">
              <w:rPr>
                <w:b/>
                <w:bCs/>
                <w:sz w:val="22"/>
                <w:szCs w:val="22"/>
              </w:rPr>
              <w:t>Response</w:t>
            </w:r>
          </w:p>
        </w:tc>
        <w:tc>
          <w:tcPr>
            <w:tcW w:w="990" w:type="dxa"/>
            <w:shd w:val="clear" w:color="auto" w:fill="auto"/>
            <w:vAlign w:val="center"/>
          </w:tcPr>
          <w:p w:rsidR="008103D1" w:rsidRPr="00994566" w:rsidP="005B1672" w14:paraId="3F03D8A9" w14:textId="77777777">
            <w:pPr>
              <w:jc w:val="center"/>
              <w:rPr>
                <w:b/>
                <w:bCs/>
                <w:sz w:val="22"/>
                <w:szCs w:val="22"/>
              </w:rPr>
            </w:pPr>
            <w:r w:rsidRPr="00994566">
              <w:rPr>
                <w:b/>
                <w:bCs/>
                <w:sz w:val="22"/>
                <w:szCs w:val="22"/>
              </w:rPr>
              <w:t>Total Burden</w:t>
            </w:r>
          </w:p>
        </w:tc>
      </w:tr>
      <w:tr w14:paraId="53BCE953" w14:textId="77777777" w:rsidTr="00DE7804">
        <w:tblPrEx>
          <w:tblW w:w="8550" w:type="dxa"/>
          <w:tblInd w:w="355" w:type="dxa"/>
          <w:tblLayout w:type="fixed"/>
          <w:tblLook w:val="04A0"/>
        </w:tblPrEx>
        <w:trPr>
          <w:trHeight w:val="368"/>
        </w:trPr>
        <w:tc>
          <w:tcPr>
            <w:tcW w:w="1530" w:type="dxa"/>
            <w:shd w:val="clear" w:color="auto" w:fill="auto"/>
            <w:vAlign w:val="center"/>
          </w:tcPr>
          <w:p w:rsidR="000275D4" w:rsidRPr="005B1672" w:rsidP="005B1672" w14:paraId="63043816" w14:textId="2B95C9A2">
            <w:pPr>
              <w:rPr>
                <w:sz w:val="22"/>
                <w:szCs w:val="22"/>
              </w:rPr>
            </w:pPr>
            <w:r>
              <w:rPr>
                <w:sz w:val="22"/>
                <w:szCs w:val="22"/>
              </w:rPr>
              <w:t>Form 15434</w:t>
            </w:r>
          </w:p>
        </w:tc>
        <w:tc>
          <w:tcPr>
            <w:tcW w:w="1710" w:type="dxa"/>
            <w:shd w:val="clear" w:color="auto" w:fill="auto"/>
            <w:vAlign w:val="center"/>
          </w:tcPr>
          <w:p w:rsidR="000275D4" w:rsidRPr="005B1672" w:rsidP="005B1672" w14:paraId="33E897FB" w14:textId="0107DCCF">
            <w:pPr>
              <w:jc w:val="center"/>
              <w:rPr>
                <w:sz w:val="22"/>
                <w:szCs w:val="22"/>
              </w:rPr>
            </w:pPr>
            <w:r>
              <w:rPr>
                <w:sz w:val="22"/>
                <w:szCs w:val="22"/>
              </w:rPr>
              <w:t>5</w:t>
            </w:r>
            <w:r w:rsidR="00497AF0">
              <w:rPr>
                <w:sz w:val="22"/>
                <w:szCs w:val="22"/>
              </w:rPr>
              <w:t>,</w:t>
            </w:r>
            <w:r w:rsidR="00B1689E">
              <w:rPr>
                <w:sz w:val="22"/>
                <w:szCs w:val="22"/>
              </w:rPr>
              <w:t>0</w:t>
            </w:r>
            <w:r w:rsidR="00D22CE9">
              <w:rPr>
                <w:sz w:val="22"/>
                <w:szCs w:val="22"/>
              </w:rPr>
              <w:t>00</w:t>
            </w:r>
          </w:p>
        </w:tc>
        <w:tc>
          <w:tcPr>
            <w:tcW w:w="1800" w:type="dxa"/>
            <w:shd w:val="clear" w:color="auto" w:fill="auto"/>
            <w:vAlign w:val="center"/>
          </w:tcPr>
          <w:p w:rsidR="000275D4" w:rsidRPr="005B1672" w:rsidP="005B1672" w14:paraId="7D1B58EA" w14:textId="1AA91F5C">
            <w:pPr>
              <w:jc w:val="center"/>
              <w:rPr>
                <w:sz w:val="22"/>
                <w:szCs w:val="22"/>
              </w:rPr>
            </w:pPr>
            <w:r>
              <w:rPr>
                <w:sz w:val="22"/>
                <w:szCs w:val="22"/>
              </w:rPr>
              <w:t>1</w:t>
            </w:r>
          </w:p>
        </w:tc>
        <w:tc>
          <w:tcPr>
            <w:tcW w:w="1260" w:type="dxa"/>
            <w:shd w:val="clear" w:color="auto" w:fill="auto"/>
            <w:vAlign w:val="center"/>
          </w:tcPr>
          <w:p w:rsidR="000275D4" w:rsidRPr="005B1672" w:rsidP="005B1672" w14:paraId="1D2EF5F5" w14:textId="25AEA0EE">
            <w:pPr>
              <w:jc w:val="center"/>
              <w:rPr>
                <w:sz w:val="22"/>
                <w:szCs w:val="22"/>
              </w:rPr>
            </w:pPr>
            <w:r>
              <w:rPr>
                <w:sz w:val="22"/>
                <w:szCs w:val="22"/>
              </w:rPr>
              <w:t>5</w:t>
            </w:r>
            <w:r w:rsidR="00497AF0">
              <w:rPr>
                <w:sz w:val="22"/>
                <w:szCs w:val="22"/>
              </w:rPr>
              <w:t>,</w:t>
            </w:r>
            <w:r w:rsidR="00B1689E">
              <w:rPr>
                <w:sz w:val="22"/>
                <w:szCs w:val="22"/>
              </w:rPr>
              <w:t>0</w:t>
            </w:r>
            <w:r w:rsidR="00D22CE9">
              <w:rPr>
                <w:sz w:val="22"/>
                <w:szCs w:val="22"/>
              </w:rPr>
              <w:t>00</w:t>
            </w:r>
          </w:p>
        </w:tc>
        <w:tc>
          <w:tcPr>
            <w:tcW w:w="1260" w:type="dxa"/>
            <w:shd w:val="clear" w:color="auto" w:fill="auto"/>
            <w:vAlign w:val="center"/>
          </w:tcPr>
          <w:p w:rsidR="000275D4" w:rsidRPr="005B1672" w:rsidP="005B1672" w14:paraId="2D9E6FAD" w14:textId="79B88F1A">
            <w:pPr>
              <w:jc w:val="center"/>
              <w:rPr>
                <w:sz w:val="22"/>
                <w:szCs w:val="22"/>
              </w:rPr>
            </w:pPr>
            <w:r>
              <w:rPr>
                <w:sz w:val="22"/>
                <w:szCs w:val="22"/>
              </w:rPr>
              <w:t>2</w:t>
            </w:r>
            <w:r w:rsidR="00A33497">
              <w:rPr>
                <w:sz w:val="22"/>
                <w:szCs w:val="22"/>
              </w:rPr>
              <w:t>.36</w:t>
            </w:r>
          </w:p>
        </w:tc>
        <w:tc>
          <w:tcPr>
            <w:tcW w:w="990" w:type="dxa"/>
            <w:shd w:val="clear" w:color="auto" w:fill="auto"/>
            <w:vAlign w:val="center"/>
          </w:tcPr>
          <w:p w:rsidR="000275D4" w:rsidRPr="005B1672" w:rsidP="005B1672" w14:paraId="322F181D" w14:textId="012B0DF8">
            <w:pPr>
              <w:jc w:val="center"/>
              <w:rPr>
                <w:sz w:val="22"/>
                <w:szCs w:val="22"/>
              </w:rPr>
            </w:pPr>
            <w:r>
              <w:rPr>
                <w:sz w:val="22"/>
                <w:szCs w:val="22"/>
              </w:rPr>
              <w:t>1</w:t>
            </w:r>
            <w:r w:rsidR="007A462F">
              <w:rPr>
                <w:sz w:val="22"/>
                <w:szCs w:val="22"/>
              </w:rPr>
              <w:t>1</w:t>
            </w:r>
            <w:r w:rsidR="00497AF0">
              <w:rPr>
                <w:sz w:val="22"/>
                <w:szCs w:val="22"/>
              </w:rPr>
              <w:t>,</w:t>
            </w:r>
            <w:r w:rsidR="007A462F">
              <w:rPr>
                <w:sz w:val="22"/>
                <w:szCs w:val="22"/>
              </w:rPr>
              <w:t>8</w:t>
            </w:r>
            <w:r w:rsidR="00497AF0">
              <w:rPr>
                <w:sz w:val="22"/>
                <w:szCs w:val="22"/>
              </w:rPr>
              <w:t>00</w:t>
            </w:r>
          </w:p>
        </w:tc>
      </w:tr>
      <w:tr w14:paraId="6A82CB66" w14:textId="77777777" w:rsidTr="00DE7804">
        <w:tblPrEx>
          <w:tblW w:w="8550" w:type="dxa"/>
          <w:tblInd w:w="355" w:type="dxa"/>
          <w:tblLayout w:type="fixed"/>
          <w:tblLook w:val="04A0"/>
        </w:tblPrEx>
        <w:trPr>
          <w:trHeight w:val="368"/>
        </w:trPr>
        <w:tc>
          <w:tcPr>
            <w:tcW w:w="1530" w:type="dxa"/>
            <w:shd w:val="clear" w:color="auto" w:fill="auto"/>
            <w:vAlign w:val="center"/>
          </w:tcPr>
          <w:p w:rsidR="00A33497" w:rsidRPr="00A33497" w:rsidP="005B1672" w14:paraId="54F4B849" w14:textId="61719160">
            <w:pPr>
              <w:rPr>
                <w:b/>
                <w:bCs/>
                <w:sz w:val="22"/>
                <w:szCs w:val="22"/>
              </w:rPr>
            </w:pPr>
            <w:r w:rsidRPr="00A33497">
              <w:rPr>
                <w:b/>
                <w:bCs/>
                <w:sz w:val="22"/>
                <w:szCs w:val="22"/>
              </w:rPr>
              <w:t>Total</w:t>
            </w:r>
          </w:p>
        </w:tc>
        <w:tc>
          <w:tcPr>
            <w:tcW w:w="1710" w:type="dxa"/>
            <w:shd w:val="clear" w:color="auto" w:fill="auto"/>
            <w:vAlign w:val="center"/>
          </w:tcPr>
          <w:p w:rsidR="00A33497" w:rsidRPr="00A33497" w:rsidP="005B1672" w14:paraId="4B4EA3C8" w14:textId="1B71D495">
            <w:pPr>
              <w:jc w:val="center"/>
              <w:rPr>
                <w:b/>
                <w:bCs/>
                <w:sz w:val="22"/>
                <w:szCs w:val="22"/>
              </w:rPr>
            </w:pPr>
            <w:r>
              <w:rPr>
                <w:b/>
                <w:bCs/>
                <w:sz w:val="22"/>
                <w:szCs w:val="22"/>
              </w:rPr>
              <w:t>5</w:t>
            </w:r>
            <w:r w:rsidRPr="00A33497">
              <w:rPr>
                <w:b/>
                <w:bCs/>
                <w:sz w:val="22"/>
                <w:szCs w:val="22"/>
              </w:rPr>
              <w:t>,000</w:t>
            </w:r>
          </w:p>
        </w:tc>
        <w:tc>
          <w:tcPr>
            <w:tcW w:w="1800" w:type="dxa"/>
            <w:shd w:val="clear" w:color="auto" w:fill="auto"/>
            <w:vAlign w:val="center"/>
          </w:tcPr>
          <w:p w:rsidR="00A33497" w:rsidRPr="00A33497" w:rsidP="005B1672" w14:paraId="22EE12A3" w14:textId="77777777">
            <w:pPr>
              <w:jc w:val="center"/>
              <w:rPr>
                <w:b/>
                <w:bCs/>
                <w:sz w:val="22"/>
                <w:szCs w:val="22"/>
              </w:rPr>
            </w:pPr>
          </w:p>
        </w:tc>
        <w:tc>
          <w:tcPr>
            <w:tcW w:w="1260" w:type="dxa"/>
            <w:shd w:val="clear" w:color="auto" w:fill="auto"/>
            <w:vAlign w:val="center"/>
          </w:tcPr>
          <w:p w:rsidR="00A33497" w:rsidRPr="00A33497" w:rsidP="005B1672" w14:paraId="224DCF08" w14:textId="0FC5C017">
            <w:pPr>
              <w:jc w:val="center"/>
              <w:rPr>
                <w:b/>
                <w:bCs/>
                <w:sz w:val="22"/>
                <w:szCs w:val="22"/>
              </w:rPr>
            </w:pPr>
            <w:r>
              <w:rPr>
                <w:b/>
                <w:bCs/>
                <w:sz w:val="22"/>
                <w:szCs w:val="22"/>
              </w:rPr>
              <w:t>5</w:t>
            </w:r>
            <w:r w:rsidRPr="00A33497">
              <w:rPr>
                <w:b/>
                <w:bCs/>
                <w:sz w:val="22"/>
                <w:szCs w:val="22"/>
              </w:rPr>
              <w:t>,000</w:t>
            </w:r>
          </w:p>
        </w:tc>
        <w:tc>
          <w:tcPr>
            <w:tcW w:w="1260" w:type="dxa"/>
            <w:shd w:val="clear" w:color="auto" w:fill="auto"/>
            <w:vAlign w:val="center"/>
          </w:tcPr>
          <w:p w:rsidR="00A33497" w:rsidRPr="00A33497" w:rsidP="005B1672" w14:paraId="1E0C3B41" w14:textId="77777777">
            <w:pPr>
              <w:jc w:val="center"/>
              <w:rPr>
                <w:b/>
                <w:bCs/>
                <w:sz w:val="22"/>
                <w:szCs w:val="22"/>
              </w:rPr>
            </w:pPr>
          </w:p>
        </w:tc>
        <w:tc>
          <w:tcPr>
            <w:tcW w:w="990" w:type="dxa"/>
            <w:shd w:val="clear" w:color="auto" w:fill="auto"/>
            <w:vAlign w:val="center"/>
          </w:tcPr>
          <w:p w:rsidR="00A33497" w:rsidRPr="00A33497" w:rsidP="005B1672" w14:paraId="5649DBD1" w14:textId="64CAD37C">
            <w:pPr>
              <w:jc w:val="center"/>
              <w:rPr>
                <w:b/>
                <w:bCs/>
                <w:sz w:val="22"/>
                <w:szCs w:val="22"/>
              </w:rPr>
            </w:pPr>
            <w:r w:rsidRPr="00A33497">
              <w:rPr>
                <w:b/>
                <w:bCs/>
                <w:sz w:val="22"/>
                <w:szCs w:val="22"/>
              </w:rPr>
              <w:t>1</w:t>
            </w:r>
            <w:r w:rsidR="007A462F">
              <w:rPr>
                <w:b/>
                <w:bCs/>
                <w:sz w:val="22"/>
                <w:szCs w:val="22"/>
              </w:rPr>
              <w:t>1</w:t>
            </w:r>
            <w:r w:rsidRPr="00A33497">
              <w:rPr>
                <w:b/>
                <w:bCs/>
                <w:sz w:val="22"/>
                <w:szCs w:val="22"/>
              </w:rPr>
              <w:t>,</w:t>
            </w:r>
            <w:r w:rsidR="007A462F">
              <w:rPr>
                <w:b/>
                <w:bCs/>
                <w:sz w:val="22"/>
                <w:szCs w:val="22"/>
              </w:rPr>
              <w:t>8</w:t>
            </w:r>
            <w:r w:rsidR="00B1689E">
              <w:rPr>
                <w:b/>
                <w:bCs/>
                <w:sz w:val="22"/>
                <w:szCs w:val="22"/>
              </w:rPr>
              <w:t>0</w:t>
            </w:r>
            <w:r w:rsidRPr="00A33497">
              <w:rPr>
                <w:b/>
                <w:bCs/>
                <w:sz w:val="22"/>
                <w:szCs w:val="22"/>
              </w:rPr>
              <w:t>0</w:t>
            </w:r>
          </w:p>
        </w:tc>
      </w:tr>
    </w:tbl>
    <w:p w:rsidR="00A33497" w:rsidP="00CB003A" w14:paraId="51A44B4F" w14:textId="1F63BAE5"/>
    <w:p w:rsidR="005C2C05" w:rsidRPr="00CD1127" w:rsidP="008D00D2" w14:paraId="417767B4" w14:textId="642894AA">
      <w:pPr>
        <w:numPr>
          <w:ilvl w:val="0"/>
          <w:numId w:val="12"/>
        </w:numPr>
        <w:rPr>
          <w:u w:val="single"/>
        </w:rPr>
      </w:pPr>
      <w:r w:rsidRPr="00CD1127">
        <w:rPr>
          <w:u w:val="single"/>
        </w:rPr>
        <w:t>ESTIMATED TOTAL ANNUAL COST BURDEN TO RESPONDENTS</w:t>
      </w:r>
      <w:r w:rsidRPr="00CD1127">
        <w:t>  </w:t>
      </w:r>
    </w:p>
    <w:p w:rsidR="005C2C05" w:rsidRPr="00CD1127" w:rsidP="00FB7F1C" w14:paraId="417767B5" w14:textId="77777777">
      <w:pPr>
        <w:keepNext/>
      </w:pPr>
    </w:p>
    <w:p w:rsidR="005C2C05" w:rsidRPr="00CD1127" w:rsidP="00DE7804" w14:paraId="417767B6" w14:textId="2526D644">
      <w:pPr>
        <w:ind w:left="360"/>
        <w:rPr>
          <w:bCs/>
        </w:rPr>
      </w:pPr>
      <w:r>
        <w:rPr>
          <w:bCs/>
        </w:rPr>
        <w:t xml:space="preserve">IRS does not anticipate that there will be any out-of-pocket costs to respondents to file and complete these forms.  </w:t>
      </w:r>
    </w:p>
    <w:p w:rsidR="00923A34" w:rsidRPr="00CD1127" w:rsidP="00CB003A" w14:paraId="417767B7" w14:textId="77777777"/>
    <w:p w:rsidR="005C2C05" w:rsidP="008D00D2" w14:paraId="417767B8" w14:textId="50BD451D">
      <w:pPr>
        <w:numPr>
          <w:ilvl w:val="0"/>
          <w:numId w:val="12"/>
        </w:numPr>
        <w:rPr>
          <w:u w:val="single"/>
        </w:rPr>
      </w:pPr>
      <w:r w:rsidRPr="00CD1127">
        <w:rPr>
          <w:u w:val="single"/>
        </w:rPr>
        <w:t>ESTIMATED COST TO THE FEDERAL GOVERNMENT</w:t>
      </w:r>
    </w:p>
    <w:p w:rsidR="00B1689E" w:rsidP="00B1689E" w14:paraId="08114F37" w14:textId="77777777">
      <w:pPr>
        <w:ind w:left="360"/>
        <w:rPr>
          <w:u w:val="single"/>
        </w:rPr>
      </w:pPr>
    </w:p>
    <w:p w:rsidR="00B1689E" w:rsidP="00DE7804" w14:paraId="14C14666" w14:textId="10D2F9F5">
      <w:pPr>
        <w:ind w:left="360"/>
      </w:pPr>
      <w:r w:rsidRPr="00BE5288">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t xml:space="preserve"> </w:t>
      </w:r>
      <w:r w:rsidRPr="00BE5288">
        <w:t>These costs do not include any activities such as taxpayer assistance and enforcement. IRS estimates have determined that the cost of developing, printing, distribution and overhead for the form is $</w:t>
      </w:r>
      <w:r>
        <w:t>29,014</w:t>
      </w:r>
      <w:r w:rsidRPr="00BE5288">
        <w:t>.</w:t>
      </w:r>
    </w:p>
    <w:p w:rsidR="0091559F" w:rsidRPr="00CD1127" w:rsidP="00B1689E" w14:paraId="08CBD525" w14:textId="77777777">
      <w:pPr>
        <w:rPr>
          <w:u w:val="single"/>
        </w:rPr>
      </w:pPr>
    </w:p>
    <w:p w:rsidR="005C2C05" w:rsidRPr="00CD1127" w:rsidP="008D00D2" w14:paraId="417767BC" w14:textId="07088773">
      <w:pPr>
        <w:numPr>
          <w:ilvl w:val="0"/>
          <w:numId w:val="12"/>
        </w:numPr>
        <w:rPr>
          <w:u w:val="single"/>
        </w:rPr>
      </w:pPr>
      <w:r w:rsidRPr="00CD1127">
        <w:rPr>
          <w:u w:val="single"/>
        </w:rPr>
        <w:t>REASONS FOR CHANGE IN BURDEN</w:t>
      </w:r>
    </w:p>
    <w:p w:rsidR="005C2C05" w:rsidRPr="00CD1127" w:rsidP="00666B6D" w14:paraId="417767BD" w14:textId="77777777">
      <w:pPr>
        <w:keepNext/>
      </w:pPr>
    </w:p>
    <w:p w:rsidR="00220383" w:rsidP="00DE7804" w14:paraId="2CBCA817" w14:textId="6773E54B">
      <w:pPr>
        <w:ind w:left="360"/>
      </w:pPr>
      <w:r w:rsidRPr="005B1672">
        <w:t>This is a new collection</w:t>
      </w:r>
      <w:r w:rsidR="0012331C">
        <w:t>.</w:t>
      </w:r>
    </w:p>
    <w:p w:rsidR="005C2C05" w:rsidRPr="00CD1127" w:rsidP="00CB003A" w14:paraId="417767BF" w14:textId="77777777"/>
    <w:p w:rsidR="005C2C05" w:rsidRPr="00CD1127" w:rsidP="008D00D2" w14:paraId="417767C0" w14:textId="6106E612">
      <w:pPr>
        <w:numPr>
          <w:ilvl w:val="0"/>
          <w:numId w:val="12"/>
        </w:numPr>
        <w:rPr>
          <w:u w:val="single"/>
        </w:rPr>
      </w:pPr>
      <w:r w:rsidRPr="00CD1127">
        <w:rPr>
          <w:u w:val="single"/>
        </w:rPr>
        <w:t>PLANS FOR TABULATION, STATISTICAL ANALYSIS AND PUBLICATION</w:t>
      </w:r>
    </w:p>
    <w:p w:rsidR="00DB26DC" w:rsidP="00CB003A" w14:paraId="21B8CDB8" w14:textId="549649B3"/>
    <w:p w:rsidR="00DB26DC" w:rsidP="00DE7804" w14:paraId="24963158" w14:textId="223CF0D5">
      <w:pPr>
        <w:ind w:left="360"/>
      </w:pPr>
      <w:r>
        <w:t>There are no plans for tabulation, statistical analysis, and publication.</w:t>
      </w:r>
    </w:p>
    <w:p w:rsidR="00923A34" w:rsidRPr="00CD1127" w:rsidP="00CB003A" w14:paraId="417767C3" w14:textId="77777777"/>
    <w:p w:rsidR="005C2C05" w:rsidRPr="00CD1127" w:rsidP="008D00D2" w14:paraId="417767C4" w14:textId="24AA0A68">
      <w:pPr>
        <w:numPr>
          <w:ilvl w:val="0"/>
          <w:numId w:val="12"/>
        </w:numPr>
        <w:rPr>
          <w:u w:val="single"/>
        </w:rPr>
      </w:pPr>
      <w:r w:rsidRPr="00CD1127">
        <w:rPr>
          <w:u w:val="single"/>
        </w:rPr>
        <w:t>REASONS WHY DISPLAYING THE OMB EXPIRATION DATE IS INAPPROPRIATE</w:t>
      </w:r>
    </w:p>
    <w:p w:rsidR="005C2C05" w:rsidRPr="00CD1127" w:rsidP="00CB003A" w14:paraId="417767C5" w14:textId="77777777"/>
    <w:p w:rsidR="0012331C" w:rsidRPr="00CD1127" w:rsidP="00DE7804" w14:paraId="482550C2" w14:textId="77777777">
      <w:pPr>
        <w:ind w:left="360"/>
      </w:pPr>
      <w:r w:rsidRPr="00CD1127">
        <w:t>IRS believes that displaying the OMB expiration date is inappropriate because it could cause confusion by leading taxpayers to believe that the form sunsets as of the expiration date. Taxpayers are not likely to be aware that IRS intends to request renewal of the OMB approval and obtain a new expiration date before the old one expires.</w:t>
      </w:r>
    </w:p>
    <w:p w:rsidR="005C2C05" w:rsidRPr="00CD1127" w:rsidP="00CB003A" w14:paraId="417767D1" w14:textId="296F31B4">
      <w:r w:rsidRPr="00CD1127">
        <w:t xml:space="preserve">   </w:t>
      </w:r>
    </w:p>
    <w:p w:rsidR="005C2C05" w:rsidRPr="00CD1127" w:rsidP="00282304" w14:paraId="417767D2" w14:textId="3BF48EAB">
      <w:pPr>
        <w:numPr>
          <w:ilvl w:val="0"/>
          <w:numId w:val="12"/>
        </w:numPr>
        <w:rPr>
          <w:u w:val="single"/>
        </w:rPr>
      </w:pPr>
      <w:r w:rsidRPr="00CD1127">
        <w:rPr>
          <w:u w:val="single"/>
        </w:rPr>
        <w:t xml:space="preserve">EXCEPTIONS TO CERTIFICATION </w:t>
      </w:r>
      <w:r>
        <w:rPr>
          <w:u w:val="single"/>
        </w:rPr>
        <w:t xml:space="preserve">STATEMENT </w:t>
      </w:r>
    </w:p>
    <w:p w:rsidR="005C2C05" w:rsidRPr="00CD1127" w:rsidP="00CB003A" w14:paraId="417767D3" w14:textId="77777777"/>
    <w:p w:rsidR="0012331C" w:rsidRPr="00CD1127" w:rsidP="00DE7804" w14:paraId="47DC98E0" w14:textId="77777777">
      <w:pPr>
        <w:ind w:left="360"/>
      </w:pPr>
      <w:r w:rsidRPr="00CD1127">
        <w:t>There are no exceptions to the certification statement.</w:t>
      </w:r>
    </w:p>
    <w:p w:rsidR="005C2C05" w:rsidRPr="00CD1127" w:rsidP="0012331C" w14:paraId="417767D8" w14:textId="26D587EC"/>
    <w:sectPr w:rsidSect="00EB5E62">
      <w:footerReference w:type="even" r:id="rId7"/>
      <w:footerReference w:type="default" r:id="rId8"/>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C2C05" w14:paraId="417767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18B">
      <w:rPr>
        <w:rStyle w:val="PageNumber"/>
        <w:noProof/>
      </w:rPr>
      <w:t>2</w:t>
    </w:r>
    <w:r>
      <w:rPr>
        <w:rStyle w:val="PageNumber"/>
      </w:rPr>
      <w:fldChar w:fldCharType="end"/>
    </w:r>
  </w:p>
  <w:p w:rsidR="005C2C05" w14:paraId="417767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97529"/>
    <w:multiLevelType w:val="hybridMultilevel"/>
    <w:tmpl w:val="1EB8F01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4325482"/>
    <w:multiLevelType w:val="hybridMultilevel"/>
    <w:tmpl w:val="2DC40650"/>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5740C24"/>
    <w:multiLevelType w:val="hybridMultilevel"/>
    <w:tmpl w:val="6CC6634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37CF341C"/>
    <w:multiLevelType w:val="hybridMultilevel"/>
    <w:tmpl w:val="5DDACAA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9E40D9F"/>
    <w:multiLevelType w:val="hybridMultilevel"/>
    <w:tmpl w:val="A346368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3D273B6D"/>
    <w:multiLevelType w:val="hybridMultilevel"/>
    <w:tmpl w:val="4FE4371E"/>
    <w:lvl w:ilvl="0">
      <w:start w:val="1"/>
      <w:numFmt w:val="decimal"/>
      <w:lvlText w:val="%1."/>
      <w:lvlJc w:val="left"/>
      <w:pPr>
        <w:tabs>
          <w:tab w:val="num" w:pos="360"/>
        </w:tabs>
        <w:ind w:left="360" w:hanging="360"/>
      </w:pPr>
      <w:rPr>
        <w:rFonts w:cs="Times New Roman" w:hint="default"/>
        <w:u w:val="none"/>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4B524FFC"/>
    <w:multiLevelType w:val="hybridMultilevel"/>
    <w:tmpl w:val="E0F2369E"/>
    <w:lvl w:ilvl="0">
      <w:start w:val="8"/>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4C80018C"/>
    <w:multiLevelType w:val="hybridMultilevel"/>
    <w:tmpl w:val="76E2302C"/>
    <w:lvl w:ilvl="0">
      <w:start w:val="7"/>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99316C5"/>
    <w:multiLevelType w:val="hybridMultilevel"/>
    <w:tmpl w:val="A814A21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648A58CB"/>
    <w:multiLevelType w:val="hybridMultilevel"/>
    <w:tmpl w:val="CB2E28FE"/>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77223731"/>
    <w:multiLevelType w:val="hybridMultilevel"/>
    <w:tmpl w:val="6F48BAA8"/>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7C5466C4"/>
    <w:multiLevelType w:val="hybridMultilevel"/>
    <w:tmpl w:val="D6DEBB8C"/>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208831190">
    <w:abstractNumId w:val="2"/>
  </w:num>
  <w:num w:numId="2" w16cid:durableId="966740132">
    <w:abstractNumId w:val="9"/>
  </w:num>
  <w:num w:numId="3" w16cid:durableId="40137891">
    <w:abstractNumId w:val="11"/>
  </w:num>
  <w:num w:numId="4" w16cid:durableId="1650286649">
    <w:abstractNumId w:val="4"/>
  </w:num>
  <w:num w:numId="5" w16cid:durableId="894702637">
    <w:abstractNumId w:val="10"/>
  </w:num>
  <w:num w:numId="6" w16cid:durableId="172188136">
    <w:abstractNumId w:val="3"/>
  </w:num>
  <w:num w:numId="7" w16cid:durableId="1696611753">
    <w:abstractNumId w:val="0"/>
  </w:num>
  <w:num w:numId="8" w16cid:durableId="547882149">
    <w:abstractNumId w:val="7"/>
  </w:num>
  <w:num w:numId="9" w16cid:durableId="447092587">
    <w:abstractNumId w:val="6"/>
  </w:num>
  <w:num w:numId="10" w16cid:durableId="1990742861">
    <w:abstractNumId w:val="8"/>
  </w:num>
  <w:num w:numId="11" w16cid:durableId="1773434589">
    <w:abstractNumId w:val="1"/>
  </w:num>
  <w:num w:numId="12" w16cid:durableId="885873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3A36"/>
    <w:rsid w:val="0001560A"/>
    <w:rsid w:val="00022F56"/>
    <w:rsid w:val="000275D4"/>
    <w:rsid w:val="00032166"/>
    <w:rsid w:val="00046778"/>
    <w:rsid w:val="000531D1"/>
    <w:rsid w:val="00057EC8"/>
    <w:rsid w:val="00073704"/>
    <w:rsid w:val="000762ED"/>
    <w:rsid w:val="0008675A"/>
    <w:rsid w:val="000B0264"/>
    <w:rsid w:val="000C7031"/>
    <w:rsid w:val="000D63D6"/>
    <w:rsid w:val="000E1F44"/>
    <w:rsid w:val="000F2AE6"/>
    <w:rsid w:val="000F53C2"/>
    <w:rsid w:val="0010021E"/>
    <w:rsid w:val="00105553"/>
    <w:rsid w:val="001110E6"/>
    <w:rsid w:val="00116640"/>
    <w:rsid w:val="0012331C"/>
    <w:rsid w:val="00131D26"/>
    <w:rsid w:val="001348F8"/>
    <w:rsid w:val="00147A26"/>
    <w:rsid w:val="0015169B"/>
    <w:rsid w:val="00156E23"/>
    <w:rsid w:val="00161711"/>
    <w:rsid w:val="001637E3"/>
    <w:rsid w:val="00166D33"/>
    <w:rsid w:val="00170A2A"/>
    <w:rsid w:val="001719E5"/>
    <w:rsid w:val="001819F2"/>
    <w:rsid w:val="00181F21"/>
    <w:rsid w:val="0018375D"/>
    <w:rsid w:val="00187343"/>
    <w:rsid w:val="00195AFE"/>
    <w:rsid w:val="001A16F6"/>
    <w:rsid w:val="001A298A"/>
    <w:rsid w:val="001A4A80"/>
    <w:rsid w:val="001A6115"/>
    <w:rsid w:val="001B01B3"/>
    <w:rsid w:val="001C3DA8"/>
    <w:rsid w:val="001D6012"/>
    <w:rsid w:val="001E127C"/>
    <w:rsid w:val="001E212A"/>
    <w:rsid w:val="001E4BCF"/>
    <w:rsid w:val="001E74D7"/>
    <w:rsid w:val="00200D9D"/>
    <w:rsid w:val="00203DB3"/>
    <w:rsid w:val="00212C35"/>
    <w:rsid w:val="002154CF"/>
    <w:rsid w:val="00217A54"/>
    <w:rsid w:val="00220383"/>
    <w:rsid w:val="00223FF1"/>
    <w:rsid w:val="00235BDF"/>
    <w:rsid w:val="002374CC"/>
    <w:rsid w:val="00237FAA"/>
    <w:rsid w:val="0024000F"/>
    <w:rsid w:val="00241849"/>
    <w:rsid w:val="00241A1F"/>
    <w:rsid w:val="0025604D"/>
    <w:rsid w:val="00256911"/>
    <w:rsid w:val="00262F05"/>
    <w:rsid w:val="00271992"/>
    <w:rsid w:val="00276C78"/>
    <w:rsid w:val="00282304"/>
    <w:rsid w:val="00293974"/>
    <w:rsid w:val="002A39B8"/>
    <w:rsid w:val="002A5F33"/>
    <w:rsid w:val="002B3C4D"/>
    <w:rsid w:val="002C2A5D"/>
    <w:rsid w:val="003265D6"/>
    <w:rsid w:val="00333F3C"/>
    <w:rsid w:val="003365B7"/>
    <w:rsid w:val="00346F92"/>
    <w:rsid w:val="00365005"/>
    <w:rsid w:val="003737FC"/>
    <w:rsid w:val="00380639"/>
    <w:rsid w:val="00385107"/>
    <w:rsid w:val="00387E3B"/>
    <w:rsid w:val="00392B31"/>
    <w:rsid w:val="00394A61"/>
    <w:rsid w:val="00396A75"/>
    <w:rsid w:val="003A347F"/>
    <w:rsid w:val="003C068B"/>
    <w:rsid w:val="003C1AB8"/>
    <w:rsid w:val="003D2363"/>
    <w:rsid w:val="003D5252"/>
    <w:rsid w:val="003E6220"/>
    <w:rsid w:val="003F3118"/>
    <w:rsid w:val="00406DAA"/>
    <w:rsid w:val="00436C40"/>
    <w:rsid w:val="0044510E"/>
    <w:rsid w:val="004470CC"/>
    <w:rsid w:val="004550C8"/>
    <w:rsid w:val="00460B20"/>
    <w:rsid w:val="004746FF"/>
    <w:rsid w:val="00475022"/>
    <w:rsid w:val="00475731"/>
    <w:rsid w:val="0047668D"/>
    <w:rsid w:val="00492259"/>
    <w:rsid w:val="00493B99"/>
    <w:rsid w:val="00497AF0"/>
    <w:rsid w:val="004A78A5"/>
    <w:rsid w:val="004B06B5"/>
    <w:rsid w:val="004B32A0"/>
    <w:rsid w:val="004C12A0"/>
    <w:rsid w:val="004D379C"/>
    <w:rsid w:val="004E0DE8"/>
    <w:rsid w:val="004E4145"/>
    <w:rsid w:val="004E6996"/>
    <w:rsid w:val="004F1BD2"/>
    <w:rsid w:val="004F5145"/>
    <w:rsid w:val="00511978"/>
    <w:rsid w:val="00511CB4"/>
    <w:rsid w:val="00513CFE"/>
    <w:rsid w:val="00521924"/>
    <w:rsid w:val="0052662E"/>
    <w:rsid w:val="00534EA9"/>
    <w:rsid w:val="00535AD0"/>
    <w:rsid w:val="005366FC"/>
    <w:rsid w:val="005378E3"/>
    <w:rsid w:val="00546AA2"/>
    <w:rsid w:val="00572D2C"/>
    <w:rsid w:val="00592774"/>
    <w:rsid w:val="005A228B"/>
    <w:rsid w:val="005B1672"/>
    <w:rsid w:val="005B2CE4"/>
    <w:rsid w:val="005C2C05"/>
    <w:rsid w:val="005C6A93"/>
    <w:rsid w:val="005D35C0"/>
    <w:rsid w:val="005D6C80"/>
    <w:rsid w:val="005D7EE0"/>
    <w:rsid w:val="005E533A"/>
    <w:rsid w:val="005E73E1"/>
    <w:rsid w:val="005F2B55"/>
    <w:rsid w:val="005F43A7"/>
    <w:rsid w:val="0060168D"/>
    <w:rsid w:val="006049CB"/>
    <w:rsid w:val="00610580"/>
    <w:rsid w:val="00612025"/>
    <w:rsid w:val="006137E1"/>
    <w:rsid w:val="00625411"/>
    <w:rsid w:val="006264E3"/>
    <w:rsid w:val="00633442"/>
    <w:rsid w:val="0064051D"/>
    <w:rsid w:val="00643306"/>
    <w:rsid w:val="0064550F"/>
    <w:rsid w:val="006536E9"/>
    <w:rsid w:val="00666B6D"/>
    <w:rsid w:val="00671064"/>
    <w:rsid w:val="0067589C"/>
    <w:rsid w:val="00676867"/>
    <w:rsid w:val="00685580"/>
    <w:rsid w:val="00686B96"/>
    <w:rsid w:val="006B22D1"/>
    <w:rsid w:val="006B3E5B"/>
    <w:rsid w:val="006E6507"/>
    <w:rsid w:val="006F02DD"/>
    <w:rsid w:val="006F0A29"/>
    <w:rsid w:val="006F7235"/>
    <w:rsid w:val="00701278"/>
    <w:rsid w:val="00707BDE"/>
    <w:rsid w:val="0072387B"/>
    <w:rsid w:val="00726B6C"/>
    <w:rsid w:val="00740121"/>
    <w:rsid w:val="00775C08"/>
    <w:rsid w:val="007775A3"/>
    <w:rsid w:val="00781D2D"/>
    <w:rsid w:val="00790257"/>
    <w:rsid w:val="00795CCA"/>
    <w:rsid w:val="007A0B8F"/>
    <w:rsid w:val="007A40BE"/>
    <w:rsid w:val="007A462F"/>
    <w:rsid w:val="007D0B41"/>
    <w:rsid w:val="007D7889"/>
    <w:rsid w:val="007E11F0"/>
    <w:rsid w:val="007E69B3"/>
    <w:rsid w:val="007F0335"/>
    <w:rsid w:val="00800D3C"/>
    <w:rsid w:val="00810171"/>
    <w:rsid w:val="00810250"/>
    <w:rsid w:val="008103D1"/>
    <w:rsid w:val="00810978"/>
    <w:rsid w:val="0081132F"/>
    <w:rsid w:val="00813491"/>
    <w:rsid w:val="008166BA"/>
    <w:rsid w:val="00826C43"/>
    <w:rsid w:val="00832450"/>
    <w:rsid w:val="00856DD0"/>
    <w:rsid w:val="00863ADB"/>
    <w:rsid w:val="008803A0"/>
    <w:rsid w:val="0089247F"/>
    <w:rsid w:val="008956BA"/>
    <w:rsid w:val="008A3399"/>
    <w:rsid w:val="008A3E67"/>
    <w:rsid w:val="008A4440"/>
    <w:rsid w:val="008A5AEA"/>
    <w:rsid w:val="008A6D0F"/>
    <w:rsid w:val="008B5017"/>
    <w:rsid w:val="008B7CB1"/>
    <w:rsid w:val="008C7C38"/>
    <w:rsid w:val="008D00D2"/>
    <w:rsid w:val="008D183E"/>
    <w:rsid w:val="008D600E"/>
    <w:rsid w:val="008E2756"/>
    <w:rsid w:val="008E5DE9"/>
    <w:rsid w:val="008F199A"/>
    <w:rsid w:val="00900F75"/>
    <w:rsid w:val="00901860"/>
    <w:rsid w:val="0091559F"/>
    <w:rsid w:val="00921EA8"/>
    <w:rsid w:val="00923A34"/>
    <w:rsid w:val="00930637"/>
    <w:rsid w:val="00930944"/>
    <w:rsid w:val="009339C5"/>
    <w:rsid w:val="009379CE"/>
    <w:rsid w:val="0094066E"/>
    <w:rsid w:val="00946EB3"/>
    <w:rsid w:val="00950A9E"/>
    <w:rsid w:val="00951871"/>
    <w:rsid w:val="00952D59"/>
    <w:rsid w:val="00954BC9"/>
    <w:rsid w:val="00961823"/>
    <w:rsid w:val="00963116"/>
    <w:rsid w:val="009635AD"/>
    <w:rsid w:val="00963EC2"/>
    <w:rsid w:val="009663D0"/>
    <w:rsid w:val="00983B56"/>
    <w:rsid w:val="00986077"/>
    <w:rsid w:val="00990870"/>
    <w:rsid w:val="00994566"/>
    <w:rsid w:val="009B1F03"/>
    <w:rsid w:val="009D0AFE"/>
    <w:rsid w:val="009D6458"/>
    <w:rsid w:val="009E457D"/>
    <w:rsid w:val="009E48DD"/>
    <w:rsid w:val="009E5060"/>
    <w:rsid w:val="009F01E5"/>
    <w:rsid w:val="009F2F67"/>
    <w:rsid w:val="009F45CC"/>
    <w:rsid w:val="009F4D1C"/>
    <w:rsid w:val="00A00740"/>
    <w:rsid w:val="00A04CCF"/>
    <w:rsid w:val="00A10A09"/>
    <w:rsid w:val="00A10BA6"/>
    <w:rsid w:val="00A1769D"/>
    <w:rsid w:val="00A2596F"/>
    <w:rsid w:val="00A33497"/>
    <w:rsid w:val="00A66B23"/>
    <w:rsid w:val="00A67505"/>
    <w:rsid w:val="00A70D48"/>
    <w:rsid w:val="00A71A4F"/>
    <w:rsid w:val="00A73657"/>
    <w:rsid w:val="00A85556"/>
    <w:rsid w:val="00A86DE2"/>
    <w:rsid w:val="00A90BAB"/>
    <w:rsid w:val="00A93EA3"/>
    <w:rsid w:val="00A9744C"/>
    <w:rsid w:val="00AE1A8D"/>
    <w:rsid w:val="00AF0E0E"/>
    <w:rsid w:val="00AF1141"/>
    <w:rsid w:val="00AF75C8"/>
    <w:rsid w:val="00B002FE"/>
    <w:rsid w:val="00B07D95"/>
    <w:rsid w:val="00B1689E"/>
    <w:rsid w:val="00B174DB"/>
    <w:rsid w:val="00B41318"/>
    <w:rsid w:val="00B50861"/>
    <w:rsid w:val="00B610BB"/>
    <w:rsid w:val="00B61494"/>
    <w:rsid w:val="00B716A8"/>
    <w:rsid w:val="00B82195"/>
    <w:rsid w:val="00B9177F"/>
    <w:rsid w:val="00B96D67"/>
    <w:rsid w:val="00BA59A6"/>
    <w:rsid w:val="00BB4D18"/>
    <w:rsid w:val="00BC310B"/>
    <w:rsid w:val="00BC318B"/>
    <w:rsid w:val="00BC4F4E"/>
    <w:rsid w:val="00BE5288"/>
    <w:rsid w:val="00BF5796"/>
    <w:rsid w:val="00C0391A"/>
    <w:rsid w:val="00C34F74"/>
    <w:rsid w:val="00C36F16"/>
    <w:rsid w:val="00C525D3"/>
    <w:rsid w:val="00C60DF5"/>
    <w:rsid w:val="00C63684"/>
    <w:rsid w:val="00C643B1"/>
    <w:rsid w:val="00C65F8F"/>
    <w:rsid w:val="00C70990"/>
    <w:rsid w:val="00C73E4B"/>
    <w:rsid w:val="00C75252"/>
    <w:rsid w:val="00C93531"/>
    <w:rsid w:val="00C954EA"/>
    <w:rsid w:val="00CB003A"/>
    <w:rsid w:val="00CB3662"/>
    <w:rsid w:val="00CC0B33"/>
    <w:rsid w:val="00CC4534"/>
    <w:rsid w:val="00CD1127"/>
    <w:rsid w:val="00CD27FF"/>
    <w:rsid w:val="00CE1F39"/>
    <w:rsid w:val="00CE2D06"/>
    <w:rsid w:val="00CF0E68"/>
    <w:rsid w:val="00CF3850"/>
    <w:rsid w:val="00D01718"/>
    <w:rsid w:val="00D1180F"/>
    <w:rsid w:val="00D22CE9"/>
    <w:rsid w:val="00D3369D"/>
    <w:rsid w:val="00D34E0E"/>
    <w:rsid w:val="00D55D86"/>
    <w:rsid w:val="00D723FE"/>
    <w:rsid w:val="00D775AF"/>
    <w:rsid w:val="00D8477F"/>
    <w:rsid w:val="00D94983"/>
    <w:rsid w:val="00DA0F09"/>
    <w:rsid w:val="00DA5F5B"/>
    <w:rsid w:val="00DB26DC"/>
    <w:rsid w:val="00DC2CF1"/>
    <w:rsid w:val="00DC2EC0"/>
    <w:rsid w:val="00DC6AE5"/>
    <w:rsid w:val="00DD2869"/>
    <w:rsid w:val="00DD296A"/>
    <w:rsid w:val="00DD5EC2"/>
    <w:rsid w:val="00DD6048"/>
    <w:rsid w:val="00DE7804"/>
    <w:rsid w:val="00E2008C"/>
    <w:rsid w:val="00E201EF"/>
    <w:rsid w:val="00E20513"/>
    <w:rsid w:val="00E24908"/>
    <w:rsid w:val="00E3262A"/>
    <w:rsid w:val="00E5048A"/>
    <w:rsid w:val="00E65994"/>
    <w:rsid w:val="00E673FE"/>
    <w:rsid w:val="00E71397"/>
    <w:rsid w:val="00E7768F"/>
    <w:rsid w:val="00E8070F"/>
    <w:rsid w:val="00EB1FF7"/>
    <w:rsid w:val="00EB5E62"/>
    <w:rsid w:val="00EB7169"/>
    <w:rsid w:val="00EC4EB8"/>
    <w:rsid w:val="00ED261A"/>
    <w:rsid w:val="00EE0B0E"/>
    <w:rsid w:val="00EE2F8A"/>
    <w:rsid w:val="00F066AB"/>
    <w:rsid w:val="00F1700E"/>
    <w:rsid w:val="00F24F5A"/>
    <w:rsid w:val="00F27C5F"/>
    <w:rsid w:val="00F31337"/>
    <w:rsid w:val="00F41911"/>
    <w:rsid w:val="00F43B61"/>
    <w:rsid w:val="00F51DC7"/>
    <w:rsid w:val="00F60AE9"/>
    <w:rsid w:val="00F6303F"/>
    <w:rsid w:val="00F72D0B"/>
    <w:rsid w:val="00F7305B"/>
    <w:rsid w:val="00F75895"/>
    <w:rsid w:val="00FB24C0"/>
    <w:rsid w:val="00FB7F1C"/>
    <w:rsid w:val="00FC174E"/>
    <w:rsid w:val="00FC2B60"/>
    <w:rsid w:val="00FD0BF8"/>
    <w:rsid w:val="00FF03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1776760"/>
  <w15:docId w15:val="{3E1C1210-FF42-4005-9193-56B53533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DA8"/>
    <w:rPr>
      <w:rFonts w:cs="Times New Roman"/>
      <w:sz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locked/>
    <w:rsid w:val="001C3DA8"/>
    <w:rPr>
      <w:rFonts w:cs="Times New Roman"/>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1C3DA8"/>
    <w:rPr>
      <w:rFonts w:cs="Times New Roman"/>
      <w:sz w:val="24"/>
      <w:szCs w:val="24"/>
    </w:rPr>
  </w:style>
  <w:style w:type="character" w:styleId="CommentReference">
    <w:name w:val="annotation reference"/>
    <w:basedOn w:val="DefaultParagraphFont"/>
    <w:uiPriority w:val="99"/>
    <w:semiHidden/>
    <w:unhideWhenUsed/>
    <w:rsid w:val="002154CF"/>
    <w:rPr>
      <w:sz w:val="16"/>
      <w:szCs w:val="16"/>
    </w:rPr>
  </w:style>
  <w:style w:type="paragraph" w:styleId="CommentText">
    <w:name w:val="annotation text"/>
    <w:basedOn w:val="Normal"/>
    <w:link w:val="CommentTextChar"/>
    <w:uiPriority w:val="99"/>
    <w:unhideWhenUsed/>
    <w:rsid w:val="002154CF"/>
    <w:rPr>
      <w:sz w:val="20"/>
      <w:szCs w:val="20"/>
    </w:rPr>
  </w:style>
  <w:style w:type="character" w:customStyle="1" w:styleId="CommentTextChar">
    <w:name w:val="Comment Text Char"/>
    <w:basedOn w:val="DefaultParagraphFont"/>
    <w:link w:val="CommentText"/>
    <w:uiPriority w:val="99"/>
    <w:rsid w:val="002154CF"/>
    <w:rPr>
      <w:sz w:val="20"/>
      <w:szCs w:val="20"/>
    </w:rPr>
  </w:style>
  <w:style w:type="paragraph" w:styleId="CommentSubject">
    <w:name w:val="annotation subject"/>
    <w:basedOn w:val="CommentText"/>
    <w:next w:val="CommentText"/>
    <w:link w:val="CommentSubjectChar"/>
    <w:uiPriority w:val="99"/>
    <w:semiHidden/>
    <w:unhideWhenUsed/>
    <w:rsid w:val="002154CF"/>
    <w:rPr>
      <w:b/>
      <w:bCs/>
    </w:rPr>
  </w:style>
  <w:style w:type="character" w:customStyle="1" w:styleId="CommentSubjectChar">
    <w:name w:val="Comment Subject Char"/>
    <w:basedOn w:val="CommentTextChar"/>
    <w:link w:val="CommentSubject"/>
    <w:uiPriority w:val="99"/>
    <w:semiHidden/>
    <w:rsid w:val="002154CF"/>
    <w:rPr>
      <w:b/>
      <w:bCs/>
      <w:sz w:val="20"/>
      <w:szCs w:val="20"/>
    </w:rPr>
  </w:style>
  <w:style w:type="paragraph" w:styleId="Revision">
    <w:name w:val="Revision"/>
    <w:hidden/>
    <w:uiPriority w:val="99"/>
    <w:semiHidden/>
    <w:rsid w:val="008E2756"/>
    <w:rPr>
      <w:sz w:val="24"/>
      <w:szCs w:val="24"/>
    </w:rPr>
  </w:style>
  <w:style w:type="character" w:styleId="Hyperlink">
    <w:name w:val="Hyperlink"/>
    <w:basedOn w:val="DefaultParagraphFont"/>
    <w:uiPriority w:val="99"/>
    <w:unhideWhenUsed/>
    <w:rsid w:val="009E457D"/>
    <w:rPr>
      <w:color w:val="0000FF" w:themeColor="hyperlink"/>
      <w:u w:val="single"/>
    </w:rPr>
  </w:style>
  <w:style w:type="character" w:styleId="UnresolvedMention">
    <w:name w:val="Unresolved Mention"/>
    <w:basedOn w:val="DefaultParagraphFont"/>
    <w:uiPriority w:val="99"/>
    <w:semiHidden/>
    <w:unhideWhenUsed/>
    <w:rsid w:val="009E457D"/>
    <w:rPr>
      <w:color w:val="605E5C"/>
      <w:shd w:val="clear" w:color="auto" w:fill="E1DFDD"/>
    </w:rPr>
  </w:style>
  <w:style w:type="character" w:styleId="FollowedHyperlink">
    <w:name w:val="FollowedHyperlink"/>
    <w:basedOn w:val="DefaultParagraphFont"/>
    <w:uiPriority w:val="99"/>
    <w:semiHidden/>
    <w:unhideWhenUsed/>
    <w:rsid w:val="009E457D"/>
    <w:rPr>
      <w:color w:val="800080" w:themeColor="followedHyperlink"/>
      <w:u w:val="single"/>
    </w:rPr>
  </w:style>
  <w:style w:type="paragraph" w:customStyle="1" w:styleId="pf0">
    <w:name w:val="pf0"/>
    <w:basedOn w:val="Normal"/>
    <w:rsid w:val="00B82195"/>
    <w:pPr>
      <w:spacing w:before="100" w:beforeAutospacing="1" w:after="100" w:afterAutospacing="1"/>
    </w:pPr>
  </w:style>
  <w:style w:type="character" w:customStyle="1" w:styleId="cf01">
    <w:name w:val="cf01"/>
    <w:basedOn w:val="DefaultParagraphFont"/>
    <w:rsid w:val="00B821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help/irs-document-upload-tool" TargetMode="External" /><Relationship Id="rId6" Type="http://schemas.openxmlformats.org/officeDocument/2006/relationships/hyperlink" Target="https://www.irs.gov/uac/Privacy-Impact-Assessments-PIA"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9D30-6781-4C94-B970-E6D77C4E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Garcia Andres</cp:lastModifiedBy>
  <cp:revision>2</cp:revision>
  <cp:lastPrinted>2008-10-24T12:52:00Z</cp:lastPrinted>
  <dcterms:created xsi:type="dcterms:W3CDTF">2023-12-14T21:12:00Z</dcterms:created>
  <dcterms:modified xsi:type="dcterms:W3CDTF">2023-12-14T21:12:00Z</dcterms:modified>
</cp:coreProperties>
</file>