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315A" w:rsidRPr="007576A7" w:rsidP="00B9315A" w14:paraId="1BBBDF11" w14:textId="77777777">
      <w:pPr>
        <w:shd w:val="clear" w:color="auto" w:fill="137F6A"/>
        <w:spacing w:after="0" w:line="240" w:lineRule="auto"/>
        <w:contextualSpacing/>
        <w:jc w:val="center"/>
        <w:rPr>
          <w:rFonts w:ascii="Futura PT Heavy" w:hAnsi="Futura PT Heavy"/>
          <w:b/>
          <w:bCs/>
          <w:color w:val="FFFFFF" w:themeColor="background1"/>
          <w:sz w:val="28"/>
          <w:szCs w:val="28"/>
        </w:rPr>
      </w:pPr>
      <w:r w:rsidRPr="007576A7">
        <w:rPr>
          <w:rFonts w:ascii="Futura PT Heavy" w:hAnsi="Futura PT Heavy"/>
          <w:b/>
          <w:bCs/>
          <w:color w:val="FFFFFF" w:themeColor="background1"/>
          <w:sz w:val="28"/>
          <w:szCs w:val="28"/>
        </w:rPr>
        <w:t>SAMHSA 988 State &amp; Territory Grant Program</w:t>
      </w:r>
    </w:p>
    <w:p w:rsidR="00B9315A" w:rsidRPr="00EE72DF" w:rsidP="00C5126B" w14:paraId="11694859" w14:textId="561947C9">
      <w:pPr>
        <w:shd w:val="clear" w:color="auto" w:fill="137F6A"/>
        <w:spacing w:after="0" w:line="240" w:lineRule="auto"/>
        <w:contextualSpacing/>
        <w:rPr>
          <w:rFonts w:ascii="Futura PT Heavy" w:hAnsi="Futura PT Heavy"/>
          <w:b/>
          <w:bCs/>
          <w:color w:val="FFFFFF" w:themeColor="background1"/>
          <w:sz w:val="28"/>
          <w:szCs w:val="28"/>
        </w:rPr>
      </w:pPr>
      <w:r>
        <w:rPr>
          <w:rFonts w:ascii="Futura PT Heavy" w:hAnsi="Futura PT Heavy"/>
          <w:b/>
          <w:bCs/>
          <w:color w:val="FFFFFF" w:themeColor="background1"/>
          <w:sz w:val="28"/>
          <w:szCs w:val="28"/>
        </w:rPr>
        <w:t xml:space="preserve">                             </w:t>
      </w:r>
      <w:r w:rsidR="00190E9F">
        <w:rPr>
          <w:rFonts w:ascii="Futura PT Heavy" w:hAnsi="Futura PT Heavy"/>
          <w:b/>
          <w:bCs/>
          <w:color w:val="FFFFFF" w:themeColor="background1"/>
          <w:sz w:val="28"/>
          <w:szCs w:val="28"/>
        </w:rPr>
        <w:t>Project Period</w:t>
      </w:r>
      <w:r w:rsidR="00EE72DF">
        <w:rPr>
          <w:rFonts w:ascii="Futura PT Heavy" w:hAnsi="Futura PT Heavy"/>
          <w:b/>
          <w:bCs/>
          <w:color w:val="FFFFFF" w:themeColor="background1"/>
          <w:sz w:val="28"/>
          <w:szCs w:val="28"/>
        </w:rPr>
        <w:t xml:space="preserve">: </w:t>
      </w:r>
      <w:r w:rsidRPr="00EE72DF" w:rsidR="00EE72DF">
        <w:rPr>
          <w:rFonts w:ascii="Futura PT Heavy" w:hAnsi="Futura PT Heavy"/>
          <w:b/>
          <w:bCs/>
          <w:color w:val="FFFFFF" w:themeColor="background1"/>
          <w:sz w:val="28"/>
          <w:szCs w:val="28"/>
        </w:rPr>
        <w:t>MM-DD-YY TO MM-DD-YY</w:t>
      </w:r>
    </w:p>
    <w:p w:rsidR="00B9315A" w:rsidRPr="007576A7" w:rsidP="00B9315A" w14:paraId="0F094884" w14:textId="58CDC19D">
      <w:pPr>
        <w:shd w:val="clear" w:color="auto" w:fill="137F6A"/>
        <w:spacing w:after="0" w:line="240" w:lineRule="auto"/>
        <w:contextualSpacing/>
        <w:jc w:val="center"/>
        <w:rPr>
          <w:rFonts w:ascii="Futura PT Heavy" w:hAnsi="Futura PT Heavy" w:cstheme="minorHAnsi"/>
          <w:b/>
          <w:bCs/>
          <w:color w:val="FFFFFF" w:themeColor="background1"/>
          <w:sz w:val="28"/>
          <w:szCs w:val="28"/>
        </w:rPr>
      </w:pPr>
      <w:r>
        <w:rPr>
          <w:rFonts w:ascii="Futura PT Heavy" w:hAnsi="Futura PT Heavy" w:cstheme="minorHAnsi"/>
          <w:b/>
          <w:bCs/>
          <w:color w:val="FFFFFF" w:themeColor="background1"/>
          <w:sz w:val="28"/>
          <w:szCs w:val="28"/>
        </w:rPr>
        <w:t>Required Data</w:t>
      </w:r>
      <w:r w:rsidR="006378E3">
        <w:rPr>
          <w:rFonts w:ascii="Futura PT Heavy" w:hAnsi="Futura PT Heavy" w:cstheme="minorHAnsi"/>
          <w:b/>
          <w:bCs/>
          <w:color w:val="FFFFFF" w:themeColor="background1"/>
          <w:sz w:val="28"/>
          <w:szCs w:val="28"/>
        </w:rPr>
        <w:t xml:space="preserve"> – Reported Quarterly</w:t>
      </w:r>
    </w:p>
    <w:p w:rsidR="00311313" w:rsidRPr="00B9315A" w:rsidP="00B9315A" w14:paraId="78F2B5A6" w14:textId="18B9FF5E">
      <w:pPr>
        <w:spacing w:after="0" w:line="240" w:lineRule="auto"/>
        <w:contextualSpacing/>
        <w:rPr>
          <w:rFonts w:ascii="Acumin Pro" w:hAnsi="Acumin Pro"/>
          <w:b/>
          <w:bCs/>
          <w:sz w:val="24"/>
          <w:szCs w:val="24"/>
        </w:rPr>
      </w:pPr>
    </w:p>
    <w:p w:rsidR="00B9315A" w:rsidRPr="002B1678" w:rsidP="00B9315A" w14:paraId="0BA4F50D" w14:textId="749CDB9E">
      <w:pPr>
        <w:pBdr>
          <w:bottom w:val="single" w:sz="4" w:space="1" w:color="auto"/>
        </w:pBdr>
        <w:spacing w:after="0" w:line="240" w:lineRule="auto"/>
        <w:contextualSpacing/>
        <w:rPr>
          <w:rFonts w:ascii="Futura PT Heavy" w:hAnsi="Futura PT Heavy" w:cstheme="minorHAnsi"/>
          <w:b/>
          <w:bCs/>
          <w:sz w:val="28"/>
          <w:szCs w:val="28"/>
        </w:rPr>
      </w:pPr>
      <w:r>
        <w:rPr>
          <w:rFonts w:ascii="Futura PT Heavy" w:hAnsi="Futura PT Heavy" w:cstheme="minorHAnsi"/>
          <w:b/>
          <w:bCs/>
          <w:sz w:val="28"/>
          <w:szCs w:val="28"/>
        </w:rPr>
        <w:t>SPARS reporting requirements</w:t>
      </w:r>
    </w:p>
    <w:p w:rsidR="00B9315A" w:rsidP="00B9315A" w14:paraId="75860EEE" w14:textId="2EF7CDFC">
      <w:pPr>
        <w:spacing w:after="0" w:line="240" w:lineRule="auto"/>
        <w:contextualSpacing/>
        <w:rPr>
          <w:rFonts w:ascii="Acumin Pro" w:hAnsi="Acumin Pro"/>
          <w:sz w:val="24"/>
          <w:szCs w:val="24"/>
        </w:rPr>
      </w:pPr>
    </w:p>
    <w:p w:rsidR="00B9315A" w:rsidP="00B9315A" w14:paraId="73A60EF7" w14:textId="7A561A17">
      <w:pPr>
        <w:spacing w:after="0" w:line="240" w:lineRule="auto"/>
        <w:contextualSpacing/>
        <w:rPr>
          <w:rFonts w:ascii="Acumin Pro" w:hAnsi="Acumin Pro"/>
          <w:sz w:val="24"/>
          <w:szCs w:val="24"/>
        </w:rPr>
      </w:pPr>
      <w:r>
        <w:rPr>
          <w:rFonts w:ascii="Acumin Pro" w:hAnsi="Acumin Pro"/>
          <w:sz w:val="24"/>
          <w:szCs w:val="24"/>
        </w:rPr>
        <w:t>You are required to collect and report on the following Infrastructure, Prevention, and Promotion (IPP) indicators:</w:t>
      </w:r>
    </w:p>
    <w:p w:rsidR="00B9315A" w:rsidP="00B9315A" w14:paraId="150692F9" w14:textId="3841095D">
      <w:pPr>
        <w:spacing w:after="0" w:line="240" w:lineRule="auto"/>
        <w:contextualSpacing/>
        <w:rPr>
          <w:rFonts w:ascii="Acumin Pro" w:hAnsi="Acumin Pro"/>
          <w:sz w:val="24"/>
          <w:szCs w:val="24"/>
        </w:rPr>
      </w:pPr>
    </w:p>
    <w:p w:rsidR="00B9315A" w:rsidP="00B9315A" w14:paraId="702B02FF" w14:textId="68897A33">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WD2</w:t>
      </w:r>
      <w:r w:rsidRPr="006378E3">
        <w:rPr>
          <w:rFonts w:ascii="Acumin Pro" w:hAnsi="Acumin Pro"/>
          <w:i/>
          <w:iCs/>
          <w:sz w:val="24"/>
          <w:szCs w:val="24"/>
        </w:rPr>
        <w:t xml:space="preserve"> (Workforce Development):</w:t>
      </w:r>
      <w:r w:rsidRPr="00B9315A">
        <w:rPr>
          <w:rFonts w:ascii="Acumin Pro" w:hAnsi="Acumin Pro"/>
          <w:sz w:val="24"/>
          <w:szCs w:val="24"/>
        </w:rPr>
        <w:t xml:space="preserve"> The number of people in the mental-health and related workforce trained in mental-health-related practices or activities consistent with the goals of the grant.</w:t>
      </w:r>
    </w:p>
    <w:p w:rsidR="001C1C39" w:rsidP="006378E3" w14:paraId="3455E171" w14:textId="77777777">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Definition for this grant program: </w:t>
      </w:r>
      <w:r>
        <w:rPr>
          <w:rFonts w:ascii="Acumin Pro" w:hAnsi="Acumin Pro"/>
          <w:sz w:val="24"/>
          <w:szCs w:val="24"/>
        </w:rPr>
        <w:t xml:space="preserve">Crisis center staff + other individuals trained through the grant. Please make sure to break these out in the description in SPARS. </w:t>
      </w:r>
    </w:p>
    <w:p w:rsidR="006378E3" w:rsidRPr="00B9315A" w:rsidP="006378E3" w14:paraId="7D21F261" w14:textId="37BB4F2D">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For those who have both cohort 1 and cohort 2 grants, you cannot have duplicative count of individuals. You may choose to do half of the total number for each grant </w:t>
      </w:r>
      <w:r w:rsidRPr="001C1C39">
        <w:rPr>
          <w:rFonts w:ascii="Acumin Pro" w:hAnsi="Acumin Pro"/>
          <w:sz w:val="24"/>
          <w:szCs w:val="24"/>
        </w:rPr>
        <w:t>or</w:t>
      </w:r>
      <w:r>
        <w:rPr>
          <w:rFonts w:ascii="Acumin Pro" w:hAnsi="Acumin Pro"/>
          <w:sz w:val="24"/>
          <w:szCs w:val="24"/>
        </w:rPr>
        <w:t xml:space="preserve"> discuss with your </w:t>
      </w:r>
      <w:r w:rsidR="008943B6">
        <w:rPr>
          <w:rFonts w:ascii="Acumin Pro" w:hAnsi="Acumin Pro"/>
          <w:sz w:val="24"/>
          <w:szCs w:val="24"/>
        </w:rPr>
        <w:t>GPO</w:t>
      </w:r>
      <w:r>
        <w:rPr>
          <w:rFonts w:ascii="Acumin Pro" w:hAnsi="Acumin Pro"/>
          <w:sz w:val="24"/>
          <w:szCs w:val="24"/>
        </w:rPr>
        <w:t xml:space="preserve"> about a % based on direct service funding amounts coming from each award. </w:t>
      </w:r>
    </w:p>
    <w:p w:rsidR="00B9315A" w:rsidP="00B9315A" w14:paraId="63052826" w14:textId="15D14399">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AW1</w:t>
      </w:r>
      <w:r w:rsidRPr="006378E3">
        <w:rPr>
          <w:rFonts w:ascii="Acumin Pro" w:hAnsi="Acumin Pro"/>
          <w:i/>
          <w:iCs/>
          <w:sz w:val="24"/>
          <w:szCs w:val="24"/>
        </w:rPr>
        <w:t xml:space="preserve"> (Awareness):</w:t>
      </w:r>
      <w:r w:rsidRPr="00B9315A">
        <w:rPr>
          <w:rFonts w:ascii="Acumin Pro" w:hAnsi="Acumin Pro"/>
          <w:sz w:val="24"/>
          <w:szCs w:val="24"/>
        </w:rPr>
        <w:t xml:space="preserve"> The number of individuals exposed to mental health awareness messages.</w:t>
      </w:r>
    </w:p>
    <w:p w:rsidR="006378E3" w:rsidRPr="00B9315A" w:rsidP="006378E3" w14:paraId="61CFD966" w14:textId="0949950B">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Definition for this grant program: </w:t>
      </w:r>
      <w:r w:rsidR="00EB7A76">
        <w:rPr>
          <w:rFonts w:ascii="Acumin Pro" w:hAnsi="Acumin Pro"/>
          <w:sz w:val="24"/>
          <w:szCs w:val="24"/>
        </w:rPr>
        <w:t xml:space="preserve">As described in the indicator definition above. This must be aligned </w:t>
      </w:r>
      <w:r w:rsidR="00180DF6">
        <w:rPr>
          <w:rFonts w:ascii="Acumin Pro" w:hAnsi="Acumin Pro"/>
          <w:sz w:val="24"/>
          <w:szCs w:val="24"/>
        </w:rPr>
        <w:t>with</w:t>
      </w:r>
      <w:r w:rsidR="00EB7A76">
        <w:rPr>
          <w:rFonts w:ascii="Acumin Pro" w:hAnsi="Acumin Pro"/>
          <w:sz w:val="24"/>
          <w:szCs w:val="24"/>
        </w:rPr>
        <w:t xml:space="preserve"> your communications plan.</w:t>
      </w:r>
    </w:p>
    <w:p w:rsidR="00B9315A" w:rsidP="00B9315A" w14:paraId="1AB3291A" w14:textId="7DD4054D">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S3</w:t>
      </w:r>
      <w:r w:rsidRPr="006378E3">
        <w:rPr>
          <w:rFonts w:ascii="Acumin Pro" w:hAnsi="Acumin Pro"/>
          <w:i/>
          <w:iCs/>
          <w:sz w:val="24"/>
          <w:szCs w:val="24"/>
        </w:rPr>
        <w:t xml:space="preserve"> (Screening):</w:t>
      </w:r>
      <w:r w:rsidRPr="00B9315A">
        <w:rPr>
          <w:rFonts w:ascii="Acumin Pro" w:hAnsi="Acumin Pro"/>
          <w:sz w:val="24"/>
          <w:szCs w:val="24"/>
        </w:rPr>
        <w:t xml:space="preserve"> The number of individuals screened for suicide ideation as a result of the grant.</w:t>
      </w:r>
    </w:p>
    <w:p w:rsidR="006378E3" w:rsidP="006378E3" w14:paraId="275D4B2E" w14:textId="32FFA8CC">
      <w:pPr>
        <w:pStyle w:val="ListParagraph"/>
        <w:numPr>
          <w:ilvl w:val="1"/>
          <w:numId w:val="3"/>
        </w:numPr>
        <w:spacing w:after="0" w:line="240" w:lineRule="auto"/>
        <w:rPr>
          <w:rFonts w:ascii="Acumin Pro" w:hAnsi="Acumin Pro"/>
          <w:sz w:val="24"/>
          <w:szCs w:val="24"/>
        </w:rPr>
      </w:pPr>
      <w:r>
        <w:rPr>
          <w:rFonts w:ascii="Acumin Pro" w:hAnsi="Acumin Pro"/>
          <w:sz w:val="24"/>
          <w:szCs w:val="24"/>
        </w:rPr>
        <w:t>Definition for this grant program</w:t>
      </w:r>
      <w:r w:rsidRPr="009D2F4F">
        <w:rPr>
          <w:rFonts w:ascii="Acumin Pro" w:hAnsi="Acumin Pro"/>
          <w:sz w:val="24"/>
          <w:szCs w:val="24"/>
        </w:rPr>
        <w:t xml:space="preserve">: </w:t>
      </w:r>
      <w:r w:rsidRPr="009D2F4F" w:rsidR="00E079F9">
        <w:rPr>
          <w:rFonts w:ascii="Acumin Pro" w:hAnsi="Acumin Pro"/>
          <w:sz w:val="24"/>
          <w:szCs w:val="24"/>
        </w:rPr>
        <w:t xml:space="preserve">Total number of calls, chats, and texts </w:t>
      </w:r>
      <w:r w:rsidR="001F6396">
        <w:rPr>
          <w:rFonts w:ascii="Acumin Pro" w:hAnsi="Acumin Pro"/>
          <w:sz w:val="24"/>
          <w:szCs w:val="24"/>
        </w:rPr>
        <w:t xml:space="preserve">answered locally </w:t>
      </w:r>
      <w:r w:rsidRPr="009D2F4F" w:rsidR="00E079F9">
        <w:rPr>
          <w:rFonts w:ascii="Acumin Pro" w:hAnsi="Acumin Pro"/>
          <w:sz w:val="24"/>
          <w:szCs w:val="24"/>
        </w:rPr>
        <w:t>as reported in the broad state metric report from the 988 Network Administrator.</w:t>
      </w:r>
      <w:r w:rsidR="00E079F9">
        <w:rPr>
          <w:rFonts w:ascii="Acumin Pro" w:hAnsi="Acumin Pro"/>
          <w:sz w:val="24"/>
          <w:szCs w:val="24"/>
        </w:rPr>
        <w:t xml:space="preserve"> </w:t>
      </w:r>
    </w:p>
    <w:p w:rsidR="009D2F4F" w:rsidRPr="009D2F4F" w:rsidP="009D2F4F" w14:paraId="102E5A3D" w14:textId="6AA4B1A3">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For those who have both cohort 1 and cohort 2 grants, you cannot have duplicative count of individuals. You may choose to do half of the total number for each grant </w:t>
      </w:r>
      <w:r w:rsidRPr="001C1C39">
        <w:rPr>
          <w:rFonts w:ascii="Acumin Pro" w:hAnsi="Acumin Pro"/>
          <w:sz w:val="24"/>
          <w:szCs w:val="24"/>
        </w:rPr>
        <w:t>or</w:t>
      </w:r>
      <w:r>
        <w:rPr>
          <w:rFonts w:ascii="Acumin Pro" w:hAnsi="Acumin Pro"/>
          <w:sz w:val="24"/>
          <w:szCs w:val="24"/>
        </w:rPr>
        <w:t xml:space="preserve"> discuss with your </w:t>
      </w:r>
      <w:r w:rsidR="008943B6">
        <w:rPr>
          <w:rFonts w:ascii="Acumin Pro" w:hAnsi="Acumin Pro"/>
          <w:sz w:val="24"/>
          <w:szCs w:val="24"/>
        </w:rPr>
        <w:t>GPO</w:t>
      </w:r>
      <w:r>
        <w:rPr>
          <w:rFonts w:ascii="Acumin Pro" w:hAnsi="Acumin Pro"/>
          <w:sz w:val="24"/>
          <w:szCs w:val="24"/>
        </w:rPr>
        <w:t xml:space="preserve"> about a % based on direct service funding amounts coming from each award. </w:t>
      </w:r>
    </w:p>
    <w:p w:rsidR="00B9315A" w:rsidP="00B9315A" w14:paraId="3CA016E9" w14:textId="4119EF3D">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R1</w:t>
      </w:r>
      <w:r w:rsidRPr="006378E3">
        <w:rPr>
          <w:rFonts w:ascii="Acumin Pro" w:hAnsi="Acumin Pro"/>
          <w:i/>
          <w:iCs/>
          <w:sz w:val="24"/>
          <w:szCs w:val="24"/>
        </w:rPr>
        <w:t xml:space="preserve"> (Referral):</w:t>
      </w:r>
      <w:r w:rsidRPr="00B9315A">
        <w:rPr>
          <w:rFonts w:ascii="Acumin Pro" w:hAnsi="Acumin Pro"/>
          <w:sz w:val="24"/>
          <w:szCs w:val="24"/>
        </w:rPr>
        <w:t xml:space="preserve"> The number of individuals referred to mental health services as a result of the grant. </w:t>
      </w:r>
    </w:p>
    <w:p w:rsidR="006378E3" w:rsidP="006378E3" w14:paraId="4A17B877" w14:textId="5003ECED">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Definition for this grant program: </w:t>
      </w:r>
      <w:r w:rsidR="00C1590A">
        <w:rPr>
          <w:rFonts w:ascii="Acumin Pro" w:hAnsi="Acumin Pro"/>
          <w:sz w:val="24"/>
          <w:szCs w:val="24"/>
        </w:rPr>
        <w:t xml:space="preserve">The </w:t>
      </w:r>
      <w:r w:rsidR="007C4CC1">
        <w:rPr>
          <w:rFonts w:ascii="Acumin Pro" w:hAnsi="Acumin Pro"/>
          <w:sz w:val="24"/>
          <w:szCs w:val="24"/>
        </w:rPr>
        <w:t xml:space="preserve">total number of individuals </w:t>
      </w:r>
      <w:r w:rsidR="00C1590A">
        <w:rPr>
          <w:rFonts w:ascii="Acumin Pro" w:hAnsi="Acumin Pro"/>
          <w:sz w:val="24"/>
          <w:szCs w:val="24"/>
        </w:rPr>
        <w:t>who</w:t>
      </w:r>
      <w:r w:rsidR="007C4CC1">
        <w:rPr>
          <w:rFonts w:ascii="Acumin Pro" w:hAnsi="Acumin Pro"/>
          <w:sz w:val="24"/>
          <w:szCs w:val="24"/>
        </w:rPr>
        <w:t xml:space="preserve"> have been referred to mental health, emergency response, or related services at the time of crisis center contact</w:t>
      </w:r>
      <w:r w:rsidR="00877899">
        <w:rPr>
          <w:rFonts w:ascii="Acumin Pro" w:hAnsi="Acumin Pro"/>
          <w:sz w:val="24"/>
          <w:szCs w:val="24"/>
        </w:rPr>
        <w:t xml:space="preserve"> broken out by calls, chats, and texts. </w:t>
      </w:r>
      <w:r w:rsidR="00967646">
        <w:rPr>
          <w:rFonts w:ascii="Acumin Pro" w:hAnsi="Acumin Pro"/>
          <w:sz w:val="24"/>
          <w:szCs w:val="24"/>
        </w:rPr>
        <w:t>Your denominator will be the total number of individuals screened (S3).</w:t>
      </w:r>
    </w:p>
    <w:p w:rsidR="009D2F4F" w:rsidRPr="009D2F4F" w:rsidP="009D2F4F" w14:paraId="423DB274" w14:textId="1E0FD7F2">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For those who have both cohort 1 and cohort 2 grants, you cannot have duplicative count of individuals. You may choose to do half of the total number for each grant </w:t>
      </w:r>
      <w:r w:rsidRPr="001C1C39">
        <w:rPr>
          <w:rFonts w:ascii="Acumin Pro" w:hAnsi="Acumin Pro"/>
          <w:sz w:val="24"/>
          <w:szCs w:val="24"/>
        </w:rPr>
        <w:t>or</w:t>
      </w:r>
      <w:r>
        <w:rPr>
          <w:rFonts w:ascii="Acumin Pro" w:hAnsi="Acumin Pro"/>
          <w:sz w:val="24"/>
          <w:szCs w:val="24"/>
        </w:rPr>
        <w:t xml:space="preserve"> discuss with your grantee about a % based on direct service funding amounts coming from each award.</w:t>
      </w:r>
    </w:p>
    <w:p w:rsidR="00B9315A" w:rsidP="00B9315A" w14:paraId="477535BA" w14:textId="2FD88FA0">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AC1</w:t>
      </w:r>
      <w:r w:rsidRPr="006378E3">
        <w:rPr>
          <w:rFonts w:ascii="Acumin Pro" w:hAnsi="Acumin Pro"/>
          <w:i/>
          <w:iCs/>
          <w:sz w:val="24"/>
          <w:szCs w:val="24"/>
        </w:rPr>
        <w:t xml:space="preserve"> (Access):</w:t>
      </w:r>
      <w:r w:rsidRPr="00B9315A">
        <w:rPr>
          <w:rFonts w:ascii="Acumin Pro" w:hAnsi="Acumin Pro"/>
          <w:sz w:val="24"/>
          <w:szCs w:val="24"/>
        </w:rPr>
        <w:t xml:space="preserve"> The number and percentage of individuals receiving mental health or related services after referral.</w:t>
      </w:r>
    </w:p>
    <w:p w:rsidR="006378E3" w:rsidP="006378E3" w14:paraId="11940E03" w14:textId="005AF7B9">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Definition for this grant program: </w:t>
      </w:r>
      <w:r w:rsidR="0013670B">
        <w:rPr>
          <w:rFonts w:ascii="Acumin Pro" w:hAnsi="Acumin Pro"/>
          <w:sz w:val="24"/>
          <w:szCs w:val="24"/>
        </w:rPr>
        <w:t>The total number of individuals who have been referred and receiving mental health or related services</w:t>
      </w:r>
      <w:r w:rsidR="00967646">
        <w:rPr>
          <w:rFonts w:ascii="Acumin Pro" w:hAnsi="Acumin Pro"/>
          <w:sz w:val="24"/>
          <w:szCs w:val="24"/>
        </w:rPr>
        <w:t xml:space="preserve"> broken out by calls, chats, and texts. Your denominator will be the total number of individuals referred (R1).</w:t>
      </w:r>
    </w:p>
    <w:p w:rsidR="009D2F4F" w:rsidRPr="009D2F4F" w:rsidP="009D2F4F" w14:paraId="76FF2962" w14:textId="2D858362">
      <w:pPr>
        <w:pStyle w:val="ListParagraph"/>
        <w:numPr>
          <w:ilvl w:val="1"/>
          <w:numId w:val="3"/>
        </w:numPr>
        <w:spacing w:after="0" w:line="240" w:lineRule="auto"/>
        <w:rPr>
          <w:rFonts w:ascii="Acumin Pro" w:hAnsi="Acumin Pro"/>
          <w:sz w:val="24"/>
          <w:szCs w:val="24"/>
        </w:rPr>
      </w:pPr>
      <w:r>
        <w:rPr>
          <w:rFonts w:ascii="Acumin Pro" w:hAnsi="Acumin Pro"/>
          <w:sz w:val="24"/>
          <w:szCs w:val="24"/>
        </w:rPr>
        <w:t xml:space="preserve">For those who have both cohort 1 and cohort 2 grants, you cannot have duplicative count of individuals. You may choose to do half of the total number for each grant </w:t>
      </w:r>
      <w:r w:rsidRPr="001C1C39">
        <w:rPr>
          <w:rFonts w:ascii="Acumin Pro" w:hAnsi="Acumin Pro"/>
          <w:sz w:val="24"/>
          <w:szCs w:val="24"/>
        </w:rPr>
        <w:t>or</w:t>
      </w:r>
      <w:r>
        <w:rPr>
          <w:rFonts w:ascii="Acumin Pro" w:hAnsi="Acumin Pro"/>
          <w:sz w:val="24"/>
          <w:szCs w:val="24"/>
        </w:rPr>
        <w:t xml:space="preserve"> discuss with your </w:t>
      </w:r>
      <w:r w:rsidR="008943B6">
        <w:rPr>
          <w:rFonts w:ascii="Acumin Pro" w:hAnsi="Acumin Pro"/>
          <w:sz w:val="24"/>
          <w:szCs w:val="24"/>
        </w:rPr>
        <w:t>GPO</w:t>
      </w:r>
      <w:r>
        <w:rPr>
          <w:rFonts w:ascii="Acumin Pro" w:hAnsi="Acumin Pro"/>
          <w:sz w:val="24"/>
          <w:szCs w:val="24"/>
        </w:rPr>
        <w:t xml:space="preserve"> about a % based on direct service funding amounts coming from each award. </w:t>
      </w:r>
    </w:p>
    <w:p w:rsidR="00B9315A" w:rsidP="00B9315A" w14:paraId="31B38942" w14:textId="77EA34C5">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T7</w:t>
      </w:r>
      <w:r w:rsidRPr="006378E3">
        <w:rPr>
          <w:rFonts w:ascii="Acumin Pro" w:hAnsi="Acumin Pro"/>
          <w:i/>
          <w:iCs/>
          <w:sz w:val="24"/>
          <w:szCs w:val="24"/>
        </w:rPr>
        <w:t xml:space="preserve"> (Types/Targets of Practices):</w:t>
      </w:r>
      <w:r w:rsidRPr="00B9315A">
        <w:rPr>
          <w:rFonts w:ascii="Acumin Pro" w:hAnsi="Acumin Pro"/>
          <w:sz w:val="24"/>
          <w:szCs w:val="24"/>
        </w:rPr>
        <w:t xml:space="preserve"> The number of individuals who died by suicide.</w:t>
      </w:r>
    </w:p>
    <w:p w:rsidR="006378E3" w:rsidRPr="00B9315A" w:rsidP="006378E3" w14:paraId="2409233F" w14:textId="0CF56A21">
      <w:pPr>
        <w:pStyle w:val="ListParagraph"/>
        <w:numPr>
          <w:ilvl w:val="1"/>
          <w:numId w:val="3"/>
        </w:numPr>
        <w:spacing w:after="0" w:line="240" w:lineRule="auto"/>
        <w:rPr>
          <w:rFonts w:ascii="Acumin Pro" w:hAnsi="Acumin Pro"/>
          <w:sz w:val="24"/>
          <w:szCs w:val="24"/>
        </w:rPr>
      </w:pPr>
      <w:r>
        <w:rPr>
          <w:rFonts w:ascii="Acumin Pro" w:hAnsi="Acumin Pro"/>
          <w:sz w:val="24"/>
          <w:szCs w:val="24"/>
        </w:rPr>
        <w:t>Definition for this grant program:</w:t>
      </w:r>
      <w:r w:rsidRPr="00180DF6" w:rsidR="00180DF6">
        <w:rPr>
          <w:rFonts w:ascii="Acumin Pro" w:hAnsi="Acumin Pro"/>
          <w:sz w:val="24"/>
          <w:szCs w:val="24"/>
        </w:rPr>
        <w:t xml:space="preserve"> </w:t>
      </w:r>
      <w:r w:rsidR="00180DF6">
        <w:rPr>
          <w:rFonts w:ascii="Acumin Pro" w:hAnsi="Acumin Pro"/>
          <w:sz w:val="24"/>
          <w:szCs w:val="24"/>
        </w:rPr>
        <w:t xml:space="preserve">As described in the indicator definition above. This must be aligned with the sentinel event policy required activity. </w:t>
      </w:r>
    </w:p>
    <w:p w:rsidR="00B9315A" w:rsidP="00B9315A" w14:paraId="65B28AFC" w14:textId="1F1E3E64">
      <w:pPr>
        <w:pStyle w:val="ListParagraph"/>
        <w:numPr>
          <w:ilvl w:val="0"/>
          <w:numId w:val="3"/>
        </w:numPr>
        <w:spacing w:after="0" w:line="240" w:lineRule="auto"/>
        <w:rPr>
          <w:rFonts w:ascii="Acumin Pro" w:hAnsi="Acumin Pro"/>
          <w:sz w:val="24"/>
          <w:szCs w:val="24"/>
        </w:rPr>
      </w:pPr>
      <w:r w:rsidRPr="006378E3">
        <w:rPr>
          <w:rFonts w:ascii="Acumin Pro" w:hAnsi="Acumin Pro"/>
          <w:b/>
          <w:bCs/>
          <w:i/>
          <w:iCs/>
          <w:sz w:val="24"/>
          <w:szCs w:val="24"/>
        </w:rPr>
        <w:t>T8</w:t>
      </w:r>
      <w:r w:rsidRPr="006378E3">
        <w:rPr>
          <w:rFonts w:ascii="Acumin Pro" w:hAnsi="Acumin Pro"/>
          <w:i/>
          <w:iCs/>
          <w:sz w:val="24"/>
          <w:szCs w:val="24"/>
        </w:rPr>
        <w:t xml:space="preserve"> (Types/Targets of Practices):</w:t>
      </w:r>
      <w:r w:rsidRPr="006378E3">
        <w:rPr>
          <w:rFonts w:ascii="Acumin Pro" w:hAnsi="Acumin Pro"/>
          <w:sz w:val="24"/>
          <w:szCs w:val="24"/>
        </w:rPr>
        <w:t xml:space="preserve"> The number of individuals who attempted suicide.</w:t>
      </w:r>
    </w:p>
    <w:p w:rsidR="006378E3" w:rsidRPr="00B9315A" w:rsidP="006378E3" w14:paraId="27F5C8F7" w14:textId="5B544471">
      <w:pPr>
        <w:pStyle w:val="ListParagraph"/>
        <w:numPr>
          <w:ilvl w:val="1"/>
          <w:numId w:val="3"/>
        </w:numPr>
        <w:spacing w:after="0" w:line="240" w:lineRule="auto"/>
        <w:rPr>
          <w:rFonts w:ascii="Acumin Pro" w:hAnsi="Acumin Pro"/>
          <w:sz w:val="24"/>
          <w:szCs w:val="24"/>
        </w:rPr>
      </w:pPr>
      <w:r>
        <w:rPr>
          <w:rFonts w:ascii="Acumin Pro" w:hAnsi="Acumin Pro"/>
          <w:sz w:val="24"/>
          <w:szCs w:val="24"/>
        </w:rPr>
        <w:t>Definition for this grant program:</w:t>
      </w:r>
      <w:r w:rsidRPr="00180DF6" w:rsidR="00180DF6">
        <w:rPr>
          <w:rFonts w:ascii="Acumin Pro" w:hAnsi="Acumin Pro"/>
          <w:sz w:val="24"/>
          <w:szCs w:val="24"/>
        </w:rPr>
        <w:t xml:space="preserve"> </w:t>
      </w:r>
      <w:r w:rsidR="00180DF6">
        <w:rPr>
          <w:rFonts w:ascii="Acumin Pro" w:hAnsi="Acumin Pro"/>
          <w:sz w:val="24"/>
          <w:szCs w:val="24"/>
        </w:rPr>
        <w:t>As described in the indicator definition above. This must be aligned with the sentinel event policy required activity.</w:t>
      </w:r>
    </w:p>
    <w:p w:rsidR="006378E3" w:rsidRPr="006378E3" w:rsidP="006378E3" w14:paraId="664C3354" w14:textId="77777777">
      <w:pPr>
        <w:spacing w:after="0" w:line="240" w:lineRule="auto"/>
        <w:rPr>
          <w:rFonts w:ascii="Acumin Pro" w:hAnsi="Acumin Pro"/>
          <w:sz w:val="24"/>
          <w:szCs w:val="24"/>
        </w:rPr>
      </w:pPr>
    </w:p>
    <w:p w:rsidR="00B9315A" w:rsidP="00B9315A" w14:paraId="4872A03D" w14:textId="707A13F5">
      <w:pPr>
        <w:spacing w:after="0" w:line="240" w:lineRule="auto"/>
        <w:contextualSpacing/>
        <w:rPr>
          <w:rFonts w:ascii="Acumin Pro" w:hAnsi="Acumin Pro"/>
          <w:sz w:val="24"/>
          <w:szCs w:val="24"/>
        </w:rPr>
      </w:pPr>
      <w:r w:rsidRPr="00B9315A">
        <w:rPr>
          <w:rFonts w:ascii="Acumin Pro" w:hAnsi="Acumin Pro"/>
          <w:sz w:val="24"/>
          <w:szCs w:val="24"/>
        </w:rPr>
        <w:t>This information will be gathered using a uniform data collection tool provided by SAMHSA.  Recipients are required to submit data via SAMHSA’s Performance Accountability and Reporting System (SPARS); and access will be provided upon award.  Additional information about SPARS can be found</w:t>
      </w:r>
      <w:r>
        <w:rPr>
          <w:rFonts w:ascii="Acumin Pro" w:hAnsi="Acumin Pro"/>
          <w:sz w:val="24"/>
          <w:szCs w:val="24"/>
        </w:rPr>
        <w:t xml:space="preserve"> on the SPARS website </w:t>
      </w:r>
      <w:hyperlink r:id="rId7" w:history="1">
        <w:r w:rsidRPr="00B9315A">
          <w:rPr>
            <w:rStyle w:val="Hyperlink"/>
            <w:rFonts w:ascii="Acumin Pro" w:hAnsi="Acumin Pro"/>
            <w:sz w:val="24"/>
            <w:szCs w:val="24"/>
          </w:rPr>
          <w:t>HERE</w:t>
        </w:r>
      </w:hyperlink>
      <w:r>
        <w:rPr>
          <w:rFonts w:ascii="Acumin Pro" w:hAnsi="Acumin Pro"/>
          <w:sz w:val="24"/>
          <w:szCs w:val="24"/>
        </w:rPr>
        <w:t xml:space="preserve">. </w:t>
      </w:r>
      <w:r w:rsidRPr="00B9315A">
        <w:rPr>
          <w:rFonts w:ascii="Acumin Pro" w:hAnsi="Acumin Pro"/>
          <w:sz w:val="24"/>
          <w:szCs w:val="24"/>
        </w:rPr>
        <w:t xml:space="preserve"> Data will be collected and reported quarterly in SPARS.</w:t>
      </w:r>
    </w:p>
    <w:p w:rsidR="006513D3" w:rsidP="00B9315A" w14:paraId="0876ADB7" w14:textId="77777777">
      <w:pPr>
        <w:spacing w:after="0" w:line="240" w:lineRule="auto"/>
        <w:contextualSpacing/>
        <w:rPr>
          <w:rFonts w:ascii="Acumin Pro" w:hAnsi="Acumin Pro"/>
          <w:sz w:val="24"/>
          <w:szCs w:val="24"/>
        </w:rPr>
      </w:pPr>
    </w:p>
    <w:p w:rsidR="006513D3" w:rsidRPr="00B9315A" w:rsidP="00B9315A" w14:paraId="7AB9B363" w14:textId="27D39916">
      <w:pPr>
        <w:spacing w:after="0" w:line="240" w:lineRule="auto"/>
        <w:contextualSpacing/>
        <w:rPr>
          <w:rFonts w:ascii="Acumin Pro" w:hAnsi="Acumin Pro"/>
          <w:sz w:val="24"/>
          <w:szCs w:val="24"/>
        </w:rPr>
      </w:pPr>
      <w:r>
        <w:rPr>
          <w:rFonts w:ascii="Acumin Pro" w:hAnsi="Acumin Pro"/>
          <w:sz w:val="24"/>
          <w:szCs w:val="24"/>
        </w:rPr>
        <w:t>We will be providing a training on these measures and how to input data into the system early after award</w:t>
      </w:r>
      <w:r w:rsidR="00C1590A">
        <w:rPr>
          <w:rFonts w:ascii="Acumin Pro" w:hAnsi="Acumin Pro"/>
          <w:sz w:val="24"/>
          <w:szCs w:val="24"/>
        </w:rPr>
        <w:t xml:space="preserve"> as well as a SPARS Indicator Cheat Sheet with examples and additional information. </w:t>
      </w:r>
    </w:p>
    <w:p w:rsidR="00B9315A" w:rsidP="00B9315A" w14:paraId="43FC0D62" w14:textId="291E8729">
      <w:pPr>
        <w:spacing w:after="0" w:line="240" w:lineRule="auto"/>
        <w:contextualSpacing/>
        <w:rPr>
          <w:rFonts w:ascii="Acumin Pro" w:hAnsi="Acumin Pro"/>
          <w:sz w:val="24"/>
          <w:szCs w:val="24"/>
        </w:rPr>
      </w:pPr>
    </w:p>
    <w:p w:rsidR="00B9315A" w:rsidP="00B9315A" w14:paraId="35FB52C8" w14:textId="71DB4B25">
      <w:pPr>
        <w:spacing w:after="0" w:line="240" w:lineRule="auto"/>
        <w:contextualSpacing/>
        <w:rPr>
          <w:rFonts w:ascii="Acumin Pro" w:hAnsi="Acumin Pro"/>
          <w:sz w:val="24"/>
          <w:szCs w:val="24"/>
        </w:rPr>
      </w:pPr>
    </w:p>
    <w:p w:rsidR="00C11258" w:rsidP="00B9315A" w14:paraId="04DECF12" w14:textId="77777777">
      <w:pPr>
        <w:spacing w:after="0" w:line="240" w:lineRule="auto"/>
        <w:contextualSpacing/>
        <w:rPr>
          <w:rFonts w:ascii="Acumin Pro" w:hAnsi="Acumin Pro"/>
          <w:sz w:val="24"/>
          <w:szCs w:val="24"/>
        </w:rPr>
      </w:pPr>
    </w:p>
    <w:p w:rsidR="00B9315A" w:rsidRPr="002B1678" w:rsidP="00F848C7" w14:paraId="1EBEAC29" w14:textId="1006ED57">
      <w:pPr>
        <w:pBdr>
          <w:bottom w:val="single" w:sz="4" w:space="0" w:color="auto"/>
        </w:pBdr>
        <w:spacing w:after="0" w:line="240" w:lineRule="auto"/>
        <w:contextualSpacing/>
        <w:rPr>
          <w:rFonts w:ascii="Futura PT Heavy" w:hAnsi="Futura PT Heavy"/>
          <w:b/>
          <w:bCs/>
          <w:sz w:val="28"/>
          <w:szCs w:val="28"/>
        </w:rPr>
      </w:pPr>
      <w:r w:rsidRPr="375A8117">
        <w:rPr>
          <w:rFonts w:ascii="Futura PT Heavy" w:hAnsi="Futura PT Heavy"/>
          <w:b/>
          <w:bCs/>
          <w:sz w:val="28"/>
          <w:szCs w:val="28"/>
        </w:rPr>
        <w:t xml:space="preserve">988 call, chat, and text response </w:t>
      </w:r>
      <w:r w:rsidRPr="00F848C7">
        <w:rPr>
          <w:rFonts w:ascii="Futura PT Heavy" w:hAnsi="Futura PT Heavy"/>
          <w:b/>
          <w:bCs/>
          <w:sz w:val="28"/>
          <w:szCs w:val="28"/>
        </w:rPr>
        <w:t>data</w:t>
      </w:r>
      <w:r w:rsidRPr="00F848C7" w:rsidR="21197D3F">
        <w:rPr>
          <w:rFonts w:ascii="Futura PT Heavy" w:hAnsi="Futura PT Heavy"/>
          <w:b/>
          <w:bCs/>
          <w:sz w:val="28"/>
          <w:szCs w:val="28"/>
        </w:rPr>
        <w:t xml:space="preserve"> (</w:t>
      </w:r>
      <w:r w:rsidRPr="00F848C7" w:rsidR="00F848C7">
        <w:rPr>
          <w:rFonts w:ascii="Futura PT Heavy" w:hAnsi="Futura PT Heavy"/>
          <w:b/>
          <w:bCs/>
          <w:sz w:val="28"/>
          <w:szCs w:val="28"/>
        </w:rPr>
        <w:t>“</w:t>
      </w:r>
      <w:r w:rsidRPr="00F848C7" w:rsidR="21197D3F">
        <w:rPr>
          <w:rFonts w:ascii="Futura PT Heavy" w:hAnsi="Futura PT Heavy"/>
          <w:b/>
          <w:bCs/>
          <w:sz w:val="28"/>
          <w:szCs w:val="28"/>
        </w:rPr>
        <w:t>PPA</w:t>
      </w:r>
      <w:r w:rsidRPr="00F848C7" w:rsidR="00F848C7">
        <w:rPr>
          <w:rFonts w:ascii="Futura PT Heavy" w:hAnsi="Futura PT Heavy"/>
          <w:b/>
          <w:bCs/>
          <w:sz w:val="28"/>
          <w:szCs w:val="28"/>
        </w:rPr>
        <w:t>” – project</w:t>
      </w:r>
      <w:r w:rsidR="00F848C7">
        <w:rPr>
          <w:rFonts w:ascii="Futura PT Heavy" w:hAnsi="Futura PT Heavy"/>
          <w:b/>
          <w:bCs/>
          <w:sz w:val="28"/>
          <w:szCs w:val="28"/>
        </w:rPr>
        <w:t xml:space="preserve"> performance assessment</w:t>
      </w:r>
      <w:r w:rsidRPr="375A8117" w:rsidR="21197D3F">
        <w:rPr>
          <w:rFonts w:ascii="Futura PT Heavy" w:hAnsi="Futura PT Heavy"/>
          <w:b/>
          <w:bCs/>
          <w:sz w:val="28"/>
          <w:szCs w:val="28"/>
        </w:rPr>
        <w:t>)</w:t>
      </w:r>
    </w:p>
    <w:p w:rsidR="00B9315A" w:rsidP="00B9315A" w14:paraId="6DFD053B" w14:textId="13DF60F6">
      <w:pPr>
        <w:spacing w:after="0" w:line="240" w:lineRule="auto"/>
        <w:contextualSpacing/>
        <w:rPr>
          <w:rFonts w:ascii="Acumin Pro" w:hAnsi="Acumin Pro"/>
          <w:sz w:val="24"/>
          <w:szCs w:val="24"/>
        </w:rPr>
      </w:pPr>
    </w:p>
    <w:p w:rsidR="00B9315A" w:rsidRPr="00B9315A" w:rsidP="00B9315A" w14:paraId="43CE1142" w14:textId="5C8F469B">
      <w:pPr>
        <w:spacing w:after="0" w:line="240" w:lineRule="auto"/>
        <w:contextualSpacing/>
        <w:rPr>
          <w:rFonts w:ascii="Acumin Pro" w:hAnsi="Acumin Pro"/>
          <w:sz w:val="24"/>
          <w:szCs w:val="24"/>
        </w:rPr>
      </w:pPr>
      <w:r>
        <w:rPr>
          <w:rFonts w:ascii="Acumin Pro" w:hAnsi="Acumin Pro"/>
          <w:sz w:val="24"/>
          <w:szCs w:val="24"/>
        </w:rPr>
        <w:t>You are r</w:t>
      </w:r>
      <w:r w:rsidRPr="00B9315A">
        <w:rPr>
          <w:rFonts w:ascii="Acumin Pro" w:hAnsi="Acumin Pro"/>
          <w:sz w:val="24"/>
          <w:szCs w:val="24"/>
        </w:rPr>
        <w:t>equired to collect data regarding all 988 calls, chats, and text interactions that:</w:t>
      </w:r>
    </w:p>
    <w:p w:rsidR="00B9315A" w:rsidRPr="00B9315A" w:rsidP="00B9315A" w14:paraId="5378EBDD" w14:textId="16099088">
      <w:pPr>
        <w:pStyle w:val="ListParagraph"/>
        <w:numPr>
          <w:ilvl w:val="0"/>
          <w:numId w:val="5"/>
        </w:numPr>
        <w:spacing w:after="0" w:line="240" w:lineRule="auto"/>
        <w:rPr>
          <w:rFonts w:ascii="Acumin Pro" w:hAnsi="Acumin Pro"/>
          <w:sz w:val="24"/>
          <w:szCs w:val="24"/>
        </w:rPr>
      </w:pPr>
      <w:r w:rsidRPr="00B9315A">
        <w:rPr>
          <w:rFonts w:ascii="Acumin Pro" w:hAnsi="Acumin Pro"/>
          <w:sz w:val="24"/>
          <w:szCs w:val="24"/>
        </w:rPr>
        <w:t xml:space="preserve">Include suicide attempts in progress. </w:t>
      </w:r>
    </w:p>
    <w:p w:rsidR="00B9315A" w:rsidRPr="00B9315A" w:rsidP="00B9315A" w14:paraId="60FD63C9" w14:textId="66565380">
      <w:pPr>
        <w:pStyle w:val="ListParagraph"/>
        <w:numPr>
          <w:ilvl w:val="0"/>
          <w:numId w:val="5"/>
        </w:numPr>
        <w:spacing w:after="0" w:line="240" w:lineRule="auto"/>
        <w:rPr>
          <w:rFonts w:ascii="Acumin Pro" w:hAnsi="Acumin Pro"/>
          <w:sz w:val="24"/>
          <w:szCs w:val="24"/>
        </w:rPr>
      </w:pPr>
      <w:r w:rsidRPr="00B9315A">
        <w:rPr>
          <w:rFonts w:ascii="Acumin Pro" w:hAnsi="Acumin Pro"/>
          <w:sz w:val="24"/>
          <w:szCs w:val="24"/>
        </w:rPr>
        <w:t>Result in emergency rescue – with law enforcement</w:t>
      </w:r>
    </w:p>
    <w:p w:rsidR="00B9315A" w:rsidP="00B9315A" w14:paraId="73EA0270" w14:textId="4AE97141">
      <w:pPr>
        <w:pStyle w:val="ListParagraph"/>
        <w:numPr>
          <w:ilvl w:val="0"/>
          <w:numId w:val="5"/>
        </w:numPr>
        <w:spacing w:after="0" w:line="240" w:lineRule="auto"/>
        <w:rPr>
          <w:rFonts w:ascii="Acumin Pro" w:hAnsi="Acumin Pro"/>
          <w:sz w:val="24"/>
          <w:szCs w:val="24"/>
        </w:rPr>
      </w:pPr>
      <w:r w:rsidRPr="00B9315A">
        <w:rPr>
          <w:rFonts w:ascii="Acumin Pro" w:hAnsi="Acumin Pro"/>
          <w:sz w:val="24"/>
          <w:szCs w:val="24"/>
        </w:rPr>
        <w:t>Result in emergency rescue – without law enforcement</w:t>
      </w:r>
    </w:p>
    <w:p w:rsidR="00967646" w:rsidRPr="00B9315A" w:rsidP="00967646" w14:paraId="7828639A" w14:textId="42C08CAE">
      <w:pPr>
        <w:pStyle w:val="ListParagraph"/>
        <w:numPr>
          <w:ilvl w:val="1"/>
          <w:numId w:val="5"/>
        </w:numPr>
        <w:spacing w:after="0" w:line="240" w:lineRule="auto"/>
        <w:rPr>
          <w:rFonts w:ascii="Acumin Pro" w:hAnsi="Acumin Pro"/>
          <w:sz w:val="24"/>
          <w:szCs w:val="24"/>
        </w:rPr>
      </w:pPr>
      <w:r>
        <w:rPr>
          <w:rFonts w:ascii="Acumin Pro" w:hAnsi="Acumin Pro"/>
          <w:sz w:val="24"/>
          <w:szCs w:val="24"/>
        </w:rPr>
        <w:t xml:space="preserve">By ‘without law enforcement,’ we mean </w:t>
      </w:r>
      <w:r w:rsidR="00C77210">
        <w:rPr>
          <w:rFonts w:ascii="Acumin Pro" w:hAnsi="Acumin Pro"/>
          <w:sz w:val="24"/>
          <w:szCs w:val="24"/>
        </w:rPr>
        <w:t xml:space="preserve">not just MCOT but also EMS or other models of emergency rescue that you use in your state or territory. You will include information about what this means in your state or territory in the quarterly progress report. </w:t>
      </w:r>
    </w:p>
    <w:p w:rsidR="00B9315A" w:rsidRPr="00B9315A" w:rsidP="00B9315A" w14:paraId="736C7C85" w14:textId="073B3F7A">
      <w:pPr>
        <w:pStyle w:val="ListParagraph"/>
        <w:numPr>
          <w:ilvl w:val="0"/>
          <w:numId w:val="5"/>
        </w:numPr>
        <w:spacing w:after="0" w:line="240" w:lineRule="auto"/>
        <w:rPr>
          <w:rFonts w:ascii="Acumin Pro" w:hAnsi="Acumin Pro"/>
          <w:sz w:val="24"/>
          <w:szCs w:val="24"/>
        </w:rPr>
      </w:pPr>
      <w:r w:rsidRPr="00B9315A">
        <w:rPr>
          <w:rFonts w:ascii="Acumin Pro" w:hAnsi="Acumin Pro"/>
          <w:sz w:val="24"/>
          <w:szCs w:val="24"/>
        </w:rPr>
        <w:t>Result in mobile crisis outreach referrals.</w:t>
      </w:r>
    </w:p>
    <w:p w:rsidR="00B9315A" w:rsidRPr="00B9315A" w:rsidP="00B9315A" w14:paraId="23F1E1A5" w14:textId="090E9383">
      <w:pPr>
        <w:pStyle w:val="ListParagraph"/>
        <w:numPr>
          <w:ilvl w:val="0"/>
          <w:numId w:val="5"/>
        </w:numPr>
        <w:spacing w:after="0" w:line="240" w:lineRule="auto"/>
        <w:rPr>
          <w:rFonts w:ascii="Acumin Pro" w:hAnsi="Acumin Pro"/>
          <w:sz w:val="24"/>
          <w:szCs w:val="24"/>
        </w:rPr>
      </w:pPr>
      <w:r w:rsidRPr="00B9315A">
        <w:rPr>
          <w:rFonts w:ascii="Acumin Pro" w:hAnsi="Acumin Pro"/>
          <w:sz w:val="24"/>
          <w:szCs w:val="24"/>
        </w:rPr>
        <w:t xml:space="preserve">Identify individuals in substance use crisis. </w:t>
      </w:r>
    </w:p>
    <w:p w:rsidR="00B9315A" w:rsidRPr="00B9315A" w:rsidP="00B9315A" w14:paraId="116A3D01" w14:textId="77777777">
      <w:pPr>
        <w:spacing w:after="0" w:line="240" w:lineRule="auto"/>
        <w:contextualSpacing/>
        <w:rPr>
          <w:rFonts w:ascii="Acumin Pro" w:hAnsi="Acumin Pro"/>
          <w:sz w:val="24"/>
          <w:szCs w:val="24"/>
        </w:rPr>
      </w:pPr>
    </w:p>
    <w:p w:rsidR="00B9315A" w:rsidP="00B9315A" w14:paraId="6E3F3267" w14:textId="79B7E179">
      <w:pPr>
        <w:spacing w:after="0" w:line="240" w:lineRule="auto"/>
        <w:contextualSpacing/>
        <w:rPr>
          <w:rFonts w:ascii="Acumin Pro" w:hAnsi="Acumin Pro"/>
          <w:sz w:val="24"/>
          <w:szCs w:val="24"/>
        </w:rPr>
      </w:pPr>
      <w:r>
        <w:rPr>
          <w:rFonts w:ascii="Acumin Pro" w:hAnsi="Acumin Pro"/>
          <w:sz w:val="24"/>
          <w:szCs w:val="24"/>
        </w:rPr>
        <w:t xml:space="preserve">You will also need to </w:t>
      </w:r>
      <w:r w:rsidRPr="00B9315A">
        <w:rPr>
          <w:rFonts w:ascii="Acumin Pro" w:hAnsi="Acumin Pro"/>
          <w:sz w:val="24"/>
          <w:szCs w:val="24"/>
        </w:rPr>
        <w:t xml:space="preserve">attempt to collect </w:t>
      </w:r>
      <w:r>
        <w:rPr>
          <w:rFonts w:ascii="Acumin Pro" w:hAnsi="Acumin Pro"/>
          <w:sz w:val="24"/>
          <w:szCs w:val="24"/>
        </w:rPr>
        <w:t xml:space="preserve">the following </w:t>
      </w:r>
      <w:r w:rsidRPr="00B9315A">
        <w:rPr>
          <w:rFonts w:ascii="Acumin Pro" w:hAnsi="Acumin Pro"/>
          <w:sz w:val="24"/>
          <w:szCs w:val="24"/>
        </w:rPr>
        <w:t xml:space="preserve">demographic data on individuals who are served through 988, including through the specified interactions above. </w:t>
      </w:r>
    </w:p>
    <w:p w:rsidR="00B9315A" w:rsidP="00B9315A" w14:paraId="30A0EFEC" w14:textId="0DC6A9EB">
      <w:pPr>
        <w:pStyle w:val="ListParagraph"/>
        <w:numPr>
          <w:ilvl w:val="0"/>
          <w:numId w:val="6"/>
        </w:numPr>
        <w:spacing w:after="0" w:line="240" w:lineRule="auto"/>
        <w:rPr>
          <w:rFonts w:ascii="Acumin Pro" w:hAnsi="Acumin Pro"/>
          <w:sz w:val="24"/>
          <w:szCs w:val="24"/>
        </w:rPr>
      </w:pPr>
      <w:r>
        <w:rPr>
          <w:rFonts w:ascii="Acumin Pro" w:hAnsi="Acumin Pro"/>
          <w:sz w:val="24"/>
          <w:szCs w:val="24"/>
        </w:rPr>
        <w:t>Race</w:t>
      </w:r>
    </w:p>
    <w:p w:rsidR="00B9315A" w:rsidP="00B9315A" w14:paraId="19715193" w14:textId="07941344">
      <w:pPr>
        <w:pStyle w:val="ListParagraph"/>
        <w:numPr>
          <w:ilvl w:val="0"/>
          <w:numId w:val="6"/>
        </w:numPr>
        <w:spacing w:after="0" w:line="240" w:lineRule="auto"/>
        <w:rPr>
          <w:rFonts w:ascii="Acumin Pro" w:hAnsi="Acumin Pro"/>
          <w:sz w:val="24"/>
          <w:szCs w:val="24"/>
        </w:rPr>
      </w:pPr>
      <w:r>
        <w:rPr>
          <w:rFonts w:ascii="Acumin Pro" w:hAnsi="Acumin Pro"/>
          <w:sz w:val="24"/>
          <w:szCs w:val="24"/>
        </w:rPr>
        <w:t>Ethnicity</w:t>
      </w:r>
    </w:p>
    <w:p w:rsidR="00B9315A" w:rsidP="00B9315A" w14:paraId="56B3D930" w14:textId="641A0341">
      <w:pPr>
        <w:pStyle w:val="ListParagraph"/>
        <w:numPr>
          <w:ilvl w:val="0"/>
          <w:numId w:val="6"/>
        </w:numPr>
        <w:spacing w:after="0" w:line="240" w:lineRule="auto"/>
        <w:rPr>
          <w:rFonts w:ascii="Acumin Pro" w:hAnsi="Acumin Pro"/>
          <w:sz w:val="24"/>
          <w:szCs w:val="24"/>
        </w:rPr>
      </w:pPr>
      <w:r>
        <w:rPr>
          <w:rFonts w:ascii="Acumin Pro" w:hAnsi="Acumin Pro"/>
          <w:sz w:val="24"/>
          <w:szCs w:val="24"/>
        </w:rPr>
        <w:t>Age</w:t>
      </w:r>
    </w:p>
    <w:p w:rsidR="00B9315A" w:rsidP="00B9315A" w14:paraId="54FBB618" w14:textId="414C3C3B">
      <w:pPr>
        <w:pStyle w:val="ListParagraph"/>
        <w:numPr>
          <w:ilvl w:val="0"/>
          <w:numId w:val="6"/>
        </w:numPr>
        <w:spacing w:after="0" w:line="240" w:lineRule="auto"/>
        <w:rPr>
          <w:rFonts w:ascii="Acumin Pro" w:hAnsi="Acumin Pro"/>
          <w:sz w:val="24"/>
          <w:szCs w:val="24"/>
        </w:rPr>
      </w:pPr>
      <w:r>
        <w:rPr>
          <w:rFonts w:ascii="Acumin Pro" w:hAnsi="Acumin Pro"/>
          <w:sz w:val="24"/>
          <w:szCs w:val="24"/>
        </w:rPr>
        <w:t>Gender identity</w:t>
      </w:r>
    </w:p>
    <w:p w:rsidR="00B9315A" w:rsidP="00B9315A" w14:paraId="24AF6DB1" w14:textId="34E74AC8">
      <w:pPr>
        <w:pStyle w:val="ListParagraph"/>
        <w:numPr>
          <w:ilvl w:val="0"/>
          <w:numId w:val="6"/>
        </w:numPr>
        <w:spacing w:after="0" w:line="240" w:lineRule="auto"/>
        <w:rPr>
          <w:rFonts w:ascii="Acumin Pro" w:hAnsi="Acumin Pro"/>
          <w:sz w:val="24"/>
          <w:szCs w:val="24"/>
        </w:rPr>
      </w:pPr>
      <w:r>
        <w:rPr>
          <w:rFonts w:ascii="Acumin Pro" w:hAnsi="Acumin Pro"/>
          <w:sz w:val="24"/>
          <w:szCs w:val="24"/>
        </w:rPr>
        <w:t>Sexual orientation</w:t>
      </w:r>
    </w:p>
    <w:p w:rsidR="00B9315A" w:rsidRPr="00B9315A" w:rsidP="00B9315A" w14:paraId="282CB565" w14:textId="779320AE">
      <w:pPr>
        <w:pStyle w:val="ListParagraph"/>
        <w:numPr>
          <w:ilvl w:val="0"/>
          <w:numId w:val="6"/>
        </w:numPr>
        <w:spacing w:after="0" w:line="240" w:lineRule="auto"/>
        <w:rPr>
          <w:rFonts w:ascii="Acumin Pro" w:hAnsi="Acumin Pro"/>
          <w:sz w:val="24"/>
          <w:szCs w:val="24"/>
        </w:rPr>
      </w:pPr>
      <w:r>
        <w:rPr>
          <w:rFonts w:ascii="Acumin Pro" w:hAnsi="Acumin Pro"/>
          <w:sz w:val="24"/>
          <w:szCs w:val="24"/>
        </w:rPr>
        <w:t>Military service status</w:t>
      </w:r>
    </w:p>
    <w:p w:rsidR="00B9315A" w:rsidP="00B9315A" w14:paraId="67E3CCBD" w14:textId="77777777">
      <w:pPr>
        <w:spacing w:after="0" w:line="240" w:lineRule="auto"/>
        <w:contextualSpacing/>
        <w:rPr>
          <w:rFonts w:ascii="Acumin Pro" w:hAnsi="Acumin Pro"/>
          <w:sz w:val="24"/>
          <w:szCs w:val="24"/>
        </w:rPr>
      </w:pPr>
    </w:p>
    <w:p w:rsidR="00B9315A" w:rsidP="00B9315A" w14:paraId="7B977C74" w14:textId="4A076C51">
      <w:pPr>
        <w:spacing w:after="0" w:line="240" w:lineRule="auto"/>
        <w:contextualSpacing/>
        <w:rPr>
          <w:rFonts w:ascii="Acumin Pro" w:hAnsi="Acumin Pro"/>
          <w:sz w:val="24"/>
          <w:szCs w:val="24"/>
        </w:rPr>
      </w:pPr>
      <w:r w:rsidRPr="00B9315A">
        <w:rPr>
          <w:rFonts w:ascii="Acumin Pro" w:hAnsi="Acumin Pro"/>
          <w:i/>
          <w:iCs/>
          <w:sz w:val="24"/>
          <w:szCs w:val="24"/>
        </w:rPr>
        <w:t>Provision of demographic information is not a requirement for eligibility or receipt of 988 services.</w:t>
      </w:r>
      <w:r>
        <w:rPr>
          <w:rFonts w:ascii="Acumin Pro" w:hAnsi="Acumin Pro"/>
          <w:i/>
          <w:iCs/>
          <w:sz w:val="24"/>
          <w:szCs w:val="24"/>
        </w:rPr>
        <w:t xml:space="preserve"> </w:t>
      </w:r>
      <w:r w:rsidRPr="00B9315A">
        <w:rPr>
          <w:rFonts w:ascii="Acumin Pro" w:hAnsi="Acumin Pro"/>
          <w:sz w:val="24"/>
          <w:szCs w:val="24"/>
        </w:rPr>
        <w:t xml:space="preserve">These data will be collected monthly and reported in aggregate as part of the quarterly </w:t>
      </w:r>
      <w:r>
        <w:rPr>
          <w:rFonts w:ascii="Acumin Pro" w:hAnsi="Acumin Pro"/>
          <w:sz w:val="24"/>
          <w:szCs w:val="24"/>
        </w:rPr>
        <w:t xml:space="preserve">report. You will receive a template for this report. </w:t>
      </w:r>
    </w:p>
    <w:p w:rsidR="00B9315A" w:rsidP="00B9315A" w14:paraId="0EAF3D90" w14:textId="73D984F1">
      <w:pPr>
        <w:spacing w:after="0" w:line="240" w:lineRule="auto"/>
        <w:contextualSpacing/>
        <w:rPr>
          <w:rFonts w:ascii="Acumin Pro" w:hAnsi="Acumin Pro"/>
          <w:sz w:val="24"/>
          <w:szCs w:val="24"/>
        </w:rPr>
      </w:pPr>
    </w:p>
    <w:p w:rsidR="00B9315A" w:rsidP="00B9315A" w14:paraId="7ACE0443" w14:textId="77777777">
      <w:pPr>
        <w:spacing w:after="0" w:line="240" w:lineRule="auto"/>
        <w:contextualSpacing/>
        <w:rPr>
          <w:rFonts w:ascii="Acumin Pro" w:hAnsi="Acumin Pro"/>
          <w:sz w:val="24"/>
          <w:szCs w:val="24"/>
        </w:rPr>
      </w:pPr>
    </w:p>
    <w:p w:rsidR="00B9315A" w:rsidP="00B9315A" w14:paraId="584E8819" w14:textId="2A98E211">
      <w:pPr>
        <w:pBdr>
          <w:bottom w:val="single" w:sz="4" w:space="1" w:color="auto"/>
        </w:pBdr>
        <w:spacing w:after="0" w:line="240" w:lineRule="auto"/>
        <w:contextualSpacing/>
        <w:rPr>
          <w:rFonts w:ascii="Futura PT Heavy" w:hAnsi="Futura PT Heavy" w:cstheme="minorHAnsi"/>
          <w:b/>
          <w:bCs/>
          <w:sz w:val="28"/>
          <w:szCs w:val="28"/>
        </w:rPr>
      </w:pPr>
      <w:r>
        <w:rPr>
          <w:rFonts w:ascii="Futura PT Heavy" w:hAnsi="Futura PT Heavy" w:cstheme="minorHAnsi"/>
          <w:b/>
          <w:bCs/>
          <w:sz w:val="28"/>
          <w:szCs w:val="28"/>
        </w:rPr>
        <w:t xml:space="preserve">State/territory-level KPI data from 988 Network Administrator </w:t>
      </w:r>
    </w:p>
    <w:p w:rsidR="00B9315A" w:rsidP="00B9315A" w14:paraId="46256D6F" w14:textId="24E40B33">
      <w:pPr>
        <w:spacing w:after="0" w:line="240" w:lineRule="auto"/>
        <w:contextualSpacing/>
        <w:rPr>
          <w:rFonts w:ascii="Futura PT Heavy" w:hAnsi="Futura PT Heavy" w:cstheme="minorHAnsi"/>
          <w:b/>
          <w:bCs/>
          <w:sz w:val="28"/>
          <w:szCs w:val="28"/>
        </w:rPr>
      </w:pPr>
    </w:p>
    <w:p w:rsidR="00B9315A" w:rsidP="00B9315A" w14:paraId="3BBD97EA" w14:textId="139A4996">
      <w:pPr>
        <w:spacing w:after="0" w:line="240" w:lineRule="auto"/>
        <w:contextualSpacing/>
        <w:rPr>
          <w:rFonts w:ascii="Acumin Pro" w:hAnsi="Acumin Pro"/>
          <w:sz w:val="24"/>
          <w:szCs w:val="24"/>
        </w:rPr>
      </w:pPr>
      <w:r>
        <w:rPr>
          <w:rFonts w:ascii="Acumin Pro" w:hAnsi="Acumin Pro"/>
          <w:sz w:val="24"/>
          <w:szCs w:val="24"/>
        </w:rPr>
        <w:t xml:space="preserve">We will review the following data from the 988 Network Administrator (Vibrant Emotional Health) during our monthly calls. You must also include these data in your quarterly report. </w:t>
      </w:r>
    </w:p>
    <w:p w:rsidR="00B9315A" w:rsidP="00B9315A" w14:paraId="2CABB902" w14:textId="52E54623">
      <w:pPr>
        <w:spacing w:after="0" w:line="240" w:lineRule="auto"/>
        <w:contextualSpacing/>
        <w:rPr>
          <w:rFonts w:ascii="Acumin Pro" w:hAnsi="Acumin Pro"/>
          <w:sz w:val="24"/>
          <w:szCs w:val="24"/>
        </w:rPr>
      </w:pPr>
    </w:p>
    <w:tbl>
      <w:tblPr>
        <w:tblStyle w:val="TableGrid"/>
        <w:tblW w:w="9445" w:type="dxa"/>
        <w:tblLook w:val="04A0"/>
      </w:tblPr>
      <w:tblGrid>
        <w:gridCol w:w="3055"/>
        <w:gridCol w:w="2790"/>
        <w:gridCol w:w="3600"/>
      </w:tblGrid>
      <w:tr w14:paraId="04B44607" w14:textId="77777777" w:rsidTr="00B9315A">
        <w:tblPrEx>
          <w:tblW w:w="9445" w:type="dxa"/>
          <w:tblLook w:val="04A0"/>
        </w:tblPrEx>
        <w:tc>
          <w:tcPr>
            <w:tcW w:w="3055" w:type="dxa"/>
          </w:tcPr>
          <w:p w:rsidR="00B9315A" w:rsidP="00B9315A" w14:paraId="4E931D4C" w14:textId="32936BDE">
            <w:pPr>
              <w:contextualSpacing/>
              <w:rPr>
                <w:rFonts w:ascii="Acumin Pro" w:hAnsi="Acumin Pro"/>
                <w:sz w:val="24"/>
                <w:szCs w:val="24"/>
              </w:rPr>
            </w:pPr>
            <w:r w:rsidRPr="001531E1">
              <w:rPr>
                <w:rFonts w:cs="Arial"/>
                <w:b/>
                <w:bCs/>
              </w:rPr>
              <w:t>Key Performance Indicator</w:t>
            </w:r>
            <w:r>
              <w:rPr>
                <w:rFonts w:cs="Arial"/>
                <w:b/>
                <w:bCs/>
              </w:rPr>
              <w:t>s</w:t>
            </w:r>
          </w:p>
        </w:tc>
        <w:tc>
          <w:tcPr>
            <w:tcW w:w="2790" w:type="dxa"/>
          </w:tcPr>
          <w:p w:rsidR="00B9315A" w:rsidP="00B9315A" w14:paraId="7CD7DEF2" w14:textId="5C9DEB2B">
            <w:pPr>
              <w:contextualSpacing/>
              <w:rPr>
                <w:rFonts w:ascii="Acumin Pro" w:hAnsi="Acumin Pro"/>
                <w:sz w:val="24"/>
                <w:szCs w:val="24"/>
              </w:rPr>
            </w:pPr>
            <w:r w:rsidRPr="001531E1">
              <w:rPr>
                <w:rFonts w:cs="Arial"/>
                <w:b/>
                <w:bCs/>
              </w:rPr>
              <w:t>Def</w:t>
            </w:r>
            <w:r>
              <w:rPr>
                <w:rFonts w:cs="Arial"/>
                <w:b/>
                <w:bCs/>
              </w:rPr>
              <w:t>i</w:t>
            </w:r>
            <w:r w:rsidRPr="001531E1">
              <w:rPr>
                <w:rFonts w:cs="Arial"/>
                <w:b/>
                <w:bCs/>
              </w:rPr>
              <w:t>nition</w:t>
            </w:r>
          </w:p>
        </w:tc>
        <w:tc>
          <w:tcPr>
            <w:tcW w:w="3600" w:type="dxa"/>
          </w:tcPr>
          <w:p w:rsidR="00B9315A" w:rsidP="00B9315A" w14:paraId="0090F12A" w14:textId="3153A5B4">
            <w:pPr>
              <w:contextualSpacing/>
              <w:rPr>
                <w:rFonts w:ascii="Acumin Pro" w:hAnsi="Acumin Pro"/>
                <w:sz w:val="24"/>
                <w:szCs w:val="24"/>
              </w:rPr>
            </w:pPr>
            <w:r w:rsidRPr="001531E1">
              <w:rPr>
                <w:rFonts w:cs="Arial"/>
                <w:b/>
                <w:bCs/>
              </w:rPr>
              <w:t>Target</w:t>
            </w:r>
          </w:p>
        </w:tc>
      </w:tr>
      <w:tr w14:paraId="7C0F59FD" w14:textId="77777777" w:rsidTr="00B9315A">
        <w:tblPrEx>
          <w:tblW w:w="9445" w:type="dxa"/>
          <w:tblLook w:val="04A0"/>
        </w:tblPrEx>
        <w:tc>
          <w:tcPr>
            <w:tcW w:w="3055" w:type="dxa"/>
          </w:tcPr>
          <w:p w:rsidR="00B9315A" w:rsidP="00B9315A" w14:paraId="12EF269B" w14:textId="76EFCD87">
            <w:pPr>
              <w:contextualSpacing/>
              <w:rPr>
                <w:rFonts w:ascii="Acumin Pro" w:hAnsi="Acumin Pro"/>
                <w:sz w:val="24"/>
                <w:szCs w:val="24"/>
              </w:rPr>
            </w:pPr>
            <w:r w:rsidRPr="00F22355">
              <w:t>Calls, Chats, Texts Received</w:t>
            </w:r>
          </w:p>
        </w:tc>
        <w:tc>
          <w:tcPr>
            <w:tcW w:w="2790" w:type="dxa"/>
          </w:tcPr>
          <w:p w:rsidR="00B9315A" w:rsidP="00B9315A" w14:paraId="7BA8B44A" w14:textId="68ACA628">
            <w:pPr>
              <w:contextualSpacing/>
              <w:rPr>
                <w:rFonts w:ascii="Acumin Pro" w:hAnsi="Acumin Pro"/>
                <w:sz w:val="24"/>
                <w:szCs w:val="24"/>
              </w:rPr>
            </w:pPr>
            <w:r w:rsidRPr="00F22355">
              <w:t xml:space="preserve">Total </w:t>
            </w:r>
            <w:r>
              <w:t>n</w:t>
            </w:r>
            <w:r w:rsidRPr="00F22355">
              <w:t>umber of contacts received</w:t>
            </w:r>
          </w:p>
        </w:tc>
        <w:tc>
          <w:tcPr>
            <w:tcW w:w="3600" w:type="dxa"/>
          </w:tcPr>
          <w:p w:rsidR="00B9315A" w:rsidP="00B9315A" w14:paraId="12196CA1" w14:textId="426F3EF2">
            <w:pPr>
              <w:contextualSpacing/>
              <w:rPr>
                <w:rFonts w:ascii="Acumin Pro" w:hAnsi="Acumin Pro"/>
                <w:sz w:val="24"/>
                <w:szCs w:val="24"/>
              </w:rPr>
            </w:pPr>
            <w:r w:rsidRPr="00F22355">
              <w:t>n/a</w:t>
            </w:r>
          </w:p>
        </w:tc>
      </w:tr>
      <w:tr w14:paraId="222F9B32" w14:textId="77777777" w:rsidTr="00B9315A">
        <w:tblPrEx>
          <w:tblW w:w="9445" w:type="dxa"/>
          <w:tblLook w:val="04A0"/>
        </w:tblPrEx>
        <w:tc>
          <w:tcPr>
            <w:tcW w:w="3055" w:type="dxa"/>
          </w:tcPr>
          <w:p w:rsidR="00B9315A" w:rsidP="00B9315A" w14:paraId="73FC2FD3" w14:textId="2105C63A">
            <w:pPr>
              <w:contextualSpacing/>
              <w:rPr>
                <w:rFonts w:ascii="Acumin Pro" w:hAnsi="Acumin Pro"/>
                <w:sz w:val="24"/>
                <w:szCs w:val="24"/>
              </w:rPr>
            </w:pPr>
            <w:r w:rsidRPr="00F22355">
              <w:t>Calls, Chats, Texts Answered</w:t>
            </w:r>
          </w:p>
        </w:tc>
        <w:tc>
          <w:tcPr>
            <w:tcW w:w="2790" w:type="dxa"/>
          </w:tcPr>
          <w:p w:rsidR="00B9315A" w:rsidP="00B9315A" w14:paraId="2CC3A7AA" w14:textId="4666F5F7">
            <w:pPr>
              <w:contextualSpacing/>
              <w:rPr>
                <w:rFonts w:ascii="Acumin Pro" w:hAnsi="Acumin Pro"/>
                <w:sz w:val="24"/>
                <w:szCs w:val="24"/>
              </w:rPr>
            </w:pPr>
            <w:r w:rsidRPr="00F22355">
              <w:t xml:space="preserve">Total </w:t>
            </w:r>
            <w:r>
              <w:t>n</w:t>
            </w:r>
            <w:r w:rsidRPr="00F22355">
              <w:t>umber of contacts answered</w:t>
            </w:r>
          </w:p>
        </w:tc>
        <w:tc>
          <w:tcPr>
            <w:tcW w:w="3600" w:type="dxa"/>
          </w:tcPr>
          <w:p w:rsidR="00B9315A" w:rsidP="00B9315A" w14:paraId="690401E4" w14:textId="76F6CC49">
            <w:pPr>
              <w:contextualSpacing/>
              <w:rPr>
                <w:rFonts w:ascii="Acumin Pro" w:hAnsi="Acumin Pro"/>
                <w:sz w:val="24"/>
                <w:szCs w:val="24"/>
              </w:rPr>
            </w:pPr>
            <w:r>
              <w:t xml:space="preserve">Greater than 90% </w:t>
            </w:r>
          </w:p>
        </w:tc>
      </w:tr>
      <w:tr w14:paraId="6706FF92" w14:textId="77777777" w:rsidTr="00B9315A">
        <w:tblPrEx>
          <w:tblW w:w="9445" w:type="dxa"/>
          <w:tblLook w:val="04A0"/>
        </w:tblPrEx>
        <w:tc>
          <w:tcPr>
            <w:tcW w:w="3055" w:type="dxa"/>
          </w:tcPr>
          <w:p w:rsidR="00B9315A" w:rsidP="00B9315A" w14:paraId="17618583" w14:textId="4DCC2A56">
            <w:pPr>
              <w:contextualSpacing/>
              <w:rPr>
                <w:rFonts w:ascii="Acumin Pro" w:hAnsi="Acumin Pro"/>
                <w:sz w:val="24"/>
                <w:szCs w:val="24"/>
              </w:rPr>
            </w:pPr>
            <w:r w:rsidRPr="00F22355">
              <w:t>Phone, Chat, Text Average Speed to Answer</w:t>
            </w:r>
          </w:p>
        </w:tc>
        <w:tc>
          <w:tcPr>
            <w:tcW w:w="2790" w:type="dxa"/>
          </w:tcPr>
          <w:p w:rsidR="00B9315A" w:rsidP="00B9315A" w14:paraId="134BBCD9" w14:textId="2C80F2CB">
            <w:pPr>
              <w:contextualSpacing/>
              <w:rPr>
                <w:rFonts w:ascii="Acumin Pro" w:hAnsi="Acumin Pro"/>
                <w:sz w:val="24"/>
                <w:szCs w:val="24"/>
              </w:rPr>
            </w:pPr>
            <w:r w:rsidRPr="00F22355">
              <w:t xml:space="preserve">Speed to answer contact </w:t>
            </w:r>
          </w:p>
        </w:tc>
        <w:tc>
          <w:tcPr>
            <w:tcW w:w="3600" w:type="dxa"/>
          </w:tcPr>
          <w:p w:rsidR="00B9315A" w:rsidP="00B9315A" w14:paraId="5B988488" w14:textId="69EF2F82">
            <w:pPr>
              <w:contextualSpacing/>
              <w:rPr>
                <w:rFonts w:ascii="Acumin Pro" w:hAnsi="Acumin Pro"/>
                <w:sz w:val="24"/>
                <w:szCs w:val="24"/>
              </w:rPr>
            </w:pPr>
            <w:r>
              <w:t xml:space="preserve">Of contacts answered, </w:t>
            </w:r>
            <w:r w:rsidRPr="00F22355">
              <w:t>95% answered in 20 seconds, 90% answered in 15 seconds</w:t>
            </w:r>
            <w:r>
              <w:t xml:space="preserve"> (network target)</w:t>
            </w:r>
          </w:p>
        </w:tc>
      </w:tr>
      <w:tr w14:paraId="1DF94F88" w14:textId="77777777" w:rsidTr="00B9315A">
        <w:tblPrEx>
          <w:tblW w:w="9445" w:type="dxa"/>
          <w:tblLook w:val="04A0"/>
        </w:tblPrEx>
        <w:tc>
          <w:tcPr>
            <w:tcW w:w="3055" w:type="dxa"/>
          </w:tcPr>
          <w:p w:rsidR="00B9315A" w:rsidP="00B9315A" w14:paraId="128779C1" w14:textId="19663DC2">
            <w:pPr>
              <w:contextualSpacing/>
              <w:rPr>
                <w:rFonts w:ascii="Acumin Pro" w:hAnsi="Acumin Pro"/>
                <w:sz w:val="24"/>
                <w:szCs w:val="24"/>
              </w:rPr>
            </w:pPr>
            <w:r w:rsidRPr="00F22355">
              <w:t>Abandonment Rate</w:t>
            </w:r>
          </w:p>
        </w:tc>
        <w:tc>
          <w:tcPr>
            <w:tcW w:w="2790" w:type="dxa"/>
          </w:tcPr>
          <w:p w:rsidR="00B9315A" w:rsidP="00B9315A" w14:paraId="7256A24C" w14:textId="025C0955">
            <w:pPr>
              <w:contextualSpacing/>
              <w:rPr>
                <w:rFonts w:ascii="Acumin Pro" w:hAnsi="Acumin Pro"/>
                <w:sz w:val="24"/>
                <w:szCs w:val="24"/>
              </w:rPr>
            </w:pPr>
            <w:r w:rsidRPr="00F22355">
              <w:t>Percentage of contacts received vs disconnected prior to</w:t>
            </w:r>
            <w:r>
              <w:t xml:space="preserve"> </w:t>
            </w:r>
            <w:r w:rsidRPr="00F22355">
              <w:t>answer</w:t>
            </w:r>
          </w:p>
        </w:tc>
        <w:tc>
          <w:tcPr>
            <w:tcW w:w="3600" w:type="dxa"/>
          </w:tcPr>
          <w:p w:rsidR="00B9315A" w:rsidP="00B9315A" w14:paraId="009D3EDD" w14:textId="1FDEAACB">
            <w:pPr>
              <w:contextualSpacing/>
              <w:rPr>
                <w:rFonts w:ascii="Acumin Pro" w:hAnsi="Acumin Pro"/>
                <w:sz w:val="24"/>
                <w:szCs w:val="24"/>
              </w:rPr>
            </w:pPr>
            <w:r>
              <w:t>Less than 5%</w:t>
            </w:r>
          </w:p>
        </w:tc>
      </w:tr>
      <w:tr w14:paraId="360403D6" w14:textId="77777777" w:rsidTr="00B9315A">
        <w:tblPrEx>
          <w:tblW w:w="9445" w:type="dxa"/>
          <w:tblLook w:val="04A0"/>
        </w:tblPrEx>
        <w:tc>
          <w:tcPr>
            <w:tcW w:w="3055" w:type="dxa"/>
          </w:tcPr>
          <w:p w:rsidR="00B9315A" w:rsidP="00B9315A" w14:paraId="006CC8E6" w14:textId="20B1E4BF">
            <w:pPr>
              <w:contextualSpacing/>
              <w:rPr>
                <w:rFonts w:ascii="Acumin Pro" w:hAnsi="Acumin Pro"/>
                <w:sz w:val="24"/>
                <w:szCs w:val="24"/>
              </w:rPr>
            </w:pPr>
            <w:r w:rsidRPr="00F22355">
              <w:t>Direct/Rollover calls to Backup Centers</w:t>
            </w:r>
          </w:p>
        </w:tc>
        <w:tc>
          <w:tcPr>
            <w:tcW w:w="2790" w:type="dxa"/>
          </w:tcPr>
          <w:p w:rsidR="00B9315A" w:rsidP="00B9315A" w14:paraId="6863C906" w14:textId="63A12A15">
            <w:pPr>
              <w:contextualSpacing/>
              <w:rPr>
                <w:rFonts w:ascii="Acumin Pro" w:hAnsi="Acumin Pro"/>
                <w:sz w:val="24"/>
                <w:szCs w:val="24"/>
              </w:rPr>
            </w:pPr>
            <w:r w:rsidRPr="00F22355">
              <w:t xml:space="preserve">Total number of phone contacts sent to the Lifeline </w:t>
            </w:r>
            <w:r>
              <w:t>C</w:t>
            </w:r>
            <w:r w:rsidRPr="00F22355">
              <w:t>enters</w:t>
            </w:r>
          </w:p>
        </w:tc>
        <w:tc>
          <w:tcPr>
            <w:tcW w:w="3600" w:type="dxa"/>
          </w:tcPr>
          <w:p w:rsidR="00B9315A" w:rsidP="00B9315A" w14:paraId="5723ECD8" w14:textId="38D85866">
            <w:pPr>
              <w:contextualSpacing/>
              <w:rPr>
                <w:rFonts w:ascii="Acumin Pro" w:hAnsi="Acumin Pro"/>
                <w:sz w:val="24"/>
                <w:szCs w:val="24"/>
              </w:rPr>
            </w:pPr>
            <w:r>
              <w:t xml:space="preserve">Less than </w:t>
            </w:r>
            <w:r w:rsidRPr="00F22355">
              <w:t xml:space="preserve">10% </w:t>
            </w:r>
          </w:p>
        </w:tc>
      </w:tr>
    </w:tbl>
    <w:p w:rsidR="00B9315A" w:rsidRPr="00B9315A" w:rsidP="00B9315A" w14:paraId="40C08056" w14:textId="77777777">
      <w:pPr>
        <w:spacing w:after="0" w:line="240" w:lineRule="auto"/>
        <w:contextualSpacing/>
        <w:rPr>
          <w:rFonts w:ascii="Acumin Pro" w:hAnsi="Acumin Pro"/>
          <w:sz w:val="24"/>
          <w:szCs w:val="24"/>
        </w:rPr>
      </w:pPr>
    </w:p>
    <w:p w:rsidR="00B9315A" w:rsidP="00B9315A" w14:paraId="5B8E6F21" w14:textId="024A2965">
      <w:pPr>
        <w:spacing w:after="0" w:line="240" w:lineRule="auto"/>
        <w:contextualSpacing/>
        <w:rPr>
          <w:rFonts w:ascii="Futura PT Heavy" w:hAnsi="Futura PT Heavy" w:cstheme="minorHAnsi"/>
          <w:b/>
          <w:bCs/>
          <w:sz w:val="28"/>
          <w:szCs w:val="28"/>
        </w:rPr>
      </w:pPr>
    </w:p>
    <w:p w:rsidR="00B9315A" w:rsidRPr="00B9315A" w:rsidP="00B9315A" w14:paraId="7222CA73" w14:textId="77777777">
      <w:pPr>
        <w:spacing w:after="0" w:line="240" w:lineRule="auto"/>
        <w:contextualSpacing/>
        <w:rPr>
          <w:rFonts w:ascii="Acumin Pro" w:hAnsi="Acumin Pro"/>
          <w:sz w:val="24"/>
          <w:szCs w:val="24"/>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cumin Pro">
    <w:altName w:val="Calibri"/>
    <w:charset w:val="00"/>
    <w:family w:val="swiss"/>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PT Heavy">
    <w:altName w:val="Century Gothic"/>
    <w:charset w:val="00"/>
    <w:family w:val="swiss"/>
    <w:pitch w:val="variable"/>
    <w:sig w:usb0="A00002FF" w:usb1="5000204A" w:usb2="00000000" w:usb3="00000000" w:csb0="00000097"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15A" w14:paraId="53CC491B" w14:textId="07E1D220">
    <w:pPr>
      <w:pStyle w:val="Header"/>
    </w:pPr>
    <w:r>
      <w:rPr>
        <w:noProof/>
      </w:rPr>
      <w:drawing>
        <wp:anchor distT="0" distB="0" distL="114300" distR="114300" simplePos="0" relativeHeight="251659264" behindDoc="1" locked="0" layoutInCell="1" allowOverlap="1">
          <wp:simplePos x="0" y="0"/>
          <wp:positionH relativeFrom="margin">
            <wp:posOffset>5619183</wp:posOffset>
          </wp:positionH>
          <wp:positionV relativeFrom="page">
            <wp:posOffset>71673</wp:posOffset>
          </wp:positionV>
          <wp:extent cx="723265" cy="728345"/>
          <wp:effectExtent l="0" t="0" r="635" b="0"/>
          <wp:wrapTight wrapText="bothSides">
            <wp:wrapPolygon>
              <wp:start x="0" y="0"/>
              <wp:lineTo x="0" y="20903"/>
              <wp:lineTo x="21050" y="20903"/>
              <wp:lineTo x="21050" y="0"/>
              <wp:lineTo x="0" y="0"/>
            </wp:wrapPolygon>
          </wp:wrapTight>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371" t="5157" r="5646" b="6232"/>
                  <a:stretch>
                    <a:fillRect/>
                  </a:stretch>
                </pic:blipFill>
                <pic:spPr bwMode="auto">
                  <a:xfrm>
                    <a:off x="0" y="0"/>
                    <a:ext cx="723265" cy="7283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simplePos x="0" y="0"/>
          <wp:positionH relativeFrom="margin">
            <wp:posOffset>-307975</wp:posOffset>
          </wp:positionH>
          <wp:positionV relativeFrom="paragraph">
            <wp:posOffset>-455930</wp:posOffset>
          </wp:positionV>
          <wp:extent cx="1098550" cy="784225"/>
          <wp:effectExtent l="0" t="0" r="6350" b="0"/>
          <wp:wrapTight wrapText="bothSides">
            <wp:wrapPolygon>
              <wp:start x="0" y="0"/>
              <wp:lineTo x="0" y="20988"/>
              <wp:lineTo x="21350" y="20988"/>
              <wp:lineTo x="213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098550" cy="784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F3BDC"/>
    <w:multiLevelType w:val="hybridMultilevel"/>
    <w:tmpl w:val="4BECEE9E"/>
    <w:lvl w:ilvl="0">
      <w:start w:val="0"/>
      <w:numFmt w:val="bullet"/>
      <w:lvlText w:val="•"/>
      <w:lvlJc w:val="left"/>
      <w:pPr>
        <w:ind w:left="1080" w:hanging="720"/>
      </w:pPr>
      <w:rPr>
        <w:rFonts w:ascii="Acumin Pro" w:hAnsi="Acumin Pro"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4F1267"/>
    <w:multiLevelType w:val="hybridMultilevel"/>
    <w:tmpl w:val="66425EE0"/>
    <w:lvl w:ilvl="0">
      <w:start w:val="0"/>
      <w:numFmt w:val="bullet"/>
      <w:lvlText w:val="•"/>
      <w:lvlJc w:val="left"/>
      <w:pPr>
        <w:ind w:left="1080" w:hanging="720"/>
      </w:pPr>
      <w:rPr>
        <w:rFonts w:ascii="Acumin Pro" w:hAnsi="Acumin Pro"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1E0DAF"/>
    <w:multiLevelType w:val="hybridMultilevel"/>
    <w:tmpl w:val="87EE44C4"/>
    <w:lvl w:ilvl="0">
      <w:start w:val="0"/>
      <w:numFmt w:val="bullet"/>
      <w:lvlText w:val="•"/>
      <w:lvlJc w:val="left"/>
      <w:pPr>
        <w:ind w:left="1080" w:hanging="720"/>
      </w:pPr>
      <w:rPr>
        <w:rFonts w:ascii="Acumin Pro" w:hAnsi="Acumin Pro"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B00D0A"/>
    <w:multiLevelType w:val="hybridMultilevel"/>
    <w:tmpl w:val="C2B04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AD4E5A"/>
    <w:multiLevelType w:val="hybridMultilevel"/>
    <w:tmpl w:val="2DC44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7C3E53"/>
    <w:multiLevelType w:val="hybridMultilevel"/>
    <w:tmpl w:val="55562E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6334011">
    <w:abstractNumId w:val="4"/>
  </w:num>
  <w:num w:numId="2" w16cid:durableId="1280868253">
    <w:abstractNumId w:val="2"/>
  </w:num>
  <w:num w:numId="3" w16cid:durableId="814106065">
    <w:abstractNumId w:val="1"/>
  </w:num>
  <w:num w:numId="4" w16cid:durableId="892739280">
    <w:abstractNumId w:val="3"/>
  </w:num>
  <w:num w:numId="5" w16cid:durableId="1759785082">
    <w:abstractNumId w:val="5"/>
  </w:num>
  <w:num w:numId="6" w16cid:durableId="184431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E6"/>
    <w:rsid w:val="0004247E"/>
    <w:rsid w:val="00056880"/>
    <w:rsid w:val="0012056B"/>
    <w:rsid w:val="0013670B"/>
    <w:rsid w:val="001531E1"/>
    <w:rsid w:val="00180DF6"/>
    <w:rsid w:val="00190E9F"/>
    <w:rsid w:val="001C1C39"/>
    <w:rsid w:val="001F6396"/>
    <w:rsid w:val="002275F5"/>
    <w:rsid w:val="002A209F"/>
    <w:rsid w:val="002B1678"/>
    <w:rsid w:val="002E1E97"/>
    <w:rsid w:val="002F44E6"/>
    <w:rsid w:val="003070E2"/>
    <w:rsid w:val="00311313"/>
    <w:rsid w:val="003C1520"/>
    <w:rsid w:val="0040561F"/>
    <w:rsid w:val="00466F1B"/>
    <w:rsid w:val="005C7636"/>
    <w:rsid w:val="005F7868"/>
    <w:rsid w:val="006378E3"/>
    <w:rsid w:val="006513D3"/>
    <w:rsid w:val="006D7AE0"/>
    <w:rsid w:val="007576A7"/>
    <w:rsid w:val="007C4CC1"/>
    <w:rsid w:val="00854A9F"/>
    <w:rsid w:val="00877899"/>
    <w:rsid w:val="008943B6"/>
    <w:rsid w:val="00967646"/>
    <w:rsid w:val="009A076F"/>
    <w:rsid w:val="009D2F4F"/>
    <w:rsid w:val="00A774FA"/>
    <w:rsid w:val="00A90D87"/>
    <w:rsid w:val="00AB7CE3"/>
    <w:rsid w:val="00B16C52"/>
    <w:rsid w:val="00B9315A"/>
    <w:rsid w:val="00C11258"/>
    <w:rsid w:val="00C1590A"/>
    <w:rsid w:val="00C5126B"/>
    <w:rsid w:val="00C77210"/>
    <w:rsid w:val="00CF02C8"/>
    <w:rsid w:val="00D32074"/>
    <w:rsid w:val="00DA7F4C"/>
    <w:rsid w:val="00DB6FF5"/>
    <w:rsid w:val="00E079F9"/>
    <w:rsid w:val="00EB7A76"/>
    <w:rsid w:val="00ED1559"/>
    <w:rsid w:val="00EE72DF"/>
    <w:rsid w:val="00F22355"/>
    <w:rsid w:val="00F848C7"/>
    <w:rsid w:val="21197D3F"/>
    <w:rsid w:val="375A8117"/>
    <w:rsid w:val="7AA5FF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210119"/>
  <w15:chartTrackingRefBased/>
  <w15:docId w15:val="{1EF38FD6-F333-4C2B-BAB1-C16E1E2C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15A"/>
  </w:style>
  <w:style w:type="paragraph" w:styleId="Footer">
    <w:name w:val="footer"/>
    <w:basedOn w:val="Normal"/>
    <w:link w:val="FooterChar"/>
    <w:uiPriority w:val="99"/>
    <w:unhideWhenUsed/>
    <w:rsid w:val="00B9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5A"/>
  </w:style>
  <w:style w:type="character" w:styleId="CommentReference">
    <w:name w:val="annotation reference"/>
    <w:basedOn w:val="DefaultParagraphFont"/>
    <w:uiPriority w:val="99"/>
    <w:semiHidden/>
    <w:unhideWhenUsed/>
    <w:rsid w:val="00B9315A"/>
    <w:rPr>
      <w:sz w:val="16"/>
      <w:szCs w:val="16"/>
    </w:rPr>
  </w:style>
  <w:style w:type="paragraph" w:styleId="CommentText">
    <w:name w:val="annotation text"/>
    <w:basedOn w:val="Normal"/>
    <w:link w:val="CommentTextChar"/>
    <w:uiPriority w:val="99"/>
    <w:semiHidden/>
    <w:unhideWhenUsed/>
    <w:rsid w:val="00B9315A"/>
    <w:pPr>
      <w:spacing w:line="240" w:lineRule="auto"/>
    </w:pPr>
    <w:rPr>
      <w:sz w:val="20"/>
      <w:szCs w:val="20"/>
    </w:rPr>
  </w:style>
  <w:style w:type="character" w:customStyle="1" w:styleId="CommentTextChar">
    <w:name w:val="Comment Text Char"/>
    <w:basedOn w:val="DefaultParagraphFont"/>
    <w:link w:val="CommentText"/>
    <w:uiPriority w:val="99"/>
    <w:semiHidden/>
    <w:rsid w:val="00B9315A"/>
    <w:rPr>
      <w:sz w:val="20"/>
      <w:szCs w:val="20"/>
    </w:rPr>
  </w:style>
  <w:style w:type="paragraph" w:styleId="ListParagraph">
    <w:name w:val="List Paragraph"/>
    <w:basedOn w:val="Normal"/>
    <w:uiPriority w:val="34"/>
    <w:qFormat/>
    <w:rsid w:val="00B9315A"/>
    <w:pPr>
      <w:ind w:left="720"/>
      <w:contextualSpacing/>
    </w:pPr>
  </w:style>
  <w:style w:type="character" w:styleId="Hyperlink">
    <w:name w:val="Hyperlink"/>
    <w:basedOn w:val="DefaultParagraphFont"/>
    <w:uiPriority w:val="99"/>
    <w:unhideWhenUsed/>
    <w:rsid w:val="00B9315A"/>
    <w:rPr>
      <w:color w:val="0563C1" w:themeColor="hyperlink"/>
      <w:u w:val="single"/>
    </w:rPr>
  </w:style>
  <w:style w:type="character" w:styleId="UnresolvedMention">
    <w:name w:val="Unresolved Mention"/>
    <w:basedOn w:val="DefaultParagraphFont"/>
    <w:uiPriority w:val="99"/>
    <w:semiHidden/>
    <w:unhideWhenUsed/>
    <w:rsid w:val="00B9315A"/>
    <w:rPr>
      <w:color w:val="605E5C"/>
      <w:shd w:val="clear" w:color="auto" w:fill="E1DFDD"/>
    </w:rPr>
  </w:style>
  <w:style w:type="table" w:styleId="TableGrid">
    <w:name w:val="Table Grid"/>
    <w:basedOn w:val="TableNormal"/>
    <w:uiPriority w:val="39"/>
    <w:rsid w:val="00B9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B6FF5"/>
    <w:rPr>
      <w:b/>
      <w:bCs/>
    </w:rPr>
  </w:style>
  <w:style w:type="character" w:customStyle="1" w:styleId="CommentSubjectChar">
    <w:name w:val="Comment Subject Char"/>
    <w:basedOn w:val="CommentTextChar"/>
    <w:link w:val="CommentSubject"/>
    <w:uiPriority w:val="99"/>
    <w:semiHidden/>
    <w:rsid w:val="00DB6FF5"/>
    <w:rPr>
      <w:b/>
      <w:bCs/>
      <w:sz w:val="20"/>
      <w:szCs w:val="20"/>
    </w:rPr>
  </w:style>
  <w:style w:type="paragraph" w:styleId="Revision">
    <w:name w:val="Revision"/>
    <w:hidden/>
    <w:uiPriority w:val="99"/>
    <w:semiHidden/>
    <w:rsid w:val="00190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pars.samhsa.gov/sites/default/files/2023-01/OE%20SPARS%20CMHS%20IPP%20Overview%20Guide.pdf"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c74386bf-4a63-45e8-bbcb-d5e1e44796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0AAB2DD23E445BAAE3B29CFA0A5BA" ma:contentTypeVersion="6" ma:contentTypeDescription="Create a new document." ma:contentTypeScope="" ma:versionID="db4e2d5e49710bfd810d8f3d5ca8205a">
  <xsd:schema xmlns:xsd="http://www.w3.org/2001/XMLSchema" xmlns:xs="http://www.w3.org/2001/XMLSchema" xmlns:p="http://schemas.microsoft.com/office/2006/metadata/properties" xmlns:ns2="c74386bf-4a63-45e8-bbcb-d5e1e447965f" xmlns:ns3="36821910-3658-40e2-903a-25a05b0e18a2" targetNamespace="http://schemas.microsoft.com/office/2006/metadata/properties" ma:root="true" ma:fieldsID="4b12f227540e165d705227a2e70aeeec" ns2:_="" ns3:_="">
    <xsd:import namespace="c74386bf-4a63-45e8-bbcb-d5e1e447965f"/>
    <xsd:import namespace="36821910-3658-40e2-903a-25a05b0e1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386bf-4a63-45e8-bbcb-d5e1e4479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21910-3658-40e2-903a-25a05b0e1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9D175-1DC9-4354-A55F-E82063098788}">
  <ds:schemaRefs>
    <ds:schemaRef ds:uri="http://schemas.microsoft.com/sharepoint/v3/contenttype/forms"/>
  </ds:schemaRefs>
</ds:datastoreItem>
</file>

<file path=customXml/itemProps2.xml><?xml version="1.0" encoding="utf-8"?>
<ds:datastoreItem xmlns:ds="http://schemas.openxmlformats.org/officeDocument/2006/customXml" ds:itemID="{ACDD5589-436B-4A58-90B9-3924B1D6C1C0}">
  <ds:schemaRefs>
    <ds:schemaRef ds:uri="http://schemas.microsoft.com/office/2006/metadata/properties"/>
    <ds:schemaRef ds:uri="http://schemas.microsoft.com/office/infopath/2007/PartnerControls"/>
    <ds:schemaRef ds:uri="c74386bf-4a63-45e8-bbcb-d5e1e447965f"/>
  </ds:schemaRefs>
</ds:datastoreItem>
</file>

<file path=customXml/itemProps3.xml><?xml version="1.0" encoding="utf-8"?>
<ds:datastoreItem xmlns:ds="http://schemas.openxmlformats.org/officeDocument/2006/customXml" ds:itemID="{0242E4F6-0141-41E5-8E8D-7B58A8F5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386bf-4a63-45e8-bbcb-d5e1e447965f"/>
    <ds:schemaRef ds:uri="36821910-3658-40e2-903a-25a05b0e1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Chelsea (SAMHSA/OAS)</dc:creator>
  <cp:lastModifiedBy>King, Aisha (SAMHSA/OAS)</cp:lastModifiedBy>
  <cp:revision>3</cp:revision>
  <dcterms:created xsi:type="dcterms:W3CDTF">2023-10-17T17:55:00Z</dcterms:created>
  <dcterms:modified xsi:type="dcterms:W3CDTF">2023-10-17T17:56:00Z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0x0101001770AAB2DD23E445BAAE3B29CFA0A5BA</vt:lpwstr>
  </property>
</Properties>
</file>