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930967" w14:paraId="2911C89D" w14:textId="77777777">
      <w:pPr>
        <w:jc w:val="center"/>
        <w:rPr>
          <w:rFonts w:eastAsia="Calibri"/>
        </w:rPr>
      </w:pPr>
      <w:r w:rsidRPr="00357C8A">
        <w:rPr>
          <w:rFonts w:eastAsia="Calibri"/>
        </w:rPr>
        <w:t>United States Food and Drug Administration</w:t>
      </w:r>
    </w:p>
    <w:p w:rsidR="00357C8A" w:rsidP="00357C8A" w14:paraId="2A4A0880" w14:textId="77777777">
      <w:pPr>
        <w:jc w:val="center"/>
        <w:rPr>
          <w:rFonts w:eastAsia="Calibri"/>
        </w:rPr>
      </w:pPr>
    </w:p>
    <w:p w:rsidR="00357C8A" w:rsidP="00357C8A" w14:paraId="7534EBB1" w14:textId="77777777">
      <w:pPr>
        <w:jc w:val="center"/>
        <w:rPr>
          <w:rFonts w:eastAsia="Calibri"/>
        </w:rPr>
      </w:pPr>
      <w:r w:rsidRPr="00530F3B">
        <w:rPr>
          <w:rFonts w:eastAsia="Calibri"/>
        </w:rPr>
        <w:t>Irradiation in the Production, Processing and Handling of Food</w:t>
      </w:r>
    </w:p>
    <w:p w:rsidR="00357C8A" w:rsidP="00357C8A" w14:paraId="0A42D34D" w14:textId="77777777">
      <w:pPr>
        <w:jc w:val="center"/>
        <w:rPr>
          <w:rFonts w:eastAsia="Calibri"/>
        </w:rPr>
      </w:pPr>
    </w:p>
    <w:p w:rsidR="00357C8A" w:rsidP="00357C8A" w14:paraId="40B0D6F6" w14:textId="77777777">
      <w:pPr>
        <w:jc w:val="center"/>
        <w:rPr>
          <w:rFonts w:eastAsia="Calibri"/>
        </w:rPr>
      </w:pPr>
      <w:r w:rsidRPr="00357C8A">
        <w:rPr>
          <w:rFonts w:eastAsia="Calibri"/>
        </w:rPr>
        <w:t>OMB Control No. 0910-</w:t>
      </w:r>
      <w:r w:rsidR="00530F3B">
        <w:rPr>
          <w:rFonts w:eastAsia="Calibri"/>
        </w:rPr>
        <w:t>0186</w:t>
      </w:r>
    </w:p>
    <w:p w:rsidR="00357C8A" w:rsidP="00357C8A" w14:paraId="5B3378BA" w14:textId="77777777">
      <w:pPr>
        <w:jc w:val="center"/>
        <w:rPr>
          <w:rFonts w:eastAsia="Calibri"/>
        </w:rPr>
      </w:pPr>
    </w:p>
    <w:p w:rsidR="00357C8A" w:rsidP="00357C8A" w14:paraId="60AB5DD9" w14:textId="77777777">
      <w:pPr>
        <w:jc w:val="center"/>
        <w:rPr>
          <w:rFonts w:eastAsia="Calibri"/>
        </w:rPr>
      </w:pPr>
      <w:r w:rsidRPr="00357C8A">
        <w:rPr>
          <w:rFonts w:eastAsia="Calibri"/>
        </w:rPr>
        <w:t>SUPPORTING STATEMENT</w:t>
      </w:r>
    </w:p>
    <w:p w:rsidR="009B4DF2" w:rsidP="00357C8A" w14:paraId="293C255A" w14:textId="77777777">
      <w:pPr>
        <w:jc w:val="center"/>
        <w:rPr>
          <w:rFonts w:eastAsia="Calibri"/>
        </w:rPr>
      </w:pPr>
    </w:p>
    <w:p w:rsidR="00357C8A" w:rsidP="000D79CC" w14:paraId="0371A72B" w14:textId="77777777">
      <w:pPr>
        <w:rPr>
          <w:rFonts w:eastAsia="Calibri"/>
        </w:rPr>
      </w:pPr>
      <w:r w:rsidRPr="00357C8A">
        <w:rPr>
          <w:rFonts w:eastAsia="Calibri"/>
          <w:b/>
        </w:rPr>
        <w:t>Part A:  Justification</w:t>
      </w:r>
      <w:r w:rsidRPr="00357C8A">
        <w:rPr>
          <w:rFonts w:eastAsia="Calibri"/>
        </w:rPr>
        <w:t>:</w:t>
      </w:r>
    </w:p>
    <w:p w:rsidR="000D79CC" w:rsidRPr="00357C8A" w:rsidP="000D79CC" w14:paraId="3A26DC50" w14:textId="77777777">
      <w:pPr>
        <w:rPr>
          <w:rFonts w:eastAsia="Calibri"/>
        </w:rPr>
      </w:pPr>
    </w:p>
    <w:p w:rsidR="00357C8A" w:rsidRPr="00357C8A" w:rsidP="006705EA" w14:paraId="7FDEABAC"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530F3B" w:rsidP="00530F3B" w14:paraId="1C6CD1AF" w14:textId="69622068">
      <w:pPr>
        <w:rPr>
          <w:rFonts w:eastAsia="Calibri"/>
        </w:rPr>
      </w:pPr>
      <w:r w:rsidRPr="00530F3B">
        <w:rPr>
          <w:rFonts w:eastAsia="Calibri"/>
        </w:rPr>
        <w:t xml:space="preserve">This information collection supports agency regulations.  Under sections 201(s) and 409 of the Federal Food, Drug, and Cosmetic Act (the FD&amp;C Act) (21 U.S.C. 321(s) and 348), food irradiation is subject to regulation by the Food and Drug Administration (FDA, us or we) under the food additive premarket approval provisions.  The regulations providing for uses of irradiation in the production, processing, and handling of food are found in part 179 (21 CFR part 179).  To ensure safe use of a radiation source, § 179.21(b)(1) requires that the label of sources bear appropriate and accurate information identifying the source of radiation and the maximum (or minimum and maximum) energy of </w:t>
      </w:r>
      <w:r w:rsidR="00BF4A2B">
        <w:rPr>
          <w:rFonts w:eastAsia="Calibri"/>
        </w:rPr>
        <w:t>the emitted</w:t>
      </w:r>
      <w:r w:rsidRPr="00530F3B">
        <w:rPr>
          <w:rFonts w:eastAsia="Calibri"/>
        </w:rPr>
        <w:t>.  Section 179.21(b)(2) requires that the label or accompanying labeling bear adequate directions for installation and use and a statement supplied by us that indicates maximum dose of radiation allowed.  Section 179.26(c) requires that the label or accompanying labeling bear a logo and a radiation disclosure statement.  Section 179.25(e) requires that food processors who treat food with radiation make and retain, for 1 year past the expected shelf life of the products up to a maximum of 3 years, specified records relating to the irradiation process (e.g., the food treated, lot identification, scheduled process, etc.).</w:t>
      </w:r>
    </w:p>
    <w:p w:rsidR="00530F3B" w:rsidRPr="00530F3B" w:rsidP="00530F3B" w14:paraId="15B4E524" w14:textId="77777777">
      <w:pPr>
        <w:rPr>
          <w:rFonts w:eastAsia="Calibri"/>
        </w:rPr>
      </w:pPr>
    </w:p>
    <w:p w:rsidR="00357C8A" w:rsidRPr="00E70B23" w:rsidP="00530F3B" w14:paraId="57C76341" w14:textId="1936B459">
      <w:pPr>
        <w:rPr>
          <w:rFonts w:eastAsia="Calibri"/>
          <w:color w:val="000000"/>
        </w:rPr>
      </w:pPr>
      <w:r w:rsidRPr="00530F3B">
        <w:rPr>
          <w:rFonts w:eastAsia="Calibri"/>
        </w:rPr>
        <w:t>The regulations impose recordkeeping requirements whereby records are subject to FDA inspection.  We therefore request extension of OMB approval for the information collection requirements in 21 CFR</w:t>
      </w:r>
      <w:r w:rsidR="00BF4A2B">
        <w:rPr>
          <w:rFonts w:eastAsia="Calibri"/>
        </w:rPr>
        <w:t xml:space="preserve"> part</w:t>
      </w:r>
      <w:r w:rsidRPr="00530F3B">
        <w:rPr>
          <w:rFonts w:eastAsia="Calibri"/>
        </w:rPr>
        <w:t xml:space="preserve"> 179:  Irradiation in the Production, Processing and Handling of </w:t>
      </w:r>
      <w:r w:rsidR="004E2EA3">
        <w:rPr>
          <w:rFonts w:eastAsia="Calibri"/>
        </w:rPr>
        <w:t>food, as discussed in this supporting statement.</w:t>
      </w:r>
    </w:p>
    <w:p w:rsidR="0028725F" w:rsidRPr="00E70B23" w:rsidP="0028725F" w14:paraId="173791E7" w14:textId="77777777">
      <w:pPr>
        <w:rPr>
          <w:rFonts w:eastAsia="Calibri"/>
          <w:color w:val="000000"/>
        </w:rPr>
      </w:pPr>
    </w:p>
    <w:p w:rsidR="00357C8A" w:rsidRPr="00357C8A" w:rsidP="006705EA" w14:paraId="49E503DD"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530F3B" w:rsidRPr="00530F3B" w:rsidP="00530F3B" w14:paraId="71D210EB" w14:textId="74822D5D">
      <w:pPr>
        <w:spacing w:after="200"/>
        <w:rPr>
          <w:rFonts w:eastAsia="Calibri"/>
        </w:rPr>
      </w:pPr>
      <w:r w:rsidRPr="00530F3B">
        <w:rPr>
          <w:rFonts w:eastAsia="Calibri"/>
        </w:rPr>
        <w:t xml:space="preserve">The recordkeeping required </w:t>
      </w:r>
      <w:r w:rsidR="00BF4A2B">
        <w:rPr>
          <w:rFonts w:eastAsia="Calibri"/>
        </w:rPr>
        <w:t xml:space="preserve">by </w:t>
      </w:r>
      <w:r w:rsidRPr="00530F3B" w:rsidR="00BF4A2B">
        <w:rPr>
          <w:rFonts w:eastAsia="Calibri"/>
        </w:rPr>
        <w:t>§</w:t>
      </w:r>
      <w:r w:rsidRPr="00530F3B">
        <w:rPr>
          <w:rFonts w:eastAsia="Calibri"/>
        </w:rPr>
        <w:t xml:space="preserve"> 179</w:t>
      </w:r>
      <w:r w:rsidR="004E2EA3">
        <w:rPr>
          <w:rFonts w:eastAsia="Calibri"/>
        </w:rPr>
        <w:t>.25</w:t>
      </w:r>
      <w:r w:rsidR="008D3D4C">
        <w:rPr>
          <w:rFonts w:eastAsia="Calibri"/>
        </w:rPr>
        <w:t>(e)</w:t>
      </w:r>
      <w:r w:rsidRPr="00530F3B">
        <w:rPr>
          <w:rFonts w:eastAsia="Calibri"/>
        </w:rPr>
        <w:t xml:space="preserve"> is used by our inspectors to assess compliance with the regulation that establishes limits within which radiation may be safely used to treat food.  We cannot ensure safe use without a method to assess compliance with the dose limits, and there are no practicable methods for analyzing most foods to determine whether they have been treated with ionizing radiation and are within the limitations set forth in part 179.  </w:t>
      </w:r>
      <w:r w:rsidR="004E2EA3">
        <w:rPr>
          <w:rFonts w:eastAsia="Calibri"/>
        </w:rPr>
        <w:t xml:space="preserve">Records inspection is the only way to determine whether </w:t>
      </w:r>
      <w:r w:rsidR="00D2785C">
        <w:rPr>
          <w:rFonts w:eastAsia="Calibri"/>
        </w:rPr>
        <w:t>firms</w:t>
      </w:r>
      <w:r w:rsidR="004E2EA3">
        <w:rPr>
          <w:rFonts w:eastAsia="Calibri"/>
        </w:rPr>
        <w:t xml:space="preserve"> are complying with the regulations for treatment of foods with ionizing radiation.</w:t>
      </w:r>
    </w:p>
    <w:p w:rsidR="00357C8A" w:rsidRPr="00E70B23" w:rsidP="0022425B" w14:paraId="22E00D32" w14:textId="37F1B97A">
      <w:pPr>
        <w:spacing w:after="200"/>
        <w:rPr>
          <w:rFonts w:eastAsia="Calibri"/>
          <w:color w:val="000000"/>
        </w:rPr>
      </w:pPr>
      <w:r w:rsidRPr="00E24782">
        <w:rPr>
          <w:rFonts w:eastAsia="Calibri"/>
          <w:i/>
          <w:iCs/>
        </w:rPr>
        <w:t>Description of Respondents</w:t>
      </w:r>
      <w:r w:rsidRPr="00530F3B">
        <w:rPr>
          <w:rFonts w:eastAsia="Calibri"/>
        </w:rPr>
        <w:t xml:space="preserve">: </w:t>
      </w:r>
      <w:r w:rsidR="00BF4A2B">
        <w:rPr>
          <w:rFonts w:eastAsia="Calibri"/>
        </w:rPr>
        <w:t xml:space="preserve"> </w:t>
      </w:r>
      <w:r w:rsidRPr="00530F3B">
        <w:rPr>
          <w:rFonts w:eastAsia="Calibri"/>
        </w:rPr>
        <w:t>Respondents to the information collection are businesses engaged in the irradiation of food.  Respondents are from the private sector (for-profit businesses).</w:t>
      </w:r>
    </w:p>
    <w:p w:rsidR="00357C8A" w:rsidRPr="00357C8A" w:rsidP="006705EA" w14:paraId="0866FA87"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357C8A" w:rsidRPr="00E70B23" w:rsidP="0022425B" w14:paraId="71A5CBD5" w14:textId="77777777">
      <w:pPr>
        <w:spacing w:after="200"/>
        <w:rPr>
          <w:rFonts w:eastAsia="Calibri"/>
          <w:color w:val="000000"/>
        </w:rPr>
      </w:pPr>
      <w:r w:rsidRPr="00530F3B">
        <w:rPr>
          <w:rFonts w:eastAsia="Calibri"/>
        </w:rPr>
        <w:t xml:space="preserve">The regulation does not specifically prescribe the use of automated, electronic, mechanical, or other technological techniques or other forms of information technology as necessary for use by firms.  Food processors are free to use whatever forms of information technology may best assist </w:t>
      </w:r>
      <w:r w:rsidRPr="00530F3B">
        <w:rPr>
          <w:rFonts w:eastAsia="Calibri"/>
        </w:rPr>
        <w:t xml:space="preserve">them in retaining the appropriate records and making them available to regulatory officials.  We estimate all </w:t>
      </w:r>
      <w:r w:rsidR="004E2EA3">
        <w:rPr>
          <w:rFonts w:eastAsia="Calibri"/>
        </w:rPr>
        <w:t xml:space="preserve">records </w:t>
      </w:r>
      <w:r w:rsidRPr="00530F3B">
        <w:rPr>
          <w:rFonts w:eastAsia="Calibri"/>
        </w:rPr>
        <w:t>(100%) will be maintained electronically.</w:t>
      </w:r>
    </w:p>
    <w:p w:rsidR="00357C8A" w:rsidRPr="00357C8A" w:rsidP="006705EA" w14:paraId="00898C77"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E70B23" w:rsidP="0053380B" w14:paraId="37DE5BDE" w14:textId="77777777">
      <w:pPr>
        <w:spacing w:after="200"/>
        <w:rPr>
          <w:rFonts w:eastAsia="Calibri"/>
          <w:color w:val="000000"/>
        </w:rPr>
      </w:pPr>
      <w:r w:rsidRPr="00530F3B">
        <w:t>We are unaware of duplicative information collection.</w:t>
      </w:r>
    </w:p>
    <w:p w:rsidR="00357C8A" w:rsidRPr="00357C8A" w:rsidP="006705EA" w14:paraId="687714AF"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3B617C5A" w14:textId="41134517">
      <w:pPr>
        <w:spacing w:after="200"/>
        <w:rPr>
          <w:rFonts w:eastAsia="Calibri"/>
        </w:rPr>
      </w:pPr>
      <w:r w:rsidRPr="00530F3B">
        <w:rPr>
          <w:rFonts w:eastAsia="Calibri"/>
        </w:rPr>
        <w:t xml:space="preserve">We estimate ten percent (10%) of respondents are small businesses.  A limited number of firms process food using </w:t>
      </w:r>
      <w:r w:rsidRPr="00530F3B">
        <w:rPr>
          <w:rFonts w:eastAsia="Calibri"/>
        </w:rPr>
        <w:t>irradiation,</w:t>
      </w:r>
      <w:r w:rsidRPr="00530F3B">
        <w:rPr>
          <w:rFonts w:eastAsia="Calibri"/>
        </w:rPr>
        <w:t xml:space="preserve"> however we do not believe the information collection is unduly burdensome on small entities.  We also believe the recordkeeping and labeling requirements would ordinarily be kept by respondents (food processors) for their own use as a good management practice.  In addition, regulatory review scientists in the Office of Food Additive Safety, Center for Food Safety and Applied Nutrition at FDA are available by telephone to answer any questions about the recordkeeping requirements found in 21 CFR part 179.  We aid small businesses in dealing with the requirements of the FD&amp;C Act through the agency’s Regional Small Business Representatives and through the scientific and administrative staffs within the agency.  We also </w:t>
      </w:r>
      <w:r w:rsidRPr="00530F3B">
        <w:rPr>
          <w:rFonts w:eastAsia="Calibri"/>
        </w:rPr>
        <w:t>provide assistance</w:t>
      </w:r>
      <w:r w:rsidRPr="00530F3B">
        <w:rPr>
          <w:rFonts w:eastAsia="Calibri"/>
        </w:rPr>
        <w:t xml:space="preserve"> via FDA’s Small Business Assistance webpage at </w:t>
      </w:r>
      <w:hyperlink r:id="rId4" w:history="1">
        <w:r w:rsidRPr="00530F3B">
          <w:rPr>
            <w:rStyle w:val="Hyperlink"/>
            <w:rFonts w:eastAsia="Calibri"/>
          </w:rPr>
          <w:t>https://www.fda.gov/industry/small-business-assistance</w:t>
        </w:r>
      </w:hyperlink>
      <w:r w:rsidRPr="00530F3B">
        <w:rPr>
          <w:rFonts w:eastAsia="Calibri"/>
        </w:rPr>
        <w:t xml:space="preserve">.  </w:t>
      </w:r>
    </w:p>
    <w:p w:rsidR="00357C8A" w:rsidRPr="00357C8A" w:rsidP="006705EA" w14:paraId="25EC6F6D"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E70B23" w:rsidP="00357C8A" w14:paraId="7A7B5D32" w14:textId="77777777">
      <w:pPr>
        <w:spacing w:after="200"/>
        <w:rPr>
          <w:rFonts w:eastAsia="Calibri"/>
          <w:color w:val="000000"/>
        </w:rPr>
      </w:pPr>
      <w:r w:rsidRPr="00530F3B">
        <w:rPr>
          <w:rFonts w:eastAsia="Calibri"/>
        </w:rPr>
        <w:t>Data collection occurs occasionally.  If the recordkeeping requirements are not met by the respondents to the information collection, FDA is unable to verify that food has been processed in accordance with applicable public health safety regulations.</w:t>
      </w:r>
    </w:p>
    <w:p w:rsidR="00357C8A" w:rsidRPr="00357C8A" w:rsidP="006705EA" w14:paraId="69B334A2"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357C8A" w:rsidRPr="00357C8A" w:rsidP="0022425B" w14:paraId="1AF7133B" w14:textId="77777777">
      <w:pPr>
        <w:spacing w:after="200"/>
        <w:rPr>
          <w:rFonts w:eastAsia="Calibri"/>
        </w:rPr>
      </w:pPr>
      <w:r w:rsidRPr="00530F3B">
        <w:rPr>
          <w:rFonts w:eastAsia="Calibri"/>
        </w:rPr>
        <w:t xml:space="preserve">None of the requirements are inconsistent with 5 CFR 1320.5(d)(2).  This collection of information does not involve more than quarterly submission of information to the agency, written responses to the agency in less than 30 days, submission of more than an original and 2 copies, retention of records for more than three years, the use of statistical methods, pledges of confidentiality by us not supported by authority established in statute or </w:t>
      </w:r>
      <w:r w:rsidRPr="00530F3B" w:rsidR="0028725F">
        <w:rPr>
          <w:rFonts w:eastAsia="Calibri"/>
        </w:rPr>
        <w:t>regulation or</w:t>
      </w:r>
      <w:r w:rsidRPr="00530F3B">
        <w:rPr>
          <w:rFonts w:eastAsia="Calibri"/>
        </w:rPr>
        <w:t xml:space="preserve"> require the disclosure of trade secrets or other confidential information.</w:t>
      </w:r>
    </w:p>
    <w:p w:rsidR="00357C8A" w:rsidRPr="00357C8A" w:rsidP="006705EA" w14:paraId="13A972E3"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CC243A" w:rsidRPr="004C4C90" w:rsidP="00CC243A" w14:paraId="66A927A2" w14:textId="77777777">
      <w:pPr>
        <w:spacing w:after="200"/>
        <w:rPr>
          <w:rFonts w:eastAsia="Calibri"/>
        </w:rPr>
      </w:pPr>
      <w:r w:rsidRPr="004C4C90">
        <w:rPr>
          <w:rFonts w:eastAsia="Calibri"/>
        </w:rPr>
        <w:t xml:space="preserve">In accordance with 5 CFR 1320.8(d), we published a 60-day notice for public comment in the </w:t>
      </w:r>
      <w:r w:rsidRPr="004C4C90">
        <w:rPr>
          <w:rFonts w:eastAsia="Calibri"/>
          <w:i/>
          <w:iCs/>
        </w:rPr>
        <w:t>Federal Register</w:t>
      </w:r>
      <w:r w:rsidRPr="004C4C90">
        <w:rPr>
          <w:rFonts w:eastAsia="Calibri"/>
        </w:rPr>
        <w:t xml:space="preserve"> of </w:t>
      </w:r>
      <w:r w:rsidRPr="004C4C90" w:rsidR="004E2EA3">
        <w:rPr>
          <w:rFonts w:eastAsia="Calibri"/>
        </w:rPr>
        <w:t>January 23</w:t>
      </w:r>
      <w:r w:rsidRPr="004C4C90">
        <w:rPr>
          <w:rFonts w:eastAsia="Calibri"/>
        </w:rPr>
        <w:t>, 202</w:t>
      </w:r>
      <w:r w:rsidRPr="004C4C90" w:rsidR="004E2EA3">
        <w:rPr>
          <w:rFonts w:eastAsia="Calibri"/>
        </w:rPr>
        <w:t>4</w:t>
      </w:r>
      <w:r w:rsidRPr="004C4C90">
        <w:rPr>
          <w:rFonts w:eastAsia="Calibri"/>
        </w:rPr>
        <w:t xml:space="preserve"> (8</w:t>
      </w:r>
      <w:r w:rsidRPr="004C4C90" w:rsidR="004E2EA3">
        <w:rPr>
          <w:rFonts w:eastAsia="Calibri"/>
        </w:rPr>
        <w:t>9</w:t>
      </w:r>
      <w:r w:rsidRPr="004C4C90">
        <w:rPr>
          <w:rFonts w:eastAsia="Calibri"/>
        </w:rPr>
        <w:t xml:space="preserve"> FR </w:t>
      </w:r>
      <w:r w:rsidRPr="004C4C90" w:rsidR="004E2EA3">
        <w:rPr>
          <w:rFonts w:eastAsia="Calibri"/>
        </w:rPr>
        <w:t>4311</w:t>
      </w:r>
      <w:r w:rsidRPr="004C4C90">
        <w:rPr>
          <w:rFonts w:eastAsia="Calibri"/>
        </w:rPr>
        <w:t xml:space="preserve">).  </w:t>
      </w:r>
      <w:r w:rsidRPr="004C4C90">
        <w:rPr>
          <w:rFonts w:eastAsia="Calibri"/>
        </w:rPr>
        <w:t xml:space="preserve">One comment </w:t>
      </w:r>
      <w:r w:rsidR="002C3B5F">
        <w:rPr>
          <w:rFonts w:eastAsia="Calibri"/>
        </w:rPr>
        <w:t xml:space="preserve">related to the PRA </w:t>
      </w:r>
      <w:r w:rsidRPr="004C4C90">
        <w:rPr>
          <w:rFonts w:eastAsia="Calibri"/>
        </w:rPr>
        <w:t>was received which suggested that FDA could enhance and improve the information received in this collection of information by clarifying reporting requirements, detailing consistent guidelines, conducting training and educational programs to increase understanding, and integrating technology into the process.  The comment also indicated that regular audits and checks should be instituted, and the implementation of these suggestions will increase the quality of the information being collected.</w:t>
      </w:r>
    </w:p>
    <w:p w:rsidR="00CC243A" w:rsidRPr="002C3B5F" w:rsidP="00357C8A" w14:paraId="02626266" w14:textId="0E1CAB01">
      <w:pPr>
        <w:spacing w:after="200"/>
        <w:rPr>
          <w:rFonts w:eastAsia="Calibri"/>
        </w:rPr>
      </w:pPr>
      <w:r w:rsidRPr="002C3B5F">
        <w:rPr>
          <w:rFonts w:eastAsia="Calibri"/>
        </w:rPr>
        <w:t>R</w:t>
      </w:r>
      <w:r w:rsidRPr="002C3B5F" w:rsidR="004C4C90">
        <w:rPr>
          <w:rFonts w:eastAsia="Calibri"/>
        </w:rPr>
        <w:t>esponse</w:t>
      </w:r>
      <w:r w:rsidRPr="002C3B5F">
        <w:rPr>
          <w:rFonts w:eastAsia="Calibri"/>
        </w:rPr>
        <w:t>:</w:t>
      </w:r>
      <w:r w:rsidRPr="002C3B5F" w:rsidR="004C4C90">
        <w:rPr>
          <w:rFonts w:eastAsia="Calibri"/>
        </w:rPr>
        <w:t xml:space="preserve"> </w:t>
      </w:r>
      <w:r w:rsidRPr="002C3B5F">
        <w:rPr>
          <w:rFonts w:eastAsia="Calibri"/>
        </w:rPr>
        <w:t xml:space="preserve"> FDA strives to protect the public health and safety in irradiated food and packaging.</w:t>
      </w:r>
      <w:r w:rsidR="004C4C90">
        <w:rPr>
          <w:rFonts w:eastAsia="Calibri"/>
        </w:rPr>
        <w:t xml:space="preserve"> </w:t>
      </w:r>
      <w:r w:rsidRPr="002C3B5F">
        <w:rPr>
          <w:rFonts w:eastAsia="Calibri"/>
        </w:rPr>
        <w:t xml:space="preserve"> FDA’s website at </w:t>
      </w:r>
      <w:hyperlink r:id="rId5" w:history="1">
        <w:r w:rsidRPr="002C3B5F">
          <w:rPr>
            <w:rFonts w:eastAsia="Calibri"/>
            <w:color w:val="0563C1"/>
            <w:u w:val="single"/>
          </w:rPr>
          <w:t>https://www.fda.gov/food/food-ingredients-packaging/irradiation-food-packaging</w:t>
        </w:r>
      </w:hyperlink>
      <w:r w:rsidRPr="002C3B5F">
        <w:rPr>
          <w:rFonts w:eastAsia="Calibri"/>
        </w:rPr>
        <w:t xml:space="preserve"> provides a discussion of FDA’s regulation of irradiated food as well as information about the history, science, and regulations of irradiated food and packaging.</w:t>
      </w:r>
      <w:r w:rsidR="004C4C90">
        <w:rPr>
          <w:rFonts w:eastAsia="Calibri"/>
        </w:rPr>
        <w:t xml:space="preserve"> </w:t>
      </w:r>
      <w:r w:rsidRPr="002C3B5F">
        <w:rPr>
          <w:rFonts w:eastAsia="Calibri"/>
        </w:rPr>
        <w:t xml:space="preserve"> In addition, FDA </w:t>
      </w:r>
      <w:r w:rsidRPr="002C3B5F">
        <w:rPr>
          <w:rFonts w:eastAsia="Calibri"/>
        </w:rPr>
        <w:t>offers educational webinars, such as the joint CFSAN/J</w:t>
      </w:r>
      <w:r w:rsidR="005D7A5C">
        <w:rPr>
          <w:rFonts w:eastAsia="Calibri"/>
        </w:rPr>
        <w:t>I</w:t>
      </w:r>
      <w:r w:rsidRPr="002C3B5F">
        <w:rPr>
          <w:rFonts w:eastAsia="Calibri"/>
        </w:rPr>
        <w:t xml:space="preserve">FSAN webinar on Food </w:t>
      </w:r>
      <w:r w:rsidR="005D7A5C">
        <w:rPr>
          <w:rFonts w:eastAsia="Calibri"/>
        </w:rPr>
        <w:t>P</w:t>
      </w:r>
      <w:r w:rsidRPr="002C3B5F">
        <w:rPr>
          <w:rFonts w:eastAsia="Calibri"/>
        </w:rPr>
        <w:t>ackaging and Irradiation.</w:t>
      </w:r>
      <w:r w:rsidR="004C4C90">
        <w:rPr>
          <w:rFonts w:eastAsia="Calibri"/>
        </w:rPr>
        <w:t xml:space="preserve"> </w:t>
      </w:r>
      <w:r w:rsidRPr="002C3B5F">
        <w:rPr>
          <w:rFonts w:eastAsia="Calibri"/>
        </w:rPr>
        <w:t xml:space="preserve"> This webinar </w:t>
      </w:r>
      <w:r w:rsidR="005D7A5C">
        <w:rPr>
          <w:rFonts w:eastAsia="Calibri"/>
        </w:rPr>
        <w:t>can be found on YouTube</w:t>
      </w:r>
      <w:r w:rsidRPr="002C3B5F">
        <w:rPr>
          <w:rFonts w:eastAsia="Calibri"/>
        </w:rPr>
        <w:t xml:space="preserve"> </w:t>
      </w:r>
      <w:r w:rsidR="005D7A5C">
        <w:rPr>
          <w:rFonts w:eastAsia="Calibri"/>
        </w:rPr>
        <w:t xml:space="preserve">at </w:t>
      </w:r>
      <w:hyperlink r:id="rId6" w:history="1">
        <w:r w:rsidRPr="001133F9" w:rsidR="005D7A5C">
          <w:rPr>
            <w:rStyle w:val="Hyperlink"/>
            <w:rFonts w:eastAsia="Calibri"/>
          </w:rPr>
          <w:t>http</w:t>
        </w:r>
        <w:r w:rsidRPr="001133F9" w:rsidR="005D7A5C">
          <w:rPr>
            <w:rStyle w:val="Hyperlink"/>
            <w:rFonts w:eastAsia="Calibri"/>
          </w:rPr>
          <w:t>s</w:t>
        </w:r>
        <w:r w:rsidRPr="001133F9" w:rsidR="005D7A5C">
          <w:rPr>
            <w:rStyle w:val="Hyperlink"/>
            <w:rFonts w:eastAsia="Calibri"/>
          </w:rPr>
          <w:t>://www.youtube.com/watch?v=X3rYqwHx_KU</w:t>
        </w:r>
      </w:hyperlink>
      <w:r w:rsidR="005D7A5C">
        <w:rPr>
          <w:rFonts w:eastAsia="Calibri"/>
        </w:rPr>
        <w:t xml:space="preserve">.  This webinar provides </w:t>
      </w:r>
      <w:r w:rsidRPr="002C3B5F">
        <w:rPr>
          <w:rFonts w:eastAsia="Calibri"/>
        </w:rPr>
        <w:t>some clarification on food processing and handling of irradiated food.</w:t>
      </w:r>
      <w:r w:rsidR="004C4C90">
        <w:rPr>
          <w:rFonts w:eastAsia="Calibri"/>
        </w:rPr>
        <w:t xml:space="preserve"> </w:t>
      </w:r>
      <w:r w:rsidRPr="002C3B5F">
        <w:rPr>
          <w:rFonts w:eastAsia="Calibri"/>
        </w:rPr>
        <w:t xml:space="preserve"> FDA also conducts inspections on an as</w:t>
      </w:r>
      <w:r w:rsidR="005D7A5C">
        <w:rPr>
          <w:rFonts w:eastAsia="Calibri"/>
        </w:rPr>
        <w:t>-</w:t>
      </w:r>
      <w:r w:rsidRPr="002C3B5F">
        <w:rPr>
          <w:rFonts w:eastAsia="Calibri"/>
        </w:rPr>
        <w:t xml:space="preserve">needed basis to check on the accuracy of the records being maintained by </w:t>
      </w:r>
      <w:r w:rsidR="005611E8">
        <w:rPr>
          <w:rFonts w:eastAsia="Calibri"/>
        </w:rPr>
        <w:t>food</w:t>
      </w:r>
      <w:r w:rsidRPr="002C3B5F">
        <w:rPr>
          <w:rFonts w:eastAsia="Calibri"/>
        </w:rPr>
        <w:t xml:space="preserve"> processors and to ensure </w:t>
      </w:r>
      <w:r w:rsidR="005611E8">
        <w:rPr>
          <w:rFonts w:eastAsia="Calibri"/>
        </w:rPr>
        <w:t xml:space="preserve">the </w:t>
      </w:r>
      <w:r w:rsidRPr="002C3B5F">
        <w:rPr>
          <w:rFonts w:eastAsia="Calibri"/>
        </w:rPr>
        <w:t>safety of irradiated food and packaging.</w:t>
      </w:r>
    </w:p>
    <w:p w:rsidR="00357C8A" w:rsidRPr="00357C8A" w:rsidP="006705EA" w14:paraId="13658FCA"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E70B23" w:rsidP="00357C8A" w14:paraId="3A49FCB8" w14:textId="77777777">
      <w:pPr>
        <w:spacing w:after="200"/>
        <w:rPr>
          <w:rFonts w:eastAsia="Calibri"/>
          <w:color w:val="000000"/>
        </w:rPr>
      </w:pPr>
      <w:r w:rsidRPr="00530F3B">
        <w:rPr>
          <w:rFonts w:eastAsia="Calibri"/>
        </w:rPr>
        <w:t xml:space="preserve">There are no incentives, payments, or gifts associated with this information collection.  </w:t>
      </w:r>
    </w:p>
    <w:p w:rsidR="00357C8A" w:rsidRPr="00357C8A" w:rsidP="006705EA" w14:paraId="43710280"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CC243A" w:rsidRPr="0038635C" w:rsidP="00CC243A" w14:paraId="6179B24D" w14:textId="77777777">
      <w:pPr>
        <w:spacing w:after="200"/>
        <w:rPr>
          <w:rFonts w:eastAsia="Calibri"/>
          <w:color w:val="000000"/>
        </w:rPr>
      </w:pPr>
      <w:r w:rsidRPr="0038635C">
        <w:rPr>
          <w:rFonts w:eastAsia="Calibri"/>
          <w:color w:val="000000"/>
        </w:rPr>
        <w:t>In preparing this supporting statement, we consulted our Privacy Office to ensure appropriate identification and handling of information collected.</w:t>
      </w:r>
    </w:p>
    <w:p w:rsidR="00CC243A" w:rsidRPr="0038635C" w:rsidP="00CC243A" w14:paraId="14BA30F5" w14:textId="3FA96A55">
      <w:pPr>
        <w:spacing w:after="200"/>
        <w:rPr>
          <w:rFonts w:eastAsia="Calibri"/>
          <w:color w:val="000000"/>
        </w:rPr>
      </w:pPr>
      <w:r w:rsidRPr="0038635C">
        <w:rPr>
          <w:rFonts w:eastAsia="Calibri"/>
          <w:color w:val="000000"/>
        </w:rPr>
        <w:t xml:space="preserve">This ICR does not collect personally identifiable information (PII) or information of a personal nature. </w:t>
      </w:r>
      <w:r w:rsidR="005611E8">
        <w:rPr>
          <w:rFonts w:eastAsia="Calibri"/>
          <w:color w:val="000000"/>
        </w:rPr>
        <w:t xml:space="preserve"> </w:t>
      </w:r>
      <w:r w:rsidRPr="0038635C">
        <w:rPr>
          <w:rFonts w:eastAsia="Calibri"/>
          <w:color w:val="000000"/>
        </w:rPr>
        <w:t xml:space="preserve">This information collection supports Irradiation in the Production, Processing and Handling of Food. </w:t>
      </w:r>
      <w:r w:rsidR="005611E8">
        <w:rPr>
          <w:rFonts w:eastAsia="Calibri"/>
          <w:color w:val="000000"/>
        </w:rPr>
        <w:t xml:space="preserve"> </w:t>
      </w:r>
      <w:r w:rsidRPr="0038635C">
        <w:rPr>
          <w:rFonts w:eastAsia="Calibri"/>
          <w:color w:val="000000"/>
        </w:rPr>
        <w:t>All records are maintained at the facility.</w:t>
      </w:r>
    </w:p>
    <w:p w:rsidR="00CC243A" w:rsidRPr="0038635C" w:rsidP="00CC243A" w14:paraId="45F4D995" w14:textId="592BC995">
      <w:pPr>
        <w:spacing w:after="200"/>
        <w:rPr>
          <w:rFonts w:eastAsia="Calibri"/>
          <w:color w:val="000000"/>
        </w:rPr>
      </w:pPr>
      <w:r w:rsidRPr="0038635C">
        <w:rPr>
          <w:rFonts w:eastAsia="Calibri"/>
          <w:color w:val="000000"/>
        </w:rPr>
        <w:t xml:space="preserve">FDA further determined that this collection is not subject to the Privacy Act of 1974 and the </w:t>
      </w:r>
      <w:r w:rsidRPr="0038635C">
        <w:rPr>
          <w:rFonts w:eastAsia="Calibri"/>
          <w:color w:val="000000"/>
        </w:rPr>
        <w:t>particular notice</w:t>
      </w:r>
      <w:r w:rsidRPr="0038635C">
        <w:rPr>
          <w:rFonts w:eastAsia="Calibri"/>
          <w:color w:val="000000"/>
        </w:rPr>
        <w:t xml:space="preserve"> and other requirements of the Act do not apply. </w:t>
      </w:r>
      <w:r w:rsidR="005611E8">
        <w:rPr>
          <w:rFonts w:eastAsia="Calibri"/>
          <w:color w:val="000000"/>
        </w:rPr>
        <w:t xml:space="preserve"> </w:t>
      </w:r>
      <w:r w:rsidRPr="0038635C">
        <w:rPr>
          <w:rFonts w:eastAsia="Calibri"/>
          <w:color w:val="000000"/>
        </w:rPr>
        <w:t>Specifically, FDA (including vendors or service providers acting on behalf of FDA) does not use name or any other personal identifier to retrieve records from the information collected.</w:t>
      </w:r>
    </w:p>
    <w:p w:rsidR="001075D3" w:rsidRPr="0038635C" w:rsidP="002C3B5F" w14:paraId="5D4BF3E8" w14:textId="03C517B9">
      <w:pPr>
        <w:rPr>
          <w:rFonts w:eastAsia="Calibri"/>
          <w:color w:val="000000"/>
        </w:rPr>
      </w:pPr>
      <w:r w:rsidRPr="0038635C">
        <w:rPr>
          <w:rFonts w:eastAsia="Calibri"/>
          <w:color w:val="000000"/>
        </w:rPr>
        <w:t xml:space="preserve">Under </w:t>
      </w:r>
      <w:r w:rsidRPr="005611E8" w:rsidR="005611E8">
        <w:rPr>
          <w:rFonts w:eastAsia="Calibri"/>
          <w:color w:val="000000"/>
        </w:rPr>
        <w:t>the Freedom of Information Act</w:t>
      </w:r>
      <w:r w:rsidR="005611E8">
        <w:rPr>
          <w:rFonts w:eastAsia="Calibri"/>
          <w:color w:val="000000"/>
        </w:rPr>
        <w:t xml:space="preserve"> (</w:t>
      </w:r>
      <w:r w:rsidRPr="0038635C">
        <w:rPr>
          <w:rFonts w:eastAsia="Calibri"/>
          <w:color w:val="000000"/>
        </w:rPr>
        <w:t>FOIA</w:t>
      </w:r>
      <w:r w:rsidR="005611E8">
        <w:rPr>
          <w:rFonts w:eastAsia="Calibri"/>
          <w:color w:val="000000"/>
        </w:rPr>
        <w:t>)</w:t>
      </w:r>
      <w:r w:rsidRPr="0038635C">
        <w:rPr>
          <w:rFonts w:eastAsia="Calibri"/>
          <w:color w:val="000000"/>
        </w:rPr>
        <w:t xml:space="preserve">, the public has broad access to government documents. </w:t>
      </w:r>
      <w:r w:rsidR="005611E8">
        <w:rPr>
          <w:rFonts w:eastAsia="Calibri"/>
          <w:color w:val="000000"/>
        </w:rPr>
        <w:t xml:space="preserve"> </w:t>
      </w:r>
      <w:r w:rsidRPr="0038635C">
        <w:rPr>
          <w:rFonts w:eastAsia="Calibri"/>
          <w:color w:val="000000"/>
        </w:rPr>
        <w:t xml:space="preserve">However, FOIA provides certain exemptions from mandatory public disclosure of government records (5 U.S.C. 552(b)(1-9)). </w:t>
      </w:r>
      <w:r w:rsidR="005611E8">
        <w:rPr>
          <w:rFonts w:eastAsia="Calibri"/>
          <w:color w:val="000000"/>
        </w:rPr>
        <w:t xml:space="preserve"> </w:t>
      </w:r>
      <w:r w:rsidRPr="0038635C">
        <w:rPr>
          <w:rFonts w:eastAsia="Calibri"/>
          <w:color w:val="000000"/>
        </w:rPr>
        <w:t>FDA will make the fullest possible disclosure of records to the public, consistent with the rights of individuals to privacy, the property rights of persons in trade, and confidential comm</w:t>
      </w:r>
      <w:r w:rsidRPr="00B7575F">
        <w:rPr>
          <w:rFonts w:eastAsia="Calibri"/>
          <w:color w:val="000000"/>
        </w:rPr>
        <w:t>ercial or financial information.</w:t>
      </w:r>
      <w:r w:rsidRPr="00B7575F" w:rsidR="00B7575F">
        <w:t xml:space="preserve"> T</w:t>
      </w:r>
      <w:r w:rsidRPr="00B7575F" w:rsidR="00B7575F">
        <w:t>he data will be kept private to the extent allowed by law</w:t>
      </w:r>
      <w:r w:rsidR="00B7575F">
        <w:t>.</w:t>
      </w:r>
    </w:p>
    <w:p w:rsidR="002C3B5F" w:rsidRPr="001075D3" w:rsidP="002C3B5F" w14:paraId="45D8EFC3" w14:textId="77777777"/>
    <w:p w:rsidR="00357C8A" w:rsidRPr="00357C8A" w:rsidP="006705EA" w14:paraId="2E72D592"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E70B23" w:rsidP="0022425B" w14:paraId="067811B1" w14:textId="77777777">
      <w:pPr>
        <w:spacing w:after="200"/>
        <w:rPr>
          <w:rFonts w:eastAsia="Calibri"/>
          <w:color w:val="000000"/>
        </w:rPr>
      </w:pPr>
      <w:r w:rsidRPr="0028725F">
        <w:rPr>
          <w:rFonts w:eastAsia="Calibri"/>
        </w:rPr>
        <w:t>Th</w:t>
      </w:r>
      <w:r>
        <w:rPr>
          <w:rFonts w:eastAsia="Calibri"/>
        </w:rPr>
        <w:t>e collection of</w:t>
      </w:r>
      <w:r w:rsidRPr="0028725F">
        <w:rPr>
          <w:rFonts w:eastAsia="Calibri"/>
        </w:rPr>
        <w:t xml:space="preserve"> information does not involve </w:t>
      </w:r>
      <w:r>
        <w:rPr>
          <w:rFonts w:eastAsia="Calibri"/>
        </w:rPr>
        <w:t>sensitive</w:t>
      </w:r>
      <w:r w:rsidRPr="0028725F">
        <w:rPr>
          <w:rFonts w:eastAsia="Calibri"/>
        </w:rPr>
        <w:t xml:space="preserve"> questions</w:t>
      </w:r>
      <w:r>
        <w:rPr>
          <w:rFonts w:eastAsia="Calibri"/>
        </w:rPr>
        <w:t>.</w:t>
      </w:r>
    </w:p>
    <w:p w:rsidR="00357C8A" w:rsidRPr="00357C8A" w:rsidP="006705EA" w14:paraId="474B6A00"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332E4C68" w14:textId="77777777">
      <w:pPr>
        <w:spacing w:after="200"/>
        <w:ind w:left="360"/>
        <w:rPr>
          <w:rFonts w:eastAsia="Calibri"/>
        </w:rPr>
      </w:pPr>
      <w:r w:rsidRPr="005C71CA">
        <w:rPr>
          <w:rFonts w:eastAsia="Calibri"/>
        </w:rPr>
        <w:t>12a.  Annualized Hour Burden Estimate</w:t>
      </w:r>
    </w:p>
    <w:p w:rsidR="0028725F" w:rsidRPr="00A66D1B" w:rsidP="005611E8" w14:paraId="1235F36C" w14:textId="77777777">
      <w:pPr>
        <w:widowControl w:val="0"/>
        <w:autoSpaceDE w:val="0"/>
        <w:autoSpaceDN w:val="0"/>
        <w:spacing w:before="1"/>
        <w:ind w:left="360"/>
      </w:pPr>
      <w:r w:rsidRPr="00A66D1B">
        <w:t>We estimate the burden of this collection of information as follows:</w:t>
      </w:r>
    </w:p>
    <w:p w:rsidR="0028725F" w:rsidRPr="00A66D1B" w:rsidP="0028725F" w14:paraId="3AC82E35" w14:textId="77777777">
      <w:pPr>
        <w:widowControl w:val="0"/>
        <w:autoSpaceDE w:val="0"/>
        <w:autoSpaceDN w:val="0"/>
        <w:spacing w:before="3"/>
      </w:pPr>
    </w:p>
    <w:tbl>
      <w:tblPr>
        <w:tblW w:w="925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30"/>
        <w:gridCol w:w="1440"/>
        <w:gridCol w:w="1710"/>
        <w:gridCol w:w="1260"/>
        <w:gridCol w:w="1710"/>
        <w:gridCol w:w="805"/>
      </w:tblGrid>
      <w:tr w14:paraId="49137C36" w14:textId="77777777" w:rsidTr="00E24782">
        <w:tblPrEx>
          <w:tblW w:w="9255" w:type="dxa"/>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33"/>
        </w:trPr>
        <w:tc>
          <w:tcPr>
            <w:tcW w:w="9255" w:type="dxa"/>
            <w:gridSpan w:val="6"/>
          </w:tcPr>
          <w:p w:rsidR="0028725F" w:rsidRPr="000E03D9" w:rsidP="00E24782" w14:paraId="2CA17508" w14:textId="77777777">
            <w:pPr>
              <w:widowControl w:val="0"/>
              <w:autoSpaceDE w:val="0"/>
              <w:autoSpaceDN w:val="0"/>
              <w:spacing w:line="274" w:lineRule="exact"/>
              <w:jc w:val="center"/>
              <w:rPr>
                <w:sz w:val="20"/>
                <w:szCs w:val="20"/>
              </w:rPr>
            </w:pPr>
            <w:bookmarkStart w:id="0" w:name="_Hlk62741895"/>
            <w:r w:rsidRPr="000E03D9">
              <w:rPr>
                <w:sz w:val="20"/>
                <w:szCs w:val="20"/>
              </w:rPr>
              <w:t xml:space="preserve">Table 1.--Estimated </w:t>
            </w:r>
            <w:bookmarkEnd w:id="0"/>
            <w:r w:rsidRPr="000E03D9">
              <w:rPr>
                <w:sz w:val="20"/>
                <w:szCs w:val="20"/>
              </w:rPr>
              <w:t>Annual Recordkeeping Burden</w:t>
            </w:r>
            <w:r w:rsidRPr="00613E43">
              <w:rPr>
                <w:sz w:val="20"/>
                <w:szCs w:val="20"/>
                <w:vertAlign w:val="superscript"/>
              </w:rPr>
              <w:t>1</w:t>
            </w:r>
          </w:p>
        </w:tc>
      </w:tr>
      <w:tr w14:paraId="42AD5FBD" w14:textId="77777777" w:rsidTr="00E24782">
        <w:tblPrEx>
          <w:tblW w:w="9255" w:type="dxa"/>
          <w:tblInd w:w="365" w:type="dxa"/>
          <w:tblLayout w:type="fixed"/>
          <w:tblCellMar>
            <w:left w:w="0" w:type="dxa"/>
            <w:right w:w="0" w:type="dxa"/>
          </w:tblCellMar>
          <w:tblLook w:val="01E0"/>
        </w:tblPrEx>
        <w:trPr>
          <w:trHeight w:val="575"/>
        </w:trPr>
        <w:tc>
          <w:tcPr>
            <w:tcW w:w="2330" w:type="dxa"/>
          </w:tcPr>
          <w:p w:rsidR="0028725F" w:rsidRPr="000E03D9" w:rsidP="00E24782" w14:paraId="0B910853" w14:textId="77777777">
            <w:pPr>
              <w:widowControl w:val="0"/>
              <w:autoSpaceDE w:val="0"/>
              <w:autoSpaceDN w:val="0"/>
              <w:spacing w:line="251" w:lineRule="exact"/>
              <w:jc w:val="center"/>
              <w:rPr>
                <w:sz w:val="20"/>
                <w:szCs w:val="20"/>
              </w:rPr>
            </w:pPr>
            <w:r w:rsidRPr="000E03D9">
              <w:rPr>
                <w:sz w:val="20"/>
                <w:szCs w:val="20"/>
              </w:rPr>
              <w:t>21 CFR Section</w:t>
            </w:r>
          </w:p>
        </w:tc>
        <w:tc>
          <w:tcPr>
            <w:tcW w:w="1440" w:type="dxa"/>
          </w:tcPr>
          <w:p w:rsidR="0028725F" w:rsidRPr="000E03D9" w:rsidP="00E24782" w14:paraId="55F9106C" w14:textId="77777777">
            <w:pPr>
              <w:widowControl w:val="0"/>
              <w:autoSpaceDE w:val="0"/>
              <w:autoSpaceDN w:val="0"/>
              <w:ind w:hanging="1"/>
              <w:jc w:val="center"/>
              <w:rPr>
                <w:sz w:val="20"/>
                <w:szCs w:val="20"/>
              </w:rPr>
            </w:pPr>
            <w:r w:rsidRPr="000E03D9">
              <w:rPr>
                <w:sz w:val="20"/>
                <w:szCs w:val="20"/>
              </w:rPr>
              <w:t>No. of Recordkeepers</w:t>
            </w:r>
          </w:p>
        </w:tc>
        <w:tc>
          <w:tcPr>
            <w:tcW w:w="1710" w:type="dxa"/>
          </w:tcPr>
          <w:p w:rsidR="0028725F" w:rsidRPr="000E03D9" w:rsidP="00E24782" w14:paraId="17AE044A" w14:textId="1F0C3A75">
            <w:pPr>
              <w:widowControl w:val="0"/>
              <w:autoSpaceDE w:val="0"/>
              <w:autoSpaceDN w:val="0"/>
              <w:spacing w:line="251" w:lineRule="exact"/>
              <w:jc w:val="center"/>
              <w:rPr>
                <w:sz w:val="20"/>
                <w:szCs w:val="20"/>
              </w:rPr>
            </w:pPr>
            <w:r w:rsidRPr="000E03D9">
              <w:rPr>
                <w:sz w:val="20"/>
                <w:szCs w:val="20"/>
              </w:rPr>
              <w:t>No. of</w:t>
            </w:r>
            <w:r w:rsidR="00646279">
              <w:rPr>
                <w:sz w:val="20"/>
                <w:szCs w:val="20"/>
              </w:rPr>
              <w:t xml:space="preserve"> </w:t>
            </w:r>
            <w:r w:rsidRPr="000E03D9">
              <w:rPr>
                <w:sz w:val="20"/>
                <w:szCs w:val="20"/>
              </w:rPr>
              <w:t>Records per</w:t>
            </w:r>
            <w:r w:rsidR="00A66DFE">
              <w:rPr>
                <w:sz w:val="20"/>
                <w:szCs w:val="20"/>
              </w:rPr>
              <w:t xml:space="preserve"> </w:t>
            </w:r>
            <w:r w:rsidRPr="000E03D9">
              <w:rPr>
                <w:w w:val="95"/>
                <w:sz w:val="20"/>
                <w:szCs w:val="20"/>
              </w:rPr>
              <w:t>Recordkeeper</w:t>
            </w:r>
          </w:p>
        </w:tc>
        <w:tc>
          <w:tcPr>
            <w:tcW w:w="1260" w:type="dxa"/>
          </w:tcPr>
          <w:p w:rsidR="0028725F" w:rsidRPr="000E03D9" w:rsidP="00E24782" w14:paraId="092A6BC2" w14:textId="4FB8A3EA">
            <w:pPr>
              <w:widowControl w:val="0"/>
              <w:autoSpaceDE w:val="0"/>
              <w:autoSpaceDN w:val="0"/>
              <w:spacing w:line="251" w:lineRule="exact"/>
              <w:jc w:val="center"/>
              <w:rPr>
                <w:sz w:val="20"/>
                <w:szCs w:val="20"/>
              </w:rPr>
            </w:pPr>
            <w:r w:rsidRPr="000E03D9">
              <w:rPr>
                <w:sz w:val="20"/>
                <w:szCs w:val="20"/>
              </w:rPr>
              <w:t>Total</w:t>
            </w:r>
            <w:r w:rsidR="00646279">
              <w:rPr>
                <w:sz w:val="20"/>
                <w:szCs w:val="20"/>
              </w:rPr>
              <w:t xml:space="preserve"> </w:t>
            </w:r>
            <w:r w:rsidRPr="000E03D9">
              <w:rPr>
                <w:sz w:val="20"/>
                <w:szCs w:val="20"/>
              </w:rPr>
              <w:t>Annual Records</w:t>
            </w:r>
          </w:p>
        </w:tc>
        <w:tc>
          <w:tcPr>
            <w:tcW w:w="1710" w:type="dxa"/>
          </w:tcPr>
          <w:p w:rsidR="0028725F" w:rsidRPr="000E03D9" w:rsidP="00E24782" w14:paraId="066D04DB" w14:textId="2E20C623">
            <w:pPr>
              <w:widowControl w:val="0"/>
              <w:autoSpaceDE w:val="0"/>
              <w:autoSpaceDN w:val="0"/>
              <w:spacing w:line="251" w:lineRule="exact"/>
              <w:jc w:val="center"/>
              <w:rPr>
                <w:sz w:val="20"/>
                <w:szCs w:val="20"/>
              </w:rPr>
            </w:pPr>
            <w:r w:rsidRPr="000E03D9">
              <w:rPr>
                <w:sz w:val="20"/>
                <w:szCs w:val="20"/>
              </w:rPr>
              <w:t>Average</w:t>
            </w:r>
            <w:r w:rsidR="00646279">
              <w:rPr>
                <w:sz w:val="20"/>
                <w:szCs w:val="20"/>
              </w:rPr>
              <w:t xml:space="preserve"> </w:t>
            </w:r>
            <w:r w:rsidRPr="000E03D9">
              <w:rPr>
                <w:sz w:val="20"/>
                <w:szCs w:val="20"/>
              </w:rPr>
              <w:t xml:space="preserve">Burden per </w:t>
            </w:r>
            <w:r w:rsidRPr="000E03D9">
              <w:rPr>
                <w:w w:val="95"/>
                <w:sz w:val="20"/>
                <w:szCs w:val="20"/>
              </w:rPr>
              <w:t>Recordkeeping</w:t>
            </w:r>
          </w:p>
        </w:tc>
        <w:tc>
          <w:tcPr>
            <w:tcW w:w="805" w:type="dxa"/>
          </w:tcPr>
          <w:p w:rsidR="0028725F" w:rsidRPr="000E03D9" w:rsidP="00E24782" w14:paraId="1F600BB2" w14:textId="77777777">
            <w:pPr>
              <w:widowControl w:val="0"/>
              <w:autoSpaceDE w:val="0"/>
              <w:autoSpaceDN w:val="0"/>
              <w:ind w:hanging="1"/>
              <w:jc w:val="center"/>
              <w:rPr>
                <w:sz w:val="20"/>
                <w:szCs w:val="20"/>
              </w:rPr>
            </w:pPr>
            <w:r w:rsidRPr="000E03D9">
              <w:rPr>
                <w:sz w:val="20"/>
                <w:szCs w:val="20"/>
              </w:rPr>
              <w:t>Total Hours</w:t>
            </w:r>
          </w:p>
        </w:tc>
      </w:tr>
      <w:tr w14:paraId="57C80852" w14:textId="77777777" w:rsidTr="00E24782">
        <w:tblPrEx>
          <w:tblW w:w="9255" w:type="dxa"/>
          <w:tblInd w:w="365" w:type="dxa"/>
          <w:tblLayout w:type="fixed"/>
          <w:tblCellMar>
            <w:left w:w="0" w:type="dxa"/>
            <w:right w:w="0" w:type="dxa"/>
          </w:tblCellMar>
          <w:tblLook w:val="01E0"/>
        </w:tblPrEx>
        <w:trPr>
          <w:trHeight w:val="350"/>
        </w:trPr>
        <w:tc>
          <w:tcPr>
            <w:tcW w:w="2330" w:type="dxa"/>
          </w:tcPr>
          <w:p w:rsidR="0028725F" w:rsidRPr="000E03D9" w:rsidP="00E24782" w14:paraId="51412344" w14:textId="7419BF1E">
            <w:pPr>
              <w:widowControl w:val="0"/>
              <w:autoSpaceDE w:val="0"/>
              <w:autoSpaceDN w:val="0"/>
              <w:spacing w:line="274" w:lineRule="exact"/>
              <w:ind w:left="107"/>
              <w:rPr>
                <w:sz w:val="20"/>
                <w:szCs w:val="20"/>
              </w:rPr>
            </w:pPr>
            <w:r w:rsidRPr="000E03D9">
              <w:rPr>
                <w:sz w:val="20"/>
                <w:szCs w:val="20"/>
              </w:rPr>
              <w:t>179.25(e),</w:t>
            </w:r>
            <w:r w:rsidR="00863E9A">
              <w:rPr>
                <w:sz w:val="20"/>
                <w:szCs w:val="20"/>
              </w:rPr>
              <w:t xml:space="preserve"> </w:t>
            </w:r>
            <w:r w:rsidRPr="000E03D9">
              <w:rPr>
                <w:sz w:val="20"/>
                <w:szCs w:val="20"/>
              </w:rPr>
              <w:t>large processors</w:t>
            </w:r>
          </w:p>
        </w:tc>
        <w:tc>
          <w:tcPr>
            <w:tcW w:w="1440" w:type="dxa"/>
          </w:tcPr>
          <w:p w:rsidR="0028725F" w:rsidRPr="000E03D9" w:rsidP="00E70B23" w14:paraId="4AF2B8ED" w14:textId="77777777">
            <w:pPr>
              <w:widowControl w:val="0"/>
              <w:autoSpaceDE w:val="0"/>
              <w:autoSpaceDN w:val="0"/>
              <w:spacing w:line="274" w:lineRule="exact"/>
              <w:ind w:right="96"/>
              <w:jc w:val="right"/>
              <w:rPr>
                <w:sz w:val="20"/>
                <w:szCs w:val="20"/>
              </w:rPr>
            </w:pPr>
            <w:r w:rsidRPr="000E03D9">
              <w:rPr>
                <w:sz w:val="20"/>
                <w:szCs w:val="20"/>
              </w:rPr>
              <w:t>4</w:t>
            </w:r>
          </w:p>
        </w:tc>
        <w:tc>
          <w:tcPr>
            <w:tcW w:w="1710" w:type="dxa"/>
          </w:tcPr>
          <w:p w:rsidR="0028725F" w:rsidRPr="000E03D9" w:rsidP="00E70B23" w14:paraId="5CAD320A" w14:textId="77777777">
            <w:pPr>
              <w:widowControl w:val="0"/>
              <w:autoSpaceDE w:val="0"/>
              <w:autoSpaceDN w:val="0"/>
              <w:spacing w:line="274" w:lineRule="exact"/>
              <w:ind w:right="96"/>
              <w:jc w:val="right"/>
              <w:rPr>
                <w:sz w:val="20"/>
                <w:szCs w:val="20"/>
              </w:rPr>
            </w:pPr>
            <w:r w:rsidRPr="000E03D9">
              <w:rPr>
                <w:sz w:val="20"/>
                <w:szCs w:val="20"/>
              </w:rPr>
              <w:t>300</w:t>
            </w:r>
          </w:p>
        </w:tc>
        <w:tc>
          <w:tcPr>
            <w:tcW w:w="1260" w:type="dxa"/>
          </w:tcPr>
          <w:p w:rsidR="0028725F" w:rsidRPr="000E03D9" w:rsidP="00E70B23" w14:paraId="7B659095" w14:textId="77777777">
            <w:pPr>
              <w:widowControl w:val="0"/>
              <w:autoSpaceDE w:val="0"/>
              <w:autoSpaceDN w:val="0"/>
              <w:spacing w:line="274" w:lineRule="exact"/>
              <w:ind w:right="96"/>
              <w:jc w:val="right"/>
              <w:rPr>
                <w:sz w:val="20"/>
                <w:szCs w:val="20"/>
              </w:rPr>
            </w:pPr>
            <w:r w:rsidRPr="000E03D9">
              <w:rPr>
                <w:sz w:val="20"/>
                <w:szCs w:val="20"/>
              </w:rPr>
              <w:t>1,200</w:t>
            </w:r>
          </w:p>
        </w:tc>
        <w:tc>
          <w:tcPr>
            <w:tcW w:w="1710" w:type="dxa"/>
          </w:tcPr>
          <w:p w:rsidR="0028725F" w:rsidRPr="000E03D9" w:rsidP="00E70B23" w14:paraId="02689400" w14:textId="77777777">
            <w:pPr>
              <w:widowControl w:val="0"/>
              <w:autoSpaceDE w:val="0"/>
              <w:autoSpaceDN w:val="0"/>
              <w:spacing w:line="274" w:lineRule="exact"/>
              <w:ind w:right="96"/>
              <w:jc w:val="right"/>
              <w:rPr>
                <w:sz w:val="20"/>
                <w:szCs w:val="20"/>
              </w:rPr>
            </w:pPr>
            <w:r w:rsidRPr="000E03D9">
              <w:rPr>
                <w:sz w:val="20"/>
                <w:szCs w:val="20"/>
              </w:rPr>
              <w:t>1</w:t>
            </w:r>
          </w:p>
        </w:tc>
        <w:tc>
          <w:tcPr>
            <w:tcW w:w="805" w:type="dxa"/>
          </w:tcPr>
          <w:p w:rsidR="0028725F" w:rsidRPr="000E03D9" w:rsidP="00E70B23" w14:paraId="01027ED3" w14:textId="77777777">
            <w:pPr>
              <w:widowControl w:val="0"/>
              <w:autoSpaceDE w:val="0"/>
              <w:autoSpaceDN w:val="0"/>
              <w:spacing w:line="274" w:lineRule="exact"/>
              <w:ind w:right="97"/>
              <w:jc w:val="right"/>
              <w:rPr>
                <w:sz w:val="20"/>
                <w:szCs w:val="20"/>
              </w:rPr>
            </w:pPr>
            <w:r w:rsidRPr="000E03D9">
              <w:rPr>
                <w:sz w:val="20"/>
                <w:szCs w:val="20"/>
              </w:rPr>
              <w:t>1,200</w:t>
            </w:r>
          </w:p>
        </w:tc>
      </w:tr>
      <w:tr w14:paraId="05C60AC4" w14:textId="77777777" w:rsidTr="00E24782">
        <w:tblPrEx>
          <w:tblW w:w="9255" w:type="dxa"/>
          <w:tblInd w:w="365" w:type="dxa"/>
          <w:tblLayout w:type="fixed"/>
          <w:tblCellMar>
            <w:left w:w="0" w:type="dxa"/>
            <w:right w:w="0" w:type="dxa"/>
          </w:tblCellMar>
          <w:tblLook w:val="01E0"/>
        </w:tblPrEx>
        <w:trPr>
          <w:trHeight w:val="350"/>
        </w:trPr>
        <w:tc>
          <w:tcPr>
            <w:tcW w:w="2330" w:type="dxa"/>
          </w:tcPr>
          <w:p w:rsidR="0028725F" w:rsidRPr="000E03D9" w:rsidP="00E24782" w14:paraId="40C7D3AE" w14:textId="71437644">
            <w:pPr>
              <w:widowControl w:val="0"/>
              <w:autoSpaceDE w:val="0"/>
              <w:autoSpaceDN w:val="0"/>
              <w:spacing w:line="273" w:lineRule="exact"/>
              <w:ind w:left="107"/>
              <w:rPr>
                <w:sz w:val="20"/>
                <w:szCs w:val="20"/>
              </w:rPr>
            </w:pPr>
            <w:r w:rsidRPr="000E03D9">
              <w:rPr>
                <w:sz w:val="20"/>
                <w:szCs w:val="20"/>
              </w:rPr>
              <w:t>179.25(e),</w:t>
            </w:r>
            <w:r w:rsidR="00863E9A">
              <w:rPr>
                <w:sz w:val="20"/>
                <w:szCs w:val="20"/>
              </w:rPr>
              <w:t xml:space="preserve"> </w:t>
            </w:r>
            <w:r w:rsidRPr="000E03D9">
              <w:rPr>
                <w:sz w:val="20"/>
                <w:szCs w:val="20"/>
              </w:rPr>
              <w:t>small processors</w:t>
            </w:r>
          </w:p>
        </w:tc>
        <w:tc>
          <w:tcPr>
            <w:tcW w:w="1440" w:type="dxa"/>
          </w:tcPr>
          <w:p w:rsidR="0028725F" w:rsidRPr="000E03D9" w:rsidP="00E70B23" w14:paraId="4D10A116" w14:textId="77777777">
            <w:pPr>
              <w:widowControl w:val="0"/>
              <w:autoSpaceDE w:val="0"/>
              <w:autoSpaceDN w:val="0"/>
              <w:spacing w:line="273" w:lineRule="exact"/>
              <w:ind w:right="96"/>
              <w:jc w:val="right"/>
              <w:rPr>
                <w:sz w:val="20"/>
                <w:szCs w:val="20"/>
              </w:rPr>
            </w:pPr>
            <w:r w:rsidRPr="000E03D9">
              <w:rPr>
                <w:sz w:val="20"/>
                <w:szCs w:val="20"/>
              </w:rPr>
              <w:t>4</w:t>
            </w:r>
          </w:p>
        </w:tc>
        <w:tc>
          <w:tcPr>
            <w:tcW w:w="1710" w:type="dxa"/>
          </w:tcPr>
          <w:p w:rsidR="0028725F" w:rsidRPr="000E03D9" w:rsidP="00E70B23" w14:paraId="1200B1E5" w14:textId="77777777">
            <w:pPr>
              <w:widowControl w:val="0"/>
              <w:autoSpaceDE w:val="0"/>
              <w:autoSpaceDN w:val="0"/>
              <w:spacing w:line="273" w:lineRule="exact"/>
              <w:ind w:right="96"/>
              <w:jc w:val="right"/>
              <w:rPr>
                <w:sz w:val="20"/>
                <w:szCs w:val="20"/>
              </w:rPr>
            </w:pPr>
            <w:r w:rsidRPr="000E03D9">
              <w:rPr>
                <w:sz w:val="20"/>
                <w:szCs w:val="20"/>
              </w:rPr>
              <w:t>30</w:t>
            </w:r>
          </w:p>
        </w:tc>
        <w:tc>
          <w:tcPr>
            <w:tcW w:w="1260" w:type="dxa"/>
          </w:tcPr>
          <w:p w:rsidR="0028725F" w:rsidRPr="000E03D9" w:rsidP="00E70B23" w14:paraId="3FB55D0E" w14:textId="77777777">
            <w:pPr>
              <w:widowControl w:val="0"/>
              <w:autoSpaceDE w:val="0"/>
              <w:autoSpaceDN w:val="0"/>
              <w:spacing w:line="273" w:lineRule="exact"/>
              <w:ind w:right="96"/>
              <w:jc w:val="right"/>
              <w:rPr>
                <w:sz w:val="20"/>
                <w:szCs w:val="20"/>
              </w:rPr>
            </w:pPr>
            <w:r w:rsidRPr="000E03D9">
              <w:rPr>
                <w:sz w:val="20"/>
                <w:szCs w:val="20"/>
              </w:rPr>
              <w:t>120</w:t>
            </w:r>
          </w:p>
        </w:tc>
        <w:tc>
          <w:tcPr>
            <w:tcW w:w="1710" w:type="dxa"/>
          </w:tcPr>
          <w:p w:rsidR="0028725F" w:rsidRPr="000E03D9" w:rsidP="00E70B23" w14:paraId="2BBFCB23" w14:textId="77777777">
            <w:pPr>
              <w:widowControl w:val="0"/>
              <w:autoSpaceDE w:val="0"/>
              <w:autoSpaceDN w:val="0"/>
              <w:spacing w:line="273" w:lineRule="exact"/>
              <w:ind w:right="96"/>
              <w:jc w:val="right"/>
              <w:rPr>
                <w:sz w:val="20"/>
                <w:szCs w:val="20"/>
              </w:rPr>
            </w:pPr>
            <w:r w:rsidRPr="000E03D9">
              <w:rPr>
                <w:sz w:val="20"/>
                <w:szCs w:val="20"/>
              </w:rPr>
              <w:t>1</w:t>
            </w:r>
          </w:p>
        </w:tc>
        <w:tc>
          <w:tcPr>
            <w:tcW w:w="805" w:type="dxa"/>
          </w:tcPr>
          <w:p w:rsidR="0028725F" w:rsidRPr="000E03D9" w:rsidP="00E70B23" w14:paraId="77E0CA83" w14:textId="77777777">
            <w:pPr>
              <w:widowControl w:val="0"/>
              <w:autoSpaceDE w:val="0"/>
              <w:autoSpaceDN w:val="0"/>
              <w:spacing w:line="273" w:lineRule="exact"/>
              <w:ind w:right="97"/>
              <w:jc w:val="right"/>
              <w:rPr>
                <w:sz w:val="20"/>
                <w:szCs w:val="20"/>
              </w:rPr>
            </w:pPr>
            <w:r w:rsidRPr="000E03D9">
              <w:rPr>
                <w:sz w:val="20"/>
                <w:szCs w:val="20"/>
              </w:rPr>
              <w:t>120</w:t>
            </w:r>
          </w:p>
        </w:tc>
      </w:tr>
      <w:tr w14:paraId="1B8BF3E9" w14:textId="77777777" w:rsidTr="00A66DFE">
        <w:tblPrEx>
          <w:tblW w:w="9255" w:type="dxa"/>
          <w:tblInd w:w="365" w:type="dxa"/>
          <w:tblLayout w:type="fixed"/>
          <w:tblCellMar>
            <w:left w:w="0" w:type="dxa"/>
            <w:right w:w="0" w:type="dxa"/>
          </w:tblCellMar>
          <w:tblLook w:val="01E0"/>
        </w:tblPrEx>
        <w:trPr>
          <w:trHeight w:val="276"/>
        </w:trPr>
        <w:tc>
          <w:tcPr>
            <w:tcW w:w="2330" w:type="dxa"/>
          </w:tcPr>
          <w:p w:rsidR="0028725F" w:rsidRPr="000E03D9" w:rsidP="00E70B23" w14:paraId="1997A865" w14:textId="77777777">
            <w:pPr>
              <w:widowControl w:val="0"/>
              <w:autoSpaceDE w:val="0"/>
              <w:autoSpaceDN w:val="0"/>
              <w:spacing w:line="257" w:lineRule="exact"/>
              <w:ind w:left="107"/>
              <w:rPr>
                <w:sz w:val="20"/>
                <w:szCs w:val="20"/>
              </w:rPr>
            </w:pPr>
            <w:r w:rsidRPr="000E03D9">
              <w:rPr>
                <w:sz w:val="20"/>
                <w:szCs w:val="20"/>
              </w:rPr>
              <w:t>Total</w:t>
            </w:r>
          </w:p>
        </w:tc>
        <w:tc>
          <w:tcPr>
            <w:tcW w:w="1440" w:type="dxa"/>
          </w:tcPr>
          <w:p w:rsidR="0028725F" w:rsidRPr="00A66D1B" w:rsidP="00E70B23" w14:paraId="6A23DE17" w14:textId="77777777">
            <w:pPr>
              <w:widowControl w:val="0"/>
              <w:autoSpaceDE w:val="0"/>
              <w:autoSpaceDN w:val="0"/>
              <w:rPr>
                <w:sz w:val="20"/>
                <w:szCs w:val="20"/>
              </w:rPr>
            </w:pPr>
          </w:p>
        </w:tc>
        <w:tc>
          <w:tcPr>
            <w:tcW w:w="1710" w:type="dxa"/>
          </w:tcPr>
          <w:p w:rsidR="0028725F" w:rsidRPr="00A66D1B" w:rsidP="00E70B23" w14:paraId="7D0C096B" w14:textId="77777777">
            <w:pPr>
              <w:widowControl w:val="0"/>
              <w:autoSpaceDE w:val="0"/>
              <w:autoSpaceDN w:val="0"/>
              <w:rPr>
                <w:sz w:val="20"/>
                <w:szCs w:val="20"/>
              </w:rPr>
            </w:pPr>
          </w:p>
        </w:tc>
        <w:tc>
          <w:tcPr>
            <w:tcW w:w="1260" w:type="dxa"/>
          </w:tcPr>
          <w:p w:rsidR="0028725F" w:rsidRPr="009C35E2" w:rsidP="00E70B23" w14:paraId="51D251BE" w14:textId="77777777">
            <w:pPr>
              <w:widowControl w:val="0"/>
              <w:autoSpaceDE w:val="0"/>
              <w:autoSpaceDN w:val="0"/>
              <w:rPr>
                <w:sz w:val="20"/>
                <w:szCs w:val="20"/>
              </w:rPr>
            </w:pPr>
          </w:p>
        </w:tc>
        <w:tc>
          <w:tcPr>
            <w:tcW w:w="1710" w:type="dxa"/>
          </w:tcPr>
          <w:p w:rsidR="0028725F" w:rsidRPr="009C35E2" w:rsidP="00E70B23" w14:paraId="0C96DA3E" w14:textId="77777777">
            <w:pPr>
              <w:widowControl w:val="0"/>
              <w:autoSpaceDE w:val="0"/>
              <w:autoSpaceDN w:val="0"/>
              <w:rPr>
                <w:sz w:val="20"/>
                <w:szCs w:val="20"/>
              </w:rPr>
            </w:pPr>
          </w:p>
        </w:tc>
        <w:tc>
          <w:tcPr>
            <w:tcW w:w="805" w:type="dxa"/>
          </w:tcPr>
          <w:p w:rsidR="0028725F" w:rsidRPr="000E03D9" w:rsidP="00E70B23" w14:paraId="123F2570" w14:textId="77777777">
            <w:pPr>
              <w:widowControl w:val="0"/>
              <w:autoSpaceDE w:val="0"/>
              <w:autoSpaceDN w:val="0"/>
              <w:spacing w:line="257" w:lineRule="exact"/>
              <w:ind w:right="96"/>
              <w:jc w:val="right"/>
              <w:rPr>
                <w:sz w:val="20"/>
                <w:szCs w:val="20"/>
              </w:rPr>
            </w:pPr>
            <w:r w:rsidRPr="000E03D9">
              <w:rPr>
                <w:sz w:val="20"/>
                <w:szCs w:val="20"/>
              </w:rPr>
              <w:t>1,320</w:t>
            </w:r>
          </w:p>
        </w:tc>
      </w:tr>
    </w:tbl>
    <w:p w:rsidR="0028725F" w:rsidRPr="00042CA5" w:rsidP="005611E8" w14:paraId="6318EA4A" w14:textId="77777777">
      <w:pPr>
        <w:widowControl w:val="0"/>
        <w:autoSpaceDE w:val="0"/>
        <w:autoSpaceDN w:val="0"/>
        <w:ind w:left="360"/>
        <w:rPr>
          <w:sz w:val="20"/>
          <w:szCs w:val="20"/>
        </w:rPr>
      </w:pPr>
      <w:r w:rsidRPr="00613E43">
        <w:rPr>
          <w:sz w:val="20"/>
          <w:szCs w:val="20"/>
          <w:vertAlign w:val="superscript"/>
        </w:rPr>
        <w:t>1</w:t>
      </w:r>
      <w:r w:rsidRPr="00613E43">
        <w:rPr>
          <w:sz w:val="20"/>
          <w:szCs w:val="20"/>
        </w:rPr>
        <w:t>There are no capital costs or operating and maintenance costs associated with this collection of information</w:t>
      </w:r>
      <w:r w:rsidRPr="00042CA5">
        <w:rPr>
          <w:sz w:val="20"/>
          <w:szCs w:val="20"/>
        </w:rPr>
        <w:t>.</w:t>
      </w:r>
    </w:p>
    <w:p w:rsidR="0028725F" w:rsidRPr="00A66D1B" w:rsidP="0028725F" w14:paraId="4DE0FF02" w14:textId="77777777">
      <w:pPr>
        <w:widowControl w:val="0"/>
        <w:autoSpaceDE w:val="0"/>
        <w:autoSpaceDN w:val="0"/>
        <w:spacing w:before="10"/>
        <w:rPr>
          <w:sz w:val="23"/>
        </w:rPr>
      </w:pPr>
    </w:p>
    <w:p w:rsidR="0028725F" w:rsidRPr="00A66D1B" w:rsidP="005611E8" w14:paraId="4BA3DFAB" w14:textId="77777777">
      <w:pPr>
        <w:widowControl w:val="0"/>
        <w:autoSpaceDE w:val="0"/>
        <w:autoSpaceDN w:val="0"/>
        <w:ind w:left="360" w:right="144"/>
      </w:pPr>
      <w:r w:rsidRPr="00A66D1B">
        <w:t xml:space="preserve">We base our estimate of burden for the recordkeeping provisions of § 179.25(e) on our </w:t>
      </w:r>
      <w:r w:rsidRPr="00A66D1B">
        <w:t xml:space="preserve">experience regulating the safe use of radiation as a direct food additive. </w:t>
      </w:r>
      <w:r>
        <w:t xml:space="preserve"> </w:t>
      </w:r>
      <w:r w:rsidRPr="00A66D1B">
        <w:t xml:space="preserve">The number of firms who process food using irradiation is extremely limited. </w:t>
      </w:r>
      <w:r>
        <w:t xml:space="preserve"> </w:t>
      </w:r>
      <w:r w:rsidRPr="00A66D1B">
        <w:t xml:space="preserve">We estimate that there are four irradiation plants whose business is devoted primarily (i.e., approximately 100 percent) to irradiation of food and other agricultural products. </w:t>
      </w:r>
      <w:r>
        <w:t xml:space="preserve"> </w:t>
      </w:r>
      <w:r w:rsidRPr="00A66D1B">
        <w:t xml:space="preserve">Four other firms also irradiate small quantities of food. </w:t>
      </w:r>
      <w:r>
        <w:t xml:space="preserve"> </w:t>
      </w:r>
      <w:r w:rsidRPr="00A66D1B">
        <w:t xml:space="preserve">We estimate that this irradiation accounts for no more than 10 percent of the business for each of these firms. </w:t>
      </w:r>
      <w:r>
        <w:t xml:space="preserve"> </w:t>
      </w:r>
      <w:r w:rsidRPr="00A66D1B">
        <w:t>Therefore, the average estimated burden is based on: (1) four facilities devoting 100 percent of their business to food irradiation</w:t>
      </w:r>
      <w:r>
        <w:t>;</w:t>
      </w:r>
      <w:r w:rsidRPr="00A66D1B">
        <w:t xml:space="preserve"> and (2) four facilities devoting 10 percent of their business to food irradiation.</w:t>
      </w:r>
    </w:p>
    <w:p w:rsidR="0028725F" w:rsidRPr="00A66D1B" w:rsidP="0028725F" w14:paraId="68C88B32" w14:textId="77777777">
      <w:pPr>
        <w:widowControl w:val="0"/>
        <w:autoSpaceDE w:val="0"/>
        <w:autoSpaceDN w:val="0"/>
      </w:pPr>
    </w:p>
    <w:p w:rsidR="0028725F" w:rsidP="005611E8" w14:paraId="7090E277" w14:textId="441D09E3">
      <w:pPr>
        <w:widowControl w:val="0"/>
        <w:autoSpaceDE w:val="0"/>
        <w:autoSpaceDN w:val="0"/>
        <w:spacing w:before="1"/>
        <w:ind w:left="360" w:right="300"/>
      </w:pPr>
      <w:r w:rsidRPr="00A66D1B">
        <w:t xml:space="preserve">No burden has been estimated for the labeling requirements in §§ 179.21(b)(1) and (b)(2) and 179.26(c) because the information to be disclosed is information that has been supplied by FDA. </w:t>
      </w:r>
      <w:r>
        <w:t xml:space="preserve"> </w:t>
      </w:r>
      <w:r w:rsidRPr="00A66D1B">
        <w:t xml:space="preserve">Under 5 CFR 1320.3(c)(2), the public disclosure of information originally supplied by the Federal </w:t>
      </w:r>
      <w:r w:rsidR="009E4275">
        <w:t>g</w:t>
      </w:r>
      <w:r w:rsidRPr="00A66D1B">
        <w:t>overnment to the recipient for the purpose of</w:t>
      </w:r>
      <w:r>
        <w:t xml:space="preserve"> </w:t>
      </w:r>
      <w:r w:rsidRPr="00A66D1B">
        <w:t>disclosure to the public is not subject to review by the Office of Management and Budget under the Paperwork Reduction Act.</w:t>
      </w:r>
    </w:p>
    <w:p w:rsidR="0028725F" w:rsidP="0028725F" w14:paraId="014CDF41" w14:textId="77777777">
      <w:pPr>
        <w:widowControl w:val="0"/>
        <w:autoSpaceDE w:val="0"/>
        <w:autoSpaceDN w:val="0"/>
        <w:spacing w:before="1"/>
        <w:ind w:left="836" w:right="300"/>
      </w:pPr>
    </w:p>
    <w:p w:rsidR="00357C8A" w:rsidRPr="005C71CA" w:rsidP="00DC371B" w14:paraId="7D1D6301" w14:textId="77777777">
      <w:pPr>
        <w:spacing w:after="200"/>
        <w:ind w:left="360"/>
        <w:rPr>
          <w:rFonts w:eastAsia="Calibri"/>
        </w:rPr>
      </w:pPr>
      <w:r w:rsidRPr="005C71CA">
        <w:rPr>
          <w:rFonts w:eastAsia="Calibri"/>
        </w:rPr>
        <w:t>12b.  Annualized Cost Burden Estimate</w:t>
      </w:r>
    </w:p>
    <w:p w:rsidR="0028725F" w:rsidRPr="009C35E2" w:rsidP="00E24782" w14:paraId="6B6C0583" w14:textId="2911149F">
      <w:pPr>
        <w:widowControl w:val="0"/>
        <w:autoSpaceDE w:val="0"/>
        <w:autoSpaceDN w:val="0"/>
        <w:ind w:left="360" w:right="143"/>
      </w:pPr>
      <w:r w:rsidRPr="009C35E2">
        <w:t xml:space="preserve">The cost of the recordkeeping requirement to irradiation facilities is minimized because the recordkeeping requirement reflects customary business practice. </w:t>
      </w:r>
      <w:r>
        <w:t xml:space="preserve"> </w:t>
      </w:r>
      <w:r w:rsidRPr="009C35E2">
        <w:t>We estimate that the cost for the retention and disclosure of records for food products under this regulation would equal approximately $</w:t>
      </w:r>
      <w:r w:rsidR="00F634B2">
        <w:t>48</w:t>
      </w:r>
      <w:r w:rsidRPr="009C35E2">
        <w:t>,</w:t>
      </w:r>
      <w:r w:rsidR="00F634B2">
        <w:t>496</w:t>
      </w:r>
      <w:r>
        <w:t>.</w:t>
      </w:r>
      <w:r w:rsidR="00F634B2">
        <w:t>8</w:t>
      </w:r>
      <w:r>
        <w:t>0</w:t>
      </w:r>
      <w:r w:rsidR="00F634B2">
        <w:t>, rounded to $48,497</w:t>
      </w:r>
      <w:r w:rsidRPr="009C35E2">
        <w:t xml:space="preserve">. </w:t>
      </w:r>
      <w:r>
        <w:t xml:space="preserve"> </w:t>
      </w:r>
      <w:r w:rsidRPr="009C35E2">
        <w:t xml:space="preserve">Assuming this is customary business practice, we estimate that the average hourly wage for an employee to retain the records and make them available to regulatory officials would be equivalent to a GS-3/Step 3 level in the locality pay area of Washington-Baltimore in </w:t>
      </w:r>
      <w:r w:rsidR="00F634B2">
        <w:t>2024</w:t>
      </w:r>
      <w:r w:rsidRPr="009C35E2">
        <w:t>, which is $</w:t>
      </w:r>
      <w:r w:rsidR="00F634B2">
        <w:t>18</w:t>
      </w:r>
      <w:r w:rsidRPr="009C35E2">
        <w:t>.</w:t>
      </w:r>
      <w:r w:rsidR="00F634B2">
        <w:t>37</w:t>
      </w:r>
      <w:r w:rsidRPr="009C35E2" w:rsidR="00F634B2">
        <w:t xml:space="preserve"> </w:t>
      </w:r>
      <w:r w:rsidRPr="009C35E2">
        <w:t>per hour.  Total annual burden hours (1,320) multiplied by $</w:t>
      </w:r>
      <w:r w:rsidR="00F634B2">
        <w:t>18</w:t>
      </w:r>
      <w:r>
        <w:t>.</w:t>
      </w:r>
      <w:r w:rsidR="00F634B2">
        <w:t>37</w:t>
      </w:r>
      <w:r w:rsidRPr="009C35E2" w:rsidR="00F634B2">
        <w:t xml:space="preserve"> </w:t>
      </w:r>
      <w:r w:rsidRPr="009C35E2">
        <w:t>per hour equals $</w:t>
      </w:r>
      <w:r w:rsidR="00F634B2">
        <w:t>24</w:t>
      </w:r>
      <w:r w:rsidRPr="009C35E2">
        <w:t>,</w:t>
      </w:r>
      <w:r w:rsidR="00F634B2">
        <w:t>248.40</w:t>
      </w:r>
      <w:r w:rsidRPr="009C35E2">
        <w:t xml:space="preserve">. </w:t>
      </w:r>
      <w:r w:rsidR="00A528D8">
        <w:t xml:space="preserve"> </w:t>
      </w:r>
      <w:r w:rsidRPr="009C35E2">
        <w:t>To account for overhead, this cost is increased by 100 percent</w:t>
      </w:r>
      <w:r w:rsidR="002C3B5F">
        <w:t xml:space="preserve"> ($36.74/hour)</w:t>
      </w:r>
      <w:r w:rsidRPr="009C35E2">
        <w:t>, making the total estimated burden hour cost to the respondents $</w:t>
      </w:r>
      <w:r w:rsidR="00F634B2">
        <w:t>48</w:t>
      </w:r>
      <w:r>
        <w:t>,</w:t>
      </w:r>
      <w:r w:rsidR="00F634B2">
        <w:t>496.80, rounded to $48,497</w:t>
      </w:r>
      <w:r w:rsidRPr="009C35E2">
        <w:t>.</w:t>
      </w:r>
    </w:p>
    <w:p w:rsidR="0028725F" w:rsidP="0028725F" w14:paraId="2A1C6A67" w14:textId="77777777">
      <w:pPr>
        <w:widowControl w:val="0"/>
        <w:autoSpaceDE w:val="0"/>
        <w:autoSpaceDN w:val="0"/>
        <w:spacing w:before="3" w:after="1"/>
      </w:pPr>
    </w:p>
    <w:p w:rsidR="0028725F" w:rsidRPr="00613E43" w:rsidP="0028725F" w14:paraId="1F2AB5FB" w14:textId="77777777">
      <w:pPr>
        <w:widowControl w:val="0"/>
        <w:autoSpaceDE w:val="0"/>
        <w:autoSpaceDN w:val="0"/>
        <w:spacing w:before="3" w:after="1"/>
        <w:jc w:val="center"/>
        <w:rPr>
          <w:sz w:val="20"/>
          <w:szCs w:val="20"/>
        </w:rPr>
      </w:pPr>
      <w:r w:rsidRPr="00613E43">
        <w:rPr>
          <w:sz w:val="20"/>
          <w:szCs w:val="20"/>
        </w:rPr>
        <w:t>Table 2.--Estimated Annual Cost Burden</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80"/>
        <w:gridCol w:w="2250"/>
        <w:gridCol w:w="2970"/>
        <w:gridCol w:w="1990"/>
      </w:tblGrid>
      <w:tr w14:paraId="3CA86B24" w14:textId="77777777" w:rsidTr="00E24782">
        <w:tblPrEx>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51"/>
        </w:trPr>
        <w:tc>
          <w:tcPr>
            <w:tcW w:w="1880" w:type="dxa"/>
          </w:tcPr>
          <w:p w:rsidR="0028725F" w:rsidRPr="00613E43" w:rsidP="00E24782" w14:paraId="44941961" w14:textId="77777777">
            <w:pPr>
              <w:widowControl w:val="0"/>
              <w:autoSpaceDE w:val="0"/>
              <w:autoSpaceDN w:val="0"/>
              <w:spacing w:line="273" w:lineRule="exact"/>
              <w:jc w:val="center"/>
              <w:rPr>
                <w:sz w:val="20"/>
                <w:szCs w:val="20"/>
              </w:rPr>
            </w:pPr>
            <w:r w:rsidRPr="00613E43">
              <w:rPr>
                <w:sz w:val="20"/>
                <w:szCs w:val="20"/>
              </w:rPr>
              <w:t>Activity</w:t>
            </w:r>
          </w:p>
        </w:tc>
        <w:tc>
          <w:tcPr>
            <w:tcW w:w="2250" w:type="dxa"/>
          </w:tcPr>
          <w:p w:rsidR="0028725F" w:rsidRPr="00613E43" w:rsidP="00E24782" w14:paraId="009E64C0" w14:textId="77777777">
            <w:pPr>
              <w:widowControl w:val="0"/>
              <w:autoSpaceDE w:val="0"/>
              <w:autoSpaceDN w:val="0"/>
              <w:spacing w:line="276" w:lineRule="exact"/>
              <w:ind w:left="29"/>
              <w:jc w:val="center"/>
              <w:rPr>
                <w:sz w:val="20"/>
                <w:szCs w:val="20"/>
              </w:rPr>
            </w:pPr>
            <w:r w:rsidRPr="00613E43">
              <w:rPr>
                <w:sz w:val="20"/>
                <w:szCs w:val="20"/>
              </w:rPr>
              <w:t>Total Burden Hours</w:t>
            </w:r>
          </w:p>
        </w:tc>
        <w:tc>
          <w:tcPr>
            <w:tcW w:w="2970" w:type="dxa"/>
          </w:tcPr>
          <w:p w:rsidR="003C5F1D" w:rsidP="003C5F1D" w14:paraId="6BA8F5D7" w14:textId="77777777">
            <w:pPr>
              <w:widowControl w:val="0"/>
              <w:tabs>
                <w:tab w:val="left" w:pos="2189"/>
              </w:tabs>
              <w:autoSpaceDE w:val="0"/>
              <w:autoSpaceDN w:val="0"/>
              <w:spacing w:line="276" w:lineRule="exact"/>
              <w:ind w:left="29" w:right="164"/>
              <w:jc w:val="center"/>
              <w:rPr>
                <w:sz w:val="20"/>
                <w:szCs w:val="20"/>
              </w:rPr>
            </w:pPr>
            <w:r w:rsidRPr="00613E43">
              <w:rPr>
                <w:sz w:val="20"/>
                <w:szCs w:val="20"/>
              </w:rPr>
              <w:t xml:space="preserve">Hourly Wage Rate </w:t>
            </w:r>
          </w:p>
          <w:p w:rsidR="0028725F" w:rsidRPr="00613E43" w:rsidP="00E24782" w14:paraId="578BCA4D" w14:textId="33C36FE8">
            <w:pPr>
              <w:widowControl w:val="0"/>
              <w:tabs>
                <w:tab w:val="left" w:pos="2189"/>
              </w:tabs>
              <w:autoSpaceDE w:val="0"/>
              <w:autoSpaceDN w:val="0"/>
              <w:spacing w:line="276" w:lineRule="exact"/>
              <w:ind w:left="29" w:right="164"/>
              <w:jc w:val="center"/>
              <w:rPr>
                <w:sz w:val="20"/>
                <w:szCs w:val="20"/>
              </w:rPr>
            </w:pPr>
            <w:r w:rsidRPr="00613E43">
              <w:rPr>
                <w:sz w:val="20"/>
                <w:szCs w:val="20"/>
              </w:rPr>
              <w:t>(</w:t>
            </w:r>
            <w:r w:rsidRPr="00613E43">
              <w:rPr>
                <w:sz w:val="20"/>
                <w:szCs w:val="20"/>
              </w:rPr>
              <w:t>including</w:t>
            </w:r>
            <w:r w:rsidRPr="00613E43">
              <w:rPr>
                <w:sz w:val="20"/>
                <w:szCs w:val="20"/>
              </w:rPr>
              <w:t xml:space="preserve"> overhead)</w:t>
            </w:r>
          </w:p>
        </w:tc>
        <w:tc>
          <w:tcPr>
            <w:tcW w:w="1990" w:type="dxa"/>
          </w:tcPr>
          <w:p w:rsidR="0028725F" w:rsidRPr="00613E43" w:rsidP="00E24782" w14:paraId="28DCE0CA" w14:textId="77777777">
            <w:pPr>
              <w:widowControl w:val="0"/>
              <w:autoSpaceDE w:val="0"/>
              <w:autoSpaceDN w:val="0"/>
              <w:spacing w:line="276" w:lineRule="exact"/>
              <w:ind w:right="9" w:firstLine="2"/>
              <w:jc w:val="center"/>
              <w:rPr>
                <w:sz w:val="20"/>
                <w:szCs w:val="20"/>
              </w:rPr>
            </w:pPr>
            <w:r w:rsidRPr="00613E43">
              <w:rPr>
                <w:sz w:val="20"/>
                <w:szCs w:val="20"/>
              </w:rPr>
              <w:t>Total Respondent Costs</w:t>
            </w:r>
          </w:p>
        </w:tc>
      </w:tr>
      <w:tr w14:paraId="69778DD9" w14:textId="77777777" w:rsidTr="00E24782">
        <w:tblPrEx>
          <w:tblW w:w="0" w:type="auto"/>
          <w:tblInd w:w="365" w:type="dxa"/>
          <w:tblLayout w:type="fixed"/>
          <w:tblCellMar>
            <w:left w:w="0" w:type="dxa"/>
            <w:right w:w="0" w:type="dxa"/>
          </w:tblCellMar>
          <w:tblLook w:val="01E0"/>
        </w:tblPrEx>
        <w:trPr>
          <w:trHeight w:val="276"/>
        </w:trPr>
        <w:tc>
          <w:tcPr>
            <w:tcW w:w="1880" w:type="dxa"/>
          </w:tcPr>
          <w:p w:rsidR="0028725F" w:rsidRPr="00613E43" w:rsidP="00E24782" w14:paraId="2423220A" w14:textId="77777777">
            <w:pPr>
              <w:widowControl w:val="0"/>
              <w:autoSpaceDE w:val="0"/>
              <w:autoSpaceDN w:val="0"/>
              <w:spacing w:line="256" w:lineRule="exact"/>
              <w:ind w:left="82"/>
              <w:rPr>
                <w:sz w:val="20"/>
                <w:szCs w:val="20"/>
              </w:rPr>
            </w:pPr>
            <w:r w:rsidRPr="00613E43">
              <w:rPr>
                <w:sz w:val="20"/>
                <w:szCs w:val="20"/>
              </w:rPr>
              <w:t>Records Retention</w:t>
            </w:r>
          </w:p>
        </w:tc>
        <w:tc>
          <w:tcPr>
            <w:tcW w:w="2250" w:type="dxa"/>
          </w:tcPr>
          <w:p w:rsidR="0028725F" w:rsidRPr="00613E43" w:rsidP="00E24782" w14:paraId="72DDAAED" w14:textId="77777777">
            <w:pPr>
              <w:widowControl w:val="0"/>
              <w:autoSpaceDE w:val="0"/>
              <w:autoSpaceDN w:val="0"/>
              <w:spacing w:line="256" w:lineRule="exact"/>
              <w:ind w:right="83"/>
              <w:jc w:val="right"/>
              <w:rPr>
                <w:sz w:val="20"/>
                <w:szCs w:val="20"/>
              </w:rPr>
            </w:pPr>
            <w:r w:rsidRPr="00613E43">
              <w:rPr>
                <w:sz w:val="20"/>
                <w:szCs w:val="20"/>
              </w:rPr>
              <w:t>1,320</w:t>
            </w:r>
          </w:p>
        </w:tc>
        <w:tc>
          <w:tcPr>
            <w:tcW w:w="2970" w:type="dxa"/>
          </w:tcPr>
          <w:p w:rsidR="0028725F" w:rsidRPr="00613E43" w:rsidP="00E70B23" w14:paraId="3CF3495F" w14:textId="77777777">
            <w:pPr>
              <w:widowControl w:val="0"/>
              <w:autoSpaceDE w:val="0"/>
              <w:autoSpaceDN w:val="0"/>
              <w:spacing w:line="256" w:lineRule="exact"/>
              <w:ind w:right="96"/>
              <w:jc w:val="right"/>
              <w:rPr>
                <w:sz w:val="20"/>
                <w:szCs w:val="20"/>
              </w:rPr>
            </w:pPr>
            <w:r w:rsidRPr="00613E43">
              <w:rPr>
                <w:sz w:val="20"/>
                <w:szCs w:val="20"/>
              </w:rPr>
              <w:t>$</w:t>
            </w:r>
            <w:r w:rsidR="00F634B2">
              <w:rPr>
                <w:sz w:val="20"/>
                <w:szCs w:val="20"/>
              </w:rPr>
              <w:t>36</w:t>
            </w:r>
            <w:r w:rsidRPr="00613E43">
              <w:rPr>
                <w:sz w:val="20"/>
                <w:szCs w:val="20"/>
              </w:rPr>
              <w:t>.</w:t>
            </w:r>
            <w:r w:rsidR="00F634B2">
              <w:rPr>
                <w:sz w:val="20"/>
                <w:szCs w:val="20"/>
              </w:rPr>
              <w:t>74</w:t>
            </w:r>
          </w:p>
        </w:tc>
        <w:tc>
          <w:tcPr>
            <w:tcW w:w="1990" w:type="dxa"/>
          </w:tcPr>
          <w:p w:rsidR="0028725F" w:rsidRPr="00613E43" w:rsidP="00E24782" w14:paraId="5C52A457" w14:textId="77777777">
            <w:pPr>
              <w:widowControl w:val="0"/>
              <w:autoSpaceDE w:val="0"/>
              <w:autoSpaceDN w:val="0"/>
              <w:spacing w:line="256" w:lineRule="exact"/>
              <w:ind w:right="99"/>
              <w:jc w:val="right"/>
              <w:rPr>
                <w:sz w:val="20"/>
                <w:szCs w:val="20"/>
              </w:rPr>
            </w:pPr>
            <w:r w:rsidRPr="00613E43">
              <w:rPr>
                <w:sz w:val="20"/>
                <w:szCs w:val="20"/>
              </w:rPr>
              <w:t>$</w:t>
            </w:r>
            <w:r w:rsidR="00F634B2">
              <w:rPr>
                <w:sz w:val="20"/>
                <w:szCs w:val="20"/>
              </w:rPr>
              <w:t>48</w:t>
            </w:r>
            <w:r w:rsidRPr="00613E43">
              <w:rPr>
                <w:sz w:val="20"/>
                <w:szCs w:val="20"/>
              </w:rPr>
              <w:t>,</w:t>
            </w:r>
            <w:r w:rsidR="00F634B2">
              <w:rPr>
                <w:sz w:val="20"/>
                <w:szCs w:val="20"/>
              </w:rPr>
              <w:t>497</w:t>
            </w:r>
          </w:p>
        </w:tc>
      </w:tr>
    </w:tbl>
    <w:p w:rsidR="00357C8A" w:rsidRPr="00357C8A" w:rsidP="00357C8A" w14:paraId="7C1C2CB0" w14:textId="77777777">
      <w:pPr>
        <w:rPr>
          <w:rFonts w:eastAsia="Calibri"/>
        </w:rPr>
      </w:pPr>
    </w:p>
    <w:p w:rsidR="00357C8A" w:rsidRPr="00357C8A" w:rsidP="006705EA" w14:paraId="5FEB4D74"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61073C2C" w14:textId="77777777">
      <w:pPr>
        <w:spacing w:after="200" w:line="276" w:lineRule="auto"/>
        <w:rPr>
          <w:rFonts w:eastAsia="Calibri"/>
          <w:u w:val="single"/>
        </w:rPr>
      </w:pPr>
      <w:r w:rsidRPr="0028725F">
        <w:rPr>
          <w:rFonts w:eastAsia="Calibri"/>
        </w:rPr>
        <w:t xml:space="preserve">There </w:t>
      </w:r>
      <w:r w:rsidRPr="0028725F">
        <w:rPr>
          <w:rFonts w:eastAsia="Calibri"/>
        </w:rPr>
        <w:t>are</w:t>
      </w:r>
      <w:r w:rsidRPr="0028725F">
        <w:rPr>
          <w:rFonts w:eastAsia="Calibri"/>
        </w:rPr>
        <w:t xml:space="preserve"> no capital, start-up, operating, or maintenance costs associated with this collection of information.</w:t>
      </w:r>
    </w:p>
    <w:p w:rsidR="00357C8A" w:rsidRPr="00357C8A" w:rsidP="006705EA" w14:paraId="6D9C4670"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1F472A74" w14:textId="623B5FE1">
      <w:pPr>
        <w:spacing w:after="200"/>
        <w:rPr>
          <w:rFonts w:eastAsia="Calibri"/>
        </w:rPr>
      </w:pPr>
      <w:r w:rsidRPr="0028725F">
        <w:rPr>
          <w:rFonts w:eastAsia="Calibri"/>
        </w:rPr>
        <w:t>FDA review of the retained records occurs as part of its routine inspection program.  We expend approximately 5 hours per inspection to the review of records.  We estimate the annualized cost to the Federal government for the review of records retained by a firm to be $</w:t>
      </w:r>
      <w:r w:rsidR="00F634B2">
        <w:rPr>
          <w:rFonts w:eastAsia="Calibri"/>
        </w:rPr>
        <w:t>565.20</w:t>
      </w:r>
      <w:r w:rsidRPr="0028725F">
        <w:rPr>
          <w:rFonts w:eastAsia="Calibri"/>
        </w:rPr>
        <w:t xml:space="preserve"> per review.  In this calculation of cost, we estimate the hourly cost for review and evaluation at a base GS-13, step 1 wage in the locality pay area of Washington-Baltimore in </w:t>
      </w:r>
      <w:r w:rsidR="00F634B2">
        <w:rPr>
          <w:rFonts w:eastAsia="Calibri"/>
        </w:rPr>
        <w:t>2024</w:t>
      </w:r>
      <w:r w:rsidRPr="0028725F" w:rsidR="00F634B2">
        <w:rPr>
          <w:rFonts w:eastAsia="Calibri"/>
        </w:rPr>
        <w:t xml:space="preserve"> </w:t>
      </w:r>
      <w:r w:rsidRPr="0028725F">
        <w:rPr>
          <w:rFonts w:eastAsia="Calibri"/>
        </w:rPr>
        <w:t>of $</w:t>
      </w:r>
      <w:r w:rsidR="00F634B2">
        <w:rPr>
          <w:rFonts w:eastAsia="Calibri"/>
        </w:rPr>
        <w:t>56</w:t>
      </w:r>
      <w:r w:rsidRPr="0028725F">
        <w:rPr>
          <w:rFonts w:eastAsia="Calibri"/>
        </w:rPr>
        <w:t>.</w:t>
      </w:r>
      <w:r w:rsidR="00F634B2">
        <w:rPr>
          <w:rFonts w:eastAsia="Calibri"/>
        </w:rPr>
        <w:t>52</w:t>
      </w:r>
      <w:r w:rsidRPr="0028725F">
        <w:rPr>
          <w:rFonts w:eastAsia="Calibri"/>
        </w:rPr>
        <w:t xml:space="preserve"> per hour. </w:t>
      </w:r>
      <w:r w:rsidR="00A425D2">
        <w:rPr>
          <w:rFonts w:eastAsia="Calibri"/>
        </w:rPr>
        <w:t xml:space="preserve"> </w:t>
      </w:r>
      <w:r w:rsidRPr="0028725F">
        <w:rPr>
          <w:rFonts w:eastAsia="Calibri"/>
        </w:rPr>
        <w:t>Five hours multiplied by $</w:t>
      </w:r>
      <w:r w:rsidR="00F634B2">
        <w:rPr>
          <w:rFonts w:eastAsia="Calibri"/>
        </w:rPr>
        <w:t>56</w:t>
      </w:r>
      <w:r w:rsidRPr="0028725F">
        <w:rPr>
          <w:rFonts w:eastAsia="Calibri"/>
        </w:rPr>
        <w:t>.</w:t>
      </w:r>
      <w:r w:rsidR="00F634B2">
        <w:rPr>
          <w:rFonts w:eastAsia="Calibri"/>
        </w:rPr>
        <w:t>52</w:t>
      </w:r>
      <w:r w:rsidRPr="0028725F">
        <w:rPr>
          <w:rFonts w:eastAsia="Calibri"/>
        </w:rPr>
        <w:t xml:space="preserve"> equals $</w:t>
      </w:r>
      <w:r w:rsidR="00F634B2">
        <w:rPr>
          <w:rFonts w:eastAsia="Calibri"/>
        </w:rPr>
        <w:t>282.60</w:t>
      </w:r>
      <w:r w:rsidRPr="0028725F">
        <w:rPr>
          <w:rFonts w:eastAsia="Calibri"/>
        </w:rPr>
        <w:t>.  To account for overhead, this cost is increased by 100 percent, making the annualized cost to the Federal government $</w:t>
      </w:r>
      <w:r w:rsidR="00F634B2">
        <w:rPr>
          <w:rFonts w:eastAsia="Calibri"/>
        </w:rPr>
        <w:t>565</w:t>
      </w:r>
      <w:r w:rsidRPr="0028725F">
        <w:rPr>
          <w:rFonts w:eastAsia="Calibri"/>
        </w:rPr>
        <w:t>.</w:t>
      </w:r>
      <w:r w:rsidR="00F634B2">
        <w:rPr>
          <w:rFonts w:eastAsia="Calibri"/>
        </w:rPr>
        <w:t>20</w:t>
      </w:r>
      <w:r w:rsidRPr="0028725F" w:rsidR="00F634B2">
        <w:rPr>
          <w:rFonts w:eastAsia="Calibri"/>
        </w:rPr>
        <w:t xml:space="preserve"> </w:t>
      </w:r>
      <w:r w:rsidRPr="0028725F">
        <w:rPr>
          <w:rFonts w:eastAsia="Calibri"/>
        </w:rPr>
        <w:t>per review.</w:t>
      </w:r>
      <w:r w:rsidR="00F92A46">
        <w:rPr>
          <w:rFonts w:eastAsia="Calibri"/>
        </w:rPr>
        <w:t xml:space="preserve">  Estimating </w:t>
      </w:r>
      <w:r w:rsidR="00BA15A3">
        <w:rPr>
          <w:rFonts w:eastAsia="Calibri"/>
        </w:rPr>
        <w:t>2</w:t>
      </w:r>
      <w:r w:rsidR="00F92A46">
        <w:rPr>
          <w:rFonts w:eastAsia="Calibri"/>
        </w:rPr>
        <w:t xml:space="preserve"> rev</w:t>
      </w:r>
      <w:r w:rsidR="00C91985">
        <w:rPr>
          <w:rFonts w:eastAsia="Calibri"/>
        </w:rPr>
        <w:t xml:space="preserve">iews per year, we </w:t>
      </w:r>
      <w:r w:rsidR="00185AD6">
        <w:rPr>
          <w:rFonts w:eastAsia="Calibri"/>
        </w:rPr>
        <w:t>calculate a total annual cost to the Federal government</w:t>
      </w:r>
      <w:r w:rsidR="00AE4A05">
        <w:rPr>
          <w:rFonts w:eastAsia="Calibri"/>
        </w:rPr>
        <w:t xml:space="preserve"> as $</w:t>
      </w:r>
      <w:r w:rsidR="00BA15A3">
        <w:rPr>
          <w:rFonts w:eastAsia="Calibri"/>
        </w:rPr>
        <w:t>1130.40</w:t>
      </w:r>
      <w:r w:rsidR="00AE4A05">
        <w:rPr>
          <w:rFonts w:eastAsia="Calibri"/>
        </w:rPr>
        <w:t xml:space="preserve"> (</w:t>
      </w:r>
      <w:r w:rsidR="00BA15A3">
        <w:rPr>
          <w:rFonts w:eastAsia="Calibri"/>
        </w:rPr>
        <w:t>2</w:t>
      </w:r>
      <w:r w:rsidR="00AE4A05">
        <w:rPr>
          <w:rFonts w:eastAsia="Calibri"/>
        </w:rPr>
        <w:t xml:space="preserve"> reviews </w:t>
      </w:r>
      <w:r w:rsidRPr="00D5372D" w:rsidR="00D5372D">
        <w:rPr>
          <w:rFonts w:eastAsia="Calibri"/>
        </w:rPr>
        <w:t>×</w:t>
      </w:r>
      <w:r w:rsidR="00AE4A05">
        <w:rPr>
          <w:rFonts w:eastAsia="Calibri"/>
        </w:rPr>
        <w:t xml:space="preserve"> </w:t>
      </w:r>
      <w:r w:rsidR="00465E1F">
        <w:rPr>
          <w:rFonts w:eastAsia="Calibri"/>
        </w:rPr>
        <w:t xml:space="preserve">$565.20).  </w:t>
      </w:r>
    </w:p>
    <w:p w:rsidR="00357C8A" w:rsidP="006705EA" w14:paraId="0834700C" w14:textId="2E2DAAA0">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E70B23" w:rsidP="00357C8A" w14:paraId="5EBB2FE9" w14:textId="77777777">
      <w:pPr>
        <w:spacing w:after="200"/>
        <w:rPr>
          <w:rFonts w:eastAsia="Calibri"/>
          <w:color w:val="000000"/>
        </w:rPr>
      </w:pPr>
      <w:r w:rsidRPr="0028725F">
        <w:rPr>
          <w:rFonts w:eastAsia="Calibri"/>
        </w:rPr>
        <w:t>Based on a review of the information collection since our last request for OMB approval, we have made no adjustments to our burden estimate.</w:t>
      </w:r>
    </w:p>
    <w:p w:rsidR="00357C8A" w:rsidRPr="00357C8A" w:rsidP="006705EA" w14:paraId="4E29D649"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P="0028725F" w14:paraId="360E83CA" w14:textId="77777777">
      <w:pPr>
        <w:pStyle w:val="Default"/>
        <w:rPr>
          <w:rFonts w:eastAsia="Calibri"/>
        </w:rPr>
      </w:pPr>
      <w:r w:rsidRPr="005C71CA">
        <w:rPr>
          <w:rFonts w:eastAsia="Calibri"/>
        </w:rPr>
        <w:t>This information collected will not be published or tabulated.</w:t>
      </w:r>
    </w:p>
    <w:p w:rsidR="00896188" w:rsidRPr="00357C8A" w:rsidP="0028725F" w14:paraId="65E2AAFB" w14:textId="77777777">
      <w:pPr>
        <w:pStyle w:val="Default"/>
        <w:rPr>
          <w:rFonts w:eastAsia="Calibri"/>
        </w:rPr>
      </w:pPr>
    </w:p>
    <w:p w:rsidR="00357C8A" w:rsidRPr="00357C8A" w:rsidP="006705EA" w14:paraId="43C64DC7"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357C8A" w:rsidRPr="00E70B23" w:rsidP="00357C8A" w14:paraId="29A2A908" w14:textId="77777777">
      <w:pPr>
        <w:spacing w:after="200"/>
        <w:rPr>
          <w:rFonts w:eastAsia="Calibri"/>
          <w:color w:val="000000"/>
        </w:rPr>
      </w:pPr>
      <w:r w:rsidRPr="0028725F">
        <w:rPr>
          <w:rFonts w:eastAsia="Calibri"/>
        </w:rPr>
        <w:t>We will display the expiration date for OMB approval of the information collection as appropriate.</w:t>
      </w:r>
    </w:p>
    <w:p w:rsidR="00357C8A" w:rsidRPr="00357C8A" w:rsidP="006705EA" w14:paraId="603B544C"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00544138" w:rsidRPr="00C20690" w:rsidP="0028725F" w14:paraId="5F1DD0E2" w14:textId="77777777">
      <w:pPr>
        <w:spacing w:after="200"/>
        <w:rPr>
          <w:rFonts w:eastAsia="Calibri"/>
        </w:rPr>
      </w:pPr>
      <w:r w:rsidRPr="0028725F">
        <w:rPr>
          <w:rFonts w:eastAsia="Calibri"/>
        </w:rPr>
        <w:t>There are no exceptions to the certification.</w:t>
      </w:r>
    </w:p>
    <w:sectPr w:rsidSect="005C71CA">
      <w:footerReference w:type="even" r:id="rId7"/>
      <w:footerReference w:type="default" r:id="rId8"/>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3CC7F8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725F">
      <w:rPr>
        <w:rStyle w:val="PageNumber"/>
        <w:noProof/>
      </w:rPr>
      <w:t>1</w:t>
    </w:r>
    <w:r>
      <w:rPr>
        <w:rStyle w:val="PageNumber"/>
      </w:rPr>
      <w:fldChar w:fldCharType="end"/>
    </w:r>
  </w:p>
  <w:p w:rsidR="00E63DE5" w14:paraId="5E8697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74489FF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212D6FB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771359377">
    <w:abstractNumId w:val="5"/>
  </w:num>
  <w:num w:numId="2" w16cid:durableId="621889728">
    <w:abstractNumId w:val="1"/>
  </w:num>
  <w:num w:numId="3" w16cid:durableId="1075784812">
    <w:abstractNumId w:val="6"/>
  </w:num>
  <w:num w:numId="4" w16cid:durableId="1554148436">
    <w:abstractNumId w:val="3"/>
  </w:num>
  <w:num w:numId="5" w16cid:durableId="382369600">
    <w:abstractNumId w:val="7"/>
  </w:num>
  <w:num w:numId="6" w16cid:durableId="382800985">
    <w:abstractNumId w:val="0"/>
  </w:num>
  <w:num w:numId="7" w16cid:durableId="1206866968">
    <w:abstractNumId w:val="2"/>
  </w:num>
  <w:num w:numId="8" w16cid:durableId="168952085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2B93"/>
    <w:rsid w:val="00042CA5"/>
    <w:rsid w:val="00043C7F"/>
    <w:rsid w:val="000467A8"/>
    <w:rsid w:val="0006570F"/>
    <w:rsid w:val="00075DE8"/>
    <w:rsid w:val="00087439"/>
    <w:rsid w:val="00095F1B"/>
    <w:rsid w:val="000C1260"/>
    <w:rsid w:val="000C560C"/>
    <w:rsid w:val="000D080B"/>
    <w:rsid w:val="000D48FD"/>
    <w:rsid w:val="000D79CC"/>
    <w:rsid w:val="000E03D9"/>
    <w:rsid w:val="000E1C64"/>
    <w:rsid w:val="000F7119"/>
    <w:rsid w:val="00100739"/>
    <w:rsid w:val="0010493E"/>
    <w:rsid w:val="001075D3"/>
    <w:rsid w:val="00107885"/>
    <w:rsid w:val="001133F9"/>
    <w:rsid w:val="00114FC4"/>
    <w:rsid w:val="0012329C"/>
    <w:rsid w:val="00134FA7"/>
    <w:rsid w:val="00137950"/>
    <w:rsid w:val="00152F29"/>
    <w:rsid w:val="001670E3"/>
    <w:rsid w:val="00174D54"/>
    <w:rsid w:val="0017702C"/>
    <w:rsid w:val="00185270"/>
    <w:rsid w:val="00185AD6"/>
    <w:rsid w:val="00190E41"/>
    <w:rsid w:val="001A3B5A"/>
    <w:rsid w:val="001A458C"/>
    <w:rsid w:val="001B7CE9"/>
    <w:rsid w:val="001D495A"/>
    <w:rsid w:val="001E244C"/>
    <w:rsid w:val="001F1437"/>
    <w:rsid w:val="00206799"/>
    <w:rsid w:val="002074FE"/>
    <w:rsid w:val="0022425B"/>
    <w:rsid w:val="002259EF"/>
    <w:rsid w:val="00242ED1"/>
    <w:rsid w:val="002444BB"/>
    <w:rsid w:val="00254069"/>
    <w:rsid w:val="00270748"/>
    <w:rsid w:val="002734E5"/>
    <w:rsid w:val="002746DB"/>
    <w:rsid w:val="00280CAF"/>
    <w:rsid w:val="00282F09"/>
    <w:rsid w:val="0028725F"/>
    <w:rsid w:val="00291810"/>
    <w:rsid w:val="00294D62"/>
    <w:rsid w:val="00297532"/>
    <w:rsid w:val="00297FFD"/>
    <w:rsid w:val="002A1210"/>
    <w:rsid w:val="002A47D2"/>
    <w:rsid w:val="002A7FB5"/>
    <w:rsid w:val="002B2074"/>
    <w:rsid w:val="002C3B5F"/>
    <w:rsid w:val="002D14D8"/>
    <w:rsid w:val="002D4799"/>
    <w:rsid w:val="002E3FA4"/>
    <w:rsid w:val="002E53A5"/>
    <w:rsid w:val="002E64B8"/>
    <w:rsid w:val="002E6834"/>
    <w:rsid w:val="003113FF"/>
    <w:rsid w:val="00312622"/>
    <w:rsid w:val="0032277F"/>
    <w:rsid w:val="00336704"/>
    <w:rsid w:val="00336B69"/>
    <w:rsid w:val="0034302B"/>
    <w:rsid w:val="00350523"/>
    <w:rsid w:val="0035189D"/>
    <w:rsid w:val="00355B62"/>
    <w:rsid w:val="00357C8A"/>
    <w:rsid w:val="003740BC"/>
    <w:rsid w:val="0037456B"/>
    <w:rsid w:val="003801A3"/>
    <w:rsid w:val="00383D90"/>
    <w:rsid w:val="0038635C"/>
    <w:rsid w:val="003870AE"/>
    <w:rsid w:val="003A1A27"/>
    <w:rsid w:val="003A50CC"/>
    <w:rsid w:val="003B42B3"/>
    <w:rsid w:val="003B6384"/>
    <w:rsid w:val="003C0FE2"/>
    <w:rsid w:val="003C4EBB"/>
    <w:rsid w:val="003C5F1D"/>
    <w:rsid w:val="003D1531"/>
    <w:rsid w:val="003E4EC6"/>
    <w:rsid w:val="003E527E"/>
    <w:rsid w:val="003E553E"/>
    <w:rsid w:val="003E7078"/>
    <w:rsid w:val="003F3DF5"/>
    <w:rsid w:val="003F73B8"/>
    <w:rsid w:val="0040297E"/>
    <w:rsid w:val="00411D11"/>
    <w:rsid w:val="00414494"/>
    <w:rsid w:val="00415E23"/>
    <w:rsid w:val="0041651E"/>
    <w:rsid w:val="0041670D"/>
    <w:rsid w:val="00423272"/>
    <w:rsid w:val="00424061"/>
    <w:rsid w:val="00442A3C"/>
    <w:rsid w:val="00443969"/>
    <w:rsid w:val="00447D74"/>
    <w:rsid w:val="00450A74"/>
    <w:rsid w:val="004546BF"/>
    <w:rsid w:val="00465350"/>
    <w:rsid w:val="00465E1F"/>
    <w:rsid w:val="00476B91"/>
    <w:rsid w:val="00477F16"/>
    <w:rsid w:val="004846BF"/>
    <w:rsid w:val="00494912"/>
    <w:rsid w:val="004A5323"/>
    <w:rsid w:val="004A5A99"/>
    <w:rsid w:val="004C4C90"/>
    <w:rsid w:val="004C6979"/>
    <w:rsid w:val="004D13A2"/>
    <w:rsid w:val="004D3E7A"/>
    <w:rsid w:val="004E2EA3"/>
    <w:rsid w:val="004F4E51"/>
    <w:rsid w:val="004F594B"/>
    <w:rsid w:val="004F61E1"/>
    <w:rsid w:val="00530F3B"/>
    <w:rsid w:val="0053380B"/>
    <w:rsid w:val="00543194"/>
    <w:rsid w:val="00544138"/>
    <w:rsid w:val="00544DA8"/>
    <w:rsid w:val="00554E34"/>
    <w:rsid w:val="005611E8"/>
    <w:rsid w:val="005674FF"/>
    <w:rsid w:val="00584583"/>
    <w:rsid w:val="00590E90"/>
    <w:rsid w:val="00590EEB"/>
    <w:rsid w:val="005A4099"/>
    <w:rsid w:val="005C38B2"/>
    <w:rsid w:val="005C5029"/>
    <w:rsid w:val="005C55C2"/>
    <w:rsid w:val="005C71CA"/>
    <w:rsid w:val="005C745C"/>
    <w:rsid w:val="005D4DF5"/>
    <w:rsid w:val="005D7A5C"/>
    <w:rsid w:val="005E42BA"/>
    <w:rsid w:val="005F7C30"/>
    <w:rsid w:val="00611D6B"/>
    <w:rsid w:val="00613E43"/>
    <w:rsid w:val="006226C7"/>
    <w:rsid w:val="00625CFD"/>
    <w:rsid w:val="006326EC"/>
    <w:rsid w:val="00646279"/>
    <w:rsid w:val="00663A42"/>
    <w:rsid w:val="006641C7"/>
    <w:rsid w:val="006705EA"/>
    <w:rsid w:val="00670BE2"/>
    <w:rsid w:val="006916D9"/>
    <w:rsid w:val="006A0E05"/>
    <w:rsid w:val="006A26C6"/>
    <w:rsid w:val="006A465A"/>
    <w:rsid w:val="006A7D5D"/>
    <w:rsid w:val="006C3A73"/>
    <w:rsid w:val="006D0C12"/>
    <w:rsid w:val="006D5D57"/>
    <w:rsid w:val="006E2538"/>
    <w:rsid w:val="006E302F"/>
    <w:rsid w:val="006F4D6D"/>
    <w:rsid w:val="00705086"/>
    <w:rsid w:val="00722001"/>
    <w:rsid w:val="00744525"/>
    <w:rsid w:val="00751E66"/>
    <w:rsid w:val="00754497"/>
    <w:rsid w:val="00773201"/>
    <w:rsid w:val="00787C39"/>
    <w:rsid w:val="00792541"/>
    <w:rsid w:val="00792947"/>
    <w:rsid w:val="00795DF3"/>
    <w:rsid w:val="007A373C"/>
    <w:rsid w:val="007B225C"/>
    <w:rsid w:val="007C75B1"/>
    <w:rsid w:val="007D3DFC"/>
    <w:rsid w:val="007E2F07"/>
    <w:rsid w:val="007E59A8"/>
    <w:rsid w:val="007F25ED"/>
    <w:rsid w:val="007F69A7"/>
    <w:rsid w:val="0080776D"/>
    <w:rsid w:val="00810145"/>
    <w:rsid w:val="008108FA"/>
    <w:rsid w:val="00810FF1"/>
    <w:rsid w:val="00822336"/>
    <w:rsid w:val="00823DFA"/>
    <w:rsid w:val="00842DB7"/>
    <w:rsid w:val="00843752"/>
    <w:rsid w:val="0084479F"/>
    <w:rsid w:val="0085725E"/>
    <w:rsid w:val="00863E9A"/>
    <w:rsid w:val="00873D4F"/>
    <w:rsid w:val="0087509F"/>
    <w:rsid w:val="00885B09"/>
    <w:rsid w:val="00892400"/>
    <w:rsid w:val="00896188"/>
    <w:rsid w:val="008A209D"/>
    <w:rsid w:val="008A22BB"/>
    <w:rsid w:val="008B035D"/>
    <w:rsid w:val="008B0E29"/>
    <w:rsid w:val="008B0EFA"/>
    <w:rsid w:val="008B30AB"/>
    <w:rsid w:val="008C3BB8"/>
    <w:rsid w:val="008C4B65"/>
    <w:rsid w:val="008D3D4C"/>
    <w:rsid w:val="008E5F55"/>
    <w:rsid w:val="009009E7"/>
    <w:rsid w:val="00905DEF"/>
    <w:rsid w:val="00906056"/>
    <w:rsid w:val="009122AE"/>
    <w:rsid w:val="00913B43"/>
    <w:rsid w:val="00930203"/>
    <w:rsid w:val="00930967"/>
    <w:rsid w:val="009311D2"/>
    <w:rsid w:val="009311E6"/>
    <w:rsid w:val="00931275"/>
    <w:rsid w:val="00936AC7"/>
    <w:rsid w:val="00953B64"/>
    <w:rsid w:val="009646A7"/>
    <w:rsid w:val="00970A88"/>
    <w:rsid w:val="009818A1"/>
    <w:rsid w:val="009A1674"/>
    <w:rsid w:val="009B38BE"/>
    <w:rsid w:val="009B4DF2"/>
    <w:rsid w:val="009C35E2"/>
    <w:rsid w:val="009C684F"/>
    <w:rsid w:val="009D074C"/>
    <w:rsid w:val="009D6E73"/>
    <w:rsid w:val="009E4275"/>
    <w:rsid w:val="009F1F1D"/>
    <w:rsid w:val="009F2B4F"/>
    <w:rsid w:val="009F3C63"/>
    <w:rsid w:val="009F66B5"/>
    <w:rsid w:val="00A02F10"/>
    <w:rsid w:val="00A1060C"/>
    <w:rsid w:val="00A16221"/>
    <w:rsid w:val="00A20A7D"/>
    <w:rsid w:val="00A35D42"/>
    <w:rsid w:val="00A425D2"/>
    <w:rsid w:val="00A46CCF"/>
    <w:rsid w:val="00A506DE"/>
    <w:rsid w:val="00A528D8"/>
    <w:rsid w:val="00A53451"/>
    <w:rsid w:val="00A6228F"/>
    <w:rsid w:val="00A66D1B"/>
    <w:rsid w:val="00A66DFE"/>
    <w:rsid w:val="00A70426"/>
    <w:rsid w:val="00A707CC"/>
    <w:rsid w:val="00A71410"/>
    <w:rsid w:val="00A91E9A"/>
    <w:rsid w:val="00A93ED9"/>
    <w:rsid w:val="00A96221"/>
    <w:rsid w:val="00AA646E"/>
    <w:rsid w:val="00AC0622"/>
    <w:rsid w:val="00AC2DBB"/>
    <w:rsid w:val="00AC6A99"/>
    <w:rsid w:val="00AD6048"/>
    <w:rsid w:val="00AE4A05"/>
    <w:rsid w:val="00B055EF"/>
    <w:rsid w:val="00B06B5B"/>
    <w:rsid w:val="00B23769"/>
    <w:rsid w:val="00B41789"/>
    <w:rsid w:val="00B70312"/>
    <w:rsid w:val="00B727EA"/>
    <w:rsid w:val="00B7575F"/>
    <w:rsid w:val="00B81808"/>
    <w:rsid w:val="00B86DFA"/>
    <w:rsid w:val="00B936D0"/>
    <w:rsid w:val="00BA15A3"/>
    <w:rsid w:val="00BB15FB"/>
    <w:rsid w:val="00BC2B53"/>
    <w:rsid w:val="00BD3D5B"/>
    <w:rsid w:val="00BE3600"/>
    <w:rsid w:val="00BF4A2B"/>
    <w:rsid w:val="00C01F6F"/>
    <w:rsid w:val="00C041EA"/>
    <w:rsid w:val="00C13BBD"/>
    <w:rsid w:val="00C149AB"/>
    <w:rsid w:val="00C16929"/>
    <w:rsid w:val="00C20690"/>
    <w:rsid w:val="00C36020"/>
    <w:rsid w:val="00C40694"/>
    <w:rsid w:val="00C479BF"/>
    <w:rsid w:val="00C5124B"/>
    <w:rsid w:val="00C70542"/>
    <w:rsid w:val="00C75CBF"/>
    <w:rsid w:val="00C91985"/>
    <w:rsid w:val="00CC243A"/>
    <w:rsid w:val="00CC2894"/>
    <w:rsid w:val="00CD77C3"/>
    <w:rsid w:val="00CE112C"/>
    <w:rsid w:val="00CF55D4"/>
    <w:rsid w:val="00D2785C"/>
    <w:rsid w:val="00D5372D"/>
    <w:rsid w:val="00D608DA"/>
    <w:rsid w:val="00D730BF"/>
    <w:rsid w:val="00D852F4"/>
    <w:rsid w:val="00DB1110"/>
    <w:rsid w:val="00DB3730"/>
    <w:rsid w:val="00DC371B"/>
    <w:rsid w:val="00DC3788"/>
    <w:rsid w:val="00DC76C7"/>
    <w:rsid w:val="00DD09F5"/>
    <w:rsid w:val="00DD0E02"/>
    <w:rsid w:val="00DD4201"/>
    <w:rsid w:val="00DD5E9F"/>
    <w:rsid w:val="00DE5711"/>
    <w:rsid w:val="00E00EA0"/>
    <w:rsid w:val="00E021CB"/>
    <w:rsid w:val="00E138F1"/>
    <w:rsid w:val="00E2309D"/>
    <w:rsid w:val="00E24782"/>
    <w:rsid w:val="00E26758"/>
    <w:rsid w:val="00E4357B"/>
    <w:rsid w:val="00E443A7"/>
    <w:rsid w:val="00E45904"/>
    <w:rsid w:val="00E6178C"/>
    <w:rsid w:val="00E63DE5"/>
    <w:rsid w:val="00E647AF"/>
    <w:rsid w:val="00E647C7"/>
    <w:rsid w:val="00E65A37"/>
    <w:rsid w:val="00E65EF7"/>
    <w:rsid w:val="00E70B23"/>
    <w:rsid w:val="00E77B48"/>
    <w:rsid w:val="00E857FB"/>
    <w:rsid w:val="00E91799"/>
    <w:rsid w:val="00E97DF8"/>
    <w:rsid w:val="00EA21FE"/>
    <w:rsid w:val="00EA34E3"/>
    <w:rsid w:val="00EB7538"/>
    <w:rsid w:val="00EC1868"/>
    <w:rsid w:val="00EE6468"/>
    <w:rsid w:val="00F1299B"/>
    <w:rsid w:val="00F207A4"/>
    <w:rsid w:val="00F25173"/>
    <w:rsid w:val="00F355AC"/>
    <w:rsid w:val="00F40CF7"/>
    <w:rsid w:val="00F44194"/>
    <w:rsid w:val="00F634B2"/>
    <w:rsid w:val="00F71A5A"/>
    <w:rsid w:val="00F73A1A"/>
    <w:rsid w:val="00F7484C"/>
    <w:rsid w:val="00F769E0"/>
    <w:rsid w:val="00F92A46"/>
    <w:rsid w:val="00FA4A46"/>
    <w:rsid w:val="00FA75FE"/>
    <w:rsid w:val="00FB1032"/>
    <w:rsid w:val="00FB39BC"/>
    <w:rsid w:val="00FB6A53"/>
    <w:rsid w:val="00FC11CA"/>
    <w:rsid w:val="00FC6BDE"/>
    <w:rsid w:val="00FD057E"/>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F16EF83"/>
  <w15:chartTrackingRefBased/>
  <w15:docId w15:val="{2717124A-92DF-4439-A325-789E6024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530F3B"/>
    <w:rPr>
      <w:sz w:val="24"/>
      <w:szCs w:val="24"/>
    </w:rPr>
  </w:style>
  <w:style w:type="character" w:styleId="CommentReference">
    <w:name w:val="annotation reference"/>
    <w:rsid w:val="008D3D4C"/>
    <w:rPr>
      <w:sz w:val="16"/>
      <w:szCs w:val="16"/>
    </w:rPr>
  </w:style>
  <w:style w:type="paragraph" w:styleId="CommentText">
    <w:name w:val="annotation text"/>
    <w:basedOn w:val="Normal"/>
    <w:link w:val="CommentTextChar"/>
    <w:rsid w:val="008D3D4C"/>
    <w:rPr>
      <w:sz w:val="20"/>
      <w:szCs w:val="20"/>
    </w:rPr>
  </w:style>
  <w:style w:type="character" w:customStyle="1" w:styleId="CommentTextChar">
    <w:name w:val="Comment Text Char"/>
    <w:basedOn w:val="DefaultParagraphFont"/>
    <w:link w:val="CommentText"/>
    <w:rsid w:val="008D3D4C"/>
  </w:style>
  <w:style w:type="paragraph" w:styleId="CommentSubject">
    <w:name w:val="annotation subject"/>
    <w:basedOn w:val="CommentText"/>
    <w:next w:val="CommentText"/>
    <w:link w:val="CommentSubjectChar"/>
    <w:rsid w:val="008D3D4C"/>
    <w:rPr>
      <w:b/>
      <w:bCs/>
    </w:rPr>
  </w:style>
  <w:style w:type="character" w:customStyle="1" w:styleId="CommentSubjectChar">
    <w:name w:val="Comment Subject Char"/>
    <w:link w:val="CommentSubject"/>
    <w:rsid w:val="008D3D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industry/small-business-assistance" TargetMode="External" /><Relationship Id="rId5" Type="http://schemas.openxmlformats.org/officeDocument/2006/relationships/hyperlink" Target="https://www.fda.gov/food/food-ingredients-packaging/irradiation-food-packaging" TargetMode="External" /><Relationship Id="rId6" Type="http://schemas.openxmlformats.org/officeDocument/2006/relationships/hyperlink" Target="https://www.youtube.com/watch?v=X3rYqwHx_KU"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1938</Words>
  <Characters>11284</Characters>
  <Application>Microsoft Office Word</Application>
  <DocSecurity>0</DocSecurity>
  <Lines>376</Lines>
  <Paragraphs>130</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13092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2</cp:revision>
  <cp:lastPrinted>2019-07-03T16:25:00Z</cp:lastPrinted>
  <dcterms:created xsi:type="dcterms:W3CDTF">2024-05-07T19:58:00Z</dcterms:created>
  <dcterms:modified xsi:type="dcterms:W3CDTF">2024-05-07T19:58:00Z</dcterms:modified>
</cp:coreProperties>
</file>