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7037" w:rsidP="00777037" w14:paraId="3CFD2189" w14:textId="6DD1FED5">
      <w:pPr>
        <w:jc w:val="center"/>
        <w:rPr>
          <w:b/>
        </w:rPr>
      </w:pPr>
      <w:r w:rsidRPr="00777037">
        <w:rPr>
          <w:b/>
          <w:bCs/>
        </w:rPr>
        <w:t>Short Statement</w:t>
      </w:r>
      <w:r>
        <w:t xml:space="preserve"> </w:t>
      </w:r>
      <w:r w:rsidRPr="00662D52">
        <w:rPr>
          <w:b/>
        </w:rPr>
        <w:t xml:space="preserve">for </w:t>
      </w:r>
      <w:r>
        <w:rPr>
          <w:b/>
        </w:rPr>
        <w:t xml:space="preserve">EDGAR Filer Access and Account Management </w:t>
      </w:r>
    </w:p>
    <w:p w:rsidR="00777037" w14:paraId="76754A07" w14:textId="0CA5D68C"/>
    <w:p w:rsidR="00777037" w:rsidP="00830F7E" w14:paraId="512470D5" w14:textId="1B9C27FD">
      <w:pPr>
        <w:pStyle w:val="BodyTextIndent"/>
        <w:ind w:left="0" w:firstLine="720"/>
      </w:pPr>
      <w:r>
        <w:t xml:space="preserve">On September 13, 2023, the Commission proposed rule and form amendments concerning access to and management of accounts on EDGAR that are related to </w:t>
      </w:r>
      <w:r w:rsidRPr="0087700E">
        <w:t xml:space="preserve">potential technical changes to EDGAR </w:t>
      </w:r>
      <w:r>
        <w:t>(collectively referred to as “EDGAR Next”).</w:t>
      </w:r>
      <w:r>
        <w:rPr>
          <w:rStyle w:val="FootnoteReference"/>
        </w:rPr>
        <w:footnoteReference w:id="2"/>
      </w:r>
      <w:r>
        <w:t xml:space="preserve"> </w:t>
      </w:r>
      <w:r w:rsidRPr="009922D9">
        <w:t>If the p</w:t>
      </w:r>
      <w:r w:rsidR="007E429B">
        <w:t>roposed</w:t>
      </w:r>
      <w:r w:rsidRPr="009922D9">
        <w:t xml:space="preserve"> </w:t>
      </w:r>
      <w:r w:rsidR="007E429B">
        <w:t xml:space="preserve">rule and form </w:t>
      </w:r>
      <w:r w:rsidRPr="009922D9">
        <w:t xml:space="preserve">changes are </w:t>
      </w:r>
      <w:r w:rsidR="007E429B">
        <w:t>adopted</w:t>
      </w:r>
      <w:r>
        <w:t>, filers would be required to obtain individual account credentials and comply with certain account access and management requirements by taking action on a new filer management tool</w:t>
      </w:r>
      <w:r w:rsidR="006B0F99">
        <w:t>, the EDGAR Filer Management Dashboard</w:t>
      </w:r>
      <w:r>
        <w:t xml:space="preserve"> (“the dashboard”), available on EDGAR. Moreover, certain additional disclosure obligations would be required on the Form ID application for access</w:t>
      </w:r>
      <w:r w:rsidR="00830F7E">
        <w:t>.</w:t>
      </w:r>
    </w:p>
    <w:p w:rsidR="00830F7E" w:rsidP="00830F7E" w14:paraId="1A965ED4" w14:textId="15C0B054">
      <w:pPr>
        <w:pStyle w:val="BodyTextIndent"/>
        <w:ind w:left="0" w:firstLine="720"/>
      </w:pPr>
    </w:p>
    <w:p w:rsidR="00830F7E" w:rsidP="00830F7E" w14:paraId="1C393AAB" w14:textId="42446DAC">
      <w:pPr>
        <w:pStyle w:val="BodyTextIndent"/>
        <w:ind w:left="0" w:firstLine="720"/>
      </w:pPr>
      <w:r>
        <w:t xml:space="preserve">The proposed revisions to Form ID also would result in a more uniform and secure process for </w:t>
      </w:r>
      <w:r w:rsidR="0005149E">
        <w:t xml:space="preserve">requesting </w:t>
      </w:r>
      <w:r w:rsidRPr="006911D7">
        <w:t xml:space="preserve">EDGAR access </w:t>
      </w:r>
      <w:r>
        <w:t xml:space="preserve">by </w:t>
      </w:r>
      <w:r w:rsidRPr="000348A7">
        <w:t xml:space="preserve">requiring </w:t>
      </w:r>
      <w:r>
        <w:t xml:space="preserve">submission of a new Form ID if the applicant claims to </w:t>
      </w:r>
      <w:r w:rsidR="00CC2F4B">
        <w:t>already have an identification number (CIK) but no longer has access to EDGAR</w:t>
      </w:r>
      <w:r>
        <w:t xml:space="preserve">. </w:t>
      </w:r>
      <w:r w:rsidR="00CC2F4B">
        <w:t>T</w:t>
      </w:r>
      <w:r>
        <w:t xml:space="preserve">he proposed amendments would </w:t>
      </w:r>
      <w:r w:rsidR="00CC2F4B">
        <w:t xml:space="preserve">also </w:t>
      </w:r>
      <w:r>
        <w:t>simplify filer account management by eliminating certain EDGAR access codes that would no longer be necessary due to the use of individual account credentials</w:t>
      </w:r>
      <w:r w:rsidRPr="006911D7">
        <w:t>.</w:t>
      </w:r>
    </w:p>
    <w:p w:rsidR="00830F7E" w:rsidP="00830F7E" w14:paraId="46FB7375" w14:textId="3789229A">
      <w:pPr>
        <w:pStyle w:val="BodyTextIndent"/>
        <w:ind w:left="0" w:firstLine="720"/>
      </w:pPr>
    </w:p>
    <w:p w:rsidR="00830F7E" w:rsidP="00830F7E" w14:paraId="7FF2C0CE" w14:textId="77777777">
      <w:pPr>
        <w:pStyle w:val="BlockText"/>
        <w:ind w:left="0" w:right="0" w:firstLine="720"/>
      </w:pPr>
      <w:r>
        <w:t>The EDGAR Next proposed rule and form amendments also include implementation of the dashboard, an interactive function on EDGAR where electronic filers would manage their EDGAR accounts and where individuals that electronic filers would authorize</w:t>
      </w:r>
      <w:r>
        <w:rPr>
          <w:rStyle w:val="FootnoteReference"/>
        </w:rPr>
        <w:footnoteReference w:id="3"/>
      </w:r>
      <w:r>
        <w:t xml:space="preserve"> could take relevant actions for the electronic filers’ accounts. </w:t>
      </w:r>
    </w:p>
    <w:p w:rsidR="00830F7E" w:rsidP="00830F7E" w14:paraId="23013248" w14:textId="6DD474B6">
      <w:pPr>
        <w:pStyle w:val="BodyTextIndent"/>
        <w:ind w:left="0" w:firstLine="720"/>
      </w:pPr>
    </w:p>
    <w:p w:rsidR="00BD53FE" w:rsidP="00BD53FE" w14:paraId="110EEAA2" w14:textId="3F401854">
      <w:pPr>
        <w:ind w:right="720" w:firstLine="720"/>
      </w:pPr>
      <w:r>
        <w:t xml:space="preserve">If the proposed access changes and proposed Form ID amendments are implemented, for purposes of the Paperwork Reduction Act, we estimate that the number of Form ID filings would increase from the currently approved burden of 57,329 filings to 79,457 filings. The </w:t>
      </w:r>
      <w:r w:rsidR="00044E90">
        <w:t xml:space="preserve">currently approved </w:t>
      </w:r>
      <w:r>
        <w:t>estimate of 0.30 hours per response would increase to 0.60 hours per response. The estimated total annual burden would increase from 17,199 hours to 47,674 hours.</w:t>
      </w:r>
      <w:r>
        <w:rPr>
          <w:rStyle w:val="FootnoteReference"/>
        </w:rPr>
        <w:footnoteReference w:id="4"/>
      </w:r>
      <w:r>
        <w:t xml:space="preserve"> The estimate that the filers are responsible for 100% of the total burden hours would stay the same.</w:t>
      </w:r>
    </w:p>
    <w:p w:rsidR="00044E90" w:rsidP="00044E90" w14:paraId="0D978A10" w14:textId="09985272">
      <w:pPr>
        <w:pStyle w:val="BodyTextIndent"/>
        <w:ind w:left="0"/>
      </w:pPr>
    </w:p>
    <w:tbl>
      <w:tblPr>
        <w:tblW w:w="8740" w:type="dxa"/>
        <w:tblInd w:w="93" w:type="dxa"/>
        <w:tblLook w:val="04A0"/>
      </w:tblPr>
      <w:tblGrid>
        <w:gridCol w:w="1182"/>
        <w:gridCol w:w="1157"/>
        <w:gridCol w:w="1634"/>
        <w:gridCol w:w="1457"/>
        <w:gridCol w:w="1157"/>
        <w:gridCol w:w="1121"/>
        <w:gridCol w:w="1103"/>
      </w:tblGrid>
      <w:tr w14:paraId="048FF29B" w14:textId="77777777" w:rsidTr="00200EB2">
        <w:tblPrEx>
          <w:tblW w:w="8740" w:type="dxa"/>
          <w:tblInd w:w="93" w:type="dxa"/>
          <w:tblLook w:val="04A0"/>
        </w:tblPrEx>
        <w:trPr>
          <w:trHeight w:val="187"/>
        </w:trPr>
        <w:tc>
          <w:tcPr>
            <w:tcW w:w="118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44E90" w:rsidRPr="004B2F69" w:rsidP="00200EB2" w14:paraId="0B548C32" w14:textId="77777777">
            <w:pPr>
              <w:rPr>
                <w:b/>
                <w:bCs/>
                <w:color w:val="000000"/>
                <w:sz w:val="22"/>
                <w:szCs w:val="22"/>
              </w:rPr>
            </w:pPr>
            <w:r w:rsidRPr="004B2F69">
              <w:rPr>
                <w:b/>
                <w:bCs/>
                <w:color w:val="000000"/>
                <w:sz w:val="22"/>
                <w:szCs w:val="22"/>
              </w:rPr>
              <w:t>Form ID</w:t>
            </w:r>
          </w:p>
        </w:tc>
        <w:tc>
          <w:tcPr>
            <w:tcW w:w="4238" w:type="dxa"/>
            <w:gridSpan w:val="3"/>
            <w:tcBorders>
              <w:top w:val="single" w:sz="4" w:space="0" w:color="auto"/>
              <w:left w:val="nil"/>
              <w:bottom w:val="single" w:sz="4" w:space="0" w:color="auto"/>
              <w:right w:val="nil"/>
            </w:tcBorders>
            <w:shd w:val="clear" w:color="auto" w:fill="auto"/>
            <w:noWrap/>
            <w:vAlign w:val="bottom"/>
            <w:hideMark/>
          </w:tcPr>
          <w:p w:rsidR="00044E90" w:rsidRPr="004B2F69" w:rsidP="00200EB2" w14:paraId="459302B3" w14:textId="77777777">
            <w:pPr>
              <w:jc w:val="center"/>
              <w:rPr>
                <w:b/>
                <w:bCs/>
                <w:color w:val="000000"/>
                <w:sz w:val="22"/>
                <w:szCs w:val="22"/>
              </w:rPr>
            </w:pPr>
            <w:r w:rsidRPr="004B2F69">
              <w:rPr>
                <w:b/>
                <w:bCs/>
                <w:color w:val="000000"/>
                <w:sz w:val="22"/>
                <w:szCs w:val="22"/>
              </w:rPr>
              <w:t>Annual No. of Filings</w:t>
            </w:r>
          </w:p>
        </w:tc>
        <w:tc>
          <w:tcPr>
            <w:tcW w:w="33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E90" w:rsidRPr="004B2F69" w:rsidP="00200EB2" w14:paraId="33DB7122" w14:textId="77777777">
            <w:pPr>
              <w:jc w:val="center"/>
              <w:rPr>
                <w:b/>
                <w:bCs/>
                <w:color w:val="000000"/>
                <w:sz w:val="22"/>
                <w:szCs w:val="22"/>
              </w:rPr>
            </w:pPr>
            <w:r w:rsidRPr="004B2F69">
              <w:rPr>
                <w:b/>
                <w:bCs/>
                <w:color w:val="000000"/>
                <w:sz w:val="22"/>
                <w:szCs w:val="22"/>
              </w:rPr>
              <w:t>Annual Time Burden (Hrs.)</w:t>
            </w:r>
          </w:p>
        </w:tc>
      </w:tr>
      <w:tr w14:paraId="3D54100E" w14:textId="77777777" w:rsidTr="00200EB2">
        <w:tblPrEx>
          <w:tblW w:w="8740" w:type="dxa"/>
          <w:tblInd w:w="93" w:type="dxa"/>
          <w:tblLook w:val="04A0"/>
        </w:tblPrEx>
        <w:trPr>
          <w:trHeight w:val="375"/>
        </w:trPr>
        <w:tc>
          <w:tcPr>
            <w:tcW w:w="1182" w:type="dxa"/>
            <w:tcBorders>
              <w:top w:val="nil"/>
              <w:left w:val="single" w:sz="4" w:space="0" w:color="auto"/>
              <w:bottom w:val="single" w:sz="4" w:space="0" w:color="auto"/>
              <w:right w:val="nil"/>
            </w:tcBorders>
            <w:shd w:val="clear" w:color="auto" w:fill="auto"/>
            <w:vAlign w:val="center"/>
            <w:hideMark/>
          </w:tcPr>
          <w:p w:rsidR="00044E90" w:rsidRPr="004B2F69" w:rsidP="00200EB2" w14:paraId="215AE234" w14:textId="77777777">
            <w:pPr>
              <w:rPr>
                <w:color w:val="000000"/>
                <w:sz w:val="22"/>
                <w:szCs w:val="22"/>
              </w:rPr>
            </w:pPr>
            <w:r w:rsidRPr="004B2F69">
              <w:rPr>
                <w:color w:val="000000"/>
                <w:sz w:val="22"/>
                <w:szCs w:val="22"/>
              </w:rPr>
              <w:t> </w:t>
            </w:r>
          </w:p>
        </w:tc>
        <w:tc>
          <w:tcPr>
            <w:tcW w:w="1147" w:type="dxa"/>
            <w:tcBorders>
              <w:top w:val="nil"/>
              <w:left w:val="single" w:sz="8" w:space="0" w:color="auto"/>
              <w:bottom w:val="single" w:sz="4" w:space="0" w:color="auto"/>
              <w:right w:val="single" w:sz="4" w:space="0" w:color="auto"/>
            </w:tcBorders>
            <w:shd w:val="clear" w:color="auto" w:fill="auto"/>
            <w:vAlign w:val="center"/>
            <w:hideMark/>
          </w:tcPr>
          <w:p w:rsidR="00044E90" w:rsidRPr="004B2F69" w:rsidP="00200EB2" w14:paraId="36A499B7" w14:textId="77777777">
            <w:pPr>
              <w:jc w:val="center"/>
              <w:rPr>
                <w:i/>
                <w:iCs/>
                <w:color w:val="000000"/>
                <w:sz w:val="22"/>
                <w:szCs w:val="22"/>
              </w:rPr>
            </w:pPr>
            <w:r w:rsidRPr="004B2F69">
              <w:rPr>
                <w:i/>
                <w:iCs/>
                <w:color w:val="000000"/>
                <w:sz w:val="22"/>
                <w:szCs w:val="22"/>
              </w:rPr>
              <w:t>Previously approved</w:t>
            </w:r>
          </w:p>
        </w:tc>
        <w:tc>
          <w:tcPr>
            <w:tcW w:w="1634" w:type="dxa"/>
            <w:tcBorders>
              <w:top w:val="nil"/>
              <w:left w:val="nil"/>
              <w:bottom w:val="single" w:sz="4" w:space="0" w:color="auto"/>
              <w:right w:val="single" w:sz="4" w:space="0" w:color="auto"/>
            </w:tcBorders>
            <w:shd w:val="clear" w:color="auto" w:fill="auto"/>
            <w:vAlign w:val="center"/>
            <w:hideMark/>
          </w:tcPr>
          <w:p w:rsidR="00044E90" w:rsidP="00200EB2" w14:paraId="63A9DD7E" w14:textId="77777777">
            <w:pPr>
              <w:jc w:val="center"/>
              <w:rPr>
                <w:i/>
                <w:iCs/>
                <w:color w:val="000000"/>
                <w:sz w:val="22"/>
                <w:szCs w:val="22"/>
              </w:rPr>
            </w:pPr>
            <w:r w:rsidRPr="004B2F69">
              <w:rPr>
                <w:i/>
                <w:iCs/>
                <w:color w:val="000000"/>
                <w:sz w:val="22"/>
                <w:szCs w:val="22"/>
              </w:rPr>
              <w:t>Requested</w:t>
            </w:r>
          </w:p>
          <w:p w:rsidR="00044E90" w:rsidRPr="004B2F69" w:rsidP="00200EB2" w14:paraId="06A306B7" w14:textId="77777777">
            <w:pPr>
              <w:jc w:val="center"/>
              <w:rPr>
                <w:i/>
                <w:iCs/>
                <w:color w:val="000000"/>
                <w:sz w:val="22"/>
                <w:szCs w:val="22"/>
              </w:rPr>
            </w:pPr>
            <w:r>
              <w:rPr>
                <w:i/>
                <w:iCs/>
                <w:color w:val="000000"/>
                <w:sz w:val="22"/>
                <w:szCs w:val="22"/>
              </w:rPr>
              <w:t>Increase</w:t>
            </w:r>
          </w:p>
        </w:tc>
        <w:tc>
          <w:tcPr>
            <w:tcW w:w="1457" w:type="dxa"/>
            <w:tcBorders>
              <w:top w:val="nil"/>
              <w:left w:val="nil"/>
              <w:bottom w:val="single" w:sz="4" w:space="0" w:color="auto"/>
              <w:right w:val="nil"/>
            </w:tcBorders>
            <w:shd w:val="clear" w:color="auto" w:fill="auto"/>
            <w:vAlign w:val="center"/>
            <w:hideMark/>
          </w:tcPr>
          <w:p w:rsidR="00044E90" w:rsidRPr="004B2F69" w:rsidP="00200EB2" w14:paraId="37454916" w14:textId="77777777">
            <w:pPr>
              <w:jc w:val="center"/>
              <w:rPr>
                <w:i/>
                <w:iCs/>
                <w:color w:val="000000"/>
                <w:sz w:val="22"/>
                <w:szCs w:val="22"/>
              </w:rPr>
            </w:pPr>
            <w:r w:rsidRPr="004B2F69">
              <w:rPr>
                <w:i/>
                <w:iCs/>
                <w:color w:val="000000"/>
                <w:sz w:val="22"/>
                <w:szCs w:val="22"/>
              </w:rPr>
              <w:t>Change</w:t>
            </w:r>
          </w:p>
        </w:tc>
        <w:tc>
          <w:tcPr>
            <w:tcW w:w="1108" w:type="dxa"/>
            <w:tcBorders>
              <w:top w:val="nil"/>
              <w:left w:val="single" w:sz="8" w:space="0" w:color="auto"/>
              <w:bottom w:val="single" w:sz="4" w:space="0" w:color="auto"/>
              <w:right w:val="single" w:sz="4" w:space="0" w:color="auto"/>
            </w:tcBorders>
            <w:shd w:val="clear" w:color="auto" w:fill="auto"/>
            <w:vAlign w:val="center"/>
            <w:hideMark/>
          </w:tcPr>
          <w:p w:rsidR="00044E90" w:rsidRPr="004B2F69" w:rsidP="00200EB2" w14:paraId="7811AA14" w14:textId="77777777">
            <w:pPr>
              <w:jc w:val="center"/>
              <w:rPr>
                <w:i/>
                <w:iCs/>
                <w:color w:val="000000"/>
                <w:sz w:val="22"/>
                <w:szCs w:val="22"/>
              </w:rPr>
            </w:pPr>
            <w:r w:rsidRPr="004B2F69">
              <w:rPr>
                <w:i/>
                <w:iCs/>
                <w:color w:val="000000"/>
                <w:sz w:val="22"/>
                <w:szCs w:val="22"/>
              </w:rPr>
              <w:t>Previously approved</w:t>
            </w:r>
          </w:p>
        </w:tc>
        <w:tc>
          <w:tcPr>
            <w:tcW w:w="1108" w:type="dxa"/>
            <w:tcBorders>
              <w:top w:val="nil"/>
              <w:left w:val="nil"/>
              <w:bottom w:val="single" w:sz="4" w:space="0" w:color="auto"/>
              <w:right w:val="single" w:sz="4" w:space="0" w:color="auto"/>
            </w:tcBorders>
            <w:shd w:val="clear" w:color="auto" w:fill="auto"/>
            <w:vAlign w:val="center"/>
            <w:hideMark/>
          </w:tcPr>
          <w:p w:rsidR="00044E90" w:rsidP="00200EB2" w14:paraId="58B6C058" w14:textId="77777777">
            <w:pPr>
              <w:jc w:val="center"/>
              <w:rPr>
                <w:i/>
                <w:iCs/>
                <w:color w:val="000000"/>
                <w:sz w:val="22"/>
                <w:szCs w:val="22"/>
              </w:rPr>
            </w:pPr>
            <w:r w:rsidRPr="004B2F69">
              <w:rPr>
                <w:i/>
                <w:iCs/>
                <w:color w:val="000000"/>
                <w:sz w:val="22"/>
                <w:szCs w:val="22"/>
              </w:rPr>
              <w:t>Requested</w:t>
            </w:r>
          </w:p>
          <w:p w:rsidR="00044E90" w:rsidRPr="004B2F69" w:rsidP="00200EB2" w14:paraId="75FDCC34" w14:textId="77777777">
            <w:pPr>
              <w:jc w:val="center"/>
              <w:rPr>
                <w:i/>
                <w:iCs/>
                <w:color w:val="000000"/>
                <w:sz w:val="22"/>
                <w:szCs w:val="22"/>
              </w:rPr>
            </w:pPr>
            <w:r>
              <w:rPr>
                <w:i/>
                <w:iCs/>
                <w:color w:val="000000"/>
                <w:sz w:val="22"/>
                <w:szCs w:val="22"/>
              </w:rPr>
              <w:t>Increase</w:t>
            </w:r>
          </w:p>
        </w:tc>
        <w:tc>
          <w:tcPr>
            <w:tcW w:w="1103" w:type="dxa"/>
            <w:tcBorders>
              <w:top w:val="nil"/>
              <w:left w:val="nil"/>
              <w:bottom w:val="nil"/>
              <w:right w:val="single" w:sz="4" w:space="0" w:color="auto"/>
            </w:tcBorders>
            <w:shd w:val="clear" w:color="auto" w:fill="auto"/>
            <w:vAlign w:val="center"/>
            <w:hideMark/>
          </w:tcPr>
          <w:p w:rsidR="00044E90" w:rsidRPr="004B2F69" w:rsidP="00200EB2" w14:paraId="248FD7BC" w14:textId="77777777">
            <w:pPr>
              <w:jc w:val="center"/>
              <w:rPr>
                <w:i/>
                <w:iCs/>
                <w:color w:val="000000"/>
                <w:sz w:val="22"/>
                <w:szCs w:val="22"/>
              </w:rPr>
            </w:pPr>
            <w:r w:rsidRPr="004B2F69">
              <w:rPr>
                <w:i/>
                <w:iCs/>
                <w:color w:val="000000"/>
                <w:sz w:val="22"/>
                <w:szCs w:val="22"/>
              </w:rPr>
              <w:t>Change</w:t>
            </w:r>
          </w:p>
        </w:tc>
      </w:tr>
      <w:tr w14:paraId="0B577989" w14:textId="77777777" w:rsidTr="00200EB2">
        <w:tblPrEx>
          <w:tblW w:w="8740" w:type="dxa"/>
          <w:tblInd w:w="93" w:type="dxa"/>
          <w:tblLook w:val="04A0"/>
        </w:tblPrEx>
        <w:trPr>
          <w:trHeight w:val="187"/>
        </w:trPr>
        <w:tc>
          <w:tcPr>
            <w:tcW w:w="1182" w:type="dxa"/>
            <w:tcBorders>
              <w:top w:val="nil"/>
              <w:left w:val="single" w:sz="4" w:space="0" w:color="auto"/>
              <w:bottom w:val="single" w:sz="4" w:space="0" w:color="auto"/>
              <w:right w:val="nil"/>
            </w:tcBorders>
            <w:shd w:val="clear" w:color="auto" w:fill="auto"/>
            <w:noWrap/>
            <w:vAlign w:val="bottom"/>
            <w:hideMark/>
          </w:tcPr>
          <w:p w:rsidR="00044E90" w:rsidRPr="004B2F69" w:rsidP="00200EB2" w14:paraId="5CF8AADF" w14:textId="77777777">
            <w:pPr>
              <w:rPr>
                <w:color w:val="000000"/>
                <w:sz w:val="22"/>
                <w:szCs w:val="22"/>
              </w:rPr>
            </w:pPr>
            <w:r w:rsidRPr="004B2F69">
              <w:rPr>
                <w:color w:val="000000"/>
                <w:sz w:val="22"/>
                <w:szCs w:val="22"/>
              </w:rPr>
              <w:t xml:space="preserve">Form ID </w:t>
            </w:r>
          </w:p>
        </w:tc>
        <w:tc>
          <w:tcPr>
            <w:tcW w:w="1147" w:type="dxa"/>
            <w:tcBorders>
              <w:top w:val="nil"/>
              <w:left w:val="single" w:sz="8" w:space="0" w:color="auto"/>
              <w:bottom w:val="single" w:sz="4" w:space="0" w:color="auto"/>
              <w:right w:val="single" w:sz="4" w:space="0" w:color="auto"/>
            </w:tcBorders>
            <w:shd w:val="clear" w:color="auto" w:fill="auto"/>
            <w:noWrap/>
            <w:vAlign w:val="bottom"/>
            <w:hideMark/>
          </w:tcPr>
          <w:p w:rsidR="00044E90" w:rsidRPr="004B2F69" w:rsidP="00200EB2" w14:paraId="4AC01948" w14:textId="77777777">
            <w:pPr>
              <w:jc w:val="center"/>
              <w:rPr>
                <w:color w:val="000000"/>
                <w:sz w:val="22"/>
                <w:szCs w:val="22"/>
              </w:rPr>
            </w:pPr>
            <w:r>
              <w:rPr>
                <w:color w:val="000000"/>
                <w:sz w:val="22"/>
                <w:szCs w:val="22"/>
              </w:rPr>
              <w:t>57,329</w:t>
            </w:r>
          </w:p>
        </w:tc>
        <w:tc>
          <w:tcPr>
            <w:tcW w:w="1634" w:type="dxa"/>
            <w:tcBorders>
              <w:top w:val="nil"/>
              <w:left w:val="nil"/>
              <w:bottom w:val="single" w:sz="4" w:space="0" w:color="auto"/>
              <w:right w:val="single" w:sz="4" w:space="0" w:color="auto"/>
            </w:tcBorders>
            <w:shd w:val="clear" w:color="auto" w:fill="auto"/>
            <w:noWrap/>
            <w:vAlign w:val="bottom"/>
            <w:hideMark/>
          </w:tcPr>
          <w:p w:rsidR="00044E90" w:rsidRPr="004B2F69" w:rsidP="00200EB2" w14:paraId="4696CB0E" w14:textId="77777777">
            <w:pPr>
              <w:jc w:val="center"/>
              <w:rPr>
                <w:color w:val="000000"/>
                <w:sz w:val="22"/>
                <w:szCs w:val="22"/>
              </w:rPr>
            </w:pPr>
            <w:r>
              <w:rPr>
                <w:color w:val="000000"/>
                <w:sz w:val="22"/>
                <w:szCs w:val="22"/>
              </w:rPr>
              <w:t>79,457</w:t>
            </w:r>
          </w:p>
        </w:tc>
        <w:tc>
          <w:tcPr>
            <w:tcW w:w="1457" w:type="dxa"/>
            <w:tcBorders>
              <w:top w:val="nil"/>
              <w:left w:val="nil"/>
              <w:bottom w:val="single" w:sz="4" w:space="0" w:color="auto"/>
              <w:right w:val="single" w:sz="8" w:space="0" w:color="auto"/>
            </w:tcBorders>
            <w:shd w:val="clear" w:color="auto" w:fill="auto"/>
            <w:noWrap/>
            <w:vAlign w:val="bottom"/>
            <w:hideMark/>
          </w:tcPr>
          <w:p w:rsidR="00044E90" w:rsidRPr="004B2F69" w:rsidP="00200EB2" w14:paraId="21F8A125" w14:textId="77777777">
            <w:pPr>
              <w:jc w:val="center"/>
              <w:rPr>
                <w:color w:val="000000"/>
                <w:sz w:val="22"/>
                <w:szCs w:val="22"/>
              </w:rPr>
            </w:pPr>
            <w:r>
              <w:rPr>
                <w:color w:val="000000"/>
                <w:sz w:val="22"/>
                <w:szCs w:val="22"/>
              </w:rPr>
              <w:t>22,128</w:t>
            </w:r>
          </w:p>
        </w:tc>
        <w:tc>
          <w:tcPr>
            <w:tcW w:w="1108" w:type="dxa"/>
            <w:tcBorders>
              <w:top w:val="nil"/>
              <w:left w:val="nil"/>
              <w:bottom w:val="single" w:sz="4" w:space="0" w:color="auto"/>
              <w:right w:val="single" w:sz="4" w:space="0" w:color="auto"/>
            </w:tcBorders>
            <w:shd w:val="clear" w:color="auto" w:fill="auto"/>
            <w:noWrap/>
            <w:vAlign w:val="bottom"/>
            <w:hideMark/>
          </w:tcPr>
          <w:p w:rsidR="00044E90" w:rsidRPr="004B2F69" w:rsidP="00200EB2" w14:paraId="5A4ABFBD" w14:textId="77777777">
            <w:pPr>
              <w:jc w:val="center"/>
              <w:rPr>
                <w:color w:val="000000"/>
                <w:sz w:val="22"/>
                <w:szCs w:val="22"/>
              </w:rPr>
            </w:pPr>
            <w:r>
              <w:rPr>
                <w:color w:val="000000"/>
                <w:sz w:val="22"/>
                <w:szCs w:val="22"/>
              </w:rPr>
              <w:t>17,199</w:t>
            </w:r>
          </w:p>
        </w:tc>
        <w:tc>
          <w:tcPr>
            <w:tcW w:w="1108" w:type="dxa"/>
            <w:tcBorders>
              <w:top w:val="nil"/>
              <w:left w:val="nil"/>
              <w:bottom w:val="single" w:sz="4" w:space="0" w:color="auto"/>
              <w:right w:val="single" w:sz="4" w:space="0" w:color="auto"/>
            </w:tcBorders>
            <w:shd w:val="clear" w:color="auto" w:fill="auto"/>
            <w:noWrap/>
            <w:vAlign w:val="bottom"/>
            <w:hideMark/>
          </w:tcPr>
          <w:p w:rsidR="00044E90" w:rsidRPr="004B2F69" w:rsidP="00200EB2" w14:paraId="00AA9174" w14:textId="77777777">
            <w:pPr>
              <w:jc w:val="center"/>
              <w:rPr>
                <w:color w:val="000000"/>
                <w:sz w:val="22"/>
                <w:szCs w:val="22"/>
              </w:rPr>
            </w:pPr>
            <w:r>
              <w:rPr>
                <w:sz w:val="22"/>
                <w:szCs w:val="22"/>
              </w:rPr>
              <w:t>47,674</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44E90" w:rsidRPr="004B2F69" w:rsidP="00200EB2" w14:paraId="2A9AAFD0" w14:textId="77777777">
            <w:pPr>
              <w:jc w:val="center"/>
              <w:rPr>
                <w:color w:val="000000"/>
                <w:sz w:val="22"/>
                <w:szCs w:val="22"/>
              </w:rPr>
            </w:pPr>
            <w:r>
              <w:rPr>
                <w:color w:val="000000"/>
                <w:sz w:val="22"/>
                <w:szCs w:val="22"/>
              </w:rPr>
              <w:t>30,475</w:t>
            </w:r>
          </w:p>
        </w:tc>
      </w:tr>
    </w:tbl>
    <w:p w:rsidR="00044E90" w:rsidP="00044E90" w14:paraId="339F8F98" w14:textId="225CDDBA">
      <w:pPr>
        <w:pStyle w:val="BodyTextIndent"/>
        <w:ind w:left="0"/>
      </w:pPr>
    </w:p>
    <w:p w:rsidR="006C381B" w:rsidP="006C381B" w14:paraId="5FB2E543" w14:textId="3EB9CCC4">
      <w:pPr>
        <w:pStyle w:val="BodyTextIndent"/>
        <w:ind w:left="0" w:firstLine="720"/>
      </w:pPr>
      <w:r>
        <w:t xml:space="preserve">We estimate that each filer would spend approximately one hour setting up the dashboard, and approximately one hour per annum managing the filer’s account on the dashboard. This burden would vary across filers depending on the size of the filer, the number of </w:t>
      </w:r>
      <w:r>
        <w:t>individuals and entities the filer has authorized to act on the dashboard on its behalf, as well as the amount of annual staff turnover for those individuals and entities, among other factors.</w:t>
      </w:r>
      <w:r w:rsidR="00C778E3">
        <w:t xml:space="preserve">  Consequently, the anticipated total annual burden attributed to the dashboard would be approximately 220,000 burden hours.</w:t>
      </w:r>
      <w:r>
        <w:rPr>
          <w:rStyle w:val="FootnoteReference"/>
        </w:rPr>
        <w:footnoteReference w:id="5"/>
      </w:r>
    </w:p>
    <w:p w:rsidR="00636204" w:rsidP="00636204" w14:paraId="766FE953" w14:textId="3E56FEE0">
      <w:pPr>
        <w:pStyle w:val="BodyTextIndent"/>
        <w:ind w:left="0"/>
      </w:pPr>
    </w:p>
    <w:tbl>
      <w:tblPr>
        <w:tblStyle w:val="TableGrid"/>
        <w:tblW w:w="0" w:type="auto"/>
        <w:tblInd w:w="-5" w:type="dxa"/>
        <w:tblLook w:val="04A0"/>
      </w:tblPr>
      <w:tblGrid>
        <w:gridCol w:w="6205"/>
      </w:tblGrid>
      <w:tr w14:paraId="5573C6A2" w14:textId="77777777" w:rsidTr="00200EB2">
        <w:tblPrEx>
          <w:tblW w:w="0" w:type="auto"/>
          <w:tblInd w:w="-5" w:type="dxa"/>
          <w:tblLook w:val="04A0"/>
        </w:tblPrEx>
        <w:tc>
          <w:tcPr>
            <w:tcW w:w="6205" w:type="dxa"/>
          </w:tcPr>
          <w:tbl>
            <w:tblPr>
              <w:tblStyle w:val="TableGrid"/>
              <w:tblW w:w="0" w:type="auto"/>
              <w:jc w:val="center"/>
              <w:tblLook w:val="04A0"/>
            </w:tblPr>
            <w:tblGrid>
              <w:gridCol w:w="1411"/>
              <w:gridCol w:w="1077"/>
              <w:gridCol w:w="336"/>
              <w:gridCol w:w="1646"/>
              <w:gridCol w:w="501"/>
              <w:gridCol w:w="1008"/>
            </w:tblGrid>
            <w:tr w14:paraId="4CA95C3B" w14:textId="77777777" w:rsidTr="00200EB2">
              <w:tblPrEx>
                <w:tblW w:w="0" w:type="auto"/>
                <w:jc w:val="center"/>
                <w:tblLook w:val="04A0"/>
              </w:tblPrEx>
              <w:trPr>
                <w:jc w:val="center"/>
              </w:trPr>
              <w:tc>
                <w:tcPr>
                  <w:tcW w:w="1416" w:type="dxa"/>
                </w:tcPr>
                <w:p w:rsidR="00636204" w:rsidRPr="00B44D9D" w:rsidP="00200EB2" w14:paraId="0E5C4900" w14:textId="77777777">
                  <w:pPr>
                    <w:rPr>
                      <w:b/>
                    </w:rPr>
                  </w:pPr>
                  <w:r w:rsidRPr="00B44D9D">
                    <w:rPr>
                      <w:b/>
                    </w:rPr>
                    <w:t>Active Filers</w:t>
                  </w:r>
                </w:p>
              </w:tc>
              <w:tc>
                <w:tcPr>
                  <w:tcW w:w="1080" w:type="dxa"/>
                </w:tcPr>
                <w:p w:rsidR="00636204" w:rsidRPr="00B44D9D" w:rsidP="00200EB2" w14:paraId="05692B71" w14:textId="77777777">
                  <w:pPr>
                    <w:spacing w:line="480" w:lineRule="auto"/>
                  </w:pPr>
                </w:p>
              </w:tc>
              <w:tc>
                <w:tcPr>
                  <w:tcW w:w="299" w:type="dxa"/>
                </w:tcPr>
                <w:p w:rsidR="00636204" w:rsidRPr="00B44D9D" w:rsidP="00200EB2" w14:paraId="2EB4487F" w14:textId="77777777">
                  <w:pPr>
                    <w:spacing w:line="480" w:lineRule="auto"/>
                  </w:pPr>
                </w:p>
              </w:tc>
              <w:tc>
                <w:tcPr>
                  <w:tcW w:w="1670" w:type="dxa"/>
                </w:tcPr>
                <w:p w:rsidR="00636204" w:rsidRPr="00B44D9D" w:rsidP="00200EB2" w14:paraId="554DFDB0" w14:textId="77777777">
                  <w:pPr>
                    <w:jc w:val="center"/>
                    <w:rPr>
                      <w:b/>
                    </w:rPr>
                  </w:pPr>
                  <w:r w:rsidRPr="00B44D9D">
                    <w:rPr>
                      <w:b/>
                    </w:rPr>
                    <w:t xml:space="preserve">Burden Hours </w:t>
                  </w:r>
                </w:p>
              </w:tc>
              <w:tc>
                <w:tcPr>
                  <w:tcW w:w="506" w:type="dxa"/>
                </w:tcPr>
                <w:p w:rsidR="00636204" w:rsidRPr="00B44D9D" w:rsidP="00200EB2" w14:paraId="2C0A22B4" w14:textId="77777777">
                  <w:pPr>
                    <w:spacing w:line="480" w:lineRule="auto"/>
                  </w:pPr>
                </w:p>
              </w:tc>
              <w:tc>
                <w:tcPr>
                  <w:tcW w:w="1008" w:type="dxa"/>
                </w:tcPr>
                <w:p w:rsidR="00636204" w:rsidRPr="00B44D9D" w:rsidP="00200EB2" w14:paraId="1BE21E19" w14:textId="77777777">
                  <w:pPr>
                    <w:jc w:val="center"/>
                    <w:rPr>
                      <w:b/>
                    </w:rPr>
                  </w:pPr>
                  <w:r w:rsidRPr="00B44D9D">
                    <w:rPr>
                      <w:b/>
                    </w:rPr>
                    <w:t>Total Annual Burden Hours</w:t>
                  </w:r>
                </w:p>
              </w:tc>
            </w:tr>
            <w:tr w14:paraId="72A8AB5E" w14:textId="77777777" w:rsidTr="00200EB2">
              <w:tblPrEx>
                <w:tblW w:w="0" w:type="auto"/>
                <w:jc w:val="center"/>
                <w:tblLook w:val="04A0"/>
              </w:tblPrEx>
              <w:trPr>
                <w:jc w:val="center"/>
              </w:trPr>
              <w:tc>
                <w:tcPr>
                  <w:tcW w:w="1416" w:type="dxa"/>
                </w:tcPr>
                <w:p w:rsidR="00636204" w:rsidRPr="00B44D9D" w:rsidP="00200EB2" w14:paraId="18441149" w14:textId="77777777">
                  <w:pPr>
                    <w:spacing w:line="480" w:lineRule="auto"/>
                  </w:pPr>
                  <w:r w:rsidRPr="00B44D9D">
                    <w:t>Entities</w:t>
                  </w:r>
                </w:p>
              </w:tc>
              <w:tc>
                <w:tcPr>
                  <w:tcW w:w="1080" w:type="dxa"/>
                </w:tcPr>
                <w:p w:rsidR="00636204" w:rsidRPr="00B44D9D" w:rsidP="00200EB2" w14:paraId="0657ECCC" w14:textId="77777777">
                  <w:pPr>
                    <w:spacing w:line="480" w:lineRule="auto"/>
                  </w:pPr>
                  <w:r w:rsidRPr="00B44D9D">
                    <w:t>149,000</w:t>
                  </w:r>
                </w:p>
              </w:tc>
              <w:tc>
                <w:tcPr>
                  <w:tcW w:w="299" w:type="dxa"/>
                </w:tcPr>
                <w:p w:rsidR="00636204" w:rsidRPr="00B44D9D" w:rsidP="00200EB2" w14:paraId="76240853" w14:textId="77777777">
                  <w:pPr>
                    <w:spacing w:line="480" w:lineRule="auto"/>
                    <w:jc w:val="center"/>
                  </w:pPr>
                  <w:r w:rsidRPr="00B44D9D">
                    <w:t>x</w:t>
                  </w:r>
                </w:p>
              </w:tc>
              <w:tc>
                <w:tcPr>
                  <w:tcW w:w="1670" w:type="dxa"/>
                </w:tcPr>
                <w:p w:rsidR="00636204" w:rsidRPr="00B44D9D" w:rsidP="00200EB2" w14:paraId="5F605D86" w14:textId="77777777">
                  <w:pPr>
                    <w:spacing w:line="480" w:lineRule="auto"/>
                    <w:jc w:val="center"/>
                  </w:pPr>
                  <w:r w:rsidRPr="00B44D9D">
                    <w:t>1</w:t>
                  </w:r>
                </w:p>
              </w:tc>
              <w:tc>
                <w:tcPr>
                  <w:tcW w:w="506" w:type="dxa"/>
                </w:tcPr>
                <w:p w:rsidR="00636204" w:rsidRPr="00B44D9D" w:rsidP="00200EB2" w14:paraId="0EF0C3CF" w14:textId="77777777">
                  <w:pPr>
                    <w:spacing w:line="480" w:lineRule="auto"/>
                    <w:jc w:val="center"/>
                  </w:pPr>
                  <w:r w:rsidRPr="00B44D9D">
                    <w:t>=</w:t>
                  </w:r>
                </w:p>
              </w:tc>
              <w:tc>
                <w:tcPr>
                  <w:tcW w:w="1008" w:type="dxa"/>
                </w:tcPr>
                <w:p w:rsidR="00636204" w:rsidRPr="00B44D9D" w:rsidP="00200EB2" w14:paraId="4594A5C7" w14:textId="77777777">
                  <w:pPr>
                    <w:spacing w:line="480" w:lineRule="auto"/>
                  </w:pPr>
                  <w:r w:rsidRPr="00B44D9D">
                    <w:t>149,000</w:t>
                  </w:r>
                </w:p>
              </w:tc>
            </w:tr>
            <w:tr w14:paraId="02E4E697" w14:textId="77777777" w:rsidTr="00200EB2">
              <w:tblPrEx>
                <w:tblW w:w="0" w:type="auto"/>
                <w:jc w:val="center"/>
                <w:tblLook w:val="04A0"/>
              </w:tblPrEx>
              <w:trPr>
                <w:jc w:val="center"/>
              </w:trPr>
              <w:tc>
                <w:tcPr>
                  <w:tcW w:w="1416" w:type="dxa"/>
                </w:tcPr>
                <w:p w:rsidR="00636204" w:rsidRPr="00B44D9D" w:rsidP="00200EB2" w14:paraId="4BC31A73" w14:textId="77777777">
                  <w:pPr>
                    <w:spacing w:line="480" w:lineRule="auto"/>
                  </w:pPr>
                  <w:r w:rsidRPr="00B44D9D">
                    <w:t>Individuals</w:t>
                  </w:r>
                </w:p>
              </w:tc>
              <w:tc>
                <w:tcPr>
                  <w:tcW w:w="1080" w:type="dxa"/>
                </w:tcPr>
                <w:p w:rsidR="00636204" w:rsidRPr="00B44D9D" w:rsidP="00200EB2" w14:paraId="16DA9DCC" w14:textId="77777777">
                  <w:pPr>
                    <w:spacing w:line="480" w:lineRule="auto"/>
                  </w:pPr>
                  <w:r w:rsidRPr="00B44D9D">
                    <w:t>71,000</w:t>
                  </w:r>
                </w:p>
              </w:tc>
              <w:tc>
                <w:tcPr>
                  <w:tcW w:w="299" w:type="dxa"/>
                </w:tcPr>
                <w:p w:rsidR="00636204" w:rsidRPr="00B44D9D" w:rsidP="00200EB2" w14:paraId="5BE463CA" w14:textId="77777777">
                  <w:pPr>
                    <w:spacing w:line="480" w:lineRule="auto"/>
                    <w:jc w:val="center"/>
                  </w:pPr>
                  <w:r w:rsidRPr="00B44D9D">
                    <w:t>x</w:t>
                  </w:r>
                </w:p>
              </w:tc>
              <w:tc>
                <w:tcPr>
                  <w:tcW w:w="1670" w:type="dxa"/>
                </w:tcPr>
                <w:p w:rsidR="00636204" w:rsidRPr="00B44D9D" w:rsidP="00200EB2" w14:paraId="63D51D90" w14:textId="77777777">
                  <w:pPr>
                    <w:spacing w:line="480" w:lineRule="auto"/>
                    <w:jc w:val="center"/>
                  </w:pPr>
                  <w:r w:rsidRPr="00B44D9D">
                    <w:t>1</w:t>
                  </w:r>
                </w:p>
              </w:tc>
              <w:tc>
                <w:tcPr>
                  <w:tcW w:w="506" w:type="dxa"/>
                </w:tcPr>
                <w:p w:rsidR="00636204" w:rsidRPr="00B44D9D" w:rsidP="00200EB2" w14:paraId="01DC0DB6" w14:textId="77777777">
                  <w:pPr>
                    <w:spacing w:line="480" w:lineRule="auto"/>
                    <w:jc w:val="center"/>
                  </w:pPr>
                  <w:r w:rsidRPr="00B44D9D">
                    <w:t>=</w:t>
                  </w:r>
                </w:p>
              </w:tc>
              <w:tc>
                <w:tcPr>
                  <w:tcW w:w="1008" w:type="dxa"/>
                </w:tcPr>
                <w:p w:rsidR="00636204" w:rsidRPr="00B44D9D" w:rsidP="00200EB2" w14:paraId="72069DE9" w14:textId="77777777">
                  <w:pPr>
                    <w:spacing w:line="480" w:lineRule="auto"/>
                  </w:pPr>
                  <w:r w:rsidRPr="00B44D9D">
                    <w:t>71,000</w:t>
                  </w:r>
                </w:p>
              </w:tc>
            </w:tr>
            <w:tr w14:paraId="0D7B0BAD" w14:textId="77777777" w:rsidTr="00200EB2">
              <w:tblPrEx>
                <w:tblW w:w="0" w:type="auto"/>
                <w:jc w:val="center"/>
                <w:tblLook w:val="04A0"/>
              </w:tblPrEx>
              <w:trPr>
                <w:trHeight w:val="683"/>
                <w:jc w:val="center"/>
              </w:trPr>
              <w:tc>
                <w:tcPr>
                  <w:tcW w:w="1416" w:type="dxa"/>
                </w:tcPr>
                <w:p w:rsidR="00636204" w:rsidRPr="00B44D9D" w:rsidP="00200EB2" w14:paraId="226EEB79" w14:textId="77777777">
                  <w:pPr>
                    <w:spacing w:line="480" w:lineRule="auto"/>
                  </w:pPr>
                </w:p>
              </w:tc>
              <w:tc>
                <w:tcPr>
                  <w:tcW w:w="1080" w:type="dxa"/>
                </w:tcPr>
                <w:p w:rsidR="00636204" w:rsidRPr="00B44D9D" w:rsidP="00200EB2" w14:paraId="144C58C7" w14:textId="77777777">
                  <w:pPr>
                    <w:spacing w:line="480" w:lineRule="auto"/>
                  </w:pPr>
                </w:p>
              </w:tc>
              <w:tc>
                <w:tcPr>
                  <w:tcW w:w="299" w:type="dxa"/>
                </w:tcPr>
                <w:p w:rsidR="00636204" w:rsidRPr="00B44D9D" w:rsidP="00200EB2" w14:paraId="4FF69046" w14:textId="77777777">
                  <w:pPr>
                    <w:spacing w:line="480" w:lineRule="auto"/>
                  </w:pPr>
                </w:p>
              </w:tc>
              <w:tc>
                <w:tcPr>
                  <w:tcW w:w="1670" w:type="dxa"/>
                </w:tcPr>
                <w:p w:rsidR="00636204" w:rsidRPr="00B44D9D" w:rsidP="00200EB2" w14:paraId="4109C04C" w14:textId="77777777">
                  <w:pPr>
                    <w:spacing w:line="480" w:lineRule="auto"/>
                  </w:pPr>
                </w:p>
              </w:tc>
              <w:tc>
                <w:tcPr>
                  <w:tcW w:w="506" w:type="dxa"/>
                </w:tcPr>
                <w:p w:rsidR="00636204" w:rsidRPr="00B44D9D" w:rsidP="00200EB2" w14:paraId="2E22E88B" w14:textId="77777777">
                  <w:pPr>
                    <w:spacing w:line="480" w:lineRule="auto"/>
                  </w:pPr>
                </w:p>
              </w:tc>
              <w:tc>
                <w:tcPr>
                  <w:tcW w:w="1008" w:type="dxa"/>
                </w:tcPr>
                <w:p w:rsidR="00636204" w:rsidRPr="00B44D9D" w:rsidP="00200EB2" w14:paraId="0C3FFA89" w14:textId="77777777">
                  <w:pPr>
                    <w:spacing w:line="480" w:lineRule="auto"/>
                    <w:rPr>
                      <w:b/>
                    </w:rPr>
                  </w:pPr>
                  <w:r w:rsidRPr="00B44D9D">
                    <w:rPr>
                      <w:b/>
                    </w:rPr>
                    <w:t>220,000</w:t>
                  </w:r>
                </w:p>
              </w:tc>
            </w:tr>
          </w:tbl>
          <w:p w:rsidR="00636204" w:rsidRPr="00E9239F" w:rsidP="00200EB2" w14:paraId="447B9E46" w14:textId="77777777">
            <w:pPr>
              <w:spacing w:line="480" w:lineRule="auto"/>
            </w:pPr>
          </w:p>
        </w:tc>
      </w:tr>
    </w:tbl>
    <w:p w:rsidR="00636204" w:rsidP="00636204" w14:paraId="2A7CBC9B" w14:textId="77777777">
      <w:pPr>
        <w:pStyle w:val="BodyTextIndent"/>
        <w:ind w:left="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7037" w:rsidP="00777037" w14:paraId="4EA8F937" w14:textId="77777777">
      <w:r>
        <w:separator/>
      </w:r>
    </w:p>
  </w:footnote>
  <w:footnote w:type="continuationSeparator" w:id="1">
    <w:p w:rsidR="00777037" w:rsidP="00777037" w14:paraId="1B1A729E" w14:textId="77777777">
      <w:r>
        <w:continuationSeparator/>
      </w:r>
    </w:p>
  </w:footnote>
  <w:footnote w:id="2">
    <w:p w:rsidR="00777037" w:rsidRPr="00A3037C" w:rsidP="00777037" w14:paraId="624CC956" w14:textId="77777777">
      <w:pPr>
        <w:pStyle w:val="FootnoteText"/>
      </w:pPr>
      <w:r w:rsidRPr="00A3037C">
        <w:rPr>
          <w:rStyle w:val="FootnoteReference"/>
        </w:rPr>
        <w:footnoteRef/>
      </w:r>
      <w:r w:rsidRPr="00A3037C">
        <w:t xml:space="preserve"> </w:t>
      </w:r>
      <w:r w:rsidRPr="00A3037C">
        <w:rPr>
          <w:i/>
          <w:iCs/>
          <w:u w:val="single"/>
        </w:rPr>
        <w:t>See</w:t>
      </w:r>
      <w:r w:rsidRPr="00A3037C">
        <w:t xml:space="preserve"> EDGAR Filer Access and Account Management, Release No. 33-11232, Sept. 13, 2023 [88 FR 65524 (Sept. 22, 2023)].</w:t>
      </w:r>
    </w:p>
    <w:p w:rsidR="00777037" w:rsidRPr="00A3037C" w:rsidP="00777037" w14:paraId="36D4C6A7" w14:textId="77777777">
      <w:pPr>
        <w:pStyle w:val="FootnoteText"/>
      </w:pPr>
    </w:p>
  </w:footnote>
  <w:footnote w:id="3">
    <w:p w:rsidR="00830F7E" w:rsidP="00830F7E" w14:paraId="1EDB9813" w14:textId="7742E15B">
      <w:pPr>
        <w:pStyle w:val="FootnoteText"/>
      </w:pPr>
      <w:r w:rsidRPr="00A3037C">
        <w:rPr>
          <w:rStyle w:val="FootnoteReference"/>
        </w:rPr>
        <w:footnoteRef/>
      </w:r>
      <w:r w:rsidRPr="00A3037C">
        <w:t xml:space="preserve"> Each authorized individual must have obtained individual account credentials for EDGAR in the manner to be specified in the EDGAR Filer Manual.</w:t>
      </w:r>
    </w:p>
    <w:p w:rsidR="00F558F2" w:rsidRPr="00A3037C" w:rsidP="00830F7E" w14:paraId="5BCC4A4E" w14:textId="77777777">
      <w:pPr>
        <w:pStyle w:val="FootnoteText"/>
      </w:pPr>
    </w:p>
  </w:footnote>
  <w:footnote w:id="4">
    <w:p w:rsidR="00BD53FE" w:rsidP="00BD53FE" w14:paraId="70B1C47B" w14:textId="77777777">
      <w:pPr>
        <w:pStyle w:val="FootnoteText"/>
      </w:pPr>
      <w:r w:rsidRPr="00A3037C">
        <w:rPr>
          <w:rStyle w:val="FootnoteReference"/>
        </w:rPr>
        <w:footnoteRef/>
      </w:r>
      <w:r w:rsidRPr="00A3037C">
        <w:t xml:space="preserve"> 79,457 filings x 0.60 hours/filing = 47,674 hours.</w:t>
      </w:r>
    </w:p>
    <w:p w:rsidR="00BD53FE" w:rsidRPr="00A3037C" w:rsidP="00BD53FE" w14:paraId="6ECB909A" w14:textId="77777777">
      <w:pPr>
        <w:pStyle w:val="FootnoteText"/>
      </w:pPr>
    </w:p>
  </w:footnote>
  <w:footnote w:id="5">
    <w:p w:rsidR="00C778E3" w:rsidRPr="00A3037C" w:rsidP="00C778E3" w14:paraId="78F1514B" w14:textId="77777777">
      <w:pPr>
        <w:pStyle w:val="FootnoteText"/>
      </w:pPr>
      <w:r w:rsidRPr="00A3037C">
        <w:rPr>
          <w:rStyle w:val="FootnoteReference"/>
        </w:rPr>
        <w:footnoteRef/>
      </w:r>
      <w:r w:rsidRPr="00A3037C">
        <w:t xml:space="preserve"> 149,000 active entity filers on EDGAR x 1 hour = 149,000 burden hours. 71,000 active individual filers on EDGAR x 1 hour = 71,000 burden hours. 149,000 burden hours + 71,000 burden hours = 220,000 total annual burden hours.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37"/>
    <w:rsid w:val="000210B4"/>
    <w:rsid w:val="000348A7"/>
    <w:rsid w:val="00044E90"/>
    <w:rsid w:val="0005149E"/>
    <w:rsid w:val="00200EB2"/>
    <w:rsid w:val="002F1142"/>
    <w:rsid w:val="004158E6"/>
    <w:rsid w:val="004B2F69"/>
    <w:rsid w:val="004F2AA5"/>
    <w:rsid w:val="00505F1D"/>
    <w:rsid w:val="006359E4"/>
    <w:rsid w:val="00636204"/>
    <w:rsid w:val="00662D52"/>
    <w:rsid w:val="006911D7"/>
    <w:rsid w:val="006B0F99"/>
    <w:rsid w:val="006C381B"/>
    <w:rsid w:val="00777037"/>
    <w:rsid w:val="007E429B"/>
    <w:rsid w:val="00830F7E"/>
    <w:rsid w:val="00873B83"/>
    <w:rsid w:val="0087700E"/>
    <w:rsid w:val="009922D9"/>
    <w:rsid w:val="00A3037C"/>
    <w:rsid w:val="00B44D9D"/>
    <w:rsid w:val="00BD53FE"/>
    <w:rsid w:val="00C06914"/>
    <w:rsid w:val="00C52FF9"/>
    <w:rsid w:val="00C778E3"/>
    <w:rsid w:val="00CC2F4B"/>
    <w:rsid w:val="00D538D4"/>
    <w:rsid w:val="00D56455"/>
    <w:rsid w:val="00E67F28"/>
    <w:rsid w:val="00E9239F"/>
    <w:rsid w:val="00F55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6F834"/>
  <w15:chartTrackingRefBased/>
  <w15:docId w15:val="{A6F121F2-92E0-4F9E-BC98-F763BB31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0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7037"/>
    <w:pPr>
      <w:ind w:left="1440"/>
    </w:pPr>
  </w:style>
  <w:style w:type="character" w:customStyle="1" w:styleId="BodyTextIndentChar">
    <w:name w:val="Body Text Indent Char"/>
    <w:basedOn w:val="DefaultParagraphFont"/>
    <w:link w:val="BodyTextIndent"/>
    <w:rsid w:val="0077703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77037"/>
    <w:rPr>
      <w:sz w:val="16"/>
      <w:szCs w:val="16"/>
    </w:rPr>
  </w:style>
  <w:style w:type="paragraph" w:styleId="CommentText">
    <w:name w:val="annotation text"/>
    <w:basedOn w:val="Normal"/>
    <w:link w:val="CommentTextChar"/>
    <w:uiPriority w:val="99"/>
    <w:unhideWhenUsed/>
    <w:rsid w:val="00777037"/>
    <w:rPr>
      <w:sz w:val="20"/>
    </w:rPr>
  </w:style>
  <w:style w:type="character" w:customStyle="1" w:styleId="CommentTextChar">
    <w:name w:val="Comment Text Char"/>
    <w:basedOn w:val="DefaultParagraphFont"/>
    <w:link w:val="CommentText"/>
    <w:uiPriority w:val="99"/>
    <w:rsid w:val="00777037"/>
    <w:rPr>
      <w:rFonts w:ascii="Times New Roman" w:eastAsia="Times New Roman" w:hAnsi="Times New Roman" w:cs="Times New Roman"/>
      <w:sz w:val="20"/>
      <w:szCs w:val="20"/>
    </w:rPr>
  </w:style>
  <w:style w:type="paragraph" w:styleId="FootnoteText">
    <w:name w:val="footnote text"/>
    <w:aliases w:val="*Footnote Text,Footnote Text Char Char,Footnote Text Char Char Char,Footnote Text Char Char Char Char,Footnote Text Char Char Char Char Char Char Char Char Char Char Char Char Char Char Char Char Char,Footnote Text Char1 Char Char,fn,ft"/>
    <w:basedOn w:val="Normal"/>
    <w:link w:val="FootnoteTextChar"/>
    <w:unhideWhenUsed/>
    <w:qFormat/>
    <w:rsid w:val="00777037"/>
    <w:rPr>
      <w:sz w:val="20"/>
    </w:rPr>
  </w:style>
  <w:style w:type="character" w:customStyle="1" w:styleId="FootnoteTextChar">
    <w:name w:val="Footnote Text Char"/>
    <w:aliases w:val="*Footnote Text Char,Footnote Text Char Char Char Char Char Char Char Char Char Char Char Char Char Char Char Char Char Char,Footnote Text Char Char Char Char1,Footnote Text Char Char Char1,fn Char,ft Char"/>
    <w:basedOn w:val="DefaultParagraphFont"/>
    <w:link w:val="FootnoteText"/>
    <w:rsid w:val="00777037"/>
    <w:rPr>
      <w:rFonts w:ascii="Times New Roman" w:eastAsia="Times New Roman" w:hAnsi="Times New Roman" w:cs="Times New Roman"/>
      <w:sz w:val="20"/>
      <w:szCs w:val="20"/>
    </w:rPr>
  </w:style>
  <w:style w:type="character" w:styleId="FootnoteReference">
    <w:name w:val="footnote reference"/>
    <w:aliases w:val="(Footnote Reference),12,BVI fnr,EN Footnote Reference,Footnote Reference Superscript,Footnote Text Char Char Char Char Cha,Footnote reference number,Footnote symbol,SUPERS,Style 14,Style 16,Style 19,Style 35,Style 39,fr,note TESI"/>
    <w:basedOn w:val="DefaultParagraphFont"/>
    <w:uiPriority w:val="99"/>
    <w:unhideWhenUsed/>
    <w:qFormat/>
    <w:rsid w:val="00777037"/>
    <w:rPr>
      <w:vertAlign w:val="superscript"/>
    </w:rPr>
  </w:style>
  <w:style w:type="paragraph" w:styleId="BlockText">
    <w:name w:val="Block Text"/>
    <w:basedOn w:val="Normal"/>
    <w:rsid w:val="00830F7E"/>
    <w:pPr>
      <w:ind w:left="2160" w:right="720"/>
    </w:pPr>
  </w:style>
  <w:style w:type="table" w:styleId="TableGrid">
    <w:name w:val="Table Grid"/>
    <w:basedOn w:val="TableNormal"/>
    <w:uiPriority w:val="39"/>
    <w:rsid w:val="0063620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29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52FF9"/>
    <w:pPr>
      <w:tabs>
        <w:tab w:val="center" w:pos="4680"/>
        <w:tab w:val="right" w:pos="9360"/>
      </w:tabs>
    </w:pPr>
  </w:style>
  <w:style w:type="character" w:customStyle="1" w:styleId="HeaderChar">
    <w:name w:val="Header Char"/>
    <w:basedOn w:val="DefaultParagraphFont"/>
    <w:link w:val="Header"/>
    <w:uiPriority w:val="99"/>
    <w:rsid w:val="00C52FF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FF9"/>
    <w:pPr>
      <w:tabs>
        <w:tab w:val="center" w:pos="4680"/>
        <w:tab w:val="right" w:pos="9360"/>
      </w:tabs>
    </w:pPr>
  </w:style>
  <w:style w:type="character" w:customStyle="1" w:styleId="FooterChar">
    <w:name w:val="Footer Char"/>
    <w:basedOn w:val="DefaultParagraphFont"/>
    <w:link w:val="Footer"/>
    <w:uiPriority w:val="99"/>
    <w:rsid w:val="00C52F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457FD34F63EF345B99C54D75354B761" ma:contentTypeVersion="20" ma:contentTypeDescription="Create a new document." ma:contentTypeScope="" ma:versionID="7788b7161875c4c3058f9ae931f700ab">
  <xsd:schema xmlns:xsd="http://www.w3.org/2001/XMLSchema" xmlns:xs="http://www.w3.org/2001/XMLSchema" xmlns:p="http://schemas.microsoft.com/office/2006/metadata/properties" xmlns:ns1="http://schemas.microsoft.com/sharepoint/v3" xmlns:ns2="64ed2f7e-4420-4e08-b9d3-0db9afe5d2ee" xmlns:ns3="7820a65c-5d6e-4eb1-a601-f0b974b55077" targetNamespace="http://schemas.microsoft.com/office/2006/metadata/properties" ma:root="true" ma:fieldsID="bc1e680d40d6045919ae4007ca9028d8" ns1:_="" ns2:_="" ns3:_="">
    <xsd:import namespace="http://schemas.microsoft.com/sharepoint/v3"/>
    <xsd:import namespace="64ed2f7e-4420-4e08-b9d3-0db9afe5d2ee"/>
    <xsd:import namespace="7820a65c-5d6e-4eb1-a601-f0b974b5507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d2f7e-4420-4e08-b9d3-0db9afe5d2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0a65c-5d6e-4eb1-a601-f0b974b5507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4ed2f7e-4420-4e08-b9d3-0db9afe5d2ee">KXUQXES3YWSE-513499013-4416</_dlc_DocId>
    <_dlc_DocIdUrl xmlns="64ed2f7e-4420-4e08-b9d3-0db9afe5d2ee">
      <Url>https://secoit.sharepoint.com/sites/EBO/OCC/_layouts/15/DocIdRedir.aspx?ID=KXUQXES3YWSE-513499013-4416</Url>
      <Description>KXUQXES3YWSE-513499013-4416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5558D-4C19-4482-BB31-EBAB1E60F31F}">
  <ds:schemaRefs>
    <ds:schemaRef ds:uri="http://schemas.microsoft.com/sharepoint/events"/>
  </ds:schemaRefs>
</ds:datastoreItem>
</file>

<file path=customXml/itemProps2.xml><?xml version="1.0" encoding="utf-8"?>
<ds:datastoreItem xmlns:ds="http://schemas.openxmlformats.org/officeDocument/2006/customXml" ds:itemID="{B9AF3F48-EAD2-4EC9-9DC9-1617D751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ed2f7e-4420-4e08-b9d3-0db9afe5d2ee"/>
    <ds:schemaRef ds:uri="7820a65c-5d6e-4eb1-a601-f0b974b55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182DE-75F1-4E2C-A109-34CAE335EE75}">
  <ds:schemaRefs>
    <ds:schemaRef ds:uri="7820a65c-5d6e-4eb1-a601-f0b974b55077"/>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64ed2f7e-4420-4e08-b9d3-0db9afe5d2ee"/>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F63F8CC-780B-4C73-B54F-905DA9549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Security Exchange Commission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E. Laurita</dc:creator>
  <cp:lastModifiedBy>Crawley, Pearl</cp:lastModifiedBy>
  <cp:revision>2</cp:revision>
  <cp:lastPrinted>2023-11-16T20:41:00Z</cp:lastPrinted>
  <dcterms:created xsi:type="dcterms:W3CDTF">2023-11-16T21:28:00Z</dcterms:created>
  <dcterms:modified xsi:type="dcterms:W3CDTF">2023-11-16T21:28:00Z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0x010100F457FD34F63EF345B99C54D75354B761</vt:lpwstr>
  </property>
  <property fmtid="{D5CDD505-2E9C-101B-9397-08002B2CF9AE}" pid="3" name="_dlc_DocIdItemGuid">
    <vt:lpwstr>bbe14a91-27ab-4ed0-8193-e8af4a30c6df</vt:lpwstr>
  </property>
</Properties>
</file>