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28E1" w:rsidRPr="00461295" w:rsidP="008440FA" w14:paraId="1424B2F0" w14:textId="77777777">
      <w:pPr>
        <w:spacing w:line="240" w:lineRule="auto"/>
      </w:pPr>
    </w:p>
    <w:p w:rsidR="009128E1" w:rsidRPr="00461295" w:rsidP="008440FA" w14:paraId="5EF14EBE" w14:textId="77777777">
      <w:pPr>
        <w:spacing w:line="240" w:lineRule="auto"/>
      </w:pPr>
    </w:p>
    <w:p w:rsidR="009128E1" w:rsidRPr="00461295" w:rsidP="008440FA" w14:paraId="6A66B9A5" w14:textId="77777777">
      <w:pPr>
        <w:spacing w:line="240" w:lineRule="auto"/>
      </w:pPr>
    </w:p>
    <w:p w:rsidR="009128E1" w:rsidP="008440FA" w14:paraId="01ECDAFE" w14:textId="77777777">
      <w:pPr>
        <w:spacing w:line="240" w:lineRule="auto"/>
        <w:jc w:val="center"/>
        <w:rPr>
          <w:lang w:val="en-CA"/>
        </w:rPr>
      </w:pPr>
      <w:r>
        <w:rPr>
          <w:noProof/>
        </w:rPr>
        <mc:AlternateContent>
          <mc:Choice Requires="wps">
            <w:drawing>
              <wp:anchor distT="0" distB="0" distL="114300" distR="114300" simplePos="0" relativeHeight="251658240" behindDoc="0" locked="0" layoutInCell="1" allowOverlap="1">
                <wp:simplePos x="0" y="0"/>
                <wp:positionH relativeFrom="margin">
                  <wp:posOffset>38100</wp:posOffset>
                </wp:positionH>
                <wp:positionV relativeFrom="paragraph">
                  <wp:posOffset>111760</wp:posOffset>
                </wp:positionV>
                <wp:extent cx="5943600" cy="0"/>
                <wp:effectExtent l="38100" t="33020" r="38100" b="33655"/>
                <wp:wrapNone/>
                <wp:docPr id="10"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60960" cmpd="dbl">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position-horizontal-relative:margin;mso-width-percent:0;mso-width-relative:page;mso-wrap-distance-bottom:0;mso-wrap-distance-left:9pt;mso-wrap-distance-right:9pt;mso-wrap-distance-top:0;mso-wrap-style:square;position:absolute;visibility:visible;z-index:251659264" from="3pt,8.8pt" to="471pt,8.8pt" strokecolor="#020000" strokeweight="4.8pt">
                <v:stroke linestyle="thinThin"/>
                <w10:wrap anchorx="margin"/>
              </v:line>
            </w:pict>
          </mc:Fallback>
        </mc:AlternateContent>
      </w:r>
    </w:p>
    <w:p w:rsidR="00B47832" w:rsidRPr="00B47832" w:rsidP="008440FA" w14:paraId="285B400C" w14:textId="3D14293D">
      <w:pPr>
        <w:spacing w:line="240" w:lineRule="auto"/>
        <w:jc w:val="center"/>
        <w:rPr>
          <w:b/>
          <w:sz w:val="40"/>
        </w:rPr>
      </w:pPr>
      <w:r w:rsidRPr="00B47832">
        <w:rPr>
          <w:b/>
          <w:sz w:val="40"/>
        </w:rPr>
        <w:t xml:space="preserve">Regulatory Analysis for the </w:t>
      </w:r>
      <w:r w:rsidR="00EE45B1">
        <w:rPr>
          <w:b/>
          <w:sz w:val="40"/>
        </w:rPr>
        <w:t>Final</w:t>
      </w:r>
      <w:r w:rsidRPr="00B47832">
        <w:rPr>
          <w:b/>
          <w:sz w:val="40"/>
        </w:rPr>
        <w:t xml:space="preserve"> Rule:</w:t>
      </w:r>
    </w:p>
    <w:p w:rsidR="00B47832" w:rsidRPr="00B47832" w:rsidP="008440FA" w14:paraId="4FB4CE25" w14:textId="77777777">
      <w:pPr>
        <w:spacing w:line="240" w:lineRule="auto"/>
        <w:jc w:val="center"/>
        <w:rPr>
          <w:b/>
          <w:sz w:val="40"/>
        </w:rPr>
      </w:pPr>
      <w:r w:rsidRPr="00B47832">
        <w:rPr>
          <w:b/>
          <w:sz w:val="40"/>
        </w:rPr>
        <w:t>Emergency Preparedness for Small Modular Reactors and Other New Technologies</w:t>
      </w:r>
    </w:p>
    <w:p w:rsidR="00397E52" w:rsidP="008440FA" w14:paraId="7D2FF3B9" w14:textId="77777777">
      <w:pPr>
        <w:spacing w:line="240" w:lineRule="auto"/>
        <w:jc w:val="center"/>
        <w:rPr>
          <w:noProof/>
        </w:rPr>
      </w:pPr>
    </w:p>
    <w:p w:rsidR="009128E1" w:rsidRPr="00581806" w:rsidP="008440FA" w14:paraId="7699F2E6" w14:textId="6997BCB9">
      <w:pPr>
        <w:spacing w:line="240" w:lineRule="auto"/>
        <w:jc w:val="center"/>
        <w:rPr>
          <w:b/>
          <w:noProof/>
        </w:rPr>
      </w:pPr>
      <w:r w:rsidRPr="00581806">
        <w:rPr>
          <w:b/>
          <w:noProof/>
        </w:rPr>
        <w:t>RIN No.:  3150-AJ68; NRC Docket ID:  NRC-2015-0225</w:t>
      </w:r>
    </w:p>
    <w:p w:rsidR="009128E1" w:rsidP="008440FA" w14:paraId="0B085D58" w14:textId="77777777">
      <w:pPr>
        <w:spacing w:line="240" w:lineRule="auto"/>
        <w:jc w:val="center"/>
        <w:rPr>
          <w:lang w:val="en-CA"/>
        </w:rPr>
      </w:pPr>
      <w:r>
        <w:rPr>
          <w:noProof/>
        </w:rPr>
        <mc:AlternateContent>
          <mc:Choice Requires="wps">
            <w:drawing>
              <wp:anchor distT="0" distB="0" distL="114300" distR="114300" simplePos="0" relativeHeight="251660288" behindDoc="0" locked="0" layoutInCell="1" allowOverlap="1">
                <wp:simplePos x="0" y="0"/>
                <wp:positionH relativeFrom="margin">
                  <wp:posOffset>38100</wp:posOffset>
                </wp:positionH>
                <wp:positionV relativeFrom="paragraph">
                  <wp:posOffset>111760</wp:posOffset>
                </wp:positionV>
                <wp:extent cx="5943600" cy="0"/>
                <wp:effectExtent l="38100" t="33020" r="38100" b="33655"/>
                <wp:wrapNone/>
                <wp:docPr id="2"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60960" cmpd="dbl">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position-horizontal-relative:margin;mso-width-percent:0;mso-width-relative:page;mso-wrap-distance-bottom:0;mso-wrap-distance-left:9pt;mso-wrap-distance-right:9pt;mso-wrap-distance-top:0;mso-wrap-style:square;position:absolute;visibility:visible;z-index:251661312" from="3pt,8.8pt" to="471pt,8.8pt" strokecolor="#020000" strokeweight="4.8pt">
                <v:stroke linestyle="thinThin"/>
                <w10:wrap anchorx="margin"/>
              </v:line>
            </w:pict>
          </mc:Fallback>
        </mc:AlternateContent>
      </w:r>
    </w:p>
    <w:p w:rsidR="009128E1" w:rsidRPr="00461295" w:rsidP="008440FA" w14:paraId="5AF19FDB" w14:textId="77777777">
      <w:pPr>
        <w:spacing w:line="240" w:lineRule="auto"/>
      </w:pPr>
    </w:p>
    <w:p w:rsidR="009128E1" w:rsidRPr="00461295" w:rsidP="008440FA" w14:paraId="028E78D1" w14:textId="77777777">
      <w:pPr>
        <w:spacing w:line="240" w:lineRule="auto"/>
      </w:pPr>
    </w:p>
    <w:p w:rsidR="0059397A" w:rsidRPr="00F025BA" w:rsidP="008440FA" w14:paraId="176E8F23" w14:textId="3D081D2E">
      <w:pPr>
        <w:spacing w:line="240" w:lineRule="auto"/>
        <w:rPr>
          <w:sz w:val="32"/>
          <w:szCs w:val="32"/>
        </w:rPr>
      </w:pPr>
      <w:r w:rsidRPr="001E4990">
        <w:rPr>
          <w:b/>
          <w:sz w:val="32"/>
          <w:szCs w:val="32"/>
          <w:highlight w:val="yellow"/>
        </w:rPr>
        <w:t>[ENTER DATE WHEN READY TO ISSUE]</w:t>
      </w:r>
    </w:p>
    <w:p w:rsidR="009128E1" w:rsidRPr="00461295" w:rsidP="008440FA" w14:paraId="3B8007C4" w14:textId="77777777">
      <w:pPr>
        <w:spacing w:line="240" w:lineRule="auto"/>
      </w:pPr>
    </w:p>
    <w:p w:rsidR="009128E1" w:rsidRPr="00461295" w:rsidP="008440FA" w14:paraId="39B6B6C8" w14:textId="77777777">
      <w:pPr>
        <w:spacing w:line="240" w:lineRule="auto"/>
      </w:pPr>
    </w:p>
    <w:p w:rsidR="009128E1" w:rsidRPr="00461295" w:rsidP="008440FA" w14:paraId="318EE28F" w14:textId="77777777">
      <w:pPr>
        <w:spacing w:line="240" w:lineRule="auto"/>
      </w:pPr>
    </w:p>
    <w:p w:rsidR="009128E1" w:rsidRPr="00822ECA" w:rsidP="008440FA" w14:paraId="519661DD" w14:textId="1DC9CCD7">
      <w:pPr>
        <w:autoSpaceDE/>
        <w:autoSpaceDN/>
        <w:adjustRightInd/>
        <w:spacing w:line="240" w:lineRule="auto"/>
        <w:rPr>
          <w:rFonts w:eastAsia="Calibri"/>
          <w:b/>
          <w:color w:val="auto"/>
          <w:sz w:val="32"/>
          <w:szCs w:val="32"/>
        </w:rPr>
      </w:pPr>
      <w:r w:rsidRPr="00822ECA">
        <w:rPr>
          <w:rFonts w:eastAsia="Calibri"/>
          <w:b/>
          <w:color w:val="auto"/>
          <w:sz w:val="32"/>
          <w:szCs w:val="32"/>
        </w:rPr>
        <w:t>U.S. Nuclear Regulatory Commissio</w:t>
      </w:r>
      <w:r w:rsidR="00C81E24">
        <w:rPr>
          <w:rFonts w:eastAsia="Calibri"/>
          <w:b/>
          <w:color w:val="auto"/>
          <w:sz w:val="32"/>
          <w:szCs w:val="32"/>
        </w:rPr>
        <w:t>n</w:t>
      </w:r>
    </w:p>
    <w:p w:rsidR="009128E1" w:rsidP="008440FA" w14:paraId="5F1717EB" w14:textId="77777777">
      <w:pPr>
        <w:spacing w:line="240" w:lineRule="auto"/>
        <w:rPr>
          <w:sz w:val="20"/>
          <w:szCs w:val="20"/>
        </w:rPr>
      </w:pPr>
    </w:p>
    <w:p w:rsidR="009128E1" w:rsidP="008440FA" w14:paraId="13FD7521" w14:textId="77777777">
      <w:pPr>
        <w:spacing w:line="240" w:lineRule="auto"/>
        <w:rPr>
          <w:sz w:val="20"/>
          <w:szCs w:val="20"/>
        </w:rPr>
      </w:pPr>
    </w:p>
    <w:p w:rsidR="009128E1" w:rsidRPr="00822ECA" w:rsidP="008440FA" w14:paraId="7D8335E5" w14:textId="77777777">
      <w:pPr>
        <w:spacing w:line="240" w:lineRule="auto"/>
        <w:rPr>
          <w:sz w:val="20"/>
          <w:szCs w:val="20"/>
        </w:rPr>
      </w:pPr>
    </w:p>
    <w:p w:rsidR="009128E1" w:rsidP="008440FA" w14:paraId="2DB79A43" w14:textId="77777777">
      <w:pPr>
        <w:spacing w:line="240" w:lineRule="auto"/>
        <w:rPr>
          <w:sz w:val="20"/>
          <w:szCs w:val="20"/>
        </w:rPr>
      </w:pPr>
    </w:p>
    <w:p w:rsidR="009128E1" w:rsidP="008440FA" w14:paraId="77A5D0C8" w14:textId="77777777">
      <w:pPr>
        <w:spacing w:line="240" w:lineRule="auto"/>
        <w:rPr>
          <w:sz w:val="20"/>
          <w:szCs w:val="20"/>
        </w:rPr>
      </w:pPr>
    </w:p>
    <w:p w:rsidR="009128E1" w:rsidP="008440FA" w14:paraId="2F477DB2" w14:textId="02699383">
      <w:pPr>
        <w:spacing w:line="240" w:lineRule="auto"/>
        <w:rPr>
          <w:sz w:val="20"/>
          <w:szCs w:val="20"/>
        </w:rPr>
      </w:pPr>
    </w:p>
    <w:p w:rsidR="009128E1" w:rsidP="008440FA" w14:paraId="64ADE503" w14:textId="77777777">
      <w:pPr>
        <w:spacing w:line="240" w:lineRule="auto"/>
        <w:rPr>
          <w:sz w:val="20"/>
          <w:szCs w:val="20"/>
        </w:rPr>
      </w:pPr>
    </w:p>
    <w:p w:rsidR="009128E1" w:rsidP="008440FA" w14:paraId="7E378BA3" w14:textId="77777777">
      <w:pPr>
        <w:spacing w:line="240" w:lineRule="auto"/>
        <w:rPr>
          <w:sz w:val="20"/>
          <w:szCs w:val="20"/>
        </w:rPr>
      </w:pPr>
    </w:p>
    <w:p w:rsidR="009128E1" w:rsidRPr="00822ECA" w:rsidP="008440FA" w14:paraId="33F4ED78" w14:textId="77777777">
      <w:pPr>
        <w:spacing w:line="240" w:lineRule="auto"/>
        <w:rPr>
          <w:sz w:val="20"/>
          <w:szCs w:val="20"/>
        </w:rPr>
      </w:pPr>
    </w:p>
    <w:p w:rsidR="009128E1" w:rsidRPr="00822ECA" w:rsidP="008440FA" w14:paraId="5646D4CE" w14:textId="77777777">
      <w:pPr>
        <w:spacing w:line="240" w:lineRule="auto"/>
        <w:rPr>
          <w:sz w:val="20"/>
          <w:szCs w:val="20"/>
        </w:rPr>
      </w:pPr>
    </w:p>
    <w:p w:rsidR="009128E1" w:rsidRPr="00822ECA" w:rsidP="008440FA" w14:paraId="765ED639" w14:textId="77777777">
      <w:pPr>
        <w:spacing w:line="240" w:lineRule="auto"/>
        <w:rPr>
          <w:sz w:val="20"/>
          <w:szCs w:val="20"/>
        </w:rPr>
      </w:pPr>
    </w:p>
    <w:p w:rsidR="009128E1" w:rsidRPr="00822ECA" w:rsidP="008440FA" w14:paraId="2F4D3E6C" w14:textId="77777777">
      <w:pPr>
        <w:spacing w:line="240" w:lineRule="auto"/>
        <w:rPr>
          <w:sz w:val="20"/>
          <w:szCs w:val="20"/>
        </w:rPr>
      </w:pPr>
    </w:p>
    <w:p w:rsidR="009128E1" w:rsidRPr="00822ECA" w:rsidP="008440FA" w14:paraId="4160767F" w14:textId="77777777">
      <w:pPr>
        <w:spacing w:line="240" w:lineRule="auto"/>
        <w:rPr>
          <w:sz w:val="20"/>
          <w:szCs w:val="20"/>
        </w:rPr>
      </w:pPr>
      <w:r>
        <w:rPr>
          <w:noProof/>
        </w:rPr>
        <w:drawing>
          <wp:inline distT="0" distB="0" distL="0" distR="0">
            <wp:extent cx="1341120" cy="1341120"/>
            <wp:effectExtent l="0" t="0" r="0" b="0"/>
            <wp:docPr id="3" name="Picture 6" descr="NRC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341120" cy="1341120"/>
                    </a:xfrm>
                    <a:prstGeom prst="rect">
                      <a:avLst/>
                    </a:prstGeom>
                  </pic:spPr>
                </pic:pic>
              </a:graphicData>
            </a:graphic>
          </wp:inline>
        </w:drawing>
      </w:r>
    </w:p>
    <w:p w:rsidR="009128E1" w:rsidRPr="00822ECA" w:rsidP="008440FA" w14:paraId="2CAEC7FF" w14:textId="77777777">
      <w:pPr>
        <w:spacing w:line="240" w:lineRule="auto"/>
        <w:rPr>
          <w:sz w:val="20"/>
          <w:szCs w:val="20"/>
        </w:rPr>
      </w:pPr>
    </w:p>
    <w:p w:rsidR="009128E1" w:rsidRPr="00461295" w:rsidP="008440FA" w14:paraId="483B3DA7" w14:textId="77777777">
      <w:pPr>
        <w:spacing w:line="240" w:lineRule="auto"/>
      </w:pPr>
    </w:p>
    <w:p w:rsidR="009128E1" w:rsidRPr="00461295" w:rsidP="008440FA" w14:paraId="23B91C77" w14:textId="77777777">
      <w:pPr>
        <w:spacing w:line="240" w:lineRule="auto"/>
      </w:pPr>
    </w:p>
    <w:p w:rsidR="009128E1" w:rsidP="008440FA" w14:paraId="0F85D12F" w14:textId="77777777">
      <w:pPr>
        <w:spacing w:line="240" w:lineRule="auto"/>
      </w:pPr>
    </w:p>
    <w:p w:rsidR="003A5314" w:rsidRPr="00461295" w:rsidP="008440FA" w14:paraId="0CDF4072" w14:textId="77777777">
      <w:pPr>
        <w:spacing w:line="240" w:lineRule="auto"/>
      </w:pPr>
    </w:p>
    <w:p w:rsidR="009128E1" w:rsidRPr="00461295" w:rsidP="008440FA" w14:paraId="1BB6A449" w14:textId="77777777">
      <w:pPr>
        <w:spacing w:line="240" w:lineRule="auto"/>
      </w:pPr>
    </w:p>
    <w:p w:rsidR="009128E1" w:rsidRPr="00461295" w:rsidP="008440FA" w14:paraId="48C93E70" w14:textId="77777777">
      <w:pPr>
        <w:spacing w:line="240" w:lineRule="auto"/>
        <w:sectPr w:rsidSect="00461295">
          <w:footerReference w:type="first" r:id="rId11"/>
          <w:pgSz w:w="12240" w:h="15840"/>
          <w:pgMar w:top="1440" w:right="1440" w:bottom="1440" w:left="1440" w:header="504" w:footer="504" w:gutter="0"/>
          <w:pgNumType w:fmt="numberInDash" w:start="8"/>
          <w:cols w:space="720"/>
          <w:docGrid w:linePitch="360"/>
        </w:sectPr>
      </w:pPr>
    </w:p>
    <w:p w:rsidR="009128E1" w:rsidRPr="00B967E8" w:rsidP="008440FA" w14:paraId="6B6D382F" w14:textId="63B55E3C">
      <w:pPr>
        <w:pStyle w:val="Heading1"/>
        <w:spacing w:line="240" w:lineRule="auto"/>
      </w:pPr>
      <w:bookmarkStart w:id="0" w:name="_Toc85198579"/>
      <w:bookmarkStart w:id="1" w:name="_Toc331681521"/>
      <w:bookmarkStart w:id="2" w:name="_Toc199932302"/>
      <w:bookmarkStart w:id="3" w:name="_Toc199932390"/>
      <w:bookmarkStart w:id="4" w:name="_Toc199932465"/>
      <w:bookmarkStart w:id="5" w:name="_Toc199932634"/>
      <w:r w:rsidRPr="00B967E8">
        <w:t>ABSTRACT</w:t>
      </w:r>
      <w:bookmarkEnd w:id="0"/>
    </w:p>
    <w:p w:rsidR="0059397A" w:rsidP="008440FA" w14:paraId="6025A0E7" w14:textId="77777777">
      <w:pPr>
        <w:spacing w:line="240" w:lineRule="auto"/>
      </w:pPr>
    </w:p>
    <w:p w:rsidR="009128E1" w:rsidRPr="00D97F84" w:rsidP="008440FA" w14:paraId="581159AF" w14:textId="3A426B40">
      <w:pPr>
        <w:spacing w:line="240" w:lineRule="auto"/>
      </w:pPr>
      <w:r>
        <w:t>Certain existing</w:t>
      </w:r>
      <w:r>
        <w:t xml:space="preserve"> emergency preparedness (EP) regulations </w:t>
      </w:r>
      <w:r w:rsidR="0059397A">
        <w:t xml:space="preserve">and guidance </w:t>
      </w:r>
      <w:r w:rsidRPr="00DC04CF" w:rsidR="00DC04CF">
        <w:t xml:space="preserve">are focused on large </w:t>
      </w:r>
      <w:r w:rsidR="00420133">
        <w:t>light-water reactors (</w:t>
      </w:r>
      <w:r w:rsidRPr="00DC04CF" w:rsidR="00DC04CF">
        <w:t>LWRs</w:t>
      </w:r>
      <w:r w:rsidR="00420133">
        <w:t>)</w:t>
      </w:r>
      <w:r w:rsidRPr="00DC04CF" w:rsidR="00DC04CF">
        <w:t xml:space="preserve"> and non-power reactors</w:t>
      </w:r>
      <w:r w:rsidR="00DC04CF">
        <w:t>.</w:t>
      </w:r>
      <w:r>
        <w:t xml:space="preserve">  </w:t>
      </w:r>
      <w:r w:rsidRPr="00902E11">
        <w:t>In 2015, the Commission approved the U.S.</w:t>
      </w:r>
      <w:r>
        <w:t> </w:t>
      </w:r>
      <w:r w:rsidRPr="00902E11">
        <w:t xml:space="preserve">Nuclear Regulatory Commission (NRC) staff’s recommendation to initiate a rulemaking to revise EP regulations and guidance for </w:t>
      </w:r>
      <w:r w:rsidR="00DC04CF">
        <w:t>small modular reactors (SMRs) and other new technologies (ONTs)</w:t>
      </w:r>
      <w:r>
        <w:t xml:space="preserve">.  </w:t>
      </w:r>
      <w:r w:rsidR="00864121">
        <w:t xml:space="preserve">The </w:t>
      </w:r>
      <w:r w:rsidR="005F716D">
        <w:t>final</w:t>
      </w:r>
      <w:r w:rsidR="00864121">
        <w:t xml:space="preserve"> rule </w:t>
      </w:r>
      <w:r w:rsidR="00CF3C0E">
        <w:t xml:space="preserve">and guidance </w:t>
      </w:r>
      <w:r w:rsidR="00C574BC">
        <w:t>c</w:t>
      </w:r>
      <w:r w:rsidR="00864121">
        <w:t xml:space="preserve">ould affect </w:t>
      </w:r>
      <w:r w:rsidR="00DC7D31">
        <w:t xml:space="preserve">existing and </w:t>
      </w:r>
      <w:r w:rsidR="00C574BC">
        <w:t xml:space="preserve">future </w:t>
      </w:r>
      <w:r w:rsidR="00864121">
        <w:t>SMR and ONT applicants</w:t>
      </w:r>
      <w:r w:rsidR="003A5314">
        <w:t xml:space="preserve"> and licensees</w:t>
      </w:r>
      <w:r w:rsidR="00152FE4">
        <w:t>, such as non-light</w:t>
      </w:r>
      <w:r w:rsidR="00CB63B0">
        <w:t>-</w:t>
      </w:r>
      <w:r w:rsidR="00152FE4">
        <w:t xml:space="preserve">water reactors (non-LWRs) and </w:t>
      </w:r>
      <w:r w:rsidR="003523D7">
        <w:t xml:space="preserve">certain </w:t>
      </w:r>
      <w:r w:rsidRPr="00122A8F" w:rsidR="00493B77">
        <w:t>medical radioisotope facilities</w:t>
      </w:r>
      <w:r w:rsidR="00CF3C0E">
        <w:t>,</w:t>
      </w:r>
      <w:r w:rsidRPr="00CF3C0E" w:rsidR="00CF3C0E">
        <w:t xml:space="preserve"> and</w:t>
      </w:r>
      <w:r w:rsidRPr="00CF3C0E" w:rsidR="00123AA7">
        <w:t xml:space="preserve"> </w:t>
      </w:r>
      <w:r w:rsidRPr="00EC4119" w:rsidR="00A8376E">
        <w:t xml:space="preserve">non-power </w:t>
      </w:r>
      <w:r w:rsidR="0079431D">
        <w:t xml:space="preserve">reactors </w:t>
      </w:r>
      <w:r w:rsidRPr="00CF3C0E" w:rsidR="00CF3C0E">
        <w:t>that w</w:t>
      </w:r>
      <w:r w:rsidR="00A83340">
        <w:t>ill</w:t>
      </w:r>
      <w:r w:rsidRPr="00CF3C0E" w:rsidR="00CF3C0E">
        <w:t xml:space="preserve"> be licensed after the effective date of the final rule</w:t>
      </w:r>
      <w:r w:rsidR="00864121">
        <w:t>.  These applicants and licensees w</w:t>
      </w:r>
      <w:r w:rsidR="00A83340">
        <w:t>ill</w:t>
      </w:r>
      <w:r w:rsidR="00864121">
        <w:t xml:space="preserve"> have the option to develop a performance-based EP program as opposed to using the existing deterministic EP requirements in </w:t>
      </w:r>
      <w:r w:rsidR="007A13EF">
        <w:t xml:space="preserve">Title 10 of the </w:t>
      </w:r>
      <w:r w:rsidRPr="00581806" w:rsidR="007A13EF">
        <w:rPr>
          <w:i/>
        </w:rPr>
        <w:t>Code of Federal Regulations</w:t>
      </w:r>
      <w:r w:rsidR="007A13EF">
        <w:t xml:space="preserve"> (</w:t>
      </w:r>
      <w:r w:rsidR="00864121">
        <w:t>10</w:t>
      </w:r>
      <w:r w:rsidR="007A13EF">
        <w:t> </w:t>
      </w:r>
      <w:r w:rsidR="00864121">
        <w:t>CFR</w:t>
      </w:r>
      <w:r w:rsidR="007A13EF">
        <w:t>) </w:t>
      </w:r>
      <w:r w:rsidR="00864121">
        <w:t>Part</w:t>
      </w:r>
      <w:r w:rsidR="007A13EF">
        <w:t> </w:t>
      </w:r>
      <w:r w:rsidR="00864121">
        <w:t>50</w:t>
      </w:r>
      <w:r w:rsidR="007A13EF">
        <w:t>, “Domestic Licensing of Production and Utilization Facilities</w:t>
      </w:r>
      <w:r w:rsidR="003A5314">
        <w:t>.</w:t>
      </w:r>
      <w:r w:rsidR="007A13EF">
        <w:t>”</w:t>
      </w:r>
      <w:r w:rsidR="003A5314">
        <w:t xml:space="preserve">  </w:t>
      </w:r>
      <w:r w:rsidRPr="00187BD5" w:rsidR="00187BD5">
        <w:t xml:space="preserve">This document presents a </w:t>
      </w:r>
      <w:r w:rsidR="00CC3BFD">
        <w:t>final</w:t>
      </w:r>
      <w:r w:rsidRPr="00187BD5" w:rsidR="00CC3BFD">
        <w:t xml:space="preserve"> </w:t>
      </w:r>
      <w:r w:rsidRPr="00187BD5" w:rsidR="00187BD5">
        <w:t>regulatory analysis of the benefits and costs of the</w:t>
      </w:r>
      <w:r w:rsidR="005F716D">
        <w:t xml:space="preserve"> final</w:t>
      </w:r>
      <w:r w:rsidRPr="00187BD5" w:rsidR="00187BD5">
        <w:t xml:space="preserve"> rule requirements relative to the baseline case (i.e.,</w:t>
      </w:r>
      <w:r w:rsidR="00EB5298">
        <w:t> </w:t>
      </w:r>
      <w:r w:rsidRPr="00187BD5" w:rsidR="00187BD5">
        <w:t>the no</w:t>
      </w:r>
      <w:r w:rsidR="004503AB">
        <w:t>-</w:t>
      </w:r>
      <w:r w:rsidRPr="00187BD5" w:rsidR="00187BD5">
        <w:t>action alternative) and the associated regulatory guidance document</w:t>
      </w:r>
      <w:r w:rsidR="003A4B02">
        <w:t>,</w:t>
      </w:r>
      <w:r w:rsidRPr="00187BD5" w:rsidR="00187BD5">
        <w:t xml:space="preserve"> </w:t>
      </w:r>
      <w:r w:rsidR="003A4B02">
        <w:t>Regulatory Guide</w:t>
      </w:r>
      <w:r w:rsidR="009D518A">
        <w:t xml:space="preserve"> </w:t>
      </w:r>
      <w:r w:rsidRPr="00187BD5" w:rsidR="00187BD5">
        <w:t>1</w:t>
      </w:r>
      <w:r w:rsidR="00A861C8">
        <w:t>.242</w:t>
      </w:r>
      <w:r w:rsidRPr="00187BD5" w:rsidR="00187BD5">
        <w:t xml:space="preserve">, “Performance-Based Emergency Preparedness </w:t>
      </w:r>
      <w:r w:rsidR="00EB5298">
        <w:t>f</w:t>
      </w:r>
      <w:r w:rsidRPr="00187BD5" w:rsidR="00187BD5">
        <w:t>or Small Modular Reactors, Non-Light</w:t>
      </w:r>
      <w:r w:rsidR="00123AA7">
        <w:t>-</w:t>
      </w:r>
      <w:r w:rsidRPr="00187BD5" w:rsidR="00187BD5">
        <w:t>Water Reactors, and Non-Power Produ</w:t>
      </w:r>
      <w:r w:rsidR="00187BD5">
        <w:t xml:space="preserve">ction </w:t>
      </w:r>
      <w:r w:rsidR="00EB5298">
        <w:t>o</w:t>
      </w:r>
      <w:r w:rsidR="00187BD5">
        <w:t>r Utilization Facilities</w:t>
      </w:r>
      <w:r w:rsidR="00123AA7">
        <w:t>,</w:t>
      </w:r>
      <w:r w:rsidRPr="00187BD5" w:rsidR="00187BD5">
        <w:t>”</w:t>
      </w:r>
      <w:r w:rsidR="00BA6473">
        <w:t xml:space="preserve"> to be issued with the final rule</w:t>
      </w:r>
      <w:r w:rsidR="00123AA7">
        <w:t>.</w:t>
      </w:r>
    </w:p>
    <w:p w:rsidR="009128E1" w:rsidRPr="008851B6" w:rsidP="008440FA" w14:paraId="2CAA7D18" w14:textId="77777777">
      <w:pPr>
        <w:spacing w:line="240" w:lineRule="auto"/>
        <w:rPr>
          <w:sz w:val="24"/>
        </w:rPr>
      </w:pPr>
    </w:p>
    <w:p w:rsidR="009128E1" w:rsidRPr="008851B6" w:rsidP="008440FA" w14:paraId="238DD87D" w14:textId="77777777">
      <w:pPr>
        <w:spacing w:line="240" w:lineRule="auto"/>
        <w:rPr>
          <w:sz w:val="24"/>
        </w:rPr>
      </w:pPr>
    </w:p>
    <w:p w:rsidR="009128E1" w:rsidRPr="008851B6" w:rsidP="008440FA" w14:paraId="13B6F3ED" w14:textId="77777777">
      <w:pPr>
        <w:autoSpaceDE/>
        <w:autoSpaceDN/>
        <w:adjustRightInd/>
        <w:spacing w:line="240" w:lineRule="auto"/>
        <w:rPr>
          <w:sz w:val="24"/>
        </w:rPr>
      </w:pPr>
      <w:r w:rsidRPr="008851B6">
        <w:rPr>
          <w:sz w:val="24"/>
        </w:rPr>
        <w:br w:type="page"/>
      </w:r>
    </w:p>
    <w:p w:rsidR="009128E1" w:rsidRPr="00581B3F" w:rsidP="008440FA" w14:paraId="6CB88DA2" w14:textId="13021022">
      <w:pPr>
        <w:spacing w:line="240" w:lineRule="auto"/>
      </w:pPr>
      <w:r w:rsidRPr="00581806">
        <w:rPr>
          <w:b/>
        </w:rPr>
        <w:t>CONTENTS</w:t>
      </w:r>
      <w:bookmarkEnd w:id="1"/>
      <w:bookmarkEnd w:id="2"/>
      <w:bookmarkEnd w:id="3"/>
      <w:bookmarkEnd w:id="4"/>
      <w:bookmarkEnd w:id="5"/>
    </w:p>
    <w:p w:rsidR="009128E1" w:rsidP="008440FA" w14:paraId="7F1E6513" w14:textId="77777777">
      <w:pPr>
        <w:tabs>
          <w:tab w:val="right" w:pos="9000"/>
        </w:tabs>
        <w:spacing w:line="240" w:lineRule="auto"/>
      </w:pPr>
    </w:p>
    <w:p w:rsidR="009128E1" w:rsidRPr="004269F1" w:rsidP="008440FA" w14:paraId="4C189964" w14:textId="77777777">
      <w:pPr>
        <w:tabs>
          <w:tab w:val="right" w:pos="9000"/>
        </w:tabs>
        <w:spacing w:line="240" w:lineRule="auto"/>
        <w:rPr>
          <w:color w:val="auto"/>
          <w:u w:val="single"/>
        </w:rPr>
      </w:pPr>
      <w:r w:rsidRPr="004269F1">
        <w:rPr>
          <w:u w:val="single"/>
        </w:rPr>
        <w:t>Section</w:t>
      </w:r>
      <w:r w:rsidRPr="004269F1">
        <w:tab/>
      </w:r>
      <w:r w:rsidRPr="004269F1">
        <w:rPr>
          <w:u w:val="single"/>
        </w:rPr>
        <w:t>Page</w:t>
      </w:r>
    </w:p>
    <w:p w:rsidR="004634A0" w:rsidP="006C4B5D" w14:paraId="2D97CBB2" w14:textId="33D77442">
      <w:pPr>
        <w:pStyle w:val="TOC1"/>
        <w:rPr>
          <w:rFonts w:asciiTheme="minorHAnsi" w:hAnsiTheme="minorHAnsi" w:cstheme="minorBidi"/>
        </w:rPr>
      </w:pPr>
      <w:r w:rsidRPr="004269F1">
        <w:rPr>
          <w:rFonts w:eastAsia="Times New Roman" w:cs="Times New Roman"/>
          <w:bCs/>
        </w:rPr>
        <w:fldChar w:fldCharType="begin"/>
      </w:r>
      <w:r w:rsidRPr="004269F1">
        <w:rPr>
          <w:bCs/>
        </w:rPr>
        <w:instrText xml:space="preserve"> TOC \o "1-3" \h \z \u </w:instrText>
      </w:r>
      <w:r w:rsidRPr="004269F1">
        <w:rPr>
          <w:rFonts w:eastAsia="Times New Roman" w:cs="Times New Roman"/>
          <w:bCs/>
        </w:rPr>
        <w:fldChar w:fldCharType="separate"/>
      </w:r>
      <w:hyperlink w:anchor="_Toc85198579" w:history="1">
        <w:r w:rsidRPr="00D849B9">
          <w:rPr>
            <w:rStyle w:val="Hyperlink"/>
          </w:rPr>
          <w:t>ABSTRACT</w:t>
        </w:r>
        <w:r>
          <w:rPr>
            <w:webHidden/>
          </w:rPr>
          <w:tab/>
        </w:r>
        <w:r>
          <w:rPr>
            <w:webHidden/>
          </w:rPr>
          <w:fldChar w:fldCharType="begin"/>
        </w:r>
        <w:r>
          <w:rPr>
            <w:webHidden/>
          </w:rPr>
          <w:instrText xml:space="preserve"> PAGEREF _Toc85198579 \h </w:instrText>
        </w:r>
        <w:r>
          <w:rPr>
            <w:webHidden/>
          </w:rPr>
          <w:fldChar w:fldCharType="separate"/>
        </w:r>
        <w:r>
          <w:rPr>
            <w:webHidden/>
          </w:rPr>
          <w:t>ii</w:t>
        </w:r>
        <w:r>
          <w:rPr>
            <w:webHidden/>
          </w:rPr>
          <w:fldChar w:fldCharType="end"/>
        </w:r>
      </w:hyperlink>
    </w:p>
    <w:p w:rsidR="004634A0" w:rsidP="006C4B5D" w14:paraId="336E34F2" w14:textId="48924A64">
      <w:pPr>
        <w:pStyle w:val="TOC1"/>
        <w:rPr>
          <w:rFonts w:asciiTheme="minorHAnsi" w:hAnsiTheme="minorHAnsi" w:cstheme="minorBidi"/>
        </w:rPr>
      </w:pPr>
      <w:hyperlink w:anchor="_Toc85198580" w:history="1">
        <w:r w:rsidRPr="00D849B9">
          <w:rPr>
            <w:rStyle w:val="Hyperlink"/>
          </w:rPr>
          <w:t>List of Figures</w:t>
        </w:r>
        <w:r>
          <w:rPr>
            <w:webHidden/>
          </w:rPr>
          <w:tab/>
        </w:r>
        <w:r>
          <w:rPr>
            <w:webHidden/>
          </w:rPr>
          <w:fldChar w:fldCharType="begin"/>
        </w:r>
        <w:r>
          <w:rPr>
            <w:webHidden/>
          </w:rPr>
          <w:instrText xml:space="preserve"> PAGEREF _Toc85198580 \h </w:instrText>
        </w:r>
        <w:r>
          <w:rPr>
            <w:webHidden/>
          </w:rPr>
          <w:fldChar w:fldCharType="separate"/>
        </w:r>
        <w:r>
          <w:rPr>
            <w:webHidden/>
          </w:rPr>
          <w:t>v</w:t>
        </w:r>
        <w:r>
          <w:rPr>
            <w:webHidden/>
          </w:rPr>
          <w:fldChar w:fldCharType="end"/>
        </w:r>
      </w:hyperlink>
    </w:p>
    <w:p w:rsidR="004634A0" w:rsidP="006C4B5D" w14:paraId="25F1F41E" w14:textId="2B0BD5E8">
      <w:pPr>
        <w:pStyle w:val="TOC1"/>
        <w:rPr>
          <w:rFonts w:asciiTheme="minorHAnsi" w:hAnsiTheme="minorHAnsi" w:cstheme="minorBidi"/>
        </w:rPr>
      </w:pPr>
      <w:hyperlink w:anchor="_Toc85198581" w:history="1">
        <w:r w:rsidRPr="00D849B9">
          <w:rPr>
            <w:rStyle w:val="Hyperlink"/>
          </w:rPr>
          <w:t>List of Tables</w:t>
        </w:r>
        <w:r>
          <w:rPr>
            <w:webHidden/>
          </w:rPr>
          <w:tab/>
        </w:r>
        <w:r>
          <w:rPr>
            <w:webHidden/>
          </w:rPr>
          <w:fldChar w:fldCharType="begin"/>
        </w:r>
        <w:r>
          <w:rPr>
            <w:webHidden/>
          </w:rPr>
          <w:instrText xml:space="preserve"> PAGEREF _Toc85198581 \h </w:instrText>
        </w:r>
        <w:r>
          <w:rPr>
            <w:webHidden/>
          </w:rPr>
          <w:fldChar w:fldCharType="separate"/>
        </w:r>
        <w:r>
          <w:rPr>
            <w:webHidden/>
          </w:rPr>
          <w:t>v</w:t>
        </w:r>
        <w:r>
          <w:rPr>
            <w:webHidden/>
          </w:rPr>
          <w:fldChar w:fldCharType="end"/>
        </w:r>
      </w:hyperlink>
    </w:p>
    <w:p w:rsidR="004634A0" w:rsidP="006C4B5D" w14:paraId="4E2EF252" w14:textId="696BD255">
      <w:pPr>
        <w:pStyle w:val="TOC1"/>
        <w:rPr>
          <w:rFonts w:asciiTheme="minorHAnsi" w:hAnsiTheme="minorHAnsi" w:cstheme="minorBidi"/>
        </w:rPr>
      </w:pPr>
      <w:hyperlink w:anchor="_Toc85198582" w:history="1">
        <w:r w:rsidRPr="00D849B9">
          <w:rPr>
            <w:rStyle w:val="Hyperlink"/>
          </w:rPr>
          <w:t>ABBREVIATIONS AND ACRONYMS</w:t>
        </w:r>
        <w:r>
          <w:rPr>
            <w:webHidden/>
          </w:rPr>
          <w:tab/>
        </w:r>
        <w:r>
          <w:rPr>
            <w:webHidden/>
          </w:rPr>
          <w:fldChar w:fldCharType="begin"/>
        </w:r>
        <w:r>
          <w:rPr>
            <w:webHidden/>
          </w:rPr>
          <w:instrText xml:space="preserve"> PAGEREF _Toc85198582 \h </w:instrText>
        </w:r>
        <w:r>
          <w:rPr>
            <w:webHidden/>
          </w:rPr>
          <w:fldChar w:fldCharType="separate"/>
        </w:r>
        <w:r>
          <w:rPr>
            <w:webHidden/>
          </w:rPr>
          <w:t>vi</w:t>
        </w:r>
        <w:r>
          <w:rPr>
            <w:webHidden/>
          </w:rPr>
          <w:fldChar w:fldCharType="end"/>
        </w:r>
      </w:hyperlink>
    </w:p>
    <w:p w:rsidR="004634A0" w:rsidP="006C4B5D" w14:paraId="7A13224E" w14:textId="30E070EC">
      <w:pPr>
        <w:pStyle w:val="TOC1"/>
        <w:rPr>
          <w:rFonts w:asciiTheme="minorHAnsi" w:hAnsiTheme="minorHAnsi" w:cstheme="minorBidi"/>
        </w:rPr>
      </w:pPr>
      <w:hyperlink w:anchor="_Toc85198583" w:history="1">
        <w:r w:rsidRPr="00D849B9">
          <w:rPr>
            <w:rStyle w:val="Hyperlink"/>
          </w:rPr>
          <w:t>EXECUTIVE SUMMARY</w:t>
        </w:r>
        <w:r>
          <w:rPr>
            <w:webHidden/>
          </w:rPr>
          <w:tab/>
        </w:r>
        <w:r>
          <w:rPr>
            <w:webHidden/>
          </w:rPr>
          <w:fldChar w:fldCharType="begin"/>
        </w:r>
        <w:r>
          <w:rPr>
            <w:webHidden/>
          </w:rPr>
          <w:instrText xml:space="preserve"> PAGEREF _Toc85198583 \h </w:instrText>
        </w:r>
        <w:r>
          <w:rPr>
            <w:webHidden/>
          </w:rPr>
          <w:fldChar w:fldCharType="separate"/>
        </w:r>
        <w:r>
          <w:rPr>
            <w:webHidden/>
          </w:rPr>
          <w:t>vii</w:t>
        </w:r>
        <w:r>
          <w:rPr>
            <w:webHidden/>
          </w:rPr>
          <w:fldChar w:fldCharType="end"/>
        </w:r>
      </w:hyperlink>
    </w:p>
    <w:p w:rsidR="004634A0" w:rsidP="006C4B5D" w14:paraId="4B180777" w14:textId="3FAE0853">
      <w:pPr>
        <w:pStyle w:val="TOC1"/>
        <w:rPr>
          <w:rFonts w:asciiTheme="minorHAnsi" w:hAnsiTheme="minorHAnsi" w:cstheme="minorBidi"/>
        </w:rPr>
      </w:pPr>
      <w:hyperlink w:anchor="_Toc85198584" w:history="1">
        <w:r w:rsidRPr="00D849B9">
          <w:rPr>
            <w:rStyle w:val="Hyperlink"/>
          </w:rPr>
          <w:t>1.</w:t>
        </w:r>
        <w:r>
          <w:rPr>
            <w:rFonts w:asciiTheme="minorHAnsi" w:hAnsiTheme="minorHAnsi" w:cstheme="minorBidi"/>
          </w:rPr>
          <w:tab/>
        </w:r>
        <w:r w:rsidRPr="00D849B9">
          <w:rPr>
            <w:rStyle w:val="Hyperlink"/>
          </w:rPr>
          <w:t>Introduction</w:t>
        </w:r>
        <w:r>
          <w:rPr>
            <w:webHidden/>
          </w:rPr>
          <w:tab/>
        </w:r>
        <w:r>
          <w:rPr>
            <w:webHidden/>
          </w:rPr>
          <w:fldChar w:fldCharType="begin"/>
        </w:r>
        <w:r>
          <w:rPr>
            <w:webHidden/>
          </w:rPr>
          <w:instrText xml:space="preserve"> PAGEREF _Toc85198584 \h </w:instrText>
        </w:r>
        <w:r>
          <w:rPr>
            <w:webHidden/>
          </w:rPr>
          <w:fldChar w:fldCharType="separate"/>
        </w:r>
        <w:r>
          <w:rPr>
            <w:webHidden/>
          </w:rPr>
          <w:t>1</w:t>
        </w:r>
        <w:r>
          <w:rPr>
            <w:webHidden/>
          </w:rPr>
          <w:fldChar w:fldCharType="end"/>
        </w:r>
      </w:hyperlink>
    </w:p>
    <w:p w:rsidR="004634A0" w:rsidP="006C4B5D" w14:paraId="73E34741" w14:textId="3DFC70FA">
      <w:pPr>
        <w:pStyle w:val="TOC1"/>
        <w:rPr>
          <w:rFonts w:asciiTheme="minorHAnsi" w:hAnsiTheme="minorHAnsi" w:cstheme="minorBidi"/>
        </w:rPr>
      </w:pPr>
      <w:hyperlink w:anchor="_Toc85198585" w:history="1">
        <w:r w:rsidRPr="00D849B9">
          <w:rPr>
            <w:rStyle w:val="Hyperlink"/>
          </w:rPr>
          <w:t>2.</w:t>
        </w:r>
        <w:r>
          <w:rPr>
            <w:rFonts w:asciiTheme="minorHAnsi" w:hAnsiTheme="minorHAnsi" w:cstheme="minorBidi"/>
          </w:rPr>
          <w:tab/>
        </w:r>
        <w:r w:rsidRPr="00D849B9">
          <w:rPr>
            <w:rStyle w:val="Hyperlink"/>
          </w:rPr>
          <w:t>Statement of the Problem and Objective</w:t>
        </w:r>
        <w:r>
          <w:rPr>
            <w:webHidden/>
          </w:rPr>
          <w:tab/>
        </w:r>
        <w:r>
          <w:rPr>
            <w:webHidden/>
          </w:rPr>
          <w:fldChar w:fldCharType="begin"/>
        </w:r>
        <w:r>
          <w:rPr>
            <w:webHidden/>
          </w:rPr>
          <w:instrText xml:space="preserve"> PAGEREF _Toc85198585 \h </w:instrText>
        </w:r>
        <w:r>
          <w:rPr>
            <w:webHidden/>
          </w:rPr>
          <w:fldChar w:fldCharType="separate"/>
        </w:r>
        <w:r>
          <w:rPr>
            <w:webHidden/>
          </w:rPr>
          <w:t>1</w:t>
        </w:r>
        <w:r>
          <w:rPr>
            <w:webHidden/>
          </w:rPr>
          <w:fldChar w:fldCharType="end"/>
        </w:r>
      </w:hyperlink>
    </w:p>
    <w:p w:rsidR="004634A0" w14:paraId="71317F72" w14:textId="6D48256F">
      <w:pPr>
        <w:pStyle w:val="TOC2"/>
        <w:rPr>
          <w:rFonts w:asciiTheme="minorHAnsi" w:eastAsiaTheme="minorEastAsia" w:hAnsiTheme="minorHAnsi" w:cstheme="minorBidi"/>
          <w:noProof/>
          <w:color w:val="auto"/>
          <w:sz w:val="22"/>
          <w:szCs w:val="22"/>
        </w:rPr>
      </w:pPr>
      <w:hyperlink w:anchor="_Toc85198586" w:history="1">
        <w:r w:rsidRPr="00D849B9">
          <w:rPr>
            <w:rStyle w:val="Hyperlink"/>
            <w:noProof/>
          </w:rPr>
          <w:t>2.1</w:t>
        </w:r>
        <w:r>
          <w:rPr>
            <w:rFonts w:asciiTheme="minorHAnsi" w:eastAsiaTheme="minorEastAsia" w:hAnsiTheme="minorHAnsi" w:cstheme="minorBidi"/>
            <w:noProof/>
            <w:color w:val="auto"/>
            <w:sz w:val="22"/>
            <w:szCs w:val="22"/>
          </w:rPr>
          <w:tab/>
        </w:r>
        <w:r w:rsidRPr="00D849B9">
          <w:rPr>
            <w:rStyle w:val="Hyperlink"/>
            <w:noProof/>
          </w:rPr>
          <w:t>Background</w:t>
        </w:r>
        <w:r>
          <w:rPr>
            <w:noProof/>
            <w:webHidden/>
          </w:rPr>
          <w:tab/>
        </w:r>
        <w:r>
          <w:rPr>
            <w:noProof/>
            <w:webHidden/>
          </w:rPr>
          <w:fldChar w:fldCharType="begin"/>
        </w:r>
        <w:r>
          <w:rPr>
            <w:noProof/>
            <w:webHidden/>
          </w:rPr>
          <w:instrText xml:space="preserve"> PAGEREF _Toc85198586 \h </w:instrText>
        </w:r>
        <w:r>
          <w:rPr>
            <w:noProof/>
            <w:webHidden/>
          </w:rPr>
          <w:fldChar w:fldCharType="separate"/>
        </w:r>
        <w:r>
          <w:rPr>
            <w:noProof/>
            <w:webHidden/>
          </w:rPr>
          <w:t>1</w:t>
        </w:r>
        <w:r>
          <w:rPr>
            <w:noProof/>
            <w:webHidden/>
          </w:rPr>
          <w:fldChar w:fldCharType="end"/>
        </w:r>
      </w:hyperlink>
    </w:p>
    <w:p w:rsidR="004634A0" w14:paraId="12F33BEB" w14:textId="02848763">
      <w:pPr>
        <w:pStyle w:val="TOC2"/>
        <w:rPr>
          <w:rFonts w:asciiTheme="minorHAnsi" w:eastAsiaTheme="minorEastAsia" w:hAnsiTheme="minorHAnsi" w:cstheme="minorBidi"/>
          <w:noProof/>
          <w:color w:val="auto"/>
          <w:sz w:val="22"/>
          <w:szCs w:val="22"/>
        </w:rPr>
      </w:pPr>
      <w:hyperlink w:anchor="_Toc85198587" w:history="1">
        <w:r w:rsidRPr="00D849B9">
          <w:rPr>
            <w:rStyle w:val="Hyperlink"/>
            <w:noProof/>
          </w:rPr>
          <w:t>2.2</w:t>
        </w:r>
        <w:r>
          <w:rPr>
            <w:rFonts w:asciiTheme="minorHAnsi" w:eastAsiaTheme="minorEastAsia" w:hAnsiTheme="minorHAnsi" w:cstheme="minorBidi"/>
            <w:noProof/>
            <w:color w:val="auto"/>
            <w:sz w:val="22"/>
            <w:szCs w:val="22"/>
          </w:rPr>
          <w:tab/>
        </w:r>
        <w:r w:rsidRPr="00D849B9">
          <w:rPr>
            <w:rStyle w:val="Hyperlink"/>
            <w:noProof/>
          </w:rPr>
          <w:t>Statement of the Problem</w:t>
        </w:r>
        <w:r>
          <w:rPr>
            <w:noProof/>
            <w:webHidden/>
          </w:rPr>
          <w:tab/>
        </w:r>
        <w:r>
          <w:rPr>
            <w:noProof/>
            <w:webHidden/>
          </w:rPr>
          <w:fldChar w:fldCharType="begin"/>
        </w:r>
        <w:r>
          <w:rPr>
            <w:noProof/>
            <w:webHidden/>
          </w:rPr>
          <w:instrText xml:space="preserve"> PAGEREF _Toc85198587 \h </w:instrText>
        </w:r>
        <w:r>
          <w:rPr>
            <w:noProof/>
            <w:webHidden/>
          </w:rPr>
          <w:fldChar w:fldCharType="separate"/>
        </w:r>
        <w:r>
          <w:rPr>
            <w:noProof/>
            <w:webHidden/>
          </w:rPr>
          <w:t>4</w:t>
        </w:r>
        <w:r>
          <w:rPr>
            <w:noProof/>
            <w:webHidden/>
          </w:rPr>
          <w:fldChar w:fldCharType="end"/>
        </w:r>
      </w:hyperlink>
    </w:p>
    <w:p w:rsidR="004634A0" w14:paraId="184E5175" w14:textId="1212E5AE">
      <w:pPr>
        <w:pStyle w:val="TOC2"/>
        <w:rPr>
          <w:rFonts w:asciiTheme="minorHAnsi" w:eastAsiaTheme="minorEastAsia" w:hAnsiTheme="minorHAnsi" w:cstheme="minorBidi"/>
          <w:noProof/>
          <w:color w:val="auto"/>
          <w:sz w:val="22"/>
          <w:szCs w:val="22"/>
        </w:rPr>
      </w:pPr>
      <w:hyperlink w:anchor="_Toc85198588" w:history="1">
        <w:r w:rsidRPr="00D849B9">
          <w:rPr>
            <w:rStyle w:val="Hyperlink"/>
            <w:noProof/>
          </w:rPr>
          <w:t>2.3</w:t>
        </w:r>
        <w:r>
          <w:rPr>
            <w:rFonts w:asciiTheme="minorHAnsi" w:eastAsiaTheme="minorEastAsia" w:hAnsiTheme="minorHAnsi" w:cstheme="minorBidi"/>
            <w:noProof/>
            <w:color w:val="auto"/>
            <w:sz w:val="22"/>
            <w:szCs w:val="22"/>
          </w:rPr>
          <w:tab/>
        </w:r>
        <w:r w:rsidRPr="00D849B9">
          <w:rPr>
            <w:rStyle w:val="Hyperlink"/>
            <w:noProof/>
          </w:rPr>
          <w:t>Objective</w:t>
        </w:r>
        <w:r>
          <w:rPr>
            <w:noProof/>
            <w:webHidden/>
          </w:rPr>
          <w:tab/>
        </w:r>
        <w:r>
          <w:rPr>
            <w:noProof/>
            <w:webHidden/>
          </w:rPr>
          <w:fldChar w:fldCharType="begin"/>
        </w:r>
        <w:r>
          <w:rPr>
            <w:noProof/>
            <w:webHidden/>
          </w:rPr>
          <w:instrText xml:space="preserve"> PAGEREF _Toc85198588 \h </w:instrText>
        </w:r>
        <w:r>
          <w:rPr>
            <w:noProof/>
            <w:webHidden/>
          </w:rPr>
          <w:fldChar w:fldCharType="separate"/>
        </w:r>
        <w:r>
          <w:rPr>
            <w:noProof/>
            <w:webHidden/>
          </w:rPr>
          <w:t>6</w:t>
        </w:r>
        <w:r>
          <w:rPr>
            <w:noProof/>
            <w:webHidden/>
          </w:rPr>
          <w:fldChar w:fldCharType="end"/>
        </w:r>
      </w:hyperlink>
    </w:p>
    <w:p w:rsidR="004634A0" w:rsidP="006C4B5D" w14:paraId="0F97B9FE" w14:textId="6CBDD87D">
      <w:pPr>
        <w:pStyle w:val="TOC1"/>
        <w:rPr>
          <w:rFonts w:asciiTheme="minorHAnsi" w:hAnsiTheme="minorHAnsi" w:cstheme="minorBidi"/>
        </w:rPr>
      </w:pPr>
      <w:hyperlink w:anchor="_Toc85198589" w:history="1">
        <w:r w:rsidRPr="00D849B9">
          <w:rPr>
            <w:rStyle w:val="Hyperlink"/>
          </w:rPr>
          <w:t>3.</w:t>
        </w:r>
        <w:r>
          <w:rPr>
            <w:rFonts w:asciiTheme="minorHAnsi" w:hAnsiTheme="minorHAnsi" w:cstheme="minorBidi"/>
          </w:rPr>
          <w:tab/>
        </w:r>
        <w:r w:rsidRPr="00D849B9">
          <w:rPr>
            <w:rStyle w:val="Hyperlink"/>
          </w:rPr>
          <w:t>Identification and Preliminary Analysis of Alternative Approaches</w:t>
        </w:r>
        <w:r>
          <w:rPr>
            <w:webHidden/>
          </w:rPr>
          <w:tab/>
        </w:r>
        <w:r>
          <w:rPr>
            <w:webHidden/>
          </w:rPr>
          <w:fldChar w:fldCharType="begin"/>
        </w:r>
        <w:r>
          <w:rPr>
            <w:webHidden/>
          </w:rPr>
          <w:instrText xml:space="preserve"> PAGEREF _Toc85198589 \h </w:instrText>
        </w:r>
        <w:r>
          <w:rPr>
            <w:webHidden/>
          </w:rPr>
          <w:fldChar w:fldCharType="separate"/>
        </w:r>
        <w:r>
          <w:rPr>
            <w:webHidden/>
          </w:rPr>
          <w:t>6</w:t>
        </w:r>
        <w:r>
          <w:rPr>
            <w:webHidden/>
          </w:rPr>
          <w:fldChar w:fldCharType="end"/>
        </w:r>
      </w:hyperlink>
    </w:p>
    <w:p w:rsidR="004634A0" w14:paraId="4AC6F980" w14:textId="65F59FE0">
      <w:pPr>
        <w:pStyle w:val="TOC2"/>
        <w:rPr>
          <w:rFonts w:asciiTheme="minorHAnsi" w:eastAsiaTheme="minorEastAsia" w:hAnsiTheme="minorHAnsi" w:cstheme="minorBidi"/>
          <w:noProof/>
          <w:color w:val="auto"/>
          <w:sz w:val="22"/>
          <w:szCs w:val="22"/>
        </w:rPr>
      </w:pPr>
      <w:hyperlink w:anchor="_Toc85198590" w:history="1">
        <w:r w:rsidRPr="00D849B9">
          <w:rPr>
            <w:rStyle w:val="Hyperlink"/>
            <w:noProof/>
          </w:rPr>
          <w:t>3.1</w:t>
        </w:r>
        <w:r>
          <w:rPr>
            <w:rFonts w:asciiTheme="minorHAnsi" w:eastAsiaTheme="minorEastAsia" w:hAnsiTheme="minorHAnsi" w:cstheme="minorBidi"/>
            <w:noProof/>
            <w:color w:val="auto"/>
            <w:sz w:val="22"/>
            <w:szCs w:val="22"/>
          </w:rPr>
          <w:tab/>
        </w:r>
        <w:r w:rsidRPr="00D849B9">
          <w:rPr>
            <w:rStyle w:val="Hyperlink"/>
            <w:noProof/>
          </w:rPr>
          <w:t>Alternative 1—No Action</w:t>
        </w:r>
        <w:r>
          <w:rPr>
            <w:noProof/>
            <w:webHidden/>
          </w:rPr>
          <w:tab/>
        </w:r>
        <w:r>
          <w:rPr>
            <w:noProof/>
            <w:webHidden/>
          </w:rPr>
          <w:fldChar w:fldCharType="begin"/>
        </w:r>
        <w:r>
          <w:rPr>
            <w:noProof/>
            <w:webHidden/>
          </w:rPr>
          <w:instrText xml:space="preserve"> PAGEREF _Toc85198590 \h </w:instrText>
        </w:r>
        <w:r>
          <w:rPr>
            <w:noProof/>
            <w:webHidden/>
          </w:rPr>
          <w:fldChar w:fldCharType="separate"/>
        </w:r>
        <w:r>
          <w:rPr>
            <w:noProof/>
            <w:webHidden/>
          </w:rPr>
          <w:t>6</w:t>
        </w:r>
        <w:r>
          <w:rPr>
            <w:noProof/>
            <w:webHidden/>
          </w:rPr>
          <w:fldChar w:fldCharType="end"/>
        </w:r>
      </w:hyperlink>
    </w:p>
    <w:p w:rsidR="004634A0" w14:paraId="4E5E6E21" w14:textId="16B94B81">
      <w:pPr>
        <w:pStyle w:val="TOC2"/>
        <w:rPr>
          <w:rFonts w:asciiTheme="minorHAnsi" w:eastAsiaTheme="minorEastAsia" w:hAnsiTheme="minorHAnsi" w:cstheme="minorBidi"/>
          <w:noProof/>
          <w:color w:val="auto"/>
          <w:sz w:val="22"/>
          <w:szCs w:val="22"/>
        </w:rPr>
      </w:pPr>
      <w:hyperlink w:anchor="_Toc85198591" w:history="1">
        <w:r w:rsidRPr="00D849B9">
          <w:rPr>
            <w:rStyle w:val="Hyperlink"/>
            <w:noProof/>
          </w:rPr>
          <w:t>3.2</w:t>
        </w:r>
        <w:r>
          <w:rPr>
            <w:rFonts w:asciiTheme="minorHAnsi" w:eastAsiaTheme="minorEastAsia" w:hAnsiTheme="minorHAnsi" w:cstheme="minorBidi"/>
            <w:noProof/>
            <w:color w:val="auto"/>
            <w:sz w:val="22"/>
            <w:szCs w:val="22"/>
          </w:rPr>
          <w:tab/>
        </w:r>
        <w:r w:rsidRPr="00D849B9">
          <w:rPr>
            <w:rStyle w:val="Hyperlink"/>
            <w:noProof/>
          </w:rPr>
          <w:t>Alternative 2—Rulemaking to Establish a Performance-Based Framework</w:t>
        </w:r>
        <w:r>
          <w:rPr>
            <w:noProof/>
            <w:webHidden/>
          </w:rPr>
          <w:tab/>
        </w:r>
        <w:r>
          <w:rPr>
            <w:noProof/>
            <w:webHidden/>
          </w:rPr>
          <w:fldChar w:fldCharType="begin"/>
        </w:r>
        <w:r>
          <w:rPr>
            <w:noProof/>
            <w:webHidden/>
          </w:rPr>
          <w:instrText xml:space="preserve"> PAGEREF _Toc85198591 \h </w:instrText>
        </w:r>
        <w:r>
          <w:rPr>
            <w:noProof/>
            <w:webHidden/>
          </w:rPr>
          <w:fldChar w:fldCharType="separate"/>
        </w:r>
        <w:r>
          <w:rPr>
            <w:noProof/>
            <w:webHidden/>
          </w:rPr>
          <w:t>7</w:t>
        </w:r>
        <w:r>
          <w:rPr>
            <w:noProof/>
            <w:webHidden/>
          </w:rPr>
          <w:fldChar w:fldCharType="end"/>
        </w:r>
      </w:hyperlink>
    </w:p>
    <w:p w:rsidR="004634A0" w:rsidP="006C4B5D" w14:paraId="17B3BE89" w14:textId="28956D13">
      <w:pPr>
        <w:pStyle w:val="TOC1"/>
        <w:rPr>
          <w:rFonts w:asciiTheme="minorHAnsi" w:hAnsiTheme="minorHAnsi" w:cstheme="minorBidi"/>
        </w:rPr>
      </w:pPr>
      <w:hyperlink w:anchor="_Toc85198592" w:history="1">
        <w:r w:rsidRPr="00D849B9">
          <w:rPr>
            <w:rStyle w:val="Hyperlink"/>
          </w:rPr>
          <w:t>4.</w:t>
        </w:r>
        <w:r>
          <w:rPr>
            <w:rFonts w:asciiTheme="minorHAnsi" w:hAnsiTheme="minorHAnsi" w:cstheme="minorBidi"/>
          </w:rPr>
          <w:tab/>
        </w:r>
        <w:r w:rsidRPr="00D849B9">
          <w:rPr>
            <w:rStyle w:val="Hyperlink"/>
          </w:rPr>
          <w:t>Estimation and Evaluation of Costs and Benefits</w:t>
        </w:r>
        <w:r>
          <w:rPr>
            <w:webHidden/>
          </w:rPr>
          <w:tab/>
        </w:r>
        <w:r>
          <w:rPr>
            <w:webHidden/>
          </w:rPr>
          <w:fldChar w:fldCharType="begin"/>
        </w:r>
        <w:r>
          <w:rPr>
            <w:webHidden/>
          </w:rPr>
          <w:instrText xml:space="preserve"> PAGEREF _Toc85198592 \h </w:instrText>
        </w:r>
        <w:r>
          <w:rPr>
            <w:webHidden/>
          </w:rPr>
          <w:fldChar w:fldCharType="separate"/>
        </w:r>
        <w:r>
          <w:rPr>
            <w:webHidden/>
          </w:rPr>
          <w:t>8</w:t>
        </w:r>
        <w:r>
          <w:rPr>
            <w:webHidden/>
          </w:rPr>
          <w:fldChar w:fldCharType="end"/>
        </w:r>
      </w:hyperlink>
    </w:p>
    <w:p w:rsidR="004634A0" w14:paraId="65A13960" w14:textId="7B1F44B6">
      <w:pPr>
        <w:pStyle w:val="TOC2"/>
        <w:rPr>
          <w:rFonts w:asciiTheme="minorHAnsi" w:eastAsiaTheme="minorEastAsia" w:hAnsiTheme="minorHAnsi" w:cstheme="minorBidi"/>
          <w:noProof/>
          <w:color w:val="auto"/>
          <w:sz w:val="22"/>
          <w:szCs w:val="22"/>
        </w:rPr>
      </w:pPr>
      <w:hyperlink w:anchor="_Toc85198593" w:history="1">
        <w:r w:rsidRPr="00D849B9">
          <w:rPr>
            <w:rStyle w:val="Hyperlink"/>
            <w:noProof/>
          </w:rPr>
          <w:t>4.1</w:t>
        </w:r>
        <w:r>
          <w:rPr>
            <w:rFonts w:asciiTheme="minorHAnsi" w:eastAsiaTheme="minorEastAsia" w:hAnsiTheme="minorHAnsi" w:cstheme="minorBidi"/>
            <w:noProof/>
            <w:color w:val="auto"/>
            <w:sz w:val="22"/>
            <w:szCs w:val="22"/>
          </w:rPr>
          <w:tab/>
        </w:r>
        <w:r w:rsidRPr="00D849B9">
          <w:rPr>
            <w:rStyle w:val="Hyperlink"/>
            <w:noProof/>
          </w:rPr>
          <w:t>Identification of Affected Attributes</w:t>
        </w:r>
        <w:r>
          <w:rPr>
            <w:noProof/>
            <w:webHidden/>
          </w:rPr>
          <w:tab/>
        </w:r>
        <w:r>
          <w:rPr>
            <w:noProof/>
            <w:webHidden/>
          </w:rPr>
          <w:fldChar w:fldCharType="begin"/>
        </w:r>
        <w:r>
          <w:rPr>
            <w:noProof/>
            <w:webHidden/>
          </w:rPr>
          <w:instrText xml:space="preserve"> PAGEREF _Toc85198593 \h </w:instrText>
        </w:r>
        <w:r>
          <w:rPr>
            <w:noProof/>
            <w:webHidden/>
          </w:rPr>
          <w:fldChar w:fldCharType="separate"/>
        </w:r>
        <w:r>
          <w:rPr>
            <w:noProof/>
            <w:webHidden/>
          </w:rPr>
          <w:t>8</w:t>
        </w:r>
        <w:r>
          <w:rPr>
            <w:noProof/>
            <w:webHidden/>
          </w:rPr>
          <w:fldChar w:fldCharType="end"/>
        </w:r>
      </w:hyperlink>
    </w:p>
    <w:p w:rsidR="004634A0" w14:paraId="75230D23" w14:textId="765CE1A6">
      <w:pPr>
        <w:pStyle w:val="TOC2"/>
        <w:rPr>
          <w:rFonts w:asciiTheme="minorHAnsi" w:eastAsiaTheme="minorEastAsia" w:hAnsiTheme="minorHAnsi" w:cstheme="minorBidi"/>
          <w:noProof/>
          <w:color w:val="auto"/>
          <w:sz w:val="22"/>
          <w:szCs w:val="22"/>
        </w:rPr>
      </w:pPr>
      <w:hyperlink w:anchor="_Toc85198594" w:history="1">
        <w:r w:rsidRPr="00D849B9">
          <w:rPr>
            <w:rStyle w:val="Hyperlink"/>
            <w:noProof/>
          </w:rPr>
          <w:t>4.2</w:t>
        </w:r>
        <w:r>
          <w:rPr>
            <w:rFonts w:asciiTheme="minorHAnsi" w:eastAsiaTheme="minorEastAsia" w:hAnsiTheme="minorHAnsi" w:cstheme="minorBidi"/>
            <w:noProof/>
            <w:color w:val="auto"/>
            <w:sz w:val="22"/>
            <w:szCs w:val="22"/>
          </w:rPr>
          <w:tab/>
        </w:r>
        <w:r w:rsidRPr="00D849B9">
          <w:rPr>
            <w:rStyle w:val="Hyperlink"/>
            <w:noProof/>
          </w:rPr>
          <w:t>Analytical Methodology</w:t>
        </w:r>
        <w:r>
          <w:rPr>
            <w:noProof/>
            <w:webHidden/>
          </w:rPr>
          <w:tab/>
        </w:r>
        <w:r>
          <w:rPr>
            <w:noProof/>
            <w:webHidden/>
          </w:rPr>
          <w:fldChar w:fldCharType="begin"/>
        </w:r>
        <w:r>
          <w:rPr>
            <w:noProof/>
            <w:webHidden/>
          </w:rPr>
          <w:instrText xml:space="preserve"> PAGEREF _Toc85198594 \h </w:instrText>
        </w:r>
        <w:r>
          <w:rPr>
            <w:noProof/>
            <w:webHidden/>
          </w:rPr>
          <w:fldChar w:fldCharType="separate"/>
        </w:r>
        <w:r>
          <w:rPr>
            <w:noProof/>
            <w:webHidden/>
          </w:rPr>
          <w:t>9</w:t>
        </w:r>
        <w:r>
          <w:rPr>
            <w:noProof/>
            <w:webHidden/>
          </w:rPr>
          <w:fldChar w:fldCharType="end"/>
        </w:r>
      </w:hyperlink>
    </w:p>
    <w:p w:rsidR="004634A0" w14:paraId="5CBBDBD1" w14:textId="3DECD997">
      <w:pPr>
        <w:pStyle w:val="TOC3"/>
        <w:rPr>
          <w:rFonts w:asciiTheme="minorHAnsi" w:eastAsiaTheme="minorEastAsia" w:hAnsiTheme="minorHAnsi" w:cstheme="minorBidi"/>
          <w:noProof/>
          <w:color w:val="auto"/>
          <w:sz w:val="22"/>
          <w:szCs w:val="22"/>
        </w:rPr>
      </w:pPr>
      <w:hyperlink w:anchor="_Toc85198595" w:history="1">
        <w:r w:rsidRPr="00D849B9">
          <w:rPr>
            <w:rStyle w:val="Hyperlink"/>
            <w:noProof/>
          </w:rPr>
          <w:t>4.2.1</w:t>
        </w:r>
        <w:r>
          <w:rPr>
            <w:rFonts w:asciiTheme="minorHAnsi" w:eastAsiaTheme="minorEastAsia" w:hAnsiTheme="minorHAnsi" w:cstheme="minorBidi"/>
            <w:noProof/>
            <w:color w:val="auto"/>
            <w:sz w:val="22"/>
            <w:szCs w:val="22"/>
          </w:rPr>
          <w:tab/>
        </w:r>
        <w:r w:rsidRPr="00D849B9">
          <w:rPr>
            <w:rStyle w:val="Hyperlink"/>
            <w:noProof/>
          </w:rPr>
          <w:t>Regulatory Baseline</w:t>
        </w:r>
        <w:r>
          <w:rPr>
            <w:noProof/>
            <w:webHidden/>
          </w:rPr>
          <w:tab/>
        </w:r>
        <w:r>
          <w:rPr>
            <w:noProof/>
            <w:webHidden/>
          </w:rPr>
          <w:fldChar w:fldCharType="begin"/>
        </w:r>
        <w:r>
          <w:rPr>
            <w:noProof/>
            <w:webHidden/>
          </w:rPr>
          <w:instrText xml:space="preserve"> PAGEREF _Toc85198595 \h </w:instrText>
        </w:r>
        <w:r>
          <w:rPr>
            <w:noProof/>
            <w:webHidden/>
          </w:rPr>
          <w:fldChar w:fldCharType="separate"/>
        </w:r>
        <w:r>
          <w:rPr>
            <w:noProof/>
            <w:webHidden/>
          </w:rPr>
          <w:t>9</w:t>
        </w:r>
        <w:r>
          <w:rPr>
            <w:noProof/>
            <w:webHidden/>
          </w:rPr>
          <w:fldChar w:fldCharType="end"/>
        </w:r>
      </w:hyperlink>
    </w:p>
    <w:p w:rsidR="004634A0" w14:paraId="2DECD48B" w14:textId="356D329B">
      <w:pPr>
        <w:pStyle w:val="TOC3"/>
        <w:rPr>
          <w:rFonts w:asciiTheme="minorHAnsi" w:eastAsiaTheme="minorEastAsia" w:hAnsiTheme="minorHAnsi" w:cstheme="minorBidi"/>
          <w:noProof/>
          <w:color w:val="auto"/>
          <w:sz w:val="22"/>
          <w:szCs w:val="22"/>
        </w:rPr>
      </w:pPr>
      <w:hyperlink w:anchor="_Toc85198596" w:history="1">
        <w:r w:rsidRPr="00D849B9">
          <w:rPr>
            <w:rStyle w:val="Hyperlink"/>
            <w:noProof/>
          </w:rPr>
          <w:t>4.2.2</w:t>
        </w:r>
        <w:r>
          <w:rPr>
            <w:rFonts w:asciiTheme="minorHAnsi" w:eastAsiaTheme="minorEastAsia" w:hAnsiTheme="minorHAnsi" w:cstheme="minorBidi"/>
            <w:noProof/>
            <w:color w:val="auto"/>
            <w:sz w:val="22"/>
            <w:szCs w:val="22"/>
          </w:rPr>
          <w:tab/>
        </w:r>
        <w:r w:rsidRPr="00D849B9">
          <w:rPr>
            <w:rStyle w:val="Hyperlink"/>
            <w:noProof/>
          </w:rPr>
          <w:t>Affected Entities</w:t>
        </w:r>
        <w:r>
          <w:rPr>
            <w:noProof/>
            <w:webHidden/>
          </w:rPr>
          <w:tab/>
        </w:r>
        <w:r>
          <w:rPr>
            <w:noProof/>
            <w:webHidden/>
          </w:rPr>
          <w:fldChar w:fldCharType="begin"/>
        </w:r>
        <w:r>
          <w:rPr>
            <w:noProof/>
            <w:webHidden/>
          </w:rPr>
          <w:instrText xml:space="preserve"> PAGEREF _Toc85198596 \h </w:instrText>
        </w:r>
        <w:r>
          <w:rPr>
            <w:noProof/>
            <w:webHidden/>
          </w:rPr>
          <w:fldChar w:fldCharType="separate"/>
        </w:r>
        <w:r>
          <w:rPr>
            <w:noProof/>
            <w:webHidden/>
          </w:rPr>
          <w:t>9</w:t>
        </w:r>
        <w:r>
          <w:rPr>
            <w:noProof/>
            <w:webHidden/>
          </w:rPr>
          <w:fldChar w:fldCharType="end"/>
        </w:r>
      </w:hyperlink>
    </w:p>
    <w:p w:rsidR="004634A0" w14:paraId="71A29662" w14:textId="2921E2E5">
      <w:pPr>
        <w:pStyle w:val="TOC3"/>
        <w:rPr>
          <w:rFonts w:asciiTheme="minorHAnsi" w:eastAsiaTheme="minorEastAsia" w:hAnsiTheme="minorHAnsi" w:cstheme="minorBidi"/>
          <w:noProof/>
          <w:color w:val="auto"/>
          <w:sz w:val="22"/>
          <w:szCs w:val="22"/>
        </w:rPr>
      </w:pPr>
      <w:hyperlink w:anchor="_Toc85198597" w:history="1">
        <w:r w:rsidRPr="00D849B9">
          <w:rPr>
            <w:rStyle w:val="Hyperlink"/>
            <w:noProof/>
          </w:rPr>
          <w:t>4.2.3</w:t>
        </w:r>
        <w:r>
          <w:rPr>
            <w:rFonts w:asciiTheme="minorHAnsi" w:eastAsiaTheme="minorEastAsia" w:hAnsiTheme="minorHAnsi" w:cstheme="minorBidi"/>
            <w:noProof/>
            <w:color w:val="auto"/>
            <w:sz w:val="22"/>
            <w:szCs w:val="22"/>
          </w:rPr>
          <w:tab/>
        </w:r>
        <w:r w:rsidRPr="00D849B9">
          <w:rPr>
            <w:rStyle w:val="Hyperlink"/>
            <w:noProof/>
          </w:rPr>
          <w:t>Base Year</w:t>
        </w:r>
        <w:r>
          <w:rPr>
            <w:noProof/>
            <w:webHidden/>
          </w:rPr>
          <w:tab/>
        </w:r>
        <w:r>
          <w:rPr>
            <w:noProof/>
            <w:webHidden/>
          </w:rPr>
          <w:fldChar w:fldCharType="begin"/>
        </w:r>
        <w:r>
          <w:rPr>
            <w:noProof/>
            <w:webHidden/>
          </w:rPr>
          <w:instrText xml:space="preserve"> PAGEREF _Toc85198597 \h </w:instrText>
        </w:r>
        <w:r>
          <w:rPr>
            <w:noProof/>
            <w:webHidden/>
          </w:rPr>
          <w:fldChar w:fldCharType="separate"/>
        </w:r>
        <w:r>
          <w:rPr>
            <w:noProof/>
            <w:webHidden/>
          </w:rPr>
          <w:t>10</w:t>
        </w:r>
        <w:r>
          <w:rPr>
            <w:noProof/>
            <w:webHidden/>
          </w:rPr>
          <w:fldChar w:fldCharType="end"/>
        </w:r>
      </w:hyperlink>
    </w:p>
    <w:p w:rsidR="004634A0" w14:paraId="05702F28" w14:textId="201043B2">
      <w:pPr>
        <w:pStyle w:val="TOC3"/>
        <w:rPr>
          <w:rFonts w:asciiTheme="minorHAnsi" w:eastAsiaTheme="minorEastAsia" w:hAnsiTheme="minorHAnsi" w:cstheme="minorBidi"/>
          <w:noProof/>
          <w:color w:val="auto"/>
          <w:sz w:val="22"/>
          <w:szCs w:val="22"/>
        </w:rPr>
      </w:pPr>
      <w:hyperlink w:anchor="_Toc85198598" w:history="1">
        <w:r w:rsidRPr="00D849B9">
          <w:rPr>
            <w:rStyle w:val="Hyperlink"/>
            <w:noProof/>
          </w:rPr>
          <w:t>4.2.4</w:t>
        </w:r>
        <w:r>
          <w:rPr>
            <w:rFonts w:asciiTheme="minorHAnsi" w:eastAsiaTheme="minorEastAsia" w:hAnsiTheme="minorHAnsi" w:cstheme="minorBidi"/>
            <w:noProof/>
            <w:color w:val="auto"/>
            <w:sz w:val="22"/>
            <w:szCs w:val="22"/>
          </w:rPr>
          <w:tab/>
        </w:r>
        <w:r w:rsidRPr="00D849B9">
          <w:rPr>
            <w:rStyle w:val="Hyperlink"/>
            <w:noProof/>
          </w:rPr>
          <w:t>Discount Rates</w:t>
        </w:r>
        <w:r>
          <w:rPr>
            <w:noProof/>
            <w:webHidden/>
          </w:rPr>
          <w:tab/>
        </w:r>
        <w:r>
          <w:rPr>
            <w:noProof/>
            <w:webHidden/>
          </w:rPr>
          <w:fldChar w:fldCharType="begin"/>
        </w:r>
        <w:r>
          <w:rPr>
            <w:noProof/>
            <w:webHidden/>
          </w:rPr>
          <w:instrText xml:space="preserve"> PAGEREF _Toc85198598 \h </w:instrText>
        </w:r>
        <w:r>
          <w:rPr>
            <w:noProof/>
            <w:webHidden/>
          </w:rPr>
          <w:fldChar w:fldCharType="separate"/>
        </w:r>
        <w:r>
          <w:rPr>
            <w:noProof/>
            <w:webHidden/>
          </w:rPr>
          <w:t>10</w:t>
        </w:r>
        <w:r>
          <w:rPr>
            <w:noProof/>
            <w:webHidden/>
          </w:rPr>
          <w:fldChar w:fldCharType="end"/>
        </w:r>
      </w:hyperlink>
    </w:p>
    <w:p w:rsidR="004634A0" w14:paraId="3BCDC741" w14:textId="7B98AE51">
      <w:pPr>
        <w:pStyle w:val="TOC3"/>
        <w:rPr>
          <w:rFonts w:asciiTheme="minorHAnsi" w:eastAsiaTheme="minorEastAsia" w:hAnsiTheme="minorHAnsi" w:cstheme="minorBidi"/>
          <w:noProof/>
          <w:color w:val="auto"/>
          <w:sz w:val="22"/>
          <w:szCs w:val="22"/>
        </w:rPr>
      </w:pPr>
      <w:hyperlink w:anchor="_Toc85198599" w:history="1">
        <w:r w:rsidRPr="00D849B9">
          <w:rPr>
            <w:rStyle w:val="Hyperlink"/>
            <w:noProof/>
          </w:rPr>
          <w:t>4.2.5</w:t>
        </w:r>
        <w:r>
          <w:rPr>
            <w:rFonts w:asciiTheme="minorHAnsi" w:eastAsiaTheme="minorEastAsia" w:hAnsiTheme="minorHAnsi" w:cstheme="minorBidi"/>
            <w:noProof/>
            <w:color w:val="auto"/>
            <w:sz w:val="22"/>
            <w:szCs w:val="22"/>
          </w:rPr>
          <w:tab/>
        </w:r>
        <w:r w:rsidRPr="00D849B9">
          <w:rPr>
            <w:rStyle w:val="Hyperlink"/>
            <w:noProof/>
          </w:rPr>
          <w:t>Cost/Benefit Inflators</w:t>
        </w:r>
        <w:r>
          <w:rPr>
            <w:noProof/>
            <w:webHidden/>
          </w:rPr>
          <w:tab/>
        </w:r>
        <w:r>
          <w:rPr>
            <w:noProof/>
            <w:webHidden/>
          </w:rPr>
          <w:fldChar w:fldCharType="begin"/>
        </w:r>
        <w:r>
          <w:rPr>
            <w:noProof/>
            <w:webHidden/>
          </w:rPr>
          <w:instrText xml:space="preserve"> PAGEREF _Toc85198599 \h </w:instrText>
        </w:r>
        <w:r>
          <w:rPr>
            <w:noProof/>
            <w:webHidden/>
          </w:rPr>
          <w:fldChar w:fldCharType="separate"/>
        </w:r>
        <w:r>
          <w:rPr>
            <w:noProof/>
            <w:webHidden/>
          </w:rPr>
          <w:t>10</w:t>
        </w:r>
        <w:r>
          <w:rPr>
            <w:noProof/>
            <w:webHidden/>
          </w:rPr>
          <w:fldChar w:fldCharType="end"/>
        </w:r>
      </w:hyperlink>
    </w:p>
    <w:p w:rsidR="004634A0" w14:paraId="6061EB84" w14:textId="4C478ADB">
      <w:pPr>
        <w:pStyle w:val="TOC3"/>
        <w:rPr>
          <w:rFonts w:asciiTheme="minorHAnsi" w:eastAsiaTheme="minorEastAsia" w:hAnsiTheme="minorHAnsi" w:cstheme="minorBidi"/>
          <w:noProof/>
          <w:color w:val="auto"/>
          <w:sz w:val="22"/>
          <w:szCs w:val="22"/>
        </w:rPr>
      </w:pPr>
      <w:hyperlink w:anchor="_Toc85198600" w:history="1">
        <w:r w:rsidRPr="00D849B9">
          <w:rPr>
            <w:rStyle w:val="Hyperlink"/>
            <w:noProof/>
          </w:rPr>
          <w:t>4.2.6</w:t>
        </w:r>
        <w:r>
          <w:rPr>
            <w:rFonts w:asciiTheme="minorHAnsi" w:eastAsiaTheme="minorEastAsia" w:hAnsiTheme="minorHAnsi" w:cstheme="minorBidi"/>
            <w:noProof/>
            <w:color w:val="auto"/>
            <w:sz w:val="22"/>
            <w:szCs w:val="22"/>
          </w:rPr>
          <w:tab/>
        </w:r>
        <w:r w:rsidRPr="00D849B9">
          <w:rPr>
            <w:rStyle w:val="Hyperlink"/>
            <w:noProof/>
          </w:rPr>
          <w:t>Labor Rates</w:t>
        </w:r>
        <w:r>
          <w:rPr>
            <w:noProof/>
            <w:webHidden/>
          </w:rPr>
          <w:tab/>
        </w:r>
        <w:r>
          <w:rPr>
            <w:noProof/>
            <w:webHidden/>
          </w:rPr>
          <w:fldChar w:fldCharType="begin"/>
        </w:r>
        <w:r>
          <w:rPr>
            <w:noProof/>
            <w:webHidden/>
          </w:rPr>
          <w:instrText xml:space="preserve"> PAGEREF _Toc85198600 \h </w:instrText>
        </w:r>
        <w:r>
          <w:rPr>
            <w:noProof/>
            <w:webHidden/>
          </w:rPr>
          <w:fldChar w:fldCharType="separate"/>
        </w:r>
        <w:r>
          <w:rPr>
            <w:noProof/>
            <w:webHidden/>
          </w:rPr>
          <w:t>11</w:t>
        </w:r>
        <w:r>
          <w:rPr>
            <w:noProof/>
            <w:webHidden/>
          </w:rPr>
          <w:fldChar w:fldCharType="end"/>
        </w:r>
      </w:hyperlink>
    </w:p>
    <w:p w:rsidR="004634A0" w14:paraId="27951E2A" w14:textId="4CBC47B5">
      <w:pPr>
        <w:pStyle w:val="TOC3"/>
        <w:rPr>
          <w:rFonts w:asciiTheme="minorHAnsi" w:eastAsiaTheme="minorEastAsia" w:hAnsiTheme="minorHAnsi" w:cstheme="minorBidi"/>
          <w:noProof/>
          <w:color w:val="auto"/>
          <w:sz w:val="22"/>
          <w:szCs w:val="22"/>
        </w:rPr>
      </w:pPr>
      <w:hyperlink w:anchor="_Toc85198601" w:history="1">
        <w:r w:rsidRPr="00D849B9">
          <w:rPr>
            <w:rStyle w:val="Hyperlink"/>
            <w:noProof/>
          </w:rPr>
          <w:t>4.2.7</w:t>
        </w:r>
        <w:r>
          <w:rPr>
            <w:rFonts w:asciiTheme="minorHAnsi" w:eastAsiaTheme="minorEastAsia" w:hAnsiTheme="minorHAnsi" w:cstheme="minorBidi"/>
            <w:noProof/>
            <w:color w:val="auto"/>
            <w:sz w:val="22"/>
            <w:szCs w:val="22"/>
          </w:rPr>
          <w:tab/>
        </w:r>
        <w:r w:rsidRPr="00D849B9">
          <w:rPr>
            <w:rStyle w:val="Hyperlink"/>
            <w:noProof/>
          </w:rPr>
          <w:t>Sign Conventions</w:t>
        </w:r>
        <w:r>
          <w:rPr>
            <w:noProof/>
            <w:webHidden/>
          </w:rPr>
          <w:tab/>
        </w:r>
        <w:r>
          <w:rPr>
            <w:noProof/>
            <w:webHidden/>
          </w:rPr>
          <w:fldChar w:fldCharType="begin"/>
        </w:r>
        <w:r>
          <w:rPr>
            <w:noProof/>
            <w:webHidden/>
          </w:rPr>
          <w:instrText xml:space="preserve"> PAGEREF _Toc85198601 \h </w:instrText>
        </w:r>
        <w:r>
          <w:rPr>
            <w:noProof/>
            <w:webHidden/>
          </w:rPr>
          <w:fldChar w:fldCharType="separate"/>
        </w:r>
        <w:r>
          <w:rPr>
            <w:noProof/>
            <w:webHidden/>
          </w:rPr>
          <w:t>13</w:t>
        </w:r>
        <w:r>
          <w:rPr>
            <w:noProof/>
            <w:webHidden/>
          </w:rPr>
          <w:fldChar w:fldCharType="end"/>
        </w:r>
      </w:hyperlink>
    </w:p>
    <w:p w:rsidR="004634A0" w14:paraId="1EB30AB9" w14:textId="5C0A4C32">
      <w:pPr>
        <w:pStyle w:val="TOC3"/>
        <w:rPr>
          <w:rFonts w:asciiTheme="minorHAnsi" w:eastAsiaTheme="minorEastAsia" w:hAnsiTheme="minorHAnsi" w:cstheme="minorBidi"/>
          <w:noProof/>
          <w:color w:val="auto"/>
          <w:sz w:val="22"/>
          <w:szCs w:val="22"/>
        </w:rPr>
      </w:pPr>
      <w:hyperlink w:anchor="_Toc85198602" w:history="1">
        <w:r w:rsidRPr="00D849B9">
          <w:rPr>
            <w:rStyle w:val="Hyperlink"/>
            <w:noProof/>
          </w:rPr>
          <w:t>4.2.8</w:t>
        </w:r>
        <w:r>
          <w:rPr>
            <w:rFonts w:asciiTheme="minorHAnsi" w:eastAsiaTheme="minorEastAsia" w:hAnsiTheme="minorHAnsi" w:cstheme="minorBidi"/>
            <w:noProof/>
            <w:color w:val="auto"/>
            <w:sz w:val="22"/>
            <w:szCs w:val="22"/>
          </w:rPr>
          <w:tab/>
        </w:r>
        <w:r w:rsidRPr="00D849B9">
          <w:rPr>
            <w:rStyle w:val="Hyperlink"/>
            <w:noProof/>
          </w:rPr>
          <w:t>Analysis Horizon</w:t>
        </w:r>
        <w:r>
          <w:rPr>
            <w:noProof/>
            <w:webHidden/>
          </w:rPr>
          <w:tab/>
        </w:r>
        <w:r>
          <w:rPr>
            <w:noProof/>
            <w:webHidden/>
          </w:rPr>
          <w:fldChar w:fldCharType="begin"/>
        </w:r>
        <w:r>
          <w:rPr>
            <w:noProof/>
            <w:webHidden/>
          </w:rPr>
          <w:instrText xml:space="preserve"> PAGEREF _Toc85198602 \h </w:instrText>
        </w:r>
        <w:r>
          <w:rPr>
            <w:noProof/>
            <w:webHidden/>
          </w:rPr>
          <w:fldChar w:fldCharType="separate"/>
        </w:r>
        <w:r>
          <w:rPr>
            <w:noProof/>
            <w:webHidden/>
          </w:rPr>
          <w:t>13</w:t>
        </w:r>
        <w:r>
          <w:rPr>
            <w:noProof/>
            <w:webHidden/>
          </w:rPr>
          <w:fldChar w:fldCharType="end"/>
        </w:r>
      </w:hyperlink>
    </w:p>
    <w:p w:rsidR="004634A0" w14:paraId="55AF3066" w14:textId="4DCFDB5F">
      <w:pPr>
        <w:pStyle w:val="TOC3"/>
        <w:rPr>
          <w:rFonts w:asciiTheme="minorHAnsi" w:eastAsiaTheme="minorEastAsia" w:hAnsiTheme="minorHAnsi" w:cstheme="minorBidi"/>
          <w:noProof/>
          <w:color w:val="auto"/>
          <w:sz w:val="22"/>
          <w:szCs w:val="22"/>
        </w:rPr>
      </w:pPr>
      <w:hyperlink w:anchor="_Toc85198603" w:history="1">
        <w:r w:rsidRPr="00D849B9">
          <w:rPr>
            <w:rStyle w:val="Hyperlink"/>
            <w:noProof/>
          </w:rPr>
          <w:t>4.2.9</w:t>
        </w:r>
        <w:r>
          <w:rPr>
            <w:rFonts w:asciiTheme="minorHAnsi" w:eastAsiaTheme="minorEastAsia" w:hAnsiTheme="minorHAnsi" w:cstheme="minorBidi"/>
            <w:noProof/>
            <w:color w:val="auto"/>
            <w:sz w:val="22"/>
            <w:szCs w:val="22"/>
          </w:rPr>
          <w:tab/>
        </w:r>
        <w:r w:rsidRPr="00D849B9">
          <w:rPr>
            <w:rStyle w:val="Hyperlink"/>
            <w:noProof/>
          </w:rPr>
          <w:t>Cost Estimation</w:t>
        </w:r>
        <w:r>
          <w:rPr>
            <w:noProof/>
            <w:webHidden/>
          </w:rPr>
          <w:tab/>
        </w:r>
        <w:r>
          <w:rPr>
            <w:noProof/>
            <w:webHidden/>
          </w:rPr>
          <w:fldChar w:fldCharType="begin"/>
        </w:r>
        <w:r>
          <w:rPr>
            <w:noProof/>
            <w:webHidden/>
          </w:rPr>
          <w:instrText xml:space="preserve"> PAGEREF _Toc85198603 \h </w:instrText>
        </w:r>
        <w:r>
          <w:rPr>
            <w:noProof/>
            <w:webHidden/>
          </w:rPr>
          <w:fldChar w:fldCharType="separate"/>
        </w:r>
        <w:r>
          <w:rPr>
            <w:noProof/>
            <w:webHidden/>
          </w:rPr>
          <w:t>13</w:t>
        </w:r>
        <w:r>
          <w:rPr>
            <w:noProof/>
            <w:webHidden/>
          </w:rPr>
          <w:fldChar w:fldCharType="end"/>
        </w:r>
      </w:hyperlink>
    </w:p>
    <w:p w:rsidR="004634A0" w14:paraId="3CE0A70D" w14:textId="0A68BDCD">
      <w:pPr>
        <w:pStyle w:val="TOC2"/>
        <w:rPr>
          <w:rFonts w:asciiTheme="minorHAnsi" w:eastAsiaTheme="minorEastAsia" w:hAnsiTheme="minorHAnsi" w:cstheme="minorBidi"/>
          <w:noProof/>
          <w:color w:val="auto"/>
          <w:sz w:val="22"/>
          <w:szCs w:val="22"/>
        </w:rPr>
      </w:pPr>
      <w:hyperlink w:anchor="_Toc85198604" w:history="1">
        <w:r w:rsidRPr="00D849B9">
          <w:rPr>
            <w:rStyle w:val="Hyperlink"/>
            <w:noProof/>
          </w:rPr>
          <w:t>4.3</w:t>
        </w:r>
        <w:r>
          <w:rPr>
            <w:rFonts w:asciiTheme="minorHAnsi" w:eastAsiaTheme="minorEastAsia" w:hAnsiTheme="minorHAnsi" w:cstheme="minorBidi"/>
            <w:noProof/>
            <w:color w:val="auto"/>
            <w:sz w:val="22"/>
            <w:szCs w:val="22"/>
          </w:rPr>
          <w:tab/>
        </w:r>
        <w:r w:rsidRPr="00D849B9">
          <w:rPr>
            <w:rStyle w:val="Hyperlink"/>
            <w:noProof/>
          </w:rPr>
          <w:t>Data</w:t>
        </w:r>
        <w:r>
          <w:rPr>
            <w:noProof/>
            <w:webHidden/>
          </w:rPr>
          <w:tab/>
        </w:r>
        <w:r>
          <w:rPr>
            <w:noProof/>
            <w:webHidden/>
          </w:rPr>
          <w:fldChar w:fldCharType="begin"/>
        </w:r>
        <w:r>
          <w:rPr>
            <w:noProof/>
            <w:webHidden/>
          </w:rPr>
          <w:instrText xml:space="preserve"> PAGEREF _Toc85198604 \h </w:instrText>
        </w:r>
        <w:r>
          <w:rPr>
            <w:noProof/>
            <w:webHidden/>
          </w:rPr>
          <w:fldChar w:fldCharType="separate"/>
        </w:r>
        <w:r>
          <w:rPr>
            <w:noProof/>
            <w:webHidden/>
          </w:rPr>
          <w:t>14</w:t>
        </w:r>
        <w:r>
          <w:rPr>
            <w:noProof/>
            <w:webHidden/>
          </w:rPr>
          <w:fldChar w:fldCharType="end"/>
        </w:r>
      </w:hyperlink>
    </w:p>
    <w:p w:rsidR="004634A0" w:rsidP="006C4B5D" w14:paraId="11756A14" w14:textId="5913C42D">
      <w:pPr>
        <w:pStyle w:val="TOC1"/>
        <w:rPr>
          <w:rFonts w:asciiTheme="minorHAnsi" w:hAnsiTheme="minorHAnsi" w:cstheme="minorBidi"/>
        </w:rPr>
      </w:pPr>
      <w:hyperlink w:anchor="_Toc85198605" w:history="1">
        <w:r w:rsidRPr="00D849B9">
          <w:rPr>
            <w:rStyle w:val="Hyperlink"/>
          </w:rPr>
          <w:t>5.</w:t>
        </w:r>
        <w:r>
          <w:rPr>
            <w:rFonts w:asciiTheme="minorHAnsi" w:hAnsiTheme="minorHAnsi" w:cstheme="minorBidi"/>
          </w:rPr>
          <w:tab/>
        </w:r>
        <w:r w:rsidRPr="00D849B9">
          <w:rPr>
            <w:rStyle w:val="Hyperlink"/>
          </w:rPr>
          <w:t>Presentation of Results</w:t>
        </w:r>
        <w:r>
          <w:rPr>
            <w:webHidden/>
          </w:rPr>
          <w:tab/>
        </w:r>
        <w:r>
          <w:rPr>
            <w:webHidden/>
          </w:rPr>
          <w:fldChar w:fldCharType="begin"/>
        </w:r>
        <w:r>
          <w:rPr>
            <w:webHidden/>
          </w:rPr>
          <w:instrText xml:space="preserve"> PAGEREF _Toc85198605 \h </w:instrText>
        </w:r>
        <w:r>
          <w:rPr>
            <w:webHidden/>
          </w:rPr>
          <w:fldChar w:fldCharType="separate"/>
        </w:r>
        <w:r>
          <w:rPr>
            <w:webHidden/>
          </w:rPr>
          <w:t>14</w:t>
        </w:r>
        <w:r>
          <w:rPr>
            <w:webHidden/>
          </w:rPr>
          <w:fldChar w:fldCharType="end"/>
        </w:r>
      </w:hyperlink>
    </w:p>
    <w:p w:rsidR="004634A0" w14:paraId="60733843" w14:textId="21753278">
      <w:pPr>
        <w:pStyle w:val="TOC2"/>
        <w:rPr>
          <w:rFonts w:asciiTheme="minorHAnsi" w:eastAsiaTheme="minorEastAsia" w:hAnsiTheme="minorHAnsi" w:cstheme="minorBidi"/>
          <w:noProof/>
          <w:color w:val="auto"/>
          <w:sz w:val="22"/>
          <w:szCs w:val="22"/>
        </w:rPr>
      </w:pPr>
      <w:hyperlink w:anchor="_Toc85198606" w:history="1">
        <w:r w:rsidRPr="00D849B9">
          <w:rPr>
            <w:rStyle w:val="Hyperlink"/>
            <w:noProof/>
          </w:rPr>
          <w:t>5.1.</w:t>
        </w:r>
        <w:r>
          <w:rPr>
            <w:rFonts w:asciiTheme="minorHAnsi" w:eastAsiaTheme="minorEastAsia" w:hAnsiTheme="minorHAnsi" w:cstheme="minorBidi"/>
            <w:noProof/>
            <w:color w:val="auto"/>
            <w:sz w:val="22"/>
            <w:szCs w:val="22"/>
          </w:rPr>
          <w:tab/>
        </w:r>
        <w:r w:rsidRPr="00D849B9">
          <w:rPr>
            <w:rStyle w:val="Hyperlink"/>
            <w:noProof/>
          </w:rPr>
          <w:t>Industry Operation</w:t>
        </w:r>
        <w:r>
          <w:rPr>
            <w:noProof/>
            <w:webHidden/>
          </w:rPr>
          <w:tab/>
        </w:r>
        <w:r>
          <w:rPr>
            <w:noProof/>
            <w:webHidden/>
          </w:rPr>
          <w:fldChar w:fldCharType="begin"/>
        </w:r>
        <w:r>
          <w:rPr>
            <w:noProof/>
            <w:webHidden/>
          </w:rPr>
          <w:instrText xml:space="preserve"> PAGEREF _Toc85198606 \h </w:instrText>
        </w:r>
        <w:r>
          <w:rPr>
            <w:noProof/>
            <w:webHidden/>
          </w:rPr>
          <w:fldChar w:fldCharType="separate"/>
        </w:r>
        <w:r>
          <w:rPr>
            <w:noProof/>
            <w:webHidden/>
          </w:rPr>
          <w:t>15</w:t>
        </w:r>
        <w:r>
          <w:rPr>
            <w:noProof/>
            <w:webHidden/>
          </w:rPr>
          <w:fldChar w:fldCharType="end"/>
        </w:r>
      </w:hyperlink>
    </w:p>
    <w:p w:rsidR="004634A0" w14:paraId="3F42489E" w14:textId="03F39448">
      <w:pPr>
        <w:pStyle w:val="TOC2"/>
        <w:rPr>
          <w:rFonts w:asciiTheme="minorHAnsi" w:eastAsiaTheme="minorEastAsia" w:hAnsiTheme="minorHAnsi" w:cstheme="minorBidi"/>
          <w:noProof/>
          <w:color w:val="auto"/>
          <w:sz w:val="22"/>
          <w:szCs w:val="22"/>
        </w:rPr>
      </w:pPr>
      <w:hyperlink w:anchor="_Toc85198607" w:history="1">
        <w:r w:rsidRPr="00D849B9">
          <w:rPr>
            <w:rStyle w:val="Hyperlink"/>
            <w:noProof/>
          </w:rPr>
          <w:t>5.2.</w:t>
        </w:r>
        <w:r>
          <w:rPr>
            <w:rFonts w:asciiTheme="minorHAnsi" w:eastAsiaTheme="minorEastAsia" w:hAnsiTheme="minorHAnsi" w:cstheme="minorBidi"/>
            <w:noProof/>
            <w:color w:val="auto"/>
            <w:sz w:val="22"/>
            <w:szCs w:val="22"/>
          </w:rPr>
          <w:tab/>
        </w:r>
        <w:r w:rsidRPr="00D849B9">
          <w:rPr>
            <w:rStyle w:val="Hyperlink"/>
            <w:noProof/>
          </w:rPr>
          <w:t>Total Industry Costs</w:t>
        </w:r>
        <w:r>
          <w:rPr>
            <w:noProof/>
            <w:webHidden/>
          </w:rPr>
          <w:tab/>
        </w:r>
        <w:r>
          <w:rPr>
            <w:noProof/>
            <w:webHidden/>
          </w:rPr>
          <w:fldChar w:fldCharType="begin"/>
        </w:r>
        <w:r>
          <w:rPr>
            <w:noProof/>
            <w:webHidden/>
          </w:rPr>
          <w:instrText xml:space="preserve"> PAGEREF _Toc85198607 \h </w:instrText>
        </w:r>
        <w:r>
          <w:rPr>
            <w:noProof/>
            <w:webHidden/>
          </w:rPr>
          <w:fldChar w:fldCharType="separate"/>
        </w:r>
        <w:r>
          <w:rPr>
            <w:noProof/>
            <w:webHidden/>
          </w:rPr>
          <w:t>19</w:t>
        </w:r>
        <w:r>
          <w:rPr>
            <w:noProof/>
            <w:webHidden/>
          </w:rPr>
          <w:fldChar w:fldCharType="end"/>
        </w:r>
      </w:hyperlink>
    </w:p>
    <w:p w:rsidR="004634A0" w14:paraId="6CE8ACEA" w14:textId="3D84CCE8">
      <w:pPr>
        <w:pStyle w:val="TOC2"/>
        <w:rPr>
          <w:rFonts w:asciiTheme="minorHAnsi" w:eastAsiaTheme="minorEastAsia" w:hAnsiTheme="minorHAnsi" w:cstheme="minorBidi"/>
          <w:noProof/>
          <w:color w:val="auto"/>
          <w:sz w:val="22"/>
          <w:szCs w:val="22"/>
        </w:rPr>
      </w:pPr>
      <w:hyperlink w:anchor="_Toc85198608" w:history="1">
        <w:r w:rsidRPr="00D849B9">
          <w:rPr>
            <w:rStyle w:val="Hyperlink"/>
            <w:noProof/>
          </w:rPr>
          <w:t>5.3.</w:t>
        </w:r>
        <w:r>
          <w:rPr>
            <w:rFonts w:asciiTheme="minorHAnsi" w:eastAsiaTheme="minorEastAsia" w:hAnsiTheme="minorHAnsi" w:cstheme="minorBidi"/>
            <w:noProof/>
            <w:color w:val="auto"/>
            <w:sz w:val="22"/>
            <w:szCs w:val="22"/>
          </w:rPr>
          <w:tab/>
        </w:r>
        <w:r w:rsidRPr="00D849B9">
          <w:rPr>
            <w:rStyle w:val="Hyperlink"/>
            <w:noProof/>
          </w:rPr>
          <w:t>NRC Implementation</w:t>
        </w:r>
        <w:r>
          <w:rPr>
            <w:noProof/>
            <w:webHidden/>
          </w:rPr>
          <w:tab/>
        </w:r>
        <w:r>
          <w:rPr>
            <w:noProof/>
            <w:webHidden/>
          </w:rPr>
          <w:fldChar w:fldCharType="begin"/>
        </w:r>
        <w:r>
          <w:rPr>
            <w:noProof/>
            <w:webHidden/>
          </w:rPr>
          <w:instrText xml:space="preserve"> PAGEREF _Toc85198608 \h </w:instrText>
        </w:r>
        <w:r>
          <w:rPr>
            <w:noProof/>
            <w:webHidden/>
          </w:rPr>
          <w:fldChar w:fldCharType="separate"/>
        </w:r>
        <w:r>
          <w:rPr>
            <w:noProof/>
            <w:webHidden/>
          </w:rPr>
          <w:t>19</w:t>
        </w:r>
        <w:r>
          <w:rPr>
            <w:noProof/>
            <w:webHidden/>
          </w:rPr>
          <w:fldChar w:fldCharType="end"/>
        </w:r>
      </w:hyperlink>
    </w:p>
    <w:p w:rsidR="004634A0" w14:paraId="353E6CD8" w14:textId="5FE6F494">
      <w:pPr>
        <w:pStyle w:val="TOC2"/>
        <w:rPr>
          <w:rFonts w:asciiTheme="minorHAnsi" w:eastAsiaTheme="minorEastAsia" w:hAnsiTheme="minorHAnsi" w:cstheme="minorBidi"/>
          <w:noProof/>
          <w:color w:val="auto"/>
          <w:sz w:val="22"/>
          <w:szCs w:val="22"/>
        </w:rPr>
      </w:pPr>
      <w:hyperlink w:anchor="_Toc85198609" w:history="1">
        <w:r w:rsidRPr="00D849B9">
          <w:rPr>
            <w:rStyle w:val="Hyperlink"/>
            <w:noProof/>
          </w:rPr>
          <w:t>5.4.</w:t>
        </w:r>
        <w:r>
          <w:rPr>
            <w:rFonts w:asciiTheme="minorHAnsi" w:eastAsiaTheme="minorEastAsia" w:hAnsiTheme="minorHAnsi" w:cstheme="minorBidi"/>
            <w:noProof/>
            <w:color w:val="auto"/>
            <w:sz w:val="22"/>
            <w:szCs w:val="22"/>
          </w:rPr>
          <w:tab/>
        </w:r>
        <w:r w:rsidRPr="00D849B9">
          <w:rPr>
            <w:rStyle w:val="Hyperlink"/>
            <w:noProof/>
          </w:rPr>
          <w:t>NRC Operation</w:t>
        </w:r>
        <w:r>
          <w:rPr>
            <w:noProof/>
            <w:webHidden/>
          </w:rPr>
          <w:tab/>
        </w:r>
        <w:r>
          <w:rPr>
            <w:noProof/>
            <w:webHidden/>
          </w:rPr>
          <w:fldChar w:fldCharType="begin"/>
        </w:r>
        <w:r>
          <w:rPr>
            <w:noProof/>
            <w:webHidden/>
          </w:rPr>
          <w:instrText xml:space="preserve"> PAGEREF _Toc85198609 \h </w:instrText>
        </w:r>
        <w:r>
          <w:rPr>
            <w:noProof/>
            <w:webHidden/>
          </w:rPr>
          <w:fldChar w:fldCharType="separate"/>
        </w:r>
        <w:r>
          <w:rPr>
            <w:noProof/>
            <w:webHidden/>
          </w:rPr>
          <w:t>19</w:t>
        </w:r>
        <w:r>
          <w:rPr>
            <w:noProof/>
            <w:webHidden/>
          </w:rPr>
          <w:fldChar w:fldCharType="end"/>
        </w:r>
      </w:hyperlink>
    </w:p>
    <w:p w:rsidR="004634A0" w14:paraId="36E25A3C" w14:textId="70326502">
      <w:pPr>
        <w:pStyle w:val="TOC2"/>
        <w:rPr>
          <w:rFonts w:asciiTheme="minorHAnsi" w:eastAsiaTheme="minorEastAsia" w:hAnsiTheme="minorHAnsi" w:cstheme="minorBidi"/>
          <w:noProof/>
          <w:color w:val="auto"/>
          <w:sz w:val="22"/>
          <w:szCs w:val="22"/>
        </w:rPr>
      </w:pPr>
      <w:hyperlink w:anchor="_Toc85198610" w:history="1">
        <w:r w:rsidRPr="00D849B9">
          <w:rPr>
            <w:rStyle w:val="Hyperlink"/>
            <w:noProof/>
          </w:rPr>
          <w:t>5.5.</w:t>
        </w:r>
        <w:r>
          <w:rPr>
            <w:rFonts w:asciiTheme="minorHAnsi" w:eastAsiaTheme="minorEastAsia" w:hAnsiTheme="minorHAnsi" w:cstheme="minorBidi"/>
            <w:noProof/>
            <w:color w:val="auto"/>
            <w:sz w:val="22"/>
            <w:szCs w:val="22"/>
          </w:rPr>
          <w:tab/>
        </w:r>
        <w:r w:rsidRPr="00D849B9">
          <w:rPr>
            <w:rStyle w:val="Hyperlink"/>
            <w:noProof/>
          </w:rPr>
          <w:t>Total NRC Costs</w:t>
        </w:r>
        <w:r>
          <w:rPr>
            <w:noProof/>
            <w:webHidden/>
          </w:rPr>
          <w:tab/>
        </w:r>
        <w:r>
          <w:rPr>
            <w:noProof/>
            <w:webHidden/>
          </w:rPr>
          <w:fldChar w:fldCharType="begin"/>
        </w:r>
        <w:r>
          <w:rPr>
            <w:noProof/>
            <w:webHidden/>
          </w:rPr>
          <w:instrText xml:space="preserve"> PAGEREF _Toc85198610 \h </w:instrText>
        </w:r>
        <w:r>
          <w:rPr>
            <w:noProof/>
            <w:webHidden/>
          </w:rPr>
          <w:fldChar w:fldCharType="separate"/>
        </w:r>
        <w:r>
          <w:rPr>
            <w:noProof/>
            <w:webHidden/>
          </w:rPr>
          <w:t>21</w:t>
        </w:r>
        <w:r>
          <w:rPr>
            <w:noProof/>
            <w:webHidden/>
          </w:rPr>
          <w:fldChar w:fldCharType="end"/>
        </w:r>
      </w:hyperlink>
    </w:p>
    <w:p w:rsidR="004634A0" w14:paraId="24AC7961" w14:textId="6E51BC3E">
      <w:pPr>
        <w:pStyle w:val="TOC2"/>
        <w:rPr>
          <w:rFonts w:asciiTheme="minorHAnsi" w:eastAsiaTheme="minorEastAsia" w:hAnsiTheme="minorHAnsi" w:cstheme="minorBidi"/>
          <w:noProof/>
          <w:color w:val="auto"/>
          <w:sz w:val="22"/>
          <w:szCs w:val="22"/>
        </w:rPr>
      </w:pPr>
      <w:hyperlink w:anchor="_Toc85198611" w:history="1">
        <w:r w:rsidRPr="00D849B9">
          <w:rPr>
            <w:rStyle w:val="Hyperlink"/>
            <w:noProof/>
          </w:rPr>
          <w:t>5.6.</w:t>
        </w:r>
        <w:r>
          <w:rPr>
            <w:rFonts w:asciiTheme="minorHAnsi" w:eastAsiaTheme="minorEastAsia" w:hAnsiTheme="minorHAnsi" w:cstheme="minorBidi"/>
            <w:noProof/>
            <w:color w:val="auto"/>
            <w:sz w:val="22"/>
            <w:szCs w:val="22"/>
          </w:rPr>
          <w:tab/>
        </w:r>
        <w:r w:rsidRPr="00D849B9">
          <w:rPr>
            <w:rStyle w:val="Hyperlink"/>
            <w:noProof/>
          </w:rPr>
          <w:t>Total Costs</w:t>
        </w:r>
        <w:r>
          <w:rPr>
            <w:noProof/>
            <w:webHidden/>
          </w:rPr>
          <w:tab/>
        </w:r>
        <w:r>
          <w:rPr>
            <w:noProof/>
            <w:webHidden/>
          </w:rPr>
          <w:fldChar w:fldCharType="begin"/>
        </w:r>
        <w:r>
          <w:rPr>
            <w:noProof/>
            <w:webHidden/>
          </w:rPr>
          <w:instrText xml:space="preserve"> PAGEREF _Toc85198611 \h </w:instrText>
        </w:r>
        <w:r>
          <w:rPr>
            <w:noProof/>
            <w:webHidden/>
          </w:rPr>
          <w:fldChar w:fldCharType="separate"/>
        </w:r>
        <w:r>
          <w:rPr>
            <w:noProof/>
            <w:webHidden/>
          </w:rPr>
          <w:t>21</w:t>
        </w:r>
        <w:r>
          <w:rPr>
            <w:noProof/>
            <w:webHidden/>
          </w:rPr>
          <w:fldChar w:fldCharType="end"/>
        </w:r>
      </w:hyperlink>
    </w:p>
    <w:p w:rsidR="004634A0" w14:paraId="07B93FF4" w14:textId="0DDB49FB">
      <w:pPr>
        <w:pStyle w:val="TOC2"/>
        <w:rPr>
          <w:rFonts w:asciiTheme="minorHAnsi" w:eastAsiaTheme="minorEastAsia" w:hAnsiTheme="minorHAnsi" w:cstheme="minorBidi"/>
          <w:noProof/>
          <w:color w:val="auto"/>
          <w:sz w:val="22"/>
          <w:szCs w:val="22"/>
        </w:rPr>
      </w:pPr>
      <w:hyperlink w:anchor="_Toc85198612" w:history="1">
        <w:r w:rsidRPr="00D849B9">
          <w:rPr>
            <w:rStyle w:val="Hyperlink"/>
            <w:noProof/>
          </w:rPr>
          <w:t>5.7.</w:t>
        </w:r>
        <w:r>
          <w:rPr>
            <w:rFonts w:asciiTheme="minorHAnsi" w:eastAsiaTheme="minorEastAsia" w:hAnsiTheme="minorHAnsi" w:cstheme="minorBidi"/>
            <w:noProof/>
            <w:color w:val="auto"/>
            <w:sz w:val="22"/>
            <w:szCs w:val="22"/>
          </w:rPr>
          <w:tab/>
        </w:r>
        <w:r w:rsidRPr="00D849B9">
          <w:rPr>
            <w:rStyle w:val="Hyperlink"/>
            <w:noProof/>
          </w:rPr>
          <w:t>Potential Effect on Offsite Governmental Organizations</w:t>
        </w:r>
        <w:r>
          <w:rPr>
            <w:noProof/>
            <w:webHidden/>
          </w:rPr>
          <w:tab/>
        </w:r>
        <w:r>
          <w:rPr>
            <w:noProof/>
            <w:webHidden/>
          </w:rPr>
          <w:fldChar w:fldCharType="begin"/>
        </w:r>
        <w:r>
          <w:rPr>
            <w:noProof/>
            <w:webHidden/>
          </w:rPr>
          <w:instrText xml:space="preserve"> PAGEREF _Toc85198612 \h </w:instrText>
        </w:r>
        <w:r>
          <w:rPr>
            <w:noProof/>
            <w:webHidden/>
          </w:rPr>
          <w:fldChar w:fldCharType="separate"/>
        </w:r>
        <w:r>
          <w:rPr>
            <w:noProof/>
            <w:webHidden/>
          </w:rPr>
          <w:t>22</w:t>
        </w:r>
        <w:r>
          <w:rPr>
            <w:noProof/>
            <w:webHidden/>
          </w:rPr>
          <w:fldChar w:fldCharType="end"/>
        </w:r>
      </w:hyperlink>
    </w:p>
    <w:p w:rsidR="004634A0" w14:paraId="68D73294" w14:textId="5A8EC5A2">
      <w:pPr>
        <w:pStyle w:val="TOC2"/>
        <w:rPr>
          <w:rFonts w:asciiTheme="minorHAnsi" w:eastAsiaTheme="minorEastAsia" w:hAnsiTheme="minorHAnsi" w:cstheme="minorBidi"/>
          <w:noProof/>
          <w:color w:val="auto"/>
          <w:sz w:val="22"/>
          <w:szCs w:val="22"/>
        </w:rPr>
      </w:pPr>
      <w:hyperlink w:anchor="_Toc85198613" w:history="1">
        <w:r w:rsidRPr="00D849B9">
          <w:rPr>
            <w:rStyle w:val="Hyperlink"/>
            <w:noProof/>
          </w:rPr>
          <w:t>5.8.</w:t>
        </w:r>
        <w:r>
          <w:rPr>
            <w:rFonts w:asciiTheme="minorHAnsi" w:eastAsiaTheme="minorEastAsia" w:hAnsiTheme="minorHAnsi" w:cstheme="minorBidi"/>
            <w:noProof/>
            <w:color w:val="auto"/>
            <w:sz w:val="22"/>
            <w:szCs w:val="22"/>
          </w:rPr>
          <w:tab/>
        </w:r>
        <w:r w:rsidRPr="00D849B9">
          <w:rPr>
            <w:rStyle w:val="Hyperlink"/>
            <w:noProof/>
          </w:rPr>
          <w:t>Sensitivity Analysis of the Number of and the Timing for License Applications</w:t>
        </w:r>
        <w:r>
          <w:rPr>
            <w:noProof/>
            <w:webHidden/>
          </w:rPr>
          <w:tab/>
        </w:r>
        <w:r>
          <w:rPr>
            <w:noProof/>
            <w:webHidden/>
          </w:rPr>
          <w:fldChar w:fldCharType="begin"/>
        </w:r>
        <w:r>
          <w:rPr>
            <w:noProof/>
            <w:webHidden/>
          </w:rPr>
          <w:instrText xml:space="preserve"> PAGEREF _Toc85198613 \h </w:instrText>
        </w:r>
        <w:r>
          <w:rPr>
            <w:noProof/>
            <w:webHidden/>
          </w:rPr>
          <w:fldChar w:fldCharType="separate"/>
        </w:r>
        <w:r>
          <w:rPr>
            <w:noProof/>
            <w:webHidden/>
          </w:rPr>
          <w:t>22</w:t>
        </w:r>
        <w:r>
          <w:rPr>
            <w:noProof/>
            <w:webHidden/>
          </w:rPr>
          <w:fldChar w:fldCharType="end"/>
        </w:r>
      </w:hyperlink>
    </w:p>
    <w:p w:rsidR="004634A0" w14:paraId="22BC47C9" w14:textId="0C2EBCD5">
      <w:pPr>
        <w:pStyle w:val="TOC2"/>
        <w:rPr>
          <w:rFonts w:asciiTheme="minorHAnsi" w:eastAsiaTheme="minorEastAsia" w:hAnsiTheme="minorHAnsi" w:cstheme="minorBidi"/>
          <w:noProof/>
          <w:color w:val="auto"/>
          <w:sz w:val="22"/>
          <w:szCs w:val="22"/>
        </w:rPr>
      </w:pPr>
      <w:hyperlink w:anchor="_Toc85198614" w:history="1">
        <w:r w:rsidRPr="00D849B9">
          <w:rPr>
            <w:rStyle w:val="Hyperlink"/>
            <w:noProof/>
          </w:rPr>
          <w:t>5.9.</w:t>
        </w:r>
        <w:r>
          <w:rPr>
            <w:rFonts w:asciiTheme="minorHAnsi" w:eastAsiaTheme="minorEastAsia" w:hAnsiTheme="minorHAnsi" w:cstheme="minorBidi"/>
            <w:noProof/>
            <w:color w:val="auto"/>
            <w:sz w:val="22"/>
            <w:szCs w:val="22"/>
          </w:rPr>
          <w:tab/>
        </w:r>
        <w:r w:rsidRPr="00D849B9">
          <w:rPr>
            <w:rStyle w:val="Hyperlink"/>
            <w:noProof/>
          </w:rPr>
          <w:t>Uncertainty Analysis</w:t>
        </w:r>
        <w:r>
          <w:rPr>
            <w:noProof/>
            <w:webHidden/>
          </w:rPr>
          <w:tab/>
        </w:r>
        <w:r>
          <w:rPr>
            <w:noProof/>
            <w:webHidden/>
          </w:rPr>
          <w:fldChar w:fldCharType="begin"/>
        </w:r>
        <w:r>
          <w:rPr>
            <w:noProof/>
            <w:webHidden/>
          </w:rPr>
          <w:instrText xml:space="preserve"> PAGEREF _Toc85198614 \h </w:instrText>
        </w:r>
        <w:r>
          <w:rPr>
            <w:noProof/>
            <w:webHidden/>
          </w:rPr>
          <w:fldChar w:fldCharType="separate"/>
        </w:r>
        <w:r>
          <w:rPr>
            <w:noProof/>
            <w:webHidden/>
          </w:rPr>
          <w:t>23</w:t>
        </w:r>
        <w:r>
          <w:rPr>
            <w:noProof/>
            <w:webHidden/>
          </w:rPr>
          <w:fldChar w:fldCharType="end"/>
        </w:r>
      </w:hyperlink>
    </w:p>
    <w:p w:rsidR="004634A0" w14:paraId="2C1AB2B4" w14:textId="7DB24CEA">
      <w:pPr>
        <w:pStyle w:val="TOC3"/>
        <w:rPr>
          <w:rFonts w:asciiTheme="minorHAnsi" w:eastAsiaTheme="minorEastAsia" w:hAnsiTheme="minorHAnsi" w:cstheme="minorBidi"/>
          <w:noProof/>
          <w:color w:val="auto"/>
          <w:sz w:val="22"/>
          <w:szCs w:val="22"/>
        </w:rPr>
      </w:pPr>
      <w:hyperlink w:anchor="_Toc85198615" w:history="1">
        <w:r w:rsidRPr="00D849B9">
          <w:rPr>
            <w:rStyle w:val="Hyperlink"/>
            <w:noProof/>
          </w:rPr>
          <w:t>5.9.1.</w:t>
        </w:r>
        <w:r>
          <w:rPr>
            <w:rFonts w:asciiTheme="minorHAnsi" w:eastAsiaTheme="minorEastAsia" w:hAnsiTheme="minorHAnsi" w:cstheme="minorBidi"/>
            <w:noProof/>
            <w:color w:val="auto"/>
            <w:sz w:val="22"/>
            <w:szCs w:val="22"/>
          </w:rPr>
          <w:tab/>
        </w:r>
        <w:r w:rsidRPr="00D849B9">
          <w:rPr>
            <w:rStyle w:val="Hyperlink"/>
            <w:noProof/>
          </w:rPr>
          <w:t>Uncertainty Analysis Assumptions</w:t>
        </w:r>
        <w:r>
          <w:rPr>
            <w:noProof/>
            <w:webHidden/>
          </w:rPr>
          <w:tab/>
        </w:r>
        <w:r>
          <w:rPr>
            <w:noProof/>
            <w:webHidden/>
          </w:rPr>
          <w:fldChar w:fldCharType="begin"/>
        </w:r>
        <w:r>
          <w:rPr>
            <w:noProof/>
            <w:webHidden/>
          </w:rPr>
          <w:instrText xml:space="preserve"> PAGEREF _Toc85198615 \h </w:instrText>
        </w:r>
        <w:r>
          <w:rPr>
            <w:noProof/>
            <w:webHidden/>
          </w:rPr>
          <w:fldChar w:fldCharType="separate"/>
        </w:r>
        <w:r>
          <w:rPr>
            <w:noProof/>
            <w:webHidden/>
          </w:rPr>
          <w:t>23</w:t>
        </w:r>
        <w:r>
          <w:rPr>
            <w:noProof/>
            <w:webHidden/>
          </w:rPr>
          <w:fldChar w:fldCharType="end"/>
        </w:r>
      </w:hyperlink>
    </w:p>
    <w:p w:rsidR="004634A0" w14:paraId="17465E36" w14:textId="6E17C0FF">
      <w:pPr>
        <w:pStyle w:val="TOC3"/>
        <w:rPr>
          <w:rFonts w:asciiTheme="minorHAnsi" w:eastAsiaTheme="minorEastAsia" w:hAnsiTheme="minorHAnsi" w:cstheme="minorBidi"/>
          <w:noProof/>
          <w:color w:val="auto"/>
          <w:sz w:val="22"/>
          <w:szCs w:val="22"/>
        </w:rPr>
      </w:pPr>
      <w:hyperlink w:anchor="_Toc85198616" w:history="1">
        <w:r w:rsidRPr="00D849B9">
          <w:rPr>
            <w:rStyle w:val="Hyperlink"/>
            <w:noProof/>
          </w:rPr>
          <w:t>5.9.2.</w:t>
        </w:r>
        <w:r>
          <w:rPr>
            <w:rFonts w:asciiTheme="minorHAnsi" w:eastAsiaTheme="minorEastAsia" w:hAnsiTheme="minorHAnsi" w:cstheme="minorBidi"/>
            <w:noProof/>
            <w:color w:val="auto"/>
            <w:sz w:val="22"/>
            <w:szCs w:val="22"/>
          </w:rPr>
          <w:tab/>
        </w:r>
        <w:r w:rsidRPr="00D849B9">
          <w:rPr>
            <w:rStyle w:val="Hyperlink"/>
            <w:noProof/>
          </w:rPr>
          <w:t>Uncertainty Analysis Results</w:t>
        </w:r>
        <w:r>
          <w:rPr>
            <w:noProof/>
            <w:webHidden/>
          </w:rPr>
          <w:tab/>
        </w:r>
        <w:r>
          <w:rPr>
            <w:noProof/>
            <w:webHidden/>
          </w:rPr>
          <w:fldChar w:fldCharType="begin"/>
        </w:r>
        <w:r>
          <w:rPr>
            <w:noProof/>
            <w:webHidden/>
          </w:rPr>
          <w:instrText xml:space="preserve"> PAGEREF _Toc85198616 \h </w:instrText>
        </w:r>
        <w:r>
          <w:rPr>
            <w:noProof/>
            <w:webHidden/>
          </w:rPr>
          <w:fldChar w:fldCharType="separate"/>
        </w:r>
        <w:r>
          <w:rPr>
            <w:noProof/>
            <w:webHidden/>
          </w:rPr>
          <w:t>24</w:t>
        </w:r>
        <w:r>
          <w:rPr>
            <w:noProof/>
            <w:webHidden/>
          </w:rPr>
          <w:fldChar w:fldCharType="end"/>
        </w:r>
      </w:hyperlink>
    </w:p>
    <w:p w:rsidR="004634A0" w14:paraId="019907A7" w14:textId="6631E63D">
      <w:pPr>
        <w:pStyle w:val="TOC2"/>
        <w:rPr>
          <w:rFonts w:asciiTheme="minorHAnsi" w:eastAsiaTheme="minorEastAsia" w:hAnsiTheme="minorHAnsi" w:cstheme="minorBidi"/>
          <w:noProof/>
          <w:color w:val="auto"/>
          <w:sz w:val="22"/>
          <w:szCs w:val="22"/>
        </w:rPr>
      </w:pPr>
      <w:hyperlink w:anchor="_Toc85198617" w:history="1">
        <w:r w:rsidRPr="00D849B9">
          <w:rPr>
            <w:rStyle w:val="Hyperlink"/>
            <w:noProof/>
          </w:rPr>
          <w:t>5.10.</w:t>
        </w:r>
        <w:r>
          <w:rPr>
            <w:rFonts w:asciiTheme="minorHAnsi" w:eastAsiaTheme="minorEastAsia" w:hAnsiTheme="minorHAnsi" w:cstheme="minorBidi"/>
            <w:noProof/>
            <w:color w:val="auto"/>
            <w:sz w:val="22"/>
            <w:szCs w:val="22"/>
          </w:rPr>
          <w:tab/>
        </w:r>
        <w:r w:rsidRPr="00D849B9">
          <w:rPr>
            <w:rStyle w:val="Hyperlink"/>
            <w:noProof/>
          </w:rPr>
          <w:t>Disaggregation</w:t>
        </w:r>
        <w:r>
          <w:rPr>
            <w:noProof/>
            <w:webHidden/>
          </w:rPr>
          <w:tab/>
        </w:r>
        <w:r>
          <w:rPr>
            <w:noProof/>
            <w:webHidden/>
          </w:rPr>
          <w:fldChar w:fldCharType="begin"/>
        </w:r>
        <w:r>
          <w:rPr>
            <w:noProof/>
            <w:webHidden/>
          </w:rPr>
          <w:instrText xml:space="preserve"> PAGEREF _Toc85198617 \h </w:instrText>
        </w:r>
        <w:r>
          <w:rPr>
            <w:noProof/>
            <w:webHidden/>
          </w:rPr>
          <w:fldChar w:fldCharType="separate"/>
        </w:r>
        <w:r>
          <w:rPr>
            <w:noProof/>
            <w:webHidden/>
          </w:rPr>
          <w:t>27</w:t>
        </w:r>
        <w:r>
          <w:rPr>
            <w:noProof/>
            <w:webHidden/>
          </w:rPr>
          <w:fldChar w:fldCharType="end"/>
        </w:r>
      </w:hyperlink>
    </w:p>
    <w:p w:rsidR="004634A0" w14:paraId="66C73076" w14:textId="3CE1E0BC">
      <w:pPr>
        <w:pStyle w:val="TOC2"/>
        <w:rPr>
          <w:rFonts w:asciiTheme="minorHAnsi" w:eastAsiaTheme="minorEastAsia" w:hAnsiTheme="minorHAnsi" w:cstheme="minorBidi"/>
          <w:noProof/>
          <w:color w:val="auto"/>
          <w:sz w:val="22"/>
          <w:szCs w:val="22"/>
        </w:rPr>
      </w:pPr>
      <w:hyperlink w:anchor="_Toc85198618" w:history="1">
        <w:r w:rsidRPr="00D849B9">
          <w:rPr>
            <w:rStyle w:val="Hyperlink"/>
            <w:noProof/>
          </w:rPr>
          <w:t>5.11.</w:t>
        </w:r>
        <w:r>
          <w:rPr>
            <w:rFonts w:asciiTheme="minorHAnsi" w:eastAsiaTheme="minorEastAsia" w:hAnsiTheme="minorHAnsi" w:cstheme="minorBidi"/>
            <w:noProof/>
            <w:color w:val="auto"/>
            <w:sz w:val="22"/>
            <w:szCs w:val="22"/>
          </w:rPr>
          <w:tab/>
        </w:r>
        <w:r w:rsidRPr="00D849B9">
          <w:rPr>
            <w:rStyle w:val="Hyperlink"/>
            <w:noProof/>
          </w:rPr>
          <w:t>Summary</w:t>
        </w:r>
        <w:r>
          <w:rPr>
            <w:noProof/>
            <w:webHidden/>
          </w:rPr>
          <w:tab/>
        </w:r>
        <w:r>
          <w:rPr>
            <w:noProof/>
            <w:webHidden/>
          </w:rPr>
          <w:fldChar w:fldCharType="begin"/>
        </w:r>
        <w:r>
          <w:rPr>
            <w:noProof/>
            <w:webHidden/>
          </w:rPr>
          <w:instrText xml:space="preserve"> PAGEREF _Toc85198618 \h </w:instrText>
        </w:r>
        <w:r>
          <w:rPr>
            <w:noProof/>
            <w:webHidden/>
          </w:rPr>
          <w:fldChar w:fldCharType="separate"/>
        </w:r>
        <w:r>
          <w:rPr>
            <w:noProof/>
            <w:webHidden/>
          </w:rPr>
          <w:t>28</w:t>
        </w:r>
        <w:r>
          <w:rPr>
            <w:noProof/>
            <w:webHidden/>
          </w:rPr>
          <w:fldChar w:fldCharType="end"/>
        </w:r>
      </w:hyperlink>
    </w:p>
    <w:p w:rsidR="004634A0" w14:paraId="029B11D0" w14:textId="5E951B99">
      <w:pPr>
        <w:pStyle w:val="TOC3"/>
        <w:rPr>
          <w:rFonts w:asciiTheme="minorHAnsi" w:eastAsiaTheme="minorEastAsia" w:hAnsiTheme="minorHAnsi" w:cstheme="minorBidi"/>
          <w:noProof/>
          <w:color w:val="auto"/>
          <w:sz w:val="22"/>
          <w:szCs w:val="22"/>
        </w:rPr>
      </w:pPr>
      <w:hyperlink w:anchor="_Toc85198619" w:history="1">
        <w:r w:rsidRPr="00D849B9">
          <w:rPr>
            <w:rStyle w:val="Hyperlink"/>
            <w:noProof/>
          </w:rPr>
          <w:t>5.11.1.</w:t>
        </w:r>
        <w:r>
          <w:rPr>
            <w:rFonts w:asciiTheme="minorHAnsi" w:eastAsiaTheme="minorEastAsia" w:hAnsiTheme="minorHAnsi" w:cstheme="minorBidi"/>
            <w:noProof/>
            <w:color w:val="auto"/>
            <w:sz w:val="22"/>
            <w:szCs w:val="22"/>
          </w:rPr>
          <w:tab/>
        </w:r>
        <w:r w:rsidRPr="00D849B9">
          <w:rPr>
            <w:rStyle w:val="Hyperlink"/>
            <w:noProof/>
          </w:rPr>
          <w:t>Quantified Net Benefit</w:t>
        </w:r>
        <w:r>
          <w:rPr>
            <w:noProof/>
            <w:webHidden/>
          </w:rPr>
          <w:tab/>
        </w:r>
        <w:r>
          <w:rPr>
            <w:noProof/>
            <w:webHidden/>
          </w:rPr>
          <w:fldChar w:fldCharType="begin"/>
        </w:r>
        <w:r>
          <w:rPr>
            <w:noProof/>
            <w:webHidden/>
          </w:rPr>
          <w:instrText xml:space="preserve"> PAGEREF _Toc85198619 \h </w:instrText>
        </w:r>
        <w:r>
          <w:rPr>
            <w:noProof/>
            <w:webHidden/>
          </w:rPr>
          <w:fldChar w:fldCharType="separate"/>
        </w:r>
        <w:r>
          <w:rPr>
            <w:noProof/>
            <w:webHidden/>
          </w:rPr>
          <w:t>28</w:t>
        </w:r>
        <w:r>
          <w:rPr>
            <w:noProof/>
            <w:webHidden/>
          </w:rPr>
          <w:fldChar w:fldCharType="end"/>
        </w:r>
      </w:hyperlink>
    </w:p>
    <w:p w:rsidR="004634A0" w14:paraId="12070992" w14:textId="33D0500F">
      <w:pPr>
        <w:pStyle w:val="TOC3"/>
        <w:rPr>
          <w:rFonts w:asciiTheme="minorHAnsi" w:eastAsiaTheme="minorEastAsia" w:hAnsiTheme="minorHAnsi" w:cstheme="minorBidi"/>
          <w:noProof/>
          <w:color w:val="auto"/>
          <w:sz w:val="22"/>
          <w:szCs w:val="22"/>
        </w:rPr>
      </w:pPr>
      <w:hyperlink w:anchor="_Toc85198620" w:history="1">
        <w:r w:rsidRPr="00D849B9">
          <w:rPr>
            <w:rStyle w:val="Hyperlink"/>
            <w:noProof/>
          </w:rPr>
          <w:t>5.11.2.</w:t>
        </w:r>
        <w:r>
          <w:rPr>
            <w:rFonts w:asciiTheme="minorHAnsi" w:eastAsiaTheme="minorEastAsia" w:hAnsiTheme="minorHAnsi" w:cstheme="minorBidi"/>
            <w:noProof/>
            <w:color w:val="auto"/>
            <w:sz w:val="22"/>
            <w:szCs w:val="22"/>
          </w:rPr>
          <w:tab/>
        </w:r>
        <w:r w:rsidRPr="00D849B9">
          <w:rPr>
            <w:rStyle w:val="Hyperlink"/>
            <w:noProof/>
          </w:rPr>
          <w:t>Nonquantified Benefits</w:t>
        </w:r>
        <w:r>
          <w:rPr>
            <w:noProof/>
            <w:webHidden/>
          </w:rPr>
          <w:tab/>
        </w:r>
        <w:r>
          <w:rPr>
            <w:noProof/>
            <w:webHidden/>
          </w:rPr>
          <w:fldChar w:fldCharType="begin"/>
        </w:r>
        <w:r>
          <w:rPr>
            <w:noProof/>
            <w:webHidden/>
          </w:rPr>
          <w:instrText xml:space="preserve"> PAGEREF _Toc85198620 \h </w:instrText>
        </w:r>
        <w:r>
          <w:rPr>
            <w:noProof/>
            <w:webHidden/>
          </w:rPr>
          <w:fldChar w:fldCharType="separate"/>
        </w:r>
        <w:r>
          <w:rPr>
            <w:noProof/>
            <w:webHidden/>
          </w:rPr>
          <w:t>28</w:t>
        </w:r>
        <w:r>
          <w:rPr>
            <w:noProof/>
            <w:webHidden/>
          </w:rPr>
          <w:fldChar w:fldCharType="end"/>
        </w:r>
      </w:hyperlink>
    </w:p>
    <w:p w:rsidR="004634A0" w14:paraId="3306D193" w14:textId="7176BC33">
      <w:pPr>
        <w:pStyle w:val="TOC3"/>
        <w:rPr>
          <w:rFonts w:asciiTheme="minorHAnsi" w:eastAsiaTheme="minorEastAsia" w:hAnsiTheme="minorHAnsi" w:cstheme="minorBidi"/>
          <w:noProof/>
          <w:color w:val="auto"/>
          <w:sz w:val="22"/>
          <w:szCs w:val="22"/>
        </w:rPr>
      </w:pPr>
      <w:hyperlink w:anchor="_Toc85198621" w:history="1">
        <w:r w:rsidRPr="00D849B9">
          <w:rPr>
            <w:rStyle w:val="Hyperlink"/>
            <w:noProof/>
          </w:rPr>
          <w:t>5.11.3.</w:t>
        </w:r>
        <w:r>
          <w:rPr>
            <w:rFonts w:asciiTheme="minorHAnsi" w:eastAsiaTheme="minorEastAsia" w:hAnsiTheme="minorHAnsi" w:cstheme="minorBidi"/>
            <w:noProof/>
            <w:color w:val="auto"/>
            <w:sz w:val="22"/>
            <w:szCs w:val="22"/>
          </w:rPr>
          <w:tab/>
        </w:r>
        <w:r w:rsidRPr="00D849B9">
          <w:rPr>
            <w:rStyle w:val="Hyperlink"/>
            <w:noProof/>
          </w:rPr>
          <w:t>Regulatory Efficiency</w:t>
        </w:r>
        <w:r>
          <w:rPr>
            <w:noProof/>
            <w:webHidden/>
          </w:rPr>
          <w:tab/>
        </w:r>
        <w:r>
          <w:rPr>
            <w:noProof/>
            <w:webHidden/>
          </w:rPr>
          <w:fldChar w:fldCharType="begin"/>
        </w:r>
        <w:r>
          <w:rPr>
            <w:noProof/>
            <w:webHidden/>
          </w:rPr>
          <w:instrText xml:space="preserve"> PAGEREF _Toc85198621 \h </w:instrText>
        </w:r>
        <w:r>
          <w:rPr>
            <w:noProof/>
            <w:webHidden/>
          </w:rPr>
          <w:fldChar w:fldCharType="separate"/>
        </w:r>
        <w:r>
          <w:rPr>
            <w:noProof/>
            <w:webHidden/>
          </w:rPr>
          <w:t>28</w:t>
        </w:r>
        <w:r>
          <w:rPr>
            <w:noProof/>
            <w:webHidden/>
          </w:rPr>
          <w:fldChar w:fldCharType="end"/>
        </w:r>
      </w:hyperlink>
    </w:p>
    <w:p w:rsidR="004634A0" w14:paraId="27A2D357" w14:textId="7370DC7F">
      <w:pPr>
        <w:pStyle w:val="TOC3"/>
        <w:rPr>
          <w:rFonts w:asciiTheme="minorHAnsi" w:eastAsiaTheme="minorEastAsia" w:hAnsiTheme="minorHAnsi" w:cstheme="minorBidi"/>
          <w:noProof/>
          <w:color w:val="auto"/>
          <w:sz w:val="22"/>
          <w:szCs w:val="22"/>
        </w:rPr>
      </w:pPr>
      <w:hyperlink w:anchor="_Toc85198622" w:history="1">
        <w:r w:rsidRPr="00D849B9">
          <w:rPr>
            <w:rStyle w:val="Hyperlink"/>
            <w:noProof/>
          </w:rPr>
          <w:t>5.11.4.</w:t>
        </w:r>
        <w:r>
          <w:rPr>
            <w:rFonts w:asciiTheme="minorHAnsi" w:eastAsiaTheme="minorEastAsia" w:hAnsiTheme="minorHAnsi" w:cstheme="minorBidi"/>
            <w:noProof/>
            <w:color w:val="auto"/>
            <w:sz w:val="22"/>
            <w:szCs w:val="22"/>
          </w:rPr>
          <w:tab/>
        </w:r>
        <w:r w:rsidRPr="00D849B9">
          <w:rPr>
            <w:rStyle w:val="Hyperlink"/>
            <w:noProof/>
          </w:rPr>
          <w:t>Increased Public Confidence</w:t>
        </w:r>
        <w:r>
          <w:rPr>
            <w:noProof/>
            <w:webHidden/>
          </w:rPr>
          <w:tab/>
        </w:r>
        <w:r>
          <w:rPr>
            <w:noProof/>
            <w:webHidden/>
          </w:rPr>
          <w:fldChar w:fldCharType="begin"/>
        </w:r>
        <w:r>
          <w:rPr>
            <w:noProof/>
            <w:webHidden/>
          </w:rPr>
          <w:instrText xml:space="preserve"> PAGEREF _Toc85198622 \h </w:instrText>
        </w:r>
        <w:r>
          <w:rPr>
            <w:noProof/>
            <w:webHidden/>
          </w:rPr>
          <w:fldChar w:fldCharType="separate"/>
        </w:r>
        <w:r>
          <w:rPr>
            <w:noProof/>
            <w:webHidden/>
          </w:rPr>
          <w:t>29</w:t>
        </w:r>
        <w:r>
          <w:rPr>
            <w:noProof/>
            <w:webHidden/>
          </w:rPr>
          <w:fldChar w:fldCharType="end"/>
        </w:r>
      </w:hyperlink>
    </w:p>
    <w:p w:rsidR="004634A0" w14:paraId="2C926967" w14:textId="0A101974">
      <w:pPr>
        <w:pStyle w:val="TOC2"/>
        <w:rPr>
          <w:rFonts w:asciiTheme="minorHAnsi" w:eastAsiaTheme="minorEastAsia" w:hAnsiTheme="minorHAnsi" w:cstheme="minorBidi"/>
          <w:noProof/>
          <w:color w:val="auto"/>
          <w:sz w:val="22"/>
          <w:szCs w:val="22"/>
        </w:rPr>
      </w:pPr>
      <w:hyperlink w:anchor="_Toc85198623" w:history="1">
        <w:r w:rsidRPr="00D849B9">
          <w:rPr>
            <w:rStyle w:val="Hyperlink"/>
            <w:noProof/>
          </w:rPr>
          <w:t>5.12.</w:t>
        </w:r>
        <w:r>
          <w:rPr>
            <w:rFonts w:asciiTheme="minorHAnsi" w:eastAsiaTheme="minorEastAsia" w:hAnsiTheme="minorHAnsi" w:cstheme="minorBidi"/>
            <w:noProof/>
            <w:color w:val="auto"/>
            <w:sz w:val="22"/>
            <w:szCs w:val="22"/>
          </w:rPr>
          <w:tab/>
        </w:r>
        <w:r w:rsidRPr="00D849B9">
          <w:rPr>
            <w:rStyle w:val="Hyperlink"/>
            <w:noProof/>
          </w:rPr>
          <w:t>Safety Goal Evaluation</w:t>
        </w:r>
        <w:r>
          <w:rPr>
            <w:noProof/>
            <w:webHidden/>
          </w:rPr>
          <w:tab/>
        </w:r>
        <w:r>
          <w:rPr>
            <w:noProof/>
            <w:webHidden/>
          </w:rPr>
          <w:fldChar w:fldCharType="begin"/>
        </w:r>
        <w:r>
          <w:rPr>
            <w:noProof/>
            <w:webHidden/>
          </w:rPr>
          <w:instrText xml:space="preserve"> PAGEREF _Toc85198623 \h </w:instrText>
        </w:r>
        <w:r>
          <w:rPr>
            <w:noProof/>
            <w:webHidden/>
          </w:rPr>
          <w:fldChar w:fldCharType="separate"/>
        </w:r>
        <w:r>
          <w:rPr>
            <w:noProof/>
            <w:webHidden/>
          </w:rPr>
          <w:t>29</w:t>
        </w:r>
        <w:r>
          <w:rPr>
            <w:noProof/>
            <w:webHidden/>
          </w:rPr>
          <w:fldChar w:fldCharType="end"/>
        </w:r>
      </w:hyperlink>
    </w:p>
    <w:p w:rsidR="004634A0" w14:paraId="07E2621F" w14:textId="2DA24540">
      <w:pPr>
        <w:pStyle w:val="TOC2"/>
        <w:rPr>
          <w:rFonts w:asciiTheme="minorHAnsi" w:eastAsiaTheme="minorEastAsia" w:hAnsiTheme="minorHAnsi" w:cstheme="minorBidi"/>
          <w:noProof/>
          <w:color w:val="auto"/>
          <w:sz w:val="22"/>
          <w:szCs w:val="22"/>
        </w:rPr>
      </w:pPr>
      <w:hyperlink w:anchor="_Toc85198624" w:history="1">
        <w:r w:rsidRPr="00D849B9">
          <w:rPr>
            <w:rStyle w:val="Hyperlink"/>
            <w:noProof/>
          </w:rPr>
          <w:t>5.13.</w:t>
        </w:r>
        <w:r>
          <w:rPr>
            <w:rFonts w:asciiTheme="minorHAnsi" w:eastAsiaTheme="minorEastAsia" w:hAnsiTheme="minorHAnsi" w:cstheme="minorBidi"/>
            <w:noProof/>
            <w:color w:val="auto"/>
            <w:sz w:val="22"/>
            <w:szCs w:val="22"/>
          </w:rPr>
          <w:tab/>
        </w:r>
        <w:r w:rsidRPr="00D849B9">
          <w:rPr>
            <w:rStyle w:val="Hyperlink"/>
            <w:noProof/>
          </w:rPr>
          <w:t>Results for the Committee to Review Generic Requirements</w:t>
        </w:r>
        <w:r>
          <w:rPr>
            <w:noProof/>
            <w:webHidden/>
          </w:rPr>
          <w:tab/>
        </w:r>
        <w:r>
          <w:rPr>
            <w:noProof/>
            <w:webHidden/>
          </w:rPr>
          <w:fldChar w:fldCharType="begin"/>
        </w:r>
        <w:r>
          <w:rPr>
            <w:noProof/>
            <w:webHidden/>
          </w:rPr>
          <w:instrText xml:space="preserve"> PAGEREF _Toc85198624 \h </w:instrText>
        </w:r>
        <w:r>
          <w:rPr>
            <w:noProof/>
            <w:webHidden/>
          </w:rPr>
          <w:fldChar w:fldCharType="separate"/>
        </w:r>
        <w:r>
          <w:rPr>
            <w:noProof/>
            <w:webHidden/>
          </w:rPr>
          <w:t>29</w:t>
        </w:r>
        <w:r>
          <w:rPr>
            <w:noProof/>
            <w:webHidden/>
          </w:rPr>
          <w:fldChar w:fldCharType="end"/>
        </w:r>
      </w:hyperlink>
    </w:p>
    <w:p w:rsidR="004634A0" w:rsidP="006C4B5D" w14:paraId="12DB009A" w14:textId="5217D42F">
      <w:pPr>
        <w:pStyle w:val="TOC1"/>
        <w:rPr>
          <w:rFonts w:asciiTheme="minorHAnsi" w:hAnsiTheme="minorHAnsi" w:cstheme="minorBidi"/>
        </w:rPr>
      </w:pPr>
      <w:hyperlink w:anchor="_Toc85198625" w:history="1">
        <w:r w:rsidRPr="00D849B9">
          <w:rPr>
            <w:rStyle w:val="Hyperlink"/>
          </w:rPr>
          <w:t>6.</w:t>
        </w:r>
        <w:r>
          <w:rPr>
            <w:rFonts w:asciiTheme="minorHAnsi" w:hAnsiTheme="minorHAnsi" w:cstheme="minorBidi"/>
          </w:rPr>
          <w:tab/>
        </w:r>
        <w:r w:rsidRPr="00D849B9">
          <w:rPr>
            <w:rStyle w:val="Hyperlink"/>
          </w:rPr>
          <w:t>Decision Rationale</w:t>
        </w:r>
        <w:r>
          <w:rPr>
            <w:webHidden/>
          </w:rPr>
          <w:tab/>
        </w:r>
        <w:r>
          <w:rPr>
            <w:webHidden/>
          </w:rPr>
          <w:fldChar w:fldCharType="begin"/>
        </w:r>
        <w:r>
          <w:rPr>
            <w:webHidden/>
          </w:rPr>
          <w:instrText xml:space="preserve"> PAGEREF _Toc85198625 \h </w:instrText>
        </w:r>
        <w:r>
          <w:rPr>
            <w:webHidden/>
          </w:rPr>
          <w:fldChar w:fldCharType="separate"/>
        </w:r>
        <w:r>
          <w:rPr>
            <w:webHidden/>
          </w:rPr>
          <w:t>30</w:t>
        </w:r>
        <w:r>
          <w:rPr>
            <w:webHidden/>
          </w:rPr>
          <w:fldChar w:fldCharType="end"/>
        </w:r>
      </w:hyperlink>
    </w:p>
    <w:p w:rsidR="004634A0" w:rsidP="006C4B5D" w14:paraId="76B2D667" w14:textId="22B84F9C">
      <w:pPr>
        <w:pStyle w:val="TOC1"/>
        <w:rPr>
          <w:rFonts w:asciiTheme="minorHAnsi" w:hAnsiTheme="minorHAnsi" w:cstheme="minorBidi"/>
        </w:rPr>
      </w:pPr>
      <w:hyperlink w:anchor="_Toc85198626" w:history="1">
        <w:r w:rsidRPr="00D849B9">
          <w:rPr>
            <w:rStyle w:val="Hyperlink"/>
          </w:rPr>
          <w:t>7.</w:t>
        </w:r>
        <w:r>
          <w:rPr>
            <w:rFonts w:asciiTheme="minorHAnsi" w:hAnsiTheme="minorHAnsi" w:cstheme="minorBidi"/>
          </w:rPr>
          <w:tab/>
        </w:r>
        <w:r w:rsidRPr="00D849B9">
          <w:rPr>
            <w:rStyle w:val="Hyperlink"/>
          </w:rPr>
          <w:t>Implementation Schedule</w:t>
        </w:r>
        <w:r>
          <w:rPr>
            <w:webHidden/>
          </w:rPr>
          <w:tab/>
        </w:r>
        <w:r>
          <w:rPr>
            <w:webHidden/>
          </w:rPr>
          <w:fldChar w:fldCharType="begin"/>
        </w:r>
        <w:r>
          <w:rPr>
            <w:webHidden/>
          </w:rPr>
          <w:instrText xml:space="preserve"> PAGEREF _Toc85198626 \h </w:instrText>
        </w:r>
        <w:r>
          <w:rPr>
            <w:webHidden/>
          </w:rPr>
          <w:fldChar w:fldCharType="separate"/>
        </w:r>
        <w:r>
          <w:rPr>
            <w:webHidden/>
          </w:rPr>
          <w:t>31</w:t>
        </w:r>
        <w:r>
          <w:rPr>
            <w:webHidden/>
          </w:rPr>
          <w:fldChar w:fldCharType="end"/>
        </w:r>
      </w:hyperlink>
    </w:p>
    <w:p w:rsidR="004634A0" w:rsidP="006C4B5D" w14:paraId="45D8320B" w14:textId="60F0C10A">
      <w:pPr>
        <w:pStyle w:val="TOC1"/>
        <w:rPr>
          <w:rFonts w:asciiTheme="minorHAnsi" w:hAnsiTheme="minorHAnsi" w:cstheme="minorBidi"/>
        </w:rPr>
      </w:pPr>
      <w:hyperlink w:anchor="_Toc85198627" w:history="1">
        <w:r w:rsidRPr="00D849B9">
          <w:rPr>
            <w:rStyle w:val="Hyperlink"/>
          </w:rPr>
          <w:t>8.</w:t>
        </w:r>
        <w:r>
          <w:rPr>
            <w:rFonts w:asciiTheme="minorHAnsi" w:hAnsiTheme="minorHAnsi" w:cstheme="minorBidi"/>
          </w:rPr>
          <w:tab/>
        </w:r>
        <w:r w:rsidRPr="00D849B9">
          <w:rPr>
            <w:rStyle w:val="Hyperlink"/>
          </w:rPr>
          <w:t>References</w:t>
        </w:r>
        <w:r>
          <w:rPr>
            <w:webHidden/>
          </w:rPr>
          <w:tab/>
        </w:r>
        <w:r>
          <w:rPr>
            <w:webHidden/>
          </w:rPr>
          <w:fldChar w:fldCharType="begin"/>
        </w:r>
        <w:r>
          <w:rPr>
            <w:webHidden/>
          </w:rPr>
          <w:instrText xml:space="preserve"> PAGEREF _Toc85198627 \h </w:instrText>
        </w:r>
        <w:r>
          <w:rPr>
            <w:webHidden/>
          </w:rPr>
          <w:fldChar w:fldCharType="separate"/>
        </w:r>
        <w:r>
          <w:rPr>
            <w:webHidden/>
          </w:rPr>
          <w:t>32</w:t>
        </w:r>
        <w:r>
          <w:rPr>
            <w:webHidden/>
          </w:rPr>
          <w:fldChar w:fldCharType="end"/>
        </w:r>
      </w:hyperlink>
    </w:p>
    <w:p w:rsidR="004634A0" w:rsidRPr="006C4B5D" w:rsidP="006C4B5D" w14:paraId="120496F5" w14:textId="7052ABEA">
      <w:pPr>
        <w:pStyle w:val="TOC1"/>
      </w:pPr>
      <w:r w:rsidRPr="006C4B5D">
        <w:t>APPENDIX A</w:t>
      </w:r>
    </w:p>
    <w:p w:rsidR="004634A0" w:rsidP="006C4B5D" w14:paraId="551FE901" w14:textId="5A228D77">
      <w:pPr>
        <w:pStyle w:val="TOC1"/>
        <w:rPr>
          <w:rFonts w:asciiTheme="minorHAnsi" w:hAnsiTheme="minorHAnsi" w:cstheme="minorBidi"/>
        </w:rPr>
      </w:pPr>
      <w:hyperlink w:anchor="_Toc85198629" w:history="1">
        <w:r w:rsidRPr="00D849B9">
          <w:rPr>
            <w:rStyle w:val="Hyperlink"/>
          </w:rPr>
          <w:t>HISTORICAL NRC CONSIDERATIONS OF EMERGENCY PREPAREDNESS FOR ADVANCED REACTOR DESIGN</w:t>
        </w:r>
        <w:r>
          <w:rPr>
            <w:webHidden/>
          </w:rPr>
          <w:tab/>
        </w:r>
        <w:r w:rsidR="006C4B5D">
          <w:rPr>
            <w:webHidden/>
          </w:rPr>
          <w:t>A-</w:t>
        </w:r>
        <w:r>
          <w:rPr>
            <w:webHidden/>
          </w:rPr>
          <w:fldChar w:fldCharType="begin"/>
        </w:r>
        <w:r>
          <w:rPr>
            <w:webHidden/>
          </w:rPr>
          <w:instrText xml:space="preserve"> PAGEREF _Toc85198629 \h </w:instrText>
        </w:r>
        <w:r>
          <w:rPr>
            <w:webHidden/>
          </w:rPr>
          <w:fldChar w:fldCharType="separate"/>
        </w:r>
        <w:r>
          <w:rPr>
            <w:webHidden/>
          </w:rPr>
          <w:t>1</w:t>
        </w:r>
        <w:r>
          <w:rPr>
            <w:webHidden/>
          </w:rPr>
          <w:fldChar w:fldCharType="end"/>
        </w:r>
      </w:hyperlink>
    </w:p>
    <w:p w:rsidR="004634A0" w:rsidP="006C4B5D" w14:paraId="443AA773" w14:textId="3E951976">
      <w:pPr>
        <w:pStyle w:val="TOC1"/>
        <w:rPr>
          <w:rFonts w:asciiTheme="minorHAnsi" w:hAnsiTheme="minorHAnsi" w:cstheme="minorBidi"/>
        </w:rPr>
      </w:pPr>
      <w:r>
        <w:t>APPENDIX B</w:t>
      </w:r>
    </w:p>
    <w:p w:rsidR="004634A0" w:rsidP="006C4B5D" w14:paraId="1936C9AF" w14:textId="5C3CABAE">
      <w:pPr>
        <w:pStyle w:val="TOC1"/>
        <w:rPr>
          <w:rFonts w:asciiTheme="minorHAnsi" w:hAnsiTheme="minorHAnsi" w:cstheme="minorBidi"/>
        </w:rPr>
      </w:pPr>
      <w:hyperlink w:anchor="_Toc85198631" w:history="1">
        <w:r w:rsidRPr="00D849B9">
          <w:rPr>
            <w:rStyle w:val="Hyperlink"/>
          </w:rPr>
          <w:t>MAJOR ASSUMPTIONS AND INPUT DATA</w:t>
        </w:r>
        <w:r>
          <w:rPr>
            <w:webHidden/>
          </w:rPr>
          <w:tab/>
        </w:r>
        <w:r w:rsidR="006C4B5D">
          <w:rPr>
            <w:webHidden/>
          </w:rPr>
          <w:t>B-</w:t>
        </w:r>
        <w:r>
          <w:rPr>
            <w:webHidden/>
          </w:rPr>
          <w:fldChar w:fldCharType="begin"/>
        </w:r>
        <w:r>
          <w:rPr>
            <w:webHidden/>
          </w:rPr>
          <w:instrText xml:space="preserve"> PAGEREF _Toc85198631 \h </w:instrText>
        </w:r>
        <w:r>
          <w:rPr>
            <w:webHidden/>
          </w:rPr>
          <w:fldChar w:fldCharType="separate"/>
        </w:r>
        <w:r>
          <w:rPr>
            <w:webHidden/>
          </w:rPr>
          <w:t>3</w:t>
        </w:r>
        <w:r>
          <w:rPr>
            <w:webHidden/>
          </w:rPr>
          <w:fldChar w:fldCharType="end"/>
        </w:r>
      </w:hyperlink>
    </w:p>
    <w:p w:rsidR="009128E1" w:rsidRPr="0090402C" w:rsidP="008440FA" w14:paraId="09B21641" w14:textId="65E40F6B">
      <w:pPr>
        <w:tabs>
          <w:tab w:val="left" w:pos="720"/>
          <w:tab w:val="left" w:pos="1440"/>
          <w:tab w:val="right" w:leader="dot" w:pos="9360"/>
        </w:tabs>
        <w:spacing w:line="240" w:lineRule="auto"/>
      </w:pPr>
      <w:r w:rsidRPr="004269F1">
        <w:fldChar w:fldCharType="end"/>
      </w:r>
    </w:p>
    <w:p w:rsidR="009128E1" w:rsidP="008440FA" w14:paraId="100C77C9" w14:textId="77777777">
      <w:pPr>
        <w:autoSpaceDE/>
        <w:autoSpaceDN/>
        <w:adjustRightInd/>
        <w:spacing w:line="240" w:lineRule="auto"/>
      </w:pPr>
      <w:r>
        <w:br w:type="page"/>
      </w:r>
    </w:p>
    <w:p w:rsidR="009128E1" w:rsidRPr="00FB3EE9" w:rsidP="008440FA" w14:paraId="495C0806" w14:textId="3B409145">
      <w:pPr>
        <w:pStyle w:val="Heading1"/>
        <w:spacing w:line="240" w:lineRule="auto"/>
        <w:rPr>
          <w:b w:val="0"/>
        </w:rPr>
      </w:pPr>
      <w:bookmarkStart w:id="6" w:name="_Toc456098201"/>
      <w:bookmarkStart w:id="7" w:name="_Toc457827214"/>
      <w:bookmarkStart w:id="8" w:name="_Toc71129943"/>
      <w:bookmarkStart w:id="9" w:name="_Toc70669481"/>
      <w:bookmarkStart w:id="10" w:name="_Toc85198580"/>
      <w:bookmarkStart w:id="11" w:name="_Toc456098200"/>
      <w:bookmarkStart w:id="12" w:name="_Toc457827213"/>
      <w:bookmarkStart w:id="13" w:name="_Ref470011498"/>
      <w:bookmarkStart w:id="14" w:name="_Ref470011502"/>
      <w:bookmarkStart w:id="15" w:name="_Ref470011543"/>
      <w:bookmarkStart w:id="16" w:name="_Ref470011557"/>
      <w:r w:rsidRPr="00FB3EE9">
        <w:rPr>
          <w:b w:val="0"/>
        </w:rPr>
        <w:t>List of Figures</w:t>
      </w:r>
      <w:bookmarkEnd w:id="6"/>
      <w:bookmarkEnd w:id="7"/>
      <w:bookmarkEnd w:id="8"/>
      <w:bookmarkEnd w:id="9"/>
      <w:bookmarkEnd w:id="10"/>
    </w:p>
    <w:p w:rsidR="009128E1" w:rsidRPr="00323360" w:rsidP="008440FA" w14:paraId="6AACBC3F" w14:textId="77777777">
      <w:pPr>
        <w:spacing w:line="240" w:lineRule="auto"/>
      </w:pPr>
    </w:p>
    <w:p w:rsidR="009128E1" w:rsidRPr="00323360" w:rsidP="008440FA" w14:paraId="7FBEB691" w14:textId="7F2B2BCA">
      <w:pPr>
        <w:pStyle w:val="TableofFigures"/>
        <w:tabs>
          <w:tab w:val="right" w:pos="9350"/>
        </w:tabs>
        <w:spacing w:after="40" w:line="240" w:lineRule="auto"/>
        <w:rPr>
          <w:szCs w:val="20"/>
        </w:rPr>
      </w:pPr>
      <w:r w:rsidRPr="00323360">
        <w:rPr>
          <w:szCs w:val="20"/>
          <w:u w:val="single"/>
        </w:rPr>
        <w:t>Figure</w:t>
      </w:r>
      <w:r w:rsidRPr="00323360" w:rsidR="006B227B">
        <w:rPr>
          <w:szCs w:val="20"/>
          <w:u w:val="single"/>
        </w:rPr>
        <w:t>s</w:t>
      </w:r>
      <w:r w:rsidRPr="00323360">
        <w:rPr>
          <w:szCs w:val="20"/>
        </w:rPr>
        <w:tab/>
      </w:r>
      <w:r w:rsidRPr="00323360">
        <w:rPr>
          <w:szCs w:val="20"/>
          <w:u w:val="single"/>
        </w:rPr>
        <w:t>Page</w:t>
      </w:r>
    </w:p>
    <w:p w:rsidR="004634A0" w14:paraId="3C8B5D7C" w14:textId="13303B5D">
      <w:pPr>
        <w:pStyle w:val="TableofFigures"/>
        <w:tabs>
          <w:tab w:val="right" w:leader="dot" w:pos="9350"/>
        </w:tabs>
        <w:rPr>
          <w:rFonts w:asciiTheme="minorHAnsi" w:eastAsiaTheme="minorEastAsia" w:hAnsiTheme="minorHAnsi" w:cstheme="minorBidi"/>
          <w:noProof/>
          <w:color w:val="auto"/>
        </w:rPr>
      </w:pPr>
      <w:r w:rsidRPr="004269F1">
        <w:rPr>
          <w:sz w:val="20"/>
          <w:szCs w:val="20"/>
        </w:rPr>
        <w:fldChar w:fldCharType="begin"/>
      </w:r>
      <w:r w:rsidRPr="004269F1">
        <w:rPr>
          <w:sz w:val="20"/>
          <w:szCs w:val="20"/>
        </w:rPr>
        <w:instrText xml:space="preserve"> TOC \h \z \c "Figure" </w:instrText>
      </w:r>
      <w:r w:rsidRPr="004269F1">
        <w:rPr>
          <w:sz w:val="20"/>
          <w:szCs w:val="20"/>
        </w:rPr>
        <w:fldChar w:fldCharType="separate"/>
      </w:r>
      <w:hyperlink w:anchor="_Toc85198632" w:history="1">
        <w:r w:rsidRPr="008D1FF0">
          <w:rPr>
            <w:rStyle w:val="Hyperlink"/>
            <w:b/>
            <w:noProof/>
          </w:rPr>
          <w:t>Figure 1  Total industry costs (7-percent NPV)—Alternative 2</w:t>
        </w:r>
        <w:r>
          <w:rPr>
            <w:noProof/>
            <w:webHidden/>
          </w:rPr>
          <w:tab/>
        </w:r>
        <w:r>
          <w:rPr>
            <w:noProof/>
            <w:webHidden/>
          </w:rPr>
          <w:fldChar w:fldCharType="begin"/>
        </w:r>
        <w:r>
          <w:rPr>
            <w:noProof/>
            <w:webHidden/>
          </w:rPr>
          <w:instrText xml:space="preserve"> PAGEREF _Toc85198632 \h </w:instrText>
        </w:r>
        <w:r>
          <w:rPr>
            <w:noProof/>
            <w:webHidden/>
          </w:rPr>
          <w:fldChar w:fldCharType="separate"/>
        </w:r>
        <w:r>
          <w:rPr>
            <w:noProof/>
            <w:webHidden/>
          </w:rPr>
          <w:t>25</w:t>
        </w:r>
        <w:r>
          <w:rPr>
            <w:noProof/>
            <w:webHidden/>
          </w:rPr>
          <w:fldChar w:fldCharType="end"/>
        </w:r>
      </w:hyperlink>
    </w:p>
    <w:p w:rsidR="004634A0" w14:paraId="498E20CF" w14:textId="4A6814F5">
      <w:pPr>
        <w:pStyle w:val="TableofFigures"/>
        <w:tabs>
          <w:tab w:val="right" w:leader="dot" w:pos="9350"/>
        </w:tabs>
        <w:rPr>
          <w:rFonts w:asciiTheme="minorHAnsi" w:eastAsiaTheme="minorEastAsia" w:hAnsiTheme="minorHAnsi" w:cstheme="minorBidi"/>
          <w:noProof/>
          <w:color w:val="auto"/>
        </w:rPr>
      </w:pPr>
      <w:hyperlink w:anchor="_Toc85198633" w:history="1">
        <w:r w:rsidRPr="008D1FF0">
          <w:rPr>
            <w:rStyle w:val="Hyperlink"/>
            <w:b/>
            <w:noProof/>
          </w:rPr>
          <w:t>Figure 2  Total NRC costs (7-percent NPV)—Alternative 2</w:t>
        </w:r>
        <w:r>
          <w:rPr>
            <w:noProof/>
            <w:webHidden/>
          </w:rPr>
          <w:tab/>
        </w:r>
        <w:r>
          <w:rPr>
            <w:noProof/>
            <w:webHidden/>
          </w:rPr>
          <w:fldChar w:fldCharType="begin"/>
        </w:r>
        <w:r>
          <w:rPr>
            <w:noProof/>
            <w:webHidden/>
          </w:rPr>
          <w:instrText xml:space="preserve"> PAGEREF _Toc85198633 \h </w:instrText>
        </w:r>
        <w:r>
          <w:rPr>
            <w:noProof/>
            <w:webHidden/>
          </w:rPr>
          <w:fldChar w:fldCharType="separate"/>
        </w:r>
        <w:r>
          <w:rPr>
            <w:noProof/>
            <w:webHidden/>
          </w:rPr>
          <w:t>25</w:t>
        </w:r>
        <w:r>
          <w:rPr>
            <w:noProof/>
            <w:webHidden/>
          </w:rPr>
          <w:fldChar w:fldCharType="end"/>
        </w:r>
      </w:hyperlink>
    </w:p>
    <w:p w:rsidR="004634A0" w14:paraId="6C8D78F7" w14:textId="6FAA90DB">
      <w:pPr>
        <w:pStyle w:val="TableofFigures"/>
        <w:tabs>
          <w:tab w:val="right" w:leader="dot" w:pos="9350"/>
        </w:tabs>
        <w:rPr>
          <w:rFonts w:asciiTheme="minorHAnsi" w:eastAsiaTheme="minorEastAsia" w:hAnsiTheme="minorHAnsi" w:cstheme="minorBidi"/>
          <w:noProof/>
          <w:color w:val="auto"/>
        </w:rPr>
      </w:pPr>
      <w:hyperlink w:anchor="_Toc85198634" w:history="1">
        <w:r w:rsidRPr="008D1FF0">
          <w:rPr>
            <w:rStyle w:val="Hyperlink"/>
            <w:b/>
            <w:noProof/>
          </w:rPr>
          <w:t>Figure 3  Total costs (7-percent NPV)—Alternative 2</w:t>
        </w:r>
        <w:r>
          <w:rPr>
            <w:noProof/>
            <w:webHidden/>
          </w:rPr>
          <w:tab/>
        </w:r>
        <w:r>
          <w:rPr>
            <w:noProof/>
            <w:webHidden/>
          </w:rPr>
          <w:fldChar w:fldCharType="begin"/>
        </w:r>
        <w:r>
          <w:rPr>
            <w:noProof/>
            <w:webHidden/>
          </w:rPr>
          <w:instrText xml:space="preserve"> PAGEREF _Toc85198634 \h </w:instrText>
        </w:r>
        <w:r>
          <w:rPr>
            <w:noProof/>
            <w:webHidden/>
          </w:rPr>
          <w:fldChar w:fldCharType="separate"/>
        </w:r>
        <w:r>
          <w:rPr>
            <w:noProof/>
            <w:webHidden/>
          </w:rPr>
          <w:t>26</w:t>
        </w:r>
        <w:r>
          <w:rPr>
            <w:noProof/>
            <w:webHidden/>
          </w:rPr>
          <w:fldChar w:fldCharType="end"/>
        </w:r>
      </w:hyperlink>
    </w:p>
    <w:p w:rsidR="004634A0" w14:paraId="0A669EC9" w14:textId="71B572F3">
      <w:pPr>
        <w:pStyle w:val="TableofFigures"/>
        <w:tabs>
          <w:tab w:val="right" w:leader="dot" w:pos="9350"/>
        </w:tabs>
        <w:rPr>
          <w:rFonts w:asciiTheme="minorHAnsi" w:eastAsiaTheme="minorEastAsia" w:hAnsiTheme="minorHAnsi" w:cstheme="minorBidi"/>
          <w:noProof/>
          <w:color w:val="auto"/>
        </w:rPr>
      </w:pPr>
      <w:hyperlink w:anchor="_Toc85198635" w:history="1">
        <w:r w:rsidRPr="008D1FF0">
          <w:rPr>
            <w:rStyle w:val="Hyperlink"/>
            <w:b/>
            <w:noProof/>
          </w:rPr>
          <w:t>Figure 4  Tornado Diagram—Total Averted Costs—7-Percent NPV</w:t>
        </w:r>
        <w:r>
          <w:rPr>
            <w:noProof/>
            <w:webHidden/>
          </w:rPr>
          <w:tab/>
        </w:r>
        <w:r>
          <w:rPr>
            <w:noProof/>
            <w:webHidden/>
          </w:rPr>
          <w:fldChar w:fldCharType="begin"/>
        </w:r>
        <w:r>
          <w:rPr>
            <w:noProof/>
            <w:webHidden/>
          </w:rPr>
          <w:instrText xml:space="preserve"> PAGEREF _Toc85198635 \h </w:instrText>
        </w:r>
        <w:r>
          <w:rPr>
            <w:noProof/>
            <w:webHidden/>
          </w:rPr>
          <w:fldChar w:fldCharType="separate"/>
        </w:r>
        <w:r>
          <w:rPr>
            <w:noProof/>
            <w:webHidden/>
          </w:rPr>
          <w:t>27</w:t>
        </w:r>
        <w:r>
          <w:rPr>
            <w:noProof/>
            <w:webHidden/>
          </w:rPr>
          <w:fldChar w:fldCharType="end"/>
        </w:r>
      </w:hyperlink>
    </w:p>
    <w:p w:rsidR="009128E1" w:rsidRPr="00323360" w:rsidP="008440FA" w14:paraId="78FB8623" w14:textId="1DE62CA9">
      <w:pPr>
        <w:spacing w:line="240" w:lineRule="auto"/>
      </w:pPr>
      <w:r w:rsidRPr="004269F1">
        <w:fldChar w:fldCharType="end"/>
      </w:r>
    </w:p>
    <w:p w:rsidR="009128E1" w:rsidRPr="00323360" w:rsidP="008440FA" w14:paraId="6455F592" w14:textId="77777777">
      <w:pPr>
        <w:spacing w:line="240" w:lineRule="auto"/>
      </w:pPr>
    </w:p>
    <w:p w:rsidR="009128E1" w:rsidRPr="00FB3EE9" w:rsidP="008440FA" w14:paraId="50BAC638" w14:textId="3711C76E">
      <w:pPr>
        <w:pStyle w:val="Heading1"/>
        <w:spacing w:line="240" w:lineRule="auto"/>
        <w:rPr>
          <w:b w:val="0"/>
        </w:rPr>
      </w:pPr>
      <w:bookmarkStart w:id="17" w:name="_Toc71129944"/>
      <w:bookmarkStart w:id="18" w:name="_Toc70669482"/>
      <w:bookmarkStart w:id="19" w:name="_Toc85198581"/>
      <w:r w:rsidRPr="00FB3EE9">
        <w:rPr>
          <w:b w:val="0"/>
        </w:rPr>
        <w:t>List of Tables</w:t>
      </w:r>
      <w:bookmarkEnd w:id="11"/>
      <w:bookmarkEnd w:id="12"/>
      <w:bookmarkEnd w:id="13"/>
      <w:bookmarkEnd w:id="14"/>
      <w:bookmarkEnd w:id="15"/>
      <w:bookmarkEnd w:id="16"/>
      <w:bookmarkEnd w:id="17"/>
      <w:bookmarkEnd w:id="18"/>
      <w:bookmarkEnd w:id="19"/>
    </w:p>
    <w:p w:rsidR="009128E1" w:rsidRPr="00323360" w:rsidP="008440FA" w14:paraId="28532691" w14:textId="77777777">
      <w:pPr>
        <w:spacing w:line="240" w:lineRule="auto"/>
      </w:pPr>
    </w:p>
    <w:p w:rsidR="009128E1" w:rsidRPr="00323360" w:rsidP="008440FA" w14:paraId="18FB4273" w14:textId="47F8AB95">
      <w:pPr>
        <w:tabs>
          <w:tab w:val="right" w:pos="9360"/>
        </w:tabs>
        <w:spacing w:after="40" w:line="240" w:lineRule="auto"/>
        <w:rPr>
          <w:color w:val="auto"/>
          <w:szCs w:val="20"/>
        </w:rPr>
      </w:pPr>
      <w:r w:rsidRPr="00323360">
        <w:rPr>
          <w:szCs w:val="20"/>
          <w:u w:val="single"/>
        </w:rPr>
        <w:t>Table</w:t>
      </w:r>
      <w:r w:rsidRPr="00323360" w:rsidR="006B227B">
        <w:rPr>
          <w:szCs w:val="20"/>
          <w:u w:val="single"/>
        </w:rPr>
        <w:t>s</w:t>
      </w:r>
      <w:r w:rsidRPr="00323360">
        <w:rPr>
          <w:szCs w:val="20"/>
        </w:rPr>
        <w:tab/>
      </w:r>
      <w:r w:rsidRPr="00323360">
        <w:rPr>
          <w:szCs w:val="20"/>
          <w:u w:val="single"/>
        </w:rPr>
        <w:t>Page</w:t>
      </w:r>
    </w:p>
    <w:p w:rsidR="00905D72" w14:paraId="6EAB9295" w14:textId="129744F3">
      <w:pPr>
        <w:pStyle w:val="TableofFigures"/>
        <w:tabs>
          <w:tab w:val="right" w:leader="dot" w:pos="9350"/>
        </w:tabs>
        <w:rPr>
          <w:rFonts w:asciiTheme="minorHAnsi" w:eastAsiaTheme="minorEastAsia" w:hAnsiTheme="minorHAnsi" w:cstheme="minorBidi"/>
          <w:noProof/>
          <w:color w:val="auto"/>
        </w:rPr>
      </w:pPr>
      <w:r w:rsidRPr="00FB3EE9">
        <w:fldChar w:fldCharType="begin"/>
      </w:r>
      <w:r w:rsidRPr="004269F1">
        <w:instrText xml:space="preserve"> TOC \h \z \c "Table"  \* MERGEFORMAT  \* MERGEFORMAT </w:instrText>
      </w:r>
      <w:r w:rsidRPr="00FB3EE9">
        <w:fldChar w:fldCharType="separate"/>
      </w:r>
      <w:hyperlink w:anchor="_Toc85198656" w:history="1">
        <w:r w:rsidRPr="009166A6">
          <w:rPr>
            <w:rStyle w:val="Hyperlink"/>
            <w:b/>
            <w:noProof/>
          </w:rPr>
          <w:t>Table ES-1  Total Costs and Benefits for Alternative 2</w:t>
        </w:r>
        <w:r>
          <w:rPr>
            <w:noProof/>
            <w:webHidden/>
          </w:rPr>
          <w:tab/>
        </w:r>
        <w:r>
          <w:rPr>
            <w:noProof/>
            <w:webHidden/>
          </w:rPr>
          <w:fldChar w:fldCharType="begin"/>
        </w:r>
        <w:r>
          <w:rPr>
            <w:noProof/>
            <w:webHidden/>
          </w:rPr>
          <w:instrText xml:space="preserve"> PAGEREF _Toc85198656 \h </w:instrText>
        </w:r>
        <w:r>
          <w:rPr>
            <w:noProof/>
            <w:webHidden/>
          </w:rPr>
          <w:fldChar w:fldCharType="separate"/>
        </w:r>
        <w:r>
          <w:rPr>
            <w:noProof/>
            <w:webHidden/>
          </w:rPr>
          <w:t>viii</w:t>
        </w:r>
        <w:r>
          <w:rPr>
            <w:noProof/>
            <w:webHidden/>
          </w:rPr>
          <w:fldChar w:fldCharType="end"/>
        </w:r>
      </w:hyperlink>
    </w:p>
    <w:p w:rsidR="00905D72" w14:paraId="47235B7C" w14:textId="7C0ADC54">
      <w:pPr>
        <w:pStyle w:val="TableofFigures"/>
        <w:tabs>
          <w:tab w:val="right" w:leader="dot" w:pos="9350"/>
        </w:tabs>
        <w:rPr>
          <w:rFonts w:asciiTheme="minorHAnsi" w:eastAsiaTheme="minorEastAsia" w:hAnsiTheme="minorHAnsi" w:cstheme="minorBidi"/>
          <w:noProof/>
          <w:color w:val="auto"/>
        </w:rPr>
      </w:pPr>
      <w:hyperlink w:anchor="_Toc85198657" w:history="1">
        <w:r w:rsidRPr="009166A6">
          <w:rPr>
            <w:rStyle w:val="Hyperlink"/>
            <w:b/>
            <w:noProof/>
          </w:rPr>
          <w:t>Table 1  CPI-U Inflator</w:t>
        </w:r>
        <w:r>
          <w:rPr>
            <w:noProof/>
            <w:webHidden/>
          </w:rPr>
          <w:tab/>
        </w:r>
        <w:r>
          <w:rPr>
            <w:noProof/>
            <w:webHidden/>
          </w:rPr>
          <w:fldChar w:fldCharType="begin"/>
        </w:r>
        <w:r>
          <w:rPr>
            <w:noProof/>
            <w:webHidden/>
          </w:rPr>
          <w:instrText xml:space="preserve"> PAGEREF _Toc85198657 \h </w:instrText>
        </w:r>
        <w:r>
          <w:rPr>
            <w:noProof/>
            <w:webHidden/>
          </w:rPr>
          <w:fldChar w:fldCharType="separate"/>
        </w:r>
        <w:r>
          <w:rPr>
            <w:noProof/>
            <w:webHidden/>
          </w:rPr>
          <w:t>11</w:t>
        </w:r>
        <w:r>
          <w:rPr>
            <w:noProof/>
            <w:webHidden/>
          </w:rPr>
          <w:fldChar w:fldCharType="end"/>
        </w:r>
      </w:hyperlink>
    </w:p>
    <w:p w:rsidR="00905D72" w14:paraId="3279798B" w14:textId="51864F2A">
      <w:pPr>
        <w:pStyle w:val="TableofFigures"/>
        <w:tabs>
          <w:tab w:val="right" w:leader="dot" w:pos="9350"/>
        </w:tabs>
        <w:rPr>
          <w:rFonts w:asciiTheme="minorHAnsi" w:eastAsiaTheme="minorEastAsia" w:hAnsiTheme="minorHAnsi" w:cstheme="minorBidi"/>
          <w:noProof/>
          <w:color w:val="auto"/>
        </w:rPr>
      </w:pPr>
      <w:hyperlink w:anchor="_Toc85198658" w:history="1">
        <w:r w:rsidRPr="009166A6">
          <w:rPr>
            <w:rStyle w:val="Hyperlink"/>
            <w:b/>
            <w:noProof/>
          </w:rPr>
          <w:t>Table 2  Position Titles and Occupations</w:t>
        </w:r>
        <w:r>
          <w:rPr>
            <w:noProof/>
            <w:webHidden/>
          </w:rPr>
          <w:tab/>
        </w:r>
        <w:r>
          <w:rPr>
            <w:noProof/>
            <w:webHidden/>
          </w:rPr>
          <w:fldChar w:fldCharType="begin"/>
        </w:r>
        <w:r>
          <w:rPr>
            <w:noProof/>
            <w:webHidden/>
          </w:rPr>
          <w:instrText xml:space="preserve"> PAGEREF _Toc85198658 \h </w:instrText>
        </w:r>
        <w:r>
          <w:rPr>
            <w:noProof/>
            <w:webHidden/>
          </w:rPr>
          <w:fldChar w:fldCharType="separate"/>
        </w:r>
        <w:r>
          <w:rPr>
            <w:noProof/>
            <w:webHidden/>
          </w:rPr>
          <w:t>13</w:t>
        </w:r>
        <w:r>
          <w:rPr>
            <w:noProof/>
            <w:webHidden/>
          </w:rPr>
          <w:fldChar w:fldCharType="end"/>
        </w:r>
      </w:hyperlink>
    </w:p>
    <w:p w:rsidR="00905D72" w14:paraId="793886A2" w14:textId="23E80273">
      <w:pPr>
        <w:pStyle w:val="TableofFigures"/>
        <w:tabs>
          <w:tab w:val="right" w:leader="dot" w:pos="9350"/>
        </w:tabs>
        <w:rPr>
          <w:rFonts w:asciiTheme="minorHAnsi" w:eastAsiaTheme="minorEastAsia" w:hAnsiTheme="minorHAnsi" w:cstheme="minorBidi"/>
          <w:noProof/>
          <w:color w:val="auto"/>
        </w:rPr>
      </w:pPr>
      <w:hyperlink w:anchor="_Toc85198659" w:history="1">
        <w:r w:rsidRPr="009166A6">
          <w:rPr>
            <w:rStyle w:val="Hyperlink"/>
            <w:b/>
            <w:noProof/>
          </w:rPr>
          <w:t>Table 3  Industry Operation:  Averted Costs for Emergency Planning Exemption Requests</w:t>
        </w:r>
        <w:r>
          <w:rPr>
            <w:noProof/>
            <w:webHidden/>
          </w:rPr>
          <w:tab/>
        </w:r>
        <w:r>
          <w:rPr>
            <w:noProof/>
            <w:webHidden/>
          </w:rPr>
          <w:fldChar w:fldCharType="begin"/>
        </w:r>
        <w:r>
          <w:rPr>
            <w:noProof/>
            <w:webHidden/>
          </w:rPr>
          <w:instrText xml:space="preserve"> PAGEREF _Toc85198659 \h </w:instrText>
        </w:r>
        <w:r>
          <w:rPr>
            <w:noProof/>
            <w:webHidden/>
          </w:rPr>
          <w:fldChar w:fldCharType="separate"/>
        </w:r>
        <w:r>
          <w:rPr>
            <w:noProof/>
            <w:webHidden/>
          </w:rPr>
          <w:t>16</w:t>
        </w:r>
        <w:r>
          <w:rPr>
            <w:noProof/>
            <w:webHidden/>
          </w:rPr>
          <w:fldChar w:fldCharType="end"/>
        </w:r>
      </w:hyperlink>
    </w:p>
    <w:p w:rsidR="00905D72" w14:paraId="0891FD73" w14:textId="7930DE52">
      <w:pPr>
        <w:pStyle w:val="TableofFigures"/>
        <w:tabs>
          <w:tab w:val="right" w:leader="dot" w:pos="9350"/>
        </w:tabs>
        <w:rPr>
          <w:rFonts w:asciiTheme="minorHAnsi" w:eastAsiaTheme="minorEastAsia" w:hAnsiTheme="minorHAnsi" w:cstheme="minorBidi"/>
          <w:noProof/>
          <w:color w:val="auto"/>
        </w:rPr>
      </w:pPr>
      <w:hyperlink w:anchor="_Toc85198660" w:history="1">
        <w:r w:rsidRPr="009166A6">
          <w:rPr>
            <w:rStyle w:val="Hyperlink"/>
            <w:b/>
            <w:noProof/>
          </w:rPr>
          <w:t>Table 4  Unit Time 95-Pecent Learning Curve for Industry Development of EP Plans</w:t>
        </w:r>
        <w:r>
          <w:rPr>
            <w:noProof/>
            <w:webHidden/>
          </w:rPr>
          <w:tab/>
        </w:r>
        <w:r>
          <w:rPr>
            <w:noProof/>
            <w:webHidden/>
          </w:rPr>
          <w:fldChar w:fldCharType="begin"/>
        </w:r>
        <w:r>
          <w:rPr>
            <w:noProof/>
            <w:webHidden/>
          </w:rPr>
          <w:instrText xml:space="preserve"> PAGEREF _Toc85198660 \h </w:instrText>
        </w:r>
        <w:r>
          <w:rPr>
            <w:noProof/>
            <w:webHidden/>
          </w:rPr>
          <w:fldChar w:fldCharType="separate"/>
        </w:r>
        <w:r>
          <w:rPr>
            <w:noProof/>
            <w:webHidden/>
          </w:rPr>
          <w:t>17</w:t>
        </w:r>
        <w:r>
          <w:rPr>
            <w:noProof/>
            <w:webHidden/>
          </w:rPr>
          <w:fldChar w:fldCharType="end"/>
        </w:r>
      </w:hyperlink>
    </w:p>
    <w:p w:rsidR="00905D72" w14:paraId="63B4DD59" w14:textId="5A4EF09E">
      <w:pPr>
        <w:pStyle w:val="TableofFigures"/>
        <w:tabs>
          <w:tab w:val="right" w:leader="dot" w:pos="9350"/>
        </w:tabs>
        <w:rPr>
          <w:rFonts w:asciiTheme="minorHAnsi" w:eastAsiaTheme="minorEastAsia" w:hAnsiTheme="minorHAnsi" w:cstheme="minorBidi"/>
          <w:noProof/>
          <w:color w:val="auto"/>
        </w:rPr>
      </w:pPr>
      <w:hyperlink w:anchor="_Toc85198661" w:history="1">
        <w:r w:rsidRPr="009166A6">
          <w:rPr>
            <w:rStyle w:val="Hyperlink"/>
            <w:b/>
            <w:noProof/>
          </w:rPr>
          <w:t>Table 5  Averted Costs Due to Reduced Complexity in Initial EP Plan</w:t>
        </w:r>
        <w:r>
          <w:rPr>
            <w:noProof/>
            <w:webHidden/>
          </w:rPr>
          <w:tab/>
        </w:r>
        <w:r>
          <w:rPr>
            <w:noProof/>
            <w:webHidden/>
          </w:rPr>
          <w:fldChar w:fldCharType="begin"/>
        </w:r>
        <w:r>
          <w:rPr>
            <w:noProof/>
            <w:webHidden/>
          </w:rPr>
          <w:instrText xml:space="preserve"> PAGEREF _Toc85198661 \h </w:instrText>
        </w:r>
        <w:r>
          <w:rPr>
            <w:noProof/>
            <w:webHidden/>
          </w:rPr>
          <w:fldChar w:fldCharType="separate"/>
        </w:r>
        <w:r>
          <w:rPr>
            <w:noProof/>
            <w:webHidden/>
          </w:rPr>
          <w:t>17</w:t>
        </w:r>
        <w:r>
          <w:rPr>
            <w:noProof/>
            <w:webHidden/>
          </w:rPr>
          <w:fldChar w:fldCharType="end"/>
        </w:r>
      </w:hyperlink>
    </w:p>
    <w:p w:rsidR="00905D72" w14:paraId="2C9C7E7E" w14:textId="2ABC08CF">
      <w:pPr>
        <w:pStyle w:val="TableofFigures"/>
        <w:tabs>
          <w:tab w:val="right" w:leader="dot" w:pos="9350"/>
        </w:tabs>
        <w:rPr>
          <w:rFonts w:asciiTheme="minorHAnsi" w:eastAsiaTheme="minorEastAsia" w:hAnsiTheme="minorHAnsi" w:cstheme="minorBidi"/>
          <w:noProof/>
          <w:color w:val="auto"/>
        </w:rPr>
      </w:pPr>
      <w:hyperlink w:anchor="_Toc85198662" w:history="1">
        <w:r w:rsidRPr="009166A6">
          <w:rPr>
            <w:rStyle w:val="Hyperlink"/>
            <w:b/>
            <w:noProof/>
          </w:rPr>
          <w:t>Table 6  Averted Costs for Reduction in EP LARs</w:t>
        </w:r>
        <w:r>
          <w:rPr>
            <w:noProof/>
            <w:webHidden/>
          </w:rPr>
          <w:tab/>
        </w:r>
        <w:r>
          <w:rPr>
            <w:noProof/>
            <w:webHidden/>
          </w:rPr>
          <w:fldChar w:fldCharType="begin"/>
        </w:r>
        <w:r>
          <w:rPr>
            <w:noProof/>
            <w:webHidden/>
          </w:rPr>
          <w:instrText xml:space="preserve"> PAGEREF _Toc85198662 \h </w:instrText>
        </w:r>
        <w:r>
          <w:rPr>
            <w:noProof/>
            <w:webHidden/>
          </w:rPr>
          <w:fldChar w:fldCharType="separate"/>
        </w:r>
        <w:r>
          <w:rPr>
            <w:noProof/>
            <w:webHidden/>
          </w:rPr>
          <w:t>18</w:t>
        </w:r>
        <w:r>
          <w:rPr>
            <w:noProof/>
            <w:webHidden/>
          </w:rPr>
          <w:fldChar w:fldCharType="end"/>
        </w:r>
      </w:hyperlink>
    </w:p>
    <w:p w:rsidR="00905D72" w14:paraId="0AAD757A" w14:textId="033A08B6">
      <w:pPr>
        <w:pStyle w:val="TableofFigures"/>
        <w:tabs>
          <w:tab w:val="right" w:leader="dot" w:pos="9350"/>
        </w:tabs>
        <w:rPr>
          <w:rFonts w:asciiTheme="minorHAnsi" w:eastAsiaTheme="minorEastAsia" w:hAnsiTheme="minorHAnsi" w:cstheme="minorBidi"/>
          <w:noProof/>
          <w:color w:val="auto"/>
        </w:rPr>
      </w:pPr>
      <w:hyperlink w:anchor="_Toc85198663" w:history="1">
        <w:r w:rsidRPr="009166A6">
          <w:rPr>
            <w:rStyle w:val="Hyperlink"/>
            <w:b/>
            <w:noProof/>
          </w:rPr>
          <w:t>Table 7  Industry Costs for Additional PRA or Other Analysis</w:t>
        </w:r>
        <w:r>
          <w:rPr>
            <w:noProof/>
            <w:webHidden/>
          </w:rPr>
          <w:tab/>
        </w:r>
        <w:r>
          <w:rPr>
            <w:noProof/>
            <w:webHidden/>
          </w:rPr>
          <w:fldChar w:fldCharType="begin"/>
        </w:r>
        <w:r>
          <w:rPr>
            <w:noProof/>
            <w:webHidden/>
          </w:rPr>
          <w:instrText xml:space="preserve"> PAGEREF _Toc85198663 \h </w:instrText>
        </w:r>
        <w:r>
          <w:rPr>
            <w:noProof/>
            <w:webHidden/>
          </w:rPr>
          <w:fldChar w:fldCharType="separate"/>
        </w:r>
        <w:r>
          <w:rPr>
            <w:noProof/>
            <w:webHidden/>
          </w:rPr>
          <w:t>19</w:t>
        </w:r>
        <w:r>
          <w:rPr>
            <w:noProof/>
            <w:webHidden/>
          </w:rPr>
          <w:fldChar w:fldCharType="end"/>
        </w:r>
      </w:hyperlink>
    </w:p>
    <w:p w:rsidR="00905D72" w14:paraId="3B808AA9" w14:textId="4A596F5E">
      <w:pPr>
        <w:pStyle w:val="TableofFigures"/>
        <w:tabs>
          <w:tab w:val="right" w:leader="dot" w:pos="9350"/>
        </w:tabs>
        <w:rPr>
          <w:rFonts w:asciiTheme="minorHAnsi" w:eastAsiaTheme="minorEastAsia" w:hAnsiTheme="minorHAnsi" w:cstheme="minorBidi"/>
          <w:noProof/>
          <w:color w:val="auto"/>
        </w:rPr>
      </w:pPr>
      <w:hyperlink w:anchor="_Toc85198664" w:history="1">
        <w:r w:rsidRPr="009166A6">
          <w:rPr>
            <w:rStyle w:val="Hyperlink"/>
            <w:b/>
            <w:noProof/>
          </w:rPr>
          <w:t>Table 8  Total Industry Costs</w:t>
        </w:r>
        <w:r>
          <w:rPr>
            <w:noProof/>
            <w:webHidden/>
          </w:rPr>
          <w:tab/>
        </w:r>
        <w:r>
          <w:rPr>
            <w:noProof/>
            <w:webHidden/>
          </w:rPr>
          <w:fldChar w:fldCharType="begin"/>
        </w:r>
        <w:r>
          <w:rPr>
            <w:noProof/>
            <w:webHidden/>
          </w:rPr>
          <w:instrText xml:space="preserve"> PAGEREF _Toc85198664 \h </w:instrText>
        </w:r>
        <w:r>
          <w:rPr>
            <w:noProof/>
            <w:webHidden/>
          </w:rPr>
          <w:fldChar w:fldCharType="separate"/>
        </w:r>
        <w:r>
          <w:rPr>
            <w:noProof/>
            <w:webHidden/>
          </w:rPr>
          <w:t>19</w:t>
        </w:r>
        <w:r>
          <w:rPr>
            <w:noProof/>
            <w:webHidden/>
          </w:rPr>
          <w:fldChar w:fldCharType="end"/>
        </w:r>
      </w:hyperlink>
    </w:p>
    <w:p w:rsidR="00905D72" w14:paraId="4D5437DB" w14:textId="3FF3EFE1">
      <w:pPr>
        <w:pStyle w:val="TableofFigures"/>
        <w:tabs>
          <w:tab w:val="right" w:leader="dot" w:pos="9350"/>
        </w:tabs>
        <w:rPr>
          <w:rFonts w:asciiTheme="minorHAnsi" w:eastAsiaTheme="minorEastAsia" w:hAnsiTheme="minorHAnsi" w:cstheme="minorBidi"/>
          <w:noProof/>
          <w:color w:val="auto"/>
        </w:rPr>
      </w:pPr>
      <w:hyperlink w:anchor="_Toc85198665" w:history="1">
        <w:r w:rsidRPr="009166A6">
          <w:rPr>
            <w:rStyle w:val="Hyperlink"/>
            <w:b/>
            <w:noProof/>
          </w:rPr>
          <w:t>Table 9  NRC Operation:  Averted Costs for NRC Exemption Request Reviews</w:t>
        </w:r>
        <w:r>
          <w:rPr>
            <w:noProof/>
            <w:webHidden/>
          </w:rPr>
          <w:tab/>
        </w:r>
        <w:r>
          <w:rPr>
            <w:noProof/>
            <w:webHidden/>
          </w:rPr>
          <w:fldChar w:fldCharType="begin"/>
        </w:r>
        <w:r>
          <w:rPr>
            <w:noProof/>
            <w:webHidden/>
          </w:rPr>
          <w:instrText xml:space="preserve"> PAGEREF _Toc85198665 \h </w:instrText>
        </w:r>
        <w:r>
          <w:rPr>
            <w:noProof/>
            <w:webHidden/>
          </w:rPr>
          <w:fldChar w:fldCharType="separate"/>
        </w:r>
        <w:r>
          <w:rPr>
            <w:noProof/>
            <w:webHidden/>
          </w:rPr>
          <w:t>19</w:t>
        </w:r>
        <w:r>
          <w:rPr>
            <w:noProof/>
            <w:webHidden/>
          </w:rPr>
          <w:fldChar w:fldCharType="end"/>
        </w:r>
      </w:hyperlink>
    </w:p>
    <w:p w:rsidR="00905D72" w14:paraId="32EFAAD2" w14:textId="283FF60A">
      <w:pPr>
        <w:pStyle w:val="TableofFigures"/>
        <w:tabs>
          <w:tab w:val="right" w:leader="dot" w:pos="9350"/>
        </w:tabs>
        <w:rPr>
          <w:rFonts w:asciiTheme="minorHAnsi" w:eastAsiaTheme="minorEastAsia" w:hAnsiTheme="minorHAnsi" w:cstheme="minorBidi"/>
          <w:noProof/>
          <w:color w:val="auto"/>
        </w:rPr>
      </w:pPr>
      <w:hyperlink w:anchor="_Toc85198666" w:history="1">
        <w:r w:rsidRPr="009166A6">
          <w:rPr>
            <w:rStyle w:val="Hyperlink"/>
            <w:b/>
            <w:noProof/>
          </w:rPr>
          <w:t>Table 10  Unit Time 95-Percent Learning Curve for NRC Review of EP Plans</w:t>
        </w:r>
        <w:r>
          <w:rPr>
            <w:noProof/>
            <w:webHidden/>
          </w:rPr>
          <w:tab/>
        </w:r>
        <w:r>
          <w:rPr>
            <w:noProof/>
            <w:webHidden/>
          </w:rPr>
          <w:fldChar w:fldCharType="begin"/>
        </w:r>
        <w:r>
          <w:rPr>
            <w:noProof/>
            <w:webHidden/>
          </w:rPr>
          <w:instrText xml:space="preserve"> PAGEREF _Toc85198666 \h </w:instrText>
        </w:r>
        <w:r>
          <w:rPr>
            <w:noProof/>
            <w:webHidden/>
          </w:rPr>
          <w:fldChar w:fldCharType="separate"/>
        </w:r>
        <w:r>
          <w:rPr>
            <w:noProof/>
            <w:webHidden/>
          </w:rPr>
          <w:t>20</w:t>
        </w:r>
        <w:r>
          <w:rPr>
            <w:noProof/>
            <w:webHidden/>
          </w:rPr>
          <w:fldChar w:fldCharType="end"/>
        </w:r>
      </w:hyperlink>
    </w:p>
    <w:p w:rsidR="00905D72" w14:paraId="2F790119" w14:textId="22428CED">
      <w:pPr>
        <w:pStyle w:val="TableofFigures"/>
        <w:tabs>
          <w:tab w:val="right" w:leader="dot" w:pos="9350"/>
        </w:tabs>
        <w:rPr>
          <w:rFonts w:asciiTheme="minorHAnsi" w:eastAsiaTheme="minorEastAsia" w:hAnsiTheme="minorHAnsi" w:cstheme="minorBidi"/>
          <w:noProof/>
          <w:color w:val="auto"/>
        </w:rPr>
      </w:pPr>
      <w:hyperlink w:anchor="_Toc85198667" w:history="1">
        <w:r w:rsidRPr="009166A6">
          <w:rPr>
            <w:rStyle w:val="Hyperlink"/>
            <w:b/>
            <w:noProof/>
          </w:rPr>
          <w:t>Table 11  Averted Cost for Reduced EP Plans</w:t>
        </w:r>
        <w:r>
          <w:rPr>
            <w:noProof/>
            <w:webHidden/>
          </w:rPr>
          <w:tab/>
        </w:r>
        <w:r>
          <w:rPr>
            <w:noProof/>
            <w:webHidden/>
          </w:rPr>
          <w:fldChar w:fldCharType="begin"/>
        </w:r>
        <w:r>
          <w:rPr>
            <w:noProof/>
            <w:webHidden/>
          </w:rPr>
          <w:instrText xml:space="preserve"> PAGEREF _Toc85198667 \h </w:instrText>
        </w:r>
        <w:r>
          <w:rPr>
            <w:noProof/>
            <w:webHidden/>
          </w:rPr>
          <w:fldChar w:fldCharType="separate"/>
        </w:r>
        <w:r>
          <w:rPr>
            <w:noProof/>
            <w:webHidden/>
          </w:rPr>
          <w:t>20</w:t>
        </w:r>
        <w:r>
          <w:rPr>
            <w:noProof/>
            <w:webHidden/>
          </w:rPr>
          <w:fldChar w:fldCharType="end"/>
        </w:r>
      </w:hyperlink>
    </w:p>
    <w:p w:rsidR="00905D72" w14:paraId="502BE882" w14:textId="22DF878A">
      <w:pPr>
        <w:pStyle w:val="TableofFigures"/>
        <w:tabs>
          <w:tab w:val="right" w:leader="dot" w:pos="9350"/>
        </w:tabs>
        <w:rPr>
          <w:rFonts w:asciiTheme="minorHAnsi" w:eastAsiaTheme="minorEastAsia" w:hAnsiTheme="minorHAnsi" w:cstheme="minorBidi"/>
          <w:noProof/>
          <w:color w:val="auto"/>
        </w:rPr>
      </w:pPr>
      <w:hyperlink w:anchor="_Toc85198668" w:history="1">
        <w:r w:rsidRPr="009166A6">
          <w:rPr>
            <w:rStyle w:val="Hyperlink"/>
            <w:b/>
            <w:noProof/>
          </w:rPr>
          <w:t>Table 12  Averted Costs for Reduced EP LARs</w:t>
        </w:r>
        <w:r>
          <w:rPr>
            <w:noProof/>
            <w:webHidden/>
          </w:rPr>
          <w:tab/>
        </w:r>
        <w:r>
          <w:rPr>
            <w:noProof/>
            <w:webHidden/>
          </w:rPr>
          <w:fldChar w:fldCharType="begin"/>
        </w:r>
        <w:r>
          <w:rPr>
            <w:noProof/>
            <w:webHidden/>
          </w:rPr>
          <w:instrText xml:space="preserve"> PAGEREF _Toc85198668 \h </w:instrText>
        </w:r>
        <w:r>
          <w:rPr>
            <w:noProof/>
            <w:webHidden/>
          </w:rPr>
          <w:fldChar w:fldCharType="separate"/>
        </w:r>
        <w:r>
          <w:rPr>
            <w:noProof/>
            <w:webHidden/>
          </w:rPr>
          <w:t>21</w:t>
        </w:r>
        <w:r>
          <w:rPr>
            <w:noProof/>
            <w:webHidden/>
          </w:rPr>
          <w:fldChar w:fldCharType="end"/>
        </w:r>
      </w:hyperlink>
    </w:p>
    <w:p w:rsidR="00905D72" w14:paraId="3F83A78E" w14:textId="1FF08B64">
      <w:pPr>
        <w:pStyle w:val="TableofFigures"/>
        <w:tabs>
          <w:tab w:val="right" w:leader="dot" w:pos="9350"/>
        </w:tabs>
        <w:rPr>
          <w:rFonts w:asciiTheme="minorHAnsi" w:eastAsiaTheme="minorEastAsia" w:hAnsiTheme="minorHAnsi" w:cstheme="minorBidi"/>
          <w:noProof/>
          <w:color w:val="auto"/>
        </w:rPr>
      </w:pPr>
      <w:hyperlink w:anchor="_Toc85198669" w:history="1">
        <w:r w:rsidRPr="009166A6">
          <w:rPr>
            <w:rStyle w:val="Hyperlink"/>
            <w:b/>
            <w:noProof/>
          </w:rPr>
          <w:t>Table 13  NRC Review of Additional PRA or Other Analysis</w:t>
        </w:r>
        <w:r>
          <w:rPr>
            <w:noProof/>
            <w:webHidden/>
          </w:rPr>
          <w:tab/>
        </w:r>
        <w:r>
          <w:rPr>
            <w:noProof/>
            <w:webHidden/>
          </w:rPr>
          <w:fldChar w:fldCharType="begin"/>
        </w:r>
        <w:r>
          <w:rPr>
            <w:noProof/>
            <w:webHidden/>
          </w:rPr>
          <w:instrText xml:space="preserve"> PAGEREF _Toc85198669 \h </w:instrText>
        </w:r>
        <w:r>
          <w:rPr>
            <w:noProof/>
            <w:webHidden/>
          </w:rPr>
          <w:fldChar w:fldCharType="separate"/>
        </w:r>
        <w:r>
          <w:rPr>
            <w:noProof/>
            <w:webHidden/>
          </w:rPr>
          <w:t>21</w:t>
        </w:r>
        <w:r>
          <w:rPr>
            <w:noProof/>
            <w:webHidden/>
          </w:rPr>
          <w:fldChar w:fldCharType="end"/>
        </w:r>
      </w:hyperlink>
    </w:p>
    <w:p w:rsidR="00905D72" w14:paraId="38BFD4BE" w14:textId="4ED5FDFD">
      <w:pPr>
        <w:pStyle w:val="TableofFigures"/>
        <w:tabs>
          <w:tab w:val="right" w:leader="dot" w:pos="9350"/>
        </w:tabs>
        <w:rPr>
          <w:rFonts w:asciiTheme="minorHAnsi" w:eastAsiaTheme="minorEastAsia" w:hAnsiTheme="minorHAnsi" w:cstheme="minorBidi"/>
          <w:noProof/>
          <w:color w:val="auto"/>
        </w:rPr>
      </w:pPr>
      <w:hyperlink w:anchor="_Toc85198670" w:history="1">
        <w:r w:rsidRPr="009166A6">
          <w:rPr>
            <w:rStyle w:val="Hyperlink"/>
            <w:b/>
            <w:noProof/>
          </w:rPr>
          <w:t>Table 14  Total NRC Costs</w:t>
        </w:r>
        <w:r>
          <w:rPr>
            <w:noProof/>
            <w:webHidden/>
          </w:rPr>
          <w:tab/>
        </w:r>
        <w:r>
          <w:rPr>
            <w:noProof/>
            <w:webHidden/>
          </w:rPr>
          <w:fldChar w:fldCharType="begin"/>
        </w:r>
        <w:r>
          <w:rPr>
            <w:noProof/>
            <w:webHidden/>
          </w:rPr>
          <w:instrText xml:space="preserve"> PAGEREF _Toc85198670 \h </w:instrText>
        </w:r>
        <w:r>
          <w:rPr>
            <w:noProof/>
            <w:webHidden/>
          </w:rPr>
          <w:fldChar w:fldCharType="separate"/>
        </w:r>
        <w:r>
          <w:rPr>
            <w:noProof/>
            <w:webHidden/>
          </w:rPr>
          <w:t>21</w:t>
        </w:r>
        <w:r>
          <w:rPr>
            <w:noProof/>
            <w:webHidden/>
          </w:rPr>
          <w:fldChar w:fldCharType="end"/>
        </w:r>
      </w:hyperlink>
    </w:p>
    <w:p w:rsidR="00905D72" w14:paraId="325154EA" w14:textId="34714458">
      <w:pPr>
        <w:pStyle w:val="TableofFigures"/>
        <w:tabs>
          <w:tab w:val="right" w:leader="dot" w:pos="9350"/>
        </w:tabs>
        <w:rPr>
          <w:rFonts w:asciiTheme="minorHAnsi" w:eastAsiaTheme="minorEastAsia" w:hAnsiTheme="minorHAnsi" w:cstheme="minorBidi"/>
          <w:noProof/>
          <w:color w:val="auto"/>
        </w:rPr>
      </w:pPr>
      <w:hyperlink w:anchor="_Toc85198671" w:history="1">
        <w:r w:rsidRPr="009166A6">
          <w:rPr>
            <w:rStyle w:val="Hyperlink"/>
            <w:b/>
            <w:noProof/>
          </w:rPr>
          <w:t>Table 15  Total Costs with the Plume Exposure Pathway EPZ Inside the Site Boundary</w:t>
        </w:r>
        <w:r>
          <w:rPr>
            <w:noProof/>
            <w:webHidden/>
          </w:rPr>
          <w:tab/>
        </w:r>
        <w:r>
          <w:rPr>
            <w:noProof/>
            <w:webHidden/>
          </w:rPr>
          <w:fldChar w:fldCharType="begin"/>
        </w:r>
        <w:r>
          <w:rPr>
            <w:noProof/>
            <w:webHidden/>
          </w:rPr>
          <w:instrText xml:space="preserve"> PAGEREF _Toc85198671 \h </w:instrText>
        </w:r>
        <w:r>
          <w:rPr>
            <w:noProof/>
            <w:webHidden/>
          </w:rPr>
          <w:fldChar w:fldCharType="separate"/>
        </w:r>
        <w:r>
          <w:rPr>
            <w:noProof/>
            <w:webHidden/>
          </w:rPr>
          <w:t>22</w:t>
        </w:r>
        <w:r>
          <w:rPr>
            <w:noProof/>
            <w:webHidden/>
          </w:rPr>
          <w:fldChar w:fldCharType="end"/>
        </w:r>
      </w:hyperlink>
    </w:p>
    <w:p w:rsidR="00905D72" w14:paraId="75337151" w14:textId="16F09E0E">
      <w:pPr>
        <w:pStyle w:val="TableofFigures"/>
        <w:tabs>
          <w:tab w:val="right" w:leader="dot" w:pos="9350"/>
        </w:tabs>
        <w:rPr>
          <w:rFonts w:asciiTheme="minorHAnsi" w:eastAsiaTheme="minorEastAsia" w:hAnsiTheme="minorHAnsi" w:cstheme="minorBidi"/>
          <w:noProof/>
          <w:color w:val="auto"/>
        </w:rPr>
      </w:pPr>
      <w:hyperlink w:anchor="_Toc85198672" w:history="1">
        <w:r w:rsidRPr="009166A6">
          <w:rPr>
            <w:rStyle w:val="Hyperlink"/>
            <w:b/>
            <w:noProof/>
          </w:rPr>
          <w:t>Table 16  Uncertainty Analysis Variables</w:t>
        </w:r>
        <w:r>
          <w:rPr>
            <w:noProof/>
            <w:webHidden/>
          </w:rPr>
          <w:tab/>
        </w:r>
        <w:r>
          <w:rPr>
            <w:noProof/>
            <w:webHidden/>
          </w:rPr>
          <w:fldChar w:fldCharType="begin"/>
        </w:r>
        <w:r>
          <w:rPr>
            <w:noProof/>
            <w:webHidden/>
          </w:rPr>
          <w:instrText xml:space="preserve"> PAGEREF _Toc85198672 \h </w:instrText>
        </w:r>
        <w:r>
          <w:rPr>
            <w:noProof/>
            <w:webHidden/>
          </w:rPr>
          <w:fldChar w:fldCharType="separate"/>
        </w:r>
        <w:r>
          <w:rPr>
            <w:noProof/>
            <w:webHidden/>
          </w:rPr>
          <w:t>23</w:t>
        </w:r>
        <w:r>
          <w:rPr>
            <w:noProof/>
            <w:webHidden/>
          </w:rPr>
          <w:fldChar w:fldCharType="end"/>
        </w:r>
      </w:hyperlink>
    </w:p>
    <w:p w:rsidR="00905D72" w14:paraId="518F283C" w14:textId="478096F5">
      <w:pPr>
        <w:pStyle w:val="TableofFigures"/>
        <w:tabs>
          <w:tab w:val="right" w:leader="dot" w:pos="9350"/>
        </w:tabs>
        <w:rPr>
          <w:rFonts w:asciiTheme="minorHAnsi" w:eastAsiaTheme="minorEastAsia" w:hAnsiTheme="minorHAnsi" w:cstheme="minorBidi"/>
          <w:noProof/>
          <w:color w:val="auto"/>
        </w:rPr>
      </w:pPr>
      <w:hyperlink w:anchor="_Toc85198673" w:history="1">
        <w:r w:rsidRPr="009166A6">
          <w:rPr>
            <w:rStyle w:val="Hyperlink"/>
            <w:b/>
            <w:noProof/>
          </w:rPr>
          <w:t>Table 17  Uncertainty Results Descriptive Statistics—7</w:t>
        </w:r>
        <w:r w:rsidRPr="009166A6">
          <w:rPr>
            <w:rStyle w:val="Hyperlink"/>
            <w:b/>
            <w:noProof/>
          </w:rPr>
          <w:noBreakHyphen/>
          <w:t>Percent NPV</w:t>
        </w:r>
        <w:r>
          <w:rPr>
            <w:noProof/>
            <w:webHidden/>
          </w:rPr>
          <w:tab/>
        </w:r>
        <w:r>
          <w:rPr>
            <w:noProof/>
            <w:webHidden/>
          </w:rPr>
          <w:fldChar w:fldCharType="begin"/>
        </w:r>
        <w:r>
          <w:rPr>
            <w:noProof/>
            <w:webHidden/>
          </w:rPr>
          <w:instrText xml:space="preserve"> PAGEREF _Toc85198673 \h </w:instrText>
        </w:r>
        <w:r>
          <w:rPr>
            <w:noProof/>
            <w:webHidden/>
          </w:rPr>
          <w:fldChar w:fldCharType="separate"/>
        </w:r>
        <w:r>
          <w:rPr>
            <w:noProof/>
            <w:webHidden/>
          </w:rPr>
          <w:t>26</w:t>
        </w:r>
        <w:r>
          <w:rPr>
            <w:noProof/>
            <w:webHidden/>
          </w:rPr>
          <w:fldChar w:fldCharType="end"/>
        </w:r>
      </w:hyperlink>
    </w:p>
    <w:p w:rsidR="00905D72" w14:paraId="7C0770B7" w14:textId="66ADC6B5">
      <w:pPr>
        <w:pStyle w:val="TableofFigures"/>
        <w:tabs>
          <w:tab w:val="right" w:leader="dot" w:pos="9350"/>
        </w:tabs>
        <w:rPr>
          <w:rFonts w:asciiTheme="minorHAnsi" w:eastAsiaTheme="minorEastAsia" w:hAnsiTheme="minorHAnsi" w:cstheme="minorBidi"/>
          <w:noProof/>
          <w:color w:val="auto"/>
        </w:rPr>
      </w:pPr>
      <w:hyperlink w:anchor="_Toc85198674" w:history="1">
        <w:r w:rsidRPr="009166A6">
          <w:rPr>
            <w:rStyle w:val="Hyperlink"/>
            <w:b/>
            <w:noProof/>
          </w:rPr>
          <w:t>Table 18  Specific CRGR Regulatory Analysis Information Requirements</w:t>
        </w:r>
        <w:r>
          <w:rPr>
            <w:noProof/>
            <w:webHidden/>
          </w:rPr>
          <w:tab/>
        </w:r>
        <w:r>
          <w:rPr>
            <w:noProof/>
            <w:webHidden/>
          </w:rPr>
          <w:fldChar w:fldCharType="begin"/>
        </w:r>
        <w:r>
          <w:rPr>
            <w:noProof/>
            <w:webHidden/>
          </w:rPr>
          <w:instrText xml:space="preserve"> PAGEREF _Toc85198674 \h </w:instrText>
        </w:r>
        <w:r>
          <w:rPr>
            <w:noProof/>
            <w:webHidden/>
          </w:rPr>
          <w:fldChar w:fldCharType="separate"/>
        </w:r>
        <w:r>
          <w:rPr>
            <w:noProof/>
            <w:webHidden/>
          </w:rPr>
          <w:t>29</w:t>
        </w:r>
        <w:r>
          <w:rPr>
            <w:noProof/>
            <w:webHidden/>
          </w:rPr>
          <w:fldChar w:fldCharType="end"/>
        </w:r>
      </w:hyperlink>
    </w:p>
    <w:p w:rsidR="00905D72" w14:paraId="447C2467" w14:textId="5CAF76D5">
      <w:pPr>
        <w:pStyle w:val="TableofFigures"/>
        <w:tabs>
          <w:tab w:val="right" w:leader="dot" w:pos="9350"/>
        </w:tabs>
        <w:rPr>
          <w:rFonts w:asciiTheme="minorHAnsi" w:eastAsiaTheme="minorEastAsia" w:hAnsiTheme="minorHAnsi" w:cstheme="minorBidi"/>
          <w:noProof/>
          <w:color w:val="auto"/>
        </w:rPr>
      </w:pPr>
      <w:hyperlink w:anchor="_Toc85198675" w:history="1">
        <w:r w:rsidRPr="009166A6">
          <w:rPr>
            <w:rStyle w:val="Hyperlink"/>
            <w:b/>
            <w:noProof/>
          </w:rPr>
          <w:t>Table 19  Summary of Totals</w:t>
        </w:r>
        <w:r>
          <w:rPr>
            <w:noProof/>
            <w:webHidden/>
          </w:rPr>
          <w:tab/>
        </w:r>
        <w:r>
          <w:rPr>
            <w:noProof/>
            <w:webHidden/>
          </w:rPr>
          <w:fldChar w:fldCharType="begin"/>
        </w:r>
        <w:r>
          <w:rPr>
            <w:noProof/>
            <w:webHidden/>
          </w:rPr>
          <w:instrText xml:space="preserve"> PAGEREF _Toc85198675 \h </w:instrText>
        </w:r>
        <w:r>
          <w:rPr>
            <w:noProof/>
            <w:webHidden/>
          </w:rPr>
          <w:fldChar w:fldCharType="separate"/>
        </w:r>
        <w:r>
          <w:rPr>
            <w:noProof/>
            <w:webHidden/>
          </w:rPr>
          <w:t>30</w:t>
        </w:r>
        <w:r>
          <w:rPr>
            <w:noProof/>
            <w:webHidden/>
          </w:rPr>
          <w:fldChar w:fldCharType="end"/>
        </w:r>
      </w:hyperlink>
    </w:p>
    <w:p w:rsidR="009128E1" w:rsidRPr="00FB3EE9" w:rsidP="008440FA" w14:paraId="3AE7CEB1" w14:textId="698D4A13">
      <w:pPr>
        <w:tabs>
          <w:tab w:val="right" w:pos="9360"/>
        </w:tabs>
        <w:spacing w:after="120" w:line="240" w:lineRule="auto"/>
        <w:ind w:left="1440" w:hanging="1440"/>
        <w:rPr>
          <w:sz w:val="24"/>
        </w:rPr>
      </w:pPr>
      <w:r w:rsidRPr="00FB3EE9">
        <w:fldChar w:fldCharType="end"/>
      </w:r>
      <w:r w:rsidRPr="00323360">
        <w:br w:type="page"/>
      </w:r>
    </w:p>
    <w:p w:rsidR="009128E1" w:rsidRPr="001A516E" w:rsidP="008440FA" w14:paraId="69F128BA" w14:textId="5DEE3D2D">
      <w:pPr>
        <w:pStyle w:val="Heading1"/>
        <w:spacing w:line="240" w:lineRule="auto"/>
      </w:pPr>
      <w:bookmarkStart w:id="20" w:name="_Toc456098202"/>
      <w:bookmarkStart w:id="21" w:name="_Toc457827215"/>
      <w:bookmarkStart w:id="22" w:name="_Toc85198582"/>
      <w:r w:rsidRPr="001A516E">
        <w:t>ABBREVIATIONS</w:t>
      </w:r>
      <w:r>
        <w:t xml:space="preserve"> AND ACRONYMS</w:t>
      </w:r>
      <w:bookmarkEnd w:id="20"/>
      <w:bookmarkEnd w:id="21"/>
      <w:bookmarkEnd w:id="22"/>
    </w:p>
    <w:p w:rsidR="009128E1" w:rsidRPr="001A516E" w:rsidP="008440FA" w14:paraId="63B44BE6" w14:textId="77777777">
      <w:pPr>
        <w:spacing w:line="240" w:lineRule="auto"/>
      </w:pPr>
    </w:p>
    <w:p w:rsidR="009128E1" w:rsidP="008440FA" w14:paraId="5B7F5602" w14:textId="77DD6ED0">
      <w:pPr>
        <w:spacing w:line="240" w:lineRule="auto"/>
      </w:pPr>
      <w:r>
        <w:t>ADAMS</w:t>
      </w:r>
      <w:r>
        <w:tab/>
        <w:t>Agencywide Documents Access and Management System</w:t>
      </w:r>
    </w:p>
    <w:p w:rsidR="009128E1" w:rsidRPr="006647C3" w:rsidP="008440FA" w14:paraId="3F13670A" w14:textId="2367223B">
      <w:pPr>
        <w:spacing w:line="240" w:lineRule="auto"/>
      </w:pPr>
      <w:r w:rsidRPr="0008200F">
        <w:t>AEA</w:t>
      </w:r>
      <w:r w:rsidRPr="0008200F">
        <w:tab/>
      </w:r>
      <w:r w:rsidR="00907658">
        <w:tab/>
      </w:r>
      <w:r w:rsidRPr="0008200F">
        <w:t>Atomic Energy Act</w:t>
      </w:r>
      <w:r w:rsidR="009F4DE1">
        <w:t xml:space="preserve"> of 1954, as </w:t>
      </w:r>
      <w:r w:rsidR="009F4DE1">
        <w:t>amended</w:t>
      </w:r>
    </w:p>
    <w:p w:rsidR="009128E1" w:rsidRPr="00907658" w:rsidP="008440FA" w14:paraId="4190361D" w14:textId="4698E4E9">
      <w:pPr>
        <w:spacing w:line="240" w:lineRule="auto"/>
        <w:rPr>
          <w:lang w:val="en"/>
        </w:rPr>
      </w:pPr>
      <w:r w:rsidRPr="00907658">
        <w:rPr>
          <w:lang w:val="en"/>
        </w:rPr>
        <w:t>ANS</w:t>
      </w:r>
      <w:r w:rsidRPr="00907658">
        <w:rPr>
          <w:lang w:val="en"/>
        </w:rPr>
        <w:tab/>
      </w:r>
      <w:r w:rsidR="00907658">
        <w:rPr>
          <w:lang w:val="en"/>
        </w:rPr>
        <w:tab/>
      </w:r>
      <w:r w:rsidRPr="00907658">
        <w:rPr>
          <w:lang w:val="en"/>
        </w:rPr>
        <w:t>American Nuclear Society</w:t>
      </w:r>
    </w:p>
    <w:p w:rsidR="003A5314" w:rsidRPr="00907658" w:rsidP="008440FA" w14:paraId="3836B563" w14:textId="72929050">
      <w:pPr>
        <w:spacing w:line="240" w:lineRule="auto"/>
        <w:rPr>
          <w:lang w:val="en"/>
        </w:rPr>
      </w:pPr>
      <w:r w:rsidRPr="00907658">
        <w:rPr>
          <w:lang w:val="en"/>
        </w:rPr>
        <w:t>ANSI</w:t>
      </w:r>
      <w:r w:rsidRPr="00907658">
        <w:rPr>
          <w:lang w:val="en"/>
        </w:rPr>
        <w:tab/>
      </w:r>
      <w:r w:rsidR="00907658">
        <w:rPr>
          <w:lang w:val="en"/>
        </w:rPr>
        <w:tab/>
      </w:r>
      <w:r w:rsidRPr="00907658">
        <w:rPr>
          <w:lang w:val="en"/>
        </w:rPr>
        <w:t xml:space="preserve">American National Standards Institute </w:t>
      </w:r>
    </w:p>
    <w:p w:rsidR="009128E1" w:rsidRPr="00907658" w:rsidP="008440FA" w14:paraId="5478D11F" w14:textId="7BB74CD0">
      <w:pPr>
        <w:spacing w:line="240" w:lineRule="auto"/>
        <w:rPr>
          <w:lang w:val="en"/>
        </w:rPr>
      </w:pPr>
      <w:r w:rsidRPr="00907658">
        <w:rPr>
          <w:lang w:val="en"/>
        </w:rPr>
        <w:t>BLS</w:t>
      </w:r>
      <w:r w:rsidRPr="00907658">
        <w:rPr>
          <w:lang w:val="en"/>
        </w:rPr>
        <w:tab/>
      </w:r>
      <w:r w:rsidR="00907658">
        <w:rPr>
          <w:lang w:val="en"/>
        </w:rPr>
        <w:tab/>
      </w:r>
      <w:r w:rsidRPr="00907658">
        <w:rPr>
          <w:lang w:val="en"/>
        </w:rPr>
        <w:t>Bureau of Labor Statistics</w:t>
      </w:r>
      <w:r w:rsidRPr="00907658" w:rsidR="001266C0">
        <w:rPr>
          <w:lang w:val="en"/>
        </w:rPr>
        <w:t xml:space="preserve"> (U.S. Department of Labor)</w:t>
      </w:r>
    </w:p>
    <w:p w:rsidR="007F225C" w:rsidP="008440FA" w14:paraId="63769152" w14:textId="1A44CBC8">
      <w:pPr>
        <w:spacing w:line="240" w:lineRule="auto"/>
        <w:ind w:left="1440" w:hanging="1440"/>
        <w:rPr>
          <w:lang w:val="en"/>
        </w:rPr>
      </w:pPr>
      <w:r>
        <w:rPr>
          <w:lang w:val="en"/>
        </w:rPr>
        <w:t>CANDU</w:t>
      </w:r>
      <w:r>
        <w:rPr>
          <w:lang w:val="en"/>
        </w:rPr>
        <w:tab/>
        <w:t>Canada deuterium uranium</w:t>
      </w:r>
      <w:r w:rsidR="00907658">
        <w:rPr>
          <w:lang w:val="en"/>
        </w:rPr>
        <w:t xml:space="preserve"> (</w:t>
      </w:r>
      <w:r>
        <w:rPr>
          <w:lang w:val="en"/>
        </w:rPr>
        <w:t>a Canadian pressurized heavy</w:t>
      </w:r>
      <w:r w:rsidR="00323360">
        <w:rPr>
          <w:lang w:val="en"/>
        </w:rPr>
        <w:t>-</w:t>
      </w:r>
      <w:r>
        <w:rPr>
          <w:lang w:val="en"/>
        </w:rPr>
        <w:t>water reactor</w:t>
      </w:r>
      <w:r w:rsidR="00907658">
        <w:rPr>
          <w:lang w:val="en"/>
        </w:rPr>
        <w:t>)</w:t>
      </w:r>
    </w:p>
    <w:p w:rsidR="009128E1" w:rsidP="008440FA" w14:paraId="00E72B29" w14:textId="00BD709B">
      <w:pPr>
        <w:spacing w:line="240" w:lineRule="auto"/>
        <w:rPr>
          <w:i/>
        </w:rPr>
      </w:pPr>
      <w:r w:rsidRPr="00907658">
        <w:rPr>
          <w:lang w:val="en"/>
        </w:rPr>
        <w:t>CFR</w:t>
      </w:r>
      <w:r w:rsidRPr="00907658">
        <w:rPr>
          <w:lang w:val="en"/>
        </w:rPr>
        <w:tab/>
      </w:r>
      <w:r w:rsidR="00907658">
        <w:rPr>
          <w:lang w:val="en"/>
        </w:rPr>
        <w:tab/>
      </w:r>
      <w:r w:rsidRPr="00581806">
        <w:rPr>
          <w:i/>
        </w:rPr>
        <w:t>Code of Federal Regulations</w:t>
      </w:r>
    </w:p>
    <w:p w:rsidR="009B7901" w:rsidRPr="00907658" w:rsidP="008440FA" w14:paraId="756074E9" w14:textId="7A8C3FC6">
      <w:pPr>
        <w:spacing w:line="240" w:lineRule="auto"/>
        <w:rPr>
          <w:lang w:val="en"/>
        </w:rPr>
      </w:pPr>
      <w:r>
        <w:rPr>
          <w:lang w:val="en"/>
        </w:rPr>
        <w:t>COL</w:t>
      </w:r>
      <w:r>
        <w:rPr>
          <w:lang w:val="en"/>
        </w:rPr>
        <w:tab/>
      </w:r>
      <w:r>
        <w:rPr>
          <w:lang w:val="en"/>
        </w:rPr>
        <w:tab/>
        <w:t>combined license</w:t>
      </w:r>
    </w:p>
    <w:p w:rsidR="009128E1" w:rsidP="008440FA" w14:paraId="311576C4" w14:textId="64D837ED">
      <w:pPr>
        <w:spacing w:line="240" w:lineRule="auto"/>
      </w:pPr>
      <w:r>
        <w:t>CPI-U</w:t>
      </w:r>
      <w:r>
        <w:tab/>
      </w:r>
      <w:r w:rsidR="00907658">
        <w:tab/>
      </w:r>
      <w:r w:rsidR="00C823CB">
        <w:t>c</w:t>
      </w:r>
      <w:r>
        <w:t>onsumer price index for all urban consumers</w:t>
      </w:r>
    </w:p>
    <w:p w:rsidR="009128E1" w:rsidRPr="00711891" w:rsidP="008440FA" w14:paraId="1F7A0669" w14:textId="6E4DE4FA">
      <w:pPr>
        <w:spacing w:line="240" w:lineRule="auto"/>
      </w:pPr>
      <w:r>
        <w:t>CRGR</w:t>
      </w:r>
      <w:r>
        <w:tab/>
      </w:r>
      <w:r w:rsidR="00907658">
        <w:tab/>
      </w:r>
      <w:r w:rsidRPr="00217D07">
        <w:t>Committee to Review Generic Requirements</w:t>
      </w:r>
    </w:p>
    <w:p w:rsidR="009128E1" w:rsidP="008440FA" w14:paraId="2754AF61" w14:textId="035BA4EE">
      <w:pPr>
        <w:spacing w:line="240" w:lineRule="auto"/>
      </w:pPr>
      <w:r w:rsidRPr="00711891">
        <w:t>DBA</w:t>
      </w:r>
      <w:r w:rsidRPr="00711891">
        <w:tab/>
      </w:r>
      <w:r w:rsidR="00907658">
        <w:tab/>
        <w:t>d</w:t>
      </w:r>
      <w:r w:rsidRPr="00711891">
        <w:t>esign</w:t>
      </w:r>
      <w:r w:rsidR="00907658">
        <w:noBreakHyphen/>
      </w:r>
      <w:r w:rsidRPr="00711891">
        <w:t>basis accident</w:t>
      </w:r>
    </w:p>
    <w:p w:rsidR="009128E1" w:rsidRPr="00711891" w:rsidP="008440FA" w14:paraId="21ABC7EA" w14:textId="0654FEFD">
      <w:pPr>
        <w:spacing w:line="240" w:lineRule="auto"/>
      </w:pPr>
      <w:r w:rsidRPr="00711891">
        <w:t>EP</w:t>
      </w:r>
      <w:r w:rsidRPr="00711891">
        <w:tab/>
      </w:r>
      <w:r w:rsidR="00907658">
        <w:tab/>
        <w:t>e</w:t>
      </w:r>
      <w:r w:rsidRPr="00711891">
        <w:t>mergency preparedness</w:t>
      </w:r>
    </w:p>
    <w:p w:rsidR="009128E1" w:rsidRPr="00711891" w:rsidP="008440FA" w14:paraId="562118C6" w14:textId="298602D3">
      <w:pPr>
        <w:spacing w:line="240" w:lineRule="auto"/>
      </w:pPr>
      <w:r w:rsidRPr="00711891">
        <w:t>EPA</w:t>
      </w:r>
      <w:r w:rsidRPr="00711891">
        <w:tab/>
      </w:r>
      <w:r w:rsidR="00907658">
        <w:tab/>
      </w:r>
      <w:r w:rsidRPr="00711891">
        <w:t>U.S. Environmental Protection Agency</w:t>
      </w:r>
    </w:p>
    <w:p w:rsidR="009128E1" w:rsidRPr="00711891" w:rsidP="008440FA" w14:paraId="4EC049AF" w14:textId="05C6D90D">
      <w:pPr>
        <w:spacing w:line="240" w:lineRule="auto"/>
      </w:pPr>
      <w:r w:rsidRPr="00711891">
        <w:t>EPZ</w:t>
      </w:r>
      <w:r w:rsidRPr="00711891">
        <w:tab/>
      </w:r>
      <w:r w:rsidR="00907658">
        <w:tab/>
        <w:t>e</w:t>
      </w:r>
      <w:r w:rsidRPr="00711891">
        <w:t>mergency planning zone</w:t>
      </w:r>
    </w:p>
    <w:p w:rsidR="009128E1" w:rsidRPr="00711891" w:rsidP="008440FA" w14:paraId="3338FC03" w14:textId="77777777">
      <w:pPr>
        <w:spacing w:line="240" w:lineRule="auto"/>
      </w:pPr>
      <w:r w:rsidRPr="00711891">
        <w:t>FEMA</w:t>
      </w:r>
      <w:r w:rsidRPr="00711891">
        <w:tab/>
      </w:r>
      <w:r w:rsidR="00907658">
        <w:tab/>
      </w:r>
      <w:r w:rsidRPr="00711891">
        <w:t>Federal Emergency Management Agency</w:t>
      </w:r>
    </w:p>
    <w:p w:rsidR="001F581E" w:rsidRPr="00744EAB" w:rsidP="008440FA" w14:paraId="5568B56C" w14:textId="452839AA">
      <w:pPr>
        <w:spacing w:line="240" w:lineRule="auto"/>
      </w:pPr>
      <w:r>
        <w:t>FR</w:t>
      </w:r>
      <w:r>
        <w:tab/>
      </w:r>
      <w:r>
        <w:tab/>
      </w:r>
      <w:r>
        <w:rPr>
          <w:i/>
          <w:iCs/>
        </w:rPr>
        <w:t>Federal Register</w:t>
      </w:r>
    </w:p>
    <w:p w:rsidR="00B56E01" w:rsidP="008440FA" w14:paraId="69CC439F" w14:textId="24B03E13">
      <w:pPr>
        <w:spacing w:line="240" w:lineRule="auto"/>
      </w:pPr>
      <w:r>
        <w:t>IPZ</w:t>
      </w:r>
      <w:r>
        <w:tab/>
      </w:r>
      <w:r>
        <w:tab/>
        <w:t xml:space="preserve">Ingestion </w:t>
      </w:r>
      <w:r w:rsidR="007C4E0A">
        <w:t>p</w:t>
      </w:r>
      <w:r>
        <w:t xml:space="preserve">athway </w:t>
      </w:r>
      <w:r w:rsidR="007C4E0A">
        <w:t>e</w:t>
      </w:r>
      <w:r>
        <w:t xml:space="preserve">mergency </w:t>
      </w:r>
      <w:r w:rsidR="007C4E0A">
        <w:t>p</w:t>
      </w:r>
      <w:r>
        <w:t xml:space="preserve">lanning </w:t>
      </w:r>
      <w:r w:rsidR="007C4E0A">
        <w:t>z</w:t>
      </w:r>
      <w:r>
        <w:t>one</w:t>
      </w:r>
    </w:p>
    <w:p w:rsidR="009128E1" w:rsidP="008440FA" w14:paraId="6B1B5E81" w14:textId="4CBC2B0C">
      <w:pPr>
        <w:spacing w:line="240" w:lineRule="auto"/>
      </w:pPr>
      <w:r>
        <w:t>km</w:t>
      </w:r>
      <w:r>
        <w:tab/>
      </w:r>
      <w:r w:rsidR="00907658">
        <w:tab/>
        <w:t>k</w:t>
      </w:r>
      <w:r>
        <w:t>ilometer or 1,000 meters</w:t>
      </w:r>
    </w:p>
    <w:p w:rsidR="00431FC3" w:rsidP="008440FA" w14:paraId="69321E45" w14:textId="5941432E">
      <w:pPr>
        <w:spacing w:line="240" w:lineRule="auto"/>
      </w:pPr>
      <w:r>
        <w:t>LAR</w:t>
      </w:r>
      <w:r>
        <w:tab/>
      </w:r>
      <w:r w:rsidR="00907658">
        <w:tab/>
      </w:r>
      <w:r>
        <w:t>license amendment request</w:t>
      </w:r>
    </w:p>
    <w:p w:rsidR="009128E1" w:rsidP="008440FA" w14:paraId="31045049" w14:textId="6C5B57AD">
      <w:pPr>
        <w:spacing w:line="240" w:lineRule="auto"/>
      </w:pPr>
      <w:r w:rsidRPr="00711891">
        <w:t>LWR</w:t>
      </w:r>
      <w:r w:rsidRPr="00711891">
        <w:tab/>
      </w:r>
      <w:r w:rsidR="00907658">
        <w:tab/>
        <w:t>l</w:t>
      </w:r>
      <w:r w:rsidRPr="00711891">
        <w:t>ight-water reactor</w:t>
      </w:r>
    </w:p>
    <w:p w:rsidR="009128E1" w:rsidP="008440FA" w14:paraId="0D88D8F0" w14:textId="08FEA5D1">
      <w:pPr>
        <w:spacing w:line="240" w:lineRule="auto"/>
        <w:ind w:left="1440" w:hanging="1440"/>
      </w:pPr>
      <w:r>
        <w:t>M</w:t>
      </w:r>
      <w:r w:rsidRPr="00711891">
        <w:t>HTGR</w:t>
      </w:r>
      <w:r w:rsidRPr="00711891">
        <w:tab/>
      </w:r>
      <w:r w:rsidR="00907658">
        <w:t>m</w:t>
      </w:r>
      <w:r>
        <w:t>odular h</w:t>
      </w:r>
      <w:r w:rsidRPr="00711891">
        <w:t>igh-temperature</w:t>
      </w:r>
      <w:r w:rsidR="00601BBD">
        <w:t>,</w:t>
      </w:r>
      <w:r w:rsidRPr="00711891">
        <w:t xml:space="preserve"> gas-cooled reactor</w:t>
      </w:r>
      <w:r w:rsidR="00907658">
        <w:t xml:space="preserve"> (</w:t>
      </w:r>
      <w:r>
        <w:t>an advanced nuclear reactor concept</w:t>
      </w:r>
      <w:r w:rsidR="00907658">
        <w:t>)</w:t>
      </w:r>
    </w:p>
    <w:p w:rsidR="009128E1" w:rsidP="008440FA" w14:paraId="06E80F30" w14:textId="6ABC0472">
      <w:pPr>
        <w:tabs>
          <w:tab w:val="left" w:pos="1440"/>
        </w:tabs>
        <w:spacing w:line="240" w:lineRule="auto"/>
        <w:ind w:left="1440" w:hanging="1440"/>
      </w:pPr>
      <w:r>
        <w:t>mSv</w:t>
      </w:r>
      <w:r>
        <w:tab/>
      </w:r>
      <w:r w:rsidR="00617F11">
        <w:t>m</w:t>
      </w:r>
      <w:r>
        <w:t xml:space="preserve">illisievert, 0.001 of a </w:t>
      </w:r>
      <w:r w:rsidR="00617F11">
        <w:t>s</w:t>
      </w:r>
      <w:r>
        <w:t>ievert</w:t>
      </w:r>
      <w:r w:rsidR="00617F11">
        <w:t xml:space="preserve"> </w:t>
      </w:r>
      <w:r w:rsidR="00907658">
        <w:t>(</w:t>
      </w:r>
      <w:r w:rsidR="00617F11">
        <w:t>the international system of unit of dose equivalent or the biological effect of ionizing radiation</w:t>
      </w:r>
      <w:r w:rsidR="00907658">
        <w:t>)</w:t>
      </w:r>
    </w:p>
    <w:p w:rsidR="009128E1" w:rsidP="008440FA" w14:paraId="0F9B6B8C" w14:textId="037B92D1">
      <w:pPr>
        <w:spacing w:line="240" w:lineRule="auto"/>
      </w:pPr>
      <w:r>
        <w:t>MWt</w:t>
      </w:r>
      <w:r>
        <w:tab/>
      </w:r>
      <w:r w:rsidR="00907658">
        <w:tab/>
      </w:r>
      <w:r w:rsidR="0075004E">
        <w:t>m</w:t>
      </w:r>
      <w:r>
        <w:t>egawatt thermal</w:t>
      </w:r>
    </w:p>
    <w:p w:rsidR="009128E1" w:rsidP="008440FA" w14:paraId="4C5AB4F4" w14:textId="672E7577">
      <w:pPr>
        <w:spacing w:line="240" w:lineRule="auto"/>
      </w:pPr>
      <w:r>
        <w:t>n</w:t>
      </w:r>
      <w:r w:rsidR="003B5814">
        <w:t>on-</w:t>
      </w:r>
      <w:r w:rsidRPr="00711891">
        <w:t>LWR</w:t>
      </w:r>
      <w:r w:rsidRPr="00711891">
        <w:tab/>
      </w:r>
      <w:r>
        <w:t>n</w:t>
      </w:r>
      <w:r w:rsidRPr="00711891">
        <w:t>on-light-water reactor</w:t>
      </w:r>
      <w:r w:rsidR="0075004E">
        <w:t xml:space="preserve"> (</w:t>
      </w:r>
      <w:r w:rsidRPr="005F751C" w:rsidR="003B5814">
        <w:t>a nuclear power reactor using a coolant other than water</w:t>
      </w:r>
      <w:r w:rsidR="0075004E">
        <w:t>)</w:t>
      </w:r>
    </w:p>
    <w:p w:rsidR="003027FA" w:rsidRPr="00711891" w:rsidP="008440FA" w14:paraId="044F8220" w14:textId="12C2EB8D">
      <w:pPr>
        <w:spacing w:line="240" w:lineRule="auto"/>
      </w:pPr>
      <w:r>
        <w:t>NPUF</w:t>
      </w:r>
      <w:r>
        <w:tab/>
      </w:r>
      <w:r w:rsidR="00907658">
        <w:tab/>
        <w:t>n</w:t>
      </w:r>
      <w:r>
        <w:t>on</w:t>
      </w:r>
      <w:r w:rsidR="00B4742A">
        <w:t>-</w:t>
      </w:r>
      <w:r>
        <w:t xml:space="preserve">power </w:t>
      </w:r>
      <w:r w:rsidR="00152FE4">
        <w:t xml:space="preserve">production or </w:t>
      </w:r>
      <w:r>
        <w:t>utilization facilit</w:t>
      </w:r>
      <w:r w:rsidR="00456EE7">
        <w:t>y</w:t>
      </w:r>
    </w:p>
    <w:p w:rsidR="009128E1" w:rsidRPr="00711891" w:rsidP="008440FA" w14:paraId="4EDCD84B" w14:textId="05CBDB06">
      <w:pPr>
        <w:spacing w:line="240" w:lineRule="auto"/>
      </w:pPr>
      <w:r w:rsidRPr="00711891">
        <w:t>NPV</w:t>
      </w:r>
      <w:r w:rsidRPr="00711891">
        <w:tab/>
      </w:r>
      <w:r w:rsidR="00907658">
        <w:tab/>
      </w:r>
      <w:r w:rsidR="0075004E">
        <w:t>n</w:t>
      </w:r>
      <w:r w:rsidRPr="00711891">
        <w:t>et present value</w:t>
      </w:r>
    </w:p>
    <w:p w:rsidR="009128E1" w:rsidRPr="00711891" w:rsidP="008440FA" w14:paraId="0962A56B" w14:textId="1181936C">
      <w:pPr>
        <w:spacing w:line="240" w:lineRule="auto"/>
      </w:pPr>
      <w:r w:rsidRPr="00711891">
        <w:t>NRC</w:t>
      </w:r>
      <w:r w:rsidRPr="00711891">
        <w:tab/>
      </w:r>
      <w:r w:rsidR="00907658">
        <w:tab/>
      </w:r>
      <w:r w:rsidRPr="00711891">
        <w:t>U.S. Nuclear Regulatory Commission</w:t>
      </w:r>
    </w:p>
    <w:p w:rsidR="009128E1" w:rsidP="008440FA" w14:paraId="2870AA20" w14:textId="789E19D1">
      <w:pPr>
        <w:spacing w:line="240" w:lineRule="auto"/>
      </w:pPr>
      <w:r>
        <w:t>NUREG</w:t>
      </w:r>
      <w:r>
        <w:tab/>
      </w:r>
      <w:r w:rsidR="0075004E">
        <w:t>an NRC</w:t>
      </w:r>
      <w:r>
        <w:t xml:space="preserve"> technical report designation</w:t>
      </w:r>
    </w:p>
    <w:p w:rsidR="009128E1" w:rsidP="008440FA" w14:paraId="053B6692" w14:textId="6451604F">
      <w:pPr>
        <w:spacing w:line="240" w:lineRule="auto"/>
      </w:pPr>
      <w:r>
        <w:t>OL</w:t>
      </w:r>
      <w:r>
        <w:tab/>
      </w:r>
      <w:r w:rsidR="00907658">
        <w:tab/>
      </w:r>
      <w:r w:rsidR="0075004E">
        <w:t>o</w:t>
      </w:r>
      <w:r>
        <w:t>perating license</w:t>
      </w:r>
    </w:p>
    <w:p w:rsidR="009128E1" w:rsidP="008440FA" w14:paraId="52DA9374" w14:textId="1830427A">
      <w:pPr>
        <w:spacing w:line="240" w:lineRule="auto"/>
      </w:pPr>
      <w:r>
        <w:t>OMB</w:t>
      </w:r>
      <w:r>
        <w:tab/>
      </w:r>
      <w:r w:rsidR="00907658">
        <w:tab/>
      </w:r>
      <w:r>
        <w:t>U.S. Office of Management and Budget</w:t>
      </w:r>
    </w:p>
    <w:p w:rsidR="00864121" w:rsidP="008440FA" w14:paraId="79111E59" w14:textId="20E89A6E">
      <w:pPr>
        <w:spacing w:line="240" w:lineRule="auto"/>
      </w:pPr>
      <w:r>
        <w:t>ONT</w:t>
      </w:r>
      <w:r>
        <w:tab/>
      </w:r>
      <w:r w:rsidR="00907658">
        <w:tab/>
      </w:r>
      <w:r w:rsidR="0075004E">
        <w:t>o</w:t>
      </w:r>
      <w:r>
        <w:t>ther new technology</w:t>
      </w:r>
    </w:p>
    <w:p w:rsidR="009128E1" w:rsidRPr="00711891" w:rsidP="008440FA" w14:paraId="2657AD9F" w14:textId="478155CE">
      <w:pPr>
        <w:spacing w:line="240" w:lineRule="auto"/>
      </w:pPr>
      <w:r w:rsidRPr="00711891">
        <w:t>ORO</w:t>
      </w:r>
      <w:r w:rsidRPr="00711891">
        <w:tab/>
      </w:r>
      <w:r w:rsidR="00907658">
        <w:tab/>
      </w:r>
      <w:r w:rsidR="0075004E">
        <w:t>o</w:t>
      </w:r>
      <w:r w:rsidRPr="00711891">
        <w:t>ffsite response organization</w:t>
      </w:r>
    </w:p>
    <w:p w:rsidR="009128E1" w:rsidRPr="005C20B0" w:rsidP="008440FA" w14:paraId="0CAC767F" w14:textId="446884CB">
      <w:pPr>
        <w:spacing w:line="240" w:lineRule="auto"/>
        <w:rPr>
          <w:lang w:val="fr-FR"/>
        </w:rPr>
      </w:pPr>
      <w:r w:rsidRPr="005C20B0">
        <w:rPr>
          <w:lang w:val="fr-FR"/>
        </w:rPr>
        <w:t>PAG</w:t>
      </w:r>
      <w:r w:rsidRPr="005C20B0">
        <w:rPr>
          <w:lang w:val="fr-FR"/>
        </w:rPr>
        <w:tab/>
      </w:r>
      <w:r w:rsidRPr="005C20B0" w:rsidR="00907658">
        <w:rPr>
          <w:lang w:val="fr-FR"/>
        </w:rPr>
        <w:tab/>
      </w:r>
      <w:r w:rsidRPr="005C20B0" w:rsidR="0075004E">
        <w:rPr>
          <w:lang w:val="fr-FR"/>
        </w:rPr>
        <w:t>p</w:t>
      </w:r>
      <w:r w:rsidRPr="005C20B0">
        <w:rPr>
          <w:lang w:val="fr-FR"/>
        </w:rPr>
        <w:t>rotective action guide</w:t>
      </w:r>
    </w:p>
    <w:p w:rsidR="009128E1" w:rsidP="008440FA" w14:paraId="428AD103" w14:textId="78BB390F">
      <w:pPr>
        <w:spacing w:line="240" w:lineRule="auto"/>
      </w:pPr>
      <w:r>
        <w:t>PERT</w:t>
      </w:r>
      <w:r>
        <w:tab/>
      </w:r>
      <w:r w:rsidR="00907658">
        <w:tab/>
      </w:r>
      <w:r w:rsidR="0075004E">
        <w:t>p</w:t>
      </w:r>
      <w:r>
        <w:t>rogram evaluation and review technique</w:t>
      </w:r>
    </w:p>
    <w:p w:rsidR="008845B8" w:rsidP="008440FA" w14:paraId="11554ADD" w14:textId="3B559C7D">
      <w:pPr>
        <w:spacing w:line="240" w:lineRule="auto"/>
        <w:ind w:left="1440" w:hanging="1440"/>
      </w:pPr>
      <w:r>
        <w:t>PIUS</w:t>
      </w:r>
      <w:r>
        <w:tab/>
      </w:r>
      <w:r w:rsidR="0075004E">
        <w:t>p</w:t>
      </w:r>
      <w:r>
        <w:t>rocess inherent ultimate safety</w:t>
      </w:r>
      <w:r w:rsidR="0075004E">
        <w:t xml:space="preserve"> (</w:t>
      </w:r>
      <w:r>
        <w:t>a Swedish design concept for a light-water reactor</w:t>
      </w:r>
      <w:r w:rsidR="008700D2">
        <w:t>)</w:t>
      </w:r>
    </w:p>
    <w:p w:rsidR="006D481D" w:rsidP="008440FA" w14:paraId="25545461" w14:textId="2C5839F3">
      <w:pPr>
        <w:spacing w:line="240" w:lineRule="auto"/>
        <w:ind w:left="1440" w:hanging="1440"/>
      </w:pPr>
      <w:r>
        <w:t>PRA</w:t>
      </w:r>
      <w:r>
        <w:tab/>
        <w:t>probabilistic risk assessment</w:t>
      </w:r>
    </w:p>
    <w:p w:rsidR="008845B8" w:rsidRPr="00711891" w:rsidP="008440FA" w14:paraId="779D9BE2" w14:textId="79F41EF3">
      <w:pPr>
        <w:spacing w:line="240" w:lineRule="auto"/>
        <w:ind w:left="1440" w:hanging="1440"/>
      </w:pPr>
      <w:r>
        <w:t>PRISM</w:t>
      </w:r>
      <w:r>
        <w:tab/>
      </w:r>
      <w:r w:rsidR="0075004E">
        <w:t>p</w:t>
      </w:r>
      <w:r>
        <w:t>ower reactor innovative small module</w:t>
      </w:r>
      <w:r w:rsidR="0075004E">
        <w:t xml:space="preserve"> (</w:t>
      </w:r>
      <w:r>
        <w:t>a G</w:t>
      </w:r>
      <w:r w:rsidR="0075004E">
        <w:t>eneral Electric</w:t>
      </w:r>
      <w:r>
        <w:t xml:space="preserve"> Hitachi Nuclear Energy International, LLC</w:t>
      </w:r>
      <w:r w:rsidR="0075004E">
        <w:t>,</w:t>
      </w:r>
      <w:r>
        <w:t xml:space="preserve"> reactor</w:t>
      </w:r>
      <w:r w:rsidR="0075004E">
        <w:t>)</w:t>
      </w:r>
    </w:p>
    <w:p w:rsidR="009128E1" w:rsidRPr="00711891" w:rsidP="008440FA" w14:paraId="11C2D3C7" w14:textId="0702147F">
      <w:pPr>
        <w:spacing w:line="240" w:lineRule="auto"/>
      </w:pPr>
      <w:r w:rsidRPr="00711891">
        <w:t>RG</w:t>
      </w:r>
      <w:r w:rsidRPr="00711891">
        <w:tab/>
      </w:r>
      <w:r w:rsidR="00907658">
        <w:tab/>
      </w:r>
      <w:r w:rsidR="0075004E">
        <w:t>r</w:t>
      </w:r>
      <w:r>
        <w:t xml:space="preserve">egulatory </w:t>
      </w:r>
      <w:r w:rsidR="0062613D">
        <w:t>g</w:t>
      </w:r>
      <w:r>
        <w:t>uide</w:t>
      </w:r>
    </w:p>
    <w:p w:rsidR="009128E1" w:rsidP="008440FA" w14:paraId="638FADD5" w14:textId="3DCE00A5">
      <w:pPr>
        <w:spacing w:line="240" w:lineRule="auto"/>
      </w:pPr>
      <w:r>
        <w:t>SECY</w:t>
      </w:r>
      <w:r>
        <w:tab/>
      </w:r>
      <w:r w:rsidR="00907658">
        <w:tab/>
      </w:r>
      <w:r>
        <w:t>Secretary of the Commission</w:t>
      </w:r>
    </w:p>
    <w:p w:rsidR="009128E1" w:rsidRPr="00711891" w:rsidP="008440FA" w14:paraId="74E4708F" w14:textId="772953D1">
      <w:pPr>
        <w:spacing w:line="240" w:lineRule="auto"/>
      </w:pPr>
      <w:r w:rsidRPr="00711891">
        <w:t>SMR</w:t>
      </w:r>
      <w:r w:rsidRPr="00711891">
        <w:tab/>
      </w:r>
      <w:r w:rsidR="00907658">
        <w:tab/>
      </w:r>
      <w:r w:rsidR="0075004E">
        <w:t>s</w:t>
      </w:r>
      <w:r w:rsidRPr="00711891">
        <w:t>mall modular reactor</w:t>
      </w:r>
    </w:p>
    <w:p w:rsidR="009128E1" w:rsidRPr="005C20B0" w:rsidP="008440FA" w14:paraId="105956E7" w14:textId="07817E74">
      <w:pPr>
        <w:spacing w:line="240" w:lineRule="auto"/>
        <w:ind w:left="1440" w:hanging="1440"/>
        <w:rPr>
          <w:lang w:val="fr-FR"/>
        </w:rPr>
      </w:pPr>
      <w:r w:rsidRPr="005C20B0">
        <w:rPr>
          <w:lang w:val="fr-FR"/>
        </w:rPr>
        <w:t>SOC</w:t>
      </w:r>
      <w:r w:rsidRPr="005C20B0">
        <w:rPr>
          <w:lang w:val="fr-FR"/>
        </w:rPr>
        <w:tab/>
      </w:r>
      <w:r w:rsidRPr="005C20B0" w:rsidR="00782E23">
        <w:rPr>
          <w:lang w:val="fr-FR"/>
        </w:rPr>
        <w:t>s</w:t>
      </w:r>
      <w:r w:rsidRPr="005C20B0">
        <w:rPr>
          <w:lang w:val="fr-FR"/>
        </w:rPr>
        <w:t xml:space="preserve">tandard </w:t>
      </w:r>
      <w:r w:rsidRPr="005C20B0">
        <w:rPr>
          <w:lang w:val="fr-FR"/>
        </w:rPr>
        <w:t>occupational</w:t>
      </w:r>
      <w:r w:rsidRPr="005C20B0">
        <w:rPr>
          <w:lang w:val="fr-FR"/>
        </w:rPr>
        <w:t xml:space="preserve"> classification</w:t>
      </w:r>
      <w:r w:rsidRPr="005C20B0" w:rsidR="009E14A9">
        <w:rPr>
          <w:lang w:val="fr-FR"/>
        </w:rPr>
        <w:t xml:space="preserve"> (</w:t>
      </w:r>
      <w:r w:rsidRPr="005C20B0" w:rsidR="00782E23">
        <w:rPr>
          <w:lang w:val="fr-FR"/>
        </w:rPr>
        <w:t>c</w:t>
      </w:r>
      <w:r w:rsidRPr="005C20B0" w:rsidR="009E14A9">
        <w:rPr>
          <w:lang w:val="fr-FR"/>
        </w:rPr>
        <w:t>ode)</w:t>
      </w:r>
    </w:p>
    <w:p w:rsidR="009128E1" w:rsidP="008440FA" w14:paraId="4E678E58" w14:textId="4B40736C">
      <w:pPr>
        <w:spacing w:line="240" w:lineRule="auto"/>
      </w:pPr>
      <w:r w:rsidRPr="00711891">
        <w:t>SRM</w:t>
      </w:r>
      <w:r w:rsidRPr="00711891">
        <w:tab/>
      </w:r>
      <w:r w:rsidR="00907658">
        <w:tab/>
      </w:r>
      <w:r w:rsidR="0075004E">
        <w:t>s</w:t>
      </w:r>
      <w:r w:rsidRPr="00711891">
        <w:t xml:space="preserve">taff </w:t>
      </w:r>
      <w:r w:rsidR="0075004E">
        <w:t>r</w:t>
      </w:r>
      <w:r w:rsidRPr="00711891">
        <w:t xml:space="preserve">equirements </w:t>
      </w:r>
      <w:r w:rsidR="0075004E">
        <w:t>m</w:t>
      </w:r>
      <w:r w:rsidRPr="00711891">
        <w:t>emorandum</w:t>
      </w:r>
    </w:p>
    <w:p w:rsidR="00F0796E" w:rsidP="008440FA" w14:paraId="43996354" w14:textId="77777777">
      <w:pPr>
        <w:spacing w:line="240" w:lineRule="auto"/>
      </w:pPr>
    </w:p>
    <w:p w:rsidR="00601BBD" w14:paraId="6E845E23" w14:textId="6560B6A0">
      <w:pPr>
        <w:autoSpaceDE/>
        <w:autoSpaceDN/>
        <w:adjustRightInd/>
      </w:pPr>
      <w:r>
        <w:br w:type="page"/>
      </w:r>
    </w:p>
    <w:p w:rsidR="009128E1" w:rsidP="008440FA" w14:paraId="3C14E726" w14:textId="2C361072">
      <w:pPr>
        <w:pStyle w:val="Heading1"/>
        <w:spacing w:line="240" w:lineRule="auto"/>
      </w:pPr>
      <w:bookmarkStart w:id="23" w:name="_Toc456098204"/>
      <w:bookmarkStart w:id="24" w:name="_Toc85198583"/>
      <w:r>
        <w:t xml:space="preserve">EXECUTIVE </w:t>
      </w:r>
      <w:r w:rsidRPr="00C926B7">
        <w:t>SUMMARY</w:t>
      </w:r>
      <w:bookmarkEnd w:id="23"/>
      <w:bookmarkEnd w:id="24"/>
    </w:p>
    <w:p w:rsidR="009128E1" w:rsidRPr="00D5077D" w:rsidP="008440FA" w14:paraId="08F47E24" w14:textId="77777777">
      <w:pPr>
        <w:spacing w:line="240" w:lineRule="auto"/>
      </w:pPr>
    </w:p>
    <w:p w:rsidR="00536B75" w:rsidRPr="00536B75" w:rsidP="008440FA" w14:paraId="015A759E" w14:textId="779F313A">
      <w:pPr>
        <w:spacing w:line="240" w:lineRule="auto"/>
      </w:pPr>
      <w:r w:rsidRPr="00536B75">
        <w:t xml:space="preserve">The </w:t>
      </w:r>
      <w:r w:rsidRPr="00902E11" w:rsidR="00C905F6">
        <w:t>U.S.</w:t>
      </w:r>
      <w:r w:rsidR="00C905F6">
        <w:t> </w:t>
      </w:r>
      <w:r w:rsidRPr="00902E11" w:rsidR="00C905F6">
        <w:t xml:space="preserve">Nuclear Regulatory Commission </w:t>
      </w:r>
      <w:r w:rsidR="00C905F6">
        <w:t>(</w:t>
      </w:r>
      <w:r w:rsidRPr="00536B75">
        <w:t>NRC</w:t>
      </w:r>
      <w:r w:rsidR="00C905F6">
        <w:t>)</w:t>
      </w:r>
      <w:r w:rsidR="00C547FC">
        <w:t xml:space="preserve"> </w:t>
      </w:r>
      <w:r w:rsidRPr="00536B75">
        <w:t>is amend</w:t>
      </w:r>
      <w:r w:rsidR="0010013E">
        <w:t>ing</w:t>
      </w:r>
      <w:r w:rsidRPr="00536B75">
        <w:t xml:space="preserve"> its regulations to introduce a new alternative </w:t>
      </w:r>
      <w:r w:rsidR="00C905F6">
        <w:t>emergency preparedness (</w:t>
      </w:r>
      <w:r w:rsidRPr="00536B75">
        <w:t>EP</w:t>
      </w:r>
      <w:r w:rsidR="00C905F6">
        <w:t>)</w:t>
      </w:r>
      <w:r w:rsidRPr="00536B75">
        <w:t xml:space="preserve"> regulatory framework for </w:t>
      </w:r>
      <w:r w:rsidR="007314B0">
        <w:t>small modular reactors (SMRs) and other new technologies (</w:t>
      </w:r>
      <w:r w:rsidRPr="00536B75">
        <w:t>ONTs</w:t>
      </w:r>
      <w:r w:rsidR="007314B0">
        <w:t>)</w:t>
      </w:r>
      <w:r w:rsidRPr="00536B75">
        <w:t>.  The new EP requirements w</w:t>
      </w:r>
      <w:r w:rsidR="0010013E">
        <w:t>ill</w:t>
      </w:r>
      <w:r w:rsidRPr="00536B75">
        <w:t xml:space="preserve"> appear in a new section of the regulations, </w:t>
      </w:r>
      <w:r w:rsidR="007314B0">
        <w:t xml:space="preserve">Title 10 of the </w:t>
      </w:r>
      <w:r w:rsidRPr="00581806" w:rsidR="007314B0">
        <w:rPr>
          <w:i/>
        </w:rPr>
        <w:t>Code of Federal Regulations</w:t>
      </w:r>
      <w:r w:rsidR="007314B0">
        <w:t xml:space="preserve"> (</w:t>
      </w:r>
      <w:r w:rsidRPr="00536B75">
        <w:t>10 CFR</w:t>
      </w:r>
      <w:r w:rsidR="007314B0">
        <w:t>) </w:t>
      </w:r>
      <w:r w:rsidRPr="00536B75">
        <w:t xml:space="preserve">50.160, “Emergency </w:t>
      </w:r>
      <w:r w:rsidR="005313EE">
        <w:t>p</w:t>
      </w:r>
      <w:r w:rsidRPr="00536B75">
        <w:t xml:space="preserve">reparedness for </w:t>
      </w:r>
      <w:r w:rsidR="005313EE">
        <w:t>s</w:t>
      </w:r>
      <w:r w:rsidRPr="00536B75">
        <w:t xml:space="preserve">mall </w:t>
      </w:r>
      <w:r w:rsidR="005313EE">
        <w:t>m</w:t>
      </w:r>
      <w:r w:rsidRPr="00536B75">
        <w:t xml:space="preserve">odular </w:t>
      </w:r>
      <w:r w:rsidR="005313EE">
        <w:t>r</w:t>
      </w:r>
      <w:r w:rsidRPr="00536B75">
        <w:t xml:space="preserve">eactors, </w:t>
      </w:r>
      <w:r w:rsidR="005313EE">
        <w:t>n</w:t>
      </w:r>
      <w:r w:rsidRPr="00536B75">
        <w:t>on-</w:t>
      </w:r>
      <w:r w:rsidR="005313EE">
        <w:t>l</w:t>
      </w:r>
      <w:r w:rsidRPr="00536B75">
        <w:t>ight</w:t>
      </w:r>
      <w:r w:rsidR="00497264">
        <w:t>-</w:t>
      </w:r>
      <w:r w:rsidR="005313EE">
        <w:t>w</w:t>
      </w:r>
      <w:r w:rsidRPr="00536B75">
        <w:t xml:space="preserve">ater </w:t>
      </w:r>
      <w:r w:rsidR="005313EE">
        <w:t>r</w:t>
      </w:r>
      <w:r w:rsidRPr="00536B75">
        <w:t xml:space="preserve">eactors, and </w:t>
      </w:r>
      <w:r w:rsidR="005313EE">
        <w:t>n</w:t>
      </w:r>
      <w:r w:rsidRPr="00536B75">
        <w:t xml:space="preserve">on-power </w:t>
      </w:r>
      <w:r w:rsidR="005313EE">
        <w:t>p</w:t>
      </w:r>
      <w:r w:rsidRPr="00536B75">
        <w:t xml:space="preserve">roduction or </w:t>
      </w:r>
      <w:r w:rsidR="005313EE">
        <w:t>u</w:t>
      </w:r>
      <w:r w:rsidRPr="00536B75">
        <w:t xml:space="preserve">tilization </w:t>
      </w:r>
      <w:r w:rsidR="005313EE">
        <w:t>f</w:t>
      </w:r>
      <w:r w:rsidRPr="00536B75">
        <w:t xml:space="preserve">acilities.”  For the purposes of this </w:t>
      </w:r>
      <w:r w:rsidR="005F716D">
        <w:t>final</w:t>
      </w:r>
      <w:r w:rsidRPr="00536B75">
        <w:t xml:space="preserve"> rule, the term “small modular reactor” refers to a nuclear </w:t>
      </w:r>
      <w:r w:rsidR="00FB6F5B">
        <w:t xml:space="preserve">power </w:t>
      </w:r>
      <w:r w:rsidRPr="00536B75">
        <w:t>reactor</w:t>
      </w:r>
      <w:r w:rsidR="00985059">
        <w:t xml:space="preserve">, which may be of modular design as defined in </w:t>
      </w:r>
      <w:r w:rsidR="003A7689">
        <w:t>10 CFR</w:t>
      </w:r>
      <w:r w:rsidR="00F1291C">
        <w:t> </w:t>
      </w:r>
      <w:r w:rsidR="00985059">
        <w:t>52.1</w:t>
      </w:r>
      <w:r w:rsidR="00F1291C">
        <w:t>, “Defini</w:t>
      </w:r>
      <w:r w:rsidR="003628E4">
        <w:t>t</w:t>
      </w:r>
      <w:r w:rsidR="00F1291C">
        <w:t>ions,”</w:t>
      </w:r>
      <w:r w:rsidR="00B13AF9">
        <w:t xml:space="preserve"> and </w:t>
      </w:r>
      <w:r w:rsidRPr="00536B75">
        <w:t>is licensed by the Commission under the authority of Section</w:t>
      </w:r>
      <w:r w:rsidR="007314B0">
        <w:t> </w:t>
      </w:r>
      <w:r w:rsidRPr="00536B75">
        <w:t>103</w:t>
      </w:r>
      <w:r w:rsidR="00CB128C">
        <w:t xml:space="preserve"> </w:t>
      </w:r>
      <w:r w:rsidRPr="000515DA" w:rsidR="00CB128C">
        <w:t>or</w:t>
      </w:r>
      <w:r w:rsidR="00573527">
        <w:t xml:space="preserve"> </w:t>
      </w:r>
      <w:r w:rsidRPr="007314B0" w:rsidR="00CB128C">
        <w:t>104</w:t>
      </w:r>
      <w:r w:rsidRPr="00536B75">
        <w:t xml:space="preserve"> of the Atomic Energy Act of 1954, as amended, and under the provisions of </w:t>
      </w:r>
      <w:r w:rsidRPr="00336BAC" w:rsidR="00336BAC">
        <w:t>10</w:t>
      </w:r>
      <w:r w:rsidR="007314B0">
        <w:t> </w:t>
      </w:r>
      <w:r w:rsidRPr="00336BAC" w:rsidR="00336BAC">
        <w:t>CFR</w:t>
      </w:r>
      <w:r w:rsidR="007314B0">
        <w:t> </w:t>
      </w:r>
      <w:r w:rsidRPr="00336BAC" w:rsidR="00336BAC">
        <w:t xml:space="preserve">50.21, “Class 104 licenses; for medical therapy and research and development facilities,” </w:t>
      </w:r>
      <w:r w:rsidR="00CB128C">
        <w:t xml:space="preserve">or </w:t>
      </w:r>
      <w:r w:rsidRPr="00536B75">
        <w:t>10</w:t>
      </w:r>
      <w:r w:rsidR="007314B0">
        <w:t> </w:t>
      </w:r>
      <w:r w:rsidRPr="00536B75">
        <w:t>CFR</w:t>
      </w:r>
      <w:r w:rsidR="007314B0">
        <w:t> </w:t>
      </w:r>
      <w:r w:rsidRPr="00536B75">
        <w:t xml:space="preserve">50.22, “Class 103 </w:t>
      </w:r>
      <w:r w:rsidR="005313EE">
        <w:t>l</w:t>
      </w:r>
      <w:r w:rsidRPr="00536B75">
        <w:t xml:space="preserve">icenses; for </w:t>
      </w:r>
      <w:r w:rsidR="005313EE">
        <w:t>c</w:t>
      </w:r>
      <w:r w:rsidRPr="00536B75">
        <w:t xml:space="preserve">ommercial and </w:t>
      </w:r>
      <w:r w:rsidR="005313EE">
        <w:t>i</w:t>
      </w:r>
      <w:r w:rsidRPr="00536B75">
        <w:t xml:space="preserve">ndustrial </w:t>
      </w:r>
      <w:r w:rsidR="005313EE">
        <w:t>f</w:t>
      </w:r>
      <w:r w:rsidRPr="00536B75">
        <w:t>acilities</w:t>
      </w:r>
      <w:r w:rsidR="00B13AF9">
        <w:t>,</w:t>
      </w:r>
      <w:r w:rsidRPr="00536B75">
        <w:t>”</w:t>
      </w:r>
      <w:r w:rsidRPr="00B13AF9" w:rsidR="00B13AF9">
        <w:t xml:space="preserve"> </w:t>
      </w:r>
      <w:r w:rsidR="00B13AF9">
        <w:t>to produce heat energy up to 1,000 megawatts thermal per module</w:t>
      </w:r>
      <w:r w:rsidR="00F6462A">
        <w:t>.</w:t>
      </w:r>
      <w:r w:rsidRPr="00536B75">
        <w:t xml:space="preserve">  In this </w:t>
      </w:r>
      <w:r w:rsidR="005F716D">
        <w:t>final</w:t>
      </w:r>
      <w:r w:rsidRPr="00536B75">
        <w:t xml:space="preserve"> rule, the NRC is using the term “other new technologies” to refer to </w:t>
      </w:r>
      <w:r w:rsidRPr="00FB6F5B" w:rsidR="00FB6F5B">
        <w:t>new technologies, such as</w:t>
      </w:r>
      <w:r w:rsidR="00FB6F5B">
        <w:t xml:space="preserve"> </w:t>
      </w:r>
      <w:r w:rsidRPr="00536B75">
        <w:t>non-</w:t>
      </w:r>
      <w:r w:rsidR="00C66171">
        <w:t>light-water reactors</w:t>
      </w:r>
      <w:r w:rsidRPr="00536B75">
        <w:t xml:space="preserve"> </w:t>
      </w:r>
      <w:r w:rsidR="00564BFB">
        <w:t>to be licensed under 10 CFR Part 50</w:t>
      </w:r>
      <w:r w:rsidRPr="00536B75">
        <w:t>, “Domestic Licensing of Production and Utilization Facilities</w:t>
      </w:r>
      <w:r w:rsidR="00564BFB">
        <w:t>,</w:t>
      </w:r>
      <w:r w:rsidRPr="00536B75">
        <w:t>”</w:t>
      </w:r>
      <w:r w:rsidR="00564BFB">
        <w:t xml:space="preserve"> or 10 CFR Part 52, "Licenses, Certifications, and Approvals for Nuclear Power Plants," and medical radioisotope facilities that would be licensed under 10 CFR Part 50.</w:t>
      </w:r>
      <w:r w:rsidRPr="00536B75">
        <w:t xml:space="preserve">  This </w:t>
      </w:r>
      <w:r w:rsidR="005F716D">
        <w:t>final</w:t>
      </w:r>
      <w:r w:rsidRPr="00536B75">
        <w:t xml:space="preserve"> rule define</w:t>
      </w:r>
      <w:r w:rsidR="00C42857">
        <w:t>s</w:t>
      </w:r>
      <w:r w:rsidRPr="00536B75">
        <w:t xml:space="preserve"> </w:t>
      </w:r>
      <w:r w:rsidRPr="000347C4" w:rsidR="000347C4">
        <w:t>“non-power production or utilization facility”</w:t>
      </w:r>
      <w:r w:rsidR="00EC4119">
        <w:t xml:space="preserve"> </w:t>
      </w:r>
      <w:r w:rsidR="007314B0">
        <w:t xml:space="preserve">(NPUF) </w:t>
      </w:r>
      <w:r w:rsidRPr="00536B75">
        <w:t xml:space="preserve">to clarify the applicability of the performance-based EP framework.  As used in this </w:t>
      </w:r>
      <w:r w:rsidR="005F716D">
        <w:t>final</w:t>
      </w:r>
      <w:r w:rsidR="005616C9">
        <w:t xml:space="preserve"> </w:t>
      </w:r>
      <w:r w:rsidRPr="00536B75">
        <w:t xml:space="preserve">rule, the term </w:t>
      </w:r>
      <w:r w:rsidRPr="000347C4" w:rsidR="000347C4">
        <w:t>“non</w:t>
      </w:r>
      <w:r w:rsidR="00B512E8">
        <w:noBreakHyphen/>
      </w:r>
      <w:r w:rsidRPr="000347C4" w:rsidR="000347C4">
        <w:t>power production or utilization facility”</w:t>
      </w:r>
      <w:r w:rsidRPr="00536B75">
        <w:t xml:space="preserve"> include</w:t>
      </w:r>
      <w:r w:rsidR="00196889">
        <w:t>s</w:t>
      </w:r>
      <w:r w:rsidRPr="00536B75">
        <w:t xml:space="preserve"> production or utilization facilities licensed under 10</w:t>
      </w:r>
      <w:r w:rsidR="007314B0">
        <w:t> </w:t>
      </w:r>
      <w:r w:rsidRPr="00536B75">
        <w:t>CFR</w:t>
      </w:r>
      <w:r w:rsidR="007314B0">
        <w:t> </w:t>
      </w:r>
      <w:r w:rsidRPr="00536B75">
        <w:t>50.21</w:t>
      </w:r>
      <w:r w:rsidR="009102DC">
        <w:t>(a)</w:t>
      </w:r>
      <w:r w:rsidR="00C462A7">
        <w:t xml:space="preserve">, </w:t>
      </w:r>
      <w:r w:rsidRPr="00536B75" w:rsidR="00C462A7">
        <w:t>10</w:t>
      </w:r>
      <w:r w:rsidR="007314B0">
        <w:t> </w:t>
      </w:r>
      <w:r w:rsidRPr="00536B75" w:rsidR="00C462A7">
        <w:t>CFR</w:t>
      </w:r>
      <w:r w:rsidR="007314B0">
        <w:t> </w:t>
      </w:r>
      <w:r w:rsidRPr="00536B75" w:rsidR="00C462A7">
        <w:t>50.21</w:t>
      </w:r>
      <w:r w:rsidR="009102DC">
        <w:t>(c)</w:t>
      </w:r>
      <w:r w:rsidRPr="00536B75">
        <w:t xml:space="preserve">, or 10 CFR 50.22, </w:t>
      </w:r>
      <w:r w:rsidR="002C542B">
        <w:t>as applicable</w:t>
      </w:r>
      <w:r w:rsidR="00682710">
        <w:t xml:space="preserve">, </w:t>
      </w:r>
      <w:r w:rsidRPr="00536B75">
        <w:t xml:space="preserve">that are not nuclear power reactors or </w:t>
      </w:r>
      <w:r w:rsidRPr="00682710" w:rsidR="00682710">
        <w:t>production facilities as defined under paragraphs</w:t>
      </w:r>
      <w:r w:rsidR="007314B0">
        <w:t> </w:t>
      </w:r>
      <w:r w:rsidRPr="00682710" w:rsidR="00682710">
        <w:t>(1) and</w:t>
      </w:r>
      <w:r w:rsidR="007314B0">
        <w:t> </w:t>
      </w:r>
      <w:r w:rsidRPr="00682710" w:rsidR="00682710">
        <w:t xml:space="preserve">(2) of the definition of </w:t>
      </w:r>
      <w:r w:rsidR="00DE68E7">
        <w:t>“</w:t>
      </w:r>
      <w:r w:rsidRPr="00DE68E7" w:rsidR="00DE68E7">
        <w:t>p</w:t>
      </w:r>
      <w:r w:rsidRPr="00AB0E8F" w:rsidR="00682710">
        <w:t>roduction</w:t>
      </w:r>
      <w:r w:rsidRPr="005B53BD" w:rsidR="00682710">
        <w:t xml:space="preserve"> facility</w:t>
      </w:r>
      <w:r w:rsidRPr="00AB0E8F" w:rsidR="00DE68E7">
        <w:t>”</w:t>
      </w:r>
      <w:r w:rsidRPr="00682710" w:rsidR="00682710">
        <w:t xml:space="preserve"> in </w:t>
      </w:r>
      <w:r w:rsidR="007314B0">
        <w:t>10 CFR </w:t>
      </w:r>
      <w:r w:rsidRPr="00682710" w:rsidR="00682710">
        <w:t>50.2</w:t>
      </w:r>
      <w:r w:rsidR="007314B0">
        <w:t>, “Definitions</w:t>
      </w:r>
      <w:r w:rsidRPr="00536B75">
        <w:t>.</w:t>
      </w:r>
      <w:r w:rsidR="007314B0">
        <w:t>”</w:t>
      </w:r>
      <w:r w:rsidRPr="00536B75">
        <w:t xml:space="preserve">  </w:t>
      </w:r>
      <w:r w:rsidR="0010013E">
        <w:t>Proposed m</w:t>
      </w:r>
      <w:r w:rsidRPr="00536B75">
        <w:t>edical radioisotope facilities licensed under 10</w:t>
      </w:r>
      <w:r w:rsidR="007314B0">
        <w:t> </w:t>
      </w:r>
      <w:r w:rsidRPr="00536B75">
        <w:t>CFR</w:t>
      </w:r>
      <w:r w:rsidR="007314B0">
        <w:t> </w:t>
      </w:r>
      <w:r w:rsidRPr="00536B75">
        <w:t>Part</w:t>
      </w:r>
      <w:r w:rsidR="007314B0">
        <w:t> </w:t>
      </w:r>
      <w:r w:rsidRPr="00536B75">
        <w:t xml:space="preserve">50 </w:t>
      </w:r>
      <w:r w:rsidR="00E241E3">
        <w:t>are</w:t>
      </w:r>
      <w:r w:rsidRPr="00536B75" w:rsidR="00E241E3">
        <w:t xml:space="preserve"> </w:t>
      </w:r>
      <w:r w:rsidRPr="00536B75">
        <w:t>also included within this definition of NPUF.</w:t>
      </w:r>
    </w:p>
    <w:p w:rsidR="009128E1" w:rsidRPr="009C50B8" w:rsidP="008440FA" w14:paraId="2AF9E27E" w14:textId="77777777">
      <w:pPr>
        <w:spacing w:line="240" w:lineRule="auto"/>
      </w:pPr>
    </w:p>
    <w:p w:rsidR="009128E1" w:rsidRPr="005313EE" w:rsidP="008440FA" w14:paraId="4F72C919" w14:textId="313073DC">
      <w:pPr>
        <w:spacing w:line="240" w:lineRule="auto"/>
      </w:pPr>
      <w:r>
        <w:t xml:space="preserve">This regulatory analysis </w:t>
      </w:r>
      <w:r w:rsidR="001B4A15">
        <w:t>discusses two alternatives</w:t>
      </w:r>
      <w:r w:rsidR="007314B0">
        <w:t>—A</w:t>
      </w:r>
      <w:r w:rsidR="001B4A15">
        <w:t>lternative</w:t>
      </w:r>
      <w:r w:rsidR="007314B0">
        <w:t> </w:t>
      </w:r>
      <w:r w:rsidR="001B4A15">
        <w:t>1, the no</w:t>
      </w:r>
      <w:r w:rsidR="007314B0">
        <w:t>-</w:t>
      </w:r>
      <w:r w:rsidR="001B4A15">
        <w:t xml:space="preserve">action or </w:t>
      </w:r>
      <w:r w:rsidR="00DC7B2C">
        <w:t>regulatory baseline</w:t>
      </w:r>
      <w:r w:rsidR="007314B0">
        <w:t>,</w:t>
      </w:r>
      <w:r w:rsidR="001B4A15">
        <w:t xml:space="preserve"> and </w:t>
      </w:r>
      <w:r w:rsidR="007314B0">
        <w:t>A</w:t>
      </w:r>
      <w:r w:rsidR="001B4A15">
        <w:t>lternative</w:t>
      </w:r>
      <w:r w:rsidR="007314B0">
        <w:t> </w:t>
      </w:r>
      <w:r w:rsidR="001B4A15">
        <w:t xml:space="preserve">2, pursuance of the </w:t>
      </w:r>
      <w:r w:rsidR="005F716D">
        <w:t>final rule</w:t>
      </w:r>
      <w:r w:rsidR="001B4A15">
        <w:t xml:space="preserve">. </w:t>
      </w:r>
      <w:r w:rsidR="00FD11DD">
        <w:t xml:space="preserve"> </w:t>
      </w:r>
      <w:r w:rsidR="001B4A15">
        <w:t xml:space="preserve">For </w:t>
      </w:r>
      <w:r w:rsidR="007314B0">
        <w:t>A</w:t>
      </w:r>
      <w:r w:rsidR="001B4A15">
        <w:t>lternative</w:t>
      </w:r>
      <w:r w:rsidR="007314B0">
        <w:t> </w:t>
      </w:r>
      <w:r w:rsidR="001B4A15">
        <w:t>2, the regulatory analysis a</w:t>
      </w:r>
      <w:r w:rsidR="007E146C">
        <w:t>ssess</w:t>
      </w:r>
      <w:r w:rsidR="001B4A15">
        <w:t xml:space="preserve">es </w:t>
      </w:r>
      <w:r w:rsidRPr="005672EB">
        <w:t xml:space="preserve">the costs </w:t>
      </w:r>
      <w:r>
        <w:t xml:space="preserve">and benefits </w:t>
      </w:r>
      <w:r w:rsidR="006E4FEC">
        <w:t>of</w:t>
      </w:r>
      <w:r w:rsidRPr="005672EB">
        <w:t xml:space="preserve"> the </w:t>
      </w:r>
      <w:r w:rsidR="005F716D">
        <w:t>final</w:t>
      </w:r>
      <w:r w:rsidRPr="005672EB">
        <w:t xml:space="preserve"> rule </w:t>
      </w:r>
      <w:r w:rsidR="00187BD5">
        <w:t xml:space="preserve">requirements and development of </w:t>
      </w:r>
      <w:r w:rsidR="007314B0">
        <w:t>R</w:t>
      </w:r>
      <w:r w:rsidRPr="00187BD5" w:rsidR="00187BD5">
        <w:t>egulat</w:t>
      </w:r>
      <w:r w:rsidR="00187BD5">
        <w:t xml:space="preserve">ory </w:t>
      </w:r>
      <w:r w:rsidR="007314B0">
        <w:t>G</w:t>
      </w:r>
      <w:r w:rsidR="00187BD5">
        <w:t>uid</w:t>
      </w:r>
      <w:r w:rsidR="007314B0">
        <w:t>e</w:t>
      </w:r>
      <w:r w:rsidR="00187BD5">
        <w:t xml:space="preserve"> </w:t>
      </w:r>
      <w:r w:rsidRPr="005313EE" w:rsidR="00187BD5">
        <w:t>1</w:t>
      </w:r>
      <w:r w:rsidR="00DD6481">
        <w:t>.242</w:t>
      </w:r>
      <w:r w:rsidRPr="005313EE" w:rsidR="005313EE">
        <w:t>, “Performance-Based Emergency Preparedness for Small Modular Reactors, Non-Light</w:t>
      </w:r>
      <w:r w:rsidR="00BB0482">
        <w:t>-</w:t>
      </w:r>
      <w:r w:rsidRPr="005313EE" w:rsidR="005313EE">
        <w:t>Water Reactors, and Non</w:t>
      </w:r>
      <w:r w:rsidRPr="005313EE" w:rsidR="005313EE">
        <w:noBreakHyphen/>
        <w:t>Power Production or Utilization Facilities”</w:t>
      </w:r>
      <w:r w:rsidR="007A5619">
        <w:t xml:space="preserve"> (NRC, 202</w:t>
      </w:r>
      <w:r w:rsidR="00E73462">
        <w:t>2</w:t>
      </w:r>
      <w:r w:rsidR="007A5619">
        <w:t>)</w:t>
      </w:r>
      <w:r w:rsidR="00DD559A">
        <w:t>.</w:t>
      </w:r>
      <w:r w:rsidRPr="005313EE">
        <w:t xml:space="preserve">  </w:t>
      </w:r>
      <w:r w:rsidR="00E241E3">
        <w:t>The regulatory analysis</w:t>
      </w:r>
      <w:r w:rsidRPr="005313EE" w:rsidR="002E4856">
        <w:t xml:space="preserve"> makes the following</w:t>
      </w:r>
      <w:r w:rsidRPr="005313EE">
        <w:t xml:space="preserve"> key findings:</w:t>
      </w:r>
    </w:p>
    <w:p w:rsidR="009128E1" w:rsidRPr="00C13819" w:rsidP="008440FA" w14:paraId="0199AF4F" w14:textId="77777777">
      <w:pPr>
        <w:spacing w:line="240" w:lineRule="auto"/>
      </w:pPr>
    </w:p>
    <w:p w:rsidR="009128E1" w:rsidP="008440FA" w14:paraId="7FE71A66" w14:textId="24951D09">
      <w:pPr>
        <w:pStyle w:val="ListParagraph"/>
        <w:numPr>
          <w:ilvl w:val="0"/>
          <w:numId w:val="11"/>
        </w:numPr>
        <w:spacing w:line="240" w:lineRule="auto"/>
        <w:ind w:hanging="720"/>
      </w:pPr>
      <w:r>
        <w:rPr>
          <w:u w:val="single"/>
        </w:rPr>
        <w:t>Final</w:t>
      </w:r>
      <w:r w:rsidRPr="00581806">
        <w:rPr>
          <w:u w:val="single"/>
        </w:rPr>
        <w:t xml:space="preserve"> Rule Analysis</w:t>
      </w:r>
      <w:r w:rsidRPr="005672EB">
        <w:t xml:space="preserve">.  The </w:t>
      </w:r>
      <w:r>
        <w:t>final</w:t>
      </w:r>
      <w:r w:rsidRPr="005672EB">
        <w:t xml:space="preserve"> rule </w:t>
      </w:r>
      <w:r w:rsidR="00713B9A">
        <w:t>is</w:t>
      </w:r>
      <w:r w:rsidR="00BE693E">
        <w:t xml:space="preserve"> projected to </w:t>
      </w:r>
      <w:r w:rsidRPr="005672EB">
        <w:t>result in a cost</w:t>
      </w:r>
      <w:r w:rsidR="00D37772">
        <w:noBreakHyphen/>
      </w:r>
      <w:r w:rsidRPr="005672EB">
        <w:t>justified change based on a net (i.e., </w:t>
      </w:r>
      <w:r w:rsidR="004609B4">
        <w:t>accounting for</w:t>
      </w:r>
      <w:r w:rsidRPr="005672EB">
        <w:t xml:space="preserve"> both costs and benefits) averted cost to the industry that ranges from $</w:t>
      </w:r>
      <w:r w:rsidR="009123C4">
        <w:t>5</w:t>
      </w:r>
      <w:r w:rsidR="009665A7">
        <w:t>.</w:t>
      </w:r>
      <w:r w:rsidR="00A36A5D">
        <w:t>62</w:t>
      </w:r>
      <w:r w:rsidR="000A1A44">
        <w:t xml:space="preserve"> million</w:t>
      </w:r>
      <w:r w:rsidRPr="005672EB">
        <w:t xml:space="preserve"> using a 7</w:t>
      </w:r>
      <w:r w:rsidR="00D37772">
        <w:noBreakHyphen/>
      </w:r>
      <w:r w:rsidRPr="005672EB">
        <w:t>percent discount rate to $</w:t>
      </w:r>
      <w:r w:rsidR="00765547">
        <w:t>1</w:t>
      </w:r>
      <w:r w:rsidR="00EB0E61">
        <w:t>0</w:t>
      </w:r>
      <w:r w:rsidR="003C19A1">
        <w:t>.</w:t>
      </w:r>
      <w:r w:rsidR="00EB0E61">
        <w:t>7</w:t>
      </w:r>
      <w:r w:rsidR="00D37772">
        <w:t> </w:t>
      </w:r>
      <w:r w:rsidRPr="005672EB">
        <w:t>million using a 3</w:t>
      </w:r>
      <w:r w:rsidR="000515DA">
        <w:noBreakHyphen/>
      </w:r>
      <w:r w:rsidRPr="005672EB">
        <w:t>percent discount rate.  Relative to the regulatory baseline, the NRC realize</w:t>
      </w:r>
      <w:r w:rsidR="00E241E3">
        <w:t>s</w:t>
      </w:r>
      <w:r w:rsidRPr="005672EB">
        <w:t xml:space="preserve"> a net </w:t>
      </w:r>
      <w:r w:rsidR="000A1A44">
        <w:t xml:space="preserve">averted </w:t>
      </w:r>
      <w:r w:rsidRPr="005672EB">
        <w:t xml:space="preserve">cost </w:t>
      </w:r>
      <w:r>
        <w:t>of</w:t>
      </w:r>
      <w:r w:rsidRPr="005672EB">
        <w:t xml:space="preserve"> </w:t>
      </w:r>
      <w:r w:rsidR="009665A7">
        <w:t>$</w:t>
      </w:r>
      <w:r w:rsidR="00B3597D">
        <w:t>2</w:t>
      </w:r>
      <w:r w:rsidR="00BA01DC">
        <w:t>.</w:t>
      </w:r>
      <w:r w:rsidR="00390610">
        <w:t>36</w:t>
      </w:r>
      <w:r w:rsidR="000515DA">
        <w:t> </w:t>
      </w:r>
      <w:r w:rsidR="000A1A44">
        <w:t>million</w:t>
      </w:r>
      <w:r w:rsidRPr="005672EB">
        <w:t xml:space="preserve"> using a 7</w:t>
      </w:r>
      <w:r w:rsidR="00D37772">
        <w:noBreakHyphen/>
      </w:r>
      <w:r w:rsidRPr="005672EB">
        <w:t xml:space="preserve">percent discount rate </w:t>
      </w:r>
      <w:r>
        <w:t xml:space="preserve">and </w:t>
      </w:r>
      <w:r w:rsidRPr="005672EB">
        <w:t>$</w:t>
      </w:r>
      <w:r w:rsidR="00390610">
        <w:t>4</w:t>
      </w:r>
      <w:r w:rsidR="009665A7">
        <w:t>.</w:t>
      </w:r>
      <w:r w:rsidR="00390610">
        <w:t>24</w:t>
      </w:r>
      <w:r w:rsidR="000515DA">
        <w:t> </w:t>
      </w:r>
      <w:r w:rsidR="000A1A44">
        <w:t>million</w:t>
      </w:r>
      <w:r w:rsidRPr="005672EB">
        <w:t xml:space="preserve"> using a 3</w:t>
      </w:r>
      <w:r w:rsidR="00D37772">
        <w:noBreakHyphen/>
      </w:r>
      <w:r w:rsidRPr="005672EB">
        <w:t xml:space="preserve">percent discount rate.  </w:t>
      </w:r>
      <w:r w:rsidRPr="005672EB">
        <w:fldChar w:fldCharType="begin"/>
      </w:r>
      <w:r w:rsidRPr="005672EB">
        <w:instrText xml:space="preserve"> REF _Ref453163184 \h  \* MERGEFORMAT </w:instrText>
      </w:r>
      <w:r w:rsidRPr="005672EB">
        <w:fldChar w:fldCharType="separate"/>
      </w:r>
      <w:r w:rsidRPr="004634A0" w:rsidR="004634A0">
        <w:t xml:space="preserve">Table </w:t>
      </w:r>
      <w:r w:rsidRPr="004634A0" w:rsidR="004634A0">
        <w:rPr>
          <w:noProof/>
        </w:rPr>
        <w:t>ES-1</w:t>
      </w:r>
      <w:r w:rsidRPr="005672EB">
        <w:fldChar w:fldCharType="end"/>
      </w:r>
      <w:r w:rsidRPr="005672EB">
        <w:t xml:space="preserve"> shows the total costs and benefits to the industry and the NRC</w:t>
      </w:r>
      <w:r>
        <w:t xml:space="preserve"> of proceeding with the </w:t>
      </w:r>
      <w:r>
        <w:t>final</w:t>
      </w:r>
      <w:r>
        <w:t xml:space="preserve"> rule</w:t>
      </w:r>
      <w:r w:rsidRPr="005672EB">
        <w:t xml:space="preserve">.  The </w:t>
      </w:r>
      <w:r>
        <w:t>final</w:t>
      </w:r>
      <w:r w:rsidRPr="005672EB">
        <w:t xml:space="preserve"> rule </w:t>
      </w:r>
      <w:r>
        <w:t xml:space="preserve">alternative </w:t>
      </w:r>
      <w:r w:rsidRPr="005672EB">
        <w:t>result</w:t>
      </w:r>
      <w:r w:rsidR="00E241E3">
        <w:t>s</w:t>
      </w:r>
      <w:r w:rsidRPr="005672EB">
        <w:t xml:space="preserve"> in net averted costs to the industry and the NRC ranging from $</w:t>
      </w:r>
      <w:r w:rsidR="00390610">
        <w:t>7</w:t>
      </w:r>
      <w:r w:rsidR="008418CD">
        <w:t>.</w:t>
      </w:r>
      <w:r w:rsidR="00390610">
        <w:t>98</w:t>
      </w:r>
      <w:r w:rsidR="000515DA">
        <w:t> </w:t>
      </w:r>
      <w:r w:rsidR="000A1A44">
        <w:t>million</w:t>
      </w:r>
      <w:r w:rsidRPr="005672EB">
        <w:t xml:space="preserve"> using a 7</w:t>
      </w:r>
      <w:r w:rsidRPr="005672EB">
        <w:noBreakHyphen/>
        <w:t>percent discount rate to $</w:t>
      </w:r>
      <w:r w:rsidR="00B050AD">
        <w:t>1</w:t>
      </w:r>
      <w:r w:rsidR="00390610">
        <w:t>4</w:t>
      </w:r>
      <w:r w:rsidR="008418CD">
        <w:t>.</w:t>
      </w:r>
      <w:r w:rsidR="00390610">
        <w:t>9</w:t>
      </w:r>
      <w:r w:rsidR="00D37772">
        <w:t> </w:t>
      </w:r>
      <w:r w:rsidRPr="005672EB">
        <w:t>million using a 3</w:t>
      </w:r>
      <w:r w:rsidR="00D37772">
        <w:noBreakHyphen/>
      </w:r>
      <w:r w:rsidRPr="005672EB">
        <w:t>percent discount rate.</w:t>
      </w:r>
    </w:p>
    <w:p w:rsidR="00D37772" w:rsidP="008440FA" w14:paraId="2D2638F2" w14:textId="77777777">
      <w:pPr>
        <w:pStyle w:val="ListParagraph"/>
        <w:spacing w:line="240" w:lineRule="auto"/>
      </w:pPr>
    </w:p>
    <w:p w:rsidR="009128E1" w:rsidP="005313EE" w14:paraId="1448E9EF" w14:textId="4C3BE2FE">
      <w:pPr>
        <w:pStyle w:val="Caption"/>
        <w:spacing w:after="120" w:line="240" w:lineRule="auto"/>
        <w:jc w:val="center"/>
      </w:pPr>
      <w:bookmarkStart w:id="25" w:name="_Ref453163184"/>
      <w:bookmarkStart w:id="26" w:name="_Toc454442461"/>
      <w:bookmarkStart w:id="27" w:name="_Toc70669537"/>
      <w:bookmarkStart w:id="28" w:name="_Toc85198656"/>
      <w:r w:rsidRPr="00581806">
        <w:rPr>
          <w:b/>
        </w:rPr>
        <w:t xml:space="preserve">Table </w:t>
      </w:r>
      <w:r w:rsidR="00675BDC">
        <w:rPr>
          <w:b/>
        </w:rPr>
        <w:t>ES-</w:t>
      </w:r>
      <w:r w:rsidRPr="00581806" w:rsidR="000012A5">
        <w:rPr>
          <w:b/>
          <w:bCs w:val="0"/>
        </w:rPr>
        <w:fldChar w:fldCharType="begin"/>
      </w:r>
      <w:r w:rsidRPr="00581806" w:rsidR="000012A5">
        <w:rPr>
          <w:b/>
        </w:rPr>
        <w:instrText xml:space="preserve"> SEQ Table \* ARABIC </w:instrText>
      </w:r>
      <w:r w:rsidRPr="00581806" w:rsidR="000012A5">
        <w:rPr>
          <w:b/>
          <w:bCs w:val="0"/>
        </w:rPr>
        <w:fldChar w:fldCharType="separate"/>
      </w:r>
      <w:r w:rsidR="004634A0">
        <w:rPr>
          <w:b/>
          <w:noProof/>
        </w:rPr>
        <w:t>1</w:t>
      </w:r>
      <w:r w:rsidRPr="00581806" w:rsidR="000012A5">
        <w:rPr>
          <w:b/>
          <w:bCs w:val="0"/>
          <w:noProof/>
        </w:rPr>
        <w:fldChar w:fldCharType="end"/>
      </w:r>
      <w:bookmarkEnd w:id="25"/>
      <w:r w:rsidRPr="00581806" w:rsidR="00D37772">
        <w:rPr>
          <w:b/>
          <w:noProof/>
        </w:rPr>
        <w:t xml:space="preserve">  </w:t>
      </w:r>
      <w:r w:rsidRPr="00581806">
        <w:rPr>
          <w:b/>
        </w:rPr>
        <w:t>Total Costs and Benefits for Alternative</w:t>
      </w:r>
      <w:bookmarkEnd w:id="26"/>
      <w:r w:rsidRPr="00581806">
        <w:rPr>
          <w:b/>
        </w:rPr>
        <w:t> 2</w:t>
      </w:r>
      <w:bookmarkEnd w:id="27"/>
      <w:bookmarkEnd w:id="28"/>
    </w:p>
    <w:p w:rsidR="000E7C60" w:rsidP="005313EE" w14:paraId="149B2CFF" w14:textId="5753C6F8">
      <w:pPr>
        <w:pStyle w:val="ListParagraph"/>
        <w:spacing w:line="240" w:lineRule="auto"/>
        <w:ind w:left="0"/>
        <w:jc w:val="center"/>
      </w:pPr>
      <w:r w:rsidRPr="00A93B92">
        <w:rPr>
          <w:noProof/>
        </w:rPr>
        <w:drawing>
          <wp:inline distT="0" distB="0" distL="0" distR="0">
            <wp:extent cx="4267200" cy="2857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4267200" cy="2857500"/>
                    </a:xfrm>
                    <a:prstGeom prst="rect">
                      <a:avLst/>
                    </a:prstGeom>
                    <a:noFill/>
                    <a:ln>
                      <a:noFill/>
                    </a:ln>
                  </pic:spPr>
                </pic:pic>
              </a:graphicData>
            </a:graphic>
          </wp:inline>
        </w:drawing>
      </w:r>
    </w:p>
    <w:p w:rsidR="009128E1" w:rsidRPr="00581806" w:rsidP="005313EE" w14:paraId="4C4337D6" w14:textId="67111CE2">
      <w:pPr>
        <w:pStyle w:val="ListParagraph"/>
        <w:spacing w:before="120" w:line="240" w:lineRule="auto"/>
        <w:ind w:left="1350"/>
        <w:contextualSpacing w:val="0"/>
        <w:rPr>
          <w:sz w:val="18"/>
          <w:szCs w:val="18"/>
        </w:rPr>
      </w:pPr>
      <w:r w:rsidRPr="00581806">
        <w:rPr>
          <w:sz w:val="18"/>
          <w:szCs w:val="18"/>
        </w:rPr>
        <w:t>Note:  NPV</w:t>
      </w:r>
      <w:r w:rsidR="00B371E7">
        <w:rPr>
          <w:sz w:val="18"/>
          <w:szCs w:val="18"/>
        </w:rPr>
        <w:t xml:space="preserve"> = </w:t>
      </w:r>
      <w:r w:rsidR="00187BD5">
        <w:rPr>
          <w:sz w:val="18"/>
          <w:szCs w:val="18"/>
        </w:rPr>
        <w:t>net present value</w:t>
      </w:r>
      <w:r w:rsidR="00873204">
        <w:rPr>
          <w:sz w:val="18"/>
          <w:szCs w:val="18"/>
        </w:rPr>
        <w:t>,</w:t>
      </w:r>
      <w:r w:rsidR="00187BD5">
        <w:rPr>
          <w:sz w:val="18"/>
          <w:szCs w:val="18"/>
        </w:rPr>
        <w:t xml:space="preserve"> expressed in 202</w:t>
      </w:r>
      <w:r w:rsidR="005D797E">
        <w:rPr>
          <w:sz w:val="18"/>
          <w:szCs w:val="18"/>
        </w:rPr>
        <w:t>1</w:t>
      </w:r>
      <w:r w:rsidR="00187BD5">
        <w:rPr>
          <w:sz w:val="18"/>
          <w:szCs w:val="18"/>
        </w:rPr>
        <w:t xml:space="preserve"> dollars</w:t>
      </w:r>
      <w:r w:rsidRPr="00581806" w:rsidR="00187BD5">
        <w:rPr>
          <w:sz w:val="18"/>
          <w:szCs w:val="18"/>
        </w:rPr>
        <w:t>.</w:t>
      </w:r>
      <w:r w:rsidR="007E5A93">
        <w:rPr>
          <w:sz w:val="18"/>
          <w:szCs w:val="18"/>
        </w:rPr>
        <w:t xml:space="preserve">  </w:t>
      </w:r>
      <w:r w:rsidRPr="00F37DDF" w:rsidR="007E5A93">
        <w:rPr>
          <w:sz w:val="18"/>
          <w:szCs w:val="18"/>
        </w:rPr>
        <w:t xml:space="preserve">There may be small </w:t>
      </w:r>
      <w:r w:rsidR="007E5A93">
        <w:rPr>
          <w:sz w:val="18"/>
          <w:szCs w:val="18"/>
        </w:rPr>
        <w:br/>
      </w:r>
      <w:r w:rsidRPr="00F37DDF" w:rsidR="007E5A93">
        <w:rPr>
          <w:sz w:val="18"/>
          <w:szCs w:val="18"/>
        </w:rPr>
        <w:t xml:space="preserve">differences between tables </w:t>
      </w:r>
      <w:r w:rsidR="007E5A93">
        <w:rPr>
          <w:sz w:val="18"/>
          <w:szCs w:val="18"/>
        </w:rPr>
        <w:t xml:space="preserve">in this analysis </w:t>
      </w:r>
      <w:r w:rsidRPr="00F37DDF" w:rsidR="007E5A93">
        <w:rPr>
          <w:sz w:val="18"/>
          <w:szCs w:val="18"/>
        </w:rPr>
        <w:t>as a result of</w:t>
      </w:r>
      <w:r w:rsidRPr="00F37DDF" w:rsidR="007E5A93">
        <w:rPr>
          <w:sz w:val="18"/>
          <w:szCs w:val="18"/>
        </w:rPr>
        <w:t xml:space="preserve"> rounding.</w:t>
      </w:r>
    </w:p>
    <w:p w:rsidR="004609B4" w:rsidP="008440FA" w14:paraId="3DEB5C19" w14:textId="77777777">
      <w:pPr>
        <w:pStyle w:val="ListParagraph"/>
        <w:spacing w:line="240" w:lineRule="auto"/>
      </w:pPr>
    </w:p>
    <w:p w:rsidR="00ED03AC" w:rsidP="008440FA" w14:paraId="0F7321D8" w14:textId="761FE108">
      <w:pPr>
        <w:pStyle w:val="ListParagraph"/>
        <w:spacing w:line="240" w:lineRule="auto"/>
      </w:pPr>
      <w:r>
        <w:t xml:space="preserve">The costs in Table ES-1 result from the additional </w:t>
      </w:r>
      <w:r w:rsidR="009F4921">
        <w:t>probabilistic risk assessment</w:t>
      </w:r>
      <w:r>
        <w:t xml:space="preserve"> work to apply for the reduced </w:t>
      </w:r>
      <w:r w:rsidR="0006479D">
        <w:t>plume exposure pathway emergency planning zone</w:t>
      </w:r>
      <w:r>
        <w:t xml:space="preserve"> size</w:t>
      </w:r>
      <w:r w:rsidR="008418CD">
        <w:t>.</w:t>
      </w:r>
      <w:r>
        <w:t xml:space="preserve"> </w:t>
      </w:r>
    </w:p>
    <w:p w:rsidR="00EF700C" w:rsidP="008440FA" w14:paraId="4CD2C063" w14:textId="77777777">
      <w:pPr>
        <w:pStyle w:val="ListParagraph"/>
        <w:spacing w:line="240" w:lineRule="auto"/>
      </w:pPr>
    </w:p>
    <w:p w:rsidR="00EF700C" w:rsidP="008440FA" w14:paraId="2C6BEF7B" w14:textId="41F20600">
      <w:pPr>
        <w:pStyle w:val="ListParagraph"/>
        <w:spacing w:line="240" w:lineRule="auto"/>
      </w:pPr>
      <w:r>
        <w:t>According to Executive Order</w:t>
      </w:r>
      <w:r w:rsidR="000515DA">
        <w:t> </w:t>
      </w:r>
      <w:r>
        <w:t>1286</w:t>
      </w:r>
      <w:r w:rsidR="00EA45D3">
        <w:t>6</w:t>
      </w:r>
      <w:r w:rsidR="00962B35">
        <w:t>, “Regulatory Planning and Review</w:t>
      </w:r>
      <w:r w:rsidR="00122280">
        <w:t>,</w:t>
      </w:r>
      <w:r w:rsidR="00962B35">
        <w:t>”</w:t>
      </w:r>
      <w:r w:rsidR="00122280">
        <w:t xml:space="preserve"> dated September 30, 1993</w:t>
      </w:r>
      <w:r w:rsidR="00EA45D3">
        <w:t xml:space="preserve"> (</w:t>
      </w:r>
      <w:r w:rsidRPr="00EA45D3" w:rsidR="00EA45D3">
        <w:t>Executive Order</w:t>
      </w:r>
      <w:r w:rsidR="00EA45D3">
        <w:t>, 1993)</w:t>
      </w:r>
      <w:r w:rsidR="00962B35">
        <w:t>,</w:t>
      </w:r>
      <w:r w:rsidR="00E87EF7">
        <w:t xml:space="preserve"> </w:t>
      </w:r>
      <w:r>
        <w:t>an economically significant regulatory action is one that would have an annual effect on the economy of $100</w:t>
      </w:r>
      <w:r w:rsidR="000515DA">
        <w:t> </w:t>
      </w:r>
      <w:r>
        <w:t xml:space="preserve">million or more.  This </w:t>
      </w:r>
      <w:r w:rsidR="005F716D">
        <w:t>final</w:t>
      </w:r>
      <w:r>
        <w:t xml:space="preserve"> rule</w:t>
      </w:r>
      <w:r w:rsidR="00B000BD">
        <w:t xml:space="preserve"> does not reach this threshold.</w:t>
      </w:r>
    </w:p>
    <w:p w:rsidR="00ED03AC" w:rsidP="008440FA" w14:paraId="23B85825" w14:textId="77777777">
      <w:pPr>
        <w:pStyle w:val="ListParagraph"/>
        <w:spacing w:line="240" w:lineRule="auto"/>
      </w:pPr>
    </w:p>
    <w:p w:rsidR="009128E1" w:rsidP="008440FA" w14:paraId="49C1E78E" w14:textId="79824372">
      <w:pPr>
        <w:pStyle w:val="ListParagraph"/>
        <w:numPr>
          <w:ilvl w:val="0"/>
          <w:numId w:val="10"/>
        </w:numPr>
        <w:spacing w:line="240" w:lineRule="auto"/>
        <w:ind w:hanging="720"/>
      </w:pPr>
      <w:r w:rsidRPr="00581806">
        <w:rPr>
          <w:u w:val="single"/>
        </w:rPr>
        <w:t>Nonquantified</w:t>
      </w:r>
      <w:r w:rsidRPr="00581806">
        <w:rPr>
          <w:u w:val="single"/>
        </w:rPr>
        <w:t xml:space="preserve"> Benefits</w:t>
      </w:r>
      <w:r>
        <w:t xml:space="preserve">.  </w:t>
      </w:r>
      <w:r w:rsidRPr="00A84705">
        <w:t>Alternative</w:t>
      </w:r>
      <w:r w:rsidR="000515DA">
        <w:t> </w:t>
      </w:r>
      <w:r w:rsidRPr="00A84705">
        <w:t>2 w</w:t>
      </w:r>
      <w:r w:rsidR="00A83340">
        <w:t>ill</w:t>
      </w:r>
      <w:r w:rsidRPr="00A84705">
        <w:t xml:space="preserve"> establish regulatory language in the </w:t>
      </w:r>
      <w:r w:rsidR="00D94BD0">
        <w:t xml:space="preserve">NRC’s </w:t>
      </w:r>
      <w:r w:rsidRPr="00581806" w:rsidR="001C5B83">
        <w:t>regulations</w:t>
      </w:r>
      <w:r w:rsidRPr="001C5B83">
        <w:t xml:space="preserve"> </w:t>
      </w:r>
      <w:r w:rsidRPr="00A84705">
        <w:t xml:space="preserve">for </w:t>
      </w:r>
      <w:r w:rsidR="00D37772">
        <w:t>EP</w:t>
      </w:r>
      <w:r>
        <w:t xml:space="preserve"> for SMRs and </w:t>
      </w:r>
      <w:r w:rsidR="00D77960">
        <w:t>ONTs</w:t>
      </w:r>
      <w:r>
        <w:t xml:space="preserve">. </w:t>
      </w:r>
      <w:r w:rsidRPr="00A84705">
        <w:t xml:space="preserve"> By regulating emergency planning through rule</w:t>
      </w:r>
      <w:r w:rsidR="00734067">
        <w:t>making</w:t>
      </w:r>
      <w:r w:rsidRPr="00A84705">
        <w:t xml:space="preserve"> </w:t>
      </w:r>
      <w:r w:rsidR="00D94BD0">
        <w:t>instead of through</w:t>
      </w:r>
      <w:r w:rsidRPr="00A84705">
        <w:t xml:space="preserve"> the exemption process,</w:t>
      </w:r>
      <w:r>
        <w:t xml:space="preserve"> the</w:t>
      </w:r>
      <w:r w:rsidRPr="00A84705">
        <w:t xml:space="preserve"> NRC </w:t>
      </w:r>
      <w:r w:rsidR="00BF2809">
        <w:t>w</w:t>
      </w:r>
      <w:r w:rsidR="00A83340">
        <w:t>ill</w:t>
      </w:r>
      <w:r w:rsidRPr="00A84705" w:rsidR="00BF2809">
        <w:t xml:space="preserve"> </w:t>
      </w:r>
      <w:r w:rsidRPr="00A84705">
        <w:t xml:space="preserve">provide </w:t>
      </w:r>
      <w:r w:rsidR="004A7CF5">
        <w:t xml:space="preserve">the industry with </w:t>
      </w:r>
      <w:r w:rsidRPr="00A84705">
        <w:t xml:space="preserve">greater regulatory </w:t>
      </w:r>
      <w:r w:rsidR="004B69A9">
        <w:t>predictab</w:t>
      </w:r>
      <w:r w:rsidRPr="00A84705">
        <w:t xml:space="preserve">ility and efficiency.  In addition to regulatory efficiency, </w:t>
      </w:r>
      <w:r w:rsidR="00BE693E">
        <w:t>licensing</w:t>
      </w:r>
      <w:r w:rsidRPr="00A84705" w:rsidR="00BE693E">
        <w:t xml:space="preserve"> </w:t>
      </w:r>
      <w:r>
        <w:t xml:space="preserve">SMRs and </w:t>
      </w:r>
      <w:r w:rsidR="00D77960">
        <w:t>ONT</w:t>
      </w:r>
      <w:r w:rsidRPr="00A84705" w:rsidR="00D77960">
        <w:t xml:space="preserve">s </w:t>
      </w:r>
      <w:r w:rsidRPr="00A84705">
        <w:t>through rulemaking instead of</w:t>
      </w:r>
      <w:r w:rsidR="00D94BD0">
        <w:t xml:space="preserve"> through</w:t>
      </w:r>
      <w:r w:rsidRPr="00A84705">
        <w:t xml:space="preserve"> the exemption request process </w:t>
      </w:r>
      <w:r w:rsidR="00FC2610">
        <w:t xml:space="preserve">provides for the opportunity for a broad set of external stakeholders to provide input on the specific emergency planning requirements that the NRC will use, which </w:t>
      </w:r>
      <w:r w:rsidR="00BF2809">
        <w:t>w</w:t>
      </w:r>
      <w:r w:rsidR="00A83340">
        <w:t>ill</w:t>
      </w:r>
      <w:r w:rsidR="00BF2809">
        <w:t xml:space="preserve"> </w:t>
      </w:r>
      <w:r w:rsidRPr="00A84705">
        <w:t xml:space="preserve">increase public confidence in the NRC’s ability to adapt to new technology and new regulatory needs and </w:t>
      </w:r>
      <w:r w:rsidR="00BF2809">
        <w:t>w</w:t>
      </w:r>
      <w:r w:rsidR="00A83340">
        <w:t>ill</w:t>
      </w:r>
      <w:r w:rsidR="00BF2809">
        <w:t xml:space="preserve"> </w:t>
      </w:r>
      <w:r w:rsidRPr="00A84705">
        <w:t>maintain the NRC’s role as an</w:t>
      </w:r>
      <w:r>
        <w:t xml:space="preserve"> effective industry regulator.</w:t>
      </w:r>
    </w:p>
    <w:p w:rsidR="0086260F" w:rsidP="008440FA" w14:paraId="5C4A302B" w14:textId="77777777">
      <w:pPr>
        <w:pStyle w:val="ListParagraph"/>
        <w:spacing w:line="240" w:lineRule="auto"/>
      </w:pPr>
    </w:p>
    <w:p w:rsidR="0086260F" w:rsidP="008440FA" w14:paraId="6BDD6D2E" w14:textId="2E249FA2">
      <w:pPr>
        <w:pStyle w:val="ListParagraph"/>
        <w:numPr>
          <w:ilvl w:val="0"/>
          <w:numId w:val="10"/>
        </w:numPr>
        <w:spacing w:line="240" w:lineRule="auto"/>
      </w:pPr>
      <w:r>
        <w:rPr>
          <w:u w:val="single"/>
        </w:rPr>
        <w:t>Sensitivity</w:t>
      </w:r>
      <w:r w:rsidRPr="0086260F">
        <w:rPr>
          <w:u w:val="single"/>
        </w:rPr>
        <w:t xml:space="preserve"> Analysis</w:t>
      </w:r>
      <w:r>
        <w:t>.  Th</w:t>
      </w:r>
      <w:r w:rsidR="00893E98">
        <w:t>is</w:t>
      </w:r>
      <w:r>
        <w:t xml:space="preserve"> regulatory analysis </w:t>
      </w:r>
      <w:r w:rsidR="00927C06">
        <w:t>contains a sensitivity analysis to</w:t>
      </w:r>
      <w:r>
        <w:t xml:space="preserve"> </w:t>
      </w:r>
      <w:r w:rsidR="00927C06">
        <w:t xml:space="preserve">evaluate the effect if </w:t>
      </w:r>
      <w:r w:rsidR="00C62363">
        <w:t xml:space="preserve">potential </w:t>
      </w:r>
      <w:r>
        <w:t>SMR and ONT</w:t>
      </w:r>
      <w:r w:rsidR="00C62363">
        <w:t xml:space="preserve"> applicant</w:t>
      </w:r>
      <w:r>
        <w:t xml:space="preserve">s </w:t>
      </w:r>
      <w:r w:rsidR="00927C06">
        <w:t>delay their submittal of</w:t>
      </w:r>
      <w:r>
        <w:t xml:space="preserve"> </w:t>
      </w:r>
      <w:r w:rsidR="008418CD">
        <w:t>a license</w:t>
      </w:r>
      <w:r w:rsidR="009F5ABF">
        <w:t xml:space="preserve"> </w:t>
      </w:r>
      <w:r>
        <w:t xml:space="preserve">application after the </w:t>
      </w:r>
      <w:r w:rsidR="005F716D">
        <w:t>final</w:t>
      </w:r>
      <w:r>
        <w:t xml:space="preserve"> rule goes into effect </w:t>
      </w:r>
      <w:r w:rsidR="00927C06">
        <w:t xml:space="preserve">or </w:t>
      </w:r>
      <w:r>
        <w:t xml:space="preserve">decide </w:t>
      </w:r>
      <w:r w:rsidR="00FF2D86">
        <w:t xml:space="preserve">not to go forward with their </w:t>
      </w:r>
      <w:r w:rsidR="003B7B34">
        <w:t>applications</w:t>
      </w:r>
      <w:r>
        <w:t>.</w:t>
      </w:r>
      <w:r w:rsidR="00855F57">
        <w:t xml:space="preserve"> </w:t>
      </w:r>
      <w:r>
        <w:t xml:space="preserve"> Additionally</w:t>
      </w:r>
      <w:r w:rsidR="00A143EC">
        <w:t>,</w:t>
      </w:r>
      <w:r>
        <w:t xml:space="preserve"> the regulatory analysis </w:t>
      </w:r>
      <w:r w:rsidR="00927C06">
        <w:t>considers the effect if</w:t>
      </w:r>
      <w:r>
        <w:t xml:space="preserve"> the remaining applications </w:t>
      </w:r>
      <w:r w:rsidR="00927C06">
        <w:t>are</w:t>
      </w:r>
      <w:r>
        <w:t xml:space="preserve"> delayed a few years. </w:t>
      </w:r>
      <w:r w:rsidR="0079594C">
        <w:t xml:space="preserve"> </w:t>
      </w:r>
      <w:r w:rsidR="00C62363">
        <w:t>Based on</w:t>
      </w:r>
      <w:r w:rsidR="00A143EC">
        <w:t xml:space="preserve"> the sensitivity analysis, t</w:t>
      </w:r>
      <w:r w:rsidRPr="0086260F">
        <w:t xml:space="preserve">he </w:t>
      </w:r>
      <w:r>
        <w:t xml:space="preserve">regulatory analysis </w:t>
      </w:r>
      <w:r w:rsidR="007A687B">
        <w:t xml:space="preserve">demonstrates </w:t>
      </w:r>
      <w:r w:rsidR="00A143EC">
        <w:t>that,</w:t>
      </w:r>
      <w:r>
        <w:t xml:space="preserve"> if </w:t>
      </w:r>
      <w:r w:rsidR="00927C06">
        <w:t>6</w:t>
      </w:r>
      <w:r w:rsidRPr="0086260F">
        <w:t xml:space="preserve"> </w:t>
      </w:r>
      <w:r w:rsidR="00166BF6">
        <w:t xml:space="preserve">applicants </w:t>
      </w:r>
      <w:r w:rsidR="00C82C08">
        <w:t>submit applications</w:t>
      </w:r>
      <w:r w:rsidR="00E530C1">
        <w:t xml:space="preserve"> and these submittals are</w:t>
      </w:r>
      <w:r w:rsidRPr="0086260F">
        <w:t xml:space="preserve"> delayed </w:t>
      </w:r>
      <w:r w:rsidR="00927C06">
        <w:t>10 years</w:t>
      </w:r>
      <w:r w:rsidRPr="0086260F">
        <w:t xml:space="preserve">, the </w:t>
      </w:r>
      <w:r w:rsidR="005F716D">
        <w:t>final</w:t>
      </w:r>
      <w:r w:rsidRPr="0086260F">
        <w:t xml:space="preserve"> rule</w:t>
      </w:r>
      <w:r w:rsidR="0079594C">
        <w:t xml:space="preserve"> </w:t>
      </w:r>
      <w:r w:rsidR="00927C06">
        <w:t>remains</w:t>
      </w:r>
      <w:r w:rsidR="0079594C">
        <w:t xml:space="preserve"> cost beneficial, with averted costs ranging f</w:t>
      </w:r>
      <w:r w:rsidR="00F00845">
        <w:t>rom $</w:t>
      </w:r>
      <w:r w:rsidR="008418CD">
        <w:t>2.</w:t>
      </w:r>
      <w:r w:rsidR="00CF5482">
        <w:t>2</w:t>
      </w:r>
      <w:r w:rsidR="00201A9F">
        <w:t>0</w:t>
      </w:r>
      <w:r w:rsidR="00A143EC">
        <w:t> </w:t>
      </w:r>
      <w:r w:rsidR="0079594C">
        <w:t xml:space="preserve">million at a </w:t>
      </w:r>
      <w:r w:rsidR="00F00845">
        <w:t>7</w:t>
      </w:r>
      <w:r w:rsidR="00166BF6">
        <w:noBreakHyphen/>
      </w:r>
      <w:r w:rsidR="00F00845">
        <w:t>percent discount rate to $</w:t>
      </w:r>
      <w:r w:rsidR="00CF5482">
        <w:t>5</w:t>
      </w:r>
      <w:r w:rsidR="008418CD">
        <w:t>.</w:t>
      </w:r>
      <w:r w:rsidR="00201A9F">
        <w:t>8</w:t>
      </w:r>
      <w:r w:rsidR="00CF5482">
        <w:t>2</w:t>
      </w:r>
      <w:r w:rsidR="00A143EC">
        <w:t> </w:t>
      </w:r>
      <w:r w:rsidR="0079594C">
        <w:t>million at a 3</w:t>
      </w:r>
      <w:r w:rsidR="00A143EC">
        <w:noBreakHyphen/>
      </w:r>
      <w:r w:rsidR="0079594C">
        <w:t>percent discount rate.</w:t>
      </w:r>
    </w:p>
    <w:p w:rsidR="009128E1" w:rsidP="008440FA" w14:paraId="2EDD121F" w14:textId="77777777">
      <w:pPr>
        <w:spacing w:line="240" w:lineRule="auto"/>
      </w:pPr>
    </w:p>
    <w:p w:rsidR="009128E1" w:rsidRPr="00132F98" w:rsidP="008440FA" w14:paraId="720CF970" w14:textId="77BB9D2B">
      <w:pPr>
        <w:pStyle w:val="ListParagraph"/>
        <w:numPr>
          <w:ilvl w:val="0"/>
          <w:numId w:val="10"/>
        </w:numPr>
        <w:spacing w:line="240" w:lineRule="auto"/>
        <w:ind w:hanging="720"/>
      </w:pPr>
      <w:r w:rsidRPr="00581806">
        <w:rPr>
          <w:u w:val="single"/>
        </w:rPr>
        <w:t>Uncertainty Analysis</w:t>
      </w:r>
      <w:r w:rsidRPr="00132F98">
        <w:t xml:space="preserve">.  The </w:t>
      </w:r>
      <w:r w:rsidR="0008000C">
        <w:t xml:space="preserve">regulatory analysis contains an uncertainty </w:t>
      </w:r>
      <w:r w:rsidRPr="00132F98">
        <w:t xml:space="preserve">analysis </w:t>
      </w:r>
      <w:r>
        <w:t xml:space="preserve">that </w:t>
      </w:r>
      <w:r w:rsidRPr="00132F98">
        <w:t xml:space="preserve">shows </w:t>
      </w:r>
      <w:r w:rsidR="00D94BD0">
        <w:t xml:space="preserve">that </w:t>
      </w:r>
      <w:r w:rsidRPr="00132F98">
        <w:t xml:space="preserve">the estimated mean </w:t>
      </w:r>
      <w:r>
        <w:t>benefit</w:t>
      </w:r>
      <w:r w:rsidRPr="00132F98">
        <w:t xml:space="preserve"> for this </w:t>
      </w:r>
      <w:r w:rsidR="005F716D">
        <w:t>final</w:t>
      </w:r>
      <w:r w:rsidRPr="00132F98">
        <w:t xml:space="preserve"> rule is $</w:t>
      </w:r>
      <w:r w:rsidR="00034E37">
        <w:t>7</w:t>
      </w:r>
      <w:r w:rsidR="006603C4">
        <w:t>.</w:t>
      </w:r>
      <w:r w:rsidR="00034E37">
        <w:t>98</w:t>
      </w:r>
      <w:r w:rsidR="00A143EC">
        <w:t> </w:t>
      </w:r>
      <w:r w:rsidR="000A1A44">
        <w:t>million</w:t>
      </w:r>
      <w:r w:rsidRPr="00132F98">
        <w:t xml:space="preserve"> with</w:t>
      </w:r>
      <w:r>
        <w:t xml:space="preserve"> a greater than</w:t>
      </w:r>
      <w:r w:rsidRPr="00132F98">
        <w:t xml:space="preserve"> </w:t>
      </w:r>
      <w:r>
        <w:t>9</w:t>
      </w:r>
      <w:r w:rsidR="007011E0">
        <w:t>9</w:t>
      </w:r>
      <w:r w:rsidR="00D94BD0">
        <w:noBreakHyphen/>
      </w:r>
      <w:r w:rsidRPr="00132F98">
        <w:t xml:space="preserve">percent confidence that the </w:t>
      </w:r>
      <w:r w:rsidR="005F716D">
        <w:t>final</w:t>
      </w:r>
      <w:r>
        <w:t xml:space="preserve"> rule is</w:t>
      </w:r>
      <w:r w:rsidRPr="00132F98">
        <w:t xml:space="preserve"> </w:t>
      </w:r>
      <w:r>
        <w:t>net beneficial</w:t>
      </w:r>
      <w:r w:rsidRPr="00132F98">
        <w:t xml:space="preserve"> </w:t>
      </w:r>
      <w:r>
        <w:t xml:space="preserve">using </w:t>
      </w:r>
      <w:r w:rsidRPr="00132F98">
        <w:t>a 7</w:t>
      </w:r>
      <w:r w:rsidR="00D94BD0">
        <w:noBreakHyphen/>
      </w:r>
      <w:r w:rsidRPr="00132F98">
        <w:t xml:space="preserve">percent discount rate.  </w:t>
      </w:r>
      <w:r>
        <w:t xml:space="preserve">A reasonable inference from the uncertainty analysis is that proceeding with the </w:t>
      </w:r>
      <w:r w:rsidR="005F716D">
        <w:t>final</w:t>
      </w:r>
      <w:r>
        <w:t xml:space="preserve"> rule represents an efficient use of resources and </w:t>
      </w:r>
      <w:r w:rsidR="00EF700C">
        <w:t>w</w:t>
      </w:r>
      <w:r w:rsidR="0006023C">
        <w:t>ill</w:t>
      </w:r>
      <w:r w:rsidR="00EF700C">
        <w:t xml:space="preserve"> result in significant </w:t>
      </w:r>
      <w:r>
        <w:t>averted cost</w:t>
      </w:r>
      <w:r w:rsidR="006603C4">
        <w:t>s to the NRC and the industry.</w:t>
      </w:r>
    </w:p>
    <w:p w:rsidR="009128E1" w:rsidP="008440FA" w14:paraId="76CA3725" w14:textId="77777777">
      <w:pPr>
        <w:pStyle w:val="ListParagraph"/>
        <w:spacing w:line="240" w:lineRule="auto"/>
        <w:ind w:hanging="720"/>
      </w:pPr>
    </w:p>
    <w:p w:rsidR="009128E1" w:rsidRPr="009C50B8" w:rsidP="008440FA" w14:paraId="46B27137" w14:textId="4844EA1E">
      <w:pPr>
        <w:pStyle w:val="ListParagraph"/>
        <w:numPr>
          <w:ilvl w:val="0"/>
          <w:numId w:val="10"/>
        </w:numPr>
        <w:spacing w:line="240" w:lineRule="auto"/>
        <w:ind w:hanging="720"/>
      </w:pPr>
      <w:r w:rsidRPr="00581806">
        <w:rPr>
          <w:u w:val="single"/>
        </w:rPr>
        <w:t>Decision Rationale</w:t>
      </w:r>
      <w:r>
        <w:t>.  Relative to the no</w:t>
      </w:r>
      <w:r w:rsidR="00D94BD0">
        <w:noBreakHyphen/>
      </w:r>
      <w:r>
        <w:t xml:space="preserve">action baseline, the </w:t>
      </w:r>
      <w:r w:rsidR="003971A5">
        <w:t>NRC</w:t>
      </w:r>
      <w:r>
        <w:t xml:space="preserve"> concludes that the </w:t>
      </w:r>
      <w:r w:rsidR="005F716D">
        <w:t>final</w:t>
      </w:r>
      <w:r>
        <w:t xml:space="preserve"> rule is justified from a quantitative standpoint because its provisions w</w:t>
      </w:r>
      <w:r w:rsidR="0006023C">
        <w:t>ill</w:t>
      </w:r>
      <w:r>
        <w:t xml:space="preserve"> result in net averted costs (i.e., net benefits) to </w:t>
      </w:r>
      <w:r w:rsidR="00A143EC">
        <w:t xml:space="preserve">the </w:t>
      </w:r>
      <w:r>
        <w:t>industry and is effectively cost</w:t>
      </w:r>
      <w:r w:rsidR="00D94BD0">
        <w:noBreakHyphen/>
      </w:r>
      <w:r>
        <w:t xml:space="preserve">neutral to the NRC.  In addition, the </w:t>
      </w:r>
      <w:r w:rsidR="003971A5">
        <w:t>NRC</w:t>
      </w:r>
      <w:r>
        <w:t xml:space="preserve"> concludes that the </w:t>
      </w:r>
      <w:r w:rsidR="005F716D">
        <w:t>final</w:t>
      </w:r>
      <w:r>
        <w:t xml:space="preserve"> rule is also justified when considering </w:t>
      </w:r>
      <w:r>
        <w:t>nonquantified</w:t>
      </w:r>
      <w:r>
        <w:t xml:space="preserve"> costs and benefits because the significance of the </w:t>
      </w:r>
      <w:r>
        <w:t>nonquantified</w:t>
      </w:r>
      <w:r>
        <w:t xml:space="preserve"> benefits outweigh</w:t>
      </w:r>
      <w:r w:rsidR="00A143EC">
        <w:t>s</w:t>
      </w:r>
      <w:r>
        <w:t xml:space="preserve"> those of the </w:t>
      </w:r>
      <w:r>
        <w:t>nonquantified</w:t>
      </w:r>
      <w:r>
        <w:t xml:space="preserve"> costs.</w:t>
      </w:r>
    </w:p>
    <w:p w:rsidR="009128E1" w:rsidRPr="009C50B8" w:rsidP="008440FA" w14:paraId="46AE1EAD" w14:textId="77777777">
      <w:pPr>
        <w:spacing w:line="240" w:lineRule="auto"/>
        <w:sectPr w:rsidSect="00B05B18">
          <w:headerReference w:type="default" r:id="rId13"/>
          <w:footerReference w:type="default" r:id="rId14"/>
          <w:pgSz w:w="12240" w:h="15840"/>
          <w:pgMar w:top="1440" w:right="1440" w:bottom="1440" w:left="1440" w:header="720" w:footer="720" w:gutter="0"/>
          <w:pgNumType w:fmt="lowerRoman" w:start="2"/>
          <w:cols w:space="720"/>
          <w:docGrid w:linePitch="360"/>
        </w:sectPr>
      </w:pPr>
    </w:p>
    <w:p w:rsidR="009128E1" w:rsidRPr="009A5D4A" w:rsidP="008440FA" w14:paraId="20DBA891" w14:textId="77777777">
      <w:pPr>
        <w:pStyle w:val="Heading1"/>
        <w:numPr>
          <w:ilvl w:val="0"/>
          <w:numId w:val="34"/>
        </w:numPr>
        <w:spacing w:line="240" w:lineRule="auto"/>
      </w:pPr>
      <w:bookmarkStart w:id="29" w:name="_Toc456098205"/>
      <w:bookmarkStart w:id="30" w:name="_Toc70669485"/>
      <w:bookmarkStart w:id="31" w:name="_Toc85198584"/>
      <w:r w:rsidRPr="009A5D4A">
        <w:t>Introduction</w:t>
      </w:r>
      <w:bookmarkEnd w:id="29"/>
      <w:bookmarkEnd w:id="30"/>
      <w:bookmarkEnd w:id="31"/>
    </w:p>
    <w:p w:rsidR="009128E1" w:rsidRPr="00461295" w:rsidP="008440FA" w14:paraId="25DE94B9" w14:textId="34E4F1C1">
      <w:pPr>
        <w:spacing w:line="240" w:lineRule="auto"/>
      </w:pPr>
    </w:p>
    <w:p w:rsidR="009128E1" w:rsidP="008440FA" w14:paraId="66FC5313" w14:textId="306CA83E">
      <w:pPr>
        <w:spacing w:line="240" w:lineRule="auto"/>
      </w:pPr>
      <w:r w:rsidRPr="00461295">
        <w:t xml:space="preserve">This document presents the regulatory analysis for the </w:t>
      </w:r>
      <w:r w:rsidR="00F3719B">
        <w:t>final</w:t>
      </w:r>
      <w:r>
        <w:t xml:space="preserve"> </w:t>
      </w:r>
      <w:r w:rsidRPr="00461295">
        <w:t xml:space="preserve">rule </w:t>
      </w:r>
      <w:r>
        <w:t xml:space="preserve">to revise the </w:t>
      </w:r>
      <w:r w:rsidR="00813DD2">
        <w:t>emergency preparedness (</w:t>
      </w:r>
      <w:r>
        <w:t>EP</w:t>
      </w:r>
      <w:r w:rsidR="00813DD2">
        <w:t>)</w:t>
      </w:r>
      <w:r>
        <w:t xml:space="preserve"> requirements for </w:t>
      </w:r>
      <w:r w:rsidR="00813DD2">
        <w:t>small modular reactors (</w:t>
      </w:r>
      <w:r>
        <w:t>SMRs</w:t>
      </w:r>
      <w:r w:rsidR="00813DD2">
        <w:t>)</w:t>
      </w:r>
      <w:r w:rsidR="00C547FC">
        <w:t xml:space="preserve"> </w:t>
      </w:r>
      <w:r>
        <w:t xml:space="preserve">and </w:t>
      </w:r>
      <w:r w:rsidR="00813DD2">
        <w:t>other new technologies (</w:t>
      </w:r>
      <w:r w:rsidR="00864121">
        <w:t>ONTs</w:t>
      </w:r>
      <w:r w:rsidR="00813DD2">
        <w:t>)</w:t>
      </w:r>
      <w:r w:rsidR="004D7425">
        <w:t xml:space="preserve"> and develop the new </w:t>
      </w:r>
      <w:r w:rsidRPr="00187BD5" w:rsidR="004D7425">
        <w:t>regulatory guidance document</w:t>
      </w:r>
      <w:r w:rsidR="00A143EC">
        <w:t>,</w:t>
      </w:r>
      <w:r w:rsidRPr="00187BD5" w:rsidR="004D7425">
        <w:t xml:space="preserve"> </w:t>
      </w:r>
      <w:r w:rsidR="00813DD2">
        <w:t>Regulatory Guide (</w:t>
      </w:r>
      <w:r w:rsidR="00E93112">
        <w:t>R</w:t>
      </w:r>
      <w:r w:rsidRPr="00187BD5" w:rsidR="004D7425">
        <w:t>G</w:t>
      </w:r>
      <w:r w:rsidR="00813DD2">
        <w:t>) </w:t>
      </w:r>
      <w:r w:rsidRPr="00187BD5" w:rsidR="004D7425">
        <w:t>1</w:t>
      </w:r>
      <w:r w:rsidR="00E93112">
        <w:t>.242</w:t>
      </w:r>
      <w:r w:rsidR="00DB46F7">
        <w:t xml:space="preserve">, </w:t>
      </w:r>
      <w:r w:rsidRPr="00DB46F7" w:rsidR="00DB46F7">
        <w:t>“Performance-Based Emergency Preparedness for Small Modular Reactors, Non-Light-Water Reactors, and Non</w:t>
      </w:r>
      <w:r w:rsidR="00791AA0">
        <w:t>-</w:t>
      </w:r>
      <w:r w:rsidRPr="00DB46F7" w:rsidR="00DB46F7">
        <w:t>Power Production or Utilization Facilities</w:t>
      </w:r>
      <w:r w:rsidR="00E93112">
        <w:t>.</w:t>
      </w:r>
      <w:r w:rsidR="00DB46F7">
        <w:t>”</w:t>
      </w:r>
    </w:p>
    <w:p w:rsidR="009128E1" w:rsidRPr="000B111E" w:rsidP="008440FA" w14:paraId="5798D517" w14:textId="77777777">
      <w:pPr>
        <w:pStyle w:val="Heading1"/>
        <w:numPr>
          <w:ilvl w:val="0"/>
          <w:numId w:val="34"/>
        </w:numPr>
        <w:spacing w:line="240" w:lineRule="auto"/>
      </w:pPr>
      <w:bookmarkStart w:id="32" w:name="_Toc456098206"/>
      <w:bookmarkStart w:id="33" w:name="_Toc457827219"/>
      <w:bookmarkStart w:id="34" w:name="_Toc70669486"/>
      <w:bookmarkStart w:id="35" w:name="_Toc85198585"/>
      <w:r w:rsidRPr="000B111E">
        <w:t>Statement of the Problem and Objective</w:t>
      </w:r>
      <w:bookmarkEnd w:id="32"/>
      <w:bookmarkEnd w:id="33"/>
      <w:bookmarkEnd w:id="34"/>
      <w:bookmarkEnd w:id="35"/>
    </w:p>
    <w:p w:rsidR="009128E1" w:rsidRPr="000B111E" w:rsidP="008440FA" w14:paraId="1D33B417" w14:textId="77777777">
      <w:pPr>
        <w:spacing w:line="240" w:lineRule="auto"/>
      </w:pPr>
    </w:p>
    <w:p w:rsidR="009128E1" w:rsidRPr="000A5248" w:rsidP="008440FA" w14:paraId="63909CF0" w14:textId="19C52C0E">
      <w:pPr>
        <w:spacing w:line="240" w:lineRule="auto"/>
      </w:pPr>
      <w:r>
        <w:t>Certain e</w:t>
      </w:r>
      <w:r w:rsidRPr="00212ECA">
        <w:t>xisting regulations</w:t>
      </w:r>
      <w:r>
        <w:t xml:space="preserve"> and guidance</w:t>
      </w:r>
      <w:r w:rsidRPr="00212ECA">
        <w:t xml:space="preserve"> </w:t>
      </w:r>
      <w:r>
        <w:t>are</w:t>
      </w:r>
      <w:r w:rsidRPr="00212ECA">
        <w:t xml:space="preserve"> focused on </w:t>
      </w:r>
      <w:r>
        <w:t xml:space="preserve">large </w:t>
      </w:r>
      <w:r w:rsidR="00CF11E2">
        <w:t>light-water</w:t>
      </w:r>
      <w:r>
        <w:t xml:space="preserve"> reactors</w:t>
      </w:r>
      <w:r w:rsidR="00CF11E2">
        <w:t xml:space="preserve"> (</w:t>
      </w:r>
      <w:r w:rsidRPr="00212ECA">
        <w:t>LWR</w:t>
      </w:r>
      <w:r>
        <w:t>s</w:t>
      </w:r>
      <w:r w:rsidR="00CF11E2">
        <w:t>)</w:t>
      </w:r>
      <w:r w:rsidRPr="00212ECA">
        <w:t xml:space="preserve"> and </w:t>
      </w:r>
      <w:r>
        <w:t>non-power reactors</w:t>
      </w:r>
      <w:r>
        <w:t>.</w:t>
      </w:r>
      <w:r w:rsidRPr="000A5248">
        <w:t xml:space="preserve"> </w:t>
      </w:r>
      <w:r w:rsidR="007B1C22">
        <w:t xml:space="preserve"> Through this </w:t>
      </w:r>
      <w:r w:rsidR="00F3719B">
        <w:t>final</w:t>
      </w:r>
      <w:r w:rsidR="007B1C22">
        <w:t xml:space="preserve"> rulemaking, the </w:t>
      </w:r>
      <w:r w:rsidR="003469D0">
        <w:t>U.S. Nuclear Regulatory Commission (</w:t>
      </w:r>
      <w:r w:rsidR="007B1C22">
        <w:t>NRC</w:t>
      </w:r>
      <w:r w:rsidR="003469D0">
        <w:t>)</w:t>
      </w:r>
      <w:r w:rsidR="007B1C22">
        <w:t xml:space="preserve"> is amend</w:t>
      </w:r>
      <w:r w:rsidR="00F3719B">
        <w:t>ing</w:t>
      </w:r>
      <w:r w:rsidR="007B1C22">
        <w:t xml:space="preserve"> its regulations to create an alternative EP framework for SMRs and ONTs</w:t>
      </w:r>
      <w:r w:rsidR="00522963">
        <w:t xml:space="preserve">.  </w:t>
      </w:r>
      <w:r w:rsidR="003469D0">
        <w:t>The scope of this final rule includes m</w:t>
      </w:r>
      <w:r w:rsidRPr="007A357A" w:rsidR="008418CD">
        <w:t xml:space="preserve">edical radioisotope facilities licensed as utilization or production facilities under </w:t>
      </w:r>
      <w:r w:rsidR="003469D0">
        <w:t>Title 10 of the Code of Federal Regulations (</w:t>
      </w:r>
      <w:r w:rsidRPr="007A357A" w:rsidR="008418CD">
        <w:t>10 CF</w:t>
      </w:r>
      <w:r w:rsidR="00C547FC">
        <w:t>R</w:t>
      </w:r>
      <w:r w:rsidR="003469D0">
        <w:t>)</w:t>
      </w:r>
      <w:r w:rsidR="00962B35">
        <w:t> </w:t>
      </w:r>
      <w:r w:rsidRPr="007A357A" w:rsidR="008418CD">
        <w:t>Part</w:t>
      </w:r>
      <w:r w:rsidR="00962B35">
        <w:t> </w:t>
      </w:r>
      <w:r w:rsidRPr="007A357A" w:rsidR="008418CD">
        <w:t>50, “Domestic Licensing of Production and Utilization Facilities</w:t>
      </w:r>
      <w:r w:rsidR="006D1F5D">
        <w:t>.</w:t>
      </w:r>
      <w:r w:rsidRPr="007A357A" w:rsidR="008418CD">
        <w:t>”</w:t>
      </w:r>
      <w:r w:rsidR="00411BA0">
        <w:t xml:space="preserve"> H</w:t>
      </w:r>
      <w:r w:rsidR="008418CD">
        <w:t xml:space="preserve">owever, </w:t>
      </w:r>
      <w:r w:rsidR="003469D0">
        <w:t>the NRC does not expect any</w:t>
      </w:r>
      <w:r w:rsidR="008418CD">
        <w:t xml:space="preserve"> such facilities to submit license applications </w:t>
      </w:r>
      <w:r w:rsidR="00BF785B">
        <w:t>using this final rule</w:t>
      </w:r>
      <w:r w:rsidR="008418CD">
        <w:t>.</w:t>
      </w:r>
    </w:p>
    <w:p w:rsidR="009128E1" w:rsidRPr="000A5248" w:rsidP="008440FA" w14:paraId="3DE18113" w14:textId="77777777">
      <w:pPr>
        <w:spacing w:line="240" w:lineRule="auto"/>
      </w:pPr>
    </w:p>
    <w:p w:rsidR="009128E1" w:rsidRPr="00F87002" w:rsidP="008440FA" w14:paraId="0F21803C" w14:textId="6A574D37">
      <w:pPr>
        <w:spacing w:line="240" w:lineRule="auto"/>
      </w:pPr>
      <w:r w:rsidRPr="00F87002">
        <w:t xml:space="preserve">In </w:t>
      </w:r>
      <w:r w:rsidRPr="00F87002" w:rsidR="00A248B9">
        <w:t>December</w:t>
      </w:r>
      <w:r w:rsidR="00962B35">
        <w:t> </w:t>
      </w:r>
      <w:r w:rsidRPr="00F87002">
        <w:t xml:space="preserve">2016, the NRC developed </w:t>
      </w:r>
      <w:r w:rsidRPr="00F87002" w:rsidR="00A248B9">
        <w:t xml:space="preserve">and </w:t>
      </w:r>
      <w:r w:rsidRPr="00F87002">
        <w:t xml:space="preserve">published </w:t>
      </w:r>
      <w:r w:rsidRPr="00F87002" w:rsidR="00A248B9">
        <w:t xml:space="preserve">“NRC </w:t>
      </w:r>
      <w:r w:rsidRPr="00F87002">
        <w:t>Vision and Strategy</w:t>
      </w:r>
      <w:r w:rsidRPr="00F87002" w:rsidR="00A248B9">
        <w:t>:</w:t>
      </w:r>
      <w:r w:rsidRPr="00F87002">
        <w:t xml:space="preserve"> </w:t>
      </w:r>
      <w:r w:rsidRPr="00756788" w:rsidR="00A248B9">
        <w:t>Safely Achieving Effective and Efficient Non-Light Water Reactor Mission Readiness</w:t>
      </w:r>
      <w:r w:rsidRPr="00F87002" w:rsidR="00A248B9">
        <w:t xml:space="preserve">” </w:t>
      </w:r>
      <w:r w:rsidRPr="00F87002">
        <w:t>(NRC,</w:t>
      </w:r>
      <w:r w:rsidR="00A9437B">
        <w:t> </w:t>
      </w:r>
      <w:r w:rsidRPr="00F87002">
        <w:t>2016c)</w:t>
      </w:r>
      <w:r w:rsidR="00186358">
        <w:t>,</w:t>
      </w:r>
      <w:r w:rsidRPr="00F87002">
        <w:t xml:space="preserve"> with a goal to further develop the NRC’s SMR and </w:t>
      </w:r>
      <w:r w:rsidRPr="00F87002" w:rsidR="00D77960">
        <w:t>ONT</w:t>
      </w:r>
      <w:r w:rsidRPr="00F87002">
        <w:t xml:space="preserve"> regulatory, technical, and policy infrastructure.  This EP rulemaking r</w:t>
      </w:r>
      <w:r w:rsidRPr="003B5814">
        <w:t xml:space="preserve">epresents an important facet of the NRC’s plan </w:t>
      </w:r>
      <w:r w:rsidRPr="003B5814" w:rsidR="00F87002">
        <w:t xml:space="preserve">to review licensing </w:t>
      </w:r>
      <w:r w:rsidRPr="003B5814" w:rsidR="00B000BD">
        <w:t>applications</w:t>
      </w:r>
      <w:r w:rsidRPr="003B5814" w:rsidR="00F87002">
        <w:t xml:space="preserve"> for SMRs and ONTs</w:t>
      </w:r>
      <w:r w:rsidRPr="00346FFB" w:rsidR="00346FFB">
        <w:t xml:space="preserve"> </w:t>
      </w:r>
      <w:r w:rsidRPr="003B5814" w:rsidR="00346FFB">
        <w:t>efficiently and effectively</w:t>
      </w:r>
      <w:r w:rsidRPr="003B5814">
        <w:t>.</w:t>
      </w:r>
    </w:p>
    <w:p w:rsidR="009128E1" w:rsidRPr="00711891" w:rsidP="008440FA" w14:paraId="6B717644" w14:textId="77777777">
      <w:pPr>
        <w:spacing w:line="240" w:lineRule="auto"/>
      </w:pPr>
    </w:p>
    <w:p w:rsidR="009128E1" w:rsidRPr="009A5D4A" w:rsidP="008440FA" w14:paraId="0B646A96" w14:textId="55B07851">
      <w:pPr>
        <w:pStyle w:val="Heading2"/>
        <w:tabs>
          <w:tab w:val="left" w:pos="540"/>
        </w:tabs>
        <w:spacing w:line="240" w:lineRule="auto"/>
      </w:pPr>
      <w:bookmarkStart w:id="36" w:name="_Toc456098207"/>
      <w:bookmarkStart w:id="37" w:name="_Toc70669487"/>
      <w:bookmarkStart w:id="38" w:name="_Toc85198586"/>
      <w:r>
        <w:t>2.1</w:t>
      </w:r>
      <w:r w:rsidR="00A9437B">
        <w:tab/>
      </w:r>
      <w:bookmarkStart w:id="39" w:name="_Toc457827220"/>
      <w:r w:rsidRPr="009A5D4A">
        <w:t>Background</w:t>
      </w:r>
      <w:bookmarkEnd w:id="36"/>
      <w:bookmarkEnd w:id="37"/>
      <w:bookmarkEnd w:id="38"/>
      <w:bookmarkEnd w:id="39"/>
    </w:p>
    <w:p w:rsidR="009128E1" w:rsidRPr="003317FF" w:rsidP="008440FA" w14:paraId="2659B1B1" w14:textId="6C48ACA9">
      <w:pPr>
        <w:keepNext/>
        <w:spacing w:line="240" w:lineRule="auto"/>
      </w:pPr>
    </w:p>
    <w:p w:rsidR="009128E1" w:rsidP="008440FA" w14:paraId="5A02ABCA" w14:textId="71A99E9E">
      <w:pPr>
        <w:spacing w:line="240" w:lineRule="auto"/>
      </w:pPr>
      <w:r w:rsidRPr="00902E11">
        <w:t xml:space="preserve">Concurrent with large LWR deployment and design evolution, the </w:t>
      </w:r>
      <w:r w:rsidR="00F87002">
        <w:t>United States</w:t>
      </w:r>
      <w:r w:rsidRPr="00902E11">
        <w:t xml:space="preserve"> and other countries </w:t>
      </w:r>
      <w:r w:rsidR="00F87002">
        <w:t xml:space="preserve">have </w:t>
      </w:r>
      <w:r w:rsidRPr="00902E11">
        <w:t xml:space="preserve">developed and promoted </w:t>
      </w:r>
      <w:r w:rsidR="00F87002">
        <w:t>several</w:t>
      </w:r>
      <w:r w:rsidRPr="00902E11" w:rsidR="00F87002">
        <w:t xml:space="preserve"> </w:t>
      </w:r>
      <w:r w:rsidRPr="00902E11">
        <w:t>different reactor designs that are either light</w:t>
      </w:r>
      <w:r w:rsidR="00663950">
        <w:noBreakHyphen/>
      </w:r>
      <w:r w:rsidRPr="00902E11">
        <w:t>water SMRs with passive safety features or reactors that do not use light</w:t>
      </w:r>
      <w:r w:rsidR="00663950">
        <w:t xml:space="preserve"> </w:t>
      </w:r>
      <w:r w:rsidRPr="00902E11">
        <w:t>water as a coolant.  This latter category</w:t>
      </w:r>
      <w:r>
        <w:t xml:space="preserve"> is commonly referred to as </w:t>
      </w:r>
      <w:r w:rsidR="003469D0">
        <w:t>non</w:t>
      </w:r>
      <w:r w:rsidR="00433E59">
        <w:t>-</w:t>
      </w:r>
      <w:r w:rsidR="003469D0">
        <w:t>light</w:t>
      </w:r>
      <w:r w:rsidR="002608B5">
        <w:t>-</w:t>
      </w:r>
      <w:r w:rsidR="003469D0">
        <w:t>water reactor (</w:t>
      </w:r>
      <w:r w:rsidR="00F87002">
        <w:t>non</w:t>
      </w:r>
      <w:r w:rsidR="00663950">
        <w:noBreakHyphen/>
      </w:r>
      <w:r w:rsidRPr="00902E11">
        <w:t>LWR</w:t>
      </w:r>
      <w:r w:rsidR="003469D0">
        <w:t>)</w:t>
      </w:r>
      <w:r w:rsidRPr="00902E11">
        <w:t xml:space="preserve"> technology. </w:t>
      </w:r>
      <w:r>
        <w:t xml:space="preserve"> Advanced designs using </w:t>
      </w:r>
      <w:r w:rsidR="00F87002">
        <w:t>non</w:t>
      </w:r>
      <w:r w:rsidR="00663950">
        <w:noBreakHyphen/>
      </w:r>
      <w:r w:rsidRPr="00902E11">
        <w:t xml:space="preserve">LWR technology include </w:t>
      </w:r>
      <w:r w:rsidRPr="00A3209C" w:rsidR="00A3209C">
        <w:t>liquid</w:t>
      </w:r>
      <w:r w:rsidR="005C7698">
        <w:t>-</w:t>
      </w:r>
      <w:r w:rsidRPr="00A3209C" w:rsidR="00A3209C">
        <w:t>metal-cooled</w:t>
      </w:r>
      <w:r w:rsidR="003469D0">
        <w:t xml:space="preserve"> reactors</w:t>
      </w:r>
      <w:r w:rsidRPr="00902E11">
        <w:t>, gas</w:t>
      </w:r>
      <w:r w:rsidR="00663950">
        <w:noBreakHyphen/>
      </w:r>
      <w:r w:rsidRPr="00902E11">
        <w:t>cooled reactors, and molten</w:t>
      </w:r>
      <w:r w:rsidR="00BC54D6">
        <w:noBreakHyphen/>
      </w:r>
      <w:r w:rsidRPr="00902E11">
        <w:t>salt</w:t>
      </w:r>
      <w:r w:rsidR="00BC54D6">
        <w:noBreakHyphen/>
      </w:r>
      <w:r w:rsidRPr="00902E11">
        <w:t xml:space="preserve">cooled reactors.  </w:t>
      </w:r>
      <w:r w:rsidRPr="00A3209C" w:rsidR="00A3209C">
        <w:t xml:space="preserve">These advanced designs range from </w:t>
      </w:r>
      <w:r w:rsidR="006F0047">
        <w:t xml:space="preserve">a few to hundreds of megawatts </w:t>
      </w:r>
      <w:r w:rsidRPr="00902E11">
        <w:t xml:space="preserve">in power size and apply modular construction concepts. </w:t>
      </w:r>
      <w:r>
        <w:t xml:space="preserve"> In addition</w:t>
      </w:r>
      <w:r w:rsidRPr="00711891">
        <w:t xml:space="preserve">, </w:t>
      </w:r>
      <w:r>
        <w:t>proposed</w:t>
      </w:r>
      <w:r w:rsidRPr="00711891">
        <w:t xml:space="preserve"> medical </w:t>
      </w:r>
      <w:r w:rsidR="00152FE4">
        <w:t>radio</w:t>
      </w:r>
      <w:r w:rsidRPr="00711891">
        <w:t xml:space="preserve">isotope facilities </w:t>
      </w:r>
      <w:r>
        <w:t>licensed under 10</w:t>
      </w:r>
      <w:r w:rsidR="00962B35">
        <w:t> </w:t>
      </w:r>
      <w:r>
        <w:t>CFR</w:t>
      </w:r>
      <w:r w:rsidR="00962B35">
        <w:t> </w:t>
      </w:r>
      <w:r>
        <w:t>Part</w:t>
      </w:r>
      <w:r w:rsidR="00962B35">
        <w:t> </w:t>
      </w:r>
      <w:r>
        <w:t xml:space="preserve">50 include production </w:t>
      </w:r>
      <w:r w:rsidR="00A3209C">
        <w:t xml:space="preserve">or </w:t>
      </w:r>
      <w:r>
        <w:t>utilization facilities that are nonreactor technologies</w:t>
      </w:r>
      <w:r w:rsidRPr="00711891">
        <w:t xml:space="preserve">.  </w:t>
      </w:r>
      <w:r w:rsidR="0090323B">
        <w:t>T</w:t>
      </w:r>
      <w:r w:rsidR="00663950">
        <w:t xml:space="preserve">his analysis groups </w:t>
      </w:r>
      <w:r w:rsidRPr="00711891">
        <w:t xml:space="preserve">the designs discussed in this paragraph </w:t>
      </w:r>
      <w:r w:rsidR="003B5814">
        <w:t>as</w:t>
      </w:r>
      <w:r w:rsidRPr="00711891">
        <w:t xml:space="preserve"> </w:t>
      </w:r>
      <w:r w:rsidRPr="000A5248">
        <w:t>SMRs</w:t>
      </w:r>
      <w:r w:rsidR="003B5814">
        <w:t xml:space="preserve"> and ONTs</w:t>
      </w:r>
      <w:r w:rsidRPr="00711891">
        <w:t xml:space="preserve">.  </w:t>
      </w:r>
      <w:r>
        <w:t>The</w:t>
      </w:r>
      <w:r w:rsidR="003B5814">
        <w:t>se</w:t>
      </w:r>
      <w:r>
        <w:t xml:space="preserve"> new designs typically have lower probabilities of severe accidents because of t</w:t>
      </w:r>
      <w:r w:rsidRPr="00711891">
        <w:t xml:space="preserve">heir smaller </w:t>
      </w:r>
      <w:r w:rsidR="0090323B">
        <w:t>source terms</w:t>
      </w:r>
      <w:r w:rsidRPr="00711891" w:rsidR="0090323B">
        <w:t xml:space="preserve"> </w:t>
      </w:r>
      <w:r w:rsidRPr="00711891">
        <w:t>or innovative safety features</w:t>
      </w:r>
      <w:r>
        <w:t>, which w</w:t>
      </w:r>
      <w:r w:rsidR="00802431">
        <w:t>ill</w:t>
      </w:r>
      <w:r w:rsidRPr="00711891">
        <w:t xml:space="preserve"> </w:t>
      </w:r>
      <w:r w:rsidR="003B5814">
        <w:t>result in</w:t>
      </w:r>
      <w:r w:rsidRPr="00711891">
        <w:t xml:space="preserve"> lower </w:t>
      </w:r>
      <w:r>
        <w:t>impacts to public health and safety from any radiological emergency</w:t>
      </w:r>
      <w:r w:rsidR="0090323B">
        <w:t>, as compared to large LWRs</w:t>
      </w:r>
      <w:r>
        <w:t>.</w:t>
      </w:r>
    </w:p>
    <w:p w:rsidR="009128E1" w:rsidP="008440FA" w14:paraId="33855214" w14:textId="77777777">
      <w:pPr>
        <w:spacing w:line="240" w:lineRule="auto"/>
      </w:pPr>
    </w:p>
    <w:p w:rsidR="009128E1" w:rsidRPr="00711891" w:rsidP="008440FA" w14:paraId="1CAAA01C" w14:textId="16F9906C">
      <w:pPr>
        <w:spacing w:line="240" w:lineRule="auto"/>
      </w:pPr>
      <w:r>
        <w:t xml:space="preserve">Historically, as </w:t>
      </w:r>
      <w:r w:rsidR="006B0843">
        <w:t xml:space="preserve">the </w:t>
      </w:r>
      <w:r>
        <w:t xml:space="preserve">industry proposed new reactor designs, the </w:t>
      </w:r>
      <w:r w:rsidR="003971A5">
        <w:t>NRC</w:t>
      </w:r>
      <w:r>
        <w:t xml:space="preserve"> considered the need to modify EP requirements that were developed to support the large LWRs in operation today.  </w:t>
      </w:r>
      <w:r w:rsidR="00663950">
        <w:t>The</w:t>
      </w:r>
      <w:r>
        <w:t xml:space="preserve"> final regulatory basis for this rule</w:t>
      </w:r>
      <w:r w:rsidR="00663950">
        <w:t xml:space="preserve"> covers this history in detail</w:t>
      </w:r>
      <w:r w:rsidR="006B1A9F">
        <w:t xml:space="preserve"> (NRC,</w:t>
      </w:r>
      <w:r w:rsidR="00663950">
        <w:t> </w:t>
      </w:r>
      <w:r w:rsidR="006B1A9F">
        <w:t>2017a</w:t>
      </w:r>
      <w:r w:rsidR="003B5814">
        <w:t>)</w:t>
      </w:r>
      <w:r>
        <w:t>, and Appendix</w:t>
      </w:r>
      <w:r w:rsidR="0064724E">
        <w:t> </w:t>
      </w:r>
      <w:r w:rsidR="000F4172">
        <w:t>A to</w:t>
      </w:r>
      <w:r w:rsidR="003B5814">
        <w:t xml:space="preserve"> this document</w:t>
      </w:r>
      <w:r w:rsidR="00663950">
        <w:t xml:space="preserve"> summarizes </w:t>
      </w:r>
      <w:r w:rsidR="0064724E">
        <w:t>the history</w:t>
      </w:r>
      <w:r>
        <w:t>.</w:t>
      </w:r>
    </w:p>
    <w:p w:rsidR="009128E1" w:rsidP="008440FA" w14:paraId="58CD19A7" w14:textId="1F25266B">
      <w:pPr>
        <w:spacing w:line="240" w:lineRule="auto"/>
      </w:pPr>
    </w:p>
    <w:p w:rsidR="00522963" w:rsidP="008440FA" w14:paraId="063B39F2" w14:textId="03FDC402">
      <w:pPr>
        <w:spacing w:line="240" w:lineRule="auto"/>
      </w:pPr>
      <w:r w:rsidRPr="000A5248">
        <w:t xml:space="preserve">For the purposes of this regulatory </w:t>
      </w:r>
      <w:r>
        <w:t>analysis</w:t>
      </w:r>
      <w:r w:rsidRPr="000A5248">
        <w:t>, the term “</w:t>
      </w:r>
      <w:r w:rsidR="00663950">
        <w:t>small modular reactor</w:t>
      </w:r>
      <w:r w:rsidRPr="000A5248">
        <w:t xml:space="preserve">” refers to a nuclear </w:t>
      </w:r>
      <w:r w:rsidR="0090323B">
        <w:t xml:space="preserve">power </w:t>
      </w:r>
      <w:r w:rsidRPr="000A5248">
        <w:t xml:space="preserve">reactor (or module) </w:t>
      </w:r>
      <w:r w:rsidR="00E9325B">
        <w:t>that has</w:t>
      </w:r>
      <w:r w:rsidRPr="000A5248">
        <w:t xml:space="preserve"> a licensed thermal power rating of </w:t>
      </w:r>
      <w:r w:rsidR="003B5814">
        <w:t xml:space="preserve">less than or equal to </w:t>
      </w:r>
      <w:r w:rsidRPr="000A5248">
        <w:t>1,000</w:t>
      </w:r>
      <w:r w:rsidR="00E9325B">
        <w:t> </w:t>
      </w:r>
      <w:r w:rsidRPr="000A5248">
        <w:t xml:space="preserve">megawatts (approximately </w:t>
      </w:r>
      <w:r w:rsidRPr="0064724E">
        <w:t>300</w:t>
      </w:r>
      <w:r w:rsidR="006B0843">
        <w:t> </w:t>
      </w:r>
      <w:r w:rsidRPr="0064724E">
        <w:t>megawatts electric) per</w:t>
      </w:r>
      <w:r w:rsidRPr="000A5248">
        <w:t xml:space="preserve"> module</w:t>
      </w:r>
      <w:r w:rsidR="00E9325B">
        <w:t xml:space="preserve"> and</w:t>
      </w:r>
      <w:r w:rsidRPr="000A5248">
        <w:t xml:space="preserve"> that is licensed by the Commission under the authority of Section</w:t>
      </w:r>
      <w:r w:rsidR="006B0843">
        <w:t> </w:t>
      </w:r>
      <w:r w:rsidRPr="000A5248">
        <w:t>103</w:t>
      </w:r>
      <w:r w:rsidR="00F0282E">
        <w:t xml:space="preserve"> or</w:t>
      </w:r>
      <w:r w:rsidR="006B0843">
        <w:t> </w:t>
      </w:r>
      <w:r w:rsidR="00F0282E">
        <w:t>104</w:t>
      </w:r>
      <w:r w:rsidRPr="000A5248">
        <w:t xml:space="preserve"> of the Atomic Energy Act of 1954, as amended (</w:t>
      </w:r>
      <w:r w:rsidRPr="000A5248">
        <w:t>AEA</w:t>
      </w:r>
      <w:r w:rsidRPr="000A5248">
        <w:t xml:space="preserve">), and </w:t>
      </w:r>
      <w:r w:rsidR="00E9325B">
        <w:t>under</w:t>
      </w:r>
      <w:r w:rsidR="000542BF">
        <w:t xml:space="preserve"> the provisions of </w:t>
      </w:r>
      <w:r w:rsidR="0090323B">
        <w:t>10</w:t>
      </w:r>
      <w:r w:rsidR="006B0843">
        <w:t> </w:t>
      </w:r>
      <w:r w:rsidR="0090323B">
        <w:t>CFR</w:t>
      </w:r>
      <w:r w:rsidR="006B0843">
        <w:t> </w:t>
      </w:r>
      <w:r w:rsidR="0090323B">
        <w:t>50.21</w:t>
      </w:r>
      <w:r w:rsidR="00E9535C">
        <w:t xml:space="preserve">, </w:t>
      </w:r>
      <w:r w:rsidRPr="00E9535C" w:rsidR="00E9535C">
        <w:t xml:space="preserve">“Class 104 licenses; for medical </w:t>
      </w:r>
      <w:r w:rsidRPr="00E9535C" w:rsidR="00E9535C">
        <w:t>therapy and research and development facilities,”</w:t>
      </w:r>
      <w:r w:rsidR="0090323B">
        <w:t xml:space="preserve"> or </w:t>
      </w:r>
      <w:r w:rsidR="000542BF">
        <w:t>10</w:t>
      </w:r>
      <w:r w:rsidR="006B0843">
        <w:t> </w:t>
      </w:r>
      <w:r w:rsidR="000542BF">
        <w:t>CFR</w:t>
      </w:r>
      <w:r w:rsidR="006B0843">
        <w:t> </w:t>
      </w:r>
      <w:r w:rsidR="000542BF">
        <w:t>50.22</w:t>
      </w:r>
      <w:r w:rsidRPr="00E9535C" w:rsidR="00E9535C">
        <w:t>, “Class 103 licenses; for commercial and industrial facilities</w:t>
      </w:r>
      <w:r w:rsidR="000542BF">
        <w:t>.</w:t>
      </w:r>
      <w:r w:rsidR="00E9535C">
        <w:t>”</w:t>
      </w:r>
      <w:r w:rsidRPr="000A5248">
        <w:t xml:space="preserve">  </w:t>
      </w:r>
      <w:r>
        <w:t xml:space="preserve">The </w:t>
      </w:r>
      <w:r w:rsidR="00771861">
        <w:t xml:space="preserve">final </w:t>
      </w:r>
      <w:r w:rsidR="0032631D">
        <w:t xml:space="preserve">rulemaking defines the </w:t>
      </w:r>
      <w:r>
        <w:t>term</w:t>
      </w:r>
      <w:r w:rsidRPr="000A5248">
        <w:t xml:space="preserve"> “</w:t>
      </w:r>
      <w:r w:rsidR="0032631D">
        <w:t>small modular reactor</w:t>
      </w:r>
      <w:r w:rsidRPr="000A5248">
        <w:t>” to clarify the applicability of EP requirements for these facilities.  The definition of SMR w</w:t>
      </w:r>
      <w:r w:rsidR="00771861">
        <w:t>ill</w:t>
      </w:r>
      <w:r w:rsidRPr="000A5248">
        <w:t xml:space="preserve"> be based, in part, on the definition of SMR in 10</w:t>
      </w:r>
      <w:r w:rsidR="006B0843">
        <w:t> </w:t>
      </w:r>
      <w:r w:rsidRPr="000A5248">
        <w:t>CFR</w:t>
      </w:r>
      <w:r w:rsidR="006B0843">
        <w:t> </w:t>
      </w:r>
      <w:r w:rsidRPr="000A5248">
        <w:t>17</w:t>
      </w:r>
      <w:r w:rsidR="00591110">
        <w:t>1</w:t>
      </w:r>
      <w:r w:rsidRPr="000A5248">
        <w:t>.</w:t>
      </w:r>
      <w:r w:rsidR="00591110">
        <w:t>5</w:t>
      </w:r>
      <w:r w:rsidR="000D2A5D">
        <w:t>,</w:t>
      </w:r>
      <w:r w:rsidRPr="000A5248">
        <w:t xml:space="preserve"> “Definitions.”</w:t>
      </w:r>
      <w:r>
        <w:t xml:space="preserve">  </w:t>
      </w:r>
      <w:r w:rsidRPr="000A5248">
        <w:t xml:space="preserve">For the purposes of this regulatory </w:t>
      </w:r>
      <w:r>
        <w:t>analysis</w:t>
      </w:r>
      <w:r w:rsidRPr="000A5248">
        <w:t>, the term</w:t>
      </w:r>
      <w:r>
        <w:t xml:space="preserve"> </w:t>
      </w:r>
      <w:r w:rsidRPr="00756788">
        <w:t>“</w:t>
      </w:r>
      <w:r w:rsidR="003B5814">
        <w:t>non</w:t>
      </w:r>
      <w:r w:rsidR="0032631D">
        <w:noBreakHyphen/>
        <w:t>light</w:t>
      </w:r>
      <w:r w:rsidR="00E7031B">
        <w:t>-</w:t>
      </w:r>
      <w:r w:rsidR="0032631D">
        <w:t>water reactor</w:t>
      </w:r>
      <w:r w:rsidRPr="00D77960">
        <w:t>”</w:t>
      </w:r>
      <w:r w:rsidRPr="005F751C">
        <w:t xml:space="preserve"> means a nuclear power reactor using a coolant other than </w:t>
      </w:r>
      <w:r w:rsidR="0090323B">
        <w:t xml:space="preserve">light </w:t>
      </w:r>
      <w:r w:rsidRPr="005F751C">
        <w:t>water.</w:t>
      </w:r>
    </w:p>
    <w:p w:rsidR="00522963" w:rsidP="008440FA" w14:paraId="292ABCCD" w14:textId="1F5D8161">
      <w:pPr>
        <w:spacing w:line="240" w:lineRule="auto"/>
      </w:pPr>
    </w:p>
    <w:p w:rsidR="00FB6F5B" w:rsidRPr="00FB6F5B" w:rsidP="008440FA" w14:paraId="148AC745" w14:textId="245112BF">
      <w:pPr>
        <w:spacing w:line="240" w:lineRule="auto"/>
        <w:rPr>
          <w:b/>
          <w:u w:val="single"/>
        </w:rPr>
      </w:pPr>
      <w:r w:rsidRPr="00222C4E">
        <w:rPr>
          <w:b/>
          <w:u w:val="single"/>
        </w:rPr>
        <w:t xml:space="preserve">Current </w:t>
      </w:r>
      <w:r w:rsidR="007C181F">
        <w:rPr>
          <w:b/>
          <w:u w:val="single"/>
        </w:rPr>
        <w:t>Emergency Preparedness</w:t>
      </w:r>
      <w:r w:rsidRPr="00222C4E" w:rsidR="007C181F">
        <w:rPr>
          <w:b/>
          <w:u w:val="single"/>
        </w:rPr>
        <w:t xml:space="preserve"> </w:t>
      </w:r>
      <w:r w:rsidRPr="00222C4E">
        <w:rPr>
          <w:b/>
          <w:u w:val="single"/>
        </w:rPr>
        <w:t>Regulations</w:t>
      </w:r>
      <w:r>
        <w:rPr>
          <w:b/>
          <w:u w:val="single"/>
        </w:rPr>
        <w:t xml:space="preserve"> </w:t>
      </w:r>
      <w:r w:rsidRPr="00FB6F5B">
        <w:rPr>
          <w:b/>
          <w:u w:val="single"/>
        </w:rPr>
        <w:t>for Large Light</w:t>
      </w:r>
      <w:r w:rsidR="00EC2CAF">
        <w:rPr>
          <w:b/>
          <w:u w:val="single"/>
        </w:rPr>
        <w:t xml:space="preserve"> </w:t>
      </w:r>
      <w:r w:rsidRPr="00FB6F5B">
        <w:rPr>
          <w:b/>
          <w:u w:val="single"/>
        </w:rPr>
        <w:t xml:space="preserve">Water Reactors </w:t>
      </w:r>
    </w:p>
    <w:p w:rsidR="009128E1" w:rsidP="008440FA" w14:paraId="6443FB04" w14:textId="3E5FB5B1">
      <w:pPr>
        <w:spacing w:line="240" w:lineRule="auto"/>
      </w:pPr>
    </w:p>
    <w:p w:rsidR="009128E1" w:rsidRPr="00CC1B26" w:rsidP="008440FA" w14:paraId="1F01ADFC" w14:textId="464AA8CD">
      <w:pPr>
        <w:spacing w:line="240" w:lineRule="auto"/>
      </w:pPr>
      <w:r w:rsidRPr="00CC1B26">
        <w:t>The NRC’s existing EP regulations vary depending on the type of licensee.</w:t>
      </w:r>
      <w:r>
        <w:t xml:space="preserve">  </w:t>
      </w:r>
      <w:r w:rsidR="008440FA">
        <w:t>A</w:t>
      </w:r>
      <w:r w:rsidRPr="009E585A" w:rsidR="008440FA">
        <w:t>pplicants for a construction permit</w:t>
      </w:r>
      <w:r w:rsidR="008440FA">
        <w:t>, early site permit, operating license</w:t>
      </w:r>
      <w:r w:rsidR="00C547FC">
        <w:t xml:space="preserve"> (OL)</w:t>
      </w:r>
      <w:r w:rsidR="008440FA">
        <w:t>, or combined license</w:t>
      </w:r>
      <w:r w:rsidR="00C547FC">
        <w:t xml:space="preserve"> (COL)</w:t>
      </w:r>
      <w:r w:rsidR="008440FA">
        <w:t xml:space="preserve"> are required to provide emergency planning information as described under 10</w:t>
      </w:r>
      <w:r w:rsidR="006B0843">
        <w:t> </w:t>
      </w:r>
      <w:r w:rsidR="008440FA">
        <w:t>CFR</w:t>
      </w:r>
      <w:r w:rsidR="006B0843">
        <w:t> </w:t>
      </w:r>
      <w:r w:rsidR="008440FA">
        <w:t>50.33, “Contents of applications</w:t>
      </w:r>
      <w:r w:rsidR="006B0843">
        <w:t>;</w:t>
      </w:r>
      <w:r w:rsidR="008440FA">
        <w:t xml:space="preserve"> general information”</w:t>
      </w:r>
      <w:r w:rsidR="006B0843">
        <w:t>;</w:t>
      </w:r>
      <w:r w:rsidR="008440FA">
        <w:t xml:space="preserve"> 10 CFR </w:t>
      </w:r>
      <w:r w:rsidRPr="009E585A" w:rsidR="008440FA">
        <w:t xml:space="preserve">50.34, “Contents of </w:t>
      </w:r>
      <w:r w:rsidR="008440FA">
        <w:t>a</w:t>
      </w:r>
      <w:r w:rsidRPr="009E585A" w:rsidR="008440FA">
        <w:t xml:space="preserve">pplications; </w:t>
      </w:r>
      <w:r w:rsidR="008440FA">
        <w:t>t</w:t>
      </w:r>
      <w:r w:rsidRPr="009E585A" w:rsidR="008440FA">
        <w:t xml:space="preserve">echnical </w:t>
      </w:r>
      <w:r w:rsidR="008440FA">
        <w:t>i</w:t>
      </w:r>
      <w:r w:rsidRPr="009E585A" w:rsidR="008440FA">
        <w:t>nformation”</w:t>
      </w:r>
      <w:r w:rsidR="006B0843">
        <w:t>;</w:t>
      </w:r>
      <w:r w:rsidRPr="009E585A" w:rsidR="008440FA">
        <w:t xml:space="preserve"> </w:t>
      </w:r>
      <w:r w:rsidR="008440FA">
        <w:t>10</w:t>
      </w:r>
      <w:r w:rsidR="006B0843">
        <w:t> </w:t>
      </w:r>
      <w:r w:rsidR="008440FA">
        <w:t>CFR</w:t>
      </w:r>
      <w:r w:rsidR="006B0843">
        <w:t> </w:t>
      </w:r>
      <w:r w:rsidR="008440FA">
        <w:t>52.17, “Contents of applications; technical information”</w:t>
      </w:r>
      <w:r w:rsidR="006B0843">
        <w:t>;</w:t>
      </w:r>
      <w:r w:rsidR="008440FA">
        <w:t xml:space="preserve"> or 10 CFR </w:t>
      </w:r>
      <w:r w:rsidRPr="009E585A" w:rsidR="008440FA">
        <w:t xml:space="preserve">52.79, “Contents of </w:t>
      </w:r>
      <w:r w:rsidR="008440FA">
        <w:t>a</w:t>
      </w:r>
      <w:r w:rsidRPr="009E585A" w:rsidR="008440FA">
        <w:t xml:space="preserve">pplications; </w:t>
      </w:r>
      <w:r w:rsidR="008440FA">
        <w:t>t</w:t>
      </w:r>
      <w:r w:rsidRPr="009E585A" w:rsidR="008440FA">
        <w:t xml:space="preserve">echnical </w:t>
      </w:r>
      <w:r w:rsidR="008440FA">
        <w:t>i</w:t>
      </w:r>
      <w:r w:rsidRPr="009E585A" w:rsidR="008440FA">
        <w:t xml:space="preserve">nformation in </w:t>
      </w:r>
      <w:r w:rsidR="008440FA">
        <w:t>f</w:t>
      </w:r>
      <w:r w:rsidRPr="009E585A" w:rsidR="008440FA">
        <w:t xml:space="preserve">inal </w:t>
      </w:r>
      <w:r w:rsidR="008440FA">
        <w:t>s</w:t>
      </w:r>
      <w:r w:rsidRPr="009E585A" w:rsidR="008440FA">
        <w:t xml:space="preserve">afety </w:t>
      </w:r>
      <w:r w:rsidR="008440FA">
        <w:t>a</w:t>
      </w:r>
      <w:r w:rsidRPr="009E585A" w:rsidR="008440FA">
        <w:t xml:space="preserve">nalysis </w:t>
      </w:r>
      <w:r w:rsidR="008440FA">
        <w:t>r</w:t>
      </w:r>
      <w:r w:rsidRPr="009E585A" w:rsidR="008440FA">
        <w:t>eport</w:t>
      </w:r>
      <w:r w:rsidR="008440FA">
        <w:t>.”</w:t>
      </w:r>
      <w:r w:rsidRPr="00CC1B26">
        <w:t xml:space="preserve">  </w:t>
      </w:r>
      <w:r w:rsidR="009C7C70">
        <w:t>E</w:t>
      </w:r>
      <w:r w:rsidRPr="00CC1B26">
        <w:t>mergency plans</w:t>
      </w:r>
      <w:r w:rsidR="009C7C70">
        <w:t xml:space="preserve"> must include the specific items</w:t>
      </w:r>
      <w:r w:rsidRPr="00CC1B26">
        <w:t xml:space="preserve"> set forth in Appendix</w:t>
      </w:r>
      <w:r w:rsidR="001E3B41">
        <w:t> </w:t>
      </w:r>
      <w:r w:rsidRPr="00CC1B26">
        <w:t>E, “Emergency Planning and Preparedness for Production and Utilization Facilities,” to 10</w:t>
      </w:r>
      <w:r w:rsidR="001E3B41">
        <w:t> </w:t>
      </w:r>
      <w:r w:rsidRPr="00CC1B26">
        <w:t>CFR</w:t>
      </w:r>
      <w:r w:rsidR="001E3B41">
        <w:t> </w:t>
      </w:r>
      <w:r w:rsidRPr="00CC1B26">
        <w:t>Part</w:t>
      </w:r>
      <w:r w:rsidR="001E3B41">
        <w:t> </w:t>
      </w:r>
      <w:r w:rsidRPr="00CC1B26">
        <w:t>50.  Additionally, the regulations in 10</w:t>
      </w:r>
      <w:r w:rsidR="0064724E">
        <w:t> </w:t>
      </w:r>
      <w:r w:rsidRPr="00CC1B26">
        <w:t>CFR</w:t>
      </w:r>
      <w:r w:rsidR="0064724E">
        <w:t> </w:t>
      </w:r>
      <w:r w:rsidRPr="00CC1B26">
        <w:t xml:space="preserve">50.47, “Emergency </w:t>
      </w:r>
      <w:r w:rsidR="005313EE">
        <w:t>p</w:t>
      </w:r>
      <w:r w:rsidRPr="00CC1B26">
        <w:t>lans</w:t>
      </w:r>
      <w:r w:rsidR="001E3B41">
        <w:t>,</w:t>
      </w:r>
      <w:r w:rsidRPr="00CC1B26">
        <w:t>” provide EP requirements for nuclear power reactors.  Other relevant regulations include 10</w:t>
      </w:r>
      <w:r>
        <w:t> </w:t>
      </w:r>
      <w:r w:rsidRPr="00CC1B26">
        <w:t>CFR 50.54</w:t>
      </w:r>
      <w:r w:rsidR="001E3B41">
        <w:t>(</w:t>
      </w:r>
      <w:r w:rsidRPr="00CC1B26" w:rsidR="001E3B41">
        <w:t>q), (s), and (t)</w:t>
      </w:r>
      <w:r w:rsidRPr="00CC1B26">
        <w:t xml:space="preserve">.  </w:t>
      </w:r>
      <w:r w:rsidR="001E3B41">
        <w:t>B</w:t>
      </w:r>
      <w:r w:rsidRPr="00B17ECB">
        <w:t xml:space="preserve">ased on </w:t>
      </w:r>
      <w:r>
        <w:t xml:space="preserve">its </w:t>
      </w:r>
      <w:r w:rsidRPr="00B17ECB">
        <w:t xml:space="preserve">authority under the </w:t>
      </w:r>
      <w:r w:rsidRPr="00B17ECB">
        <w:t>AEA</w:t>
      </w:r>
      <w:r>
        <w:t>,</w:t>
      </w:r>
      <w:r w:rsidRPr="00CC1B26">
        <w:t xml:space="preserve"> </w:t>
      </w:r>
      <w:r w:rsidR="001E3B41">
        <w:t xml:space="preserve">the Commission </w:t>
      </w:r>
      <w:r w:rsidRPr="00CC1B26">
        <w:t xml:space="preserve">determined </w:t>
      </w:r>
      <w:r>
        <w:t xml:space="preserve">that these requirements </w:t>
      </w:r>
      <w:r w:rsidRPr="00CC1B26">
        <w:t xml:space="preserve">are necessary for operating production and utilization facilities to </w:t>
      </w:r>
      <w:r w:rsidR="00E9205E">
        <w:t>protect</w:t>
      </w:r>
      <w:r w:rsidRPr="00CC1B26">
        <w:t xml:space="preserve"> public health and safety.  </w:t>
      </w:r>
      <w:r>
        <w:t>T</w:t>
      </w:r>
      <w:r w:rsidRPr="00CC1B26">
        <w:t xml:space="preserve">his section </w:t>
      </w:r>
      <w:r>
        <w:t xml:space="preserve">summarizes </w:t>
      </w:r>
      <w:r w:rsidRPr="00CC1B26">
        <w:t>the existing regulatory frameworks applicable to large LWRs.</w:t>
      </w:r>
    </w:p>
    <w:p w:rsidR="009128E1" w:rsidRPr="006647C3" w:rsidP="008440FA" w14:paraId="1E7C54BF" w14:textId="77777777">
      <w:pPr>
        <w:spacing w:line="240" w:lineRule="auto"/>
      </w:pPr>
    </w:p>
    <w:p w:rsidR="009128E1" w:rsidRPr="00CC1B26" w:rsidP="008440FA" w14:paraId="19D9387F" w14:textId="3AE7261B">
      <w:pPr>
        <w:spacing w:line="240" w:lineRule="auto"/>
      </w:pPr>
      <w:r w:rsidRPr="00CC1B26">
        <w:t xml:space="preserve">The </w:t>
      </w:r>
      <w:r>
        <w:t xml:space="preserve">EP </w:t>
      </w:r>
      <w:r w:rsidRPr="00CC1B26">
        <w:t xml:space="preserve">regulatory framework requires each </w:t>
      </w:r>
      <w:r>
        <w:t xml:space="preserve">large </w:t>
      </w:r>
      <w:r w:rsidR="00390A76">
        <w:t>LWR</w:t>
      </w:r>
      <w:r w:rsidRPr="00CC1B26">
        <w:t xml:space="preserve"> licensee to establish and maintain emergency plans and </w:t>
      </w:r>
      <w:r w:rsidR="00825F6F">
        <w:t>EP</w:t>
      </w:r>
      <w:r w:rsidRPr="00CC1B26">
        <w:t xml:space="preserve">.  The regulations include standards for onsite and offsite emergency response plans.  These regulations and the planning basis for EP are based on the </w:t>
      </w:r>
      <w:r w:rsidRPr="001D1E53">
        <w:t>methodology presented in NRC technical report (</w:t>
      </w:r>
      <w:r w:rsidRPr="001D1E53">
        <w:t>NUREG</w:t>
      </w:r>
      <w:r w:rsidRPr="001D1E53">
        <w:t>) NUREG</w:t>
      </w:r>
      <w:r w:rsidR="006E6C1D">
        <w:noBreakHyphen/>
      </w:r>
      <w:r w:rsidRPr="001D1E53">
        <w:t>0396 (</w:t>
      </w:r>
      <w:r w:rsidRPr="006647C3">
        <w:t>U.S.</w:t>
      </w:r>
      <w:r>
        <w:t> </w:t>
      </w:r>
      <w:r w:rsidRPr="006647C3">
        <w:t xml:space="preserve">Environmental Protection Agency </w:t>
      </w:r>
      <w:r w:rsidR="00183242">
        <w:t>(</w:t>
      </w:r>
      <w:r w:rsidRPr="006647C3">
        <w:t>EPA</w:t>
      </w:r>
      <w:r w:rsidR="00183242">
        <w:t>)</w:t>
      </w:r>
      <w:r w:rsidR="004A7CF5">
        <w:t> </w:t>
      </w:r>
      <w:r w:rsidRPr="001D1E53">
        <w:t>520/1</w:t>
      </w:r>
      <w:r w:rsidR="00183242">
        <w:noBreakHyphen/>
      </w:r>
      <w:r w:rsidRPr="001D1E53">
        <w:t>78</w:t>
      </w:r>
      <w:r w:rsidR="00183242">
        <w:noBreakHyphen/>
      </w:r>
      <w:r w:rsidRPr="001D1E53">
        <w:t>016), “Planning Basis for the Development of State and Local Government Radiological Emergency Response Plans in Support of L</w:t>
      </w:r>
      <w:r w:rsidRPr="006647C3">
        <w:t>ight</w:t>
      </w:r>
      <w:r w:rsidR="001E3B41">
        <w:t xml:space="preserve"> </w:t>
      </w:r>
      <w:r w:rsidRPr="006647C3">
        <w:t>Water Nuclear Power Plants</w:t>
      </w:r>
      <w:r w:rsidR="006E6C1D">
        <w:t>,</w:t>
      </w:r>
      <w:r w:rsidRPr="001D1E53">
        <w:t>”</w:t>
      </w:r>
      <w:r w:rsidR="006E6C1D">
        <w:t xml:space="preserve"> issued December 1978</w:t>
      </w:r>
      <w:r w:rsidRPr="006647C3">
        <w:t xml:space="preserve"> (</w:t>
      </w:r>
      <w:r>
        <w:t>NRC and EPA,</w:t>
      </w:r>
      <w:r w:rsidR="006E6C1D">
        <w:t> </w:t>
      </w:r>
      <w:r>
        <w:t>1978</w:t>
      </w:r>
      <w:r w:rsidRPr="001D1E53">
        <w:t>)</w:t>
      </w:r>
      <w:r w:rsidRPr="00CC1B26">
        <w:t>.</w:t>
      </w:r>
    </w:p>
    <w:p w:rsidR="009128E1" w:rsidP="008440FA" w14:paraId="3D590DD9" w14:textId="77777777">
      <w:pPr>
        <w:spacing w:line="240" w:lineRule="auto"/>
      </w:pPr>
    </w:p>
    <w:p w:rsidR="009128E1" w:rsidRPr="00CC1B26" w:rsidP="008440FA" w14:paraId="1C7500AC" w14:textId="6C583B81">
      <w:pPr>
        <w:spacing w:line="240" w:lineRule="auto"/>
      </w:pPr>
      <w:r>
        <w:t xml:space="preserve">Through an </w:t>
      </w:r>
      <w:r w:rsidRPr="00CC1B26">
        <w:t>NRC-approved EP program</w:t>
      </w:r>
      <w:r>
        <w:t>,</w:t>
      </w:r>
      <w:r w:rsidRPr="00CC1B26">
        <w:t xml:space="preserve"> </w:t>
      </w:r>
      <w:r>
        <w:t xml:space="preserve">a large </w:t>
      </w:r>
      <w:r w:rsidR="004D2BB0">
        <w:t>LWR</w:t>
      </w:r>
      <w:r w:rsidRPr="00CC1B26">
        <w:t xml:space="preserve"> </w:t>
      </w:r>
      <w:r>
        <w:t xml:space="preserve">licensee has </w:t>
      </w:r>
      <w:r w:rsidRPr="00CC1B26">
        <w:t>the capability to identify emergency conditions, assess radiological impact, communicate protective action recommendations, and mitigate the event.  Offsite response organizations (</w:t>
      </w:r>
      <w:r w:rsidRPr="00CC1B26">
        <w:t>OROs</w:t>
      </w:r>
      <w:r w:rsidRPr="00CC1B26">
        <w:t xml:space="preserve">) maintained by </w:t>
      </w:r>
      <w:r>
        <w:t xml:space="preserve">State and </w:t>
      </w:r>
      <w:r w:rsidRPr="00CC1B26">
        <w:t xml:space="preserve">local government authorities are responsible for developing their EP programs </w:t>
      </w:r>
      <w:r w:rsidR="006E6C1D">
        <w:t>as they apply</w:t>
      </w:r>
      <w:r w:rsidRPr="00CC1B26" w:rsidR="006E6C1D">
        <w:t xml:space="preserve"> </w:t>
      </w:r>
      <w:r w:rsidRPr="00CC1B26">
        <w:t xml:space="preserve">to </w:t>
      </w:r>
      <w:r w:rsidR="00887892">
        <w:t xml:space="preserve">an </w:t>
      </w:r>
      <w:r w:rsidRPr="00CC1B26">
        <w:t xml:space="preserve">offsite response.  These programs give </w:t>
      </w:r>
      <w:r>
        <w:t>OROs</w:t>
      </w:r>
      <w:r>
        <w:t xml:space="preserve"> </w:t>
      </w:r>
      <w:r w:rsidRPr="00CC1B26">
        <w:t>the capability to alert and notify the public, implement protective actions as warranted, and assess radiological conditions beyond the facility to protect public health and safety.</w:t>
      </w:r>
    </w:p>
    <w:p w:rsidR="009128E1" w:rsidRPr="00CC1B26" w:rsidP="008440FA" w14:paraId="4FA77ADC" w14:textId="77777777">
      <w:pPr>
        <w:spacing w:line="240" w:lineRule="auto"/>
      </w:pPr>
    </w:p>
    <w:p w:rsidR="009128E1" w:rsidP="008440FA" w14:paraId="6721227C" w14:textId="4A5F4F2F">
      <w:pPr>
        <w:spacing w:line="240" w:lineRule="auto"/>
        <w:rPr>
          <w:lang w:val="en"/>
        </w:rPr>
      </w:pPr>
      <w:r w:rsidRPr="00CC1B26">
        <w:t xml:space="preserve">This regulatory structure requires </w:t>
      </w:r>
      <w:r w:rsidR="00ED36DF">
        <w:t xml:space="preserve">licensees </w:t>
      </w:r>
      <w:r w:rsidR="006E6C1D">
        <w:t xml:space="preserve">to </w:t>
      </w:r>
      <w:r w:rsidR="00ED36DF">
        <w:t xml:space="preserve">develop and maintain </w:t>
      </w:r>
      <w:r w:rsidRPr="00CC1B26">
        <w:t>site</w:t>
      </w:r>
      <w:r w:rsidR="006E6C1D">
        <w:noBreakHyphen/>
      </w:r>
      <w:r w:rsidRPr="00CC1B26">
        <w:t xml:space="preserve">specific emergency plans in compliance with </w:t>
      </w:r>
      <w:r w:rsidR="006E6C1D">
        <w:t xml:space="preserve">the </w:t>
      </w:r>
      <w:r w:rsidRPr="00CC1B26">
        <w:t>planning standards in 10</w:t>
      </w:r>
      <w:r w:rsidR="00E9205E">
        <w:t> </w:t>
      </w:r>
      <w:r w:rsidRPr="00CC1B26">
        <w:t>CFR</w:t>
      </w:r>
      <w:r w:rsidR="00E9205E">
        <w:t> </w:t>
      </w:r>
      <w:r w:rsidRPr="00CC1B26">
        <w:t xml:space="preserve">50.47(b).  </w:t>
      </w:r>
      <w:r w:rsidR="006E6C1D">
        <w:t>In addition</w:t>
      </w:r>
      <w:r w:rsidRPr="00CC1B26">
        <w:t>, it requires licensees to conduct drills and exercises to demonstrate response capabilit</w:t>
      </w:r>
      <w:r>
        <w:t>ies</w:t>
      </w:r>
      <w:r w:rsidRPr="00CC1B26">
        <w:t xml:space="preserve"> and to provide for critiques and corrective actions to address capability and performance weaknesses.  </w:t>
      </w:r>
      <w:r w:rsidRPr="00CC1B26">
        <w:rPr>
          <w:lang w:val="en"/>
        </w:rPr>
        <w:t>Section</w:t>
      </w:r>
      <w:r w:rsidR="006E6C1D">
        <w:rPr>
          <w:lang w:val="en"/>
        </w:rPr>
        <w:t> </w:t>
      </w:r>
      <w:r w:rsidRPr="00CC1B26">
        <w:rPr>
          <w:lang w:val="en"/>
        </w:rPr>
        <w:t>IV, “Content of Emergency Plans,” of Appendix</w:t>
      </w:r>
      <w:r w:rsidR="00E9205E">
        <w:rPr>
          <w:lang w:val="en"/>
        </w:rPr>
        <w:t> </w:t>
      </w:r>
      <w:r w:rsidRPr="00CC1B26">
        <w:rPr>
          <w:lang w:val="en"/>
        </w:rPr>
        <w:t>E to 10 CFR Part</w:t>
      </w:r>
      <w:r w:rsidR="00E9205E">
        <w:rPr>
          <w:lang w:val="en"/>
        </w:rPr>
        <w:t> </w:t>
      </w:r>
      <w:r w:rsidRPr="00CC1B26">
        <w:rPr>
          <w:lang w:val="en"/>
        </w:rPr>
        <w:t>50 describes the information</w:t>
      </w:r>
      <w:r w:rsidR="00B46138">
        <w:rPr>
          <w:lang w:val="en"/>
        </w:rPr>
        <w:t xml:space="preserve"> that</w:t>
      </w:r>
      <w:r w:rsidRPr="00CC1B26">
        <w:rPr>
          <w:lang w:val="en"/>
        </w:rPr>
        <w:t xml:space="preserve"> a licensee’s emergency plan </w:t>
      </w:r>
      <w:r>
        <w:rPr>
          <w:lang w:val="en"/>
        </w:rPr>
        <w:t xml:space="preserve">must </w:t>
      </w:r>
      <w:r w:rsidRPr="00CC1B26">
        <w:rPr>
          <w:lang w:val="en"/>
        </w:rPr>
        <w:t xml:space="preserve">contain.  In 10 CFR 50.54(q), the NRC </w:t>
      </w:r>
      <w:r>
        <w:rPr>
          <w:lang w:val="en"/>
        </w:rPr>
        <w:t xml:space="preserve">requires each licensee to </w:t>
      </w:r>
      <w:r w:rsidRPr="00CC1B26">
        <w:rPr>
          <w:lang w:val="en"/>
        </w:rPr>
        <w:t xml:space="preserve">follow and maintain the effectiveness of </w:t>
      </w:r>
      <w:r>
        <w:rPr>
          <w:lang w:val="en"/>
        </w:rPr>
        <w:t xml:space="preserve">its </w:t>
      </w:r>
      <w:r w:rsidRPr="00CC1B26">
        <w:rPr>
          <w:lang w:val="en"/>
        </w:rPr>
        <w:t>emergency plan.</w:t>
      </w:r>
    </w:p>
    <w:p w:rsidR="009128E1" w:rsidP="008440FA" w14:paraId="7D34E3B5" w14:textId="77777777">
      <w:pPr>
        <w:spacing w:line="240" w:lineRule="auto"/>
        <w:rPr>
          <w:lang w:val="en"/>
        </w:rPr>
      </w:pPr>
    </w:p>
    <w:p w:rsidR="009128E1" w:rsidP="008440FA" w14:paraId="71108FD6" w14:textId="4D38CD4A">
      <w:pPr>
        <w:spacing w:line="240" w:lineRule="auto"/>
      </w:pPr>
      <w:r w:rsidRPr="00817648">
        <w:t>In 1978, a task force</w:t>
      </w:r>
      <w:r w:rsidRPr="001B0E32">
        <w:t xml:space="preserve"> of NRC and EPA representatives established the technical basis for EP for </w:t>
      </w:r>
      <w:r>
        <w:t xml:space="preserve">large </w:t>
      </w:r>
      <w:r w:rsidR="00ED36DF">
        <w:t>LWRs</w:t>
      </w:r>
      <w:r w:rsidRPr="00CC1B26">
        <w:t xml:space="preserve"> </w:t>
      </w:r>
      <w:r w:rsidRPr="001B0E32">
        <w:t>and published the results in NUREG</w:t>
      </w:r>
      <w:r w:rsidR="00E9205E">
        <w:noBreakHyphen/>
      </w:r>
      <w:r w:rsidRPr="001B0E32">
        <w:t xml:space="preserve">0396.  The task force’s report concluded that the objective of emergency response plans should be to </w:t>
      </w:r>
      <w:r>
        <w:t>reduce human radiation exposure from</w:t>
      </w:r>
      <w:r w:rsidRPr="001B0E32">
        <w:t xml:space="preserve"> a spectrum of accidents that could produce offsite doses </w:t>
      </w:r>
      <w:r w:rsidR="005D3B08">
        <w:t>exceeding</w:t>
      </w:r>
      <w:r w:rsidRPr="001B0E32">
        <w:t xml:space="preserve"> the EPA protective action </w:t>
      </w:r>
      <w:r w:rsidRPr="001B0E32">
        <w:t>guides (</w:t>
      </w:r>
      <w:r w:rsidRPr="001B0E32">
        <w:t>PAGs</w:t>
      </w:r>
      <w:r w:rsidRPr="001B0E32">
        <w:t>)</w:t>
      </w:r>
      <w:r>
        <w:rPr>
          <w:rStyle w:val="FootnoteReference"/>
          <w:vertAlign w:val="superscript"/>
        </w:rPr>
        <w:footnoteReference w:id="3"/>
      </w:r>
      <w:r w:rsidRPr="001B0E32">
        <w:t xml:space="preserve"> (</w:t>
      </w:r>
      <w:r w:rsidR="008B684F">
        <w:t>EPA, 2017</w:t>
      </w:r>
      <w:r w:rsidRPr="001B0E32">
        <w:t xml:space="preserve">).  </w:t>
      </w:r>
      <w:r>
        <w:rPr>
          <w:lang w:val="en"/>
        </w:rPr>
        <w:t xml:space="preserve">The scope of the </w:t>
      </w:r>
      <w:r w:rsidR="00ED36DF">
        <w:rPr>
          <w:lang w:val="en"/>
        </w:rPr>
        <w:t xml:space="preserve">EP </w:t>
      </w:r>
      <w:r>
        <w:rPr>
          <w:lang w:val="en"/>
        </w:rPr>
        <w:t>planning effort includes three elements</w:t>
      </w:r>
      <w:r w:rsidR="005D3B08">
        <w:rPr>
          <w:lang w:val="en"/>
        </w:rPr>
        <w:t xml:space="preserve">: </w:t>
      </w:r>
      <w:r>
        <w:rPr>
          <w:lang w:val="en"/>
        </w:rPr>
        <w:t xml:space="preserve"> (</w:t>
      </w:r>
      <w:r>
        <w:rPr>
          <w:lang w:val="en"/>
        </w:rPr>
        <w:t>1)</w:t>
      </w:r>
      <w:r w:rsidR="00B02653">
        <w:rPr>
          <w:lang w:val="en"/>
        </w:rPr>
        <w:t> </w:t>
      </w:r>
      <w:r>
        <w:rPr>
          <w:lang w:val="en"/>
        </w:rPr>
        <w:t xml:space="preserve">the </w:t>
      </w:r>
      <w:r w:rsidRPr="00D729F6">
        <w:t>d</w:t>
      </w:r>
      <w:r w:rsidRPr="00767AE8">
        <w:t>istance to which planning for the initiation of predetermined</w:t>
      </w:r>
      <w:r w:rsidR="00B36E1D">
        <w:t>, prompt</w:t>
      </w:r>
      <w:r w:rsidRPr="00767AE8">
        <w:t xml:space="preserve"> protective </w:t>
      </w:r>
      <w:r w:rsidR="00B56E01">
        <w:t>measures</w:t>
      </w:r>
      <w:r w:rsidRPr="00767AE8">
        <w:t xml:space="preserve"> is </w:t>
      </w:r>
      <w:r w:rsidR="005D3B08">
        <w:t>necessary</w:t>
      </w:r>
      <w:r>
        <w:t>, (2)</w:t>
      </w:r>
      <w:r w:rsidR="00B02653">
        <w:t> </w:t>
      </w:r>
      <w:r>
        <w:t xml:space="preserve">the </w:t>
      </w:r>
      <w:r w:rsidRPr="00D729F6">
        <w:t>time-dependent characteristics of potential releases and e</w:t>
      </w:r>
      <w:r w:rsidRPr="00767AE8">
        <w:t>xposures</w:t>
      </w:r>
      <w:r>
        <w:t>, and (3</w:t>
      </w:r>
      <w:r w:rsidR="00ED36DF">
        <w:t>)</w:t>
      </w:r>
      <w:r w:rsidR="00B02653">
        <w:t> </w:t>
      </w:r>
      <w:r>
        <w:t xml:space="preserve">the </w:t>
      </w:r>
      <w:r w:rsidRPr="00D729F6">
        <w:t>types of radioactive m</w:t>
      </w:r>
      <w:r w:rsidRPr="00767AE8">
        <w:t xml:space="preserve">aterials </w:t>
      </w:r>
      <w:r w:rsidRPr="00D729F6">
        <w:t>p</w:t>
      </w:r>
      <w:r w:rsidRPr="00767AE8">
        <w:t xml:space="preserve">otentially </w:t>
      </w:r>
      <w:r w:rsidRPr="00D729F6">
        <w:t>r</w:t>
      </w:r>
      <w:r w:rsidRPr="00767AE8">
        <w:t>eleased</w:t>
      </w:r>
      <w:r w:rsidRPr="00D729F6">
        <w:t xml:space="preserve"> to the e</w:t>
      </w:r>
      <w:r w:rsidRPr="00767AE8">
        <w:t>nvironment</w:t>
      </w:r>
      <w:r>
        <w:t>.</w:t>
      </w:r>
    </w:p>
    <w:p w:rsidR="009128E1" w:rsidP="008440FA" w14:paraId="236AF2F7" w14:textId="77777777">
      <w:pPr>
        <w:spacing w:line="240" w:lineRule="auto"/>
      </w:pPr>
    </w:p>
    <w:p w:rsidR="009128E1" w:rsidP="008440FA" w14:paraId="58F7A8B3" w14:textId="17286262">
      <w:pPr>
        <w:spacing w:line="240" w:lineRule="auto"/>
      </w:pPr>
      <w:r>
        <w:t xml:space="preserve">For the first element, there are two types of </w:t>
      </w:r>
      <w:r w:rsidR="005D3B08">
        <w:t>e</w:t>
      </w:r>
      <w:r w:rsidRPr="00711891" w:rsidR="005D3B08">
        <w:t>mergency planning zone</w:t>
      </w:r>
      <w:r w:rsidR="005D3B08">
        <w:t>s (</w:t>
      </w:r>
      <w:r>
        <w:t>EPZs</w:t>
      </w:r>
      <w:r w:rsidR="005D3B08">
        <w:t>)</w:t>
      </w:r>
      <w:r>
        <w:t xml:space="preserve">.  </w:t>
      </w:r>
      <w:r w:rsidR="00703DC4">
        <w:t>In t</w:t>
      </w:r>
      <w:r>
        <w:t xml:space="preserve">he plume exposure pathway </w:t>
      </w:r>
      <w:r>
        <w:t>EPZ</w:t>
      </w:r>
      <w:r w:rsidR="00703DC4">
        <w:t>,</w:t>
      </w:r>
      <w:r>
        <w:t xml:space="preserve"> the principal exposure sources are from whole body external exposure to gamma radiation from the plume and from deposited material and inhalation exposure from the passing radioactive plume.  For the plume exposure path</w:t>
      </w:r>
      <w:r w:rsidR="006641B6">
        <w:t>way</w:t>
      </w:r>
      <w:r>
        <w:t xml:space="preserve"> </w:t>
      </w:r>
      <w:r>
        <w:t>EPZ</w:t>
      </w:r>
      <w:r>
        <w:t xml:space="preserve">, emergency plans are prepared to identify prompt </w:t>
      </w:r>
      <w:r w:rsidR="00ED36DF">
        <w:t>protective</w:t>
      </w:r>
      <w:r>
        <w:t xml:space="preserve"> actions </w:t>
      </w:r>
      <w:r w:rsidR="00ED36DF">
        <w:t>directed at avoiding or reducing dose to the members of the</w:t>
      </w:r>
      <w:r>
        <w:t xml:space="preserve"> public.  </w:t>
      </w:r>
      <w:r w:rsidR="002E4052">
        <w:t>In t</w:t>
      </w:r>
      <w:r>
        <w:t xml:space="preserve">he ingestion pathway </w:t>
      </w:r>
      <w:r>
        <w:t>EPZ</w:t>
      </w:r>
      <w:r w:rsidR="00B56E01">
        <w:t xml:space="preserve"> (</w:t>
      </w:r>
      <w:r w:rsidR="00B56E01">
        <w:t>IPZ</w:t>
      </w:r>
      <w:r w:rsidR="00B56E01">
        <w:t>)</w:t>
      </w:r>
      <w:r w:rsidR="002E4052">
        <w:t>,</w:t>
      </w:r>
      <w:r>
        <w:t xml:space="preserve"> the principal exposure would be from ingestion of contaminated </w:t>
      </w:r>
      <w:r w:rsidR="00ED36DF">
        <w:t>food or water</w:t>
      </w:r>
      <w:r>
        <w:t xml:space="preserve">.  For the </w:t>
      </w:r>
      <w:r w:rsidR="00B56E01">
        <w:t>IPZ</w:t>
      </w:r>
      <w:r>
        <w:t>, emergency plans are prepared to prevent radioactive material from potentially entering the food chain.</w:t>
      </w:r>
    </w:p>
    <w:p w:rsidR="009128E1" w:rsidP="008440FA" w14:paraId="65529D8D" w14:textId="0DB69D0E">
      <w:pPr>
        <w:spacing w:before="240" w:line="240" w:lineRule="auto"/>
      </w:pPr>
      <w:r w:rsidRPr="001B0E32">
        <w:t>Specifically, the task force calculated</w:t>
      </w:r>
      <w:r w:rsidR="00E26128">
        <w:t>:</w:t>
      </w:r>
      <w:r w:rsidRPr="001B0E32">
        <w:t xml:space="preserve"> (1) the release fraction from plants that exceeded EPA PAG doses beyond 10</w:t>
      </w:r>
      <w:r w:rsidR="00FF525E">
        <w:t> </w:t>
      </w:r>
      <w:r w:rsidRPr="001B0E32">
        <w:t>miles (16</w:t>
      </w:r>
      <w:r w:rsidR="00E9205E">
        <w:t> </w:t>
      </w:r>
      <w:r w:rsidRPr="001B0E32">
        <w:t>k</w:t>
      </w:r>
      <w:r>
        <w:t>ilo</w:t>
      </w:r>
      <w:r w:rsidRPr="001B0E32">
        <w:t>m</w:t>
      </w:r>
      <w:r>
        <w:t xml:space="preserve">eters </w:t>
      </w:r>
      <w:r w:rsidR="00FF525E">
        <w:t>(</w:t>
      </w:r>
      <w:r>
        <w:t>km</w:t>
      </w:r>
      <w:r w:rsidRPr="001B0E32">
        <w:t>)</w:t>
      </w:r>
      <w:r w:rsidR="00D430F0">
        <w:t>)</w:t>
      </w:r>
      <w:r w:rsidRPr="001B0E32">
        <w:t xml:space="preserve"> for </w:t>
      </w:r>
      <w:r>
        <w:t>design</w:t>
      </w:r>
      <w:r w:rsidR="00FF525E">
        <w:noBreakHyphen/>
      </w:r>
      <w:r>
        <w:t>basis accidents (</w:t>
      </w:r>
      <w:r w:rsidRPr="001B0E32">
        <w:t>DBAs</w:t>
      </w:r>
      <w:r>
        <w:t>)</w:t>
      </w:r>
      <w:r w:rsidRPr="001B0E32">
        <w:t>, (2)</w:t>
      </w:r>
      <w:r w:rsidR="00FF525E">
        <w:t> </w:t>
      </w:r>
      <w:r w:rsidRPr="001B0E32">
        <w:t>the probability of exceeding various dose thresholds as a function of distance from the reactor, and (3)</w:t>
      </w:r>
      <w:r w:rsidR="00FF525E">
        <w:t> </w:t>
      </w:r>
      <w:r w:rsidRPr="001B0E32">
        <w:t xml:space="preserve">the benefit of various protective action strategies.  </w:t>
      </w:r>
      <w:r w:rsidRPr="001B0E32" w:rsidR="00FF525E">
        <w:t>Based on</w:t>
      </w:r>
      <w:r w:rsidRPr="001B0E32">
        <w:t xml:space="preserve"> these analyses, the task force recommended that </w:t>
      </w:r>
      <w:r w:rsidR="00FF525E">
        <w:t xml:space="preserve">plants develop </w:t>
      </w:r>
      <w:r w:rsidRPr="001B0E32">
        <w:t>emergency plans for an area within a radius of about 10</w:t>
      </w:r>
      <w:r w:rsidR="00FF525E">
        <w:t> </w:t>
      </w:r>
      <w:r w:rsidRPr="001B0E32">
        <w:t>miles (16</w:t>
      </w:r>
      <w:r w:rsidR="00D430F0">
        <w:t> </w:t>
      </w:r>
      <w:r w:rsidRPr="001B0E32">
        <w:t xml:space="preserve">km) from the reactor for the plume exposure pathway </w:t>
      </w:r>
      <w:r w:rsidRPr="001B0E32">
        <w:t>EPZ</w:t>
      </w:r>
      <w:r w:rsidRPr="001B0E32">
        <w:t>.  Using a similar rationale and considering the projected dispersal and deposition of the radioactive material and the conversion of atmospheric iodine to chemical forms that do not readily enter the ingestion pathway, the task force selected an area within a radius of about 50</w:t>
      </w:r>
      <w:r w:rsidR="00FF525E">
        <w:t> </w:t>
      </w:r>
      <w:r w:rsidRPr="001B0E32">
        <w:t>miles (80</w:t>
      </w:r>
      <w:r w:rsidR="00FF525E">
        <w:t> </w:t>
      </w:r>
      <w:r w:rsidRPr="001B0E32">
        <w:t xml:space="preserve">km) from the reactor for the </w:t>
      </w:r>
      <w:r w:rsidR="00B56E01">
        <w:t>IPZ</w:t>
      </w:r>
      <w:r w:rsidRPr="001B0E32">
        <w:t>.</w:t>
      </w:r>
    </w:p>
    <w:p w:rsidR="00BE693E" w:rsidP="008440FA" w14:paraId="4817AA1A" w14:textId="77777777">
      <w:pPr>
        <w:spacing w:line="240" w:lineRule="auto"/>
      </w:pPr>
    </w:p>
    <w:p w:rsidR="00222C4E" w:rsidP="008440FA" w14:paraId="1E6BCEF4" w14:textId="6199E75F">
      <w:pPr>
        <w:spacing w:line="240" w:lineRule="auto"/>
      </w:pPr>
      <w:r>
        <w:t xml:space="preserve">Current </w:t>
      </w:r>
      <w:r w:rsidR="00F95935">
        <w:t xml:space="preserve">EP </w:t>
      </w:r>
      <w:r>
        <w:t>regulations allow for a case-by-case consideration of alternative</w:t>
      </w:r>
      <w:r w:rsidR="006637BC">
        <w:noBreakHyphen/>
      </w:r>
      <w:r w:rsidR="00F95935">
        <w:t>sized</w:t>
      </w:r>
      <w:r>
        <w:t xml:space="preserve"> </w:t>
      </w:r>
      <w:r>
        <w:t>EPZs</w:t>
      </w:r>
      <w:r>
        <w:t xml:space="preserve"> for reactors with certain specifications.  </w:t>
      </w:r>
      <w:r w:rsidR="00022F90">
        <w:t>The regulation at</w:t>
      </w:r>
      <w:r w:rsidRPr="002223D2" w:rsidR="00022F90">
        <w:t xml:space="preserve"> </w:t>
      </w:r>
      <w:r w:rsidRPr="002223D2">
        <w:t>10</w:t>
      </w:r>
      <w:r w:rsidR="00E9205E">
        <w:t> </w:t>
      </w:r>
      <w:r w:rsidRPr="002223D2">
        <w:t>CFR</w:t>
      </w:r>
      <w:r w:rsidR="00E9205E">
        <w:t> </w:t>
      </w:r>
      <w:r w:rsidRPr="002223D2">
        <w:t>50.47(c)(2)</w:t>
      </w:r>
      <w:r w:rsidR="00022F90">
        <w:t xml:space="preserve"> states</w:t>
      </w:r>
      <w:r w:rsidR="006637BC">
        <w:t xml:space="preserve"> the following</w:t>
      </w:r>
      <w:r w:rsidR="00BE6FA9">
        <w:t>:</w:t>
      </w:r>
      <w:r w:rsidRPr="002223D2">
        <w:t xml:space="preserve"> </w:t>
      </w:r>
    </w:p>
    <w:p w:rsidR="00222C4E" w:rsidP="008440FA" w14:paraId="783F9D44" w14:textId="77777777">
      <w:pPr>
        <w:spacing w:line="240" w:lineRule="auto"/>
      </w:pPr>
    </w:p>
    <w:p w:rsidR="00222C4E" w:rsidRPr="00222C4E" w:rsidP="008440FA" w14:paraId="17C2EF46" w14:textId="1C748CBE">
      <w:pPr>
        <w:spacing w:line="240" w:lineRule="auto"/>
        <w:ind w:left="720" w:right="720"/>
        <w:rPr>
          <w:lang w:val="en"/>
        </w:rPr>
      </w:pPr>
      <w:r w:rsidRPr="00222C4E">
        <w:rPr>
          <w:lang w:val="en"/>
        </w:rPr>
        <w:t xml:space="preserve">Generally, the plume exposure pathway </w:t>
      </w:r>
      <w:r w:rsidRPr="00222C4E">
        <w:rPr>
          <w:lang w:val="en"/>
        </w:rPr>
        <w:t>EPZ</w:t>
      </w:r>
      <w:r w:rsidRPr="00222C4E">
        <w:rPr>
          <w:lang w:val="en"/>
        </w:rPr>
        <w:t xml:space="preserve"> for nuclear power plants shall consist of an </w:t>
      </w:r>
      <w:r w:rsidRPr="00222C4E">
        <w:rPr>
          <w:lang w:val="en"/>
        </w:rPr>
        <w:t>area</w:t>
      </w:r>
      <w:r w:rsidRPr="00222C4E">
        <w:rPr>
          <w:lang w:val="en"/>
        </w:rPr>
        <w:t xml:space="preserve"> about 10 miles (16 km) in radius and the </w:t>
      </w:r>
      <w:r w:rsidR="00912528">
        <w:rPr>
          <w:lang w:val="en"/>
        </w:rPr>
        <w:t xml:space="preserve">ingestion pathway </w:t>
      </w:r>
      <w:r w:rsidR="00912528">
        <w:rPr>
          <w:lang w:val="en"/>
        </w:rPr>
        <w:t>EPZ</w:t>
      </w:r>
      <w:r w:rsidRPr="00222C4E">
        <w:rPr>
          <w:lang w:val="en"/>
        </w:rPr>
        <w:t xml:space="preserve"> shall consist of an area about 50 miles (80 km) in radius. </w:t>
      </w:r>
      <w:r w:rsidR="00552937">
        <w:rPr>
          <w:lang w:val="en"/>
        </w:rPr>
        <w:t xml:space="preserve"> </w:t>
      </w:r>
      <w:r w:rsidRPr="00222C4E">
        <w:rPr>
          <w:lang w:val="en"/>
        </w:rPr>
        <w:t xml:space="preserve">The exact size and configuration of the </w:t>
      </w:r>
      <w:r w:rsidRPr="00222C4E">
        <w:rPr>
          <w:lang w:val="en"/>
        </w:rPr>
        <w:t>EPZs</w:t>
      </w:r>
      <w:r w:rsidRPr="00222C4E">
        <w:rPr>
          <w:lang w:val="en"/>
        </w:rPr>
        <w:t xml:space="preserve"> surrounding a particular nuclear power reactor shall be determined in relation to local emergency response needs and capabilities as they are affected by such conditions as demography, topography, land characteristics, access routes, and jurisdictional boundaries.</w:t>
      </w:r>
      <w:r w:rsidR="006637BC">
        <w:rPr>
          <w:lang w:val="en"/>
        </w:rPr>
        <w:t xml:space="preserve"> </w:t>
      </w:r>
      <w:r w:rsidRPr="00222C4E">
        <w:rPr>
          <w:lang w:val="en"/>
        </w:rPr>
        <w:t xml:space="preserve"> The size of the </w:t>
      </w:r>
      <w:r w:rsidRPr="00222C4E">
        <w:rPr>
          <w:lang w:val="en"/>
        </w:rPr>
        <w:t>EPZs</w:t>
      </w:r>
      <w:r w:rsidRPr="00222C4E">
        <w:rPr>
          <w:lang w:val="en"/>
        </w:rPr>
        <w:t xml:space="preserve"> also may be determined on a case-by-case basis for gas</w:t>
      </w:r>
      <w:r w:rsidR="006637BC">
        <w:rPr>
          <w:lang w:val="en"/>
        </w:rPr>
        <w:noBreakHyphen/>
      </w:r>
      <w:r w:rsidRPr="00222C4E">
        <w:rPr>
          <w:lang w:val="en"/>
        </w:rPr>
        <w:t>cooled nuclear reactors and for reactors with an authorized power level less than 250</w:t>
      </w:r>
      <w:r w:rsidR="006637BC">
        <w:rPr>
          <w:lang w:val="en"/>
        </w:rPr>
        <w:t> </w:t>
      </w:r>
      <w:r w:rsidRPr="00222C4E">
        <w:rPr>
          <w:lang w:val="en"/>
        </w:rPr>
        <w:t xml:space="preserve">MW thermal. </w:t>
      </w:r>
      <w:r w:rsidR="006637BC">
        <w:rPr>
          <w:lang w:val="en"/>
        </w:rPr>
        <w:t xml:space="preserve"> </w:t>
      </w:r>
      <w:r w:rsidRPr="00222C4E">
        <w:rPr>
          <w:lang w:val="en"/>
        </w:rPr>
        <w:t xml:space="preserve">The plans for the </w:t>
      </w:r>
      <w:r w:rsidR="00074837">
        <w:rPr>
          <w:lang w:val="en"/>
        </w:rPr>
        <w:t>ingestion pathway</w:t>
      </w:r>
      <w:r w:rsidRPr="00222C4E">
        <w:rPr>
          <w:lang w:val="en"/>
        </w:rPr>
        <w:t xml:space="preserve"> shall focus on such actions as are appropriate to prot</w:t>
      </w:r>
      <w:r>
        <w:rPr>
          <w:lang w:val="en"/>
        </w:rPr>
        <w:t>ect the food ingestion pathway.</w:t>
      </w:r>
    </w:p>
    <w:p w:rsidR="009128E1" w:rsidP="008440FA" w14:paraId="2D731DEA" w14:textId="77777777">
      <w:pPr>
        <w:spacing w:line="240" w:lineRule="auto"/>
      </w:pPr>
    </w:p>
    <w:p w:rsidR="00222C4E" w:rsidP="008440FA" w14:paraId="3B8129F2" w14:textId="371F7206">
      <w:pPr>
        <w:spacing w:line="240" w:lineRule="auto"/>
      </w:pPr>
      <w:r>
        <w:t>Some</w:t>
      </w:r>
      <w:r w:rsidR="00F95935">
        <w:t xml:space="preserve"> licensees</w:t>
      </w:r>
      <w:r>
        <w:t xml:space="preserve"> (e.g.</w:t>
      </w:r>
      <w:r w:rsidR="00022F90">
        <w:t>, </w:t>
      </w:r>
      <w:r w:rsidR="00935482">
        <w:t>F</w:t>
      </w:r>
      <w:r w:rsidR="00022F90">
        <w:t>ort</w:t>
      </w:r>
      <w:r w:rsidR="00935482">
        <w:t xml:space="preserve"> St. </w:t>
      </w:r>
      <w:r w:rsidR="00935482">
        <w:t>Vrain</w:t>
      </w:r>
      <w:r w:rsidR="00022F90">
        <w:t xml:space="preserve"> Nuclear Power Plant</w:t>
      </w:r>
      <w:r w:rsidR="00935482">
        <w:t>, Big Rock Point</w:t>
      </w:r>
      <w:r w:rsidR="00022F90">
        <w:t xml:space="preserve"> Nuclear Power Station</w:t>
      </w:r>
      <w:r w:rsidR="00935482">
        <w:t>, and La</w:t>
      </w:r>
      <w:r w:rsidR="008A36F6">
        <w:t xml:space="preserve"> </w:t>
      </w:r>
      <w:r w:rsidR="00935482">
        <w:t>Crosse</w:t>
      </w:r>
      <w:r w:rsidR="008A36F6">
        <w:t xml:space="preserve"> Boiling Water Reactor</w:t>
      </w:r>
      <w:r>
        <w:t>)</w:t>
      </w:r>
      <w:r w:rsidR="00F95935">
        <w:t xml:space="preserve"> have used this flexibility to size their </w:t>
      </w:r>
      <w:r w:rsidR="00F95935">
        <w:t>EPZs</w:t>
      </w:r>
      <w:r>
        <w:t>.</w:t>
      </w:r>
    </w:p>
    <w:p w:rsidR="006327EB" w:rsidP="008440FA" w14:paraId="0FDA737D" w14:textId="77777777">
      <w:pPr>
        <w:spacing w:line="240" w:lineRule="auto"/>
        <w:rPr>
          <w:b/>
          <w:u w:val="single"/>
        </w:rPr>
      </w:pPr>
    </w:p>
    <w:p w:rsidR="009128E1" w:rsidRPr="006647C3" w:rsidP="00BE0CCE" w14:paraId="52C35D0F" w14:textId="7092BC36">
      <w:pPr>
        <w:keepNext/>
        <w:keepLines/>
        <w:spacing w:line="240" w:lineRule="auto"/>
        <w:rPr>
          <w:u w:val="single"/>
        </w:rPr>
      </w:pPr>
      <w:r>
        <w:rPr>
          <w:b/>
          <w:u w:val="single"/>
        </w:rPr>
        <w:t>Emergency Preparedness</w:t>
      </w:r>
      <w:r w:rsidRPr="006647C3">
        <w:rPr>
          <w:b/>
          <w:u w:val="single"/>
        </w:rPr>
        <w:t xml:space="preserve"> </w:t>
      </w:r>
      <w:r w:rsidRPr="006647C3">
        <w:rPr>
          <w:b/>
          <w:u w:val="single"/>
        </w:rPr>
        <w:t>Regulations</w:t>
      </w:r>
      <w:r w:rsidRPr="00F947B7">
        <w:rPr>
          <w:b/>
          <w:u w:val="single"/>
        </w:rPr>
        <w:t xml:space="preserve"> for </w:t>
      </w:r>
      <w:r>
        <w:rPr>
          <w:b/>
          <w:u w:val="single"/>
        </w:rPr>
        <w:t>Non</w:t>
      </w:r>
      <w:r w:rsidR="00B4742A">
        <w:rPr>
          <w:b/>
          <w:u w:val="single"/>
        </w:rPr>
        <w:t>-</w:t>
      </w:r>
      <w:r>
        <w:rPr>
          <w:b/>
          <w:u w:val="single"/>
        </w:rPr>
        <w:t>p</w:t>
      </w:r>
      <w:r>
        <w:rPr>
          <w:b/>
          <w:u w:val="single"/>
        </w:rPr>
        <w:t>ower</w:t>
      </w:r>
      <w:r w:rsidR="00152FE4">
        <w:rPr>
          <w:b/>
          <w:u w:val="single"/>
        </w:rPr>
        <w:t xml:space="preserve"> Production or</w:t>
      </w:r>
      <w:r>
        <w:rPr>
          <w:b/>
          <w:u w:val="single"/>
        </w:rPr>
        <w:t xml:space="preserve"> Utilization Facilities</w:t>
      </w:r>
    </w:p>
    <w:p w:rsidR="009128E1" w:rsidRPr="00F947B7" w:rsidP="00BE0CCE" w14:paraId="2BD5ECA1" w14:textId="77777777">
      <w:pPr>
        <w:keepNext/>
        <w:keepLines/>
        <w:spacing w:line="240" w:lineRule="auto"/>
      </w:pPr>
    </w:p>
    <w:p w:rsidR="009128E1" w:rsidP="00BE0CCE" w14:paraId="48E3B0B5" w14:textId="5C885180">
      <w:pPr>
        <w:keepNext/>
        <w:keepLines/>
        <w:spacing w:line="240" w:lineRule="auto"/>
      </w:pPr>
      <w:r w:rsidRPr="00655C3A">
        <w:rPr>
          <w:rFonts w:eastAsia="Arial"/>
        </w:rPr>
        <w:t xml:space="preserve">While RTRs and other NPUFs must meet the emergency planning requirements of §§ 50.34(a)(10) and (b)(6)(v) and 50.54(q) and </w:t>
      </w:r>
      <w:r w:rsidR="00C63E17">
        <w:rPr>
          <w:rFonts w:eastAsia="Arial"/>
        </w:rPr>
        <w:t>A</w:t>
      </w:r>
      <w:r w:rsidRPr="00655C3A">
        <w:rPr>
          <w:rFonts w:eastAsia="Arial"/>
        </w:rPr>
        <w:t xml:space="preserve">ppendix E to 10 CFR </w:t>
      </w:r>
      <w:r w:rsidR="003E64FC">
        <w:rPr>
          <w:rFonts w:eastAsia="Arial"/>
        </w:rPr>
        <w:t>P</w:t>
      </w:r>
      <w:r w:rsidRPr="00655C3A">
        <w:rPr>
          <w:rFonts w:eastAsia="Arial"/>
        </w:rPr>
        <w:t>art 50, the requirements of § 50.47 do not apply to these facilities</w:t>
      </w:r>
      <w:r>
        <w:t>.  Additionally</w:t>
      </w:r>
      <w:r w:rsidRPr="00F947B7">
        <w:t xml:space="preserve">, </w:t>
      </w:r>
      <w:r w:rsidRPr="006005EA">
        <w:rPr>
          <w:lang w:val="en"/>
        </w:rPr>
        <w:t xml:space="preserve">in </w:t>
      </w:r>
      <w:r>
        <w:rPr>
          <w:lang w:val="en"/>
        </w:rPr>
        <w:t>10</w:t>
      </w:r>
      <w:r w:rsidR="002A3DC9">
        <w:rPr>
          <w:lang w:val="en"/>
        </w:rPr>
        <w:t> </w:t>
      </w:r>
      <w:r>
        <w:rPr>
          <w:lang w:val="en"/>
        </w:rPr>
        <w:t>CFR</w:t>
      </w:r>
      <w:r w:rsidR="002A3DC9">
        <w:rPr>
          <w:lang w:val="en"/>
        </w:rPr>
        <w:t> </w:t>
      </w:r>
      <w:r>
        <w:rPr>
          <w:lang w:val="en"/>
        </w:rPr>
        <w:t>Part</w:t>
      </w:r>
      <w:r w:rsidR="002A3DC9">
        <w:rPr>
          <w:lang w:val="en"/>
        </w:rPr>
        <w:t> </w:t>
      </w:r>
      <w:r>
        <w:rPr>
          <w:lang w:val="en"/>
        </w:rPr>
        <w:t>50,</w:t>
      </w:r>
      <w:r w:rsidR="004D5EF1">
        <w:rPr>
          <w:lang w:val="en"/>
        </w:rPr>
        <w:t xml:space="preserve"> Appendix E, Section</w:t>
      </w:r>
      <w:r w:rsidR="002A3DC9">
        <w:rPr>
          <w:lang w:val="en"/>
        </w:rPr>
        <w:t> </w:t>
      </w:r>
      <w:r w:rsidR="004D5EF1">
        <w:rPr>
          <w:lang w:val="en"/>
        </w:rPr>
        <w:t>I.3,</w:t>
      </w:r>
      <w:r>
        <w:rPr>
          <w:lang w:val="en"/>
        </w:rPr>
        <w:t xml:space="preserve"> the NRC </w:t>
      </w:r>
      <w:r w:rsidRPr="00F947B7">
        <w:rPr>
          <w:lang w:val="en"/>
        </w:rPr>
        <w:t xml:space="preserve">differentiates between emergency planning requirements for nuclear power reactors and </w:t>
      </w:r>
      <w:r w:rsidR="00152FE4">
        <w:rPr>
          <w:lang w:val="en"/>
        </w:rPr>
        <w:t>other facilities</w:t>
      </w:r>
      <w:r w:rsidR="00AD41BF">
        <w:rPr>
          <w:lang w:val="en"/>
        </w:rPr>
        <w:t>,</w:t>
      </w:r>
      <w:r w:rsidR="00934DE8">
        <w:rPr>
          <w:lang w:val="en"/>
        </w:rPr>
        <w:t xml:space="preserve"> </w:t>
      </w:r>
      <w:r w:rsidR="00AD41BF">
        <w:rPr>
          <w:lang w:val="en"/>
        </w:rPr>
        <w:t>as follows</w:t>
      </w:r>
      <w:r>
        <w:rPr>
          <w:lang w:val="en"/>
        </w:rPr>
        <w:t>:</w:t>
      </w:r>
    </w:p>
    <w:p w:rsidR="009128E1" w:rsidP="008440FA" w14:paraId="61FEEFE3" w14:textId="77777777">
      <w:pPr>
        <w:spacing w:line="240" w:lineRule="auto"/>
        <w:rPr>
          <w:lang w:val="en"/>
        </w:rPr>
      </w:pPr>
    </w:p>
    <w:p w:rsidR="009128E1" w:rsidP="008440FA" w14:paraId="0C45B308" w14:textId="1FF9BD13">
      <w:pPr>
        <w:spacing w:line="240" w:lineRule="auto"/>
        <w:ind w:left="720" w:right="720"/>
        <w:rPr>
          <w:lang w:val="en"/>
        </w:rPr>
      </w:pPr>
      <w:r>
        <w:rPr>
          <w:lang w:val="en"/>
        </w:rPr>
        <w:t>T</w:t>
      </w:r>
      <w:r w:rsidRPr="00F947B7">
        <w:rPr>
          <w:lang w:val="en"/>
        </w:rPr>
        <w:t>he potential radiological hazards to the public associated with the operation</w:t>
      </w:r>
      <w:r>
        <w:rPr>
          <w:lang w:val="en"/>
        </w:rPr>
        <w:t xml:space="preserve"> of research and test reactors</w:t>
      </w:r>
      <w:r w:rsidRPr="00F947B7">
        <w:rPr>
          <w:lang w:val="en"/>
        </w:rPr>
        <w:t xml:space="preserve"> and fuel fa</w:t>
      </w:r>
      <w:r>
        <w:rPr>
          <w:lang w:val="en"/>
        </w:rPr>
        <w:t>cilities licensed under 10</w:t>
      </w:r>
      <w:r w:rsidR="00934DE8">
        <w:rPr>
          <w:lang w:val="en"/>
        </w:rPr>
        <w:t> </w:t>
      </w:r>
      <w:r>
        <w:rPr>
          <w:lang w:val="en"/>
        </w:rPr>
        <w:t>CFR</w:t>
      </w:r>
      <w:r w:rsidR="002A3DC9">
        <w:rPr>
          <w:lang w:val="en"/>
        </w:rPr>
        <w:t> </w:t>
      </w:r>
      <w:r>
        <w:rPr>
          <w:lang w:val="en"/>
        </w:rPr>
        <w:t>p</w:t>
      </w:r>
      <w:r w:rsidRPr="00F947B7">
        <w:rPr>
          <w:lang w:val="en"/>
        </w:rPr>
        <w:t>arts</w:t>
      </w:r>
      <w:r w:rsidR="00934DE8">
        <w:rPr>
          <w:lang w:val="en"/>
        </w:rPr>
        <w:t> </w:t>
      </w:r>
      <w:r w:rsidRPr="00F947B7">
        <w:rPr>
          <w:lang w:val="en"/>
        </w:rPr>
        <w:t>50 and 70</w:t>
      </w:r>
      <w:r>
        <w:rPr>
          <w:lang w:val="en"/>
        </w:rPr>
        <w:t xml:space="preserve"> [“Domestic Licensing of Special Nuclear Material”]</w:t>
      </w:r>
      <w:r w:rsidRPr="00F947B7">
        <w:rPr>
          <w:lang w:val="en"/>
        </w:rPr>
        <w:t xml:space="preserve"> involve considerations different than those associated with nuclear power reactors.</w:t>
      </w:r>
      <w:r>
        <w:rPr>
          <w:lang w:val="en"/>
        </w:rPr>
        <w:t xml:space="preserve">  </w:t>
      </w:r>
      <w:r w:rsidRPr="00F947B7">
        <w:rPr>
          <w:lang w:val="en"/>
        </w:rPr>
        <w:t xml:space="preserve">Consequently, the size of </w:t>
      </w:r>
      <w:r w:rsidR="00701535">
        <w:rPr>
          <w:lang w:val="en"/>
        </w:rPr>
        <w:t>Emergency Planning Zones (</w:t>
      </w:r>
      <w:r>
        <w:rPr>
          <w:lang w:val="en"/>
        </w:rPr>
        <w:t>EPZs</w:t>
      </w:r>
      <w:r w:rsidR="00701535">
        <w:rPr>
          <w:lang w:val="en"/>
        </w:rPr>
        <w:t>)</w:t>
      </w:r>
      <w:r w:rsidRPr="00F947B7">
        <w:rPr>
          <w:lang w:val="en"/>
        </w:rPr>
        <w:t xml:space="preserve"> for facilities other than power reactors and the degree to which compliance with the re</w:t>
      </w:r>
      <w:r>
        <w:rPr>
          <w:lang w:val="en"/>
        </w:rPr>
        <w:t>quirements of this section and s</w:t>
      </w:r>
      <w:r w:rsidRPr="00F947B7">
        <w:rPr>
          <w:lang w:val="en"/>
        </w:rPr>
        <w:t>ections</w:t>
      </w:r>
      <w:r w:rsidR="00934DE8">
        <w:rPr>
          <w:lang w:val="en"/>
        </w:rPr>
        <w:t> </w:t>
      </w:r>
      <w:r w:rsidRPr="00F947B7">
        <w:rPr>
          <w:lang w:val="en"/>
        </w:rPr>
        <w:t>II, III, IV, and</w:t>
      </w:r>
      <w:r w:rsidR="002A3DC9">
        <w:rPr>
          <w:lang w:val="en"/>
        </w:rPr>
        <w:t> </w:t>
      </w:r>
      <w:r w:rsidRPr="00F947B7">
        <w:rPr>
          <w:lang w:val="en"/>
        </w:rPr>
        <w:t>V of this appendix as necessary will be determined on a case</w:t>
      </w:r>
      <w:r w:rsidR="00934DE8">
        <w:rPr>
          <w:lang w:val="en"/>
        </w:rPr>
        <w:noBreakHyphen/>
      </w:r>
      <w:r w:rsidRPr="00F947B7">
        <w:rPr>
          <w:lang w:val="en"/>
        </w:rPr>
        <w:t>by</w:t>
      </w:r>
      <w:r w:rsidR="00934DE8">
        <w:rPr>
          <w:lang w:val="en"/>
        </w:rPr>
        <w:noBreakHyphen/>
      </w:r>
      <w:r w:rsidRPr="00F947B7">
        <w:rPr>
          <w:lang w:val="en"/>
        </w:rPr>
        <w:t>case basis.</w:t>
      </w:r>
    </w:p>
    <w:p w:rsidR="009128E1" w:rsidP="008440FA" w14:paraId="68F1EC08" w14:textId="77777777">
      <w:pPr>
        <w:spacing w:line="240" w:lineRule="auto"/>
        <w:rPr>
          <w:lang w:val="en"/>
        </w:rPr>
      </w:pPr>
    </w:p>
    <w:p w:rsidR="00BD265E" w:rsidP="008440FA" w14:paraId="762B2FEC" w14:textId="4AD73C7F">
      <w:pPr>
        <w:spacing w:line="240" w:lineRule="auto"/>
        <w:rPr>
          <w:lang w:val="en"/>
        </w:rPr>
      </w:pPr>
      <w:r w:rsidRPr="001D1E53">
        <w:rPr>
          <w:lang w:val="en"/>
        </w:rPr>
        <w:t xml:space="preserve">Furthermore, </w:t>
      </w:r>
      <w:r w:rsidR="00701535">
        <w:rPr>
          <w:lang w:val="en"/>
        </w:rPr>
        <w:t>10</w:t>
      </w:r>
      <w:r w:rsidR="002A3DC9">
        <w:rPr>
          <w:lang w:val="en"/>
        </w:rPr>
        <w:t> </w:t>
      </w:r>
      <w:r w:rsidR="00701535">
        <w:rPr>
          <w:lang w:val="en"/>
        </w:rPr>
        <w:t>CFR</w:t>
      </w:r>
      <w:r w:rsidR="002A3DC9">
        <w:rPr>
          <w:lang w:val="en"/>
        </w:rPr>
        <w:t> </w:t>
      </w:r>
      <w:r w:rsidR="00701535">
        <w:rPr>
          <w:lang w:val="en"/>
        </w:rPr>
        <w:t>Part</w:t>
      </w:r>
      <w:r w:rsidR="002A3DC9">
        <w:rPr>
          <w:lang w:val="en"/>
        </w:rPr>
        <w:t> </w:t>
      </w:r>
      <w:r w:rsidR="00701535">
        <w:rPr>
          <w:lang w:val="en"/>
        </w:rPr>
        <w:t>50</w:t>
      </w:r>
      <w:r w:rsidR="00934DE8">
        <w:rPr>
          <w:lang w:val="en"/>
        </w:rPr>
        <w:t>, Appendix E, Footnote 2,</w:t>
      </w:r>
      <w:r w:rsidR="00701535">
        <w:rPr>
          <w:lang w:val="en"/>
        </w:rPr>
        <w:t xml:space="preserve"> </w:t>
      </w:r>
      <w:r>
        <w:rPr>
          <w:lang w:val="en"/>
        </w:rPr>
        <w:t>allows the use of RG</w:t>
      </w:r>
      <w:r w:rsidR="00934DE8">
        <w:rPr>
          <w:lang w:val="en"/>
        </w:rPr>
        <w:t> </w:t>
      </w:r>
      <w:r>
        <w:rPr>
          <w:lang w:val="en"/>
        </w:rPr>
        <w:t xml:space="preserve">2.6, </w:t>
      </w:r>
      <w:r w:rsidRPr="006647C3">
        <w:rPr>
          <w:lang w:val="en"/>
        </w:rPr>
        <w:t>“Emergency Planning for Research and Test Reactors</w:t>
      </w:r>
      <w:r w:rsidR="00934DE8">
        <w:rPr>
          <w:lang w:val="en"/>
        </w:rPr>
        <w:t xml:space="preserve"> and Other Non</w:t>
      </w:r>
      <w:r w:rsidR="008B03BD">
        <w:rPr>
          <w:lang w:val="en"/>
        </w:rPr>
        <w:noBreakHyphen/>
      </w:r>
      <w:r w:rsidR="00934DE8">
        <w:rPr>
          <w:lang w:val="en"/>
        </w:rPr>
        <w:t>Power Production and Utilization Facilities,</w:t>
      </w:r>
      <w:r w:rsidRPr="006647C3">
        <w:rPr>
          <w:lang w:val="en"/>
        </w:rPr>
        <w:t>”</w:t>
      </w:r>
      <w:r w:rsidR="00934DE8">
        <w:rPr>
          <w:lang w:val="en"/>
        </w:rPr>
        <w:t xml:space="preserve"> Revision 2, issued September 2017</w:t>
      </w:r>
      <w:r w:rsidRPr="006647C3">
        <w:rPr>
          <w:lang w:val="en"/>
        </w:rPr>
        <w:t xml:space="preserve"> (</w:t>
      </w:r>
      <w:r w:rsidR="006327EB">
        <w:rPr>
          <w:lang w:val="en"/>
        </w:rPr>
        <w:t>NRC,</w:t>
      </w:r>
      <w:r w:rsidR="008B03BD">
        <w:rPr>
          <w:lang w:val="en"/>
        </w:rPr>
        <w:t> </w:t>
      </w:r>
      <w:r w:rsidR="006327EB">
        <w:rPr>
          <w:lang w:val="en"/>
        </w:rPr>
        <w:t>2017</w:t>
      </w:r>
      <w:r w:rsidR="006B1A9F">
        <w:rPr>
          <w:lang w:val="en"/>
        </w:rPr>
        <w:t>b</w:t>
      </w:r>
      <w:r w:rsidRPr="006647C3">
        <w:rPr>
          <w:lang w:val="en"/>
        </w:rPr>
        <w:t>)</w:t>
      </w:r>
      <w:r w:rsidR="00934DE8">
        <w:rPr>
          <w:lang w:val="en"/>
        </w:rPr>
        <w:t>,</w:t>
      </w:r>
      <w:r w:rsidRPr="00B93809">
        <w:rPr>
          <w:lang w:val="en"/>
        </w:rPr>
        <w:t xml:space="preserve"> </w:t>
      </w:r>
      <w:r>
        <w:rPr>
          <w:lang w:val="en"/>
        </w:rPr>
        <w:t>for the development and evaluation of emergency response plans at NPUFs.</w:t>
      </w:r>
      <w:r w:rsidR="00E01EF0">
        <w:rPr>
          <w:lang w:val="en"/>
        </w:rPr>
        <w:t xml:space="preserve"> </w:t>
      </w:r>
    </w:p>
    <w:p w:rsidR="009128E1" w:rsidRPr="00CC1B26" w:rsidP="008440FA" w14:paraId="1D33D6CA" w14:textId="71DA60AD">
      <w:pPr>
        <w:spacing w:line="240" w:lineRule="auto"/>
      </w:pPr>
      <w:r>
        <w:rPr>
          <w:lang w:val="en"/>
        </w:rPr>
        <w:t xml:space="preserve"> </w:t>
      </w:r>
    </w:p>
    <w:p w:rsidR="009128E1" w:rsidRPr="00CC1B26" w:rsidP="008440FA" w14:paraId="68C3CADD" w14:textId="3E38AFA0">
      <w:pPr>
        <w:spacing w:line="240" w:lineRule="auto"/>
        <w:rPr>
          <w:lang w:val="en"/>
        </w:rPr>
      </w:pPr>
      <w:r w:rsidRPr="00CC1B26">
        <w:rPr>
          <w:lang w:val="en"/>
        </w:rPr>
        <w:t>Consistent with the radiological risks associated with operating power levels between 5</w:t>
      </w:r>
      <w:r w:rsidR="005C0D7E">
        <w:rPr>
          <w:lang w:val="en"/>
        </w:rPr>
        <w:t> </w:t>
      </w:r>
      <w:r w:rsidRPr="00CC1B26">
        <w:rPr>
          <w:lang w:val="en"/>
        </w:rPr>
        <w:t>watts thermal and 20</w:t>
      </w:r>
      <w:r w:rsidR="005C0D7E">
        <w:rPr>
          <w:lang w:val="en"/>
        </w:rPr>
        <w:t> </w:t>
      </w:r>
      <w:r w:rsidR="00C547FC">
        <w:rPr>
          <w:lang w:val="en"/>
        </w:rPr>
        <w:t>megawatt</w:t>
      </w:r>
      <w:r w:rsidR="008F5648">
        <w:rPr>
          <w:lang w:val="en"/>
        </w:rPr>
        <w:t>s</w:t>
      </w:r>
      <w:r w:rsidR="00C547FC">
        <w:rPr>
          <w:lang w:val="en"/>
        </w:rPr>
        <w:t xml:space="preserve"> thermal (</w:t>
      </w:r>
      <w:r w:rsidRPr="00B93809">
        <w:rPr>
          <w:lang w:val="en"/>
        </w:rPr>
        <w:t>MWt</w:t>
      </w:r>
      <w:r w:rsidR="00C547FC">
        <w:rPr>
          <w:lang w:val="en"/>
        </w:rPr>
        <w:t>)</w:t>
      </w:r>
      <w:r w:rsidRPr="00B93809">
        <w:rPr>
          <w:lang w:val="en"/>
        </w:rPr>
        <w:t xml:space="preserve"> for currently licensed </w:t>
      </w:r>
      <w:r w:rsidR="001B61F7">
        <w:rPr>
          <w:lang w:val="en"/>
        </w:rPr>
        <w:t xml:space="preserve">research </w:t>
      </w:r>
      <w:r w:rsidR="005C0D7E">
        <w:rPr>
          <w:lang w:val="en"/>
        </w:rPr>
        <w:t>and test reactor</w:t>
      </w:r>
      <w:r w:rsidRPr="00B93809" w:rsidR="005C0D7E">
        <w:rPr>
          <w:lang w:val="en"/>
        </w:rPr>
        <w:t>s</w:t>
      </w:r>
      <w:r w:rsidRPr="00B93809">
        <w:rPr>
          <w:lang w:val="en"/>
        </w:rPr>
        <w:t>, RG</w:t>
      </w:r>
      <w:r w:rsidR="001B61F7">
        <w:rPr>
          <w:lang w:val="en"/>
        </w:rPr>
        <w:t> </w:t>
      </w:r>
      <w:r w:rsidRPr="00B93809">
        <w:rPr>
          <w:lang w:val="en"/>
        </w:rPr>
        <w:t>2.6 endorses the use of the source term and power-level</w:t>
      </w:r>
      <w:r w:rsidR="001B61F7">
        <w:rPr>
          <w:lang w:val="en"/>
        </w:rPr>
        <w:noBreakHyphen/>
      </w:r>
      <w:r w:rsidRPr="00B93809">
        <w:rPr>
          <w:lang w:val="en"/>
        </w:rPr>
        <w:t>based emergency planning guidance in American National Standards Institute</w:t>
      </w:r>
      <w:r w:rsidR="00DE2BA6">
        <w:rPr>
          <w:lang w:val="en"/>
        </w:rPr>
        <w:t xml:space="preserve"> (ANSI)</w:t>
      </w:r>
      <w:r w:rsidRPr="00B93809">
        <w:rPr>
          <w:lang w:val="en"/>
        </w:rPr>
        <w:t>/</w:t>
      </w:r>
      <w:r w:rsidRPr="006647C3">
        <w:rPr>
          <w:lang w:val="en"/>
        </w:rPr>
        <w:t>American Nuclear Society</w:t>
      </w:r>
      <w:r w:rsidRPr="00B93809">
        <w:rPr>
          <w:lang w:val="en"/>
        </w:rPr>
        <w:t xml:space="preserve"> </w:t>
      </w:r>
      <w:r w:rsidR="001B61F7">
        <w:rPr>
          <w:lang w:val="en"/>
        </w:rPr>
        <w:t>(</w:t>
      </w:r>
      <w:r w:rsidRPr="00B93809">
        <w:rPr>
          <w:lang w:val="en"/>
        </w:rPr>
        <w:t>ANS</w:t>
      </w:r>
      <w:r w:rsidR="001B61F7">
        <w:rPr>
          <w:lang w:val="en"/>
        </w:rPr>
        <w:t>)</w:t>
      </w:r>
      <w:r w:rsidR="001B61F7">
        <w:rPr>
          <w:lang w:val="en"/>
        </w:rPr>
        <w:noBreakHyphen/>
      </w:r>
      <w:r w:rsidRPr="00B93809">
        <w:rPr>
          <w:lang w:val="en"/>
        </w:rPr>
        <w:t>15.16</w:t>
      </w:r>
      <w:r w:rsidR="001B61F7">
        <w:rPr>
          <w:lang w:val="en"/>
        </w:rPr>
        <w:noBreakHyphen/>
      </w:r>
      <w:r w:rsidR="00313F59">
        <w:rPr>
          <w:lang w:val="en"/>
        </w:rPr>
        <w:t>2015</w:t>
      </w:r>
      <w:r w:rsidRPr="00B93809">
        <w:rPr>
          <w:lang w:val="en"/>
        </w:rPr>
        <w:t xml:space="preserve">, </w:t>
      </w:r>
      <w:r w:rsidRPr="00B93809">
        <w:t>“Emergency Planning for Research Reactors”</w:t>
      </w:r>
      <w:r w:rsidRPr="006647C3">
        <w:t xml:space="preserve"> (</w:t>
      </w:r>
      <w:r w:rsidR="00313F59">
        <w:t>ANSI,</w:t>
      </w:r>
      <w:r w:rsidR="00E91467">
        <w:t> </w:t>
      </w:r>
      <w:r w:rsidR="00313F59">
        <w:t>2015</w:t>
      </w:r>
      <w:r w:rsidRPr="006647C3">
        <w:t>)</w:t>
      </w:r>
      <w:r w:rsidRPr="00B93809">
        <w:t>.</w:t>
      </w:r>
    </w:p>
    <w:p w:rsidR="009128E1" w:rsidRPr="00CC1B26" w:rsidP="008440FA" w14:paraId="3A4A6510" w14:textId="77777777">
      <w:pPr>
        <w:spacing w:line="240" w:lineRule="auto"/>
      </w:pPr>
    </w:p>
    <w:p w:rsidR="009128E1" w:rsidP="008440FA" w14:paraId="5313FC6A" w14:textId="558588B4">
      <w:pPr>
        <w:spacing w:line="240" w:lineRule="auto"/>
      </w:pPr>
      <w:r w:rsidRPr="00CC1B26">
        <w:t>The guidance in ANSI/ANS</w:t>
      </w:r>
      <w:r w:rsidR="002A3DC9">
        <w:noBreakHyphen/>
      </w:r>
      <w:r w:rsidRPr="00CC1B26">
        <w:t>15.16</w:t>
      </w:r>
      <w:r w:rsidR="00322AD5">
        <w:noBreakHyphen/>
        <w:t>2015</w:t>
      </w:r>
      <w:r w:rsidRPr="00CC1B26">
        <w:t xml:space="preserve"> and NUREG</w:t>
      </w:r>
      <w:r w:rsidR="00003A5B">
        <w:noBreakHyphen/>
      </w:r>
      <w:r w:rsidRPr="00CC1B26">
        <w:t>0849</w:t>
      </w:r>
      <w:r w:rsidR="00CF4669">
        <w:t xml:space="preserve">, </w:t>
      </w:r>
      <w:r w:rsidRPr="004A7CC5" w:rsidR="00CF4669">
        <w:rPr>
          <w:lang w:val="en"/>
        </w:rPr>
        <w:t>“</w:t>
      </w:r>
      <w:r w:rsidRPr="004A7CC5" w:rsidR="00CF4669">
        <w:t xml:space="preserve">Standard Review Plan for the Review and Evaluation of Emergency Plans for Research and Test Reactors,” </w:t>
      </w:r>
      <w:r w:rsidR="00CF4669">
        <w:t>issued</w:t>
      </w:r>
      <w:r w:rsidRPr="00CC1B26">
        <w:t xml:space="preserve"> </w:t>
      </w:r>
      <w:r w:rsidR="00CF4669">
        <w:rPr>
          <w:lang w:val="en"/>
        </w:rPr>
        <w:t>October</w:t>
      </w:r>
      <w:r w:rsidR="00003A5B">
        <w:rPr>
          <w:lang w:val="en"/>
        </w:rPr>
        <w:t> </w:t>
      </w:r>
      <w:r w:rsidR="00CF4669">
        <w:rPr>
          <w:lang w:val="en"/>
        </w:rPr>
        <w:t>1983</w:t>
      </w:r>
      <w:r w:rsidR="00CF4669">
        <w:t xml:space="preserve"> </w:t>
      </w:r>
      <w:r w:rsidR="00FE3D78">
        <w:t>(NRC,</w:t>
      </w:r>
      <w:r w:rsidR="00CF4669">
        <w:t> </w:t>
      </w:r>
      <w:r w:rsidR="00FE3D78">
        <w:t>1983a</w:t>
      </w:r>
      <w:r>
        <w:t>)</w:t>
      </w:r>
      <w:r w:rsidR="00CF4669">
        <w:t>,</w:t>
      </w:r>
      <w:r>
        <w:t xml:space="preserve"> </w:t>
      </w:r>
      <w:r w:rsidRPr="00CC1B26">
        <w:t>address</w:t>
      </w:r>
      <w:r w:rsidR="00003A5B">
        <w:t>es</w:t>
      </w:r>
      <w:r w:rsidRPr="00CC1B26">
        <w:t xml:space="preserve"> </w:t>
      </w:r>
      <w:r w:rsidRPr="00CC1B26">
        <w:t>EPZs</w:t>
      </w:r>
      <w:r w:rsidRPr="00CC1B26">
        <w:t xml:space="preserve"> for </w:t>
      </w:r>
      <w:r w:rsidR="006D481D">
        <w:rPr>
          <w:lang w:val="en"/>
        </w:rPr>
        <w:t>research and test reactor</w:t>
      </w:r>
      <w:r w:rsidRPr="00B93809" w:rsidR="006D481D">
        <w:rPr>
          <w:lang w:val="en"/>
        </w:rPr>
        <w:t>s</w:t>
      </w:r>
      <w:r w:rsidRPr="00CC1B26" w:rsidR="00E01EF0">
        <w:t xml:space="preserve"> </w:t>
      </w:r>
      <w:r w:rsidRPr="00CC1B26">
        <w:t>ranging from the operations boundary</w:t>
      </w:r>
      <w:r>
        <w:rPr>
          <w:rStyle w:val="FootnoteReference"/>
          <w:vertAlign w:val="superscript"/>
        </w:rPr>
        <w:footnoteReference w:id="4"/>
      </w:r>
      <w:r w:rsidRPr="00CC1B26">
        <w:t xml:space="preserve"> to </w:t>
      </w:r>
      <w:r w:rsidR="00EA45D3">
        <w:t>0.5</w:t>
      </w:r>
      <w:r w:rsidR="004007D8">
        <w:t> </w:t>
      </w:r>
      <w:r w:rsidR="00EA45D3">
        <w:t>miles (0.8</w:t>
      </w:r>
      <w:r w:rsidR="004007D8">
        <w:t> </w:t>
      </w:r>
      <w:r w:rsidR="00EA45D3">
        <w:t>km)</w:t>
      </w:r>
      <w:r>
        <w:t xml:space="preserve"> for facilities operating up to 50</w:t>
      </w:r>
      <w:r w:rsidR="005C4A58">
        <w:t> </w:t>
      </w:r>
      <w:r w:rsidR="00B14D92">
        <w:t>MW</w:t>
      </w:r>
      <w:r w:rsidR="002B07FB">
        <w:t>t</w:t>
      </w:r>
      <w:r w:rsidR="009A4AD8">
        <w:t>.</w:t>
      </w:r>
      <w:r w:rsidRPr="00CC1B26">
        <w:t xml:space="preserve">  </w:t>
      </w:r>
      <w:r w:rsidR="00315E20">
        <w:t xml:space="preserve">The </w:t>
      </w:r>
      <w:r w:rsidR="00315E20">
        <w:t>EPZs</w:t>
      </w:r>
      <w:r w:rsidR="00315E20">
        <w:t xml:space="preserve"> for f</w:t>
      </w:r>
      <w:r w:rsidRPr="00CC1B26">
        <w:t xml:space="preserve">acilities </w:t>
      </w:r>
      <w:r>
        <w:t xml:space="preserve">operating </w:t>
      </w:r>
      <w:r w:rsidR="00B14D92">
        <w:t>above 50</w:t>
      </w:r>
      <w:r w:rsidR="004007D8">
        <w:t> </w:t>
      </w:r>
      <w:r w:rsidR="00B14D92">
        <w:t>MW</w:t>
      </w:r>
      <w:r w:rsidR="002B07FB">
        <w:t>t</w:t>
      </w:r>
      <w:r w:rsidRPr="00CC1B26">
        <w:t xml:space="preserve"> are to be considered on a case-by-case basis.</w:t>
      </w:r>
    </w:p>
    <w:p w:rsidR="004C3B30" w:rsidRPr="00CC1B26" w:rsidP="008440FA" w14:paraId="54957009" w14:textId="61C5EA5F">
      <w:pPr>
        <w:spacing w:line="240" w:lineRule="auto"/>
      </w:pPr>
    </w:p>
    <w:p w:rsidR="009128E1" w:rsidRPr="00CC1B26" w:rsidP="008440FA" w14:paraId="39EFBBD4" w14:textId="10E8DF35">
      <w:pPr>
        <w:spacing w:line="240" w:lineRule="auto"/>
      </w:pPr>
      <w:r w:rsidRPr="00CC1B26">
        <w:t xml:space="preserve">The postulated radioactive releases from accidents associated with </w:t>
      </w:r>
      <w:r w:rsidR="00315E20">
        <w:t>currently operating non-power reactors</w:t>
      </w:r>
      <w:r w:rsidRPr="00CC1B26">
        <w:t xml:space="preserve"> </w:t>
      </w:r>
      <w:r w:rsidR="00315E20">
        <w:t>do</w:t>
      </w:r>
      <w:r w:rsidRPr="00CC1B26" w:rsidR="00315E20">
        <w:t xml:space="preserve"> </w:t>
      </w:r>
      <w:r w:rsidRPr="00CC1B26">
        <w:t xml:space="preserve">not result in offsite radiological doses to the </w:t>
      </w:r>
      <w:r w:rsidRPr="00CC1B26">
        <w:t>general public</w:t>
      </w:r>
      <w:r w:rsidRPr="00CC1B26">
        <w:t xml:space="preserve"> </w:t>
      </w:r>
      <w:r w:rsidR="007C181F">
        <w:t xml:space="preserve">that </w:t>
      </w:r>
      <w:r w:rsidRPr="00CC1B26">
        <w:t xml:space="preserve">exceed the EPA </w:t>
      </w:r>
      <w:r w:rsidRPr="00CC1B26">
        <w:t>PAGs</w:t>
      </w:r>
      <w:r w:rsidRPr="00CC1B26">
        <w:t xml:space="preserve"> of 1</w:t>
      </w:r>
      <w:r w:rsidR="00C433D4">
        <w:t xml:space="preserve"> </w:t>
      </w:r>
      <w:r w:rsidRPr="00CC1B26">
        <w:t>rem (10</w:t>
      </w:r>
      <w:r w:rsidR="004C22BB">
        <w:noBreakHyphen/>
      </w:r>
      <w:r w:rsidRPr="00800F09" w:rsidR="007C181F">
        <w:t>millisievert</w:t>
      </w:r>
      <w:r w:rsidR="007C181F">
        <w:t>s</w:t>
      </w:r>
      <w:r w:rsidRPr="00CC1B26" w:rsidR="007C181F">
        <w:t xml:space="preserve"> </w:t>
      </w:r>
      <w:r w:rsidR="007C181F">
        <w:t>(</w:t>
      </w:r>
      <w:r w:rsidRPr="00CC1B26">
        <w:t>mSv</w:t>
      </w:r>
      <w:r w:rsidR="007C181F">
        <w:t>)</w:t>
      </w:r>
      <w:r w:rsidRPr="00CC1B26">
        <w:t>) whole body or 5</w:t>
      </w:r>
      <w:r w:rsidR="002B7BED">
        <w:noBreakHyphen/>
      </w:r>
      <w:r w:rsidRPr="00CC1B26">
        <w:t>rem (50</w:t>
      </w:r>
      <w:r w:rsidR="002B7BED">
        <w:noBreakHyphen/>
      </w:r>
      <w:r w:rsidRPr="00CC1B26">
        <w:t xml:space="preserve">mSv) thyroid.  Therefore, </w:t>
      </w:r>
      <w:r w:rsidR="00DF0F9B">
        <w:t xml:space="preserve">emergency plans for </w:t>
      </w:r>
      <w:r w:rsidRPr="00CC1B26">
        <w:t>these fa</w:t>
      </w:r>
      <w:r w:rsidR="00B14D92">
        <w:t xml:space="preserve">cilities </w:t>
      </w:r>
      <w:r w:rsidR="00315E20">
        <w:t xml:space="preserve">do </w:t>
      </w:r>
      <w:r w:rsidR="00B14D92">
        <w:t>not include the general e</w:t>
      </w:r>
      <w:r w:rsidRPr="00CC1B26">
        <w:t>mergency class of accidents requiring Federal assistance.</w:t>
      </w:r>
    </w:p>
    <w:p w:rsidR="009128E1" w:rsidRPr="003317FF" w:rsidP="008440FA" w14:paraId="3D0596B2" w14:textId="77777777">
      <w:pPr>
        <w:spacing w:line="240" w:lineRule="auto"/>
      </w:pPr>
    </w:p>
    <w:p w:rsidR="009128E1" w:rsidRPr="00101045" w:rsidP="008440FA" w14:paraId="1A730CF9" w14:textId="7E5BAE3A">
      <w:pPr>
        <w:pStyle w:val="Heading2"/>
        <w:tabs>
          <w:tab w:val="left" w:pos="540"/>
        </w:tabs>
        <w:spacing w:line="240" w:lineRule="auto"/>
      </w:pPr>
      <w:bookmarkStart w:id="40" w:name="_Toc456098208"/>
      <w:bookmarkStart w:id="41" w:name="_Toc70669488"/>
      <w:bookmarkStart w:id="42" w:name="_Toc85198587"/>
      <w:r w:rsidRPr="00101045">
        <w:t>2.2</w:t>
      </w:r>
      <w:r w:rsidR="007C181F">
        <w:tab/>
      </w:r>
      <w:bookmarkStart w:id="43" w:name="_Toc457827221"/>
      <w:r w:rsidRPr="00101045">
        <w:t>Statement of the Problem</w:t>
      </w:r>
      <w:bookmarkEnd w:id="40"/>
      <w:bookmarkEnd w:id="41"/>
      <w:bookmarkEnd w:id="42"/>
      <w:bookmarkEnd w:id="43"/>
    </w:p>
    <w:p w:rsidR="009128E1" w:rsidRPr="00627485" w:rsidP="008440FA" w14:paraId="4AC56BEC" w14:textId="77777777">
      <w:pPr>
        <w:keepNext/>
        <w:spacing w:line="240" w:lineRule="auto"/>
      </w:pPr>
    </w:p>
    <w:p w:rsidR="009128E1" w:rsidRPr="00711891" w:rsidP="008440FA" w14:paraId="12CA10CF" w14:textId="292E5B43">
      <w:pPr>
        <w:spacing w:line="240" w:lineRule="auto"/>
      </w:pPr>
      <w:r w:rsidRPr="002B693A">
        <w:t>This section</w:t>
      </w:r>
      <w:r w:rsidRPr="00711891">
        <w:t xml:space="preserve"> </w:t>
      </w:r>
      <w:r>
        <w:t>describes</w:t>
      </w:r>
      <w:r w:rsidRPr="00711891">
        <w:t xml:space="preserve"> the regulatory </w:t>
      </w:r>
      <w:r>
        <w:t xml:space="preserve">issues stemming from the fact </w:t>
      </w:r>
      <w:r w:rsidRPr="00711891">
        <w:t xml:space="preserve">that </w:t>
      </w:r>
      <w:r w:rsidR="00264F68">
        <w:t xml:space="preserve">potential </w:t>
      </w:r>
      <w:r w:rsidR="00DF0F9B">
        <w:t xml:space="preserve">hazards </w:t>
      </w:r>
      <w:r w:rsidR="00264F68">
        <w:t>from</w:t>
      </w:r>
      <w:r>
        <w:t xml:space="preserve"> </w:t>
      </w:r>
      <w:r w:rsidRPr="000A5248">
        <w:t>SMRs</w:t>
      </w:r>
      <w:r w:rsidR="00D77960">
        <w:t xml:space="preserve"> and</w:t>
      </w:r>
      <w:r>
        <w:t xml:space="preserve"> </w:t>
      </w:r>
      <w:r w:rsidR="00D77960">
        <w:t>ONT</w:t>
      </w:r>
      <w:r>
        <w:t>s</w:t>
      </w:r>
      <w:r w:rsidRPr="000A5248">
        <w:t xml:space="preserve"> </w:t>
      </w:r>
      <w:r>
        <w:t xml:space="preserve">could </w:t>
      </w:r>
      <w:r w:rsidRPr="00711891">
        <w:t xml:space="preserve">differ </w:t>
      </w:r>
      <w:r>
        <w:t xml:space="preserve">substantially </w:t>
      </w:r>
      <w:r w:rsidRPr="00711891">
        <w:t xml:space="preserve">from </w:t>
      </w:r>
      <w:r>
        <w:t xml:space="preserve">those </w:t>
      </w:r>
      <w:r w:rsidR="00DF0F9B">
        <w:t xml:space="preserve">posed by </w:t>
      </w:r>
      <w:r>
        <w:t xml:space="preserve">large </w:t>
      </w:r>
      <w:r w:rsidRPr="00711891">
        <w:t>LWRs</w:t>
      </w:r>
      <w:r>
        <w:t xml:space="preserve">.  Differences may include the size of the </w:t>
      </w:r>
      <w:r>
        <w:t>EPZs</w:t>
      </w:r>
      <w:r>
        <w:t>, source terms, offsite dose consequences, siting requirements, operator staffing levels, co</w:t>
      </w:r>
      <w:r w:rsidR="00B931C9">
        <w:t>-</w:t>
      </w:r>
      <w:r>
        <w:t>location of facilities</w:t>
      </w:r>
      <w:r w:rsidR="00412525">
        <w:t xml:space="preserve"> not licensed by the NRC</w:t>
      </w:r>
      <w:r>
        <w:t xml:space="preserve">, and multimodule designs.  </w:t>
      </w:r>
    </w:p>
    <w:p w:rsidR="009128E1" w:rsidRPr="00711891" w:rsidP="008440FA" w14:paraId="6CF38108" w14:textId="77777777">
      <w:pPr>
        <w:spacing w:line="240" w:lineRule="auto"/>
      </w:pPr>
    </w:p>
    <w:p w:rsidR="009128E1" w:rsidP="008440FA" w14:paraId="2BE51A4C" w14:textId="6EE4EC5D">
      <w:pPr>
        <w:spacing w:line="240" w:lineRule="auto"/>
        <w:rPr>
          <w:rFonts w:eastAsia="Calibri"/>
        </w:rPr>
      </w:pPr>
      <w:r w:rsidRPr="00711891">
        <w:rPr>
          <w:rFonts w:eastAsia="Calibri"/>
        </w:rPr>
        <w:t xml:space="preserve">The </w:t>
      </w:r>
      <w:r w:rsidRPr="007676A0">
        <w:rPr>
          <w:rFonts w:eastAsia="Calibri"/>
        </w:rPr>
        <w:t xml:space="preserve">potential </w:t>
      </w:r>
      <w:r>
        <w:rPr>
          <w:rFonts w:eastAsia="Calibri"/>
        </w:rPr>
        <w:t xml:space="preserve">for </w:t>
      </w:r>
      <w:r w:rsidRPr="00711891">
        <w:rPr>
          <w:rFonts w:eastAsia="Calibri"/>
        </w:rPr>
        <w:t xml:space="preserve">smaller </w:t>
      </w:r>
      <w:r>
        <w:rPr>
          <w:rFonts w:eastAsia="Calibri"/>
        </w:rPr>
        <w:t xml:space="preserve">reactor core </w:t>
      </w:r>
      <w:r w:rsidRPr="00711891">
        <w:rPr>
          <w:rFonts w:eastAsia="Calibri"/>
        </w:rPr>
        <w:t>size</w:t>
      </w:r>
      <w:r>
        <w:rPr>
          <w:rFonts w:eastAsia="Calibri"/>
        </w:rPr>
        <w:t>s</w:t>
      </w:r>
      <w:r w:rsidRPr="00711891">
        <w:rPr>
          <w:rFonts w:eastAsia="Calibri"/>
        </w:rPr>
        <w:t xml:space="preserve">, lower power densities, lower probability of severe accidents, slower accident progression, and smaller accident offsite consequences per module that characterize </w:t>
      </w:r>
      <w:r>
        <w:rPr>
          <w:rFonts w:eastAsia="Calibri"/>
        </w:rPr>
        <w:t xml:space="preserve">some </w:t>
      </w:r>
      <w:r w:rsidRPr="00711891">
        <w:rPr>
          <w:rFonts w:eastAsia="Calibri"/>
        </w:rPr>
        <w:t>SMR</w:t>
      </w:r>
      <w:r>
        <w:rPr>
          <w:rFonts w:eastAsia="Calibri"/>
        </w:rPr>
        <w:t xml:space="preserve"> and </w:t>
      </w:r>
      <w:r w:rsidR="00D77960">
        <w:rPr>
          <w:rFonts w:eastAsia="Calibri"/>
        </w:rPr>
        <w:t>ONT</w:t>
      </w:r>
      <w:r w:rsidRPr="00711891">
        <w:rPr>
          <w:rFonts w:eastAsia="Calibri"/>
        </w:rPr>
        <w:t xml:space="preserve"> designs have led </w:t>
      </w:r>
      <w:r w:rsidR="00B84767">
        <w:rPr>
          <w:rFonts w:eastAsia="Calibri"/>
        </w:rPr>
        <w:t xml:space="preserve">the </w:t>
      </w:r>
      <w:r w:rsidR="008A426A">
        <w:rPr>
          <w:rFonts w:eastAsia="Calibri"/>
        </w:rPr>
        <w:t>U.S. Department of Energy</w:t>
      </w:r>
      <w:r w:rsidRPr="00711891">
        <w:rPr>
          <w:rFonts w:eastAsia="Calibri"/>
        </w:rPr>
        <w:t xml:space="preserve">, SMR designers, and potential operators to </w:t>
      </w:r>
      <w:r w:rsidR="00DF0F9B">
        <w:rPr>
          <w:rFonts w:eastAsia="Calibri"/>
        </w:rPr>
        <w:t>propose changes to</w:t>
      </w:r>
      <w:r w:rsidRPr="00711891" w:rsidR="00DF0F9B">
        <w:rPr>
          <w:rFonts w:eastAsia="Calibri"/>
        </w:rPr>
        <w:t xml:space="preserve"> </w:t>
      </w:r>
      <w:r w:rsidRPr="00711891">
        <w:rPr>
          <w:rFonts w:eastAsia="Calibri"/>
        </w:rPr>
        <w:t>the</w:t>
      </w:r>
      <w:r>
        <w:rPr>
          <w:rFonts w:eastAsia="Calibri"/>
        </w:rPr>
        <w:t xml:space="preserve"> </w:t>
      </w:r>
      <w:r w:rsidRPr="00711891">
        <w:rPr>
          <w:rFonts w:eastAsia="Calibri"/>
        </w:rPr>
        <w:t xml:space="preserve">size of the </w:t>
      </w:r>
      <w:r w:rsidRPr="00711891">
        <w:rPr>
          <w:rFonts w:eastAsia="Calibri"/>
        </w:rPr>
        <w:t>EPZs</w:t>
      </w:r>
      <w:r w:rsidRPr="00711891">
        <w:rPr>
          <w:rFonts w:eastAsia="Calibri"/>
        </w:rPr>
        <w:t xml:space="preserve">, the extent of onsite and offsite emergency planning, and the number of response staff needed.  </w:t>
      </w:r>
      <w:r w:rsidR="005D4D86">
        <w:rPr>
          <w:rFonts w:eastAsia="Calibri"/>
        </w:rPr>
        <w:t xml:space="preserve">The </w:t>
      </w:r>
      <w:r w:rsidR="003971A5">
        <w:rPr>
          <w:rFonts w:eastAsia="Calibri"/>
        </w:rPr>
        <w:t>NRC</w:t>
      </w:r>
      <w:r w:rsidR="005D4D86">
        <w:rPr>
          <w:rFonts w:eastAsia="Calibri"/>
        </w:rPr>
        <w:t xml:space="preserve"> expects that future reactors </w:t>
      </w:r>
      <w:r w:rsidR="00693A47">
        <w:rPr>
          <w:rFonts w:eastAsia="Calibri"/>
        </w:rPr>
        <w:t xml:space="preserve">with these characteristics </w:t>
      </w:r>
      <w:r w:rsidR="005D4D86">
        <w:rPr>
          <w:rFonts w:eastAsia="Calibri"/>
        </w:rPr>
        <w:t xml:space="preserve">can operate safely with smaller </w:t>
      </w:r>
      <w:r w:rsidR="005D4D86">
        <w:rPr>
          <w:rFonts w:eastAsia="Calibri"/>
        </w:rPr>
        <w:t>EPZs</w:t>
      </w:r>
      <w:r w:rsidR="005D4D86">
        <w:rPr>
          <w:rFonts w:eastAsia="Calibri"/>
        </w:rPr>
        <w:t xml:space="preserve">, perhaps even with </w:t>
      </w:r>
      <w:r w:rsidR="005D4D86">
        <w:rPr>
          <w:rFonts w:eastAsia="Calibri"/>
        </w:rPr>
        <w:t>EPZs</w:t>
      </w:r>
      <w:r w:rsidR="005D4D86">
        <w:rPr>
          <w:rFonts w:eastAsia="Calibri"/>
        </w:rPr>
        <w:t xml:space="preserve"> at the site boundary</w:t>
      </w:r>
      <w:r w:rsidR="00693A47">
        <w:rPr>
          <w:rFonts w:eastAsia="Calibri"/>
        </w:rPr>
        <w:t xml:space="preserve"> in some cases</w:t>
      </w:r>
      <w:r w:rsidR="005D4D86">
        <w:rPr>
          <w:rFonts w:eastAsia="Calibri"/>
        </w:rPr>
        <w:t xml:space="preserve">.  </w:t>
      </w:r>
      <w:r w:rsidRPr="00711891">
        <w:rPr>
          <w:rFonts w:eastAsia="Calibri"/>
        </w:rPr>
        <w:t xml:space="preserve">Other topics raised by </w:t>
      </w:r>
      <w:r w:rsidR="00654BC2">
        <w:rPr>
          <w:rFonts w:eastAsia="Calibri"/>
        </w:rPr>
        <w:t xml:space="preserve">the </w:t>
      </w:r>
      <w:r w:rsidRPr="00711891">
        <w:rPr>
          <w:rFonts w:eastAsia="Calibri"/>
        </w:rPr>
        <w:t>industry in</w:t>
      </w:r>
      <w:r w:rsidR="00EF5622">
        <w:rPr>
          <w:rFonts w:eastAsia="Calibri"/>
        </w:rPr>
        <w:t>clud</w:t>
      </w:r>
      <w:r w:rsidRPr="00711891">
        <w:rPr>
          <w:rFonts w:eastAsia="Calibri"/>
        </w:rPr>
        <w:t xml:space="preserve">e the potential to revise </w:t>
      </w:r>
      <w:r>
        <w:rPr>
          <w:rFonts w:eastAsia="Calibri"/>
        </w:rPr>
        <w:t xml:space="preserve">public </w:t>
      </w:r>
      <w:r w:rsidRPr="00711891">
        <w:rPr>
          <w:rFonts w:eastAsia="Calibri"/>
        </w:rPr>
        <w:t>alert and notification requirements and the appropriateness of the protective action requirements in 10</w:t>
      </w:r>
      <w:r w:rsidR="008A426A">
        <w:rPr>
          <w:rFonts w:eastAsia="Calibri"/>
        </w:rPr>
        <w:t> </w:t>
      </w:r>
      <w:r w:rsidRPr="00711891">
        <w:rPr>
          <w:rFonts w:eastAsia="Calibri"/>
        </w:rPr>
        <w:t>CFR</w:t>
      </w:r>
      <w:r w:rsidR="008A426A">
        <w:rPr>
          <w:rFonts w:eastAsia="Calibri"/>
        </w:rPr>
        <w:t> </w:t>
      </w:r>
      <w:r w:rsidRPr="00711891">
        <w:rPr>
          <w:rFonts w:eastAsia="Calibri"/>
        </w:rPr>
        <w:t>50.47(b)(10)</w:t>
      </w:r>
      <w:r w:rsidRPr="00135F74">
        <w:rPr>
          <w:rFonts w:eastAsia="Calibri"/>
        </w:rPr>
        <w:t>.</w:t>
      </w:r>
      <w:r w:rsidR="005D4D86">
        <w:rPr>
          <w:rFonts w:eastAsia="Calibri"/>
        </w:rPr>
        <w:t xml:space="preserve">  The performance</w:t>
      </w:r>
      <w:r w:rsidR="008A426A">
        <w:rPr>
          <w:rFonts w:eastAsia="Calibri"/>
        </w:rPr>
        <w:noBreakHyphen/>
      </w:r>
      <w:r w:rsidR="005D4D86">
        <w:rPr>
          <w:rFonts w:eastAsia="Calibri"/>
        </w:rPr>
        <w:t xml:space="preserve">based framework of the </w:t>
      </w:r>
      <w:r w:rsidR="00771861">
        <w:rPr>
          <w:rFonts w:eastAsia="Calibri"/>
        </w:rPr>
        <w:t>final</w:t>
      </w:r>
      <w:r w:rsidR="005D4D86">
        <w:rPr>
          <w:rFonts w:eastAsia="Calibri"/>
        </w:rPr>
        <w:t xml:space="preserve"> rule </w:t>
      </w:r>
      <w:r w:rsidR="00076D31">
        <w:rPr>
          <w:rFonts w:eastAsia="Calibri"/>
        </w:rPr>
        <w:t>w</w:t>
      </w:r>
      <w:r w:rsidR="00771861">
        <w:rPr>
          <w:rFonts w:eastAsia="Calibri"/>
        </w:rPr>
        <w:t>ill</w:t>
      </w:r>
      <w:r w:rsidR="00076D31">
        <w:rPr>
          <w:rFonts w:eastAsia="Calibri"/>
        </w:rPr>
        <w:t xml:space="preserve"> </w:t>
      </w:r>
      <w:r w:rsidR="005D4D86">
        <w:rPr>
          <w:rFonts w:eastAsia="Calibri"/>
        </w:rPr>
        <w:t>address these issues and others related to the current pr</w:t>
      </w:r>
      <w:r w:rsidR="00DA3B21">
        <w:rPr>
          <w:rFonts w:eastAsia="Calibri"/>
        </w:rPr>
        <w:t>e</w:t>
      </w:r>
      <w:r w:rsidR="005D4D86">
        <w:rPr>
          <w:rFonts w:eastAsia="Calibri"/>
        </w:rPr>
        <w:t>scriptive EP requirements.</w:t>
      </w:r>
    </w:p>
    <w:p w:rsidR="009128E1" w:rsidP="008440FA" w14:paraId="0F2EAF4D" w14:textId="77777777">
      <w:pPr>
        <w:spacing w:line="240" w:lineRule="auto"/>
        <w:rPr>
          <w:rFonts w:eastAsia="Calibri"/>
        </w:rPr>
      </w:pPr>
    </w:p>
    <w:p w:rsidR="009128E1" w:rsidRPr="00C6281D" w:rsidP="008440FA" w14:paraId="0D07E0B6" w14:textId="0186C2E0">
      <w:pPr>
        <w:spacing w:line="240" w:lineRule="auto"/>
        <w:rPr>
          <w:rFonts w:eastAsia="Calibri"/>
        </w:rPr>
      </w:pPr>
      <w:r w:rsidRPr="00F36BD4">
        <w:rPr>
          <w:rFonts w:eastAsia="Calibri"/>
        </w:rPr>
        <w:t xml:space="preserve">In carrying out its responsibility under the </w:t>
      </w:r>
      <w:r w:rsidRPr="00F36BD4">
        <w:rPr>
          <w:rFonts w:eastAsia="Calibri"/>
        </w:rPr>
        <w:t>AEA</w:t>
      </w:r>
      <w:r w:rsidRPr="00F36BD4">
        <w:rPr>
          <w:rFonts w:eastAsia="Calibri"/>
        </w:rPr>
        <w:t>, the Commission establish</w:t>
      </w:r>
      <w:r>
        <w:rPr>
          <w:rFonts w:eastAsia="Calibri"/>
        </w:rPr>
        <w:t>es</w:t>
      </w:r>
      <w:r w:rsidRPr="00F36BD4">
        <w:rPr>
          <w:rFonts w:eastAsia="Calibri"/>
        </w:rPr>
        <w:t xml:space="preserve"> regulatory standards for </w:t>
      </w:r>
      <w:r w:rsidR="00EE701D">
        <w:rPr>
          <w:rFonts w:eastAsia="Calibri"/>
        </w:rPr>
        <w:t xml:space="preserve">onsite and </w:t>
      </w:r>
      <w:r w:rsidRPr="00F36BD4">
        <w:rPr>
          <w:rFonts w:eastAsia="Calibri"/>
        </w:rPr>
        <w:t>offsite radiological emergency planning</w:t>
      </w:r>
      <w:r w:rsidR="00EE701D">
        <w:rPr>
          <w:rFonts w:eastAsia="Calibri"/>
        </w:rPr>
        <w:t>.</w:t>
      </w:r>
      <w:r w:rsidRPr="00F36BD4">
        <w:rPr>
          <w:rFonts w:eastAsia="Calibri"/>
        </w:rPr>
        <w:t xml:space="preserve">  </w:t>
      </w:r>
      <w:r w:rsidRPr="00EE701D" w:rsidR="00EE701D">
        <w:rPr>
          <w:rFonts w:eastAsia="Calibri"/>
        </w:rPr>
        <w:t xml:space="preserve">If an applicant’s or licensee’s emergency plan meets the NRC’s regulations, then the NRC has reasonable assurance that adequate protective measures can and will be taken in the event of a radiological emergency.  </w:t>
      </w:r>
      <w:r w:rsidRPr="00F36BD4">
        <w:rPr>
          <w:rFonts w:eastAsia="Calibri"/>
        </w:rPr>
        <w:t xml:space="preserve">In the case of </w:t>
      </w:r>
      <w:r w:rsidR="00DF0F9B">
        <w:rPr>
          <w:rFonts w:eastAsia="Calibri"/>
        </w:rPr>
        <w:t xml:space="preserve">existing </w:t>
      </w:r>
      <w:r w:rsidRPr="00F36BD4">
        <w:rPr>
          <w:rFonts w:eastAsia="Calibri"/>
        </w:rPr>
        <w:t xml:space="preserve">EP regulations for </w:t>
      </w:r>
      <w:r>
        <w:rPr>
          <w:rFonts w:eastAsia="Calibri"/>
        </w:rPr>
        <w:t>NPUFs</w:t>
      </w:r>
      <w:r w:rsidRPr="00F36BD4">
        <w:rPr>
          <w:rFonts w:eastAsia="Calibri"/>
        </w:rPr>
        <w:t xml:space="preserve">, </w:t>
      </w:r>
      <w:r w:rsidR="00C53F01">
        <w:rPr>
          <w:rFonts w:eastAsia="Calibri"/>
        </w:rPr>
        <w:t xml:space="preserve">fuel cycle facilities, and independent spent fuel storage installations, </w:t>
      </w:r>
      <w:r w:rsidRPr="00F36BD4">
        <w:rPr>
          <w:rFonts w:eastAsia="Calibri"/>
        </w:rPr>
        <w:t>regulatory requirements for offsite radiological emergency plans</w:t>
      </w:r>
      <w:r w:rsidR="00BD7E5D">
        <w:rPr>
          <w:rFonts w:eastAsia="Calibri"/>
        </w:rPr>
        <w:t xml:space="preserve"> do not exist.</w:t>
      </w:r>
      <w:r w:rsidRPr="00F36BD4">
        <w:rPr>
          <w:rFonts w:eastAsia="Calibri"/>
        </w:rPr>
        <w:t xml:space="preserve">  </w:t>
      </w:r>
      <w:r>
        <w:rPr>
          <w:rFonts w:eastAsia="Calibri"/>
        </w:rPr>
        <w:t xml:space="preserve">Accordingly, NRC guidance for such facilities states that </w:t>
      </w:r>
      <w:r w:rsidRPr="00711891">
        <w:t>Federal Emergency Management Agency</w:t>
      </w:r>
      <w:r w:rsidRPr="00F36BD4">
        <w:rPr>
          <w:rFonts w:eastAsia="Calibri"/>
        </w:rPr>
        <w:t xml:space="preserve"> </w:t>
      </w:r>
      <w:r>
        <w:rPr>
          <w:rFonts w:eastAsia="Calibri"/>
        </w:rPr>
        <w:t>(</w:t>
      </w:r>
      <w:r w:rsidRPr="00F36BD4">
        <w:rPr>
          <w:rFonts w:eastAsia="Calibri"/>
        </w:rPr>
        <w:t>FEMA</w:t>
      </w:r>
      <w:r>
        <w:rPr>
          <w:rFonts w:eastAsia="Calibri"/>
        </w:rPr>
        <w:t>)</w:t>
      </w:r>
      <w:r w:rsidRPr="00F36BD4">
        <w:rPr>
          <w:rFonts w:eastAsia="Calibri"/>
        </w:rPr>
        <w:t xml:space="preserve"> findings and determinations are not needed to support NRC licensing decisions.</w:t>
      </w:r>
      <w:r>
        <w:rPr>
          <w:rFonts w:eastAsia="Calibri"/>
        </w:rPr>
        <w:t xml:space="preserve">  </w:t>
      </w:r>
      <w:r w:rsidRPr="00F36BD4">
        <w:rPr>
          <w:rFonts w:eastAsia="Calibri"/>
        </w:rPr>
        <w:t xml:space="preserve">Similarly, for </w:t>
      </w:r>
      <w:r w:rsidRPr="000A5248">
        <w:t>SMRs</w:t>
      </w:r>
      <w:r>
        <w:t xml:space="preserve"> </w:t>
      </w:r>
      <w:r w:rsidRPr="000A5248">
        <w:t xml:space="preserve">and </w:t>
      </w:r>
      <w:r w:rsidR="00D77960">
        <w:t>ONTs</w:t>
      </w:r>
      <w:r>
        <w:t xml:space="preserve"> </w:t>
      </w:r>
      <w:r>
        <w:rPr>
          <w:rFonts w:eastAsia="Calibri"/>
        </w:rPr>
        <w:t>within the scope of this rulemaking</w:t>
      </w:r>
      <w:r w:rsidRPr="00F36BD4">
        <w:rPr>
          <w:rFonts w:eastAsia="Calibri"/>
        </w:rPr>
        <w:t xml:space="preserve">, if the NRC determines that assurance of offsite </w:t>
      </w:r>
      <w:r>
        <w:rPr>
          <w:rFonts w:eastAsia="Calibri"/>
        </w:rPr>
        <w:t xml:space="preserve">radiological </w:t>
      </w:r>
      <w:r w:rsidR="00B84767">
        <w:rPr>
          <w:rFonts w:eastAsia="Calibri"/>
        </w:rPr>
        <w:t>emergency preparedness</w:t>
      </w:r>
      <w:r w:rsidRPr="00F36BD4">
        <w:rPr>
          <w:rFonts w:eastAsia="Calibri"/>
        </w:rPr>
        <w:t xml:space="preserve"> is not required</w:t>
      </w:r>
      <w:r>
        <w:rPr>
          <w:rFonts w:eastAsia="Calibri"/>
        </w:rPr>
        <w:t xml:space="preserve"> for specific facilities where the </w:t>
      </w:r>
      <w:r>
        <w:rPr>
          <w:rFonts w:eastAsia="Calibri"/>
        </w:rPr>
        <w:t>EPZs</w:t>
      </w:r>
      <w:r>
        <w:rPr>
          <w:rFonts w:eastAsia="Calibri"/>
        </w:rPr>
        <w:t xml:space="preserve"> do not extend beyond the site boundary</w:t>
      </w:r>
      <w:r w:rsidRPr="00F36BD4">
        <w:rPr>
          <w:rFonts w:eastAsia="Calibri"/>
        </w:rPr>
        <w:t>,</w:t>
      </w:r>
      <w:r w:rsidR="00887892">
        <w:rPr>
          <w:rFonts w:eastAsia="Calibri"/>
        </w:rPr>
        <w:t xml:space="preserve"> </w:t>
      </w:r>
      <w:r w:rsidRPr="00F36BD4">
        <w:rPr>
          <w:rFonts w:eastAsia="Calibri"/>
        </w:rPr>
        <w:t xml:space="preserve">FEMA findings and determinations </w:t>
      </w:r>
      <w:r w:rsidR="004007D8">
        <w:rPr>
          <w:rFonts w:eastAsia="Calibri"/>
        </w:rPr>
        <w:t>on</w:t>
      </w:r>
      <w:r w:rsidRPr="00F36BD4" w:rsidR="004007D8">
        <w:rPr>
          <w:rFonts w:eastAsia="Calibri"/>
        </w:rPr>
        <w:t xml:space="preserve"> </w:t>
      </w:r>
      <w:r w:rsidRPr="00F36BD4">
        <w:rPr>
          <w:rFonts w:eastAsia="Calibri"/>
        </w:rPr>
        <w:t>reasonable assurance under 10</w:t>
      </w:r>
      <w:r w:rsidR="00EF65E7">
        <w:rPr>
          <w:rFonts w:eastAsia="Calibri"/>
        </w:rPr>
        <w:t> </w:t>
      </w:r>
      <w:r w:rsidRPr="00F36BD4">
        <w:rPr>
          <w:rFonts w:eastAsia="Calibri"/>
        </w:rPr>
        <w:t>CFR</w:t>
      </w:r>
      <w:r w:rsidR="00EF65E7">
        <w:rPr>
          <w:rFonts w:eastAsia="Calibri"/>
        </w:rPr>
        <w:t> </w:t>
      </w:r>
      <w:r w:rsidRPr="00F36BD4">
        <w:rPr>
          <w:rFonts w:eastAsia="Calibri"/>
        </w:rPr>
        <w:t>50.54(s)(</w:t>
      </w:r>
      <w:r>
        <w:rPr>
          <w:rFonts w:eastAsia="Calibri"/>
        </w:rPr>
        <w:t>3)</w:t>
      </w:r>
      <w:r w:rsidRPr="00F36BD4">
        <w:rPr>
          <w:rFonts w:eastAsia="Calibri"/>
        </w:rPr>
        <w:t xml:space="preserve"> w</w:t>
      </w:r>
      <w:r w:rsidR="00802431">
        <w:rPr>
          <w:rFonts w:eastAsia="Calibri"/>
        </w:rPr>
        <w:t>ill</w:t>
      </w:r>
      <w:r w:rsidRPr="00F36BD4">
        <w:rPr>
          <w:rFonts w:eastAsia="Calibri"/>
        </w:rPr>
        <w:t xml:space="preserve"> </w:t>
      </w:r>
      <w:r>
        <w:rPr>
          <w:rFonts w:eastAsia="Calibri"/>
        </w:rPr>
        <w:t xml:space="preserve">likely </w:t>
      </w:r>
      <w:r w:rsidRPr="00F36BD4">
        <w:rPr>
          <w:rFonts w:eastAsia="Calibri"/>
        </w:rPr>
        <w:t>not be needed.</w:t>
      </w:r>
      <w:r>
        <w:rPr>
          <w:rFonts w:eastAsia="Calibri"/>
        </w:rPr>
        <w:t xml:space="preserve">  </w:t>
      </w:r>
      <w:r w:rsidRPr="00C6281D">
        <w:rPr>
          <w:rFonts w:eastAsia="Calibri"/>
        </w:rPr>
        <w:t xml:space="preserve">In </w:t>
      </w:r>
      <w:r>
        <w:rPr>
          <w:rFonts w:eastAsia="Calibri"/>
        </w:rPr>
        <w:t xml:space="preserve">such cases, even in </w:t>
      </w:r>
      <w:r w:rsidRPr="00C6281D">
        <w:rPr>
          <w:rFonts w:eastAsia="Calibri"/>
        </w:rPr>
        <w:t xml:space="preserve">the absence of </w:t>
      </w:r>
      <w:r>
        <w:rPr>
          <w:rFonts w:eastAsia="Calibri"/>
        </w:rPr>
        <w:t>NRC</w:t>
      </w:r>
      <w:r w:rsidRPr="00C6281D">
        <w:rPr>
          <w:rFonts w:eastAsia="Calibri"/>
        </w:rPr>
        <w:t xml:space="preserve"> requirements for offsite radiological emergency planning, </w:t>
      </w:r>
      <w:r w:rsidR="00DF0F9B">
        <w:rPr>
          <w:rFonts w:eastAsia="Calibri"/>
        </w:rPr>
        <w:t xml:space="preserve">the </w:t>
      </w:r>
      <w:r w:rsidRPr="00C6281D">
        <w:rPr>
          <w:rFonts w:eastAsia="Calibri"/>
        </w:rPr>
        <w:t xml:space="preserve">responsible </w:t>
      </w:r>
      <w:r>
        <w:rPr>
          <w:rFonts w:eastAsia="Calibri"/>
        </w:rPr>
        <w:t>ORO</w:t>
      </w:r>
      <w:r w:rsidRPr="00C6281D">
        <w:rPr>
          <w:rFonts w:eastAsia="Calibri"/>
        </w:rPr>
        <w:t>s</w:t>
      </w:r>
      <w:r w:rsidRPr="00C6281D">
        <w:rPr>
          <w:rFonts w:eastAsia="Calibri"/>
        </w:rPr>
        <w:t xml:space="preserve"> </w:t>
      </w:r>
      <w:r w:rsidR="001500B6">
        <w:rPr>
          <w:rFonts w:eastAsia="Calibri"/>
        </w:rPr>
        <w:t>would</w:t>
      </w:r>
      <w:r w:rsidRPr="00C6281D" w:rsidR="001500B6">
        <w:rPr>
          <w:rFonts w:eastAsia="Calibri"/>
        </w:rPr>
        <w:t xml:space="preserve"> </w:t>
      </w:r>
      <w:r w:rsidRPr="00C6281D">
        <w:rPr>
          <w:rFonts w:eastAsia="Calibri"/>
        </w:rPr>
        <w:t xml:space="preserve">take actions to protect </w:t>
      </w:r>
      <w:r w:rsidR="00EF65E7">
        <w:rPr>
          <w:rFonts w:eastAsia="Calibri"/>
        </w:rPr>
        <w:t xml:space="preserve">public </w:t>
      </w:r>
      <w:r w:rsidRPr="00C6281D">
        <w:rPr>
          <w:rFonts w:eastAsia="Calibri"/>
        </w:rPr>
        <w:t>health and safety</w:t>
      </w:r>
      <w:r>
        <w:rPr>
          <w:rFonts w:eastAsia="Calibri"/>
        </w:rPr>
        <w:t xml:space="preserve"> by using the community’s general emergency response capabilities</w:t>
      </w:r>
      <w:r w:rsidR="00617AE3">
        <w:rPr>
          <w:rFonts w:eastAsia="Calibri"/>
        </w:rPr>
        <w:t xml:space="preserve"> that</w:t>
      </w:r>
      <w:r>
        <w:rPr>
          <w:rFonts w:eastAsia="Calibri"/>
        </w:rPr>
        <w:t xml:space="preserve"> are not </w:t>
      </w:r>
      <w:r w:rsidRPr="00C6281D">
        <w:rPr>
          <w:rFonts w:eastAsia="Calibri"/>
        </w:rPr>
        <w:t xml:space="preserve">unique to radiological </w:t>
      </w:r>
      <w:r>
        <w:rPr>
          <w:rFonts w:eastAsia="Calibri"/>
        </w:rPr>
        <w:t>emergency response</w:t>
      </w:r>
      <w:r w:rsidRPr="00C6281D">
        <w:rPr>
          <w:rFonts w:eastAsia="Calibri"/>
        </w:rPr>
        <w:t>.</w:t>
      </w:r>
    </w:p>
    <w:p w:rsidR="009128E1" w:rsidRPr="00711891" w:rsidP="008440FA" w14:paraId="02446164" w14:textId="77777777">
      <w:pPr>
        <w:spacing w:line="240" w:lineRule="auto"/>
        <w:rPr>
          <w:rFonts w:eastAsia="Calibri"/>
        </w:rPr>
      </w:pPr>
    </w:p>
    <w:p w:rsidR="009128E1" w:rsidRPr="00711891" w:rsidP="008440FA" w14:paraId="1458E072" w14:textId="4809512B">
      <w:pPr>
        <w:spacing w:line="240" w:lineRule="auto"/>
        <w:rPr>
          <w:iCs/>
        </w:rPr>
      </w:pPr>
      <w:r w:rsidRPr="006932EC">
        <w:rPr>
          <w:iCs/>
        </w:rPr>
        <w:t>The</w:t>
      </w:r>
      <w:r>
        <w:rPr>
          <w:iCs/>
        </w:rPr>
        <w:t xml:space="preserve"> </w:t>
      </w:r>
      <w:r w:rsidR="003971A5">
        <w:rPr>
          <w:iCs/>
        </w:rPr>
        <w:t>NRC</w:t>
      </w:r>
      <w:r>
        <w:rPr>
          <w:iCs/>
        </w:rPr>
        <w:t xml:space="preserve"> evaluates the</w:t>
      </w:r>
      <w:r w:rsidRPr="00711891">
        <w:rPr>
          <w:iCs/>
        </w:rPr>
        <w:t xml:space="preserve"> radiological consequences of hypothetical </w:t>
      </w:r>
      <w:r>
        <w:rPr>
          <w:iCs/>
        </w:rPr>
        <w:t>DBAs</w:t>
      </w:r>
      <w:r w:rsidRPr="00711891">
        <w:rPr>
          <w:iCs/>
        </w:rPr>
        <w:t xml:space="preserve"> </w:t>
      </w:r>
      <w:r>
        <w:rPr>
          <w:iCs/>
        </w:rPr>
        <w:t xml:space="preserve">for determining appropriate </w:t>
      </w:r>
      <w:r w:rsidRPr="00711891">
        <w:rPr>
          <w:iCs/>
        </w:rPr>
        <w:t xml:space="preserve">siting and the </w:t>
      </w:r>
      <w:r>
        <w:rPr>
          <w:iCs/>
        </w:rPr>
        <w:t xml:space="preserve">level of </w:t>
      </w:r>
      <w:r w:rsidRPr="00711891">
        <w:rPr>
          <w:iCs/>
        </w:rPr>
        <w:t xml:space="preserve">safety of the plant design. </w:t>
      </w:r>
      <w:r>
        <w:rPr>
          <w:iCs/>
        </w:rPr>
        <w:t xml:space="preserve"> The </w:t>
      </w:r>
      <w:r w:rsidR="003971A5">
        <w:rPr>
          <w:iCs/>
        </w:rPr>
        <w:t>NRC</w:t>
      </w:r>
      <w:r>
        <w:rPr>
          <w:iCs/>
        </w:rPr>
        <w:t xml:space="preserve"> uses a</w:t>
      </w:r>
      <w:r w:rsidRPr="00711891">
        <w:rPr>
          <w:iCs/>
        </w:rPr>
        <w:t xml:space="preserve">ccident source terms </w:t>
      </w:r>
      <w:r>
        <w:rPr>
          <w:iCs/>
        </w:rPr>
        <w:t xml:space="preserve">in dose analyses </w:t>
      </w:r>
      <w:r w:rsidRPr="00711891">
        <w:rPr>
          <w:iCs/>
        </w:rPr>
        <w:t xml:space="preserve">to assess site suitability </w:t>
      </w:r>
      <w:r>
        <w:rPr>
          <w:iCs/>
        </w:rPr>
        <w:t xml:space="preserve">and </w:t>
      </w:r>
      <w:r w:rsidRPr="00711891">
        <w:rPr>
          <w:iCs/>
        </w:rPr>
        <w:t>the e</w:t>
      </w:r>
      <w:r>
        <w:rPr>
          <w:iCs/>
        </w:rPr>
        <w:t>ffectiveness of the containment or confinement and plant mitigation features</w:t>
      </w:r>
      <w:r w:rsidR="00AE6F44">
        <w:rPr>
          <w:iCs/>
        </w:rPr>
        <w:t>,</w:t>
      </w:r>
      <w:r>
        <w:rPr>
          <w:iCs/>
        </w:rPr>
        <w:t xml:space="preserve"> and </w:t>
      </w:r>
      <w:r w:rsidRPr="00711891">
        <w:rPr>
          <w:iCs/>
        </w:rPr>
        <w:t xml:space="preserve">to show compliance with regulations </w:t>
      </w:r>
      <w:r>
        <w:rPr>
          <w:iCs/>
        </w:rPr>
        <w:t>for determining the amount of</w:t>
      </w:r>
      <w:r w:rsidRPr="00711891">
        <w:rPr>
          <w:iCs/>
        </w:rPr>
        <w:t xml:space="preserve"> dose to workers and members of the public</w:t>
      </w:r>
      <w:r>
        <w:rPr>
          <w:iCs/>
        </w:rPr>
        <w:t>.  T</w:t>
      </w:r>
      <w:r w:rsidRPr="00711891">
        <w:rPr>
          <w:iCs/>
        </w:rPr>
        <w:t xml:space="preserve">he technical basis for EP </w:t>
      </w:r>
      <w:r>
        <w:rPr>
          <w:iCs/>
        </w:rPr>
        <w:t xml:space="preserve">for large LWRs </w:t>
      </w:r>
      <w:r w:rsidRPr="00B93809">
        <w:rPr>
          <w:iCs/>
        </w:rPr>
        <w:t>established in NUREG</w:t>
      </w:r>
      <w:r w:rsidR="004007D8">
        <w:rPr>
          <w:iCs/>
        </w:rPr>
        <w:noBreakHyphen/>
      </w:r>
      <w:r w:rsidRPr="00B93809">
        <w:rPr>
          <w:iCs/>
        </w:rPr>
        <w:t>0396 considers a wide spectrum of potential accidents for the facility, including severe accidents.</w:t>
      </w:r>
      <w:r>
        <w:rPr>
          <w:iCs/>
        </w:rPr>
        <w:t xml:space="preserve">  </w:t>
      </w:r>
      <w:r w:rsidRPr="00711905">
        <w:rPr>
          <w:iCs/>
        </w:rPr>
        <w:t>NUREG</w:t>
      </w:r>
      <w:r w:rsidR="002073B7">
        <w:rPr>
          <w:iCs/>
        </w:rPr>
        <w:noBreakHyphen/>
      </w:r>
      <w:r w:rsidRPr="00711905">
        <w:rPr>
          <w:iCs/>
        </w:rPr>
        <w:t>0396 states that</w:t>
      </w:r>
      <w:r w:rsidR="009A50AA">
        <w:rPr>
          <w:iCs/>
        </w:rPr>
        <w:t>, although the</w:t>
      </w:r>
      <w:r w:rsidRPr="00711905">
        <w:rPr>
          <w:iCs/>
        </w:rPr>
        <w:t xml:space="preserve"> develop</w:t>
      </w:r>
      <w:r w:rsidR="009A50AA">
        <w:rPr>
          <w:iCs/>
        </w:rPr>
        <w:t>ment of</w:t>
      </w:r>
      <w:r w:rsidRPr="00711905">
        <w:rPr>
          <w:iCs/>
        </w:rPr>
        <w:t xml:space="preserve"> specific plans for the most severe and most improbable events</w:t>
      </w:r>
      <w:r w:rsidR="009A50AA">
        <w:rPr>
          <w:iCs/>
        </w:rPr>
        <w:t xml:space="preserve"> is not appropriate</w:t>
      </w:r>
      <w:r w:rsidRPr="00711905">
        <w:rPr>
          <w:iCs/>
        </w:rPr>
        <w:t xml:space="preserve">, the characteristics of these events </w:t>
      </w:r>
      <w:r w:rsidR="00B80478">
        <w:rPr>
          <w:iCs/>
        </w:rPr>
        <w:t xml:space="preserve">should be considered </w:t>
      </w:r>
      <w:r w:rsidRPr="00711905">
        <w:rPr>
          <w:iCs/>
        </w:rPr>
        <w:t>“in judging whether emergency plans based primarily on smaller accidents can be expanded to cope with larger events.”  This approach provides reasonable assurance that capabilities exist to minimize the impacts of even the most severe events.  Consistent with th</w:t>
      </w:r>
      <w:r>
        <w:rPr>
          <w:iCs/>
        </w:rPr>
        <w:t>is guidance from NUREG</w:t>
      </w:r>
      <w:r w:rsidR="002073B7">
        <w:rPr>
          <w:iCs/>
        </w:rPr>
        <w:noBreakHyphen/>
      </w:r>
      <w:r>
        <w:rPr>
          <w:iCs/>
        </w:rPr>
        <w:t xml:space="preserve">0396, the </w:t>
      </w:r>
      <w:r w:rsidR="003971A5">
        <w:rPr>
          <w:iCs/>
        </w:rPr>
        <w:t>NRC</w:t>
      </w:r>
      <w:r>
        <w:rPr>
          <w:iCs/>
        </w:rPr>
        <w:t xml:space="preserve"> does not limit its consideration to </w:t>
      </w:r>
      <w:r>
        <w:rPr>
          <w:iCs/>
        </w:rPr>
        <w:t>DBAs</w:t>
      </w:r>
      <w:r w:rsidRPr="00711891">
        <w:rPr>
          <w:iCs/>
        </w:rPr>
        <w:t xml:space="preserve">.  </w:t>
      </w:r>
      <w:r w:rsidRPr="008E2AD1">
        <w:rPr>
          <w:iCs/>
        </w:rPr>
        <w:t xml:space="preserve">Furthermore, the </w:t>
      </w:r>
      <w:r w:rsidR="003971A5">
        <w:rPr>
          <w:iCs/>
        </w:rPr>
        <w:t>NRC</w:t>
      </w:r>
      <w:r w:rsidRPr="008E2AD1">
        <w:rPr>
          <w:iCs/>
        </w:rPr>
        <w:t xml:space="preserve"> must consider the source terms associated with multimodule (</w:t>
      </w:r>
      <w:r w:rsidR="002073B7">
        <w:rPr>
          <w:iCs/>
        </w:rPr>
        <w:t>e.g.</w:t>
      </w:r>
      <w:r>
        <w:rPr>
          <w:iCs/>
        </w:rPr>
        <w:t>,</w:t>
      </w:r>
      <w:r w:rsidR="004007D8">
        <w:rPr>
          <w:iCs/>
        </w:rPr>
        <w:t> </w:t>
      </w:r>
      <w:r w:rsidRPr="187F6C87">
        <w:t>multi</w:t>
      </w:r>
      <w:r w:rsidRPr="187F6C87" w:rsidR="7C2BAFE5">
        <w:t xml:space="preserve"> </w:t>
      </w:r>
      <w:r w:rsidRPr="187F6C87">
        <w:t>reactor</w:t>
      </w:r>
      <w:r w:rsidRPr="008E2AD1">
        <w:rPr>
          <w:iCs/>
        </w:rPr>
        <w:t xml:space="preserve">) designs of some SMRs and </w:t>
      </w:r>
      <w:r w:rsidR="00D77960">
        <w:rPr>
          <w:iCs/>
        </w:rPr>
        <w:t>ONT</w:t>
      </w:r>
      <w:r w:rsidRPr="008E2AD1">
        <w:rPr>
          <w:iCs/>
        </w:rPr>
        <w:t xml:space="preserve">s where those modules share structures, systems, and components to </w:t>
      </w:r>
      <w:r w:rsidR="002073B7">
        <w:rPr>
          <w:iCs/>
        </w:rPr>
        <w:t>the</w:t>
      </w:r>
      <w:r w:rsidRPr="008E2AD1">
        <w:rPr>
          <w:iCs/>
        </w:rPr>
        <w:t xml:space="preserve"> extent that more than one module</w:t>
      </w:r>
      <w:r w:rsidR="002073B7">
        <w:rPr>
          <w:iCs/>
        </w:rPr>
        <w:t xml:space="preserve"> could potentially release fission products to the environment</w:t>
      </w:r>
      <w:r w:rsidRPr="008E2AD1">
        <w:rPr>
          <w:iCs/>
        </w:rPr>
        <w:t>.</w:t>
      </w:r>
      <w:r w:rsidRPr="00711891">
        <w:rPr>
          <w:iCs/>
        </w:rPr>
        <w:t xml:space="preserve"> </w:t>
      </w:r>
      <w:r>
        <w:rPr>
          <w:iCs/>
        </w:rPr>
        <w:t xml:space="preserve"> Facility</w:t>
      </w:r>
      <w:r w:rsidRPr="00711891">
        <w:rPr>
          <w:iCs/>
        </w:rPr>
        <w:t xml:space="preserve"> designers</w:t>
      </w:r>
      <w:r>
        <w:rPr>
          <w:iCs/>
        </w:rPr>
        <w:t xml:space="preserve"> and </w:t>
      </w:r>
      <w:r w:rsidRPr="00711891">
        <w:rPr>
          <w:iCs/>
        </w:rPr>
        <w:t>applicants</w:t>
      </w:r>
      <w:r>
        <w:rPr>
          <w:iCs/>
        </w:rPr>
        <w:t xml:space="preserve"> </w:t>
      </w:r>
      <w:r w:rsidRPr="00711891">
        <w:rPr>
          <w:iCs/>
        </w:rPr>
        <w:t xml:space="preserve">will need to establish appropriate </w:t>
      </w:r>
      <w:r>
        <w:rPr>
          <w:iCs/>
        </w:rPr>
        <w:t>credible</w:t>
      </w:r>
      <w:r w:rsidRPr="00711891">
        <w:rPr>
          <w:iCs/>
        </w:rPr>
        <w:t xml:space="preserve"> source terms for SMRs and </w:t>
      </w:r>
      <w:r w:rsidR="00D77960">
        <w:rPr>
          <w:iCs/>
        </w:rPr>
        <w:t>ONT</w:t>
      </w:r>
      <w:r w:rsidRPr="00711891">
        <w:rPr>
          <w:iCs/>
        </w:rPr>
        <w:t>s for this spectrum</w:t>
      </w:r>
      <w:r>
        <w:rPr>
          <w:iCs/>
        </w:rPr>
        <w:t xml:space="preserve"> of accidents</w:t>
      </w:r>
      <w:r w:rsidRPr="00711891">
        <w:rPr>
          <w:iCs/>
        </w:rPr>
        <w:t xml:space="preserve">.  </w:t>
      </w:r>
    </w:p>
    <w:p w:rsidR="009128E1" w:rsidRPr="00711891" w:rsidP="008440FA" w14:paraId="30A721DA" w14:textId="77777777">
      <w:pPr>
        <w:spacing w:line="240" w:lineRule="auto"/>
        <w:rPr>
          <w:iCs/>
        </w:rPr>
      </w:pPr>
    </w:p>
    <w:p w:rsidR="009128E1" w:rsidRPr="00711891" w:rsidP="008440FA" w14:paraId="16CA67AA" w14:textId="480852A8">
      <w:pPr>
        <w:spacing w:line="240" w:lineRule="auto"/>
        <w:rPr>
          <w:iCs/>
        </w:rPr>
      </w:pPr>
      <w:r w:rsidRPr="00913DFF">
        <w:rPr>
          <w:iCs/>
        </w:rPr>
        <w:t xml:space="preserve">The existing regulations and planning basis for EP for large LWRs are based on an anticipated prompt response to a wide spectrum of events.  </w:t>
      </w:r>
      <w:r>
        <w:rPr>
          <w:iCs/>
        </w:rPr>
        <w:t xml:space="preserve">Similarly, for SMRs and </w:t>
      </w:r>
      <w:r w:rsidR="00D77960">
        <w:rPr>
          <w:iCs/>
        </w:rPr>
        <w:t>ONT</w:t>
      </w:r>
      <w:r w:rsidRPr="00913DFF">
        <w:rPr>
          <w:iCs/>
        </w:rPr>
        <w:t xml:space="preserve">s, the </w:t>
      </w:r>
      <w:r w:rsidR="003971A5">
        <w:rPr>
          <w:iCs/>
        </w:rPr>
        <w:t>NRC</w:t>
      </w:r>
      <w:r w:rsidRPr="00913DFF">
        <w:rPr>
          <w:iCs/>
        </w:rPr>
        <w:t xml:space="preserve"> will </w:t>
      </w:r>
      <w:r w:rsidRPr="00913DFF">
        <w:rPr>
          <w:iCs/>
        </w:rPr>
        <w:t xml:space="preserve">consider an appropriate spectrum of accidents and consequences to provide a basis for judging the adequacy of features such as functional containment design and offsite emergency planning.  The </w:t>
      </w:r>
      <w:r w:rsidR="003971A5">
        <w:rPr>
          <w:iCs/>
        </w:rPr>
        <w:t>NRC</w:t>
      </w:r>
      <w:r w:rsidRPr="00913DFF">
        <w:rPr>
          <w:iCs/>
        </w:rPr>
        <w:t xml:space="preserve"> intends to consider accident scenarios during power ascension, full</w:t>
      </w:r>
      <w:r w:rsidR="002073B7">
        <w:rPr>
          <w:iCs/>
        </w:rPr>
        <w:noBreakHyphen/>
      </w:r>
      <w:r w:rsidRPr="00913DFF">
        <w:rPr>
          <w:iCs/>
        </w:rPr>
        <w:t>power operation, power decrease, shutdown, and low</w:t>
      </w:r>
      <w:r w:rsidRPr="00913DFF">
        <w:rPr>
          <w:iCs/>
        </w:rPr>
        <w:noBreakHyphen/>
        <w:t>power operations.</w:t>
      </w:r>
      <w:r>
        <w:rPr>
          <w:iCs/>
        </w:rPr>
        <w:t xml:space="preserve">  All sources of potential accidental radiological releases from the facility will be considered.  For potential licensing of </w:t>
      </w:r>
      <w:r w:rsidR="00D77960">
        <w:rPr>
          <w:iCs/>
        </w:rPr>
        <w:t>ONT</w:t>
      </w:r>
      <w:r w:rsidRPr="00902E11">
        <w:rPr>
          <w:iCs/>
        </w:rPr>
        <w:t xml:space="preserve">s, the </w:t>
      </w:r>
      <w:r w:rsidR="003971A5">
        <w:rPr>
          <w:iCs/>
        </w:rPr>
        <w:t>NRC</w:t>
      </w:r>
      <w:r w:rsidRPr="00902E11">
        <w:rPr>
          <w:iCs/>
        </w:rPr>
        <w:t xml:space="preserve"> </w:t>
      </w:r>
      <w:r w:rsidR="002629A9">
        <w:rPr>
          <w:iCs/>
        </w:rPr>
        <w:t xml:space="preserve">staff </w:t>
      </w:r>
      <w:r w:rsidRPr="00902E11">
        <w:rPr>
          <w:iCs/>
        </w:rPr>
        <w:t xml:space="preserve">is working with stakeholders to modernize the framework for </w:t>
      </w:r>
      <w:r w:rsidR="002073B7">
        <w:rPr>
          <w:iCs/>
        </w:rPr>
        <w:t xml:space="preserve">the </w:t>
      </w:r>
      <w:r w:rsidRPr="00902E11">
        <w:rPr>
          <w:iCs/>
        </w:rPr>
        <w:t>selection of licensing</w:t>
      </w:r>
      <w:r w:rsidR="002073B7">
        <w:rPr>
          <w:iCs/>
        </w:rPr>
        <w:noBreakHyphen/>
      </w:r>
      <w:r w:rsidRPr="00902E11">
        <w:rPr>
          <w:iCs/>
        </w:rPr>
        <w:t xml:space="preserve">basis events for safety analysis using a risk-informed approach.  As </w:t>
      </w:r>
      <w:r w:rsidR="008029F0">
        <w:rPr>
          <w:iCs/>
        </w:rPr>
        <w:t xml:space="preserve">these </w:t>
      </w:r>
      <w:r w:rsidRPr="00902E11">
        <w:rPr>
          <w:iCs/>
        </w:rPr>
        <w:t xml:space="preserve">activities progress, the </w:t>
      </w:r>
      <w:r w:rsidR="0076579B">
        <w:rPr>
          <w:iCs/>
        </w:rPr>
        <w:t>agency</w:t>
      </w:r>
      <w:r w:rsidRPr="00902E11">
        <w:rPr>
          <w:iCs/>
        </w:rPr>
        <w:t xml:space="preserve"> will maintain alignment between this rulemaking and </w:t>
      </w:r>
      <w:r>
        <w:rPr>
          <w:iCs/>
        </w:rPr>
        <w:t xml:space="preserve">the implementation of other </w:t>
      </w:r>
      <w:r w:rsidR="008029F0">
        <w:rPr>
          <w:iCs/>
        </w:rPr>
        <w:t xml:space="preserve">aspects of the </w:t>
      </w:r>
      <w:r w:rsidR="00D77960">
        <w:rPr>
          <w:iCs/>
        </w:rPr>
        <w:t>ONT</w:t>
      </w:r>
      <w:r w:rsidRPr="00902E11">
        <w:rPr>
          <w:iCs/>
        </w:rPr>
        <w:t xml:space="preserve"> </w:t>
      </w:r>
      <w:r w:rsidR="008029F0">
        <w:rPr>
          <w:iCs/>
        </w:rPr>
        <w:t>regulatory framework</w:t>
      </w:r>
      <w:r w:rsidR="004007D8">
        <w:rPr>
          <w:iCs/>
        </w:rPr>
        <w:t>,</w:t>
      </w:r>
      <w:r w:rsidRPr="00902E11" w:rsidR="008029F0">
        <w:rPr>
          <w:iCs/>
        </w:rPr>
        <w:t xml:space="preserve"> </w:t>
      </w:r>
      <w:r w:rsidRPr="00902E11">
        <w:rPr>
          <w:iCs/>
        </w:rPr>
        <w:t xml:space="preserve">as intended in the </w:t>
      </w:r>
      <w:r w:rsidR="004918C3">
        <w:rPr>
          <w:iCs/>
        </w:rPr>
        <w:t xml:space="preserve">NRC </w:t>
      </w:r>
      <w:r w:rsidRPr="00902E11">
        <w:rPr>
          <w:iCs/>
        </w:rPr>
        <w:t xml:space="preserve">Vision and Strategy </w:t>
      </w:r>
      <w:r w:rsidR="004918C3">
        <w:rPr>
          <w:iCs/>
        </w:rPr>
        <w:t>d</w:t>
      </w:r>
      <w:r w:rsidR="00C33463">
        <w:rPr>
          <w:iCs/>
        </w:rPr>
        <w:t>ocument</w:t>
      </w:r>
      <w:r w:rsidR="00B84767">
        <w:rPr>
          <w:iCs/>
        </w:rPr>
        <w:t xml:space="preserve"> </w:t>
      </w:r>
      <w:r w:rsidRPr="00F87002" w:rsidR="00B84767">
        <w:t>(NRC,</w:t>
      </w:r>
      <w:r w:rsidR="007B6D46">
        <w:t> </w:t>
      </w:r>
      <w:r w:rsidRPr="00F87002" w:rsidR="00B84767">
        <w:t>2016c)</w:t>
      </w:r>
      <w:r w:rsidRPr="00902E11">
        <w:rPr>
          <w:iCs/>
        </w:rPr>
        <w:t>.</w:t>
      </w:r>
    </w:p>
    <w:p w:rsidR="009128E1" w:rsidP="008440FA" w14:paraId="0E35867B" w14:textId="77777777">
      <w:pPr>
        <w:spacing w:line="240" w:lineRule="auto"/>
      </w:pPr>
    </w:p>
    <w:p w:rsidR="009128E1" w:rsidRPr="00DA5025" w:rsidP="008440FA" w14:paraId="3674D508" w14:textId="1784F5EA">
      <w:pPr>
        <w:pStyle w:val="Heading2"/>
        <w:tabs>
          <w:tab w:val="left" w:pos="540"/>
        </w:tabs>
        <w:spacing w:line="240" w:lineRule="auto"/>
      </w:pPr>
      <w:bookmarkStart w:id="44" w:name="_Toc456098209"/>
      <w:bookmarkStart w:id="45" w:name="_Toc70669489"/>
      <w:bookmarkStart w:id="46" w:name="_Toc85198588"/>
      <w:r>
        <w:t>2.3</w:t>
      </w:r>
      <w:r w:rsidR="009B5255">
        <w:tab/>
      </w:r>
      <w:bookmarkStart w:id="47" w:name="_Toc457827222"/>
      <w:r w:rsidRPr="00DA5025">
        <w:t>Objective</w:t>
      </w:r>
      <w:bookmarkEnd w:id="44"/>
      <w:bookmarkEnd w:id="45"/>
      <w:bookmarkEnd w:id="46"/>
      <w:bookmarkEnd w:id="47"/>
    </w:p>
    <w:p w:rsidR="009128E1" w:rsidRPr="00DA5025" w:rsidP="008440FA" w14:paraId="3B1D5E29" w14:textId="77777777">
      <w:pPr>
        <w:spacing w:line="240" w:lineRule="auto"/>
      </w:pPr>
    </w:p>
    <w:p w:rsidR="009128E1" w:rsidP="008440FA" w14:paraId="70B224F5" w14:textId="553C247B">
      <w:pPr>
        <w:spacing w:line="240" w:lineRule="auto"/>
      </w:pPr>
      <w:r w:rsidRPr="00DA5025">
        <w:t xml:space="preserve">The </w:t>
      </w:r>
      <w:r w:rsidR="008E4EA8">
        <w:t>purpose</w:t>
      </w:r>
      <w:r w:rsidRPr="00DA5025" w:rsidR="008E4EA8">
        <w:t xml:space="preserve"> </w:t>
      </w:r>
      <w:r w:rsidRPr="00DA5025">
        <w:t xml:space="preserve">of this regulatory action is </w:t>
      </w:r>
      <w:r w:rsidRPr="00A74681">
        <w:rPr>
          <w:color w:val="000000"/>
        </w:rPr>
        <w:t xml:space="preserve">to enhance the effectiveness and efficiency of the regulatory framework for </w:t>
      </w:r>
      <w:r w:rsidR="00DC7D31">
        <w:rPr>
          <w:color w:val="000000"/>
        </w:rPr>
        <w:t xml:space="preserve">existing and future </w:t>
      </w:r>
      <w:r w:rsidRPr="00BA3BA9">
        <w:rPr>
          <w:color w:val="000000"/>
        </w:rPr>
        <w:t xml:space="preserve">applicants </w:t>
      </w:r>
      <w:r>
        <w:rPr>
          <w:color w:val="000000"/>
        </w:rPr>
        <w:t xml:space="preserve">and licensees of SMRs and </w:t>
      </w:r>
      <w:r w:rsidR="00C6347F">
        <w:rPr>
          <w:color w:val="000000"/>
        </w:rPr>
        <w:t>ONT</w:t>
      </w:r>
      <w:r>
        <w:rPr>
          <w:color w:val="000000"/>
        </w:rPr>
        <w:t>s</w:t>
      </w:r>
      <w:r w:rsidR="002629A9">
        <w:rPr>
          <w:color w:val="000000"/>
        </w:rPr>
        <w:t>,</w:t>
      </w:r>
      <w:r>
        <w:rPr>
          <w:color w:val="000000"/>
        </w:rPr>
        <w:t xml:space="preserve"> </w:t>
      </w:r>
      <w:r w:rsidRPr="00BA3BA9">
        <w:rPr>
          <w:color w:val="000000"/>
        </w:rPr>
        <w:t>and the NRC</w:t>
      </w:r>
      <w:r w:rsidR="008A3592">
        <w:rPr>
          <w:color w:val="000000"/>
        </w:rPr>
        <w:t>,</w:t>
      </w:r>
      <w:r w:rsidR="005D4D86">
        <w:rPr>
          <w:color w:val="000000"/>
        </w:rPr>
        <w:t xml:space="preserve"> by enacting a performance</w:t>
      </w:r>
      <w:r w:rsidR="009B5255">
        <w:rPr>
          <w:color w:val="000000"/>
        </w:rPr>
        <w:noBreakHyphen/>
      </w:r>
      <w:r w:rsidR="005D4D86">
        <w:rPr>
          <w:color w:val="000000"/>
        </w:rPr>
        <w:t xml:space="preserve">based EP framework that enables </w:t>
      </w:r>
      <w:r w:rsidR="00DC7D31">
        <w:rPr>
          <w:color w:val="000000"/>
        </w:rPr>
        <w:t xml:space="preserve">existing and </w:t>
      </w:r>
      <w:r w:rsidR="005D4D86">
        <w:rPr>
          <w:color w:val="000000"/>
        </w:rPr>
        <w:t xml:space="preserve">future SMRs and </w:t>
      </w:r>
      <w:r w:rsidR="00C6347F">
        <w:rPr>
          <w:color w:val="000000"/>
        </w:rPr>
        <w:t>ONT</w:t>
      </w:r>
      <w:r w:rsidR="005D4D86">
        <w:rPr>
          <w:color w:val="000000"/>
        </w:rPr>
        <w:t xml:space="preserve">s to have flexible options for </w:t>
      </w:r>
      <w:r w:rsidR="005D4D86">
        <w:rPr>
          <w:color w:val="000000"/>
        </w:rPr>
        <w:t>EPZ</w:t>
      </w:r>
      <w:r w:rsidR="005D4D86">
        <w:rPr>
          <w:color w:val="000000"/>
        </w:rPr>
        <w:t xml:space="preserve"> size</w:t>
      </w:r>
      <w:r w:rsidR="008A3592">
        <w:rPr>
          <w:color w:val="000000"/>
        </w:rPr>
        <w:t>,</w:t>
      </w:r>
      <w:r w:rsidR="005D4D86">
        <w:rPr>
          <w:color w:val="000000"/>
        </w:rPr>
        <w:t xml:space="preserve"> and other facets of EP</w:t>
      </w:r>
      <w:r w:rsidR="008A3592">
        <w:rPr>
          <w:color w:val="000000"/>
        </w:rPr>
        <w:t>,</w:t>
      </w:r>
      <w:r w:rsidRPr="00BA3BA9">
        <w:rPr>
          <w:color w:val="000000"/>
        </w:rPr>
        <w:t xml:space="preserve"> while </w:t>
      </w:r>
      <w:r w:rsidR="005D4D86">
        <w:rPr>
          <w:color w:val="000000"/>
        </w:rPr>
        <w:t xml:space="preserve">continuing to </w:t>
      </w:r>
      <w:r w:rsidR="00D979D4">
        <w:rPr>
          <w:color w:val="000000"/>
        </w:rPr>
        <w:t xml:space="preserve">provide adequate protection of </w:t>
      </w:r>
      <w:r w:rsidRPr="00BA3BA9">
        <w:rPr>
          <w:color w:val="000000"/>
        </w:rPr>
        <w:t>public health and safety.</w:t>
      </w:r>
      <w:r w:rsidR="008E4EA8">
        <w:rPr>
          <w:color w:val="000000"/>
        </w:rPr>
        <w:t xml:space="preserve">  </w:t>
      </w:r>
      <w:r w:rsidRPr="00196534" w:rsidR="008E4EA8">
        <w:t xml:space="preserve">In particular, the NRC’s objective for this rulemaking is to create </w:t>
      </w:r>
      <w:r w:rsidR="00EC4119">
        <w:t>alternative</w:t>
      </w:r>
      <w:r w:rsidRPr="00196534" w:rsidR="008E4EA8">
        <w:t xml:space="preserve"> EP</w:t>
      </w:r>
      <w:r w:rsidR="004007D8">
        <w:t xml:space="preserve"> </w:t>
      </w:r>
      <w:r w:rsidRPr="00196534" w:rsidR="008E4EA8">
        <w:t>requirements that (1)</w:t>
      </w:r>
      <w:r w:rsidR="004007D8">
        <w:t> </w:t>
      </w:r>
      <w:r w:rsidR="00E36093">
        <w:t xml:space="preserve">continue to </w:t>
      </w:r>
      <w:r w:rsidRPr="00196534" w:rsidR="008E4EA8">
        <w:t xml:space="preserve">provide reasonable assurance that </w:t>
      </w:r>
      <w:r w:rsidR="002639C9">
        <w:t xml:space="preserve">adequate protective measures </w:t>
      </w:r>
      <w:r w:rsidR="00175F59">
        <w:t xml:space="preserve">can and </w:t>
      </w:r>
      <w:r w:rsidR="00D7276B">
        <w:t xml:space="preserve">will </w:t>
      </w:r>
      <w:r w:rsidR="0081395A">
        <w:t>be</w:t>
      </w:r>
      <w:r w:rsidR="00D7276B">
        <w:t xml:space="preserve"> </w:t>
      </w:r>
      <w:r w:rsidR="00175F59">
        <w:t>implement</w:t>
      </w:r>
      <w:r w:rsidR="0081395A">
        <w:t>ed by an SMR or ONT licensee</w:t>
      </w:r>
      <w:r w:rsidR="009B5255">
        <w:t xml:space="preserve">, </w:t>
      </w:r>
      <w:r w:rsidRPr="00196534" w:rsidR="008E4EA8">
        <w:t>(2)</w:t>
      </w:r>
      <w:r w:rsidR="009B5255">
        <w:t> </w:t>
      </w:r>
      <w:r w:rsidRPr="00196534" w:rsidR="008E4EA8">
        <w:t>promote regulatory stability, predictability, and clarity</w:t>
      </w:r>
      <w:r w:rsidR="00A030F5">
        <w:t>,</w:t>
      </w:r>
      <w:r w:rsidRPr="00196534" w:rsidR="008E4EA8">
        <w:t xml:space="preserve"> (3)</w:t>
      </w:r>
      <w:r w:rsidR="00A030F5">
        <w:t> </w:t>
      </w:r>
      <w:r w:rsidRPr="00196534" w:rsidR="008E4EA8">
        <w:t xml:space="preserve">reduce </w:t>
      </w:r>
      <w:r w:rsidR="009607C4">
        <w:t xml:space="preserve">the need for </w:t>
      </w:r>
      <w:r w:rsidRPr="00196534" w:rsidR="008E4EA8">
        <w:t xml:space="preserve">requests for exemptions from </w:t>
      </w:r>
      <w:r w:rsidRPr="00196534" w:rsidR="008E4EA8">
        <w:rPr>
          <w:rFonts w:eastAsia="Arial"/>
        </w:rPr>
        <w:t>EP requirements</w:t>
      </w:r>
      <w:r w:rsidR="00A030F5">
        <w:rPr>
          <w:rFonts w:eastAsia="Arial"/>
        </w:rPr>
        <w:t>,</w:t>
      </w:r>
      <w:r w:rsidRPr="00196534" w:rsidR="008E4EA8">
        <w:rPr>
          <w:rFonts w:eastAsia="Arial"/>
        </w:rPr>
        <w:t xml:space="preserve"> (4)</w:t>
      </w:r>
      <w:r w:rsidR="00A030F5">
        <w:rPr>
          <w:rFonts w:eastAsia="Arial"/>
        </w:rPr>
        <w:t> </w:t>
      </w:r>
      <w:r w:rsidRPr="00196534" w:rsidR="008E4EA8">
        <w:rPr>
          <w:rFonts w:eastAsia="Arial"/>
        </w:rPr>
        <w:t xml:space="preserve">recognize </w:t>
      </w:r>
      <w:r w:rsidR="000174B4">
        <w:rPr>
          <w:rFonts w:eastAsia="Arial"/>
        </w:rPr>
        <w:t xml:space="preserve">advances in design and </w:t>
      </w:r>
      <w:r w:rsidRPr="00196534" w:rsidR="008E4EA8">
        <w:rPr>
          <w:rFonts w:eastAsia="Arial"/>
        </w:rPr>
        <w:t>technolog</w:t>
      </w:r>
      <w:r w:rsidR="000174B4">
        <w:rPr>
          <w:rFonts w:eastAsia="Arial"/>
        </w:rPr>
        <w:t>ical</w:t>
      </w:r>
      <w:r w:rsidRPr="00196534" w:rsidR="008E4EA8">
        <w:rPr>
          <w:rFonts w:eastAsia="Arial"/>
        </w:rPr>
        <w:t xml:space="preserve"> advancements embedded in design features</w:t>
      </w:r>
      <w:r w:rsidR="00A030F5">
        <w:rPr>
          <w:rFonts w:eastAsia="Arial"/>
        </w:rPr>
        <w:t>,</w:t>
      </w:r>
      <w:r w:rsidRPr="00196534" w:rsidR="008E4EA8">
        <w:rPr>
          <w:rFonts w:eastAsia="Arial"/>
        </w:rPr>
        <w:t xml:space="preserve"> (5)</w:t>
      </w:r>
      <w:r w:rsidR="00A030F5">
        <w:rPr>
          <w:rFonts w:eastAsia="Arial"/>
        </w:rPr>
        <w:t> </w:t>
      </w:r>
      <w:r w:rsidRPr="00196534" w:rsidR="008E4EA8">
        <w:rPr>
          <w:rFonts w:eastAsia="Arial"/>
        </w:rPr>
        <w:t>credit safety enhancements in evolutionary and passive systems</w:t>
      </w:r>
      <w:r w:rsidR="00A030F5">
        <w:rPr>
          <w:rFonts w:eastAsia="Arial"/>
        </w:rPr>
        <w:t>,</w:t>
      </w:r>
      <w:r w:rsidRPr="00196534" w:rsidR="008E4EA8">
        <w:rPr>
          <w:rFonts w:eastAsia="Arial"/>
        </w:rPr>
        <w:t xml:space="preserve"> and (6)</w:t>
      </w:r>
      <w:r w:rsidR="00A030F5">
        <w:rPr>
          <w:rFonts w:eastAsia="Arial"/>
        </w:rPr>
        <w:t> </w:t>
      </w:r>
      <w:r w:rsidRPr="00866B5F" w:rsidR="00CF1AFD">
        <w:rPr>
          <w:rFonts w:eastAsia="Arial"/>
          <w:color w:val="000000"/>
        </w:rPr>
        <w:t xml:space="preserve">credit </w:t>
      </w:r>
      <w:r w:rsidR="00CF1AFD">
        <w:rPr>
          <w:rFonts w:eastAsia="Arial"/>
          <w:color w:val="000000"/>
        </w:rPr>
        <w:t xml:space="preserve">the </w:t>
      </w:r>
      <w:r w:rsidR="00584F13">
        <w:rPr>
          <w:rFonts w:eastAsia="Arial"/>
          <w:color w:val="000000"/>
        </w:rPr>
        <w:t>potential benefits of</w:t>
      </w:r>
      <w:r w:rsidRPr="00866B5F" w:rsidR="00584F13">
        <w:rPr>
          <w:rFonts w:eastAsia="Arial"/>
          <w:color w:val="000000"/>
        </w:rPr>
        <w:t xml:space="preserve"> </w:t>
      </w:r>
      <w:r w:rsidRPr="00866B5F" w:rsidR="00584F13">
        <w:rPr>
          <w:rFonts w:eastAsia="Arial"/>
          <w:color w:val="000000"/>
        </w:rPr>
        <w:t xml:space="preserve">smaller sized reactors </w:t>
      </w:r>
      <w:r w:rsidRPr="00866B5F" w:rsidR="00CF1AFD">
        <w:rPr>
          <w:rFonts w:eastAsia="Arial"/>
          <w:color w:val="000000"/>
        </w:rPr>
        <w:t>and non-LWRs associated with postulated accidents</w:t>
      </w:r>
      <w:r w:rsidRPr="00196534" w:rsidR="008E4EA8">
        <w:rPr>
          <w:rFonts w:eastAsia="Arial"/>
        </w:rPr>
        <w:t>,</w:t>
      </w:r>
      <w:r w:rsidR="00E36093">
        <w:rPr>
          <w:rFonts w:eastAsia="Arial"/>
        </w:rPr>
        <w:t xml:space="preserve"> including</w:t>
      </w:r>
      <w:r w:rsidRPr="00196534" w:rsidR="008E4EA8">
        <w:rPr>
          <w:rFonts w:eastAsia="Arial"/>
        </w:rPr>
        <w:t xml:space="preserve"> slower transient response times and relatively small and slow release of fission products.</w:t>
      </w:r>
    </w:p>
    <w:p w:rsidR="009128E1" w:rsidRPr="003949A1" w:rsidP="008440FA" w14:paraId="35E96E3B" w14:textId="77777777">
      <w:pPr>
        <w:pStyle w:val="Heading1"/>
        <w:numPr>
          <w:ilvl w:val="0"/>
          <w:numId w:val="34"/>
        </w:numPr>
        <w:spacing w:line="240" w:lineRule="auto"/>
      </w:pPr>
      <w:bookmarkStart w:id="48" w:name="_Toc456098210"/>
      <w:bookmarkStart w:id="49" w:name="_Toc457827223"/>
      <w:bookmarkStart w:id="50" w:name="_Toc70669490"/>
      <w:bookmarkStart w:id="51" w:name="_Toc85198589"/>
      <w:r w:rsidRPr="003949A1">
        <w:t xml:space="preserve">Identification and </w:t>
      </w:r>
      <w:r>
        <w:t xml:space="preserve">Preliminary </w:t>
      </w:r>
      <w:r w:rsidRPr="003949A1">
        <w:t>Analysis of Alternative Approaches</w:t>
      </w:r>
      <w:bookmarkEnd w:id="48"/>
      <w:bookmarkEnd w:id="49"/>
      <w:bookmarkEnd w:id="50"/>
      <w:bookmarkEnd w:id="51"/>
    </w:p>
    <w:p w:rsidR="009128E1" w:rsidRPr="003949A1" w:rsidP="008440FA" w14:paraId="5736A3D3" w14:textId="77777777">
      <w:pPr>
        <w:spacing w:line="240" w:lineRule="auto"/>
      </w:pPr>
    </w:p>
    <w:p w:rsidR="00A030F5" w:rsidP="008440FA" w14:paraId="1403700D" w14:textId="2B3013AF">
      <w:pPr>
        <w:spacing w:line="240" w:lineRule="auto"/>
      </w:pPr>
      <w:r w:rsidRPr="00C253C2">
        <w:t xml:space="preserve">This section </w:t>
      </w:r>
      <w:r>
        <w:t>analyzes</w:t>
      </w:r>
      <w:r w:rsidRPr="00C253C2">
        <w:t xml:space="preserve"> the alternatives that the NRC considered </w:t>
      </w:r>
      <w:r w:rsidRPr="00C253C2">
        <w:t>with regard to</w:t>
      </w:r>
      <w:r w:rsidRPr="00C253C2">
        <w:t xml:space="preserve"> </w:t>
      </w:r>
      <w:r>
        <w:t xml:space="preserve">the objective of enhancing the regulatory framework for applicants and licensees of SMRs and </w:t>
      </w:r>
      <w:r w:rsidR="00C6347F">
        <w:t>ONT</w:t>
      </w:r>
      <w:r>
        <w:t xml:space="preserve">s and the NRC.  </w:t>
      </w:r>
      <w:r w:rsidRPr="00C253C2">
        <w:t xml:space="preserve">The </w:t>
      </w:r>
      <w:r w:rsidR="003971A5">
        <w:t>NRC</w:t>
      </w:r>
      <w:r w:rsidRPr="00C253C2">
        <w:t xml:space="preserve"> identified two alternatives</w:t>
      </w:r>
      <w:r>
        <w:t>:</w:t>
      </w:r>
    </w:p>
    <w:p w:rsidR="00A030F5" w:rsidP="008440FA" w14:paraId="6D25ABEB" w14:textId="77777777">
      <w:pPr>
        <w:spacing w:line="240" w:lineRule="auto"/>
      </w:pPr>
    </w:p>
    <w:p w:rsidR="00A030F5" w:rsidP="008440FA" w14:paraId="19AFEAD3" w14:textId="241D565F">
      <w:pPr>
        <w:pStyle w:val="ListParagraph"/>
        <w:numPr>
          <w:ilvl w:val="0"/>
          <w:numId w:val="33"/>
        </w:numPr>
        <w:spacing w:line="240" w:lineRule="auto"/>
        <w:ind w:left="720" w:hanging="720"/>
      </w:pPr>
      <w:r>
        <w:t>A</w:t>
      </w:r>
      <w:r w:rsidR="009128E1">
        <w:t>lternative</w:t>
      </w:r>
      <w:r w:rsidR="004007D8">
        <w:t> </w:t>
      </w:r>
      <w:r w:rsidRPr="00202D74" w:rsidR="009128E1">
        <w:t>1 w</w:t>
      </w:r>
      <w:r w:rsidR="00802431">
        <w:t>ill</w:t>
      </w:r>
      <w:r w:rsidRPr="00202D74" w:rsidR="009128E1">
        <w:t xml:space="preserve"> use the existing regulatory framework supplemented by </w:t>
      </w:r>
      <w:r w:rsidR="009128E1">
        <w:t xml:space="preserve">existing </w:t>
      </w:r>
      <w:r w:rsidRPr="00202D74" w:rsidR="009128E1">
        <w:t xml:space="preserve">guidance on </w:t>
      </w:r>
      <w:r w:rsidR="006624DA">
        <w:t xml:space="preserve">how to </w:t>
      </w:r>
      <w:r w:rsidRPr="00202D74" w:rsidR="009128E1">
        <w:t xml:space="preserve">apply for exemptions </w:t>
      </w:r>
      <w:r w:rsidR="00D81710">
        <w:t>from</w:t>
      </w:r>
      <w:r w:rsidRPr="00202D74" w:rsidR="00D81710">
        <w:t xml:space="preserve"> </w:t>
      </w:r>
      <w:r w:rsidRPr="00202D74" w:rsidR="009128E1">
        <w:t xml:space="preserve">the </w:t>
      </w:r>
      <w:r w:rsidR="009128E1">
        <w:t>EP regulations</w:t>
      </w:r>
      <w:r>
        <w:t>.</w:t>
      </w:r>
    </w:p>
    <w:p w:rsidR="00A030F5" w:rsidP="008440FA" w14:paraId="5558FA93" w14:textId="77777777">
      <w:pPr>
        <w:pStyle w:val="ListParagraph"/>
        <w:spacing w:line="240" w:lineRule="auto"/>
        <w:ind w:hanging="720"/>
      </w:pPr>
    </w:p>
    <w:p w:rsidR="009128E1" w:rsidP="008440FA" w14:paraId="6637C00C" w14:textId="22800B09">
      <w:pPr>
        <w:pStyle w:val="ListParagraph"/>
        <w:numPr>
          <w:ilvl w:val="0"/>
          <w:numId w:val="33"/>
        </w:numPr>
        <w:spacing w:line="240" w:lineRule="auto"/>
        <w:ind w:left="720" w:hanging="720"/>
      </w:pPr>
      <w:r>
        <w:t>A</w:t>
      </w:r>
      <w:r>
        <w:t>lternative</w:t>
      </w:r>
      <w:r w:rsidR="004007D8">
        <w:t> </w:t>
      </w:r>
      <w:r w:rsidRPr="00202D74">
        <w:t>2 w</w:t>
      </w:r>
      <w:r w:rsidR="00802431">
        <w:t>ill</w:t>
      </w:r>
      <w:r w:rsidRPr="00202D74">
        <w:t xml:space="preserve"> provide </w:t>
      </w:r>
      <w:r>
        <w:t xml:space="preserve">new regulations </w:t>
      </w:r>
      <w:r w:rsidRPr="00810CC7">
        <w:t>through rulemaking</w:t>
      </w:r>
      <w:r w:rsidR="00EE4E7E">
        <w:t>,</w:t>
      </w:r>
      <w:r>
        <w:t xml:space="preserve"> along with new guidance</w:t>
      </w:r>
      <w:r w:rsidRPr="00202D74">
        <w:t xml:space="preserve"> to define the level of EP </w:t>
      </w:r>
      <w:r>
        <w:t xml:space="preserve">appropriate for an SMR or </w:t>
      </w:r>
      <w:r w:rsidR="00C6347F">
        <w:t>ONT</w:t>
      </w:r>
      <w:r w:rsidRPr="00202D74">
        <w:t xml:space="preserve"> facility</w:t>
      </w:r>
      <w:r w:rsidRPr="00C253C2">
        <w:t>.</w:t>
      </w:r>
    </w:p>
    <w:p w:rsidR="009128E1" w:rsidRPr="003949A1" w:rsidP="008440FA" w14:paraId="03CF89DE" w14:textId="77777777">
      <w:pPr>
        <w:spacing w:line="240" w:lineRule="auto"/>
      </w:pPr>
    </w:p>
    <w:p w:rsidR="009128E1" w:rsidRPr="003949A1" w:rsidP="008440FA" w14:paraId="4BE8C6A4" w14:textId="21BE6233">
      <w:pPr>
        <w:pStyle w:val="Heading2"/>
        <w:tabs>
          <w:tab w:val="left" w:pos="540"/>
        </w:tabs>
        <w:spacing w:line="240" w:lineRule="auto"/>
      </w:pPr>
      <w:bookmarkStart w:id="52" w:name="_Toc456098211"/>
      <w:bookmarkStart w:id="53" w:name="_Toc70669491"/>
      <w:bookmarkStart w:id="54" w:name="_Toc85198590"/>
      <w:r>
        <w:t>3.1</w:t>
      </w:r>
      <w:r w:rsidR="009B5255">
        <w:tab/>
      </w:r>
      <w:bookmarkStart w:id="55" w:name="_Toc457827224"/>
      <w:r w:rsidRPr="003949A1">
        <w:t>Alternative 1</w:t>
      </w:r>
      <w:r>
        <w:t>—</w:t>
      </w:r>
      <w:r w:rsidRPr="003949A1">
        <w:t xml:space="preserve">No </w:t>
      </w:r>
      <w:r>
        <w:t>A</w:t>
      </w:r>
      <w:r w:rsidRPr="003949A1">
        <w:t>ction</w:t>
      </w:r>
      <w:bookmarkEnd w:id="52"/>
      <w:bookmarkEnd w:id="53"/>
      <w:bookmarkEnd w:id="54"/>
      <w:bookmarkEnd w:id="55"/>
    </w:p>
    <w:p w:rsidR="009128E1" w:rsidRPr="008D4092" w:rsidP="008440FA" w14:paraId="3C1955DF" w14:textId="77777777">
      <w:pPr>
        <w:spacing w:line="240" w:lineRule="auto"/>
      </w:pPr>
    </w:p>
    <w:p w:rsidR="009128E1" w:rsidP="008440FA" w14:paraId="3300331D" w14:textId="63336316">
      <w:pPr>
        <w:spacing w:line="240" w:lineRule="auto"/>
      </w:pPr>
      <w:r w:rsidRPr="008D4092">
        <w:t xml:space="preserve">The </w:t>
      </w:r>
      <w:r>
        <w:t>no-action</w:t>
      </w:r>
      <w:r w:rsidRPr="008D4092">
        <w:t xml:space="preserve"> alternative is a non</w:t>
      </w:r>
      <w:r w:rsidRPr="008D4092" w:rsidR="727D12EA">
        <w:t>-</w:t>
      </w:r>
      <w:r w:rsidRPr="008D4092">
        <w:t xml:space="preserve">rulemaking alternative.  </w:t>
      </w:r>
      <w:r w:rsidRPr="00FC4ACF">
        <w:t xml:space="preserve">This </w:t>
      </w:r>
      <w:r>
        <w:t>alternative</w:t>
      </w:r>
      <w:r w:rsidRPr="00FC4ACF">
        <w:t xml:space="preserve"> w</w:t>
      </w:r>
      <w:r w:rsidR="00802431">
        <w:t>ill</w:t>
      </w:r>
      <w:r w:rsidRPr="00FC4ACF">
        <w:t xml:space="preserve"> retain the current EP provisions in 10</w:t>
      </w:r>
      <w:r w:rsidR="00EE4E7E">
        <w:t> </w:t>
      </w:r>
      <w:r w:rsidRPr="00FC4ACF">
        <w:t>CFR</w:t>
      </w:r>
      <w:r w:rsidR="00EE4E7E">
        <w:t> </w:t>
      </w:r>
      <w:r w:rsidRPr="00FC4ACF">
        <w:t>Part</w:t>
      </w:r>
      <w:r w:rsidR="00EE4E7E">
        <w:t> </w:t>
      </w:r>
      <w:r w:rsidRPr="00FC4ACF">
        <w:t xml:space="preserve">50.  Certain existing EP requirements could impose regulatory </w:t>
      </w:r>
      <w:r w:rsidR="00DA36FF">
        <w:t>costs</w:t>
      </w:r>
      <w:r w:rsidRPr="00FC4ACF" w:rsidR="00DA36FF">
        <w:t xml:space="preserve"> </w:t>
      </w:r>
      <w:r w:rsidRPr="00FC4ACF">
        <w:t xml:space="preserve">on SMR and </w:t>
      </w:r>
      <w:r w:rsidR="00C6347F">
        <w:t>ONT</w:t>
      </w:r>
      <w:r w:rsidRPr="00FC4ACF">
        <w:t xml:space="preserve"> </w:t>
      </w:r>
      <w:r>
        <w:t xml:space="preserve">applicants and </w:t>
      </w:r>
      <w:r w:rsidRPr="00FC4ACF">
        <w:t xml:space="preserve">licensees that are not necessary to protect public health and safety.  </w:t>
      </w:r>
      <w:r w:rsidR="00BA33B7">
        <w:t>Although</w:t>
      </w:r>
      <w:r w:rsidRPr="00884C3D" w:rsidR="00BA33B7">
        <w:t xml:space="preserve"> </w:t>
      </w:r>
      <w:r w:rsidRPr="00884C3D">
        <w:t xml:space="preserve">potential SMR and </w:t>
      </w:r>
      <w:r w:rsidR="00C6347F">
        <w:t>ONT</w:t>
      </w:r>
      <w:r w:rsidRPr="00884C3D">
        <w:t xml:space="preserve"> applicants</w:t>
      </w:r>
      <w:r>
        <w:t xml:space="preserve"> and licensees</w:t>
      </w:r>
      <w:r w:rsidRPr="00884C3D">
        <w:t xml:space="preserve"> </w:t>
      </w:r>
      <w:r w:rsidR="001310ED">
        <w:t>would</w:t>
      </w:r>
      <w:r w:rsidRPr="00D868EE">
        <w:t xml:space="preserve"> </w:t>
      </w:r>
      <w:r w:rsidRPr="00884C3D">
        <w:t>request EP exemptions</w:t>
      </w:r>
      <w:r w:rsidRPr="00D868EE">
        <w:t xml:space="preserve">, </w:t>
      </w:r>
      <w:r w:rsidRPr="00BD4206">
        <w:t>this alternative w</w:t>
      </w:r>
      <w:r w:rsidR="00802431">
        <w:t>ill</w:t>
      </w:r>
      <w:r w:rsidRPr="00BD4206">
        <w:t xml:space="preserve"> require </w:t>
      </w:r>
      <w:r w:rsidR="00BA33B7">
        <w:t xml:space="preserve">a </w:t>
      </w:r>
      <w:r w:rsidRPr="00BD4206">
        <w:t xml:space="preserve">site-specific analysis by the applicant or licensee and </w:t>
      </w:r>
      <w:r w:rsidR="00BA33B7">
        <w:t xml:space="preserve">a </w:t>
      </w:r>
      <w:r w:rsidRPr="00BD4206">
        <w:t>review by the NRC for each exemption request.</w:t>
      </w:r>
      <w:r>
        <w:t xml:space="preserve"> </w:t>
      </w:r>
      <w:r w:rsidRPr="00776B06">
        <w:t xml:space="preserve"> </w:t>
      </w:r>
      <w:r>
        <w:t>Alternative</w:t>
      </w:r>
      <w:r w:rsidR="00BA33B7">
        <w:t> </w:t>
      </w:r>
      <w:r w:rsidRPr="00FC4ACF">
        <w:t>1 w</w:t>
      </w:r>
      <w:r w:rsidR="00802431">
        <w:t>ill</w:t>
      </w:r>
      <w:r w:rsidRPr="00FC4ACF">
        <w:t xml:space="preserve"> not relieve the </w:t>
      </w:r>
      <w:r w:rsidR="00DA36FF">
        <w:t>costs</w:t>
      </w:r>
      <w:r w:rsidRPr="00FC4ACF" w:rsidR="00DA36FF">
        <w:t xml:space="preserve"> </w:t>
      </w:r>
      <w:r w:rsidRPr="00FC4ACF">
        <w:t xml:space="preserve">imposed </w:t>
      </w:r>
      <w:r>
        <w:t xml:space="preserve">on </w:t>
      </w:r>
      <w:r w:rsidRPr="00FC4ACF">
        <w:t>applicant</w:t>
      </w:r>
      <w:r>
        <w:t>s, licensees,</w:t>
      </w:r>
      <w:r w:rsidRPr="00FC4ACF">
        <w:t xml:space="preserve"> and the NRC resulting from the case</w:t>
      </w:r>
      <w:r w:rsidR="00BA33B7">
        <w:noBreakHyphen/>
      </w:r>
      <w:r w:rsidRPr="00FC4ACF">
        <w:t>by</w:t>
      </w:r>
      <w:r w:rsidR="00BA33B7">
        <w:noBreakHyphen/>
      </w:r>
      <w:r w:rsidRPr="00FC4ACF">
        <w:t xml:space="preserve">case exemption </w:t>
      </w:r>
      <w:r w:rsidR="00273051">
        <w:t xml:space="preserve">request </w:t>
      </w:r>
      <w:r w:rsidRPr="00FC4ACF">
        <w:t xml:space="preserve">process </w:t>
      </w:r>
      <w:r w:rsidR="005A2898">
        <w:t>to</w:t>
      </w:r>
      <w:r w:rsidR="00BA33B7">
        <w:t xml:space="preserve"> </w:t>
      </w:r>
      <w:r w:rsidRPr="00FC4ACF">
        <w:t xml:space="preserve">address </w:t>
      </w:r>
      <w:r w:rsidRPr="00FC4ACF">
        <w:t>EPZ</w:t>
      </w:r>
      <w:r w:rsidRPr="00FC4ACF">
        <w:t xml:space="preserve"> size and emergency plans</w:t>
      </w:r>
      <w:r>
        <w:t>.</w:t>
      </w:r>
      <w:r w:rsidR="00273051">
        <w:t xml:space="preserve">  Therefore, these exemption requests are included in Alternative 2 as averted costs.</w:t>
      </w:r>
    </w:p>
    <w:p w:rsidR="009128E1" w:rsidRPr="006B46C5" w:rsidP="008440FA" w14:paraId="29B5B6FA" w14:textId="77777777">
      <w:pPr>
        <w:spacing w:line="240" w:lineRule="auto"/>
      </w:pPr>
    </w:p>
    <w:p w:rsidR="009128E1" w:rsidRPr="009D3CF6" w:rsidP="008440FA" w14:paraId="3B396DB0" w14:textId="540B1DF8">
      <w:pPr>
        <w:pStyle w:val="Heading2"/>
        <w:spacing w:line="240" w:lineRule="auto"/>
        <w:ind w:left="540" w:hanging="540"/>
      </w:pPr>
      <w:bookmarkStart w:id="56" w:name="_Toc456098215"/>
      <w:bookmarkStart w:id="57" w:name="_Toc70669492"/>
      <w:bookmarkStart w:id="58" w:name="_Toc85198591"/>
      <w:r>
        <w:t>3.2</w:t>
      </w:r>
      <w:r>
        <w:tab/>
      </w:r>
      <w:bookmarkStart w:id="59" w:name="_Toc457827228"/>
      <w:r>
        <w:t>Alternative 2—</w:t>
      </w:r>
      <w:bookmarkEnd w:id="56"/>
      <w:bookmarkEnd w:id="59"/>
      <w:r>
        <w:t xml:space="preserve">Rulemaking </w:t>
      </w:r>
      <w:r w:rsidR="000E640B">
        <w:t>to</w:t>
      </w:r>
      <w:r>
        <w:t xml:space="preserve"> Establish a Performance-Based Framework</w:t>
      </w:r>
      <w:bookmarkEnd w:id="57"/>
      <w:bookmarkEnd w:id="58"/>
    </w:p>
    <w:p w:rsidR="009128E1" w:rsidRPr="009D3CF6" w:rsidP="008440FA" w14:paraId="2531BCC0" w14:textId="77777777">
      <w:pPr>
        <w:keepNext/>
        <w:spacing w:line="240" w:lineRule="auto"/>
      </w:pPr>
    </w:p>
    <w:p w:rsidR="009128E1" w:rsidRPr="00711891" w:rsidP="008440FA" w14:paraId="4132B5E0" w14:textId="4725227B">
      <w:pPr>
        <w:pStyle w:val="ListParagraph"/>
        <w:spacing w:line="240" w:lineRule="auto"/>
        <w:ind w:left="0"/>
      </w:pPr>
      <w:r w:rsidRPr="00CF65F1">
        <w:t xml:space="preserve">This </w:t>
      </w:r>
      <w:r>
        <w:t>alternative</w:t>
      </w:r>
      <w:r w:rsidRPr="00CF65F1">
        <w:t xml:space="preserve"> </w:t>
      </w:r>
      <w:r w:rsidRPr="00CF65F1" w:rsidR="00E25D9E">
        <w:t>w</w:t>
      </w:r>
      <w:r w:rsidR="00E25D9E">
        <w:t xml:space="preserve">ill </w:t>
      </w:r>
      <w:r w:rsidRPr="00CF65F1">
        <w:t>provide EP regulatio</w:t>
      </w:r>
      <w:r w:rsidRPr="006C6734">
        <w:t xml:space="preserve">ns </w:t>
      </w:r>
      <w:r w:rsidRPr="00057987">
        <w:t xml:space="preserve">and guidance developed </w:t>
      </w:r>
      <w:r w:rsidRPr="003430D8">
        <w:rPr>
          <w:color w:val="000000"/>
        </w:rPr>
        <w:t xml:space="preserve">specifically for SMR and </w:t>
      </w:r>
      <w:r w:rsidR="00C6347F">
        <w:rPr>
          <w:color w:val="000000"/>
        </w:rPr>
        <w:t>ONT</w:t>
      </w:r>
      <w:r w:rsidRPr="003430D8">
        <w:rPr>
          <w:color w:val="000000"/>
        </w:rPr>
        <w:t xml:space="preserve"> facilities</w:t>
      </w:r>
      <w:r w:rsidRPr="00CF65F1">
        <w:t xml:space="preserve">.  </w:t>
      </w:r>
      <w:r w:rsidR="00680771">
        <w:t>In particular</w:t>
      </w:r>
      <w:r w:rsidR="00EE4E7E">
        <w:t>,</w:t>
      </w:r>
      <w:r w:rsidR="00680771">
        <w:t xml:space="preserve"> this</w:t>
      </w:r>
      <w:r w:rsidR="00680771">
        <w:t xml:space="preserve"> alternative </w:t>
      </w:r>
      <w:r w:rsidRPr="00680771" w:rsidR="00680771">
        <w:t>develop</w:t>
      </w:r>
      <w:r w:rsidR="003F1D5F">
        <w:t>s</w:t>
      </w:r>
      <w:r w:rsidRPr="00680771" w:rsidR="00680771">
        <w:t xml:space="preserve"> the regula</w:t>
      </w:r>
      <w:r w:rsidR="00187BD5">
        <w:t xml:space="preserve">tory guidance document </w:t>
      </w:r>
      <w:r w:rsidR="00F71235">
        <w:t>R</w:t>
      </w:r>
      <w:r w:rsidR="00187BD5">
        <w:t>G</w:t>
      </w:r>
      <w:r w:rsidR="00DB46F7">
        <w:t> </w:t>
      </w:r>
      <w:r w:rsidRPr="002E75EA" w:rsidR="00187BD5">
        <w:t>1</w:t>
      </w:r>
      <w:r w:rsidRPr="002E75EA" w:rsidR="00F71235">
        <w:t>.242</w:t>
      </w:r>
      <w:r w:rsidRPr="002E75EA" w:rsidR="00A36C3C">
        <w:t>,</w:t>
      </w:r>
      <w:r w:rsidR="00A36C3C">
        <w:t xml:space="preserve"> “</w:t>
      </w:r>
      <w:r w:rsidRPr="00187BD5" w:rsidR="00A36C3C">
        <w:t xml:space="preserve">Performance-Based Emergency Preparedness </w:t>
      </w:r>
      <w:r w:rsidR="00A36C3C">
        <w:t>f</w:t>
      </w:r>
      <w:r w:rsidRPr="00187BD5" w:rsidR="00A36C3C">
        <w:t>or Small Modular Reactors, Non-Light</w:t>
      </w:r>
      <w:r w:rsidR="00A36C3C">
        <w:t>-</w:t>
      </w:r>
      <w:r w:rsidRPr="00187BD5" w:rsidR="00A36C3C">
        <w:t>Water Reactors, and Non-Power Produ</w:t>
      </w:r>
      <w:r w:rsidR="00A36C3C">
        <w:t>ction or Utilization Facilities</w:t>
      </w:r>
      <w:r w:rsidR="00E609B5">
        <w:t>,</w:t>
      </w:r>
      <w:r w:rsidRPr="00187BD5" w:rsidR="00A36C3C">
        <w:t>”</w:t>
      </w:r>
      <w:r w:rsidR="00A36C3C">
        <w:t xml:space="preserve"> </w:t>
      </w:r>
      <w:r w:rsidR="00680771">
        <w:t xml:space="preserve">and </w:t>
      </w:r>
      <w:r w:rsidR="006D1ECA">
        <w:t>establishes</w:t>
      </w:r>
      <w:r>
        <w:t xml:space="preserve"> a regulatory framework for determining the size of </w:t>
      </w:r>
      <w:r w:rsidR="007A7802">
        <w:t xml:space="preserve">the </w:t>
      </w:r>
      <w:r>
        <w:t xml:space="preserve">plume exposure pathway </w:t>
      </w:r>
      <w:r w:rsidR="00390A76">
        <w:t>EPZ</w:t>
      </w:r>
      <w:r w:rsidR="00390A76">
        <w:t xml:space="preserve"> </w:t>
      </w:r>
      <w:r>
        <w:t xml:space="preserve">and ingestion </w:t>
      </w:r>
      <w:r w:rsidR="00001488">
        <w:t>response planning</w:t>
      </w:r>
      <w:r>
        <w:t xml:space="preserve"> </w:t>
      </w:r>
      <w:r w:rsidR="00390A76">
        <w:t xml:space="preserve">requirements </w:t>
      </w:r>
      <w:r>
        <w:t xml:space="preserve">for SMRs and </w:t>
      </w:r>
      <w:r w:rsidR="00C6347F">
        <w:t>ONT</w:t>
      </w:r>
      <w:r>
        <w:t xml:space="preserve">s.  </w:t>
      </w:r>
      <w:r w:rsidR="008016E2">
        <w:t xml:space="preserve">Under this alternative, the NRC establishes </w:t>
      </w:r>
      <w:r w:rsidRPr="00334E1A" w:rsidR="00334E1A">
        <w:t xml:space="preserve">EP planning standards and requirements commensurate with </w:t>
      </w:r>
      <w:r w:rsidRPr="00334E1A" w:rsidR="00334E1A">
        <w:t>EPZ</w:t>
      </w:r>
      <w:r w:rsidRPr="00334E1A" w:rsidR="00334E1A">
        <w:t xml:space="preserve"> size determinations.  </w:t>
      </w:r>
      <w:r w:rsidR="000A1A44">
        <w:t xml:space="preserve">The new framework </w:t>
      </w:r>
      <w:r w:rsidR="00AD194F">
        <w:t>is</w:t>
      </w:r>
      <w:r w:rsidR="007F6C39">
        <w:t>:</w:t>
      </w:r>
      <w:r w:rsidR="000A1A44">
        <w:t xml:space="preserve"> performance</w:t>
      </w:r>
      <w:r w:rsidR="001F5836">
        <w:t>-</w:t>
      </w:r>
      <w:r w:rsidR="000A1A44">
        <w:t>based</w:t>
      </w:r>
      <w:r w:rsidR="007F6C39">
        <w:t>;</w:t>
      </w:r>
      <w:r w:rsidR="00CE664E">
        <w:t xml:space="preserve"> expected to</w:t>
      </w:r>
      <w:r w:rsidR="000A1A44">
        <w:t xml:space="preserve"> result in fewer license amendments</w:t>
      </w:r>
      <w:r w:rsidR="00CE664E">
        <w:t xml:space="preserve"> and exemption requests</w:t>
      </w:r>
      <w:r w:rsidR="00A76B09">
        <w:t>;</w:t>
      </w:r>
      <w:r w:rsidR="000A1A44">
        <w:t xml:space="preserve"> and </w:t>
      </w:r>
      <w:r w:rsidR="00CE664E">
        <w:t>a</w:t>
      </w:r>
      <w:r w:rsidR="000A1A44">
        <w:t xml:space="preserve"> streamlined application process </w:t>
      </w:r>
      <w:r w:rsidR="00CE664E">
        <w:t>for</w:t>
      </w:r>
      <w:r w:rsidR="000A1A44">
        <w:t xml:space="preserve"> </w:t>
      </w:r>
      <w:r w:rsidR="00DC7D31">
        <w:t xml:space="preserve">existing and </w:t>
      </w:r>
      <w:r w:rsidR="000A1A44">
        <w:t xml:space="preserve">future SMRs and </w:t>
      </w:r>
      <w:r w:rsidR="00C6347F">
        <w:t>ONT</w:t>
      </w:r>
      <w:r w:rsidR="00CE664E">
        <w:t xml:space="preserve"> applicant</w:t>
      </w:r>
      <w:r w:rsidR="000A1A44">
        <w:t>s.</w:t>
      </w:r>
    </w:p>
    <w:p w:rsidR="009128E1" w:rsidP="008440FA" w14:paraId="1AE5894F" w14:textId="77777777">
      <w:pPr>
        <w:spacing w:line="240" w:lineRule="auto"/>
      </w:pPr>
    </w:p>
    <w:p w:rsidR="000601E7" w:rsidRPr="000601E7" w:rsidP="008440FA" w14:paraId="48FA7B2C" w14:textId="44624527">
      <w:pPr>
        <w:spacing w:line="240" w:lineRule="auto"/>
      </w:pPr>
      <w:r w:rsidRPr="00711891">
        <w:rPr>
          <w:rFonts w:eastAsia="Times New Roman"/>
          <w:lang w:val="en"/>
        </w:rPr>
        <w:t xml:space="preserve">In </w:t>
      </w:r>
      <w:r w:rsidR="009E60F0">
        <w:rPr>
          <w:rFonts w:eastAsia="Times New Roman"/>
          <w:lang w:val="en"/>
        </w:rPr>
        <w:t>an issue paper submitted to the Commission</w:t>
      </w:r>
      <w:r w:rsidR="00E946A2">
        <w:rPr>
          <w:rFonts w:eastAsia="Times New Roman"/>
          <w:lang w:val="en"/>
        </w:rPr>
        <w:t>,</w:t>
      </w:r>
      <w:r w:rsidR="00BF45AB">
        <w:rPr>
          <w:rFonts w:eastAsia="Times New Roman"/>
          <w:lang w:val="en"/>
        </w:rPr>
        <w:t xml:space="preserve"> </w:t>
      </w:r>
      <w:r w:rsidRPr="000D4F75" w:rsidR="000D4F75">
        <w:rPr>
          <w:rFonts w:eastAsia="Times New Roman"/>
          <w:lang w:val="en"/>
        </w:rPr>
        <w:t>SECY</w:t>
      </w:r>
      <w:r w:rsidR="00EE4E7E">
        <w:rPr>
          <w:rFonts w:eastAsia="Times New Roman"/>
          <w:lang w:val="en"/>
        </w:rPr>
        <w:noBreakHyphen/>
      </w:r>
      <w:r w:rsidRPr="000D4F75" w:rsidR="000D4F75">
        <w:rPr>
          <w:rFonts w:eastAsia="Times New Roman"/>
          <w:lang w:val="en"/>
        </w:rPr>
        <w:t>11</w:t>
      </w:r>
      <w:r w:rsidR="00EE4E7E">
        <w:rPr>
          <w:rFonts w:eastAsia="Times New Roman"/>
          <w:lang w:val="en"/>
        </w:rPr>
        <w:noBreakHyphen/>
      </w:r>
      <w:r w:rsidRPr="000D4F75" w:rsidR="000D4F75">
        <w:rPr>
          <w:rFonts w:eastAsia="Times New Roman"/>
          <w:lang w:val="en"/>
        </w:rPr>
        <w:t>0152, “</w:t>
      </w:r>
      <w:r w:rsidRPr="000D4F75" w:rsidR="000D4F75">
        <w:rPr>
          <w:rFonts w:eastAsia="Times New Roman"/>
        </w:rPr>
        <w:t>Development of an Emergency Planning and Preparedness Framework for Small Modular Reactors,” dated October</w:t>
      </w:r>
      <w:r w:rsidR="00EE4E7E">
        <w:rPr>
          <w:rFonts w:eastAsia="Times New Roman"/>
        </w:rPr>
        <w:t> </w:t>
      </w:r>
      <w:r w:rsidRPr="000D4F75" w:rsidR="000D4F75">
        <w:rPr>
          <w:rFonts w:eastAsia="Times New Roman"/>
        </w:rPr>
        <w:t>28,</w:t>
      </w:r>
      <w:r w:rsidR="00EE4E7E">
        <w:rPr>
          <w:rFonts w:eastAsia="Times New Roman"/>
        </w:rPr>
        <w:t> </w:t>
      </w:r>
      <w:r w:rsidRPr="000D4F75" w:rsidR="000D4F75">
        <w:rPr>
          <w:rFonts w:eastAsia="Times New Roman"/>
        </w:rPr>
        <w:t>2011 (NRC, 2011),</w:t>
      </w:r>
      <w:r w:rsidRPr="000D4F75" w:rsidR="000D4F75">
        <w:rPr>
          <w:rFonts w:eastAsia="Times New Roman"/>
          <w:lang w:val="en"/>
        </w:rPr>
        <w:t xml:space="preserve"> </w:t>
      </w:r>
      <w:r w:rsidRPr="00711891">
        <w:rPr>
          <w:rFonts w:eastAsia="Times New Roman"/>
          <w:lang w:val="en"/>
        </w:rPr>
        <w:t>the staff presented example</w:t>
      </w:r>
      <w:r>
        <w:rPr>
          <w:rFonts w:eastAsia="Times New Roman"/>
          <w:lang w:val="en"/>
        </w:rPr>
        <w:t xml:space="preserve"> calculations for establishing </w:t>
      </w:r>
      <w:r w:rsidRPr="00711891">
        <w:rPr>
          <w:rFonts w:eastAsia="Times New Roman"/>
          <w:lang w:val="en"/>
        </w:rPr>
        <w:t xml:space="preserve">different </w:t>
      </w:r>
      <w:r>
        <w:rPr>
          <w:rFonts w:eastAsia="Times New Roman"/>
          <w:lang w:val="en"/>
        </w:rPr>
        <w:t xml:space="preserve">plume exposure pathway </w:t>
      </w:r>
      <w:r w:rsidRPr="00711891">
        <w:rPr>
          <w:rFonts w:eastAsia="Times New Roman"/>
          <w:lang w:val="en"/>
        </w:rPr>
        <w:t>EPZ</w:t>
      </w:r>
      <w:r w:rsidRPr="00711891">
        <w:rPr>
          <w:rFonts w:eastAsia="Times New Roman"/>
          <w:lang w:val="en"/>
        </w:rPr>
        <w:t xml:space="preserve"> boundaries based on the 1</w:t>
      </w:r>
      <w:r w:rsidR="0098377B">
        <w:rPr>
          <w:rFonts w:eastAsia="Times New Roman"/>
          <w:lang w:val="en"/>
        </w:rPr>
        <w:t xml:space="preserve"> </w:t>
      </w:r>
      <w:r w:rsidRPr="00711891">
        <w:rPr>
          <w:rFonts w:eastAsia="Times New Roman"/>
          <w:lang w:val="en"/>
        </w:rPr>
        <w:t xml:space="preserve">rem </w:t>
      </w:r>
      <w:r>
        <w:rPr>
          <w:rFonts w:eastAsia="Times New Roman"/>
          <w:lang w:val="en"/>
        </w:rPr>
        <w:t>(10</w:t>
      </w:r>
      <w:r w:rsidR="0098377B">
        <w:rPr>
          <w:rFonts w:eastAsia="Times New Roman"/>
          <w:lang w:val="en"/>
        </w:rPr>
        <w:t xml:space="preserve"> </w:t>
      </w:r>
      <w:r>
        <w:rPr>
          <w:rFonts w:eastAsia="Times New Roman"/>
          <w:lang w:val="en"/>
        </w:rPr>
        <w:t xml:space="preserve">mSv) </w:t>
      </w:r>
      <w:r w:rsidRPr="00711891">
        <w:rPr>
          <w:rFonts w:eastAsia="Times New Roman"/>
          <w:lang w:val="en"/>
        </w:rPr>
        <w:t>EPA PAG reference value.</w:t>
      </w:r>
      <w:r w:rsidR="000D4F75">
        <w:rPr>
          <w:rFonts w:eastAsia="Times New Roman"/>
          <w:lang w:val="en"/>
        </w:rPr>
        <w:t xml:space="preserve">  The </w:t>
      </w:r>
      <w:r w:rsidR="0005609A">
        <w:rPr>
          <w:rFonts w:eastAsia="Times New Roman"/>
          <w:lang w:val="en"/>
        </w:rPr>
        <w:t>staff</w:t>
      </w:r>
      <w:r w:rsidR="000D4F75">
        <w:rPr>
          <w:rFonts w:eastAsia="Times New Roman"/>
          <w:lang w:val="en"/>
        </w:rPr>
        <w:t xml:space="preserve"> </w:t>
      </w:r>
      <w:r w:rsidRPr="00711891">
        <w:rPr>
          <w:rFonts w:eastAsia="Times New Roman"/>
          <w:lang w:val="en"/>
        </w:rPr>
        <w:t xml:space="preserve">used </w:t>
      </w:r>
      <w:r>
        <w:rPr>
          <w:rFonts w:eastAsia="Times New Roman"/>
          <w:lang w:val="en"/>
        </w:rPr>
        <w:t>an example assessment</w:t>
      </w:r>
      <w:r w:rsidRPr="00711891">
        <w:rPr>
          <w:rFonts w:eastAsia="Times New Roman"/>
          <w:lang w:val="en"/>
        </w:rPr>
        <w:t xml:space="preserve"> </w:t>
      </w:r>
      <w:r>
        <w:rPr>
          <w:rFonts w:eastAsia="Times New Roman"/>
          <w:lang w:val="en"/>
        </w:rPr>
        <w:t>of dose</w:t>
      </w:r>
      <w:r w:rsidR="002D3F98">
        <w:rPr>
          <w:rFonts w:eastAsia="Times New Roman"/>
          <w:lang w:val="en"/>
        </w:rPr>
        <w:t>-</w:t>
      </w:r>
      <w:r>
        <w:rPr>
          <w:rFonts w:eastAsia="Times New Roman"/>
          <w:lang w:val="en"/>
        </w:rPr>
        <w:t>at</w:t>
      </w:r>
      <w:r>
        <w:rPr>
          <w:rFonts w:eastAsia="Times New Roman"/>
          <w:lang w:val="en"/>
        </w:rPr>
        <w:noBreakHyphen/>
        <w:t>distance</w:t>
      </w:r>
      <w:r w:rsidRPr="00711891">
        <w:rPr>
          <w:rFonts w:eastAsia="Times New Roman"/>
          <w:lang w:val="en"/>
        </w:rPr>
        <w:t xml:space="preserve"> for the plume exposure pathway </w:t>
      </w:r>
      <w:r w:rsidRPr="00711891">
        <w:rPr>
          <w:rFonts w:eastAsia="Times New Roman"/>
          <w:lang w:val="en"/>
        </w:rPr>
        <w:t>EPZ</w:t>
      </w:r>
      <w:r w:rsidRPr="00711891">
        <w:rPr>
          <w:rFonts w:eastAsia="Times New Roman"/>
          <w:lang w:val="en"/>
        </w:rPr>
        <w:t xml:space="preserve"> boundary </w:t>
      </w:r>
      <w:r w:rsidRPr="00711891">
        <w:t xml:space="preserve">to obtain </w:t>
      </w:r>
      <w:r w:rsidRPr="00711891">
        <w:t>EPZ</w:t>
      </w:r>
      <w:r w:rsidR="0020032C">
        <w:t xml:space="preserve"> size</w:t>
      </w:r>
      <w:r w:rsidRPr="00711891">
        <w:t>s based on the projected source term</w:t>
      </w:r>
      <w:r>
        <w:t xml:space="preserve">, which is a function of the </w:t>
      </w:r>
      <w:r w:rsidRPr="00711891">
        <w:t>specific r</w:t>
      </w:r>
      <w:r>
        <w:t>eactor design being considered.</w:t>
      </w:r>
      <w:r>
        <w:t xml:space="preserve">  </w:t>
      </w:r>
      <w:r w:rsidRPr="000601E7">
        <w:t xml:space="preserve">The </w:t>
      </w:r>
      <w:r w:rsidR="003D402D">
        <w:t>final rule includes</w:t>
      </w:r>
      <w:r w:rsidRPr="000601E7" w:rsidR="00173A9B">
        <w:t xml:space="preserve"> </w:t>
      </w:r>
      <w:r w:rsidRPr="000601E7">
        <w:t xml:space="preserve">a scalable method for determining </w:t>
      </w:r>
      <w:r w:rsidRPr="000601E7">
        <w:t>EPZ</w:t>
      </w:r>
      <w:r w:rsidRPr="000601E7">
        <w:t xml:space="preserve"> size for these facilities</w:t>
      </w:r>
      <w:r w:rsidR="0005609A">
        <w:t>,</w:t>
      </w:r>
      <w:r w:rsidRPr="000601E7">
        <w:t xml:space="preserve"> instead of the fixed 10</w:t>
      </w:r>
      <w:r w:rsidRPr="000601E7">
        <w:noBreakHyphen/>
        <w:t>mile (16</w:t>
      </w:r>
      <w:r w:rsidR="00EE4E7E">
        <w:noBreakHyphen/>
      </w:r>
      <w:r w:rsidRPr="000601E7">
        <w:t xml:space="preserve">km) </w:t>
      </w:r>
      <w:r w:rsidR="0063351B">
        <w:t xml:space="preserve">plume exposure pathway </w:t>
      </w:r>
      <w:r w:rsidR="0063351B">
        <w:t>EPZ</w:t>
      </w:r>
      <w:r w:rsidR="0063351B">
        <w:t xml:space="preserve"> </w:t>
      </w:r>
      <w:r w:rsidRPr="000601E7">
        <w:t>and 50</w:t>
      </w:r>
      <w:r w:rsidRPr="000601E7">
        <w:noBreakHyphen/>
        <w:t>mile (80</w:t>
      </w:r>
      <w:r w:rsidRPr="000601E7">
        <w:noBreakHyphen/>
        <w:t xml:space="preserve">km) </w:t>
      </w:r>
      <w:r w:rsidR="0063351B">
        <w:t>I</w:t>
      </w:r>
      <w:r w:rsidRPr="000601E7">
        <w:t>PZ</w:t>
      </w:r>
      <w:r w:rsidRPr="000601E7">
        <w:t xml:space="preserve"> </w:t>
      </w:r>
      <w:r w:rsidR="0045095A">
        <w:t xml:space="preserve">currently </w:t>
      </w:r>
      <w:r w:rsidRPr="000601E7">
        <w:t xml:space="preserve">established for </w:t>
      </w:r>
      <w:r w:rsidR="0045095A">
        <w:t>power reactors</w:t>
      </w:r>
      <w:r w:rsidR="0005609A">
        <w:t>,</w:t>
      </w:r>
      <w:r w:rsidRPr="000601E7">
        <w:t xml:space="preserve"> to address a range of potential source terms and designs for SMRs and ONTs.  </w:t>
      </w:r>
    </w:p>
    <w:p w:rsidR="009128E1" w:rsidRPr="00CF65F1" w:rsidP="008440FA" w14:paraId="1F790054" w14:textId="77777777">
      <w:pPr>
        <w:spacing w:line="240" w:lineRule="auto"/>
        <w:rPr>
          <w:rFonts w:eastAsia="Times New Roman"/>
          <w:lang w:val="en"/>
        </w:rPr>
      </w:pPr>
    </w:p>
    <w:p w:rsidR="009128E1" w:rsidP="008440FA" w14:paraId="4EA74029" w14:textId="0F2A5A53">
      <w:pPr>
        <w:spacing w:line="240" w:lineRule="auto"/>
        <w:rPr>
          <w:rFonts w:eastAsia="Times New Roman"/>
          <w:lang w:val="en"/>
        </w:rPr>
      </w:pPr>
      <w:r>
        <w:rPr>
          <w:rFonts w:eastAsia="Times New Roman"/>
          <w:lang w:val="en"/>
        </w:rPr>
        <w:t xml:space="preserve">Under this alternative, </w:t>
      </w:r>
      <w:r w:rsidRPr="00DF234E">
        <w:rPr>
          <w:rFonts w:eastAsia="Times New Roman"/>
          <w:lang w:val="en"/>
        </w:rPr>
        <w:t xml:space="preserve">the SMR or </w:t>
      </w:r>
      <w:r w:rsidRPr="00DF234E" w:rsidR="00C6347F">
        <w:rPr>
          <w:rFonts w:eastAsia="Times New Roman"/>
          <w:lang w:val="en"/>
        </w:rPr>
        <w:t>ONT</w:t>
      </w:r>
      <w:r w:rsidRPr="00DF234E">
        <w:rPr>
          <w:rFonts w:eastAsia="Times New Roman"/>
          <w:lang w:val="en"/>
        </w:rPr>
        <w:t xml:space="preserve"> applicant w</w:t>
      </w:r>
      <w:r w:rsidR="00173A9B">
        <w:rPr>
          <w:rFonts w:eastAsia="Times New Roman"/>
          <w:lang w:val="en"/>
        </w:rPr>
        <w:t>ill</w:t>
      </w:r>
      <w:r w:rsidRPr="00DF234E">
        <w:rPr>
          <w:rFonts w:eastAsia="Times New Roman"/>
          <w:lang w:val="en"/>
        </w:rPr>
        <w:t xml:space="preserve"> submit specific information </w:t>
      </w:r>
      <w:r w:rsidR="008C5449">
        <w:rPr>
          <w:rFonts w:eastAsia="Times New Roman"/>
          <w:lang w:val="en"/>
        </w:rPr>
        <w:t>about</w:t>
      </w:r>
      <w:r w:rsidRPr="00DF234E">
        <w:rPr>
          <w:rFonts w:eastAsia="Times New Roman"/>
          <w:lang w:val="en"/>
        </w:rPr>
        <w:t xml:space="preserve"> </w:t>
      </w:r>
      <w:r w:rsidR="00646114">
        <w:rPr>
          <w:rFonts w:eastAsia="Times New Roman"/>
          <w:lang w:val="en"/>
        </w:rPr>
        <w:t xml:space="preserve">the </w:t>
      </w:r>
      <w:r w:rsidRPr="00DF234E">
        <w:rPr>
          <w:rFonts w:eastAsia="Times New Roman"/>
          <w:lang w:val="en"/>
        </w:rPr>
        <w:t>source term, isotopic mix, release pathways, accident types</w:t>
      </w:r>
      <w:r w:rsidR="00646114">
        <w:rPr>
          <w:rFonts w:eastAsia="Times New Roman"/>
          <w:lang w:val="en"/>
        </w:rPr>
        <w:t>,</w:t>
      </w:r>
      <w:r w:rsidRPr="00DF234E">
        <w:rPr>
          <w:rFonts w:eastAsia="Times New Roman"/>
          <w:lang w:val="en"/>
        </w:rPr>
        <w:t xml:space="preserve"> and consequence assessment as part of the application process under 10</w:t>
      </w:r>
      <w:r w:rsidR="00EE4E7E">
        <w:rPr>
          <w:rFonts w:eastAsia="Times New Roman"/>
          <w:lang w:val="en"/>
        </w:rPr>
        <w:t> </w:t>
      </w:r>
      <w:r w:rsidRPr="00DF234E">
        <w:rPr>
          <w:rFonts w:eastAsia="Times New Roman"/>
          <w:lang w:val="en"/>
        </w:rPr>
        <w:t>CFR</w:t>
      </w:r>
      <w:r w:rsidR="00EE4E7E">
        <w:rPr>
          <w:rFonts w:eastAsia="Times New Roman"/>
          <w:lang w:val="en"/>
        </w:rPr>
        <w:t> </w:t>
      </w:r>
      <w:r w:rsidRPr="00DF234E">
        <w:rPr>
          <w:rFonts w:eastAsia="Times New Roman"/>
          <w:lang w:val="en"/>
        </w:rPr>
        <w:t>Part</w:t>
      </w:r>
      <w:r w:rsidR="00EE4E7E">
        <w:rPr>
          <w:rFonts w:eastAsia="Times New Roman"/>
          <w:lang w:val="en"/>
        </w:rPr>
        <w:t> </w:t>
      </w:r>
      <w:r w:rsidRPr="00DF234E">
        <w:rPr>
          <w:rFonts w:eastAsia="Times New Roman"/>
          <w:lang w:val="en"/>
        </w:rPr>
        <w:t xml:space="preserve">50 </w:t>
      </w:r>
      <w:r w:rsidR="00764745">
        <w:rPr>
          <w:rFonts w:eastAsia="Times New Roman"/>
          <w:lang w:val="en"/>
        </w:rPr>
        <w:t>or</w:t>
      </w:r>
      <w:r w:rsidRPr="00DF234E" w:rsidR="00764745">
        <w:rPr>
          <w:rFonts w:eastAsia="Times New Roman"/>
          <w:lang w:val="en"/>
        </w:rPr>
        <w:t xml:space="preserve"> </w:t>
      </w:r>
      <w:r w:rsidRPr="00DF234E" w:rsidR="00646114">
        <w:rPr>
          <w:rFonts w:eastAsia="Times New Roman"/>
          <w:lang w:val="en"/>
        </w:rPr>
        <w:t>10</w:t>
      </w:r>
      <w:r w:rsidR="00646114">
        <w:rPr>
          <w:rFonts w:eastAsia="Times New Roman"/>
          <w:lang w:val="en"/>
        </w:rPr>
        <w:t> </w:t>
      </w:r>
      <w:r w:rsidRPr="00DF234E" w:rsidR="00646114">
        <w:rPr>
          <w:rFonts w:eastAsia="Times New Roman"/>
          <w:lang w:val="en"/>
        </w:rPr>
        <w:t>CFR</w:t>
      </w:r>
      <w:r w:rsidR="00646114">
        <w:rPr>
          <w:rFonts w:eastAsia="Times New Roman"/>
          <w:lang w:val="en"/>
        </w:rPr>
        <w:t> </w:t>
      </w:r>
      <w:r w:rsidRPr="00DF234E" w:rsidR="00646114">
        <w:rPr>
          <w:rFonts w:eastAsia="Times New Roman"/>
          <w:lang w:val="en"/>
        </w:rPr>
        <w:t>Part</w:t>
      </w:r>
      <w:r w:rsidR="00646114">
        <w:rPr>
          <w:rFonts w:eastAsia="Times New Roman"/>
          <w:lang w:val="en"/>
        </w:rPr>
        <w:t> </w:t>
      </w:r>
      <w:r w:rsidRPr="00DF234E">
        <w:rPr>
          <w:rFonts w:eastAsia="Times New Roman"/>
          <w:lang w:val="en"/>
        </w:rPr>
        <w:t>52</w:t>
      </w:r>
      <w:r w:rsidR="00EE4E7E">
        <w:rPr>
          <w:rFonts w:eastAsia="Times New Roman"/>
          <w:lang w:val="en"/>
        </w:rPr>
        <w:t xml:space="preserve">, “Licenses, </w:t>
      </w:r>
      <w:r w:rsidR="00312B6D">
        <w:rPr>
          <w:rFonts w:eastAsia="Times New Roman"/>
          <w:lang w:val="en"/>
        </w:rPr>
        <w:t>C</w:t>
      </w:r>
      <w:r w:rsidR="00EE4E7E">
        <w:rPr>
          <w:rFonts w:eastAsia="Times New Roman"/>
          <w:lang w:val="en"/>
        </w:rPr>
        <w:t xml:space="preserve">ertifications, and </w:t>
      </w:r>
      <w:r w:rsidR="00312B6D">
        <w:rPr>
          <w:rFonts w:eastAsia="Times New Roman"/>
          <w:lang w:val="en"/>
        </w:rPr>
        <w:t>A</w:t>
      </w:r>
      <w:r w:rsidR="00EE4E7E">
        <w:rPr>
          <w:rFonts w:eastAsia="Times New Roman"/>
          <w:lang w:val="en"/>
        </w:rPr>
        <w:t xml:space="preserve">pprovals for </w:t>
      </w:r>
      <w:r w:rsidR="00312B6D">
        <w:rPr>
          <w:rFonts w:eastAsia="Times New Roman"/>
          <w:lang w:val="en"/>
        </w:rPr>
        <w:t>N</w:t>
      </w:r>
      <w:r w:rsidR="00EE4E7E">
        <w:rPr>
          <w:rFonts w:eastAsia="Times New Roman"/>
          <w:lang w:val="en"/>
        </w:rPr>
        <w:t xml:space="preserve">uclear </w:t>
      </w:r>
      <w:r w:rsidR="00312B6D">
        <w:rPr>
          <w:rFonts w:eastAsia="Times New Roman"/>
          <w:lang w:val="en"/>
        </w:rPr>
        <w:t>P</w:t>
      </w:r>
      <w:r w:rsidR="00EE4E7E">
        <w:rPr>
          <w:rFonts w:eastAsia="Times New Roman"/>
          <w:lang w:val="en"/>
        </w:rPr>
        <w:t xml:space="preserve">ower </w:t>
      </w:r>
      <w:r w:rsidR="00312B6D">
        <w:rPr>
          <w:rFonts w:eastAsia="Times New Roman"/>
          <w:lang w:val="en"/>
        </w:rPr>
        <w:t>P</w:t>
      </w:r>
      <w:r w:rsidR="00EE4E7E">
        <w:rPr>
          <w:rFonts w:eastAsia="Times New Roman"/>
          <w:lang w:val="en"/>
        </w:rPr>
        <w:t>lants</w:t>
      </w:r>
      <w:r w:rsidRPr="00DF234E">
        <w:rPr>
          <w:rFonts w:eastAsia="Times New Roman"/>
          <w:lang w:val="en"/>
        </w:rPr>
        <w:t>.</w:t>
      </w:r>
      <w:r w:rsidR="00EE4E7E">
        <w:rPr>
          <w:rFonts w:eastAsia="Times New Roman"/>
          <w:lang w:val="en"/>
        </w:rPr>
        <w:t>”</w:t>
      </w:r>
      <w:r w:rsidRPr="00DF234E">
        <w:rPr>
          <w:rFonts w:eastAsia="Times New Roman"/>
          <w:lang w:val="en"/>
        </w:rPr>
        <w:t xml:space="preserve">  </w:t>
      </w:r>
      <w:r w:rsidR="00646114">
        <w:rPr>
          <w:rFonts w:eastAsia="Times New Roman"/>
          <w:lang w:val="en"/>
        </w:rPr>
        <w:t>The NRC w</w:t>
      </w:r>
      <w:r w:rsidR="00173A9B">
        <w:rPr>
          <w:rFonts w:eastAsia="Times New Roman"/>
          <w:lang w:val="en"/>
        </w:rPr>
        <w:t>ill</w:t>
      </w:r>
      <w:r w:rsidR="00646114">
        <w:rPr>
          <w:rFonts w:eastAsia="Times New Roman"/>
          <w:lang w:val="en"/>
        </w:rPr>
        <w:t xml:space="preserve"> require a</w:t>
      </w:r>
      <w:r w:rsidRPr="00DF234E">
        <w:rPr>
          <w:rFonts w:eastAsia="Times New Roman"/>
          <w:lang w:val="en"/>
        </w:rPr>
        <w:t>pplicants proposing site</w:t>
      </w:r>
      <w:r w:rsidR="00646114">
        <w:rPr>
          <w:rFonts w:eastAsia="Times New Roman"/>
          <w:lang w:val="en"/>
        </w:rPr>
        <w:noBreakHyphen/>
      </w:r>
      <w:r w:rsidRPr="00DF234E">
        <w:rPr>
          <w:rFonts w:eastAsia="Times New Roman"/>
          <w:lang w:val="en"/>
        </w:rPr>
        <w:t xml:space="preserve">specific </w:t>
      </w:r>
      <w:r w:rsidRPr="00DF234E">
        <w:rPr>
          <w:rFonts w:eastAsia="Times New Roman"/>
          <w:lang w:val="en"/>
        </w:rPr>
        <w:t>EPZs</w:t>
      </w:r>
      <w:r w:rsidRPr="00DF234E">
        <w:rPr>
          <w:rFonts w:eastAsia="Times New Roman"/>
          <w:lang w:val="en"/>
        </w:rPr>
        <w:t xml:space="preserve"> to demonstrate in their application that the projected dose from a </w:t>
      </w:r>
      <w:r w:rsidR="00F266EC">
        <w:rPr>
          <w:rFonts w:eastAsia="Times New Roman"/>
          <w:lang w:val="en"/>
        </w:rPr>
        <w:t>spectrum</w:t>
      </w:r>
      <w:r w:rsidRPr="00DF234E" w:rsidR="00F266EC">
        <w:rPr>
          <w:rFonts w:eastAsia="Times New Roman"/>
          <w:lang w:val="en"/>
        </w:rPr>
        <w:t xml:space="preserve"> </w:t>
      </w:r>
      <w:r w:rsidRPr="00DF234E">
        <w:rPr>
          <w:rFonts w:eastAsia="Times New Roman"/>
          <w:lang w:val="en"/>
        </w:rPr>
        <w:t>of accidents</w:t>
      </w:r>
      <w:r w:rsidR="00F266EC">
        <w:rPr>
          <w:rFonts w:eastAsia="Times New Roman"/>
          <w:lang w:val="en"/>
        </w:rPr>
        <w:t xml:space="preserve"> </w:t>
      </w:r>
      <w:r w:rsidRPr="00F266EC" w:rsidR="00F266EC">
        <w:rPr>
          <w:rFonts w:eastAsia="Times New Roman"/>
          <w:lang w:val="en"/>
        </w:rPr>
        <w:t>(</w:t>
      </w:r>
      <w:r w:rsidR="00EE4E7E">
        <w:rPr>
          <w:rFonts w:eastAsia="Times New Roman"/>
          <w:lang w:val="en"/>
        </w:rPr>
        <w:t>DBAs</w:t>
      </w:r>
      <w:r w:rsidRPr="00F266EC" w:rsidR="00F266EC">
        <w:rPr>
          <w:rFonts w:eastAsia="Times New Roman"/>
          <w:lang w:val="en"/>
        </w:rPr>
        <w:t>, less severe accidents, and less probable but more severe accidents)</w:t>
      </w:r>
      <w:r w:rsidRPr="00DF234E">
        <w:rPr>
          <w:rFonts w:eastAsia="Times New Roman"/>
          <w:lang w:val="en"/>
        </w:rPr>
        <w:t xml:space="preserve"> woul</w:t>
      </w:r>
      <w:r w:rsidR="0056726B">
        <w:rPr>
          <w:rFonts w:eastAsia="Times New Roman"/>
          <w:lang w:val="en"/>
        </w:rPr>
        <w:t xml:space="preserve">d not exceed the EPA PAG </w:t>
      </w:r>
      <w:r w:rsidR="0056726B">
        <w:rPr>
          <w:rFonts w:eastAsia="Times New Roman"/>
        </w:rPr>
        <w:t>dose threshold of 1</w:t>
      </w:r>
      <w:r w:rsidR="00EE4E7E">
        <w:rPr>
          <w:rFonts w:eastAsia="Times New Roman"/>
        </w:rPr>
        <w:t> </w:t>
      </w:r>
      <w:r w:rsidR="0056726B">
        <w:rPr>
          <w:rFonts w:eastAsia="Times New Roman"/>
        </w:rPr>
        <w:t>rem total effective dose equivalent</w:t>
      </w:r>
      <w:r w:rsidRPr="0056726B" w:rsidR="0056726B">
        <w:rPr>
          <w:rFonts w:eastAsia="Times New Roman"/>
          <w:lang w:val="en"/>
        </w:rPr>
        <w:t xml:space="preserve"> </w:t>
      </w:r>
      <w:r w:rsidR="004B65EB">
        <w:rPr>
          <w:rFonts w:eastAsia="Times New Roman"/>
          <w:lang w:val="en"/>
        </w:rPr>
        <w:t>over 96</w:t>
      </w:r>
      <w:r w:rsidR="00EE4E7E">
        <w:rPr>
          <w:rFonts w:eastAsia="Times New Roman"/>
          <w:lang w:val="en"/>
        </w:rPr>
        <w:t> </w:t>
      </w:r>
      <w:r w:rsidR="004B65EB">
        <w:rPr>
          <w:rFonts w:eastAsia="Times New Roman"/>
          <w:lang w:val="en"/>
        </w:rPr>
        <w:t xml:space="preserve">hours </w:t>
      </w:r>
      <w:r w:rsidRPr="00DF234E">
        <w:rPr>
          <w:rFonts w:eastAsia="Times New Roman"/>
          <w:lang w:val="en"/>
        </w:rPr>
        <w:t xml:space="preserve">outside the proposed </w:t>
      </w:r>
      <w:r w:rsidRPr="00DF234E">
        <w:rPr>
          <w:rFonts w:eastAsia="Times New Roman"/>
          <w:lang w:val="en"/>
        </w:rPr>
        <w:t>EPZ</w:t>
      </w:r>
      <w:r w:rsidR="00D97258">
        <w:rPr>
          <w:rFonts w:eastAsia="Times New Roman"/>
          <w:lang w:val="en"/>
        </w:rPr>
        <w:t xml:space="preserve"> considering accident likelihood and source term, timing of the accident sequency, and meteorology</w:t>
      </w:r>
      <w:r w:rsidRPr="00DF234E">
        <w:rPr>
          <w:rFonts w:eastAsia="Times New Roman"/>
          <w:lang w:val="en"/>
        </w:rPr>
        <w:t>.</w:t>
      </w:r>
      <w:r w:rsidR="00D97258">
        <w:rPr>
          <w:rFonts w:eastAsia="Times New Roman"/>
          <w:lang w:val="en"/>
        </w:rPr>
        <w:t xml:space="preserve">  In addition, applicants will need to show that the plume </w:t>
      </w:r>
      <w:r w:rsidR="00E93E7E">
        <w:rPr>
          <w:rFonts w:eastAsia="Times New Roman"/>
          <w:lang w:val="en"/>
        </w:rPr>
        <w:t xml:space="preserve">exposure pathway </w:t>
      </w:r>
      <w:r w:rsidR="00E93E7E">
        <w:rPr>
          <w:rFonts w:eastAsia="Times New Roman"/>
          <w:lang w:val="en"/>
        </w:rPr>
        <w:t>EPZ</w:t>
      </w:r>
      <w:r w:rsidR="00E93E7E">
        <w:rPr>
          <w:rFonts w:eastAsia="Times New Roman"/>
          <w:lang w:val="en"/>
        </w:rPr>
        <w:t xml:space="preserve"> is the area in which predetermined, prompt protective measures are necessary.</w:t>
      </w:r>
      <w:r w:rsidRPr="007A009A">
        <w:rPr>
          <w:rFonts w:eastAsia="Times New Roman"/>
          <w:lang w:val="en"/>
        </w:rPr>
        <w:t xml:space="preserve">  After receiving site- and design-specific information from an SMR or </w:t>
      </w:r>
      <w:r w:rsidR="00C6347F">
        <w:rPr>
          <w:rFonts w:eastAsia="Times New Roman"/>
          <w:lang w:val="en"/>
        </w:rPr>
        <w:t>ONT</w:t>
      </w:r>
      <w:r w:rsidRPr="007A009A">
        <w:rPr>
          <w:rFonts w:eastAsia="Times New Roman"/>
          <w:lang w:val="en"/>
        </w:rPr>
        <w:t xml:space="preserve"> applicant, the NRC w</w:t>
      </w:r>
      <w:r w:rsidR="00173A9B">
        <w:rPr>
          <w:rFonts w:eastAsia="Times New Roman"/>
          <w:lang w:val="en"/>
        </w:rPr>
        <w:t>ill</w:t>
      </w:r>
      <w:r w:rsidRPr="007A009A">
        <w:rPr>
          <w:rFonts w:eastAsia="Times New Roman"/>
          <w:lang w:val="en"/>
        </w:rPr>
        <w:t xml:space="preserve"> assess </w:t>
      </w:r>
      <w:r w:rsidRPr="000601E7" w:rsidR="000601E7">
        <w:rPr>
          <w:rFonts w:eastAsia="Times New Roman"/>
          <w:lang w:val="en"/>
        </w:rPr>
        <w:t>the accident scenarios being considered and could follow up with requests for additional information a</w:t>
      </w:r>
      <w:r w:rsidR="000D4F75">
        <w:rPr>
          <w:rFonts w:eastAsia="Times New Roman"/>
          <w:lang w:val="en"/>
        </w:rPr>
        <w:t xml:space="preserve">s </w:t>
      </w:r>
      <w:r w:rsidR="009258B1">
        <w:rPr>
          <w:rFonts w:eastAsia="Times New Roman"/>
          <w:lang w:val="en"/>
        </w:rPr>
        <w:t xml:space="preserve">it </w:t>
      </w:r>
      <w:r w:rsidR="000D4F75">
        <w:rPr>
          <w:rFonts w:eastAsia="Times New Roman"/>
          <w:lang w:val="en"/>
        </w:rPr>
        <w:t xml:space="preserve">currently </w:t>
      </w:r>
      <w:r w:rsidR="009258B1">
        <w:rPr>
          <w:rFonts w:eastAsia="Times New Roman"/>
          <w:lang w:val="en"/>
        </w:rPr>
        <w:t>does</w:t>
      </w:r>
      <w:r w:rsidR="000D4F75">
        <w:rPr>
          <w:rFonts w:eastAsia="Times New Roman"/>
          <w:lang w:val="en"/>
        </w:rPr>
        <w:t>.</w:t>
      </w:r>
    </w:p>
    <w:p w:rsidR="000D4F75" w:rsidP="008440FA" w14:paraId="217445CA" w14:textId="77777777">
      <w:pPr>
        <w:spacing w:line="240" w:lineRule="auto"/>
        <w:rPr>
          <w:rFonts w:eastAsia="Times New Roman"/>
          <w:lang w:val="en"/>
        </w:rPr>
      </w:pPr>
    </w:p>
    <w:p w:rsidR="000D4F75" w:rsidRPr="000D4F75" w:rsidP="008440FA" w14:paraId="35FC23E7" w14:textId="6D27065C">
      <w:pPr>
        <w:spacing w:line="240" w:lineRule="auto"/>
        <w:rPr>
          <w:rFonts w:eastAsia="Times New Roman"/>
        </w:rPr>
      </w:pPr>
      <w:r w:rsidRPr="000D4F75">
        <w:rPr>
          <w:rFonts w:eastAsia="Times New Roman"/>
        </w:rPr>
        <w:t xml:space="preserve">As part of </w:t>
      </w:r>
      <w:r w:rsidR="009258B1">
        <w:rPr>
          <w:rFonts w:eastAsia="Times New Roman"/>
        </w:rPr>
        <w:t>A</w:t>
      </w:r>
      <w:r w:rsidRPr="000D4F75">
        <w:rPr>
          <w:rFonts w:eastAsia="Times New Roman"/>
        </w:rPr>
        <w:t>lternative</w:t>
      </w:r>
      <w:r w:rsidR="009258B1">
        <w:rPr>
          <w:rFonts w:eastAsia="Times New Roman"/>
        </w:rPr>
        <w:t> 2</w:t>
      </w:r>
      <w:r w:rsidRPr="000D4F75">
        <w:rPr>
          <w:rFonts w:eastAsia="Times New Roman"/>
        </w:rPr>
        <w:t xml:space="preserve">, the NRC is reviewing the emergency plans for </w:t>
      </w:r>
      <w:r w:rsidR="00855F57">
        <w:rPr>
          <w:rFonts w:eastAsia="Times New Roman"/>
        </w:rPr>
        <w:t>NPUF</w:t>
      </w:r>
      <w:r w:rsidRPr="000D4F75">
        <w:rPr>
          <w:rFonts w:eastAsia="Times New Roman"/>
        </w:rPr>
        <w:t>s intending to produce medical radioisotopes, such as molybdenum</w:t>
      </w:r>
      <w:r w:rsidRPr="000D4F75">
        <w:rPr>
          <w:rFonts w:eastAsia="Times New Roman"/>
        </w:rPr>
        <w:noBreakHyphen/>
        <w:t>99, using the guidance in ANSI/ANS</w:t>
      </w:r>
      <w:r w:rsidRPr="000D4F75">
        <w:rPr>
          <w:rFonts w:eastAsia="Times New Roman"/>
        </w:rPr>
        <w:noBreakHyphen/>
        <w:t>15.16</w:t>
      </w:r>
      <w:r w:rsidRPr="000D4F75">
        <w:rPr>
          <w:rFonts w:eastAsia="Times New Roman"/>
        </w:rPr>
        <w:noBreakHyphen/>
        <w:t>2015</w:t>
      </w:r>
      <w:r w:rsidR="00EE4E7E">
        <w:rPr>
          <w:rFonts w:eastAsia="Times New Roman"/>
        </w:rPr>
        <w:t>,</w:t>
      </w:r>
      <w:r w:rsidRPr="000D4F75">
        <w:rPr>
          <w:rFonts w:eastAsia="Times New Roman"/>
        </w:rPr>
        <w:t xml:space="preserve"> NUREG</w:t>
      </w:r>
      <w:r w:rsidRPr="000D4F75">
        <w:rPr>
          <w:rFonts w:eastAsia="Times New Roman"/>
        </w:rPr>
        <w:noBreakHyphen/>
        <w:t>0849</w:t>
      </w:r>
      <w:r w:rsidR="00EE4E7E">
        <w:rPr>
          <w:rFonts w:eastAsia="Times New Roman"/>
        </w:rPr>
        <w:t>,</w:t>
      </w:r>
      <w:r w:rsidRPr="000D4F75">
        <w:rPr>
          <w:rFonts w:eastAsia="Times New Roman"/>
        </w:rPr>
        <w:t xml:space="preserve"> and the interim staff guidance augmenting NUREG</w:t>
      </w:r>
      <w:r w:rsidRPr="000D4F75">
        <w:rPr>
          <w:rFonts w:eastAsia="Times New Roman"/>
        </w:rPr>
        <w:noBreakHyphen/>
        <w:t>1537 (NRC, 2012a; NRC, 2012b).  Use of the interim staff guidance augmenting NUREG</w:t>
      </w:r>
      <w:r w:rsidR="00EE4E7E">
        <w:rPr>
          <w:rFonts w:eastAsia="Times New Roman"/>
        </w:rPr>
        <w:noBreakHyphen/>
      </w:r>
      <w:r w:rsidRPr="000D4F75">
        <w:rPr>
          <w:rFonts w:eastAsia="Times New Roman"/>
        </w:rPr>
        <w:t>1537 accounts for the unique emergency planning considerations associated with the production facilities that would chemically process low</w:t>
      </w:r>
      <w:r w:rsidRPr="000D4F75">
        <w:rPr>
          <w:rFonts w:eastAsia="Times New Roman"/>
        </w:rPr>
        <w:noBreakHyphen/>
        <w:t xml:space="preserve">enriched uranium targets to separate </w:t>
      </w:r>
      <w:r w:rsidRPr="000D4F75" w:rsidR="00296BE6">
        <w:rPr>
          <w:rFonts w:eastAsia="Times New Roman"/>
        </w:rPr>
        <w:t>molybdenum</w:t>
      </w:r>
      <w:r w:rsidRPr="000D4F75" w:rsidR="00296BE6">
        <w:rPr>
          <w:rFonts w:eastAsia="Times New Roman"/>
        </w:rPr>
        <w:noBreakHyphen/>
        <w:t>99</w:t>
      </w:r>
      <w:r w:rsidRPr="000D4F75">
        <w:rPr>
          <w:rFonts w:eastAsia="Times New Roman"/>
        </w:rPr>
        <w:t xml:space="preserve"> from other fission products.  Additionally, based on discussions with potential advanced reactor applicants, the NRC anticipates that some applicants for molten</w:t>
      </w:r>
      <w:r w:rsidR="0015585C">
        <w:rPr>
          <w:rFonts w:eastAsia="Times New Roman"/>
        </w:rPr>
        <w:t xml:space="preserve"> </w:t>
      </w:r>
      <w:r w:rsidRPr="000D4F75">
        <w:rPr>
          <w:rFonts w:eastAsia="Times New Roman"/>
        </w:rPr>
        <w:t>salt reactors may submit applications for production facilities to conduct onsite fuel cleanup activities.</w:t>
      </w:r>
      <w:r w:rsidR="00C156D3">
        <w:rPr>
          <w:rFonts w:eastAsia="Times New Roman"/>
        </w:rPr>
        <w:t xml:space="preserve"> The potential future activities of possible licensees were not considered quantitatively in this analysis.</w:t>
      </w:r>
    </w:p>
    <w:p w:rsidR="009128E1" w:rsidRPr="00135820" w:rsidP="008440FA" w14:paraId="189FDDC1" w14:textId="77777777">
      <w:pPr>
        <w:pStyle w:val="Heading1"/>
        <w:numPr>
          <w:ilvl w:val="0"/>
          <w:numId w:val="34"/>
        </w:numPr>
        <w:spacing w:line="240" w:lineRule="auto"/>
      </w:pPr>
      <w:bookmarkStart w:id="60" w:name="_Ref386989918"/>
      <w:bookmarkStart w:id="61" w:name="_Toc456098216"/>
      <w:bookmarkStart w:id="62" w:name="_Toc457827229"/>
      <w:bookmarkStart w:id="63" w:name="_Toc70669493"/>
      <w:bookmarkStart w:id="64" w:name="_Toc85198592"/>
      <w:r>
        <w:t xml:space="preserve">Estimation and </w:t>
      </w:r>
      <w:r w:rsidRPr="00135820">
        <w:t>Evaluation of Costs</w:t>
      </w:r>
      <w:bookmarkEnd w:id="60"/>
      <w:bookmarkEnd w:id="61"/>
      <w:bookmarkEnd w:id="62"/>
      <w:r>
        <w:t xml:space="preserve"> and Benefits</w:t>
      </w:r>
      <w:bookmarkEnd w:id="63"/>
      <w:bookmarkEnd w:id="64"/>
    </w:p>
    <w:p w:rsidR="009128E1" w:rsidRPr="00135820" w:rsidP="008440FA" w14:paraId="480AF268" w14:textId="77777777">
      <w:pPr>
        <w:spacing w:line="240" w:lineRule="auto"/>
      </w:pPr>
    </w:p>
    <w:p w:rsidR="009128E1" w:rsidP="008440FA" w14:paraId="67024995" w14:textId="353BB54B">
      <w:pPr>
        <w:spacing w:line="240" w:lineRule="auto"/>
      </w:pPr>
      <w:r w:rsidRPr="005B58FF">
        <w:t xml:space="preserve">This section presents the process for evaluating the costs and benefits </w:t>
      </w:r>
      <w:r w:rsidR="005B58FF">
        <w:t xml:space="preserve">that are </w:t>
      </w:r>
      <w:r w:rsidRPr="005B58FF">
        <w:t>expected to result from each alternative relative</w:t>
      </w:r>
      <w:r w:rsidRPr="00135820">
        <w:t xml:space="preserve"> to the regulatory baseline</w:t>
      </w:r>
      <w:r>
        <w:t xml:space="preserve"> (Alternative</w:t>
      </w:r>
      <w:r w:rsidR="004F7002">
        <w:t> </w:t>
      </w:r>
      <w:r>
        <w:t>1)</w:t>
      </w:r>
      <w:r w:rsidRPr="00135820">
        <w:t xml:space="preserve">.  </w:t>
      </w:r>
      <w:r>
        <w:t>A</w:t>
      </w:r>
      <w:r w:rsidRPr="00135820">
        <w:t xml:space="preserve">ll costs and benefits are </w:t>
      </w:r>
      <w:r>
        <w:t>monetized, when possible</w:t>
      </w:r>
      <w:r w:rsidRPr="00135820">
        <w:t xml:space="preserve">.  The total costs and benefits </w:t>
      </w:r>
      <w:r>
        <w:t>are then</w:t>
      </w:r>
      <w:r w:rsidRPr="00135820">
        <w:t xml:space="preserve"> summed to determine whether the difference between the costs and benefits </w:t>
      </w:r>
      <w:r>
        <w:t>results in</w:t>
      </w:r>
      <w:r w:rsidRPr="00135820">
        <w:t xml:space="preserve"> a positive benefit.  </w:t>
      </w:r>
      <w:r>
        <w:t>I</w:t>
      </w:r>
      <w:r w:rsidRPr="00135820">
        <w:t>n some cases</w:t>
      </w:r>
      <w:r>
        <w:t>,</w:t>
      </w:r>
      <w:r w:rsidRPr="00135820">
        <w:t xml:space="preserve"> </w:t>
      </w:r>
      <w:r>
        <w:t xml:space="preserve">costs and </w:t>
      </w:r>
      <w:r w:rsidRPr="00135820">
        <w:t>benefits</w:t>
      </w:r>
      <w:r>
        <w:t xml:space="preserve"> are</w:t>
      </w:r>
      <w:r w:rsidRPr="00135820">
        <w:t xml:space="preserve"> not </w:t>
      </w:r>
      <w:r>
        <w:t>monetized</w:t>
      </w:r>
      <w:r w:rsidRPr="00135820">
        <w:t xml:space="preserve"> because meaningful quantification is not possible.</w:t>
      </w:r>
      <w:r w:rsidR="00DB56E2">
        <w:t xml:space="preserve">  Instead, </w:t>
      </w:r>
      <w:r w:rsidR="00E91ADA">
        <w:t xml:space="preserve">Section 5 of this regulatory analysis addresses </w:t>
      </w:r>
      <w:r w:rsidR="00DB56E2">
        <w:t>these costs and benefits qualitatively, in accordance with Appendix</w:t>
      </w:r>
      <w:r w:rsidR="00EE4E7E">
        <w:t> </w:t>
      </w:r>
      <w:r w:rsidR="00DB56E2">
        <w:t>A</w:t>
      </w:r>
      <w:r w:rsidR="005B58FF">
        <w:t>, “Qualitative Factors Assessment Tools,”</w:t>
      </w:r>
      <w:r w:rsidR="00DB56E2">
        <w:t xml:space="preserve"> </w:t>
      </w:r>
      <w:r w:rsidR="005B58FF">
        <w:t xml:space="preserve">to </w:t>
      </w:r>
      <w:r w:rsidR="00DB56E2">
        <w:t>NUREG</w:t>
      </w:r>
      <w:r w:rsidR="00DB56E2">
        <w:t>/BR</w:t>
      </w:r>
      <w:r w:rsidR="00EE4E7E">
        <w:noBreakHyphen/>
      </w:r>
      <w:r w:rsidR="00DB56E2">
        <w:t xml:space="preserve">0058, </w:t>
      </w:r>
      <w:r w:rsidR="005B58FF">
        <w:t>“</w:t>
      </w:r>
      <w:r w:rsidRPr="00313F59" w:rsidR="005B58FF">
        <w:t>Regulatory Analysis Guidelines of the U.S. Nuclear Regulatory Commission, Draft Report</w:t>
      </w:r>
      <w:r w:rsidR="005B58FF">
        <w:t xml:space="preserve"> for Comment,”</w:t>
      </w:r>
      <w:r w:rsidRPr="00135820" w:rsidR="005B58FF">
        <w:t xml:space="preserve"> </w:t>
      </w:r>
      <w:r w:rsidR="00DB56E2">
        <w:t>Rev</w:t>
      </w:r>
      <w:r w:rsidR="005B58FF">
        <w:t>ision </w:t>
      </w:r>
      <w:r w:rsidR="00DB56E2">
        <w:t>5</w:t>
      </w:r>
      <w:r w:rsidR="005B58FF">
        <w:t xml:space="preserve">, issued </w:t>
      </w:r>
      <w:r w:rsidR="004F591D">
        <w:t>January</w:t>
      </w:r>
      <w:r w:rsidR="005B58FF">
        <w:t> 20</w:t>
      </w:r>
      <w:r w:rsidR="004F591D">
        <w:t>20</w:t>
      </w:r>
      <w:r w:rsidR="005B58FF">
        <w:t xml:space="preserve"> (NRC, 20</w:t>
      </w:r>
      <w:r w:rsidR="004F591D">
        <w:t>20</w:t>
      </w:r>
      <w:r w:rsidR="005B58FF">
        <w:t>)</w:t>
      </w:r>
      <w:r w:rsidR="00DB56E2">
        <w:t>.</w:t>
      </w:r>
    </w:p>
    <w:p w:rsidR="009128E1" w:rsidRPr="00135820" w:rsidP="008440FA" w14:paraId="5DCDD61C" w14:textId="377339D0">
      <w:pPr>
        <w:spacing w:line="240" w:lineRule="auto"/>
      </w:pPr>
    </w:p>
    <w:p w:rsidR="009128E1" w:rsidRPr="00135820" w:rsidP="008440FA" w14:paraId="3C9BC91D" w14:textId="77777777">
      <w:pPr>
        <w:pStyle w:val="Heading2"/>
        <w:tabs>
          <w:tab w:val="left" w:pos="540"/>
        </w:tabs>
        <w:spacing w:line="240" w:lineRule="auto"/>
      </w:pPr>
      <w:bookmarkStart w:id="65" w:name="_Toc456098217"/>
      <w:bookmarkStart w:id="66" w:name="_Toc70669494"/>
      <w:bookmarkStart w:id="67" w:name="_Toc85198593"/>
      <w:r>
        <w:t>4.1</w:t>
      </w:r>
      <w:r>
        <w:tab/>
      </w:r>
      <w:bookmarkStart w:id="68" w:name="_Toc457827230"/>
      <w:r w:rsidRPr="00135820">
        <w:t>Identification of Affected Attributes</w:t>
      </w:r>
      <w:bookmarkEnd w:id="65"/>
      <w:bookmarkEnd w:id="66"/>
      <w:bookmarkEnd w:id="67"/>
      <w:bookmarkEnd w:id="68"/>
    </w:p>
    <w:p w:rsidR="009128E1" w:rsidRPr="00135820" w:rsidP="004F591D" w14:paraId="3F7F2850" w14:textId="32CD4806">
      <w:pPr>
        <w:keepNext/>
        <w:spacing w:line="240" w:lineRule="auto"/>
      </w:pPr>
    </w:p>
    <w:p w:rsidR="009128E1" w:rsidRPr="00135820" w:rsidP="008440FA" w14:paraId="0C3A698B" w14:textId="1DC9C886">
      <w:pPr>
        <w:spacing w:line="240" w:lineRule="auto"/>
      </w:pPr>
      <w:r w:rsidRPr="00135820">
        <w:t>This section identifies the components of the public and private sectors, commonly referred to as attributes</w:t>
      </w:r>
      <w:r w:rsidR="00A42C6F">
        <w:t>,</w:t>
      </w:r>
      <w:r w:rsidRPr="00135820">
        <w:t xml:space="preserve"> that are expected to be affected by the alternatives identified in </w:t>
      </w:r>
      <w:r>
        <w:t>S</w:t>
      </w:r>
      <w:r w:rsidRPr="00135820">
        <w:t>ection</w:t>
      </w:r>
      <w:r w:rsidR="00E91ADA">
        <w:t> </w:t>
      </w:r>
      <w:r w:rsidRPr="00135820">
        <w:t>3.  The alternatives w</w:t>
      </w:r>
      <w:r w:rsidR="00FC6749">
        <w:t>ill</w:t>
      </w:r>
      <w:r w:rsidRPr="00135820">
        <w:t xml:space="preserve"> apply to</w:t>
      </w:r>
      <w:r w:rsidR="001A3D54">
        <w:t xml:space="preserve"> SMR and ONT</w:t>
      </w:r>
      <w:r w:rsidRPr="00135820">
        <w:t xml:space="preserve"> licensees and applicants.  The NRC believes that </w:t>
      </w:r>
      <w:r w:rsidR="00E241E3">
        <w:t>nuclear power plant</w:t>
      </w:r>
      <w:r w:rsidRPr="00135820" w:rsidR="00E241E3">
        <w:t xml:space="preserve"> </w:t>
      </w:r>
      <w:r w:rsidRPr="00135820">
        <w:t>licensees w</w:t>
      </w:r>
      <w:r>
        <w:t>ould</w:t>
      </w:r>
      <w:r w:rsidRPr="00135820">
        <w:t xml:space="preserve"> be the primary beneficiaries.  </w:t>
      </w:r>
      <w:r>
        <w:t xml:space="preserve">The </w:t>
      </w:r>
      <w:r w:rsidR="003971A5">
        <w:t>NRC</w:t>
      </w:r>
      <w:r>
        <w:t xml:space="preserve"> developed a</w:t>
      </w:r>
      <w:r w:rsidRPr="00135820">
        <w:t xml:space="preserve">n inventory of the </w:t>
      </w:r>
      <w:r w:rsidR="00F637A1">
        <w:t>affe</w:t>
      </w:r>
      <w:r w:rsidRPr="00135820">
        <w:t xml:space="preserve">cted attributes using the list in </w:t>
      </w:r>
      <w:r w:rsidR="00313F59">
        <w:t>NUREG</w:t>
      </w:r>
      <w:r w:rsidR="00313F59">
        <w:t>/BR</w:t>
      </w:r>
      <w:r w:rsidR="00431FC3">
        <w:noBreakHyphen/>
      </w:r>
      <w:r w:rsidR="00313F59">
        <w:t xml:space="preserve">0058, </w:t>
      </w:r>
      <w:r w:rsidR="00E93751">
        <w:t xml:space="preserve">draft </w:t>
      </w:r>
      <w:r w:rsidR="00313F59">
        <w:t>Revision</w:t>
      </w:r>
      <w:r w:rsidR="00F637A1">
        <w:t> </w:t>
      </w:r>
      <w:r w:rsidR="00313F59">
        <w:t>5</w:t>
      </w:r>
      <w:r w:rsidR="005B58FF">
        <w:t>, Chapter 5, “Details of a Cost</w:t>
      </w:r>
      <w:r w:rsidR="00431FC3">
        <w:noBreakHyphen/>
      </w:r>
      <w:r w:rsidR="005B58FF">
        <w:t>Benefit Analysis</w:t>
      </w:r>
      <w:r w:rsidRPr="00135820">
        <w:t>.</w:t>
      </w:r>
      <w:r w:rsidR="00431FC3">
        <w:t>”</w:t>
      </w:r>
    </w:p>
    <w:p w:rsidR="009128E1" w:rsidRPr="00135820" w:rsidP="008440FA" w14:paraId="37EFC33A" w14:textId="6B9C5E40">
      <w:pPr>
        <w:spacing w:line="240" w:lineRule="auto"/>
      </w:pPr>
    </w:p>
    <w:p w:rsidR="009128E1" w:rsidRPr="00135820" w:rsidP="008440FA" w14:paraId="042157B9" w14:textId="466E94D7">
      <w:pPr>
        <w:spacing w:line="240" w:lineRule="auto"/>
      </w:pPr>
      <w:r w:rsidRPr="00135820">
        <w:t xml:space="preserve">The </w:t>
      </w:r>
      <w:r>
        <w:t xml:space="preserve">rule </w:t>
      </w:r>
      <w:r w:rsidR="009468E2">
        <w:t>will</w:t>
      </w:r>
      <w:r>
        <w:t xml:space="preserve"> affect </w:t>
      </w:r>
      <w:r w:rsidR="00C8444B">
        <w:t>f</w:t>
      </w:r>
      <w:r w:rsidR="00F730E7">
        <w:t>our</w:t>
      </w:r>
      <w:r w:rsidR="00380AEA">
        <w:t xml:space="preserve"> </w:t>
      </w:r>
      <w:r w:rsidRPr="00135820">
        <w:t>attributes:</w:t>
      </w:r>
    </w:p>
    <w:p w:rsidR="009128E1" w:rsidRPr="00CA7C7A" w:rsidP="008440FA" w14:paraId="716AE515" w14:textId="77777777">
      <w:pPr>
        <w:spacing w:line="240" w:lineRule="auto"/>
      </w:pPr>
    </w:p>
    <w:p w:rsidR="004C7407" w:rsidRPr="00CA7C7A" w:rsidP="008440FA" w14:paraId="575AF57E" w14:textId="5AA9A115">
      <w:pPr>
        <w:pStyle w:val="ListParagraph"/>
        <w:numPr>
          <w:ilvl w:val="0"/>
          <w:numId w:val="4"/>
        </w:numPr>
        <w:spacing w:line="240" w:lineRule="auto"/>
        <w:ind w:hanging="720"/>
      </w:pPr>
      <w:r w:rsidRPr="00CA7C7A">
        <w:rPr>
          <w:u w:val="single"/>
        </w:rPr>
        <w:t>Industry Operation</w:t>
      </w:r>
      <w:r w:rsidRPr="00CA7C7A">
        <w:t xml:space="preserve">.  This attribute accounts for the projected net economic effect caused by routine and recurring activities required by the alternative on all affected </w:t>
      </w:r>
      <w:r w:rsidR="00963711">
        <w:t>entities</w:t>
      </w:r>
      <w:r w:rsidRPr="00CA7C7A">
        <w:t xml:space="preserve">.  </w:t>
      </w:r>
      <w:r w:rsidR="00817FA4">
        <w:t>T</w:t>
      </w:r>
      <w:r>
        <w:t>hese activities include the reduction of exemption requ</w:t>
      </w:r>
      <w:r w:rsidR="004B3496">
        <w:t xml:space="preserve">ests </w:t>
      </w:r>
      <w:r w:rsidR="00586D8F">
        <w:t xml:space="preserve">from applicants and licensees </w:t>
      </w:r>
      <w:r w:rsidR="004B3496">
        <w:t>and the reduction of</w:t>
      </w:r>
      <w:r>
        <w:t xml:space="preserve"> </w:t>
      </w:r>
      <w:r w:rsidR="00431FC3">
        <w:t>license amendment requests (</w:t>
      </w:r>
      <w:r w:rsidR="004B3496">
        <w:t>LARs</w:t>
      </w:r>
      <w:r w:rsidR="00431FC3">
        <w:t>)</w:t>
      </w:r>
      <w:r w:rsidR="004B3496">
        <w:t xml:space="preserve"> from the licensees.</w:t>
      </w:r>
    </w:p>
    <w:p w:rsidR="009128E1" w:rsidRPr="00CA7C7A" w:rsidP="008440FA" w14:paraId="282DDF10" w14:textId="77777777">
      <w:pPr>
        <w:pStyle w:val="ListParagraph"/>
        <w:spacing w:line="240" w:lineRule="auto"/>
      </w:pPr>
    </w:p>
    <w:p w:rsidR="009128E1" w:rsidP="008440FA" w14:paraId="02D32881" w14:textId="3646B156">
      <w:pPr>
        <w:pStyle w:val="ListParagraph"/>
        <w:numPr>
          <w:ilvl w:val="0"/>
          <w:numId w:val="4"/>
        </w:numPr>
        <w:spacing w:line="240" w:lineRule="auto"/>
        <w:ind w:hanging="720"/>
      </w:pPr>
      <w:r w:rsidRPr="0012255B">
        <w:rPr>
          <w:u w:val="single"/>
        </w:rPr>
        <w:t>NRC Implementation</w:t>
      </w:r>
      <w:r w:rsidRPr="00CA7C7A">
        <w:t xml:space="preserve">.  This attribute accounts for the projected net economic effect on the NRC to place the alternative into operation.  </w:t>
      </w:r>
      <w:r w:rsidR="00817FA4">
        <w:t>The NRC</w:t>
      </w:r>
      <w:r w:rsidR="00745C57">
        <w:t>’s</w:t>
      </w:r>
      <w:r w:rsidR="00817FA4">
        <w:t xml:space="preserve"> implementation </w:t>
      </w:r>
      <w:r w:rsidR="00745C57">
        <w:t xml:space="preserve">of the alternative </w:t>
      </w:r>
      <w:r w:rsidR="00817FA4">
        <w:t>w</w:t>
      </w:r>
      <w:r w:rsidR="00FC6749">
        <w:t>ill</w:t>
      </w:r>
      <w:r w:rsidR="00817FA4">
        <w:t xml:space="preserve"> include the </w:t>
      </w:r>
      <w:r w:rsidR="00745C57">
        <w:t xml:space="preserve">agency’s </w:t>
      </w:r>
      <w:r w:rsidR="00817FA4">
        <w:t xml:space="preserve">cost to develop and issue the rule </w:t>
      </w:r>
      <w:r w:rsidR="00745C57">
        <w:t>and</w:t>
      </w:r>
      <w:r w:rsidR="00817FA4">
        <w:t xml:space="preserve"> any </w:t>
      </w:r>
      <w:r w:rsidR="00745C57">
        <w:t>RGs</w:t>
      </w:r>
      <w:r w:rsidR="00817FA4">
        <w:t xml:space="preserve"> that support the rule.</w:t>
      </w:r>
      <w:r w:rsidR="00374766">
        <w:t xml:space="preserve">  These are sunk costs for the final rule and not included in the analysis.</w:t>
      </w:r>
    </w:p>
    <w:p w:rsidR="009128E1" w:rsidRPr="00CA7C7A" w:rsidP="008440FA" w14:paraId="79C59F79" w14:textId="77777777">
      <w:pPr>
        <w:pStyle w:val="ListParagraph"/>
        <w:spacing w:line="240" w:lineRule="auto"/>
        <w:ind w:hanging="720"/>
      </w:pPr>
    </w:p>
    <w:p w:rsidR="009622AA" w:rsidP="008440FA" w14:paraId="0F9645D7" w14:textId="3D51EB24">
      <w:pPr>
        <w:pStyle w:val="ListParagraph"/>
        <w:numPr>
          <w:ilvl w:val="0"/>
          <w:numId w:val="4"/>
        </w:numPr>
        <w:spacing w:line="240" w:lineRule="auto"/>
        <w:ind w:hanging="720"/>
      </w:pPr>
      <w:r w:rsidRPr="00BB54B2">
        <w:rPr>
          <w:u w:val="single"/>
        </w:rPr>
        <w:t>NRC Operation</w:t>
      </w:r>
      <w:r w:rsidRPr="00BB54B2">
        <w:t xml:space="preserve">.  This attribute accounts for the projected net economic effect </w:t>
      </w:r>
      <w:r w:rsidRPr="00BB54B2" w:rsidR="009258B1">
        <w:t xml:space="preserve">on the NRC </w:t>
      </w:r>
      <w:r w:rsidRPr="00817FA4" w:rsidR="00817FA4">
        <w:t xml:space="preserve">caused by routine and recurring activities required by the alternative </w:t>
      </w:r>
      <w:r w:rsidRPr="00BB54B2">
        <w:t xml:space="preserve">after </w:t>
      </w:r>
      <w:r w:rsidR="00745C57">
        <w:t xml:space="preserve">implementation of </w:t>
      </w:r>
      <w:r w:rsidRPr="00BB54B2">
        <w:t xml:space="preserve">the </w:t>
      </w:r>
      <w:r w:rsidR="00771861">
        <w:t>final</w:t>
      </w:r>
      <w:r>
        <w:t xml:space="preserve"> rule.</w:t>
      </w:r>
      <w:r w:rsidR="00817FA4">
        <w:t xml:space="preserve"> </w:t>
      </w:r>
      <w:r w:rsidR="00745C57">
        <w:t xml:space="preserve"> </w:t>
      </w:r>
      <w:r w:rsidRPr="00817FA4" w:rsidR="00817FA4">
        <w:t xml:space="preserve">These activities include the reduction </w:t>
      </w:r>
      <w:r>
        <w:t xml:space="preserve">in </w:t>
      </w:r>
      <w:r w:rsidR="00817FA4">
        <w:t>NRC review</w:t>
      </w:r>
      <w:r>
        <w:t>s</w:t>
      </w:r>
      <w:r w:rsidR="00817FA4">
        <w:t xml:space="preserve"> of </w:t>
      </w:r>
      <w:r w:rsidRPr="00817FA4" w:rsidR="00817FA4">
        <w:t>exemption requ</w:t>
      </w:r>
      <w:r w:rsidR="00817FA4">
        <w:t xml:space="preserve">ests and </w:t>
      </w:r>
      <w:r w:rsidR="004B3496">
        <w:t>LARs.</w:t>
      </w:r>
    </w:p>
    <w:p w:rsidR="009128E1" w:rsidRPr="00CA7C7A" w:rsidP="008440FA" w14:paraId="34FBC12D" w14:textId="77777777">
      <w:pPr>
        <w:pStyle w:val="ListParagraph"/>
        <w:spacing w:line="240" w:lineRule="auto"/>
      </w:pPr>
    </w:p>
    <w:p w:rsidR="009128E1" w:rsidRPr="007028AC" w:rsidP="008440FA" w14:paraId="79E5C319" w14:textId="2E449B23">
      <w:pPr>
        <w:pStyle w:val="ListParagraph"/>
        <w:numPr>
          <w:ilvl w:val="0"/>
          <w:numId w:val="4"/>
        </w:numPr>
        <w:spacing w:line="240" w:lineRule="auto"/>
        <w:ind w:hanging="720"/>
      </w:pPr>
      <w:r w:rsidRPr="007028AC">
        <w:rPr>
          <w:u w:val="single"/>
        </w:rPr>
        <w:t>Regulatory Efficiency</w:t>
      </w:r>
      <w:r w:rsidRPr="007028AC">
        <w:t xml:space="preserve">.  This attribute accounts for regulatory and compliance improvements resulting from the implementation of </w:t>
      </w:r>
      <w:r>
        <w:t>Alternative</w:t>
      </w:r>
      <w:r w:rsidR="009622AA">
        <w:t> </w:t>
      </w:r>
      <w:r>
        <w:t>2</w:t>
      </w:r>
      <w:r w:rsidRPr="007028AC">
        <w:t xml:space="preserve"> relative to the regulatory baseline.</w:t>
      </w:r>
      <w:r>
        <w:t xml:space="preserve">  Alternative 2 </w:t>
      </w:r>
      <w:r w:rsidR="00FC6749">
        <w:t>will</w:t>
      </w:r>
      <w:r>
        <w:t xml:space="preserve"> continue the best practice of regulation through rulemaking instead of exemption requests, where practical.  This rulemaking w</w:t>
      </w:r>
      <w:r w:rsidR="00FC6749">
        <w:t>ill</w:t>
      </w:r>
      <w:r>
        <w:t xml:space="preserve"> reduce the effort </w:t>
      </w:r>
      <w:r w:rsidR="009622AA">
        <w:t xml:space="preserve">that </w:t>
      </w:r>
      <w:r>
        <w:t>the industry would expend generating exemption requests and considering alternative means to accomplish the goals of current regulation.</w:t>
      </w:r>
      <w:r w:rsidR="000A1A44">
        <w:t xml:space="preserve">  In addition, this rulemaking</w:t>
      </w:r>
      <w:r w:rsidR="00D64019">
        <w:t>’s</w:t>
      </w:r>
      <w:r w:rsidR="000A1A44">
        <w:t xml:space="preserve"> </w:t>
      </w:r>
      <w:r w:rsidR="00D64019">
        <w:t>performance</w:t>
      </w:r>
      <w:r w:rsidR="00D64019">
        <w:noBreakHyphen/>
        <w:t>based framework</w:t>
      </w:r>
      <w:r w:rsidR="000A1A44">
        <w:t xml:space="preserve"> w</w:t>
      </w:r>
      <w:r w:rsidR="00FC6749">
        <w:t>ill</w:t>
      </w:r>
      <w:r w:rsidR="000A1A44">
        <w:t xml:space="preserve"> reduce the volume of EP LARs submitted for SMRs and </w:t>
      </w:r>
      <w:r w:rsidR="00C6347F">
        <w:t>ONT</w:t>
      </w:r>
      <w:r w:rsidR="000A1A44">
        <w:t>s and the complexity of EP plans.</w:t>
      </w:r>
      <w:r w:rsidR="004B3496">
        <w:t xml:space="preserve"> </w:t>
      </w:r>
      <w:r w:rsidR="00F637A1">
        <w:t xml:space="preserve"> </w:t>
      </w:r>
      <w:r w:rsidR="004B3496">
        <w:t>Additionally</w:t>
      </w:r>
      <w:r w:rsidR="009622AA">
        <w:t>,</w:t>
      </w:r>
      <w:r w:rsidR="004B3496">
        <w:t xml:space="preserve"> </w:t>
      </w:r>
      <w:r w:rsidR="00586D8F">
        <w:t xml:space="preserve">applicants and </w:t>
      </w:r>
      <w:r w:rsidR="009622AA">
        <w:t>licensees w</w:t>
      </w:r>
      <w:r w:rsidR="00FC6749">
        <w:t>ill</w:t>
      </w:r>
      <w:r w:rsidR="009622AA">
        <w:t xml:space="preserve"> gain </w:t>
      </w:r>
      <w:r w:rsidRPr="004B3496" w:rsidR="004B3496">
        <w:t xml:space="preserve">efficiencies </w:t>
      </w:r>
      <w:r w:rsidR="004B3496">
        <w:t>in developing EP plans</w:t>
      </w:r>
      <w:r w:rsidR="009622AA">
        <w:t>,</w:t>
      </w:r>
      <w:r w:rsidR="004B3496">
        <w:t xml:space="preserve"> and </w:t>
      </w:r>
      <w:r w:rsidR="009622AA">
        <w:t>the NRC w</w:t>
      </w:r>
      <w:r w:rsidR="00FC6749">
        <w:t>ill</w:t>
      </w:r>
      <w:r w:rsidR="009622AA">
        <w:t xml:space="preserve"> gain </w:t>
      </w:r>
      <w:r w:rsidRPr="004B3496" w:rsidR="004B3496">
        <w:t xml:space="preserve">efficiencies in reviewing </w:t>
      </w:r>
      <w:r w:rsidR="004B3496">
        <w:t xml:space="preserve">these </w:t>
      </w:r>
      <w:r w:rsidRPr="004B3496" w:rsidR="004B3496">
        <w:t>EP plans</w:t>
      </w:r>
      <w:r w:rsidR="009258B1">
        <w:t>,</w:t>
      </w:r>
      <w:r w:rsidR="009622AA">
        <w:t xml:space="preserve"> because of</w:t>
      </w:r>
      <w:r w:rsidR="004B3496">
        <w:t xml:space="preserve"> the </w:t>
      </w:r>
      <w:r w:rsidRPr="004B3496" w:rsidR="004B3496">
        <w:t xml:space="preserve">improved stability, predictability, and clarity </w:t>
      </w:r>
      <w:r w:rsidR="00222E1C">
        <w:t>that w</w:t>
      </w:r>
      <w:r w:rsidR="00771861">
        <w:t>ill</w:t>
      </w:r>
      <w:r w:rsidR="00222E1C">
        <w:t xml:space="preserve"> result from</w:t>
      </w:r>
      <w:r w:rsidRPr="004B3496" w:rsidR="00222E1C">
        <w:t xml:space="preserve"> </w:t>
      </w:r>
      <w:r w:rsidRPr="004B3496" w:rsidR="004B3496">
        <w:t xml:space="preserve">the </w:t>
      </w:r>
      <w:r w:rsidR="00771861">
        <w:t>final</w:t>
      </w:r>
      <w:r w:rsidRPr="004B3496" w:rsidR="004B3496">
        <w:t xml:space="preserve"> rule.</w:t>
      </w:r>
    </w:p>
    <w:p w:rsidR="009128E1" w:rsidRPr="007028AC" w:rsidP="008440FA" w14:paraId="3A9A55D2" w14:textId="77777777">
      <w:pPr>
        <w:pStyle w:val="ListParagraph"/>
        <w:spacing w:line="240" w:lineRule="auto"/>
        <w:ind w:hanging="720"/>
      </w:pPr>
    </w:p>
    <w:p w:rsidR="009128E1" w:rsidP="008440FA" w14:paraId="4DDB2544" w14:textId="6922FEF4">
      <w:pPr>
        <w:spacing w:line="240" w:lineRule="auto"/>
      </w:pPr>
      <w:r w:rsidRPr="007028AC">
        <w:t xml:space="preserve">Attributes that are not expected to be affected under </w:t>
      </w:r>
      <w:r w:rsidR="009258B1">
        <w:t>either</w:t>
      </w:r>
      <w:r w:rsidRPr="007028AC" w:rsidR="009258B1">
        <w:t xml:space="preserve"> </w:t>
      </w:r>
      <w:r w:rsidRPr="007028AC">
        <w:t xml:space="preserve">of the alternatives </w:t>
      </w:r>
      <w:r>
        <w:t>include</w:t>
      </w:r>
      <w:r w:rsidR="004C7407">
        <w:t xml:space="preserve"> </w:t>
      </w:r>
      <w:r>
        <w:t>public health (routine)</w:t>
      </w:r>
      <w:r w:rsidR="00F637A1">
        <w:t>,</w:t>
      </w:r>
      <w:r>
        <w:t xml:space="preserve"> </w:t>
      </w:r>
      <w:r w:rsidR="009F76E7">
        <w:t>occupational health (accident</w:t>
      </w:r>
      <w:r w:rsidR="000665FF">
        <w:t>)</w:t>
      </w:r>
      <w:r w:rsidR="00F637A1">
        <w:t>,</w:t>
      </w:r>
      <w:r w:rsidR="009F76E7">
        <w:t xml:space="preserve"> occupational health (routine)</w:t>
      </w:r>
      <w:r w:rsidR="00F637A1">
        <w:t>,</w:t>
      </w:r>
      <w:r w:rsidR="009F76E7">
        <w:t xml:space="preserve"> </w:t>
      </w:r>
      <w:r>
        <w:t>offsite property</w:t>
      </w:r>
      <w:r w:rsidR="00F637A1">
        <w:t>,</w:t>
      </w:r>
      <w:r>
        <w:t xml:space="preserve"> onsite property</w:t>
      </w:r>
      <w:r w:rsidR="00F637A1">
        <w:t>,</w:t>
      </w:r>
      <w:r w:rsidR="0021576A">
        <w:t xml:space="preserve"> </w:t>
      </w:r>
      <w:r w:rsidRPr="00C8444B" w:rsidR="00C8444B">
        <w:t>industry implementation</w:t>
      </w:r>
      <w:r w:rsidR="00F637A1">
        <w:t>,</w:t>
      </w:r>
      <w:r w:rsidR="00C8444B">
        <w:t xml:space="preserve"> </w:t>
      </w:r>
      <w:r w:rsidRPr="007028AC">
        <w:t>other government</w:t>
      </w:r>
      <w:r w:rsidR="00F637A1">
        <w:t>,</w:t>
      </w:r>
      <w:r w:rsidRPr="007028AC">
        <w:t xml:space="preserve"> </w:t>
      </w:r>
      <w:r w:rsidRPr="007028AC">
        <w:t>general public</w:t>
      </w:r>
      <w:r w:rsidR="00F637A1">
        <w:t>,</w:t>
      </w:r>
      <w:r w:rsidRPr="007028AC">
        <w:t xml:space="preserve"> safeguards</w:t>
      </w:r>
      <w:r>
        <w:t xml:space="preserve"> and security considerations</w:t>
      </w:r>
      <w:r w:rsidR="00F637A1">
        <w:t>,</w:t>
      </w:r>
      <w:r w:rsidRPr="007028AC">
        <w:t xml:space="preserve"> and environmental considerations.</w:t>
      </w:r>
      <w:r w:rsidR="004101D1">
        <w:t xml:space="preserve">  </w:t>
      </w:r>
      <w:r w:rsidR="00A24C92">
        <w:t>The attributes of other government</w:t>
      </w:r>
      <w:r w:rsidR="00EA29C4">
        <w:t xml:space="preserve"> and </w:t>
      </w:r>
      <w:r w:rsidR="00A24C92">
        <w:t>general public</w:t>
      </w:r>
      <w:r w:rsidR="00A24C92">
        <w:t xml:space="preserve"> were not analyzed because, even though a reduced </w:t>
      </w:r>
      <w:r w:rsidR="00A24C92">
        <w:t>EPZ</w:t>
      </w:r>
      <w:r w:rsidR="00A24C92">
        <w:t xml:space="preserve"> size would impact </w:t>
      </w:r>
      <w:r w:rsidR="00EA29C4">
        <w:t>these attributes</w:t>
      </w:r>
      <w:r w:rsidR="00A24C92">
        <w:t>, the same effects would occur under both Alternatives 1 and 2</w:t>
      </w:r>
      <w:r w:rsidR="000D2F06">
        <w:t xml:space="preserve"> so that there would be no net difference</w:t>
      </w:r>
      <w:r w:rsidR="00A24C92">
        <w:t xml:space="preserve">.  </w:t>
      </w:r>
      <w:r w:rsidR="00B11329">
        <w:t xml:space="preserve">The </w:t>
      </w:r>
      <w:r w:rsidR="00091F19">
        <w:t>NRC</w:t>
      </w:r>
      <w:r w:rsidR="00B9426D">
        <w:t xml:space="preserve"> expects that a</w:t>
      </w:r>
      <w:r w:rsidR="00091F19">
        <w:t xml:space="preserve"> change in </w:t>
      </w:r>
      <w:r w:rsidR="0061092B">
        <w:t>EPZ</w:t>
      </w:r>
      <w:r w:rsidR="0061092B">
        <w:t xml:space="preserve"> size determination </w:t>
      </w:r>
      <w:r w:rsidR="00B9426D">
        <w:t xml:space="preserve">has no </w:t>
      </w:r>
      <w:r w:rsidR="0061092B">
        <w:t xml:space="preserve">effect on public health (accident) </w:t>
      </w:r>
      <w:r w:rsidR="00B56A13">
        <w:t>because</w:t>
      </w:r>
      <w:r w:rsidR="0061092B">
        <w:t xml:space="preserve"> </w:t>
      </w:r>
      <w:r w:rsidR="00B56A13">
        <w:t>an equivalent</w:t>
      </w:r>
      <w:r w:rsidR="0061092B">
        <w:t xml:space="preserve"> level of safety </w:t>
      </w:r>
      <w:r w:rsidR="00B56A13">
        <w:t>is</w:t>
      </w:r>
      <w:r w:rsidR="0061092B">
        <w:t xml:space="preserve"> maintained, therefore </w:t>
      </w:r>
      <w:r w:rsidR="003D774B">
        <w:t xml:space="preserve">the public health (accident) </w:t>
      </w:r>
      <w:r w:rsidR="0061092B">
        <w:t>attribute was also not analyzed further.</w:t>
      </w:r>
    </w:p>
    <w:p w:rsidR="009128E1" w:rsidRPr="007028AC" w:rsidP="008440FA" w14:paraId="6B318295" w14:textId="5209317C">
      <w:pPr>
        <w:pStyle w:val="ListParagraph"/>
        <w:spacing w:line="240" w:lineRule="auto"/>
      </w:pPr>
    </w:p>
    <w:p w:rsidR="009128E1" w:rsidRPr="00461295" w:rsidP="008440FA" w14:paraId="656B8902" w14:textId="77777777">
      <w:pPr>
        <w:pStyle w:val="Heading2"/>
        <w:spacing w:line="240" w:lineRule="auto"/>
      </w:pPr>
      <w:bookmarkStart w:id="69" w:name="_Toc456098218"/>
      <w:bookmarkStart w:id="70" w:name="_Toc70669495"/>
      <w:bookmarkStart w:id="71" w:name="_Toc85198594"/>
      <w:r>
        <w:t>4.2</w:t>
      </w:r>
      <w:r>
        <w:tab/>
      </w:r>
      <w:bookmarkStart w:id="72" w:name="_Toc457827231"/>
      <w:r w:rsidRPr="00461295">
        <w:t>Analytical Methodology</w:t>
      </w:r>
      <w:bookmarkEnd w:id="69"/>
      <w:bookmarkEnd w:id="70"/>
      <w:bookmarkEnd w:id="71"/>
      <w:bookmarkEnd w:id="72"/>
    </w:p>
    <w:p w:rsidR="009128E1" w:rsidRPr="00044B76" w:rsidP="008440FA" w14:paraId="69740DBB" w14:textId="77777777">
      <w:pPr>
        <w:keepNext/>
        <w:spacing w:line="240" w:lineRule="auto"/>
      </w:pPr>
    </w:p>
    <w:p w:rsidR="009128E1" w:rsidRPr="00044B76" w:rsidP="008440FA" w14:paraId="243FB061" w14:textId="238A2EFE">
      <w:pPr>
        <w:spacing w:line="240" w:lineRule="auto"/>
      </w:pPr>
      <w:r w:rsidRPr="00044B76">
        <w:t>This section describes the process used to evaluate costs</w:t>
      </w:r>
      <w:r>
        <w:t xml:space="preserve"> and benefits</w:t>
      </w:r>
      <w:r w:rsidRPr="00044B76">
        <w:t xml:space="preserve"> associated with the alternatives.  The </w:t>
      </w:r>
      <w:r w:rsidRPr="00044B76">
        <w:rPr>
          <w:iCs/>
        </w:rPr>
        <w:t>benefits</w:t>
      </w:r>
      <w:r w:rsidRPr="00044B76">
        <w:t xml:space="preserve"> include any desirable changes in affected attributes (e.g.,</w:t>
      </w:r>
      <w:r w:rsidR="00380AEA">
        <w:t> </w:t>
      </w:r>
      <w:r w:rsidRPr="00044B76">
        <w:t xml:space="preserve">monetary savings, improved safety, and improved security).  The </w:t>
      </w:r>
      <w:r w:rsidRPr="00044B76">
        <w:rPr>
          <w:iCs/>
        </w:rPr>
        <w:t>costs</w:t>
      </w:r>
      <w:r w:rsidRPr="00044B76">
        <w:t xml:space="preserve"> include any undesirable changes in affected attributes (e.g.,</w:t>
      </w:r>
      <w:r w:rsidR="00380AEA">
        <w:t> </w:t>
      </w:r>
      <w:r w:rsidRPr="00044B76">
        <w:t>monetary costs, increased exposures).</w:t>
      </w:r>
    </w:p>
    <w:p w:rsidR="009128E1" w:rsidRPr="00044B76" w:rsidP="008440FA" w14:paraId="3A5E2CDD" w14:textId="77777777">
      <w:pPr>
        <w:spacing w:line="240" w:lineRule="auto"/>
      </w:pPr>
    </w:p>
    <w:p w:rsidR="009128E1" w:rsidRPr="006C11AF" w:rsidP="008440FA" w14:paraId="49EBF9E5" w14:textId="5EFD7EF7">
      <w:pPr>
        <w:spacing w:line="240" w:lineRule="auto"/>
      </w:pPr>
      <w:r w:rsidRPr="00044B76">
        <w:t xml:space="preserve">Of the </w:t>
      </w:r>
      <w:r w:rsidR="00C8444B">
        <w:t>five</w:t>
      </w:r>
      <w:r>
        <w:t> </w:t>
      </w:r>
      <w:r w:rsidRPr="00044B76">
        <w:t xml:space="preserve">affected attributes, the analysis evaluates </w:t>
      </w:r>
      <w:r w:rsidR="00337F51">
        <w:t>three</w:t>
      </w:r>
      <w:r>
        <w:t> </w:t>
      </w:r>
      <w:r w:rsidRPr="00044B76">
        <w:t>attributes</w:t>
      </w:r>
      <w:r>
        <w:t>—</w:t>
      </w:r>
      <w:r w:rsidR="000601E7">
        <w:t>(</w:t>
      </w:r>
      <w:r w:rsidR="000601E7">
        <w:t>1</w:t>
      </w:r>
      <w:r w:rsidR="00A615FC">
        <w:t>) </w:t>
      </w:r>
      <w:r>
        <w:t xml:space="preserve">industry operation, </w:t>
      </w:r>
      <w:r w:rsidR="000601E7">
        <w:t>(2</w:t>
      </w:r>
      <w:r w:rsidR="00A615FC">
        <w:t>) </w:t>
      </w:r>
      <w:r w:rsidR="00337F51">
        <w:t>NRC implementation</w:t>
      </w:r>
      <w:r w:rsidR="004D4BA9">
        <w:t>,</w:t>
      </w:r>
      <w:r w:rsidR="00337F51">
        <w:t xml:space="preserve"> and </w:t>
      </w:r>
      <w:r w:rsidR="000601E7">
        <w:t>(3</w:t>
      </w:r>
      <w:r w:rsidR="00A615FC">
        <w:t>) </w:t>
      </w:r>
      <w:r w:rsidRPr="00044B76">
        <w:t>NRC operation</w:t>
      </w:r>
      <w:r>
        <w:t>—</w:t>
      </w:r>
      <w:r w:rsidRPr="00044B76">
        <w:t xml:space="preserve">on a quantitative basis.  Quantitative analysis requires a baseline characterization of the affected society, including factors such as the number of affected entities, the nature of the activities currently </w:t>
      </w:r>
      <w:r>
        <w:t>performed</w:t>
      </w:r>
      <w:r w:rsidRPr="00044B76">
        <w:t xml:space="preserve">, and the types of systems and procedures that </w:t>
      </w:r>
      <w:r w:rsidR="00241E55">
        <w:t xml:space="preserve">applicants or </w:t>
      </w:r>
      <w:r w:rsidRPr="00044B76">
        <w:t xml:space="preserve">licensees would </w:t>
      </w:r>
      <w:r w:rsidR="00CF201E">
        <w:t>consider</w:t>
      </w:r>
      <w:r w:rsidRPr="00044B76" w:rsidR="00CF201E">
        <w:t xml:space="preserve"> </w:t>
      </w:r>
      <w:r w:rsidRPr="00044B76">
        <w:t xml:space="preserve">or </w:t>
      </w:r>
      <w:r>
        <w:t xml:space="preserve">would </w:t>
      </w:r>
      <w:r w:rsidRPr="00044B76">
        <w:t xml:space="preserve">no longer implement because of the alternatives.  </w:t>
      </w:r>
      <w:r>
        <w:t xml:space="preserve">Where possible, the </w:t>
      </w:r>
      <w:r w:rsidR="003971A5">
        <w:t>NRC</w:t>
      </w:r>
      <w:r>
        <w:t xml:space="preserve"> calculated costs for </w:t>
      </w:r>
      <w:r w:rsidR="00337F51">
        <w:t xml:space="preserve">these </w:t>
      </w:r>
      <w:r>
        <w:t>attributes using three</w:t>
      </w:r>
      <w:r w:rsidR="00DF5F1A">
        <w:noBreakHyphen/>
      </w:r>
      <w:r>
        <w:t xml:space="preserve">point estimates to quantify the uncertainty.  </w:t>
      </w:r>
      <w:r w:rsidR="00E06792">
        <w:t xml:space="preserve">One variable uses a geometric estimate and another a discreet estimate, instead.  </w:t>
      </w:r>
      <w:r>
        <w:t>The individual sections for each of the provisions</w:t>
      </w:r>
      <w:r w:rsidR="00C06E43">
        <w:t xml:space="preserve"> include the detailed cost tables that the </w:t>
      </w:r>
      <w:r w:rsidR="003971A5">
        <w:t>NRC</w:t>
      </w:r>
      <w:r w:rsidR="00C06E43">
        <w:t xml:space="preserve"> used in this regulatory analysis</w:t>
      </w:r>
      <w:r>
        <w:t xml:space="preserve">.  </w:t>
      </w:r>
      <w:r w:rsidRPr="00044B76">
        <w:t xml:space="preserve">The </w:t>
      </w:r>
      <w:r w:rsidR="003971A5">
        <w:t>NRC</w:t>
      </w:r>
      <w:r>
        <w:t xml:space="preserve"> evaluated the </w:t>
      </w:r>
      <w:r w:rsidRPr="00044B76">
        <w:t xml:space="preserve">remaining </w:t>
      </w:r>
      <w:r w:rsidR="00EF685B">
        <w:t>two</w:t>
      </w:r>
      <w:r w:rsidRPr="00044B76">
        <w:t xml:space="preserve"> attributes on a qualitative basis because the benefits relat</w:t>
      </w:r>
      <w:r w:rsidR="0073537E">
        <w:t>ed</w:t>
      </w:r>
      <w:r w:rsidRPr="00044B76">
        <w:t xml:space="preserve"> to consistent policy application </w:t>
      </w:r>
      <w:r>
        <w:t xml:space="preserve">are not quantifiable or because the data necessary to quantify and monetize </w:t>
      </w:r>
      <w:r w:rsidRPr="006C11AF">
        <w:t>the impacts on these attributes</w:t>
      </w:r>
      <w:r>
        <w:t xml:space="preserve"> are not available</w:t>
      </w:r>
      <w:r w:rsidRPr="006C11AF">
        <w:t>.</w:t>
      </w:r>
    </w:p>
    <w:p w:rsidR="009128E1" w:rsidRPr="006C11AF" w:rsidP="008440FA" w14:paraId="7CDE9756" w14:textId="77777777">
      <w:pPr>
        <w:spacing w:line="240" w:lineRule="auto"/>
      </w:pPr>
    </w:p>
    <w:p w:rsidR="009128E1" w:rsidP="008440FA" w14:paraId="0260B396" w14:textId="19C221DA">
      <w:pPr>
        <w:spacing w:line="240" w:lineRule="auto"/>
      </w:pPr>
      <w:r>
        <w:t xml:space="preserve">The </w:t>
      </w:r>
      <w:r w:rsidR="003971A5">
        <w:t>NRC</w:t>
      </w:r>
      <w:r>
        <w:t xml:space="preserve"> documents its assumptions throughout this regulatory analysis.  A</w:t>
      </w:r>
      <w:r w:rsidR="00C06E43">
        <w:t>ppendix B to this regulatory analysis summarizes the</w:t>
      </w:r>
      <w:r>
        <w:t xml:space="preserve"> key assumptions and inputs</w:t>
      </w:r>
      <w:r w:rsidRPr="006C11AF">
        <w:t>.</w:t>
      </w:r>
    </w:p>
    <w:p w:rsidR="009128E1" w:rsidP="008440FA" w14:paraId="52D61FFD" w14:textId="77777777">
      <w:pPr>
        <w:spacing w:line="240" w:lineRule="auto"/>
      </w:pPr>
    </w:p>
    <w:p w:rsidR="009128E1" w:rsidRPr="004D0C3A" w:rsidP="008440FA" w14:paraId="7B9603FA" w14:textId="77777777">
      <w:pPr>
        <w:pStyle w:val="Heading3"/>
        <w:keepLines/>
        <w:tabs>
          <w:tab w:val="left" w:pos="720"/>
        </w:tabs>
        <w:spacing w:line="240" w:lineRule="auto"/>
      </w:pPr>
      <w:bookmarkStart w:id="73" w:name="_Toc456098219"/>
      <w:bookmarkStart w:id="74" w:name="_Toc70669496"/>
      <w:bookmarkStart w:id="75" w:name="_Toc85198595"/>
      <w:r>
        <w:t>4.2.1</w:t>
      </w:r>
      <w:r>
        <w:tab/>
      </w:r>
      <w:bookmarkStart w:id="76" w:name="_Toc457827232"/>
      <w:r w:rsidRPr="004D0C3A">
        <w:t>Regulatory Baseline</w:t>
      </w:r>
      <w:bookmarkEnd w:id="73"/>
      <w:bookmarkEnd w:id="74"/>
      <w:bookmarkEnd w:id="75"/>
      <w:bookmarkEnd w:id="76"/>
    </w:p>
    <w:p w:rsidR="009128E1" w:rsidRPr="004D0C3A" w:rsidP="008440FA" w14:paraId="45238136" w14:textId="77777777">
      <w:pPr>
        <w:keepNext/>
        <w:keepLines/>
        <w:spacing w:line="240" w:lineRule="auto"/>
      </w:pPr>
    </w:p>
    <w:p w:rsidR="009128E1" w:rsidP="008440FA" w14:paraId="7E20C3F6" w14:textId="7A1514B3">
      <w:pPr>
        <w:spacing w:line="240" w:lineRule="auto"/>
      </w:pPr>
      <w:r w:rsidRPr="004D0C3A">
        <w:t>This regulatory analysis provides the incremental impacts of t</w:t>
      </w:r>
      <w:r>
        <w:t xml:space="preserve">he </w:t>
      </w:r>
      <w:r w:rsidR="00771861">
        <w:t>final</w:t>
      </w:r>
      <w:r>
        <w:t xml:space="preserve"> rule relative to a </w:t>
      </w:r>
      <w:r w:rsidRPr="004D0C3A">
        <w:t>baseline that reflects anticipated behavior i</w:t>
      </w:r>
      <w:r w:rsidR="00F23906">
        <w:t>f</w:t>
      </w:r>
      <w:r w:rsidRPr="004D0C3A">
        <w:t xml:space="preserve"> </w:t>
      </w:r>
      <w:r>
        <w:t xml:space="preserve">the </w:t>
      </w:r>
      <w:r w:rsidRPr="004D0C3A">
        <w:t xml:space="preserve">NRC </w:t>
      </w:r>
      <w:r>
        <w:t xml:space="preserve">does not </w:t>
      </w:r>
      <w:r w:rsidRPr="004D0C3A">
        <w:t xml:space="preserve">undertake regulatory or nonregulatory action.  </w:t>
      </w:r>
      <w:r>
        <w:t>The regulatory baseline assumes full compliance with existing NRC requirements, including current re</w:t>
      </w:r>
      <w:r w:rsidR="004B3496">
        <w:t xml:space="preserve">gulations and relevant orders. </w:t>
      </w:r>
      <w:r w:rsidR="00720C86">
        <w:t xml:space="preserve"> </w:t>
      </w:r>
      <w:r w:rsidRPr="006C11AF">
        <w:t>Section</w:t>
      </w:r>
      <w:r w:rsidR="00C903F1">
        <w:t> </w:t>
      </w:r>
      <w:r>
        <w:fldChar w:fldCharType="begin"/>
      </w:r>
      <w:r>
        <w:instrText xml:space="preserve"> REF _Ref393196136 \r \h  \* MERGEFORMAT </w:instrText>
      </w:r>
      <w:r>
        <w:fldChar w:fldCharType="separate"/>
      </w:r>
      <w:r w:rsidR="004634A0">
        <w:t>5</w:t>
      </w:r>
      <w:r>
        <w:fldChar w:fldCharType="end"/>
      </w:r>
      <w:r w:rsidRPr="004D0C3A">
        <w:t xml:space="preserve"> of this regulatory analysis pre</w:t>
      </w:r>
      <w:r w:rsidR="004B3496">
        <w:t xml:space="preserve">sents the estimated </w:t>
      </w:r>
      <w:r w:rsidRPr="004D0C3A">
        <w:t>costs and benefits of the alternatives relative to this baseline.</w:t>
      </w:r>
    </w:p>
    <w:p w:rsidR="009128E1" w:rsidRPr="004D0C3A" w:rsidP="008440FA" w14:paraId="4A0AC248" w14:textId="77777777">
      <w:pPr>
        <w:spacing w:line="240" w:lineRule="auto"/>
      </w:pPr>
    </w:p>
    <w:p w:rsidR="009128E1" w:rsidRPr="004D0C3A" w:rsidP="008440FA" w14:paraId="19CC1F32" w14:textId="77777777">
      <w:pPr>
        <w:pStyle w:val="Heading3"/>
        <w:tabs>
          <w:tab w:val="left" w:pos="720"/>
        </w:tabs>
        <w:spacing w:line="240" w:lineRule="auto"/>
      </w:pPr>
      <w:bookmarkStart w:id="77" w:name="_Toc456098220"/>
      <w:bookmarkStart w:id="78" w:name="_Toc70669497"/>
      <w:bookmarkStart w:id="79" w:name="_Toc85198596"/>
      <w:r>
        <w:t>4.2.2</w:t>
      </w:r>
      <w:r>
        <w:tab/>
      </w:r>
      <w:bookmarkStart w:id="80" w:name="_Toc457827233"/>
      <w:r w:rsidRPr="004D0C3A">
        <w:t>Affected Entities</w:t>
      </w:r>
      <w:bookmarkEnd w:id="77"/>
      <w:bookmarkEnd w:id="78"/>
      <w:bookmarkEnd w:id="79"/>
      <w:bookmarkEnd w:id="80"/>
    </w:p>
    <w:p w:rsidR="009128E1" w:rsidP="008440FA" w14:paraId="46D58F3D" w14:textId="77777777">
      <w:pPr>
        <w:keepNext/>
        <w:spacing w:line="240" w:lineRule="auto"/>
      </w:pPr>
    </w:p>
    <w:p w:rsidR="00000874" w:rsidP="008440FA" w14:paraId="0EBE7641" w14:textId="649AB8CF">
      <w:pPr>
        <w:keepNext/>
        <w:spacing w:line="240" w:lineRule="auto"/>
      </w:pPr>
      <w:r>
        <w:t xml:space="preserve">The </w:t>
      </w:r>
      <w:r w:rsidR="00223D85">
        <w:t xml:space="preserve">NRC estimates that the </w:t>
      </w:r>
      <w:r>
        <w:t>final rule affect</w:t>
      </w:r>
      <w:r w:rsidR="00260E27">
        <w:t>s</w:t>
      </w:r>
      <w:r>
        <w:t xml:space="preserve"> 12</w:t>
      </w:r>
      <w:r w:rsidR="00FC53FD">
        <w:t xml:space="preserve"> </w:t>
      </w:r>
      <w:r w:rsidR="00490B50">
        <w:t xml:space="preserve">applicants who </w:t>
      </w:r>
      <w:r w:rsidR="00860DD1">
        <w:t xml:space="preserve">plan to submit </w:t>
      </w:r>
      <w:r w:rsidR="00DF427A">
        <w:t xml:space="preserve">license </w:t>
      </w:r>
      <w:r w:rsidR="00860DD1">
        <w:t xml:space="preserve">applications </w:t>
      </w:r>
      <w:r w:rsidR="00BC74D2">
        <w:t>for SMRs or ONTs over</w:t>
      </w:r>
      <w:r w:rsidR="00860DD1">
        <w:t xml:space="preserve"> the next several years</w:t>
      </w:r>
      <w:r w:rsidR="00FC53FD">
        <w:t xml:space="preserve">. </w:t>
      </w:r>
      <w:r>
        <w:t xml:space="preserve"> The NRC is not providing t</w:t>
      </w:r>
      <w:r w:rsidR="007B3EA5">
        <w:t xml:space="preserve">he names, companies, technologies, locations, </w:t>
      </w:r>
      <w:r w:rsidR="001749CF">
        <w:t xml:space="preserve">or </w:t>
      </w:r>
      <w:r w:rsidR="007B3EA5">
        <w:t>other identifying information for t</w:t>
      </w:r>
      <w:r w:rsidR="00FC53FD">
        <w:t xml:space="preserve">hese </w:t>
      </w:r>
      <w:r w:rsidRPr="00FC53FD" w:rsidR="00FC53FD">
        <w:t>SMR</w:t>
      </w:r>
      <w:r w:rsidR="00FC53FD">
        <w:t>s</w:t>
      </w:r>
      <w:r w:rsidRPr="00FC53FD" w:rsidR="00FC53FD">
        <w:t xml:space="preserve"> and ONT</w:t>
      </w:r>
      <w:r w:rsidR="00FC53FD">
        <w:t>s</w:t>
      </w:r>
      <w:r w:rsidRPr="00FC53FD" w:rsidR="00FC53FD">
        <w:t xml:space="preserve"> </w:t>
      </w:r>
      <w:r w:rsidR="007B3EA5">
        <w:t xml:space="preserve">because </w:t>
      </w:r>
      <w:r w:rsidR="00E557C4">
        <w:t xml:space="preserve">this information is </w:t>
      </w:r>
      <w:r w:rsidRPr="00FC53FD" w:rsidR="00E557C4">
        <w:t xml:space="preserve">proprietary </w:t>
      </w:r>
      <w:r w:rsidRPr="00FC53FD" w:rsidR="00E557C4">
        <w:t>at this time</w:t>
      </w:r>
      <w:r w:rsidRPr="00FC53FD" w:rsidR="00FC53FD">
        <w:t>.</w:t>
      </w:r>
      <w:r w:rsidR="0014628A">
        <w:t xml:space="preserve">  </w:t>
      </w:r>
      <w:r w:rsidRPr="00BE0CCE" w:rsidR="00EF685B">
        <w:t>Currently</w:t>
      </w:r>
      <w:r w:rsidR="00F637A1">
        <w:t>,</w:t>
      </w:r>
      <w:r w:rsidRPr="00BE0CCE" w:rsidR="00EF685B">
        <w:t xml:space="preserve"> </w:t>
      </w:r>
      <w:r>
        <w:t>the NRC</w:t>
      </w:r>
      <w:r w:rsidRPr="00BE0CCE" w:rsidR="00EF685B">
        <w:t xml:space="preserve"> expect</w:t>
      </w:r>
      <w:r>
        <w:t>s</w:t>
      </w:r>
      <w:r w:rsidRPr="00BE0CCE" w:rsidR="00EF685B">
        <w:t xml:space="preserve"> that </w:t>
      </w:r>
      <w:r w:rsidR="00A9361F">
        <w:t>9</w:t>
      </w:r>
      <w:r w:rsidRPr="00BE0CCE" w:rsidR="00EF685B">
        <w:t xml:space="preserve"> </w:t>
      </w:r>
      <w:r w:rsidRPr="00BE0CCE" w:rsidR="00FC53FD">
        <w:t xml:space="preserve">of these </w:t>
      </w:r>
      <w:r>
        <w:t>12</w:t>
      </w:r>
      <w:r w:rsidRPr="00BE0CCE" w:rsidR="00FC53FD">
        <w:t xml:space="preserve"> </w:t>
      </w:r>
      <w:r w:rsidRPr="00BE0CCE" w:rsidR="00EF685B">
        <w:t xml:space="preserve">SMRs and ONTs will </w:t>
      </w:r>
      <w:r w:rsidRPr="00BE0CCE" w:rsidR="00204B17">
        <w:t xml:space="preserve">each </w:t>
      </w:r>
      <w:r w:rsidRPr="00BE0CCE" w:rsidR="00EF685B">
        <w:t>submit a</w:t>
      </w:r>
      <w:r w:rsidRPr="00BE0CCE" w:rsidR="00F730E7">
        <w:t xml:space="preserve"> license </w:t>
      </w:r>
      <w:r w:rsidRPr="00BE0CCE" w:rsidR="00EF685B">
        <w:t xml:space="preserve">application after the rule goes into effect in </w:t>
      </w:r>
      <w:r w:rsidR="004F3F0D">
        <w:t>2022</w:t>
      </w:r>
      <w:r w:rsidR="008445CD">
        <w:t>.</w:t>
      </w:r>
      <w:r w:rsidR="004F3F0D">
        <w:t xml:space="preserve"> </w:t>
      </w:r>
      <w:r w:rsidR="00CB4448">
        <w:t>(</w:t>
      </w:r>
      <w:r w:rsidR="00EB3801">
        <w:t>One applicant</w:t>
      </w:r>
      <w:r w:rsidR="00CB4448">
        <w:t xml:space="preserve"> </w:t>
      </w:r>
      <w:r w:rsidR="00EB3801">
        <w:t>already</w:t>
      </w:r>
      <w:r w:rsidR="00CB4448">
        <w:t xml:space="preserve"> has submitted its application</w:t>
      </w:r>
      <w:r w:rsidR="00F761E3">
        <w:t xml:space="preserve">, and the NRC expects </w:t>
      </w:r>
      <w:r w:rsidR="00D522DE">
        <w:t xml:space="preserve">that </w:t>
      </w:r>
      <w:r w:rsidR="005A410A">
        <w:t xml:space="preserve">2 </w:t>
      </w:r>
      <w:r w:rsidR="007D3966">
        <w:t>other</w:t>
      </w:r>
      <w:r w:rsidR="00491EC1">
        <w:t xml:space="preserve"> </w:t>
      </w:r>
      <w:r w:rsidR="00F761E3">
        <w:t xml:space="preserve">applications submitted prior to publication of the final rule will request a </w:t>
      </w:r>
      <w:r w:rsidR="00FB4AB5">
        <w:t>plume exposure pathway</w:t>
      </w:r>
      <w:r w:rsidR="00F761E3">
        <w:t xml:space="preserve"> </w:t>
      </w:r>
      <w:r w:rsidR="00F761E3">
        <w:t>EPZ</w:t>
      </w:r>
      <w:r w:rsidR="00FB4AB5">
        <w:t xml:space="preserve"> of less than 10 miles</w:t>
      </w:r>
      <w:r w:rsidR="00F761E3">
        <w:t xml:space="preserve"> using the exemption request process</w:t>
      </w:r>
      <w:r w:rsidR="008445CD">
        <w:t>.</w:t>
      </w:r>
      <w:r w:rsidR="00CB4448">
        <w:t>)</w:t>
      </w:r>
      <w:r w:rsidRPr="00BE0CCE" w:rsidR="004F1485">
        <w:t xml:space="preserve">  </w:t>
      </w:r>
      <w:r w:rsidRPr="00BE0CCE" w:rsidR="00F32E04">
        <w:t xml:space="preserve">Based on current </w:t>
      </w:r>
      <w:r w:rsidRPr="00BE0CCE" w:rsidR="00F32E04">
        <w:t xml:space="preserve">information, the </w:t>
      </w:r>
      <w:r w:rsidRPr="00BE0CCE" w:rsidR="003971A5">
        <w:t>NRC</w:t>
      </w:r>
      <w:r w:rsidRPr="00BE0CCE" w:rsidR="00F32E04">
        <w:t xml:space="preserve"> expects </w:t>
      </w:r>
      <w:r w:rsidR="00C21C43">
        <w:t xml:space="preserve">9 </w:t>
      </w:r>
      <w:r w:rsidR="00C70DA7">
        <w:t xml:space="preserve">other </w:t>
      </w:r>
      <w:r w:rsidRPr="00BE0CCE" w:rsidR="00F32E04">
        <w:t>application</w:t>
      </w:r>
      <w:r w:rsidRPr="00BE0CCE">
        <w:t>s</w:t>
      </w:r>
      <w:r w:rsidRPr="00BE0CCE" w:rsidR="00940344">
        <w:t xml:space="preserve"> </w:t>
      </w:r>
      <w:r w:rsidR="00777AE8">
        <w:t xml:space="preserve">to </w:t>
      </w:r>
      <w:r w:rsidRPr="00BE0CCE" w:rsidR="00940344">
        <w:t xml:space="preserve">be submitted </w:t>
      </w:r>
      <w:r>
        <w:t>in the</w:t>
      </w:r>
      <w:r w:rsidRPr="00BE0CCE" w:rsidR="00940344">
        <w:t xml:space="preserve"> 202</w:t>
      </w:r>
      <w:r w:rsidR="00F36CB3">
        <w:t>2</w:t>
      </w:r>
      <w:r w:rsidRPr="00BE0CCE" w:rsidR="00940344">
        <w:t xml:space="preserve"> </w:t>
      </w:r>
      <w:r>
        <w:t>through</w:t>
      </w:r>
      <w:r w:rsidRPr="00BE0CCE" w:rsidR="00940344">
        <w:t xml:space="preserve"> 202</w:t>
      </w:r>
      <w:r w:rsidR="00195036">
        <w:t>5</w:t>
      </w:r>
      <w:r>
        <w:t xml:space="preserve"> timeframe</w:t>
      </w:r>
      <w:r w:rsidRPr="00BE0CCE" w:rsidR="00F32E04">
        <w:t>.</w:t>
      </w:r>
      <w:r w:rsidRPr="00BE0CCE" w:rsidR="00F068FE">
        <w:t xml:space="preserve"> </w:t>
      </w:r>
      <w:r w:rsidRPr="00BE0CCE">
        <w:t xml:space="preserve"> </w:t>
      </w:r>
      <w:r w:rsidRPr="00BE0CCE" w:rsidR="009128E1">
        <w:t>T</w:t>
      </w:r>
      <w:r w:rsidRPr="00BE0CCE">
        <w:t>he regulatory analysis</w:t>
      </w:r>
      <w:r w:rsidRPr="00BE0CCE" w:rsidR="009128E1">
        <w:t xml:space="preserve"> </w:t>
      </w:r>
      <w:r w:rsidRPr="00BE0CCE" w:rsidR="00B42B2B">
        <w:t>incorporate</w:t>
      </w:r>
      <w:r>
        <w:t>s</w:t>
      </w:r>
      <w:r w:rsidRPr="00BE0CCE" w:rsidR="00B42B2B">
        <w:t xml:space="preserve"> </w:t>
      </w:r>
      <w:r w:rsidRPr="00BE0CCE" w:rsidR="009128E1">
        <w:t xml:space="preserve">the </w:t>
      </w:r>
      <w:r w:rsidR="00D87184">
        <w:t>submittal of</w:t>
      </w:r>
      <w:r w:rsidRPr="00BE0CCE" w:rsidR="009128E1">
        <w:t xml:space="preserve"> </w:t>
      </w:r>
      <w:r>
        <w:t>12</w:t>
      </w:r>
      <w:r w:rsidRPr="00BE0CCE" w:rsidR="00B42B2B">
        <w:t xml:space="preserve"> </w:t>
      </w:r>
      <w:r w:rsidR="00D01097">
        <w:t>applications</w:t>
      </w:r>
      <w:r w:rsidRPr="00BE0CCE" w:rsidR="00D01097">
        <w:t xml:space="preserve"> </w:t>
      </w:r>
      <w:r w:rsidR="00D87184">
        <w:t xml:space="preserve">as input </w:t>
      </w:r>
      <w:r w:rsidRPr="00BE0CCE" w:rsidR="00B42B2B">
        <w:t>in</w:t>
      </w:r>
      <w:r w:rsidR="00D87184">
        <w:t>to</w:t>
      </w:r>
      <w:r w:rsidRPr="00BE0CCE" w:rsidR="00B42B2B">
        <w:t xml:space="preserve"> the cost model </w:t>
      </w:r>
      <w:r w:rsidRPr="00BE0CCE" w:rsidR="0007558B">
        <w:t xml:space="preserve">and </w:t>
      </w:r>
      <w:r w:rsidR="000D5BC1">
        <w:t>analyzes the impact if</w:t>
      </w:r>
      <w:r w:rsidRPr="00BE0CCE" w:rsidR="0007558B">
        <w:t xml:space="preserve"> some </w:t>
      </w:r>
      <w:r w:rsidR="007D7A2B">
        <w:t>applicants</w:t>
      </w:r>
      <w:r w:rsidR="009258B1">
        <w:t xml:space="preserve"> </w:t>
      </w:r>
      <w:r w:rsidRPr="00BE0CCE" w:rsidR="0007558B">
        <w:t>cancel</w:t>
      </w:r>
      <w:r>
        <w:t xml:space="preserve"> or delay</w:t>
      </w:r>
      <w:r w:rsidRPr="00BE0CCE" w:rsidR="0007558B">
        <w:t xml:space="preserve"> </w:t>
      </w:r>
      <w:r w:rsidRPr="00BE0CCE" w:rsidR="00A77154">
        <w:t>their applications</w:t>
      </w:r>
      <w:r w:rsidRPr="00BE0CCE" w:rsidR="009128E1">
        <w:t xml:space="preserve">.  </w:t>
      </w:r>
      <w:r w:rsidR="007B78C8">
        <w:t>If a</w:t>
      </w:r>
      <w:r w:rsidRPr="00BE0CCE" w:rsidR="00940344">
        <w:t xml:space="preserve">dditional SMR and ONT applications </w:t>
      </w:r>
      <w:r w:rsidR="007B78C8">
        <w:t>are</w:t>
      </w:r>
      <w:r w:rsidR="00FF1892">
        <w:t xml:space="preserve"> submitted</w:t>
      </w:r>
      <w:r w:rsidRPr="00BE0CCE" w:rsidR="00FF1892">
        <w:t xml:space="preserve"> </w:t>
      </w:r>
      <w:r w:rsidRPr="00BE0CCE" w:rsidR="00940344">
        <w:t xml:space="preserve">after </w:t>
      </w:r>
      <w:r w:rsidR="0075681F">
        <w:t>the final rule is published</w:t>
      </w:r>
      <w:r w:rsidRPr="00BE0CCE" w:rsidR="00940344">
        <w:t xml:space="preserve">, </w:t>
      </w:r>
      <w:r w:rsidR="004A0D5A">
        <w:t>th</w:t>
      </w:r>
      <w:r w:rsidR="00D9335C">
        <w:t>e</w:t>
      </w:r>
      <w:r w:rsidR="004A0D5A">
        <w:t xml:space="preserve">n </w:t>
      </w:r>
      <w:r w:rsidRPr="00BE0CCE" w:rsidR="00940344">
        <w:t xml:space="preserve">the </w:t>
      </w:r>
      <w:r w:rsidR="00404EED">
        <w:t xml:space="preserve">final rule </w:t>
      </w:r>
      <w:r w:rsidR="0013625D">
        <w:t>becomes</w:t>
      </w:r>
      <w:r w:rsidR="00404EED">
        <w:t xml:space="preserve"> even more cost beneficial</w:t>
      </w:r>
      <w:r w:rsidR="00AC13C6">
        <w:t xml:space="preserve"> with each </w:t>
      </w:r>
      <w:r w:rsidR="004A0D5A">
        <w:t xml:space="preserve">additional </w:t>
      </w:r>
      <w:r w:rsidR="00AC13C6">
        <w:t>applicant</w:t>
      </w:r>
      <w:r w:rsidRPr="00940344" w:rsidR="00940344">
        <w:t>.</w:t>
      </w:r>
    </w:p>
    <w:p w:rsidR="009128E1" w:rsidP="008440FA" w14:paraId="7C6B2317" w14:textId="77777777">
      <w:pPr>
        <w:spacing w:line="240" w:lineRule="auto"/>
      </w:pPr>
    </w:p>
    <w:p w:rsidR="009128E1" w:rsidP="008440FA" w14:paraId="352E2690" w14:textId="77777777">
      <w:pPr>
        <w:pStyle w:val="Heading3"/>
        <w:tabs>
          <w:tab w:val="left" w:pos="720"/>
        </w:tabs>
        <w:spacing w:line="240" w:lineRule="auto"/>
      </w:pPr>
      <w:bookmarkStart w:id="81" w:name="_Toc456098221"/>
      <w:bookmarkStart w:id="82" w:name="_Toc70669498"/>
      <w:bookmarkStart w:id="83" w:name="_Toc85198597"/>
      <w:r>
        <w:t>4.2.3</w:t>
      </w:r>
      <w:r>
        <w:tab/>
      </w:r>
      <w:bookmarkStart w:id="84" w:name="_Toc457827234"/>
      <w:r>
        <w:t>Base Year</w:t>
      </w:r>
      <w:bookmarkEnd w:id="81"/>
      <w:bookmarkEnd w:id="82"/>
      <w:bookmarkEnd w:id="83"/>
      <w:bookmarkEnd w:id="84"/>
    </w:p>
    <w:p w:rsidR="009128E1" w:rsidP="008440FA" w14:paraId="468A29DE" w14:textId="77777777">
      <w:pPr>
        <w:keepNext/>
        <w:spacing w:line="240" w:lineRule="auto"/>
      </w:pPr>
    </w:p>
    <w:p w:rsidR="009128E1" w:rsidP="008440FA" w14:paraId="3D751565" w14:textId="15270B68">
      <w:pPr>
        <w:spacing w:line="240" w:lineRule="auto"/>
      </w:pPr>
      <w:r>
        <w:t xml:space="preserve">All monetized costs are expressed in </w:t>
      </w:r>
      <w:r w:rsidR="00BC32B3">
        <w:t>202</w:t>
      </w:r>
      <w:r w:rsidR="00742DD4">
        <w:t>1</w:t>
      </w:r>
      <w:r>
        <w:t xml:space="preserve"> dollars.  </w:t>
      </w:r>
      <w:r w:rsidR="00FB3EE1">
        <w:t>The analysis assumes that o</w:t>
      </w:r>
      <w:r>
        <w:t xml:space="preserve">ngoing costs of operation related to the alternative being analyzed </w:t>
      </w:r>
      <w:r w:rsidR="00FB3EE1">
        <w:t>will</w:t>
      </w:r>
      <w:r>
        <w:t xml:space="preserve"> begin no earlier than 30</w:t>
      </w:r>
      <w:r w:rsidR="00D74EBF">
        <w:t> </w:t>
      </w:r>
      <w:r>
        <w:t xml:space="preserve">days after publication of the final rule in </w:t>
      </w:r>
      <w:r w:rsidRPr="001C5B83">
        <w:t xml:space="preserve">the </w:t>
      </w:r>
      <w:r w:rsidRPr="00581806" w:rsidR="001C5B83">
        <w:t>NRC’s regulations</w:t>
      </w:r>
      <w:r w:rsidRPr="001C5B83">
        <w:t xml:space="preserve"> unless</w:t>
      </w:r>
      <w:r>
        <w:t xml:space="preserve"> otherwise stated.  </w:t>
      </w:r>
      <w:r w:rsidR="007E4A88">
        <w:t>The analysis assumes</w:t>
      </w:r>
      <w:r w:rsidR="0052492F">
        <w:t xml:space="preserve"> that</w:t>
      </w:r>
      <w:r w:rsidR="007E4A88">
        <w:t xml:space="preserve"> the p</w:t>
      </w:r>
      <w:r>
        <w:t xml:space="preserve">ublication of the final rule </w:t>
      </w:r>
      <w:r w:rsidR="007E4A88">
        <w:t>will</w:t>
      </w:r>
      <w:r>
        <w:t xml:space="preserve"> occur in </w:t>
      </w:r>
      <w:r w:rsidR="0013502B">
        <w:t>2022</w:t>
      </w:r>
      <w:r>
        <w:t>.</w:t>
      </w:r>
    </w:p>
    <w:p w:rsidR="009128E1" w:rsidP="008440FA" w14:paraId="4FC2A52C" w14:textId="195E45CF">
      <w:pPr>
        <w:spacing w:line="240" w:lineRule="auto"/>
      </w:pPr>
    </w:p>
    <w:p w:rsidR="009128E1" w:rsidP="008440FA" w14:paraId="778C8403" w14:textId="42E19AAE">
      <w:pPr>
        <w:spacing w:line="240" w:lineRule="auto"/>
      </w:pPr>
      <w:r>
        <w:t xml:space="preserve">Estimates are made for </w:t>
      </w:r>
      <w:r w:rsidR="00043443">
        <w:t xml:space="preserve">applicant implementation and </w:t>
      </w:r>
      <w:r>
        <w:t xml:space="preserve">recurring annual operating expenses.  The values for annual operating expenses are modeled as a constant expense for each year of the analysis horizon.  The </w:t>
      </w:r>
      <w:r w:rsidR="003971A5">
        <w:t>NRC</w:t>
      </w:r>
      <w:r>
        <w:t xml:space="preserve"> performed a discounted cash flow calculation to discount these annual expenses to </w:t>
      </w:r>
      <w:r w:rsidR="00BC32B3">
        <w:t>202</w:t>
      </w:r>
      <w:r w:rsidR="00E76803">
        <w:t>1</w:t>
      </w:r>
      <w:r>
        <w:t> dollar</w:t>
      </w:r>
      <w:r>
        <w:t xml:space="preserve"> values.</w:t>
      </w:r>
    </w:p>
    <w:p w:rsidR="009128E1" w:rsidRPr="00044B76" w:rsidP="008440FA" w14:paraId="64B1523C" w14:textId="77777777">
      <w:pPr>
        <w:spacing w:line="240" w:lineRule="auto"/>
      </w:pPr>
    </w:p>
    <w:p w:rsidR="009128E1" w:rsidRPr="004D0C3A" w:rsidP="008440FA" w14:paraId="01ACBE6A" w14:textId="77777777">
      <w:pPr>
        <w:pStyle w:val="Heading3"/>
        <w:tabs>
          <w:tab w:val="left" w:pos="720"/>
        </w:tabs>
        <w:spacing w:line="240" w:lineRule="auto"/>
      </w:pPr>
      <w:bookmarkStart w:id="85" w:name="_Toc456098222"/>
      <w:bookmarkStart w:id="86" w:name="_Toc70669499"/>
      <w:bookmarkStart w:id="87" w:name="_Toc85198598"/>
      <w:r>
        <w:t>4.2.4</w:t>
      </w:r>
      <w:r>
        <w:tab/>
      </w:r>
      <w:bookmarkStart w:id="88" w:name="_Toc457827235"/>
      <w:r w:rsidRPr="004D0C3A">
        <w:t>Discount Rates</w:t>
      </w:r>
      <w:bookmarkEnd w:id="85"/>
      <w:bookmarkEnd w:id="86"/>
      <w:bookmarkEnd w:id="87"/>
      <w:bookmarkEnd w:id="88"/>
    </w:p>
    <w:p w:rsidR="009128E1" w:rsidRPr="004D0C3A" w:rsidP="008440FA" w14:paraId="5B118A39" w14:textId="77777777">
      <w:pPr>
        <w:keepNext/>
        <w:spacing w:line="240" w:lineRule="auto"/>
      </w:pPr>
    </w:p>
    <w:p w:rsidR="009128E1" w:rsidP="008440FA" w14:paraId="4AF0A2DF" w14:textId="0EC00240">
      <w:pPr>
        <w:spacing w:line="240" w:lineRule="auto"/>
      </w:pPr>
      <w:r w:rsidRPr="004D0C3A">
        <w:t>In</w:t>
      </w:r>
      <w:r w:rsidR="00C756C5">
        <w:t xml:space="preserve"> accordance with </w:t>
      </w:r>
      <w:r w:rsidR="00C756C5">
        <w:t>NUREG</w:t>
      </w:r>
      <w:r w:rsidR="00C756C5">
        <w:t>/BR</w:t>
      </w:r>
      <w:r w:rsidR="00C756C5">
        <w:noBreakHyphen/>
        <w:t>0058</w:t>
      </w:r>
      <w:r w:rsidRPr="00C756C5" w:rsidR="00C756C5">
        <w:t xml:space="preserve">, </w:t>
      </w:r>
      <w:r w:rsidR="00CB51C8">
        <w:t>net present value (</w:t>
      </w:r>
      <w:r>
        <w:t>NPV</w:t>
      </w:r>
      <w:r w:rsidR="00CB51C8">
        <w:t>)</w:t>
      </w:r>
      <w:r>
        <w:t xml:space="preserve"> </w:t>
      </w:r>
      <w:r w:rsidRPr="004D0C3A">
        <w:t>calculations are used to determine how much society w</w:t>
      </w:r>
      <w:r w:rsidR="002525C0">
        <w:t>ill</w:t>
      </w:r>
      <w:r w:rsidRPr="004D0C3A">
        <w:t xml:space="preserve"> need to invest today to ensure that the designated dollar amount is available</w:t>
      </w:r>
      <w:r>
        <w:t xml:space="preserve"> </w:t>
      </w:r>
      <w:r w:rsidR="00EE405E">
        <w:t>in a given</w:t>
      </w:r>
      <w:r w:rsidR="008906C2">
        <w:t xml:space="preserve"> year</w:t>
      </w:r>
      <w:r w:rsidR="00943A17">
        <w:t xml:space="preserve"> </w:t>
      </w:r>
      <w:r>
        <w:t xml:space="preserve">in the future. </w:t>
      </w:r>
      <w:r w:rsidRPr="004D0C3A">
        <w:t xml:space="preserve"> By using </w:t>
      </w:r>
      <w:r>
        <w:t>NPV</w:t>
      </w:r>
      <w:r w:rsidRPr="004D0C3A">
        <w:t>s, costs and benefits</w:t>
      </w:r>
      <w:r w:rsidR="00512697">
        <w:t xml:space="preserve"> </w:t>
      </w:r>
      <w:r w:rsidRPr="004D0C3A">
        <w:t>are valued to a reference year for comparison</w:t>
      </w:r>
      <w:r w:rsidR="00CB51C8">
        <w:t>,</w:t>
      </w:r>
      <w:r w:rsidR="00512697">
        <w:t xml:space="preserve"> </w:t>
      </w:r>
      <w:r w:rsidRPr="004D0C3A" w:rsidR="00512697">
        <w:t>regardless of when the cost or benefit is incurred in time</w:t>
      </w:r>
      <w:r w:rsidRPr="004D0C3A">
        <w:t>.</w:t>
      </w:r>
      <w:r>
        <w:t xml:space="preserve"> </w:t>
      </w:r>
      <w:r w:rsidRPr="004D0C3A">
        <w:t xml:space="preserve"> The choice of a discount rate and its associated conceptual basis is a topic of ongoing discussion within the Federal Government.  Based on </w:t>
      </w:r>
      <w:r>
        <w:t>U.S.</w:t>
      </w:r>
      <w:r w:rsidR="00CB51C8">
        <w:t> </w:t>
      </w:r>
      <w:r>
        <w:t>Office of Management and Budget (</w:t>
      </w:r>
      <w:r w:rsidRPr="004D0C3A">
        <w:t>OMB</w:t>
      </w:r>
      <w:r>
        <w:t>)</w:t>
      </w:r>
      <w:r w:rsidRPr="004D0C3A">
        <w:t xml:space="preserve"> Circular No.</w:t>
      </w:r>
      <w:r w:rsidR="00C12E4F">
        <w:t> </w:t>
      </w:r>
      <w:r w:rsidRPr="004D0C3A">
        <w:t>A</w:t>
      </w:r>
      <w:r w:rsidR="00C12E4F">
        <w:noBreakHyphen/>
      </w:r>
      <w:r w:rsidRPr="004D0C3A">
        <w:t>4</w:t>
      </w:r>
      <w:r w:rsidR="00445730">
        <w:t xml:space="preserve">, </w:t>
      </w:r>
      <w:r w:rsidRPr="00475B30" w:rsidR="00445730">
        <w:t>“Regulatory Analysis,” dated September 17, 2003</w:t>
      </w:r>
      <w:r w:rsidR="00475B30">
        <w:t xml:space="preserve"> </w:t>
      </w:r>
      <w:r>
        <w:t>(OMB, 2003)</w:t>
      </w:r>
      <w:r w:rsidR="003153AB">
        <w:t>,</w:t>
      </w:r>
      <w:r>
        <w:t xml:space="preserve"> </w:t>
      </w:r>
      <w:r w:rsidRPr="004D0C3A">
        <w:t xml:space="preserve">and consistent with NRC past practice and guidance, present-worth calculations </w:t>
      </w:r>
      <w:r>
        <w:t>in this analysis use</w:t>
      </w:r>
      <w:r w:rsidRPr="004D0C3A">
        <w:t xml:space="preserve"> </w:t>
      </w:r>
      <w:r>
        <w:t>3</w:t>
      </w:r>
      <w:r w:rsidR="00C12E4F">
        <w:noBreakHyphen/>
      </w:r>
      <w:r w:rsidRPr="004D0C3A">
        <w:t xml:space="preserve">percent and </w:t>
      </w:r>
      <w:r>
        <w:t>7</w:t>
      </w:r>
      <w:r w:rsidR="00C12E4F">
        <w:noBreakHyphen/>
      </w:r>
      <w:r w:rsidRPr="004D0C3A">
        <w:t>percent real discount rates.</w:t>
      </w:r>
      <w:r>
        <w:t xml:space="preserve"> </w:t>
      </w:r>
      <w:r w:rsidRPr="004D0C3A">
        <w:t xml:space="preserve"> A </w:t>
      </w:r>
      <w:r>
        <w:t>3</w:t>
      </w:r>
      <w:r w:rsidR="00C12E4F">
        <w:noBreakHyphen/>
      </w:r>
      <w:r w:rsidRPr="004D0C3A">
        <w:t xml:space="preserve">percent discount rate approximates the real rate of return on long-term </w:t>
      </w:r>
      <w:r w:rsidR="00C12E4F">
        <w:t>G</w:t>
      </w:r>
      <w:r w:rsidRPr="004D0C3A">
        <w:t xml:space="preserve">overnment debt, which serves as a proxy for the real rate of return on savings to reflect reliance on a social rate of time </w:t>
      </w:r>
      <w:r>
        <w:t>preference discounting concept.</w:t>
      </w:r>
      <w:r>
        <w:rPr>
          <w:rStyle w:val="FootnoteReference"/>
          <w:vertAlign w:val="superscript"/>
        </w:rPr>
        <w:footnoteReference w:id="5"/>
      </w:r>
      <w:r>
        <w:t xml:space="preserve"> </w:t>
      </w:r>
      <w:r w:rsidRPr="004D0C3A">
        <w:t xml:space="preserve"> A </w:t>
      </w:r>
      <w:r>
        <w:t>7</w:t>
      </w:r>
      <w:r w:rsidR="00C12E4F">
        <w:noBreakHyphen/>
      </w:r>
      <w:r w:rsidRPr="004D0C3A">
        <w:t>percent discount rate approximates the marginal pretax real rate of return on an average investment in the private sector</w:t>
      </w:r>
      <w:r w:rsidR="00512697">
        <w:t xml:space="preserve"> </w:t>
      </w:r>
      <w:r w:rsidRPr="004D0C3A">
        <w:t xml:space="preserve">and is the appropriate discount rate whenever the main effect of a regulation is to displace or alter the use of capital in the private sector.  A </w:t>
      </w:r>
      <w:r>
        <w:t>7</w:t>
      </w:r>
      <w:r w:rsidR="00C12E4F">
        <w:noBreakHyphen/>
      </w:r>
      <w:r w:rsidRPr="004D0C3A">
        <w:t>percent rate is consistent with an opportunity cost</w:t>
      </w:r>
      <w:r>
        <w:rPr>
          <w:rStyle w:val="FootnoteReference"/>
          <w:vertAlign w:val="superscript"/>
        </w:rPr>
        <w:footnoteReference w:id="6"/>
      </w:r>
      <w:r w:rsidRPr="004D0C3A">
        <w:t xml:space="preserve"> of capital concept to reflect the time value of resources directed to meet regulatory requirements.</w:t>
      </w:r>
    </w:p>
    <w:p w:rsidR="009128E1" w:rsidRPr="004D0C3A" w:rsidP="008440FA" w14:paraId="0CA520A7" w14:textId="77777777">
      <w:pPr>
        <w:spacing w:line="240" w:lineRule="auto"/>
      </w:pPr>
    </w:p>
    <w:p w:rsidR="009128E1" w:rsidP="008440FA" w14:paraId="35E25FC4" w14:textId="77777777">
      <w:pPr>
        <w:pStyle w:val="Heading3"/>
        <w:tabs>
          <w:tab w:val="left" w:pos="720"/>
        </w:tabs>
        <w:spacing w:line="240" w:lineRule="auto"/>
      </w:pPr>
      <w:bookmarkStart w:id="89" w:name="_Ref448229252"/>
      <w:bookmarkStart w:id="90" w:name="_Toc456098223"/>
      <w:bookmarkStart w:id="91" w:name="_Toc70669500"/>
      <w:bookmarkStart w:id="92" w:name="_Toc85198599"/>
      <w:r>
        <w:t>4.2.5</w:t>
      </w:r>
      <w:r>
        <w:tab/>
      </w:r>
      <w:bookmarkStart w:id="93" w:name="_Toc457827236"/>
      <w:r>
        <w:t>Cost/Benefit Inflators</w:t>
      </w:r>
      <w:bookmarkEnd w:id="89"/>
      <w:bookmarkEnd w:id="90"/>
      <w:bookmarkEnd w:id="91"/>
      <w:bookmarkEnd w:id="92"/>
      <w:bookmarkEnd w:id="93"/>
    </w:p>
    <w:p w:rsidR="009128E1" w:rsidP="008440FA" w14:paraId="4880A56A" w14:textId="77777777">
      <w:pPr>
        <w:keepNext/>
        <w:spacing w:line="240" w:lineRule="auto"/>
      </w:pPr>
    </w:p>
    <w:p w:rsidR="009128E1" w:rsidP="008440FA" w14:paraId="0A56AABA" w14:textId="029E2884">
      <w:pPr>
        <w:tabs>
          <w:tab w:val="left" w:pos="1080"/>
        </w:tabs>
        <w:spacing w:after="220" w:line="240" w:lineRule="auto"/>
      </w:pPr>
      <w:r>
        <w:t xml:space="preserve">The </w:t>
      </w:r>
      <w:r w:rsidR="003971A5">
        <w:t>NRC</w:t>
      </w:r>
      <w:r>
        <w:t xml:space="preserve"> estimated the analysis inputs from sources as referenced in Appendix</w:t>
      </w:r>
      <w:r w:rsidR="00C1581B">
        <w:t> </w:t>
      </w:r>
      <w:r>
        <w:t>B, which are provided in prior</w:t>
      </w:r>
      <w:r w:rsidR="009A2A18">
        <w:noBreakHyphen/>
      </w:r>
      <w:r>
        <w:t>year dollars.  To evaluate the costs and benefits consistently, these inputs are put into base</w:t>
      </w:r>
      <w:r w:rsidR="009A2A18">
        <w:noBreakHyphen/>
      </w:r>
      <w:r>
        <w:t xml:space="preserve">year dollars.  The most common inflator is the </w:t>
      </w:r>
      <w:r w:rsidR="00C1581B">
        <w:t>c</w:t>
      </w:r>
      <w:r>
        <w:t xml:space="preserve">onsumer </w:t>
      </w:r>
      <w:r w:rsidR="00C1581B">
        <w:t>p</w:t>
      </w:r>
      <w:r>
        <w:t xml:space="preserve">rice </w:t>
      </w:r>
      <w:r w:rsidR="00C1581B">
        <w:t>i</w:t>
      </w:r>
      <w:r>
        <w:t>ndex for all urban consumers (</w:t>
      </w:r>
      <w:r>
        <w:t>CPIU</w:t>
      </w:r>
      <w:r>
        <w:t xml:space="preserve">) developed by the U.S. Department of Labor, Bureau of Labor Statistics </w:t>
      </w:r>
      <w:r>
        <w:t>(BLS).  Using the CPI-U, the prior</w:t>
      </w:r>
      <w:r w:rsidR="00A35CF7">
        <w:t>-</w:t>
      </w:r>
      <w:r>
        <w:t xml:space="preserve">year dollars are converted to </w:t>
      </w:r>
      <w:r w:rsidR="00D34F86">
        <w:t>202</w:t>
      </w:r>
      <w:r w:rsidR="00E76803">
        <w:t>1</w:t>
      </w:r>
      <w:r w:rsidR="003E0336">
        <w:t xml:space="preserve"> </w:t>
      </w:r>
      <w:r>
        <w:t xml:space="preserve">dollars.  </w:t>
      </w:r>
      <w:r w:rsidR="00B44A69">
        <w:t xml:space="preserve">For 2021, the currently reported CPI-U values have been averaged together; the entirety of CPI-U for 2021 has not been determined by BLS.  </w:t>
      </w:r>
      <w:r>
        <w:t xml:space="preserve">The formula to determine the amount in </w:t>
      </w:r>
      <w:r w:rsidR="00D34F86">
        <w:t>202</w:t>
      </w:r>
      <w:r w:rsidR="00E76803">
        <w:t>1</w:t>
      </w:r>
      <w:r w:rsidR="003E0336">
        <w:t xml:space="preserve"> </w:t>
      </w:r>
      <w:r>
        <w:t>dollars is</w:t>
      </w:r>
      <w:r w:rsidR="009A2A18">
        <w:t xml:space="preserve"> as follows</w:t>
      </w:r>
      <w:r>
        <w:t>:</w:t>
      </w:r>
    </w:p>
    <w:p w:rsidR="009128E1" w:rsidP="008440FA" w14:paraId="39E06588" w14:textId="659AF690">
      <w:pPr>
        <w:spacing w:line="240" w:lineRule="auto"/>
      </w:pPr>
      <m:oMathPara>
        <m:oMath>
          <m:f>
            <m:fPr>
              <m:ctrlPr>
                <w:rPr>
                  <w:rFonts w:ascii="Cambria Math" w:hAnsi="Cambria Math"/>
                </w:rPr>
              </m:ctrlPr>
            </m:fPr>
            <m:num>
              <m:sSub>
                <m:sSubPr>
                  <m:ctrlPr>
                    <w:rPr>
                      <w:rFonts w:ascii="Cambria Math" w:hAnsi="Cambria Math"/>
                    </w:rPr>
                  </m:ctrlPr>
                </m:sSubPr>
                <m:e>
                  <m:r>
                    <w:rPr>
                      <w:rFonts w:ascii="Cambria Math" w:hAnsi="Cambria Math"/>
                    </w:rPr>
                    <m:t>CPI</m:t>
                  </m:r>
                  <m:r>
                    <m:rPr>
                      <m:sty m:val="p"/>
                    </m:rPr>
                    <w:rPr>
                      <w:rFonts w:ascii="Cambria Math" w:hAnsi="Cambria Math"/>
                    </w:rPr>
                    <m:t>-</m:t>
                  </m:r>
                  <m:r>
                    <w:rPr>
                      <w:rFonts w:ascii="Cambria Math" w:hAnsi="Cambria Math"/>
                    </w:rPr>
                    <m:t>U</m:t>
                  </m:r>
                </m:e>
                <m:sub>
                  <m:r>
                    <m:rPr>
                      <m:sty m:val="p"/>
                    </m:rPr>
                    <w:rPr>
                      <w:rFonts w:ascii="Cambria Math" w:hAnsi="Cambria Math"/>
                    </w:rPr>
                    <m:t>2021</m:t>
                  </m:r>
                </m:sub>
              </m:sSub>
            </m:num>
            <m:den>
              <m:sSub>
                <m:sSubPr>
                  <m:ctrlPr>
                    <w:rPr>
                      <w:rFonts w:ascii="Cambria Math" w:hAnsi="Cambria Math"/>
                    </w:rPr>
                  </m:ctrlPr>
                </m:sSubPr>
                <m:e>
                  <m:r>
                    <w:rPr>
                      <w:rFonts w:ascii="Cambria Math" w:hAnsi="Cambria Math"/>
                    </w:rPr>
                    <m:t>CPI</m:t>
                  </m:r>
                  <m:r>
                    <m:rPr>
                      <m:sty m:val="p"/>
                    </m:rPr>
                    <w:rPr>
                      <w:rFonts w:ascii="Cambria Math" w:hAnsi="Cambria Math"/>
                    </w:rPr>
                    <m:t>-</m:t>
                  </m:r>
                  <m:r>
                    <w:rPr>
                      <w:rFonts w:ascii="Cambria Math" w:hAnsi="Cambria Math"/>
                    </w:rPr>
                    <m:t>U</m:t>
                  </m:r>
                </m:e>
                <m:sub>
                  <m:r>
                    <w:rPr>
                      <w:rFonts w:ascii="Cambria Math" w:hAnsi="Cambria Math"/>
                    </w:rPr>
                    <m:t>Base</m:t>
                  </m:r>
                  <m:r>
                    <m:rPr>
                      <m:sty m:val="p"/>
                    </m:rPr>
                    <w:rPr>
                      <w:rFonts w:ascii="Cambria Math" w:hAnsi="Cambria Math"/>
                    </w:rPr>
                    <m:t xml:space="preserve"> </m:t>
                  </m:r>
                  <m:r>
                    <w:rPr>
                      <w:rFonts w:ascii="Cambria Math" w:hAnsi="Cambria Math"/>
                    </w:rPr>
                    <m:t>Year</m:t>
                  </m:r>
                </m:sub>
              </m:sSub>
            </m:den>
          </m:f>
          <m:r>
            <m:rPr>
              <m:sty m:val="p"/>
            </m:rPr>
            <w:rPr>
              <w:rFonts w:ascii="Cambria Math" w:hAnsi="Cambria Math"/>
            </w:rPr>
            <m:t xml:space="preserve"> </m:t>
          </m:r>
          <m:r>
            <w:rPr>
              <w:rFonts w:ascii="Cambria Math" w:hAnsi="Cambria Math"/>
            </w:rPr>
            <m:t>x</m:t>
          </m:r>
          <m:r>
            <m:rPr>
              <m:sty m:val="p"/>
            </m:rPr>
            <w:rPr>
              <w:rFonts w:ascii="Cambria Math" w:hAnsi="Cambria Math"/>
            </w:rPr>
            <m:t xml:space="preserve"> </m:t>
          </m:r>
          <m:sSub>
            <m:sSubPr>
              <m:ctrlPr>
                <w:rPr>
                  <w:rFonts w:ascii="Cambria Math" w:hAnsi="Cambria Math"/>
                </w:rPr>
              </m:ctrlPr>
            </m:sSubPr>
            <m:e>
              <m:r>
                <w:rPr>
                  <w:rFonts w:ascii="Cambria Math" w:hAnsi="Cambria Math"/>
                </w:rPr>
                <m:t>Value</m:t>
              </m:r>
            </m:e>
            <m:sub>
              <m:r>
                <w:rPr>
                  <w:rFonts w:ascii="Cambria Math" w:hAnsi="Cambria Math"/>
                </w:rPr>
                <m:t>Base</m:t>
              </m:r>
              <m:r>
                <m:rPr>
                  <m:sty m:val="p"/>
                </m:rPr>
                <w:rPr>
                  <w:rFonts w:ascii="Cambria Math" w:hAnsi="Cambria Math"/>
                </w:rPr>
                <m:t xml:space="preserve"> </m:t>
              </m:r>
              <m:r>
                <w:rPr>
                  <w:rFonts w:ascii="Cambria Math" w:hAnsi="Cambria Math"/>
                </w:rPr>
                <m:t>Year</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Value</m:t>
              </m:r>
            </m:e>
            <m:sub>
              <m:r>
                <m:rPr>
                  <m:sty m:val="p"/>
                </m:rPr>
                <w:rPr>
                  <w:rFonts w:ascii="Cambria Math" w:hAnsi="Cambria Math"/>
                </w:rPr>
                <m:t>2021</m:t>
              </m:r>
            </m:sub>
          </m:sSub>
        </m:oMath>
      </m:oMathPara>
    </w:p>
    <w:p w:rsidR="009128E1" w:rsidP="008440FA" w14:paraId="6C61067C" w14:textId="2669DA7A">
      <w:pPr>
        <w:autoSpaceDE/>
        <w:autoSpaceDN/>
        <w:adjustRightInd/>
        <w:spacing w:line="240" w:lineRule="auto"/>
      </w:pPr>
    </w:p>
    <w:p w:rsidR="009128E1" w:rsidRPr="002B7EA7" w:rsidP="008440FA" w14:paraId="5A382F3E" w14:textId="71CB95AD">
      <w:pPr>
        <w:spacing w:line="240" w:lineRule="auto"/>
      </w:pPr>
      <w:r>
        <w:fldChar w:fldCharType="begin"/>
      </w:r>
      <w:r>
        <w:instrText xml:space="preserve"> REF _Ref85198767 \h </w:instrText>
      </w:r>
      <w:r w:rsidR="004C6498">
        <w:instrText xml:space="preserve"> \* MERGEFORMAT </w:instrText>
      </w:r>
      <w:r>
        <w:fldChar w:fldCharType="separate"/>
      </w:r>
      <w:r w:rsidRPr="004C6498">
        <w:rPr>
          <w:bCs/>
        </w:rPr>
        <w:t xml:space="preserve">Table </w:t>
      </w:r>
      <w:r w:rsidRPr="004C6498">
        <w:rPr>
          <w:bCs/>
          <w:noProof/>
        </w:rPr>
        <w:t>1</w:t>
      </w:r>
      <w:r>
        <w:fldChar w:fldCharType="end"/>
      </w:r>
      <w:r w:rsidRPr="002B7EA7">
        <w:t xml:space="preserve"> summarizes the values of CPI-U used in this regulatory analysis.</w:t>
      </w:r>
    </w:p>
    <w:p w:rsidR="009128E1" w:rsidRPr="002B7EA7" w:rsidP="008440FA" w14:paraId="38793185" w14:textId="77777777">
      <w:pPr>
        <w:spacing w:line="240" w:lineRule="auto"/>
      </w:pPr>
    </w:p>
    <w:p w:rsidR="009128E1" w:rsidRPr="00581806" w:rsidP="008440FA" w14:paraId="1C6D868C" w14:textId="6D972ADA">
      <w:pPr>
        <w:pStyle w:val="Caption"/>
        <w:spacing w:after="120" w:line="240" w:lineRule="auto"/>
        <w:ind w:left="1080" w:hanging="1080"/>
        <w:jc w:val="center"/>
        <w:rPr>
          <w:b/>
        </w:rPr>
      </w:pPr>
      <w:bookmarkStart w:id="94" w:name="_Ref454874380"/>
      <w:bookmarkStart w:id="95" w:name="_Ref85198767"/>
      <w:bookmarkStart w:id="96" w:name="_Toc393790899"/>
      <w:bookmarkStart w:id="97" w:name="_Toc393791033"/>
      <w:bookmarkStart w:id="98" w:name="_Toc454442462"/>
      <w:bookmarkStart w:id="99" w:name="_Toc457827382"/>
      <w:bookmarkStart w:id="100" w:name="_Toc70669538"/>
      <w:bookmarkStart w:id="101" w:name="_Toc85198657"/>
      <w:r w:rsidRPr="00581806">
        <w:rPr>
          <w:b/>
        </w:rPr>
        <w:t xml:space="preserve">Table </w:t>
      </w:r>
      <w:bookmarkEnd w:id="94"/>
      <w:r w:rsidRPr="00581806" w:rsidR="000012A5">
        <w:rPr>
          <w:b/>
        </w:rPr>
        <w:fldChar w:fldCharType="begin"/>
      </w:r>
      <w:r w:rsidRPr="00581806" w:rsidR="000012A5">
        <w:rPr>
          <w:b/>
        </w:rPr>
        <w:instrText xml:space="preserve"> SEQ Table \* ARABIC </w:instrText>
      </w:r>
      <w:r w:rsidR="009E1AB6">
        <w:rPr>
          <w:b/>
        </w:rPr>
        <w:instrText>\r 1</w:instrText>
      </w:r>
      <w:r w:rsidRPr="00581806" w:rsidR="000012A5">
        <w:rPr>
          <w:b/>
        </w:rPr>
        <w:fldChar w:fldCharType="separate"/>
      </w:r>
      <w:r w:rsidR="004634A0">
        <w:rPr>
          <w:b/>
          <w:noProof/>
        </w:rPr>
        <w:t>1</w:t>
      </w:r>
      <w:r w:rsidRPr="00581806" w:rsidR="000012A5">
        <w:rPr>
          <w:b/>
          <w:noProof/>
        </w:rPr>
        <w:fldChar w:fldCharType="end"/>
      </w:r>
      <w:bookmarkEnd w:id="95"/>
      <w:r w:rsidRPr="00581806" w:rsidR="009A2A18">
        <w:rPr>
          <w:b/>
          <w:noProof/>
        </w:rPr>
        <w:t xml:space="preserve">  </w:t>
      </w:r>
      <w:r w:rsidRPr="00581806">
        <w:rPr>
          <w:b/>
          <w:noProof/>
        </w:rPr>
        <w:t>CPI-U</w:t>
      </w:r>
      <w:r w:rsidRPr="00581806">
        <w:rPr>
          <w:b/>
        </w:rPr>
        <w:t xml:space="preserve"> Inflator</w:t>
      </w:r>
      <w:bookmarkEnd w:id="96"/>
      <w:bookmarkEnd w:id="97"/>
      <w:bookmarkEnd w:id="98"/>
      <w:bookmarkEnd w:id="99"/>
      <w:bookmarkEnd w:id="100"/>
      <w:bookmarkEnd w:id="101"/>
    </w:p>
    <w:tbl>
      <w:tblPr>
        <w:tblW w:w="7320" w:type="dxa"/>
        <w:jc w:val="center"/>
        <w:tblLook w:val="04A0"/>
      </w:tblPr>
      <w:tblGrid>
        <w:gridCol w:w="1620"/>
        <w:gridCol w:w="1755"/>
        <w:gridCol w:w="3945"/>
      </w:tblGrid>
      <w:tr w14:paraId="594A1F66" w14:textId="77777777" w:rsidTr="00581806">
        <w:tblPrEx>
          <w:tblW w:w="7320" w:type="dxa"/>
          <w:jc w:val="center"/>
          <w:tblLook w:val="04A0"/>
        </w:tblPrEx>
        <w:trPr>
          <w:trHeight w:val="592"/>
          <w:jc w:val="center"/>
        </w:trPr>
        <w:tc>
          <w:tcPr>
            <w:tcW w:w="1620" w:type="dxa"/>
            <w:tcBorders>
              <w:top w:val="single" w:sz="8" w:space="0" w:color="auto"/>
              <w:left w:val="single" w:sz="12" w:space="0" w:color="auto"/>
              <w:bottom w:val="single" w:sz="8" w:space="0" w:color="auto"/>
              <w:right w:val="single" w:sz="8" w:space="0" w:color="auto"/>
            </w:tcBorders>
            <w:shd w:val="clear" w:color="auto" w:fill="auto"/>
            <w:hideMark/>
          </w:tcPr>
          <w:p w:rsidR="00C756C5" w:rsidRPr="00581806" w:rsidP="008440FA" w14:paraId="30CF6A6C" w14:textId="77777777">
            <w:pPr>
              <w:spacing w:line="240" w:lineRule="auto"/>
              <w:jc w:val="center"/>
              <w:rPr>
                <w:b/>
              </w:rPr>
            </w:pPr>
            <w:r w:rsidRPr="00581806">
              <w:rPr>
                <w:b/>
              </w:rPr>
              <w:t>Base Year</w:t>
            </w:r>
          </w:p>
        </w:tc>
        <w:tc>
          <w:tcPr>
            <w:tcW w:w="1755" w:type="dxa"/>
            <w:tcBorders>
              <w:top w:val="single" w:sz="8" w:space="0" w:color="auto"/>
              <w:left w:val="nil"/>
              <w:bottom w:val="single" w:sz="8" w:space="0" w:color="auto"/>
              <w:right w:val="single" w:sz="8" w:space="0" w:color="auto"/>
            </w:tcBorders>
            <w:shd w:val="clear" w:color="auto" w:fill="auto"/>
            <w:hideMark/>
          </w:tcPr>
          <w:p w:rsidR="00C756C5" w:rsidRPr="00581806" w:rsidP="008440FA" w14:paraId="2032889A" w14:textId="52E19298">
            <w:pPr>
              <w:spacing w:line="240" w:lineRule="auto"/>
              <w:jc w:val="center"/>
              <w:rPr>
                <w:b/>
              </w:rPr>
            </w:pPr>
            <w:r w:rsidRPr="00581806">
              <w:rPr>
                <w:b/>
              </w:rPr>
              <w:t xml:space="preserve">CPI-U Annual </w:t>
            </w:r>
            <w:r w:rsidRPr="00581806">
              <w:rPr>
                <w:b/>
              </w:rPr>
              <w:t>Average</w:t>
            </w:r>
            <w:r w:rsidRPr="002A6585">
              <w:rPr>
                <w:b/>
                <w:vertAlign w:val="superscript"/>
              </w:rPr>
              <w:t>a</w:t>
            </w:r>
          </w:p>
        </w:tc>
        <w:tc>
          <w:tcPr>
            <w:tcW w:w="3945" w:type="dxa"/>
            <w:tcBorders>
              <w:top w:val="single" w:sz="8" w:space="0" w:color="auto"/>
              <w:left w:val="nil"/>
              <w:bottom w:val="single" w:sz="8" w:space="0" w:color="auto"/>
              <w:right w:val="single" w:sz="12" w:space="0" w:color="auto"/>
            </w:tcBorders>
            <w:shd w:val="clear" w:color="auto" w:fill="auto"/>
            <w:hideMark/>
          </w:tcPr>
          <w:p w:rsidR="00C756C5" w:rsidRPr="00581806" w:rsidP="008440FA" w14:paraId="4DAF4DD7" w14:textId="2759DD79">
            <w:pPr>
              <w:spacing w:line="240" w:lineRule="auto"/>
              <w:jc w:val="center"/>
              <w:rPr>
                <w:b/>
              </w:rPr>
            </w:pPr>
            <w:r>
              <w:rPr>
                <w:b/>
              </w:rPr>
              <w:t>P</w:t>
            </w:r>
            <w:r w:rsidRPr="00581806">
              <w:rPr>
                <w:b/>
              </w:rPr>
              <w:t xml:space="preserve">ercent </w:t>
            </w:r>
            <w:r>
              <w:rPr>
                <w:b/>
              </w:rPr>
              <w:t>C</w:t>
            </w:r>
            <w:r w:rsidRPr="00581806">
              <w:rPr>
                <w:b/>
              </w:rPr>
              <w:t xml:space="preserve">hange from </w:t>
            </w:r>
            <w:r>
              <w:rPr>
                <w:b/>
              </w:rPr>
              <w:t>P</w:t>
            </w:r>
            <w:r w:rsidRPr="00581806">
              <w:rPr>
                <w:b/>
              </w:rPr>
              <w:t xml:space="preserve">revious </w:t>
            </w:r>
            <w:r>
              <w:rPr>
                <w:b/>
              </w:rPr>
              <w:t>Y</w:t>
            </w:r>
            <w:r w:rsidRPr="00581806">
              <w:rPr>
                <w:b/>
              </w:rPr>
              <w:t>ear</w:t>
            </w:r>
          </w:p>
        </w:tc>
      </w:tr>
      <w:tr w14:paraId="17FDEB49" w14:textId="77777777" w:rsidTr="00581806">
        <w:tblPrEx>
          <w:tblW w:w="7320" w:type="dxa"/>
          <w:jc w:val="center"/>
          <w:tblLook w:val="04A0"/>
        </w:tblPrEx>
        <w:trPr>
          <w:trHeight w:val="300"/>
          <w:jc w:val="center"/>
        </w:trPr>
        <w:tc>
          <w:tcPr>
            <w:tcW w:w="1620" w:type="dxa"/>
            <w:tcBorders>
              <w:top w:val="single" w:sz="4" w:space="0" w:color="auto"/>
              <w:left w:val="single" w:sz="12" w:space="0" w:color="auto"/>
              <w:bottom w:val="single" w:sz="4" w:space="0" w:color="auto"/>
              <w:right w:val="single" w:sz="8" w:space="0" w:color="auto"/>
            </w:tcBorders>
            <w:shd w:val="clear" w:color="auto" w:fill="auto"/>
            <w:vAlign w:val="center"/>
          </w:tcPr>
          <w:p w:rsidR="00006BCA" w:rsidP="008440FA" w14:paraId="6FBA2F96" w14:textId="1F27EFCC">
            <w:pPr>
              <w:spacing w:line="240" w:lineRule="auto"/>
              <w:jc w:val="center"/>
            </w:pPr>
            <w:r>
              <w:t>2020</w:t>
            </w:r>
          </w:p>
        </w:tc>
        <w:tc>
          <w:tcPr>
            <w:tcW w:w="1755" w:type="dxa"/>
            <w:tcBorders>
              <w:top w:val="single" w:sz="4" w:space="0" w:color="auto"/>
              <w:left w:val="nil"/>
              <w:bottom w:val="single" w:sz="4" w:space="0" w:color="auto"/>
              <w:right w:val="single" w:sz="8" w:space="0" w:color="auto"/>
            </w:tcBorders>
            <w:shd w:val="clear" w:color="auto" w:fill="auto"/>
            <w:vAlign w:val="center"/>
          </w:tcPr>
          <w:p w:rsidR="00006BCA" w:rsidP="008440FA" w14:paraId="54C08DD8" w14:textId="1E3E927D">
            <w:pPr>
              <w:autoSpaceDE/>
              <w:autoSpaceDN/>
              <w:adjustRightInd/>
              <w:spacing w:line="240" w:lineRule="auto"/>
              <w:jc w:val="center"/>
              <w:rPr>
                <w:color w:val="000000"/>
              </w:rPr>
            </w:pPr>
            <w:r>
              <w:rPr>
                <w:color w:val="000000"/>
              </w:rPr>
              <w:t>258.811</w:t>
            </w:r>
          </w:p>
        </w:tc>
        <w:tc>
          <w:tcPr>
            <w:tcW w:w="3945" w:type="dxa"/>
            <w:tcBorders>
              <w:top w:val="single" w:sz="4" w:space="0" w:color="auto"/>
              <w:left w:val="nil"/>
              <w:bottom w:val="single" w:sz="4" w:space="0" w:color="auto"/>
              <w:right w:val="single" w:sz="12" w:space="0" w:color="auto"/>
            </w:tcBorders>
            <w:shd w:val="clear" w:color="auto" w:fill="auto"/>
            <w:noWrap/>
            <w:vAlign w:val="center"/>
          </w:tcPr>
          <w:p w:rsidR="00006BCA" w:rsidP="008440FA" w14:paraId="7A0E7726" w14:textId="618688EB">
            <w:pPr>
              <w:spacing w:line="240" w:lineRule="auto"/>
              <w:jc w:val="center"/>
              <w:rPr>
                <w:color w:val="000000"/>
              </w:rPr>
            </w:pPr>
          </w:p>
        </w:tc>
      </w:tr>
      <w:tr w14:paraId="1C51B0B7" w14:textId="77777777" w:rsidTr="00581806">
        <w:tblPrEx>
          <w:tblW w:w="7320" w:type="dxa"/>
          <w:jc w:val="center"/>
          <w:tblLook w:val="04A0"/>
        </w:tblPrEx>
        <w:trPr>
          <w:trHeight w:val="300"/>
          <w:jc w:val="center"/>
        </w:trPr>
        <w:tc>
          <w:tcPr>
            <w:tcW w:w="1620" w:type="dxa"/>
            <w:tcBorders>
              <w:top w:val="single" w:sz="4" w:space="0" w:color="auto"/>
              <w:left w:val="single" w:sz="12" w:space="0" w:color="auto"/>
              <w:bottom w:val="single" w:sz="12" w:space="0" w:color="auto"/>
              <w:right w:val="single" w:sz="8" w:space="0" w:color="auto"/>
            </w:tcBorders>
            <w:shd w:val="clear" w:color="auto" w:fill="auto"/>
          </w:tcPr>
          <w:p w:rsidR="00D25A30" w:rsidP="008440FA" w14:paraId="1B0546C4" w14:textId="21240725">
            <w:pPr>
              <w:spacing w:line="240" w:lineRule="auto"/>
              <w:jc w:val="center"/>
            </w:pPr>
            <w:r w:rsidRPr="00312F9C">
              <w:t>202</w:t>
            </w:r>
            <w:r w:rsidR="00F259B2">
              <w:t>1</w:t>
            </w:r>
          </w:p>
        </w:tc>
        <w:tc>
          <w:tcPr>
            <w:tcW w:w="1755" w:type="dxa"/>
            <w:tcBorders>
              <w:top w:val="single" w:sz="4" w:space="0" w:color="auto"/>
              <w:left w:val="nil"/>
              <w:bottom w:val="single" w:sz="12" w:space="0" w:color="auto"/>
              <w:right w:val="single" w:sz="8" w:space="0" w:color="auto"/>
            </w:tcBorders>
            <w:shd w:val="clear" w:color="auto" w:fill="auto"/>
          </w:tcPr>
          <w:p w:rsidR="00D25A30" w:rsidP="008440FA" w14:paraId="34788553" w14:textId="63124ED5">
            <w:pPr>
              <w:autoSpaceDE/>
              <w:autoSpaceDN/>
              <w:adjustRightInd/>
              <w:spacing w:line="240" w:lineRule="auto"/>
              <w:jc w:val="center"/>
              <w:rPr>
                <w:color w:val="000000"/>
              </w:rPr>
            </w:pPr>
            <w:r w:rsidRPr="00312F9C">
              <w:t>263.</w:t>
            </w:r>
            <w:r w:rsidR="00F259B2">
              <w:t>395</w:t>
            </w:r>
          </w:p>
        </w:tc>
        <w:tc>
          <w:tcPr>
            <w:tcW w:w="3945" w:type="dxa"/>
            <w:tcBorders>
              <w:top w:val="single" w:sz="4" w:space="0" w:color="auto"/>
              <w:left w:val="nil"/>
              <w:bottom w:val="single" w:sz="12" w:space="0" w:color="auto"/>
              <w:right w:val="single" w:sz="12" w:space="0" w:color="auto"/>
            </w:tcBorders>
            <w:shd w:val="clear" w:color="auto" w:fill="auto"/>
            <w:noWrap/>
          </w:tcPr>
          <w:p w:rsidR="00D25A30" w:rsidP="008440FA" w14:paraId="0E9F9CDE" w14:textId="3C212D38">
            <w:pPr>
              <w:spacing w:line="240" w:lineRule="auto"/>
              <w:jc w:val="center"/>
              <w:rPr>
                <w:color w:val="000000"/>
              </w:rPr>
            </w:pPr>
            <w:r>
              <w:t>1.77</w:t>
            </w:r>
            <w:r w:rsidRPr="00312F9C">
              <w:t>%</w:t>
            </w:r>
          </w:p>
        </w:tc>
      </w:tr>
    </w:tbl>
    <w:p w:rsidR="00960E6E" w:rsidP="008440FA" w14:paraId="1D06EADB" w14:textId="77777777">
      <w:pPr>
        <w:spacing w:before="120" w:line="240" w:lineRule="auto"/>
        <w:rPr>
          <w:sz w:val="18"/>
          <w:szCs w:val="18"/>
        </w:rPr>
      </w:pPr>
      <w:r w:rsidRPr="00581806">
        <w:rPr>
          <w:sz w:val="18"/>
          <w:szCs w:val="18"/>
        </w:rPr>
        <w:t>Source</w:t>
      </w:r>
      <w:r>
        <w:rPr>
          <w:sz w:val="18"/>
          <w:szCs w:val="18"/>
        </w:rPr>
        <w:t>s</w:t>
      </w:r>
      <w:r w:rsidRPr="00581806">
        <w:rPr>
          <w:sz w:val="18"/>
          <w:szCs w:val="18"/>
        </w:rPr>
        <w:t>:</w:t>
      </w:r>
    </w:p>
    <w:p w:rsidR="00960E6E" w:rsidRPr="00581806" w:rsidP="006B03F6" w14:paraId="370C7B60" w14:textId="1B277FE0">
      <w:pPr>
        <w:spacing w:line="240" w:lineRule="auto"/>
        <w:ind w:left="360" w:hanging="356"/>
        <w:rPr>
          <w:sz w:val="18"/>
          <w:szCs w:val="18"/>
        </w:rPr>
      </w:pPr>
      <w:r w:rsidRPr="002A6585">
        <w:rPr>
          <w:sz w:val="18"/>
          <w:szCs w:val="18"/>
          <w:vertAlign w:val="superscript"/>
        </w:rPr>
        <w:t>a</w:t>
      </w:r>
      <w:r>
        <w:rPr>
          <w:sz w:val="18"/>
          <w:szCs w:val="18"/>
        </w:rPr>
        <w:tab/>
      </w:r>
      <w:r w:rsidR="0041374B">
        <w:rPr>
          <w:sz w:val="18"/>
          <w:szCs w:val="20"/>
        </w:rPr>
        <w:t>BLS</w:t>
      </w:r>
      <w:r w:rsidRPr="00280A8B">
        <w:rPr>
          <w:sz w:val="18"/>
          <w:szCs w:val="20"/>
        </w:rPr>
        <w:t>, “Archived Consumer Price Index Supplement Files:  April 20</w:t>
      </w:r>
      <w:r w:rsidR="00F259B2">
        <w:rPr>
          <w:sz w:val="18"/>
          <w:szCs w:val="20"/>
        </w:rPr>
        <w:t>21</w:t>
      </w:r>
      <w:r w:rsidRPr="00280A8B">
        <w:rPr>
          <w:sz w:val="18"/>
          <w:szCs w:val="20"/>
        </w:rPr>
        <w:t xml:space="preserve"> Historical CPI</w:t>
      </w:r>
      <w:r w:rsidR="0041374B">
        <w:rPr>
          <w:sz w:val="18"/>
          <w:szCs w:val="20"/>
        </w:rPr>
        <w:noBreakHyphen/>
      </w:r>
      <w:r w:rsidRPr="00280A8B">
        <w:rPr>
          <w:sz w:val="18"/>
          <w:szCs w:val="20"/>
        </w:rPr>
        <w:t>U, Table</w:t>
      </w:r>
      <w:r w:rsidR="0041374B">
        <w:rPr>
          <w:sz w:val="18"/>
          <w:szCs w:val="20"/>
        </w:rPr>
        <w:t> </w:t>
      </w:r>
      <w:r w:rsidRPr="00280A8B">
        <w:rPr>
          <w:sz w:val="18"/>
          <w:szCs w:val="20"/>
        </w:rPr>
        <w:t xml:space="preserve">24, Historical Consumer Price Index for All Urban Consumers (CPI-U):  U.S. City Average, All Items” </w:t>
      </w:r>
      <w:r w:rsidRPr="00960E6E">
        <w:rPr>
          <w:sz w:val="18"/>
          <w:szCs w:val="20"/>
        </w:rPr>
        <w:t>(BLS, 20</w:t>
      </w:r>
      <w:r w:rsidR="006B03F6">
        <w:rPr>
          <w:sz w:val="18"/>
          <w:szCs w:val="20"/>
        </w:rPr>
        <w:t>21</w:t>
      </w:r>
      <w:r w:rsidR="006265A4">
        <w:rPr>
          <w:sz w:val="18"/>
          <w:szCs w:val="20"/>
        </w:rPr>
        <w:t>b</w:t>
      </w:r>
      <w:r w:rsidRPr="00960E6E">
        <w:rPr>
          <w:sz w:val="18"/>
          <w:szCs w:val="20"/>
        </w:rPr>
        <w:t>)</w:t>
      </w:r>
      <w:r w:rsidRPr="00960E6E">
        <w:rPr>
          <w:sz w:val="18"/>
          <w:szCs w:val="18"/>
        </w:rPr>
        <w:t>.</w:t>
      </w:r>
    </w:p>
    <w:p w:rsidR="009128E1" w:rsidRPr="002B7A39" w:rsidP="008440FA" w14:paraId="2AEA61D1" w14:textId="77777777">
      <w:pPr>
        <w:spacing w:line="240" w:lineRule="auto"/>
      </w:pPr>
    </w:p>
    <w:p w:rsidR="009128E1" w:rsidRPr="004D0C3A" w:rsidP="008440FA" w14:paraId="7CB753C8" w14:textId="77777777">
      <w:pPr>
        <w:pStyle w:val="Heading3"/>
        <w:tabs>
          <w:tab w:val="left" w:pos="720"/>
        </w:tabs>
        <w:spacing w:line="240" w:lineRule="auto"/>
      </w:pPr>
      <w:bookmarkStart w:id="102" w:name="_Toc456098224"/>
      <w:bookmarkStart w:id="103" w:name="_Toc70669501"/>
      <w:bookmarkStart w:id="104" w:name="_Toc85198600"/>
      <w:r>
        <w:t>4.2.6</w:t>
      </w:r>
      <w:r>
        <w:tab/>
      </w:r>
      <w:bookmarkStart w:id="105" w:name="_Toc457827237"/>
      <w:r w:rsidRPr="004D0C3A">
        <w:t>Labor Rates</w:t>
      </w:r>
      <w:bookmarkEnd w:id="102"/>
      <w:bookmarkEnd w:id="103"/>
      <w:bookmarkEnd w:id="104"/>
      <w:bookmarkEnd w:id="105"/>
    </w:p>
    <w:p w:rsidR="009128E1" w:rsidRPr="004D0C3A" w:rsidP="008440FA" w14:paraId="20162897" w14:textId="77777777">
      <w:pPr>
        <w:keepNext/>
        <w:spacing w:line="240" w:lineRule="auto"/>
      </w:pPr>
    </w:p>
    <w:p w:rsidR="009128E1" w:rsidRPr="004D0C3A" w:rsidP="008440FA" w14:paraId="0D1FED91" w14:textId="56B220F8">
      <w:pPr>
        <w:spacing w:line="240" w:lineRule="auto"/>
      </w:pPr>
      <w:r w:rsidRPr="004D0C3A">
        <w:t xml:space="preserve">For </w:t>
      </w:r>
      <w:r>
        <w:t xml:space="preserve">the purposes of this </w:t>
      </w:r>
      <w:r w:rsidRPr="004D0C3A">
        <w:t xml:space="preserve">regulatory analysis, </w:t>
      </w:r>
      <w:r>
        <w:t xml:space="preserve">the </w:t>
      </w:r>
      <w:r w:rsidR="003971A5">
        <w:t>NRC</w:t>
      </w:r>
      <w:r>
        <w:t xml:space="preserve"> develop</w:t>
      </w:r>
      <w:r w:rsidR="00960E6E">
        <w:t>ed</w:t>
      </w:r>
      <w:r>
        <w:t xml:space="preserve"> </w:t>
      </w:r>
      <w:r w:rsidRPr="004D0C3A">
        <w:t xml:space="preserve">labor rates </w:t>
      </w:r>
      <w:r>
        <w:t>that include</w:t>
      </w:r>
      <w:r w:rsidRPr="004D0C3A">
        <w:t xml:space="preserve"> only </w:t>
      </w:r>
      <w:r>
        <w:t xml:space="preserve">labor and material </w:t>
      </w:r>
      <w:r w:rsidRPr="004D0C3A">
        <w:t xml:space="preserve">costs that are directly related to the implementation and operation and maintenance of the </w:t>
      </w:r>
      <w:r w:rsidR="0058610C">
        <w:t xml:space="preserve">final </w:t>
      </w:r>
      <w:r>
        <w:t>rule</w:t>
      </w:r>
      <w:r w:rsidRPr="004D0C3A">
        <w:t xml:space="preserve"> requirement</w:t>
      </w:r>
      <w:r>
        <w:t>s</w:t>
      </w:r>
      <w:r w:rsidRPr="004D0C3A">
        <w:t xml:space="preserve">.  This approach is consistent with </w:t>
      </w:r>
      <w:r>
        <w:t xml:space="preserve">the </w:t>
      </w:r>
      <w:r w:rsidRPr="004D0C3A">
        <w:t xml:space="preserve">guidance in </w:t>
      </w:r>
      <w:r w:rsidRPr="004D0C3A">
        <w:t>NUREG</w:t>
      </w:r>
      <w:r w:rsidRPr="004D0C3A">
        <w:t>/CR</w:t>
      </w:r>
      <w:r w:rsidR="00631BD2">
        <w:noBreakHyphen/>
      </w:r>
      <w:r w:rsidRPr="004D0C3A">
        <w:t>356</w:t>
      </w:r>
      <w:r>
        <w:t>8</w:t>
      </w:r>
      <w:r w:rsidRPr="004D0C3A">
        <w:t xml:space="preserve">, </w:t>
      </w:r>
      <w:r>
        <w:t>“</w:t>
      </w:r>
      <w:r w:rsidRPr="004D0C3A">
        <w:t>A Handbo</w:t>
      </w:r>
      <w:r>
        <w:t>ok for Value</w:t>
      </w:r>
      <w:r w:rsidR="0035739D">
        <w:noBreakHyphen/>
      </w:r>
      <w:r>
        <w:t>Impact Assessment,” issued December 1983</w:t>
      </w:r>
      <w:r w:rsidRPr="004D0C3A">
        <w:t xml:space="preserve"> </w:t>
      </w:r>
      <w:r w:rsidR="00FE3D78">
        <w:t>(NRC, 1983b</w:t>
      </w:r>
      <w:r>
        <w:t xml:space="preserve">), </w:t>
      </w:r>
      <w:r w:rsidRPr="004D0C3A">
        <w:t>and general cost-benefit methodology.  The NRC incremental labor rate is $1</w:t>
      </w:r>
      <w:r w:rsidR="00960E6E">
        <w:t>3</w:t>
      </w:r>
      <w:r w:rsidR="00D40293">
        <w:t>7</w:t>
      </w:r>
      <w:r>
        <w:t> per hour</w:t>
      </w:r>
      <w:r w:rsidR="000F4172">
        <w:t xml:space="preserve"> for </w:t>
      </w:r>
      <w:r w:rsidR="0035739D">
        <w:t>fiscal year 20</w:t>
      </w:r>
      <w:r w:rsidR="005617D5">
        <w:t>21</w:t>
      </w:r>
      <w:r w:rsidR="00C13EC6">
        <w:t>.</w:t>
      </w:r>
      <w:r>
        <w:rPr>
          <w:rStyle w:val="FootnoteReference"/>
          <w:sz w:val="24"/>
          <w:szCs w:val="24"/>
          <w:vertAlign w:val="superscript"/>
        </w:rPr>
        <w:footnoteReference w:id="7"/>
      </w:r>
      <w:r w:rsidR="00037E4D">
        <w:t xml:space="preserve"> </w:t>
      </w:r>
    </w:p>
    <w:p w:rsidR="009128E1" w:rsidRPr="004D0C3A" w:rsidP="008440FA" w14:paraId="1CE99CCF" w14:textId="77777777">
      <w:pPr>
        <w:spacing w:line="240" w:lineRule="auto"/>
      </w:pPr>
    </w:p>
    <w:p w:rsidR="009128E1" w:rsidP="008440FA" w14:paraId="49316F77" w14:textId="1711F3BC">
      <w:pPr>
        <w:spacing w:line="240" w:lineRule="auto"/>
      </w:pPr>
      <w:r>
        <w:rPr>
          <w:rFonts w:eastAsiaTheme="minorEastAsia"/>
          <w:lang w:eastAsia="ja-JP"/>
        </w:rPr>
        <w:t>The regulatory analysis</w:t>
      </w:r>
      <w:r w:rsidRPr="00ED1D75">
        <w:rPr>
          <w:rFonts w:eastAsiaTheme="minorEastAsia"/>
          <w:lang w:eastAsia="ja-JP"/>
        </w:rPr>
        <w:t xml:space="preserve"> used </w:t>
      </w:r>
      <w:r w:rsidR="00000D58">
        <w:rPr>
          <w:rFonts w:eastAsiaTheme="minorEastAsia"/>
          <w:lang w:eastAsia="ja-JP"/>
        </w:rPr>
        <w:t xml:space="preserve">data from </w:t>
      </w:r>
      <w:r>
        <w:rPr>
          <w:rFonts w:eastAsiaTheme="minorEastAsia"/>
          <w:lang w:eastAsia="ja-JP"/>
        </w:rPr>
        <w:t>BLS</w:t>
      </w:r>
      <w:r w:rsidRPr="00FA5ECA">
        <w:t xml:space="preserve">, “SOC Code:  Standard Occupational Classification Code” </w:t>
      </w:r>
      <w:r w:rsidR="00DE1C4F">
        <w:rPr>
          <w:rFonts w:eastAsiaTheme="minorEastAsia"/>
          <w:lang w:eastAsia="ja-JP"/>
        </w:rPr>
        <w:t>(BLS, 20</w:t>
      </w:r>
      <w:r w:rsidR="005617D5">
        <w:rPr>
          <w:rFonts w:eastAsiaTheme="minorEastAsia"/>
          <w:lang w:eastAsia="ja-JP"/>
        </w:rPr>
        <w:t>2</w:t>
      </w:r>
      <w:r w:rsidR="006265A4">
        <w:rPr>
          <w:rFonts w:eastAsiaTheme="minorEastAsia"/>
          <w:lang w:eastAsia="ja-JP"/>
        </w:rPr>
        <w:t>1a</w:t>
      </w:r>
      <w:r w:rsidRPr="00FA5ECA">
        <w:rPr>
          <w:rFonts w:eastAsiaTheme="minorEastAsia"/>
          <w:lang w:eastAsia="ja-JP"/>
        </w:rPr>
        <w:t>)</w:t>
      </w:r>
      <w:r w:rsidRPr="005368D1">
        <w:rPr>
          <w:rFonts w:eastAsiaTheme="minorEastAsia"/>
          <w:lang w:eastAsia="ja-JP"/>
        </w:rPr>
        <w:t>,</w:t>
      </w:r>
      <w:r w:rsidRPr="00ED1D75">
        <w:rPr>
          <w:rFonts w:eastAsiaTheme="minorEastAsia"/>
          <w:lang w:eastAsia="ja-JP"/>
        </w:rPr>
        <w:t xml:space="preserve"> which provide</w:t>
      </w:r>
      <w:r w:rsidR="00633F2F">
        <w:rPr>
          <w:rFonts w:eastAsiaTheme="minorEastAsia"/>
          <w:lang w:eastAsia="ja-JP"/>
        </w:rPr>
        <w:t>s</w:t>
      </w:r>
      <w:r w:rsidRPr="00ED1D75">
        <w:rPr>
          <w:rFonts w:eastAsiaTheme="minorEastAsia"/>
          <w:lang w:eastAsia="ja-JP"/>
        </w:rPr>
        <w:t xml:space="preserve"> labor categories and the mean hourly wage rate by job type</w:t>
      </w:r>
      <w:r>
        <w:rPr>
          <w:rFonts w:eastAsiaTheme="minorEastAsia"/>
          <w:lang w:eastAsia="ja-JP"/>
        </w:rPr>
        <w:t>, and used the inflator discussed above to infla</w:t>
      </w:r>
      <w:r w:rsidR="00641C80">
        <w:rPr>
          <w:rFonts w:eastAsiaTheme="minorEastAsia"/>
          <w:lang w:eastAsia="ja-JP"/>
        </w:rPr>
        <w:t xml:space="preserve">te these labor rate data to </w:t>
      </w:r>
      <w:r w:rsidR="00BC32B3">
        <w:rPr>
          <w:rFonts w:eastAsiaTheme="minorEastAsia"/>
          <w:lang w:eastAsia="ja-JP"/>
        </w:rPr>
        <w:t>202</w:t>
      </w:r>
      <w:r w:rsidR="00C13EC6">
        <w:rPr>
          <w:rFonts w:eastAsiaTheme="minorEastAsia"/>
          <w:lang w:eastAsia="ja-JP"/>
        </w:rPr>
        <w:t>1</w:t>
      </w:r>
      <w:r>
        <w:rPr>
          <w:rFonts w:eastAsiaTheme="minorEastAsia"/>
          <w:lang w:eastAsia="ja-JP"/>
        </w:rPr>
        <w:t xml:space="preserve"> dollars</w:t>
      </w:r>
      <w:r w:rsidRPr="00ED1D75">
        <w:rPr>
          <w:rFonts w:eastAsiaTheme="minorEastAsia"/>
          <w:lang w:eastAsia="ja-JP"/>
        </w:rPr>
        <w:t>.</w:t>
      </w:r>
      <w:r>
        <w:rPr>
          <w:rFonts w:eastAsiaTheme="minorEastAsia"/>
          <w:lang w:eastAsia="ja-JP"/>
        </w:rPr>
        <w:t xml:space="preserve">  The labor</w:t>
      </w:r>
      <w:r w:rsidRPr="00DE1299">
        <w:rPr>
          <w:rFonts w:eastAsiaTheme="minorEastAsia"/>
          <w:lang w:eastAsia="ja-JP"/>
        </w:rPr>
        <w:t xml:space="preserve"> rates </w:t>
      </w:r>
      <w:r>
        <w:rPr>
          <w:rFonts w:eastAsiaTheme="minorEastAsia"/>
          <w:lang w:eastAsia="ja-JP"/>
        </w:rPr>
        <w:t xml:space="preserve">used in the analysis </w:t>
      </w:r>
      <w:r w:rsidRPr="00DE1299">
        <w:rPr>
          <w:rFonts w:eastAsiaTheme="minorEastAsia"/>
          <w:lang w:eastAsia="ja-JP"/>
        </w:rPr>
        <w:t xml:space="preserve">reflect total </w:t>
      </w:r>
      <w:r>
        <w:rPr>
          <w:rFonts w:eastAsiaTheme="minorEastAsia"/>
          <w:lang w:eastAsia="ja-JP"/>
        </w:rPr>
        <w:t xml:space="preserve">hourly </w:t>
      </w:r>
      <w:r w:rsidRPr="00DE1299">
        <w:rPr>
          <w:rFonts w:eastAsiaTheme="minorEastAsia"/>
          <w:lang w:eastAsia="ja-JP"/>
        </w:rPr>
        <w:t xml:space="preserve">compensation, </w:t>
      </w:r>
      <w:r w:rsidR="008F093D">
        <w:rPr>
          <w:rFonts w:eastAsiaTheme="minorEastAsia"/>
          <w:lang w:eastAsia="ja-JP"/>
        </w:rPr>
        <w:t>including</w:t>
      </w:r>
      <w:r w:rsidRPr="00DE1299">
        <w:rPr>
          <w:rFonts w:eastAsiaTheme="minorEastAsia"/>
          <w:lang w:eastAsia="ja-JP"/>
        </w:rPr>
        <w:t xml:space="preserve"> </w:t>
      </w:r>
      <w:r>
        <w:rPr>
          <w:rFonts w:eastAsiaTheme="minorEastAsia"/>
          <w:lang w:eastAsia="ja-JP"/>
        </w:rPr>
        <w:t xml:space="preserve">wages and nonwage benefits (using a burden factor </w:t>
      </w:r>
      <w:r w:rsidRPr="008831F5">
        <w:rPr>
          <w:rFonts w:eastAsiaTheme="minorEastAsia"/>
          <w:lang w:eastAsia="ja-JP"/>
        </w:rPr>
        <w:t>of</w:t>
      </w:r>
      <w:r>
        <w:rPr>
          <w:rFonts w:eastAsiaTheme="minorEastAsia"/>
          <w:lang w:eastAsia="ja-JP"/>
        </w:rPr>
        <w:t> </w:t>
      </w:r>
      <w:r w:rsidRPr="008831F5">
        <w:rPr>
          <w:rFonts w:eastAsiaTheme="minorEastAsia"/>
          <w:lang w:eastAsia="ja-JP"/>
        </w:rPr>
        <w:t>2.</w:t>
      </w:r>
      <w:r>
        <w:rPr>
          <w:rFonts w:eastAsiaTheme="minorEastAsia"/>
          <w:lang w:eastAsia="ja-JP"/>
        </w:rPr>
        <w:t>4,</w:t>
      </w:r>
      <w:r w:rsidR="003E6CD0">
        <w:rPr>
          <w:rFonts w:eastAsiaTheme="minorEastAsia"/>
          <w:lang w:eastAsia="ja-JP"/>
        </w:rPr>
        <w:t xml:space="preserve"> which is</w:t>
      </w:r>
      <w:r>
        <w:rPr>
          <w:rFonts w:eastAsiaTheme="minorEastAsia"/>
          <w:lang w:eastAsia="ja-JP"/>
        </w:rPr>
        <w:t xml:space="preserve"> applicable for contract labor and conservative for utility employees</w:t>
      </w:r>
      <w:r w:rsidRPr="008831F5">
        <w:rPr>
          <w:rFonts w:eastAsiaTheme="minorEastAsia"/>
          <w:lang w:eastAsia="ja-JP"/>
        </w:rPr>
        <w:t>)</w:t>
      </w:r>
      <w:r>
        <w:t xml:space="preserve">.  </w:t>
      </w:r>
      <w:r w:rsidRPr="008831F5">
        <w:t xml:space="preserve">The </w:t>
      </w:r>
      <w:r w:rsidR="003971A5">
        <w:t>NRC</w:t>
      </w:r>
      <w:r>
        <w:t xml:space="preserve"> used the </w:t>
      </w:r>
      <w:r w:rsidRPr="008831F5">
        <w:t>BLS data tables to select appropriate hourly labor rates for performing the estimated procedural, licensing, and utility</w:t>
      </w:r>
      <w:r w:rsidR="00ED5133">
        <w:noBreakHyphen/>
      </w:r>
      <w:r w:rsidRPr="008831F5">
        <w:t>related work necessary during and following implementation of the alternative.  In establishing this labor rate, wages paid for the individuals performing the work plus the associated fringe benefit component of labor cost (i.e.,</w:t>
      </w:r>
      <w:r w:rsidR="003E6CD0">
        <w:t> </w:t>
      </w:r>
      <w:r w:rsidRPr="008831F5">
        <w:t>the time for plant management over and above those directly expensed) are considered incremental expenses and are included.</w:t>
      </w:r>
      <w:r>
        <w:t xml:space="preserve">  </w:t>
      </w:r>
      <w:r w:rsidRPr="00EE77D0">
        <w:rPr>
          <w:highlight w:val="yellow"/>
        </w:rPr>
        <w:fldChar w:fldCharType="begin"/>
      </w:r>
      <w:r w:rsidRPr="009436AE">
        <w:instrText xml:space="preserve"> REF _Ref448319675 \h </w:instrText>
      </w:r>
      <w:r w:rsidRPr="00581806" w:rsidR="009436AE">
        <w:rPr>
          <w:highlight w:val="yellow"/>
        </w:rPr>
        <w:instrText xml:space="preserve"> \* MERGEFORMAT </w:instrText>
      </w:r>
      <w:r w:rsidRPr="00EE77D0">
        <w:rPr>
          <w:highlight w:val="yellow"/>
        </w:rPr>
        <w:fldChar w:fldCharType="separate"/>
      </w:r>
      <w:r w:rsidRPr="004634A0" w:rsidR="004634A0">
        <w:t>Table</w:t>
      </w:r>
      <w:r w:rsidRPr="004C6498" w:rsidR="004634A0">
        <w:rPr>
          <w:bCs/>
        </w:rPr>
        <w:t xml:space="preserve"> </w:t>
      </w:r>
      <w:r w:rsidRPr="004C6498" w:rsidR="004634A0">
        <w:rPr>
          <w:bCs/>
          <w:noProof/>
        </w:rPr>
        <w:t>2</w:t>
      </w:r>
      <w:r w:rsidRPr="00EE77D0">
        <w:rPr>
          <w:highlight w:val="yellow"/>
        </w:rPr>
        <w:fldChar w:fldCharType="end"/>
      </w:r>
      <w:r w:rsidRPr="009436AE">
        <w:t xml:space="preserve"> sum</w:t>
      </w:r>
      <w:r>
        <w:t>marizes</w:t>
      </w:r>
      <w:r w:rsidRPr="008831F5">
        <w:t xml:space="preserve"> the </w:t>
      </w:r>
      <w:r>
        <w:t xml:space="preserve">BLS </w:t>
      </w:r>
      <w:r w:rsidRPr="008831F5">
        <w:t xml:space="preserve">labor categories </w:t>
      </w:r>
      <w:r>
        <w:t>that</w:t>
      </w:r>
      <w:r w:rsidRPr="008831F5">
        <w:t xml:space="preserve"> </w:t>
      </w:r>
      <w:r>
        <w:t>were used</w:t>
      </w:r>
      <w:r w:rsidRPr="008831F5">
        <w:t xml:space="preserve"> to </w:t>
      </w:r>
      <w:r>
        <w:t xml:space="preserve">estimate industry labor costs to </w:t>
      </w:r>
      <w:r w:rsidRPr="008831F5">
        <w:t xml:space="preserve">implement this </w:t>
      </w:r>
      <w:r w:rsidR="0058610C">
        <w:t>final</w:t>
      </w:r>
      <w:r>
        <w:t xml:space="preserve"> rule,</w:t>
      </w:r>
      <w:r w:rsidRPr="008831F5">
        <w:t xml:space="preserve"> </w:t>
      </w:r>
      <w:r>
        <w:t>and</w:t>
      </w:r>
      <w:r w:rsidRPr="008831F5">
        <w:t xml:space="preserve"> </w:t>
      </w:r>
      <w:r>
        <w:t>Appendix B lists the industry labor rates used in the analysis.  This analysis assumes industry personnel</w:t>
      </w:r>
      <w:r w:rsidR="003E6CD0">
        <w:t>, not contractors,</w:t>
      </w:r>
      <w:r>
        <w:t xml:space="preserve"> perform the modeled activities.  </w:t>
      </w:r>
      <w:r w:rsidRPr="008831F5" w:rsidR="00BE4CB0">
        <w:t>Section</w:t>
      </w:r>
      <w:r w:rsidR="00BE4CB0">
        <w:t> 5.9 discusses t</w:t>
      </w:r>
      <w:r>
        <w:t xml:space="preserve">he </w:t>
      </w:r>
      <w:r w:rsidR="003971A5">
        <w:t>NRC</w:t>
      </w:r>
      <w:r w:rsidR="00BE4CB0">
        <w:t>’s</w:t>
      </w:r>
      <w:r>
        <w:t xml:space="preserve"> u</w:t>
      </w:r>
      <w:r w:rsidRPr="008831F5">
        <w:t xml:space="preserve">ncertainty </w:t>
      </w:r>
      <w:r w:rsidRPr="008831F5">
        <w:t>analys</w:t>
      </w:r>
      <w:r>
        <w:t>i</w:t>
      </w:r>
      <w:r w:rsidRPr="008831F5">
        <w:t>s</w:t>
      </w:r>
      <w:r w:rsidR="00BE4CB0">
        <w:t xml:space="preserve">. </w:t>
      </w:r>
      <w:r w:rsidRPr="008831F5">
        <w:t xml:space="preserve"> </w:t>
      </w:r>
      <w:r w:rsidR="00641C80">
        <w:t>Appendix</w:t>
      </w:r>
      <w:r w:rsidR="00631BD2">
        <w:t> </w:t>
      </w:r>
      <w:r w:rsidR="00641C80">
        <w:t xml:space="preserve">B </w:t>
      </w:r>
      <w:r w:rsidR="003E6CD0">
        <w:t xml:space="preserve">to </w:t>
      </w:r>
      <w:r w:rsidR="00641C80">
        <w:t>this regulatory analysis</w:t>
      </w:r>
      <w:r w:rsidR="003E6CD0">
        <w:t xml:space="preserve"> provides labor rates and other supporting input data</w:t>
      </w:r>
      <w:r w:rsidR="00641C80">
        <w:t>.</w:t>
      </w:r>
    </w:p>
    <w:p w:rsidR="009128E1" w:rsidRPr="00581806" w:rsidP="008440FA" w14:paraId="4A9EE1F6" w14:textId="02FFA47A">
      <w:pPr>
        <w:pStyle w:val="Caption"/>
        <w:spacing w:after="120" w:line="240" w:lineRule="auto"/>
        <w:ind w:left="1080" w:hanging="1080"/>
        <w:jc w:val="center"/>
        <w:rPr>
          <w:b/>
        </w:rPr>
      </w:pPr>
      <w:r>
        <w:br w:type="page"/>
      </w:r>
      <w:bookmarkStart w:id="106" w:name="_Ref448319675"/>
      <w:bookmarkStart w:id="107" w:name="_Toc454442463"/>
      <w:bookmarkStart w:id="108" w:name="_Toc457827383"/>
      <w:bookmarkStart w:id="109" w:name="_Toc70669539"/>
      <w:bookmarkStart w:id="110" w:name="_Toc85198658"/>
      <w:r w:rsidRPr="00581806">
        <w:rPr>
          <w:b/>
        </w:rPr>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4634A0">
        <w:rPr>
          <w:b/>
          <w:noProof/>
        </w:rPr>
        <w:t>2</w:t>
      </w:r>
      <w:r w:rsidRPr="00581806" w:rsidR="000012A5">
        <w:rPr>
          <w:b/>
          <w:noProof/>
        </w:rPr>
        <w:fldChar w:fldCharType="end"/>
      </w:r>
      <w:bookmarkEnd w:id="106"/>
      <w:r w:rsidRPr="00581806" w:rsidR="004F48BC">
        <w:rPr>
          <w:b/>
          <w:noProof/>
        </w:rPr>
        <w:t xml:space="preserve">  </w:t>
      </w:r>
      <w:r w:rsidRPr="00581806">
        <w:rPr>
          <w:b/>
        </w:rPr>
        <w:t>Position Titles and Occupations</w:t>
      </w:r>
      <w:bookmarkEnd w:id="107"/>
      <w:bookmarkEnd w:id="108"/>
      <w:bookmarkEnd w:id="109"/>
      <w:bookmarkEnd w:id="110"/>
    </w:p>
    <w:tbl>
      <w:tblPr>
        <w:tblW w:w="9445" w:type="dxa"/>
        <w:jc w:val="center"/>
        <w:tblLook w:val="04A0"/>
      </w:tblPr>
      <w:tblGrid>
        <w:gridCol w:w="2065"/>
        <w:gridCol w:w="7380"/>
      </w:tblGrid>
      <w:tr w14:paraId="7A20D7B0" w14:textId="77777777" w:rsidTr="00581806">
        <w:tblPrEx>
          <w:tblW w:w="9445" w:type="dxa"/>
          <w:jc w:val="center"/>
          <w:tblLook w:val="04A0"/>
        </w:tblPrEx>
        <w:trPr>
          <w:trHeight w:val="629"/>
          <w:tblHeader/>
          <w:jc w:val="center"/>
        </w:trPr>
        <w:tc>
          <w:tcPr>
            <w:tcW w:w="2065" w:type="dxa"/>
            <w:tcBorders>
              <w:top w:val="single" w:sz="4" w:space="0" w:color="auto"/>
              <w:left w:val="single" w:sz="4" w:space="0" w:color="auto"/>
              <w:bottom w:val="single" w:sz="4" w:space="0" w:color="auto"/>
              <w:right w:val="single" w:sz="4" w:space="0" w:color="auto"/>
            </w:tcBorders>
            <w:shd w:val="clear" w:color="auto" w:fill="auto"/>
            <w:hideMark/>
          </w:tcPr>
          <w:p w:rsidR="009128E1" w:rsidRPr="00B12BE9" w:rsidP="008440FA" w14:paraId="4C4F782D" w14:textId="1E13C9ED">
            <w:pPr>
              <w:autoSpaceDE/>
              <w:autoSpaceDN/>
              <w:adjustRightInd/>
              <w:spacing w:line="240" w:lineRule="auto"/>
              <w:jc w:val="center"/>
              <w:rPr>
                <w:rFonts w:eastAsia="Times New Roman"/>
                <w:b/>
                <w:bCs/>
                <w:color w:val="000000"/>
                <w:sz w:val="18"/>
                <w:szCs w:val="18"/>
              </w:rPr>
            </w:pPr>
            <w:bookmarkStart w:id="111" w:name="RANGE!A1"/>
            <w:r w:rsidRPr="00B12BE9">
              <w:rPr>
                <w:rFonts w:eastAsia="Times New Roman"/>
                <w:b/>
                <w:bCs/>
                <w:color w:val="000000"/>
                <w:sz w:val="18"/>
                <w:szCs w:val="18"/>
              </w:rPr>
              <w:t>Position Title</w:t>
            </w:r>
            <w:bookmarkEnd w:id="111"/>
            <w:r>
              <w:rPr>
                <w:rFonts w:eastAsia="Times New Roman"/>
                <w:b/>
                <w:bCs/>
                <w:color w:val="000000"/>
                <w:sz w:val="18"/>
                <w:szCs w:val="18"/>
              </w:rPr>
              <w:t xml:space="preserve"> (in </w:t>
            </w:r>
            <w:r w:rsidR="00DD559A">
              <w:rPr>
                <w:rFonts w:eastAsia="Times New Roman"/>
                <w:b/>
                <w:bCs/>
                <w:color w:val="000000"/>
                <w:sz w:val="18"/>
                <w:szCs w:val="18"/>
              </w:rPr>
              <w:t>t</w:t>
            </w:r>
            <w:r>
              <w:rPr>
                <w:rFonts w:eastAsia="Times New Roman"/>
                <w:b/>
                <w:bCs/>
                <w:color w:val="000000"/>
                <w:sz w:val="18"/>
                <w:szCs w:val="18"/>
              </w:rPr>
              <w:t>his Regulatory Analysis)</w:t>
            </w:r>
          </w:p>
        </w:tc>
        <w:tc>
          <w:tcPr>
            <w:tcW w:w="7380" w:type="dxa"/>
            <w:tcBorders>
              <w:top w:val="single" w:sz="4" w:space="0" w:color="auto"/>
              <w:left w:val="nil"/>
              <w:bottom w:val="single" w:sz="4" w:space="0" w:color="auto"/>
              <w:right w:val="single" w:sz="4" w:space="0" w:color="auto"/>
            </w:tcBorders>
            <w:shd w:val="clear" w:color="auto" w:fill="auto"/>
            <w:hideMark/>
          </w:tcPr>
          <w:p w:rsidR="009128E1" w:rsidRPr="00D84752" w:rsidP="008440FA" w14:paraId="1FC24013" w14:textId="46AC0962">
            <w:pPr>
              <w:autoSpaceDE/>
              <w:autoSpaceDN/>
              <w:adjustRightInd/>
              <w:spacing w:line="240" w:lineRule="auto"/>
              <w:jc w:val="center"/>
              <w:rPr>
                <w:b/>
                <w:color w:val="000000"/>
                <w:sz w:val="18"/>
                <w:lang w:val="fr-FR"/>
              </w:rPr>
            </w:pPr>
            <w:r w:rsidRPr="00D84752">
              <w:rPr>
                <w:b/>
                <w:color w:val="000000"/>
                <w:sz w:val="18"/>
                <w:lang w:val="fr-FR"/>
              </w:rPr>
              <w:t xml:space="preserve">Standard </w:t>
            </w:r>
            <w:r w:rsidRPr="00D84752">
              <w:rPr>
                <w:b/>
                <w:color w:val="000000"/>
                <w:sz w:val="18"/>
                <w:lang w:val="fr-FR"/>
              </w:rPr>
              <w:t>Occupational</w:t>
            </w:r>
            <w:r w:rsidRPr="00D84752">
              <w:rPr>
                <w:b/>
                <w:color w:val="000000"/>
                <w:sz w:val="18"/>
                <w:lang w:val="fr-FR"/>
              </w:rPr>
              <w:t xml:space="preserve"> Classification (SOC Code)</w:t>
            </w:r>
          </w:p>
        </w:tc>
      </w:tr>
      <w:tr w14:paraId="4A762FFC" w14:textId="77777777" w:rsidTr="00581806">
        <w:tblPrEx>
          <w:tblW w:w="9445" w:type="dxa"/>
          <w:jc w:val="center"/>
          <w:tblLook w:val="04A0"/>
        </w:tblPrEx>
        <w:trPr>
          <w:trHeight w:val="251"/>
          <w:jc w:val="center"/>
        </w:trPr>
        <w:tc>
          <w:tcPr>
            <w:tcW w:w="2065" w:type="dxa"/>
            <w:vMerge w:val="restart"/>
            <w:tcBorders>
              <w:top w:val="nil"/>
              <w:left w:val="single" w:sz="4" w:space="0" w:color="auto"/>
              <w:bottom w:val="single" w:sz="4" w:space="0" w:color="auto"/>
              <w:right w:val="single" w:sz="4" w:space="0" w:color="auto"/>
            </w:tcBorders>
            <w:shd w:val="clear" w:color="auto" w:fill="auto"/>
            <w:noWrap/>
            <w:hideMark/>
          </w:tcPr>
          <w:p w:rsidR="009128E1" w:rsidRPr="00B12BE9" w:rsidP="008440FA" w14:paraId="58FF8361"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Managers</w:t>
            </w:r>
          </w:p>
        </w:tc>
        <w:tc>
          <w:tcPr>
            <w:tcW w:w="7380" w:type="dxa"/>
            <w:tcBorders>
              <w:top w:val="nil"/>
              <w:left w:val="nil"/>
              <w:bottom w:val="single" w:sz="4" w:space="0" w:color="auto"/>
              <w:right w:val="single" w:sz="4" w:space="0" w:color="auto"/>
            </w:tcBorders>
            <w:shd w:val="clear" w:color="auto" w:fill="auto"/>
            <w:vAlign w:val="center"/>
            <w:hideMark/>
          </w:tcPr>
          <w:p w:rsidR="009128E1" w:rsidRPr="00B12BE9" w:rsidP="008440FA" w14:paraId="5D601799" w14:textId="77777777">
            <w:pPr>
              <w:autoSpaceDE/>
              <w:autoSpaceDN/>
              <w:adjustRightInd/>
              <w:spacing w:line="240" w:lineRule="auto"/>
              <w:rPr>
                <w:rFonts w:eastAsia="Times New Roman"/>
                <w:color w:val="000000"/>
                <w:sz w:val="18"/>
                <w:szCs w:val="18"/>
              </w:rPr>
            </w:pPr>
            <w:r>
              <w:rPr>
                <w:rFonts w:eastAsia="Times New Roman"/>
                <w:color w:val="000000"/>
                <w:sz w:val="18"/>
                <w:szCs w:val="18"/>
              </w:rPr>
              <w:t>Top Executives (111000)</w:t>
            </w:r>
          </w:p>
        </w:tc>
      </w:tr>
      <w:tr w14:paraId="5958FC69" w14:textId="77777777" w:rsidTr="00581806">
        <w:tblPrEx>
          <w:tblW w:w="9445" w:type="dxa"/>
          <w:jc w:val="center"/>
          <w:tblLook w:val="04A0"/>
        </w:tblPrEx>
        <w:trPr>
          <w:trHeight w:val="269"/>
          <w:jc w:val="center"/>
        </w:trPr>
        <w:tc>
          <w:tcPr>
            <w:tcW w:w="2065" w:type="dxa"/>
            <w:vMerge/>
            <w:tcBorders>
              <w:top w:val="nil"/>
              <w:left w:val="single" w:sz="4" w:space="0" w:color="auto"/>
              <w:bottom w:val="single" w:sz="4" w:space="0" w:color="auto"/>
              <w:right w:val="single" w:sz="4" w:space="0" w:color="auto"/>
            </w:tcBorders>
          </w:tcPr>
          <w:p w:rsidR="009128E1" w:rsidRPr="00B12BE9" w:rsidP="008440FA" w14:paraId="331BA380" w14:textId="77777777">
            <w:pPr>
              <w:autoSpaceDE/>
              <w:autoSpaceDN/>
              <w:adjustRightInd/>
              <w:spacing w:line="240" w:lineRule="auto"/>
              <w:rPr>
                <w:rFonts w:eastAsia="Times New Roman"/>
                <w:color w:val="000000"/>
                <w:sz w:val="18"/>
                <w:szCs w:val="18"/>
              </w:rPr>
            </w:pPr>
          </w:p>
        </w:tc>
        <w:tc>
          <w:tcPr>
            <w:tcW w:w="7380" w:type="dxa"/>
            <w:tcBorders>
              <w:top w:val="nil"/>
              <w:left w:val="nil"/>
              <w:bottom w:val="single" w:sz="4" w:space="0" w:color="auto"/>
              <w:right w:val="single" w:sz="4" w:space="0" w:color="auto"/>
            </w:tcBorders>
            <w:shd w:val="clear" w:color="auto" w:fill="auto"/>
            <w:vAlign w:val="center"/>
          </w:tcPr>
          <w:p w:rsidR="009128E1" w:rsidP="008440FA" w14:paraId="465C2DE1" w14:textId="77777777">
            <w:pPr>
              <w:autoSpaceDE/>
              <w:autoSpaceDN/>
              <w:adjustRightInd/>
              <w:spacing w:line="240" w:lineRule="auto"/>
              <w:rPr>
                <w:rFonts w:eastAsia="Times New Roman"/>
                <w:color w:val="000000"/>
                <w:sz w:val="18"/>
                <w:szCs w:val="18"/>
              </w:rPr>
            </w:pPr>
            <w:r>
              <w:rPr>
                <w:rFonts w:eastAsia="Times New Roman"/>
                <w:color w:val="000000"/>
                <w:sz w:val="18"/>
                <w:szCs w:val="18"/>
              </w:rPr>
              <w:t>Chief Executives (111011)</w:t>
            </w:r>
          </w:p>
        </w:tc>
      </w:tr>
      <w:tr w14:paraId="651C00BF" w14:textId="77777777" w:rsidTr="00581806">
        <w:tblPrEx>
          <w:tblW w:w="9445" w:type="dxa"/>
          <w:jc w:val="center"/>
          <w:tblLook w:val="04A0"/>
        </w:tblPrEx>
        <w:trPr>
          <w:trHeight w:val="269"/>
          <w:jc w:val="center"/>
        </w:trPr>
        <w:tc>
          <w:tcPr>
            <w:tcW w:w="2065" w:type="dxa"/>
            <w:vMerge/>
            <w:tcBorders>
              <w:top w:val="nil"/>
              <w:left w:val="single" w:sz="4" w:space="0" w:color="auto"/>
              <w:bottom w:val="single" w:sz="4" w:space="0" w:color="auto"/>
              <w:right w:val="single" w:sz="4" w:space="0" w:color="auto"/>
            </w:tcBorders>
          </w:tcPr>
          <w:p w:rsidR="009128E1" w:rsidRPr="00B12BE9" w:rsidP="008440FA" w14:paraId="45D822A8" w14:textId="77777777">
            <w:pPr>
              <w:autoSpaceDE/>
              <w:autoSpaceDN/>
              <w:adjustRightInd/>
              <w:spacing w:line="240" w:lineRule="auto"/>
              <w:rPr>
                <w:rFonts w:eastAsia="Times New Roman"/>
                <w:color w:val="000000"/>
                <w:sz w:val="18"/>
                <w:szCs w:val="18"/>
              </w:rPr>
            </w:pPr>
          </w:p>
        </w:tc>
        <w:tc>
          <w:tcPr>
            <w:tcW w:w="7380" w:type="dxa"/>
            <w:tcBorders>
              <w:top w:val="nil"/>
              <w:left w:val="nil"/>
              <w:bottom w:val="single" w:sz="4" w:space="0" w:color="auto"/>
              <w:right w:val="single" w:sz="4" w:space="0" w:color="auto"/>
            </w:tcBorders>
            <w:shd w:val="clear" w:color="auto" w:fill="auto"/>
            <w:vAlign w:val="center"/>
          </w:tcPr>
          <w:p w:rsidR="009128E1" w:rsidRPr="00B12BE9" w:rsidP="008440FA" w14:paraId="0FB6710F" w14:textId="77777777">
            <w:pPr>
              <w:autoSpaceDE/>
              <w:autoSpaceDN/>
              <w:adjustRightInd/>
              <w:spacing w:line="240" w:lineRule="auto"/>
              <w:rPr>
                <w:rFonts w:eastAsia="Times New Roman"/>
                <w:color w:val="000000"/>
                <w:sz w:val="18"/>
                <w:szCs w:val="18"/>
              </w:rPr>
            </w:pPr>
            <w:r>
              <w:rPr>
                <w:rFonts w:eastAsia="Times New Roman"/>
                <w:color w:val="000000"/>
                <w:sz w:val="18"/>
                <w:szCs w:val="18"/>
              </w:rPr>
              <w:t>General and Operations Managers (111021)</w:t>
            </w:r>
          </w:p>
        </w:tc>
      </w:tr>
      <w:tr w14:paraId="6048D575" w14:textId="77777777" w:rsidTr="00581806">
        <w:tblPrEx>
          <w:tblW w:w="9445" w:type="dxa"/>
          <w:jc w:val="center"/>
          <w:tblLook w:val="04A0"/>
        </w:tblPrEx>
        <w:trPr>
          <w:trHeight w:val="269"/>
          <w:jc w:val="center"/>
        </w:trPr>
        <w:tc>
          <w:tcPr>
            <w:tcW w:w="2065" w:type="dxa"/>
            <w:vMerge/>
            <w:tcBorders>
              <w:top w:val="nil"/>
              <w:left w:val="single" w:sz="4" w:space="0" w:color="auto"/>
              <w:bottom w:val="single" w:sz="4" w:space="0" w:color="auto"/>
              <w:right w:val="single" w:sz="4" w:space="0" w:color="auto"/>
            </w:tcBorders>
          </w:tcPr>
          <w:p w:rsidR="009128E1" w:rsidRPr="00B12BE9" w:rsidP="008440FA" w14:paraId="7E559758" w14:textId="77777777">
            <w:pPr>
              <w:autoSpaceDE/>
              <w:autoSpaceDN/>
              <w:adjustRightInd/>
              <w:spacing w:line="240" w:lineRule="auto"/>
              <w:rPr>
                <w:rFonts w:eastAsia="Times New Roman"/>
                <w:color w:val="000000"/>
                <w:sz w:val="18"/>
                <w:szCs w:val="18"/>
              </w:rPr>
            </w:pPr>
          </w:p>
        </w:tc>
        <w:tc>
          <w:tcPr>
            <w:tcW w:w="7380" w:type="dxa"/>
            <w:tcBorders>
              <w:top w:val="nil"/>
              <w:left w:val="nil"/>
              <w:bottom w:val="single" w:sz="4" w:space="0" w:color="auto"/>
              <w:right w:val="single" w:sz="4" w:space="0" w:color="auto"/>
            </w:tcBorders>
            <w:shd w:val="clear" w:color="auto" w:fill="auto"/>
            <w:vAlign w:val="center"/>
          </w:tcPr>
          <w:p w:rsidR="009128E1" w:rsidRPr="00B12BE9" w:rsidP="008440FA" w14:paraId="349C03C1" w14:textId="77777777">
            <w:pPr>
              <w:autoSpaceDE/>
              <w:autoSpaceDN/>
              <w:adjustRightInd/>
              <w:spacing w:line="240" w:lineRule="auto"/>
              <w:rPr>
                <w:rFonts w:eastAsia="Times New Roman"/>
                <w:color w:val="000000"/>
                <w:sz w:val="18"/>
                <w:szCs w:val="18"/>
              </w:rPr>
            </w:pPr>
            <w:r>
              <w:rPr>
                <w:rFonts w:eastAsia="Times New Roman"/>
                <w:color w:val="000000"/>
                <w:sz w:val="18"/>
                <w:szCs w:val="18"/>
              </w:rPr>
              <w:t>Industrial Production Managers (113051)</w:t>
            </w:r>
          </w:p>
        </w:tc>
      </w:tr>
      <w:tr w14:paraId="6784D816" w14:textId="77777777" w:rsidTr="00581806">
        <w:tblPrEx>
          <w:tblW w:w="9445" w:type="dxa"/>
          <w:jc w:val="center"/>
          <w:tblLook w:val="04A0"/>
        </w:tblPrEx>
        <w:trPr>
          <w:trHeight w:val="269"/>
          <w:jc w:val="center"/>
        </w:trPr>
        <w:tc>
          <w:tcPr>
            <w:tcW w:w="2065" w:type="dxa"/>
            <w:vMerge/>
            <w:tcBorders>
              <w:top w:val="nil"/>
              <w:left w:val="single" w:sz="4" w:space="0" w:color="auto"/>
              <w:bottom w:val="single" w:sz="4" w:space="0" w:color="auto"/>
              <w:right w:val="single" w:sz="4" w:space="0" w:color="auto"/>
            </w:tcBorders>
          </w:tcPr>
          <w:p w:rsidR="009128E1" w:rsidRPr="00B12BE9" w:rsidP="008440FA" w14:paraId="6531DB3E" w14:textId="77777777">
            <w:pPr>
              <w:autoSpaceDE/>
              <w:autoSpaceDN/>
              <w:adjustRightInd/>
              <w:spacing w:line="240" w:lineRule="auto"/>
              <w:rPr>
                <w:rFonts w:eastAsia="Times New Roman"/>
                <w:color w:val="000000"/>
                <w:sz w:val="18"/>
                <w:szCs w:val="18"/>
              </w:rPr>
            </w:pPr>
          </w:p>
        </w:tc>
        <w:tc>
          <w:tcPr>
            <w:tcW w:w="7380" w:type="dxa"/>
            <w:tcBorders>
              <w:top w:val="nil"/>
              <w:left w:val="nil"/>
              <w:bottom w:val="single" w:sz="4" w:space="0" w:color="auto"/>
              <w:right w:val="single" w:sz="4" w:space="0" w:color="auto"/>
            </w:tcBorders>
            <w:shd w:val="clear" w:color="auto" w:fill="auto"/>
            <w:vAlign w:val="center"/>
          </w:tcPr>
          <w:p w:rsidR="009128E1" w:rsidRPr="00B12BE9" w:rsidP="008440FA" w14:paraId="44B4CF63"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First-Line Supervisors of Mechanics Installers and Repairers (491011)</w:t>
            </w:r>
          </w:p>
        </w:tc>
      </w:tr>
      <w:tr w14:paraId="6D1FCCC7" w14:textId="77777777" w:rsidTr="00581806">
        <w:tblPrEx>
          <w:tblW w:w="9445" w:type="dxa"/>
          <w:jc w:val="center"/>
          <w:tblLook w:val="04A0"/>
        </w:tblPrEx>
        <w:trPr>
          <w:trHeight w:val="269"/>
          <w:jc w:val="center"/>
        </w:trPr>
        <w:tc>
          <w:tcPr>
            <w:tcW w:w="2065" w:type="dxa"/>
            <w:vMerge/>
            <w:tcBorders>
              <w:top w:val="nil"/>
              <w:left w:val="single" w:sz="4" w:space="0" w:color="auto"/>
              <w:bottom w:val="single" w:sz="4" w:space="0" w:color="auto"/>
              <w:right w:val="single" w:sz="4" w:space="0" w:color="auto"/>
            </w:tcBorders>
          </w:tcPr>
          <w:p w:rsidR="009128E1" w:rsidRPr="00B12BE9" w:rsidP="008440FA" w14:paraId="6E62BD00" w14:textId="77777777">
            <w:pPr>
              <w:autoSpaceDE/>
              <w:autoSpaceDN/>
              <w:adjustRightInd/>
              <w:spacing w:line="240" w:lineRule="auto"/>
              <w:rPr>
                <w:rFonts w:eastAsia="Times New Roman"/>
                <w:color w:val="000000"/>
                <w:sz w:val="18"/>
                <w:szCs w:val="18"/>
              </w:rPr>
            </w:pPr>
          </w:p>
        </w:tc>
        <w:tc>
          <w:tcPr>
            <w:tcW w:w="7380" w:type="dxa"/>
            <w:tcBorders>
              <w:top w:val="nil"/>
              <w:left w:val="nil"/>
              <w:bottom w:val="single" w:sz="4" w:space="0" w:color="auto"/>
              <w:right w:val="single" w:sz="4" w:space="0" w:color="auto"/>
            </w:tcBorders>
            <w:shd w:val="clear" w:color="auto" w:fill="auto"/>
            <w:vAlign w:val="center"/>
          </w:tcPr>
          <w:p w:rsidR="009128E1" w:rsidRPr="00B12BE9" w:rsidP="008440FA" w14:paraId="5CF99040"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First-Line Supervisors of Production and Operating Workers (511011)</w:t>
            </w:r>
          </w:p>
        </w:tc>
      </w:tr>
      <w:tr w14:paraId="03219880" w14:textId="77777777" w:rsidTr="00581806">
        <w:tblPrEx>
          <w:tblW w:w="9445" w:type="dxa"/>
          <w:jc w:val="center"/>
          <w:tblLook w:val="04A0"/>
        </w:tblPrEx>
        <w:trPr>
          <w:trHeight w:val="269"/>
          <w:jc w:val="center"/>
        </w:trPr>
        <w:tc>
          <w:tcPr>
            <w:tcW w:w="2065" w:type="dxa"/>
            <w:vMerge w:val="restart"/>
            <w:tcBorders>
              <w:top w:val="nil"/>
              <w:left w:val="single" w:sz="4" w:space="0" w:color="auto"/>
              <w:bottom w:val="single" w:sz="4" w:space="0" w:color="auto"/>
              <w:right w:val="single" w:sz="4" w:space="0" w:color="auto"/>
            </w:tcBorders>
            <w:shd w:val="clear" w:color="auto" w:fill="auto"/>
            <w:hideMark/>
          </w:tcPr>
          <w:p w:rsidR="009128E1" w:rsidRPr="00B12BE9" w:rsidP="008440FA" w14:paraId="77FFCCD9"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Technical Staff</w:t>
            </w:r>
          </w:p>
        </w:tc>
        <w:tc>
          <w:tcPr>
            <w:tcW w:w="7380" w:type="dxa"/>
            <w:tcBorders>
              <w:top w:val="nil"/>
              <w:left w:val="nil"/>
              <w:bottom w:val="single" w:sz="4" w:space="0" w:color="auto"/>
              <w:right w:val="single" w:sz="4" w:space="0" w:color="auto"/>
            </w:tcBorders>
            <w:shd w:val="clear" w:color="auto" w:fill="auto"/>
            <w:vAlign w:val="center"/>
            <w:hideMark/>
          </w:tcPr>
          <w:p w:rsidR="009128E1" w:rsidRPr="00B12BE9" w:rsidP="008440FA" w14:paraId="2B62AA07"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Nuclear Engineers</w:t>
            </w:r>
            <w:r>
              <w:rPr>
                <w:rFonts w:eastAsia="Times New Roman"/>
                <w:color w:val="000000"/>
                <w:sz w:val="18"/>
                <w:szCs w:val="18"/>
              </w:rPr>
              <w:t xml:space="preserve"> </w:t>
            </w:r>
            <w:r w:rsidRPr="00B12BE9">
              <w:rPr>
                <w:rFonts w:eastAsia="Times New Roman"/>
                <w:color w:val="000000"/>
                <w:sz w:val="18"/>
                <w:szCs w:val="18"/>
              </w:rPr>
              <w:t>(172161)</w:t>
            </w:r>
          </w:p>
        </w:tc>
      </w:tr>
      <w:tr w14:paraId="56F5C188" w14:textId="77777777" w:rsidTr="00581806">
        <w:tblPrEx>
          <w:tblW w:w="9445" w:type="dxa"/>
          <w:jc w:val="center"/>
          <w:tblLook w:val="04A0"/>
        </w:tblPrEx>
        <w:trPr>
          <w:trHeight w:val="260"/>
          <w:jc w:val="center"/>
        </w:trPr>
        <w:tc>
          <w:tcPr>
            <w:tcW w:w="2065" w:type="dxa"/>
            <w:vMerge/>
            <w:tcBorders>
              <w:top w:val="nil"/>
              <w:left w:val="single" w:sz="4" w:space="0" w:color="auto"/>
              <w:bottom w:val="single" w:sz="4" w:space="0" w:color="auto"/>
              <w:right w:val="single" w:sz="4" w:space="0" w:color="auto"/>
            </w:tcBorders>
          </w:tcPr>
          <w:p w:rsidR="009128E1" w:rsidRPr="00B12BE9" w:rsidP="008440FA" w14:paraId="3AE424B1" w14:textId="77777777">
            <w:pPr>
              <w:autoSpaceDE/>
              <w:autoSpaceDN/>
              <w:adjustRightInd/>
              <w:spacing w:line="240" w:lineRule="auto"/>
              <w:rPr>
                <w:rFonts w:eastAsia="Times New Roman"/>
                <w:color w:val="000000"/>
                <w:sz w:val="18"/>
                <w:szCs w:val="18"/>
              </w:rPr>
            </w:pPr>
          </w:p>
        </w:tc>
        <w:tc>
          <w:tcPr>
            <w:tcW w:w="7380" w:type="dxa"/>
            <w:tcBorders>
              <w:top w:val="nil"/>
              <w:left w:val="nil"/>
              <w:bottom w:val="single" w:sz="4" w:space="0" w:color="auto"/>
              <w:right w:val="single" w:sz="4" w:space="0" w:color="auto"/>
            </w:tcBorders>
            <w:shd w:val="clear" w:color="auto" w:fill="auto"/>
            <w:vAlign w:val="center"/>
          </w:tcPr>
          <w:p w:rsidR="009128E1" w:rsidRPr="00B12BE9" w:rsidP="008440FA" w14:paraId="5D606B00" w14:textId="77777777">
            <w:pPr>
              <w:autoSpaceDE/>
              <w:autoSpaceDN/>
              <w:adjustRightInd/>
              <w:spacing w:line="240" w:lineRule="auto"/>
              <w:rPr>
                <w:rFonts w:eastAsia="Times New Roman"/>
                <w:color w:val="000000"/>
                <w:sz w:val="18"/>
                <w:szCs w:val="18"/>
              </w:rPr>
            </w:pPr>
            <w:r>
              <w:rPr>
                <w:rFonts w:eastAsia="Times New Roman"/>
                <w:color w:val="000000"/>
                <w:sz w:val="18"/>
                <w:szCs w:val="18"/>
              </w:rPr>
              <w:t>Physicists (192012)</w:t>
            </w:r>
          </w:p>
        </w:tc>
      </w:tr>
      <w:tr w14:paraId="6D2B2751" w14:textId="77777777" w:rsidTr="00581806">
        <w:tblPrEx>
          <w:tblW w:w="9445" w:type="dxa"/>
          <w:jc w:val="center"/>
          <w:tblLook w:val="04A0"/>
        </w:tblPrEx>
        <w:trPr>
          <w:trHeight w:val="260"/>
          <w:jc w:val="center"/>
        </w:trPr>
        <w:tc>
          <w:tcPr>
            <w:tcW w:w="2065" w:type="dxa"/>
            <w:vMerge/>
            <w:tcBorders>
              <w:top w:val="nil"/>
              <w:left w:val="single" w:sz="4" w:space="0" w:color="auto"/>
              <w:bottom w:val="single" w:sz="4" w:space="0" w:color="auto"/>
              <w:right w:val="single" w:sz="4" w:space="0" w:color="auto"/>
            </w:tcBorders>
            <w:hideMark/>
          </w:tcPr>
          <w:p w:rsidR="009128E1" w:rsidRPr="00B12BE9" w:rsidP="008440FA" w14:paraId="2D0E52C7" w14:textId="77777777">
            <w:pPr>
              <w:autoSpaceDE/>
              <w:autoSpaceDN/>
              <w:adjustRightInd/>
              <w:spacing w:line="240" w:lineRule="auto"/>
              <w:rPr>
                <w:rFonts w:eastAsia="Times New Roman"/>
                <w:color w:val="000000"/>
                <w:sz w:val="18"/>
                <w:szCs w:val="18"/>
              </w:rPr>
            </w:pPr>
          </w:p>
        </w:tc>
        <w:tc>
          <w:tcPr>
            <w:tcW w:w="7380" w:type="dxa"/>
            <w:tcBorders>
              <w:top w:val="nil"/>
              <w:left w:val="nil"/>
              <w:bottom w:val="single" w:sz="4" w:space="0" w:color="auto"/>
              <w:right w:val="single" w:sz="4" w:space="0" w:color="auto"/>
            </w:tcBorders>
            <w:shd w:val="clear" w:color="auto" w:fill="auto"/>
            <w:vAlign w:val="center"/>
            <w:hideMark/>
          </w:tcPr>
          <w:p w:rsidR="009128E1" w:rsidRPr="00B12BE9" w:rsidP="008440FA" w14:paraId="198A6401"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Nuclear Technicians</w:t>
            </w:r>
            <w:r>
              <w:rPr>
                <w:rFonts w:eastAsia="Times New Roman"/>
                <w:color w:val="000000"/>
                <w:sz w:val="18"/>
                <w:szCs w:val="18"/>
              </w:rPr>
              <w:t xml:space="preserve"> </w:t>
            </w:r>
            <w:r w:rsidRPr="00B12BE9">
              <w:rPr>
                <w:rFonts w:eastAsia="Times New Roman"/>
                <w:color w:val="000000"/>
                <w:sz w:val="18"/>
                <w:szCs w:val="18"/>
              </w:rPr>
              <w:t>(194051)</w:t>
            </w:r>
          </w:p>
        </w:tc>
      </w:tr>
      <w:tr w14:paraId="711DB707" w14:textId="77777777" w:rsidTr="00581806">
        <w:tblPrEx>
          <w:tblW w:w="9445" w:type="dxa"/>
          <w:jc w:val="center"/>
          <w:tblLook w:val="04A0"/>
        </w:tblPrEx>
        <w:trPr>
          <w:trHeight w:val="260"/>
          <w:jc w:val="center"/>
        </w:trPr>
        <w:tc>
          <w:tcPr>
            <w:tcW w:w="2065" w:type="dxa"/>
            <w:vMerge/>
            <w:tcBorders>
              <w:top w:val="nil"/>
              <w:left w:val="single" w:sz="4" w:space="0" w:color="auto"/>
              <w:bottom w:val="single" w:sz="4" w:space="0" w:color="auto"/>
              <w:right w:val="single" w:sz="4" w:space="0" w:color="auto"/>
            </w:tcBorders>
          </w:tcPr>
          <w:p w:rsidR="009128E1" w:rsidRPr="00B12BE9" w:rsidP="008440FA" w14:paraId="2B904E08" w14:textId="77777777">
            <w:pPr>
              <w:autoSpaceDE/>
              <w:autoSpaceDN/>
              <w:adjustRightInd/>
              <w:spacing w:line="240" w:lineRule="auto"/>
              <w:rPr>
                <w:rFonts w:eastAsia="Times New Roman"/>
                <w:color w:val="000000"/>
                <w:sz w:val="18"/>
                <w:szCs w:val="18"/>
              </w:rPr>
            </w:pPr>
          </w:p>
        </w:tc>
        <w:tc>
          <w:tcPr>
            <w:tcW w:w="7380" w:type="dxa"/>
            <w:tcBorders>
              <w:top w:val="nil"/>
              <w:left w:val="nil"/>
              <w:bottom w:val="single" w:sz="4" w:space="0" w:color="auto"/>
              <w:right w:val="single" w:sz="4" w:space="0" w:color="auto"/>
            </w:tcBorders>
            <w:shd w:val="clear" w:color="auto" w:fill="auto"/>
            <w:vAlign w:val="center"/>
          </w:tcPr>
          <w:p w:rsidR="009128E1" w:rsidRPr="00B12BE9" w:rsidP="008440FA" w14:paraId="5A0E4945"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Industrial Machinery Mechanics (499041)</w:t>
            </w:r>
          </w:p>
        </w:tc>
      </w:tr>
      <w:tr w14:paraId="41929C0B" w14:textId="77777777" w:rsidTr="00581806">
        <w:tblPrEx>
          <w:tblW w:w="9445" w:type="dxa"/>
          <w:jc w:val="center"/>
          <w:tblLook w:val="04A0"/>
        </w:tblPrEx>
        <w:trPr>
          <w:trHeight w:val="260"/>
          <w:jc w:val="center"/>
        </w:trPr>
        <w:tc>
          <w:tcPr>
            <w:tcW w:w="2065" w:type="dxa"/>
            <w:vMerge/>
            <w:tcBorders>
              <w:top w:val="nil"/>
              <w:left w:val="single" w:sz="4" w:space="0" w:color="auto"/>
              <w:bottom w:val="single" w:sz="4" w:space="0" w:color="auto"/>
              <w:right w:val="single" w:sz="4" w:space="0" w:color="auto"/>
            </w:tcBorders>
            <w:hideMark/>
          </w:tcPr>
          <w:p w:rsidR="009128E1" w:rsidRPr="00B12BE9" w:rsidP="008440FA" w14:paraId="1C037504" w14:textId="77777777">
            <w:pPr>
              <w:autoSpaceDE/>
              <w:autoSpaceDN/>
              <w:adjustRightInd/>
              <w:spacing w:line="240" w:lineRule="auto"/>
              <w:rPr>
                <w:rFonts w:eastAsia="Times New Roman"/>
                <w:color w:val="000000"/>
                <w:sz w:val="18"/>
                <w:szCs w:val="18"/>
              </w:rPr>
            </w:pPr>
          </w:p>
        </w:tc>
        <w:tc>
          <w:tcPr>
            <w:tcW w:w="7380" w:type="dxa"/>
            <w:tcBorders>
              <w:top w:val="nil"/>
              <w:left w:val="nil"/>
              <w:bottom w:val="single" w:sz="4" w:space="0" w:color="auto"/>
              <w:right w:val="single" w:sz="4" w:space="0" w:color="auto"/>
            </w:tcBorders>
            <w:shd w:val="clear" w:color="auto" w:fill="auto"/>
            <w:vAlign w:val="center"/>
            <w:hideMark/>
          </w:tcPr>
          <w:p w:rsidR="009128E1" w:rsidRPr="00B12BE9" w:rsidP="008440FA" w14:paraId="4BACDC77"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Nuclear Power Reactor Operators (518011)</w:t>
            </w:r>
          </w:p>
        </w:tc>
      </w:tr>
      <w:tr w14:paraId="79E66596" w14:textId="77777777" w:rsidTr="00581806">
        <w:tblPrEx>
          <w:tblW w:w="9445" w:type="dxa"/>
          <w:jc w:val="center"/>
          <w:tblLook w:val="04A0"/>
        </w:tblPrEx>
        <w:trPr>
          <w:trHeight w:val="260"/>
          <w:jc w:val="center"/>
        </w:trPr>
        <w:tc>
          <w:tcPr>
            <w:tcW w:w="2065" w:type="dxa"/>
            <w:vMerge w:val="restart"/>
            <w:tcBorders>
              <w:top w:val="nil"/>
              <w:left w:val="single" w:sz="4" w:space="0" w:color="auto"/>
              <w:bottom w:val="single" w:sz="4" w:space="0" w:color="auto"/>
              <w:right w:val="single" w:sz="4" w:space="0" w:color="auto"/>
            </w:tcBorders>
            <w:shd w:val="clear" w:color="auto" w:fill="auto"/>
            <w:hideMark/>
          </w:tcPr>
          <w:p w:rsidR="009128E1" w:rsidRPr="00B12BE9" w:rsidP="008440FA" w14:paraId="30793188"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Administrative Staff</w:t>
            </w:r>
          </w:p>
        </w:tc>
        <w:tc>
          <w:tcPr>
            <w:tcW w:w="7380" w:type="dxa"/>
            <w:tcBorders>
              <w:top w:val="nil"/>
              <w:left w:val="nil"/>
              <w:bottom w:val="single" w:sz="4" w:space="0" w:color="auto"/>
              <w:right w:val="single" w:sz="4" w:space="0" w:color="auto"/>
            </w:tcBorders>
            <w:shd w:val="clear" w:color="auto" w:fill="auto"/>
            <w:vAlign w:val="center"/>
            <w:hideMark/>
          </w:tcPr>
          <w:p w:rsidR="009128E1" w:rsidRPr="00B12BE9" w:rsidP="008440FA" w14:paraId="346DF896"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Office and Administrative Support Occupations (430000)</w:t>
            </w:r>
          </w:p>
        </w:tc>
      </w:tr>
      <w:tr w14:paraId="598A8F03" w14:textId="77777777" w:rsidTr="00581806">
        <w:tblPrEx>
          <w:tblW w:w="9445" w:type="dxa"/>
          <w:jc w:val="center"/>
          <w:tblLook w:val="04A0"/>
        </w:tblPrEx>
        <w:trPr>
          <w:trHeight w:val="260"/>
          <w:jc w:val="center"/>
        </w:trPr>
        <w:tc>
          <w:tcPr>
            <w:tcW w:w="2065" w:type="dxa"/>
            <w:vMerge/>
            <w:tcBorders>
              <w:top w:val="nil"/>
              <w:left w:val="single" w:sz="4" w:space="0" w:color="auto"/>
              <w:bottom w:val="single" w:sz="4" w:space="0" w:color="auto"/>
              <w:right w:val="single" w:sz="4" w:space="0" w:color="auto"/>
            </w:tcBorders>
            <w:hideMark/>
          </w:tcPr>
          <w:p w:rsidR="009128E1" w:rsidRPr="00B12BE9" w:rsidP="008440FA" w14:paraId="16D41631" w14:textId="77777777">
            <w:pPr>
              <w:autoSpaceDE/>
              <w:autoSpaceDN/>
              <w:adjustRightInd/>
              <w:spacing w:line="240" w:lineRule="auto"/>
              <w:rPr>
                <w:rFonts w:eastAsia="Times New Roman"/>
                <w:color w:val="000000"/>
                <w:sz w:val="18"/>
                <w:szCs w:val="18"/>
              </w:rPr>
            </w:pPr>
          </w:p>
        </w:tc>
        <w:tc>
          <w:tcPr>
            <w:tcW w:w="7380" w:type="dxa"/>
            <w:tcBorders>
              <w:top w:val="nil"/>
              <w:left w:val="nil"/>
              <w:bottom w:val="single" w:sz="4" w:space="0" w:color="auto"/>
              <w:right w:val="single" w:sz="4" w:space="0" w:color="auto"/>
            </w:tcBorders>
            <w:shd w:val="clear" w:color="auto" w:fill="auto"/>
            <w:vAlign w:val="center"/>
            <w:hideMark/>
          </w:tcPr>
          <w:p w:rsidR="009128E1" w:rsidRPr="00B12BE9" w:rsidP="008440FA" w14:paraId="61642273"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First-Line Supervisors of Office and Administrative Support Workers (431011)</w:t>
            </w:r>
          </w:p>
        </w:tc>
      </w:tr>
      <w:tr w14:paraId="0A361EA6" w14:textId="77777777" w:rsidTr="00581806">
        <w:tblPrEx>
          <w:tblW w:w="9445" w:type="dxa"/>
          <w:jc w:val="center"/>
          <w:tblLook w:val="04A0"/>
        </w:tblPrEx>
        <w:trPr>
          <w:trHeight w:val="251"/>
          <w:jc w:val="center"/>
        </w:trPr>
        <w:tc>
          <w:tcPr>
            <w:tcW w:w="2065" w:type="dxa"/>
            <w:vMerge/>
            <w:tcBorders>
              <w:top w:val="nil"/>
              <w:left w:val="single" w:sz="4" w:space="0" w:color="auto"/>
              <w:bottom w:val="single" w:sz="4" w:space="0" w:color="auto"/>
              <w:right w:val="single" w:sz="4" w:space="0" w:color="auto"/>
            </w:tcBorders>
            <w:hideMark/>
          </w:tcPr>
          <w:p w:rsidR="009128E1" w:rsidRPr="00B12BE9" w:rsidP="008440FA" w14:paraId="339D3BE2" w14:textId="77777777">
            <w:pPr>
              <w:autoSpaceDE/>
              <w:autoSpaceDN/>
              <w:adjustRightInd/>
              <w:spacing w:line="240" w:lineRule="auto"/>
              <w:rPr>
                <w:rFonts w:eastAsia="Times New Roman"/>
                <w:color w:val="000000"/>
                <w:sz w:val="18"/>
                <w:szCs w:val="18"/>
              </w:rPr>
            </w:pPr>
          </w:p>
        </w:tc>
        <w:tc>
          <w:tcPr>
            <w:tcW w:w="7380" w:type="dxa"/>
            <w:tcBorders>
              <w:top w:val="nil"/>
              <w:left w:val="nil"/>
              <w:bottom w:val="single" w:sz="4" w:space="0" w:color="auto"/>
              <w:right w:val="single" w:sz="4" w:space="0" w:color="auto"/>
            </w:tcBorders>
            <w:shd w:val="clear" w:color="auto" w:fill="auto"/>
            <w:vAlign w:val="center"/>
            <w:hideMark/>
          </w:tcPr>
          <w:p w:rsidR="009128E1" w:rsidRPr="00B12BE9" w:rsidP="008440FA" w14:paraId="320F261E"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Office Clerks</w:t>
            </w:r>
            <w:r>
              <w:rPr>
                <w:rFonts w:eastAsia="Times New Roman"/>
                <w:color w:val="000000"/>
                <w:sz w:val="18"/>
                <w:szCs w:val="18"/>
              </w:rPr>
              <w:t>,</w:t>
            </w:r>
            <w:r w:rsidRPr="00B12BE9">
              <w:rPr>
                <w:rFonts w:eastAsia="Times New Roman"/>
                <w:color w:val="000000"/>
                <w:sz w:val="18"/>
                <w:szCs w:val="18"/>
              </w:rPr>
              <w:t xml:space="preserve"> General (439061)</w:t>
            </w:r>
          </w:p>
        </w:tc>
      </w:tr>
      <w:tr w14:paraId="3D14CF65" w14:textId="77777777" w:rsidTr="00581806">
        <w:tblPrEx>
          <w:tblW w:w="9445" w:type="dxa"/>
          <w:jc w:val="center"/>
          <w:tblLook w:val="04A0"/>
        </w:tblPrEx>
        <w:trPr>
          <w:trHeight w:val="260"/>
          <w:jc w:val="center"/>
        </w:trPr>
        <w:tc>
          <w:tcPr>
            <w:tcW w:w="2065" w:type="dxa"/>
            <w:vMerge w:val="restart"/>
            <w:tcBorders>
              <w:top w:val="nil"/>
              <w:left w:val="single" w:sz="4" w:space="0" w:color="auto"/>
              <w:bottom w:val="single" w:sz="4" w:space="0" w:color="auto"/>
              <w:right w:val="single" w:sz="4" w:space="0" w:color="auto"/>
            </w:tcBorders>
            <w:shd w:val="clear" w:color="auto" w:fill="auto"/>
            <w:hideMark/>
          </w:tcPr>
          <w:p w:rsidR="009128E1" w:rsidRPr="00B12BE9" w:rsidP="008440FA" w14:paraId="5942804C"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Licensing Staff </w:t>
            </w:r>
          </w:p>
        </w:tc>
        <w:tc>
          <w:tcPr>
            <w:tcW w:w="7380" w:type="dxa"/>
            <w:tcBorders>
              <w:top w:val="nil"/>
              <w:left w:val="nil"/>
              <w:bottom w:val="single" w:sz="4" w:space="0" w:color="auto"/>
              <w:right w:val="single" w:sz="4" w:space="0" w:color="auto"/>
            </w:tcBorders>
            <w:shd w:val="clear" w:color="auto" w:fill="auto"/>
            <w:vAlign w:val="center"/>
            <w:hideMark/>
          </w:tcPr>
          <w:p w:rsidR="009128E1" w:rsidRPr="00B12BE9" w:rsidP="008440FA" w14:paraId="6740D413" w14:textId="77777777">
            <w:pPr>
              <w:autoSpaceDE/>
              <w:autoSpaceDN/>
              <w:adjustRightInd/>
              <w:spacing w:line="240" w:lineRule="auto"/>
              <w:rPr>
                <w:rFonts w:eastAsia="Times New Roman"/>
                <w:color w:val="000000"/>
                <w:sz w:val="18"/>
                <w:szCs w:val="18"/>
              </w:rPr>
            </w:pPr>
            <w:r>
              <w:rPr>
                <w:rFonts w:eastAsia="Times New Roman"/>
                <w:color w:val="000000"/>
                <w:sz w:val="18"/>
                <w:szCs w:val="18"/>
              </w:rPr>
              <w:t>Lawyers (231011)</w:t>
            </w:r>
          </w:p>
        </w:tc>
      </w:tr>
      <w:tr w14:paraId="7A065005" w14:textId="77777777" w:rsidTr="00581806">
        <w:tblPrEx>
          <w:tblW w:w="9445" w:type="dxa"/>
          <w:jc w:val="center"/>
          <w:tblLook w:val="04A0"/>
        </w:tblPrEx>
        <w:trPr>
          <w:trHeight w:val="251"/>
          <w:jc w:val="center"/>
        </w:trPr>
        <w:tc>
          <w:tcPr>
            <w:tcW w:w="2065" w:type="dxa"/>
            <w:vMerge/>
            <w:tcBorders>
              <w:top w:val="nil"/>
              <w:left w:val="single" w:sz="4" w:space="0" w:color="auto"/>
              <w:bottom w:val="single" w:sz="4" w:space="0" w:color="auto"/>
              <w:right w:val="single" w:sz="4" w:space="0" w:color="auto"/>
            </w:tcBorders>
            <w:vAlign w:val="center"/>
          </w:tcPr>
          <w:p w:rsidR="009128E1" w:rsidRPr="00B12BE9" w:rsidP="008440FA" w14:paraId="62651E25" w14:textId="77777777">
            <w:pPr>
              <w:autoSpaceDE/>
              <w:autoSpaceDN/>
              <w:adjustRightInd/>
              <w:spacing w:line="240" w:lineRule="auto"/>
              <w:rPr>
                <w:rFonts w:eastAsia="Times New Roman"/>
                <w:color w:val="000000"/>
                <w:sz w:val="18"/>
                <w:szCs w:val="18"/>
              </w:rPr>
            </w:pPr>
          </w:p>
        </w:tc>
        <w:tc>
          <w:tcPr>
            <w:tcW w:w="7380" w:type="dxa"/>
            <w:tcBorders>
              <w:top w:val="nil"/>
              <w:left w:val="nil"/>
              <w:bottom w:val="single" w:sz="4" w:space="0" w:color="auto"/>
              <w:right w:val="single" w:sz="4" w:space="0" w:color="auto"/>
            </w:tcBorders>
            <w:shd w:val="clear" w:color="auto" w:fill="auto"/>
            <w:vAlign w:val="center"/>
          </w:tcPr>
          <w:p w:rsidR="009128E1" w:rsidP="008440FA" w14:paraId="5C426415"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Paralegals and Legal Assistants (232011)</w:t>
            </w:r>
          </w:p>
        </w:tc>
      </w:tr>
    </w:tbl>
    <w:p w:rsidR="009128E1" w:rsidRPr="00581806" w:rsidP="008440FA" w14:paraId="5F38BA37" w14:textId="595C9676">
      <w:pPr>
        <w:spacing w:before="120" w:line="240" w:lineRule="auto"/>
        <w:ind w:left="-90"/>
        <w:rPr>
          <w:sz w:val="18"/>
          <w:szCs w:val="18"/>
        </w:rPr>
      </w:pPr>
      <w:bookmarkStart w:id="112" w:name="_Toc456098225"/>
      <w:r w:rsidRPr="00581806">
        <w:rPr>
          <w:sz w:val="18"/>
          <w:szCs w:val="18"/>
        </w:rPr>
        <w:t>Source:  BLS</w:t>
      </w:r>
      <w:r w:rsidR="009A4F86">
        <w:rPr>
          <w:sz w:val="18"/>
          <w:szCs w:val="18"/>
        </w:rPr>
        <w:t>, 2021a</w:t>
      </w:r>
      <w:r w:rsidRPr="00581806">
        <w:rPr>
          <w:sz w:val="18"/>
          <w:szCs w:val="18"/>
        </w:rPr>
        <w:t>.</w:t>
      </w:r>
    </w:p>
    <w:p w:rsidR="003027FA" w:rsidP="008440FA" w14:paraId="2873A14D" w14:textId="77777777">
      <w:pPr>
        <w:spacing w:line="240" w:lineRule="auto"/>
      </w:pPr>
    </w:p>
    <w:p w:rsidR="009128E1" w:rsidRPr="004D0C3A" w:rsidP="008440FA" w14:paraId="1E4CA720" w14:textId="77777777">
      <w:pPr>
        <w:pStyle w:val="Heading3"/>
        <w:tabs>
          <w:tab w:val="left" w:pos="720"/>
        </w:tabs>
        <w:spacing w:line="240" w:lineRule="auto"/>
      </w:pPr>
      <w:bookmarkStart w:id="113" w:name="_Toc70669502"/>
      <w:bookmarkStart w:id="114" w:name="_Toc85198601"/>
      <w:r>
        <w:t>4.2.7</w:t>
      </w:r>
      <w:r>
        <w:tab/>
      </w:r>
      <w:bookmarkStart w:id="115" w:name="_Toc457827238"/>
      <w:r w:rsidRPr="004D0C3A">
        <w:t>Sign Conventions</w:t>
      </w:r>
      <w:bookmarkEnd w:id="112"/>
      <w:bookmarkEnd w:id="113"/>
      <w:bookmarkEnd w:id="114"/>
      <w:bookmarkEnd w:id="115"/>
    </w:p>
    <w:p w:rsidR="009128E1" w:rsidRPr="004D0C3A" w:rsidP="008440FA" w14:paraId="7DB4339D" w14:textId="77777777">
      <w:pPr>
        <w:spacing w:line="240" w:lineRule="auto"/>
      </w:pPr>
    </w:p>
    <w:p w:rsidR="009128E1" w:rsidP="008440FA" w14:paraId="052D08B2" w14:textId="4D48597B">
      <w:pPr>
        <w:spacing w:line="240" w:lineRule="auto"/>
      </w:pPr>
      <w:r>
        <w:t>In t</w:t>
      </w:r>
      <w:r w:rsidR="00C369B7">
        <w:t>his</w:t>
      </w:r>
      <w:r w:rsidRPr="004D0C3A">
        <w:t xml:space="preserve"> analysis</w:t>
      </w:r>
      <w:r>
        <w:t>,</w:t>
      </w:r>
      <w:r w:rsidRPr="004D0C3A" w:rsidR="00C369B7">
        <w:t xml:space="preserve"> </w:t>
      </w:r>
      <w:r w:rsidRPr="004D0C3A">
        <w:t>all favorable consequences for the alternative are positive and all adverse consequences for the alternative are negative.  Negative values are shown using parentheses (e.g.,</w:t>
      </w:r>
      <w:r w:rsidR="00631BD2">
        <w:t> </w:t>
      </w:r>
      <w:r w:rsidRPr="004D0C3A">
        <w:t>negative $500 is displayed as ($500)).</w:t>
      </w:r>
    </w:p>
    <w:p w:rsidR="009128E1" w:rsidRPr="004D0C3A" w:rsidP="008440FA" w14:paraId="2BB3557B" w14:textId="77777777">
      <w:pPr>
        <w:spacing w:line="240" w:lineRule="auto"/>
      </w:pPr>
    </w:p>
    <w:p w:rsidR="009128E1" w:rsidRPr="00B04D87" w:rsidP="008440FA" w14:paraId="19E307BC" w14:textId="77777777">
      <w:pPr>
        <w:pStyle w:val="Heading3"/>
        <w:tabs>
          <w:tab w:val="left" w:pos="720"/>
        </w:tabs>
        <w:spacing w:line="240" w:lineRule="auto"/>
      </w:pPr>
      <w:bookmarkStart w:id="116" w:name="_Toc456098226"/>
      <w:bookmarkStart w:id="117" w:name="_Toc70669503"/>
      <w:bookmarkStart w:id="118" w:name="_Toc85198602"/>
      <w:r>
        <w:t>4.2.8</w:t>
      </w:r>
      <w:r>
        <w:tab/>
      </w:r>
      <w:bookmarkStart w:id="119" w:name="_Toc457827239"/>
      <w:r w:rsidRPr="00B04D87">
        <w:t>Analysis Horizon</w:t>
      </w:r>
      <w:bookmarkEnd w:id="116"/>
      <w:bookmarkEnd w:id="117"/>
      <w:bookmarkEnd w:id="118"/>
      <w:bookmarkEnd w:id="119"/>
    </w:p>
    <w:p w:rsidR="009128E1" w:rsidRPr="00B04D87" w:rsidP="008440FA" w14:paraId="35AC65AE" w14:textId="77777777">
      <w:pPr>
        <w:keepNext/>
        <w:spacing w:line="240" w:lineRule="auto"/>
      </w:pPr>
    </w:p>
    <w:p w:rsidR="00E95F85" w:rsidP="008440FA" w14:paraId="29E8DD04" w14:textId="068CC815">
      <w:pPr>
        <w:spacing w:line="240" w:lineRule="auto"/>
      </w:pPr>
      <w:r w:rsidRPr="00B04D87">
        <w:t xml:space="preserve">The </w:t>
      </w:r>
      <w:r>
        <w:t xml:space="preserve">NRC assumed that </w:t>
      </w:r>
      <w:r w:rsidR="003802DE">
        <w:t>each</w:t>
      </w:r>
      <w:r w:rsidR="00204B17">
        <w:t xml:space="preserve"> </w:t>
      </w:r>
      <w:r w:rsidR="00A660CC">
        <w:t xml:space="preserve">of the </w:t>
      </w:r>
      <w:r w:rsidR="00D262FA">
        <w:t>12</w:t>
      </w:r>
      <w:r w:rsidR="000D5CB5">
        <w:t xml:space="preserve"> </w:t>
      </w:r>
      <w:r w:rsidR="00204B17">
        <w:t xml:space="preserve">SMR and ONT </w:t>
      </w:r>
      <w:r>
        <w:t>reactor</w:t>
      </w:r>
      <w:r w:rsidR="00631BD2">
        <w:t xml:space="preserve"> </w:t>
      </w:r>
      <w:r w:rsidR="003802DE">
        <w:t>applicant</w:t>
      </w:r>
      <w:r w:rsidR="00A660CC">
        <w:t>s</w:t>
      </w:r>
      <w:r w:rsidR="003802DE">
        <w:t xml:space="preserve"> </w:t>
      </w:r>
      <w:r w:rsidR="000359C1">
        <w:t xml:space="preserve">receives the original 40-year operating licenses </w:t>
      </w:r>
      <w:r w:rsidR="00444690">
        <w:t xml:space="preserve">and then applies for and receives </w:t>
      </w:r>
      <w:r w:rsidR="001D095F">
        <w:t>a 20-year license extension for a total of</w:t>
      </w:r>
      <w:r w:rsidRPr="00B04D87">
        <w:t xml:space="preserve"> </w:t>
      </w:r>
      <w:r w:rsidR="000D5CB5">
        <w:t>6</w:t>
      </w:r>
      <w:r w:rsidR="00006BCA">
        <w:t>0</w:t>
      </w:r>
      <w:r w:rsidR="00C369B7">
        <w:t> </w:t>
      </w:r>
      <w:r w:rsidR="00006BCA">
        <w:t>years</w:t>
      </w:r>
      <w:r w:rsidRPr="00B04D87">
        <w:t>.</w:t>
      </w:r>
      <w:r>
        <w:t xml:space="preserve">  </w:t>
      </w:r>
      <w:r w:rsidR="00006BCA">
        <w:t xml:space="preserve">The operating costs of each reactor </w:t>
      </w:r>
      <w:r w:rsidR="00631BD2">
        <w:t>are</w:t>
      </w:r>
      <w:r w:rsidR="00006BCA">
        <w:t xml:space="preserve"> estimated individually</w:t>
      </w:r>
      <w:r w:rsidR="00631BD2">
        <w:t>,</w:t>
      </w:r>
      <w:r w:rsidR="00006BCA">
        <w:t xml:space="preserve"> based on the antici</w:t>
      </w:r>
      <w:r w:rsidR="003D1E7A">
        <w:t xml:space="preserve">pated first year of operation. </w:t>
      </w:r>
      <w:r w:rsidR="00F75C37">
        <w:t xml:space="preserve"> </w:t>
      </w:r>
      <w:r w:rsidR="00DA0493">
        <w:t xml:space="preserve">The </w:t>
      </w:r>
      <w:r w:rsidR="00C369B7">
        <w:t xml:space="preserve">NRC </w:t>
      </w:r>
      <w:r w:rsidR="004F1485">
        <w:t xml:space="preserve">expects </w:t>
      </w:r>
      <w:r w:rsidR="00305E50">
        <w:t>9</w:t>
      </w:r>
      <w:r w:rsidR="00204B17">
        <w:t xml:space="preserve"> of the </w:t>
      </w:r>
      <w:r w:rsidR="00BA402E">
        <w:t xml:space="preserve">12 </w:t>
      </w:r>
      <w:r>
        <w:t xml:space="preserve">SMR and ONT </w:t>
      </w:r>
      <w:r w:rsidR="00E93128">
        <w:t>reactors to</w:t>
      </w:r>
      <w:r w:rsidR="00204B17">
        <w:t xml:space="preserve"> </w:t>
      </w:r>
      <w:r w:rsidR="00204B17">
        <w:t xml:space="preserve">submit an </w:t>
      </w:r>
      <w:r>
        <w:t>application</w:t>
      </w:r>
      <w:r w:rsidR="00204B17">
        <w:t xml:space="preserve"> </w:t>
      </w:r>
      <w:r w:rsidR="00BC32B3">
        <w:t>in the 202</w:t>
      </w:r>
      <w:r w:rsidR="00E87731">
        <w:t>2</w:t>
      </w:r>
      <w:r>
        <w:t>–202</w:t>
      </w:r>
      <w:r w:rsidR="009D6C62">
        <w:t>5</w:t>
      </w:r>
      <w:r>
        <w:t xml:space="preserve"> period</w:t>
      </w:r>
      <w:r w:rsidR="00A83B60">
        <w:t xml:space="preserve">. </w:t>
      </w:r>
      <w:r w:rsidR="000D5CB5">
        <w:t xml:space="preserve"> </w:t>
      </w:r>
      <w:r w:rsidR="00A83B60">
        <w:t xml:space="preserve">The NRC has </w:t>
      </w:r>
      <w:r w:rsidR="005B1C57">
        <w:t xml:space="preserve">received </w:t>
      </w:r>
      <w:r w:rsidR="003F5C47">
        <w:t>one application</w:t>
      </w:r>
      <w:r w:rsidR="000D5CB5">
        <w:t xml:space="preserve"> </w:t>
      </w:r>
      <w:r w:rsidR="00305E50">
        <w:t xml:space="preserve">and </w:t>
      </w:r>
      <w:r w:rsidR="005B1C57">
        <w:t>anticipates receiving</w:t>
      </w:r>
      <w:r w:rsidR="00305E50">
        <w:t xml:space="preserve"> 2 </w:t>
      </w:r>
      <w:r w:rsidR="00161C2A">
        <w:t>additional</w:t>
      </w:r>
      <w:r w:rsidR="00305E50">
        <w:t xml:space="preserve"> applications in 2021 prior to the issuance </w:t>
      </w:r>
      <w:r w:rsidR="00C778A4">
        <w:t>of the final rule</w:t>
      </w:r>
      <w:r w:rsidR="00161C2A">
        <w:t>.</w:t>
      </w:r>
      <w:r w:rsidR="00DA0493">
        <w:t xml:space="preserve"> </w:t>
      </w:r>
      <w:r w:rsidR="00C74B0A">
        <w:t xml:space="preserve"> </w:t>
      </w:r>
    </w:p>
    <w:p w:rsidR="00A86B52" w:rsidP="008440FA" w14:paraId="018CAA64" w14:textId="77777777">
      <w:pPr>
        <w:spacing w:line="240" w:lineRule="auto"/>
      </w:pPr>
    </w:p>
    <w:p w:rsidR="009128E1" w:rsidP="008440FA" w14:paraId="7EE2B3AD" w14:textId="77777777">
      <w:pPr>
        <w:pStyle w:val="Heading3"/>
        <w:tabs>
          <w:tab w:val="left" w:pos="720"/>
        </w:tabs>
        <w:spacing w:line="240" w:lineRule="auto"/>
      </w:pPr>
      <w:bookmarkStart w:id="120" w:name="_Toc456098227"/>
      <w:bookmarkStart w:id="121" w:name="_Toc70669504"/>
      <w:bookmarkStart w:id="122" w:name="_Toc85198603"/>
      <w:r>
        <w:t>4.2.9</w:t>
      </w:r>
      <w:r>
        <w:tab/>
      </w:r>
      <w:bookmarkStart w:id="123" w:name="_Toc457827240"/>
      <w:r>
        <w:t>Cost Estimation</w:t>
      </w:r>
      <w:bookmarkEnd w:id="120"/>
      <w:bookmarkEnd w:id="121"/>
      <w:bookmarkEnd w:id="122"/>
      <w:bookmarkEnd w:id="123"/>
    </w:p>
    <w:p w:rsidR="009128E1" w:rsidP="008440FA" w14:paraId="5A13EF41" w14:textId="77777777">
      <w:pPr>
        <w:keepNext/>
        <w:spacing w:line="240" w:lineRule="auto"/>
      </w:pPr>
    </w:p>
    <w:p w:rsidR="009128E1" w:rsidP="008440FA" w14:paraId="49CE87AD" w14:textId="0622251C">
      <w:pPr>
        <w:spacing w:line="240" w:lineRule="auto"/>
        <w:rPr>
          <w:rFonts w:eastAsiaTheme="minorEastAsia"/>
          <w:lang w:eastAsia="ja-JP"/>
        </w:rPr>
      </w:pPr>
      <w:r>
        <w:rPr>
          <w:rFonts w:eastAsiaTheme="minorEastAsia"/>
          <w:lang w:eastAsia="ja-JP"/>
        </w:rPr>
        <w:t>T</w:t>
      </w:r>
      <w:r w:rsidRPr="00BF5AC4">
        <w:rPr>
          <w:rFonts w:eastAsiaTheme="minorEastAsia"/>
          <w:lang w:eastAsia="ja-JP"/>
        </w:rPr>
        <w:t xml:space="preserve">o estimate the costs associated with the </w:t>
      </w:r>
      <w:r>
        <w:rPr>
          <w:rFonts w:eastAsiaTheme="minorEastAsia"/>
          <w:lang w:eastAsia="ja-JP"/>
        </w:rPr>
        <w:t>evaluated alternatives</w:t>
      </w:r>
      <w:r w:rsidRPr="00BF5AC4">
        <w:rPr>
          <w:rFonts w:eastAsiaTheme="minorEastAsia"/>
          <w:lang w:eastAsia="ja-JP"/>
        </w:rPr>
        <w:t xml:space="preserve">, the </w:t>
      </w:r>
      <w:r w:rsidR="003971A5">
        <w:rPr>
          <w:rFonts w:eastAsiaTheme="minorEastAsia"/>
          <w:lang w:eastAsia="ja-JP"/>
        </w:rPr>
        <w:t>NRC</w:t>
      </w:r>
      <w:r w:rsidRPr="00BF5AC4">
        <w:rPr>
          <w:rFonts w:eastAsiaTheme="minorEastAsia"/>
          <w:lang w:eastAsia="ja-JP"/>
        </w:rPr>
        <w:t xml:space="preserve"> used a</w:t>
      </w:r>
      <w:r>
        <w:rPr>
          <w:rFonts w:eastAsiaTheme="minorEastAsia"/>
          <w:lang w:eastAsia="ja-JP"/>
        </w:rPr>
        <w:t>n engineering</w:t>
      </w:r>
      <w:r w:rsidR="00645DCB">
        <w:rPr>
          <w:rFonts w:eastAsiaTheme="minorEastAsia"/>
          <w:lang w:eastAsia="ja-JP"/>
        </w:rPr>
        <w:noBreakHyphen/>
      </w:r>
      <w:r>
        <w:rPr>
          <w:rFonts w:eastAsiaTheme="minorEastAsia"/>
          <w:lang w:eastAsia="ja-JP"/>
        </w:rPr>
        <w:t>buildup estimating method</w:t>
      </w:r>
      <w:r w:rsidRPr="00BF5AC4">
        <w:rPr>
          <w:rFonts w:eastAsiaTheme="minorEastAsia"/>
          <w:lang w:eastAsia="ja-JP"/>
        </w:rPr>
        <w:t xml:space="preserve"> to deconstruct </w:t>
      </w:r>
      <w:r>
        <w:rPr>
          <w:rFonts w:eastAsiaTheme="minorEastAsia"/>
          <w:lang w:eastAsia="ja-JP"/>
        </w:rPr>
        <w:t>each requirement down to its</w:t>
      </w:r>
      <w:r w:rsidRPr="00BF5AC4">
        <w:rPr>
          <w:rFonts w:eastAsiaTheme="minorEastAsia"/>
          <w:lang w:eastAsia="ja-JP"/>
        </w:rPr>
        <w:t xml:space="preserve"> </w:t>
      </w:r>
      <w:r>
        <w:rPr>
          <w:rFonts w:eastAsiaTheme="minorEastAsia"/>
          <w:lang w:eastAsia="ja-JP"/>
        </w:rPr>
        <w:t>mandated</w:t>
      </w:r>
      <w:r w:rsidRPr="00BF5AC4">
        <w:rPr>
          <w:rFonts w:eastAsiaTheme="minorEastAsia"/>
          <w:lang w:eastAsia="ja-JP"/>
        </w:rPr>
        <w:t xml:space="preserve"> activities.  For each required activity, the NRC further subdivided the work across labor categories (i.e.,</w:t>
      </w:r>
      <w:r>
        <w:rPr>
          <w:rFonts w:eastAsiaTheme="minorEastAsia"/>
          <w:lang w:eastAsia="ja-JP"/>
        </w:rPr>
        <w:t> executives, managers, technical staff, administrative staff, and licensing staff</w:t>
      </w:r>
      <w:r w:rsidRPr="00BF5AC4">
        <w:rPr>
          <w:rFonts w:eastAsiaTheme="minorEastAsia"/>
          <w:lang w:eastAsia="ja-JP"/>
        </w:rPr>
        <w:t xml:space="preserve">).  The </w:t>
      </w:r>
      <w:r w:rsidR="003971A5">
        <w:rPr>
          <w:rFonts w:eastAsiaTheme="minorEastAsia"/>
          <w:lang w:eastAsia="ja-JP"/>
        </w:rPr>
        <w:t>NRC</w:t>
      </w:r>
      <w:r w:rsidRPr="00BF5AC4">
        <w:rPr>
          <w:rFonts w:eastAsiaTheme="minorEastAsia"/>
          <w:lang w:eastAsia="ja-JP"/>
        </w:rPr>
        <w:t xml:space="preserve"> estimated the required level of effort for each required activity</w:t>
      </w:r>
      <w:r>
        <w:rPr>
          <w:rFonts w:eastAsiaTheme="minorEastAsia"/>
          <w:lang w:eastAsia="ja-JP"/>
        </w:rPr>
        <w:t xml:space="preserve"> and used a blended labor rate</w:t>
      </w:r>
      <w:r w:rsidRPr="00BF5AC4">
        <w:rPr>
          <w:rFonts w:eastAsiaTheme="minorEastAsia"/>
          <w:lang w:eastAsia="ja-JP"/>
        </w:rPr>
        <w:t xml:space="preserve"> to develop bottom</w:t>
      </w:r>
      <w:r w:rsidR="00645DCB">
        <w:rPr>
          <w:rFonts w:eastAsiaTheme="minorEastAsia"/>
          <w:lang w:eastAsia="ja-JP"/>
        </w:rPr>
        <w:noBreakHyphen/>
      </w:r>
      <w:r w:rsidRPr="00BF5AC4">
        <w:rPr>
          <w:rFonts w:eastAsiaTheme="minorEastAsia"/>
          <w:lang w:eastAsia="ja-JP"/>
        </w:rPr>
        <w:t>up cost estimates.</w:t>
      </w:r>
    </w:p>
    <w:p w:rsidR="0014628A" w:rsidRPr="00BF5AC4" w:rsidP="008440FA" w14:paraId="579D3774" w14:textId="77777777">
      <w:pPr>
        <w:spacing w:line="240" w:lineRule="auto"/>
        <w:rPr>
          <w:rFonts w:eastAsiaTheme="minorEastAsia"/>
          <w:lang w:eastAsia="ja-JP"/>
        </w:rPr>
      </w:pPr>
    </w:p>
    <w:p w:rsidR="009128E1" w:rsidRPr="00BF5AC4" w:rsidP="008440FA" w14:paraId="7035FD4E" w14:textId="61E47E1B">
      <w:pPr>
        <w:spacing w:line="240" w:lineRule="auto"/>
        <w:rPr>
          <w:rFonts w:eastAsiaTheme="minorEastAsia"/>
          <w:lang w:eastAsia="ja-JP"/>
        </w:rPr>
      </w:pPr>
      <w:r w:rsidRPr="00BF5AC4">
        <w:rPr>
          <w:rFonts w:eastAsiaTheme="minorEastAsia"/>
          <w:lang w:eastAsia="ja-JP"/>
        </w:rPr>
        <w:t xml:space="preserve">The </w:t>
      </w:r>
      <w:r w:rsidR="003971A5">
        <w:rPr>
          <w:rFonts w:eastAsiaTheme="minorEastAsia"/>
          <w:lang w:eastAsia="ja-JP"/>
        </w:rPr>
        <w:t>NRC</w:t>
      </w:r>
      <w:r>
        <w:rPr>
          <w:rFonts w:eastAsiaTheme="minorEastAsia"/>
          <w:lang w:eastAsia="ja-JP"/>
        </w:rPr>
        <w:t xml:space="preserve"> </w:t>
      </w:r>
      <w:r w:rsidR="003619AF">
        <w:rPr>
          <w:rFonts w:eastAsiaTheme="minorEastAsia"/>
          <w:lang w:eastAsia="ja-JP"/>
        </w:rPr>
        <w:t xml:space="preserve">staff </w:t>
      </w:r>
      <w:r w:rsidRPr="00BF5AC4">
        <w:rPr>
          <w:rFonts w:eastAsiaTheme="minorEastAsia"/>
          <w:lang w:eastAsia="ja-JP"/>
        </w:rPr>
        <w:t xml:space="preserve">gathered data from several sources and consulted </w:t>
      </w:r>
      <w:r w:rsidR="003619AF">
        <w:rPr>
          <w:rFonts w:eastAsiaTheme="minorEastAsia"/>
          <w:lang w:eastAsia="ja-JP"/>
        </w:rPr>
        <w:t>staff that developed the rule</w:t>
      </w:r>
      <w:r>
        <w:rPr>
          <w:rFonts w:eastAsiaTheme="minorEastAsia"/>
          <w:lang w:eastAsia="ja-JP"/>
        </w:rPr>
        <w:t xml:space="preserve"> </w:t>
      </w:r>
      <w:r w:rsidRPr="00BF5AC4">
        <w:rPr>
          <w:rFonts w:eastAsiaTheme="minorEastAsia"/>
          <w:lang w:eastAsia="ja-JP"/>
        </w:rPr>
        <w:t xml:space="preserve">to develop </w:t>
      </w:r>
      <w:r w:rsidR="00323506">
        <w:rPr>
          <w:rFonts w:eastAsiaTheme="minorEastAsia"/>
          <w:lang w:eastAsia="ja-JP"/>
        </w:rPr>
        <w:t>level of effort</w:t>
      </w:r>
      <w:r>
        <w:rPr>
          <w:rFonts w:eastAsiaTheme="minorEastAsia"/>
          <w:lang w:eastAsia="ja-JP"/>
        </w:rPr>
        <w:t xml:space="preserve"> and unit cost estimates.  </w:t>
      </w:r>
      <w:r w:rsidRPr="00BF5AC4">
        <w:rPr>
          <w:rFonts w:eastAsiaTheme="minorEastAsia"/>
          <w:lang w:eastAsia="ja-JP"/>
        </w:rPr>
        <w:t xml:space="preserve">The </w:t>
      </w:r>
      <w:r w:rsidR="003971A5">
        <w:rPr>
          <w:rFonts w:eastAsiaTheme="minorEastAsia"/>
          <w:lang w:eastAsia="ja-JP"/>
        </w:rPr>
        <w:t>NRC</w:t>
      </w:r>
      <w:r>
        <w:rPr>
          <w:rFonts w:eastAsiaTheme="minorEastAsia"/>
          <w:lang w:eastAsia="ja-JP"/>
        </w:rPr>
        <w:t xml:space="preserve"> </w:t>
      </w:r>
      <w:r w:rsidRPr="00BF5AC4">
        <w:rPr>
          <w:rFonts w:eastAsiaTheme="minorEastAsia"/>
          <w:lang w:eastAsia="ja-JP"/>
        </w:rPr>
        <w:t xml:space="preserve">applied several cost estimation methods in this analysis.  </w:t>
      </w:r>
      <w:r>
        <w:rPr>
          <w:rFonts w:eastAsiaTheme="minorEastAsia"/>
          <w:lang w:eastAsia="ja-JP"/>
        </w:rPr>
        <w:t>Additionally, t</w:t>
      </w:r>
      <w:r w:rsidRPr="00BF5AC4">
        <w:rPr>
          <w:rFonts w:eastAsiaTheme="minorEastAsia"/>
          <w:lang w:eastAsia="ja-JP"/>
        </w:rPr>
        <w:t xml:space="preserve">he </w:t>
      </w:r>
      <w:r w:rsidR="003971A5">
        <w:rPr>
          <w:rFonts w:eastAsiaTheme="minorEastAsia"/>
          <w:lang w:eastAsia="ja-JP"/>
        </w:rPr>
        <w:t>NRC</w:t>
      </w:r>
      <w:r>
        <w:rPr>
          <w:rFonts w:eastAsiaTheme="minorEastAsia"/>
          <w:lang w:eastAsia="ja-JP"/>
        </w:rPr>
        <w:t xml:space="preserve"> used its collective </w:t>
      </w:r>
      <w:r w:rsidRPr="00BF5AC4">
        <w:rPr>
          <w:rFonts w:eastAsiaTheme="minorEastAsia"/>
          <w:lang w:eastAsia="ja-JP"/>
        </w:rPr>
        <w:t xml:space="preserve">professional knowledge and </w:t>
      </w:r>
      <w:r w:rsidRPr="00BF5AC4">
        <w:rPr>
          <w:rFonts w:eastAsiaTheme="minorEastAsia"/>
          <w:lang w:eastAsia="ja-JP"/>
        </w:rPr>
        <w:t xml:space="preserve">judgment to estimate </w:t>
      </w:r>
      <w:r w:rsidR="00B42B2B">
        <w:rPr>
          <w:rFonts w:eastAsiaTheme="minorEastAsia"/>
          <w:lang w:eastAsia="ja-JP"/>
        </w:rPr>
        <w:t xml:space="preserve">many of the costs and benefits. </w:t>
      </w:r>
      <w:r w:rsidR="00390A76">
        <w:rPr>
          <w:rFonts w:eastAsiaTheme="minorEastAsia"/>
          <w:lang w:eastAsia="ja-JP"/>
        </w:rPr>
        <w:t xml:space="preserve"> </w:t>
      </w:r>
      <w:r w:rsidRPr="00B944DC" w:rsidR="00B944DC">
        <w:rPr>
          <w:rFonts w:eastAsiaTheme="minorEastAsia"/>
          <w:lang w:eastAsia="ja-JP"/>
        </w:rPr>
        <w:t>For example, to calculate the estimated averted costs of exemption</w:t>
      </w:r>
      <w:r w:rsidR="00631BD2">
        <w:rPr>
          <w:rFonts w:eastAsiaTheme="minorEastAsia"/>
          <w:lang w:eastAsia="ja-JP"/>
        </w:rPr>
        <w:t xml:space="preserve"> </w:t>
      </w:r>
      <w:r w:rsidRPr="00B944DC" w:rsidR="00B944DC">
        <w:rPr>
          <w:rFonts w:eastAsiaTheme="minorEastAsia"/>
          <w:lang w:eastAsia="ja-JP"/>
        </w:rPr>
        <w:t xml:space="preserve">requests and the costs for preparation of the </w:t>
      </w:r>
      <w:r w:rsidR="006D784E">
        <w:rPr>
          <w:rFonts w:eastAsiaTheme="minorEastAsia"/>
          <w:lang w:eastAsia="ja-JP"/>
        </w:rPr>
        <w:t>final</w:t>
      </w:r>
      <w:r w:rsidRPr="00B944DC" w:rsidR="00B944DC">
        <w:rPr>
          <w:rFonts w:eastAsiaTheme="minorEastAsia"/>
          <w:lang w:eastAsia="ja-JP"/>
        </w:rPr>
        <w:t xml:space="preserve"> rule and accompanying regulatory guidance, the </w:t>
      </w:r>
      <w:r w:rsidR="003971A5">
        <w:rPr>
          <w:rFonts w:eastAsiaTheme="minorEastAsia"/>
          <w:lang w:eastAsia="ja-JP"/>
        </w:rPr>
        <w:t>NRC</w:t>
      </w:r>
      <w:r w:rsidRPr="00B944DC" w:rsidR="00B944DC">
        <w:rPr>
          <w:rFonts w:eastAsiaTheme="minorEastAsia"/>
          <w:lang w:eastAsia="ja-JP"/>
        </w:rPr>
        <w:t xml:space="preserve"> used data from previous exemption request submittals to determine the labor categories of the staff who would perform the work and to estimate the amount of time required under each category to complete the work.  </w:t>
      </w:r>
      <w:r>
        <w:rPr>
          <w:rFonts w:eastAsiaTheme="minorEastAsia"/>
          <w:lang w:eastAsia="ja-JP"/>
        </w:rPr>
        <w:t>If</w:t>
      </w:r>
      <w:r w:rsidRPr="00BF5AC4">
        <w:rPr>
          <w:rFonts w:eastAsiaTheme="minorEastAsia"/>
          <w:lang w:eastAsia="ja-JP"/>
        </w:rPr>
        <w:t xml:space="preserve"> data</w:t>
      </w:r>
      <w:r>
        <w:rPr>
          <w:rFonts w:eastAsiaTheme="minorEastAsia"/>
          <w:lang w:eastAsia="ja-JP"/>
        </w:rPr>
        <w:t xml:space="preserve"> were not available</w:t>
      </w:r>
      <w:r w:rsidRPr="00BF5AC4">
        <w:rPr>
          <w:rFonts w:eastAsiaTheme="minorEastAsia"/>
          <w:lang w:eastAsia="ja-JP"/>
        </w:rPr>
        <w:t xml:space="preserve">, the </w:t>
      </w:r>
      <w:r w:rsidR="003971A5">
        <w:rPr>
          <w:rFonts w:eastAsiaTheme="minorEastAsia"/>
          <w:lang w:eastAsia="ja-JP"/>
        </w:rPr>
        <w:t>NRC</w:t>
      </w:r>
      <w:r>
        <w:rPr>
          <w:rFonts w:eastAsiaTheme="minorEastAsia"/>
          <w:lang w:eastAsia="ja-JP"/>
        </w:rPr>
        <w:t xml:space="preserve"> used the </w:t>
      </w:r>
      <w:r w:rsidR="00323506">
        <w:rPr>
          <w:rFonts w:eastAsiaTheme="minorEastAsia"/>
          <w:lang w:eastAsia="ja-JP"/>
        </w:rPr>
        <w:t>level of effort</w:t>
      </w:r>
      <w:r>
        <w:rPr>
          <w:rFonts w:eastAsiaTheme="minorEastAsia"/>
          <w:lang w:eastAsia="ja-JP"/>
        </w:rPr>
        <w:t xml:space="preserve"> method to estimate future costs based on</w:t>
      </w:r>
      <w:r w:rsidRPr="00BF5AC4">
        <w:rPr>
          <w:rFonts w:eastAsiaTheme="minorEastAsia"/>
          <w:lang w:eastAsia="ja-JP"/>
        </w:rPr>
        <w:t xml:space="preserve"> similar steps in the process for which data </w:t>
      </w:r>
      <w:r>
        <w:rPr>
          <w:rFonts w:eastAsiaTheme="minorEastAsia"/>
          <w:lang w:eastAsia="ja-JP"/>
        </w:rPr>
        <w:t>were</w:t>
      </w:r>
      <w:r w:rsidRPr="00BF5AC4">
        <w:rPr>
          <w:rFonts w:eastAsiaTheme="minorEastAsia"/>
          <w:lang w:eastAsia="ja-JP"/>
        </w:rPr>
        <w:t xml:space="preserve"> available.</w:t>
      </w:r>
      <w:r>
        <w:rPr>
          <w:rFonts w:eastAsiaTheme="minorEastAsia"/>
          <w:lang w:eastAsia="ja-JP"/>
        </w:rPr>
        <w:t xml:space="preserve">  Additionally, the </w:t>
      </w:r>
      <w:r w:rsidR="003971A5">
        <w:rPr>
          <w:rFonts w:eastAsiaTheme="minorEastAsia"/>
          <w:lang w:eastAsia="ja-JP"/>
        </w:rPr>
        <w:t>NRC</w:t>
      </w:r>
      <w:r w:rsidR="000753AE">
        <w:rPr>
          <w:rFonts w:eastAsiaTheme="minorEastAsia"/>
          <w:lang w:eastAsia="ja-JP"/>
        </w:rPr>
        <w:t xml:space="preserve"> used the </w:t>
      </w:r>
      <w:r>
        <w:rPr>
          <w:rFonts w:eastAsiaTheme="minorEastAsia"/>
          <w:lang w:eastAsia="ja-JP"/>
        </w:rPr>
        <w:t>expert</w:t>
      </w:r>
      <w:r w:rsidR="000753AE">
        <w:rPr>
          <w:rFonts w:eastAsiaTheme="minorEastAsia"/>
          <w:lang w:eastAsia="ja-JP"/>
        </w:rPr>
        <w:noBreakHyphen/>
      </w:r>
      <w:r>
        <w:rPr>
          <w:rFonts w:eastAsiaTheme="minorEastAsia"/>
          <w:lang w:eastAsia="ja-JP"/>
        </w:rPr>
        <w:t xml:space="preserve">opinion method to fill data gaps when one or more experts </w:t>
      </w:r>
      <w:r w:rsidR="000753AE">
        <w:rPr>
          <w:rFonts w:eastAsiaTheme="minorEastAsia"/>
          <w:lang w:eastAsia="ja-JP"/>
        </w:rPr>
        <w:t xml:space="preserve">were </w:t>
      </w:r>
      <w:r>
        <w:rPr>
          <w:rFonts w:eastAsiaTheme="minorEastAsia"/>
          <w:lang w:eastAsia="ja-JP"/>
        </w:rPr>
        <w:t>the only available source</w:t>
      </w:r>
      <w:r w:rsidR="000753AE">
        <w:rPr>
          <w:rFonts w:eastAsiaTheme="minorEastAsia"/>
          <w:lang w:eastAsia="ja-JP"/>
        </w:rPr>
        <w:t>s</w:t>
      </w:r>
      <w:r>
        <w:rPr>
          <w:rFonts w:eastAsiaTheme="minorEastAsia"/>
          <w:lang w:eastAsia="ja-JP"/>
        </w:rPr>
        <w:t xml:space="preserve"> of information.</w:t>
      </w:r>
      <w:r w:rsidR="00B42B2B">
        <w:rPr>
          <w:rFonts w:eastAsiaTheme="minorEastAsia"/>
          <w:lang w:eastAsia="ja-JP"/>
        </w:rPr>
        <w:t xml:space="preserve"> </w:t>
      </w:r>
      <w:r w:rsidR="00390A76">
        <w:rPr>
          <w:rFonts w:eastAsiaTheme="minorEastAsia"/>
          <w:lang w:eastAsia="ja-JP"/>
        </w:rPr>
        <w:t xml:space="preserve"> </w:t>
      </w:r>
      <w:r w:rsidR="00BA402E">
        <w:rPr>
          <w:rFonts w:eastAsiaTheme="minorEastAsia"/>
          <w:lang w:eastAsia="ja-JP"/>
        </w:rPr>
        <w:t>The cost estimate accounts for a</w:t>
      </w:r>
      <w:r w:rsidRPr="00B42B2B" w:rsidR="00B42B2B">
        <w:rPr>
          <w:rFonts w:eastAsiaTheme="minorEastAsia"/>
          <w:lang w:eastAsia="ja-JP"/>
        </w:rPr>
        <w:t xml:space="preserve"> total of</w:t>
      </w:r>
      <w:r w:rsidR="00B42B2B">
        <w:rPr>
          <w:rFonts w:eastAsiaTheme="minorEastAsia"/>
          <w:lang w:eastAsia="ja-JP"/>
        </w:rPr>
        <w:t xml:space="preserve"> </w:t>
      </w:r>
      <w:r w:rsidR="00BA402E">
        <w:rPr>
          <w:rFonts w:eastAsiaTheme="minorEastAsia"/>
          <w:lang w:eastAsia="ja-JP"/>
        </w:rPr>
        <w:t>12</w:t>
      </w:r>
      <w:r w:rsidRPr="00B42B2B" w:rsidR="00B42B2B">
        <w:rPr>
          <w:rFonts w:eastAsiaTheme="minorEastAsia"/>
          <w:lang w:eastAsia="ja-JP"/>
        </w:rPr>
        <w:t xml:space="preserve"> SMRs and ONTs.</w:t>
      </w:r>
    </w:p>
    <w:p w:rsidR="009128E1" w:rsidRPr="00BF5AC4" w:rsidP="008440FA" w14:paraId="62439FE8" w14:textId="77777777">
      <w:pPr>
        <w:spacing w:line="240" w:lineRule="auto"/>
        <w:rPr>
          <w:rFonts w:eastAsiaTheme="minorEastAsia"/>
          <w:lang w:eastAsia="ja-JP"/>
        </w:rPr>
      </w:pPr>
    </w:p>
    <w:p w:rsidR="009128E1" w:rsidP="008440FA" w14:paraId="575A69D0" w14:textId="7594D76B">
      <w:pPr>
        <w:spacing w:line="240" w:lineRule="auto"/>
        <w:rPr>
          <w:rFonts w:eastAsiaTheme="minorEastAsia"/>
          <w:lang w:eastAsia="ja-JP"/>
        </w:rPr>
      </w:pPr>
      <w:r w:rsidRPr="00BF5AC4">
        <w:rPr>
          <w:rFonts w:eastAsiaTheme="minorEastAsia"/>
          <w:lang w:eastAsia="ja-JP"/>
        </w:rPr>
        <w:t xml:space="preserve">To </w:t>
      </w:r>
      <w:r>
        <w:rPr>
          <w:rFonts w:eastAsiaTheme="minorEastAsia"/>
          <w:lang w:eastAsia="ja-JP"/>
        </w:rPr>
        <w:t xml:space="preserve">evaluate the effect of </w:t>
      </w:r>
      <w:r w:rsidRPr="00BF5AC4">
        <w:rPr>
          <w:rFonts w:eastAsiaTheme="minorEastAsia"/>
          <w:lang w:eastAsia="ja-JP"/>
        </w:rPr>
        <w:t xml:space="preserve">uncertainty in the model, the </w:t>
      </w:r>
      <w:r w:rsidR="003971A5">
        <w:rPr>
          <w:rFonts w:eastAsiaTheme="minorEastAsia"/>
          <w:lang w:eastAsia="ja-JP"/>
        </w:rPr>
        <w:t>NRC</w:t>
      </w:r>
      <w:r w:rsidRPr="00BF5AC4">
        <w:rPr>
          <w:rFonts w:eastAsiaTheme="minorEastAsia"/>
          <w:lang w:eastAsia="ja-JP"/>
        </w:rPr>
        <w:t xml:space="preserve"> </w:t>
      </w:r>
      <w:r w:rsidR="000753AE">
        <w:rPr>
          <w:rFonts w:eastAsiaTheme="minorEastAsia"/>
          <w:lang w:eastAsia="ja-JP"/>
        </w:rPr>
        <w:t>used a</w:t>
      </w:r>
      <w:r w:rsidRPr="00BF5AC4" w:rsidR="000753AE">
        <w:rPr>
          <w:rFonts w:eastAsiaTheme="minorEastAsia"/>
          <w:lang w:eastAsia="ja-JP"/>
        </w:rPr>
        <w:t xml:space="preserve"> </w:t>
      </w:r>
      <w:r w:rsidRPr="00BF5AC4">
        <w:rPr>
          <w:rFonts w:eastAsiaTheme="minorEastAsia"/>
          <w:lang w:eastAsia="ja-JP"/>
        </w:rPr>
        <w:t xml:space="preserve">Monte Carlo simulation, which is an approach to uncertainty analysis </w:t>
      </w:r>
      <w:r w:rsidR="006A2E82">
        <w:rPr>
          <w:rFonts w:eastAsiaTheme="minorEastAsia"/>
          <w:lang w:eastAsia="ja-JP"/>
        </w:rPr>
        <w:t>that expresses</w:t>
      </w:r>
      <w:r w:rsidRPr="00BF5AC4" w:rsidR="000753AE">
        <w:rPr>
          <w:rFonts w:eastAsiaTheme="minorEastAsia"/>
          <w:lang w:eastAsia="ja-JP"/>
        </w:rPr>
        <w:t xml:space="preserve"> </w:t>
      </w:r>
      <w:r w:rsidRPr="00BF5AC4">
        <w:rPr>
          <w:rFonts w:eastAsiaTheme="minorEastAsia"/>
          <w:lang w:eastAsia="ja-JP"/>
        </w:rPr>
        <w:t xml:space="preserve">input variables as distributions.  </w:t>
      </w:r>
      <w:r>
        <w:rPr>
          <w:rFonts w:eastAsiaTheme="minorEastAsia"/>
          <w:lang w:eastAsia="ja-JP"/>
        </w:rPr>
        <w:t>Section</w:t>
      </w:r>
      <w:r w:rsidR="00B9620D">
        <w:rPr>
          <w:rFonts w:eastAsiaTheme="minorEastAsia"/>
          <w:lang w:eastAsia="ja-JP"/>
        </w:rPr>
        <w:t> </w:t>
      </w:r>
      <w:r w:rsidR="00B944DC">
        <w:rPr>
          <w:rFonts w:eastAsiaTheme="minorEastAsia"/>
          <w:lang w:eastAsia="ja-JP"/>
        </w:rPr>
        <w:t>5.9</w:t>
      </w:r>
      <w:r>
        <w:rPr>
          <w:rFonts w:eastAsiaTheme="minorEastAsia"/>
          <w:lang w:eastAsia="ja-JP"/>
        </w:rPr>
        <w:t xml:space="preserve"> </w:t>
      </w:r>
      <w:r w:rsidR="000753AE">
        <w:rPr>
          <w:rFonts w:eastAsiaTheme="minorEastAsia"/>
          <w:lang w:eastAsia="ja-JP"/>
        </w:rPr>
        <w:t>describes</w:t>
      </w:r>
      <w:r w:rsidRPr="00BF5AC4">
        <w:rPr>
          <w:rFonts w:eastAsiaTheme="minorEastAsia"/>
          <w:lang w:eastAsia="ja-JP"/>
        </w:rPr>
        <w:t xml:space="preserve"> the Monte Carlo simulation methods</w:t>
      </w:r>
      <w:r w:rsidR="000753AE">
        <w:rPr>
          <w:rFonts w:eastAsiaTheme="minorEastAsia"/>
          <w:lang w:eastAsia="ja-JP"/>
        </w:rPr>
        <w:t xml:space="preserve"> in </w:t>
      </w:r>
      <w:r w:rsidR="006A2E82">
        <w:rPr>
          <w:rFonts w:eastAsiaTheme="minorEastAsia"/>
          <w:lang w:eastAsia="ja-JP"/>
        </w:rPr>
        <w:t xml:space="preserve">more </w:t>
      </w:r>
      <w:r w:rsidR="000753AE">
        <w:rPr>
          <w:rFonts w:eastAsiaTheme="minorEastAsia"/>
          <w:lang w:eastAsia="ja-JP"/>
        </w:rPr>
        <w:t>detail</w:t>
      </w:r>
      <w:r w:rsidRPr="00BF5AC4">
        <w:rPr>
          <w:rFonts w:eastAsiaTheme="minorEastAsia"/>
          <w:lang w:eastAsia="ja-JP"/>
        </w:rPr>
        <w:t xml:space="preserve"> and </w:t>
      </w:r>
      <w:r>
        <w:rPr>
          <w:rFonts w:eastAsiaTheme="minorEastAsia"/>
          <w:lang w:eastAsia="ja-JP"/>
        </w:rPr>
        <w:t>presents</w:t>
      </w:r>
      <w:r w:rsidRPr="00BF5AC4">
        <w:rPr>
          <w:rFonts w:eastAsiaTheme="minorEastAsia"/>
          <w:lang w:eastAsia="ja-JP"/>
        </w:rPr>
        <w:t xml:space="preserve"> the results.</w:t>
      </w:r>
    </w:p>
    <w:p w:rsidR="009128E1" w:rsidP="008440FA" w14:paraId="429A24EF" w14:textId="77777777">
      <w:pPr>
        <w:spacing w:line="240" w:lineRule="auto"/>
      </w:pPr>
      <w:bookmarkStart w:id="124" w:name="_Toc456098230"/>
    </w:p>
    <w:p w:rsidR="009128E1" w:rsidRPr="009C0051" w:rsidP="008440FA" w14:paraId="2E87AC88" w14:textId="77777777">
      <w:pPr>
        <w:pStyle w:val="Heading2"/>
        <w:tabs>
          <w:tab w:val="left" w:pos="540"/>
        </w:tabs>
        <w:spacing w:line="240" w:lineRule="auto"/>
      </w:pPr>
      <w:bookmarkStart w:id="125" w:name="_Toc70669505"/>
      <w:bookmarkStart w:id="126" w:name="_Toc85198604"/>
      <w:r>
        <w:t>4.3</w:t>
      </w:r>
      <w:r>
        <w:tab/>
      </w:r>
      <w:bookmarkStart w:id="127" w:name="_Toc457827243"/>
      <w:r w:rsidRPr="009C0051">
        <w:t>Data</w:t>
      </w:r>
      <w:bookmarkEnd w:id="124"/>
      <w:bookmarkEnd w:id="125"/>
      <w:bookmarkEnd w:id="126"/>
      <w:bookmarkEnd w:id="127"/>
    </w:p>
    <w:p w:rsidR="009128E1" w:rsidRPr="009C0051" w:rsidP="008440FA" w14:paraId="25F2B0BA" w14:textId="77777777">
      <w:pPr>
        <w:keepNext/>
        <w:spacing w:line="240" w:lineRule="auto"/>
      </w:pPr>
    </w:p>
    <w:p w:rsidR="009128E1" w:rsidP="008440FA" w14:paraId="6A72A8CF" w14:textId="0E5889DB">
      <w:pPr>
        <w:spacing w:line="240" w:lineRule="auto"/>
      </w:pPr>
      <w:r w:rsidRPr="003526D8">
        <w:t xml:space="preserve">This analysis discusses the data and assumptions used in analyzing the quantifiable impacts associated with the </w:t>
      </w:r>
      <w:r>
        <w:t xml:space="preserve">alternative.  The </w:t>
      </w:r>
      <w:r w:rsidR="003971A5">
        <w:t>NRC</w:t>
      </w:r>
      <w:r>
        <w:t xml:space="preserve"> used </w:t>
      </w:r>
      <w:r w:rsidR="00F417F5">
        <w:t>input</w:t>
      </w:r>
      <w:r>
        <w:t xml:space="preserve"> from subject</w:t>
      </w:r>
      <w:r w:rsidR="006A2E82">
        <w:noBreakHyphen/>
      </w:r>
      <w:r>
        <w:t xml:space="preserve">matter experts, knowledge gained from past rulemakings, and information </w:t>
      </w:r>
      <w:r w:rsidR="006A2E82">
        <w:t xml:space="preserve">obtained </w:t>
      </w:r>
      <w:r>
        <w:t>during public meetings and from correspondence to collect data for this analysis.  Quantitative and qualitative (i.e., </w:t>
      </w:r>
      <w:r>
        <w:t>nonquantified</w:t>
      </w:r>
      <w:r>
        <w:t>) information on attributes affected by the regulatory framework alternatives</w:t>
      </w:r>
      <w:r w:rsidR="006A2E82">
        <w:t xml:space="preserve"> </w:t>
      </w:r>
      <w:r>
        <w:t xml:space="preserve">in the </w:t>
      </w:r>
      <w:r w:rsidR="006D784E">
        <w:t>final</w:t>
      </w:r>
      <w:r>
        <w:t xml:space="preserve"> rule were obtained from the </w:t>
      </w:r>
      <w:r w:rsidR="003971A5">
        <w:t>NRC</w:t>
      </w:r>
      <w:r>
        <w:t xml:space="preserve"> </w:t>
      </w:r>
      <w:r w:rsidR="00F417F5">
        <w:t xml:space="preserve">staff </w:t>
      </w:r>
      <w:r>
        <w:t xml:space="preserve">and </w:t>
      </w:r>
      <w:r w:rsidR="0067210B">
        <w:t xml:space="preserve">from </w:t>
      </w:r>
      <w:r>
        <w:t>comments on the regulatory analys</w:t>
      </w:r>
      <w:r w:rsidR="00B65C92">
        <w:t>i</w:t>
      </w:r>
      <w:r>
        <w:t xml:space="preserve">s provided with the </w:t>
      </w:r>
      <w:r w:rsidR="00C837EF">
        <w:t>proposed</w:t>
      </w:r>
      <w:r w:rsidR="006D784E">
        <w:t xml:space="preserve"> </w:t>
      </w:r>
      <w:r>
        <w:t>rule.  The NRC considered the potential differences between the new requirements and the current requirements and incorporated the incremental changes into this regulatory analysis</w:t>
      </w:r>
      <w:r w:rsidRPr="009C0051">
        <w:t>.</w:t>
      </w:r>
    </w:p>
    <w:p w:rsidR="009128E1" w:rsidRPr="009C0051" w:rsidP="008440FA" w14:paraId="1111C631" w14:textId="77777777">
      <w:pPr>
        <w:pStyle w:val="Heading1"/>
        <w:numPr>
          <w:ilvl w:val="0"/>
          <w:numId w:val="34"/>
        </w:numPr>
        <w:spacing w:line="240" w:lineRule="auto"/>
      </w:pPr>
      <w:bookmarkStart w:id="128" w:name="_Ref393196136"/>
      <w:bookmarkStart w:id="129" w:name="_Toc456098231"/>
      <w:bookmarkStart w:id="130" w:name="_Toc457827244"/>
      <w:bookmarkStart w:id="131" w:name="_Toc70669506"/>
      <w:bookmarkStart w:id="132" w:name="_Toc85198605"/>
      <w:r w:rsidRPr="009C0051">
        <w:t>Presentation of Results</w:t>
      </w:r>
      <w:bookmarkEnd w:id="128"/>
      <w:bookmarkEnd w:id="129"/>
      <w:bookmarkEnd w:id="130"/>
      <w:bookmarkEnd w:id="131"/>
      <w:bookmarkEnd w:id="132"/>
    </w:p>
    <w:p w:rsidR="009128E1" w:rsidRPr="00976A87" w:rsidP="008440FA" w14:paraId="71ED1107" w14:textId="77777777">
      <w:pPr>
        <w:keepNext/>
        <w:spacing w:line="240" w:lineRule="auto"/>
      </w:pPr>
    </w:p>
    <w:p w:rsidR="009128E1" w:rsidRPr="00976A87" w:rsidP="008440FA" w14:paraId="2EB32178" w14:textId="10C5E8C3">
      <w:pPr>
        <w:spacing w:line="240" w:lineRule="auto"/>
      </w:pPr>
      <w:r w:rsidRPr="00976A87">
        <w:t xml:space="preserve">This section presents the quantitative and qualitative results by attribute </w:t>
      </w:r>
      <w:r>
        <w:t>for Alternative</w:t>
      </w:r>
      <w:r w:rsidR="002576A2">
        <w:t> </w:t>
      </w:r>
      <w:r>
        <w:t>2,</w:t>
      </w:r>
      <w:r w:rsidRPr="00976A87">
        <w:t xml:space="preserve"> relative to the regulatory baseline.  As described in the previous sections, costs and benefits are quantified where possible and </w:t>
      </w:r>
      <w:r>
        <w:t xml:space="preserve">are shown to be either </w:t>
      </w:r>
      <w:r w:rsidRPr="00976A87">
        <w:t>posi</w:t>
      </w:r>
      <w:r>
        <w:t>tive or negative</w:t>
      </w:r>
      <w:r w:rsidR="006B766E">
        <w:t>,</w:t>
      </w:r>
      <w:r w:rsidRPr="00976A87">
        <w:t xml:space="preserve"> depending on whether the alternative has a favorable or adverse effect relative to the regulatory baseline (</w:t>
      </w:r>
      <w:r>
        <w:t>A</w:t>
      </w:r>
      <w:r w:rsidRPr="00976A87">
        <w:t>lternative</w:t>
      </w:r>
      <w:r w:rsidR="002576A2">
        <w:t> </w:t>
      </w:r>
      <w:r w:rsidRPr="00976A87">
        <w:t xml:space="preserve">1).  </w:t>
      </w:r>
      <w:r>
        <w:t>T</w:t>
      </w:r>
      <w:r w:rsidRPr="00976A87">
        <w:t xml:space="preserve">hose attributes </w:t>
      </w:r>
      <w:r w:rsidR="002576A2">
        <w:t xml:space="preserve">that are </w:t>
      </w:r>
      <w:r w:rsidRPr="00976A87">
        <w:t>not easily represented in monetary values</w:t>
      </w:r>
      <w:r>
        <w:t xml:space="preserve"> are discussed in qualitative terms</w:t>
      </w:r>
      <w:r w:rsidRPr="00976A87">
        <w:t xml:space="preserve">.  </w:t>
      </w:r>
      <w:r>
        <w:t>T</w:t>
      </w:r>
      <w:r w:rsidRPr="00976A87">
        <w:t xml:space="preserve">his </w:t>
      </w:r>
      <w:r w:rsidR="002576A2">
        <w:t>“</w:t>
      </w:r>
      <w:r w:rsidRPr="00581806">
        <w:t>ex ante</w:t>
      </w:r>
      <w:r w:rsidRPr="00976A87">
        <w:t xml:space="preserve"> cost-benefit analys</w:t>
      </w:r>
      <w:r>
        <w:t>i</w:t>
      </w:r>
      <w:r w:rsidRPr="00976A87">
        <w:t>s</w:t>
      </w:r>
      <w:r w:rsidR="002576A2">
        <w:t>”</w:t>
      </w:r>
      <w:r>
        <w:rPr>
          <w:rStyle w:val="FootnoteReference"/>
          <w:sz w:val="24"/>
          <w:vertAlign w:val="superscript"/>
        </w:rPr>
        <w:footnoteReference w:id="8"/>
      </w:r>
      <w:r w:rsidRPr="00976A87">
        <w:t xml:space="preserve"> provides useful information that</w:t>
      </w:r>
      <w:r w:rsidR="002576A2">
        <w:t xml:space="preserve"> the NRC</w:t>
      </w:r>
      <w:r w:rsidRPr="00976A87">
        <w:t xml:space="preserve"> can use </w:t>
      </w:r>
      <w:r w:rsidR="002576A2">
        <w:t>to</w:t>
      </w:r>
      <w:r w:rsidRPr="00976A87" w:rsidR="002576A2">
        <w:t xml:space="preserve"> </w:t>
      </w:r>
      <w:r w:rsidRPr="00976A87">
        <w:t>decid</w:t>
      </w:r>
      <w:r w:rsidR="002576A2">
        <w:t>e</w:t>
      </w:r>
      <w:r w:rsidRPr="00976A87">
        <w:t xml:space="preserve"> whether to select an alternative, </w:t>
      </w:r>
      <w:r>
        <w:t xml:space="preserve">even if </w:t>
      </w:r>
      <w:r w:rsidRPr="00976A87">
        <w:t>the analysis is based on estimates of the future costs and benefits.</w:t>
      </w:r>
    </w:p>
    <w:p w:rsidR="009128E1" w:rsidRPr="00976A87" w:rsidP="008440FA" w14:paraId="2917D009" w14:textId="77777777">
      <w:pPr>
        <w:spacing w:line="240" w:lineRule="auto"/>
      </w:pPr>
    </w:p>
    <w:p w:rsidR="009128E1" w:rsidRPr="00711891" w:rsidP="008440FA" w14:paraId="1194C223" w14:textId="034493F3">
      <w:pPr>
        <w:spacing w:line="240" w:lineRule="auto"/>
      </w:pPr>
      <w:r w:rsidRPr="00711891">
        <w:t xml:space="preserve">The potential benefits and costs </w:t>
      </w:r>
      <w:r>
        <w:t>of the alternatives</w:t>
      </w:r>
      <w:r w:rsidRPr="00711891">
        <w:t xml:space="preserve"> </w:t>
      </w:r>
      <w:r w:rsidR="003E0336">
        <w:t>are analyzed</w:t>
      </w:r>
      <w:r w:rsidRPr="00711891">
        <w:t xml:space="preserve"> for</w:t>
      </w:r>
      <w:r>
        <w:t xml:space="preserve"> </w:t>
      </w:r>
      <w:r w:rsidRPr="00711891">
        <w:t>(1)</w:t>
      </w:r>
      <w:r w:rsidR="002576A2">
        <w:t> </w:t>
      </w:r>
      <w:r w:rsidRPr="00711891">
        <w:t xml:space="preserve">SMR and </w:t>
      </w:r>
      <w:r w:rsidR="00C6347F">
        <w:t>ONT</w:t>
      </w:r>
      <w:r w:rsidRPr="00711891">
        <w:t xml:space="preserve"> </w:t>
      </w:r>
      <w:r w:rsidR="00586D8F">
        <w:t xml:space="preserve">applicants and </w:t>
      </w:r>
      <w:r w:rsidRPr="00711891">
        <w:t>licensees</w:t>
      </w:r>
      <w:r w:rsidR="003E0336">
        <w:t xml:space="preserve"> and</w:t>
      </w:r>
      <w:r w:rsidRPr="00711891">
        <w:t xml:space="preserve"> (2)</w:t>
      </w:r>
      <w:r w:rsidR="002576A2">
        <w:t> </w:t>
      </w:r>
      <w:r w:rsidRPr="00711891">
        <w:t>the NRC.</w:t>
      </w:r>
      <w:r>
        <w:rPr>
          <w:rStyle w:val="FootnoteReference"/>
          <w:vertAlign w:val="superscript"/>
        </w:rPr>
        <w:footnoteReference w:id="9"/>
      </w:r>
      <w:r>
        <w:t xml:space="preserve">  </w:t>
      </w:r>
      <w:r w:rsidRPr="00711891">
        <w:t xml:space="preserve">The analyses in this section are based on the </w:t>
      </w:r>
      <w:r w:rsidR="003971A5">
        <w:t>NRC</w:t>
      </w:r>
      <w:r w:rsidRPr="00711891">
        <w:t>’s assessment and input from stakeholders.</w:t>
      </w:r>
    </w:p>
    <w:p w:rsidR="009128E1" w:rsidRPr="00711891" w:rsidP="008440FA" w14:paraId="12E87C87" w14:textId="77777777">
      <w:pPr>
        <w:spacing w:line="240" w:lineRule="auto"/>
      </w:pPr>
    </w:p>
    <w:p w:rsidR="009128E1" w:rsidRPr="00711891" w:rsidP="008440FA" w14:paraId="7BFE0947" w14:textId="2BFADD3F">
      <w:pPr>
        <w:spacing w:line="240" w:lineRule="auto"/>
      </w:pPr>
      <w:r w:rsidRPr="00711891">
        <w:t xml:space="preserve">The </w:t>
      </w:r>
      <w:r w:rsidR="003971A5">
        <w:t>NRC</w:t>
      </w:r>
      <w:r w:rsidRPr="00711891">
        <w:t xml:space="preserve"> considered </w:t>
      </w:r>
      <w:r>
        <w:t xml:space="preserve">the exemption and guidance </w:t>
      </w:r>
      <w:r w:rsidRPr="00711891">
        <w:t>alternative to a rulemaking action</w:t>
      </w:r>
      <w:r w:rsidRPr="00A04389">
        <w:t xml:space="preserve">.  The </w:t>
      </w:r>
      <w:r w:rsidR="006B766E">
        <w:t>agency</w:t>
      </w:r>
      <w:r w:rsidRPr="00A04389" w:rsidR="006B766E">
        <w:t xml:space="preserve"> </w:t>
      </w:r>
      <w:r w:rsidRPr="00A04389">
        <w:t xml:space="preserve">is pursuing </w:t>
      </w:r>
      <w:r>
        <w:t xml:space="preserve">a </w:t>
      </w:r>
      <w:r w:rsidRPr="00A04389">
        <w:t xml:space="preserve">rulemaking because </w:t>
      </w:r>
      <w:r w:rsidR="0051209E">
        <w:t>such an action</w:t>
      </w:r>
      <w:r w:rsidRPr="00A04389">
        <w:t xml:space="preserve"> </w:t>
      </w:r>
      <w:r>
        <w:t>w</w:t>
      </w:r>
      <w:r w:rsidR="002525C0">
        <w:t>ill</w:t>
      </w:r>
      <w:r>
        <w:t xml:space="preserve"> establish</w:t>
      </w:r>
      <w:r w:rsidRPr="00A04389">
        <w:t xml:space="preserve"> a comprehensive regulatory framework </w:t>
      </w:r>
      <w:r>
        <w:t>that</w:t>
      </w:r>
      <w:r w:rsidRPr="00A04389">
        <w:t xml:space="preserve"> w</w:t>
      </w:r>
      <w:r w:rsidR="002525C0">
        <w:t>ill</w:t>
      </w:r>
      <w:r w:rsidRPr="00A04389">
        <w:t xml:space="preserve"> result in enhanced regulatory stability, predictability,</w:t>
      </w:r>
      <w:r w:rsidR="004B69A9">
        <w:t xml:space="preserve"> and</w:t>
      </w:r>
      <w:r w:rsidRPr="00A04389">
        <w:t xml:space="preserve"> clarity in </w:t>
      </w:r>
      <w:r w:rsidRPr="00A04389">
        <w:t xml:space="preserve">the licensing process and </w:t>
      </w:r>
      <w:r w:rsidR="00715AF7">
        <w:t xml:space="preserve">provide </w:t>
      </w:r>
      <w:r w:rsidR="004B69A9">
        <w:t xml:space="preserve">an </w:t>
      </w:r>
      <w:r w:rsidRPr="00A04389">
        <w:t xml:space="preserve">opportunity for stakeholder input on the regulatory framework.  This is also in keeping with the implementation of the Commission’s direction in </w:t>
      </w:r>
      <w:r w:rsidR="001A77C7">
        <w:t>S</w:t>
      </w:r>
      <w:r w:rsidR="00B92B00">
        <w:t xml:space="preserve">taff </w:t>
      </w:r>
      <w:r w:rsidR="001A77C7">
        <w:t>R</w:t>
      </w:r>
      <w:r w:rsidR="00B92B00">
        <w:t xml:space="preserve">equirements </w:t>
      </w:r>
      <w:r w:rsidR="001A77C7">
        <w:t>M</w:t>
      </w:r>
      <w:r w:rsidR="00B92B00">
        <w:t>emorand</w:t>
      </w:r>
      <w:r w:rsidR="008E7B18">
        <w:t>um</w:t>
      </w:r>
      <w:r w:rsidR="00B92B00">
        <w:t xml:space="preserve"> (</w:t>
      </w:r>
      <w:r w:rsidRPr="00A04389">
        <w:t>SRM</w:t>
      </w:r>
      <w:r w:rsidR="00B92B00">
        <w:t>)</w:t>
      </w:r>
      <w:r w:rsidR="008E7B18">
        <w:noBreakHyphen/>
      </w:r>
      <w:r w:rsidRPr="00A04389">
        <w:t>SECY</w:t>
      </w:r>
      <w:r w:rsidR="008E7B18">
        <w:noBreakHyphen/>
      </w:r>
      <w:r w:rsidRPr="00A04389">
        <w:t>15</w:t>
      </w:r>
      <w:r w:rsidR="008E7B18">
        <w:noBreakHyphen/>
      </w:r>
      <w:r w:rsidRPr="00A04389">
        <w:t>0077</w:t>
      </w:r>
      <w:r w:rsidR="008E7B18">
        <w:t>, “</w:t>
      </w:r>
      <w:r w:rsidRPr="006647C3" w:rsidR="008E7B18">
        <w:t>Staff Requirements—SECY</w:t>
      </w:r>
      <w:r w:rsidR="00715AF7">
        <w:noBreakHyphen/>
      </w:r>
      <w:r w:rsidRPr="006647C3" w:rsidR="008E7B18">
        <w:t>15</w:t>
      </w:r>
      <w:r w:rsidR="00715AF7">
        <w:noBreakHyphen/>
      </w:r>
      <w:r w:rsidRPr="006647C3" w:rsidR="008E7B18">
        <w:t xml:space="preserve">0077—Options for Emergency Preparedness for Small Modular Reactors and Other New Technologies,” </w:t>
      </w:r>
      <w:r w:rsidR="008E7B18">
        <w:t>dated August 4, 2015</w:t>
      </w:r>
      <w:r w:rsidRPr="006647C3">
        <w:t xml:space="preserve"> (</w:t>
      </w:r>
      <w:r>
        <w:t>NRC, 2015</w:t>
      </w:r>
      <w:r w:rsidR="00C07FB0">
        <w:t>b</w:t>
      </w:r>
      <w:r w:rsidRPr="006647C3">
        <w:t>)</w:t>
      </w:r>
      <w:r w:rsidR="008E7B18">
        <w:t>,</w:t>
      </w:r>
      <w:r w:rsidRPr="00A04389">
        <w:t xml:space="preserve"> and SRM</w:t>
      </w:r>
      <w:r w:rsidR="008E7B18">
        <w:noBreakHyphen/>
      </w:r>
      <w:r w:rsidRPr="00A04389">
        <w:t>SECY</w:t>
      </w:r>
      <w:r w:rsidRPr="00A04389">
        <w:noBreakHyphen/>
        <w:t>16-0069</w:t>
      </w:r>
      <w:r w:rsidR="008E7B18">
        <w:t xml:space="preserve">, </w:t>
      </w:r>
      <w:r w:rsidRPr="006647C3" w:rsidR="008E7B18">
        <w:t>“Staff Requirements—SECY</w:t>
      </w:r>
      <w:r w:rsidR="006B766E">
        <w:noBreakHyphen/>
      </w:r>
      <w:r w:rsidRPr="006647C3" w:rsidR="008E7B18">
        <w:t>16</w:t>
      </w:r>
      <w:r w:rsidR="006B766E">
        <w:noBreakHyphen/>
      </w:r>
      <w:r w:rsidRPr="006647C3" w:rsidR="008E7B18">
        <w:t xml:space="preserve">0069—Rulemaking Plan on Emergency Preparedness for Small Modular Reactors and Other New Technologies,” </w:t>
      </w:r>
      <w:r w:rsidR="008E7B18">
        <w:t>dated</w:t>
      </w:r>
      <w:r w:rsidRPr="006647C3" w:rsidR="008E7B18">
        <w:t xml:space="preserve"> June</w:t>
      </w:r>
      <w:r w:rsidR="008E7B18">
        <w:t> </w:t>
      </w:r>
      <w:r w:rsidRPr="006647C3" w:rsidR="008E7B18">
        <w:t>22,</w:t>
      </w:r>
      <w:r w:rsidR="008E7B18">
        <w:t> </w:t>
      </w:r>
      <w:r w:rsidRPr="006647C3" w:rsidR="008E7B18">
        <w:t>2016</w:t>
      </w:r>
      <w:r w:rsidR="008E7B18">
        <w:t xml:space="preserve"> (NRC, 2016b).</w:t>
      </w:r>
    </w:p>
    <w:p w:rsidR="009128E1" w:rsidRPr="00711891" w:rsidP="008440FA" w14:paraId="5BB6D882" w14:textId="77777777">
      <w:pPr>
        <w:spacing w:line="240" w:lineRule="auto"/>
      </w:pPr>
    </w:p>
    <w:p w:rsidR="009128E1" w:rsidRPr="00711891" w:rsidP="008440FA" w14:paraId="109CECD7" w14:textId="5559B656">
      <w:pPr>
        <w:spacing w:line="240" w:lineRule="auto"/>
      </w:pPr>
      <w:r>
        <w:t>T</w:t>
      </w:r>
      <w:r w:rsidRPr="00711891">
        <w:t xml:space="preserve">his </w:t>
      </w:r>
      <w:r>
        <w:t xml:space="preserve">section </w:t>
      </w:r>
      <w:r w:rsidRPr="00711891">
        <w:t>present</w:t>
      </w:r>
      <w:r w:rsidR="00056097">
        <w:t>s</w:t>
      </w:r>
      <w:r w:rsidRPr="00711891">
        <w:t xml:space="preserve"> the incremental benefits and costs that </w:t>
      </w:r>
      <w:r w:rsidR="00B377CD">
        <w:t>the NRC</w:t>
      </w:r>
      <w:r w:rsidR="00DC16B1">
        <w:t>, applicants</w:t>
      </w:r>
      <w:r w:rsidR="00963711">
        <w:t>,</w:t>
      </w:r>
      <w:r w:rsidR="00B377CD">
        <w:t xml:space="preserve"> and licensees </w:t>
      </w:r>
      <w:r w:rsidRPr="00711891">
        <w:t>w</w:t>
      </w:r>
      <w:r w:rsidR="00A456D6">
        <w:t>ill</w:t>
      </w:r>
      <w:r w:rsidRPr="00711891">
        <w:t xml:space="preserve"> incur</w:t>
      </w:r>
      <w:r>
        <w:t xml:space="preserve"> </w:t>
      </w:r>
      <w:r w:rsidRPr="00711891">
        <w:t>from the rulemaking action.  Incremental benefits and costs are calculated values and impacts that are above the baseline condition.  The baseline condition for this rulemaking action includes the benefits and costs to comply with</w:t>
      </w:r>
      <w:r w:rsidR="00B377CD">
        <w:t xml:space="preserve"> the</w:t>
      </w:r>
      <w:r w:rsidRPr="00711891">
        <w:t xml:space="preserve"> current EP regulations in 10</w:t>
      </w:r>
      <w:r w:rsidR="00B377CD">
        <w:t> </w:t>
      </w:r>
      <w:r w:rsidRPr="00711891">
        <w:t>CFR</w:t>
      </w:r>
      <w:r w:rsidR="00B377CD">
        <w:t> </w:t>
      </w:r>
      <w:r w:rsidRPr="00711891">
        <w:t>50.34; 10</w:t>
      </w:r>
      <w:r w:rsidR="00B377CD">
        <w:t> </w:t>
      </w:r>
      <w:r w:rsidRPr="00711891">
        <w:t>CFR</w:t>
      </w:r>
      <w:r w:rsidR="00B377CD">
        <w:t> </w:t>
      </w:r>
      <w:r w:rsidRPr="00711891">
        <w:t>50.47(b); 10</w:t>
      </w:r>
      <w:r w:rsidR="006B766E">
        <w:t> </w:t>
      </w:r>
      <w:r w:rsidRPr="00711891">
        <w:t>CFR</w:t>
      </w:r>
      <w:r w:rsidR="006B766E">
        <w:t> </w:t>
      </w:r>
      <w:r w:rsidRPr="00711891">
        <w:t>50.54</w:t>
      </w:r>
      <w:r w:rsidR="00B377CD">
        <w:t>, “Conditions of Licenses”</w:t>
      </w:r>
      <w:r w:rsidRPr="00711891">
        <w:t>; 10 CFR</w:t>
      </w:r>
      <w:r w:rsidR="006B766E">
        <w:t> </w:t>
      </w:r>
      <w:r w:rsidRPr="00711891">
        <w:t>Part</w:t>
      </w:r>
      <w:r w:rsidR="006B766E">
        <w:t> </w:t>
      </w:r>
      <w:r w:rsidRPr="00711891">
        <w:t>50</w:t>
      </w:r>
      <w:r>
        <w:t xml:space="preserve">, </w:t>
      </w:r>
      <w:r w:rsidRPr="00711891" w:rsidR="00B377CD">
        <w:t>Appendix</w:t>
      </w:r>
      <w:r w:rsidR="006B766E">
        <w:t> </w:t>
      </w:r>
      <w:r w:rsidRPr="00711891" w:rsidR="00B377CD">
        <w:t>E</w:t>
      </w:r>
      <w:r w:rsidR="00B377CD">
        <w:t xml:space="preserve">; and </w:t>
      </w:r>
      <w:r w:rsidRPr="00711891">
        <w:t>10</w:t>
      </w:r>
      <w:r w:rsidR="00B377CD">
        <w:t> </w:t>
      </w:r>
      <w:r w:rsidRPr="00711891">
        <w:t>CFR</w:t>
      </w:r>
      <w:r w:rsidR="00B377CD">
        <w:t> </w:t>
      </w:r>
      <w:r w:rsidRPr="00711891">
        <w:t>50.</w:t>
      </w:r>
      <w:r>
        <w:t>12</w:t>
      </w:r>
      <w:r w:rsidRPr="00711891">
        <w:t>, “</w:t>
      </w:r>
      <w:r>
        <w:t>Specific Exemptions”</w:t>
      </w:r>
      <w:r w:rsidRPr="00711891">
        <w:t xml:space="preserve"> </w:t>
      </w:r>
      <w:r w:rsidR="00B377CD">
        <w:t>(</w:t>
      </w:r>
      <w:r>
        <w:t>as applicable</w:t>
      </w:r>
      <w:r w:rsidR="00B377CD">
        <w:t>)</w:t>
      </w:r>
      <w:r w:rsidRPr="00711891">
        <w:t xml:space="preserve">.  Based on the </w:t>
      </w:r>
      <w:r w:rsidR="003971A5">
        <w:t>NRC</w:t>
      </w:r>
      <w:r w:rsidRPr="00711891">
        <w:t>’s assessment, the incremental benefits and costs for this rulemaking action include the following:</w:t>
      </w:r>
    </w:p>
    <w:p w:rsidR="009128E1" w:rsidRPr="00711891" w:rsidP="008440FA" w14:paraId="6F36A003" w14:textId="77777777">
      <w:pPr>
        <w:spacing w:line="240" w:lineRule="auto"/>
      </w:pPr>
    </w:p>
    <w:p w:rsidR="009128E1" w:rsidP="008440FA" w14:paraId="1DA57DDD" w14:textId="62D308FD">
      <w:pPr>
        <w:pStyle w:val="ListParagraph"/>
        <w:numPr>
          <w:ilvl w:val="0"/>
          <w:numId w:val="23"/>
        </w:numPr>
        <w:autoSpaceDE/>
        <w:autoSpaceDN/>
        <w:adjustRightInd/>
        <w:spacing w:line="240" w:lineRule="auto"/>
        <w:ind w:hanging="720"/>
        <w:contextualSpacing w:val="0"/>
      </w:pPr>
      <w:r w:rsidRPr="00711891">
        <w:t xml:space="preserve">incremental averted costs to </w:t>
      </w:r>
      <w:r w:rsidR="00B94023">
        <w:t xml:space="preserve">reduce </w:t>
      </w:r>
      <w:r w:rsidR="00B377CD">
        <w:t xml:space="preserve">the </w:t>
      </w:r>
      <w:r w:rsidRPr="00711891">
        <w:t xml:space="preserve">need </w:t>
      </w:r>
      <w:r>
        <w:t xml:space="preserve">for certain applicants </w:t>
      </w:r>
      <w:r w:rsidRPr="00711891">
        <w:t xml:space="preserve">to request exemptions from current EP </w:t>
      </w:r>
      <w:r w:rsidRPr="00711891">
        <w:t>regulations</w:t>
      </w:r>
    </w:p>
    <w:p w:rsidR="006B766E" w:rsidP="00AB0E8F" w14:paraId="550CCD9E" w14:textId="77777777">
      <w:pPr>
        <w:pStyle w:val="ListParagraph"/>
        <w:autoSpaceDE/>
        <w:autoSpaceDN/>
        <w:adjustRightInd/>
        <w:spacing w:line="240" w:lineRule="auto"/>
        <w:contextualSpacing w:val="0"/>
      </w:pPr>
    </w:p>
    <w:p w:rsidR="002A647A" w:rsidP="002A647A" w14:paraId="3EC0EDF7" w14:textId="6738FBF7">
      <w:pPr>
        <w:pStyle w:val="ListParagraph"/>
        <w:numPr>
          <w:ilvl w:val="0"/>
          <w:numId w:val="23"/>
        </w:numPr>
        <w:autoSpaceDE/>
        <w:autoSpaceDN/>
        <w:adjustRightInd/>
        <w:spacing w:line="240" w:lineRule="auto"/>
        <w:ind w:hanging="720"/>
        <w:contextualSpacing w:val="0"/>
      </w:pPr>
      <w:r w:rsidRPr="00711891">
        <w:t xml:space="preserve">incremental averted costs </w:t>
      </w:r>
      <w:r>
        <w:t>due to simplified, performance-based EP planning</w:t>
      </w:r>
      <w:r>
        <w:t xml:space="preserve">, both in the EP plans themselves and in subsequent LAR </w:t>
      </w:r>
      <w:r>
        <w:t>submissions</w:t>
      </w:r>
    </w:p>
    <w:p w:rsidR="006B766E" w:rsidRPr="00711891" w:rsidP="00AB0E8F" w14:paraId="10271D35" w14:textId="77777777">
      <w:pPr>
        <w:pStyle w:val="ListParagraph"/>
        <w:autoSpaceDE/>
        <w:autoSpaceDN/>
        <w:adjustRightInd/>
        <w:spacing w:line="240" w:lineRule="auto"/>
        <w:contextualSpacing w:val="0"/>
      </w:pPr>
    </w:p>
    <w:p w:rsidR="00CC42EE" w:rsidRPr="00711891" w:rsidP="00CC42EE" w14:paraId="14E6B981" w14:textId="5CE3996B">
      <w:pPr>
        <w:pStyle w:val="ListParagraph"/>
        <w:numPr>
          <w:ilvl w:val="0"/>
          <w:numId w:val="23"/>
        </w:numPr>
        <w:autoSpaceDE/>
        <w:autoSpaceDN/>
        <w:adjustRightInd/>
        <w:spacing w:line="240" w:lineRule="auto"/>
        <w:ind w:hanging="720"/>
        <w:contextualSpacing w:val="0"/>
      </w:pPr>
      <w:r w:rsidRPr="00711891">
        <w:t xml:space="preserve">incremental costs to </w:t>
      </w:r>
      <w:r w:rsidR="00783768">
        <w:t xml:space="preserve">augment the </w:t>
      </w:r>
      <w:r w:rsidR="000660CF">
        <w:t>probabilistic risk assessment (</w:t>
      </w:r>
      <w:r w:rsidR="00783768">
        <w:t>PRA</w:t>
      </w:r>
      <w:r w:rsidR="000660CF">
        <w:t>)</w:t>
      </w:r>
      <w:r w:rsidR="00783768">
        <w:t xml:space="preserve"> or provide an alternative type of analysis</w:t>
      </w:r>
      <w:r w:rsidR="002A647A">
        <w:t xml:space="preserve"> to justify the scaled-down </w:t>
      </w:r>
      <w:r w:rsidR="002A647A">
        <w:t>EPZ</w:t>
      </w:r>
    </w:p>
    <w:p w:rsidR="009128E1" w:rsidRPr="00711891" w:rsidP="008440FA" w14:paraId="6F5183F6" w14:textId="61FF3023">
      <w:pPr>
        <w:pStyle w:val="ListParagraph"/>
        <w:spacing w:line="240" w:lineRule="auto"/>
      </w:pPr>
    </w:p>
    <w:p w:rsidR="00790EE5" w:rsidP="00790EE5" w14:paraId="4E91A161" w14:textId="30899D00">
      <w:pPr>
        <w:tabs>
          <w:tab w:val="left" w:pos="1440"/>
          <w:tab w:val="left" w:pos="2160"/>
          <w:tab w:val="left" w:pos="9360"/>
        </w:tabs>
        <w:spacing w:line="240" w:lineRule="auto"/>
        <w:rPr>
          <w:rFonts w:eastAsia="Times New Roman"/>
        </w:rPr>
      </w:pPr>
      <w:r>
        <w:t>This cost estimate compares Alternative</w:t>
      </w:r>
      <w:r w:rsidR="000660CF">
        <w:t> </w:t>
      </w:r>
      <w:r>
        <w:t>1 (exemption requests) to Alternative</w:t>
      </w:r>
      <w:r w:rsidR="00B377CD">
        <w:t> </w:t>
      </w:r>
      <w:r>
        <w:t xml:space="preserve">2 (rulemaking).  </w:t>
      </w:r>
      <w:r w:rsidR="00EA286A">
        <w:t>B</w:t>
      </w:r>
      <w:r>
        <w:t xml:space="preserve">oth alternatives have considerable averted costs when compared to </w:t>
      </w:r>
      <w:r w:rsidR="00B377CD">
        <w:t xml:space="preserve">compliance </w:t>
      </w:r>
      <w:r>
        <w:t>with the current EP regulations</w:t>
      </w:r>
      <w:r w:rsidR="00B377CD">
        <w:t xml:space="preserve"> </w:t>
      </w:r>
      <w:r>
        <w:t xml:space="preserve">because both alternatives provide regulatory action to reduce the </w:t>
      </w:r>
      <w:r w:rsidR="00352DF0">
        <w:t xml:space="preserve">number of </w:t>
      </w:r>
      <w:r>
        <w:t>siren stations</w:t>
      </w:r>
      <w:r w:rsidR="00557B51">
        <w:t xml:space="preserve"> and their</w:t>
      </w:r>
      <w:r>
        <w:t xml:space="preserve"> </w:t>
      </w:r>
      <w:r w:rsidR="00B377CD">
        <w:t>maintenance</w:t>
      </w:r>
      <w:r>
        <w:t xml:space="preserve"> and various EP activities that affect protective actions outside the site boundary.</w:t>
      </w:r>
      <w:r w:rsidR="002A647A">
        <w:t xml:space="preserve">  </w:t>
      </w:r>
      <w:r w:rsidRPr="00711891">
        <w:rPr>
          <w:rFonts w:eastAsia="Times New Roman"/>
        </w:rPr>
        <w:t xml:space="preserve">The </w:t>
      </w:r>
      <w:r>
        <w:rPr>
          <w:rFonts w:eastAsia="Times New Roman"/>
        </w:rPr>
        <w:t>NRC</w:t>
      </w:r>
      <w:r w:rsidRPr="00711891">
        <w:rPr>
          <w:rFonts w:eastAsia="Times New Roman"/>
        </w:rPr>
        <w:t xml:space="preserve"> believes that </w:t>
      </w:r>
      <w:r>
        <w:rPr>
          <w:rFonts w:eastAsia="Times New Roman"/>
        </w:rPr>
        <w:t xml:space="preserve">a </w:t>
      </w:r>
      <w:r w:rsidRPr="00711891">
        <w:rPr>
          <w:rFonts w:eastAsia="Times New Roman"/>
        </w:rPr>
        <w:t xml:space="preserve">plume exposure pathway </w:t>
      </w:r>
      <w:r w:rsidRPr="00711891">
        <w:rPr>
          <w:rFonts w:eastAsia="Times New Roman"/>
        </w:rPr>
        <w:t>EPZ</w:t>
      </w:r>
      <w:r w:rsidRPr="00711891">
        <w:rPr>
          <w:rFonts w:eastAsia="Times New Roman"/>
        </w:rPr>
        <w:t xml:space="preserve"> at the site boundary</w:t>
      </w:r>
      <w:r>
        <w:rPr>
          <w:rFonts w:eastAsia="Times New Roman"/>
        </w:rPr>
        <w:t xml:space="preserve"> </w:t>
      </w:r>
      <w:r w:rsidRPr="00711891">
        <w:rPr>
          <w:rFonts w:eastAsia="Times New Roman"/>
        </w:rPr>
        <w:t>w</w:t>
      </w:r>
      <w:r>
        <w:rPr>
          <w:rFonts w:eastAsia="Times New Roman"/>
        </w:rPr>
        <w:t>ill</w:t>
      </w:r>
      <w:r w:rsidRPr="00711891">
        <w:rPr>
          <w:rFonts w:eastAsia="Times New Roman"/>
        </w:rPr>
        <w:t xml:space="preserve"> </w:t>
      </w:r>
      <w:r>
        <w:rPr>
          <w:rFonts w:eastAsia="Times New Roman"/>
        </w:rPr>
        <w:t>result in</w:t>
      </w:r>
      <w:r w:rsidRPr="00711891">
        <w:rPr>
          <w:rFonts w:eastAsia="Times New Roman"/>
        </w:rPr>
        <w:t xml:space="preserve"> significant incremental averted costs to </w:t>
      </w:r>
      <w:r>
        <w:rPr>
          <w:rFonts w:eastAsia="Times New Roman"/>
        </w:rPr>
        <w:t xml:space="preserve">applicants and </w:t>
      </w:r>
      <w:r w:rsidRPr="00711891">
        <w:rPr>
          <w:rFonts w:eastAsia="Times New Roman"/>
        </w:rPr>
        <w:t xml:space="preserve">licensees.  </w:t>
      </w:r>
      <w:r>
        <w:rPr>
          <w:rFonts w:eastAsia="Times New Roman"/>
        </w:rPr>
        <w:t>However, both Alternative</w:t>
      </w:r>
      <w:r w:rsidR="000660CF">
        <w:rPr>
          <w:rFonts w:eastAsia="Times New Roman"/>
        </w:rPr>
        <w:t> </w:t>
      </w:r>
      <w:r>
        <w:rPr>
          <w:rFonts w:eastAsia="Times New Roman"/>
        </w:rPr>
        <w:t>1 and Alternative 2 avert these EP</w:t>
      </w:r>
      <w:r w:rsidRPr="187F6C87" w:rsidR="4E82252C">
        <w:rPr>
          <w:rFonts w:eastAsia="Times New Roman"/>
        </w:rPr>
        <w:t xml:space="preserve"> </w:t>
      </w:r>
      <w:r>
        <w:rPr>
          <w:rFonts w:eastAsia="Times New Roman"/>
        </w:rPr>
        <w:t>related costs from each expected SMR or ONT applicant or licensee throughout its license term.</w:t>
      </w:r>
      <w:r w:rsidR="00BE5B15">
        <w:rPr>
          <w:rFonts w:eastAsia="Times New Roman"/>
        </w:rPr>
        <w:t xml:space="preserve">  This analysis does not provide a comparative cost estimate of this averted cost and the regulatory baseline because the averted cost difference between Alternative 1 and Alternative 2 is not significant.</w:t>
      </w:r>
    </w:p>
    <w:p w:rsidR="00352DF0" w:rsidP="008440FA" w14:paraId="2428FDFF" w14:textId="77777777">
      <w:pPr>
        <w:spacing w:line="240" w:lineRule="auto"/>
      </w:pPr>
    </w:p>
    <w:p w:rsidR="009128E1" w:rsidP="008440FA" w14:paraId="117FDC6C" w14:textId="02A480D5">
      <w:pPr>
        <w:spacing w:line="240" w:lineRule="auto"/>
      </w:pPr>
      <w:r>
        <w:t>The</w:t>
      </w:r>
      <w:r w:rsidRPr="00E965A8">
        <w:t xml:space="preserve"> </w:t>
      </w:r>
      <w:r w:rsidR="003D402D">
        <w:t xml:space="preserve">NRC requested input from stakeholders on the </w:t>
      </w:r>
      <w:r w:rsidRPr="00E965A8">
        <w:t xml:space="preserve">benefits and costs described in this </w:t>
      </w:r>
      <w:r>
        <w:t>regulatory</w:t>
      </w:r>
      <w:r w:rsidRPr="00E965A8">
        <w:t xml:space="preserve"> analysis.  </w:t>
      </w:r>
      <w:r w:rsidR="0067547C">
        <w:t>Based on t</w:t>
      </w:r>
      <w:r w:rsidRPr="00711891">
        <w:t xml:space="preserve">he </w:t>
      </w:r>
      <w:r w:rsidR="00352DF0">
        <w:t>public comment</w:t>
      </w:r>
      <w:r w:rsidR="0067547C">
        <w:t>s</w:t>
      </w:r>
      <w:r w:rsidR="00352DF0">
        <w:t xml:space="preserve"> and feedback </w:t>
      </w:r>
      <w:r w:rsidR="0067547C">
        <w:t xml:space="preserve">received </w:t>
      </w:r>
      <w:r w:rsidR="00352DF0">
        <w:t xml:space="preserve">on </w:t>
      </w:r>
      <w:r w:rsidRPr="00711891">
        <w:t>the proposed rule and related guidance</w:t>
      </w:r>
      <w:r w:rsidR="0067547C">
        <w:t>, the NRC has</w:t>
      </w:r>
      <w:r w:rsidRPr="00E965A8">
        <w:t xml:space="preserve"> refine</w:t>
      </w:r>
      <w:r w:rsidR="004670B7">
        <w:t>d</w:t>
      </w:r>
      <w:r w:rsidRPr="00711891">
        <w:t xml:space="preserve"> th</w:t>
      </w:r>
      <w:r w:rsidR="0067547C">
        <w:t>is</w:t>
      </w:r>
      <w:r w:rsidRPr="00711891">
        <w:t xml:space="preserve"> analys</w:t>
      </w:r>
      <w:r w:rsidR="0067547C">
        <w:t>i</w:t>
      </w:r>
      <w:r w:rsidRPr="00711891">
        <w:t>s</w:t>
      </w:r>
      <w:r w:rsidR="0067547C">
        <w:t xml:space="preserve"> </w:t>
      </w:r>
      <w:r w:rsidR="00A4206E">
        <w:t>to calculate and include the</w:t>
      </w:r>
      <w:r w:rsidR="0067547C">
        <w:t xml:space="preserve"> </w:t>
      </w:r>
      <w:r w:rsidR="008B2DEF">
        <w:t xml:space="preserve">estimated additional </w:t>
      </w:r>
      <w:r w:rsidR="00B44EDC">
        <w:t xml:space="preserve">costs </w:t>
      </w:r>
      <w:r w:rsidR="008B2DEF">
        <w:t>on applicants and the NRC for</w:t>
      </w:r>
      <w:r w:rsidR="005E3B8F">
        <w:t xml:space="preserve"> </w:t>
      </w:r>
      <w:r w:rsidR="008B2DEF">
        <w:t xml:space="preserve">PRA or other analyses to support the scalable plume exposure </w:t>
      </w:r>
      <w:r w:rsidR="008B2DEF">
        <w:t>EPZ</w:t>
      </w:r>
      <w:r w:rsidR="00EF635F">
        <w:t>.</w:t>
      </w:r>
    </w:p>
    <w:p w:rsidR="009128E1" w:rsidP="008440FA" w14:paraId="7137DE84" w14:textId="77777777">
      <w:pPr>
        <w:spacing w:line="240" w:lineRule="auto"/>
      </w:pPr>
    </w:p>
    <w:p w:rsidR="009128E1" w:rsidRPr="00461295" w:rsidP="008440FA" w14:paraId="0F1D70F6" w14:textId="5B6CBAF1">
      <w:pPr>
        <w:pStyle w:val="Heading2"/>
        <w:numPr>
          <w:ilvl w:val="1"/>
          <w:numId w:val="34"/>
        </w:numPr>
        <w:spacing w:line="240" w:lineRule="auto"/>
        <w:ind w:hanging="792"/>
      </w:pPr>
      <w:bookmarkStart w:id="133" w:name="_Ref422721898"/>
      <w:bookmarkStart w:id="134" w:name="_Toc456098259"/>
      <w:bookmarkStart w:id="135" w:name="_Toc457827272"/>
      <w:bookmarkStart w:id="136" w:name="_Toc70669507"/>
      <w:bookmarkStart w:id="137" w:name="_Toc85198606"/>
      <w:r w:rsidRPr="00461295">
        <w:t>Industry Operation</w:t>
      </w:r>
      <w:bookmarkEnd w:id="133"/>
      <w:bookmarkEnd w:id="134"/>
      <w:bookmarkEnd w:id="135"/>
      <w:bookmarkEnd w:id="136"/>
      <w:bookmarkEnd w:id="137"/>
    </w:p>
    <w:p w:rsidR="009128E1" w:rsidRPr="00CE50C7" w:rsidP="008440FA" w14:paraId="77834FFA" w14:textId="2B4A4296">
      <w:pPr>
        <w:keepNext/>
        <w:spacing w:line="240" w:lineRule="auto"/>
      </w:pPr>
    </w:p>
    <w:p w:rsidR="009128E1" w:rsidRPr="00711891" w:rsidP="008440FA" w14:paraId="03A01605" w14:textId="269D4546">
      <w:pPr>
        <w:tabs>
          <w:tab w:val="left" w:pos="1440"/>
          <w:tab w:val="left" w:pos="2160"/>
        </w:tabs>
        <w:spacing w:line="240" w:lineRule="auto"/>
        <w:rPr>
          <w:rFonts w:eastAsia="Times New Roman"/>
        </w:rPr>
      </w:pPr>
      <w:r>
        <w:rPr>
          <w:rFonts w:eastAsia="Times New Roman"/>
        </w:rPr>
        <w:t>Alternative</w:t>
      </w:r>
      <w:r w:rsidR="00FC3B7D">
        <w:rPr>
          <w:rFonts w:eastAsia="Times New Roman"/>
        </w:rPr>
        <w:t> </w:t>
      </w:r>
      <w:r>
        <w:rPr>
          <w:rFonts w:eastAsia="Times New Roman"/>
        </w:rPr>
        <w:t>2 w</w:t>
      </w:r>
      <w:r w:rsidR="00A456D6">
        <w:rPr>
          <w:rFonts w:eastAsia="Times New Roman"/>
        </w:rPr>
        <w:t>ill</w:t>
      </w:r>
      <w:r w:rsidRPr="00711891">
        <w:rPr>
          <w:rFonts w:eastAsia="Times New Roman"/>
        </w:rPr>
        <w:t xml:space="preserve"> </w:t>
      </w:r>
      <w:r>
        <w:rPr>
          <w:rFonts w:eastAsia="Times New Roman"/>
        </w:rPr>
        <w:t>amend the</w:t>
      </w:r>
      <w:r w:rsidRPr="00711891">
        <w:rPr>
          <w:rFonts w:eastAsia="Times New Roman"/>
        </w:rPr>
        <w:t xml:space="preserve"> EP regulations specifically for SMRs and </w:t>
      </w:r>
      <w:r w:rsidR="00C6347F">
        <w:rPr>
          <w:rFonts w:eastAsia="Times New Roman"/>
        </w:rPr>
        <w:t>ONT</w:t>
      </w:r>
      <w:r w:rsidRPr="00711891">
        <w:rPr>
          <w:rFonts w:eastAsia="Times New Roman"/>
        </w:rPr>
        <w:t xml:space="preserve">s.  </w:t>
      </w:r>
      <w:r>
        <w:rPr>
          <w:rFonts w:eastAsia="Times New Roman"/>
        </w:rPr>
        <w:t>These</w:t>
      </w:r>
      <w:r w:rsidRPr="00711891">
        <w:rPr>
          <w:rFonts w:eastAsia="Times New Roman"/>
        </w:rPr>
        <w:t xml:space="preserve"> </w:t>
      </w:r>
      <w:r w:rsidR="00DC16B1">
        <w:rPr>
          <w:rFonts w:eastAsia="Times New Roman"/>
        </w:rPr>
        <w:t xml:space="preserve">applicants and </w:t>
      </w:r>
      <w:r w:rsidRPr="00711891">
        <w:rPr>
          <w:rFonts w:eastAsia="Times New Roman"/>
        </w:rPr>
        <w:t xml:space="preserve">licensees </w:t>
      </w:r>
      <w:r>
        <w:rPr>
          <w:rFonts w:eastAsia="Times New Roman"/>
        </w:rPr>
        <w:t>w</w:t>
      </w:r>
      <w:r w:rsidR="00557B51">
        <w:rPr>
          <w:rFonts w:eastAsia="Times New Roman"/>
        </w:rPr>
        <w:t>ould</w:t>
      </w:r>
      <w:r w:rsidRPr="00711891">
        <w:rPr>
          <w:rFonts w:eastAsia="Times New Roman"/>
        </w:rPr>
        <w:t xml:space="preserve"> not have to incur the incremental costs associated with the exemption process</w:t>
      </w:r>
      <w:r w:rsidRPr="00711891">
        <w:t xml:space="preserve"> that </w:t>
      </w:r>
      <w:r w:rsidRPr="00711891" w:rsidR="00557B51">
        <w:rPr>
          <w:rFonts w:eastAsia="Times New Roman"/>
        </w:rPr>
        <w:t>the current EP regulations</w:t>
      </w:r>
      <w:r w:rsidRPr="00711891" w:rsidR="00557B51">
        <w:t xml:space="preserve"> </w:t>
      </w:r>
      <w:r w:rsidRPr="00711891">
        <w:t xml:space="preserve">would </w:t>
      </w:r>
      <w:r w:rsidRPr="00711891" w:rsidR="00FC3B7D">
        <w:t xml:space="preserve">otherwise </w:t>
      </w:r>
      <w:r w:rsidRPr="00711891">
        <w:rPr>
          <w:rFonts w:eastAsia="Times New Roman"/>
        </w:rPr>
        <w:t xml:space="preserve">require.  This includes the costs of preparing the exemption requests and responding to the NRC’s requests for additional information </w:t>
      </w:r>
      <w:r w:rsidR="0053704F">
        <w:rPr>
          <w:rFonts w:eastAsia="Times New Roman"/>
        </w:rPr>
        <w:t>through</w:t>
      </w:r>
      <w:r w:rsidRPr="00711891" w:rsidR="0053704F">
        <w:rPr>
          <w:rFonts w:eastAsia="Times New Roman"/>
        </w:rPr>
        <w:t xml:space="preserve"> </w:t>
      </w:r>
      <w:r w:rsidRPr="00711891">
        <w:rPr>
          <w:rFonts w:eastAsia="Times New Roman"/>
        </w:rPr>
        <w:t xml:space="preserve">multifaceted interactions, such as correspondence, </w:t>
      </w:r>
      <w:r>
        <w:rPr>
          <w:rFonts w:eastAsia="Times New Roman"/>
        </w:rPr>
        <w:t xml:space="preserve">teleconferences, and meetings.  </w:t>
      </w:r>
      <w:r w:rsidRPr="0067090F" w:rsidR="003C19A1">
        <w:rPr>
          <w:rFonts w:eastAsia="Times New Roman"/>
        </w:rPr>
        <w:t xml:space="preserve">The data </w:t>
      </w:r>
      <w:r w:rsidR="003C19A1">
        <w:rPr>
          <w:rFonts w:eastAsia="Times New Roman"/>
        </w:rPr>
        <w:t xml:space="preserve">on future license applications </w:t>
      </w:r>
      <w:r w:rsidR="0053704F">
        <w:rPr>
          <w:rFonts w:eastAsia="Times New Roman"/>
        </w:rPr>
        <w:t>are</w:t>
      </w:r>
      <w:r w:rsidRPr="0067090F" w:rsidR="0053704F">
        <w:rPr>
          <w:rFonts w:eastAsia="Times New Roman"/>
        </w:rPr>
        <w:t xml:space="preserve"> </w:t>
      </w:r>
      <w:r w:rsidRPr="0067090F" w:rsidR="003C19A1">
        <w:rPr>
          <w:rFonts w:eastAsia="Times New Roman"/>
        </w:rPr>
        <w:t xml:space="preserve">based on the </w:t>
      </w:r>
      <w:r w:rsidR="003971A5">
        <w:rPr>
          <w:rFonts w:eastAsia="Times New Roman"/>
        </w:rPr>
        <w:t>NRC</w:t>
      </w:r>
      <w:r w:rsidRPr="0067090F" w:rsidR="003C19A1">
        <w:rPr>
          <w:rFonts w:eastAsia="Times New Roman"/>
        </w:rPr>
        <w:t>’s current knowledge of the affected entities</w:t>
      </w:r>
      <w:r w:rsidR="00A80512">
        <w:rPr>
          <w:rFonts w:eastAsia="Times New Roman"/>
        </w:rPr>
        <w:t>’</w:t>
      </w:r>
      <w:r w:rsidRPr="0067090F" w:rsidR="003C19A1">
        <w:rPr>
          <w:rFonts w:eastAsia="Times New Roman"/>
        </w:rPr>
        <w:t xml:space="preserve"> plans and the expected timing of the license applications</w:t>
      </w:r>
      <w:r w:rsidRPr="00A00AC6" w:rsidR="003C19A1">
        <w:rPr>
          <w:rFonts w:eastAsia="Times New Roman"/>
        </w:rPr>
        <w:t xml:space="preserve">.  </w:t>
      </w:r>
      <w:r w:rsidRPr="005E7D9C" w:rsidR="005E7D9C">
        <w:rPr>
          <w:rFonts w:eastAsia="Times New Roman"/>
        </w:rPr>
        <w:fldChar w:fldCharType="begin"/>
      </w:r>
      <w:r w:rsidRPr="005E7D9C" w:rsidR="005E7D9C">
        <w:rPr>
          <w:rFonts w:eastAsia="Times New Roman"/>
        </w:rPr>
        <w:instrText xml:space="preserve"> REF _Ref85198870 \h  \* MERGEFORMAT </w:instrText>
      </w:r>
      <w:r w:rsidRPr="005E7D9C" w:rsidR="005E7D9C">
        <w:rPr>
          <w:rFonts w:eastAsia="Times New Roman"/>
        </w:rPr>
        <w:fldChar w:fldCharType="separate"/>
      </w:r>
      <w:r w:rsidRPr="005E7D9C" w:rsidR="005E7D9C">
        <w:rPr>
          <w:rFonts w:eastAsia="Times New Roman"/>
        </w:rPr>
        <w:fldChar w:fldCharType="end"/>
      </w:r>
      <w:r w:rsidRPr="005E7D9C" w:rsidR="005E7D9C">
        <w:rPr>
          <w:rFonts w:eastAsia="Times New Roman"/>
        </w:rPr>
        <w:fldChar w:fldCharType="begin"/>
      </w:r>
      <w:r w:rsidRPr="005E7D9C" w:rsidR="005E7D9C">
        <w:rPr>
          <w:rFonts w:eastAsia="Times New Roman"/>
        </w:rPr>
        <w:instrText xml:space="preserve"> REF _Ref85198870 \h  \* MERGEFORMAT </w:instrText>
      </w:r>
      <w:r w:rsidRPr="005E7D9C" w:rsidR="005E7D9C">
        <w:rPr>
          <w:rFonts w:eastAsia="Times New Roman"/>
        </w:rPr>
        <w:fldChar w:fldCharType="separate"/>
      </w:r>
      <w:r w:rsidRPr="005E7D9C" w:rsidR="005E7D9C">
        <w:t xml:space="preserve">Table </w:t>
      </w:r>
      <w:r w:rsidRPr="005E7D9C" w:rsidR="005E7D9C">
        <w:rPr>
          <w:noProof/>
        </w:rPr>
        <w:t>3</w:t>
      </w:r>
      <w:r w:rsidRPr="005E7D9C" w:rsidR="005E7D9C">
        <w:rPr>
          <w:rFonts w:eastAsia="Times New Roman"/>
        </w:rPr>
        <w:fldChar w:fldCharType="end"/>
      </w:r>
      <w:r w:rsidRPr="005E7D9C">
        <w:rPr>
          <w:rFonts w:eastAsia="Times New Roman"/>
        </w:rPr>
        <w:t xml:space="preserve"> </w:t>
      </w:r>
      <w:r w:rsidRPr="00A00AC6">
        <w:rPr>
          <w:rFonts w:eastAsia="Times New Roman"/>
        </w:rPr>
        <w:t>shows</w:t>
      </w:r>
      <w:r w:rsidR="00B944DC">
        <w:rPr>
          <w:rFonts w:eastAsia="Times New Roman"/>
        </w:rPr>
        <w:t xml:space="preserve"> </w:t>
      </w:r>
      <w:r w:rsidR="00B944DC">
        <w:rPr>
          <w:rFonts w:eastAsia="Times New Roman"/>
        </w:rPr>
        <w:t xml:space="preserve">these averted costs, </w:t>
      </w:r>
      <w:r w:rsidRPr="00B944DC" w:rsidR="00B944DC">
        <w:rPr>
          <w:rFonts w:eastAsia="Times New Roman"/>
        </w:rPr>
        <w:t>using the NRC assumptions for the timing and number of the exemption requests and the proprietary application submittal information provided to the NRC.</w:t>
      </w:r>
      <w:r w:rsidR="00B944DC">
        <w:rPr>
          <w:rFonts w:eastAsia="Times New Roman"/>
        </w:rPr>
        <w:t xml:space="preserve">  </w:t>
      </w:r>
      <w:r>
        <w:rPr>
          <w:rFonts w:eastAsia="Times New Roman"/>
        </w:rPr>
        <w:t>The NRC estimates that each applicant w</w:t>
      </w:r>
      <w:r w:rsidR="00A456D6">
        <w:rPr>
          <w:rFonts w:eastAsia="Times New Roman"/>
        </w:rPr>
        <w:t>ill</w:t>
      </w:r>
      <w:r>
        <w:rPr>
          <w:rFonts w:eastAsia="Times New Roman"/>
        </w:rPr>
        <w:t xml:space="preserve"> need</w:t>
      </w:r>
      <w:r w:rsidR="003F33C2">
        <w:rPr>
          <w:rFonts w:eastAsia="Times New Roman"/>
        </w:rPr>
        <w:t xml:space="preserve"> 1,483</w:t>
      </w:r>
      <w:r w:rsidR="00A80512">
        <w:rPr>
          <w:rFonts w:eastAsia="Times New Roman"/>
        </w:rPr>
        <w:t> </w:t>
      </w:r>
      <w:r>
        <w:rPr>
          <w:rFonts w:eastAsia="Times New Roman"/>
        </w:rPr>
        <w:t>person-hours to prepare and submit an exemptio</w:t>
      </w:r>
      <w:r w:rsidR="003C19A1">
        <w:rPr>
          <w:rFonts w:eastAsia="Times New Roman"/>
        </w:rPr>
        <w:t>n request and</w:t>
      </w:r>
      <w:r w:rsidRPr="00711891">
        <w:rPr>
          <w:rFonts w:eastAsia="Times New Roman"/>
        </w:rPr>
        <w:t xml:space="preserve"> </w:t>
      </w:r>
      <w:r>
        <w:rPr>
          <w:rFonts w:eastAsia="Times New Roman"/>
        </w:rPr>
        <w:t xml:space="preserve">that </w:t>
      </w:r>
      <w:r w:rsidRPr="00711891">
        <w:rPr>
          <w:rFonts w:eastAsia="Times New Roman"/>
        </w:rPr>
        <w:t xml:space="preserve">the weighted hourly labor rate </w:t>
      </w:r>
      <w:r>
        <w:rPr>
          <w:rFonts w:eastAsia="Times New Roman"/>
        </w:rPr>
        <w:t>for personnel preparing these documents is $1</w:t>
      </w:r>
      <w:r w:rsidR="00D573D0">
        <w:rPr>
          <w:rFonts w:eastAsia="Times New Roman"/>
        </w:rPr>
        <w:t>2</w:t>
      </w:r>
      <w:r w:rsidR="00EF635F">
        <w:rPr>
          <w:rFonts w:eastAsia="Times New Roman"/>
        </w:rPr>
        <w:t>1</w:t>
      </w:r>
      <w:r>
        <w:rPr>
          <w:rFonts w:eastAsia="Times New Roman"/>
        </w:rPr>
        <w:t> </w:t>
      </w:r>
      <w:r w:rsidRPr="00711891">
        <w:rPr>
          <w:rFonts w:eastAsia="Times New Roman"/>
        </w:rPr>
        <w:t>per hour.</w:t>
      </w:r>
      <w:r w:rsidR="00B94023">
        <w:rPr>
          <w:rFonts w:eastAsia="Times New Roman"/>
        </w:rPr>
        <w:t xml:space="preserve"> </w:t>
      </w:r>
      <w:r w:rsidR="00A80512">
        <w:t xml:space="preserve"> Appendix</w:t>
      </w:r>
      <w:r w:rsidR="00FC3B7D">
        <w:t> </w:t>
      </w:r>
      <w:r w:rsidR="00A80512">
        <w:t>B to this document provides a</w:t>
      </w:r>
      <w:r>
        <w:t xml:space="preserve"> detailed table showing all the input costs that </w:t>
      </w:r>
      <w:r w:rsidR="00A80512">
        <w:t xml:space="preserve">the </w:t>
      </w:r>
      <w:r w:rsidR="003971A5">
        <w:t>NRC</w:t>
      </w:r>
      <w:r w:rsidR="00A80512">
        <w:t xml:space="preserve"> </w:t>
      </w:r>
      <w:r>
        <w:t>used for this analysis</w:t>
      </w:r>
      <w:r w:rsidR="000F4172">
        <w:t>.</w:t>
      </w:r>
      <w:r w:rsidR="00BA01DC">
        <w:t xml:space="preserve">  While </w:t>
      </w:r>
      <w:r w:rsidR="00FC3B7D">
        <w:t xml:space="preserve">this analysis </w:t>
      </w:r>
      <w:r w:rsidR="00483066">
        <w:t>includes</w:t>
      </w:r>
      <w:r w:rsidR="00BA01DC">
        <w:t xml:space="preserve"> </w:t>
      </w:r>
      <w:r w:rsidR="00BA402E">
        <w:t>12</w:t>
      </w:r>
      <w:r w:rsidR="00BA01DC">
        <w:t xml:space="preserve"> SMRs and ONTs</w:t>
      </w:r>
      <w:r w:rsidR="003602BC">
        <w:t xml:space="preserve"> as input</w:t>
      </w:r>
      <w:r w:rsidR="00BA01DC">
        <w:t xml:space="preserve">, </w:t>
      </w:r>
      <w:r w:rsidR="00BA402E">
        <w:t>1</w:t>
      </w:r>
      <w:r w:rsidR="00C550E8">
        <w:t xml:space="preserve"> has already submitted an exemption request as part of its initial application process</w:t>
      </w:r>
      <w:r w:rsidR="005E61B8">
        <w:t>,</w:t>
      </w:r>
      <w:r w:rsidR="00685946">
        <w:t xml:space="preserve"> and 2 more are </w:t>
      </w:r>
      <w:r w:rsidR="000B4B6B">
        <w:t xml:space="preserve">expected </w:t>
      </w:r>
      <w:r w:rsidR="00685946">
        <w:t>to submit their applications along with exemption requests prior to the issuance of the final rule</w:t>
      </w:r>
      <w:r w:rsidR="005E61B8">
        <w:t xml:space="preserve"> in 2022</w:t>
      </w:r>
      <w:r w:rsidR="00C550E8">
        <w:t xml:space="preserve">.  Therefore, </w:t>
      </w:r>
      <w:r w:rsidR="00557B51">
        <w:t xml:space="preserve">the final rule averts </w:t>
      </w:r>
      <w:r w:rsidR="00C550E8">
        <w:t xml:space="preserve">only </w:t>
      </w:r>
      <w:r w:rsidR="00685946">
        <w:t>9</w:t>
      </w:r>
      <w:r w:rsidR="00C550E8">
        <w:t xml:space="preserve"> exemption requests in the</w:t>
      </w:r>
      <w:r w:rsidR="00490EB7">
        <w:t xml:space="preserve"> regulatory analysis</w:t>
      </w:r>
      <w:r w:rsidR="00C550E8">
        <w:t xml:space="preserve"> cost estimate.</w:t>
      </w:r>
    </w:p>
    <w:p w:rsidR="009128E1" w:rsidRPr="00711891" w:rsidP="008440FA" w14:paraId="2F797C62" w14:textId="77777777">
      <w:pPr>
        <w:tabs>
          <w:tab w:val="left" w:pos="1440"/>
          <w:tab w:val="left" w:pos="2160"/>
        </w:tabs>
        <w:spacing w:line="240" w:lineRule="auto"/>
        <w:rPr>
          <w:rFonts w:eastAsia="Times New Roman"/>
        </w:rPr>
      </w:pPr>
    </w:p>
    <w:p w:rsidR="009128E1" w:rsidRPr="00581806" w:rsidP="50DD1F0A" w14:paraId="62A588C7" w14:textId="5B140C3B">
      <w:pPr>
        <w:pStyle w:val="Caption"/>
        <w:spacing w:after="120" w:line="240" w:lineRule="auto"/>
        <w:ind w:left="990" w:hanging="1080"/>
        <w:jc w:val="center"/>
        <w:rPr>
          <w:b/>
        </w:rPr>
      </w:pPr>
      <w:bookmarkStart w:id="138" w:name="_Ref85198870"/>
      <w:bookmarkStart w:id="139" w:name="_Ref506274020"/>
      <w:bookmarkStart w:id="140" w:name="_Toc70669540"/>
      <w:bookmarkStart w:id="141" w:name="_Toc85198659"/>
      <w:r w:rsidRPr="50DD1F0A">
        <w:rPr>
          <w:b/>
        </w:rPr>
        <w:t xml:space="preserve">Table </w:t>
      </w:r>
      <w:r w:rsidRPr="50DD1F0A">
        <w:rPr>
          <w:b/>
        </w:rPr>
        <w:fldChar w:fldCharType="begin"/>
      </w:r>
      <w:r w:rsidRPr="50DD1F0A">
        <w:rPr>
          <w:b/>
        </w:rPr>
        <w:instrText xml:space="preserve"> SEQ Table \* ARABIC </w:instrText>
      </w:r>
      <w:r w:rsidRPr="50DD1F0A">
        <w:rPr>
          <w:b/>
        </w:rPr>
        <w:fldChar w:fldCharType="separate"/>
      </w:r>
      <w:r w:rsidR="004634A0">
        <w:rPr>
          <w:b/>
          <w:noProof/>
        </w:rPr>
        <w:t>3</w:t>
      </w:r>
      <w:r w:rsidRPr="50DD1F0A">
        <w:rPr>
          <w:b/>
          <w:noProof/>
        </w:rPr>
        <w:fldChar w:fldCharType="end"/>
      </w:r>
      <w:bookmarkEnd w:id="138"/>
      <w:r w:rsidRPr="50DD1F0A" w:rsidR="00BE26E0">
        <w:rPr>
          <w:b/>
        </w:rPr>
        <w:t xml:space="preserve">  </w:t>
      </w:r>
      <w:r w:rsidRPr="50DD1F0A">
        <w:rPr>
          <w:b/>
        </w:rPr>
        <w:t xml:space="preserve">Industry Operation:  </w:t>
      </w:r>
      <w:r w:rsidRPr="50DD1F0A" w:rsidR="008B7436">
        <w:rPr>
          <w:b/>
        </w:rPr>
        <w:t xml:space="preserve">Averted Costs for </w:t>
      </w:r>
      <w:r w:rsidRPr="50DD1F0A">
        <w:rPr>
          <w:b/>
        </w:rPr>
        <w:t>Emergency Planning Exemption Requests</w:t>
      </w:r>
      <w:bookmarkEnd w:id="139"/>
      <w:bookmarkEnd w:id="140"/>
      <w:bookmarkEnd w:id="141"/>
    </w:p>
    <w:p w:rsidR="009128E1" w:rsidP="008440FA" w14:paraId="037D1795" w14:textId="73282553">
      <w:pPr>
        <w:spacing w:line="240" w:lineRule="auto"/>
        <w:jc w:val="center"/>
        <w:rPr>
          <w:rFonts w:eastAsia="Times New Roman"/>
          <w:bCs/>
          <w:sz w:val="20"/>
          <w:szCs w:val="20"/>
        </w:rPr>
      </w:pPr>
      <w:r w:rsidRPr="00E76A72">
        <w:rPr>
          <w:noProof/>
        </w:rPr>
        <w:drawing>
          <wp:inline distT="0" distB="0" distL="0" distR="0">
            <wp:extent cx="5943600" cy="12496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249680"/>
                    </a:xfrm>
                    <a:prstGeom prst="rect">
                      <a:avLst/>
                    </a:prstGeom>
                    <a:noFill/>
                    <a:ln>
                      <a:noFill/>
                    </a:ln>
                  </pic:spPr>
                </pic:pic>
              </a:graphicData>
            </a:graphic>
          </wp:inline>
        </w:drawing>
      </w:r>
    </w:p>
    <w:p w:rsidR="009128E1" w:rsidRPr="00581806" w:rsidP="008440FA" w14:paraId="70FE6812" w14:textId="7C10DFFF">
      <w:pPr>
        <w:spacing w:before="120" w:line="240" w:lineRule="auto"/>
        <w:rPr>
          <w:rFonts w:eastAsia="Times New Roman"/>
          <w:bCs/>
          <w:sz w:val="18"/>
          <w:szCs w:val="18"/>
        </w:rPr>
      </w:pPr>
      <w:r w:rsidRPr="00581806">
        <w:rPr>
          <w:rFonts w:eastAsia="Times New Roman"/>
          <w:bCs/>
          <w:sz w:val="18"/>
          <w:szCs w:val="18"/>
        </w:rPr>
        <w:t xml:space="preserve">Note:  Values are in </w:t>
      </w:r>
      <w:r w:rsidR="00B944DC">
        <w:rPr>
          <w:rFonts w:eastAsia="Times New Roman"/>
          <w:bCs/>
          <w:sz w:val="18"/>
          <w:szCs w:val="18"/>
        </w:rPr>
        <w:t xml:space="preserve">base year </w:t>
      </w:r>
      <w:r w:rsidRPr="00581806">
        <w:rPr>
          <w:rFonts w:eastAsia="Times New Roman"/>
          <w:bCs/>
          <w:sz w:val="18"/>
          <w:szCs w:val="18"/>
        </w:rPr>
        <w:t>2</w:t>
      </w:r>
      <w:r w:rsidRPr="00581806" w:rsidR="00BC32B3">
        <w:rPr>
          <w:rFonts w:eastAsia="Times New Roman"/>
          <w:bCs/>
          <w:sz w:val="18"/>
          <w:szCs w:val="18"/>
        </w:rPr>
        <w:t>02</w:t>
      </w:r>
      <w:r w:rsidR="007E376E">
        <w:rPr>
          <w:rFonts w:eastAsia="Times New Roman"/>
          <w:bCs/>
          <w:sz w:val="18"/>
          <w:szCs w:val="18"/>
        </w:rPr>
        <w:t>1</w:t>
      </w:r>
      <w:r w:rsidRPr="00581806" w:rsidR="000F4172">
        <w:rPr>
          <w:rFonts w:eastAsia="Times New Roman"/>
          <w:bCs/>
          <w:sz w:val="18"/>
          <w:szCs w:val="18"/>
        </w:rPr>
        <w:t xml:space="preserve"> dollars</w:t>
      </w:r>
      <w:r w:rsidRPr="00581806">
        <w:rPr>
          <w:rFonts w:eastAsia="Times New Roman"/>
          <w:bCs/>
          <w:sz w:val="18"/>
          <w:szCs w:val="18"/>
        </w:rPr>
        <w:t>, rounded to the nearest $1,000.</w:t>
      </w:r>
    </w:p>
    <w:p w:rsidR="009128E1" w:rsidRPr="00711891" w:rsidP="008440FA" w14:paraId="6AEB7C8A" w14:textId="1FD25457">
      <w:pPr>
        <w:tabs>
          <w:tab w:val="left" w:pos="1440"/>
          <w:tab w:val="left" w:pos="2160"/>
        </w:tabs>
        <w:spacing w:line="240" w:lineRule="auto"/>
        <w:rPr>
          <w:rFonts w:eastAsia="Times New Roman"/>
        </w:rPr>
      </w:pPr>
    </w:p>
    <w:p w:rsidR="00B944DC" w:rsidRPr="00B944DC" w:rsidP="008440FA" w14:paraId="2865597E" w14:textId="770B4B35">
      <w:pPr>
        <w:tabs>
          <w:tab w:val="left" w:pos="1440"/>
          <w:tab w:val="left" w:pos="2160"/>
          <w:tab w:val="left" w:pos="9360"/>
        </w:tabs>
        <w:spacing w:line="240" w:lineRule="auto"/>
        <w:rPr>
          <w:rFonts w:eastAsia="Times New Roman"/>
        </w:rPr>
      </w:pPr>
      <w:r>
        <w:rPr>
          <w:rFonts w:eastAsia="Times New Roman"/>
        </w:rPr>
        <w:t xml:space="preserve">The </w:t>
      </w:r>
      <w:r w:rsidR="00906E8D">
        <w:rPr>
          <w:rFonts w:eastAsia="Times New Roman"/>
        </w:rPr>
        <w:t>final</w:t>
      </w:r>
      <w:r>
        <w:rPr>
          <w:rFonts w:eastAsia="Times New Roman"/>
        </w:rPr>
        <w:t xml:space="preserve"> rule </w:t>
      </w:r>
      <w:r w:rsidR="00076D31">
        <w:rPr>
          <w:rFonts w:eastAsia="Times New Roman"/>
        </w:rPr>
        <w:t>w</w:t>
      </w:r>
      <w:r w:rsidR="00906E8D">
        <w:rPr>
          <w:rFonts w:eastAsia="Times New Roman"/>
        </w:rPr>
        <w:t>ill</w:t>
      </w:r>
      <w:r w:rsidR="00076D31">
        <w:rPr>
          <w:rFonts w:eastAsia="Times New Roman"/>
        </w:rPr>
        <w:t xml:space="preserve"> </w:t>
      </w:r>
      <w:r>
        <w:rPr>
          <w:rFonts w:eastAsia="Times New Roman"/>
        </w:rPr>
        <w:t xml:space="preserve">change the EP framework to </w:t>
      </w:r>
      <w:r w:rsidR="00FC3B7D">
        <w:rPr>
          <w:rFonts w:eastAsia="Times New Roman"/>
        </w:rPr>
        <w:t>one that is</w:t>
      </w:r>
      <w:r>
        <w:rPr>
          <w:rFonts w:eastAsia="Times New Roman"/>
        </w:rPr>
        <w:t xml:space="preserve"> more performance</w:t>
      </w:r>
      <w:r w:rsidR="00F22B28">
        <w:rPr>
          <w:rFonts w:eastAsia="Times New Roman"/>
        </w:rPr>
        <w:t>-</w:t>
      </w:r>
      <w:r>
        <w:rPr>
          <w:rFonts w:eastAsia="Times New Roman"/>
        </w:rPr>
        <w:t xml:space="preserve">based, which </w:t>
      </w:r>
      <w:r w:rsidR="00076D31">
        <w:rPr>
          <w:rFonts w:eastAsia="Times New Roman"/>
        </w:rPr>
        <w:t>w</w:t>
      </w:r>
      <w:r w:rsidR="00906E8D">
        <w:rPr>
          <w:rFonts w:eastAsia="Times New Roman"/>
        </w:rPr>
        <w:t>ill</w:t>
      </w:r>
      <w:r w:rsidR="00076D31">
        <w:rPr>
          <w:rFonts w:eastAsia="Times New Roman"/>
        </w:rPr>
        <w:t xml:space="preserve"> </w:t>
      </w:r>
      <w:r>
        <w:rPr>
          <w:rFonts w:eastAsia="Times New Roman"/>
        </w:rPr>
        <w:t xml:space="preserve">result in averted costs </w:t>
      </w:r>
      <w:r w:rsidR="00A80512">
        <w:rPr>
          <w:rFonts w:eastAsia="Times New Roman"/>
        </w:rPr>
        <w:t>from</w:t>
      </w:r>
      <w:r>
        <w:rPr>
          <w:rFonts w:eastAsia="Times New Roman"/>
        </w:rPr>
        <w:t xml:space="preserve"> increases in efficiency.  The </w:t>
      </w:r>
      <w:r w:rsidR="003971A5">
        <w:rPr>
          <w:rFonts w:eastAsia="Times New Roman"/>
        </w:rPr>
        <w:t>NRC</w:t>
      </w:r>
      <w:r>
        <w:rPr>
          <w:rFonts w:eastAsia="Times New Roman"/>
        </w:rPr>
        <w:t xml:space="preserve"> expects the application process, from design certification through </w:t>
      </w:r>
      <w:r w:rsidR="00880B92">
        <w:rPr>
          <w:rFonts w:eastAsia="Times New Roman"/>
        </w:rPr>
        <w:t>OL</w:t>
      </w:r>
      <w:r w:rsidR="00451324">
        <w:rPr>
          <w:rFonts w:eastAsia="Times New Roman"/>
        </w:rPr>
        <w:t xml:space="preserve"> or </w:t>
      </w:r>
      <w:r w:rsidR="00C547FC">
        <w:rPr>
          <w:rFonts w:eastAsia="Times New Roman"/>
        </w:rPr>
        <w:t>COL</w:t>
      </w:r>
      <w:r>
        <w:rPr>
          <w:rFonts w:eastAsia="Times New Roman"/>
        </w:rPr>
        <w:t xml:space="preserve"> issuance, to gain efficiencies in the new framework with each additional SMR or </w:t>
      </w:r>
      <w:r w:rsidR="00C6347F">
        <w:rPr>
          <w:rFonts w:eastAsia="Times New Roman"/>
        </w:rPr>
        <w:t>ONT</w:t>
      </w:r>
      <w:r>
        <w:rPr>
          <w:rFonts w:eastAsia="Times New Roman"/>
        </w:rPr>
        <w:t xml:space="preserve"> </w:t>
      </w:r>
      <w:r w:rsidR="00F730E7">
        <w:rPr>
          <w:rFonts w:eastAsia="Times New Roman"/>
        </w:rPr>
        <w:t xml:space="preserve">license </w:t>
      </w:r>
      <w:r>
        <w:rPr>
          <w:rFonts w:eastAsia="Times New Roman"/>
        </w:rPr>
        <w:t>application</w:t>
      </w:r>
      <w:r w:rsidR="00821A3D">
        <w:rPr>
          <w:rFonts w:eastAsia="Times New Roman"/>
        </w:rPr>
        <w:t>,</w:t>
      </w:r>
      <w:r w:rsidR="00F730E7">
        <w:rPr>
          <w:rFonts w:eastAsia="Times New Roman"/>
        </w:rPr>
        <w:t xml:space="preserve"> due to lessons learned on prior applications by other licensees.  As a result, </w:t>
      </w:r>
      <w:r w:rsidR="00FC3B7D">
        <w:rPr>
          <w:rFonts w:eastAsia="Times New Roman"/>
        </w:rPr>
        <w:t xml:space="preserve">existing and future applicants would save </w:t>
      </w:r>
      <w:r w:rsidR="00F730E7">
        <w:rPr>
          <w:rFonts w:eastAsia="Times New Roman"/>
        </w:rPr>
        <w:t>time</w:t>
      </w:r>
      <w:r w:rsidR="008E0E61">
        <w:rPr>
          <w:rFonts w:eastAsia="Times New Roman"/>
        </w:rPr>
        <w:t xml:space="preserve"> preparing license applications</w:t>
      </w:r>
      <w:r>
        <w:rPr>
          <w:rFonts w:eastAsia="Times New Roman"/>
        </w:rPr>
        <w:t xml:space="preserve">.  </w:t>
      </w:r>
      <w:r w:rsidRPr="00B944DC">
        <w:rPr>
          <w:rFonts w:eastAsia="Times New Roman"/>
        </w:rPr>
        <w:t xml:space="preserve">The current framework results in </w:t>
      </w:r>
      <w:r w:rsidR="00F730E7">
        <w:rPr>
          <w:rFonts w:eastAsia="Times New Roman"/>
        </w:rPr>
        <w:t>emergency plan</w:t>
      </w:r>
      <w:r w:rsidR="00372ADF">
        <w:rPr>
          <w:rFonts w:eastAsia="Times New Roman"/>
        </w:rPr>
        <w:t>s of approximately 500 pages</w:t>
      </w:r>
      <w:r w:rsidR="00F730E7">
        <w:rPr>
          <w:rFonts w:eastAsia="Times New Roman"/>
        </w:rPr>
        <w:t xml:space="preserve"> submitted within each license application</w:t>
      </w:r>
      <w:r w:rsidRPr="00B944DC">
        <w:rPr>
          <w:rFonts w:eastAsia="Times New Roman"/>
        </w:rPr>
        <w:t>.  Th</w:t>
      </w:r>
      <w:r w:rsidR="00076D31">
        <w:rPr>
          <w:rFonts w:eastAsia="Times New Roman"/>
        </w:rPr>
        <w:t>e</w:t>
      </w:r>
      <w:r w:rsidRPr="00B944DC">
        <w:rPr>
          <w:rFonts w:eastAsia="Times New Roman"/>
        </w:rPr>
        <w:t xml:space="preserve"> NRC estimates that industry personnel would take approximately 3,019</w:t>
      </w:r>
      <w:r w:rsidR="00FC3B7D">
        <w:rPr>
          <w:rFonts w:eastAsia="Times New Roman"/>
        </w:rPr>
        <w:t> </w:t>
      </w:r>
      <w:r w:rsidR="00FE3216">
        <w:rPr>
          <w:rFonts w:eastAsia="Times New Roman"/>
        </w:rPr>
        <w:t xml:space="preserve">labor </w:t>
      </w:r>
      <w:r w:rsidRPr="00B944DC">
        <w:rPr>
          <w:rFonts w:eastAsia="Times New Roman"/>
        </w:rPr>
        <w:t xml:space="preserve">hours to prepare </w:t>
      </w:r>
      <w:r w:rsidR="00F730E7">
        <w:rPr>
          <w:rFonts w:eastAsia="Times New Roman"/>
        </w:rPr>
        <w:t>an emergency plan</w:t>
      </w:r>
      <w:r w:rsidRPr="00B944DC">
        <w:rPr>
          <w:rFonts w:eastAsia="Times New Roman"/>
        </w:rPr>
        <w:t xml:space="preserve"> with the new rule in place.  Although the NRC expects that the new process will include requests for additional information and a similar level of work for </w:t>
      </w:r>
      <w:r w:rsidR="00DC16B1">
        <w:rPr>
          <w:rFonts w:eastAsia="Times New Roman"/>
        </w:rPr>
        <w:t xml:space="preserve">applicants, </w:t>
      </w:r>
      <w:r w:rsidRPr="00B944DC">
        <w:rPr>
          <w:rFonts w:eastAsia="Times New Roman"/>
        </w:rPr>
        <w:t>licensees</w:t>
      </w:r>
      <w:r w:rsidR="00963711">
        <w:rPr>
          <w:rFonts w:eastAsia="Times New Roman"/>
        </w:rPr>
        <w:t>,</w:t>
      </w:r>
      <w:r w:rsidRPr="00B944DC">
        <w:rPr>
          <w:rFonts w:eastAsia="Times New Roman"/>
        </w:rPr>
        <w:t xml:space="preserve"> and the NRC for the first SMR or ONT application submission (3,019 hours), with </w:t>
      </w:r>
      <w:r w:rsidRPr="005D47B3" w:rsidR="00CA431F">
        <w:rPr>
          <w:rFonts w:eastAsia="Times New Roman"/>
        </w:rPr>
        <w:t xml:space="preserve">many of the </w:t>
      </w:r>
      <w:r w:rsidRPr="00B944DC">
        <w:rPr>
          <w:rFonts w:eastAsia="Times New Roman"/>
        </w:rPr>
        <w:t>subsequent application submissions</w:t>
      </w:r>
      <w:r w:rsidR="00FC3B7D">
        <w:rPr>
          <w:rFonts w:eastAsia="Times New Roman"/>
        </w:rPr>
        <w:t>,</w:t>
      </w:r>
      <w:r w:rsidRPr="00B944DC">
        <w:rPr>
          <w:rFonts w:eastAsia="Times New Roman"/>
        </w:rPr>
        <w:t xml:space="preserve"> the NRC expects efficiency </w:t>
      </w:r>
      <w:r w:rsidRPr="005D47B3">
        <w:rPr>
          <w:rFonts w:eastAsia="Times New Roman"/>
        </w:rPr>
        <w:t>gain</w:t>
      </w:r>
      <w:r w:rsidRPr="005D47B3" w:rsidR="00C9050E">
        <w:rPr>
          <w:rFonts w:eastAsia="Times New Roman"/>
        </w:rPr>
        <w:t>s</w:t>
      </w:r>
      <w:r w:rsidRPr="00B944DC">
        <w:rPr>
          <w:rFonts w:eastAsia="Times New Roman"/>
        </w:rPr>
        <w:t xml:space="preserve"> resulting from the lessons learned related to the new performance-based framework.  </w:t>
      </w:r>
      <w:r w:rsidRPr="00C9050E" w:rsidR="00C9050E">
        <w:rPr>
          <w:rFonts w:eastAsia="Times New Roman"/>
        </w:rPr>
        <w:t xml:space="preserve">Therefore, the NRC </w:t>
      </w:r>
      <w:r w:rsidRPr="00C9050E" w:rsidR="00AD5E02">
        <w:rPr>
          <w:rFonts w:eastAsia="Times New Roman"/>
        </w:rPr>
        <w:t xml:space="preserve">has averaged </w:t>
      </w:r>
      <w:r w:rsidRPr="00C9050E" w:rsidR="00C9050E">
        <w:rPr>
          <w:rFonts w:eastAsia="Times New Roman"/>
        </w:rPr>
        <w:t>efficiency gain</w:t>
      </w:r>
      <w:r w:rsidR="00312A38">
        <w:rPr>
          <w:rFonts w:eastAsia="Times New Roman"/>
        </w:rPr>
        <w:t>s</w:t>
      </w:r>
      <w:r w:rsidRPr="00C9050E" w:rsidR="00C9050E">
        <w:rPr>
          <w:rFonts w:eastAsia="Times New Roman"/>
        </w:rPr>
        <w:t xml:space="preserve"> of approximately 5 percent over </w:t>
      </w:r>
      <w:r w:rsidR="00312A38">
        <w:rPr>
          <w:rFonts w:eastAsia="Times New Roman"/>
        </w:rPr>
        <w:t xml:space="preserve">each of </w:t>
      </w:r>
      <w:r w:rsidRPr="00C9050E" w:rsidR="00C9050E">
        <w:rPr>
          <w:rFonts w:eastAsia="Times New Roman"/>
        </w:rPr>
        <w:t xml:space="preserve">the </w:t>
      </w:r>
      <w:r w:rsidR="00312A38">
        <w:rPr>
          <w:rFonts w:eastAsia="Times New Roman"/>
        </w:rPr>
        <w:t xml:space="preserve">subsequent </w:t>
      </w:r>
      <w:r w:rsidRPr="00C9050E" w:rsidR="00C9050E">
        <w:rPr>
          <w:rFonts w:eastAsia="Times New Roman"/>
        </w:rPr>
        <w:t>industry submissions</w:t>
      </w:r>
      <w:r w:rsidR="005D47B3">
        <w:rPr>
          <w:rFonts w:eastAsia="Times New Roman"/>
        </w:rPr>
        <w:t xml:space="preserve">.  </w:t>
      </w:r>
      <w:r w:rsidRPr="00B944DC">
        <w:rPr>
          <w:rFonts w:eastAsia="Times New Roman"/>
        </w:rPr>
        <w:t xml:space="preserve">The NRC expects </w:t>
      </w:r>
      <w:r w:rsidR="003E3BDF">
        <w:rPr>
          <w:rFonts w:eastAsia="Times New Roman"/>
        </w:rPr>
        <w:t xml:space="preserve">two </w:t>
      </w:r>
      <w:r w:rsidRPr="00B944DC">
        <w:rPr>
          <w:rFonts w:eastAsia="Times New Roman"/>
        </w:rPr>
        <w:t xml:space="preserve">SMR or ONT </w:t>
      </w:r>
      <w:r w:rsidR="00DC16B1">
        <w:rPr>
          <w:rFonts w:eastAsia="Times New Roman"/>
        </w:rPr>
        <w:t xml:space="preserve">applicants </w:t>
      </w:r>
      <w:r w:rsidRPr="00B944DC">
        <w:rPr>
          <w:rFonts w:eastAsia="Times New Roman"/>
        </w:rPr>
        <w:t xml:space="preserve">to </w:t>
      </w:r>
      <w:r w:rsidR="00685992">
        <w:rPr>
          <w:rFonts w:eastAsia="Times New Roman"/>
        </w:rPr>
        <w:t>submit</w:t>
      </w:r>
      <w:r w:rsidR="00787A80">
        <w:rPr>
          <w:rFonts w:eastAsia="Times New Roman"/>
        </w:rPr>
        <w:t xml:space="preserve"> their EP plans</w:t>
      </w:r>
      <w:r w:rsidR="00D83288">
        <w:rPr>
          <w:rFonts w:eastAsia="Times New Roman"/>
        </w:rPr>
        <w:t xml:space="preserve"> using the final rule framework</w:t>
      </w:r>
      <w:r w:rsidRPr="00B944DC">
        <w:rPr>
          <w:rFonts w:eastAsia="Times New Roman"/>
        </w:rPr>
        <w:t xml:space="preserve"> in 202</w:t>
      </w:r>
      <w:r w:rsidR="00787A80">
        <w:rPr>
          <w:rFonts w:eastAsia="Times New Roman"/>
        </w:rPr>
        <w:t>2</w:t>
      </w:r>
      <w:r w:rsidRPr="00B944DC">
        <w:rPr>
          <w:rFonts w:eastAsia="Times New Roman"/>
        </w:rPr>
        <w:t xml:space="preserve">, with four more </w:t>
      </w:r>
      <w:r w:rsidR="00DC16B1">
        <w:rPr>
          <w:rFonts w:eastAsia="Times New Roman"/>
        </w:rPr>
        <w:t xml:space="preserve">applicants </w:t>
      </w:r>
      <w:r w:rsidRPr="00B944DC">
        <w:rPr>
          <w:rFonts w:eastAsia="Times New Roman"/>
        </w:rPr>
        <w:t>in 202</w:t>
      </w:r>
      <w:r w:rsidR="00030FA5">
        <w:rPr>
          <w:rFonts w:eastAsia="Times New Roman"/>
        </w:rPr>
        <w:t>3</w:t>
      </w:r>
      <w:r w:rsidRPr="00B944DC">
        <w:rPr>
          <w:rFonts w:eastAsia="Times New Roman"/>
        </w:rPr>
        <w:t xml:space="preserve">, another </w:t>
      </w:r>
      <w:r w:rsidR="00030FA5">
        <w:rPr>
          <w:rFonts w:eastAsia="Times New Roman"/>
        </w:rPr>
        <w:t>four</w:t>
      </w:r>
      <w:r w:rsidRPr="00B944DC">
        <w:rPr>
          <w:rFonts w:eastAsia="Times New Roman"/>
        </w:rPr>
        <w:t xml:space="preserve"> in 202</w:t>
      </w:r>
      <w:r w:rsidR="00030FA5">
        <w:rPr>
          <w:rFonts w:eastAsia="Times New Roman"/>
        </w:rPr>
        <w:t>4</w:t>
      </w:r>
      <w:r w:rsidRPr="00B944DC">
        <w:rPr>
          <w:rFonts w:eastAsia="Times New Roman"/>
        </w:rPr>
        <w:t>, and the last one in 202</w:t>
      </w:r>
      <w:r w:rsidR="00030FA5">
        <w:rPr>
          <w:rFonts w:eastAsia="Times New Roman"/>
        </w:rPr>
        <w:t>5</w:t>
      </w:r>
      <w:r w:rsidRPr="00B944DC">
        <w:rPr>
          <w:rFonts w:eastAsia="Times New Roman"/>
        </w:rPr>
        <w:t xml:space="preserve">.  </w:t>
      </w:r>
      <w:r w:rsidR="00E626E7">
        <w:rPr>
          <w:rFonts w:eastAsia="Times New Roman"/>
        </w:rPr>
        <w:t xml:space="preserve">The NRC expects all future SMR or ONT applicants would </w:t>
      </w:r>
      <w:r w:rsidR="00E626E7">
        <w:rPr>
          <w:rFonts w:eastAsia="Times New Roman"/>
        </w:rPr>
        <w:t>submit an application</w:t>
      </w:r>
      <w:r w:rsidR="00E626E7">
        <w:rPr>
          <w:rFonts w:eastAsia="Times New Roman"/>
        </w:rPr>
        <w:t xml:space="preserve"> for a smaller </w:t>
      </w:r>
      <w:r w:rsidR="00E626E7">
        <w:rPr>
          <w:rFonts w:eastAsia="Times New Roman"/>
        </w:rPr>
        <w:t>EPZ</w:t>
      </w:r>
      <w:r w:rsidR="00E626E7">
        <w:rPr>
          <w:rFonts w:eastAsia="Times New Roman"/>
        </w:rPr>
        <w:t xml:space="preserve">, </w:t>
      </w:r>
      <w:r w:rsidR="00C55CA9">
        <w:rPr>
          <w:rFonts w:eastAsia="Times New Roman"/>
        </w:rPr>
        <w:t>whether they collocate with an existing facility or not.</w:t>
      </w:r>
    </w:p>
    <w:p w:rsidR="000F4172" w:rsidP="008440FA" w14:paraId="3C5E1753" w14:textId="0A015BBB">
      <w:pPr>
        <w:autoSpaceDE/>
        <w:autoSpaceDN/>
        <w:adjustRightInd/>
        <w:spacing w:line="240" w:lineRule="auto"/>
        <w:rPr>
          <w:rFonts w:eastAsia="Times New Roman"/>
        </w:rPr>
      </w:pPr>
      <w:r>
        <w:rPr>
          <w:rFonts w:eastAsia="Times New Roman"/>
        </w:rPr>
        <w:br w:type="page"/>
      </w:r>
    </w:p>
    <w:p w:rsidR="002D6497" w:rsidP="008440FA" w14:paraId="0286AC2C" w14:textId="61483E22">
      <w:pPr>
        <w:tabs>
          <w:tab w:val="left" w:pos="1440"/>
          <w:tab w:val="left" w:pos="2160"/>
          <w:tab w:val="left" w:pos="9360"/>
        </w:tabs>
        <w:spacing w:after="200" w:line="240" w:lineRule="auto"/>
        <w:rPr>
          <w:rFonts w:eastAsia="Times New Roman"/>
        </w:rPr>
      </w:pPr>
      <w:r w:rsidRPr="004853EE">
        <w:rPr>
          <w:rFonts w:eastAsia="Times New Roman"/>
        </w:rPr>
        <w:fldChar w:fldCharType="begin"/>
      </w:r>
      <w:r w:rsidRPr="004853EE">
        <w:rPr>
          <w:rFonts w:eastAsia="Times New Roman"/>
        </w:rPr>
        <w:instrText xml:space="preserve"> REF _Ref513722159 \h  \* MERGEFORMAT </w:instrText>
      </w:r>
      <w:r w:rsidRPr="004853EE">
        <w:rPr>
          <w:rFonts w:eastAsia="Times New Roman"/>
        </w:rPr>
        <w:fldChar w:fldCharType="separate"/>
      </w:r>
      <w:r w:rsidRPr="004853EE" w:rsidR="004634A0">
        <w:t xml:space="preserve">Table </w:t>
      </w:r>
      <w:r w:rsidRPr="004853EE" w:rsidR="004634A0">
        <w:rPr>
          <w:noProof/>
        </w:rPr>
        <w:t>4</w:t>
      </w:r>
      <w:r w:rsidRPr="004853EE">
        <w:rPr>
          <w:rFonts w:eastAsia="Times New Roman"/>
        </w:rPr>
        <w:fldChar w:fldCharType="end"/>
      </w:r>
      <w:r>
        <w:rPr>
          <w:rFonts w:eastAsia="Times New Roman"/>
        </w:rPr>
        <w:t xml:space="preserve"> </w:t>
      </w:r>
      <w:r w:rsidR="005F0BEF">
        <w:rPr>
          <w:rFonts w:eastAsia="Times New Roman"/>
        </w:rPr>
        <w:t xml:space="preserve">shows the </w:t>
      </w:r>
      <w:r w:rsidRPr="0069717A" w:rsidR="00C811F9">
        <w:rPr>
          <w:rFonts w:eastAsia="Times New Roman"/>
        </w:rPr>
        <w:t xml:space="preserve">subsequent </w:t>
      </w:r>
      <w:r w:rsidRPr="0069717A" w:rsidR="005864A0">
        <w:rPr>
          <w:rFonts w:eastAsia="Times New Roman"/>
        </w:rPr>
        <w:t>improvement in t</w:t>
      </w:r>
      <w:r w:rsidRPr="0069717A" w:rsidR="008D590D">
        <w:rPr>
          <w:rFonts w:eastAsia="Times New Roman"/>
        </w:rPr>
        <w:t xml:space="preserve">he </w:t>
      </w:r>
      <w:r w:rsidRPr="0069717A" w:rsidR="00C811F9">
        <w:rPr>
          <w:rFonts w:eastAsia="Times New Roman"/>
        </w:rPr>
        <w:t xml:space="preserve">development of the EP plans </w:t>
      </w:r>
      <w:r w:rsidRPr="0069717A" w:rsidR="008D590D">
        <w:rPr>
          <w:rFonts w:eastAsia="Times New Roman"/>
        </w:rPr>
        <w:t xml:space="preserve">by industry </w:t>
      </w:r>
      <w:r w:rsidR="005F0BEF">
        <w:rPr>
          <w:rFonts w:eastAsia="Times New Roman"/>
        </w:rPr>
        <w:t>resulting from</w:t>
      </w:r>
      <w:r w:rsidR="00B944DC">
        <w:rPr>
          <w:rFonts w:eastAsia="Times New Roman"/>
        </w:rPr>
        <w:t xml:space="preserve"> an efficiency gain</w:t>
      </w:r>
      <w:r w:rsidR="006F466C">
        <w:rPr>
          <w:rFonts w:eastAsia="Times New Roman"/>
        </w:rPr>
        <w:t>,</w:t>
      </w:r>
      <w:r>
        <w:rPr>
          <w:rFonts w:eastAsia="Times New Roman"/>
        </w:rPr>
        <w:t xml:space="preserve"> a</w:t>
      </w:r>
      <w:r w:rsidRPr="0069717A">
        <w:rPr>
          <w:rFonts w:eastAsia="Times New Roman"/>
        </w:rPr>
        <w:t>ssuming a 95</w:t>
      </w:r>
      <w:r>
        <w:rPr>
          <w:rFonts w:eastAsia="Times New Roman"/>
        </w:rPr>
        <w:noBreakHyphen/>
        <w:t>percent</w:t>
      </w:r>
      <w:r w:rsidRPr="0069717A">
        <w:rPr>
          <w:rFonts w:eastAsia="Times New Roman"/>
        </w:rPr>
        <w:t xml:space="preserve"> learning improvement</w:t>
      </w:r>
      <w:r w:rsidR="005F0BEF">
        <w:rPr>
          <w:rFonts w:eastAsia="Times New Roman"/>
        </w:rPr>
        <w:t>.</w:t>
      </w:r>
    </w:p>
    <w:p w:rsidR="00CF7D47" w:rsidRPr="00CF7D47" w:rsidP="008440FA" w14:paraId="371F51EC" w14:textId="29296CE6">
      <w:pPr>
        <w:pStyle w:val="Caption"/>
        <w:spacing w:after="120" w:line="240" w:lineRule="auto"/>
        <w:ind w:left="1080" w:hanging="1080"/>
        <w:jc w:val="center"/>
        <w:rPr>
          <w:b/>
        </w:rPr>
      </w:pPr>
      <w:bookmarkStart w:id="142" w:name="_Ref513722159"/>
      <w:bookmarkStart w:id="143" w:name="_Toc70669541"/>
      <w:bookmarkStart w:id="144" w:name="_Toc85198660"/>
      <w:r w:rsidRPr="00581806">
        <w:rPr>
          <w:b/>
        </w:rPr>
        <w:t xml:space="preserve">Table </w:t>
      </w:r>
      <w:r w:rsidRPr="00581806">
        <w:rPr>
          <w:b/>
        </w:rPr>
        <w:fldChar w:fldCharType="begin"/>
      </w:r>
      <w:r w:rsidRPr="00581806">
        <w:rPr>
          <w:b/>
        </w:rPr>
        <w:instrText xml:space="preserve"> SEQ Table \* ARABIC </w:instrText>
      </w:r>
      <w:r w:rsidRPr="00581806">
        <w:rPr>
          <w:b/>
        </w:rPr>
        <w:fldChar w:fldCharType="separate"/>
      </w:r>
      <w:r w:rsidR="004634A0">
        <w:rPr>
          <w:b/>
          <w:noProof/>
        </w:rPr>
        <w:t>4</w:t>
      </w:r>
      <w:r w:rsidRPr="00581806">
        <w:rPr>
          <w:b/>
          <w:noProof/>
        </w:rPr>
        <w:fldChar w:fldCharType="end"/>
      </w:r>
      <w:bookmarkEnd w:id="142"/>
      <w:r w:rsidRPr="00581806">
        <w:rPr>
          <w:b/>
        </w:rPr>
        <w:t xml:space="preserve">  </w:t>
      </w:r>
      <w:r w:rsidRPr="00CF7D47">
        <w:rPr>
          <w:b/>
        </w:rPr>
        <w:t>Unit Time 95</w:t>
      </w:r>
      <w:r w:rsidR="00A235F4">
        <w:rPr>
          <w:b/>
        </w:rPr>
        <w:t>-Pecent</w:t>
      </w:r>
      <w:r w:rsidRPr="00CF7D47">
        <w:rPr>
          <w:b/>
        </w:rPr>
        <w:t xml:space="preserve"> Learning Curve for </w:t>
      </w:r>
      <w:r w:rsidR="008B7436">
        <w:rPr>
          <w:b/>
        </w:rPr>
        <w:t xml:space="preserve">Industry Development of EP </w:t>
      </w:r>
      <w:bookmarkEnd w:id="143"/>
      <w:r w:rsidR="006F466C">
        <w:rPr>
          <w:b/>
        </w:rPr>
        <w:t>P</w:t>
      </w:r>
      <w:r w:rsidR="008B7436">
        <w:rPr>
          <w:b/>
        </w:rPr>
        <w:t>lan</w:t>
      </w:r>
      <w:r w:rsidR="00A235F4">
        <w:rPr>
          <w:b/>
        </w:rPr>
        <w:t>s</w:t>
      </w:r>
      <w:bookmarkEnd w:id="144"/>
    </w:p>
    <w:tbl>
      <w:tblPr>
        <w:tblW w:w="7790" w:type="dxa"/>
        <w:jc w:val="center"/>
        <w:tblLook w:val="04A0"/>
      </w:tblPr>
      <w:tblGrid>
        <w:gridCol w:w="2165"/>
        <w:gridCol w:w="2880"/>
        <w:gridCol w:w="2745"/>
      </w:tblGrid>
      <w:tr w14:paraId="0DB49B88" w14:textId="77777777" w:rsidTr="00581806">
        <w:tblPrEx>
          <w:tblW w:w="7790" w:type="dxa"/>
          <w:jc w:val="center"/>
          <w:tblLook w:val="04A0"/>
        </w:tblPrEx>
        <w:trPr>
          <w:trHeight w:val="564"/>
          <w:jc w:val="center"/>
        </w:trPr>
        <w:tc>
          <w:tcPr>
            <w:tcW w:w="2165" w:type="dxa"/>
            <w:tcBorders>
              <w:top w:val="single" w:sz="4" w:space="0" w:color="auto"/>
              <w:left w:val="single" w:sz="4" w:space="0" w:color="auto"/>
              <w:bottom w:val="single" w:sz="4" w:space="0" w:color="auto"/>
              <w:right w:val="single" w:sz="4" w:space="0" w:color="auto"/>
            </w:tcBorders>
            <w:shd w:val="clear" w:color="auto" w:fill="auto"/>
          </w:tcPr>
          <w:p w:rsidR="004835A9" w:rsidRPr="00DF234E" w:rsidP="008440FA" w14:paraId="720550D7" w14:textId="01FBE9E0">
            <w:pPr>
              <w:autoSpaceDE/>
              <w:autoSpaceDN/>
              <w:adjustRightInd/>
              <w:spacing w:line="240" w:lineRule="auto"/>
              <w:rPr>
                <w:rFonts w:eastAsia="Times New Roman"/>
                <w:color w:val="000000"/>
                <w:highlight w:val="yellow"/>
              </w:rPr>
            </w:pPr>
            <w:r>
              <w:rPr>
                <w:b/>
                <w:bCs/>
                <w:color w:val="000000"/>
                <w:sz w:val="20"/>
                <w:szCs w:val="20"/>
              </w:rPr>
              <w:t>Number of EP Plans</w:t>
            </w:r>
          </w:p>
        </w:tc>
        <w:tc>
          <w:tcPr>
            <w:tcW w:w="2880" w:type="dxa"/>
            <w:tcBorders>
              <w:top w:val="single" w:sz="4" w:space="0" w:color="auto"/>
              <w:left w:val="nil"/>
              <w:bottom w:val="single" w:sz="4" w:space="0" w:color="auto"/>
              <w:right w:val="single" w:sz="4" w:space="0" w:color="auto"/>
            </w:tcBorders>
            <w:shd w:val="clear" w:color="auto" w:fill="auto"/>
          </w:tcPr>
          <w:p w:rsidR="004835A9" w:rsidRPr="004835A9" w:rsidP="008440FA" w14:paraId="50FB2A69" w14:textId="23053D10">
            <w:pPr>
              <w:autoSpaceDE/>
              <w:autoSpaceDN/>
              <w:adjustRightInd/>
              <w:spacing w:line="240" w:lineRule="auto"/>
              <w:rPr>
                <w:rFonts w:eastAsia="Times New Roman"/>
                <w:b/>
                <w:color w:val="000000"/>
                <w:sz w:val="20"/>
                <w:szCs w:val="20"/>
                <w:highlight w:val="yellow"/>
              </w:rPr>
            </w:pPr>
            <w:r w:rsidRPr="004835A9">
              <w:rPr>
                <w:b/>
                <w:sz w:val="20"/>
                <w:szCs w:val="20"/>
              </w:rPr>
              <w:t xml:space="preserve">Average Resource Estimate </w:t>
            </w:r>
            <w:r>
              <w:rPr>
                <w:b/>
                <w:sz w:val="20"/>
                <w:szCs w:val="20"/>
              </w:rPr>
              <w:t xml:space="preserve">per </w:t>
            </w:r>
            <w:r w:rsidRPr="004835A9">
              <w:rPr>
                <w:b/>
                <w:sz w:val="20"/>
                <w:szCs w:val="20"/>
              </w:rPr>
              <w:t>EP Plan (Hours)</w:t>
            </w:r>
          </w:p>
        </w:tc>
        <w:tc>
          <w:tcPr>
            <w:tcW w:w="2745" w:type="dxa"/>
            <w:tcBorders>
              <w:top w:val="single" w:sz="4" w:space="0" w:color="auto"/>
              <w:left w:val="nil"/>
              <w:bottom w:val="single" w:sz="4" w:space="0" w:color="auto"/>
              <w:right w:val="single" w:sz="4" w:space="0" w:color="auto"/>
            </w:tcBorders>
            <w:shd w:val="clear" w:color="auto" w:fill="auto"/>
          </w:tcPr>
          <w:p w:rsidR="004835A9" w:rsidRPr="004835A9" w:rsidP="008440FA" w14:paraId="4E96E3F9" w14:textId="20E88561">
            <w:pPr>
              <w:autoSpaceDE/>
              <w:autoSpaceDN/>
              <w:adjustRightInd/>
              <w:spacing w:line="240" w:lineRule="auto"/>
              <w:rPr>
                <w:rFonts w:eastAsia="Times New Roman"/>
                <w:b/>
                <w:color w:val="000000"/>
                <w:sz w:val="20"/>
                <w:szCs w:val="20"/>
                <w:highlight w:val="yellow"/>
              </w:rPr>
            </w:pPr>
            <w:r w:rsidRPr="004835A9">
              <w:rPr>
                <w:b/>
                <w:sz w:val="20"/>
                <w:szCs w:val="20"/>
              </w:rPr>
              <w:t>Average Reduction in Resource Hours per EP Plan from Efficiency Gain</w:t>
            </w:r>
          </w:p>
        </w:tc>
      </w:tr>
      <w:tr w14:paraId="6ED0CA54" w14:textId="77777777" w:rsidTr="00581806">
        <w:tblPrEx>
          <w:tblW w:w="7790" w:type="dxa"/>
          <w:jc w:val="center"/>
          <w:tblLook w:val="04A0"/>
        </w:tblPrEx>
        <w:trPr>
          <w:trHeight w:val="288"/>
          <w:jc w:val="center"/>
        </w:trPr>
        <w:tc>
          <w:tcPr>
            <w:tcW w:w="2165" w:type="dxa"/>
            <w:tcBorders>
              <w:top w:val="single" w:sz="4" w:space="0" w:color="auto"/>
              <w:left w:val="single" w:sz="4" w:space="0" w:color="auto"/>
              <w:bottom w:val="single" w:sz="4" w:space="0" w:color="auto"/>
              <w:right w:val="single" w:sz="4" w:space="0" w:color="auto"/>
            </w:tcBorders>
            <w:shd w:val="clear" w:color="auto" w:fill="auto"/>
            <w:vAlign w:val="center"/>
          </w:tcPr>
          <w:p w:rsidR="008D590D" w:rsidRPr="00DF234E" w:rsidP="008440FA" w14:paraId="64BF5C3D" w14:textId="3D246FFA">
            <w:pPr>
              <w:autoSpaceDE/>
              <w:autoSpaceDN/>
              <w:adjustRightInd/>
              <w:spacing w:line="240" w:lineRule="auto"/>
              <w:jc w:val="center"/>
              <w:rPr>
                <w:rFonts w:eastAsia="Times New Roman"/>
                <w:color w:val="000000"/>
                <w:highlight w:val="yellow"/>
              </w:rPr>
            </w:pPr>
            <w:r>
              <w:rPr>
                <w:color w:val="000000"/>
                <w:sz w:val="20"/>
                <w:szCs w:val="20"/>
              </w:rPr>
              <w:t>1</w:t>
            </w:r>
          </w:p>
        </w:tc>
        <w:tc>
          <w:tcPr>
            <w:tcW w:w="2880" w:type="dxa"/>
            <w:tcBorders>
              <w:top w:val="single" w:sz="4" w:space="0" w:color="auto"/>
              <w:left w:val="nil"/>
              <w:bottom w:val="single" w:sz="4" w:space="0" w:color="auto"/>
              <w:right w:val="single" w:sz="4" w:space="0" w:color="auto"/>
            </w:tcBorders>
            <w:shd w:val="clear" w:color="auto" w:fill="auto"/>
            <w:vAlign w:val="center"/>
          </w:tcPr>
          <w:p w:rsidR="008D590D" w:rsidRPr="00DF234E" w:rsidP="008440FA" w14:paraId="1C4273F8" w14:textId="178C4A89">
            <w:pPr>
              <w:autoSpaceDE/>
              <w:autoSpaceDN/>
              <w:adjustRightInd/>
              <w:spacing w:line="240" w:lineRule="auto"/>
              <w:jc w:val="center"/>
              <w:rPr>
                <w:rFonts w:eastAsia="Times New Roman"/>
                <w:color w:val="000000"/>
                <w:highlight w:val="yellow"/>
              </w:rPr>
            </w:pPr>
            <w:r>
              <w:rPr>
                <w:color w:val="000000"/>
                <w:sz w:val="20"/>
                <w:szCs w:val="20"/>
              </w:rPr>
              <w:t>3</w:t>
            </w:r>
            <w:r w:rsidR="004609B4">
              <w:rPr>
                <w:color w:val="000000"/>
                <w:sz w:val="20"/>
                <w:szCs w:val="20"/>
              </w:rPr>
              <w:t>,</w:t>
            </w:r>
            <w:r>
              <w:rPr>
                <w:color w:val="000000"/>
                <w:sz w:val="20"/>
                <w:szCs w:val="20"/>
              </w:rPr>
              <w:t>019</w:t>
            </w:r>
          </w:p>
        </w:tc>
        <w:tc>
          <w:tcPr>
            <w:tcW w:w="2745" w:type="dxa"/>
            <w:tcBorders>
              <w:top w:val="single" w:sz="4" w:space="0" w:color="auto"/>
              <w:left w:val="nil"/>
              <w:bottom w:val="single" w:sz="4" w:space="0" w:color="auto"/>
              <w:right w:val="single" w:sz="4" w:space="0" w:color="auto"/>
            </w:tcBorders>
            <w:shd w:val="clear" w:color="auto" w:fill="auto"/>
            <w:vAlign w:val="center"/>
          </w:tcPr>
          <w:p w:rsidR="008D590D" w:rsidRPr="00DF234E" w:rsidP="008440FA" w14:paraId="3C67A279" w14:textId="2D00BA63">
            <w:pPr>
              <w:autoSpaceDE/>
              <w:autoSpaceDN/>
              <w:adjustRightInd/>
              <w:spacing w:line="240" w:lineRule="auto"/>
              <w:jc w:val="center"/>
              <w:rPr>
                <w:rFonts w:eastAsia="Times New Roman"/>
                <w:color w:val="000000"/>
                <w:highlight w:val="yellow"/>
              </w:rPr>
            </w:pPr>
            <w:r>
              <w:rPr>
                <w:color w:val="000000"/>
                <w:sz w:val="20"/>
                <w:szCs w:val="20"/>
              </w:rPr>
              <w:t>0</w:t>
            </w:r>
          </w:p>
        </w:tc>
      </w:tr>
      <w:tr w14:paraId="567DA0AE" w14:textId="77777777" w:rsidTr="00581806">
        <w:tblPrEx>
          <w:tblW w:w="7790" w:type="dxa"/>
          <w:jc w:val="center"/>
          <w:tblLook w:val="04A0"/>
        </w:tblPrEx>
        <w:trPr>
          <w:trHeight w:val="288"/>
          <w:jc w:val="center"/>
        </w:trPr>
        <w:tc>
          <w:tcPr>
            <w:tcW w:w="2165" w:type="dxa"/>
            <w:tcBorders>
              <w:top w:val="nil"/>
              <w:left w:val="single" w:sz="4" w:space="0" w:color="auto"/>
              <w:bottom w:val="single" w:sz="4" w:space="0" w:color="auto"/>
              <w:right w:val="single" w:sz="4" w:space="0" w:color="auto"/>
            </w:tcBorders>
            <w:shd w:val="clear" w:color="auto" w:fill="auto"/>
            <w:vAlign w:val="center"/>
          </w:tcPr>
          <w:p w:rsidR="008D590D" w:rsidRPr="00DF234E" w:rsidP="008440FA" w14:paraId="5AEEF891" w14:textId="0FFB3226">
            <w:pPr>
              <w:autoSpaceDE/>
              <w:autoSpaceDN/>
              <w:adjustRightInd/>
              <w:spacing w:line="240" w:lineRule="auto"/>
              <w:jc w:val="center"/>
              <w:rPr>
                <w:rFonts w:eastAsia="Times New Roman"/>
                <w:color w:val="000000"/>
                <w:highlight w:val="yellow"/>
              </w:rPr>
            </w:pPr>
            <w:r>
              <w:rPr>
                <w:color w:val="000000"/>
                <w:sz w:val="20"/>
                <w:szCs w:val="20"/>
              </w:rPr>
              <w:t>2</w:t>
            </w:r>
          </w:p>
        </w:tc>
        <w:tc>
          <w:tcPr>
            <w:tcW w:w="2880" w:type="dxa"/>
            <w:tcBorders>
              <w:top w:val="nil"/>
              <w:left w:val="nil"/>
              <w:bottom w:val="single" w:sz="4" w:space="0" w:color="auto"/>
              <w:right w:val="single" w:sz="4" w:space="0" w:color="auto"/>
            </w:tcBorders>
            <w:shd w:val="clear" w:color="auto" w:fill="auto"/>
            <w:vAlign w:val="center"/>
          </w:tcPr>
          <w:p w:rsidR="008D590D" w:rsidRPr="00DF234E" w:rsidP="008440FA" w14:paraId="1CC2BCDA" w14:textId="07D78A56">
            <w:pPr>
              <w:autoSpaceDE/>
              <w:autoSpaceDN/>
              <w:adjustRightInd/>
              <w:spacing w:line="240" w:lineRule="auto"/>
              <w:jc w:val="center"/>
              <w:rPr>
                <w:rFonts w:eastAsia="Times New Roman"/>
                <w:color w:val="000000"/>
                <w:highlight w:val="yellow"/>
              </w:rPr>
            </w:pPr>
            <w:r>
              <w:rPr>
                <w:color w:val="000000"/>
                <w:sz w:val="20"/>
                <w:szCs w:val="20"/>
              </w:rPr>
              <w:t>2</w:t>
            </w:r>
            <w:r w:rsidR="004609B4">
              <w:rPr>
                <w:color w:val="000000"/>
                <w:sz w:val="20"/>
                <w:szCs w:val="20"/>
              </w:rPr>
              <w:t>,</w:t>
            </w:r>
            <w:r>
              <w:rPr>
                <w:color w:val="000000"/>
                <w:sz w:val="20"/>
                <w:szCs w:val="20"/>
              </w:rPr>
              <w:t>868</w:t>
            </w:r>
          </w:p>
        </w:tc>
        <w:tc>
          <w:tcPr>
            <w:tcW w:w="2745" w:type="dxa"/>
            <w:tcBorders>
              <w:top w:val="nil"/>
              <w:left w:val="nil"/>
              <w:bottom w:val="single" w:sz="4" w:space="0" w:color="auto"/>
              <w:right w:val="single" w:sz="4" w:space="0" w:color="auto"/>
            </w:tcBorders>
            <w:shd w:val="clear" w:color="auto" w:fill="auto"/>
            <w:vAlign w:val="center"/>
          </w:tcPr>
          <w:p w:rsidR="008D590D" w:rsidRPr="00DF234E" w:rsidP="008440FA" w14:paraId="75D3B96E" w14:textId="78E5DA77">
            <w:pPr>
              <w:autoSpaceDE/>
              <w:autoSpaceDN/>
              <w:adjustRightInd/>
              <w:spacing w:line="240" w:lineRule="auto"/>
              <w:jc w:val="center"/>
              <w:rPr>
                <w:rFonts w:eastAsia="Times New Roman"/>
                <w:color w:val="000000"/>
                <w:highlight w:val="yellow"/>
              </w:rPr>
            </w:pPr>
            <w:r>
              <w:rPr>
                <w:color w:val="000000"/>
                <w:sz w:val="20"/>
                <w:szCs w:val="20"/>
              </w:rPr>
              <w:t>151</w:t>
            </w:r>
          </w:p>
        </w:tc>
      </w:tr>
      <w:tr w14:paraId="4A8D1303" w14:textId="77777777" w:rsidTr="00581806">
        <w:tblPrEx>
          <w:tblW w:w="7790" w:type="dxa"/>
          <w:jc w:val="center"/>
          <w:tblLook w:val="04A0"/>
        </w:tblPrEx>
        <w:trPr>
          <w:trHeight w:val="288"/>
          <w:jc w:val="center"/>
        </w:trPr>
        <w:tc>
          <w:tcPr>
            <w:tcW w:w="2165" w:type="dxa"/>
            <w:tcBorders>
              <w:top w:val="nil"/>
              <w:left w:val="single" w:sz="4" w:space="0" w:color="auto"/>
              <w:bottom w:val="single" w:sz="4" w:space="0" w:color="auto"/>
              <w:right w:val="single" w:sz="4" w:space="0" w:color="auto"/>
            </w:tcBorders>
            <w:shd w:val="clear" w:color="auto" w:fill="auto"/>
            <w:vAlign w:val="center"/>
          </w:tcPr>
          <w:p w:rsidR="008D590D" w:rsidRPr="00DF234E" w:rsidP="008440FA" w14:paraId="2C8A0675" w14:textId="24FAFA3F">
            <w:pPr>
              <w:autoSpaceDE/>
              <w:autoSpaceDN/>
              <w:adjustRightInd/>
              <w:spacing w:line="240" w:lineRule="auto"/>
              <w:jc w:val="center"/>
              <w:rPr>
                <w:rFonts w:eastAsia="Times New Roman"/>
                <w:color w:val="000000"/>
                <w:highlight w:val="yellow"/>
              </w:rPr>
            </w:pPr>
            <w:r>
              <w:rPr>
                <w:color w:val="000000"/>
                <w:sz w:val="20"/>
                <w:szCs w:val="20"/>
              </w:rPr>
              <w:t>3</w:t>
            </w:r>
          </w:p>
        </w:tc>
        <w:tc>
          <w:tcPr>
            <w:tcW w:w="2880" w:type="dxa"/>
            <w:tcBorders>
              <w:top w:val="nil"/>
              <w:left w:val="nil"/>
              <w:bottom w:val="single" w:sz="4" w:space="0" w:color="auto"/>
              <w:right w:val="single" w:sz="4" w:space="0" w:color="auto"/>
            </w:tcBorders>
            <w:shd w:val="clear" w:color="auto" w:fill="auto"/>
            <w:vAlign w:val="center"/>
          </w:tcPr>
          <w:p w:rsidR="008D590D" w:rsidRPr="00DF234E" w:rsidP="008440FA" w14:paraId="462688C6" w14:textId="47B97B26">
            <w:pPr>
              <w:autoSpaceDE/>
              <w:autoSpaceDN/>
              <w:adjustRightInd/>
              <w:spacing w:line="240" w:lineRule="auto"/>
              <w:jc w:val="center"/>
              <w:rPr>
                <w:rFonts w:eastAsia="Times New Roman"/>
                <w:color w:val="000000"/>
                <w:highlight w:val="yellow"/>
              </w:rPr>
            </w:pPr>
            <w:r>
              <w:rPr>
                <w:color w:val="000000"/>
                <w:sz w:val="20"/>
                <w:szCs w:val="20"/>
              </w:rPr>
              <w:t>2</w:t>
            </w:r>
            <w:r w:rsidR="004609B4">
              <w:rPr>
                <w:color w:val="000000"/>
                <w:sz w:val="20"/>
                <w:szCs w:val="20"/>
              </w:rPr>
              <w:t>,</w:t>
            </w:r>
            <w:r>
              <w:rPr>
                <w:color w:val="000000"/>
                <w:sz w:val="20"/>
                <w:szCs w:val="20"/>
              </w:rPr>
              <w:t>783</w:t>
            </w:r>
          </w:p>
        </w:tc>
        <w:tc>
          <w:tcPr>
            <w:tcW w:w="2745" w:type="dxa"/>
            <w:tcBorders>
              <w:top w:val="nil"/>
              <w:left w:val="nil"/>
              <w:bottom w:val="single" w:sz="4" w:space="0" w:color="auto"/>
              <w:right w:val="single" w:sz="4" w:space="0" w:color="auto"/>
            </w:tcBorders>
            <w:shd w:val="clear" w:color="auto" w:fill="auto"/>
            <w:vAlign w:val="center"/>
          </w:tcPr>
          <w:p w:rsidR="008D590D" w:rsidRPr="00DF234E" w:rsidP="008440FA" w14:paraId="4F59FEB4" w14:textId="19D56925">
            <w:pPr>
              <w:autoSpaceDE/>
              <w:autoSpaceDN/>
              <w:adjustRightInd/>
              <w:spacing w:line="240" w:lineRule="auto"/>
              <w:jc w:val="center"/>
              <w:rPr>
                <w:rFonts w:eastAsia="Times New Roman"/>
                <w:color w:val="000000"/>
                <w:highlight w:val="yellow"/>
              </w:rPr>
            </w:pPr>
            <w:r>
              <w:rPr>
                <w:color w:val="000000"/>
                <w:sz w:val="20"/>
                <w:szCs w:val="20"/>
              </w:rPr>
              <w:t>236</w:t>
            </w:r>
          </w:p>
        </w:tc>
      </w:tr>
      <w:tr w14:paraId="6966D13D" w14:textId="77777777" w:rsidTr="00581806">
        <w:tblPrEx>
          <w:tblW w:w="7790" w:type="dxa"/>
          <w:jc w:val="center"/>
          <w:tblLook w:val="04A0"/>
        </w:tblPrEx>
        <w:trPr>
          <w:trHeight w:val="288"/>
          <w:jc w:val="center"/>
        </w:trPr>
        <w:tc>
          <w:tcPr>
            <w:tcW w:w="2165" w:type="dxa"/>
            <w:tcBorders>
              <w:top w:val="nil"/>
              <w:left w:val="single" w:sz="4" w:space="0" w:color="auto"/>
              <w:bottom w:val="single" w:sz="4" w:space="0" w:color="auto"/>
              <w:right w:val="single" w:sz="4" w:space="0" w:color="auto"/>
            </w:tcBorders>
            <w:shd w:val="clear" w:color="auto" w:fill="auto"/>
            <w:vAlign w:val="center"/>
          </w:tcPr>
          <w:p w:rsidR="008D590D" w:rsidRPr="00DF234E" w:rsidP="008440FA" w14:paraId="211F28D7" w14:textId="2B2F5EF9">
            <w:pPr>
              <w:autoSpaceDE/>
              <w:autoSpaceDN/>
              <w:adjustRightInd/>
              <w:spacing w:line="240" w:lineRule="auto"/>
              <w:jc w:val="center"/>
              <w:rPr>
                <w:rFonts w:eastAsia="Times New Roman"/>
                <w:color w:val="000000"/>
                <w:highlight w:val="yellow"/>
              </w:rPr>
            </w:pPr>
            <w:r>
              <w:rPr>
                <w:color w:val="000000"/>
                <w:sz w:val="20"/>
                <w:szCs w:val="20"/>
              </w:rPr>
              <w:t>4</w:t>
            </w:r>
          </w:p>
        </w:tc>
        <w:tc>
          <w:tcPr>
            <w:tcW w:w="2880" w:type="dxa"/>
            <w:tcBorders>
              <w:top w:val="nil"/>
              <w:left w:val="nil"/>
              <w:bottom w:val="single" w:sz="4" w:space="0" w:color="auto"/>
              <w:right w:val="single" w:sz="4" w:space="0" w:color="auto"/>
            </w:tcBorders>
            <w:shd w:val="clear" w:color="auto" w:fill="auto"/>
            <w:vAlign w:val="center"/>
          </w:tcPr>
          <w:p w:rsidR="008D590D" w:rsidRPr="00DF234E" w:rsidP="008440FA" w14:paraId="436E9646" w14:textId="7DFF514D">
            <w:pPr>
              <w:autoSpaceDE/>
              <w:autoSpaceDN/>
              <w:adjustRightInd/>
              <w:spacing w:line="240" w:lineRule="auto"/>
              <w:jc w:val="center"/>
              <w:rPr>
                <w:rFonts w:eastAsia="Times New Roman"/>
                <w:color w:val="000000"/>
                <w:highlight w:val="yellow"/>
              </w:rPr>
            </w:pPr>
            <w:r>
              <w:rPr>
                <w:color w:val="000000"/>
                <w:sz w:val="20"/>
                <w:szCs w:val="20"/>
              </w:rPr>
              <w:t>2</w:t>
            </w:r>
            <w:r w:rsidR="004609B4">
              <w:rPr>
                <w:color w:val="000000"/>
                <w:sz w:val="20"/>
                <w:szCs w:val="20"/>
              </w:rPr>
              <w:t>,</w:t>
            </w:r>
            <w:r>
              <w:rPr>
                <w:color w:val="000000"/>
                <w:sz w:val="20"/>
                <w:szCs w:val="20"/>
              </w:rPr>
              <w:t>724</w:t>
            </w:r>
          </w:p>
        </w:tc>
        <w:tc>
          <w:tcPr>
            <w:tcW w:w="2745" w:type="dxa"/>
            <w:tcBorders>
              <w:top w:val="nil"/>
              <w:left w:val="nil"/>
              <w:bottom w:val="single" w:sz="4" w:space="0" w:color="auto"/>
              <w:right w:val="single" w:sz="4" w:space="0" w:color="auto"/>
            </w:tcBorders>
            <w:shd w:val="clear" w:color="auto" w:fill="auto"/>
            <w:vAlign w:val="center"/>
          </w:tcPr>
          <w:p w:rsidR="008D590D" w:rsidRPr="00DF234E" w:rsidP="008440FA" w14:paraId="0487D0ED" w14:textId="6FFC3299">
            <w:pPr>
              <w:autoSpaceDE/>
              <w:autoSpaceDN/>
              <w:adjustRightInd/>
              <w:spacing w:line="240" w:lineRule="auto"/>
              <w:jc w:val="center"/>
              <w:rPr>
                <w:rFonts w:eastAsia="Times New Roman"/>
                <w:color w:val="000000"/>
                <w:highlight w:val="yellow"/>
              </w:rPr>
            </w:pPr>
            <w:r>
              <w:rPr>
                <w:color w:val="000000"/>
                <w:sz w:val="20"/>
                <w:szCs w:val="20"/>
              </w:rPr>
              <w:t>294</w:t>
            </w:r>
          </w:p>
        </w:tc>
      </w:tr>
      <w:tr w14:paraId="6275E94F" w14:textId="77777777" w:rsidTr="00581806">
        <w:tblPrEx>
          <w:tblW w:w="7790" w:type="dxa"/>
          <w:jc w:val="center"/>
          <w:tblLook w:val="04A0"/>
        </w:tblPrEx>
        <w:trPr>
          <w:trHeight w:val="288"/>
          <w:jc w:val="center"/>
        </w:trPr>
        <w:tc>
          <w:tcPr>
            <w:tcW w:w="2165" w:type="dxa"/>
            <w:tcBorders>
              <w:top w:val="nil"/>
              <w:left w:val="single" w:sz="4" w:space="0" w:color="auto"/>
              <w:bottom w:val="single" w:sz="4" w:space="0" w:color="auto"/>
              <w:right w:val="single" w:sz="4" w:space="0" w:color="auto"/>
            </w:tcBorders>
            <w:shd w:val="clear" w:color="auto" w:fill="auto"/>
            <w:vAlign w:val="center"/>
          </w:tcPr>
          <w:p w:rsidR="008D590D" w:rsidRPr="00DF234E" w:rsidP="008440FA" w14:paraId="2875F365" w14:textId="392E19CF">
            <w:pPr>
              <w:autoSpaceDE/>
              <w:autoSpaceDN/>
              <w:adjustRightInd/>
              <w:spacing w:line="240" w:lineRule="auto"/>
              <w:jc w:val="center"/>
              <w:rPr>
                <w:rFonts w:eastAsia="Times New Roman"/>
                <w:color w:val="000000"/>
                <w:highlight w:val="yellow"/>
              </w:rPr>
            </w:pPr>
            <w:r>
              <w:rPr>
                <w:color w:val="000000"/>
                <w:sz w:val="20"/>
                <w:szCs w:val="20"/>
              </w:rPr>
              <w:t>5</w:t>
            </w:r>
          </w:p>
        </w:tc>
        <w:tc>
          <w:tcPr>
            <w:tcW w:w="2880" w:type="dxa"/>
            <w:tcBorders>
              <w:top w:val="nil"/>
              <w:left w:val="nil"/>
              <w:bottom w:val="single" w:sz="4" w:space="0" w:color="auto"/>
              <w:right w:val="single" w:sz="4" w:space="0" w:color="auto"/>
            </w:tcBorders>
            <w:shd w:val="clear" w:color="auto" w:fill="auto"/>
            <w:vAlign w:val="center"/>
          </w:tcPr>
          <w:p w:rsidR="008D590D" w:rsidRPr="00DF234E" w:rsidP="008440FA" w14:paraId="50072230" w14:textId="0FABCAB9">
            <w:pPr>
              <w:autoSpaceDE/>
              <w:autoSpaceDN/>
              <w:adjustRightInd/>
              <w:spacing w:line="240" w:lineRule="auto"/>
              <w:jc w:val="center"/>
              <w:rPr>
                <w:rFonts w:eastAsia="Times New Roman"/>
                <w:color w:val="000000"/>
                <w:highlight w:val="yellow"/>
              </w:rPr>
            </w:pPr>
            <w:r>
              <w:rPr>
                <w:color w:val="000000"/>
                <w:sz w:val="20"/>
                <w:szCs w:val="20"/>
              </w:rPr>
              <w:t>2</w:t>
            </w:r>
            <w:r w:rsidR="004609B4">
              <w:rPr>
                <w:color w:val="000000"/>
                <w:sz w:val="20"/>
                <w:szCs w:val="20"/>
              </w:rPr>
              <w:t>,</w:t>
            </w:r>
            <w:r>
              <w:rPr>
                <w:color w:val="000000"/>
                <w:sz w:val="20"/>
                <w:szCs w:val="20"/>
              </w:rPr>
              <w:t>680</w:t>
            </w:r>
          </w:p>
        </w:tc>
        <w:tc>
          <w:tcPr>
            <w:tcW w:w="2745" w:type="dxa"/>
            <w:tcBorders>
              <w:top w:val="nil"/>
              <w:left w:val="nil"/>
              <w:bottom w:val="single" w:sz="4" w:space="0" w:color="auto"/>
              <w:right w:val="single" w:sz="4" w:space="0" w:color="auto"/>
            </w:tcBorders>
            <w:shd w:val="clear" w:color="auto" w:fill="auto"/>
            <w:vAlign w:val="center"/>
          </w:tcPr>
          <w:p w:rsidR="008D590D" w:rsidRPr="00DF234E" w:rsidP="008440FA" w14:paraId="3CB763A1" w14:textId="0FFE897C">
            <w:pPr>
              <w:autoSpaceDE/>
              <w:autoSpaceDN/>
              <w:adjustRightInd/>
              <w:spacing w:line="240" w:lineRule="auto"/>
              <w:jc w:val="center"/>
              <w:rPr>
                <w:rFonts w:eastAsia="Times New Roman"/>
                <w:color w:val="000000"/>
                <w:highlight w:val="yellow"/>
              </w:rPr>
            </w:pPr>
            <w:r>
              <w:rPr>
                <w:color w:val="000000"/>
                <w:sz w:val="20"/>
                <w:szCs w:val="20"/>
              </w:rPr>
              <w:t>339</w:t>
            </w:r>
          </w:p>
        </w:tc>
      </w:tr>
      <w:tr w14:paraId="65FD1BCB" w14:textId="77777777" w:rsidTr="004835A9">
        <w:tblPrEx>
          <w:tblW w:w="7790" w:type="dxa"/>
          <w:jc w:val="center"/>
          <w:tblLook w:val="04A0"/>
        </w:tblPrEx>
        <w:trPr>
          <w:trHeight w:val="288"/>
          <w:jc w:val="center"/>
        </w:trPr>
        <w:tc>
          <w:tcPr>
            <w:tcW w:w="2165" w:type="dxa"/>
            <w:tcBorders>
              <w:top w:val="nil"/>
              <w:left w:val="single" w:sz="4" w:space="0" w:color="auto"/>
              <w:bottom w:val="single" w:sz="4" w:space="0" w:color="auto"/>
              <w:right w:val="single" w:sz="4" w:space="0" w:color="auto"/>
            </w:tcBorders>
            <w:shd w:val="clear" w:color="auto" w:fill="auto"/>
            <w:vAlign w:val="center"/>
          </w:tcPr>
          <w:p w:rsidR="008D590D" w:rsidRPr="00DF234E" w:rsidP="008440FA" w14:paraId="60846306" w14:textId="32ED03C8">
            <w:pPr>
              <w:autoSpaceDE/>
              <w:autoSpaceDN/>
              <w:adjustRightInd/>
              <w:spacing w:line="240" w:lineRule="auto"/>
              <w:jc w:val="center"/>
              <w:rPr>
                <w:rFonts w:eastAsia="Times New Roman"/>
                <w:color w:val="000000"/>
                <w:highlight w:val="yellow"/>
              </w:rPr>
            </w:pPr>
            <w:r>
              <w:rPr>
                <w:color w:val="000000"/>
                <w:sz w:val="20"/>
                <w:szCs w:val="20"/>
              </w:rPr>
              <w:t>6</w:t>
            </w:r>
          </w:p>
        </w:tc>
        <w:tc>
          <w:tcPr>
            <w:tcW w:w="2880" w:type="dxa"/>
            <w:tcBorders>
              <w:top w:val="nil"/>
              <w:left w:val="nil"/>
              <w:bottom w:val="single" w:sz="4" w:space="0" w:color="auto"/>
              <w:right w:val="single" w:sz="4" w:space="0" w:color="auto"/>
            </w:tcBorders>
            <w:shd w:val="clear" w:color="auto" w:fill="auto"/>
            <w:vAlign w:val="center"/>
          </w:tcPr>
          <w:p w:rsidR="008D590D" w:rsidRPr="00DF234E" w:rsidP="008440FA" w14:paraId="51D7C986" w14:textId="76ADE615">
            <w:pPr>
              <w:autoSpaceDE/>
              <w:autoSpaceDN/>
              <w:adjustRightInd/>
              <w:spacing w:line="240" w:lineRule="auto"/>
              <w:jc w:val="center"/>
              <w:rPr>
                <w:rFonts w:eastAsia="Times New Roman"/>
                <w:color w:val="000000"/>
                <w:highlight w:val="yellow"/>
              </w:rPr>
            </w:pPr>
            <w:r>
              <w:rPr>
                <w:color w:val="000000"/>
                <w:sz w:val="20"/>
                <w:szCs w:val="20"/>
              </w:rPr>
              <w:t>2</w:t>
            </w:r>
            <w:r w:rsidR="004609B4">
              <w:rPr>
                <w:color w:val="000000"/>
                <w:sz w:val="20"/>
                <w:szCs w:val="20"/>
              </w:rPr>
              <w:t>,</w:t>
            </w:r>
            <w:r>
              <w:rPr>
                <w:color w:val="000000"/>
                <w:sz w:val="20"/>
                <w:szCs w:val="20"/>
              </w:rPr>
              <w:t>644</w:t>
            </w:r>
          </w:p>
        </w:tc>
        <w:tc>
          <w:tcPr>
            <w:tcW w:w="2745" w:type="dxa"/>
            <w:tcBorders>
              <w:top w:val="nil"/>
              <w:left w:val="nil"/>
              <w:bottom w:val="single" w:sz="4" w:space="0" w:color="auto"/>
              <w:right w:val="single" w:sz="4" w:space="0" w:color="auto"/>
            </w:tcBorders>
            <w:shd w:val="clear" w:color="auto" w:fill="auto"/>
            <w:vAlign w:val="center"/>
          </w:tcPr>
          <w:p w:rsidR="008D590D" w:rsidRPr="00DF234E" w:rsidP="008440FA" w14:paraId="5E5B0C8B" w14:textId="0A28534D">
            <w:pPr>
              <w:autoSpaceDE/>
              <w:autoSpaceDN/>
              <w:adjustRightInd/>
              <w:spacing w:line="240" w:lineRule="auto"/>
              <w:jc w:val="center"/>
              <w:rPr>
                <w:rFonts w:eastAsia="Times New Roman"/>
                <w:color w:val="000000"/>
                <w:highlight w:val="yellow"/>
              </w:rPr>
            </w:pPr>
            <w:r>
              <w:rPr>
                <w:color w:val="000000"/>
                <w:sz w:val="20"/>
                <w:szCs w:val="20"/>
              </w:rPr>
              <w:t>375</w:t>
            </w:r>
          </w:p>
        </w:tc>
      </w:tr>
      <w:tr w14:paraId="41365DF6" w14:textId="77777777" w:rsidTr="004835A9">
        <w:tblPrEx>
          <w:tblW w:w="7790" w:type="dxa"/>
          <w:jc w:val="center"/>
          <w:tblLook w:val="04A0"/>
        </w:tblPrEx>
        <w:trPr>
          <w:trHeight w:val="288"/>
          <w:jc w:val="center"/>
        </w:trPr>
        <w:tc>
          <w:tcPr>
            <w:tcW w:w="2165" w:type="dxa"/>
            <w:tcBorders>
              <w:top w:val="single" w:sz="4" w:space="0" w:color="auto"/>
              <w:left w:val="single" w:sz="4" w:space="0" w:color="auto"/>
              <w:bottom w:val="single" w:sz="4" w:space="0" w:color="auto"/>
              <w:right w:val="single" w:sz="4" w:space="0" w:color="auto"/>
            </w:tcBorders>
            <w:shd w:val="clear" w:color="auto" w:fill="auto"/>
            <w:vAlign w:val="center"/>
          </w:tcPr>
          <w:p w:rsidR="008D590D" w:rsidRPr="00DF234E" w:rsidP="008440FA" w14:paraId="3A2018C8" w14:textId="481074DC">
            <w:pPr>
              <w:autoSpaceDE/>
              <w:autoSpaceDN/>
              <w:adjustRightInd/>
              <w:spacing w:line="240" w:lineRule="auto"/>
              <w:jc w:val="center"/>
              <w:rPr>
                <w:rFonts w:eastAsia="Times New Roman"/>
                <w:color w:val="000000"/>
                <w:highlight w:val="yellow"/>
              </w:rPr>
            </w:pPr>
            <w:r>
              <w:rPr>
                <w:color w:val="000000"/>
                <w:sz w:val="20"/>
                <w:szCs w:val="20"/>
              </w:rPr>
              <w:t>7</w:t>
            </w:r>
          </w:p>
        </w:tc>
        <w:tc>
          <w:tcPr>
            <w:tcW w:w="2880" w:type="dxa"/>
            <w:tcBorders>
              <w:top w:val="single" w:sz="4" w:space="0" w:color="auto"/>
              <w:left w:val="nil"/>
              <w:bottom w:val="single" w:sz="4" w:space="0" w:color="auto"/>
              <w:right w:val="single" w:sz="4" w:space="0" w:color="auto"/>
            </w:tcBorders>
            <w:shd w:val="clear" w:color="auto" w:fill="auto"/>
            <w:vAlign w:val="center"/>
          </w:tcPr>
          <w:p w:rsidR="008D590D" w:rsidRPr="00DF234E" w:rsidP="008440FA" w14:paraId="7C6388EB" w14:textId="1329E01E">
            <w:pPr>
              <w:autoSpaceDE/>
              <w:autoSpaceDN/>
              <w:adjustRightInd/>
              <w:spacing w:line="240" w:lineRule="auto"/>
              <w:jc w:val="center"/>
              <w:rPr>
                <w:rFonts w:eastAsia="Times New Roman"/>
                <w:color w:val="000000"/>
                <w:highlight w:val="yellow"/>
              </w:rPr>
            </w:pPr>
            <w:r>
              <w:rPr>
                <w:color w:val="000000"/>
                <w:sz w:val="20"/>
                <w:szCs w:val="20"/>
              </w:rPr>
              <w:t>2</w:t>
            </w:r>
            <w:r w:rsidR="004609B4">
              <w:rPr>
                <w:color w:val="000000"/>
                <w:sz w:val="20"/>
                <w:szCs w:val="20"/>
              </w:rPr>
              <w:t>,</w:t>
            </w:r>
            <w:r>
              <w:rPr>
                <w:color w:val="000000"/>
                <w:sz w:val="20"/>
                <w:szCs w:val="20"/>
              </w:rPr>
              <w:t>614</w:t>
            </w:r>
          </w:p>
        </w:tc>
        <w:tc>
          <w:tcPr>
            <w:tcW w:w="2745" w:type="dxa"/>
            <w:tcBorders>
              <w:top w:val="single" w:sz="4" w:space="0" w:color="auto"/>
              <w:left w:val="nil"/>
              <w:bottom w:val="single" w:sz="4" w:space="0" w:color="auto"/>
              <w:right w:val="single" w:sz="4" w:space="0" w:color="auto"/>
            </w:tcBorders>
            <w:shd w:val="clear" w:color="auto" w:fill="auto"/>
            <w:vAlign w:val="center"/>
          </w:tcPr>
          <w:p w:rsidR="008D590D" w:rsidRPr="00DF234E" w:rsidP="008440FA" w14:paraId="11889E87" w14:textId="0BE5E83A">
            <w:pPr>
              <w:autoSpaceDE/>
              <w:autoSpaceDN/>
              <w:adjustRightInd/>
              <w:spacing w:line="240" w:lineRule="auto"/>
              <w:jc w:val="center"/>
              <w:rPr>
                <w:rFonts w:eastAsia="Times New Roman"/>
                <w:color w:val="000000"/>
                <w:highlight w:val="yellow"/>
              </w:rPr>
            </w:pPr>
            <w:r>
              <w:rPr>
                <w:color w:val="000000"/>
                <w:sz w:val="20"/>
                <w:szCs w:val="20"/>
              </w:rPr>
              <w:t>405</w:t>
            </w:r>
          </w:p>
        </w:tc>
      </w:tr>
      <w:tr w14:paraId="673BFECC" w14:textId="77777777" w:rsidTr="0086260F">
        <w:tblPrEx>
          <w:tblW w:w="7790" w:type="dxa"/>
          <w:jc w:val="center"/>
          <w:tblLook w:val="04A0"/>
        </w:tblPrEx>
        <w:trPr>
          <w:trHeight w:val="288"/>
          <w:jc w:val="center"/>
        </w:trPr>
        <w:tc>
          <w:tcPr>
            <w:tcW w:w="2165" w:type="dxa"/>
            <w:tcBorders>
              <w:top w:val="single" w:sz="4" w:space="0" w:color="auto"/>
              <w:left w:val="single" w:sz="4" w:space="0" w:color="auto"/>
              <w:bottom w:val="single" w:sz="4" w:space="0" w:color="auto"/>
              <w:right w:val="single" w:sz="4" w:space="0" w:color="auto"/>
            </w:tcBorders>
            <w:shd w:val="clear" w:color="auto" w:fill="auto"/>
            <w:vAlign w:val="center"/>
          </w:tcPr>
          <w:p w:rsidR="004835A9" w:rsidP="008440FA" w14:paraId="30113316" w14:textId="685F3366">
            <w:pPr>
              <w:autoSpaceDE/>
              <w:autoSpaceDN/>
              <w:adjustRightInd/>
              <w:spacing w:line="240" w:lineRule="auto"/>
              <w:jc w:val="center"/>
              <w:rPr>
                <w:color w:val="000000"/>
                <w:sz w:val="20"/>
                <w:szCs w:val="20"/>
              </w:rPr>
            </w:pPr>
            <w:r>
              <w:rPr>
                <w:color w:val="000000"/>
                <w:sz w:val="20"/>
                <w:szCs w:val="20"/>
              </w:rPr>
              <w:t>8</w:t>
            </w:r>
          </w:p>
        </w:tc>
        <w:tc>
          <w:tcPr>
            <w:tcW w:w="2880" w:type="dxa"/>
            <w:tcBorders>
              <w:top w:val="single" w:sz="4" w:space="0" w:color="auto"/>
              <w:left w:val="nil"/>
              <w:bottom w:val="single" w:sz="4" w:space="0" w:color="auto"/>
              <w:right w:val="single" w:sz="4" w:space="0" w:color="auto"/>
            </w:tcBorders>
            <w:shd w:val="clear" w:color="auto" w:fill="auto"/>
          </w:tcPr>
          <w:p w:rsidR="004835A9" w:rsidRPr="004835A9" w:rsidP="008440FA" w14:paraId="1EE1A8F0" w14:textId="79BD1BD3">
            <w:pPr>
              <w:autoSpaceDE/>
              <w:autoSpaceDN/>
              <w:adjustRightInd/>
              <w:spacing w:line="240" w:lineRule="auto"/>
              <w:jc w:val="center"/>
              <w:rPr>
                <w:color w:val="000000"/>
                <w:sz w:val="20"/>
                <w:szCs w:val="20"/>
              </w:rPr>
            </w:pPr>
            <w:r w:rsidRPr="004835A9">
              <w:rPr>
                <w:sz w:val="20"/>
                <w:szCs w:val="20"/>
              </w:rPr>
              <w:t>2,588</w:t>
            </w:r>
          </w:p>
        </w:tc>
        <w:tc>
          <w:tcPr>
            <w:tcW w:w="2745" w:type="dxa"/>
            <w:tcBorders>
              <w:top w:val="single" w:sz="4" w:space="0" w:color="auto"/>
              <w:left w:val="nil"/>
              <w:bottom w:val="single" w:sz="4" w:space="0" w:color="auto"/>
              <w:right w:val="single" w:sz="4" w:space="0" w:color="auto"/>
            </w:tcBorders>
            <w:shd w:val="clear" w:color="auto" w:fill="auto"/>
          </w:tcPr>
          <w:p w:rsidR="004835A9" w:rsidRPr="004835A9" w:rsidP="008440FA" w14:paraId="521ABFC6" w14:textId="66E16709">
            <w:pPr>
              <w:autoSpaceDE/>
              <w:autoSpaceDN/>
              <w:adjustRightInd/>
              <w:spacing w:line="240" w:lineRule="auto"/>
              <w:jc w:val="center"/>
              <w:rPr>
                <w:color w:val="000000"/>
                <w:sz w:val="20"/>
                <w:szCs w:val="20"/>
              </w:rPr>
            </w:pPr>
            <w:r w:rsidRPr="004835A9">
              <w:rPr>
                <w:sz w:val="20"/>
                <w:szCs w:val="20"/>
              </w:rPr>
              <w:t>431</w:t>
            </w:r>
          </w:p>
        </w:tc>
      </w:tr>
      <w:tr w14:paraId="722FA7F5" w14:textId="77777777" w:rsidTr="0086260F">
        <w:tblPrEx>
          <w:tblW w:w="7790" w:type="dxa"/>
          <w:jc w:val="center"/>
          <w:tblLook w:val="04A0"/>
        </w:tblPrEx>
        <w:trPr>
          <w:trHeight w:val="288"/>
          <w:jc w:val="center"/>
        </w:trPr>
        <w:tc>
          <w:tcPr>
            <w:tcW w:w="2165" w:type="dxa"/>
            <w:tcBorders>
              <w:top w:val="single" w:sz="4" w:space="0" w:color="auto"/>
              <w:left w:val="single" w:sz="4" w:space="0" w:color="auto"/>
              <w:bottom w:val="single" w:sz="4" w:space="0" w:color="auto"/>
              <w:right w:val="single" w:sz="4" w:space="0" w:color="auto"/>
            </w:tcBorders>
            <w:shd w:val="clear" w:color="auto" w:fill="auto"/>
            <w:vAlign w:val="center"/>
          </w:tcPr>
          <w:p w:rsidR="004835A9" w:rsidP="008440FA" w14:paraId="12BBF105" w14:textId="2743C5C5">
            <w:pPr>
              <w:autoSpaceDE/>
              <w:autoSpaceDN/>
              <w:adjustRightInd/>
              <w:spacing w:line="240" w:lineRule="auto"/>
              <w:jc w:val="center"/>
              <w:rPr>
                <w:color w:val="000000"/>
                <w:sz w:val="20"/>
                <w:szCs w:val="20"/>
              </w:rPr>
            </w:pPr>
            <w:r>
              <w:rPr>
                <w:color w:val="000000"/>
                <w:sz w:val="20"/>
                <w:szCs w:val="20"/>
              </w:rPr>
              <w:t>9</w:t>
            </w:r>
          </w:p>
        </w:tc>
        <w:tc>
          <w:tcPr>
            <w:tcW w:w="2880" w:type="dxa"/>
            <w:tcBorders>
              <w:top w:val="single" w:sz="4" w:space="0" w:color="auto"/>
              <w:left w:val="nil"/>
              <w:bottom w:val="single" w:sz="4" w:space="0" w:color="auto"/>
              <w:right w:val="single" w:sz="4" w:space="0" w:color="auto"/>
            </w:tcBorders>
            <w:shd w:val="clear" w:color="auto" w:fill="auto"/>
          </w:tcPr>
          <w:p w:rsidR="004835A9" w:rsidRPr="004835A9" w:rsidP="008440FA" w14:paraId="4F19F5E0" w14:textId="703AA7FF">
            <w:pPr>
              <w:autoSpaceDE/>
              <w:autoSpaceDN/>
              <w:adjustRightInd/>
              <w:spacing w:line="240" w:lineRule="auto"/>
              <w:jc w:val="center"/>
              <w:rPr>
                <w:color w:val="000000"/>
                <w:sz w:val="20"/>
                <w:szCs w:val="20"/>
              </w:rPr>
            </w:pPr>
            <w:r w:rsidRPr="004835A9">
              <w:rPr>
                <w:sz w:val="20"/>
                <w:szCs w:val="20"/>
              </w:rPr>
              <w:t>2,566</w:t>
            </w:r>
          </w:p>
        </w:tc>
        <w:tc>
          <w:tcPr>
            <w:tcW w:w="2745" w:type="dxa"/>
            <w:tcBorders>
              <w:top w:val="single" w:sz="4" w:space="0" w:color="auto"/>
              <w:left w:val="nil"/>
              <w:bottom w:val="single" w:sz="4" w:space="0" w:color="auto"/>
              <w:right w:val="single" w:sz="4" w:space="0" w:color="auto"/>
            </w:tcBorders>
            <w:shd w:val="clear" w:color="auto" w:fill="auto"/>
          </w:tcPr>
          <w:p w:rsidR="004835A9" w:rsidRPr="004835A9" w:rsidP="008440FA" w14:paraId="31FA80E5" w14:textId="154BD8C7">
            <w:pPr>
              <w:autoSpaceDE/>
              <w:autoSpaceDN/>
              <w:adjustRightInd/>
              <w:spacing w:line="240" w:lineRule="auto"/>
              <w:jc w:val="center"/>
              <w:rPr>
                <w:color w:val="000000"/>
                <w:sz w:val="20"/>
                <w:szCs w:val="20"/>
              </w:rPr>
            </w:pPr>
            <w:r w:rsidRPr="004835A9">
              <w:rPr>
                <w:sz w:val="20"/>
                <w:szCs w:val="20"/>
              </w:rPr>
              <w:t>453</w:t>
            </w:r>
          </w:p>
        </w:tc>
      </w:tr>
    </w:tbl>
    <w:p w:rsidR="0069717A" w:rsidRPr="00581806" w:rsidP="008440FA" w14:paraId="3151B92E" w14:textId="4D14DF64">
      <w:pPr>
        <w:tabs>
          <w:tab w:val="left" w:pos="1440"/>
          <w:tab w:val="left" w:pos="2160"/>
          <w:tab w:val="left" w:pos="9360"/>
        </w:tabs>
        <w:spacing w:line="240" w:lineRule="auto"/>
        <w:ind w:left="720"/>
        <w:rPr>
          <w:rFonts w:eastAsia="Times New Roman"/>
          <w:sz w:val="18"/>
          <w:szCs w:val="18"/>
        </w:rPr>
      </w:pPr>
      <w:r w:rsidRPr="00581806">
        <w:rPr>
          <w:rFonts w:eastAsia="Times New Roman"/>
          <w:sz w:val="18"/>
          <w:szCs w:val="18"/>
        </w:rPr>
        <w:t xml:space="preserve">Note: </w:t>
      </w:r>
      <w:r w:rsidRPr="00581806" w:rsidR="005F0BEF">
        <w:rPr>
          <w:rFonts w:eastAsia="Times New Roman"/>
          <w:sz w:val="18"/>
          <w:szCs w:val="18"/>
        </w:rPr>
        <w:t xml:space="preserve"> </w:t>
      </w:r>
      <w:r w:rsidRPr="00581806">
        <w:rPr>
          <w:rFonts w:eastAsia="Times New Roman"/>
          <w:sz w:val="18"/>
          <w:szCs w:val="18"/>
        </w:rPr>
        <w:t xml:space="preserve">The reduction in resource hours is obtained </w:t>
      </w:r>
      <w:r w:rsidRPr="00581806">
        <w:rPr>
          <w:rFonts w:eastAsia="Times New Roman"/>
          <w:sz w:val="18"/>
          <w:szCs w:val="18"/>
        </w:rPr>
        <w:t>by</w:t>
      </w:r>
      <w:r w:rsidR="00B944DC">
        <w:rPr>
          <w:rFonts w:eastAsia="Times New Roman"/>
          <w:sz w:val="18"/>
          <w:szCs w:val="18"/>
        </w:rPr>
        <w:t xml:space="preserve"> </w:t>
      </w:r>
      <w:r w:rsidR="00C37CDA">
        <w:rPr>
          <w:rFonts w:eastAsia="Times New Roman"/>
          <w:sz w:val="18"/>
          <w:szCs w:val="18"/>
        </w:rPr>
        <w:t xml:space="preserve">equation </w:t>
      </w:r>
      <m:oMath>
        <m:r>
          <w:rPr>
            <w:rFonts w:ascii="Cambria Math" w:eastAsia="Times New Roman" w:hAnsi="Cambria Math"/>
            <w:sz w:val="18"/>
            <w:szCs w:val="18"/>
          </w:rPr>
          <m:t>Y=T</m:t>
        </m:r>
        <m:sSup>
          <m:sSupPr>
            <m:ctrlPr>
              <w:rPr>
                <w:rFonts w:ascii="Cambria Math" w:eastAsia="Times New Roman" w:hAnsi="Cambria Math"/>
                <w:i/>
                <w:sz w:val="18"/>
                <w:szCs w:val="18"/>
              </w:rPr>
            </m:ctrlPr>
          </m:sSupPr>
          <m:e>
            <m:r>
              <w:rPr>
                <w:rFonts w:ascii="Cambria Math" w:eastAsia="Times New Roman" w:hAnsi="Cambria Math"/>
                <w:sz w:val="18"/>
                <w:szCs w:val="18"/>
              </w:rPr>
              <m:t>∙X</m:t>
            </m:r>
          </m:e>
          <m:sup>
            <m:f>
              <m:fPr>
                <m:ctrlPr>
                  <w:rPr>
                    <w:rFonts w:ascii="Cambria Math" w:eastAsia="Times New Roman" w:hAnsi="Cambria Math"/>
                    <w:i/>
                    <w:sz w:val="18"/>
                    <w:szCs w:val="18"/>
                  </w:rPr>
                </m:ctrlPr>
              </m:fPr>
              <m:num>
                <m:func>
                  <m:funcPr>
                    <m:ctrlPr>
                      <w:rPr>
                        <w:rFonts w:ascii="Cambria Math" w:eastAsia="Times New Roman" w:hAnsi="Cambria Math"/>
                        <w:i/>
                        <w:sz w:val="18"/>
                        <w:szCs w:val="18"/>
                      </w:rPr>
                    </m:ctrlPr>
                  </m:funcPr>
                  <m:fName>
                    <m:sSub>
                      <m:sSubPr>
                        <m:ctrlPr>
                          <w:rPr>
                            <w:rFonts w:ascii="Cambria Math" w:eastAsia="Times New Roman" w:hAnsi="Cambria Math"/>
                            <w:i/>
                            <w:sz w:val="18"/>
                            <w:szCs w:val="18"/>
                          </w:rPr>
                        </m:ctrlPr>
                      </m:sSubPr>
                      <m:e>
                        <m:r>
                          <m:rPr>
                            <m:sty m:val="p"/>
                          </m:rPr>
                          <w:rPr>
                            <w:rFonts w:ascii="Cambria Math" w:eastAsia="Times New Roman" w:hAnsi="Cambria Math"/>
                            <w:sz w:val="18"/>
                            <w:szCs w:val="18"/>
                          </w:rPr>
                          <m:t>log</m:t>
                        </m:r>
                      </m:e>
                      <m:sub>
                        <m:r>
                          <w:rPr>
                            <w:rFonts w:ascii="Cambria Math" w:eastAsia="Times New Roman" w:hAnsi="Cambria Math"/>
                            <w:sz w:val="18"/>
                            <w:szCs w:val="18"/>
                          </w:rPr>
                          <m:t>10</m:t>
                        </m:r>
                      </m:sub>
                    </m:sSub>
                  </m:fName>
                  <m:e>
                    <m:r>
                      <w:rPr>
                        <w:rFonts w:ascii="Cambria Math" w:eastAsia="Times New Roman" w:hAnsi="Cambria Math"/>
                        <w:sz w:val="18"/>
                        <w:szCs w:val="18"/>
                      </w:rPr>
                      <m:t>0.95</m:t>
                    </m:r>
                  </m:e>
                </m:func>
              </m:num>
              <m:den>
                <m:func>
                  <m:funcPr>
                    <m:ctrlPr>
                      <w:rPr>
                        <w:rFonts w:ascii="Cambria Math" w:eastAsia="Times New Roman" w:hAnsi="Cambria Math"/>
                        <w:i/>
                        <w:sz w:val="18"/>
                        <w:szCs w:val="18"/>
                      </w:rPr>
                    </m:ctrlPr>
                  </m:funcPr>
                  <m:fName>
                    <m:sSub>
                      <m:sSubPr>
                        <m:ctrlPr>
                          <w:rPr>
                            <w:rFonts w:ascii="Cambria Math" w:eastAsia="Times New Roman" w:hAnsi="Cambria Math"/>
                            <w:i/>
                            <w:sz w:val="18"/>
                            <w:szCs w:val="18"/>
                          </w:rPr>
                        </m:ctrlPr>
                      </m:sSubPr>
                      <m:e>
                        <m:r>
                          <m:rPr>
                            <m:sty m:val="p"/>
                          </m:rPr>
                          <w:rPr>
                            <w:rFonts w:ascii="Cambria Math" w:eastAsia="Times New Roman" w:hAnsi="Cambria Math"/>
                            <w:sz w:val="18"/>
                            <w:szCs w:val="18"/>
                          </w:rPr>
                          <m:t>log</m:t>
                        </m:r>
                      </m:e>
                      <m:sub>
                        <m:r>
                          <w:rPr>
                            <w:rFonts w:ascii="Cambria Math" w:eastAsia="Times New Roman" w:hAnsi="Cambria Math"/>
                            <w:sz w:val="18"/>
                            <w:szCs w:val="18"/>
                          </w:rPr>
                          <m:t>10</m:t>
                        </m:r>
                      </m:sub>
                    </m:sSub>
                  </m:fName>
                  <m:e>
                    <m:r>
                      <w:rPr>
                        <w:rFonts w:ascii="Cambria Math" w:eastAsia="Times New Roman" w:hAnsi="Cambria Math"/>
                        <w:sz w:val="18"/>
                        <w:szCs w:val="18"/>
                      </w:rPr>
                      <m:t>2</m:t>
                    </m:r>
                  </m:e>
                </m:func>
              </m:den>
            </m:f>
          </m:sup>
        </m:sSup>
      </m:oMath>
      <w:r w:rsidRPr="00581806" w:rsidR="00486577">
        <w:rPr>
          <w:rFonts w:eastAsia="Times New Roman"/>
          <w:sz w:val="18"/>
          <w:szCs w:val="18"/>
        </w:rPr>
        <w:t xml:space="preserve">, where </w:t>
      </w:r>
      <w:r w:rsidRPr="00581806" w:rsidR="00486577">
        <w:rPr>
          <w:rFonts w:eastAsia="Times New Roman"/>
          <w:i/>
          <w:sz w:val="18"/>
          <w:szCs w:val="18"/>
        </w:rPr>
        <w:t>Y</w:t>
      </w:r>
      <w:r w:rsidR="006D6248">
        <w:rPr>
          <w:rFonts w:eastAsia="Times New Roman"/>
          <w:sz w:val="18"/>
          <w:szCs w:val="18"/>
        </w:rPr>
        <w:t>, found in column two,</w:t>
      </w:r>
      <w:r w:rsidRPr="00581806" w:rsidR="00486577">
        <w:rPr>
          <w:rFonts w:eastAsia="Times New Roman"/>
          <w:sz w:val="18"/>
          <w:szCs w:val="18"/>
        </w:rPr>
        <w:t xml:space="preserve"> is the reduced number of hours</w:t>
      </w:r>
      <w:r w:rsidRPr="00581806">
        <w:rPr>
          <w:rFonts w:eastAsia="Times New Roman"/>
          <w:sz w:val="18"/>
          <w:szCs w:val="18"/>
        </w:rPr>
        <w:t xml:space="preserve"> </w:t>
      </w:r>
      <w:r w:rsidRPr="00581806" w:rsidR="005F0BEF">
        <w:rPr>
          <w:rFonts w:eastAsia="Times New Roman"/>
          <w:sz w:val="18"/>
          <w:szCs w:val="18"/>
        </w:rPr>
        <w:t xml:space="preserve">needed </w:t>
      </w:r>
      <w:r w:rsidRPr="00581806">
        <w:rPr>
          <w:rFonts w:eastAsia="Times New Roman"/>
          <w:sz w:val="18"/>
          <w:szCs w:val="18"/>
        </w:rPr>
        <w:t>to process an EP submission</w:t>
      </w:r>
      <w:r w:rsidR="006D6248">
        <w:rPr>
          <w:rFonts w:eastAsia="Times New Roman"/>
          <w:sz w:val="18"/>
          <w:szCs w:val="18"/>
        </w:rPr>
        <w:t>;</w:t>
      </w:r>
      <w:r w:rsidRPr="00581806" w:rsidR="00486577">
        <w:rPr>
          <w:rFonts w:eastAsia="Times New Roman"/>
          <w:sz w:val="18"/>
          <w:szCs w:val="18"/>
        </w:rPr>
        <w:t xml:space="preserve"> </w:t>
      </w:r>
      <w:r w:rsidRPr="00581806" w:rsidR="00486577">
        <w:rPr>
          <w:rFonts w:eastAsia="Times New Roman"/>
          <w:i/>
          <w:sz w:val="18"/>
          <w:szCs w:val="18"/>
        </w:rPr>
        <w:t>T</w:t>
      </w:r>
      <w:r w:rsidRPr="00581806" w:rsidR="00486577">
        <w:rPr>
          <w:rFonts w:eastAsia="Times New Roman"/>
          <w:sz w:val="18"/>
          <w:szCs w:val="18"/>
        </w:rPr>
        <w:t xml:space="preserve"> is the initial number of hours </w:t>
      </w:r>
      <w:r w:rsidRPr="00581806" w:rsidR="005F0BEF">
        <w:rPr>
          <w:rFonts w:eastAsia="Times New Roman"/>
          <w:sz w:val="18"/>
          <w:szCs w:val="18"/>
        </w:rPr>
        <w:t xml:space="preserve">needed to </w:t>
      </w:r>
      <w:r w:rsidRPr="00581806" w:rsidR="00486577">
        <w:rPr>
          <w:rFonts w:eastAsia="Times New Roman"/>
          <w:sz w:val="18"/>
          <w:szCs w:val="18"/>
        </w:rPr>
        <w:t>develop</w:t>
      </w:r>
      <w:r w:rsidRPr="00581806">
        <w:rPr>
          <w:rFonts w:eastAsia="Times New Roman"/>
          <w:sz w:val="18"/>
          <w:szCs w:val="18"/>
        </w:rPr>
        <w:t xml:space="preserve"> </w:t>
      </w:r>
      <w:r w:rsidRPr="00581806" w:rsidR="00FA7536">
        <w:rPr>
          <w:rFonts w:eastAsia="Times New Roman"/>
          <w:sz w:val="18"/>
          <w:szCs w:val="18"/>
        </w:rPr>
        <w:t>the first EP submission (i.e.</w:t>
      </w:r>
      <w:r w:rsidRPr="00581806" w:rsidR="005F0BEF">
        <w:rPr>
          <w:rFonts w:eastAsia="Times New Roman"/>
          <w:sz w:val="18"/>
          <w:szCs w:val="18"/>
        </w:rPr>
        <w:t>,</w:t>
      </w:r>
      <w:r w:rsidR="006F466C">
        <w:rPr>
          <w:rFonts w:eastAsia="Times New Roman"/>
          <w:sz w:val="18"/>
          <w:szCs w:val="18"/>
        </w:rPr>
        <w:t> </w:t>
      </w:r>
      <w:r w:rsidRPr="00581806" w:rsidR="00FA7536">
        <w:rPr>
          <w:rFonts w:eastAsia="Times New Roman"/>
          <w:sz w:val="18"/>
          <w:szCs w:val="18"/>
        </w:rPr>
        <w:t>3</w:t>
      </w:r>
      <w:r w:rsidRPr="00581806" w:rsidR="005F0BEF">
        <w:rPr>
          <w:rFonts w:eastAsia="Times New Roman"/>
          <w:sz w:val="18"/>
          <w:szCs w:val="18"/>
        </w:rPr>
        <w:t>,</w:t>
      </w:r>
      <w:r w:rsidRPr="00581806" w:rsidR="00486577">
        <w:rPr>
          <w:rFonts w:eastAsia="Times New Roman"/>
          <w:sz w:val="18"/>
          <w:szCs w:val="18"/>
        </w:rPr>
        <w:t>019 hours)</w:t>
      </w:r>
      <w:r w:rsidR="006D6248">
        <w:rPr>
          <w:rFonts w:eastAsia="Times New Roman"/>
          <w:sz w:val="18"/>
          <w:szCs w:val="18"/>
        </w:rPr>
        <w:t>;</w:t>
      </w:r>
      <w:r w:rsidRPr="00581806" w:rsidR="00486577">
        <w:rPr>
          <w:rFonts w:eastAsia="Times New Roman"/>
          <w:sz w:val="18"/>
          <w:szCs w:val="18"/>
        </w:rPr>
        <w:t xml:space="preserve"> and </w:t>
      </w:r>
      <w:r w:rsidRPr="00581806" w:rsidR="00486577">
        <w:rPr>
          <w:rFonts w:eastAsia="Times New Roman"/>
          <w:i/>
          <w:sz w:val="18"/>
          <w:szCs w:val="18"/>
        </w:rPr>
        <w:t>X</w:t>
      </w:r>
      <w:r w:rsidRPr="00581806">
        <w:rPr>
          <w:rFonts w:eastAsia="Times New Roman"/>
          <w:sz w:val="18"/>
          <w:szCs w:val="18"/>
        </w:rPr>
        <w:t xml:space="preserve">, found in column one, </w:t>
      </w:r>
      <w:r w:rsidRPr="00581806" w:rsidR="00486577">
        <w:rPr>
          <w:rFonts w:eastAsia="Times New Roman"/>
          <w:sz w:val="18"/>
          <w:szCs w:val="18"/>
        </w:rPr>
        <w:t>represents some future EP submission (e.g.</w:t>
      </w:r>
      <w:r w:rsidRPr="00581806" w:rsidR="005F0BEF">
        <w:rPr>
          <w:rFonts w:eastAsia="Times New Roman"/>
          <w:sz w:val="18"/>
          <w:szCs w:val="18"/>
        </w:rPr>
        <w:t>, </w:t>
      </w:r>
      <w:r w:rsidRPr="00581806" w:rsidR="00486577">
        <w:rPr>
          <w:rFonts w:eastAsia="Times New Roman"/>
          <w:i/>
          <w:sz w:val="18"/>
          <w:szCs w:val="18"/>
        </w:rPr>
        <w:t>X</w:t>
      </w:r>
      <w:r w:rsidRPr="00581806" w:rsidR="005F0BEF">
        <w:rPr>
          <w:rFonts w:eastAsia="Times New Roman"/>
          <w:i/>
          <w:sz w:val="18"/>
          <w:szCs w:val="18"/>
        </w:rPr>
        <w:t xml:space="preserve"> </w:t>
      </w:r>
      <w:r w:rsidRPr="00581806" w:rsidR="00486577">
        <w:rPr>
          <w:rFonts w:eastAsia="Times New Roman"/>
          <w:i/>
          <w:sz w:val="18"/>
          <w:szCs w:val="18"/>
        </w:rPr>
        <w:t>=</w:t>
      </w:r>
      <w:r w:rsidRPr="00581806" w:rsidR="005F0BEF">
        <w:rPr>
          <w:rFonts w:eastAsia="Times New Roman"/>
          <w:i/>
          <w:sz w:val="18"/>
          <w:szCs w:val="18"/>
        </w:rPr>
        <w:t xml:space="preserve"> </w:t>
      </w:r>
      <w:r w:rsidRPr="00581806" w:rsidR="00486577">
        <w:rPr>
          <w:rFonts w:eastAsia="Times New Roman"/>
          <w:i/>
          <w:sz w:val="18"/>
          <w:szCs w:val="18"/>
        </w:rPr>
        <w:t>3</w:t>
      </w:r>
      <w:r w:rsidRPr="00581806" w:rsidR="00486577">
        <w:rPr>
          <w:rFonts w:eastAsia="Times New Roman"/>
          <w:sz w:val="18"/>
          <w:szCs w:val="18"/>
        </w:rPr>
        <w:t xml:space="preserve"> would represent the third EP submission).</w:t>
      </w:r>
    </w:p>
    <w:p w:rsidR="000F4172" w:rsidP="008440FA" w14:paraId="33F46887" w14:textId="77777777">
      <w:pPr>
        <w:tabs>
          <w:tab w:val="left" w:pos="1440"/>
          <w:tab w:val="left" w:pos="2160"/>
          <w:tab w:val="left" w:pos="9360"/>
        </w:tabs>
        <w:spacing w:line="240" w:lineRule="auto"/>
        <w:rPr>
          <w:rFonts w:eastAsia="Times New Roman"/>
        </w:rPr>
      </w:pPr>
    </w:p>
    <w:p w:rsidR="0069717A" w:rsidRPr="00A00AC6" w:rsidP="008440FA" w14:paraId="40A682A9" w14:textId="1F202728">
      <w:pPr>
        <w:tabs>
          <w:tab w:val="left" w:pos="1440"/>
          <w:tab w:val="left" w:pos="2160"/>
          <w:tab w:val="left" w:pos="9360"/>
        </w:tabs>
        <w:spacing w:line="240" w:lineRule="auto"/>
        <w:rPr>
          <w:rFonts w:eastAsia="Times New Roman"/>
        </w:rPr>
      </w:pPr>
      <w:r w:rsidRPr="00B944DC">
        <w:rPr>
          <w:rFonts w:eastAsia="Times New Roman"/>
        </w:rPr>
        <w:t>Taking into account</w:t>
      </w:r>
      <w:r w:rsidRPr="00B944DC">
        <w:rPr>
          <w:rFonts w:eastAsia="Times New Roman"/>
        </w:rPr>
        <w:t xml:space="preserve"> the learning curve </w:t>
      </w:r>
      <w:r>
        <w:rPr>
          <w:rFonts w:eastAsia="Times New Roman"/>
        </w:rPr>
        <w:t xml:space="preserve">efficiency gain </w:t>
      </w:r>
      <w:r w:rsidRPr="00B944DC">
        <w:rPr>
          <w:rFonts w:eastAsia="Times New Roman"/>
        </w:rPr>
        <w:t>for developing the EP submission,</w:t>
      </w:r>
      <w:r>
        <w:rPr>
          <w:rFonts w:eastAsia="Times New Roman"/>
        </w:rPr>
        <w:t xml:space="preserve"> </w:t>
      </w:r>
      <w:r w:rsidR="00BA402E">
        <w:rPr>
          <w:rFonts w:eastAsia="Times New Roman"/>
        </w:rPr>
        <w:t>12 </w:t>
      </w:r>
      <w:r w:rsidRPr="00B944DC">
        <w:rPr>
          <w:rFonts w:eastAsia="Times New Roman"/>
        </w:rPr>
        <w:t xml:space="preserve">SMRs and ONTs will result in averted costs as shown in </w:t>
      </w:r>
      <w:r w:rsidRPr="00B944DC" w:rsidR="00EF7222">
        <w:rPr>
          <w:rFonts w:eastAsia="Times New Roman"/>
        </w:rPr>
        <w:fldChar w:fldCharType="begin"/>
      </w:r>
      <w:r w:rsidRPr="00B944DC" w:rsidR="00EF7222">
        <w:rPr>
          <w:rFonts w:eastAsia="Times New Roman"/>
        </w:rPr>
        <w:instrText xml:space="preserve"> REF _Ref510705089 \h </w:instrText>
      </w:r>
      <w:r w:rsidRPr="00B944DC">
        <w:rPr>
          <w:rFonts w:eastAsia="Times New Roman"/>
        </w:rPr>
        <w:instrText xml:space="preserve"> \* MERGEFORMAT </w:instrText>
      </w:r>
      <w:r w:rsidRPr="00B944DC" w:rsidR="00EF7222">
        <w:rPr>
          <w:rFonts w:eastAsia="Times New Roman"/>
        </w:rPr>
        <w:fldChar w:fldCharType="separate"/>
      </w:r>
      <w:r w:rsidRPr="004634A0" w:rsidR="004634A0">
        <w:t>Table</w:t>
      </w:r>
      <w:r w:rsidRPr="00581806" w:rsidR="004634A0">
        <w:rPr>
          <w:b/>
        </w:rPr>
        <w:t xml:space="preserve"> </w:t>
      </w:r>
      <w:r w:rsidRPr="00922341" w:rsidR="004634A0">
        <w:rPr>
          <w:bCs/>
          <w:noProof/>
        </w:rPr>
        <w:t>5</w:t>
      </w:r>
      <w:r w:rsidRPr="00B944DC" w:rsidR="00EF7222">
        <w:rPr>
          <w:rFonts w:eastAsia="Times New Roman"/>
        </w:rPr>
        <w:fldChar w:fldCharType="end"/>
      </w:r>
      <w:r w:rsidRPr="00A00AC6">
        <w:rPr>
          <w:rFonts w:eastAsia="Times New Roman"/>
        </w:rPr>
        <w:t>.</w:t>
      </w:r>
      <w:r w:rsidR="00404259">
        <w:rPr>
          <w:rFonts w:eastAsia="Times New Roman"/>
        </w:rPr>
        <w:t xml:space="preserve">  </w:t>
      </w:r>
      <w:r w:rsidR="00A546EA">
        <w:rPr>
          <w:rFonts w:eastAsia="Times New Roman"/>
        </w:rPr>
        <w:t>However, o</w:t>
      </w:r>
      <w:r w:rsidR="00404259">
        <w:rPr>
          <w:rFonts w:eastAsia="Times New Roman"/>
        </w:rPr>
        <w:t xml:space="preserve">nly </w:t>
      </w:r>
      <w:r w:rsidR="00BA402E">
        <w:rPr>
          <w:rFonts w:eastAsia="Times New Roman"/>
        </w:rPr>
        <w:t>11</w:t>
      </w:r>
      <w:r w:rsidR="00404259">
        <w:rPr>
          <w:rFonts w:eastAsia="Times New Roman"/>
        </w:rPr>
        <w:t xml:space="preserve"> of the </w:t>
      </w:r>
      <w:r w:rsidR="00BA402E">
        <w:rPr>
          <w:rFonts w:eastAsia="Times New Roman"/>
        </w:rPr>
        <w:t>12 </w:t>
      </w:r>
      <w:r w:rsidR="00404259">
        <w:rPr>
          <w:rFonts w:eastAsia="Times New Roman"/>
        </w:rPr>
        <w:t xml:space="preserve">SMRs and ONTs are included because </w:t>
      </w:r>
      <w:r w:rsidR="00BA402E">
        <w:rPr>
          <w:rFonts w:eastAsia="Times New Roman"/>
        </w:rPr>
        <w:t>1</w:t>
      </w:r>
      <w:r w:rsidR="00404259">
        <w:rPr>
          <w:rFonts w:eastAsia="Times New Roman"/>
        </w:rPr>
        <w:t xml:space="preserve"> has already submitted its EP plans to the NRC.</w:t>
      </w:r>
    </w:p>
    <w:p w:rsidR="0069717A" w:rsidRPr="00486577" w:rsidP="008440FA" w14:paraId="78E9E942" w14:textId="77777777">
      <w:pPr>
        <w:tabs>
          <w:tab w:val="left" w:pos="1440"/>
          <w:tab w:val="left" w:pos="2160"/>
          <w:tab w:val="left" w:pos="9360"/>
        </w:tabs>
        <w:spacing w:line="240" w:lineRule="auto"/>
        <w:rPr>
          <w:rFonts w:eastAsia="Times New Roman"/>
        </w:rPr>
      </w:pPr>
    </w:p>
    <w:p w:rsidR="0023422C" w:rsidRPr="00581806" w:rsidP="008440FA" w14:paraId="5F4C8CBF" w14:textId="65C56A53">
      <w:pPr>
        <w:pStyle w:val="Caption"/>
        <w:spacing w:after="120" w:line="240" w:lineRule="auto"/>
        <w:ind w:left="1080" w:hanging="1080"/>
        <w:jc w:val="center"/>
        <w:rPr>
          <w:b/>
        </w:rPr>
      </w:pPr>
      <w:bookmarkStart w:id="145" w:name="_Ref510705089"/>
      <w:bookmarkStart w:id="146" w:name="_Toc70669542"/>
      <w:bookmarkStart w:id="147" w:name="_Toc85198661"/>
      <w:r w:rsidRPr="00581806">
        <w:rPr>
          <w:b/>
        </w:rPr>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4634A0">
        <w:rPr>
          <w:b/>
          <w:noProof/>
        </w:rPr>
        <w:t>5</w:t>
      </w:r>
      <w:r w:rsidRPr="00581806" w:rsidR="000012A5">
        <w:rPr>
          <w:b/>
          <w:noProof/>
        </w:rPr>
        <w:fldChar w:fldCharType="end"/>
      </w:r>
      <w:bookmarkEnd w:id="145"/>
      <w:r w:rsidRPr="00581806" w:rsidR="005F0BEF">
        <w:rPr>
          <w:b/>
        </w:rPr>
        <w:t xml:space="preserve">  </w:t>
      </w:r>
      <w:r w:rsidR="004D5429">
        <w:rPr>
          <w:b/>
        </w:rPr>
        <w:t xml:space="preserve">Averted Costs </w:t>
      </w:r>
      <w:r w:rsidR="006F466C">
        <w:rPr>
          <w:b/>
        </w:rPr>
        <w:t>D</w:t>
      </w:r>
      <w:r w:rsidR="004D5429">
        <w:rPr>
          <w:b/>
        </w:rPr>
        <w:t xml:space="preserve">ue to </w:t>
      </w:r>
      <w:r w:rsidRPr="00581806">
        <w:rPr>
          <w:b/>
        </w:rPr>
        <w:t xml:space="preserve">Reduced Complexity </w:t>
      </w:r>
      <w:r w:rsidR="004D5429">
        <w:rPr>
          <w:b/>
        </w:rPr>
        <w:t xml:space="preserve">in </w:t>
      </w:r>
      <w:r w:rsidRPr="004D5429" w:rsidR="004D5429">
        <w:rPr>
          <w:b/>
        </w:rPr>
        <w:t>Initial EP Plan</w:t>
      </w:r>
      <w:bookmarkEnd w:id="146"/>
      <w:bookmarkEnd w:id="147"/>
    </w:p>
    <w:p w:rsidR="0023422C" w:rsidP="008440FA" w14:paraId="1463F881" w14:textId="3B5DEB9A">
      <w:pPr>
        <w:tabs>
          <w:tab w:val="left" w:pos="1440"/>
          <w:tab w:val="left" w:pos="2160"/>
          <w:tab w:val="left" w:pos="9360"/>
        </w:tabs>
        <w:spacing w:line="240" w:lineRule="auto"/>
        <w:rPr>
          <w:rFonts w:eastAsia="Times New Roman"/>
        </w:rPr>
      </w:pPr>
      <w:r w:rsidRPr="003D2A05">
        <w:rPr>
          <w:noProof/>
        </w:rPr>
        <w:drawing>
          <wp:inline distT="0" distB="0" distL="0" distR="0">
            <wp:extent cx="5943600" cy="113919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139190"/>
                    </a:xfrm>
                    <a:prstGeom prst="rect">
                      <a:avLst/>
                    </a:prstGeom>
                    <a:noFill/>
                    <a:ln>
                      <a:noFill/>
                    </a:ln>
                  </pic:spPr>
                </pic:pic>
              </a:graphicData>
            </a:graphic>
          </wp:inline>
        </w:drawing>
      </w:r>
    </w:p>
    <w:p w:rsidR="0023422C" w:rsidP="008440FA" w14:paraId="4FDBDFA8" w14:textId="4ECED545">
      <w:pPr>
        <w:tabs>
          <w:tab w:val="left" w:pos="1440"/>
          <w:tab w:val="left" w:pos="2160"/>
          <w:tab w:val="left" w:pos="9360"/>
        </w:tabs>
        <w:spacing w:line="240" w:lineRule="auto"/>
        <w:rPr>
          <w:rFonts w:eastAsia="Times New Roman"/>
        </w:rPr>
      </w:pPr>
    </w:p>
    <w:p w:rsidR="0023422C" w:rsidP="008440FA" w14:paraId="55C34D17" w14:textId="31883BF7">
      <w:pPr>
        <w:tabs>
          <w:tab w:val="left" w:pos="1440"/>
          <w:tab w:val="left" w:pos="2160"/>
          <w:tab w:val="left" w:pos="9360"/>
        </w:tabs>
        <w:spacing w:line="240" w:lineRule="auto"/>
        <w:rPr>
          <w:rFonts w:eastAsia="Times New Roman"/>
        </w:rPr>
      </w:pPr>
      <w:r>
        <w:rPr>
          <w:rFonts w:eastAsia="Times New Roman"/>
        </w:rPr>
        <w:t xml:space="preserve">Furthermore, </w:t>
      </w:r>
      <w:r w:rsidR="00F65E50">
        <w:rPr>
          <w:rFonts w:eastAsia="Times New Roman"/>
        </w:rPr>
        <w:t xml:space="preserve">licensees will submit fewer LARs for EP over the reactor lifetime because </w:t>
      </w:r>
      <w:r>
        <w:rPr>
          <w:rFonts w:eastAsia="Times New Roman"/>
        </w:rPr>
        <w:t>the performance</w:t>
      </w:r>
      <w:r w:rsidR="00D01141">
        <w:rPr>
          <w:rFonts w:eastAsia="Times New Roman"/>
        </w:rPr>
        <w:noBreakHyphen/>
      </w:r>
      <w:r>
        <w:rPr>
          <w:rFonts w:eastAsia="Times New Roman"/>
        </w:rPr>
        <w:t xml:space="preserve">based framework of the </w:t>
      </w:r>
      <w:r w:rsidR="00906E8D">
        <w:rPr>
          <w:rFonts w:eastAsia="Times New Roman"/>
        </w:rPr>
        <w:t>final</w:t>
      </w:r>
      <w:r>
        <w:rPr>
          <w:rFonts w:eastAsia="Times New Roman"/>
        </w:rPr>
        <w:t xml:space="preserve"> rule will result in less pr</w:t>
      </w:r>
      <w:r w:rsidR="00DA3B21">
        <w:rPr>
          <w:rFonts w:eastAsia="Times New Roman"/>
        </w:rPr>
        <w:t>e</w:t>
      </w:r>
      <w:r>
        <w:rPr>
          <w:rFonts w:eastAsia="Times New Roman"/>
        </w:rPr>
        <w:t xml:space="preserve">scriptive requirements for personnel, equipment lists, and other currently existing EP requirements.  </w:t>
      </w:r>
      <w:r w:rsidR="00ED7370">
        <w:rPr>
          <w:rFonts w:eastAsia="Times New Roman"/>
        </w:rPr>
        <w:t xml:space="preserve">While </w:t>
      </w:r>
      <w:r w:rsidR="00A546EA">
        <w:rPr>
          <w:rFonts w:eastAsia="Times New Roman"/>
        </w:rPr>
        <w:t xml:space="preserve">the scope of </w:t>
      </w:r>
      <w:r w:rsidR="0008268D">
        <w:rPr>
          <w:rFonts w:eastAsia="Times New Roman"/>
        </w:rPr>
        <w:t>this</w:t>
      </w:r>
      <w:r w:rsidR="00A546EA">
        <w:rPr>
          <w:rFonts w:eastAsia="Times New Roman"/>
        </w:rPr>
        <w:t xml:space="preserve"> final rule does not include </w:t>
      </w:r>
      <w:r w:rsidR="00515259">
        <w:rPr>
          <w:rFonts w:eastAsia="Times New Roman"/>
        </w:rPr>
        <w:t xml:space="preserve">current </w:t>
      </w:r>
      <w:r w:rsidR="00ED7370">
        <w:rPr>
          <w:rFonts w:eastAsia="Times New Roman"/>
        </w:rPr>
        <w:t>operating power reactor licensees, t</w:t>
      </w:r>
      <w:r w:rsidRPr="00B944DC" w:rsidR="00B944DC">
        <w:rPr>
          <w:rFonts w:eastAsia="Times New Roman"/>
        </w:rPr>
        <w:t xml:space="preserve">he NRC reviewed </w:t>
      </w:r>
      <w:r w:rsidR="00ED7370">
        <w:rPr>
          <w:rFonts w:eastAsia="Times New Roman"/>
        </w:rPr>
        <w:t xml:space="preserve">operating </w:t>
      </w:r>
      <w:r w:rsidRPr="00B944DC" w:rsidR="00B944DC">
        <w:rPr>
          <w:rFonts w:eastAsia="Times New Roman"/>
        </w:rPr>
        <w:t xml:space="preserve">EP LARs submitted between 2014 and 2017 </w:t>
      </w:r>
      <w:r w:rsidR="00ED7370">
        <w:rPr>
          <w:rFonts w:eastAsia="Times New Roman"/>
        </w:rPr>
        <w:t xml:space="preserve">to </w:t>
      </w:r>
      <w:r w:rsidR="00FA3EDD">
        <w:rPr>
          <w:rFonts w:eastAsia="Times New Roman"/>
        </w:rPr>
        <w:t>estimate</w:t>
      </w:r>
      <w:r w:rsidR="00ED7370">
        <w:rPr>
          <w:rFonts w:eastAsia="Times New Roman"/>
        </w:rPr>
        <w:t xml:space="preserve"> the potential averted costs associated with LARs for SMRs and ONTs.  The NRC</w:t>
      </w:r>
      <w:r w:rsidRPr="00B944DC" w:rsidR="00B944DC">
        <w:rPr>
          <w:rFonts w:eastAsia="Times New Roman"/>
        </w:rPr>
        <w:t xml:space="preserve"> estimated that the number of LARs ranges from 18 to 32 per year for all operating sites, with an average of 25.  The NRC used this LAR rate</w:t>
      </w:r>
      <w:r w:rsidR="00ED7370">
        <w:rPr>
          <w:rFonts w:eastAsia="Times New Roman"/>
        </w:rPr>
        <w:t xml:space="preserve">, calculated based on </w:t>
      </w:r>
      <w:r w:rsidR="005F4C5A">
        <w:rPr>
          <w:rFonts w:eastAsia="Times New Roman"/>
        </w:rPr>
        <w:t>data</w:t>
      </w:r>
      <w:r w:rsidRPr="00B944DC" w:rsidR="00B944DC">
        <w:rPr>
          <w:rFonts w:eastAsia="Times New Roman"/>
        </w:rPr>
        <w:t xml:space="preserve"> fr</w:t>
      </w:r>
      <w:r w:rsidR="005F4C5A">
        <w:rPr>
          <w:rFonts w:eastAsia="Times New Roman"/>
        </w:rPr>
        <w:t>om</w:t>
      </w:r>
      <w:r w:rsidRPr="00B944DC" w:rsidR="00B944DC">
        <w:rPr>
          <w:rFonts w:eastAsia="Times New Roman"/>
        </w:rPr>
        <w:t xml:space="preserve"> </w:t>
      </w:r>
      <w:r w:rsidR="009E3FCE">
        <w:rPr>
          <w:rFonts w:eastAsia="Times New Roman"/>
        </w:rPr>
        <w:t>56</w:t>
      </w:r>
      <w:r w:rsidRPr="00B944DC" w:rsidR="009E3FCE">
        <w:rPr>
          <w:rFonts w:eastAsia="Times New Roman"/>
        </w:rPr>
        <w:t xml:space="preserve"> </w:t>
      </w:r>
      <w:r w:rsidRPr="00B944DC" w:rsidR="00B944DC">
        <w:rPr>
          <w:rFonts w:eastAsia="Times New Roman"/>
        </w:rPr>
        <w:t xml:space="preserve">operating </w:t>
      </w:r>
      <w:r w:rsidR="00ED7370">
        <w:rPr>
          <w:rFonts w:eastAsia="Times New Roman"/>
        </w:rPr>
        <w:t xml:space="preserve">power reactors </w:t>
      </w:r>
      <w:r w:rsidRPr="00B944DC" w:rsidR="00B944DC">
        <w:rPr>
          <w:rFonts w:eastAsia="Times New Roman"/>
        </w:rPr>
        <w:t xml:space="preserve">sites in this regulatory analysis </w:t>
      </w:r>
      <w:r w:rsidR="00F730E7">
        <w:rPr>
          <w:rFonts w:eastAsia="Times New Roman"/>
        </w:rPr>
        <w:t>as analogous data</w:t>
      </w:r>
      <w:r w:rsidR="00A546EA">
        <w:rPr>
          <w:rFonts w:eastAsia="Times New Roman"/>
        </w:rPr>
        <w:t>,</w:t>
      </w:r>
      <w:r w:rsidR="00F730E7">
        <w:rPr>
          <w:rFonts w:eastAsia="Times New Roman"/>
        </w:rPr>
        <w:t xml:space="preserve"> </w:t>
      </w:r>
      <w:r w:rsidRPr="00B944DC" w:rsidR="00B944DC">
        <w:rPr>
          <w:rFonts w:eastAsia="Times New Roman"/>
        </w:rPr>
        <w:t xml:space="preserve">to estimate the </w:t>
      </w:r>
      <w:r w:rsidR="00F730E7">
        <w:rPr>
          <w:rFonts w:eastAsia="Times New Roman"/>
        </w:rPr>
        <w:t xml:space="preserve">future </w:t>
      </w:r>
      <w:r w:rsidRPr="00B944DC" w:rsidR="00B944DC">
        <w:rPr>
          <w:rFonts w:eastAsia="Times New Roman"/>
        </w:rPr>
        <w:t>number of LARs per SMR or ONT per year</w:t>
      </w:r>
      <w:r w:rsidR="00B45CC9">
        <w:rPr>
          <w:rFonts w:eastAsia="Times New Roman"/>
        </w:rPr>
        <w:t>—</w:t>
      </w:r>
      <w:r w:rsidRPr="00B944DC" w:rsidR="00B944DC">
        <w:rPr>
          <w:rFonts w:eastAsia="Times New Roman"/>
        </w:rPr>
        <w:t xml:space="preserve">if the NRC did not issue the </w:t>
      </w:r>
      <w:r w:rsidR="00906E8D">
        <w:rPr>
          <w:rFonts w:eastAsia="Times New Roman"/>
        </w:rPr>
        <w:t>final</w:t>
      </w:r>
      <w:r w:rsidRPr="00B944DC" w:rsidR="00B944DC">
        <w:rPr>
          <w:rFonts w:eastAsia="Times New Roman"/>
        </w:rPr>
        <w:t xml:space="preserve"> rule</w:t>
      </w:r>
      <w:r w:rsidR="00B45CC9">
        <w:rPr>
          <w:rFonts w:eastAsia="Times New Roman"/>
        </w:rPr>
        <w:t>—</w:t>
      </w:r>
      <w:r w:rsidRPr="00B944DC" w:rsidR="00B944DC">
        <w:rPr>
          <w:rFonts w:eastAsia="Times New Roman"/>
        </w:rPr>
        <w:t>and assumed that a licensee expends approximately 593</w:t>
      </w:r>
      <w:r w:rsidR="006F466C">
        <w:rPr>
          <w:rFonts w:eastAsia="Times New Roman"/>
        </w:rPr>
        <w:t> </w:t>
      </w:r>
      <w:r w:rsidRPr="00B944DC" w:rsidR="00B944DC">
        <w:rPr>
          <w:rFonts w:eastAsia="Times New Roman"/>
        </w:rPr>
        <w:t>labor hours per LAR.</w:t>
      </w:r>
      <w:r w:rsidR="00B944DC">
        <w:rPr>
          <w:rFonts w:eastAsia="Times New Roman"/>
        </w:rPr>
        <w:t xml:space="preserve">  </w:t>
      </w:r>
      <w:r w:rsidRPr="00B944DC" w:rsidR="00B944DC">
        <w:rPr>
          <w:rFonts w:eastAsia="Times New Roman"/>
        </w:rPr>
        <w:fldChar w:fldCharType="begin"/>
      </w:r>
      <w:r w:rsidRPr="00B944DC" w:rsidR="00B944DC">
        <w:rPr>
          <w:rFonts w:eastAsia="Times New Roman"/>
        </w:rPr>
        <w:instrText xml:space="preserve"> REF _Ref515463632 \h  \* MERGEFORMAT </w:instrText>
      </w:r>
      <w:r w:rsidRPr="00B944DC" w:rsidR="00B944DC">
        <w:rPr>
          <w:rFonts w:eastAsia="Times New Roman"/>
        </w:rPr>
        <w:fldChar w:fldCharType="separate"/>
      </w:r>
      <w:r w:rsidRPr="004634A0" w:rsidR="004634A0">
        <w:t>Table</w:t>
      </w:r>
      <w:r w:rsidRPr="00581806" w:rsidR="004634A0">
        <w:rPr>
          <w:b/>
        </w:rPr>
        <w:t xml:space="preserve"> </w:t>
      </w:r>
      <w:r w:rsidRPr="00326B3D" w:rsidR="004634A0">
        <w:rPr>
          <w:bCs/>
          <w:noProof/>
        </w:rPr>
        <w:t>6</w:t>
      </w:r>
      <w:r w:rsidRPr="00B944DC" w:rsidR="00B944DC">
        <w:rPr>
          <w:rFonts w:eastAsia="Times New Roman"/>
        </w:rPr>
        <w:fldChar w:fldCharType="end"/>
      </w:r>
      <w:r w:rsidR="00F65E50">
        <w:rPr>
          <w:rFonts w:eastAsia="Times New Roman"/>
        </w:rPr>
        <w:t xml:space="preserve"> shows the resulting estimated averted costs to industry using this method</w:t>
      </w:r>
      <w:r w:rsidR="00C71E8D">
        <w:rPr>
          <w:rFonts w:eastAsia="Times New Roman"/>
        </w:rPr>
        <w:t xml:space="preserve">, for all </w:t>
      </w:r>
      <w:r w:rsidR="00BA402E">
        <w:rPr>
          <w:rFonts w:eastAsia="Times New Roman"/>
        </w:rPr>
        <w:t>12</w:t>
      </w:r>
      <w:r w:rsidR="00C71E8D">
        <w:rPr>
          <w:rFonts w:eastAsia="Times New Roman"/>
        </w:rPr>
        <w:t xml:space="preserve"> </w:t>
      </w:r>
      <w:r w:rsidR="00404259">
        <w:rPr>
          <w:rFonts w:eastAsia="Times New Roman"/>
        </w:rPr>
        <w:t>SMRs and ONTs</w:t>
      </w:r>
      <w:r w:rsidR="00AF2326">
        <w:rPr>
          <w:rFonts w:eastAsia="Times New Roman"/>
        </w:rPr>
        <w:t>.</w:t>
      </w:r>
    </w:p>
    <w:p w:rsidR="00AF2326" w:rsidP="008440FA" w14:paraId="361C1603" w14:textId="797AC95D">
      <w:pPr>
        <w:tabs>
          <w:tab w:val="left" w:pos="1440"/>
          <w:tab w:val="left" w:pos="2160"/>
          <w:tab w:val="left" w:pos="9360"/>
        </w:tabs>
        <w:spacing w:line="240" w:lineRule="auto"/>
        <w:rPr>
          <w:rFonts w:eastAsia="Times New Roman"/>
        </w:rPr>
      </w:pPr>
    </w:p>
    <w:p w:rsidR="00AF2326" w:rsidRPr="00581806" w:rsidP="008440FA" w14:paraId="0EE82185" w14:textId="450A0891">
      <w:pPr>
        <w:pStyle w:val="Caption"/>
        <w:spacing w:after="120" w:line="240" w:lineRule="auto"/>
        <w:ind w:left="1080" w:hanging="1080"/>
        <w:jc w:val="center"/>
        <w:rPr>
          <w:b/>
        </w:rPr>
      </w:pPr>
      <w:bookmarkStart w:id="148" w:name="_Ref515463632"/>
      <w:bookmarkStart w:id="149" w:name="_Toc70669543"/>
      <w:bookmarkStart w:id="150" w:name="_Toc85198662"/>
      <w:r w:rsidRPr="00581806">
        <w:rPr>
          <w:b/>
        </w:rPr>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4634A0">
        <w:rPr>
          <w:b/>
          <w:noProof/>
        </w:rPr>
        <w:t>6</w:t>
      </w:r>
      <w:r w:rsidRPr="00581806" w:rsidR="000012A5">
        <w:rPr>
          <w:b/>
          <w:noProof/>
        </w:rPr>
        <w:fldChar w:fldCharType="end"/>
      </w:r>
      <w:bookmarkEnd w:id="148"/>
      <w:r w:rsidRPr="00581806">
        <w:rPr>
          <w:b/>
        </w:rPr>
        <w:t xml:space="preserve"> </w:t>
      </w:r>
      <w:r w:rsidRPr="00581806" w:rsidR="005F0BEF">
        <w:rPr>
          <w:b/>
        </w:rPr>
        <w:t xml:space="preserve"> </w:t>
      </w:r>
      <w:r w:rsidR="008B7436">
        <w:rPr>
          <w:b/>
        </w:rPr>
        <w:t xml:space="preserve">Averted Costs for </w:t>
      </w:r>
      <w:r w:rsidRPr="00581806">
        <w:rPr>
          <w:b/>
        </w:rPr>
        <w:t>Reduction in EP LARs</w:t>
      </w:r>
      <w:bookmarkEnd w:id="149"/>
      <w:bookmarkEnd w:id="150"/>
    </w:p>
    <w:p w:rsidR="00AF2326" w:rsidP="008440FA" w14:paraId="4B9EEEFD" w14:textId="0C837959">
      <w:pPr>
        <w:tabs>
          <w:tab w:val="left" w:pos="1440"/>
          <w:tab w:val="left" w:pos="2160"/>
          <w:tab w:val="left" w:pos="9360"/>
        </w:tabs>
        <w:spacing w:line="240" w:lineRule="auto"/>
        <w:rPr>
          <w:rFonts w:eastAsia="Times New Roman"/>
        </w:rPr>
      </w:pPr>
      <w:r w:rsidRPr="00717F6F">
        <w:rPr>
          <w:noProof/>
        </w:rPr>
        <w:drawing>
          <wp:inline distT="0" distB="0" distL="0" distR="0">
            <wp:extent cx="5943600" cy="8959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4"/>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895985"/>
                    </a:xfrm>
                    <a:prstGeom prst="rect">
                      <a:avLst/>
                    </a:prstGeom>
                    <a:noFill/>
                    <a:ln>
                      <a:noFill/>
                    </a:ln>
                  </pic:spPr>
                </pic:pic>
              </a:graphicData>
            </a:graphic>
          </wp:inline>
        </w:drawing>
      </w:r>
    </w:p>
    <w:p w:rsidR="0023422C" w:rsidP="008440FA" w14:paraId="14523562" w14:textId="77777777">
      <w:pPr>
        <w:tabs>
          <w:tab w:val="left" w:pos="1440"/>
          <w:tab w:val="left" w:pos="2160"/>
          <w:tab w:val="left" w:pos="9360"/>
        </w:tabs>
        <w:spacing w:line="240" w:lineRule="auto"/>
        <w:rPr>
          <w:rFonts w:eastAsia="Times New Roman"/>
        </w:rPr>
      </w:pPr>
    </w:p>
    <w:p w:rsidR="00717F6F" w:rsidP="008440FA" w14:paraId="3A7108BC" w14:textId="186366FA">
      <w:pPr>
        <w:tabs>
          <w:tab w:val="left" w:pos="1440"/>
          <w:tab w:val="left" w:pos="2160"/>
          <w:tab w:val="left" w:pos="9360"/>
        </w:tabs>
        <w:spacing w:line="240" w:lineRule="auto"/>
        <w:rPr>
          <w:rFonts w:eastAsia="Times New Roman"/>
        </w:rPr>
      </w:pPr>
      <w:r w:rsidRPr="00711891">
        <w:rPr>
          <w:rFonts w:eastAsia="Times New Roman"/>
        </w:rPr>
        <w:t>Under current regulations, the</w:t>
      </w:r>
      <w:r w:rsidR="009F76E7">
        <w:rPr>
          <w:rFonts w:eastAsia="Times New Roman"/>
        </w:rPr>
        <w:t xml:space="preserve"> default</w:t>
      </w:r>
      <w:r w:rsidRPr="00711891">
        <w:rPr>
          <w:rFonts w:eastAsia="Times New Roman"/>
        </w:rPr>
        <w:t xml:space="preserve"> plume exposure pathway </w:t>
      </w:r>
      <w:r w:rsidRPr="00711891">
        <w:rPr>
          <w:rFonts w:eastAsia="Times New Roman"/>
        </w:rPr>
        <w:t>EPZ</w:t>
      </w:r>
      <w:r w:rsidRPr="00711891">
        <w:rPr>
          <w:rFonts w:eastAsia="Times New Roman"/>
        </w:rPr>
        <w:t xml:space="preserve"> size is about 10</w:t>
      </w:r>
      <w:r w:rsidR="00F65E50">
        <w:rPr>
          <w:rFonts w:eastAsia="Times New Roman"/>
        </w:rPr>
        <w:t> </w:t>
      </w:r>
      <w:r w:rsidRPr="00711891">
        <w:rPr>
          <w:rFonts w:eastAsia="Times New Roman"/>
        </w:rPr>
        <w:t>mi</w:t>
      </w:r>
      <w:r>
        <w:rPr>
          <w:rFonts w:eastAsia="Times New Roman"/>
        </w:rPr>
        <w:t>les (</w:t>
      </w:r>
      <w:r w:rsidR="003027FA">
        <w:rPr>
          <w:rFonts w:eastAsia="Times New Roman"/>
        </w:rPr>
        <w:t>16</w:t>
      </w:r>
      <w:r w:rsidR="001852F9">
        <w:rPr>
          <w:rFonts w:eastAsia="Times New Roman"/>
        </w:rPr>
        <w:t> </w:t>
      </w:r>
      <w:r>
        <w:rPr>
          <w:rFonts w:eastAsia="Times New Roman"/>
        </w:rPr>
        <w:t xml:space="preserve">km).  </w:t>
      </w:r>
      <w:r w:rsidR="00930E8C">
        <w:rPr>
          <w:rFonts w:eastAsia="Times New Roman"/>
        </w:rPr>
        <w:t>F</w:t>
      </w:r>
      <w:r>
        <w:rPr>
          <w:rFonts w:eastAsia="Times New Roman"/>
        </w:rPr>
        <w:t xml:space="preserve">or SMRs and </w:t>
      </w:r>
      <w:r w:rsidR="00C6347F">
        <w:rPr>
          <w:rFonts w:eastAsia="Times New Roman"/>
        </w:rPr>
        <w:t>ONT</w:t>
      </w:r>
      <w:r>
        <w:rPr>
          <w:rFonts w:eastAsia="Times New Roman"/>
        </w:rPr>
        <w:t>s</w:t>
      </w:r>
      <w:r w:rsidRPr="00711891">
        <w:rPr>
          <w:rFonts w:eastAsia="Times New Roman"/>
        </w:rPr>
        <w:t xml:space="preserve"> with </w:t>
      </w:r>
      <w:r w:rsidR="00390A76">
        <w:rPr>
          <w:rFonts w:eastAsia="Times New Roman"/>
        </w:rPr>
        <w:t xml:space="preserve">potentially </w:t>
      </w:r>
      <w:r>
        <w:rPr>
          <w:rFonts w:eastAsia="Times New Roman"/>
        </w:rPr>
        <w:t>smaller source terms</w:t>
      </w:r>
      <w:r w:rsidRPr="00711891">
        <w:rPr>
          <w:rFonts w:eastAsia="Times New Roman"/>
        </w:rPr>
        <w:t xml:space="preserve"> </w:t>
      </w:r>
      <w:r w:rsidR="00F65E50">
        <w:rPr>
          <w:rFonts w:eastAsia="Times New Roman"/>
        </w:rPr>
        <w:t>and</w:t>
      </w:r>
      <w:r w:rsidRPr="00711891">
        <w:rPr>
          <w:rFonts w:eastAsia="Times New Roman"/>
        </w:rPr>
        <w:t xml:space="preserve"> with passive design features, the </w:t>
      </w:r>
      <w:r>
        <w:rPr>
          <w:rFonts w:eastAsia="Times New Roman"/>
        </w:rPr>
        <w:t xml:space="preserve">NRC </w:t>
      </w:r>
      <w:r w:rsidRPr="00711891" w:rsidR="006F466C">
        <w:rPr>
          <w:rFonts w:eastAsia="Times New Roman"/>
        </w:rPr>
        <w:t>approach</w:t>
      </w:r>
      <w:r w:rsidR="006F466C">
        <w:rPr>
          <w:rFonts w:eastAsia="Times New Roman"/>
        </w:rPr>
        <w:t xml:space="preserve"> </w:t>
      </w:r>
      <w:r>
        <w:rPr>
          <w:rFonts w:eastAsia="Times New Roman"/>
        </w:rPr>
        <w:t xml:space="preserve">is </w:t>
      </w:r>
      <w:r w:rsidR="006F466C">
        <w:rPr>
          <w:rFonts w:eastAsia="Times New Roman"/>
        </w:rPr>
        <w:t xml:space="preserve">to </w:t>
      </w:r>
      <w:r>
        <w:rPr>
          <w:rFonts w:eastAsia="Times New Roman"/>
        </w:rPr>
        <w:t xml:space="preserve">amend the regulations to </w:t>
      </w:r>
      <w:r w:rsidRPr="00711891">
        <w:rPr>
          <w:rFonts w:eastAsia="Times New Roman"/>
        </w:rPr>
        <w:t xml:space="preserve">adopt a scalable plume exposure pathway </w:t>
      </w:r>
      <w:r w:rsidRPr="00711891">
        <w:rPr>
          <w:rFonts w:eastAsia="Times New Roman"/>
        </w:rPr>
        <w:t>EPZ</w:t>
      </w:r>
      <w:r w:rsidRPr="00711891">
        <w:rPr>
          <w:rFonts w:eastAsia="Times New Roman"/>
        </w:rPr>
        <w:t xml:space="preserve"> size </w:t>
      </w:r>
      <w:r w:rsidR="009F76E7">
        <w:rPr>
          <w:rFonts w:eastAsia="Times New Roman"/>
        </w:rPr>
        <w:t>without the need for exemption requests</w:t>
      </w:r>
      <w:r>
        <w:rPr>
          <w:rFonts w:eastAsia="Times New Roman"/>
        </w:rPr>
        <w:t>.  Using this approach</w:t>
      </w:r>
      <w:r w:rsidRPr="00711891">
        <w:rPr>
          <w:rFonts w:eastAsia="Times New Roman"/>
        </w:rPr>
        <w:t xml:space="preserve">, </w:t>
      </w:r>
      <w:r>
        <w:rPr>
          <w:rFonts w:eastAsia="Times New Roman"/>
        </w:rPr>
        <w:t xml:space="preserve">an SMR or </w:t>
      </w:r>
      <w:r w:rsidR="00C6347F">
        <w:rPr>
          <w:rFonts w:eastAsia="Times New Roman"/>
        </w:rPr>
        <w:t>ONT</w:t>
      </w:r>
      <w:r w:rsidRPr="00711891">
        <w:rPr>
          <w:rFonts w:eastAsia="Times New Roman"/>
        </w:rPr>
        <w:t xml:space="preserve"> plume exposure pathway </w:t>
      </w:r>
      <w:r w:rsidRPr="00711891">
        <w:rPr>
          <w:rFonts w:eastAsia="Times New Roman"/>
        </w:rPr>
        <w:t>EPZ</w:t>
      </w:r>
      <w:r w:rsidRPr="00711891">
        <w:rPr>
          <w:rFonts w:eastAsia="Times New Roman"/>
        </w:rPr>
        <w:t xml:space="preserve"> </w:t>
      </w:r>
      <w:r w:rsidR="006E7103">
        <w:rPr>
          <w:rFonts w:eastAsia="Times New Roman"/>
        </w:rPr>
        <w:t>could</w:t>
      </w:r>
      <w:r w:rsidRPr="00711891">
        <w:rPr>
          <w:rFonts w:eastAsia="Times New Roman"/>
        </w:rPr>
        <w:t xml:space="preserve"> be at the site boundary</w:t>
      </w:r>
      <w:r w:rsidR="000D2CD5">
        <w:rPr>
          <w:rFonts w:eastAsia="Times New Roman"/>
        </w:rPr>
        <w:t xml:space="preserve"> in some cases</w:t>
      </w:r>
      <w:r w:rsidRPr="00711891">
        <w:rPr>
          <w:rFonts w:eastAsia="Times New Roman"/>
        </w:rPr>
        <w:t xml:space="preserve">.  The </w:t>
      </w:r>
      <w:r w:rsidR="003971A5">
        <w:rPr>
          <w:rFonts w:eastAsia="Times New Roman"/>
        </w:rPr>
        <w:t>NRC</w:t>
      </w:r>
      <w:r w:rsidRPr="00711891">
        <w:rPr>
          <w:rFonts w:eastAsia="Times New Roman"/>
        </w:rPr>
        <w:t xml:space="preserve"> believes that </w:t>
      </w:r>
      <w:r w:rsidR="000D2CD5">
        <w:rPr>
          <w:rFonts w:eastAsia="Times New Roman"/>
        </w:rPr>
        <w:t xml:space="preserve">a </w:t>
      </w:r>
      <w:r w:rsidRPr="00711891" w:rsidR="000D2CD5">
        <w:rPr>
          <w:rFonts w:eastAsia="Times New Roman"/>
        </w:rPr>
        <w:t xml:space="preserve">plume exposure pathway </w:t>
      </w:r>
      <w:r w:rsidRPr="00711891" w:rsidR="000D2CD5">
        <w:rPr>
          <w:rFonts w:eastAsia="Times New Roman"/>
        </w:rPr>
        <w:t>EPZ</w:t>
      </w:r>
      <w:r w:rsidRPr="00711891" w:rsidR="000D2CD5">
        <w:rPr>
          <w:rFonts w:eastAsia="Times New Roman"/>
        </w:rPr>
        <w:t xml:space="preserve"> at the site boundary</w:t>
      </w:r>
      <w:r w:rsidR="000D2CD5">
        <w:rPr>
          <w:rFonts w:eastAsia="Times New Roman"/>
        </w:rPr>
        <w:t xml:space="preserve"> </w:t>
      </w:r>
      <w:r w:rsidRPr="00711891">
        <w:rPr>
          <w:rFonts w:eastAsia="Times New Roman"/>
        </w:rPr>
        <w:t>w</w:t>
      </w:r>
      <w:r w:rsidR="00821A3D">
        <w:rPr>
          <w:rFonts w:eastAsia="Times New Roman"/>
        </w:rPr>
        <w:t>ould</w:t>
      </w:r>
      <w:r w:rsidRPr="00711891">
        <w:rPr>
          <w:rFonts w:eastAsia="Times New Roman"/>
        </w:rPr>
        <w:t xml:space="preserve"> </w:t>
      </w:r>
      <w:r>
        <w:rPr>
          <w:rFonts w:eastAsia="Times New Roman"/>
        </w:rPr>
        <w:t>result in</w:t>
      </w:r>
      <w:r w:rsidRPr="00711891">
        <w:rPr>
          <w:rFonts w:eastAsia="Times New Roman"/>
        </w:rPr>
        <w:t xml:space="preserve"> significant incremental averted costs to </w:t>
      </w:r>
      <w:r w:rsidR="00241E55">
        <w:rPr>
          <w:rFonts w:eastAsia="Times New Roman"/>
        </w:rPr>
        <w:t xml:space="preserve">applicants and </w:t>
      </w:r>
      <w:r w:rsidRPr="00711891">
        <w:rPr>
          <w:rFonts w:eastAsia="Times New Roman"/>
        </w:rPr>
        <w:t xml:space="preserve">licensees.  For example, </w:t>
      </w:r>
      <w:r w:rsidR="00241E55">
        <w:rPr>
          <w:rFonts w:eastAsia="Times New Roman"/>
        </w:rPr>
        <w:t xml:space="preserve">applicants and </w:t>
      </w:r>
      <w:r w:rsidRPr="00711891">
        <w:rPr>
          <w:rFonts w:eastAsia="Times New Roman"/>
        </w:rPr>
        <w:t>licensees w</w:t>
      </w:r>
      <w:r w:rsidR="00821A3D">
        <w:rPr>
          <w:rFonts w:eastAsia="Times New Roman"/>
        </w:rPr>
        <w:t>ould</w:t>
      </w:r>
      <w:r w:rsidRPr="00711891">
        <w:rPr>
          <w:rFonts w:eastAsia="Times New Roman"/>
        </w:rPr>
        <w:t xml:space="preserve"> only need to establish an onsite emergency plan with demonstrable </w:t>
      </w:r>
      <w:r w:rsidR="005043C6">
        <w:rPr>
          <w:rFonts w:eastAsia="Times New Roman"/>
        </w:rPr>
        <w:t xml:space="preserve">performance objectives and </w:t>
      </w:r>
      <w:r w:rsidR="00097B7B">
        <w:rPr>
          <w:rFonts w:eastAsia="Times New Roman"/>
        </w:rPr>
        <w:t>metrics</w:t>
      </w:r>
      <w:r w:rsidR="005043C6">
        <w:rPr>
          <w:rFonts w:eastAsia="Times New Roman"/>
        </w:rPr>
        <w:t xml:space="preserve"> </w:t>
      </w:r>
      <w:r w:rsidRPr="00711891">
        <w:rPr>
          <w:rFonts w:eastAsia="Times New Roman"/>
        </w:rPr>
        <w:t xml:space="preserve">for the NRC to find reasonable assurance that adequate protective measures can and will be taken in the event of a radiological emergency.  Averted costs in this scenario would </w:t>
      </w:r>
      <w:r w:rsidR="0040412A">
        <w:rPr>
          <w:rFonts w:eastAsia="Times New Roman"/>
        </w:rPr>
        <w:t>remove</w:t>
      </w:r>
      <w:r w:rsidRPr="00711891">
        <w:rPr>
          <w:rFonts w:eastAsia="Times New Roman"/>
        </w:rPr>
        <w:t xml:space="preserve"> the requirements for</w:t>
      </w:r>
      <w:r>
        <w:rPr>
          <w:rFonts w:eastAsia="Times New Roman"/>
        </w:rPr>
        <w:t xml:space="preserve"> </w:t>
      </w:r>
      <w:r w:rsidRPr="00711891">
        <w:rPr>
          <w:rFonts w:eastAsia="Times New Roman"/>
        </w:rPr>
        <w:t>(1) evacuation time estimates</w:t>
      </w:r>
      <w:r>
        <w:rPr>
          <w:rFonts w:eastAsia="Times New Roman"/>
        </w:rPr>
        <w:t xml:space="preserve"> </w:t>
      </w:r>
      <w:r w:rsidRPr="00711891">
        <w:rPr>
          <w:rFonts w:eastAsia="Times New Roman"/>
        </w:rPr>
        <w:t>and corresponding annual and decennial updates, (2) </w:t>
      </w:r>
      <w:r>
        <w:rPr>
          <w:rFonts w:eastAsia="Times New Roman"/>
        </w:rPr>
        <w:t xml:space="preserve">public </w:t>
      </w:r>
      <w:r w:rsidRPr="00711891">
        <w:rPr>
          <w:rFonts w:eastAsia="Times New Roman"/>
        </w:rPr>
        <w:t xml:space="preserve">alert </w:t>
      </w:r>
      <w:r>
        <w:rPr>
          <w:rFonts w:eastAsia="Times New Roman"/>
        </w:rPr>
        <w:t>and notification system</w:t>
      </w:r>
      <w:r w:rsidRPr="00711891">
        <w:rPr>
          <w:rFonts w:eastAsia="Times New Roman"/>
        </w:rPr>
        <w:t xml:space="preserve"> installation and annual maintenance, (3)</w:t>
      </w:r>
      <w:r w:rsidR="0040412A">
        <w:rPr>
          <w:rFonts w:eastAsia="Times New Roman"/>
        </w:rPr>
        <w:t> </w:t>
      </w:r>
      <w:r w:rsidRPr="00711891">
        <w:rPr>
          <w:rFonts w:eastAsia="Times New Roman"/>
        </w:rPr>
        <w:t xml:space="preserve">FEMA annual user fees, (4) annual </w:t>
      </w:r>
      <w:r w:rsidR="0045095A">
        <w:rPr>
          <w:rFonts w:eastAsia="Times New Roman"/>
        </w:rPr>
        <w:t xml:space="preserve">offsite </w:t>
      </w:r>
      <w:r w:rsidRPr="00711891">
        <w:rPr>
          <w:rFonts w:eastAsia="Times New Roman"/>
        </w:rPr>
        <w:t>drills and exercises, and (5)</w:t>
      </w:r>
      <w:r w:rsidR="0040412A">
        <w:rPr>
          <w:rFonts w:eastAsia="Times New Roman"/>
        </w:rPr>
        <w:t> </w:t>
      </w:r>
      <w:r w:rsidRPr="00711891">
        <w:rPr>
          <w:rFonts w:eastAsia="Times New Roman"/>
        </w:rPr>
        <w:t>State agreement and licensing annual fees</w:t>
      </w:r>
      <w:r w:rsidR="0045095A">
        <w:rPr>
          <w:rFonts w:eastAsia="Times New Roman"/>
        </w:rPr>
        <w:t xml:space="preserve"> intended to support development and maintenance of offsite response capabilities particular to </w:t>
      </w:r>
      <w:r w:rsidR="006F466C">
        <w:rPr>
          <w:rFonts w:eastAsia="Times New Roman"/>
        </w:rPr>
        <w:t xml:space="preserve">the </w:t>
      </w:r>
      <w:r w:rsidR="0045095A">
        <w:rPr>
          <w:rFonts w:eastAsia="Times New Roman"/>
        </w:rPr>
        <w:t>nuclear hazard posed by the NRC-licensed facility</w:t>
      </w:r>
      <w:r w:rsidRPr="00711891">
        <w:rPr>
          <w:rFonts w:eastAsia="Times New Roman"/>
        </w:rPr>
        <w:t>.</w:t>
      </w:r>
      <w:r>
        <w:rPr>
          <w:rFonts w:eastAsia="Times New Roman"/>
        </w:rPr>
        <w:t xml:space="preserve">  </w:t>
      </w:r>
    </w:p>
    <w:p w:rsidR="00717F6F" w:rsidP="008440FA" w14:paraId="5F47D215" w14:textId="77777777">
      <w:pPr>
        <w:tabs>
          <w:tab w:val="left" w:pos="1440"/>
          <w:tab w:val="left" w:pos="2160"/>
          <w:tab w:val="left" w:pos="9360"/>
        </w:tabs>
        <w:spacing w:line="240" w:lineRule="auto"/>
        <w:rPr>
          <w:rFonts w:eastAsia="Times New Roman"/>
        </w:rPr>
      </w:pPr>
    </w:p>
    <w:p w:rsidR="009128E1" w:rsidP="008440FA" w14:paraId="671599AA" w14:textId="53496F46">
      <w:pPr>
        <w:tabs>
          <w:tab w:val="left" w:pos="1440"/>
          <w:tab w:val="left" w:pos="2160"/>
          <w:tab w:val="left" w:pos="9360"/>
        </w:tabs>
        <w:spacing w:line="240" w:lineRule="auto"/>
        <w:rPr>
          <w:rFonts w:eastAsia="Times New Roman"/>
        </w:rPr>
      </w:pPr>
      <w:r>
        <w:rPr>
          <w:rFonts w:eastAsia="Times New Roman"/>
        </w:rPr>
        <w:t>B</w:t>
      </w:r>
      <w:r>
        <w:rPr>
          <w:rFonts w:eastAsia="Times New Roman"/>
        </w:rPr>
        <w:t>oth Alternative</w:t>
      </w:r>
      <w:r w:rsidR="006F466C">
        <w:rPr>
          <w:rFonts w:eastAsia="Times New Roman"/>
        </w:rPr>
        <w:t> </w:t>
      </w:r>
      <w:r>
        <w:rPr>
          <w:rFonts w:eastAsia="Times New Roman"/>
        </w:rPr>
        <w:t xml:space="preserve">1 </w:t>
      </w:r>
      <w:r w:rsidR="00CC3F05">
        <w:rPr>
          <w:rFonts w:eastAsia="Times New Roman"/>
        </w:rPr>
        <w:t xml:space="preserve">with approved exemptions </w:t>
      </w:r>
      <w:r>
        <w:rPr>
          <w:rFonts w:eastAsia="Times New Roman"/>
        </w:rPr>
        <w:t>and Alternative</w:t>
      </w:r>
      <w:r w:rsidR="0040412A">
        <w:rPr>
          <w:rFonts w:eastAsia="Times New Roman"/>
        </w:rPr>
        <w:t> </w:t>
      </w:r>
      <w:r>
        <w:rPr>
          <w:rFonts w:eastAsia="Times New Roman"/>
        </w:rPr>
        <w:t>2 avert these EP</w:t>
      </w:r>
      <w:r w:rsidR="0040412A">
        <w:rPr>
          <w:rFonts w:eastAsia="Times New Roman"/>
        </w:rPr>
        <w:noBreakHyphen/>
      </w:r>
      <w:r>
        <w:rPr>
          <w:rFonts w:eastAsia="Times New Roman"/>
        </w:rPr>
        <w:t xml:space="preserve">related costs from each </w:t>
      </w:r>
      <w:r w:rsidR="004C4BA3">
        <w:rPr>
          <w:rFonts w:eastAsia="Times New Roman"/>
        </w:rPr>
        <w:t>expected</w:t>
      </w:r>
      <w:r w:rsidR="00F25608">
        <w:rPr>
          <w:rFonts w:eastAsia="Times New Roman"/>
        </w:rPr>
        <w:t xml:space="preserve"> </w:t>
      </w:r>
      <w:r>
        <w:rPr>
          <w:rFonts w:eastAsia="Times New Roman"/>
        </w:rPr>
        <w:t xml:space="preserve">SMR </w:t>
      </w:r>
      <w:r w:rsidR="00390A76">
        <w:rPr>
          <w:rFonts w:eastAsia="Times New Roman"/>
        </w:rPr>
        <w:t xml:space="preserve">or ONT </w:t>
      </w:r>
      <w:r w:rsidR="00241E55">
        <w:rPr>
          <w:rFonts w:eastAsia="Times New Roman"/>
        </w:rPr>
        <w:t xml:space="preserve">applicant or </w:t>
      </w:r>
      <w:r>
        <w:rPr>
          <w:rFonts w:eastAsia="Times New Roman"/>
        </w:rPr>
        <w:t>license</w:t>
      </w:r>
      <w:r w:rsidR="003C19A1">
        <w:rPr>
          <w:rFonts w:eastAsia="Times New Roman"/>
        </w:rPr>
        <w:t>e throughout its license term.</w:t>
      </w:r>
      <w:r>
        <w:rPr>
          <w:rFonts w:eastAsia="Times New Roman"/>
        </w:rPr>
        <w:t xml:space="preserve">  These averted costs would </w:t>
      </w:r>
      <w:r w:rsidR="009C53DE">
        <w:rPr>
          <w:rFonts w:eastAsia="Times New Roman"/>
        </w:rPr>
        <w:t>result in millions of dollars of savings, annually, but are not estimated in this regulatory analysis because they are not incremental costs between Alternative 1 and 2.</w:t>
      </w:r>
    </w:p>
    <w:p w:rsidR="009128E1" w:rsidP="008440FA" w14:paraId="42B4FF60" w14:textId="77777777">
      <w:pPr>
        <w:tabs>
          <w:tab w:val="left" w:pos="1440"/>
          <w:tab w:val="left" w:pos="2160"/>
          <w:tab w:val="left" w:pos="9360"/>
        </w:tabs>
        <w:spacing w:line="240" w:lineRule="auto"/>
        <w:rPr>
          <w:rFonts w:eastAsia="Times New Roman"/>
        </w:rPr>
      </w:pPr>
    </w:p>
    <w:p w:rsidR="009128E1" w:rsidP="008440FA" w14:paraId="34B5DFF1" w14:textId="325B48FB">
      <w:pPr>
        <w:tabs>
          <w:tab w:val="left" w:pos="1440"/>
          <w:tab w:val="left" w:pos="2160"/>
          <w:tab w:val="left" w:pos="9360"/>
        </w:tabs>
        <w:spacing w:line="240" w:lineRule="auto"/>
        <w:rPr>
          <w:rFonts w:eastAsia="Times New Roman"/>
        </w:rPr>
      </w:pPr>
      <w:r>
        <w:rPr>
          <w:rFonts w:eastAsia="Times New Roman"/>
        </w:rPr>
        <w:t>In other cases,</w:t>
      </w:r>
      <w:r w:rsidRPr="00711891">
        <w:rPr>
          <w:rFonts w:eastAsia="Times New Roman"/>
        </w:rPr>
        <w:t xml:space="preserve"> </w:t>
      </w:r>
      <w:r w:rsidRPr="00711891">
        <w:rPr>
          <w:rFonts w:eastAsia="Times New Roman"/>
        </w:rPr>
        <w:t xml:space="preserve">the plume exposure pathway </w:t>
      </w:r>
      <w:r w:rsidRPr="00711891">
        <w:rPr>
          <w:rFonts w:eastAsia="Times New Roman"/>
        </w:rPr>
        <w:t>EPZ</w:t>
      </w:r>
      <w:r w:rsidRPr="00711891">
        <w:rPr>
          <w:rFonts w:eastAsia="Times New Roman"/>
        </w:rPr>
        <w:t xml:space="preserve"> </w:t>
      </w:r>
      <w:r>
        <w:rPr>
          <w:rFonts w:eastAsia="Times New Roman"/>
        </w:rPr>
        <w:t>could be</w:t>
      </w:r>
      <w:r w:rsidRPr="00711891">
        <w:rPr>
          <w:rFonts w:eastAsia="Times New Roman"/>
        </w:rPr>
        <w:t xml:space="preserve"> </w:t>
      </w:r>
      <w:r w:rsidRPr="00711891">
        <w:rPr>
          <w:rFonts w:eastAsia="Times New Roman"/>
        </w:rPr>
        <w:t xml:space="preserve">determined to be outside the site boundary, </w:t>
      </w:r>
      <w:r>
        <w:rPr>
          <w:rFonts w:eastAsia="Times New Roman"/>
        </w:rPr>
        <w:t xml:space="preserve">but with a radius of less than </w:t>
      </w:r>
      <w:r w:rsidR="006F466C">
        <w:rPr>
          <w:rFonts w:eastAsia="Times New Roman"/>
        </w:rPr>
        <w:t>10 </w:t>
      </w:r>
      <w:r>
        <w:rPr>
          <w:rFonts w:eastAsia="Times New Roman"/>
        </w:rPr>
        <w:t>miles</w:t>
      </w:r>
      <w:r w:rsidR="00112038">
        <w:rPr>
          <w:rFonts w:eastAsia="Times New Roman"/>
        </w:rPr>
        <w:t xml:space="preserve"> (16 km)</w:t>
      </w:r>
      <w:r>
        <w:rPr>
          <w:rFonts w:eastAsia="Times New Roman"/>
        </w:rPr>
        <w:t xml:space="preserve">.  In such cases, </w:t>
      </w:r>
      <w:r w:rsidRPr="00711891">
        <w:rPr>
          <w:rFonts w:eastAsia="Times New Roman"/>
        </w:rPr>
        <w:t>the</w:t>
      </w:r>
      <w:r w:rsidR="00241E55">
        <w:rPr>
          <w:rFonts w:eastAsia="Times New Roman"/>
        </w:rPr>
        <w:t xml:space="preserve"> applicant or</w:t>
      </w:r>
      <w:r w:rsidRPr="00711891">
        <w:rPr>
          <w:rFonts w:eastAsia="Times New Roman"/>
        </w:rPr>
        <w:t xml:space="preserve"> licensee </w:t>
      </w:r>
      <w:r w:rsidR="002D0604">
        <w:rPr>
          <w:rFonts w:eastAsia="Times New Roman"/>
        </w:rPr>
        <w:t>is</w:t>
      </w:r>
      <w:r w:rsidRPr="00711891">
        <w:rPr>
          <w:rFonts w:eastAsia="Times New Roman"/>
        </w:rPr>
        <w:t xml:space="preserve"> required to include offsite response coordination in its emergency plans</w:t>
      </w:r>
      <w:r w:rsidR="0040412A">
        <w:rPr>
          <w:rFonts w:eastAsia="Times New Roman"/>
        </w:rPr>
        <w:t xml:space="preserve"> </w:t>
      </w:r>
      <w:r w:rsidRPr="00711891">
        <w:rPr>
          <w:rFonts w:eastAsia="Times New Roman"/>
        </w:rPr>
        <w:t>in accordance with 10</w:t>
      </w:r>
      <w:r w:rsidR="006F466C">
        <w:rPr>
          <w:rFonts w:eastAsia="Times New Roman"/>
        </w:rPr>
        <w:t> </w:t>
      </w:r>
      <w:r w:rsidRPr="00711891">
        <w:rPr>
          <w:rFonts w:eastAsia="Times New Roman"/>
        </w:rPr>
        <w:t>CFR</w:t>
      </w:r>
      <w:r w:rsidR="006F466C">
        <w:rPr>
          <w:rFonts w:eastAsia="Times New Roman"/>
        </w:rPr>
        <w:t> </w:t>
      </w:r>
      <w:r w:rsidRPr="00711891">
        <w:rPr>
          <w:rFonts w:eastAsia="Times New Roman"/>
        </w:rPr>
        <w:t>50.54(q), 10 CFR</w:t>
      </w:r>
      <w:r w:rsidR="006F466C">
        <w:rPr>
          <w:rFonts w:eastAsia="Times New Roman"/>
        </w:rPr>
        <w:t> </w:t>
      </w:r>
      <w:r w:rsidRPr="00711891">
        <w:rPr>
          <w:rFonts w:eastAsia="Times New Roman"/>
        </w:rPr>
        <w:t>50.47(b), and 10</w:t>
      </w:r>
      <w:r w:rsidR="0040412A">
        <w:rPr>
          <w:rFonts w:eastAsia="Times New Roman"/>
        </w:rPr>
        <w:t> </w:t>
      </w:r>
      <w:r w:rsidRPr="00711891">
        <w:rPr>
          <w:rFonts w:eastAsia="Times New Roman"/>
        </w:rPr>
        <w:t>CFR</w:t>
      </w:r>
      <w:r w:rsidR="0040412A">
        <w:rPr>
          <w:rFonts w:eastAsia="Times New Roman"/>
        </w:rPr>
        <w:t> </w:t>
      </w:r>
      <w:r w:rsidRPr="00711891">
        <w:rPr>
          <w:rFonts w:eastAsia="Times New Roman"/>
        </w:rPr>
        <w:t>Part</w:t>
      </w:r>
      <w:r w:rsidR="0040412A">
        <w:rPr>
          <w:rFonts w:eastAsia="Times New Roman"/>
        </w:rPr>
        <w:t> </w:t>
      </w:r>
      <w:r w:rsidRPr="00711891">
        <w:rPr>
          <w:rFonts w:eastAsia="Times New Roman"/>
        </w:rPr>
        <w:t>50</w:t>
      </w:r>
      <w:r w:rsidR="0040412A">
        <w:rPr>
          <w:rFonts w:eastAsia="Times New Roman"/>
        </w:rPr>
        <w:t xml:space="preserve">, </w:t>
      </w:r>
      <w:r w:rsidRPr="00711891" w:rsidR="0040412A">
        <w:rPr>
          <w:rFonts w:eastAsia="Times New Roman"/>
        </w:rPr>
        <w:t>Appendix</w:t>
      </w:r>
      <w:r w:rsidR="0040412A">
        <w:rPr>
          <w:rFonts w:eastAsia="Times New Roman"/>
        </w:rPr>
        <w:t> </w:t>
      </w:r>
      <w:r w:rsidRPr="00711891" w:rsidR="0040412A">
        <w:rPr>
          <w:rFonts w:eastAsia="Times New Roman"/>
        </w:rPr>
        <w:t>E</w:t>
      </w:r>
      <w:r w:rsidRPr="00711891">
        <w:rPr>
          <w:rFonts w:eastAsia="Times New Roman"/>
        </w:rPr>
        <w:t xml:space="preserve">.  </w:t>
      </w:r>
      <w:r w:rsidR="0045095A">
        <w:rPr>
          <w:rFonts w:eastAsia="Times New Roman"/>
        </w:rPr>
        <w:t>T</w:t>
      </w:r>
      <w:r w:rsidRPr="00711891">
        <w:rPr>
          <w:rFonts w:eastAsia="Times New Roman"/>
        </w:rPr>
        <w:t>he cost</w:t>
      </w:r>
      <w:r>
        <w:rPr>
          <w:rFonts w:eastAsia="Times New Roman"/>
        </w:rPr>
        <w:t>s</w:t>
      </w:r>
      <w:r w:rsidRPr="00711891">
        <w:rPr>
          <w:rFonts w:eastAsia="Times New Roman"/>
        </w:rPr>
        <w:t xml:space="preserve"> for establishing</w:t>
      </w:r>
      <w:r w:rsidR="001852F9">
        <w:rPr>
          <w:rFonts w:eastAsia="Times New Roman"/>
        </w:rPr>
        <w:t xml:space="preserve"> </w:t>
      </w:r>
      <w:r w:rsidRPr="00711891">
        <w:rPr>
          <w:rFonts w:eastAsia="Times New Roman"/>
        </w:rPr>
        <w:t>a 2</w:t>
      </w:r>
      <w:r w:rsidR="0040412A">
        <w:rPr>
          <w:rFonts w:eastAsia="Times New Roman"/>
        </w:rPr>
        <w:noBreakHyphen/>
      </w:r>
      <w:r w:rsidRPr="00711891">
        <w:rPr>
          <w:rFonts w:eastAsia="Times New Roman"/>
        </w:rPr>
        <w:t>mile</w:t>
      </w:r>
      <w:r w:rsidR="003330D2">
        <w:rPr>
          <w:rFonts w:eastAsia="Times New Roman"/>
        </w:rPr>
        <w:t xml:space="preserve"> (3.2-km)</w:t>
      </w:r>
      <w:r w:rsidRPr="00711891">
        <w:rPr>
          <w:rFonts w:eastAsia="Times New Roman"/>
        </w:rPr>
        <w:t xml:space="preserve"> plume exposure pathway </w:t>
      </w:r>
      <w:r w:rsidRPr="00711891">
        <w:rPr>
          <w:rFonts w:eastAsia="Times New Roman"/>
        </w:rPr>
        <w:t>EPZ</w:t>
      </w:r>
      <w:r w:rsidRPr="00711891">
        <w:rPr>
          <w:rFonts w:eastAsia="Times New Roman"/>
        </w:rPr>
        <w:t xml:space="preserve"> offsite emergency plan</w:t>
      </w:r>
      <w:r w:rsidR="0040412A">
        <w:rPr>
          <w:rFonts w:eastAsia="Times New Roman"/>
        </w:rPr>
        <w:t>, for example,</w:t>
      </w:r>
      <w:r w:rsidRPr="00711891">
        <w:rPr>
          <w:rFonts w:eastAsia="Times New Roman"/>
        </w:rPr>
        <w:t xml:space="preserve"> would be different from the costs of establishing the current 10</w:t>
      </w:r>
      <w:r w:rsidR="0040412A">
        <w:rPr>
          <w:rFonts w:eastAsia="Times New Roman"/>
        </w:rPr>
        <w:noBreakHyphen/>
      </w:r>
      <w:r w:rsidRPr="00711891">
        <w:rPr>
          <w:rFonts w:eastAsia="Times New Roman"/>
        </w:rPr>
        <w:t>mile</w:t>
      </w:r>
      <w:r w:rsidR="003330D2">
        <w:rPr>
          <w:rFonts w:eastAsia="Times New Roman"/>
        </w:rPr>
        <w:t xml:space="preserve"> (16-km)</w:t>
      </w:r>
      <w:r w:rsidRPr="00711891">
        <w:rPr>
          <w:rFonts w:eastAsia="Times New Roman"/>
        </w:rPr>
        <w:t xml:space="preserve"> plume exposure pathway </w:t>
      </w:r>
      <w:r w:rsidRPr="00711891">
        <w:rPr>
          <w:rFonts w:eastAsia="Times New Roman"/>
        </w:rPr>
        <w:t>EPZ</w:t>
      </w:r>
      <w:r w:rsidRPr="00711891">
        <w:rPr>
          <w:rFonts w:eastAsia="Times New Roman"/>
        </w:rPr>
        <w:t xml:space="preserve"> offsite emergency plan.  This averted cost depend</w:t>
      </w:r>
      <w:r w:rsidR="00E7160D">
        <w:rPr>
          <w:rFonts w:eastAsia="Times New Roman"/>
        </w:rPr>
        <w:t>s</w:t>
      </w:r>
      <w:r w:rsidRPr="00711891">
        <w:rPr>
          <w:rFonts w:eastAsia="Times New Roman"/>
        </w:rPr>
        <w:t xml:space="preserve"> on </w:t>
      </w:r>
      <w:r w:rsidR="00821A3D">
        <w:rPr>
          <w:rFonts w:eastAsia="Times New Roman"/>
        </w:rPr>
        <w:t xml:space="preserve">such </w:t>
      </w:r>
      <w:r w:rsidRPr="00711891">
        <w:rPr>
          <w:rFonts w:eastAsia="Times New Roman"/>
        </w:rPr>
        <w:t>factors</w:t>
      </w:r>
      <w:r w:rsidR="00821A3D">
        <w:rPr>
          <w:rFonts w:eastAsia="Times New Roman"/>
        </w:rPr>
        <w:t xml:space="preserve"> as</w:t>
      </w:r>
      <w:r w:rsidR="0040412A">
        <w:rPr>
          <w:rFonts w:eastAsia="Times New Roman"/>
        </w:rPr>
        <w:t xml:space="preserve"> </w:t>
      </w:r>
      <w:r w:rsidRPr="00711891">
        <w:rPr>
          <w:rFonts w:eastAsia="Times New Roman"/>
        </w:rPr>
        <w:t xml:space="preserve">the complexity of emergency planning </w:t>
      </w:r>
      <w:r w:rsidR="0040412A">
        <w:rPr>
          <w:rFonts w:eastAsia="Times New Roman"/>
        </w:rPr>
        <w:t xml:space="preserve">caused by </w:t>
      </w:r>
      <w:r w:rsidRPr="00711891">
        <w:rPr>
          <w:rFonts w:eastAsia="Times New Roman"/>
        </w:rPr>
        <w:t xml:space="preserve">the geographical areas associated with governmental organizations and </w:t>
      </w:r>
      <w:r w:rsidRPr="00711891">
        <w:rPr>
          <w:rFonts w:eastAsia="Times New Roman"/>
        </w:rPr>
        <w:t>OROs</w:t>
      </w:r>
      <w:r>
        <w:rPr>
          <w:rFonts w:eastAsia="Times New Roman"/>
        </w:rPr>
        <w:t xml:space="preserve"> and the magnitude of the public alert and notification system required</w:t>
      </w:r>
      <w:r w:rsidRPr="00711891">
        <w:rPr>
          <w:rFonts w:eastAsia="Times New Roman"/>
        </w:rPr>
        <w:t>.</w:t>
      </w:r>
      <w:r>
        <w:rPr>
          <w:rFonts w:eastAsia="Times New Roman"/>
        </w:rPr>
        <w:t xml:space="preserve">  This aspect of the rule result</w:t>
      </w:r>
      <w:r w:rsidR="002F01D7">
        <w:rPr>
          <w:rFonts w:eastAsia="Times New Roman"/>
        </w:rPr>
        <w:t>s</w:t>
      </w:r>
      <w:r>
        <w:rPr>
          <w:rFonts w:eastAsia="Times New Roman"/>
        </w:rPr>
        <w:t xml:space="preserve"> in</w:t>
      </w:r>
      <w:r w:rsidRPr="00711891">
        <w:rPr>
          <w:rFonts w:eastAsia="Times New Roman"/>
        </w:rPr>
        <w:t xml:space="preserve"> an incremental averted cost to </w:t>
      </w:r>
      <w:r w:rsidRPr="00DC16B1" w:rsidR="00DC16B1">
        <w:rPr>
          <w:rFonts w:eastAsia="Times New Roman"/>
        </w:rPr>
        <w:t xml:space="preserve">applicants and </w:t>
      </w:r>
      <w:r w:rsidRPr="00711891">
        <w:rPr>
          <w:rFonts w:eastAsia="Times New Roman"/>
        </w:rPr>
        <w:t>licensees</w:t>
      </w:r>
      <w:r>
        <w:rPr>
          <w:rFonts w:eastAsia="Times New Roman"/>
        </w:rPr>
        <w:t xml:space="preserve"> when compared to the regulatory baseline</w:t>
      </w:r>
      <w:r w:rsidR="0040412A">
        <w:rPr>
          <w:rFonts w:eastAsia="Times New Roman"/>
        </w:rPr>
        <w:t>;</w:t>
      </w:r>
      <w:r>
        <w:rPr>
          <w:rFonts w:eastAsia="Times New Roman"/>
        </w:rPr>
        <w:t xml:space="preserve"> </w:t>
      </w:r>
      <w:r w:rsidR="0040412A">
        <w:rPr>
          <w:rFonts w:eastAsia="Times New Roman"/>
        </w:rPr>
        <w:t xml:space="preserve">however, </w:t>
      </w:r>
      <w:r>
        <w:rPr>
          <w:rFonts w:eastAsia="Times New Roman"/>
        </w:rPr>
        <w:t>both Alternative</w:t>
      </w:r>
      <w:r w:rsidR="00F866AC">
        <w:rPr>
          <w:rFonts w:eastAsia="Times New Roman"/>
        </w:rPr>
        <w:t> </w:t>
      </w:r>
      <w:r>
        <w:rPr>
          <w:rFonts w:eastAsia="Times New Roman"/>
        </w:rPr>
        <w:t xml:space="preserve">1 </w:t>
      </w:r>
      <w:r w:rsidR="00FA238A">
        <w:rPr>
          <w:rFonts w:eastAsia="Times New Roman"/>
        </w:rPr>
        <w:t xml:space="preserve">with approved exemptions </w:t>
      </w:r>
      <w:r>
        <w:rPr>
          <w:rFonts w:eastAsia="Times New Roman"/>
        </w:rPr>
        <w:t>and Alternative</w:t>
      </w:r>
      <w:r w:rsidR="006F466C">
        <w:rPr>
          <w:rFonts w:eastAsia="Times New Roman"/>
        </w:rPr>
        <w:t> </w:t>
      </w:r>
      <w:r>
        <w:rPr>
          <w:rFonts w:eastAsia="Times New Roman"/>
        </w:rPr>
        <w:t>2 result in approximately the same averted cost</w:t>
      </w:r>
      <w:r w:rsidRPr="00711891">
        <w:rPr>
          <w:rFonts w:eastAsia="Times New Roman"/>
        </w:rPr>
        <w:t xml:space="preserve">.  </w:t>
      </w:r>
      <w:r>
        <w:rPr>
          <w:rFonts w:eastAsia="Times New Roman"/>
        </w:rPr>
        <w:t xml:space="preserve">This </w:t>
      </w:r>
      <w:r w:rsidR="00630A61">
        <w:rPr>
          <w:rFonts w:eastAsia="Times New Roman"/>
        </w:rPr>
        <w:t>analysis</w:t>
      </w:r>
      <w:r>
        <w:rPr>
          <w:rFonts w:eastAsia="Times New Roman"/>
        </w:rPr>
        <w:t xml:space="preserve"> does not provide a </w:t>
      </w:r>
      <w:r w:rsidR="0040412A">
        <w:rPr>
          <w:rFonts w:eastAsia="Times New Roman"/>
        </w:rPr>
        <w:t xml:space="preserve">comparative </w:t>
      </w:r>
      <w:r>
        <w:rPr>
          <w:rFonts w:eastAsia="Times New Roman"/>
        </w:rPr>
        <w:t xml:space="preserve">cost estimate </w:t>
      </w:r>
      <w:r w:rsidR="0040412A">
        <w:rPr>
          <w:rFonts w:eastAsia="Times New Roman"/>
        </w:rPr>
        <w:t xml:space="preserve">of </w:t>
      </w:r>
      <w:r>
        <w:rPr>
          <w:rFonts w:eastAsia="Times New Roman"/>
        </w:rPr>
        <w:t>this averted cost</w:t>
      </w:r>
      <w:r w:rsidR="0040412A">
        <w:rPr>
          <w:rFonts w:eastAsia="Times New Roman"/>
        </w:rPr>
        <w:t xml:space="preserve"> and</w:t>
      </w:r>
      <w:r>
        <w:rPr>
          <w:rFonts w:eastAsia="Times New Roman"/>
        </w:rPr>
        <w:t xml:space="preserve"> the regulat</w:t>
      </w:r>
      <w:r w:rsidR="003C19A1">
        <w:rPr>
          <w:rFonts w:eastAsia="Times New Roman"/>
        </w:rPr>
        <w:t>ory baseline</w:t>
      </w:r>
      <w:r w:rsidR="0040412A">
        <w:rPr>
          <w:rFonts w:eastAsia="Times New Roman"/>
        </w:rPr>
        <w:t xml:space="preserve"> because</w:t>
      </w:r>
      <w:r w:rsidR="003C19A1">
        <w:rPr>
          <w:rFonts w:eastAsia="Times New Roman"/>
        </w:rPr>
        <w:t xml:space="preserve"> </w:t>
      </w:r>
      <w:r w:rsidR="0040412A">
        <w:rPr>
          <w:rFonts w:eastAsia="Times New Roman"/>
        </w:rPr>
        <w:t>the</w:t>
      </w:r>
      <w:r>
        <w:rPr>
          <w:rFonts w:eastAsia="Times New Roman"/>
        </w:rPr>
        <w:t xml:space="preserve"> averted cost difference between Alternative</w:t>
      </w:r>
      <w:r w:rsidR="0040412A">
        <w:rPr>
          <w:rFonts w:eastAsia="Times New Roman"/>
        </w:rPr>
        <w:t> </w:t>
      </w:r>
      <w:r>
        <w:rPr>
          <w:rFonts w:eastAsia="Times New Roman"/>
        </w:rPr>
        <w:t xml:space="preserve">1 </w:t>
      </w:r>
      <w:r w:rsidR="00CC3F05">
        <w:rPr>
          <w:rFonts w:eastAsia="Times New Roman"/>
        </w:rPr>
        <w:t xml:space="preserve">with approved exemptions </w:t>
      </w:r>
      <w:r>
        <w:rPr>
          <w:rFonts w:eastAsia="Times New Roman"/>
        </w:rPr>
        <w:t>and Alternative</w:t>
      </w:r>
      <w:r w:rsidR="0040412A">
        <w:rPr>
          <w:rFonts w:eastAsia="Times New Roman"/>
        </w:rPr>
        <w:t> </w:t>
      </w:r>
      <w:r>
        <w:rPr>
          <w:rFonts w:eastAsia="Times New Roman"/>
        </w:rPr>
        <w:t>2</w:t>
      </w:r>
      <w:r w:rsidR="0040412A">
        <w:rPr>
          <w:rFonts w:eastAsia="Times New Roman"/>
        </w:rPr>
        <w:t xml:space="preserve"> is not </w:t>
      </w:r>
      <w:r w:rsidR="0045095A">
        <w:rPr>
          <w:rFonts w:eastAsia="Times New Roman"/>
        </w:rPr>
        <w:t>significant</w:t>
      </w:r>
      <w:r>
        <w:rPr>
          <w:rFonts w:eastAsia="Times New Roman"/>
        </w:rPr>
        <w:t>.</w:t>
      </w:r>
    </w:p>
    <w:p w:rsidR="00684A20" w:rsidP="008440FA" w14:paraId="09D59AA8" w14:textId="699BAA9C">
      <w:pPr>
        <w:tabs>
          <w:tab w:val="left" w:pos="1440"/>
          <w:tab w:val="left" w:pos="2160"/>
          <w:tab w:val="left" w:pos="9360"/>
        </w:tabs>
        <w:spacing w:line="240" w:lineRule="auto"/>
        <w:rPr>
          <w:rFonts w:eastAsia="Times New Roman"/>
        </w:rPr>
      </w:pPr>
    </w:p>
    <w:p w:rsidR="00684A20" w:rsidP="00684A20" w14:paraId="4D972378" w14:textId="65814853">
      <w:pPr>
        <w:tabs>
          <w:tab w:val="left" w:pos="1440"/>
          <w:tab w:val="left" w:pos="2160"/>
          <w:tab w:val="left" w:pos="9360"/>
        </w:tabs>
        <w:spacing w:line="240" w:lineRule="auto"/>
        <w:rPr>
          <w:rFonts w:eastAsia="Times New Roman"/>
        </w:rPr>
      </w:pPr>
      <w:r>
        <w:rPr>
          <w:rFonts w:eastAsia="Times New Roman"/>
        </w:rPr>
        <w:t>T</w:t>
      </w:r>
      <w:r>
        <w:rPr>
          <w:rFonts w:eastAsia="Times New Roman"/>
        </w:rPr>
        <w:t xml:space="preserve">o justify a scalable </w:t>
      </w:r>
      <w:r>
        <w:rPr>
          <w:rFonts w:eastAsia="Times New Roman"/>
        </w:rPr>
        <w:t>EPZ</w:t>
      </w:r>
      <w:r w:rsidR="000560B0">
        <w:rPr>
          <w:rFonts w:eastAsia="Times New Roman"/>
        </w:rPr>
        <w:t xml:space="preserve"> size</w:t>
      </w:r>
      <w:r>
        <w:rPr>
          <w:rFonts w:eastAsia="Times New Roman"/>
        </w:rPr>
        <w:t xml:space="preserve">, whether smaller than the default </w:t>
      </w:r>
      <w:r w:rsidRPr="00711891">
        <w:rPr>
          <w:rFonts w:eastAsia="Times New Roman"/>
        </w:rPr>
        <w:t xml:space="preserve">plume exposure pathway </w:t>
      </w:r>
      <w:r w:rsidRPr="00711891">
        <w:rPr>
          <w:rFonts w:eastAsia="Times New Roman"/>
        </w:rPr>
        <w:t>EPZ</w:t>
      </w:r>
      <w:r w:rsidRPr="00711891">
        <w:rPr>
          <w:rFonts w:eastAsia="Times New Roman"/>
        </w:rPr>
        <w:t xml:space="preserve"> size </w:t>
      </w:r>
      <w:r>
        <w:rPr>
          <w:rFonts w:eastAsia="Times New Roman"/>
        </w:rPr>
        <w:t>of</w:t>
      </w:r>
      <w:r w:rsidRPr="00711891">
        <w:rPr>
          <w:rFonts w:eastAsia="Times New Roman"/>
        </w:rPr>
        <w:t xml:space="preserve"> 10</w:t>
      </w:r>
      <w:r>
        <w:rPr>
          <w:rFonts w:eastAsia="Times New Roman"/>
        </w:rPr>
        <w:t> </w:t>
      </w:r>
      <w:r w:rsidRPr="00711891">
        <w:rPr>
          <w:rFonts w:eastAsia="Times New Roman"/>
        </w:rPr>
        <w:t>mi</w:t>
      </w:r>
      <w:r>
        <w:rPr>
          <w:rFonts w:eastAsia="Times New Roman"/>
        </w:rPr>
        <w:t xml:space="preserve">les (16 km) under current regulations </w:t>
      </w:r>
      <w:r w:rsidR="00F02B0E">
        <w:rPr>
          <w:rFonts w:eastAsia="Times New Roman"/>
        </w:rPr>
        <w:t xml:space="preserve">but </w:t>
      </w:r>
      <w:r w:rsidR="00B24BC9">
        <w:rPr>
          <w:rFonts w:eastAsia="Times New Roman"/>
        </w:rPr>
        <w:t xml:space="preserve">beyond the site boundary, </w:t>
      </w:r>
      <w:r>
        <w:rPr>
          <w:rFonts w:eastAsia="Times New Roman"/>
        </w:rPr>
        <w:t xml:space="preserve">or fully inside the site boundary, applicants will have to perform additional analyses and present these results to the NRC.  The final rule allows applicants to decide whether to augment the existing PRA process or to use other forms of analysis to make this justification.  However, in either case, this results in additional incremental </w:t>
      </w:r>
      <w:r w:rsidR="00B44EDC">
        <w:rPr>
          <w:rFonts w:eastAsia="Times New Roman"/>
        </w:rPr>
        <w:t>costs on</w:t>
      </w:r>
      <w:r>
        <w:rPr>
          <w:rFonts w:eastAsia="Times New Roman"/>
        </w:rPr>
        <w:t xml:space="preserve"> applicants, which the staff estimated at 120</w:t>
      </w:r>
      <w:r w:rsidR="00FC583A">
        <w:rPr>
          <w:rFonts w:eastAsia="Times New Roman"/>
        </w:rPr>
        <w:t> </w:t>
      </w:r>
      <w:r>
        <w:rPr>
          <w:rFonts w:eastAsia="Times New Roman"/>
        </w:rPr>
        <w:t xml:space="preserve">labor </w:t>
      </w:r>
      <w:r>
        <w:rPr>
          <w:rFonts w:eastAsia="Times New Roman"/>
        </w:rPr>
        <w:t xml:space="preserve">hours as a best estimate.  For the </w:t>
      </w:r>
      <w:r w:rsidR="000A295C">
        <w:rPr>
          <w:rFonts w:eastAsia="Times New Roman"/>
        </w:rPr>
        <w:t>9</w:t>
      </w:r>
      <w:r>
        <w:rPr>
          <w:rFonts w:eastAsia="Times New Roman"/>
        </w:rPr>
        <w:t xml:space="preserve"> applicants </w:t>
      </w:r>
      <w:r w:rsidR="000A295C">
        <w:rPr>
          <w:rFonts w:eastAsia="Times New Roman"/>
        </w:rPr>
        <w:t>that are expected to submit their analyses after the issuance of the final rule,</w:t>
      </w:r>
      <w:r>
        <w:rPr>
          <w:rFonts w:eastAsia="Times New Roman"/>
        </w:rPr>
        <w:t xml:space="preserve"> this results in costs </w:t>
      </w:r>
      <w:r w:rsidR="00CB6FC7">
        <w:rPr>
          <w:rFonts w:eastAsia="Times New Roman"/>
        </w:rPr>
        <w:t xml:space="preserve">as </w:t>
      </w:r>
      <w:r>
        <w:rPr>
          <w:rFonts w:eastAsia="Times New Roman"/>
        </w:rPr>
        <w:t xml:space="preserve">shown in </w:t>
      </w:r>
      <w:r w:rsidRPr="00FC583A">
        <w:rPr>
          <w:rFonts w:eastAsia="Times New Roman"/>
        </w:rPr>
        <w:fldChar w:fldCharType="begin"/>
      </w:r>
      <w:r w:rsidRPr="00FC583A">
        <w:rPr>
          <w:rFonts w:eastAsia="Times New Roman"/>
        </w:rPr>
        <w:instrText xml:space="preserve"> REF _Ref70588117 \h </w:instrText>
      </w:r>
      <w:r w:rsidRPr="00E818B5" w:rsidR="00FC583A">
        <w:rPr>
          <w:rFonts w:eastAsia="Times New Roman"/>
        </w:rPr>
        <w:instrText xml:space="preserve"> \* MERGEFORMAT </w:instrText>
      </w:r>
      <w:r w:rsidRPr="00FC583A">
        <w:rPr>
          <w:rFonts w:eastAsia="Times New Roman"/>
        </w:rPr>
        <w:fldChar w:fldCharType="separate"/>
      </w:r>
      <w:r w:rsidRPr="004634A0" w:rsidR="004634A0">
        <w:t>Table</w:t>
      </w:r>
      <w:r w:rsidRPr="00487EC8" w:rsidR="004634A0">
        <w:rPr>
          <w:b/>
        </w:rPr>
        <w:t xml:space="preserve"> </w:t>
      </w:r>
      <w:r w:rsidRPr="00326B3D" w:rsidR="004634A0">
        <w:rPr>
          <w:bCs/>
          <w:noProof/>
        </w:rPr>
        <w:t>7</w:t>
      </w:r>
      <w:r w:rsidRPr="00FC583A">
        <w:rPr>
          <w:rFonts w:eastAsia="Times New Roman"/>
        </w:rPr>
        <w:fldChar w:fldCharType="end"/>
      </w:r>
      <w:r>
        <w:rPr>
          <w:rFonts w:eastAsia="Times New Roman"/>
        </w:rPr>
        <w:t>.</w:t>
      </w:r>
    </w:p>
    <w:p w:rsidR="00684A20" w:rsidP="008440FA" w14:paraId="13ED1A8F" w14:textId="0AB21EFB">
      <w:pPr>
        <w:tabs>
          <w:tab w:val="left" w:pos="1440"/>
          <w:tab w:val="left" w:pos="2160"/>
          <w:tab w:val="left" w:pos="9360"/>
        </w:tabs>
        <w:spacing w:line="240" w:lineRule="auto"/>
        <w:rPr>
          <w:rFonts w:eastAsia="Times New Roman"/>
        </w:rPr>
      </w:pPr>
    </w:p>
    <w:p w:rsidR="004567A7" w:rsidRPr="00487EC8" w:rsidP="004567A7" w14:paraId="5DD81C71" w14:textId="1B8F7E40">
      <w:pPr>
        <w:pStyle w:val="Caption"/>
        <w:spacing w:after="120" w:line="240" w:lineRule="auto"/>
        <w:ind w:left="1080" w:hanging="1080"/>
        <w:jc w:val="center"/>
        <w:rPr>
          <w:b/>
        </w:rPr>
      </w:pPr>
      <w:bookmarkStart w:id="151" w:name="_Ref70588117"/>
      <w:bookmarkStart w:id="152" w:name="_Toc70669544"/>
      <w:bookmarkStart w:id="153" w:name="_Toc85198663"/>
      <w:r w:rsidRPr="00487EC8">
        <w:rPr>
          <w:b/>
        </w:rPr>
        <w:t xml:space="preserve">Table </w:t>
      </w:r>
      <w:r w:rsidRPr="00487EC8">
        <w:rPr>
          <w:b/>
        </w:rPr>
        <w:fldChar w:fldCharType="begin"/>
      </w:r>
      <w:r w:rsidRPr="00487EC8">
        <w:rPr>
          <w:b/>
        </w:rPr>
        <w:instrText xml:space="preserve"> SEQ Table \* ARABIC </w:instrText>
      </w:r>
      <w:r w:rsidRPr="00487EC8">
        <w:rPr>
          <w:b/>
        </w:rPr>
        <w:fldChar w:fldCharType="separate"/>
      </w:r>
      <w:r w:rsidR="004634A0">
        <w:rPr>
          <w:b/>
          <w:noProof/>
        </w:rPr>
        <w:t>7</w:t>
      </w:r>
      <w:r w:rsidRPr="00487EC8">
        <w:rPr>
          <w:b/>
        </w:rPr>
        <w:fldChar w:fldCharType="end"/>
      </w:r>
      <w:bookmarkEnd w:id="151"/>
      <w:r w:rsidRPr="00487EC8">
        <w:rPr>
          <w:b/>
        </w:rPr>
        <w:t xml:space="preserve"> </w:t>
      </w:r>
      <w:r w:rsidR="00FC583A">
        <w:rPr>
          <w:b/>
        </w:rPr>
        <w:t xml:space="preserve"> </w:t>
      </w:r>
      <w:r w:rsidRPr="00487EC8">
        <w:rPr>
          <w:b/>
        </w:rPr>
        <w:t>Industry Costs for Additional PRA or Other Analysis</w:t>
      </w:r>
      <w:bookmarkEnd w:id="152"/>
      <w:bookmarkEnd w:id="153"/>
    </w:p>
    <w:p w:rsidR="004567A7" w:rsidP="004567A7" w14:paraId="46C7F437" w14:textId="70C0230A">
      <w:pPr>
        <w:tabs>
          <w:tab w:val="left" w:pos="1440"/>
          <w:tab w:val="left" w:pos="2160"/>
          <w:tab w:val="left" w:pos="9360"/>
        </w:tabs>
        <w:spacing w:line="240" w:lineRule="auto"/>
        <w:rPr>
          <w:rFonts w:eastAsia="Times New Roman"/>
        </w:rPr>
      </w:pPr>
      <w:r w:rsidRPr="000A295C">
        <w:rPr>
          <w:noProof/>
        </w:rPr>
        <w:drawing>
          <wp:inline distT="0" distB="0" distL="0" distR="0">
            <wp:extent cx="5943600" cy="12496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249680"/>
                    </a:xfrm>
                    <a:prstGeom prst="rect">
                      <a:avLst/>
                    </a:prstGeom>
                    <a:noFill/>
                    <a:ln>
                      <a:noFill/>
                    </a:ln>
                  </pic:spPr>
                </pic:pic>
              </a:graphicData>
            </a:graphic>
          </wp:inline>
        </w:drawing>
      </w:r>
    </w:p>
    <w:p w:rsidR="00684A20" w:rsidRPr="005A6A7A" w:rsidP="008440FA" w14:paraId="6E5B2F50" w14:textId="146FE219">
      <w:pPr>
        <w:tabs>
          <w:tab w:val="left" w:pos="1440"/>
          <w:tab w:val="left" w:pos="2160"/>
          <w:tab w:val="left" w:pos="9360"/>
        </w:tabs>
        <w:spacing w:line="240" w:lineRule="auto"/>
        <w:rPr>
          <w:rFonts w:eastAsia="Times New Roman"/>
          <w:sz w:val="18"/>
          <w:szCs w:val="18"/>
        </w:rPr>
      </w:pPr>
      <w:r w:rsidRPr="005A6A7A">
        <w:rPr>
          <w:rFonts w:eastAsia="Times New Roman"/>
          <w:sz w:val="18"/>
          <w:szCs w:val="18"/>
        </w:rPr>
        <w:t>Note:  Values are in 2021 dollars, rounded to the nearest $</w:t>
      </w:r>
      <w:r w:rsidRPr="005A6A7A" w:rsidR="00B92E2F">
        <w:rPr>
          <w:rFonts w:eastAsia="Times New Roman"/>
          <w:sz w:val="18"/>
          <w:szCs w:val="18"/>
        </w:rPr>
        <w:t>1,000.</w:t>
      </w:r>
    </w:p>
    <w:p w:rsidR="00B92E2F" w:rsidRPr="00711891" w:rsidP="008440FA" w14:paraId="23419BFF" w14:textId="77777777">
      <w:pPr>
        <w:tabs>
          <w:tab w:val="left" w:pos="1440"/>
          <w:tab w:val="left" w:pos="2160"/>
          <w:tab w:val="left" w:pos="9360"/>
        </w:tabs>
        <w:spacing w:line="240" w:lineRule="auto"/>
        <w:rPr>
          <w:rFonts w:eastAsia="Times New Roman"/>
        </w:rPr>
      </w:pPr>
    </w:p>
    <w:p w:rsidR="009128E1" w:rsidP="008440FA" w14:paraId="46278C3B" w14:textId="6F72BA47">
      <w:pPr>
        <w:pStyle w:val="Heading2"/>
        <w:numPr>
          <w:ilvl w:val="1"/>
          <w:numId w:val="34"/>
        </w:numPr>
        <w:spacing w:line="240" w:lineRule="auto"/>
        <w:ind w:hanging="792"/>
      </w:pPr>
      <w:bookmarkStart w:id="154" w:name="_Toc456098285"/>
      <w:bookmarkStart w:id="155" w:name="_Toc457827298"/>
      <w:bookmarkStart w:id="156" w:name="_Toc70669508"/>
      <w:bookmarkStart w:id="157" w:name="_Toc85198607"/>
      <w:r>
        <w:t>Total Industry Costs</w:t>
      </w:r>
      <w:bookmarkEnd w:id="154"/>
      <w:bookmarkEnd w:id="155"/>
      <w:bookmarkEnd w:id="156"/>
      <w:bookmarkEnd w:id="157"/>
    </w:p>
    <w:p w:rsidR="009128E1" w:rsidP="008440FA" w14:paraId="763B82C8" w14:textId="77777777">
      <w:pPr>
        <w:keepNext/>
        <w:spacing w:line="240" w:lineRule="auto"/>
      </w:pPr>
    </w:p>
    <w:p w:rsidR="009128E1" w:rsidP="008440FA" w14:paraId="64151A35" w14:textId="0BB035F7">
      <w:pPr>
        <w:tabs>
          <w:tab w:val="left" w:pos="1440"/>
          <w:tab w:val="left" w:pos="2160"/>
          <w:tab w:val="left" w:pos="9360"/>
        </w:tabs>
        <w:spacing w:after="220" w:line="240" w:lineRule="auto"/>
        <w:rPr>
          <w:rFonts w:eastAsia="Times New Roman"/>
        </w:rPr>
      </w:pPr>
      <w:r>
        <w:rPr>
          <w:rFonts w:eastAsia="Times New Roman"/>
        </w:rPr>
        <w:t xml:space="preserve">Based on the cost estimate with an </w:t>
      </w:r>
      <w:r>
        <w:rPr>
          <w:rFonts w:eastAsia="Times New Roman"/>
        </w:rPr>
        <w:t>EPZ</w:t>
      </w:r>
      <w:r>
        <w:rPr>
          <w:rFonts w:eastAsia="Times New Roman"/>
        </w:rPr>
        <w:t xml:space="preserve"> inside the site boundary, the rulemaking alternative (Alternative</w:t>
      </w:r>
      <w:r w:rsidR="0040412A">
        <w:rPr>
          <w:rFonts w:eastAsia="Times New Roman"/>
        </w:rPr>
        <w:t> </w:t>
      </w:r>
      <w:r>
        <w:rPr>
          <w:rFonts w:eastAsia="Times New Roman"/>
        </w:rPr>
        <w:t xml:space="preserve">2) results in estimated </w:t>
      </w:r>
      <w:r w:rsidR="00454768">
        <w:rPr>
          <w:rFonts w:eastAsia="Times New Roman"/>
        </w:rPr>
        <w:t xml:space="preserve">net </w:t>
      </w:r>
      <w:r>
        <w:rPr>
          <w:rFonts w:eastAsia="Times New Roman"/>
        </w:rPr>
        <w:t>averted costs to the industry tha</w:t>
      </w:r>
      <w:r w:rsidR="004835A9">
        <w:rPr>
          <w:rFonts w:eastAsia="Times New Roman"/>
        </w:rPr>
        <w:t>t range from $</w:t>
      </w:r>
      <w:r w:rsidR="002D6049">
        <w:rPr>
          <w:rFonts w:eastAsia="Times New Roman"/>
        </w:rPr>
        <w:t>5</w:t>
      </w:r>
      <w:r w:rsidR="004835A9">
        <w:rPr>
          <w:rFonts w:eastAsia="Times New Roman"/>
        </w:rPr>
        <w:t>.</w:t>
      </w:r>
      <w:r w:rsidR="00306546">
        <w:rPr>
          <w:rFonts w:eastAsia="Times New Roman"/>
        </w:rPr>
        <w:t>62</w:t>
      </w:r>
      <w:r w:rsidR="0040412A">
        <w:rPr>
          <w:rFonts w:eastAsia="Times New Roman"/>
        </w:rPr>
        <w:t> </w:t>
      </w:r>
      <w:r w:rsidR="00AF2326">
        <w:rPr>
          <w:rFonts w:eastAsia="Times New Roman"/>
        </w:rPr>
        <w:t>million (7</w:t>
      </w:r>
      <w:r w:rsidR="0040412A">
        <w:rPr>
          <w:rFonts w:eastAsia="Times New Roman"/>
        </w:rPr>
        <w:noBreakHyphen/>
      </w:r>
      <w:r>
        <w:rPr>
          <w:rFonts w:eastAsia="Times New Roman"/>
        </w:rPr>
        <w:t>percent NPV</w:t>
      </w:r>
      <w:r w:rsidR="00AF2326">
        <w:rPr>
          <w:rFonts w:eastAsia="Times New Roman"/>
        </w:rPr>
        <w:t>)</w:t>
      </w:r>
      <w:r>
        <w:rPr>
          <w:rFonts w:eastAsia="Times New Roman"/>
        </w:rPr>
        <w:t xml:space="preserve"> to $</w:t>
      </w:r>
      <w:r w:rsidR="00E45EF2">
        <w:rPr>
          <w:rFonts w:eastAsia="Times New Roman"/>
        </w:rPr>
        <w:t>1</w:t>
      </w:r>
      <w:r w:rsidR="00306546">
        <w:rPr>
          <w:rFonts w:eastAsia="Times New Roman"/>
        </w:rPr>
        <w:t>0</w:t>
      </w:r>
      <w:r w:rsidR="004835A9">
        <w:rPr>
          <w:rFonts w:eastAsia="Times New Roman"/>
        </w:rPr>
        <w:t>.</w:t>
      </w:r>
      <w:r w:rsidR="00306546">
        <w:rPr>
          <w:rFonts w:eastAsia="Times New Roman"/>
        </w:rPr>
        <w:t>7</w:t>
      </w:r>
      <w:r>
        <w:rPr>
          <w:rFonts w:eastAsia="Times New Roman"/>
        </w:rPr>
        <w:t xml:space="preserve"> </w:t>
      </w:r>
      <w:r w:rsidRPr="00A00AC6">
        <w:rPr>
          <w:rFonts w:eastAsia="Times New Roman"/>
        </w:rPr>
        <w:t>milli</w:t>
      </w:r>
      <w:r w:rsidRPr="00A00AC6" w:rsidR="00AF2326">
        <w:rPr>
          <w:rFonts w:eastAsia="Times New Roman"/>
        </w:rPr>
        <w:t>on (3</w:t>
      </w:r>
      <w:r w:rsidRPr="00A00AC6" w:rsidR="0040412A">
        <w:rPr>
          <w:rFonts w:eastAsia="Times New Roman"/>
        </w:rPr>
        <w:noBreakHyphen/>
      </w:r>
      <w:r w:rsidRPr="00A00AC6">
        <w:rPr>
          <w:rFonts w:eastAsia="Times New Roman"/>
        </w:rPr>
        <w:t>percent NPV</w:t>
      </w:r>
      <w:r w:rsidRPr="00A00AC6" w:rsidR="00AF2326">
        <w:rPr>
          <w:rFonts w:eastAsia="Times New Roman"/>
        </w:rPr>
        <w:t>)</w:t>
      </w:r>
      <w:r w:rsidRPr="00A00AC6">
        <w:rPr>
          <w:rFonts w:eastAsia="Times New Roman"/>
        </w:rPr>
        <w:t>, when compared to Alternative</w:t>
      </w:r>
      <w:r w:rsidRPr="00A00AC6" w:rsidR="0040412A">
        <w:rPr>
          <w:rFonts w:eastAsia="Times New Roman"/>
        </w:rPr>
        <w:t> </w:t>
      </w:r>
      <w:r w:rsidRPr="00A00AC6">
        <w:rPr>
          <w:rFonts w:eastAsia="Times New Roman"/>
        </w:rPr>
        <w:t xml:space="preserve">1, as shown in </w:t>
      </w:r>
      <w:r w:rsidRPr="00EE77D0">
        <w:rPr>
          <w:rFonts w:eastAsia="Times New Roman"/>
        </w:rPr>
        <w:fldChar w:fldCharType="begin"/>
      </w:r>
      <w:r w:rsidRPr="00A00AC6">
        <w:rPr>
          <w:rFonts w:eastAsia="Times New Roman"/>
        </w:rPr>
        <w:instrText xml:space="preserve"> REF _Ref453163057 \h </w:instrText>
      </w:r>
      <w:r w:rsidRPr="00581806" w:rsidR="00A00AC6">
        <w:rPr>
          <w:rFonts w:eastAsia="Times New Roman"/>
        </w:rPr>
        <w:instrText xml:space="preserve"> \* MERGEFORMAT </w:instrText>
      </w:r>
      <w:r w:rsidRPr="00EE77D0">
        <w:rPr>
          <w:rFonts w:eastAsia="Times New Roman"/>
        </w:rPr>
        <w:fldChar w:fldCharType="separate"/>
      </w:r>
      <w:r w:rsidRPr="004634A0" w:rsidR="004634A0">
        <w:t>Table</w:t>
      </w:r>
      <w:r w:rsidRPr="00581806" w:rsidR="004634A0">
        <w:rPr>
          <w:b/>
        </w:rPr>
        <w:t xml:space="preserve"> </w:t>
      </w:r>
      <w:r w:rsidRPr="00326B3D" w:rsidR="004634A0">
        <w:rPr>
          <w:bCs/>
          <w:noProof/>
        </w:rPr>
        <w:t>8</w:t>
      </w:r>
      <w:r w:rsidRPr="00EE77D0">
        <w:rPr>
          <w:rFonts w:eastAsia="Times New Roman"/>
        </w:rPr>
        <w:fldChar w:fldCharType="end"/>
      </w:r>
      <w:r w:rsidRPr="00A00AC6">
        <w:rPr>
          <w:rFonts w:eastAsia="Times New Roman"/>
        </w:rPr>
        <w:t>.</w:t>
      </w:r>
    </w:p>
    <w:p w:rsidR="009128E1" w:rsidRPr="00581806" w:rsidP="00414AEE" w14:paraId="16B19153" w14:textId="5BA78461">
      <w:pPr>
        <w:tabs>
          <w:tab w:val="left" w:pos="1440"/>
          <w:tab w:val="left" w:pos="2160"/>
          <w:tab w:val="left" w:pos="9360"/>
        </w:tabs>
        <w:spacing w:after="120" w:line="240" w:lineRule="auto"/>
        <w:jc w:val="center"/>
        <w:rPr>
          <w:b/>
        </w:rPr>
      </w:pPr>
      <w:r>
        <w:rPr>
          <w:rFonts w:eastAsia="Times New Roman"/>
        </w:rPr>
        <w:t xml:space="preserve"> </w:t>
      </w:r>
      <w:bookmarkStart w:id="158" w:name="_Ref453163057"/>
      <w:bookmarkStart w:id="159" w:name="_Toc454442488"/>
      <w:bookmarkStart w:id="160" w:name="_Toc457827408"/>
      <w:bookmarkStart w:id="161" w:name="_Toc70669545"/>
      <w:bookmarkStart w:id="162" w:name="_Toc85198664"/>
      <w:bookmarkStart w:id="163" w:name="_Ref487013713"/>
      <w:r w:rsidRPr="00581806">
        <w:rPr>
          <w:b/>
        </w:rPr>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4634A0">
        <w:rPr>
          <w:b/>
          <w:noProof/>
        </w:rPr>
        <w:t>8</w:t>
      </w:r>
      <w:r w:rsidRPr="00581806" w:rsidR="000012A5">
        <w:rPr>
          <w:b/>
          <w:noProof/>
        </w:rPr>
        <w:fldChar w:fldCharType="end"/>
      </w:r>
      <w:bookmarkEnd w:id="158"/>
      <w:r w:rsidRPr="00581806" w:rsidR="00304A56">
        <w:rPr>
          <w:b/>
        </w:rPr>
        <w:t xml:space="preserve">  </w:t>
      </w:r>
      <w:r w:rsidRPr="00581806">
        <w:rPr>
          <w:b/>
        </w:rPr>
        <w:t>Total Industry Costs</w:t>
      </w:r>
      <w:bookmarkEnd w:id="159"/>
      <w:bookmarkEnd w:id="160"/>
      <w:bookmarkEnd w:id="161"/>
      <w:bookmarkEnd w:id="162"/>
    </w:p>
    <w:bookmarkEnd w:id="163"/>
    <w:p w:rsidR="00AF2326" w:rsidP="008440FA" w14:paraId="4044B706" w14:textId="592AF13D">
      <w:pPr>
        <w:spacing w:line="240" w:lineRule="auto"/>
        <w:ind w:left="630"/>
        <w:rPr>
          <w:rFonts w:eastAsia="Times New Roman"/>
          <w:bCs/>
          <w:sz w:val="20"/>
          <w:szCs w:val="20"/>
        </w:rPr>
      </w:pPr>
      <w:r w:rsidRPr="00306546">
        <w:rPr>
          <w:noProof/>
        </w:rPr>
        <w:drawing>
          <wp:inline distT="0" distB="0" distL="0" distR="0">
            <wp:extent cx="5067300" cy="6781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6"/>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5067300" cy="678180"/>
                    </a:xfrm>
                    <a:prstGeom prst="rect">
                      <a:avLst/>
                    </a:prstGeom>
                    <a:noFill/>
                    <a:ln>
                      <a:noFill/>
                    </a:ln>
                  </pic:spPr>
                </pic:pic>
              </a:graphicData>
            </a:graphic>
          </wp:inline>
        </w:drawing>
      </w:r>
    </w:p>
    <w:p w:rsidR="009128E1" w:rsidRPr="00581806" w:rsidP="008440FA" w14:paraId="58225A13" w14:textId="51D03206">
      <w:pPr>
        <w:spacing w:before="120" w:line="240" w:lineRule="auto"/>
        <w:ind w:left="630"/>
        <w:rPr>
          <w:rFonts w:eastAsia="Times New Roman"/>
          <w:bCs/>
          <w:sz w:val="18"/>
          <w:szCs w:val="18"/>
        </w:rPr>
      </w:pPr>
      <w:r w:rsidRPr="00581806">
        <w:rPr>
          <w:rFonts w:eastAsia="Times New Roman"/>
          <w:bCs/>
          <w:sz w:val="18"/>
          <w:szCs w:val="18"/>
        </w:rPr>
        <w:t xml:space="preserve">Note:  </w:t>
      </w:r>
      <w:r w:rsidRPr="00581806" w:rsidR="00BC32B3">
        <w:rPr>
          <w:rFonts w:eastAsia="Times New Roman"/>
          <w:bCs/>
          <w:sz w:val="18"/>
          <w:szCs w:val="18"/>
        </w:rPr>
        <w:t>Values are in 202</w:t>
      </w:r>
      <w:r w:rsidR="002D6049">
        <w:rPr>
          <w:rFonts w:eastAsia="Times New Roman"/>
          <w:bCs/>
          <w:sz w:val="18"/>
          <w:szCs w:val="18"/>
        </w:rPr>
        <w:t>1</w:t>
      </w:r>
      <w:r w:rsidRPr="00581806" w:rsidR="00304A56">
        <w:rPr>
          <w:rFonts w:eastAsia="Times New Roman"/>
          <w:bCs/>
          <w:sz w:val="18"/>
          <w:szCs w:val="18"/>
        </w:rPr>
        <w:t xml:space="preserve"> dollars</w:t>
      </w:r>
      <w:r w:rsidR="00146405">
        <w:rPr>
          <w:rFonts w:eastAsia="Times New Roman"/>
          <w:bCs/>
          <w:sz w:val="18"/>
          <w:szCs w:val="18"/>
        </w:rPr>
        <w:t>,</w:t>
      </w:r>
      <w:r w:rsidRPr="00581806">
        <w:rPr>
          <w:rFonts w:eastAsia="Times New Roman"/>
          <w:bCs/>
          <w:sz w:val="18"/>
          <w:szCs w:val="18"/>
        </w:rPr>
        <w:t xml:space="preserve"> rounded to the nearest $1</w:t>
      </w:r>
      <w:r w:rsidRPr="00581806" w:rsidR="003C19A1">
        <w:rPr>
          <w:rFonts w:eastAsia="Times New Roman"/>
          <w:bCs/>
          <w:sz w:val="18"/>
          <w:szCs w:val="18"/>
        </w:rPr>
        <w:t>0</w:t>
      </w:r>
      <w:r w:rsidRPr="00581806">
        <w:rPr>
          <w:rFonts w:eastAsia="Times New Roman"/>
          <w:bCs/>
          <w:sz w:val="18"/>
          <w:szCs w:val="18"/>
        </w:rPr>
        <w:t>,000.</w:t>
      </w:r>
    </w:p>
    <w:p w:rsidR="009128E1" w:rsidRPr="004304B1" w:rsidP="008440FA" w14:paraId="38E67514" w14:textId="77777777">
      <w:pPr>
        <w:spacing w:line="240" w:lineRule="auto"/>
        <w:rPr>
          <w:rFonts w:eastAsia="Times New Roman"/>
        </w:rPr>
      </w:pPr>
    </w:p>
    <w:p w:rsidR="009128E1" w:rsidP="008440FA" w14:paraId="7C264280" w14:textId="2C25D672">
      <w:pPr>
        <w:pStyle w:val="Heading2"/>
        <w:numPr>
          <w:ilvl w:val="1"/>
          <w:numId w:val="34"/>
        </w:numPr>
        <w:spacing w:line="240" w:lineRule="auto"/>
        <w:ind w:hanging="792"/>
      </w:pPr>
      <w:bookmarkStart w:id="164" w:name="_Toc456098286"/>
      <w:bookmarkStart w:id="165" w:name="_Toc457827299"/>
      <w:bookmarkStart w:id="166" w:name="_Toc70669509"/>
      <w:bookmarkStart w:id="167" w:name="_Toc85198608"/>
      <w:r w:rsidRPr="00461295">
        <w:t>NRC Implementation</w:t>
      </w:r>
      <w:bookmarkEnd w:id="164"/>
      <w:bookmarkEnd w:id="165"/>
      <w:bookmarkEnd w:id="166"/>
      <w:bookmarkEnd w:id="167"/>
    </w:p>
    <w:p w:rsidR="009128E1" w:rsidP="008440FA" w14:paraId="62D21837" w14:textId="77777777">
      <w:pPr>
        <w:pStyle w:val="ListParagraph"/>
        <w:spacing w:line="240" w:lineRule="auto"/>
        <w:ind w:left="0"/>
      </w:pPr>
    </w:p>
    <w:p w:rsidR="009128E1" w:rsidP="008440FA" w14:paraId="30F7EF97" w14:textId="66C94729">
      <w:pPr>
        <w:spacing w:line="240" w:lineRule="auto"/>
      </w:pPr>
      <w:bookmarkStart w:id="168" w:name="_Toc456098287"/>
      <w:r w:rsidRPr="00711891">
        <w:t>The NRC’s development and implementation of</w:t>
      </w:r>
      <w:r>
        <w:t xml:space="preserve"> EP regulations for SMRs and ONT</w:t>
      </w:r>
      <w:r w:rsidRPr="00711891">
        <w:t xml:space="preserve">s through </w:t>
      </w:r>
      <w:r w:rsidR="00F71245">
        <w:t>the</w:t>
      </w:r>
      <w:r w:rsidRPr="00711891">
        <w:t xml:space="preserve"> </w:t>
      </w:r>
      <w:r>
        <w:t xml:space="preserve">final </w:t>
      </w:r>
      <w:r w:rsidRPr="00711891">
        <w:t xml:space="preserve">rulemaking </w:t>
      </w:r>
      <w:r>
        <w:t>stage resulted</w:t>
      </w:r>
      <w:r w:rsidRPr="00711891">
        <w:t xml:space="preserve"> in incremental costs to the </w:t>
      </w:r>
      <w:r w:rsidR="00821A3D">
        <w:t>agency</w:t>
      </w:r>
      <w:r w:rsidRPr="00711891">
        <w:t>.  The NRC has committed a significant number of technical</w:t>
      </w:r>
      <w:r w:rsidR="00D06C12">
        <w:t xml:space="preserve"> and legal</w:t>
      </w:r>
      <w:r w:rsidRPr="00711891">
        <w:t xml:space="preserve"> staff to develop the rulemaking and related guidance over a 4</w:t>
      </w:r>
      <w:r>
        <w:noBreakHyphen/>
      </w:r>
      <w:r w:rsidRPr="00711891">
        <w:t>year period</w:t>
      </w:r>
      <w:r w:rsidR="00DE1D1D">
        <w:t xml:space="preserve">. </w:t>
      </w:r>
      <w:r>
        <w:t xml:space="preserve"> </w:t>
      </w:r>
      <w:r w:rsidR="00DE1D1D">
        <w:t>H</w:t>
      </w:r>
      <w:r>
        <w:t xml:space="preserve">owever, at </w:t>
      </w:r>
      <w:r w:rsidR="00DE1D1D">
        <w:t>this stage of the final rule</w:t>
      </w:r>
      <w:r w:rsidR="00FC583A">
        <w:t>,</w:t>
      </w:r>
      <w:r>
        <w:t xml:space="preserve"> these costs are sunk, and</w:t>
      </w:r>
      <w:r w:rsidR="00FC583A">
        <w:t>,</w:t>
      </w:r>
      <w:r>
        <w:t xml:space="preserve"> </w:t>
      </w:r>
      <w:r w:rsidR="00DE1D1D">
        <w:t>therefore</w:t>
      </w:r>
      <w:r w:rsidR="00FC583A">
        <w:t>,</w:t>
      </w:r>
      <w:r w:rsidR="00DE1D1D">
        <w:t xml:space="preserve"> there are no NRC implementation costs</w:t>
      </w:r>
      <w:r w:rsidRPr="00711891">
        <w:t>.</w:t>
      </w:r>
    </w:p>
    <w:bookmarkEnd w:id="168"/>
    <w:p w:rsidR="009128E1" w:rsidP="008440FA" w14:paraId="2B8062D3" w14:textId="77777777">
      <w:pPr>
        <w:spacing w:line="240" w:lineRule="auto"/>
      </w:pPr>
    </w:p>
    <w:p w:rsidR="009128E1" w:rsidP="008440FA" w14:paraId="775C151C" w14:textId="4DC00152">
      <w:pPr>
        <w:pStyle w:val="Heading2"/>
        <w:numPr>
          <w:ilvl w:val="1"/>
          <w:numId w:val="34"/>
        </w:numPr>
        <w:spacing w:line="240" w:lineRule="auto"/>
        <w:ind w:hanging="792"/>
      </w:pPr>
      <w:bookmarkStart w:id="169" w:name="_Ref393279064"/>
      <w:bookmarkStart w:id="170" w:name="_Ref422721928"/>
      <w:bookmarkStart w:id="171" w:name="_Toc456098312"/>
      <w:bookmarkStart w:id="172" w:name="_Toc457827325"/>
      <w:bookmarkStart w:id="173" w:name="_Toc70669510"/>
      <w:bookmarkStart w:id="174" w:name="_Toc85198609"/>
      <w:r w:rsidRPr="00461295">
        <w:t>NRC Operation</w:t>
      </w:r>
      <w:bookmarkEnd w:id="169"/>
      <w:bookmarkEnd w:id="170"/>
      <w:bookmarkEnd w:id="171"/>
      <w:bookmarkEnd w:id="172"/>
      <w:bookmarkEnd w:id="173"/>
      <w:bookmarkEnd w:id="174"/>
    </w:p>
    <w:p w:rsidR="009128E1" w:rsidRPr="00E879A2" w:rsidP="008440FA" w14:paraId="22A2D8EC" w14:textId="77777777">
      <w:pPr>
        <w:spacing w:line="240" w:lineRule="auto"/>
      </w:pPr>
    </w:p>
    <w:p w:rsidR="009128E1" w:rsidRPr="00711891" w:rsidP="008440FA" w14:paraId="5C68920D" w14:textId="17F76B0A">
      <w:pPr>
        <w:tabs>
          <w:tab w:val="left" w:pos="1440"/>
          <w:tab w:val="left" w:pos="2160"/>
        </w:tabs>
        <w:spacing w:line="240" w:lineRule="auto"/>
        <w:rPr>
          <w:rFonts w:eastAsia="Times New Roman"/>
        </w:rPr>
      </w:pPr>
      <w:r>
        <w:rPr>
          <w:rFonts w:eastAsia="Times New Roman"/>
        </w:rPr>
        <w:t>T</w:t>
      </w:r>
      <w:r w:rsidRPr="00711891">
        <w:rPr>
          <w:rFonts w:eastAsia="Times New Roman"/>
        </w:rPr>
        <w:t>he NRC will receive averted cost</w:t>
      </w:r>
      <w:r>
        <w:rPr>
          <w:rFonts w:eastAsia="Times New Roman"/>
        </w:rPr>
        <w:t>s</w:t>
      </w:r>
      <w:r w:rsidRPr="00711891">
        <w:rPr>
          <w:rFonts w:eastAsia="Times New Roman"/>
        </w:rPr>
        <w:t xml:space="preserve"> (benefit) from the </w:t>
      </w:r>
      <w:r w:rsidR="00E11607">
        <w:rPr>
          <w:rFonts w:eastAsia="Times New Roman"/>
        </w:rPr>
        <w:t>9</w:t>
      </w:r>
      <w:r w:rsidR="0014628A">
        <w:rPr>
          <w:rFonts w:eastAsia="Times New Roman"/>
        </w:rPr>
        <w:t xml:space="preserve"> </w:t>
      </w:r>
      <w:r w:rsidRPr="00711891">
        <w:rPr>
          <w:rFonts w:eastAsia="Times New Roman"/>
        </w:rPr>
        <w:t xml:space="preserve">exemption requests that will not be submitted by industry </w:t>
      </w:r>
      <w:r>
        <w:rPr>
          <w:rFonts w:eastAsia="Times New Roman"/>
        </w:rPr>
        <w:t>(under Alternative</w:t>
      </w:r>
      <w:r w:rsidR="00FC583A">
        <w:rPr>
          <w:rFonts w:eastAsia="Times New Roman"/>
        </w:rPr>
        <w:t> </w:t>
      </w:r>
      <w:r>
        <w:rPr>
          <w:rFonts w:eastAsia="Times New Roman"/>
        </w:rPr>
        <w:t>2 when compared to Alternative</w:t>
      </w:r>
      <w:r w:rsidR="00FC583A">
        <w:rPr>
          <w:rFonts w:eastAsia="Times New Roman"/>
        </w:rPr>
        <w:t> </w:t>
      </w:r>
      <w:r>
        <w:rPr>
          <w:rFonts w:eastAsia="Times New Roman"/>
        </w:rPr>
        <w:t xml:space="preserve">1) </w:t>
      </w:r>
      <w:r w:rsidRPr="00711891">
        <w:rPr>
          <w:rFonts w:eastAsia="Times New Roman"/>
        </w:rPr>
        <w:t xml:space="preserve">and, therefore, will not be reviewed by the </w:t>
      </w:r>
      <w:r w:rsidR="003971A5">
        <w:rPr>
          <w:rFonts w:eastAsia="Times New Roman"/>
        </w:rPr>
        <w:t>NRC</w:t>
      </w:r>
      <w:r w:rsidRPr="00A00AC6">
        <w:rPr>
          <w:rFonts w:eastAsia="Times New Roman"/>
        </w:rPr>
        <w:t xml:space="preserve">.  </w:t>
      </w:r>
      <w:r w:rsidRPr="00EE77D0">
        <w:rPr>
          <w:rFonts w:eastAsia="Times New Roman"/>
        </w:rPr>
        <w:fldChar w:fldCharType="begin"/>
      </w:r>
      <w:r w:rsidRPr="00A00AC6">
        <w:rPr>
          <w:rFonts w:eastAsia="Times New Roman"/>
        </w:rPr>
        <w:instrText xml:space="preserve"> REF _Ref506274050 \h </w:instrText>
      </w:r>
      <w:r w:rsidRPr="00581806" w:rsidR="00A00AC6">
        <w:rPr>
          <w:rFonts w:eastAsia="Times New Roman"/>
        </w:rPr>
        <w:instrText xml:space="preserve"> \* MERGEFORMAT </w:instrText>
      </w:r>
      <w:r w:rsidRPr="00EE77D0">
        <w:rPr>
          <w:rFonts w:eastAsia="Times New Roman"/>
        </w:rPr>
        <w:fldChar w:fldCharType="separate"/>
      </w:r>
      <w:r w:rsidRPr="004634A0" w:rsidR="004634A0">
        <w:t>Table</w:t>
      </w:r>
      <w:r w:rsidRPr="00581806" w:rsidR="004634A0">
        <w:rPr>
          <w:b/>
        </w:rPr>
        <w:t xml:space="preserve"> </w:t>
      </w:r>
      <w:r w:rsidRPr="00326B3D" w:rsidR="004634A0">
        <w:rPr>
          <w:bCs/>
          <w:noProof/>
        </w:rPr>
        <w:t>9</w:t>
      </w:r>
      <w:r w:rsidRPr="00EE77D0">
        <w:rPr>
          <w:rFonts w:eastAsia="Times New Roman"/>
        </w:rPr>
        <w:fldChar w:fldCharType="end"/>
      </w:r>
      <w:r w:rsidRPr="00A00AC6">
        <w:rPr>
          <w:rFonts w:eastAsia="Times New Roman"/>
        </w:rPr>
        <w:t xml:space="preserve"> shows</w:t>
      </w:r>
      <w:r w:rsidRPr="00711891">
        <w:rPr>
          <w:rFonts w:eastAsia="Times New Roman"/>
        </w:rPr>
        <w:t xml:space="preserve"> these averted costs, </w:t>
      </w:r>
      <w:r w:rsidR="00B84047">
        <w:rPr>
          <w:rFonts w:eastAsia="Times New Roman"/>
        </w:rPr>
        <w:t>based on an estimated</w:t>
      </w:r>
      <w:r w:rsidRPr="00711891" w:rsidR="00B84047">
        <w:rPr>
          <w:rFonts w:eastAsia="Times New Roman"/>
        </w:rPr>
        <w:t xml:space="preserve"> </w:t>
      </w:r>
      <w:r w:rsidRPr="00711891" w:rsidR="003027FA">
        <w:rPr>
          <w:rFonts w:eastAsia="Times New Roman"/>
        </w:rPr>
        <w:t>713</w:t>
      </w:r>
      <w:r w:rsidR="00F66CCC">
        <w:rPr>
          <w:rFonts w:eastAsia="Times New Roman"/>
        </w:rPr>
        <w:t> </w:t>
      </w:r>
      <w:r w:rsidRPr="00711891">
        <w:rPr>
          <w:rFonts w:eastAsia="Times New Roman"/>
        </w:rPr>
        <w:t xml:space="preserve">hours of effort </w:t>
      </w:r>
      <w:r w:rsidR="00B84047">
        <w:rPr>
          <w:rFonts w:eastAsia="Times New Roman"/>
        </w:rPr>
        <w:t>to review</w:t>
      </w:r>
      <w:r w:rsidRPr="00711891" w:rsidR="00B84047">
        <w:rPr>
          <w:rFonts w:eastAsia="Times New Roman"/>
        </w:rPr>
        <w:t xml:space="preserve"> </w:t>
      </w:r>
      <w:r w:rsidRPr="00711891">
        <w:rPr>
          <w:rFonts w:eastAsia="Times New Roman"/>
        </w:rPr>
        <w:t>each request and a labor rate of $1</w:t>
      </w:r>
      <w:r w:rsidR="003F33C2">
        <w:rPr>
          <w:rFonts w:eastAsia="Times New Roman"/>
        </w:rPr>
        <w:t>3</w:t>
      </w:r>
      <w:r w:rsidR="00E45EF2">
        <w:rPr>
          <w:rFonts w:eastAsia="Times New Roman"/>
        </w:rPr>
        <w:t>7</w:t>
      </w:r>
      <w:r w:rsidRPr="00711891">
        <w:rPr>
          <w:rFonts w:eastAsia="Times New Roman"/>
        </w:rPr>
        <w:t xml:space="preserve"> per hour</w:t>
      </w:r>
      <w:r>
        <w:rPr>
          <w:rFonts w:eastAsia="Times New Roman"/>
        </w:rPr>
        <w:t>.</w:t>
      </w:r>
    </w:p>
    <w:p w:rsidR="009128E1" w:rsidRPr="00711891" w:rsidP="008440FA" w14:paraId="32B7DF08" w14:textId="77777777">
      <w:pPr>
        <w:tabs>
          <w:tab w:val="left" w:pos="1440"/>
          <w:tab w:val="left" w:pos="2160"/>
        </w:tabs>
        <w:spacing w:line="240" w:lineRule="auto"/>
        <w:rPr>
          <w:rFonts w:eastAsia="Times New Roman"/>
        </w:rPr>
      </w:pPr>
    </w:p>
    <w:p w:rsidR="009128E1" w:rsidRPr="00581806" w:rsidP="008440FA" w14:paraId="52F3F55F" w14:textId="6AF8C5E3">
      <w:pPr>
        <w:pStyle w:val="Caption"/>
        <w:spacing w:after="120" w:line="240" w:lineRule="auto"/>
        <w:ind w:left="1080" w:hanging="1080"/>
        <w:jc w:val="center"/>
        <w:rPr>
          <w:b/>
        </w:rPr>
      </w:pPr>
      <w:bookmarkStart w:id="175" w:name="_Ref506274050"/>
      <w:bookmarkStart w:id="176" w:name="_Toc70669546"/>
      <w:bookmarkStart w:id="177" w:name="_Toc85198665"/>
      <w:r w:rsidRPr="00581806">
        <w:rPr>
          <w:b/>
        </w:rPr>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4634A0">
        <w:rPr>
          <w:b/>
          <w:noProof/>
        </w:rPr>
        <w:t>9</w:t>
      </w:r>
      <w:r w:rsidRPr="00581806" w:rsidR="000012A5">
        <w:rPr>
          <w:b/>
          <w:noProof/>
        </w:rPr>
        <w:fldChar w:fldCharType="end"/>
      </w:r>
      <w:bookmarkEnd w:id="175"/>
      <w:r w:rsidRPr="00581806" w:rsidR="00304A56">
        <w:rPr>
          <w:b/>
        </w:rPr>
        <w:t xml:space="preserve">  </w:t>
      </w:r>
      <w:r w:rsidRPr="00581806">
        <w:rPr>
          <w:b/>
        </w:rPr>
        <w:t xml:space="preserve">NRC Operation:  Averted </w:t>
      </w:r>
      <w:r w:rsidR="008B7436">
        <w:rPr>
          <w:b/>
        </w:rPr>
        <w:t xml:space="preserve">Costs for </w:t>
      </w:r>
      <w:r w:rsidR="004C2963">
        <w:rPr>
          <w:b/>
        </w:rPr>
        <w:t xml:space="preserve">NRC </w:t>
      </w:r>
      <w:r w:rsidRPr="00581806">
        <w:rPr>
          <w:b/>
        </w:rPr>
        <w:t>Exemption Request Reviews</w:t>
      </w:r>
      <w:bookmarkEnd w:id="176"/>
      <w:bookmarkEnd w:id="177"/>
    </w:p>
    <w:p w:rsidR="009128E1" w:rsidP="008440FA" w14:paraId="74191194" w14:textId="2728CA4F">
      <w:pPr>
        <w:spacing w:line="240" w:lineRule="auto"/>
        <w:rPr>
          <w:rFonts w:eastAsia="Times New Roman"/>
          <w:bCs/>
          <w:sz w:val="20"/>
          <w:szCs w:val="20"/>
        </w:rPr>
      </w:pPr>
      <w:r w:rsidRPr="00E11607">
        <w:rPr>
          <w:noProof/>
        </w:rPr>
        <w:drawing>
          <wp:inline distT="0" distB="0" distL="0" distR="0">
            <wp:extent cx="5943600" cy="8464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7"/>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846455"/>
                    </a:xfrm>
                    <a:prstGeom prst="rect">
                      <a:avLst/>
                    </a:prstGeom>
                    <a:noFill/>
                    <a:ln>
                      <a:noFill/>
                    </a:ln>
                  </pic:spPr>
                </pic:pic>
              </a:graphicData>
            </a:graphic>
          </wp:inline>
        </w:drawing>
      </w:r>
    </w:p>
    <w:p w:rsidR="00AC2C0B" w:rsidP="00AC2C0B" w14:paraId="6AC0178C" w14:textId="63FE2C79">
      <w:pPr>
        <w:tabs>
          <w:tab w:val="left" w:pos="1440"/>
          <w:tab w:val="left" w:pos="2160"/>
          <w:tab w:val="left" w:pos="9360"/>
        </w:tabs>
        <w:spacing w:line="240" w:lineRule="auto"/>
        <w:rPr>
          <w:rFonts w:eastAsia="Times New Roman"/>
          <w:sz w:val="18"/>
          <w:szCs w:val="18"/>
        </w:rPr>
      </w:pPr>
      <w:bookmarkStart w:id="178" w:name="_Toc456098338"/>
      <w:r w:rsidRPr="00AA55F3">
        <w:rPr>
          <w:rFonts w:eastAsia="Times New Roman"/>
          <w:sz w:val="18"/>
          <w:szCs w:val="18"/>
        </w:rPr>
        <w:t>Note:  Values are in 2021 dollars, rounded to the nearest $1,000.</w:t>
      </w:r>
    </w:p>
    <w:p w:rsidR="00AC2C0B" w:rsidRPr="00AA55F3" w:rsidP="00AC2C0B" w14:paraId="28FD1565" w14:textId="77777777">
      <w:pPr>
        <w:tabs>
          <w:tab w:val="left" w:pos="1440"/>
          <w:tab w:val="left" w:pos="2160"/>
          <w:tab w:val="left" w:pos="9360"/>
        </w:tabs>
        <w:spacing w:line="240" w:lineRule="auto"/>
        <w:rPr>
          <w:rFonts w:eastAsia="Times New Roman"/>
          <w:sz w:val="18"/>
          <w:szCs w:val="18"/>
        </w:rPr>
      </w:pPr>
    </w:p>
    <w:p w:rsidR="00FA7536" w:rsidP="008440FA" w14:paraId="5D16E30C" w14:textId="4D53F3AC">
      <w:pPr>
        <w:spacing w:line="240" w:lineRule="auto"/>
      </w:pPr>
      <w:r>
        <w:t>In addition, the NRC benefit</w:t>
      </w:r>
      <w:r w:rsidR="00774DCC">
        <w:t>s</w:t>
      </w:r>
      <w:r>
        <w:t xml:space="preserve"> from the performance-based framework of the </w:t>
      </w:r>
      <w:r w:rsidR="00906E8D">
        <w:t>final</w:t>
      </w:r>
      <w:r>
        <w:t xml:space="preserve"> rule as described above in the industry operation section.  </w:t>
      </w:r>
      <w:r w:rsidRPr="00454768" w:rsidR="00454768">
        <w:t xml:space="preserve">This regulatory analysis assumes </w:t>
      </w:r>
      <w:r w:rsidR="00821A3D">
        <w:t xml:space="preserve">that </w:t>
      </w:r>
      <w:r w:rsidRPr="00454768" w:rsidR="00454768">
        <w:t xml:space="preserve">the review of the EP plans would occur in the same year following the submission of these plans by the </w:t>
      </w:r>
      <w:r w:rsidR="001273D7">
        <w:t>applicants</w:t>
      </w:r>
      <w:r w:rsidRPr="00454768" w:rsidR="00454768">
        <w:t xml:space="preserve"> </w:t>
      </w:r>
      <w:r w:rsidR="00E231EA">
        <w:t xml:space="preserve">and </w:t>
      </w:r>
      <w:r w:rsidR="007045B5">
        <w:t xml:space="preserve">that they would </w:t>
      </w:r>
      <w:r w:rsidR="00E231EA">
        <w:t>initially require approximately 1</w:t>
      </w:r>
      <w:r w:rsidR="007045B5">
        <w:t>,</w:t>
      </w:r>
      <w:r w:rsidR="00C37CDA">
        <w:t>509</w:t>
      </w:r>
      <w:r w:rsidR="00FC583A">
        <w:t> </w:t>
      </w:r>
      <w:r w:rsidR="00C37CDA">
        <w:t xml:space="preserve">labor hours to </w:t>
      </w:r>
      <w:r w:rsidR="00E231EA">
        <w:t>review.</w:t>
      </w:r>
    </w:p>
    <w:p w:rsidR="00972228" w:rsidP="008440FA" w14:paraId="7F8D60D2" w14:textId="77777777">
      <w:pPr>
        <w:spacing w:line="240" w:lineRule="auto"/>
      </w:pPr>
    </w:p>
    <w:p w:rsidR="00FA7536" w:rsidP="008440FA" w14:paraId="41651833" w14:textId="5D8DE221">
      <w:pPr>
        <w:spacing w:after="200" w:line="240" w:lineRule="auto"/>
      </w:pPr>
      <w:r w:rsidRPr="003F01A2">
        <w:fldChar w:fldCharType="begin"/>
      </w:r>
      <w:r w:rsidRPr="003F01A2">
        <w:instrText xml:space="preserve"> REF _Ref513722347 \h  \* MERGEFORMAT </w:instrText>
      </w:r>
      <w:r w:rsidRPr="003F01A2">
        <w:fldChar w:fldCharType="separate"/>
      </w:r>
      <w:r w:rsidRPr="004634A0" w:rsidR="004634A0">
        <w:t>Table</w:t>
      </w:r>
      <w:r w:rsidRPr="00581806" w:rsidR="004634A0">
        <w:rPr>
          <w:b/>
        </w:rPr>
        <w:t xml:space="preserve"> </w:t>
      </w:r>
      <w:r w:rsidRPr="00326B3D" w:rsidR="004634A0">
        <w:rPr>
          <w:bCs/>
          <w:noProof/>
        </w:rPr>
        <w:t>10</w:t>
      </w:r>
      <w:r w:rsidRPr="003F01A2">
        <w:fldChar w:fldCharType="end"/>
      </w:r>
      <w:r>
        <w:t xml:space="preserve"> </w:t>
      </w:r>
      <w:r w:rsidR="00756226">
        <w:t xml:space="preserve">shows </w:t>
      </w:r>
      <w:r w:rsidRPr="00FA7536">
        <w:t>the subsequent improvement in the</w:t>
      </w:r>
      <w:r w:rsidR="005D3F54">
        <w:t xml:space="preserve"> NRC’s</w:t>
      </w:r>
      <w:r w:rsidRPr="00FA7536">
        <w:t xml:space="preserve"> </w:t>
      </w:r>
      <w:r>
        <w:t>review</w:t>
      </w:r>
      <w:r w:rsidRPr="00FA7536">
        <w:t xml:space="preserve"> of the EP plans </w:t>
      </w:r>
      <w:r w:rsidR="005D3F54">
        <w:t>as a result of</w:t>
      </w:r>
      <w:r w:rsidRPr="00FA7536">
        <w:t xml:space="preserve"> an efficiency gain</w:t>
      </w:r>
      <w:r w:rsidR="00FC583A">
        <w:t>,</w:t>
      </w:r>
      <w:r w:rsidRPr="00FA7536">
        <w:t xml:space="preserve"> </w:t>
      </w:r>
      <w:r w:rsidRPr="003F01A2">
        <w:t>assuming a 95</w:t>
      </w:r>
      <w:r w:rsidRPr="003F01A2">
        <w:noBreakHyphen/>
        <w:t>percent learning improvement.</w:t>
      </w:r>
    </w:p>
    <w:p w:rsidR="00CF7D47" w:rsidRPr="00581806" w:rsidP="008440FA" w14:paraId="5D485330" w14:textId="4F57CCD6">
      <w:pPr>
        <w:pStyle w:val="Caption"/>
        <w:spacing w:after="120" w:line="240" w:lineRule="auto"/>
        <w:ind w:left="1080" w:hanging="1080"/>
        <w:jc w:val="center"/>
        <w:rPr>
          <w:b/>
        </w:rPr>
      </w:pPr>
      <w:bookmarkStart w:id="179" w:name="_Ref513722347"/>
      <w:bookmarkStart w:id="180" w:name="_Toc70669547"/>
      <w:bookmarkStart w:id="181" w:name="_Toc85198666"/>
      <w:r w:rsidRPr="00581806">
        <w:rPr>
          <w:b/>
        </w:rPr>
        <w:t xml:space="preserve">Table </w:t>
      </w:r>
      <w:r w:rsidRPr="00581806">
        <w:rPr>
          <w:b/>
        </w:rPr>
        <w:fldChar w:fldCharType="begin"/>
      </w:r>
      <w:r w:rsidRPr="00581806">
        <w:rPr>
          <w:b/>
        </w:rPr>
        <w:instrText xml:space="preserve"> SEQ Table \* ARABIC </w:instrText>
      </w:r>
      <w:r w:rsidRPr="00581806">
        <w:rPr>
          <w:b/>
        </w:rPr>
        <w:fldChar w:fldCharType="separate"/>
      </w:r>
      <w:r w:rsidR="004634A0">
        <w:rPr>
          <w:b/>
          <w:noProof/>
        </w:rPr>
        <w:t>10</w:t>
      </w:r>
      <w:r w:rsidRPr="00581806">
        <w:rPr>
          <w:b/>
          <w:noProof/>
        </w:rPr>
        <w:fldChar w:fldCharType="end"/>
      </w:r>
      <w:bookmarkEnd w:id="179"/>
      <w:r w:rsidRPr="00581806">
        <w:rPr>
          <w:b/>
        </w:rPr>
        <w:t xml:space="preserve">  </w:t>
      </w:r>
      <w:r w:rsidRPr="00CF7D47">
        <w:rPr>
          <w:b/>
        </w:rPr>
        <w:t>Unit Time 95</w:t>
      </w:r>
      <w:r w:rsidR="00AF03FD">
        <w:rPr>
          <w:b/>
        </w:rPr>
        <w:t>-Percent</w:t>
      </w:r>
      <w:r w:rsidRPr="00CF7D47">
        <w:rPr>
          <w:b/>
        </w:rPr>
        <w:t xml:space="preserve"> Learning Curve for NRC</w:t>
      </w:r>
      <w:r w:rsidR="004C2963">
        <w:rPr>
          <w:b/>
        </w:rPr>
        <w:t xml:space="preserve"> Review of EP Plans</w:t>
      </w:r>
      <w:bookmarkEnd w:id="180"/>
      <w:bookmarkEnd w:id="181"/>
    </w:p>
    <w:tbl>
      <w:tblPr>
        <w:tblW w:w="8095" w:type="dxa"/>
        <w:jc w:val="center"/>
        <w:tblLook w:val="04A0"/>
      </w:tblPr>
      <w:tblGrid>
        <w:gridCol w:w="1885"/>
        <w:gridCol w:w="2970"/>
        <w:gridCol w:w="3240"/>
      </w:tblGrid>
      <w:tr w14:paraId="194505E9" w14:textId="77777777" w:rsidTr="00581806">
        <w:tblPrEx>
          <w:tblW w:w="8095" w:type="dxa"/>
          <w:jc w:val="center"/>
          <w:tblLook w:val="04A0"/>
        </w:tblPrEx>
        <w:trPr>
          <w:trHeight w:val="564"/>
          <w:jc w:val="center"/>
        </w:trPr>
        <w:tc>
          <w:tcPr>
            <w:tcW w:w="1885" w:type="dxa"/>
            <w:tcBorders>
              <w:top w:val="single" w:sz="4" w:space="0" w:color="auto"/>
              <w:left w:val="single" w:sz="4" w:space="0" w:color="auto"/>
              <w:bottom w:val="single" w:sz="4" w:space="0" w:color="auto"/>
              <w:right w:val="single" w:sz="4" w:space="0" w:color="auto"/>
            </w:tcBorders>
            <w:shd w:val="clear" w:color="auto" w:fill="auto"/>
          </w:tcPr>
          <w:p w:rsidR="004835A9" w:rsidRPr="00FA7536" w:rsidP="00AA1216" w14:paraId="5E5E2295" w14:textId="77777777">
            <w:pPr>
              <w:spacing w:line="240" w:lineRule="auto"/>
              <w:jc w:val="center"/>
              <w:rPr>
                <w:sz w:val="20"/>
                <w:szCs w:val="20"/>
              </w:rPr>
            </w:pPr>
            <w:r w:rsidRPr="00FA7536">
              <w:rPr>
                <w:b/>
                <w:bCs/>
                <w:sz w:val="20"/>
                <w:szCs w:val="20"/>
              </w:rPr>
              <w:t>Number of EP Plans</w:t>
            </w:r>
          </w:p>
        </w:tc>
        <w:tc>
          <w:tcPr>
            <w:tcW w:w="2970" w:type="dxa"/>
            <w:tcBorders>
              <w:top w:val="single" w:sz="4" w:space="0" w:color="auto"/>
              <w:left w:val="nil"/>
              <w:bottom w:val="single" w:sz="4" w:space="0" w:color="auto"/>
              <w:right w:val="single" w:sz="4" w:space="0" w:color="auto"/>
            </w:tcBorders>
            <w:shd w:val="clear" w:color="auto" w:fill="auto"/>
          </w:tcPr>
          <w:p w:rsidR="004835A9" w:rsidRPr="004835A9" w:rsidP="00AA1216" w14:paraId="5C61A7F6" w14:textId="013ED05F">
            <w:pPr>
              <w:spacing w:line="240" w:lineRule="auto"/>
              <w:jc w:val="center"/>
              <w:rPr>
                <w:b/>
                <w:sz w:val="20"/>
                <w:szCs w:val="20"/>
              </w:rPr>
            </w:pPr>
            <w:r w:rsidRPr="004835A9">
              <w:rPr>
                <w:b/>
              </w:rPr>
              <w:t xml:space="preserve">Average Resource Estimate </w:t>
            </w:r>
            <w:r>
              <w:rPr>
                <w:b/>
              </w:rPr>
              <w:t xml:space="preserve">per </w:t>
            </w:r>
            <w:r w:rsidRPr="004835A9">
              <w:rPr>
                <w:b/>
              </w:rPr>
              <w:t>EP Plan (Hours)</w:t>
            </w:r>
          </w:p>
        </w:tc>
        <w:tc>
          <w:tcPr>
            <w:tcW w:w="3240" w:type="dxa"/>
            <w:tcBorders>
              <w:top w:val="single" w:sz="4" w:space="0" w:color="auto"/>
              <w:left w:val="nil"/>
              <w:bottom w:val="single" w:sz="4" w:space="0" w:color="auto"/>
              <w:right w:val="single" w:sz="4" w:space="0" w:color="auto"/>
            </w:tcBorders>
            <w:shd w:val="clear" w:color="auto" w:fill="auto"/>
          </w:tcPr>
          <w:p w:rsidR="004835A9" w:rsidRPr="004835A9" w:rsidP="00AA1216" w14:paraId="29756F8C" w14:textId="416AF809">
            <w:pPr>
              <w:spacing w:line="240" w:lineRule="auto"/>
              <w:jc w:val="center"/>
              <w:rPr>
                <w:b/>
                <w:sz w:val="20"/>
                <w:szCs w:val="20"/>
              </w:rPr>
            </w:pPr>
            <w:r w:rsidRPr="004835A9">
              <w:rPr>
                <w:b/>
              </w:rPr>
              <w:t>Average Reduction in Resource Hours per EP Plan from Efficiency Gain</w:t>
            </w:r>
          </w:p>
        </w:tc>
      </w:tr>
      <w:tr w14:paraId="7F47516A" w14:textId="77777777" w:rsidTr="00581806">
        <w:tblPrEx>
          <w:tblW w:w="8095" w:type="dxa"/>
          <w:jc w:val="center"/>
          <w:tblLook w:val="04A0"/>
        </w:tblPrEx>
        <w:trPr>
          <w:trHeight w:val="288"/>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bottom"/>
          </w:tcPr>
          <w:p w:rsidR="00FA7536" w:rsidRPr="00FA7536" w:rsidP="008440FA" w14:paraId="08006A07" w14:textId="3D0A4015">
            <w:pPr>
              <w:spacing w:line="240" w:lineRule="auto"/>
              <w:jc w:val="center"/>
              <w:rPr>
                <w:sz w:val="20"/>
                <w:szCs w:val="20"/>
              </w:rPr>
            </w:pPr>
            <w:r>
              <w:rPr>
                <w:color w:val="000000"/>
                <w:sz w:val="20"/>
                <w:szCs w:val="20"/>
              </w:rPr>
              <w:t>1</w:t>
            </w:r>
          </w:p>
        </w:tc>
        <w:tc>
          <w:tcPr>
            <w:tcW w:w="2970" w:type="dxa"/>
            <w:tcBorders>
              <w:top w:val="single" w:sz="4" w:space="0" w:color="auto"/>
              <w:left w:val="nil"/>
              <w:bottom w:val="single" w:sz="4" w:space="0" w:color="auto"/>
              <w:right w:val="single" w:sz="4" w:space="0" w:color="auto"/>
            </w:tcBorders>
            <w:shd w:val="clear" w:color="auto" w:fill="auto"/>
            <w:vAlign w:val="bottom"/>
          </w:tcPr>
          <w:p w:rsidR="00FA7536" w:rsidRPr="00FA7536" w:rsidP="008440FA" w14:paraId="12F052BB" w14:textId="56D6AE43">
            <w:pPr>
              <w:spacing w:line="240" w:lineRule="auto"/>
              <w:jc w:val="center"/>
              <w:rPr>
                <w:sz w:val="20"/>
                <w:szCs w:val="20"/>
              </w:rPr>
            </w:pPr>
            <w:r>
              <w:rPr>
                <w:color w:val="000000"/>
                <w:sz w:val="20"/>
                <w:szCs w:val="20"/>
              </w:rPr>
              <w:t>1</w:t>
            </w:r>
            <w:r w:rsidR="00A74C4D">
              <w:rPr>
                <w:color w:val="000000"/>
                <w:sz w:val="20"/>
                <w:szCs w:val="20"/>
              </w:rPr>
              <w:t>,</w:t>
            </w:r>
            <w:r>
              <w:rPr>
                <w:color w:val="000000"/>
                <w:sz w:val="20"/>
                <w:szCs w:val="20"/>
              </w:rPr>
              <w:t>509</w:t>
            </w:r>
          </w:p>
        </w:tc>
        <w:tc>
          <w:tcPr>
            <w:tcW w:w="3240" w:type="dxa"/>
            <w:tcBorders>
              <w:top w:val="single" w:sz="4" w:space="0" w:color="auto"/>
              <w:left w:val="nil"/>
              <w:bottom w:val="single" w:sz="4" w:space="0" w:color="auto"/>
              <w:right w:val="single" w:sz="4" w:space="0" w:color="auto"/>
            </w:tcBorders>
            <w:shd w:val="clear" w:color="auto" w:fill="auto"/>
            <w:vAlign w:val="bottom"/>
          </w:tcPr>
          <w:p w:rsidR="00FA7536" w:rsidRPr="00FA7536" w:rsidP="008440FA" w14:paraId="28A28EA6" w14:textId="63CA2F36">
            <w:pPr>
              <w:spacing w:line="240" w:lineRule="auto"/>
              <w:jc w:val="center"/>
              <w:rPr>
                <w:sz w:val="20"/>
                <w:szCs w:val="20"/>
              </w:rPr>
            </w:pPr>
            <w:r>
              <w:rPr>
                <w:color w:val="000000"/>
                <w:sz w:val="20"/>
                <w:szCs w:val="20"/>
              </w:rPr>
              <w:t>0</w:t>
            </w:r>
          </w:p>
        </w:tc>
      </w:tr>
      <w:tr w14:paraId="28E336F1" w14:textId="77777777" w:rsidTr="00581806">
        <w:tblPrEx>
          <w:tblW w:w="8095" w:type="dxa"/>
          <w:jc w:val="center"/>
          <w:tblLook w:val="04A0"/>
        </w:tblPrEx>
        <w:trPr>
          <w:trHeight w:val="288"/>
          <w:jc w:val="center"/>
        </w:trPr>
        <w:tc>
          <w:tcPr>
            <w:tcW w:w="1885" w:type="dxa"/>
            <w:tcBorders>
              <w:top w:val="nil"/>
              <w:left w:val="single" w:sz="4" w:space="0" w:color="auto"/>
              <w:bottom w:val="single" w:sz="4" w:space="0" w:color="auto"/>
              <w:right w:val="single" w:sz="4" w:space="0" w:color="auto"/>
            </w:tcBorders>
            <w:shd w:val="clear" w:color="auto" w:fill="auto"/>
            <w:vAlign w:val="bottom"/>
          </w:tcPr>
          <w:p w:rsidR="00FA7536" w:rsidRPr="00FA7536" w:rsidP="008440FA" w14:paraId="6E0B4AEA" w14:textId="3D2B4B97">
            <w:pPr>
              <w:spacing w:line="240" w:lineRule="auto"/>
              <w:jc w:val="center"/>
              <w:rPr>
                <w:sz w:val="20"/>
                <w:szCs w:val="20"/>
              </w:rPr>
            </w:pPr>
            <w:r>
              <w:rPr>
                <w:color w:val="000000"/>
                <w:sz w:val="20"/>
                <w:szCs w:val="20"/>
              </w:rPr>
              <w:t>2</w:t>
            </w:r>
          </w:p>
        </w:tc>
        <w:tc>
          <w:tcPr>
            <w:tcW w:w="2970" w:type="dxa"/>
            <w:tcBorders>
              <w:top w:val="nil"/>
              <w:left w:val="nil"/>
              <w:bottom w:val="single" w:sz="4" w:space="0" w:color="auto"/>
              <w:right w:val="single" w:sz="4" w:space="0" w:color="auto"/>
            </w:tcBorders>
            <w:shd w:val="clear" w:color="auto" w:fill="auto"/>
            <w:vAlign w:val="bottom"/>
          </w:tcPr>
          <w:p w:rsidR="00FA7536" w:rsidRPr="00FA7536" w:rsidP="008440FA" w14:paraId="4245D324" w14:textId="2FBA8940">
            <w:pPr>
              <w:spacing w:line="240" w:lineRule="auto"/>
              <w:jc w:val="center"/>
              <w:rPr>
                <w:sz w:val="20"/>
                <w:szCs w:val="20"/>
              </w:rPr>
            </w:pPr>
            <w:r>
              <w:rPr>
                <w:color w:val="000000"/>
                <w:sz w:val="20"/>
                <w:szCs w:val="20"/>
              </w:rPr>
              <w:t>1</w:t>
            </w:r>
            <w:r w:rsidR="00A74C4D">
              <w:rPr>
                <w:color w:val="000000"/>
                <w:sz w:val="20"/>
                <w:szCs w:val="20"/>
              </w:rPr>
              <w:t>,</w:t>
            </w:r>
            <w:r>
              <w:rPr>
                <w:color w:val="000000"/>
                <w:sz w:val="20"/>
                <w:szCs w:val="20"/>
              </w:rPr>
              <w:t>434</w:t>
            </w:r>
          </w:p>
        </w:tc>
        <w:tc>
          <w:tcPr>
            <w:tcW w:w="3240" w:type="dxa"/>
            <w:tcBorders>
              <w:top w:val="nil"/>
              <w:left w:val="nil"/>
              <w:bottom w:val="single" w:sz="4" w:space="0" w:color="auto"/>
              <w:right w:val="single" w:sz="4" w:space="0" w:color="auto"/>
            </w:tcBorders>
            <w:shd w:val="clear" w:color="auto" w:fill="auto"/>
            <w:vAlign w:val="bottom"/>
          </w:tcPr>
          <w:p w:rsidR="00FA7536" w:rsidRPr="00FA7536" w:rsidP="008440FA" w14:paraId="0BC1E7B8" w14:textId="3B833B73">
            <w:pPr>
              <w:spacing w:line="240" w:lineRule="auto"/>
              <w:jc w:val="center"/>
              <w:rPr>
                <w:sz w:val="20"/>
                <w:szCs w:val="20"/>
              </w:rPr>
            </w:pPr>
            <w:r>
              <w:rPr>
                <w:color w:val="000000"/>
                <w:sz w:val="20"/>
                <w:szCs w:val="20"/>
              </w:rPr>
              <w:t>75</w:t>
            </w:r>
          </w:p>
        </w:tc>
      </w:tr>
      <w:tr w14:paraId="5F06A951" w14:textId="77777777" w:rsidTr="00581806">
        <w:tblPrEx>
          <w:tblW w:w="8095" w:type="dxa"/>
          <w:jc w:val="center"/>
          <w:tblLook w:val="04A0"/>
        </w:tblPrEx>
        <w:trPr>
          <w:trHeight w:val="288"/>
          <w:jc w:val="center"/>
        </w:trPr>
        <w:tc>
          <w:tcPr>
            <w:tcW w:w="1885" w:type="dxa"/>
            <w:tcBorders>
              <w:top w:val="nil"/>
              <w:left w:val="single" w:sz="4" w:space="0" w:color="auto"/>
              <w:bottom w:val="single" w:sz="4" w:space="0" w:color="auto"/>
              <w:right w:val="single" w:sz="4" w:space="0" w:color="auto"/>
            </w:tcBorders>
            <w:shd w:val="clear" w:color="auto" w:fill="auto"/>
            <w:vAlign w:val="bottom"/>
          </w:tcPr>
          <w:p w:rsidR="00FA7536" w:rsidRPr="00FA7536" w:rsidP="008440FA" w14:paraId="2FBF7EC3" w14:textId="0EB42878">
            <w:pPr>
              <w:spacing w:line="240" w:lineRule="auto"/>
              <w:jc w:val="center"/>
              <w:rPr>
                <w:sz w:val="20"/>
                <w:szCs w:val="20"/>
              </w:rPr>
            </w:pPr>
            <w:r>
              <w:rPr>
                <w:color w:val="000000"/>
                <w:sz w:val="20"/>
                <w:szCs w:val="20"/>
              </w:rPr>
              <w:t>3</w:t>
            </w:r>
          </w:p>
        </w:tc>
        <w:tc>
          <w:tcPr>
            <w:tcW w:w="2970" w:type="dxa"/>
            <w:tcBorders>
              <w:top w:val="nil"/>
              <w:left w:val="nil"/>
              <w:bottom w:val="single" w:sz="4" w:space="0" w:color="auto"/>
              <w:right w:val="single" w:sz="4" w:space="0" w:color="auto"/>
            </w:tcBorders>
            <w:shd w:val="clear" w:color="auto" w:fill="auto"/>
            <w:vAlign w:val="bottom"/>
          </w:tcPr>
          <w:p w:rsidR="00FA7536" w:rsidRPr="00FA7536" w:rsidP="008440FA" w14:paraId="606ED60E" w14:textId="444990BF">
            <w:pPr>
              <w:spacing w:line="240" w:lineRule="auto"/>
              <w:jc w:val="center"/>
              <w:rPr>
                <w:sz w:val="20"/>
                <w:szCs w:val="20"/>
              </w:rPr>
            </w:pPr>
            <w:r>
              <w:rPr>
                <w:color w:val="000000"/>
                <w:sz w:val="20"/>
                <w:szCs w:val="20"/>
              </w:rPr>
              <w:t>1</w:t>
            </w:r>
            <w:r w:rsidR="00A74C4D">
              <w:rPr>
                <w:color w:val="000000"/>
                <w:sz w:val="20"/>
                <w:szCs w:val="20"/>
              </w:rPr>
              <w:t>,</w:t>
            </w:r>
            <w:r>
              <w:rPr>
                <w:color w:val="000000"/>
                <w:sz w:val="20"/>
                <w:szCs w:val="20"/>
              </w:rPr>
              <w:t>392</w:t>
            </w:r>
          </w:p>
        </w:tc>
        <w:tc>
          <w:tcPr>
            <w:tcW w:w="3240" w:type="dxa"/>
            <w:tcBorders>
              <w:top w:val="nil"/>
              <w:left w:val="nil"/>
              <w:bottom w:val="single" w:sz="4" w:space="0" w:color="auto"/>
              <w:right w:val="single" w:sz="4" w:space="0" w:color="auto"/>
            </w:tcBorders>
            <w:shd w:val="clear" w:color="auto" w:fill="auto"/>
            <w:vAlign w:val="bottom"/>
          </w:tcPr>
          <w:p w:rsidR="00FA7536" w:rsidRPr="00FA7536" w:rsidP="008440FA" w14:paraId="1716C169" w14:textId="26FC319C">
            <w:pPr>
              <w:spacing w:line="240" w:lineRule="auto"/>
              <w:jc w:val="center"/>
              <w:rPr>
                <w:sz w:val="20"/>
                <w:szCs w:val="20"/>
              </w:rPr>
            </w:pPr>
            <w:r>
              <w:rPr>
                <w:color w:val="000000"/>
                <w:sz w:val="20"/>
                <w:szCs w:val="20"/>
              </w:rPr>
              <w:t>118</w:t>
            </w:r>
          </w:p>
        </w:tc>
      </w:tr>
      <w:tr w14:paraId="0D434BD6" w14:textId="77777777" w:rsidTr="00581806">
        <w:tblPrEx>
          <w:tblW w:w="8095" w:type="dxa"/>
          <w:jc w:val="center"/>
          <w:tblLook w:val="04A0"/>
        </w:tblPrEx>
        <w:trPr>
          <w:trHeight w:val="288"/>
          <w:jc w:val="center"/>
        </w:trPr>
        <w:tc>
          <w:tcPr>
            <w:tcW w:w="1885" w:type="dxa"/>
            <w:tcBorders>
              <w:top w:val="nil"/>
              <w:left w:val="single" w:sz="4" w:space="0" w:color="auto"/>
              <w:bottom w:val="single" w:sz="4" w:space="0" w:color="auto"/>
              <w:right w:val="single" w:sz="4" w:space="0" w:color="auto"/>
            </w:tcBorders>
            <w:shd w:val="clear" w:color="auto" w:fill="auto"/>
            <w:vAlign w:val="bottom"/>
          </w:tcPr>
          <w:p w:rsidR="00FA7536" w:rsidRPr="00FA7536" w:rsidP="008440FA" w14:paraId="1D9A6FE7" w14:textId="2E693410">
            <w:pPr>
              <w:spacing w:line="240" w:lineRule="auto"/>
              <w:jc w:val="center"/>
              <w:rPr>
                <w:sz w:val="20"/>
                <w:szCs w:val="20"/>
              </w:rPr>
            </w:pPr>
            <w:r>
              <w:rPr>
                <w:color w:val="000000"/>
                <w:sz w:val="20"/>
                <w:szCs w:val="20"/>
              </w:rPr>
              <w:t>4</w:t>
            </w:r>
          </w:p>
        </w:tc>
        <w:tc>
          <w:tcPr>
            <w:tcW w:w="2970" w:type="dxa"/>
            <w:tcBorders>
              <w:top w:val="nil"/>
              <w:left w:val="nil"/>
              <w:bottom w:val="single" w:sz="4" w:space="0" w:color="auto"/>
              <w:right w:val="single" w:sz="4" w:space="0" w:color="auto"/>
            </w:tcBorders>
            <w:shd w:val="clear" w:color="auto" w:fill="auto"/>
            <w:vAlign w:val="bottom"/>
          </w:tcPr>
          <w:p w:rsidR="00FA7536" w:rsidRPr="00FA7536" w:rsidP="008440FA" w14:paraId="48C3C4D6" w14:textId="28A9A59F">
            <w:pPr>
              <w:spacing w:line="240" w:lineRule="auto"/>
              <w:jc w:val="center"/>
              <w:rPr>
                <w:sz w:val="20"/>
                <w:szCs w:val="20"/>
              </w:rPr>
            </w:pPr>
            <w:r>
              <w:rPr>
                <w:color w:val="000000"/>
                <w:sz w:val="20"/>
                <w:szCs w:val="20"/>
              </w:rPr>
              <w:t>1</w:t>
            </w:r>
            <w:r w:rsidR="00A74C4D">
              <w:rPr>
                <w:color w:val="000000"/>
                <w:sz w:val="20"/>
                <w:szCs w:val="20"/>
              </w:rPr>
              <w:t>,</w:t>
            </w:r>
            <w:r>
              <w:rPr>
                <w:color w:val="000000"/>
                <w:sz w:val="20"/>
                <w:szCs w:val="20"/>
              </w:rPr>
              <w:t>362</w:t>
            </w:r>
          </w:p>
        </w:tc>
        <w:tc>
          <w:tcPr>
            <w:tcW w:w="3240" w:type="dxa"/>
            <w:tcBorders>
              <w:top w:val="nil"/>
              <w:left w:val="nil"/>
              <w:bottom w:val="single" w:sz="4" w:space="0" w:color="auto"/>
              <w:right w:val="single" w:sz="4" w:space="0" w:color="auto"/>
            </w:tcBorders>
            <w:shd w:val="clear" w:color="auto" w:fill="auto"/>
            <w:vAlign w:val="bottom"/>
          </w:tcPr>
          <w:p w:rsidR="00FA7536" w:rsidRPr="00FA7536" w:rsidP="008440FA" w14:paraId="1963305E" w14:textId="262C6434">
            <w:pPr>
              <w:spacing w:line="240" w:lineRule="auto"/>
              <w:jc w:val="center"/>
              <w:rPr>
                <w:sz w:val="20"/>
                <w:szCs w:val="20"/>
              </w:rPr>
            </w:pPr>
            <w:r>
              <w:rPr>
                <w:color w:val="000000"/>
                <w:sz w:val="20"/>
                <w:szCs w:val="20"/>
              </w:rPr>
              <w:t>147</w:t>
            </w:r>
          </w:p>
        </w:tc>
      </w:tr>
      <w:tr w14:paraId="4F1228FD" w14:textId="77777777" w:rsidTr="00581806">
        <w:tblPrEx>
          <w:tblW w:w="8095" w:type="dxa"/>
          <w:jc w:val="center"/>
          <w:tblLook w:val="04A0"/>
        </w:tblPrEx>
        <w:trPr>
          <w:trHeight w:val="288"/>
          <w:jc w:val="center"/>
        </w:trPr>
        <w:tc>
          <w:tcPr>
            <w:tcW w:w="1885" w:type="dxa"/>
            <w:tcBorders>
              <w:top w:val="nil"/>
              <w:left w:val="single" w:sz="4" w:space="0" w:color="auto"/>
              <w:bottom w:val="single" w:sz="4" w:space="0" w:color="auto"/>
              <w:right w:val="single" w:sz="4" w:space="0" w:color="auto"/>
            </w:tcBorders>
            <w:shd w:val="clear" w:color="auto" w:fill="auto"/>
            <w:vAlign w:val="bottom"/>
          </w:tcPr>
          <w:p w:rsidR="00FA7536" w:rsidRPr="00FA7536" w:rsidP="008440FA" w14:paraId="69C1015E" w14:textId="5BF13824">
            <w:pPr>
              <w:spacing w:line="240" w:lineRule="auto"/>
              <w:jc w:val="center"/>
              <w:rPr>
                <w:sz w:val="20"/>
                <w:szCs w:val="20"/>
              </w:rPr>
            </w:pPr>
            <w:r>
              <w:rPr>
                <w:color w:val="000000"/>
                <w:sz w:val="20"/>
                <w:szCs w:val="20"/>
              </w:rPr>
              <w:t>5</w:t>
            </w:r>
          </w:p>
        </w:tc>
        <w:tc>
          <w:tcPr>
            <w:tcW w:w="2970" w:type="dxa"/>
            <w:tcBorders>
              <w:top w:val="nil"/>
              <w:left w:val="nil"/>
              <w:bottom w:val="single" w:sz="4" w:space="0" w:color="auto"/>
              <w:right w:val="single" w:sz="4" w:space="0" w:color="auto"/>
            </w:tcBorders>
            <w:shd w:val="clear" w:color="auto" w:fill="auto"/>
            <w:vAlign w:val="bottom"/>
          </w:tcPr>
          <w:p w:rsidR="00FA7536" w:rsidRPr="00FA7536" w:rsidP="008440FA" w14:paraId="2C5E6EEE" w14:textId="4DBCC895">
            <w:pPr>
              <w:spacing w:line="240" w:lineRule="auto"/>
              <w:jc w:val="center"/>
              <w:rPr>
                <w:sz w:val="20"/>
                <w:szCs w:val="20"/>
              </w:rPr>
            </w:pPr>
            <w:r>
              <w:rPr>
                <w:color w:val="000000"/>
                <w:sz w:val="20"/>
                <w:szCs w:val="20"/>
              </w:rPr>
              <w:t>1</w:t>
            </w:r>
            <w:r w:rsidR="00A74C4D">
              <w:rPr>
                <w:color w:val="000000"/>
                <w:sz w:val="20"/>
                <w:szCs w:val="20"/>
              </w:rPr>
              <w:t>,</w:t>
            </w:r>
            <w:r>
              <w:rPr>
                <w:color w:val="000000"/>
                <w:sz w:val="20"/>
                <w:szCs w:val="20"/>
              </w:rPr>
              <w:t>340</w:t>
            </w:r>
          </w:p>
        </w:tc>
        <w:tc>
          <w:tcPr>
            <w:tcW w:w="3240" w:type="dxa"/>
            <w:tcBorders>
              <w:top w:val="nil"/>
              <w:left w:val="nil"/>
              <w:bottom w:val="single" w:sz="4" w:space="0" w:color="auto"/>
              <w:right w:val="single" w:sz="4" w:space="0" w:color="auto"/>
            </w:tcBorders>
            <w:shd w:val="clear" w:color="auto" w:fill="auto"/>
            <w:vAlign w:val="bottom"/>
          </w:tcPr>
          <w:p w:rsidR="00FA7536" w:rsidRPr="00FA7536" w:rsidP="008440FA" w14:paraId="3DD27CFF" w14:textId="1FC44E4E">
            <w:pPr>
              <w:spacing w:line="240" w:lineRule="auto"/>
              <w:jc w:val="center"/>
              <w:rPr>
                <w:sz w:val="20"/>
                <w:szCs w:val="20"/>
              </w:rPr>
            </w:pPr>
            <w:r>
              <w:rPr>
                <w:color w:val="000000"/>
                <w:sz w:val="20"/>
                <w:szCs w:val="20"/>
              </w:rPr>
              <w:t>169</w:t>
            </w:r>
          </w:p>
        </w:tc>
      </w:tr>
      <w:tr w14:paraId="06BF22ED" w14:textId="77777777" w:rsidTr="00581806">
        <w:tblPrEx>
          <w:tblW w:w="8095" w:type="dxa"/>
          <w:jc w:val="center"/>
          <w:tblLook w:val="04A0"/>
        </w:tblPrEx>
        <w:trPr>
          <w:trHeight w:val="288"/>
          <w:jc w:val="center"/>
        </w:trPr>
        <w:tc>
          <w:tcPr>
            <w:tcW w:w="1885" w:type="dxa"/>
            <w:tcBorders>
              <w:top w:val="nil"/>
              <w:left w:val="single" w:sz="4" w:space="0" w:color="auto"/>
              <w:bottom w:val="single" w:sz="4" w:space="0" w:color="auto"/>
              <w:right w:val="single" w:sz="4" w:space="0" w:color="auto"/>
            </w:tcBorders>
            <w:shd w:val="clear" w:color="auto" w:fill="auto"/>
            <w:vAlign w:val="bottom"/>
          </w:tcPr>
          <w:p w:rsidR="00FA7536" w:rsidRPr="00FA7536" w:rsidP="008440FA" w14:paraId="06BB5066" w14:textId="2237B4D3">
            <w:pPr>
              <w:spacing w:line="240" w:lineRule="auto"/>
              <w:jc w:val="center"/>
              <w:rPr>
                <w:sz w:val="20"/>
                <w:szCs w:val="20"/>
              </w:rPr>
            </w:pPr>
            <w:r>
              <w:rPr>
                <w:color w:val="000000"/>
                <w:sz w:val="20"/>
                <w:szCs w:val="20"/>
              </w:rPr>
              <w:t>6</w:t>
            </w:r>
          </w:p>
        </w:tc>
        <w:tc>
          <w:tcPr>
            <w:tcW w:w="2970" w:type="dxa"/>
            <w:tcBorders>
              <w:top w:val="nil"/>
              <w:left w:val="nil"/>
              <w:bottom w:val="single" w:sz="4" w:space="0" w:color="auto"/>
              <w:right w:val="single" w:sz="4" w:space="0" w:color="auto"/>
            </w:tcBorders>
            <w:shd w:val="clear" w:color="auto" w:fill="auto"/>
            <w:vAlign w:val="bottom"/>
          </w:tcPr>
          <w:p w:rsidR="00FA7536" w:rsidRPr="00FA7536" w:rsidP="008440FA" w14:paraId="5B080E67" w14:textId="2583042C">
            <w:pPr>
              <w:spacing w:line="240" w:lineRule="auto"/>
              <w:jc w:val="center"/>
              <w:rPr>
                <w:sz w:val="20"/>
                <w:szCs w:val="20"/>
              </w:rPr>
            </w:pPr>
            <w:r>
              <w:rPr>
                <w:color w:val="000000"/>
                <w:sz w:val="20"/>
                <w:szCs w:val="20"/>
              </w:rPr>
              <w:t>1</w:t>
            </w:r>
            <w:r w:rsidR="00A74C4D">
              <w:rPr>
                <w:color w:val="000000"/>
                <w:sz w:val="20"/>
                <w:szCs w:val="20"/>
              </w:rPr>
              <w:t>,</w:t>
            </w:r>
            <w:r>
              <w:rPr>
                <w:color w:val="000000"/>
                <w:sz w:val="20"/>
                <w:szCs w:val="20"/>
              </w:rPr>
              <w:t>322</w:t>
            </w:r>
          </w:p>
        </w:tc>
        <w:tc>
          <w:tcPr>
            <w:tcW w:w="3240" w:type="dxa"/>
            <w:tcBorders>
              <w:top w:val="nil"/>
              <w:left w:val="nil"/>
              <w:bottom w:val="single" w:sz="4" w:space="0" w:color="auto"/>
              <w:right w:val="single" w:sz="4" w:space="0" w:color="auto"/>
            </w:tcBorders>
            <w:shd w:val="clear" w:color="auto" w:fill="auto"/>
            <w:vAlign w:val="bottom"/>
          </w:tcPr>
          <w:p w:rsidR="00FA7536" w:rsidRPr="00FA7536" w:rsidP="008440FA" w14:paraId="5F1D6BD8" w14:textId="7B2B806F">
            <w:pPr>
              <w:spacing w:line="240" w:lineRule="auto"/>
              <w:jc w:val="center"/>
              <w:rPr>
                <w:sz w:val="20"/>
                <w:szCs w:val="20"/>
              </w:rPr>
            </w:pPr>
            <w:r>
              <w:rPr>
                <w:color w:val="000000"/>
                <w:sz w:val="20"/>
                <w:szCs w:val="20"/>
              </w:rPr>
              <w:t>187</w:t>
            </w:r>
          </w:p>
        </w:tc>
      </w:tr>
      <w:tr w14:paraId="01798564" w14:textId="77777777" w:rsidTr="004835A9">
        <w:tblPrEx>
          <w:tblW w:w="8095" w:type="dxa"/>
          <w:jc w:val="center"/>
          <w:tblLook w:val="04A0"/>
        </w:tblPrEx>
        <w:trPr>
          <w:trHeight w:val="288"/>
          <w:jc w:val="center"/>
        </w:trPr>
        <w:tc>
          <w:tcPr>
            <w:tcW w:w="1885" w:type="dxa"/>
            <w:tcBorders>
              <w:top w:val="nil"/>
              <w:left w:val="single" w:sz="4" w:space="0" w:color="auto"/>
              <w:bottom w:val="single" w:sz="4" w:space="0" w:color="auto"/>
              <w:right w:val="single" w:sz="4" w:space="0" w:color="auto"/>
            </w:tcBorders>
            <w:shd w:val="clear" w:color="auto" w:fill="auto"/>
            <w:vAlign w:val="bottom"/>
          </w:tcPr>
          <w:p w:rsidR="00FA7536" w:rsidRPr="00FA7536" w:rsidP="008440FA" w14:paraId="6DAB8F53" w14:textId="2EC93003">
            <w:pPr>
              <w:spacing w:line="240" w:lineRule="auto"/>
              <w:jc w:val="center"/>
              <w:rPr>
                <w:sz w:val="20"/>
                <w:szCs w:val="20"/>
              </w:rPr>
            </w:pPr>
            <w:r>
              <w:rPr>
                <w:color w:val="000000"/>
                <w:sz w:val="20"/>
                <w:szCs w:val="20"/>
              </w:rPr>
              <w:t>7</w:t>
            </w:r>
          </w:p>
        </w:tc>
        <w:tc>
          <w:tcPr>
            <w:tcW w:w="2970" w:type="dxa"/>
            <w:tcBorders>
              <w:top w:val="nil"/>
              <w:left w:val="nil"/>
              <w:bottom w:val="single" w:sz="4" w:space="0" w:color="auto"/>
              <w:right w:val="single" w:sz="4" w:space="0" w:color="auto"/>
            </w:tcBorders>
            <w:shd w:val="clear" w:color="auto" w:fill="auto"/>
            <w:vAlign w:val="bottom"/>
          </w:tcPr>
          <w:p w:rsidR="00FA7536" w:rsidRPr="00FA7536" w:rsidP="008440FA" w14:paraId="69A649F4" w14:textId="56A17FB1">
            <w:pPr>
              <w:spacing w:line="240" w:lineRule="auto"/>
              <w:jc w:val="center"/>
              <w:rPr>
                <w:sz w:val="20"/>
                <w:szCs w:val="20"/>
              </w:rPr>
            </w:pPr>
            <w:r>
              <w:rPr>
                <w:color w:val="000000"/>
                <w:sz w:val="20"/>
                <w:szCs w:val="20"/>
              </w:rPr>
              <w:t>1</w:t>
            </w:r>
            <w:r w:rsidR="00A74C4D">
              <w:rPr>
                <w:color w:val="000000"/>
                <w:sz w:val="20"/>
                <w:szCs w:val="20"/>
              </w:rPr>
              <w:t>,</w:t>
            </w:r>
            <w:r>
              <w:rPr>
                <w:color w:val="000000"/>
                <w:sz w:val="20"/>
                <w:szCs w:val="20"/>
              </w:rPr>
              <w:t>307</w:t>
            </w:r>
          </w:p>
        </w:tc>
        <w:tc>
          <w:tcPr>
            <w:tcW w:w="3240" w:type="dxa"/>
            <w:tcBorders>
              <w:top w:val="nil"/>
              <w:left w:val="nil"/>
              <w:bottom w:val="single" w:sz="4" w:space="0" w:color="auto"/>
              <w:right w:val="single" w:sz="4" w:space="0" w:color="auto"/>
            </w:tcBorders>
            <w:shd w:val="clear" w:color="auto" w:fill="auto"/>
            <w:vAlign w:val="bottom"/>
          </w:tcPr>
          <w:p w:rsidR="00FA7536" w:rsidRPr="00FA7536" w:rsidP="008440FA" w14:paraId="2B6FF793" w14:textId="4664EA4C">
            <w:pPr>
              <w:spacing w:line="240" w:lineRule="auto"/>
              <w:jc w:val="center"/>
              <w:rPr>
                <w:sz w:val="20"/>
                <w:szCs w:val="20"/>
              </w:rPr>
            </w:pPr>
            <w:r>
              <w:rPr>
                <w:color w:val="000000"/>
                <w:sz w:val="20"/>
                <w:szCs w:val="20"/>
              </w:rPr>
              <w:t>202</w:t>
            </w:r>
          </w:p>
        </w:tc>
      </w:tr>
      <w:tr w14:paraId="47ED6DF6" w14:textId="77777777" w:rsidTr="0086260F">
        <w:tblPrEx>
          <w:tblW w:w="8095" w:type="dxa"/>
          <w:jc w:val="center"/>
          <w:tblLook w:val="04A0"/>
        </w:tblPrEx>
        <w:trPr>
          <w:trHeight w:val="288"/>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bottom"/>
          </w:tcPr>
          <w:p w:rsidR="004835A9" w:rsidP="008440FA" w14:paraId="7EC3E8C1" w14:textId="7AA05466">
            <w:pPr>
              <w:spacing w:line="240" w:lineRule="auto"/>
              <w:jc w:val="center"/>
              <w:rPr>
                <w:color w:val="000000"/>
                <w:sz w:val="20"/>
                <w:szCs w:val="20"/>
              </w:rPr>
            </w:pPr>
            <w:r>
              <w:rPr>
                <w:color w:val="000000"/>
                <w:sz w:val="20"/>
                <w:szCs w:val="20"/>
              </w:rPr>
              <w:t>8</w:t>
            </w:r>
          </w:p>
        </w:tc>
        <w:tc>
          <w:tcPr>
            <w:tcW w:w="2970" w:type="dxa"/>
            <w:tcBorders>
              <w:top w:val="single" w:sz="4" w:space="0" w:color="auto"/>
              <w:left w:val="nil"/>
              <w:bottom w:val="single" w:sz="4" w:space="0" w:color="auto"/>
              <w:right w:val="single" w:sz="4" w:space="0" w:color="auto"/>
            </w:tcBorders>
            <w:shd w:val="clear" w:color="auto" w:fill="auto"/>
          </w:tcPr>
          <w:p w:rsidR="004835A9" w:rsidRPr="004835A9" w:rsidP="008440FA" w14:paraId="3CC528ED" w14:textId="0BE3D9C7">
            <w:pPr>
              <w:spacing w:line="240" w:lineRule="auto"/>
              <w:jc w:val="center"/>
              <w:rPr>
                <w:color w:val="000000"/>
                <w:sz w:val="20"/>
                <w:szCs w:val="20"/>
              </w:rPr>
            </w:pPr>
            <w:r w:rsidRPr="004835A9">
              <w:rPr>
                <w:sz w:val="20"/>
                <w:szCs w:val="20"/>
              </w:rPr>
              <w:t>1,294</w:t>
            </w:r>
          </w:p>
        </w:tc>
        <w:tc>
          <w:tcPr>
            <w:tcW w:w="3240" w:type="dxa"/>
            <w:tcBorders>
              <w:top w:val="single" w:sz="4" w:space="0" w:color="auto"/>
              <w:left w:val="nil"/>
              <w:bottom w:val="single" w:sz="4" w:space="0" w:color="auto"/>
              <w:right w:val="single" w:sz="4" w:space="0" w:color="auto"/>
            </w:tcBorders>
            <w:shd w:val="clear" w:color="auto" w:fill="auto"/>
          </w:tcPr>
          <w:p w:rsidR="004835A9" w:rsidRPr="004835A9" w:rsidP="008440FA" w14:paraId="72BFECD4" w14:textId="3F266988">
            <w:pPr>
              <w:spacing w:line="240" w:lineRule="auto"/>
              <w:jc w:val="center"/>
              <w:rPr>
                <w:color w:val="000000"/>
                <w:sz w:val="20"/>
                <w:szCs w:val="20"/>
              </w:rPr>
            </w:pPr>
            <w:r w:rsidRPr="004835A9">
              <w:rPr>
                <w:sz w:val="20"/>
                <w:szCs w:val="20"/>
              </w:rPr>
              <w:t>215</w:t>
            </w:r>
          </w:p>
        </w:tc>
      </w:tr>
      <w:tr w14:paraId="3CD8F29B" w14:textId="77777777" w:rsidTr="0086260F">
        <w:tblPrEx>
          <w:tblW w:w="8095" w:type="dxa"/>
          <w:jc w:val="center"/>
          <w:tblLook w:val="04A0"/>
        </w:tblPrEx>
        <w:trPr>
          <w:trHeight w:val="288"/>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bottom"/>
          </w:tcPr>
          <w:p w:rsidR="004835A9" w:rsidP="008440FA" w14:paraId="15C4C1A2" w14:textId="73D2CBAE">
            <w:pPr>
              <w:spacing w:line="240" w:lineRule="auto"/>
              <w:jc w:val="center"/>
              <w:rPr>
                <w:color w:val="000000"/>
                <w:sz w:val="20"/>
                <w:szCs w:val="20"/>
              </w:rPr>
            </w:pPr>
            <w:r>
              <w:rPr>
                <w:color w:val="000000"/>
                <w:sz w:val="20"/>
                <w:szCs w:val="20"/>
              </w:rPr>
              <w:t>9</w:t>
            </w:r>
          </w:p>
        </w:tc>
        <w:tc>
          <w:tcPr>
            <w:tcW w:w="2970" w:type="dxa"/>
            <w:tcBorders>
              <w:top w:val="single" w:sz="4" w:space="0" w:color="auto"/>
              <w:left w:val="nil"/>
              <w:bottom w:val="single" w:sz="4" w:space="0" w:color="auto"/>
              <w:right w:val="single" w:sz="4" w:space="0" w:color="auto"/>
            </w:tcBorders>
            <w:shd w:val="clear" w:color="auto" w:fill="auto"/>
          </w:tcPr>
          <w:p w:rsidR="004835A9" w:rsidRPr="004835A9" w:rsidP="008440FA" w14:paraId="38452946" w14:textId="3FAB4FC3">
            <w:pPr>
              <w:spacing w:line="240" w:lineRule="auto"/>
              <w:jc w:val="center"/>
              <w:rPr>
                <w:color w:val="000000"/>
                <w:sz w:val="20"/>
                <w:szCs w:val="20"/>
              </w:rPr>
            </w:pPr>
            <w:r w:rsidRPr="004835A9">
              <w:rPr>
                <w:sz w:val="20"/>
                <w:szCs w:val="20"/>
              </w:rPr>
              <w:t>1,283</w:t>
            </w:r>
          </w:p>
        </w:tc>
        <w:tc>
          <w:tcPr>
            <w:tcW w:w="3240" w:type="dxa"/>
            <w:tcBorders>
              <w:top w:val="single" w:sz="4" w:space="0" w:color="auto"/>
              <w:left w:val="nil"/>
              <w:bottom w:val="single" w:sz="4" w:space="0" w:color="auto"/>
              <w:right w:val="single" w:sz="4" w:space="0" w:color="auto"/>
            </w:tcBorders>
            <w:shd w:val="clear" w:color="auto" w:fill="auto"/>
          </w:tcPr>
          <w:p w:rsidR="004835A9" w:rsidRPr="004835A9" w:rsidP="008440FA" w14:paraId="504D3437" w14:textId="2A1FBF03">
            <w:pPr>
              <w:spacing w:line="240" w:lineRule="auto"/>
              <w:jc w:val="center"/>
              <w:rPr>
                <w:color w:val="000000"/>
                <w:sz w:val="20"/>
                <w:szCs w:val="20"/>
              </w:rPr>
            </w:pPr>
            <w:r w:rsidRPr="004835A9">
              <w:rPr>
                <w:sz w:val="20"/>
                <w:szCs w:val="20"/>
              </w:rPr>
              <w:t>227</w:t>
            </w:r>
          </w:p>
        </w:tc>
      </w:tr>
    </w:tbl>
    <w:p w:rsidR="00FA7536" w:rsidRPr="00581806" w:rsidP="008440FA" w14:paraId="72CC5B30" w14:textId="0B36D96A">
      <w:pPr>
        <w:tabs>
          <w:tab w:val="left" w:pos="1440"/>
          <w:tab w:val="left" w:pos="2160"/>
        </w:tabs>
        <w:spacing w:line="240" w:lineRule="auto"/>
        <w:ind w:left="630" w:right="630"/>
        <w:rPr>
          <w:rFonts w:eastAsia="Times New Roman"/>
          <w:sz w:val="18"/>
          <w:szCs w:val="18"/>
        </w:rPr>
      </w:pPr>
      <w:r w:rsidRPr="00581806">
        <w:rPr>
          <w:rFonts w:eastAsia="Times New Roman"/>
          <w:sz w:val="18"/>
          <w:szCs w:val="18"/>
        </w:rPr>
        <w:t xml:space="preserve">Note: </w:t>
      </w:r>
      <w:r w:rsidRPr="00581806" w:rsidR="00304A56">
        <w:rPr>
          <w:rFonts w:eastAsia="Times New Roman"/>
          <w:sz w:val="18"/>
          <w:szCs w:val="18"/>
        </w:rPr>
        <w:t xml:space="preserve"> </w:t>
      </w:r>
      <w:r w:rsidRPr="00581806">
        <w:rPr>
          <w:rFonts w:eastAsia="Times New Roman"/>
          <w:sz w:val="18"/>
          <w:szCs w:val="18"/>
        </w:rPr>
        <w:t>The reduction i</w:t>
      </w:r>
      <w:r w:rsidR="00C37CDA">
        <w:rPr>
          <w:rFonts w:eastAsia="Times New Roman"/>
          <w:sz w:val="18"/>
          <w:szCs w:val="18"/>
        </w:rPr>
        <w:t xml:space="preserve">n resource hours is obtained by the equation </w:t>
      </w:r>
      <m:oMath>
        <m:r>
          <w:rPr>
            <w:rFonts w:ascii="Cambria Math" w:eastAsia="Times New Roman" w:hAnsi="Cambria Math"/>
            <w:sz w:val="18"/>
            <w:szCs w:val="18"/>
          </w:rPr>
          <m:t>Y=T</m:t>
        </m:r>
        <m:sSup>
          <m:sSupPr>
            <m:ctrlPr>
              <w:rPr>
                <w:rFonts w:ascii="Cambria Math" w:eastAsia="Times New Roman" w:hAnsi="Cambria Math"/>
                <w:i/>
                <w:sz w:val="18"/>
                <w:szCs w:val="18"/>
              </w:rPr>
            </m:ctrlPr>
          </m:sSupPr>
          <m:e>
            <m:r>
              <w:rPr>
                <w:rFonts w:ascii="Cambria Math" w:eastAsia="Times New Roman" w:hAnsi="Cambria Math"/>
                <w:sz w:val="18"/>
                <w:szCs w:val="18"/>
              </w:rPr>
              <m:t>∙X</m:t>
            </m:r>
          </m:e>
          <m:sup>
            <m:f>
              <m:fPr>
                <m:ctrlPr>
                  <w:rPr>
                    <w:rFonts w:ascii="Cambria Math" w:eastAsia="Times New Roman" w:hAnsi="Cambria Math"/>
                    <w:i/>
                    <w:sz w:val="18"/>
                    <w:szCs w:val="18"/>
                  </w:rPr>
                </m:ctrlPr>
              </m:fPr>
              <m:num>
                <m:func>
                  <m:funcPr>
                    <m:ctrlPr>
                      <w:rPr>
                        <w:rFonts w:ascii="Cambria Math" w:eastAsia="Times New Roman" w:hAnsi="Cambria Math"/>
                        <w:i/>
                        <w:sz w:val="18"/>
                        <w:szCs w:val="18"/>
                      </w:rPr>
                    </m:ctrlPr>
                  </m:funcPr>
                  <m:fName>
                    <m:sSub>
                      <m:sSubPr>
                        <m:ctrlPr>
                          <w:rPr>
                            <w:rFonts w:ascii="Cambria Math" w:eastAsia="Times New Roman" w:hAnsi="Cambria Math"/>
                            <w:i/>
                            <w:sz w:val="18"/>
                            <w:szCs w:val="18"/>
                          </w:rPr>
                        </m:ctrlPr>
                      </m:sSubPr>
                      <m:e>
                        <m:r>
                          <m:rPr>
                            <m:sty m:val="p"/>
                          </m:rPr>
                          <w:rPr>
                            <w:rFonts w:ascii="Cambria Math" w:eastAsia="Times New Roman" w:hAnsi="Cambria Math"/>
                            <w:sz w:val="18"/>
                            <w:szCs w:val="18"/>
                          </w:rPr>
                          <m:t>log</m:t>
                        </m:r>
                      </m:e>
                      <m:sub>
                        <m:r>
                          <w:rPr>
                            <w:rFonts w:ascii="Cambria Math" w:eastAsia="Times New Roman" w:hAnsi="Cambria Math"/>
                            <w:sz w:val="18"/>
                            <w:szCs w:val="18"/>
                          </w:rPr>
                          <m:t>10</m:t>
                        </m:r>
                      </m:sub>
                    </m:sSub>
                  </m:fName>
                  <m:e>
                    <m:r>
                      <w:rPr>
                        <w:rFonts w:ascii="Cambria Math" w:eastAsia="Times New Roman" w:hAnsi="Cambria Math"/>
                        <w:sz w:val="18"/>
                        <w:szCs w:val="18"/>
                      </w:rPr>
                      <m:t>0.95</m:t>
                    </m:r>
                  </m:e>
                </m:func>
              </m:num>
              <m:den>
                <m:func>
                  <m:funcPr>
                    <m:ctrlPr>
                      <w:rPr>
                        <w:rFonts w:ascii="Cambria Math" w:eastAsia="Times New Roman" w:hAnsi="Cambria Math"/>
                        <w:i/>
                        <w:sz w:val="18"/>
                        <w:szCs w:val="18"/>
                      </w:rPr>
                    </m:ctrlPr>
                  </m:funcPr>
                  <m:fName>
                    <m:sSub>
                      <m:sSubPr>
                        <m:ctrlPr>
                          <w:rPr>
                            <w:rFonts w:ascii="Cambria Math" w:eastAsia="Times New Roman" w:hAnsi="Cambria Math"/>
                            <w:i/>
                            <w:sz w:val="18"/>
                            <w:szCs w:val="18"/>
                          </w:rPr>
                        </m:ctrlPr>
                      </m:sSubPr>
                      <m:e>
                        <m:r>
                          <m:rPr>
                            <m:sty m:val="p"/>
                          </m:rPr>
                          <w:rPr>
                            <w:rFonts w:ascii="Cambria Math" w:eastAsia="Times New Roman" w:hAnsi="Cambria Math"/>
                            <w:sz w:val="18"/>
                            <w:szCs w:val="18"/>
                          </w:rPr>
                          <m:t>log</m:t>
                        </m:r>
                      </m:e>
                      <m:sub>
                        <m:r>
                          <w:rPr>
                            <w:rFonts w:ascii="Cambria Math" w:eastAsia="Times New Roman" w:hAnsi="Cambria Math"/>
                            <w:sz w:val="18"/>
                            <w:szCs w:val="18"/>
                          </w:rPr>
                          <m:t>10</m:t>
                        </m:r>
                      </m:sub>
                    </m:sSub>
                  </m:fName>
                  <m:e>
                    <m:r>
                      <w:rPr>
                        <w:rFonts w:ascii="Cambria Math" w:eastAsia="Times New Roman" w:hAnsi="Cambria Math"/>
                        <w:sz w:val="18"/>
                        <w:szCs w:val="18"/>
                      </w:rPr>
                      <m:t>2</m:t>
                    </m:r>
                  </m:e>
                </m:func>
              </m:den>
            </m:f>
          </m:sup>
        </m:sSup>
      </m:oMath>
      <w:r w:rsidRPr="00581806">
        <w:rPr>
          <w:rFonts w:eastAsia="Times New Roman"/>
          <w:sz w:val="18"/>
          <w:szCs w:val="18"/>
        </w:rPr>
        <w:t xml:space="preserve">, where </w:t>
      </w:r>
      <w:r w:rsidRPr="00581806">
        <w:rPr>
          <w:rFonts w:eastAsia="Times New Roman"/>
          <w:i/>
          <w:sz w:val="18"/>
          <w:szCs w:val="18"/>
        </w:rPr>
        <w:t>Y</w:t>
      </w:r>
      <w:r w:rsidR="00756226">
        <w:rPr>
          <w:rFonts w:eastAsia="Times New Roman"/>
          <w:sz w:val="18"/>
          <w:szCs w:val="18"/>
        </w:rPr>
        <w:t>, found in column two,</w:t>
      </w:r>
      <w:r w:rsidRPr="00581806">
        <w:rPr>
          <w:rFonts w:eastAsia="Times New Roman"/>
          <w:sz w:val="18"/>
          <w:szCs w:val="18"/>
        </w:rPr>
        <w:t xml:space="preserve"> is the reduced number of hours </w:t>
      </w:r>
      <w:r w:rsidRPr="00581806" w:rsidR="00BE220E">
        <w:rPr>
          <w:rFonts w:eastAsia="Times New Roman"/>
          <w:sz w:val="18"/>
          <w:szCs w:val="18"/>
        </w:rPr>
        <w:t xml:space="preserve">needed </w:t>
      </w:r>
      <w:r w:rsidRPr="00581806">
        <w:rPr>
          <w:rFonts w:eastAsia="Times New Roman"/>
          <w:sz w:val="18"/>
          <w:szCs w:val="18"/>
        </w:rPr>
        <w:t>to review an EP submission</w:t>
      </w:r>
      <w:r w:rsidR="00756226">
        <w:rPr>
          <w:rFonts w:eastAsia="Times New Roman"/>
          <w:sz w:val="18"/>
          <w:szCs w:val="18"/>
        </w:rPr>
        <w:t>;</w:t>
      </w:r>
      <w:r w:rsidRPr="00581806">
        <w:rPr>
          <w:rFonts w:eastAsia="Times New Roman"/>
          <w:sz w:val="18"/>
          <w:szCs w:val="18"/>
        </w:rPr>
        <w:t xml:space="preserve"> </w:t>
      </w:r>
      <w:r w:rsidRPr="00581806">
        <w:rPr>
          <w:rFonts w:eastAsia="Times New Roman"/>
          <w:i/>
          <w:sz w:val="18"/>
          <w:szCs w:val="18"/>
        </w:rPr>
        <w:t>T</w:t>
      </w:r>
      <w:r w:rsidRPr="00581806">
        <w:rPr>
          <w:rFonts w:eastAsia="Times New Roman"/>
          <w:sz w:val="18"/>
          <w:szCs w:val="18"/>
        </w:rPr>
        <w:t xml:space="preserve"> is the initial number of hours </w:t>
      </w:r>
      <w:r w:rsidRPr="00581806" w:rsidR="00BE220E">
        <w:rPr>
          <w:rFonts w:eastAsia="Times New Roman"/>
          <w:sz w:val="18"/>
          <w:szCs w:val="18"/>
        </w:rPr>
        <w:t xml:space="preserve">to </w:t>
      </w:r>
      <w:r w:rsidRPr="00581806">
        <w:rPr>
          <w:rFonts w:eastAsia="Times New Roman"/>
          <w:sz w:val="18"/>
          <w:szCs w:val="18"/>
        </w:rPr>
        <w:t>review the first EP submission (i.e.</w:t>
      </w:r>
      <w:r w:rsidRPr="00581806" w:rsidR="00BE220E">
        <w:rPr>
          <w:rFonts w:eastAsia="Times New Roman"/>
          <w:sz w:val="18"/>
          <w:szCs w:val="18"/>
        </w:rPr>
        <w:t>, </w:t>
      </w:r>
      <w:r w:rsidRPr="00581806">
        <w:rPr>
          <w:rFonts w:eastAsia="Times New Roman"/>
          <w:sz w:val="18"/>
          <w:szCs w:val="18"/>
        </w:rPr>
        <w:t>1</w:t>
      </w:r>
      <w:r w:rsidRPr="00581806" w:rsidR="00BE220E">
        <w:rPr>
          <w:rFonts w:eastAsia="Times New Roman"/>
          <w:sz w:val="18"/>
          <w:szCs w:val="18"/>
        </w:rPr>
        <w:t>,</w:t>
      </w:r>
      <w:r w:rsidRPr="00581806">
        <w:rPr>
          <w:rFonts w:eastAsia="Times New Roman"/>
          <w:sz w:val="18"/>
          <w:szCs w:val="18"/>
        </w:rPr>
        <w:t>509 hours)</w:t>
      </w:r>
      <w:r w:rsidR="00756226">
        <w:rPr>
          <w:rFonts w:eastAsia="Times New Roman"/>
          <w:sz w:val="18"/>
          <w:szCs w:val="18"/>
        </w:rPr>
        <w:t>;</w:t>
      </w:r>
      <w:r w:rsidRPr="00581806">
        <w:rPr>
          <w:rFonts w:eastAsia="Times New Roman"/>
          <w:sz w:val="18"/>
          <w:szCs w:val="18"/>
        </w:rPr>
        <w:t xml:space="preserve"> and </w:t>
      </w:r>
      <w:r w:rsidRPr="00581806">
        <w:rPr>
          <w:rFonts w:eastAsia="Times New Roman"/>
          <w:i/>
          <w:sz w:val="18"/>
          <w:szCs w:val="18"/>
        </w:rPr>
        <w:t>X</w:t>
      </w:r>
      <w:r w:rsidRPr="00581806" w:rsidR="00756226">
        <w:rPr>
          <w:rFonts w:eastAsia="Times New Roman"/>
          <w:sz w:val="18"/>
          <w:szCs w:val="18"/>
        </w:rPr>
        <w:t>, found in column one,</w:t>
      </w:r>
      <w:r w:rsidRPr="00581806" w:rsidR="00BE220E">
        <w:rPr>
          <w:rFonts w:eastAsia="Times New Roman"/>
          <w:sz w:val="18"/>
          <w:szCs w:val="18"/>
        </w:rPr>
        <w:t xml:space="preserve"> </w:t>
      </w:r>
      <w:r w:rsidRPr="00581806">
        <w:rPr>
          <w:rFonts w:eastAsia="Times New Roman"/>
          <w:sz w:val="18"/>
          <w:szCs w:val="18"/>
        </w:rPr>
        <w:t>represents some future EP submission (e.g.</w:t>
      </w:r>
      <w:r w:rsidRPr="00581806" w:rsidR="00BE220E">
        <w:rPr>
          <w:rFonts w:eastAsia="Times New Roman"/>
          <w:sz w:val="18"/>
          <w:szCs w:val="18"/>
        </w:rPr>
        <w:t>, </w:t>
      </w:r>
      <w:r w:rsidRPr="00581806">
        <w:rPr>
          <w:rFonts w:eastAsia="Times New Roman"/>
          <w:sz w:val="18"/>
          <w:szCs w:val="18"/>
        </w:rPr>
        <w:t>X</w:t>
      </w:r>
      <w:r w:rsidRPr="00581806" w:rsidR="00BE220E">
        <w:rPr>
          <w:rFonts w:eastAsia="Times New Roman"/>
          <w:sz w:val="18"/>
          <w:szCs w:val="18"/>
        </w:rPr>
        <w:t xml:space="preserve"> </w:t>
      </w:r>
      <w:r w:rsidRPr="00581806">
        <w:rPr>
          <w:rFonts w:eastAsia="Times New Roman"/>
          <w:sz w:val="18"/>
          <w:szCs w:val="18"/>
        </w:rPr>
        <w:t>=</w:t>
      </w:r>
      <w:r w:rsidRPr="00581806" w:rsidR="00BE220E">
        <w:rPr>
          <w:rFonts w:eastAsia="Times New Roman"/>
          <w:sz w:val="18"/>
          <w:szCs w:val="18"/>
        </w:rPr>
        <w:t xml:space="preserve"> </w:t>
      </w:r>
      <w:r w:rsidRPr="00581806">
        <w:rPr>
          <w:rFonts w:eastAsia="Times New Roman"/>
          <w:sz w:val="18"/>
          <w:szCs w:val="18"/>
        </w:rPr>
        <w:t>3 would represent the third EP submission).</w:t>
      </w:r>
    </w:p>
    <w:p w:rsidR="00FA7536" w:rsidP="008440FA" w14:paraId="313952DA" w14:textId="77777777">
      <w:pPr>
        <w:spacing w:line="240" w:lineRule="auto"/>
      </w:pPr>
    </w:p>
    <w:p w:rsidR="0057652C" w:rsidRPr="00A00AC6" w:rsidP="008440FA" w14:paraId="23B80B9E" w14:textId="1EF0E74F">
      <w:pPr>
        <w:spacing w:line="240" w:lineRule="auto"/>
      </w:pPr>
      <w:r>
        <w:t>The NRC avert</w:t>
      </w:r>
      <w:r w:rsidR="00774DCC">
        <w:t>ed</w:t>
      </w:r>
      <w:r>
        <w:t xml:space="preserve"> costs</w:t>
      </w:r>
      <w:r w:rsidR="006E4691">
        <w:t xml:space="preserve"> rang</w:t>
      </w:r>
      <w:r w:rsidR="00774DCC">
        <w:t>e</w:t>
      </w:r>
      <w:r w:rsidR="002D53A7">
        <w:t xml:space="preserve"> from $</w:t>
      </w:r>
      <w:r w:rsidR="00376AC1">
        <w:t>17</w:t>
      </w:r>
      <w:r w:rsidR="002103DD">
        <w:t>2</w:t>
      </w:r>
      <w:r>
        <w:t>,000 (7</w:t>
      </w:r>
      <w:r w:rsidR="00D957E3">
        <w:noBreakHyphen/>
      </w:r>
      <w:r w:rsidR="002D53A7">
        <w:t>percent NPV) to $</w:t>
      </w:r>
      <w:r w:rsidR="00376AC1">
        <w:t>191</w:t>
      </w:r>
      <w:r>
        <w:t>,000 (3</w:t>
      </w:r>
      <w:r w:rsidR="00D957E3">
        <w:noBreakHyphen/>
      </w:r>
      <w:r>
        <w:t xml:space="preserve">percent NPV), as shown </w:t>
      </w:r>
      <w:r w:rsidRPr="00A00AC6">
        <w:t xml:space="preserve">in </w:t>
      </w:r>
      <w:r w:rsidRPr="00EE77D0" w:rsidR="00E231EA">
        <w:fldChar w:fldCharType="begin"/>
      </w:r>
      <w:r w:rsidRPr="00A00AC6" w:rsidR="00E231EA">
        <w:instrText xml:space="preserve"> REF _Ref510706171 \h </w:instrText>
      </w:r>
      <w:r w:rsidRPr="00581806" w:rsidR="00A00AC6">
        <w:instrText xml:space="preserve"> \* MERGEFORMAT </w:instrText>
      </w:r>
      <w:r w:rsidRPr="00EE77D0" w:rsidR="00E231EA">
        <w:fldChar w:fldCharType="separate"/>
      </w:r>
      <w:r w:rsidRPr="004634A0" w:rsidR="004634A0">
        <w:t>Table</w:t>
      </w:r>
      <w:r w:rsidRPr="00581806" w:rsidR="004634A0">
        <w:rPr>
          <w:b/>
        </w:rPr>
        <w:t xml:space="preserve"> </w:t>
      </w:r>
      <w:r w:rsidRPr="00326B3D" w:rsidR="004634A0">
        <w:rPr>
          <w:bCs/>
          <w:noProof/>
        </w:rPr>
        <w:t>11</w:t>
      </w:r>
      <w:r w:rsidRPr="00EE77D0" w:rsidR="00E231EA">
        <w:fldChar w:fldCharType="end"/>
      </w:r>
      <w:r w:rsidR="006E4691">
        <w:t>,</w:t>
      </w:r>
      <w:r w:rsidRPr="006E4691" w:rsidR="006E4691">
        <w:t xml:space="preserve"> </w:t>
      </w:r>
      <w:r w:rsidR="006E4691">
        <w:t>as a result of</w:t>
      </w:r>
      <w:r w:rsidR="006E4691">
        <w:t xml:space="preserve"> lessons learned from processing these SMR and ONT EP submissions.</w:t>
      </w:r>
    </w:p>
    <w:p w:rsidR="0057652C" w:rsidP="008440FA" w14:paraId="1902B162" w14:textId="77777777">
      <w:pPr>
        <w:spacing w:line="240" w:lineRule="auto"/>
      </w:pPr>
    </w:p>
    <w:p w:rsidR="00E231EA" w:rsidRPr="00581806" w:rsidP="008440FA" w14:paraId="23CA5F12" w14:textId="2B2DBC69">
      <w:pPr>
        <w:pStyle w:val="Caption"/>
        <w:spacing w:after="120" w:line="240" w:lineRule="auto"/>
        <w:ind w:left="1080" w:hanging="1080"/>
        <w:jc w:val="center"/>
        <w:rPr>
          <w:b/>
        </w:rPr>
      </w:pPr>
      <w:bookmarkStart w:id="182" w:name="_Ref510706171"/>
      <w:bookmarkStart w:id="183" w:name="_Toc70669548"/>
      <w:bookmarkStart w:id="184" w:name="_Toc85198667"/>
      <w:r w:rsidRPr="00581806">
        <w:rPr>
          <w:b/>
        </w:rPr>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4634A0">
        <w:rPr>
          <w:b/>
          <w:noProof/>
        </w:rPr>
        <w:t>11</w:t>
      </w:r>
      <w:r w:rsidRPr="00581806" w:rsidR="000012A5">
        <w:rPr>
          <w:b/>
          <w:noProof/>
        </w:rPr>
        <w:fldChar w:fldCharType="end"/>
      </w:r>
      <w:bookmarkEnd w:id="182"/>
      <w:r w:rsidRPr="00581806">
        <w:rPr>
          <w:b/>
        </w:rPr>
        <w:t xml:space="preserve"> </w:t>
      </w:r>
      <w:r w:rsidRPr="00581806" w:rsidR="00A70FAA">
        <w:rPr>
          <w:b/>
        </w:rPr>
        <w:t xml:space="preserve"> </w:t>
      </w:r>
      <w:r w:rsidR="004C2963">
        <w:rPr>
          <w:b/>
        </w:rPr>
        <w:t xml:space="preserve">Averted Cost for </w:t>
      </w:r>
      <w:r w:rsidRPr="00581806">
        <w:rPr>
          <w:b/>
        </w:rPr>
        <w:t>Reduced EP Plan</w:t>
      </w:r>
      <w:r w:rsidR="004C2963">
        <w:rPr>
          <w:b/>
        </w:rPr>
        <w:t>s</w:t>
      </w:r>
      <w:bookmarkEnd w:id="183"/>
      <w:bookmarkEnd w:id="184"/>
    </w:p>
    <w:p w:rsidR="0057652C" w:rsidP="008440FA" w14:paraId="1531FDB5" w14:textId="6587D0D2">
      <w:pPr>
        <w:spacing w:line="240" w:lineRule="auto"/>
        <w:ind w:left="180"/>
      </w:pPr>
      <w:r w:rsidRPr="00376AC1">
        <w:rPr>
          <w:noProof/>
        </w:rPr>
        <w:drawing>
          <wp:inline distT="0" distB="0" distL="0" distR="0">
            <wp:extent cx="5943600" cy="13938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8"/>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393825"/>
                    </a:xfrm>
                    <a:prstGeom prst="rect">
                      <a:avLst/>
                    </a:prstGeom>
                    <a:noFill/>
                    <a:ln>
                      <a:noFill/>
                    </a:ln>
                  </pic:spPr>
                </pic:pic>
              </a:graphicData>
            </a:graphic>
          </wp:inline>
        </w:drawing>
      </w:r>
    </w:p>
    <w:p w:rsidR="004237A3" w:rsidRPr="00AA55F3" w:rsidP="004237A3" w14:paraId="27295893" w14:textId="77777777">
      <w:pPr>
        <w:tabs>
          <w:tab w:val="left" w:pos="1440"/>
          <w:tab w:val="left" w:pos="2160"/>
          <w:tab w:val="left" w:pos="9360"/>
        </w:tabs>
        <w:spacing w:line="240" w:lineRule="auto"/>
        <w:rPr>
          <w:rFonts w:eastAsia="Times New Roman"/>
          <w:sz w:val="18"/>
          <w:szCs w:val="18"/>
        </w:rPr>
      </w:pPr>
      <w:r w:rsidRPr="00AA55F3">
        <w:rPr>
          <w:rFonts w:eastAsia="Times New Roman"/>
          <w:sz w:val="18"/>
          <w:szCs w:val="18"/>
        </w:rPr>
        <w:t>Note:  Values are in 2021 dollars, rounded to the nearest $1,000.</w:t>
      </w:r>
    </w:p>
    <w:p w:rsidR="00E231EA" w:rsidP="008440FA" w14:paraId="1B7B4160" w14:textId="77777777">
      <w:pPr>
        <w:spacing w:line="240" w:lineRule="auto"/>
      </w:pPr>
    </w:p>
    <w:p w:rsidR="00D96721" w:rsidP="008440FA" w14:paraId="38B64C3B" w14:textId="05326850">
      <w:pPr>
        <w:spacing w:line="240" w:lineRule="auto"/>
      </w:pPr>
      <w:r>
        <w:t xml:space="preserve">As shown in </w:t>
      </w:r>
      <w:r w:rsidRPr="00AC1638" w:rsidR="00AC1638">
        <w:fldChar w:fldCharType="begin"/>
      </w:r>
      <w:r w:rsidRPr="00AC1638" w:rsidR="00AC1638">
        <w:instrText xml:space="preserve"> REF _Ref510706282 \h  \* MERGEFORMAT </w:instrText>
      </w:r>
      <w:r w:rsidRPr="00AC1638" w:rsidR="00AC1638">
        <w:fldChar w:fldCharType="separate"/>
      </w:r>
      <w:r w:rsidRPr="004634A0" w:rsidR="004634A0">
        <w:t>Table</w:t>
      </w:r>
      <w:r w:rsidRPr="00581806" w:rsidR="004634A0">
        <w:rPr>
          <w:b/>
        </w:rPr>
        <w:t xml:space="preserve"> </w:t>
      </w:r>
      <w:r w:rsidRPr="00326B3D" w:rsidR="004634A0">
        <w:rPr>
          <w:bCs/>
          <w:noProof/>
        </w:rPr>
        <w:t>12</w:t>
      </w:r>
      <w:r w:rsidRPr="00AC1638" w:rsidR="00AC1638">
        <w:fldChar w:fldCharType="end"/>
      </w:r>
      <w:r>
        <w:t>, t</w:t>
      </w:r>
      <w:r w:rsidR="00E231EA">
        <w:t xml:space="preserve">he NRC will also have averted costs resulting from the reduced </w:t>
      </w:r>
      <w:r w:rsidR="00454768">
        <w:t>LAR submissions</w:t>
      </w:r>
      <w:r w:rsidR="00425249">
        <w:t xml:space="preserve">, estimated at </w:t>
      </w:r>
      <w:r w:rsidR="00740CD2">
        <w:t>$1.</w:t>
      </w:r>
      <w:r w:rsidR="00297A2D">
        <w:t>47</w:t>
      </w:r>
      <w:r w:rsidR="00740CD2">
        <w:t xml:space="preserve"> million</w:t>
      </w:r>
      <w:r w:rsidR="00425249">
        <w:t xml:space="preserve"> (7</w:t>
      </w:r>
      <w:r w:rsidR="00FC583A">
        <w:noBreakHyphen/>
      </w:r>
      <w:r w:rsidR="00425249">
        <w:t xml:space="preserve">percent NPV) and </w:t>
      </w:r>
      <w:r w:rsidR="00D109C3">
        <w:t>$3.</w:t>
      </w:r>
      <w:r w:rsidR="00297A2D">
        <w:t>29</w:t>
      </w:r>
      <w:r w:rsidR="00D109C3">
        <w:t xml:space="preserve"> million</w:t>
      </w:r>
      <w:r w:rsidR="00425249">
        <w:t xml:space="preserve"> (3</w:t>
      </w:r>
      <w:r w:rsidR="00FC583A">
        <w:noBreakHyphen/>
      </w:r>
      <w:r w:rsidR="00425249">
        <w:t>percent NPV).</w:t>
      </w:r>
    </w:p>
    <w:p w:rsidR="00425249" w:rsidP="008440FA" w14:paraId="12F28D63" w14:textId="77777777">
      <w:pPr>
        <w:spacing w:line="240" w:lineRule="auto"/>
      </w:pPr>
    </w:p>
    <w:p w:rsidR="00D96721" w:rsidRPr="00581806" w:rsidP="008440FA" w14:paraId="1D978161" w14:textId="35D346A4">
      <w:pPr>
        <w:pStyle w:val="Caption"/>
        <w:spacing w:after="120" w:line="240" w:lineRule="auto"/>
        <w:ind w:left="1080" w:hanging="1080"/>
        <w:jc w:val="center"/>
        <w:rPr>
          <w:b/>
        </w:rPr>
      </w:pPr>
      <w:bookmarkStart w:id="185" w:name="_Ref510706282"/>
      <w:bookmarkStart w:id="186" w:name="_Toc70669549"/>
      <w:bookmarkStart w:id="187" w:name="_Toc85198668"/>
      <w:r w:rsidRPr="00581806">
        <w:rPr>
          <w:b/>
        </w:rPr>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4634A0">
        <w:rPr>
          <w:b/>
          <w:noProof/>
        </w:rPr>
        <w:t>12</w:t>
      </w:r>
      <w:r w:rsidRPr="00581806" w:rsidR="000012A5">
        <w:rPr>
          <w:b/>
          <w:noProof/>
        </w:rPr>
        <w:fldChar w:fldCharType="end"/>
      </w:r>
      <w:bookmarkEnd w:id="185"/>
      <w:r w:rsidRPr="00581806">
        <w:rPr>
          <w:b/>
        </w:rPr>
        <w:t xml:space="preserve"> </w:t>
      </w:r>
      <w:r w:rsidRPr="00581806" w:rsidR="00A70FAA">
        <w:rPr>
          <w:b/>
        </w:rPr>
        <w:t xml:space="preserve"> </w:t>
      </w:r>
      <w:r w:rsidR="004C2963">
        <w:rPr>
          <w:b/>
        </w:rPr>
        <w:t>Averted Costs for Reduced EP LARs</w:t>
      </w:r>
      <w:bookmarkEnd w:id="186"/>
      <w:bookmarkEnd w:id="187"/>
    </w:p>
    <w:p w:rsidR="00D96721" w:rsidP="008440FA" w14:paraId="167D4A1C" w14:textId="06B8FC84">
      <w:pPr>
        <w:spacing w:line="240" w:lineRule="auto"/>
        <w:ind w:left="180"/>
        <w:jc w:val="center"/>
      </w:pPr>
      <w:r w:rsidRPr="00297A2D">
        <w:rPr>
          <w:noProof/>
        </w:rPr>
        <w:drawing>
          <wp:inline distT="0" distB="0" distL="0" distR="0">
            <wp:extent cx="5943600" cy="8642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864235"/>
                    </a:xfrm>
                    <a:prstGeom prst="rect">
                      <a:avLst/>
                    </a:prstGeom>
                    <a:noFill/>
                    <a:ln>
                      <a:noFill/>
                    </a:ln>
                  </pic:spPr>
                </pic:pic>
              </a:graphicData>
            </a:graphic>
          </wp:inline>
        </w:drawing>
      </w:r>
    </w:p>
    <w:p w:rsidR="004237A3" w:rsidRPr="00AA55F3" w:rsidP="004237A3" w14:paraId="080930A3" w14:textId="77777777">
      <w:pPr>
        <w:tabs>
          <w:tab w:val="left" w:pos="1440"/>
          <w:tab w:val="left" w:pos="2160"/>
          <w:tab w:val="left" w:pos="9360"/>
        </w:tabs>
        <w:spacing w:line="240" w:lineRule="auto"/>
        <w:rPr>
          <w:rFonts w:eastAsia="Times New Roman"/>
          <w:sz w:val="18"/>
          <w:szCs w:val="18"/>
        </w:rPr>
      </w:pPr>
      <w:r w:rsidRPr="00AA55F3">
        <w:rPr>
          <w:rFonts w:eastAsia="Times New Roman"/>
          <w:sz w:val="18"/>
          <w:szCs w:val="18"/>
        </w:rPr>
        <w:t>Note:  Values are in 2021 dollars, rounded to the nearest $1,000.</w:t>
      </w:r>
    </w:p>
    <w:p w:rsidR="00425249" w:rsidP="008440FA" w14:paraId="3242E09A" w14:textId="1887BEB9">
      <w:pPr>
        <w:spacing w:line="240" w:lineRule="auto"/>
        <w:ind w:left="180"/>
        <w:jc w:val="center"/>
      </w:pPr>
    </w:p>
    <w:p w:rsidR="00E62349" w:rsidP="00E62349" w14:paraId="4E57CCCF" w14:textId="4A4D46F5">
      <w:pPr>
        <w:spacing w:line="240" w:lineRule="auto"/>
      </w:pPr>
      <w:r>
        <w:t xml:space="preserve">As shown in </w:t>
      </w:r>
      <w:r w:rsidRPr="00FC583A">
        <w:fldChar w:fldCharType="begin"/>
      </w:r>
      <w:r>
        <w:instrText xml:space="preserve"> REF _Ref70588336 \h </w:instrText>
      </w:r>
      <w:r w:rsidR="00FC583A">
        <w:instrText xml:space="preserve"> \* MERGEFORMAT </w:instrText>
      </w:r>
      <w:r w:rsidRPr="00FC583A">
        <w:fldChar w:fldCharType="separate"/>
      </w:r>
      <w:r w:rsidRPr="004634A0" w:rsidR="004634A0">
        <w:rPr>
          <w:bCs/>
        </w:rPr>
        <w:t>Table</w:t>
      </w:r>
      <w:r w:rsidRPr="00413811" w:rsidR="004634A0">
        <w:rPr>
          <w:b/>
        </w:rPr>
        <w:t xml:space="preserve"> </w:t>
      </w:r>
      <w:r w:rsidRPr="00326B3D" w:rsidR="004634A0">
        <w:rPr>
          <w:bCs/>
          <w:noProof/>
        </w:rPr>
        <w:t>13</w:t>
      </w:r>
      <w:r w:rsidRPr="00FC583A">
        <w:rPr>
          <w:bCs/>
        </w:rPr>
        <w:fldChar w:fldCharType="end"/>
      </w:r>
      <w:r w:rsidRPr="00FC583A">
        <w:rPr>
          <w:bCs/>
        </w:rPr>
        <w:t>,</w:t>
      </w:r>
      <w:r>
        <w:t xml:space="preserve"> the NRC will incur additional incremental costs resulting from reviewing the additional PRA or other analyses from applicants, for the scalable </w:t>
      </w:r>
      <w:r>
        <w:t>EPZ</w:t>
      </w:r>
      <w:r>
        <w:t>.  These costs are estimated at (</w:t>
      </w:r>
      <w:r w:rsidR="00D109C3">
        <w:t>$</w:t>
      </w:r>
      <w:r w:rsidR="0038393A">
        <w:t>71</w:t>
      </w:r>
      <w:r w:rsidR="00D109C3">
        <w:t>,000</w:t>
      </w:r>
      <w:r>
        <w:t>) using a 7</w:t>
      </w:r>
      <w:r w:rsidR="008F09E7">
        <w:noBreakHyphen/>
      </w:r>
      <w:r>
        <w:t>percent NPV and (</w:t>
      </w:r>
      <w:r w:rsidR="00D109C3">
        <w:t>$</w:t>
      </w:r>
      <w:r w:rsidR="0038393A">
        <w:t>75</w:t>
      </w:r>
      <w:r w:rsidR="00D109C3">
        <w:t>,000</w:t>
      </w:r>
      <w:r>
        <w:t>) using a 3</w:t>
      </w:r>
      <w:r w:rsidR="008F09E7">
        <w:noBreakHyphen/>
      </w:r>
      <w:r>
        <w:t>percent NPV.</w:t>
      </w:r>
    </w:p>
    <w:p w:rsidR="00E62349" w:rsidP="00E62349" w14:paraId="1959036F" w14:textId="77777777">
      <w:pPr>
        <w:spacing w:line="240" w:lineRule="auto"/>
      </w:pPr>
    </w:p>
    <w:p w:rsidR="00E62349" w:rsidRPr="00413811" w:rsidP="00E62349" w14:paraId="06E571D3" w14:textId="57B7C221">
      <w:pPr>
        <w:pStyle w:val="Caption"/>
        <w:spacing w:after="120" w:line="240" w:lineRule="auto"/>
        <w:ind w:left="1080" w:hanging="1080"/>
        <w:jc w:val="center"/>
        <w:rPr>
          <w:b/>
        </w:rPr>
      </w:pPr>
      <w:bookmarkStart w:id="188" w:name="_Ref70588336"/>
      <w:bookmarkStart w:id="189" w:name="_Toc70669550"/>
      <w:bookmarkStart w:id="190" w:name="_Toc85198669"/>
      <w:r w:rsidRPr="00413811">
        <w:rPr>
          <w:b/>
        </w:rPr>
        <w:t xml:space="preserve">Table </w:t>
      </w:r>
      <w:r w:rsidRPr="00413811">
        <w:rPr>
          <w:b/>
        </w:rPr>
        <w:fldChar w:fldCharType="begin"/>
      </w:r>
      <w:r w:rsidRPr="00413811">
        <w:rPr>
          <w:b/>
        </w:rPr>
        <w:instrText xml:space="preserve"> SEQ Table \* ARABIC </w:instrText>
      </w:r>
      <w:r w:rsidRPr="00413811">
        <w:rPr>
          <w:b/>
        </w:rPr>
        <w:fldChar w:fldCharType="separate"/>
      </w:r>
      <w:r w:rsidR="004634A0">
        <w:rPr>
          <w:b/>
          <w:noProof/>
        </w:rPr>
        <w:t>13</w:t>
      </w:r>
      <w:r w:rsidRPr="00413811">
        <w:rPr>
          <w:b/>
        </w:rPr>
        <w:fldChar w:fldCharType="end"/>
      </w:r>
      <w:bookmarkEnd w:id="188"/>
      <w:r w:rsidRPr="00413811">
        <w:rPr>
          <w:b/>
        </w:rPr>
        <w:t xml:space="preserve"> </w:t>
      </w:r>
      <w:r w:rsidR="008F09E7">
        <w:rPr>
          <w:b/>
        </w:rPr>
        <w:t xml:space="preserve"> </w:t>
      </w:r>
      <w:r w:rsidRPr="00413811">
        <w:rPr>
          <w:b/>
        </w:rPr>
        <w:t xml:space="preserve">NRC Review </w:t>
      </w:r>
      <w:r w:rsidR="008F09E7">
        <w:rPr>
          <w:b/>
        </w:rPr>
        <w:t xml:space="preserve">of </w:t>
      </w:r>
      <w:r w:rsidRPr="00413811">
        <w:rPr>
          <w:b/>
        </w:rPr>
        <w:t>Additional PRA or Other Analysis</w:t>
      </w:r>
      <w:bookmarkEnd w:id="189"/>
      <w:bookmarkEnd w:id="190"/>
    </w:p>
    <w:p w:rsidR="00E62349" w:rsidP="00E62349" w14:paraId="2B4C5D7B" w14:textId="3BBDE3DC">
      <w:pPr>
        <w:spacing w:line="240" w:lineRule="auto"/>
      </w:pPr>
      <w:r w:rsidRPr="0038393A">
        <w:rPr>
          <w:noProof/>
        </w:rPr>
        <w:drawing>
          <wp:inline distT="0" distB="0" distL="0" distR="0">
            <wp:extent cx="5943600" cy="84645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0"/>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846455"/>
                    </a:xfrm>
                    <a:prstGeom prst="rect">
                      <a:avLst/>
                    </a:prstGeom>
                    <a:noFill/>
                    <a:ln>
                      <a:noFill/>
                    </a:ln>
                  </pic:spPr>
                </pic:pic>
              </a:graphicData>
            </a:graphic>
          </wp:inline>
        </w:drawing>
      </w:r>
    </w:p>
    <w:p w:rsidR="00604747" w:rsidRPr="00AA55F3" w:rsidP="00604747" w14:paraId="3841F4DE" w14:textId="77777777">
      <w:pPr>
        <w:tabs>
          <w:tab w:val="left" w:pos="1440"/>
          <w:tab w:val="left" w:pos="2160"/>
          <w:tab w:val="left" w:pos="9360"/>
        </w:tabs>
        <w:spacing w:line="240" w:lineRule="auto"/>
        <w:rPr>
          <w:rFonts w:eastAsia="Times New Roman"/>
          <w:sz w:val="18"/>
          <w:szCs w:val="18"/>
        </w:rPr>
      </w:pPr>
      <w:r w:rsidRPr="00AA55F3">
        <w:rPr>
          <w:rFonts w:eastAsia="Times New Roman"/>
          <w:sz w:val="18"/>
          <w:szCs w:val="18"/>
        </w:rPr>
        <w:t>Note:  Values are in 2021 dollars, rounded to the nearest $1,000.</w:t>
      </w:r>
    </w:p>
    <w:p w:rsidR="00425249" w:rsidP="008440FA" w14:paraId="2AAC747C" w14:textId="6E88B5E2">
      <w:pPr>
        <w:spacing w:line="240" w:lineRule="auto"/>
        <w:ind w:left="180"/>
        <w:jc w:val="center"/>
      </w:pPr>
    </w:p>
    <w:p w:rsidR="009128E1" w:rsidP="008440FA" w14:paraId="2E25C09E" w14:textId="6E7593FC">
      <w:pPr>
        <w:pStyle w:val="Heading2"/>
        <w:numPr>
          <w:ilvl w:val="1"/>
          <w:numId w:val="34"/>
        </w:numPr>
        <w:spacing w:line="240" w:lineRule="auto"/>
        <w:ind w:hanging="792"/>
      </w:pPr>
      <w:bookmarkStart w:id="191" w:name="_Toc457827351"/>
      <w:bookmarkStart w:id="192" w:name="_Toc70669511"/>
      <w:bookmarkStart w:id="193" w:name="_Toc85198610"/>
      <w:r>
        <w:t>Total NRC Costs</w:t>
      </w:r>
      <w:bookmarkEnd w:id="178"/>
      <w:bookmarkEnd w:id="191"/>
      <w:bookmarkEnd w:id="192"/>
      <w:bookmarkEnd w:id="193"/>
    </w:p>
    <w:p w:rsidR="009128E1" w:rsidP="008440FA" w14:paraId="795B4327" w14:textId="77777777">
      <w:pPr>
        <w:spacing w:line="240" w:lineRule="auto"/>
      </w:pPr>
    </w:p>
    <w:p w:rsidR="009128E1" w:rsidRPr="00974612" w:rsidP="008440FA" w14:paraId="3D2C17E1" w14:textId="6EC5A3FF">
      <w:pPr>
        <w:spacing w:line="240" w:lineRule="auto"/>
        <w:rPr>
          <w:rFonts w:eastAsia="Times New Roman"/>
        </w:rPr>
      </w:pPr>
      <w:bookmarkStart w:id="194" w:name="_Toc456098339"/>
      <w:r>
        <w:rPr>
          <w:rFonts w:eastAsia="Times New Roman"/>
        </w:rPr>
        <w:t xml:space="preserve">Combined, these costs and averted costs show an estimated </w:t>
      </w:r>
      <w:r w:rsidR="00F068FE">
        <w:rPr>
          <w:rFonts w:eastAsia="Times New Roman"/>
        </w:rPr>
        <w:t xml:space="preserve">net averted </w:t>
      </w:r>
      <w:r>
        <w:rPr>
          <w:rFonts w:eastAsia="Times New Roman"/>
        </w:rPr>
        <w:t>cost to the NRC as a result of this rulemaking r</w:t>
      </w:r>
      <w:r w:rsidR="00E231EA">
        <w:rPr>
          <w:rFonts w:eastAsia="Times New Roman"/>
        </w:rPr>
        <w:t xml:space="preserve">anging from </w:t>
      </w:r>
      <w:r w:rsidR="004C2963">
        <w:rPr>
          <w:rFonts w:eastAsia="Times New Roman"/>
        </w:rPr>
        <w:t>$</w:t>
      </w:r>
      <w:r w:rsidR="00D40CCA">
        <w:rPr>
          <w:rFonts w:eastAsia="Times New Roman"/>
        </w:rPr>
        <w:t>2</w:t>
      </w:r>
      <w:r w:rsidR="004C2963">
        <w:rPr>
          <w:rFonts w:eastAsia="Times New Roman"/>
        </w:rPr>
        <w:t>.</w:t>
      </w:r>
      <w:r w:rsidR="0007118D">
        <w:rPr>
          <w:rFonts w:eastAsia="Times New Roman"/>
        </w:rPr>
        <w:t>35</w:t>
      </w:r>
      <w:r w:rsidR="008F09E7">
        <w:rPr>
          <w:rFonts w:eastAsia="Times New Roman"/>
        </w:rPr>
        <w:t> </w:t>
      </w:r>
      <w:r w:rsidR="00D96721">
        <w:rPr>
          <w:rFonts w:eastAsia="Times New Roman"/>
        </w:rPr>
        <w:t>million</w:t>
      </w:r>
      <w:r w:rsidR="00E231EA">
        <w:rPr>
          <w:rFonts w:eastAsia="Times New Roman"/>
        </w:rPr>
        <w:t xml:space="preserve"> </w:t>
      </w:r>
      <w:r w:rsidR="00D96721">
        <w:rPr>
          <w:rFonts w:eastAsia="Times New Roman"/>
        </w:rPr>
        <w:t>(</w:t>
      </w:r>
      <w:r w:rsidR="00E231EA">
        <w:rPr>
          <w:rFonts w:eastAsia="Times New Roman"/>
        </w:rPr>
        <w:t>7</w:t>
      </w:r>
      <w:r w:rsidR="00D379BE">
        <w:rPr>
          <w:rFonts w:eastAsia="Times New Roman"/>
        </w:rPr>
        <w:noBreakHyphen/>
      </w:r>
      <w:r>
        <w:rPr>
          <w:rFonts w:eastAsia="Times New Roman"/>
        </w:rPr>
        <w:t>percent NPV</w:t>
      </w:r>
      <w:r w:rsidR="00D96721">
        <w:rPr>
          <w:rFonts w:eastAsia="Times New Roman"/>
        </w:rPr>
        <w:t>)</w:t>
      </w:r>
      <w:r>
        <w:rPr>
          <w:rFonts w:eastAsia="Times New Roman"/>
        </w:rPr>
        <w:t xml:space="preserve"> t</w:t>
      </w:r>
      <w:r w:rsidR="00F068FE">
        <w:rPr>
          <w:rFonts w:eastAsia="Times New Roman"/>
        </w:rPr>
        <w:t>o</w:t>
      </w:r>
      <w:r w:rsidR="00E231EA">
        <w:rPr>
          <w:rFonts w:eastAsia="Times New Roman"/>
        </w:rPr>
        <w:t xml:space="preserve"> $</w:t>
      </w:r>
      <w:r w:rsidR="0007118D">
        <w:rPr>
          <w:rFonts w:eastAsia="Times New Roman"/>
        </w:rPr>
        <w:t>4</w:t>
      </w:r>
      <w:r w:rsidR="002D53A7">
        <w:rPr>
          <w:rFonts w:eastAsia="Times New Roman"/>
        </w:rPr>
        <w:t>.</w:t>
      </w:r>
      <w:r w:rsidR="0007118D">
        <w:rPr>
          <w:rFonts w:eastAsia="Times New Roman"/>
        </w:rPr>
        <w:t>24</w:t>
      </w:r>
      <w:r w:rsidR="00A74C4D">
        <w:rPr>
          <w:rFonts w:eastAsia="Times New Roman"/>
        </w:rPr>
        <w:t> </w:t>
      </w:r>
      <w:r w:rsidR="00D96721">
        <w:rPr>
          <w:rFonts w:eastAsia="Times New Roman"/>
        </w:rPr>
        <w:t>million</w:t>
      </w:r>
      <w:r w:rsidR="00E231EA">
        <w:rPr>
          <w:rFonts w:eastAsia="Times New Roman"/>
        </w:rPr>
        <w:t xml:space="preserve"> (3</w:t>
      </w:r>
      <w:r w:rsidR="00A74C4D">
        <w:rPr>
          <w:rFonts w:eastAsia="Times New Roman"/>
        </w:rPr>
        <w:noBreakHyphen/>
      </w:r>
      <w:r>
        <w:rPr>
          <w:rFonts w:eastAsia="Times New Roman"/>
        </w:rPr>
        <w:t xml:space="preserve">percent NPV), as shown </w:t>
      </w:r>
      <w:r w:rsidRPr="0074448F">
        <w:rPr>
          <w:rFonts w:eastAsia="Times New Roman"/>
        </w:rPr>
        <w:t xml:space="preserve">in </w:t>
      </w:r>
      <w:r w:rsidRPr="00EE77D0">
        <w:rPr>
          <w:rFonts w:eastAsia="Times New Roman"/>
        </w:rPr>
        <w:fldChar w:fldCharType="begin"/>
      </w:r>
      <w:r w:rsidRPr="0074448F">
        <w:rPr>
          <w:rFonts w:eastAsia="Times New Roman"/>
        </w:rPr>
        <w:instrText xml:space="preserve"> REF _Ref506274068 \h </w:instrText>
      </w:r>
      <w:r w:rsidRPr="00581806" w:rsidR="0074448F">
        <w:rPr>
          <w:rFonts w:eastAsia="Times New Roman"/>
        </w:rPr>
        <w:instrText xml:space="preserve"> \* MERGEFORMAT </w:instrText>
      </w:r>
      <w:r w:rsidRPr="00EE77D0">
        <w:rPr>
          <w:rFonts w:eastAsia="Times New Roman"/>
        </w:rPr>
        <w:fldChar w:fldCharType="separate"/>
      </w:r>
      <w:r w:rsidRPr="004634A0" w:rsidR="004634A0">
        <w:t>Table</w:t>
      </w:r>
      <w:r w:rsidRPr="00581806" w:rsidR="004634A0">
        <w:rPr>
          <w:b/>
        </w:rPr>
        <w:t xml:space="preserve"> </w:t>
      </w:r>
      <w:r w:rsidRPr="00326B3D" w:rsidR="004634A0">
        <w:rPr>
          <w:bCs/>
          <w:noProof/>
        </w:rPr>
        <w:t>14</w:t>
      </w:r>
      <w:r w:rsidRPr="00EE77D0">
        <w:rPr>
          <w:rFonts w:eastAsia="Times New Roman"/>
        </w:rPr>
        <w:fldChar w:fldCharType="end"/>
      </w:r>
      <w:r w:rsidR="00695C17">
        <w:rPr>
          <w:rFonts w:eastAsia="Times New Roman"/>
        </w:rPr>
        <w:t>.</w:t>
      </w:r>
    </w:p>
    <w:p w:rsidR="009128E1" w:rsidP="008440FA" w14:paraId="5F9CF9C3" w14:textId="77777777">
      <w:pPr>
        <w:spacing w:line="240" w:lineRule="auto"/>
      </w:pPr>
    </w:p>
    <w:p w:rsidR="009128E1" w:rsidP="008440FA" w14:paraId="2426A4AE" w14:textId="51D281EE">
      <w:pPr>
        <w:pStyle w:val="Caption"/>
        <w:spacing w:after="120" w:line="240" w:lineRule="auto"/>
        <w:ind w:left="1080" w:hanging="1080"/>
        <w:jc w:val="center"/>
        <w:rPr>
          <w:b/>
        </w:rPr>
      </w:pPr>
      <w:bookmarkStart w:id="195" w:name="_Ref506274068"/>
      <w:bookmarkStart w:id="196" w:name="_Toc70669551"/>
      <w:bookmarkStart w:id="197" w:name="_Toc85198670"/>
      <w:r w:rsidRPr="00581806">
        <w:rPr>
          <w:b/>
        </w:rPr>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4634A0">
        <w:rPr>
          <w:b/>
          <w:noProof/>
        </w:rPr>
        <w:t>14</w:t>
      </w:r>
      <w:r w:rsidRPr="00581806" w:rsidR="000012A5">
        <w:rPr>
          <w:b/>
          <w:noProof/>
        </w:rPr>
        <w:fldChar w:fldCharType="end"/>
      </w:r>
      <w:bookmarkEnd w:id="195"/>
      <w:r w:rsidRPr="00581806" w:rsidR="00A70FAA">
        <w:rPr>
          <w:b/>
        </w:rPr>
        <w:t xml:space="preserve">  </w:t>
      </w:r>
      <w:r w:rsidRPr="00581806">
        <w:rPr>
          <w:b/>
        </w:rPr>
        <w:t>Total NRC Costs</w:t>
      </w:r>
      <w:bookmarkEnd w:id="196"/>
      <w:bookmarkEnd w:id="197"/>
    </w:p>
    <w:p w:rsidR="00E76A1B" w:rsidRPr="00BE0CCE" w:rsidP="00BE0CCE" w14:paraId="36E9D872" w14:textId="5061E956">
      <w:pPr>
        <w:jc w:val="center"/>
      </w:pPr>
      <w:r w:rsidRPr="0007118D">
        <w:rPr>
          <w:noProof/>
        </w:rPr>
        <w:drawing>
          <wp:inline distT="0" distB="0" distL="0" distR="0">
            <wp:extent cx="4579620" cy="868680"/>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1"/>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4579620" cy="868680"/>
                    </a:xfrm>
                    <a:prstGeom prst="rect">
                      <a:avLst/>
                    </a:prstGeom>
                    <a:noFill/>
                    <a:ln>
                      <a:noFill/>
                    </a:ln>
                  </pic:spPr>
                </pic:pic>
              </a:graphicData>
            </a:graphic>
          </wp:inline>
        </w:drawing>
      </w:r>
    </w:p>
    <w:p w:rsidR="001D71EB" w:rsidRPr="00581806" w:rsidP="008440FA" w14:paraId="002A550B" w14:textId="1EF10DB4">
      <w:pPr>
        <w:spacing w:before="120" w:line="240" w:lineRule="auto"/>
        <w:ind w:left="1260"/>
        <w:rPr>
          <w:rFonts w:eastAsia="Times New Roman"/>
          <w:bCs/>
          <w:sz w:val="18"/>
          <w:szCs w:val="18"/>
        </w:rPr>
      </w:pPr>
      <w:r w:rsidRPr="00581806">
        <w:rPr>
          <w:rFonts w:eastAsia="Times New Roman"/>
          <w:bCs/>
          <w:sz w:val="18"/>
          <w:szCs w:val="18"/>
        </w:rPr>
        <w:t xml:space="preserve">Note:  Values are in </w:t>
      </w:r>
      <w:r>
        <w:rPr>
          <w:rFonts w:eastAsia="Times New Roman"/>
          <w:bCs/>
          <w:sz w:val="18"/>
          <w:szCs w:val="18"/>
        </w:rPr>
        <w:t xml:space="preserve">base year </w:t>
      </w:r>
      <w:r w:rsidRPr="00581806">
        <w:rPr>
          <w:rFonts w:eastAsia="Times New Roman"/>
          <w:bCs/>
          <w:sz w:val="18"/>
          <w:szCs w:val="18"/>
        </w:rPr>
        <w:t>202</w:t>
      </w:r>
      <w:r w:rsidR="00667854">
        <w:rPr>
          <w:rFonts w:eastAsia="Times New Roman"/>
          <w:bCs/>
          <w:sz w:val="18"/>
          <w:szCs w:val="18"/>
        </w:rPr>
        <w:t>1</w:t>
      </w:r>
      <w:r w:rsidRPr="00581806">
        <w:rPr>
          <w:rFonts w:eastAsia="Times New Roman"/>
          <w:bCs/>
          <w:sz w:val="18"/>
          <w:szCs w:val="18"/>
        </w:rPr>
        <w:t xml:space="preserve"> dollars, rounded to the nearest $1</w:t>
      </w:r>
      <w:r w:rsidR="00667854">
        <w:rPr>
          <w:rFonts w:eastAsia="Times New Roman"/>
          <w:bCs/>
          <w:sz w:val="18"/>
          <w:szCs w:val="18"/>
        </w:rPr>
        <w:t>0</w:t>
      </w:r>
      <w:r w:rsidRPr="00581806">
        <w:rPr>
          <w:rFonts w:eastAsia="Times New Roman"/>
          <w:bCs/>
          <w:sz w:val="18"/>
          <w:szCs w:val="18"/>
        </w:rPr>
        <w:t>,000.</w:t>
      </w:r>
    </w:p>
    <w:p w:rsidR="001D71EB" w:rsidRPr="001C57C6" w:rsidP="008440FA" w14:paraId="0E716DBD" w14:textId="77777777">
      <w:pPr>
        <w:spacing w:line="240" w:lineRule="auto"/>
      </w:pPr>
    </w:p>
    <w:p w:rsidR="009128E1" w:rsidP="008440FA" w14:paraId="4645A9A1" w14:textId="669250D3">
      <w:pPr>
        <w:pStyle w:val="Heading2"/>
        <w:numPr>
          <w:ilvl w:val="1"/>
          <w:numId w:val="34"/>
        </w:numPr>
        <w:spacing w:line="240" w:lineRule="auto"/>
        <w:ind w:hanging="792"/>
      </w:pPr>
      <w:bookmarkStart w:id="198" w:name="_Toc70669512"/>
      <w:bookmarkStart w:id="199" w:name="_Toc85198611"/>
      <w:bookmarkEnd w:id="194"/>
      <w:r>
        <w:t>Total Costs</w:t>
      </w:r>
      <w:bookmarkEnd w:id="198"/>
      <w:bookmarkEnd w:id="199"/>
    </w:p>
    <w:p w:rsidR="009128E1" w:rsidP="008440FA" w14:paraId="79895DC0" w14:textId="77777777">
      <w:pPr>
        <w:spacing w:line="240" w:lineRule="auto"/>
      </w:pPr>
    </w:p>
    <w:p w:rsidR="009128E1" w:rsidP="008440FA" w14:paraId="25DE8DE8" w14:textId="65105D18">
      <w:pPr>
        <w:tabs>
          <w:tab w:val="left" w:pos="1440"/>
          <w:tab w:val="left" w:pos="2160"/>
        </w:tabs>
        <w:spacing w:line="240" w:lineRule="auto"/>
        <w:rPr>
          <w:rFonts w:eastAsia="Times New Roman"/>
        </w:rPr>
      </w:pPr>
      <w:r w:rsidRPr="00711891">
        <w:rPr>
          <w:rFonts w:eastAsia="Times New Roman"/>
        </w:rPr>
        <w:t xml:space="preserve">Relative to </w:t>
      </w:r>
      <w:r>
        <w:rPr>
          <w:rFonts w:eastAsia="Times New Roman"/>
        </w:rPr>
        <w:t>Alternative</w:t>
      </w:r>
      <w:r w:rsidR="008F09E7">
        <w:rPr>
          <w:rFonts w:eastAsia="Times New Roman"/>
        </w:rPr>
        <w:t> </w:t>
      </w:r>
      <w:r>
        <w:rPr>
          <w:rFonts w:eastAsia="Times New Roman"/>
        </w:rPr>
        <w:t xml:space="preserve">1 </w:t>
      </w:r>
      <w:r w:rsidR="00B43B64">
        <w:rPr>
          <w:rFonts w:eastAsia="Times New Roman"/>
        </w:rPr>
        <w:t>(i.e.,</w:t>
      </w:r>
      <w:r w:rsidR="008F09E7">
        <w:rPr>
          <w:rFonts w:eastAsia="Times New Roman"/>
        </w:rPr>
        <w:t> </w:t>
      </w:r>
      <w:r>
        <w:rPr>
          <w:rFonts w:eastAsia="Times New Roman"/>
        </w:rPr>
        <w:t>using the exemption process to</w:t>
      </w:r>
      <w:r w:rsidR="008648E5">
        <w:rPr>
          <w:rFonts w:eastAsia="Times New Roman"/>
        </w:rPr>
        <w:t xml:space="preserve"> request exemptions </w:t>
      </w:r>
      <w:r w:rsidR="00B43B64">
        <w:rPr>
          <w:rFonts w:eastAsia="Times New Roman"/>
        </w:rPr>
        <w:t>from</w:t>
      </w:r>
      <w:r w:rsidRPr="00711891">
        <w:rPr>
          <w:rFonts w:eastAsia="Times New Roman"/>
        </w:rPr>
        <w:t xml:space="preserve"> the</w:t>
      </w:r>
      <w:r>
        <w:rPr>
          <w:rFonts w:eastAsia="Times New Roman"/>
        </w:rPr>
        <w:t xml:space="preserve"> </w:t>
      </w:r>
      <w:r w:rsidR="00604747">
        <w:rPr>
          <w:rFonts w:eastAsia="Times New Roman"/>
        </w:rPr>
        <w:t>EP </w:t>
      </w:r>
      <w:r>
        <w:rPr>
          <w:rFonts w:eastAsia="Times New Roman"/>
        </w:rPr>
        <w:t xml:space="preserve">regulations for SMRs and </w:t>
      </w:r>
      <w:r w:rsidR="00C6347F">
        <w:rPr>
          <w:rFonts w:eastAsia="Times New Roman"/>
        </w:rPr>
        <w:t>ONT</w:t>
      </w:r>
      <w:r w:rsidRPr="00711891">
        <w:rPr>
          <w:rFonts w:eastAsia="Times New Roman"/>
        </w:rPr>
        <w:t>s</w:t>
      </w:r>
      <w:r w:rsidR="00B43B64">
        <w:rPr>
          <w:rFonts w:eastAsia="Times New Roman"/>
        </w:rPr>
        <w:t>)</w:t>
      </w:r>
      <w:r w:rsidRPr="00711891">
        <w:rPr>
          <w:rFonts w:eastAsia="Times New Roman"/>
        </w:rPr>
        <w:t xml:space="preserve">, the </w:t>
      </w:r>
      <w:r w:rsidR="003971A5">
        <w:rPr>
          <w:rFonts w:eastAsia="Times New Roman"/>
        </w:rPr>
        <w:t>NRC</w:t>
      </w:r>
      <w:r w:rsidRPr="00711891">
        <w:rPr>
          <w:rFonts w:eastAsia="Times New Roman"/>
        </w:rPr>
        <w:t xml:space="preserve"> concludes that the </w:t>
      </w:r>
      <w:r>
        <w:rPr>
          <w:rFonts w:eastAsia="Times New Roman"/>
        </w:rPr>
        <w:t xml:space="preserve">averted incremental costs to the </w:t>
      </w:r>
      <w:r w:rsidRPr="001273D7" w:rsidR="001273D7">
        <w:rPr>
          <w:rFonts w:eastAsia="Times New Roman"/>
        </w:rPr>
        <w:t xml:space="preserve">applicants and </w:t>
      </w:r>
      <w:r>
        <w:rPr>
          <w:rFonts w:eastAsia="Times New Roman"/>
        </w:rPr>
        <w:t>licensees</w:t>
      </w:r>
      <w:r w:rsidR="004C4312">
        <w:rPr>
          <w:rFonts w:eastAsia="Times New Roman"/>
        </w:rPr>
        <w:t xml:space="preserve"> </w:t>
      </w:r>
      <w:r w:rsidRPr="00711891">
        <w:rPr>
          <w:rFonts w:eastAsia="Times New Roman"/>
        </w:rPr>
        <w:t xml:space="preserve">justify the </w:t>
      </w:r>
      <w:r w:rsidRPr="00711891" w:rsidR="008F09E7">
        <w:rPr>
          <w:rFonts w:eastAsia="Times New Roman"/>
        </w:rPr>
        <w:t>NRC</w:t>
      </w:r>
      <w:r w:rsidR="008F09E7">
        <w:rPr>
          <w:rFonts w:eastAsia="Times New Roman"/>
        </w:rPr>
        <w:t>’s</w:t>
      </w:r>
      <w:r w:rsidRPr="00711891" w:rsidR="008F09E7">
        <w:rPr>
          <w:rFonts w:eastAsia="Times New Roman"/>
        </w:rPr>
        <w:t xml:space="preserve"> </w:t>
      </w:r>
      <w:r w:rsidRPr="00711891">
        <w:rPr>
          <w:rFonts w:eastAsia="Times New Roman"/>
        </w:rPr>
        <w:t>incremental costs for this rulemaking action</w:t>
      </w:r>
      <w:r>
        <w:rPr>
          <w:rFonts w:eastAsia="Times New Roman"/>
        </w:rPr>
        <w:t xml:space="preserve"> (Alternative</w:t>
      </w:r>
      <w:r w:rsidR="008F09E7">
        <w:rPr>
          <w:rFonts w:eastAsia="Times New Roman"/>
        </w:rPr>
        <w:t> </w:t>
      </w:r>
      <w:r>
        <w:rPr>
          <w:rFonts w:eastAsia="Times New Roman"/>
        </w:rPr>
        <w:t>2)</w:t>
      </w:r>
      <w:r w:rsidRPr="00711891">
        <w:rPr>
          <w:rFonts w:eastAsia="Times New Roman"/>
        </w:rPr>
        <w:t xml:space="preserve">.  </w:t>
      </w:r>
      <w:r w:rsidRPr="00EE77D0">
        <w:rPr>
          <w:rFonts w:eastAsia="Times New Roman"/>
        </w:rPr>
        <w:fldChar w:fldCharType="begin"/>
      </w:r>
      <w:r w:rsidRPr="00E07501">
        <w:rPr>
          <w:rFonts w:eastAsia="Times New Roman"/>
        </w:rPr>
        <w:instrText xml:space="preserve"> REF _Ref506274095 \h </w:instrText>
      </w:r>
      <w:r w:rsidRPr="00581806" w:rsidR="00E07501">
        <w:rPr>
          <w:rFonts w:eastAsia="Times New Roman"/>
        </w:rPr>
        <w:instrText xml:space="preserve"> \* MERGEFORMAT </w:instrText>
      </w:r>
      <w:r w:rsidRPr="00EE77D0">
        <w:rPr>
          <w:rFonts w:eastAsia="Times New Roman"/>
        </w:rPr>
        <w:fldChar w:fldCharType="separate"/>
      </w:r>
      <w:r w:rsidRPr="004634A0" w:rsidR="004634A0">
        <w:t>Table</w:t>
      </w:r>
      <w:r w:rsidRPr="00581806" w:rsidR="004634A0">
        <w:rPr>
          <w:b/>
        </w:rPr>
        <w:t xml:space="preserve"> </w:t>
      </w:r>
      <w:r w:rsidRPr="00326B3D" w:rsidR="004634A0">
        <w:rPr>
          <w:bCs/>
          <w:noProof/>
        </w:rPr>
        <w:t>15</w:t>
      </w:r>
      <w:r w:rsidRPr="00EE77D0">
        <w:rPr>
          <w:rFonts w:eastAsia="Times New Roman"/>
        </w:rPr>
        <w:fldChar w:fldCharType="end"/>
      </w:r>
      <w:r w:rsidRPr="00E07501">
        <w:rPr>
          <w:rFonts w:eastAsia="Times New Roman"/>
        </w:rPr>
        <w:t xml:space="preserve"> sh</w:t>
      </w:r>
      <w:r w:rsidRPr="00711891">
        <w:rPr>
          <w:rFonts w:eastAsia="Times New Roman"/>
        </w:rPr>
        <w:t>ows a net benefit (averted cost) for the quantit</w:t>
      </w:r>
      <w:r w:rsidR="00A85BFC">
        <w:rPr>
          <w:rFonts w:eastAsia="Times New Roman"/>
        </w:rPr>
        <w:t>ative factors discussed above.</w:t>
      </w:r>
    </w:p>
    <w:p w:rsidR="006624DA" w:rsidP="008440FA" w14:paraId="63A96BB1" w14:textId="75954A60">
      <w:pPr>
        <w:tabs>
          <w:tab w:val="left" w:pos="1440"/>
          <w:tab w:val="left" w:pos="2160"/>
        </w:tabs>
        <w:spacing w:line="240" w:lineRule="auto"/>
        <w:rPr>
          <w:rFonts w:eastAsia="Times New Roman"/>
        </w:rPr>
      </w:pPr>
    </w:p>
    <w:p w:rsidR="009128E1" w:rsidRPr="00581806" w:rsidP="008440FA" w14:paraId="455203DA" w14:textId="3DD5D646">
      <w:pPr>
        <w:pStyle w:val="Caption"/>
        <w:spacing w:after="120" w:line="240" w:lineRule="auto"/>
        <w:ind w:left="810" w:hanging="1080"/>
        <w:jc w:val="center"/>
        <w:rPr>
          <w:b/>
        </w:rPr>
      </w:pPr>
      <w:bookmarkStart w:id="200" w:name="_Ref506274095"/>
      <w:bookmarkStart w:id="201" w:name="_Toc70669552"/>
      <w:bookmarkStart w:id="202" w:name="_Toc85198671"/>
      <w:r w:rsidRPr="00581806">
        <w:rPr>
          <w:b/>
        </w:rPr>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4634A0">
        <w:rPr>
          <w:b/>
          <w:noProof/>
        </w:rPr>
        <w:t>15</w:t>
      </w:r>
      <w:r w:rsidRPr="00581806" w:rsidR="000012A5">
        <w:rPr>
          <w:b/>
          <w:noProof/>
        </w:rPr>
        <w:fldChar w:fldCharType="end"/>
      </w:r>
      <w:bookmarkEnd w:id="200"/>
      <w:r w:rsidRPr="00581806" w:rsidR="00A70FAA">
        <w:rPr>
          <w:b/>
        </w:rPr>
        <w:t xml:space="preserve">  </w:t>
      </w:r>
      <w:r w:rsidRPr="00581806">
        <w:rPr>
          <w:b/>
        </w:rPr>
        <w:t>Total Costs</w:t>
      </w:r>
      <w:r w:rsidR="00E07501">
        <w:rPr>
          <w:b/>
        </w:rPr>
        <w:t xml:space="preserve"> with the </w:t>
      </w:r>
      <w:r w:rsidR="00092D1F">
        <w:rPr>
          <w:b/>
        </w:rPr>
        <w:t>P</w:t>
      </w:r>
      <w:r w:rsidR="00E07501">
        <w:rPr>
          <w:b/>
        </w:rPr>
        <w:t xml:space="preserve">lume Exposure Pathway </w:t>
      </w:r>
      <w:r w:rsidR="00E07501">
        <w:rPr>
          <w:b/>
        </w:rPr>
        <w:t>EPZ</w:t>
      </w:r>
      <w:r w:rsidR="00E07501">
        <w:rPr>
          <w:b/>
        </w:rPr>
        <w:t xml:space="preserve"> </w:t>
      </w:r>
      <w:r w:rsidR="008F09E7">
        <w:rPr>
          <w:b/>
        </w:rPr>
        <w:t>I</w:t>
      </w:r>
      <w:r w:rsidR="00E07501">
        <w:rPr>
          <w:b/>
        </w:rPr>
        <w:t>nside the Site Boundary</w:t>
      </w:r>
      <w:bookmarkEnd w:id="201"/>
      <w:bookmarkEnd w:id="202"/>
    </w:p>
    <w:p w:rsidR="000E7C60" w:rsidP="008440FA" w14:paraId="459C3276" w14:textId="21AD3581">
      <w:pPr>
        <w:spacing w:line="240" w:lineRule="auto"/>
        <w:ind w:left="207"/>
        <w:rPr>
          <w:rFonts w:eastAsia="Times New Roman"/>
          <w:bCs/>
          <w:sz w:val="20"/>
          <w:szCs w:val="20"/>
        </w:rPr>
      </w:pPr>
      <w:r w:rsidRPr="00DE6306">
        <w:rPr>
          <w:noProof/>
        </w:rPr>
        <w:drawing>
          <wp:inline distT="0" distB="0" distL="0" distR="0">
            <wp:extent cx="5013960" cy="1706880"/>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2"/>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5013960" cy="1706880"/>
                    </a:xfrm>
                    <a:prstGeom prst="rect">
                      <a:avLst/>
                    </a:prstGeom>
                    <a:noFill/>
                    <a:ln>
                      <a:noFill/>
                    </a:ln>
                  </pic:spPr>
                </pic:pic>
              </a:graphicData>
            </a:graphic>
          </wp:inline>
        </w:drawing>
      </w:r>
    </w:p>
    <w:p w:rsidR="009128E1" w:rsidRPr="00581806" w:rsidP="008440FA" w14:paraId="758BB8EF" w14:textId="56DAE8E7">
      <w:pPr>
        <w:spacing w:before="120" w:line="240" w:lineRule="auto"/>
        <w:ind w:left="180"/>
        <w:rPr>
          <w:rFonts w:eastAsia="Times New Roman"/>
          <w:bCs/>
          <w:sz w:val="18"/>
          <w:szCs w:val="18"/>
        </w:rPr>
      </w:pPr>
      <w:r w:rsidRPr="00581806">
        <w:rPr>
          <w:rFonts w:eastAsia="Times New Roman"/>
          <w:bCs/>
          <w:sz w:val="18"/>
          <w:szCs w:val="18"/>
        </w:rPr>
        <w:t xml:space="preserve">Note:  There may be small differences between tables </w:t>
      </w:r>
      <w:r w:rsidR="00A74C4D">
        <w:rPr>
          <w:rFonts w:eastAsia="Times New Roman"/>
          <w:bCs/>
          <w:sz w:val="18"/>
          <w:szCs w:val="18"/>
        </w:rPr>
        <w:t>as a result of</w:t>
      </w:r>
      <w:r w:rsidRPr="00581806">
        <w:rPr>
          <w:rFonts w:eastAsia="Times New Roman"/>
          <w:bCs/>
          <w:sz w:val="18"/>
          <w:szCs w:val="18"/>
        </w:rPr>
        <w:t xml:space="preserve"> rounding.</w:t>
      </w:r>
    </w:p>
    <w:p w:rsidR="009128E1" w:rsidRPr="00711891" w:rsidP="008440FA" w14:paraId="0C42ABBA" w14:textId="77777777">
      <w:pPr>
        <w:spacing w:line="240" w:lineRule="auto"/>
      </w:pPr>
    </w:p>
    <w:p w:rsidR="009128E1" w:rsidP="008440FA" w14:paraId="74C2BEA2" w14:textId="53170870">
      <w:pPr>
        <w:spacing w:line="240" w:lineRule="auto"/>
      </w:pPr>
      <w:r>
        <w:t xml:space="preserve">The </w:t>
      </w:r>
      <w:r w:rsidR="00695C17">
        <w:t xml:space="preserve">net </w:t>
      </w:r>
      <w:r>
        <w:t xml:space="preserve">averted costs to industry and </w:t>
      </w:r>
      <w:r w:rsidR="00B22B62">
        <w:t xml:space="preserve">the </w:t>
      </w:r>
      <w:r>
        <w:t>NRC if the rulemaking alternative is pursued range from $</w:t>
      </w:r>
      <w:r w:rsidR="00E10EF7">
        <w:t>7</w:t>
      </w:r>
      <w:r w:rsidR="002D53A7">
        <w:t>.</w:t>
      </w:r>
      <w:r w:rsidR="00E10EF7">
        <w:t>97</w:t>
      </w:r>
      <w:r w:rsidR="00B22B62">
        <w:t> </w:t>
      </w:r>
      <w:r w:rsidR="00D96721">
        <w:t>million (7</w:t>
      </w:r>
      <w:r w:rsidR="00C014C1">
        <w:noBreakHyphen/>
      </w:r>
      <w:r>
        <w:t>percent NPV) to $</w:t>
      </w:r>
      <w:r w:rsidR="00C71D7B">
        <w:t>1</w:t>
      </w:r>
      <w:r w:rsidR="00E10EF7">
        <w:t>4</w:t>
      </w:r>
      <w:r w:rsidR="002D53A7">
        <w:t>.</w:t>
      </w:r>
      <w:r w:rsidR="00E10EF7">
        <w:t>9</w:t>
      </w:r>
      <w:r w:rsidR="00D96721">
        <w:t xml:space="preserve"> million (3-</w:t>
      </w:r>
      <w:r>
        <w:t>percent NPV).  T</w:t>
      </w:r>
      <w:r w:rsidRPr="00574C61">
        <w:t>he rulemaking alternative (</w:t>
      </w:r>
      <w:r w:rsidR="003027FA">
        <w:t>Alternative</w:t>
      </w:r>
      <w:r w:rsidR="00C014C1">
        <w:t> </w:t>
      </w:r>
      <w:r w:rsidRPr="00574C61">
        <w:t>2) w</w:t>
      </w:r>
      <w:r w:rsidR="001E2AFC">
        <w:t>ill</w:t>
      </w:r>
      <w:r w:rsidRPr="00574C61">
        <w:t xml:space="preserve"> </w:t>
      </w:r>
      <w:r w:rsidR="008661D9">
        <w:t xml:space="preserve">apply to </w:t>
      </w:r>
      <w:r>
        <w:t xml:space="preserve">any </w:t>
      </w:r>
      <w:r w:rsidR="00303938">
        <w:t xml:space="preserve">existing and </w:t>
      </w:r>
      <w:r>
        <w:t xml:space="preserve">future SMR and </w:t>
      </w:r>
      <w:r w:rsidR="00C6347F">
        <w:t>ONT</w:t>
      </w:r>
      <w:r w:rsidRPr="00574C61">
        <w:t xml:space="preserve"> applicants </w:t>
      </w:r>
      <w:r>
        <w:t>and licensees</w:t>
      </w:r>
      <w:r w:rsidR="008661D9">
        <w:t xml:space="preserve"> </w:t>
      </w:r>
      <w:r w:rsidR="00A257A6">
        <w:t>and</w:t>
      </w:r>
      <w:r w:rsidR="008661D9">
        <w:t xml:space="preserve"> w</w:t>
      </w:r>
      <w:r w:rsidR="001E2AFC">
        <w:t>ill</w:t>
      </w:r>
      <w:r w:rsidR="008661D9">
        <w:t xml:space="preserve"> result in averted costs for </w:t>
      </w:r>
      <w:r w:rsidRPr="008661D9" w:rsidR="008661D9">
        <w:t>reductions in exemption requests, efficiencies gained in processing EP submissions</w:t>
      </w:r>
      <w:r w:rsidR="00B22B62">
        <w:t>,</w:t>
      </w:r>
      <w:r w:rsidRPr="008661D9" w:rsidR="008661D9">
        <w:t xml:space="preserve"> and reductions in LARs</w:t>
      </w:r>
      <w:r w:rsidR="008661D9">
        <w:t>.</w:t>
      </w:r>
      <w:r w:rsidR="00A257A6">
        <w:t xml:space="preserve"> </w:t>
      </w:r>
      <w:r w:rsidR="009B1181">
        <w:t xml:space="preserve"> </w:t>
      </w:r>
      <w:r w:rsidR="00A257A6">
        <w:t>The rulemaking alternative is cost</w:t>
      </w:r>
      <w:r w:rsidR="008F09E7">
        <w:t xml:space="preserve"> </w:t>
      </w:r>
      <w:r w:rsidR="00A257A6">
        <w:t xml:space="preserve">justified because the averted costs </w:t>
      </w:r>
      <w:r w:rsidR="00E76A1B">
        <w:t xml:space="preserve">for SMR and ONT </w:t>
      </w:r>
      <w:r w:rsidRPr="001273D7" w:rsidR="001273D7">
        <w:t xml:space="preserve">applicants and </w:t>
      </w:r>
      <w:r w:rsidR="00E76A1B">
        <w:t>licensees w</w:t>
      </w:r>
      <w:r w:rsidR="001E2AFC">
        <w:t>ill</w:t>
      </w:r>
      <w:r w:rsidR="00E76A1B">
        <w:t xml:space="preserve"> </w:t>
      </w:r>
      <w:r w:rsidR="00A257A6">
        <w:t>exceed the costs of the rulemaking process.</w:t>
      </w:r>
      <w:r w:rsidR="00E10EF7">
        <w:t xml:space="preserve">  As previously stated, both Alternatives 1 and 2 will avert the substantial offsite EP costs delineated in the Industry Operation section of this regulatory analysis.</w:t>
      </w:r>
    </w:p>
    <w:p w:rsidR="009128E1" w:rsidRPr="00711891" w:rsidP="008440FA" w14:paraId="6E18324D" w14:textId="77777777">
      <w:pPr>
        <w:spacing w:line="240" w:lineRule="auto"/>
      </w:pPr>
    </w:p>
    <w:p w:rsidR="009128E1" w:rsidP="008440FA" w14:paraId="66878823" w14:textId="62B543DF">
      <w:pPr>
        <w:pStyle w:val="Heading2"/>
        <w:numPr>
          <w:ilvl w:val="1"/>
          <w:numId w:val="34"/>
        </w:numPr>
        <w:spacing w:line="240" w:lineRule="auto"/>
        <w:ind w:hanging="792"/>
      </w:pPr>
      <w:bookmarkStart w:id="203" w:name="_Toc70669513"/>
      <w:bookmarkStart w:id="204" w:name="_Toc85198612"/>
      <w:r w:rsidRPr="00711891">
        <w:t>Potential Effect on Offsite Governmental Organizations</w:t>
      </w:r>
      <w:bookmarkEnd w:id="203"/>
      <w:bookmarkEnd w:id="204"/>
    </w:p>
    <w:p w:rsidR="009128E1" w:rsidP="008440FA" w14:paraId="29E8444F" w14:textId="20259D92">
      <w:pPr>
        <w:spacing w:line="240" w:lineRule="auto"/>
      </w:pPr>
    </w:p>
    <w:p w:rsidR="00B67FB7" w:rsidP="00BE0CCE" w14:paraId="598052D1" w14:textId="3725B74C">
      <w:pPr>
        <w:spacing w:line="240" w:lineRule="auto"/>
      </w:pPr>
      <w:r>
        <w:t>O</w:t>
      </w:r>
      <w:r>
        <w:t>ffs</w:t>
      </w:r>
      <w:r>
        <w:t xml:space="preserve">ite governmental organizations would incur the same costs to implement and maintain offsite </w:t>
      </w:r>
      <w:r w:rsidR="00C547FC">
        <w:t>EP</w:t>
      </w:r>
      <w:r>
        <w:t xml:space="preserve"> under Alternative</w:t>
      </w:r>
      <w:r w:rsidR="008F09E7">
        <w:t> </w:t>
      </w:r>
      <w:r>
        <w:t>1 (exemption requests) as they would under Alternative</w:t>
      </w:r>
      <w:r w:rsidR="008F09E7">
        <w:t> </w:t>
      </w:r>
      <w:r>
        <w:t>2 (</w:t>
      </w:r>
      <w:r w:rsidR="008F09E7">
        <w:t>r</w:t>
      </w:r>
      <w:r>
        <w:t>ulemaking).</w:t>
      </w:r>
      <w:r>
        <w:t xml:space="preserve"> </w:t>
      </w:r>
    </w:p>
    <w:p w:rsidR="00220AE5" w:rsidRPr="00BE0CCE" w:rsidP="00BE0CCE" w14:paraId="2F115E00" w14:textId="77777777">
      <w:pPr>
        <w:spacing w:line="240" w:lineRule="auto"/>
      </w:pPr>
    </w:p>
    <w:p w:rsidR="001811B8" w:rsidP="008440FA" w14:paraId="19D080C8" w14:textId="7EEEA5ED">
      <w:pPr>
        <w:pStyle w:val="Heading2"/>
        <w:numPr>
          <w:ilvl w:val="1"/>
          <w:numId w:val="34"/>
        </w:numPr>
        <w:spacing w:line="240" w:lineRule="auto"/>
        <w:ind w:hanging="792"/>
      </w:pPr>
      <w:bookmarkStart w:id="205" w:name="_Toc70669514"/>
      <w:bookmarkStart w:id="206" w:name="_Toc85198613"/>
      <w:bookmarkStart w:id="207" w:name="_Ref448229449"/>
      <w:bookmarkStart w:id="208" w:name="_Toc456098347"/>
      <w:bookmarkStart w:id="209" w:name="_Toc457827360"/>
      <w:r>
        <w:t xml:space="preserve">Sensitivity Analysis </w:t>
      </w:r>
      <w:r w:rsidR="00FA40E2">
        <w:t xml:space="preserve">of </w:t>
      </w:r>
      <w:r w:rsidR="007A236C">
        <w:t xml:space="preserve">the Number of and the </w:t>
      </w:r>
      <w:r w:rsidR="00FA40E2">
        <w:t xml:space="preserve">Timing </w:t>
      </w:r>
      <w:r>
        <w:t xml:space="preserve">for </w:t>
      </w:r>
      <w:bookmarkEnd w:id="205"/>
      <w:r w:rsidR="00663497">
        <w:t>License Applications</w:t>
      </w:r>
      <w:bookmarkEnd w:id="206"/>
    </w:p>
    <w:p w:rsidR="006D187F" w:rsidP="008440FA" w14:paraId="7580CA68" w14:textId="77777777">
      <w:pPr>
        <w:spacing w:line="240" w:lineRule="auto"/>
      </w:pPr>
    </w:p>
    <w:p w:rsidR="008976FB" w:rsidP="008440FA" w14:paraId="12FB550A" w14:textId="40B9EFE9">
      <w:pPr>
        <w:spacing w:line="240" w:lineRule="auto"/>
      </w:pPr>
      <w:r>
        <w:t>The regulatory analysis looks at the possibility that some of the SMRs and ONTs</w:t>
      </w:r>
      <w:r w:rsidR="00135C30">
        <w:t>,</w:t>
      </w:r>
      <w:r>
        <w:t xml:space="preserve"> from the </w:t>
      </w:r>
      <w:r w:rsidR="006D4BC0">
        <w:t>12 </w:t>
      </w:r>
      <w:r w:rsidR="00547B5E">
        <w:t>entities</w:t>
      </w:r>
      <w:r w:rsidR="00E93128">
        <w:t xml:space="preserve"> </w:t>
      </w:r>
      <w:r>
        <w:t xml:space="preserve">that have plans to </w:t>
      </w:r>
      <w:r w:rsidR="0003161E">
        <w:t>begin construction</w:t>
      </w:r>
      <w:r>
        <w:t xml:space="preserve"> after the </w:t>
      </w:r>
      <w:r w:rsidR="00530A66">
        <w:t>final</w:t>
      </w:r>
      <w:r>
        <w:t xml:space="preserve"> rule </w:t>
      </w:r>
      <w:r w:rsidR="00135C30">
        <w:t>goes into effect, may decide not to begin the</w:t>
      </w:r>
      <w:r>
        <w:t xml:space="preserve"> application</w:t>
      </w:r>
      <w:r w:rsidR="00135C30">
        <w:t xml:space="preserve"> proces</w:t>
      </w:r>
      <w:r>
        <w:t xml:space="preserve">s. </w:t>
      </w:r>
      <w:r w:rsidR="00332513">
        <w:t xml:space="preserve"> </w:t>
      </w:r>
      <w:r>
        <w:t>Additionally</w:t>
      </w:r>
      <w:r w:rsidR="008F09E7">
        <w:t>,</w:t>
      </w:r>
      <w:r>
        <w:t xml:space="preserve"> the regulatory analysis </w:t>
      </w:r>
      <w:r w:rsidR="008F09E7">
        <w:t>discusses</w:t>
      </w:r>
      <w:r>
        <w:t xml:space="preserve"> the possibility that the</w:t>
      </w:r>
      <w:r w:rsidR="00FB73B7">
        <w:t xml:space="preserve"> remaining</w:t>
      </w:r>
      <w:r>
        <w:t xml:space="preserve"> applications could be delayed.</w:t>
      </w:r>
    </w:p>
    <w:p w:rsidR="008976FB" w:rsidP="008440FA" w14:paraId="6A864BFB" w14:textId="77777777">
      <w:pPr>
        <w:spacing w:line="240" w:lineRule="auto"/>
      </w:pPr>
    </w:p>
    <w:p w:rsidR="001811B8" w:rsidP="008440FA" w14:paraId="0B2ECD9D" w14:textId="42D53C5E">
      <w:pPr>
        <w:spacing w:line="240" w:lineRule="auto"/>
      </w:pPr>
      <w:r>
        <w:t>A</w:t>
      </w:r>
      <w:r w:rsidR="008976FB">
        <w:t xml:space="preserve"> scenario </w:t>
      </w:r>
      <w:r>
        <w:t xml:space="preserve">run for sensitivity </w:t>
      </w:r>
      <w:r w:rsidR="008976FB">
        <w:t xml:space="preserve">has </w:t>
      </w:r>
      <w:r w:rsidR="00CA7DCF">
        <w:t>six</w:t>
      </w:r>
      <w:r w:rsidR="008976FB">
        <w:t xml:space="preserve"> SMRs and ONTs </w:t>
      </w:r>
      <w:r w:rsidR="001357C3">
        <w:t>deciding not to begin the</w:t>
      </w:r>
      <w:r w:rsidR="008976FB">
        <w:t xml:space="preserve"> applic</w:t>
      </w:r>
      <w:r w:rsidR="001357C3">
        <w:t>ation process</w:t>
      </w:r>
      <w:r w:rsidR="001E5B56">
        <w:t xml:space="preserve"> while the remaining </w:t>
      </w:r>
      <w:r w:rsidR="000664E2">
        <w:t>six</w:t>
      </w:r>
      <w:r w:rsidR="008976FB">
        <w:t xml:space="preserve"> that do </w:t>
      </w:r>
      <w:r w:rsidR="008976FB">
        <w:t>submit an application</w:t>
      </w:r>
      <w:r w:rsidR="008976FB">
        <w:t xml:space="preserve"> would have their applications delayed by </w:t>
      </w:r>
      <w:r w:rsidR="008F09E7">
        <w:t>10 </w:t>
      </w:r>
      <w:r w:rsidR="008976FB">
        <w:t xml:space="preserve">years. </w:t>
      </w:r>
      <w:r w:rsidR="00332513">
        <w:t xml:space="preserve"> </w:t>
      </w:r>
      <w:r w:rsidR="008976FB">
        <w:t>The total net averted cost for t</w:t>
      </w:r>
      <w:r w:rsidR="00250D13">
        <w:t>his</w:t>
      </w:r>
      <w:r w:rsidR="00135C30">
        <w:t xml:space="preserve"> scenario was found to be $</w:t>
      </w:r>
      <w:r w:rsidR="00C404CD">
        <w:t>2.</w:t>
      </w:r>
      <w:r w:rsidR="005368AE">
        <w:t>2</w:t>
      </w:r>
      <w:r w:rsidR="00B41D5D">
        <w:t>0</w:t>
      </w:r>
      <w:r w:rsidR="008F09E7">
        <w:t> </w:t>
      </w:r>
      <w:r w:rsidR="008976FB">
        <w:t xml:space="preserve">million at </w:t>
      </w:r>
      <w:r w:rsidRPr="008976FB" w:rsidR="008976FB">
        <w:t>a 7</w:t>
      </w:r>
      <w:r w:rsidRPr="008976FB" w:rsidR="008976FB">
        <w:noBreakHyphen/>
        <w:t>percent discount rate</w:t>
      </w:r>
      <w:r w:rsidR="00C404CD">
        <w:t xml:space="preserve"> and $</w:t>
      </w:r>
      <w:r w:rsidR="005368AE">
        <w:t>5</w:t>
      </w:r>
      <w:r w:rsidR="00C404CD">
        <w:t>.</w:t>
      </w:r>
      <w:r w:rsidR="000C50D8">
        <w:t>8</w:t>
      </w:r>
      <w:r w:rsidR="005368AE">
        <w:t>2</w:t>
      </w:r>
      <w:r w:rsidR="008F09E7">
        <w:t> </w:t>
      </w:r>
      <w:r w:rsidR="00332513">
        <w:t>million at a 3</w:t>
      </w:r>
      <w:r w:rsidR="008F09E7">
        <w:noBreakHyphen/>
      </w:r>
      <w:r w:rsidR="00332513">
        <w:t>percent discount rate</w:t>
      </w:r>
      <w:r w:rsidR="008976FB">
        <w:t>.</w:t>
      </w:r>
      <w:r w:rsidR="00332513">
        <w:t xml:space="preserve"> </w:t>
      </w:r>
      <w:r w:rsidR="008976FB">
        <w:t xml:space="preserve"> In the </w:t>
      </w:r>
      <w:r w:rsidR="001244A7">
        <w:t>base</w:t>
      </w:r>
      <w:r w:rsidR="008976FB">
        <w:t xml:space="preserve"> case where </w:t>
      </w:r>
      <w:r w:rsidR="001357C3">
        <w:t xml:space="preserve">all known </w:t>
      </w:r>
      <w:r w:rsidR="008976FB">
        <w:t>SMR or ONT application</w:t>
      </w:r>
      <w:r w:rsidR="001357C3">
        <w:t>s are submitted</w:t>
      </w:r>
      <w:r w:rsidR="008976FB">
        <w:t xml:space="preserve"> and </w:t>
      </w:r>
      <w:r w:rsidR="00256F70">
        <w:t xml:space="preserve">there is </w:t>
      </w:r>
      <w:r w:rsidR="00FB73B7">
        <w:t>no delay in the</w:t>
      </w:r>
      <w:r w:rsidR="003B3567">
        <w:t xml:space="preserve"> </w:t>
      </w:r>
      <w:r w:rsidR="00256F70">
        <w:t xml:space="preserve">expected </w:t>
      </w:r>
      <w:r w:rsidR="003B3567">
        <w:t>submission</w:t>
      </w:r>
      <w:r w:rsidR="00256F70">
        <w:t>s</w:t>
      </w:r>
      <w:r w:rsidR="003B3567">
        <w:t xml:space="preserve"> of </w:t>
      </w:r>
      <w:r w:rsidR="00FB73B7">
        <w:t>their a</w:t>
      </w:r>
      <w:r w:rsidR="003B3567">
        <w:t>pplication</w:t>
      </w:r>
      <w:r w:rsidR="00FB73B7">
        <w:t>s</w:t>
      </w:r>
      <w:r w:rsidR="008976FB">
        <w:t>,</w:t>
      </w:r>
      <w:r w:rsidR="003B3567">
        <w:t xml:space="preserve"> </w:t>
      </w:r>
      <w:r w:rsidR="008976FB">
        <w:t xml:space="preserve">the </w:t>
      </w:r>
      <w:r w:rsidRPr="008976FB" w:rsidR="008976FB">
        <w:t xml:space="preserve">total net averted cost </w:t>
      </w:r>
      <w:r w:rsidR="00FB73B7">
        <w:t>was found to be</w:t>
      </w:r>
      <w:r w:rsidR="00250D13">
        <w:t xml:space="preserve"> $</w:t>
      </w:r>
      <w:r w:rsidR="00E10EF7">
        <w:t>7</w:t>
      </w:r>
      <w:r w:rsidR="00250D13">
        <w:t>.</w:t>
      </w:r>
      <w:r w:rsidR="00E10EF7">
        <w:t>97</w:t>
      </w:r>
      <w:r w:rsidR="008F09E7">
        <w:t> </w:t>
      </w:r>
      <w:r w:rsidRPr="008976FB" w:rsidR="008976FB">
        <w:t>million at a 7</w:t>
      </w:r>
      <w:r w:rsidRPr="008976FB" w:rsidR="008976FB">
        <w:noBreakHyphen/>
        <w:t>percent discount rate</w:t>
      </w:r>
      <w:r w:rsidR="00C404CD">
        <w:t xml:space="preserve"> and $</w:t>
      </w:r>
      <w:r w:rsidR="007E7FDC">
        <w:t>1</w:t>
      </w:r>
      <w:r w:rsidR="00E10EF7">
        <w:t>4</w:t>
      </w:r>
      <w:r w:rsidR="00C404CD">
        <w:t>.</w:t>
      </w:r>
      <w:r w:rsidR="00E10EF7">
        <w:t>9</w:t>
      </w:r>
      <w:r w:rsidR="008F09E7">
        <w:t> </w:t>
      </w:r>
      <w:r w:rsidR="00332513">
        <w:t>million at a 3</w:t>
      </w:r>
      <w:r w:rsidR="008F09E7">
        <w:noBreakHyphen/>
      </w:r>
      <w:r w:rsidR="00332513">
        <w:t>percent discount rate</w:t>
      </w:r>
      <w:r w:rsidR="008976FB">
        <w:t>.</w:t>
      </w:r>
      <w:r w:rsidR="00250D13">
        <w:t xml:space="preserve"> </w:t>
      </w:r>
      <w:r w:rsidR="00332513">
        <w:t xml:space="preserve"> </w:t>
      </w:r>
      <w:r w:rsidR="00250D13">
        <w:t xml:space="preserve">The conclusion from this sensitivity analysis is that even if </w:t>
      </w:r>
      <w:r w:rsidR="00C550E8">
        <w:t xml:space="preserve">nearly </w:t>
      </w:r>
      <w:r w:rsidR="00250D13">
        <w:t xml:space="preserve">half of the initial SMRs and ONTs cancel their </w:t>
      </w:r>
      <w:r w:rsidR="001244A7">
        <w:t xml:space="preserve">plans for submitting </w:t>
      </w:r>
      <w:r w:rsidR="00250D13">
        <w:t xml:space="preserve">applications and the remaining ones are delayed by a decade, the </w:t>
      </w:r>
      <w:r w:rsidR="00530A66">
        <w:t>final</w:t>
      </w:r>
      <w:r w:rsidR="00250D13">
        <w:t xml:space="preserve"> rule </w:t>
      </w:r>
      <w:r w:rsidR="00A13B02">
        <w:t xml:space="preserve">is </w:t>
      </w:r>
      <w:r w:rsidR="00250D13">
        <w:t>still cost beneficial.</w:t>
      </w:r>
    </w:p>
    <w:p w:rsidR="001D71EB" w:rsidP="008440FA" w14:paraId="5E81AAB7" w14:textId="195B06BB">
      <w:pPr>
        <w:autoSpaceDE/>
        <w:autoSpaceDN/>
        <w:adjustRightInd/>
        <w:spacing w:line="240" w:lineRule="auto"/>
      </w:pPr>
    </w:p>
    <w:p w:rsidR="009128E1" w:rsidP="008440FA" w14:paraId="38696F39" w14:textId="6AF81475">
      <w:pPr>
        <w:pStyle w:val="Heading2"/>
        <w:numPr>
          <w:ilvl w:val="1"/>
          <w:numId w:val="34"/>
        </w:numPr>
        <w:spacing w:line="240" w:lineRule="auto"/>
        <w:ind w:hanging="792"/>
      </w:pPr>
      <w:bookmarkStart w:id="210" w:name="_Toc70669515"/>
      <w:bookmarkStart w:id="211" w:name="_Toc85198614"/>
      <w:r>
        <w:t>Uncertainty Analysis</w:t>
      </w:r>
      <w:bookmarkEnd w:id="207"/>
      <w:bookmarkEnd w:id="208"/>
      <w:bookmarkEnd w:id="209"/>
      <w:bookmarkEnd w:id="210"/>
      <w:bookmarkEnd w:id="211"/>
    </w:p>
    <w:p w:rsidR="009128E1" w:rsidP="0003161E" w14:paraId="3FDCAE68" w14:textId="77777777">
      <w:pPr>
        <w:keepNext/>
        <w:spacing w:line="240" w:lineRule="auto"/>
      </w:pPr>
    </w:p>
    <w:p w:rsidR="009128E1" w:rsidP="008440FA" w14:paraId="101B9750" w14:textId="4C685209">
      <w:pPr>
        <w:spacing w:line="240" w:lineRule="auto"/>
      </w:pPr>
      <w:r>
        <w:t xml:space="preserve">The </w:t>
      </w:r>
      <w:r w:rsidR="003971A5">
        <w:t>NRC</w:t>
      </w:r>
      <w:r>
        <w:t xml:space="preserve"> completed a</w:t>
      </w:r>
      <w:r w:rsidR="00FD3792">
        <w:t xml:space="preserve"> Monte Carlo </w:t>
      </w:r>
      <w:r w:rsidRPr="00FD3792" w:rsidR="00FD3792">
        <w:t>uncertainty</w:t>
      </w:r>
      <w:r w:rsidRPr="00C260BA">
        <w:t xml:space="preserve"> analysis </w:t>
      </w:r>
      <w:r>
        <w:t>for this regulatory analysis using the specialty software @Risk</w:t>
      </w:r>
      <w:r w:rsidRPr="00C260BA">
        <w:t>.</w:t>
      </w:r>
      <w:r>
        <w:rPr>
          <w:rStyle w:val="FootnoteReference"/>
          <w:vertAlign w:val="superscript"/>
        </w:rPr>
        <w:footnoteReference w:id="10"/>
      </w:r>
      <w:r w:rsidRPr="00C260BA">
        <w:t xml:space="preserve">  The Monte </w:t>
      </w:r>
      <w:r>
        <w:t xml:space="preserve">Carlo approach </w:t>
      </w:r>
      <w:r w:rsidRPr="00C260BA">
        <w:t>answer</w:t>
      </w:r>
      <w:r>
        <w:t>s</w:t>
      </w:r>
      <w:r w:rsidRPr="00C260BA">
        <w:t xml:space="preserve"> the question</w:t>
      </w:r>
      <w:r>
        <w:t>, “W</w:t>
      </w:r>
      <w:r w:rsidRPr="00C260BA">
        <w:t xml:space="preserve">hat distribution of net benefits </w:t>
      </w:r>
      <w:r w:rsidR="00FD3792">
        <w:t xml:space="preserve">and costs </w:t>
      </w:r>
      <w:r w:rsidRPr="00C260BA">
        <w:t>results from multiple draws of the probability distribution as</w:t>
      </w:r>
      <w:r>
        <w:t>signed to key variables?”</w:t>
      </w:r>
    </w:p>
    <w:p w:rsidR="009128E1" w:rsidP="008440FA" w14:paraId="0D888F23" w14:textId="4BD28511">
      <w:pPr>
        <w:spacing w:line="240" w:lineRule="auto"/>
      </w:pPr>
    </w:p>
    <w:p w:rsidR="009128E1" w:rsidP="008440FA" w14:paraId="4AE7F899" w14:textId="03E6331A">
      <w:pPr>
        <w:pStyle w:val="Heading3"/>
        <w:numPr>
          <w:ilvl w:val="2"/>
          <w:numId w:val="34"/>
        </w:numPr>
        <w:spacing w:line="240" w:lineRule="auto"/>
        <w:ind w:left="1080" w:hanging="1080"/>
      </w:pPr>
      <w:bookmarkStart w:id="212" w:name="_Toc436817854"/>
      <w:bookmarkStart w:id="213" w:name="_Toc443059996"/>
      <w:bookmarkStart w:id="214" w:name="_Toc456098348"/>
      <w:bookmarkStart w:id="215" w:name="_Toc457827361"/>
      <w:bookmarkStart w:id="216" w:name="_Toc70669516"/>
      <w:bookmarkStart w:id="217" w:name="_Toc85198615"/>
      <w:r>
        <w:t>Uncertainty Analysis Assumptions</w:t>
      </w:r>
      <w:bookmarkEnd w:id="212"/>
      <w:bookmarkEnd w:id="213"/>
      <w:bookmarkEnd w:id="214"/>
      <w:bookmarkEnd w:id="215"/>
      <w:bookmarkEnd w:id="216"/>
      <w:bookmarkEnd w:id="217"/>
    </w:p>
    <w:p w:rsidR="009128E1" w:rsidP="008440FA" w14:paraId="4038D8FA" w14:textId="77777777">
      <w:pPr>
        <w:spacing w:line="240" w:lineRule="auto"/>
      </w:pPr>
    </w:p>
    <w:p w:rsidR="009128E1" w:rsidP="008440FA" w14:paraId="5FE8CF07" w14:textId="298C1F89">
      <w:pPr>
        <w:spacing w:line="240" w:lineRule="auto"/>
      </w:pPr>
      <w:r>
        <w:t xml:space="preserve">Because </w:t>
      </w:r>
      <w:r>
        <w:t>this regulatory analysis is based on estimates of values that are sensitive to plant</w:t>
      </w:r>
      <w:r>
        <w:noBreakHyphen/>
      </w:r>
      <w:r>
        <w:t xml:space="preserve">specific cost drivers and plant dissimilarities, the </w:t>
      </w:r>
      <w:r w:rsidR="003971A5">
        <w:t>NRC</w:t>
      </w:r>
      <w:r>
        <w:t xml:space="preserve"> provides the following analysis of the variables that have the greatest amount of uncertainty.  </w:t>
      </w:r>
      <w:r w:rsidR="000F46FC">
        <w:t>As noted abo</w:t>
      </w:r>
      <w:r w:rsidR="00FA4E97">
        <w:t xml:space="preserve">ve, </w:t>
      </w:r>
      <w:r>
        <w:t xml:space="preserve">the </w:t>
      </w:r>
      <w:r w:rsidR="003971A5">
        <w:t>NRC</w:t>
      </w:r>
      <w:r>
        <w:t xml:space="preserve"> </w:t>
      </w:r>
      <w:r w:rsidR="00FA4E97">
        <w:t xml:space="preserve">performed this analysis </w:t>
      </w:r>
      <w:r w:rsidR="005A340F">
        <w:t>with</w:t>
      </w:r>
      <w:r>
        <w:t xml:space="preserve"> a Monte Carlo simulation analysis using the @Risk software program.</w:t>
      </w:r>
    </w:p>
    <w:p w:rsidR="009128E1" w:rsidP="008440FA" w14:paraId="015B2214" w14:textId="77777777">
      <w:pPr>
        <w:spacing w:line="240" w:lineRule="auto"/>
      </w:pPr>
    </w:p>
    <w:p w:rsidR="009128E1" w:rsidP="008440FA" w14:paraId="20370746" w14:textId="4F91F7CF">
      <w:pPr>
        <w:spacing w:line="240" w:lineRule="auto"/>
      </w:pPr>
      <w:r w:rsidRPr="00BF5AC4">
        <w:t xml:space="preserve">Monte Carlo simulations involve introducing uncertainty into the analysis by replacing the point estimates of the variables used to estimate </w:t>
      </w:r>
      <w:r>
        <w:t>base</w:t>
      </w:r>
      <w:r w:rsidR="00A13B02">
        <w:t xml:space="preserve"> </w:t>
      </w:r>
      <w:r>
        <w:t xml:space="preserve">case </w:t>
      </w:r>
      <w:r w:rsidRPr="00BF5AC4">
        <w:t xml:space="preserve">costs and benefits with probability distributions.  By defining input variables as probability distributions </w:t>
      </w:r>
      <w:r>
        <w:t>instead of</w:t>
      </w:r>
      <w:r w:rsidRPr="00BF5AC4">
        <w:t xml:space="preserve"> point estimates, the </w:t>
      </w:r>
      <w:r>
        <w:t>influence</w:t>
      </w:r>
      <w:r w:rsidRPr="00BF5AC4">
        <w:t xml:space="preserve"> of uncertainty on the results of the analysis (i.e.,</w:t>
      </w:r>
      <w:r w:rsidR="008D66F4">
        <w:t> </w:t>
      </w:r>
      <w:r w:rsidRPr="00BF5AC4">
        <w:t>the net benefit</w:t>
      </w:r>
      <w:r>
        <w:t>s) can be effectively modeled.</w:t>
      </w:r>
    </w:p>
    <w:p w:rsidR="009128E1" w:rsidP="008440FA" w14:paraId="7A1ED022" w14:textId="77777777">
      <w:pPr>
        <w:spacing w:line="240" w:lineRule="auto"/>
      </w:pPr>
    </w:p>
    <w:p w:rsidR="009128E1" w:rsidP="008440FA" w14:paraId="0B23AD8A" w14:textId="125B4275">
      <w:pPr>
        <w:spacing w:line="240" w:lineRule="auto"/>
      </w:pPr>
      <w:r w:rsidRPr="00BF5AC4">
        <w:t>The probability distributions chosen to represent the different variables in the analysis were bounded by the range</w:t>
      </w:r>
      <w:r w:rsidR="006624DA">
        <w:noBreakHyphen/>
      </w:r>
      <w:r>
        <w:t>referenced</w:t>
      </w:r>
      <w:r w:rsidRPr="00BF5AC4">
        <w:t xml:space="preserve"> input</w:t>
      </w:r>
      <w:r>
        <w:t xml:space="preserve"> </w:t>
      </w:r>
      <w:r w:rsidRPr="00BF5AC4">
        <w:t xml:space="preserve">and the </w:t>
      </w:r>
      <w:r w:rsidR="003971A5">
        <w:t>NRC</w:t>
      </w:r>
      <w:r w:rsidR="005A340F">
        <w:t xml:space="preserve"> staff</w:t>
      </w:r>
      <w:r w:rsidRPr="00BF5AC4">
        <w:t xml:space="preserve">’s professional judgment.  When defining the probability distributions for use in </w:t>
      </w:r>
      <w:r>
        <w:t>a</w:t>
      </w:r>
      <w:r w:rsidRPr="00BF5AC4">
        <w:t xml:space="preserve"> Monte Carlo simulation, summary statistics </w:t>
      </w:r>
      <w:r>
        <w:t>are</w:t>
      </w:r>
      <w:r w:rsidRPr="00BF5AC4">
        <w:t xml:space="preserve"> needed to characterize the distributions.  These summary statistics include </w:t>
      </w:r>
      <w:r w:rsidR="008D66F4">
        <w:t>(1) </w:t>
      </w:r>
      <w:r w:rsidRPr="00BF5AC4" w:rsidR="00987238">
        <w:t xml:space="preserve">the </w:t>
      </w:r>
      <w:r w:rsidRPr="00BF5AC4">
        <w:t>minimum</w:t>
      </w:r>
      <w:r>
        <w:t>, most likely,</w:t>
      </w:r>
      <w:r w:rsidRPr="00BF5AC4">
        <w:t xml:space="preserve"> and maximum </w:t>
      </w:r>
      <w:r>
        <w:t xml:space="preserve">values </w:t>
      </w:r>
      <w:r w:rsidRPr="00BF5AC4">
        <w:t xml:space="preserve">of a </w:t>
      </w:r>
      <w:r>
        <w:t>program evaluation and review technique (PERT) distribution,</w:t>
      </w:r>
      <w:r>
        <w:rPr>
          <w:rStyle w:val="FootnoteReference"/>
          <w:vertAlign w:val="superscript"/>
        </w:rPr>
        <w:footnoteReference w:id="11"/>
      </w:r>
      <w:r>
        <w:t xml:space="preserve"> </w:t>
      </w:r>
      <w:r w:rsidR="008D66F4">
        <w:t>(2) </w:t>
      </w:r>
      <w:r>
        <w:t xml:space="preserve">the minimum and maximum values of a uniform distribution, and </w:t>
      </w:r>
      <w:r w:rsidR="008D66F4">
        <w:t>(3) </w:t>
      </w:r>
      <w:r>
        <w:t xml:space="preserve">the specified integer values of a discrete population.  The </w:t>
      </w:r>
      <w:r w:rsidR="003971A5">
        <w:t>NRC</w:t>
      </w:r>
      <w:r>
        <w:t xml:space="preserve"> used the PERT distribution to reflect the relative spread and skewness of the distribution defined by the three estimates.</w:t>
      </w:r>
    </w:p>
    <w:p w:rsidR="009128E1" w:rsidP="008440FA" w14:paraId="72C548B1" w14:textId="77777777">
      <w:pPr>
        <w:spacing w:line="240" w:lineRule="auto"/>
      </w:pPr>
    </w:p>
    <w:p w:rsidR="009128E1" w:rsidRPr="004A5699" w:rsidP="008440FA" w14:paraId="1582AC09" w14:textId="29260BB7">
      <w:pPr>
        <w:spacing w:line="240" w:lineRule="auto"/>
      </w:pPr>
      <w:r w:rsidRPr="004A5699">
        <w:fldChar w:fldCharType="begin"/>
      </w:r>
      <w:r w:rsidRPr="004A5699">
        <w:instrText xml:space="preserve"> REF _Ref453770338 \h  \* MERGEFORMAT </w:instrText>
      </w:r>
      <w:r w:rsidRPr="004A5699">
        <w:fldChar w:fldCharType="separate"/>
      </w:r>
      <w:r w:rsidRPr="004634A0" w:rsidR="004634A0">
        <w:t>Table</w:t>
      </w:r>
      <w:r w:rsidRPr="00581806" w:rsidR="004634A0">
        <w:rPr>
          <w:b/>
        </w:rPr>
        <w:t xml:space="preserve"> </w:t>
      </w:r>
      <w:r w:rsidRPr="00326B3D" w:rsidR="004634A0">
        <w:rPr>
          <w:bCs/>
          <w:noProof/>
        </w:rPr>
        <w:t>16</w:t>
      </w:r>
      <w:r w:rsidRPr="004A5699">
        <w:fldChar w:fldCharType="end"/>
      </w:r>
      <w:r w:rsidRPr="004A5699">
        <w:t xml:space="preserve"> identifies the data elements, the distribution and summary statistic, and the mean value of the distribution used in the uncertainty analysis.</w:t>
      </w:r>
    </w:p>
    <w:p w:rsidR="00B15286" w:rsidRPr="004A5699" w:rsidP="008440FA" w14:paraId="737CBE42" w14:textId="77777777">
      <w:pPr>
        <w:spacing w:line="240" w:lineRule="auto"/>
      </w:pPr>
    </w:p>
    <w:p w:rsidR="009128E1" w:rsidRPr="001608CA" w:rsidP="00BE0CCE" w14:paraId="2A18E936" w14:textId="53BA78FD">
      <w:pPr>
        <w:keepNext/>
        <w:keepLines/>
        <w:spacing w:after="120" w:line="240" w:lineRule="auto"/>
        <w:ind w:left="1080" w:hanging="1080"/>
        <w:jc w:val="center"/>
      </w:pPr>
      <w:bookmarkStart w:id="218" w:name="_Ref453770338"/>
      <w:bookmarkStart w:id="219" w:name="_Toc454442494"/>
      <w:bookmarkStart w:id="220" w:name="_Toc457827414"/>
      <w:bookmarkStart w:id="221" w:name="_Toc70669553"/>
      <w:bookmarkStart w:id="222" w:name="_Toc85198672"/>
      <w:r w:rsidRPr="00581806">
        <w:rPr>
          <w:b/>
        </w:rPr>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4634A0">
        <w:rPr>
          <w:b/>
          <w:noProof/>
        </w:rPr>
        <w:t>16</w:t>
      </w:r>
      <w:r w:rsidRPr="00581806" w:rsidR="000012A5">
        <w:rPr>
          <w:b/>
          <w:noProof/>
        </w:rPr>
        <w:fldChar w:fldCharType="end"/>
      </w:r>
      <w:bookmarkEnd w:id="218"/>
      <w:r w:rsidRPr="00581806" w:rsidR="00A70FAA">
        <w:rPr>
          <w:b/>
        </w:rPr>
        <w:t xml:space="preserve">  </w:t>
      </w:r>
      <w:r w:rsidRPr="00581806">
        <w:rPr>
          <w:b/>
        </w:rPr>
        <w:t>Uncertainty Analysis Variables</w:t>
      </w:r>
      <w:bookmarkEnd w:id="219"/>
      <w:bookmarkEnd w:id="220"/>
      <w:bookmarkEnd w:id="221"/>
      <w:bookmarkEnd w:id="2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1"/>
        <w:gridCol w:w="1318"/>
        <w:gridCol w:w="1549"/>
        <w:gridCol w:w="1134"/>
        <w:gridCol w:w="1134"/>
        <w:gridCol w:w="1134"/>
      </w:tblGrid>
      <w:tr w14:paraId="48927092" w14:textId="77777777" w:rsidTr="001D71E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76"/>
          <w:tblHeader/>
        </w:trPr>
        <w:tc>
          <w:tcPr>
            <w:tcW w:w="3081" w:type="dxa"/>
            <w:hideMark/>
          </w:tcPr>
          <w:p w:rsidR="009128E1" w:rsidRPr="00581806" w:rsidP="00BE0CCE" w14:paraId="18B78A3F" w14:textId="77777777">
            <w:pPr>
              <w:keepNext/>
              <w:keepLines/>
              <w:spacing w:line="240" w:lineRule="auto"/>
              <w:jc w:val="center"/>
              <w:rPr>
                <w:b/>
                <w:bCs/>
              </w:rPr>
            </w:pPr>
            <w:bookmarkStart w:id="223" w:name="RANGE!A1:F234"/>
            <w:bookmarkEnd w:id="223"/>
            <w:r w:rsidRPr="00581806">
              <w:rPr>
                <w:b/>
                <w:bCs/>
              </w:rPr>
              <w:t>Data Element</w:t>
            </w:r>
          </w:p>
        </w:tc>
        <w:tc>
          <w:tcPr>
            <w:tcW w:w="1318" w:type="dxa"/>
            <w:hideMark/>
          </w:tcPr>
          <w:p w:rsidR="009128E1" w:rsidRPr="00581806" w:rsidP="00BE0CCE" w14:paraId="543F4D41" w14:textId="77777777">
            <w:pPr>
              <w:keepNext/>
              <w:keepLines/>
              <w:spacing w:line="240" w:lineRule="auto"/>
              <w:jc w:val="center"/>
              <w:rPr>
                <w:b/>
                <w:bCs/>
              </w:rPr>
            </w:pPr>
            <w:r w:rsidRPr="00581806">
              <w:rPr>
                <w:b/>
                <w:bCs/>
              </w:rPr>
              <w:t>Mean Estimate</w:t>
            </w:r>
          </w:p>
        </w:tc>
        <w:tc>
          <w:tcPr>
            <w:tcW w:w="1549" w:type="dxa"/>
            <w:noWrap/>
            <w:hideMark/>
          </w:tcPr>
          <w:p w:rsidR="009128E1" w:rsidRPr="00581806" w:rsidP="00BE0CCE" w14:paraId="1B83A390" w14:textId="77777777">
            <w:pPr>
              <w:keepNext/>
              <w:keepLines/>
              <w:spacing w:line="240" w:lineRule="auto"/>
              <w:jc w:val="center"/>
              <w:rPr>
                <w:b/>
                <w:bCs/>
              </w:rPr>
            </w:pPr>
            <w:r w:rsidRPr="00581806">
              <w:rPr>
                <w:b/>
                <w:bCs/>
              </w:rPr>
              <w:t>Distribution</w:t>
            </w:r>
          </w:p>
        </w:tc>
        <w:tc>
          <w:tcPr>
            <w:tcW w:w="1134" w:type="dxa"/>
            <w:hideMark/>
          </w:tcPr>
          <w:p w:rsidR="009128E1" w:rsidRPr="00581806" w:rsidP="00BE0CCE" w14:paraId="242682D6" w14:textId="77777777">
            <w:pPr>
              <w:keepNext/>
              <w:keepLines/>
              <w:spacing w:line="240" w:lineRule="auto"/>
              <w:jc w:val="center"/>
              <w:rPr>
                <w:b/>
                <w:bCs/>
              </w:rPr>
            </w:pPr>
            <w:r w:rsidRPr="00581806">
              <w:rPr>
                <w:b/>
                <w:bCs/>
              </w:rPr>
              <w:t>Low Estimate</w:t>
            </w:r>
          </w:p>
        </w:tc>
        <w:tc>
          <w:tcPr>
            <w:tcW w:w="1134" w:type="dxa"/>
            <w:hideMark/>
          </w:tcPr>
          <w:p w:rsidR="009128E1" w:rsidRPr="00581806" w:rsidP="00BE0CCE" w14:paraId="74761611" w14:textId="77777777">
            <w:pPr>
              <w:keepNext/>
              <w:keepLines/>
              <w:spacing w:line="240" w:lineRule="auto"/>
              <w:jc w:val="center"/>
              <w:rPr>
                <w:b/>
                <w:bCs/>
              </w:rPr>
            </w:pPr>
            <w:r w:rsidRPr="00581806">
              <w:rPr>
                <w:b/>
                <w:bCs/>
              </w:rPr>
              <w:t>Best Estimate</w:t>
            </w:r>
          </w:p>
        </w:tc>
        <w:tc>
          <w:tcPr>
            <w:tcW w:w="1134" w:type="dxa"/>
            <w:hideMark/>
          </w:tcPr>
          <w:p w:rsidR="009128E1" w:rsidRPr="00581806" w:rsidP="00BE0CCE" w14:paraId="71399192" w14:textId="77777777">
            <w:pPr>
              <w:keepNext/>
              <w:keepLines/>
              <w:spacing w:line="240" w:lineRule="auto"/>
              <w:jc w:val="center"/>
              <w:rPr>
                <w:b/>
                <w:bCs/>
              </w:rPr>
            </w:pPr>
            <w:r w:rsidRPr="00581806">
              <w:rPr>
                <w:b/>
                <w:bCs/>
              </w:rPr>
              <w:t>High Estimate</w:t>
            </w:r>
          </w:p>
        </w:tc>
      </w:tr>
      <w:tr w14:paraId="5C2BEFD0" w14:textId="77777777" w:rsidTr="00DE74F8">
        <w:tblPrEx>
          <w:tblW w:w="0" w:type="auto"/>
          <w:tblLook w:val="04A0"/>
        </w:tblPrEx>
        <w:trPr>
          <w:trHeight w:val="332"/>
        </w:trPr>
        <w:tc>
          <w:tcPr>
            <w:tcW w:w="9350" w:type="dxa"/>
            <w:gridSpan w:val="6"/>
            <w:vAlign w:val="center"/>
            <w:hideMark/>
          </w:tcPr>
          <w:p w:rsidR="00AD4ECB" w:rsidRPr="00581806" w:rsidP="00BE0CCE" w14:paraId="1A12BEBC" w14:textId="5574297F">
            <w:pPr>
              <w:keepNext/>
              <w:keepLines/>
              <w:spacing w:line="240" w:lineRule="auto"/>
              <w:rPr>
                <w:b/>
                <w:bCs/>
                <w:highlight w:val="yellow"/>
              </w:rPr>
            </w:pPr>
            <w:r w:rsidRPr="00AD4ECB">
              <w:rPr>
                <w:b/>
                <w:bCs/>
                <w:u w:val="single"/>
              </w:rPr>
              <w:t>SMRs and ONTs</w:t>
            </w:r>
          </w:p>
        </w:tc>
      </w:tr>
      <w:tr w14:paraId="58A6A458" w14:textId="77777777" w:rsidTr="00DE74F8">
        <w:tblPrEx>
          <w:tblW w:w="0" w:type="auto"/>
          <w:tblLook w:val="04A0"/>
        </w:tblPrEx>
        <w:trPr>
          <w:trHeight w:val="215"/>
        </w:trPr>
        <w:tc>
          <w:tcPr>
            <w:tcW w:w="3081" w:type="dxa"/>
            <w:vAlign w:val="center"/>
            <w:hideMark/>
          </w:tcPr>
          <w:p w:rsidR="00AD4ECB" w:rsidRPr="00581806" w:rsidP="00BE0CCE" w14:paraId="1C9BDD46" w14:textId="1DE0CA2B">
            <w:pPr>
              <w:keepNext/>
              <w:keepLines/>
              <w:spacing w:line="240" w:lineRule="auto"/>
              <w:rPr>
                <w:highlight w:val="yellow"/>
              </w:rPr>
            </w:pPr>
            <w:r w:rsidRPr="00581806">
              <w:rPr>
                <w:color w:val="000000"/>
              </w:rPr>
              <w:t>Number of SMRs/ONTs</w:t>
            </w:r>
          </w:p>
        </w:tc>
        <w:tc>
          <w:tcPr>
            <w:tcW w:w="1318" w:type="dxa"/>
            <w:noWrap/>
            <w:vAlign w:val="center"/>
          </w:tcPr>
          <w:p w:rsidR="00AD4ECB" w:rsidRPr="00581806" w:rsidP="00BE0CCE" w14:paraId="228490B0" w14:textId="63CFEDA0">
            <w:pPr>
              <w:keepNext/>
              <w:keepLines/>
              <w:spacing w:line="240" w:lineRule="auto"/>
              <w:jc w:val="center"/>
              <w:rPr>
                <w:color w:val="auto"/>
              </w:rPr>
            </w:pPr>
            <w:r>
              <w:rPr>
                <w:color w:val="auto"/>
              </w:rPr>
              <w:t>12</w:t>
            </w:r>
          </w:p>
        </w:tc>
        <w:tc>
          <w:tcPr>
            <w:tcW w:w="1549" w:type="dxa"/>
            <w:noWrap/>
            <w:vAlign w:val="center"/>
            <w:hideMark/>
          </w:tcPr>
          <w:p w:rsidR="00AD4ECB" w:rsidRPr="00581806" w:rsidP="00BE0CCE" w14:paraId="52AF63A3" w14:textId="1539BD1A">
            <w:pPr>
              <w:keepNext/>
              <w:keepLines/>
              <w:spacing w:line="240" w:lineRule="auto"/>
              <w:jc w:val="center"/>
              <w:rPr>
                <w:color w:val="auto"/>
              </w:rPr>
            </w:pPr>
            <w:r>
              <w:rPr>
                <w:color w:val="auto"/>
              </w:rPr>
              <w:t>DISCRETE</w:t>
            </w:r>
          </w:p>
        </w:tc>
        <w:tc>
          <w:tcPr>
            <w:tcW w:w="1134" w:type="dxa"/>
            <w:noWrap/>
            <w:vAlign w:val="center"/>
            <w:hideMark/>
          </w:tcPr>
          <w:p w:rsidR="00AD4ECB" w:rsidRPr="00581806" w:rsidP="00BE0CCE" w14:paraId="2D8E4ACB" w14:textId="22DF28BD">
            <w:pPr>
              <w:keepNext/>
              <w:keepLines/>
              <w:spacing w:line="240" w:lineRule="auto"/>
              <w:jc w:val="center"/>
              <w:rPr>
                <w:color w:val="auto"/>
                <w:highlight w:val="yellow"/>
              </w:rPr>
            </w:pPr>
            <w:r>
              <w:rPr>
                <w:color w:val="000000"/>
              </w:rPr>
              <w:t>6</w:t>
            </w:r>
          </w:p>
        </w:tc>
        <w:tc>
          <w:tcPr>
            <w:tcW w:w="1134" w:type="dxa"/>
            <w:noWrap/>
            <w:vAlign w:val="center"/>
            <w:hideMark/>
          </w:tcPr>
          <w:p w:rsidR="00AD4ECB" w:rsidRPr="00581806" w:rsidP="00BE0CCE" w14:paraId="46D81AC6" w14:textId="28B08313">
            <w:pPr>
              <w:keepNext/>
              <w:keepLines/>
              <w:spacing w:line="240" w:lineRule="auto"/>
              <w:jc w:val="center"/>
              <w:rPr>
                <w:color w:val="auto"/>
                <w:highlight w:val="yellow"/>
              </w:rPr>
            </w:pPr>
            <w:r>
              <w:rPr>
                <w:color w:val="000000"/>
              </w:rPr>
              <w:t>12</w:t>
            </w:r>
          </w:p>
        </w:tc>
        <w:tc>
          <w:tcPr>
            <w:tcW w:w="1134" w:type="dxa"/>
            <w:noWrap/>
            <w:vAlign w:val="center"/>
            <w:hideMark/>
          </w:tcPr>
          <w:p w:rsidR="00AD4ECB" w:rsidRPr="00581806" w:rsidP="00BE0CCE" w14:paraId="6B87ED47" w14:textId="3BB51884">
            <w:pPr>
              <w:keepNext/>
              <w:keepLines/>
              <w:spacing w:line="240" w:lineRule="auto"/>
              <w:jc w:val="center"/>
              <w:rPr>
                <w:color w:val="auto"/>
                <w:highlight w:val="yellow"/>
              </w:rPr>
            </w:pPr>
            <w:r>
              <w:rPr>
                <w:color w:val="000000"/>
              </w:rPr>
              <w:t>12</w:t>
            </w:r>
          </w:p>
        </w:tc>
      </w:tr>
      <w:tr w14:paraId="6974A3EE" w14:textId="77777777" w:rsidTr="00DE74F8">
        <w:tblPrEx>
          <w:tblW w:w="0" w:type="auto"/>
          <w:tblLook w:val="04A0"/>
        </w:tblPrEx>
        <w:trPr>
          <w:trHeight w:val="288"/>
        </w:trPr>
        <w:tc>
          <w:tcPr>
            <w:tcW w:w="3081" w:type="dxa"/>
            <w:vAlign w:val="center"/>
            <w:hideMark/>
          </w:tcPr>
          <w:p w:rsidR="00AD4ECB" w:rsidRPr="00581806" w:rsidP="00BE0CCE" w14:paraId="0BFB9F03" w14:textId="033A78D9">
            <w:pPr>
              <w:keepNext/>
              <w:keepLines/>
              <w:spacing w:line="240" w:lineRule="auto"/>
              <w:rPr>
                <w:highlight w:val="yellow"/>
              </w:rPr>
            </w:pPr>
            <w:r>
              <w:rPr>
                <w:color w:val="000000"/>
              </w:rPr>
              <w:t>Number of delayed years of submission of application</w:t>
            </w:r>
          </w:p>
        </w:tc>
        <w:tc>
          <w:tcPr>
            <w:tcW w:w="1318" w:type="dxa"/>
            <w:noWrap/>
            <w:vAlign w:val="center"/>
          </w:tcPr>
          <w:p w:rsidR="00AD4ECB" w:rsidRPr="00581806" w:rsidP="00BE0CCE" w14:paraId="4F0FDDCD" w14:textId="398CA94A">
            <w:pPr>
              <w:keepNext/>
              <w:keepLines/>
              <w:spacing w:line="240" w:lineRule="auto"/>
              <w:jc w:val="center"/>
              <w:rPr>
                <w:color w:val="auto"/>
              </w:rPr>
            </w:pPr>
            <w:r>
              <w:rPr>
                <w:color w:val="auto"/>
              </w:rPr>
              <w:t>0</w:t>
            </w:r>
          </w:p>
        </w:tc>
        <w:tc>
          <w:tcPr>
            <w:tcW w:w="1549" w:type="dxa"/>
            <w:noWrap/>
            <w:vAlign w:val="center"/>
            <w:hideMark/>
          </w:tcPr>
          <w:p w:rsidR="00AD4ECB" w:rsidRPr="00581806" w:rsidP="00BE0CCE" w14:paraId="2EBCE5A7" w14:textId="1FD8AA12">
            <w:pPr>
              <w:keepNext/>
              <w:keepLines/>
              <w:spacing w:line="240" w:lineRule="auto"/>
              <w:jc w:val="center"/>
              <w:rPr>
                <w:color w:val="auto"/>
              </w:rPr>
            </w:pPr>
            <w:r>
              <w:rPr>
                <w:color w:val="auto"/>
              </w:rPr>
              <w:t>GEOMETRIC</w:t>
            </w:r>
          </w:p>
        </w:tc>
        <w:tc>
          <w:tcPr>
            <w:tcW w:w="1134" w:type="dxa"/>
            <w:noWrap/>
            <w:vAlign w:val="center"/>
            <w:hideMark/>
          </w:tcPr>
          <w:p w:rsidR="00AD4ECB" w:rsidRPr="00581806" w:rsidP="00BE0CCE" w14:paraId="1FC30BE4" w14:textId="0831D30E">
            <w:pPr>
              <w:keepNext/>
              <w:keepLines/>
              <w:spacing w:line="240" w:lineRule="auto"/>
              <w:jc w:val="center"/>
              <w:rPr>
                <w:color w:val="auto"/>
                <w:highlight w:val="yellow"/>
              </w:rPr>
            </w:pPr>
            <w:r>
              <w:rPr>
                <w:color w:val="auto"/>
              </w:rPr>
              <w:t>0</w:t>
            </w:r>
          </w:p>
        </w:tc>
        <w:tc>
          <w:tcPr>
            <w:tcW w:w="1134" w:type="dxa"/>
            <w:noWrap/>
            <w:vAlign w:val="center"/>
            <w:hideMark/>
          </w:tcPr>
          <w:p w:rsidR="00AD4ECB" w:rsidRPr="00581806" w:rsidP="00BE0CCE" w14:paraId="18ABE39A" w14:textId="48AFD5F7">
            <w:pPr>
              <w:keepNext/>
              <w:keepLines/>
              <w:spacing w:line="240" w:lineRule="auto"/>
              <w:jc w:val="center"/>
              <w:rPr>
                <w:color w:val="auto"/>
                <w:highlight w:val="yellow"/>
              </w:rPr>
            </w:pPr>
            <w:r>
              <w:rPr>
                <w:color w:val="auto"/>
              </w:rPr>
              <w:t>0</w:t>
            </w:r>
          </w:p>
        </w:tc>
        <w:tc>
          <w:tcPr>
            <w:tcW w:w="1134" w:type="dxa"/>
            <w:noWrap/>
            <w:vAlign w:val="center"/>
            <w:hideMark/>
          </w:tcPr>
          <w:p w:rsidR="00AD4ECB" w:rsidRPr="00581806" w:rsidP="00BE0CCE" w14:paraId="15474026" w14:textId="2F99C182">
            <w:pPr>
              <w:keepNext/>
              <w:keepLines/>
              <w:spacing w:line="240" w:lineRule="auto"/>
              <w:jc w:val="center"/>
              <w:rPr>
                <w:color w:val="auto"/>
                <w:highlight w:val="yellow"/>
              </w:rPr>
            </w:pPr>
            <w:r>
              <w:rPr>
                <w:color w:val="auto"/>
              </w:rPr>
              <w:t>10</w:t>
            </w:r>
          </w:p>
        </w:tc>
      </w:tr>
      <w:tr w14:paraId="50748B65" w14:textId="77777777" w:rsidTr="0051747A">
        <w:tblPrEx>
          <w:tblW w:w="0" w:type="auto"/>
          <w:tblLook w:val="04A0"/>
        </w:tblPrEx>
        <w:trPr>
          <w:trHeight w:val="332"/>
        </w:trPr>
        <w:tc>
          <w:tcPr>
            <w:tcW w:w="9350" w:type="dxa"/>
            <w:gridSpan w:val="6"/>
            <w:vAlign w:val="center"/>
            <w:hideMark/>
          </w:tcPr>
          <w:p w:rsidR="009128E1" w:rsidRPr="00581806" w:rsidP="00BE0CCE" w14:paraId="397ECC68" w14:textId="77777777">
            <w:pPr>
              <w:keepNext/>
              <w:keepLines/>
              <w:spacing w:line="240" w:lineRule="auto"/>
              <w:rPr>
                <w:b/>
                <w:bCs/>
                <w:highlight w:val="yellow"/>
              </w:rPr>
            </w:pPr>
            <w:r w:rsidRPr="00581806">
              <w:rPr>
                <w:b/>
                <w:bCs/>
              </w:rPr>
              <w:t>Industry Submittals of Exemption Requests</w:t>
            </w:r>
          </w:p>
        </w:tc>
      </w:tr>
      <w:tr w14:paraId="4FE6ABAE" w14:textId="77777777" w:rsidTr="001D71EB">
        <w:tblPrEx>
          <w:tblW w:w="0" w:type="auto"/>
          <w:tblLook w:val="04A0"/>
        </w:tblPrEx>
        <w:trPr>
          <w:trHeight w:val="215"/>
        </w:trPr>
        <w:tc>
          <w:tcPr>
            <w:tcW w:w="3081" w:type="dxa"/>
            <w:vAlign w:val="center"/>
            <w:hideMark/>
          </w:tcPr>
          <w:p w:rsidR="00C32644" w:rsidRPr="00581806" w:rsidP="008440FA" w14:paraId="221484D3" w14:textId="07665B14">
            <w:pPr>
              <w:spacing w:line="240" w:lineRule="auto"/>
              <w:rPr>
                <w:highlight w:val="yellow"/>
              </w:rPr>
            </w:pPr>
            <w:r>
              <w:rPr>
                <w:color w:val="000000"/>
              </w:rPr>
              <w:t>H</w:t>
            </w:r>
            <w:r w:rsidR="00AD4ECB">
              <w:rPr>
                <w:color w:val="000000"/>
              </w:rPr>
              <w:t>ourly r</w:t>
            </w:r>
            <w:r w:rsidRPr="00581806">
              <w:rPr>
                <w:color w:val="000000"/>
              </w:rPr>
              <w:t>ate</w:t>
            </w:r>
          </w:p>
        </w:tc>
        <w:tc>
          <w:tcPr>
            <w:tcW w:w="1318" w:type="dxa"/>
            <w:noWrap/>
            <w:vAlign w:val="center"/>
          </w:tcPr>
          <w:p w:rsidR="00C32644" w:rsidRPr="00581806" w:rsidP="008440FA" w14:paraId="0838520C" w14:textId="10362D79">
            <w:pPr>
              <w:spacing w:line="240" w:lineRule="auto"/>
              <w:jc w:val="center"/>
              <w:rPr>
                <w:color w:val="auto"/>
              </w:rPr>
            </w:pPr>
            <w:r w:rsidRPr="00581806">
              <w:rPr>
                <w:color w:val="auto"/>
              </w:rPr>
              <w:t>$12</w:t>
            </w:r>
            <w:r w:rsidR="00662859">
              <w:rPr>
                <w:color w:val="auto"/>
              </w:rPr>
              <w:t>1</w:t>
            </w:r>
          </w:p>
        </w:tc>
        <w:tc>
          <w:tcPr>
            <w:tcW w:w="1549" w:type="dxa"/>
            <w:noWrap/>
            <w:vAlign w:val="center"/>
            <w:hideMark/>
          </w:tcPr>
          <w:p w:rsidR="00C32644" w:rsidRPr="00581806" w:rsidP="008440FA" w14:paraId="73B03D18" w14:textId="3F0DC37B">
            <w:pPr>
              <w:spacing w:line="240" w:lineRule="auto"/>
              <w:jc w:val="center"/>
              <w:rPr>
                <w:color w:val="auto"/>
              </w:rPr>
            </w:pPr>
            <w:r>
              <w:rPr>
                <w:color w:val="auto"/>
              </w:rPr>
              <w:t>PERT</w:t>
            </w:r>
          </w:p>
        </w:tc>
        <w:tc>
          <w:tcPr>
            <w:tcW w:w="1134" w:type="dxa"/>
            <w:noWrap/>
            <w:vAlign w:val="center"/>
            <w:hideMark/>
          </w:tcPr>
          <w:p w:rsidR="00C32644" w:rsidRPr="00581806" w:rsidP="008440FA" w14:paraId="4B24BE66" w14:textId="3C0950E0">
            <w:pPr>
              <w:spacing w:line="240" w:lineRule="auto"/>
              <w:jc w:val="center"/>
              <w:rPr>
                <w:color w:val="auto"/>
                <w:highlight w:val="yellow"/>
              </w:rPr>
            </w:pPr>
            <w:r w:rsidRPr="00581806">
              <w:rPr>
                <w:color w:val="000000"/>
              </w:rPr>
              <w:t>$</w:t>
            </w:r>
            <w:r w:rsidR="00A37B2E">
              <w:rPr>
                <w:color w:val="000000"/>
              </w:rPr>
              <w:t>96</w:t>
            </w:r>
            <w:r w:rsidRPr="00581806">
              <w:rPr>
                <w:color w:val="000000"/>
              </w:rPr>
              <w:t xml:space="preserve"> </w:t>
            </w:r>
          </w:p>
        </w:tc>
        <w:tc>
          <w:tcPr>
            <w:tcW w:w="1134" w:type="dxa"/>
            <w:noWrap/>
            <w:vAlign w:val="center"/>
            <w:hideMark/>
          </w:tcPr>
          <w:p w:rsidR="00C32644" w:rsidRPr="00581806" w:rsidP="008440FA" w14:paraId="5BA9327C" w14:textId="10A9F060">
            <w:pPr>
              <w:spacing w:line="240" w:lineRule="auto"/>
              <w:jc w:val="center"/>
              <w:rPr>
                <w:color w:val="auto"/>
                <w:highlight w:val="yellow"/>
              </w:rPr>
            </w:pPr>
            <w:r w:rsidRPr="00581806">
              <w:rPr>
                <w:color w:val="000000"/>
              </w:rPr>
              <w:t>$12</w:t>
            </w:r>
            <w:r w:rsidR="00A37B2E">
              <w:rPr>
                <w:color w:val="000000"/>
              </w:rPr>
              <w:t>1</w:t>
            </w:r>
            <w:r w:rsidRPr="00581806">
              <w:rPr>
                <w:color w:val="000000"/>
              </w:rPr>
              <w:t xml:space="preserve"> </w:t>
            </w:r>
          </w:p>
        </w:tc>
        <w:tc>
          <w:tcPr>
            <w:tcW w:w="1134" w:type="dxa"/>
            <w:noWrap/>
            <w:vAlign w:val="center"/>
            <w:hideMark/>
          </w:tcPr>
          <w:p w:rsidR="00C32644" w:rsidRPr="00581806" w:rsidP="008440FA" w14:paraId="05029A50" w14:textId="6808C60C">
            <w:pPr>
              <w:spacing w:line="240" w:lineRule="auto"/>
              <w:jc w:val="center"/>
              <w:rPr>
                <w:color w:val="auto"/>
                <w:highlight w:val="yellow"/>
              </w:rPr>
            </w:pPr>
            <w:r w:rsidRPr="00581806">
              <w:rPr>
                <w:color w:val="000000"/>
              </w:rPr>
              <w:t>$1</w:t>
            </w:r>
            <w:r w:rsidR="00A37B2E">
              <w:rPr>
                <w:color w:val="000000"/>
              </w:rPr>
              <w:t>44</w:t>
            </w:r>
            <w:r w:rsidRPr="00581806">
              <w:rPr>
                <w:color w:val="000000"/>
              </w:rPr>
              <w:t xml:space="preserve"> </w:t>
            </w:r>
          </w:p>
        </w:tc>
      </w:tr>
      <w:tr w14:paraId="387C8158" w14:textId="77777777" w:rsidTr="001D71EB">
        <w:tblPrEx>
          <w:tblW w:w="0" w:type="auto"/>
          <w:tblLook w:val="04A0"/>
        </w:tblPrEx>
        <w:trPr>
          <w:trHeight w:val="288"/>
        </w:trPr>
        <w:tc>
          <w:tcPr>
            <w:tcW w:w="3081" w:type="dxa"/>
            <w:vAlign w:val="center"/>
            <w:hideMark/>
          </w:tcPr>
          <w:p w:rsidR="009128E1" w:rsidRPr="00581806" w:rsidP="008440FA" w14:paraId="5F550A06" w14:textId="100C15C8">
            <w:pPr>
              <w:spacing w:line="240" w:lineRule="auto"/>
              <w:rPr>
                <w:highlight w:val="yellow"/>
              </w:rPr>
            </w:pPr>
            <w:r w:rsidRPr="00581806">
              <w:rPr>
                <w:color w:val="000000"/>
              </w:rPr>
              <w:t xml:space="preserve">Hours </w:t>
            </w:r>
            <w:r w:rsidR="00AD4ECB">
              <w:rPr>
                <w:color w:val="000000"/>
              </w:rPr>
              <w:t>to g</w:t>
            </w:r>
            <w:r w:rsidRPr="00581806">
              <w:rPr>
                <w:color w:val="000000"/>
              </w:rPr>
              <w:t xml:space="preserve">enerate and </w:t>
            </w:r>
            <w:r w:rsidR="00AD4ECB">
              <w:rPr>
                <w:color w:val="000000"/>
              </w:rPr>
              <w:t>s</w:t>
            </w:r>
            <w:r w:rsidRPr="00581806">
              <w:rPr>
                <w:color w:val="000000"/>
              </w:rPr>
              <w:t>ubmit</w:t>
            </w:r>
          </w:p>
        </w:tc>
        <w:tc>
          <w:tcPr>
            <w:tcW w:w="1318" w:type="dxa"/>
            <w:noWrap/>
            <w:vAlign w:val="center"/>
          </w:tcPr>
          <w:p w:rsidR="009128E1" w:rsidRPr="00581806" w:rsidP="008440FA" w14:paraId="5C6E83E3" w14:textId="67EAB2D6">
            <w:pPr>
              <w:spacing w:line="240" w:lineRule="auto"/>
              <w:jc w:val="center"/>
              <w:rPr>
                <w:color w:val="auto"/>
              </w:rPr>
            </w:pPr>
            <w:r w:rsidRPr="00581806">
              <w:rPr>
                <w:color w:val="auto"/>
              </w:rPr>
              <w:t>1</w:t>
            </w:r>
            <w:r w:rsidRPr="00581806" w:rsidR="00863247">
              <w:rPr>
                <w:color w:val="auto"/>
              </w:rPr>
              <w:t>,</w:t>
            </w:r>
            <w:r w:rsidRPr="00581806">
              <w:rPr>
                <w:color w:val="auto"/>
              </w:rPr>
              <w:t>483</w:t>
            </w:r>
          </w:p>
        </w:tc>
        <w:tc>
          <w:tcPr>
            <w:tcW w:w="1549" w:type="dxa"/>
            <w:noWrap/>
            <w:vAlign w:val="center"/>
            <w:hideMark/>
          </w:tcPr>
          <w:p w:rsidR="009128E1" w:rsidRPr="00581806" w:rsidP="008440FA" w14:paraId="16C67109" w14:textId="271BCB73">
            <w:pPr>
              <w:spacing w:line="240" w:lineRule="auto"/>
              <w:jc w:val="center"/>
              <w:rPr>
                <w:color w:val="auto"/>
              </w:rPr>
            </w:pPr>
            <w:r>
              <w:rPr>
                <w:color w:val="auto"/>
              </w:rPr>
              <w:t>PERT</w:t>
            </w:r>
          </w:p>
        </w:tc>
        <w:tc>
          <w:tcPr>
            <w:tcW w:w="1134" w:type="dxa"/>
            <w:noWrap/>
            <w:vAlign w:val="center"/>
            <w:hideMark/>
          </w:tcPr>
          <w:p w:rsidR="009128E1" w:rsidRPr="00581806" w:rsidP="008440FA" w14:paraId="55EB2A61" w14:textId="3A35B51E">
            <w:pPr>
              <w:spacing w:line="240" w:lineRule="auto"/>
              <w:jc w:val="center"/>
              <w:rPr>
                <w:color w:val="auto"/>
                <w:highlight w:val="yellow"/>
              </w:rPr>
            </w:pPr>
            <w:r w:rsidRPr="00581806">
              <w:rPr>
                <w:color w:val="auto"/>
              </w:rPr>
              <w:t>1</w:t>
            </w:r>
            <w:r w:rsidRPr="00581806" w:rsidR="00863247">
              <w:rPr>
                <w:color w:val="auto"/>
              </w:rPr>
              <w:t>,</w:t>
            </w:r>
            <w:r w:rsidRPr="00581806">
              <w:rPr>
                <w:color w:val="auto"/>
              </w:rPr>
              <w:t>250</w:t>
            </w:r>
          </w:p>
        </w:tc>
        <w:tc>
          <w:tcPr>
            <w:tcW w:w="1134" w:type="dxa"/>
            <w:noWrap/>
            <w:vAlign w:val="center"/>
            <w:hideMark/>
          </w:tcPr>
          <w:p w:rsidR="009128E1" w:rsidRPr="00581806" w:rsidP="008440FA" w14:paraId="39C5A959" w14:textId="507B4D5F">
            <w:pPr>
              <w:spacing w:line="240" w:lineRule="auto"/>
              <w:jc w:val="center"/>
              <w:rPr>
                <w:color w:val="auto"/>
                <w:highlight w:val="yellow"/>
              </w:rPr>
            </w:pPr>
            <w:r w:rsidRPr="00581806">
              <w:rPr>
                <w:color w:val="auto"/>
              </w:rPr>
              <w:t>1</w:t>
            </w:r>
            <w:r w:rsidRPr="00581806" w:rsidR="00863247">
              <w:rPr>
                <w:color w:val="auto"/>
              </w:rPr>
              <w:t>,</w:t>
            </w:r>
            <w:r w:rsidRPr="00581806">
              <w:rPr>
                <w:color w:val="auto"/>
              </w:rPr>
              <w:t>500</w:t>
            </w:r>
          </w:p>
        </w:tc>
        <w:tc>
          <w:tcPr>
            <w:tcW w:w="1134" w:type="dxa"/>
            <w:noWrap/>
            <w:vAlign w:val="center"/>
            <w:hideMark/>
          </w:tcPr>
          <w:p w:rsidR="009128E1" w:rsidRPr="00581806" w:rsidP="008440FA" w14:paraId="6EFE9A90" w14:textId="7A04C56D">
            <w:pPr>
              <w:spacing w:line="240" w:lineRule="auto"/>
              <w:jc w:val="center"/>
              <w:rPr>
                <w:color w:val="auto"/>
                <w:highlight w:val="yellow"/>
              </w:rPr>
            </w:pPr>
            <w:r w:rsidRPr="00581806">
              <w:rPr>
                <w:color w:val="auto"/>
              </w:rPr>
              <w:t>1</w:t>
            </w:r>
            <w:r w:rsidRPr="00581806" w:rsidR="00863247">
              <w:rPr>
                <w:color w:val="auto"/>
              </w:rPr>
              <w:t>,</w:t>
            </w:r>
            <w:r w:rsidRPr="00581806">
              <w:rPr>
                <w:color w:val="auto"/>
              </w:rPr>
              <w:t>650</w:t>
            </w:r>
          </w:p>
        </w:tc>
      </w:tr>
      <w:tr w14:paraId="47F211EC" w14:textId="77777777" w:rsidTr="0051747A">
        <w:tblPrEx>
          <w:tblW w:w="0" w:type="auto"/>
          <w:tblLook w:val="04A0"/>
        </w:tblPrEx>
        <w:trPr>
          <w:trHeight w:val="251"/>
        </w:trPr>
        <w:tc>
          <w:tcPr>
            <w:tcW w:w="9350" w:type="dxa"/>
            <w:gridSpan w:val="6"/>
            <w:vAlign w:val="center"/>
            <w:hideMark/>
          </w:tcPr>
          <w:p w:rsidR="009128E1" w:rsidRPr="00581806" w:rsidP="008440FA" w14:paraId="4AD4273C" w14:textId="403BECBA">
            <w:pPr>
              <w:spacing w:line="240" w:lineRule="auto"/>
              <w:rPr>
                <w:b/>
                <w:bCs/>
              </w:rPr>
            </w:pPr>
            <w:r w:rsidRPr="00581806">
              <w:rPr>
                <w:b/>
                <w:bCs/>
              </w:rPr>
              <w:t>Reduced EP Plan Complexity (Industry)</w:t>
            </w:r>
          </w:p>
        </w:tc>
      </w:tr>
      <w:tr w14:paraId="2B643E35" w14:textId="77777777" w:rsidTr="001D71EB">
        <w:tblPrEx>
          <w:tblW w:w="0" w:type="auto"/>
          <w:tblLook w:val="04A0"/>
        </w:tblPrEx>
        <w:trPr>
          <w:trHeight w:val="251"/>
        </w:trPr>
        <w:tc>
          <w:tcPr>
            <w:tcW w:w="3081" w:type="dxa"/>
            <w:vAlign w:val="center"/>
          </w:tcPr>
          <w:p w:rsidR="00C32644" w:rsidRPr="00581806" w:rsidP="008440FA" w14:paraId="6FB3F85A" w14:textId="4D1BCDA2">
            <w:pPr>
              <w:spacing w:line="240" w:lineRule="auto"/>
              <w:rPr>
                <w:color w:val="000000"/>
              </w:rPr>
            </w:pPr>
            <w:r w:rsidRPr="00581806">
              <w:rPr>
                <w:color w:val="000000"/>
              </w:rPr>
              <w:t xml:space="preserve">Hours </w:t>
            </w:r>
            <w:r w:rsidR="00AD4ECB">
              <w:rPr>
                <w:color w:val="000000"/>
              </w:rPr>
              <w:t>t</w:t>
            </w:r>
            <w:r w:rsidRPr="00581806">
              <w:rPr>
                <w:color w:val="000000"/>
              </w:rPr>
              <w:t xml:space="preserve">o </w:t>
            </w:r>
            <w:r w:rsidR="00AD4ECB">
              <w:rPr>
                <w:color w:val="000000"/>
              </w:rPr>
              <w:t>p</w:t>
            </w:r>
            <w:r w:rsidRPr="00581806">
              <w:rPr>
                <w:color w:val="000000"/>
              </w:rPr>
              <w:t xml:space="preserve">roduce and </w:t>
            </w:r>
            <w:r w:rsidR="00AD4ECB">
              <w:rPr>
                <w:color w:val="000000"/>
              </w:rPr>
              <w:t>s</w:t>
            </w:r>
            <w:r w:rsidRPr="00581806">
              <w:rPr>
                <w:color w:val="000000"/>
              </w:rPr>
              <w:t>ubmit EP</w:t>
            </w:r>
            <w:r w:rsidR="00AD4ECB">
              <w:rPr>
                <w:color w:val="000000"/>
              </w:rPr>
              <w:noBreakHyphen/>
              <w:t>r</w:t>
            </w:r>
            <w:r w:rsidRPr="00581806">
              <w:rPr>
                <w:color w:val="000000"/>
              </w:rPr>
              <w:t xml:space="preserve">elated </w:t>
            </w:r>
            <w:r w:rsidR="00AD4ECB">
              <w:rPr>
                <w:color w:val="000000"/>
              </w:rPr>
              <w:t>s</w:t>
            </w:r>
            <w:r w:rsidRPr="00581806">
              <w:rPr>
                <w:color w:val="000000"/>
              </w:rPr>
              <w:t>ubmissions</w:t>
            </w:r>
          </w:p>
        </w:tc>
        <w:tc>
          <w:tcPr>
            <w:tcW w:w="1318" w:type="dxa"/>
            <w:noWrap/>
            <w:vAlign w:val="center"/>
          </w:tcPr>
          <w:p w:rsidR="00C32644" w:rsidRPr="00581806" w:rsidP="008440FA" w14:paraId="664B93FF" w14:textId="5BC0327A">
            <w:pPr>
              <w:spacing w:line="240" w:lineRule="auto"/>
              <w:jc w:val="center"/>
              <w:rPr>
                <w:color w:val="auto"/>
              </w:rPr>
            </w:pPr>
            <w:r w:rsidRPr="00581806">
              <w:rPr>
                <w:color w:val="auto"/>
              </w:rPr>
              <w:t>3</w:t>
            </w:r>
            <w:r w:rsidRPr="00581806" w:rsidR="00863247">
              <w:rPr>
                <w:color w:val="auto"/>
              </w:rPr>
              <w:t>,</w:t>
            </w:r>
            <w:r w:rsidRPr="00581806">
              <w:rPr>
                <w:color w:val="auto"/>
              </w:rPr>
              <w:t>019</w:t>
            </w:r>
          </w:p>
        </w:tc>
        <w:tc>
          <w:tcPr>
            <w:tcW w:w="1549" w:type="dxa"/>
            <w:noWrap/>
            <w:vAlign w:val="center"/>
          </w:tcPr>
          <w:p w:rsidR="00C32644" w:rsidRPr="00581806" w:rsidP="008440FA" w14:paraId="7C798EDA" w14:textId="592CC3E3">
            <w:pPr>
              <w:spacing w:line="240" w:lineRule="auto"/>
              <w:jc w:val="center"/>
              <w:rPr>
                <w:color w:val="auto"/>
              </w:rPr>
            </w:pPr>
            <w:r>
              <w:rPr>
                <w:color w:val="auto"/>
              </w:rPr>
              <w:t>PERT</w:t>
            </w:r>
          </w:p>
        </w:tc>
        <w:tc>
          <w:tcPr>
            <w:tcW w:w="1134" w:type="dxa"/>
            <w:noWrap/>
            <w:vAlign w:val="center"/>
          </w:tcPr>
          <w:p w:rsidR="00C32644" w:rsidRPr="00581806" w:rsidP="008440FA" w14:paraId="5E6A2CA4" w14:textId="4FFFE937">
            <w:pPr>
              <w:spacing w:line="240" w:lineRule="auto"/>
              <w:jc w:val="center"/>
              <w:rPr>
                <w:color w:val="auto"/>
              </w:rPr>
            </w:pPr>
            <w:r w:rsidRPr="00581806">
              <w:rPr>
                <w:color w:val="000000"/>
              </w:rPr>
              <w:t>2</w:t>
            </w:r>
            <w:r w:rsidRPr="00581806" w:rsidR="00863247">
              <w:rPr>
                <w:color w:val="000000"/>
              </w:rPr>
              <w:t>,</w:t>
            </w:r>
            <w:r w:rsidRPr="00581806">
              <w:rPr>
                <w:color w:val="000000"/>
              </w:rPr>
              <w:t>362</w:t>
            </w:r>
          </w:p>
        </w:tc>
        <w:tc>
          <w:tcPr>
            <w:tcW w:w="1134" w:type="dxa"/>
            <w:noWrap/>
            <w:vAlign w:val="center"/>
          </w:tcPr>
          <w:p w:rsidR="00C32644" w:rsidRPr="00581806" w:rsidP="008440FA" w14:paraId="2A3F7BB4" w14:textId="68D87959">
            <w:pPr>
              <w:spacing w:line="240" w:lineRule="auto"/>
              <w:jc w:val="center"/>
              <w:rPr>
                <w:color w:val="auto"/>
              </w:rPr>
            </w:pPr>
            <w:r w:rsidRPr="00581806">
              <w:rPr>
                <w:color w:val="000000"/>
              </w:rPr>
              <w:t>2</w:t>
            </w:r>
            <w:r w:rsidR="009330C0">
              <w:rPr>
                <w:color w:val="000000"/>
              </w:rPr>
              <w:t>,</w:t>
            </w:r>
            <w:r w:rsidRPr="00581806">
              <w:rPr>
                <w:color w:val="000000"/>
              </w:rPr>
              <w:t>625</w:t>
            </w:r>
          </w:p>
        </w:tc>
        <w:tc>
          <w:tcPr>
            <w:tcW w:w="1134" w:type="dxa"/>
            <w:noWrap/>
            <w:vAlign w:val="center"/>
          </w:tcPr>
          <w:p w:rsidR="00C32644" w:rsidRPr="00581806" w:rsidP="008440FA" w14:paraId="60795FFC" w14:textId="44C729B6">
            <w:pPr>
              <w:spacing w:line="240" w:lineRule="auto"/>
              <w:jc w:val="center"/>
              <w:rPr>
                <w:color w:val="auto"/>
              </w:rPr>
            </w:pPr>
            <w:r w:rsidRPr="00581806">
              <w:rPr>
                <w:color w:val="000000"/>
              </w:rPr>
              <w:t>5</w:t>
            </w:r>
            <w:r w:rsidR="009330C0">
              <w:rPr>
                <w:color w:val="000000"/>
              </w:rPr>
              <w:t>,</w:t>
            </w:r>
            <w:r w:rsidRPr="00581806">
              <w:rPr>
                <w:color w:val="000000"/>
              </w:rPr>
              <w:t>250</w:t>
            </w:r>
          </w:p>
        </w:tc>
      </w:tr>
      <w:tr w14:paraId="74E162E4" w14:textId="77777777" w:rsidTr="001D71EB">
        <w:tblPrEx>
          <w:tblW w:w="0" w:type="auto"/>
          <w:tblLook w:val="04A0"/>
        </w:tblPrEx>
        <w:trPr>
          <w:trHeight w:val="251"/>
        </w:trPr>
        <w:tc>
          <w:tcPr>
            <w:tcW w:w="3081" w:type="dxa"/>
            <w:vAlign w:val="center"/>
          </w:tcPr>
          <w:p w:rsidR="00C32644" w:rsidRPr="00581806" w:rsidP="008440FA" w14:paraId="4A412539" w14:textId="5FB1F5F9">
            <w:pPr>
              <w:spacing w:line="240" w:lineRule="auto"/>
              <w:rPr>
                <w:color w:val="000000"/>
              </w:rPr>
            </w:pPr>
            <w:r>
              <w:rPr>
                <w:color w:val="000000"/>
              </w:rPr>
              <w:t>Efficiency f</w:t>
            </w:r>
            <w:r w:rsidRPr="00581806">
              <w:rPr>
                <w:color w:val="000000"/>
              </w:rPr>
              <w:t>actor</w:t>
            </w:r>
            <w:r w:rsidR="00FA2CA8">
              <w:rPr>
                <w:color w:val="000000"/>
              </w:rPr>
              <w:t xml:space="preserve"> for learning</w:t>
            </w:r>
          </w:p>
        </w:tc>
        <w:tc>
          <w:tcPr>
            <w:tcW w:w="1318" w:type="dxa"/>
            <w:noWrap/>
            <w:vAlign w:val="center"/>
          </w:tcPr>
          <w:p w:rsidR="00C32644" w:rsidRPr="00581806" w:rsidP="008440FA" w14:paraId="403DE3DC" w14:textId="4A59235B">
            <w:pPr>
              <w:spacing w:line="240" w:lineRule="auto"/>
              <w:jc w:val="center"/>
              <w:rPr>
                <w:color w:val="auto"/>
              </w:rPr>
            </w:pPr>
            <w:r w:rsidRPr="00581806">
              <w:rPr>
                <w:color w:val="auto"/>
              </w:rPr>
              <w:t>5</w:t>
            </w:r>
            <w:r w:rsidRPr="00581806">
              <w:rPr>
                <w:color w:val="auto"/>
              </w:rPr>
              <w:t>%</w:t>
            </w:r>
          </w:p>
        </w:tc>
        <w:tc>
          <w:tcPr>
            <w:tcW w:w="1549" w:type="dxa"/>
            <w:noWrap/>
            <w:vAlign w:val="center"/>
          </w:tcPr>
          <w:p w:rsidR="00C32644" w:rsidRPr="00581806" w:rsidP="008440FA" w14:paraId="215B34D5" w14:textId="2563ADF6">
            <w:pPr>
              <w:spacing w:line="240" w:lineRule="auto"/>
              <w:jc w:val="center"/>
              <w:rPr>
                <w:color w:val="auto"/>
              </w:rPr>
            </w:pPr>
            <w:r>
              <w:rPr>
                <w:color w:val="auto"/>
              </w:rPr>
              <w:t>PERT</w:t>
            </w:r>
          </w:p>
        </w:tc>
        <w:tc>
          <w:tcPr>
            <w:tcW w:w="1134" w:type="dxa"/>
            <w:noWrap/>
            <w:vAlign w:val="center"/>
          </w:tcPr>
          <w:p w:rsidR="00C32644" w:rsidRPr="00581806" w:rsidP="008440FA" w14:paraId="430694EA" w14:textId="010ED034">
            <w:pPr>
              <w:spacing w:line="240" w:lineRule="auto"/>
              <w:jc w:val="center"/>
              <w:rPr>
                <w:color w:val="auto"/>
              </w:rPr>
            </w:pPr>
            <w:r w:rsidRPr="00581806">
              <w:rPr>
                <w:color w:val="000000"/>
              </w:rPr>
              <w:t>0</w:t>
            </w:r>
            <w:r w:rsidRPr="00581806">
              <w:rPr>
                <w:color w:val="000000"/>
              </w:rPr>
              <w:t>%</w:t>
            </w:r>
          </w:p>
        </w:tc>
        <w:tc>
          <w:tcPr>
            <w:tcW w:w="1134" w:type="dxa"/>
            <w:noWrap/>
            <w:vAlign w:val="center"/>
          </w:tcPr>
          <w:p w:rsidR="00C32644" w:rsidRPr="00581806" w:rsidP="008440FA" w14:paraId="6E8B9E0F" w14:textId="6DE85B0C">
            <w:pPr>
              <w:spacing w:line="240" w:lineRule="auto"/>
              <w:jc w:val="center"/>
              <w:rPr>
                <w:color w:val="auto"/>
              </w:rPr>
            </w:pPr>
            <w:r w:rsidRPr="00581806">
              <w:rPr>
                <w:color w:val="000000"/>
              </w:rPr>
              <w:t>5</w:t>
            </w:r>
            <w:r w:rsidRPr="00581806">
              <w:rPr>
                <w:color w:val="000000"/>
              </w:rPr>
              <w:t>%</w:t>
            </w:r>
          </w:p>
        </w:tc>
        <w:tc>
          <w:tcPr>
            <w:tcW w:w="1134" w:type="dxa"/>
            <w:noWrap/>
            <w:vAlign w:val="center"/>
          </w:tcPr>
          <w:p w:rsidR="00C32644" w:rsidRPr="00581806" w:rsidP="008440FA" w14:paraId="7D3BA978" w14:textId="087EDB4E">
            <w:pPr>
              <w:spacing w:line="240" w:lineRule="auto"/>
              <w:jc w:val="center"/>
              <w:rPr>
                <w:color w:val="auto"/>
              </w:rPr>
            </w:pPr>
            <w:r w:rsidRPr="00581806">
              <w:rPr>
                <w:color w:val="000000"/>
              </w:rPr>
              <w:t>1</w:t>
            </w:r>
            <w:r w:rsidRPr="00581806" w:rsidR="008D590D">
              <w:rPr>
                <w:color w:val="000000"/>
              </w:rPr>
              <w:t>0</w:t>
            </w:r>
            <w:r w:rsidRPr="00581806">
              <w:rPr>
                <w:color w:val="000000"/>
              </w:rPr>
              <w:t>%</w:t>
            </w:r>
          </w:p>
        </w:tc>
      </w:tr>
      <w:tr w14:paraId="3D0C0ABF" w14:textId="77777777" w:rsidTr="00C32644">
        <w:tblPrEx>
          <w:tblW w:w="0" w:type="auto"/>
          <w:tblLook w:val="04A0"/>
        </w:tblPrEx>
        <w:trPr>
          <w:trHeight w:val="305"/>
        </w:trPr>
        <w:tc>
          <w:tcPr>
            <w:tcW w:w="9350" w:type="dxa"/>
            <w:gridSpan w:val="6"/>
            <w:vAlign w:val="center"/>
          </w:tcPr>
          <w:p w:rsidR="00C32644" w:rsidRPr="00581806" w:rsidP="008440FA" w14:paraId="372FBA54" w14:textId="6BC95C35">
            <w:pPr>
              <w:spacing w:line="240" w:lineRule="auto"/>
              <w:rPr>
                <w:color w:val="000000"/>
              </w:rPr>
            </w:pPr>
            <w:r w:rsidRPr="00581806">
              <w:rPr>
                <w:b/>
                <w:bCs/>
              </w:rPr>
              <w:t>Averted LAR for EP (Industry)</w:t>
            </w:r>
          </w:p>
        </w:tc>
      </w:tr>
      <w:tr w14:paraId="2AA142F5" w14:textId="77777777" w:rsidTr="001D71EB">
        <w:tblPrEx>
          <w:tblW w:w="0" w:type="auto"/>
          <w:tblLook w:val="04A0"/>
        </w:tblPrEx>
        <w:trPr>
          <w:trHeight w:val="251"/>
        </w:trPr>
        <w:tc>
          <w:tcPr>
            <w:tcW w:w="3081" w:type="dxa"/>
            <w:vAlign w:val="center"/>
          </w:tcPr>
          <w:p w:rsidR="00F86696" w:rsidRPr="00581806" w:rsidP="008440FA" w14:paraId="375D4578" w14:textId="40B95752">
            <w:pPr>
              <w:spacing w:line="240" w:lineRule="auto"/>
              <w:rPr>
                <w:color w:val="000000"/>
              </w:rPr>
            </w:pPr>
            <w:r w:rsidRPr="00581806">
              <w:rPr>
                <w:color w:val="000000"/>
              </w:rPr>
              <w:t xml:space="preserve">Hours </w:t>
            </w:r>
            <w:r w:rsidR="00AD4ECB">
              <w:rPr>
                <w:color w:val="000000"/>
              </w:rPr>
              <w:t>t</w:t>
            </w:r>
            <w:r w:rsidRPr="00581806">
              <w:rPr>
                <w:color w:val="000000"/>
              </w:rPr>
              <w:t xml:space="preserve">o </w:t>
            </w:r>
            <w:r w:rsidR="00AD4ECB">
              <w:rPr>
                <w:color w:val="000000"/>
              </w:rPr>
              <w:t>g</w:t>
            </w:r>
            <w:r w:rsidRPr="00581806">
              <w:rPr>
                <w:color w:val="000000"/>
              </w:rPr>
              <w:t xml:space="preserve">enerate and </w:t>
            </w:r>
            <w:r w:rsidR="00AD4ECB">
              <w:rPr>
                <w:color w:val="000000"/>
              </w:rPr>
              <w:t>s</w:t>
            </w:r>
            <w:r w:rsidRPr="00581806">
              <w:rPr>
                <w:color w:val="000000"/>
              </w:rPr>
              <w:t xml:space="preserve">ubmit </w:t>
            </w:r>
            <w:r w:rsidR="00AD4ECB">
              <w:rPr>
                <w:color w:val="000000"/>
              </w:rPr>
              <w:t>a</w:t>
            </w:r>
            <w:r w:rsidR="00990313">
              <w:rPr>
                <w:color w:val="000000"/>
              </w:rPr>
              <w:t xml:space="preserve"> </w:t>
            </w:r>
            <w:r w:rsidRPr="00581806">
              <w:rPr>
                <w:color w:val="000000"/>
              </w:rPr>
              <w:t>LAR</w:t>
            </w:r>
          </w:p>
        </w:tc>
        <w:tc>
          <w:tcPr>
            <w:tcW w:w="1318" w:type="dxa"/>
            <w:noWrap/>
            <w:vAlign w:val="center"/>
          </w:tcPr>
          <w:p w:rsidR="00F86696" w:rsidRPr="00581806" w:rsidP="008440FA" w14:paraId="103ECF0F" w14:textId="228D0BA2">
            <w:pPr>
              <w:spacing w:line="240" w:lineRule="auto"/>
              <w:jc w:val="center"/>
              <w:rPr>
                <w:color w:val="auto"/>
              </w:rPr>
            </w:pPr>
            <w:r w:rsidRPr="00581806">
              <w:rPr>
                <w:color w:val="auto"/>
              </w:rPr>
              <w:t>593</w:t>
            </w:r>
          </w:p>
        </w:tc>
        <w:tc>
          <w:tcPr>
            <w:tcW w:w="1549" w:type="dxa"/>
            <w:noWrap/>
            <w:vAlign w:val="center"/>
          </w:tcPr>
          <w:p w:rsidR="00F86696" w:rsidRPr="00581806" w:rsidP="008440FA" w14:paraId="549A2A58" w14:textId="5BDE2316">
            <w:pPr>
              <w:spacing w:line="240" w:lineRule="auto"/>
              <w:jc w:val="center"/>
              <w:rPr>
                <w:color w:val="auto"/>
              </w:rPr>
            </w:pPr>
            <w:r>
              <w:rPr>
                <w:color w:val="auto"/>
              </w:rPr>
              <w:t>PERT</w:t>
            </w:r>
          </w:p>
        </w:tc>
        <w:tc>
          <w:tcPr>
            <w:tcW w:w="1134" w:type="dxa"/>
            <w:noWrap/>
            <w:vAlign w:val="center"/>
          </w:tcPr>
          <w:p w:rsidR="00F86696" w:rsidRPr="00581806" w:rsidP="008440FA" w14:paraId="39575F24" w14:textId="6BE578A9">
            <w:pPr>
              <w:spacing w:line="240" w:lineRule="auto"/>
              <w:jc w:val="center"/>
              <w:rPr>
                <w:color w:val="auto"/>
              </w:rPr>
            </w:pPr>
            <w:r w:rsidRPr="00581806">
              <w:rPr>
                <w:color w:val="000000"/>
              </w:rPr>
              <w:t>280</w:t>
            </w:r>
          </w:p>
        </w:tc>
        <w:tc>
          <w:tcPr>
            <w:tcW w:w="1134" w:type="dxa"/>
            <w:noWrap/>
            <w:vAlign w:val="center"/>
          </w:tcPr>
          <w:p w:rsidR="00F86696" w:rsidRPr="00581806" w:rsidP="008440FA" w14:paraId="67E9B481" w14:textId="5D52CE00">
            <w:pPr>
              <w:spacing w:line="240" w:lineRule="auto"/>
              <w:jc w:val="center"/>
              <w:rPr>
                <w:color w:val="auto"/>
              </w:rPr>
            </w:pPr>
            <w:r w:rsidRPr="00581806">
              <w:rPr>
                <w:color w:val="000000"/>
              </w:rPr>
              <w:t>580</w:t>
            </w:r>
          </w:p>
        </w:tc>
        <w:tc>
          <w:tcPr>
            <w:tcW w:w="1134" w:type="dxa"/>
            <w:noWrap/>
            <w:vAlign w:val="center"/>
          </w:tcPr>
          <w:p w:rsidR="00F86696" w:rsidRPr="00581806" w:rsidP="008440FA" w14:paraId="0BBE9D32" w14:textId="21A61B25">
            <w:pPr>
              <w:spacing w:line="240" w:lineRule="auto"/>
              <w:jc w:val="center"/>
              <w:rPr>
                <w:color w:val="auto"/>
              </w:rPr>
            </w:pPr>
            <w:r w:rsidRPr="00581806">
              <w:rPr>
                <w:color w:val="000000"/>
              </w:rPr>
              <w:t>960</w:t>
            </w:r>
          </w:p>
        </w:tc>
      </w:tr>
      <w:tr w14:paraId="597DA88E" w14:textId="77777777" w:rsidTr="001D71EB">
        <w:tblPrEx>
          <w:tblW w:w="0" w:type="auto"/>
          <w:tblLook w:val="04A0"/>
        </w:tblPrEx>
        <w:trPr>
          <w:trHeight w:val="251"/>
        </w:trPr>
        <w:tc>
          <w:tcPr>
            <w:tcW w:w="3081" w:type="dxa"/>
            <w:vAlign w:val="center"/>
          </w:tcPr>
          <w:p w:rsidR="00F86696" w:rsidRPr="00581806" w:rsidP="008440FA" w14:paraId="52D9254F" w14:textId="3E2206D5">
            <w:pPr>
              <w:spacing w:line="240" w:lineRule="auto"/>
              <w:rPr>
                <w:color w:val="000000"/>
              </w:rPr>
            </w:pPr>
            <w:r w:rsidRPr="00581806">
              <w:rPr>
                <w:color w:val="000000"/>
              </w:rPr>
              <w:t xml:space="preserve">Current EP LARs per </w:t>
            </w:r>
            <w:r w:rsidR="00AD4ECB">
              <w:rPr>
                <w:color w:val="000000"/>
              </w:rPr>
              <w:t>y</w:t>
            </w:r>
            <w:r w:rsidRPr="00581806">
              <w:rPr>
                <w:color w:val="000000"/>
              </w:rPr>
              <w:t>ear</w:t>
            </w:r>
          </w:p>
        </w:tc>
        <w:tc>
          <w:tcPr>
            <w:tcW w:w="1318" w:type="dxa"/>
            <w:noWrap/>
            <w:vAlign w:val="center"/>
          </w:tcPr>
          <w:p w:rsidR="00F86696" w:rsidRPr="00581806" w:rsidP="008440FA" w14:paraId="6F792608" w14:textId="6D5C1179">
            <w:pPr>
              <w:spacing w:line="240" w:lineRule="auto"/>
              <w:jc w:val="center"/>
              <w:rPr>
                <w:color w:val="auto"/>
              </w:rPr>
            </w:pPr>
            <w:r w:rsidRPr="00581806">
              <w:rPr>
                <w:color w:val="auto"/>
              </w:rPr>
              <w:t>25</w:t>
            </w:r>
          </w:p>
        </w:tc>
        <w:tc>
          <w:tcPr>
            <w:tcW w:w="1549" w:type="dxa"/>
            <w:noWrap/>
            <w:vAlign w:val="center"/>
          </w:tcPr>
          <w:p w:rsidR="00F86696" w:rsidRPr="00581806" w:rsidP="008440FA" w14:paraId="15B4F50C" w14:textId="14BFDDEF">
            <w:pPr>
              <w:spacing w:line="240" w:lineRule="auto"/>
              <w:jc w:val="center"/>
              <w:rPr>
                <w:color w:val="auto"/>
              </w:rPr>
            </w:pPr>
            <w:r>
              <w:rPr>
                <w:color w:val="auto"/>
              </w:rPr>
              <w:t>PERT</w:t>
            </w:r>
          </w:p>
        </w:tc>
        <w:tc>
          <w:tcPr>
            <w:tcW w:w="1134" w:type="dxa"/>
            <w:noWrap/>
            <w:vAlign w:val="center"/>
          </w:tcPr>
          <w:p w:rsidR="00F86696" w:rsidRPr="00581806" w:rsidP="008440FA" w14:paraId="5A2995D0" w14:textId="180E379C">
            <w:pPr>
              <w:spacing w:line="240" w:lineRule="auto"/>
              <w:jc w:val="center"/>
              <w:rPr>
                <w:color w:val="auto"/>
              </w:rPr>
            </w:pPr>
            <w:r w:rsidRPr="00581806">
              <w:rPr>
                <w:color w:val="000000"/>
              </w:rPr>
              <w:t>18</w:t>
            </w:r>
          </w:p>
        </w:tc>
        <w:tc>
          <w:tcPr>
            <w:tcW w:w="1134" w:type="dxa"/>
            <w:noWrap/>
            <w:vAlign w:val="center"/>
          </w:tcPr>
          <w:p w:rsidR="00F86696" w:rsidRPr="00581806" w:rsidP="008440FA" w14:paraId="08653F35" w14:textId="74782CBE">
            <w:pPr>
              <w:spacing w:line="240" w:lineRule="auto"/>
              <w:jc w:val="center"/>
              <w:rPr>
                <w:color w:val="auto"/>
              </w:rPr>
            </w:pPr>
            <w:r w:rsidRPr="00581806">
              <w:rPr>
                <w:color w:val="000000"/>
              </w:rPr>
              <w:t>25</w:t>
            </w:r>
          </w:p>
        </w:tc>
        <w:tc>
          <w:tcPr>
            <w:tcW w:w="1134" w:type="dxa"/>
            <w:noWrap/>
            <w:vAlign w:val="center"/>
          </w:tcPr>
          <w:p w:rsidR="00F86696" w:rsidRPr="00581806" w:rsidP="008440FA" w14:paraId="2F368449" w14:textId="50B65CA2">
            <w:pPr>
              <w:spacing w:line="240" w:lineRule="auto"/>
              <w:jc w:val="center"/>
              <w:rPr>
                <w:color w:val="auto"/>
              </w:rPr>
            </w:pPr>
            <w:r w:rsidRPr="00581806">
              <w:rPr>
                <w:color w:val="000000"/>
              </w:rPr>
              <w:t>32</w:t>
            </w:r>
          </w:p>
        </w:tc>
      </w:tr>
      <w:tr w14:paraId="7DE0B501" w14:textId="77777777" w:rsidTr="001D71EB">
        <w:tblPrEx>
          <w:tblW w:w="0" w:type="auto"/>
          <w:tblLook w:val="04A0"/>
        </w:tblPrEx>
        <w:trPr>
          <w:trHeight w:val="251"/>
        </w:trPr>
        <w:tc>
          <w:tcPr>
            <w:tcW w:w="3081" w:type="dxa"/>
            <w:vAlign w:val="center"/>
          </w:tcPr>
          <w:p w:rsidR="00F86696" w:rsidRPr="00581806" w:rsidP="008440FA" w14:paraId="69FDD011" w14:textId="57C7091F">
            <w:pPr>
              <w:spacing w:line="240" w:lineRule="auto"/>
              <w:rPr>
                <w:color w:val="000000"/>
              </w:rPr>
            </w:pPr>
            <w:r w:rsidRPr="00581806">
              <w:rPr>
                <w:color w:val="000000"/>
              </w:rPr>
              <w:t xml:space="preserve">Average </w:t>
            </w:r>
            <w:r w:rsidR="00AD4ECB">
              <w:rPr>
                <w:color w:val="000000"/>
              </w:rPr>
              <w:t>n</w:t>
            </w:r>
            <w:r w:rsidRPr="00581806">
              <w:rPr>
                <w:color w:val="000000"/>
              </w:rPr>
              <w:t xml:space="preserve">umber of </w:t>
            </w:r>
            <w:r w:rsidRPr="00581806">
              <w:rPr>
                <w:color w:val="000000"/>
              </w:rPr>
              <w:t xml:space="preserve">LARs per </w:t>
            </w:r>
            <w:r w:rsidR="00AD4ECB">
              <w:rPr>
                <w:color w:val="000000"/>
              </w:rPr>
              <w:t>s</w:t>
            </w:r>
            <w:r w:rsidRPr="00581806">
              <w:rPr>
                <w:color w:val="000000"/>
              </w:rPr>
              <w:t>ite</w:t>
            </w:r>
            <w:r w:rsidR="00AD4ECB">
              <w:rPr>
                <w:color w:val="000000"/>
              </w:rPr>
              <w:t>-y</w:t>
            </w:r>
            <w:r w:rsidRPr="00581806" w:rsidR="00B24CC5">
              <w:rPr>
                <w:color w:val="000000"/>
              </w:rPr>
              <w:t>ear</w:t>
            </w:r>
          </w:p>
        </w:tc>
        <w:tc>
          <w:tcPr>
            <w:tcW w:w="1318" w:type="dxa"/>
            <w:noWrap/>
            <w:vAlign w:val="center"/>
          </w:tcPr>
          <w:p w:rsidR="00F86696" w:rsidRPr="00581806" w:rsidP="008440FA" w14:paraId="49240227" w14:textId="60E1819D">
            <w:pPr>
              <w:spacing w:line="240" w:lineRule="auto"/>
              <w:jc w:val="center"/>
              <w:rPr>
                <w:color w:val="auto"/>
              </w:rPr>
            </w:pPr>
            <w:r w:rsidRPr="00581806">
              <w:rPr>
                <w:color w:val="auto"/>
              </w:rPr>
              <w:t>0.42</w:t>
            </w:r>
          </w:p>
        </w:tc>
        <w:tc>
          <w:tcPr>
            <w:tcW w:w="1549" w:type="dxa"/>
            <w:noWrap/>
            <w:vAlign w:val="center"/>
          </w:tcPr>
          <w:p w:rsidR="00F86696" w:rsidRPr="00581806" w:rsidP="008440FA" w14:paraId="05737FA4" w14:textId="2F623994">
            <w:pPr>
              <w:spacing w:line="240" w:lineRule="auto"/>
              <w:jc w:val="center"/>
              <w:rPr>
                <w:color w:val="auto"/>
              </w:rPr>
            </w:pPr>
            <w:r>
              <w:rPr>
                <w:color w:val="auto"/>
              </w:rPr>
              <w:t>PERT</w:t>
            </w:r>
          </w:p>
        </w:tc>
        <w:tc>
          <w:tcPr>
            <w:tcW w:w="1134" w:type="dxa"/>
            <w:noWrap/>
            <w:vAlign w:val="center"/>
          </w:tcPr>
          <w:p w:rsidR="00F86696" w:rsidRPr="00581806" w:rsidP="008440FA" w14:paraId="3AF47884" w14:textId="2BE1D5AD">
            <w:pPr>
              <w:spacing w:line="240" w:lineRule="auto"/>
              <w:jc w:val="center"/>
              <w:rPr>
                <w:color w:val="auto"/>
              </w:rPr>
            </w:pPr>
            <w:r w:rsidRPr="00581806">
              <w:rPr>
                <w:color w:val="000000"/>
              </w:rPr>
              <w:t>0.3</w:t>
            </w:r>
          </w:p>
        </w:tc>
        <w:tc>
          <w:tcPr>
            <w:tcW w:w="1134" w:type="dxa"/>
            <w:noWrap/>
            <w:vAlign w:val="center"/>
          </w:tcPr>
          <w:p w:rsidR="00F86696" w:rsidRPr="00581806" w:rsidP="008440FA" w14:paraId="4FC033CC" w14:textId="11CF10D6">
            <w:pPr>
              <w:spacing w:line="240" w:lineRule="auto"/>
              <w:jc w:val="center"/>
              <w:rPr>
                <w:color w:val="auto"/>
              </w:rPr>
            </w:pPr>
            <w:r w:rsidRPr="00581806">
              <w:rPr>
                <w:color w:val="000000"/>
              </w:rPr>
              <w:t>0.42</w:t>
            </w:r>
          </w:p>
        </w:tc>
        <w:tc>
          <w:tcPr>
            <w:tcW w:w="1134" w:type="dxa"/>
            <w:noWrap/>
            <w:vAlign w:val="center"/>
          </w:tcPr>
          <w:p w:rsidR="00F86696" w:rsidRPr="00581806" w:rsidP="008440FA" w14:paraId="1B8FFCC4" w14:textId="2B393B08">
            <w:pPr>
              <w:spacing w:line="240" w:lineRule="auto"/>
              <w:jc w:val="center"/>
              <w:rPr>
                <w:color w:val="auto"/>
              </w:rPr>
            </w:pPr>
            <w:r w:rsidRPr="00581806">
              <w:rPr>
                <w:color w:val="000000"/>
              </w:rPr>
              <w:t>0.53</w:t>
            </w:r>
          </w:p>
        </w:tc>
      </w:tr>
      <w:tr w14:paraId="291120D7" w14:textId="77777777" w:rsidTr="001D71EB">
        <w:tblPrEx>
          <w:tblW w:w="0" w:type="auto"/>
          <w:tblLook w:val="04A0"/>
        </w:tblPrEx>
        <w:trPr>
          <w:trHeight w:val="251"/>
        </w:trPr>
        <w:tc>
          <w:tcPr>
            <w:tcW w:w="3081" w:type="dxa"/>
            <w:vAlign w:val="center"/>
          </w:tcPr>
          <w:p w:rsidR="00F86696" w:rsidRPr="00581806" w:rsidP="008440FA" w14:paraId="2D42E1FA" w14:textId="5E9CB376">
            <w:pPr>
              <w:spacing w:line="240" w:lineRule="auto"/>
              <w:rPr>
                <w:color w:val="000000"/>
              </w:rPr>
            </w:pPr>
            <w:r>
              <w:rPr>
                <w:color w:val="000000"/>
              </w:rPr>
              <w:t>SMR reactor l</w:t>
            </w:r>
            <w:r w:rsidRPr="00581806">
              <w:rPr>
                <w:color w:val="000000"/>
              </w:rPr>
              <w:t>ife</w:t>
            </w:r>
          </w:p>
        </w:tc>
        <w:tc>
          <w:tcPr>
            <w:tcW w:w="1318" w:type="dxa"/>
            <w:noWrap/>
            <w:vAlign w:val="center"/>
          </w:tcPr>
          <w:p w:rsidR="00F86696" w:rsidRPr="00581806" w:rsidP="008440FA" w14:paraId="79E40FFB" w14:textId="4793F090">
            <w:pPr>
              <w:spacing w:line="240" w:lineRule="auto"/>
              <w:jc w:val="center"/>
              <w:rPr>
                <w:color w:val="auto"/>
              </w:rPr>
            </w:pPr>
            <w:r>
              <w:rPr>
                <w:color w:val="auto"/>
              </w:rPr>
              <w:t>60</w:t>
            </w:r>
          </w:p>
        </w:tc>
        <w:tc>
          <w:tcPr>
            <w:tcW w:w="1549" w:type="dxa"/>
            <w:noWrap/>
            <w:vAlign w:val="center"/>
          </w:tcPr>
          <w:p w:rsidR="00F86696" w:rsidRPr="00581806" w:rsidP="008440FA" w14:paraId="3D45FA0F" w14:textId="69A551C5">
            <w:pPr>
              <w:spacing w:line="240" w:lineRule="auto"/>
              <w:jc w:val="center"/>
              <w:rPr>
                <w:color w:val="auto"/>
              </w:rPr>
            </w:pPr>
            <w:r>
              <w:rPr>
                <w:color w:val="auto"/>
              </w:rPr>
              <w:t>PERT</w:t>
            </w:r>
          </w:p>
        </w:tc>
        <w:tc>
          <w:tcPr>
            <w:tcW w:w="1134" w:type="dxa"/>
            <w:noWrap/>
            <w:vAlign w:val="center"/>
          </w:tcPr>
          <w:p w:rsidR="00F86696" w:rsidRPr="00581806" w:rsidP="008440FA" w14:paraId="4096DE40" w14:textId="20CE8933">
            <w:pPr>
              <w:spacing w:line="240" w:lineRule="auto"/>
              <w:jc w:val="center"/>
              <w:rPr>
                <w:color w:val="auto"/>
              </w:rPr>
            </w:pPr>
            <w:r>
              <w:rPr>
                <w:color w:val="000000"/>
              </w:rPr>
              <w:t>40</w:t>
            </w:r>
          </w:p>
        </w:tc>
        <w:tc>
          <w:tcPr>
            <w:tcW w:w="1134" w:type="dxa"/>
            <w:noWrap/>
            <w:vAlign w:val="center"/>
          </w:tcPr>
          <w:p w:rsidR="00F86696" w:rsidRPr="00581806" w:rsidP="008440FA" w14:paraId="76D91E0E" w14:textId="55173183">
            <w:pPr>
              <w:spacing w:line="240" w:lineRule="auto"/>
              <w:jc w:val="center"/>
              <w:rPr>
                <w:color w:val="auto"/>
              </w:rPr>
            </w:pPr>
            <w:r>
              <w:rPr>
                <w:color w:val="000000"/>
              </w:rPr>
              <w:t>60</w:t>
            </w:r>
          </w:p>
        </w:tc>
        <w:tc>
          <w:tcPr>
            <w:tcW w:w="1134" w:type="dxa"/>
            <w:noWrap/>
            <w:vAlign w:val="center"/>
          </w:tcPr>
          <w:p w:rsidR="00F86696" w:rsidRPr="00581806" w:rsidP="008440FA" w14:paraId="0262F301" w14:textId="4D236F11">
            <w:pPr>
              <w:spacing w:line="240" w:lineRule="auto"/>
              <w:jc w:val="center"/>
              <w:rPr>
                <w:color w:val="auto"/>
              </w:rPr>
            </w:pPr>
            <w:r>
              <w:rPr>
                <w:color w:val="000000"/>
              </w:rPr>
              <w:t>80</w:t>
            </w:r>
          </w:p>
        </w:tc>
      </w:tr>
      <w:tr w14:paraId="01CD677B" w14:textId="77777777" w:rsidTr="00A842F0">
        <w:tblPrEx>
          <w:tblW w:w="0" w:type="auto"/>
          <w:tblLook w:val="04A0"/>
        </w:tblPrEx>
        <w:trPr>
          <w:trHeight w:val="251"/>
        </w:trPr>
        <w:tc>
          <w:tcPr>
            <w:tcW w:w="9350" w:type="dxa"/>
            <w:gridSpan w:val="6"/>
            <w:vAlign w:val="center"/>
          </w:tcPr>
          <w:p w:rsidR="00F86696" w:rsidRPr="00581806" w:rsidP="008440FA" w14:paraId="11338DA3" w14:textId="3AB7E086">
            <w:pPr>
              <w:spacing w:line="240" w:lineRule="auto"/>
              <w:rPr>
                <w:color w:val="000000"/>
              </w:rPr>
            </w:pPr>
            <w:r w:rsidRPr="00581806">
              <w:rPr>
                <w:b/>
                <w:bCs/>
              </w:rPr>
              <w:t>Averted LAR for EP (</w:t>
            </w:r>
            <w:r w:rsidR="00E95CA0">
              <w:rPr>
                <w:b/>
                <w:bCs/>
              </w:rPr>
              <w:t>NRC</w:t>
            </w:r>
            <w:r w:rsidRPr="00581806">
              <w:rPr>
                <w:b/>
                <w:bCs/>
              </w:rPr>
              <w:t>)</w:t>
            </w:r>
          </w:p>
        </w:tc>
      </w:tr>
      <w:tr w14:paraId="77FF25E1" w14:textId="77777777" w:rsidTr="001D71EB">
        <w:tblPrEx>
          <w:tblW w:w="0" w:type="auto"/>
          <w:tblLook w:val="04A0"/>
        </w:tblPrEx>
        <w:trPr>
          <w:trHeight w:val="251"/>
        </w:trPr>
        <w:tc>
          <w:tcPr>
            <w:tcW w:w="3081" w:type="dxa"/>
            <w:vAlign w:val="center"/>
          </w:tcPr>
          <w:p w:rsidR="00630A33" w:rsidRPr="00581806" w:rsidP="008440FA" w14:paraId="2E0D8DA4" w14:textId="0DEA2AC7">
            <w:pPr>
              <w:spacing w:line="240" w:lineRule="auto"/>
              <w:rPr>
                <w:color w:val="000000"/>
              </w:rPr>
            </w:pPr>
            <w:r w:rsidRPr="00581806">
              <w:rPr>
                <w:color w:val="000000"/>
              </w:rPr>
              <w:t xml:space="preserve">Hours </w:t>
            </w:r>
            <w:r w:rsidR="00AD4ECB">
              <w:rPr>
                <w:color w:val="000000"/>
              </w:rPr>
              <w:t>t</w:t>
            </w:r>
            <w:r w:rsidRPr="00581806">
              <w:rPr>
                <w:color w:val="000000"/>
              </w:rPr>
              <w:t xml:space="preserve">o </w:t>
            </w:r>
            <w:r w:rsidR="00AD4ECB">
              <w:rPr>
                <w:color w:val="000000"/>
              </w:rPr>
              <w:t>a</w:t>
            </w:r>
            <w:r w:rsidRPr="00581806">
              <w:rPr>
                <w:color w:val="000000"/>
              </w:rPr>
              <w:t xml:space="preserve">pprove </w:t>
            </w:r>
            <w:r w:rsidR="00AD4ECB">
              <w:rPr>
                <w:color w:val="000000"/>
              </w:rPr>
              <w:t>a</w:t>
            </w:r>
            <w:r w:rsidR="004535CA">
              <w:rPr>
                <w:color w:val="000000"/>
              </w:rPr>
              <w:t>n</w:t>
            </w:r>
            <w:r w:rsidR="009330C0">
              <w:rPr>
                <w:color w:val="000000"/>
              </w:rPr>
              <w:t xml:space="preserve"> </w:t>
            </w:r>
            <w:r w:rsidRPr="00581806">
              <w:rPr>
                <w:color w:val="000000"/>
              </w:rPr>
              <w:t>LAR</w:t>
            </w:r>
          </w:p>
        </w:tc>
        <w:tc>
          <w:tcPr>
            <w:tcW w:w="1318" w:type="dxa"/>
            <w:noWrap/>
            <w:vAlign w:val="center"/>
          </w:tcPr>
          <w:p w:rsidR="00630A33" w:rsidRPr="00581806" w:rsidP="008440FA" w14:paraId="58FFA36B" w14:textId="5B36137A">
            <w:pPr>
              <w:spacing w:line="240" w:lineRule="auto"/>
              <w:jc w:val="center"/>
              <w:rPr>
                <w:color w:val="auto"/>
              </w:rPr>
            </w:pPr>
            <w:r w:rsidRPr="00581806">
              <w:rPr>
                <w:color w:val="auto"/>
              </w:rPr>
              <w:t>192</w:t>
            </w:r>
          </w:p>
        </w:tc>
        <w:tc>
          <w:tcPr>
            <w:tcW w:w="1549" w:type="dxa"/>
            <w:noWrap/>
            <w:vAlign w:val="center"/>
          </w:tcPr>
          <w:p w:rsidR="00630A33" w:rsidRPr="00581806" w:rsidP="008440FA" w14:paraId="622D2DB7" w14:textId="24D007F4">
            <w:pPr>
              <w:spacing w:line="240" w:lineRule="auto"/>
              <w:jc w:val="center"/>
              <w:rPr>
                <w:color w:val="000000"/>
              </w:rPr>
            </w:pPr>
            <w:r>
              <w:rPr>
                <w:color w:val="auto"/>
              </w:rPr>
              <w:t>PERT</w:t>
            </w:r>
          </w:p>
        </w:tc>
        <w:tc>
          <w:tcPr>
            <w:tcW w:w="1134" w:type="dxa"/>
            <w:noWrap/>
            <w:vAlign w:val="center"/>
          </w:tcPr>
          <w:p w:rsidR="00630A33" w:rsidRPr="00581806" w:rsidP="008440FA" w14:paraId="7A3FAA41" w14:textId="404B34E3">
            <w:pPr>
              <w:spacing w:line="240" w:lineRule="auto"/>
              <w:jc w:val="center"/>
              <w:rPr>
                <w:color w:val="000000"/>
              </w:rPr>
            </w:pPr>
            <w:r w:rsidRPr="00581806">
              <w:rPr>
                <w:color w:val="000000"/>
              </w:rPr>
              <w:t>100</w:t>
            </w:r>
          </w:p>
        </w:tc>
        <w:tc>
          <w:tcPr>
            <w:tcW w:w="1134" w:type="dxa"/>
            <w:noWrap/>
            <w:vAlign w:val="center"/>
          </w:tcPr>
          <w:p w:rsidR="00630A33" w:rsidRPr="00581806" w:rsidP="008440FA" w14:paraId="77738B94" w14:textId="47CB0A84">
            <w:pPr>
              <w:spacing w:line="240" w:lineRule="auto"/>
              <w:jc w:val="center"/>
              <w:rPr>
                <w:color w:val="000000"/>
              </w:rPr>
            </w:pPr>
            <w:r w:rsidRPr="00581806">
              <w:rPr>
                <w:color w:val="000000"/>
              </w:rPr>
              <w:t>200</w:t>
            </w:r>
          </w:p>
        </w:tc>
        <w:tc>
          <w:tcPr>
            <w:tcW w:w="1134" w:type="dxa"/>
            <w:noWrap/>
            <w:vAlign w:val="center"/>
          </w:tcPr>
          <w:p w:rsidR="00630A33" w:rsidRPr="00581806" w:rsidP="008440FA" w14:paraId="26BE924C" w14:textId="261594B9">
            <w:pPr>
              <w:spacing w:line="240" w:lineRule="auto"/>
              <w:jc w:val="center"/>
              <w:rPr>
                <w:color w:val="000000"/>
              </w:rPr>
            </w:pPr>
            <w:r w:rsidRPr="00581806">
              <w:rPr>
                <w:color w:val="000000"/>
              </w:rPr>
              <w:t>250</w:t>
            </w:r>
          </w:p>
        </w:tc>
      </w:tr>
      <w:tr w14:paraId="1217CD5D" w14:textId="77777777" w:rsidTr="00A842F0">
        <w:tblPrEx>
          <w:tblW w:w="0" w:type="auto"/>
          <w:tblLook w:val="04A0"/>
        </w:tblPrEx>
        <w:trPr>
          <w:trHeight w:val="251"/>
        </w:trPr>
        <w:tc>
          <w:tcPr>
            <w:tcW w:w="9350" w:type="dxa"/>
            <w:gridSpan w:val="6"/>
            <w:vAlign w:val="center"/>
          </w:tcPr>
          <w:p w:rsidR="00630A33" w:rsidRPr="00581806" w:rsidP="008440FA" w14:paraId="70A5576C" w14:textId="6EF05C7F">
            <w:pPr>
              <w:spacing w:line="240" w:lineRule="auto"/>
              <w:rPr>
                <w:color w:val="000000"/>
              </w:rPr>
            </w:pPr>
            <w:r w:rsidRPr="00581806">
              <w:rPr>
                <w:b/>
                <w:bCs/>
              </w:rPr>
              <w:t>Reduced EP Plan Complexity (NRC)</w:t>
            </w:r>
          </w:p>
        </w:tc>
      </w:tr>
      <w:tr w14:paraId="60C495C5" w14:textId="77777777" w:rsidTr="001D71EB">
        <w:tblPrEx>
          <w:tblW w:w="0" w:type="auto"/>
          <w:tblLook w:val="04A0"/>
        </w:tblPrEx>
        <w:trPr>
          <w:trHeight w:val="251"/>
        </w:trPr>
        <w:tc>
          <w:tcPr>
            <w:tcW w:w="3081" w:type="dxa"/>
            <w:vAlign w:val="center"/>
          </w:tcPr>
          <w:p w:rsidR="00630A33" w:rsidRPr="00581806" w:rsidP="008440FA" w14:paraId="6D8E99A0" w14:textId="69A22272">
            <w:pPr>
              <w:spacing w:line="240" w:lineRule="auto"/>
              <w:rPr>
                <w:color w:val="000000"/>
              </w:rPr>
            </w:pPr>
            <w:r w:rsidRPr="00581806">
              <w:rPr>
                <w:color w:val="000000"/>
              </w:rPr>
              <w:t xml:space="preserve">Hours </w:t>
            </w:r>
            <w:r w:rsidR="00FA2CA8">
              <w:rPr>
                <w:color w:val="000000"/>
              </w:rPr>
              <w:t>to r</w:t>
            </w:r>
            <w:r w:rsidRPr="00581806">
              <w:rPr>
                <w:color w:val="000000"/>
              </w:rPr>
              <w:t>eview EP</w:t>
            </w:r>
            <w:r w:rsidR="00FA2CA8">
              <w:rPr>
                <w:color w:val="000000"/>
              </w:rPr>
              <w:noBreakHyphen/>
              <w:t>r</w:t>
            </w:r>
            <w:r w:rsidRPr="00581806">
              <w:rPr>
                <w:color w:val="000000"/>
              </w:rPr>
              <w:t xml:space="preserve">elated </w:t>
            </w:r>
            <w:r w:rsidR="00FA2CA8">
              <w:rPr>
                <w:color w:val="000000"/>
              </w:rPr>
              <w:t>s</w:t>
            </w:r>
            <w:r w:rsidRPr="00581806">
              <w:rPr>
                <w:color w:val="000000"/>
              </w:rPr>
              <w:t>ubmissions</w:t>
            </w:r>
          </w:p>
        </w:tc>
        <w:tc>
          <w:tcPr>
            <w:tcW w:w="1318" w:type="dxa"/>
            <w:noWrap/>
            <w:vAlign w:val="center"/>
          </w:tcPr>
          <w:p w:rsidR="00630A33" w:rsidRPr="00581806" w:rsidP="008440FA" w14:paraId="12A89207" w14:textId="02FA04B8">
            <w:pPr>
              <w:spacing w:line="240" w:lineRule="auto"/>
              <w:jc w:val="center"/>
              <w:rPr>
                <w:color w:val="auto"/>
              </w:rPr>
            </w:pPr>
            <w:r w:rsidRPr="00581806">
              <w:rPr>
                <w:color w:val="auto"/>
              </w:rPr>
              <w:t>1</w:t>
            </w:r>
            <w:r w:rsidR="00325CE7">
              <w:rPr>
                <w:color w:val="auto"/>
              </w:rPr>
              <w:t>,</w:t>
            </w:r>
            <w:r w:rsidRPr="00581806">
              <w:rPr>
                <w:color w:val="auto"/>
              </w:rPr>
              <w:t>509</w:t>
            </w:r>
          </w:p>
        </w:tc>
        <w:tc>
          <w:tcPr>
            <w:tcW w:w="1549" w:type="dxa"/>
            <w:noWrap/>
            <w:vAlign w:val="center"/>
          </w:tcPr>
          <w:p w:rsidR="00630A33" w:rsidRPr="00581806" w:rsidP="008440FA" w14:paraId="67F6D69B" w14:textId="30994034">
            <w:pPr>
              <w:spacing w:line="240" w:lineRule="auto"/>
              <w:jc w:val="center"/>
              <w:rPr>
                <w:color w:val="auto"/>
              </w:rPr>
            </w:pPr>
            <w:r>
              <w:rPr>
                <w:color w:val="auto"/>
              </w:rPr>
              <w:t>PERT</w:t>
            </w:r>
          </w:p>
        </w:tc>
        <w:tc>
          <w:tcPr>
            <w:tcW w:w="1134" w:type="dxa"/>
            <w:noWrap/>
            <w:vAlign w:val="center"/>
          </w:tcPr>
          <w:p w:rsidR="00630A33" w:rsidRPr="00581806" w:rsidP="008440FA" w14:paraId="0393DDC4" w14:textId="0F7C4B40">
            <w:pPr>
              <w:spacing w:line="240" w:lineRule="auto"/>
              <w:jc w:val="center"/>
              <w:rPr>
                <w:color w:val="auto"/>
              </w:rPr>
            </w:pPr>
            <w:r w:rsidRPr="00581806">
              <w:rPr>
                <w:color w:val="000000"/>
              </w:rPr>
              <w:t>1</w:t>
            </w:r>
            <w:r w:rsidR="009330C0">
              <w:rPr>
                <w:color w:val="000000"/>
              </w:rPr>
              <w:t>,</w:t>
            </w:r>
            <w:r w:rsidRPr="00581806">
              <w:rPr>
                <w:color w:val="000000"/>
              </w:rPr>
              <w:t>181</w:t>
            </w:r>
          </w:p>
        </w:tc>
        <w:tc>
          <w:tcPr>
            <w:tcW w:w="1134" w:type="dxa"/>
            <w:noWrap/>
            <w:vAlign w:val="center"/>
          </w:tcPr>
          <w:p w:rsidR="00630A33" w:rsidRPr="00581806" w:rsidP="008440FA" w14:paraId="5AAF596E" w14:textId="30C19FFA">
            <w:pPr>
              <w:spacing w:line="240" w:lineRule="auto"/>
              <w:jc w:val="center"/>
              <w:rPr>
                <w:color w:val="auto"/>
              </w:rPr>
            </w:pPr>
            <w:r w:rsidRPr="00581806">
              <w:rPr>
                <w:color w:val="000000"/>
              </w:rPr>
              <w:t>1</w:t>
            </w:r>
            <w:r w:rsidR="009330C0">
              <w:rPr>
                <w:color w:val="000000"/>
              </w:rPr>
              <w:t>,</w:t>
            </w:r>
            <w:r w:rsidRPr="00581806">
              <w:rPr>
                <w:color w:val="000000"/>
              </w:rPr>
              <w:t>313</w:t>
            </w:r>
          </w:p>
        </w:tc>
        <w:tc>
          <w:tcPr>
            <w:tcW w:w="1134" w:type="dxa"/>
            <w:noWrap/>
            <w:vAlign w:val="center"/>
          </w:tcPr>
          <w:p w:rsidR="00630A33" w:rsidRPr="00581806" w:rsidP="008440FA" w14:paraId="1406B7C4" w14:textId="23456CDD">
            <w:pPr>
              <w:spacing w:line="240" w:lineRule="auto"/>
              <w:jc w:val="center"/>
              <w:rPr>
                <w:color w:val="auto"/>
              </w:rPr>
            </w:pPr>
            <w:r w:rsidRPr="00581806">
              <w:rPr>
                <w:color w:val="000000"/>
              </w:rPr>
              <w:t>2</w:t>
            </w:r>
            <w:r w:rsidR="009330C0">
              <w:rPr>
                <w:color w:val="000000"/>
              </w:rPr>
              <w:t>,</w:t>
            </w:r>
            <w:r w:rsidRPr="00581806">
              <w:rPr>
                <w:color w:val="000000"/>
              </w:rPr>
              <w:t>625</w:t>
            </w:r>
          </w:p>
        </w:tc>
      </w:tr>
      <w:tr w14:paraId="00AA82A6" w14:textId="77777777" w:rsidTr="001D71EB">
        <w:tblPrEx>
          <w:tblW w:w="0" w:type="auto"/>
          <w:tblLook w:val="04A0"/>
        </w:tblPrEx>
        <w:trPr>
          <w:trHeight w:val="251"/>
        </w:trPr>
        <w:tc>
          <w:tcPr>
            <w:tcW w:w="3081" w:type="dxa"/>
            <w:vAlign w:val="center"/>
          </w:tcPr>
          <w:p w:rsidR="00630A33" w:rsidRPr="00581806" w:rsidP="008440FA" w14:paraId="204210FC" w14:textId="7D6E45CB">
            <w:pPr>
              <w:spacing w:line="240" w:lineRule="auto"/>
              <w:rPr>
                <w:color w:val="000000"/>
              </w:rPr>
            </w:pPr>
            <w:r w:rsidRPr="00FA2CA8">
              <w:rPr>
                <w:color w:val="000000"/>
              </w:rPr>
              <w:t>Efficiency factor for learning</w:t>
            </w:r>
          </w:p>
        </w:tc>
        <w:tc>
          <w:tcPr>
            <w:tcW w:w="1318" w:type="dxa"/>
            <w:noWrap/>
            <w:vAlign w:val="center"/>
          </w:tcPr>
          <w:p w:rsidR="00630A33" w:rsidRPr="00581806" w:rsidP="008440FA" w14:paraId="21925BC8" w14:textId="2CB0DFBF">
            <w:pPr>
              <w:spacing w:line="240" w:lineRule="auto"/>
              <w:jc w:val="center"/>
              <w:rPr>
                <w:color w:val="auto"/>
              </w:rPr>
            </w:pPr>
            <w:r w:rsidRPr="00581806">
              <w:rPr>
                <w:color w:val="auto"/>
              </w:rPr>
              <w:t>5</w:t>
            </w:r>
            <w:r w:rsidRPr="00581806">
              <w:rPr>
                <w:color w:val="auto"/>
              </w:rPr>
              <w:t>%</w:t>
            </w:r>
          </w:p>
        </w:tc>
        <w:tc>
          <w:tcPr>
            <w:tcW w:w="1549" w:type="dxa"/>
            <w:noWrap/>
            <w:vAlign w:val="center"/>
          </w:tcPr>
          <w:p w:rsidR="00630A33" w:rsidRPr="00581806" w:rsidP="008440FA" w14:paraId="06D7BF08" w14:textId="0240CB2F">
            <w:pPr>
              <w:spacing w:line="240" w:lineRule="auto"/>
              <w:jc w:val="center"/>
              <w:rPr>
                <w:color w:val="auto"/>
              </w:rPr>
            </w:pPr>
            <w:r>
              <w:rPr>
                <w:color w:val="auto"/>
              </w:rPr>
              <w:t>PERT</w:t>
            </w:r>
          </w:p>
        </w:tc>
        <w:tc>
          <w:tcPr>
            <w:tcW w:w="1134" w:type="dxa"/>
            <w:noWrap/>
            <w:vAlign w:val="center"/>
          </w:tcPr>
          <w:p w:rsidR="00630A33" w:rsidRPr="00581806" w:rsidP="008440FA" w14:paraId="1DC8524D" w14:textId="2CEC56C3">
            <w:pPr>
              <w:spacing w:line="240" w:lineRule="auto"/>
              <w:jc w:val="center"/>
              <w:rPr>
                <w:color w:val="auto"/>
              </w:rPr>
            </w:pPr>
            <w:r w:rsidRPr="00581806">
              <w:rPr>
                <w:color w:val="000000"/>
              </w:rPr>
              <w:t>0</w:t>
            </w:r>
            <w:r w:rsidRPr="00581806">
              <w:rPr>
                <w:color w:val="000000"/>
              </w:rPr>
              <w:t>%</w:t>
            </w:r>
          </w:p>
        </w:tc>
        <w:tc>
          <w:tcPr>
            <w:tcW w:w="1134" w:type="dxa"/>
            <w:noWrap/>
            <w:vAlign w:val="center"/>
          </w:tcPr>
          <w:p w:rsidR="00630A33" w:rsidRPr="00581806" w:rsidP="008440FA" w14:paraId="290A16E3" w14:textId="21238C2A">
            <w:pPr>
              <w:spacing w:line="240" w:lineRule="auto"/>
              <w:jc w:val="center"/>
              <w:rPr>
                <w:color w:val="auto"/>
              </w:rPr>
            </w:pPr>
            <w:r w:rsidRPr="00581806">
              <w:rPr>
                <w:color w:val="000000"/>
              </w:rPr>
              <w:t>5</w:t>
            </w:r>
            <w:r w:rsidRPr="00581806">
              <w:rPr>
                <w:color w:val="000000"/>
              </w:rPr>
              <w:t>%</w:t>
            </w:r>
          </w:p>
        </w:tc>
        <w:tc>
          <w:tcPr>
            <w:tcW w:w="1134" w:type="dxa"/>
            <w:noWrap/>
            <w:vAlign w:val="center"/>
          </w:tcPr>
          <w:p w:rsidR="00630A33" w:rsidRPr="00581806" w:rsidP="008440FA" w14:paraId="031CBDD0" w14:textId="7BE57180">
            <w:pPr>
              <w:spacing w:line="240" w:lineRule="auto"/>
              <w:jc w:val="center"/>
              <w:rPr>
                <w:color w:val="auto"/>
              </w:rPr>
            </w:pPr>
            <w:r w:rsidRPr="00581806">
              <w:rPr>
                <w:color w:val="000000"/>
              </w:rPr>
              <w:t>10</w:t>
            </w:r>
            <w:r w:rsidRPr="00581806">
              <w:rPr>
                <w:color w:val="000000"/>
              </w:rPr>
              <w:t>%</w:t>
            </w:r>
          </w:p>
        </w:tc>
      </w:tr>
      <w:tr w14:paraId="6ACAD5CE" w14:textId="77777777" w:rsidTr="00A842F0">
        <w:tblPrEx>
          <w:tblW w:w="0" w:type="auto"/>
          <w:tblLook w:val="04A0"/>
        </w:tblPrEx>
        <w:trPr>
          <w:trHeight w:val="251"/>
        </w:trPr>
        <w:tc>
          <w:tcPr>
            <w:tcW w:w="9350" w:type="dxa"/>
            <w:gridSpan w:val="6"/>
            <w:vAlign w:val="center"/>
          </w:tcPr>
          <w:p w:rsidR="00630A33" w:rsidRPr="00581806" w:rsidP="008440FA" w14:paraId="27CFD27D" w14:textId="6E6025FB">
            <w:pPr>
              <w:spacing w:line="240" w:lineRule="auto"/>
              <w:rPr>
                <w:color w:val="000000"/>
              </w:rPr>
            </w:pPr>
            <w:r w:rsidRPr="00581806">
              <w:rPr>
                <w:b/>
                <w:bCs/>
              </w:rPr>
              <w:t>Review Exemption Requests</w:t>
            </w:r>
            <w:r w:rsidR="00A556F6">
              <w:rPr>
                <w:b/>
                <w:bCs/>
              </w:rPr>
              <w:t xml:space="preserve"> (NRC)</w:t>
            </w:r>
          </w:p>
        </w:tc>
      </w:tr>
      <w:tr w14:paraId="2C9E3DD5" w14:textId="77777777" w:rsidTr="001D71EB">
        <w:tblPrEx>
          <w:tblW w:w="0" w:type="auto"/>
          <w:tblLook w:val="04A0"/>
        </w:tblPrEx>
        <w:trPr>
          <w:trHeight w:val="251"/>
        </w:trPr>
        <w:tc>
          <w:tcPr>
            <w:tcW w:w="3081" w:type="dxa"/>
            <w:vAlign w:val="center"/>
          </w:tcPr>
          <w:p w:rsidR="00630A33" w:rsidRPr="00581806" w:rsidP="008440FA" w14:paraId="2CA65E81" w14:textId="06848310">
            <w:pPr>
              <w:spacing w:line="240" w:lineRule="auto"/>
              <w:rPr>
                <w:highlight w:val="yellow"/>
              </w:rPr>
            </w:pPr>
            <w:r>
              <w:rPr>
                <w:color w:val="000000"/>
              </w:rPr>
              <w:t>H</w:t>
            </w:r>
            <w:r w:rsidRPr="00FA2CA8">
              <w:rPr>
                <w:color w:val="000000"/>
              </w:rPr>
              <w:t>ourly rate</w:t>
            </w:r>
          </w:p>
        </w:tc>
        <w:tc>
          <w:tcPr>
            <w:tcW w:w="1318" w:type="dxa"/>
            <w:noWrap/>
            <w:vAlign w:val="center"/>
          </w:tcPr>
          <w:p w:rsidR="00630A33" w:rsidRPr="00581806" w:rsidP="008440FA" w14:paraId="0584578E" w14:textId="6C37CDBF">
            <w:pPr>
              <w:spacing w:line="240" w:lineRule="auto"/>
              <w:jc w:val="center"/>
              <w:rPr>
                <w:color w:val="auto"/>
              </w:rPr>
            </w:pPr>
            <w:r w:rsidRPr="00581806">
              <w:rPr>
                <w:color w:val="auto"/>
              </w:rPr>
              <w:t>$13</w:t>
            </w:r>
            <w:r w:rsidR="004535CA">
              <w:rPr>
                <w:color w:val="auto"/>
              </w:rPr>
              <w:t>7</w:t>
            </w:r>
          </w:p>
        </w:tc>
        <w:tc>
          <w:tcPr>
            <w:tcW w:w="1549" w:type="dxa"/>
            <w:noWrap/>
            <w:vAlign w:val="center"/>
          </w:tcPr>
          <w:p w:rsidR="00630A33" w:rsidRPr="00581806" w:rsidP="008440FA" w14:paraId="411F8A26" w14:textId="799E0D19">
            <w:pPr>
              <w:spacing w:line="240" w:lineRule="auto"/>
              <w:jc w:val="center"/>
              <w:rPr>
                <w:color w:val="auto"/>
              </w:rPr>
            </w:pPr>
            <w:r>
              <w:rPr>
                <w:color w:val="auto"/>
              </w:rPr>
              <w:t>PERT</w:t>
            </w:r>
          </w:p>
        </w:tc>
        <w:tc>
          <w:tcPr>
            <w:tcW w:w="1134" w:type="dxa"/>
            <w:noWrap/>
            <w:vAlign w:val="center"/>
          </w:tcPr>
          <w:p w:rsidR="00630A33" w:rsidRPr="00581806" w:rsidP="008440FA" w14:paraId="7203AA0B" w14:textId="41700859">
            <w:pPr>
              <w:spacing w:line="240" w:lineRule="auto"/>
              <w:jc w:val="center"/>
              <w:rPr>
                <w:color w:val="auto"/>
                <w:highlight w:val="yellow"/>
              </w:rPr>
            </w:pPr>
            <w:r w:rsidRPr="00581806">
              <w:rPr>
                <w:color w:val="auto"/>
              </w:rPr>
              <w:t>$</w:t>
            </w:r>
            <w:r w:rsidRPr="00581806" w:rsidR="00986B03">
              <w:rPr>
                <w:color w:val="auto"/>
              </w:rPr>
              <w:t>13</w:t>
            </w:r>
            <w:r w:rsidR="004535CA">
              <w:rPr>
                <w:color w:val="auto"/>
              </w:rPr>
              <w:t>6</w:t>
            </w:r>
          </w:p>
        </w:tc>
        <w:tc>
          <w:tcPr>
            <w:tcW w:w="1134" w:type="dxa"/>
            <w:noWrap/>
            <w:vAlign w:val="center"/>
          </w:tcPr>
          <w:p w:rsidR="00630A33" w:rsidRPr="00581806" w:rsidP="008440FA" w14:paraId="119F6AD3" w14:textId="64E009CD">
            <w:pPr>
              <w:spacing w:line="240" w:lineRule="auto"/>
              <w:jc w:val="center"/>
              <w:rPr>
                <w:color w:val="auto"/>
                <w:highlight w:val="yellow"/>
              </w:rPr>
            </w:pPr>
            <w:r w:rsidRPr="00581806">
              <w:rPr>
                <w:color w:val="auto"/>
              </w:rPr>
              <w:t>$</w:t>
            </w:r>
            <w:r w:rsidRPr="00581806" w:rsidR="00986B03">
              <w:rPr>
                <w:color w:val="auto"/>
              </w:rPr>
              <w:t>13</w:t>
            </w:r>
            <w:r w:rsidR="004535CA">
              <w:rPr>
                <w:color w:val="auto"/>
              </w:rPr>
              <w:t>7</w:t>
            </w:r>
          </w:p>
        </w:tc>
        <w:tc>
          <w:tcPr>
            <w:tcW w:w="1134" w:type="dxa"/>
            <w:noWrap/>
            <w:vAlign w:val="center"/>
          </w:tcPr>
          <w:p w:rsidR="00630A33" w:rsidRPr="00581806" w:rsidP="008440FA" w14:paraId="2BD1D9D3" w14:textId="477D6EB0">
            <w:pPr>
              <w:spacing w:line="240" w:lineRule="auto"/>
              <w:jc w:val="center"/>
              <w:rPr>
                <w:color w:val="auto"/>
                <w:highlight w:val="yellow"/>
              </w:rPr>
            </w:pPr>
            <w:r w:rsidRPr="00581806">
              <w:rPr>
                <w:color w:val="auto"/>
              </w:rPr>
              <w:t>$</w:t>
            </w:r>
            <w:r w:rsidRPr="00581806" w:rsidR="00986B03">
              <w:rPr>
                <w:color w:val="auto"/>
              </w:rPr>
              <w:t>13</w:t>
            </w:r>
            <w:r w:rsidR="004535CA">
              <w:rPr>
                <w:color w:val="auto"/>
              </w:rPr>
              <w:t>8</w:t>
            </w:r>
          </w:p>
        </w:tc>
      </w:tr>
      <w:tr w14:paraId="739CF80E" w14:textId="77777777" w:rsidTr="001D71EB">
        <w:tblPrEx>
          <w:tblW w:w="0" w:type="auto"/>
          <w:tblLook w:val="04A0"/>
        </w:tblPrEx>
        <w:trPr>
          <w:trHeight w:val="251"/>
        </w:trPr>
        <w:tc>
          <w:tcPr>
            <w:tcW w:w="3081" w:type="dxa"/>
            <w:vAlign w:val="center"/>
            <w:hideMark/>
          </w:tcPr>
          <w:p w:rsidR="00630A33" w:rsidRPr="00581806" w:rsidP="008440FA" w14:paraId="4DB6E779" w14:textId="5FFC8B74">
            <w:pPr>
              <w:spacing w:line="240" w:lineRule="auto"/>
              <w:rPr>
                <w:highlight w:val="yellow"/>
              </w:rPr>
            </w:pPr>
            <w:r w:rsidRPr="00581806">
              <w:rPr>
                <w:color w:val="000000"/>
              </w:rPr>
              <w:t xml:space="preserve">Hours </w:t>
            </w:r>
            <w:r w:rsidR="00FA2CA8">
              <w:rPr>
                <w:color w:val="000000"/>
              </w:rPr>
              <w:t>to r</w:t>
            </w:r>
            <w:r w:rsidRPr="00581806">
              <w:rPr>
                <w:color w:val="000000"/>
              </w:rPr>
              <w:t>eview</w:t>
            </w:r>
          </w:p>
        </w:tc>
        <w:tc>
          <w:tcPr>
            <w:tcW w:w="1318" w:type="dxa"/>
            <w:noWrap/>
            <w:vAlign w:val="center"/>
            <w:hideMark/>
          </w:tcPr>
          <w:p w:rsidR="00630A33" w:rsidRPr="00581806" w:rsidP="008440FA" w14:paraId="7CDAF7A7" w14:textId="77777777">
            <w:pPr>
              <w:spacing w:line="240" w:lineRule="auto"/>
              <w:jc w:val="center"/>
              <w:rPr>
                <w:color w:val="auto"/>
              </w:rPr>
            </w:pPr>
            <w:r w:rsidRPr="00581806">
              <w:rPr>
                <w:color w:val="auto"/>
              </w:rPr>
              <w:t>713</w:t>
            </w:r>
          </w:p>
        </w:tc>
        <w:tc>
          <w:tcPr>
            <w:tcW w:w="1549" w:type="dxa"/>
            <w:noWrap/>
            <w:vAlign w:val="center"/>
            <w:hideMark/>
          </w:tcPr>
          <w:p w:rsidR="00630A33" w:rsidRPr="00581806" w:rsidP="008440FA" w14:paraId="775BB4AE" w14:textId="4DF8C617">
            <w:pPr>
              <w:spacing w:line="240" w:lineRule="auto"/>
              <w:jc w:val="center"/>
              <w:rPr>
                <w:color w:val="auto"/>
              </w:rPr>
            </w:pPr>
            <w:r>
              <w:rPr>
                <w:color w:val="auto"/>
              </w:rPr>
              <w:t>PERT</w:t>
            </w:r>
          </w:p>
        </w:tc>
        <w:tc>
          <w:tcPr>
            <w:tcW w:w="1134" w:type="dxa"/>
            <w:noWrap/>
            <w:vAlign w:val="center"/>
            <w:hideMark/>
          </w:tcPr>
          <w:p w:rsidR="00630A33" w:rsidRPr="00581806" w:rsidP="008440FA" w14:paraId="142F7086" w14:textId="77777777">
            <w:pPr>
              <w:spacing w:line="240" w:lineRule="auto"/>
              <w:jc w:val="center"/>
              <w:rPr>
                <w:highlight w:val="yellow"/>
              </w:rPr>
            </w:pPr>
            <w:r w:rsidRPr="00581806">
              <w:rPr>
                <w:color w:val="000000"/>
              </w:rPr>
              <w:t>620</w:t>
            </w:r>
          </w:p>
        </w:tc>
        <w:tc>
          <w:tcPr>
            <w:tcW w:w="1134" w:type="dxa"/>
            <w:noWrap/>
            <w:vAlign w:val="center"/>
            <w:hideMark/>
          </w:tcPr>
          <w:p w:rsidR="00630A33" w:rsidRPr="00581806" w:rsidP="008440FA" w14:paraId="7AFC7B26" w14:textId="77777777">
            <w:pPr>
              <w:spacing w:line="240" w:lineRule="auto"/>
              <w:jc w:val="center"/>
              <w:rPr>
                <w:highlight w:val="yellow"/>
              </w:rPr>
            </w:pPr>
            <w:r w:rsidRPr="00581806">
              <w:rPr>
                <w:color w:val="000000"/>
              </w:rPr>
              <w:t>710</w:t>
            </w:r>
          </w:p>
        </w:tc>
        <w:tc>
          <w:tcPr>
            <w:tcW w:w="1134" w:type="dxa"/>
            <w:noWrap/>
            <w:vAlign w:val="center"/>
            <w:hideMark/>
          </w:tcPr>
          <w:p w:rsidR="00630A33" w:rsidRPr="00581806" w:rsidP="008440FA" w14:paraId="430D6308" w14:textId="15472728">
            <w:pPr>
              <w:spacing w:line="240" w:lineRule="auto"/>
              <w:jc w:val="center"/>
              <w:rPr>
                <w:highlight w:val="yellow"/>
              </w:rPr>
            </w:pPr>
            <w:r w:rsidRPr="00581806">
              <w:rPr>
                <w:color w:val="000000"/>
              </w:rPr>
              <w:t>820</w:t>
            </w:r>
          </w:p>
        </w:tc>
      </w:tr>
      <w:tr w14:paraId="41EFCCDA" w14:textId="77777777" w:rsidTr="0051747A">
        <w:tblPrEx>
          <w:tblW w:w="0" w:type="auto"/>
          <w:tblLook w:val="04A0"/>
        </w:tblPrEx>
        <w:trPr>
          <w:trHeight w:val="242"/>
        </w:trPr>
        <w:tc>
          <w:tcPr>
            <w:tcW w:w="9350" w:type="dxa"/>
            <w:gridSpan w:val="6"/>
            <w:vAlign w:val="center"/>
          </w:tcPr>
          <w:p w:rsidR="00630A33" w:rsidRPr="00581806" w:rsidP="008440FA" w14:paraId="4B1D6671" w14:textId="29FF2086">
            <w:pPr>
              <w:spacing w:line="240" w:lineRule="auto"/>
              <w:rPr>
                <w:color w:val="000000"/>
              </w:rPr>
            </w:pPr>
            <w:r>
              <w:rPr>
                <w:b/>
                <w:bCs/>
              </w:rPr>
              <w:t xml:space="preserve">Additional PRA or </w:t>
            </w:r>
            <w:r w:rsidR="00987238">
              <w:rPr>
                <w:b/>
                <w:bCs/>
              </w:rPr>
              <w:t>O</w:t>
            </w:r>
            <w:r>
              <w:rPr>
                <w:b/>
                <w:bCs/>
              </w:rPr>
              <w:t>ther Analysis</w:t>
            </w:r>
            <w:r w:rsidR="009330C0">
              <w:rPr>
                <w:b/>
                <w:bCs/>
              </w:rPr>
              <w:t xml:space="preserve"> (</w:t>
            </w:r>
            <w:r>
              <w:rPr>
                <w:b/>
                <w:bCs/>
              </w:rPr>
              <w:t>Industry</w:t>
            </w:r>
            <w:r w:rsidR="009330C0">
              <w:rPr>
                <w:b/>
                <w:bCs/>
              </w:rPr>
              <w:t>)</w:t>
            </w:r>
          </w:p>
        </w:tc>
      </w:tr>
      <w:tr w14:paraId="71B8A669" w14:textId="77777777" w:rsidTr="001D71EB">
        <w:tblPrEx>
          <w:tblW w:w="0" w:type="auto"/>
          <w:tblLook w:val="04A0"/>
        </w:tblPrEx>
        <w:trPr>
          <w:trHeight w:val="260"/>
        </w:trPr>
        <w:tc>
          <w:tcPr>
            <w:tcW w:w="3081" w:type="dxa"/>
            <w:vAlign w:val="center"/>
          </w:tcPr>
          <w:p w:rsidR="00986B03" w:rsidRPr="00581806" w:rsidP="008440FA" w14:paraId="27928BD5" w14:textId="5E9E4673">
            <w:pPr>
              <w:spacing w:line="240" w:lineRule="auto"/>
              <w:rPr>
                <w:color w:val="000000"/>
              </w:rPr>
            </w:pPr>
            <w:r>
              <w:rPr>
                <w:color w:val="000000"/>
              </w:rPr>
              <w:t>H</w:t>
            </w:r>
            <w:r w:rsidRPr="00FA2CA8">
              <w:rPr>
                <w:color w:val="000000"/>
              </w:rPr>
              <w:t>ourly rate</w:t>
            </w:r>
          </w:p>
        </w:tc>
        <w:tc>
          <w:tcPr>
            <w:tcW w:w="1318" w:type="dxa"/>
            <w:noWrap/>
            <w:vAlign w:val="center"/>
          </w:tcPr>
          <w:p w:rsidR="00986B03" w:rsidRPr="00581806" w:rsidP="008440FA" w14:paraId="3C0B2C8B" w14:textId="1A41396A">
            <w:pPr>
              <w:spacing w:line="240" w:lineRule="auto"/>
              <w:jc w:val="center"/>
              <w:rPr>
                <w:color w:val="auto"/>
              </w:rPr>
            </w:pPr>
            <w:r w:rsidRPr="00581806">
              <w:rPr>
                <w:color w:val="auto"/>
              </w:rPr>
              <w:t>$</w:t>
            </w:r>
            <w:r w:rsidR="00823764">
              <w:rPr>
                <w:color w:val="auto"/>
              </w:rPr>
              <w:t>110</w:t>
            </w:r>
          </w:p>
        </w:tc>
        <w:tc>
          <w:tcPr>
            <w:tcW w:w="1549" w:type="dxa"/>
            <w:noWrap/>
            <w:vAlign w:val="center"/>
          </w:tcPr>
          <w:p w:rsidR="00986B03" w:rsidRPr="00581806" w:rsidP="008440FA" w14:paraId="13B892E3" w14:textId="7A27E68B">
            <w:pPr>
              <w:spacing w:line="240" w:lineRule="auto"/>
              <w:jc w:val="center"/>
              <w:rPr>
                <w:color w:val="auto"/>
              </w:rPr>
            </w:pPr>
            <w:r>
              <w:rPr>
                <w:color w:val="auto"/>
              </w:rPr>
              <w:t>PERT</w:t>
            </w:r>
          </w:p>
        </w:tc>
        <w:tc>
          <w:tcPr>
            <w:tcW w:w="1134" w:type="dxa"/>
            <w:noWrap/>
            <w:vAlign w:val="center"/>
          </w:tcPr>
          <w:p w:rsidR="00986B03" w:rsidRPr="00581806" w:rsidP="008440FA" w14:paraId="2AE7BF65" w14:textId="3A76AD0A">
            <w:pPr>
              <w:spacing w:line="240" w:lineRule="auto"/>
              <w:jc w:val="center"/>
              <w:rPr>
                <w:color w:val="000000"/>
              </w:rPr>
            </w:pPr>
            <w:r w:rsidRPr="00581806">
              <w:rPr>
                <w:color w:val="auto"/>
              </w:rPr>
              <w:t>$</w:t>
            </w:r>
            <w:r w:rsidR="00823764">
              <w:rPr>
                <w:color w:val="auto"/>
              </w:rPr>
              <w:t>87</w:t>
            </w:r>
          </w:p>
        </w:tc>
        <w:tc>
          <w:tcPr>
            <w:tcW w:w="1134" w:type="dxa"/>
            <w:noWrap/>
            <w:vAlign w:val="center"/>
          </w:tcPr>
          <w:p w:rsidR="00986B03" w:rsidRPr="00581806" w:rsidP="008440FA" w14:paraId="17A6509F" w14:textId="0585A79B">
            <w:pPr>
              <w:spacing w:line="240" w:lineRule="auto"/>
              <w:jc w:val="center"/>
              <w:rPr>
                <w:color w:val="000000"/>
              </w:rPr>
            </w:pPr>
            <w:r w:rsidRPr="00581806">
              <w:rPr>
                <w:color w:val="auto"/>
              </w:rPr>
              <w:t>$1</w:t>
            </w:r>
            <w:r w:rsidR="00823764">
              <w:rPr>
                <w:color w:val="auto"/>
              </w:rPr>
              <w:t>10</w:t>
            </w:r>
          </w:p>
        </w:tc>
        <w:tc>
          <w:tcPr>
            <w:tcW w:w="1134" w:type="dxa"/>
            <w:noWrap/>
            <w:vAlign w:val="center"/>
          </w:tcPr>
          <w:p w:rsidR="00986B03" w:rsidRPr="00581806" w:rsidP="008440FA" w14:paraId="626FAFD0" w14:textId="69F42DEB">
            <w:pPr>
              <w:spacing w:line="240" w:lineRule="auto"/>
              <w:jc w:val="center"/>
              <w:rPr>
                <w:color w:val="000000"/>
              </w:rPr>
            </w:pPr>
            <w:r w:rsidRPr="00581806">
              <w:rPr>
                <w:color w:val="auto"/>
              </w:rPr>
              <w:t>$13</w:t>
            </w:r>
            <w:r w:rsidR="00823764">
              <w:rPr>
                <w:color w:val="auto"/>
              </w:rPr>
              <w:t>3</w:t>
            </w:r>
          </w:p>
        </w:tc>
      </w:tr>
      <w:tr w14:paraId="747BCA1F" w14:textId="77777777" w:rsidTr="001D71EB">
        <w:tblPrEx>
          <w:tblW w:w="0" w:type="auto"/>
          <w:tblLook w:val="04A0"/>
        </w:tblPrEx>
        <w:trPr>
          <w:trHeight w:val="260"/>
        </w:trPr>
        <w:tc>
          <w:tcPr>
            <w:tcW w:w="3081" w:type="dxa"/>
            <w:vAlign w:val="center"/>
          </w:tcPr>
          <w:p w:rsidR="00630A33" w:rsidRPr="00581806" w:rsidP="008440FA" w14:paraId="53D500E8" w14:textId="10EB002D">
            <w:pPr>
              <w:spacing w:line="240" w:lineRule="auto"/>
              <w:rPr>
                <w:color w:val="000000"/>
              </w:rPr>
            </w:pPr>
            <w:r w:rsidRPr="00581806">
              <w:rPr>
                <w:color w:val="000000"/>
              </w:rPr>
              <w:t xml:space="preserve">Hours </w:t>
            </w:r>
            <w:r w:rsidR="00FA2CA8">
              <w:rPr>
                <w:color w:val="000000"/>
              </w:rPr>
              <w:t xml:space="preserve">to </w:t>
            </w:r>
            <w:r w:rsidR="004F61E6">
              <w:rPr>
                <w:color w:val="000000"/>
              </w:rPr>
              <w:t>conduct</w:t>
            </w:r>
          </w:p>
        </w:tc>
        <w:tc>
          <w:tcPr>
            <w:tcW w:w="1318" w:type="dxa"/>
            <w:noWrap/>
            <w:vAlign w:val="center"/>
          </w:tcPr>
          <w:p w:rsidR="00630A33" w:rsidRPr="00581806" w:rsidP="008440FA" w14:paraId="2D909A60" w14:textId="2DE58CC7">
            <w:pPr>
              <w:spacing w:line="240" w:lineRule="auto"/>
              <w:jc w:val="center"/>
              <w:rPr>
                <w:color w:val="auto"/>
              </w:rPr>
            </w:pPr>
            <w:r>
              <w:rPr>
                <w:color w:val="auto"/>
              </w:rPr>
              <w:t>127</w:t>
            </w:r>
          </w:p>
        </w:tc>
        <w:tc>
          <w:tcPr>
            <w:tcW w:w="1549" w:type="dxa"/>
            <w:noWrap/>
            <w:vAlign w:val="center"/>
          </w:tcPr>
          <w:p w:rsidR="00630A33" w:rsidRPr="00581806" w:rsidP="008440FA" w14:paraId="1F7F2367" w14:textId="75E5895C">
            <w:pPr>
              <w:spacing w:line="240" w:lineRule="auto"/>
              <w:jc w:val="center"/>
              <w:rPr>
                <w:color w:val="auto"/>
              </w:rPr>
            </w:pPr>
            <w:r>
              <w:rPr>
                <w:color w:val="auto"/>
              </w:rPr>
              <w:t>PERT</w:t>
            </w:r>
          </w:p>
        </w:tc>
        <w:tc>
          <w:tcPr>
            <w:tcW w:w="1134" w:type="dxa"/>
            <w:noWrap/>
            <w:vAlign w:val="center"/>
          </w:tcPr>
          <w:p w:rsidR="00630A33" w:rsidRPr="00581806" w:rsidP="008440FA" w14:paraId="6B7DE7AE" w14:textId="49EE4E75">
            <w:pPr>
              <w:spacing w:line="240" w:lineRule="auto"/>
              <w:jc w:val="center"/>
              <w:rPr>
                <w:color w:val="000000"/>
              </w:rPr>
            </w:pPr>
            <w:r>
              <w:rPr>
                <w:color w:val="000000"/>
              </w:rPr>
              <w:t>80</w:t>
            </w:r>
          </w:p>
        </w:tc>
        <w:tc>
          <w:tcPr>
            <w:tcW w:w="1134" w:type="dxa"/>
            <w:noWrap/>
            <w:vAlign w:val="center"/>
          </w:tcPr>
          <w:p w:rsidR="00630A33" w:rsidRPr="00581806" w:rsidP="008440FA" w14:paraId="582DE011" w14:textId="0959215A">
            <w:pPr>
              <w:spacing w:line="240" w:lineRule="auto"/>
              <w:jc w:val="center"/>
              <w:rPr>
                <w:color w:val="000000"/>
              </w:rPr>
            </w:pPr>
            <w:r>
              <w:rPr>
                <w:color w:val="000000"/>
              </w:rPr>
              <w:t>12</w:t>
            </w:r>
            <w:r w:rsidRPr="00581806">
              <w:rPr>
                <w:color w:val="000000"/>
              </w:rPr>
              <w:t>0</w:t>
            </w:r>
          </w:p>
        </w:tc>
        <w:tc>
          <w:tcPr>
            <w:tcW w:w="1134" w:type="dxa"/>
            <w:noWrap/>
            <w:vAlign w:val="center"/>
          </w:tcPr>
          <w:p w:rsidR="00630A33" w:rsidRPr="00581806" w:rsidP="008440FA" w14:paraId="72F9CEB4" w14:textId="1B1A16A2">
            <w:pPr>
              <w:spacing w:line="240" w:lineRule="auto"/>
              <w:jc w:val="center"/>
              <w:rPr>
                <w:color w:val="000000"/>
              </w:rPr>
            </w:pPr>
            <w:r>
              <w:rPr>
                <w:color w:val="000000"/>
              </w:rPr>
              <w:t>2</w:t>
            </w:r>
            <w:r w:rsidRPr="00581806">
              <w:rPr>
                <w:color w:val="000000"/>
              </w:rPr>
              <w:t>00</w:t>
            </w:r>
          </w:p>
        </w:tc>
      </w:tr>
    </w:tbl>
    <w:p w:rsidR="009128E1" w:rsidP="008440FA" w14:paraId="730BFFB4" w14:textId="77777777">
      <w:pPr>
        <w:spacing w:line="240" w:lineRule="auto"/>
      </w:pPr>
      <w:bookmarkStart w:id="224" w:name="_Toc436817855"/>
      <w:bookmarkStart w:id="225" w:name="_Toc443059997"/>
      <w:bookmarkStart w:id="226" w:name="_Toc456098349"/>
    </w:p>
    <w:p w:rsidR="009128E1" w:rsidP="008440FA" w14:paraId="2E5D7F5F" w14:textId="2D6800B7">
      <w:pPr>
        <w:pStyle w:val="Heading3"/>
        <w:numPr>
          <w:ilvl w:val="2"/>
          <w:numId w:val="34"/>
        </w:numPr>
        <w:spacing w:line="240" w:lineRule="auto"/>
        <w:ind w:left="1080" w:hanging="1080"/>
      </w:pPr>
      <w:bookmarkStart w:id="227" w:name="_Toc457827362"/>
      <w:bookmarkStart w:id="228" w:name="_Toc70669517"/>
      <w:bookmarkStart w:id="229" w:name="_Toc85198616"/>
      <w:r>
        <w:t>Uncertainty Analysis Results</w:t>
      </w:r>
      <w:bookmarkEnd w:id="224"/>
      <w:bookmarkEnd w:id="225"/>
      <w:bookmarkEnd w:id="226"/>
      <w:bookmarkEnd w:id="227"/>
      <w:bookmarkEnd w:id="228"/>
      <w:bookmarkEnd w:id="229"/>
    </w:p>
    <w:p w:rsidR="009128E1" w:rsidP="008440FA" w14:paraId="53EC3767" w14:textId="77777777">
      <w:pPr>
        <w:keepNext/>
        <w:spacing w:line="240" w:lineRule="auto"/>
      </w:pPr>
    </w:p>
    <w:p w:rsidR="009128E1" w:rsidP="008440FA" w14:paraId="281646BB" w14:textId="4CFC4049">
      <w:pPr>
        <w:spacing w:line="240" w:lineRule="auto"/>
      </w:pPr>
      <w:r>
        <w:t xml:space="preserve">The NRC performed the Monte Carlo simulation by repeatedly recalculating the results 10,000 times.  For each iteration, the </w:t>
      </w:r>
      <w:r w:rsidR="003971A5">
        <w:t>NRC</w:t>
      </w:r>
      <w:r w:rsidR="00DD7707">
        <w:t xml:space="preserve"> chose the </w:t>
      </w:r>
      <w:r>
        <w:t xml:space="preserve">values identified in </w:t>
      </w:r>
      <w:r w:rsidRPr="00C917F4">
        <w:fldChar w:fldCharType="begin"/>
      </w:r>
      <w:r w:rsidRPr="00C917F4">
        <w:instrText xml:space="preserve"> REF _Ref453770338 \h </w:instrText>
      </w:r>
      <w:r>
        <w:instrText xml:space="preserve"> \* MERGEFORMAT </w:instrText>
      </w:r>
      <w:r w:rsidRPr="00C917F4">
        <w:fldChar w:fldCharType="separate"/>
      </w:r>
      <w:r w:rsidRPr="004634A0" w:rsidR="004634A0">
        <w:t>Table</w:t>
      </w:r>
      <w:r w:rsidRPr="00581806" w:rsidR="004634A0">
        <w:rPr>
          <w:b/>
        </w:rPr>
        <w:t xml:space="preserve"> </w:t>
      </w:r>
      <w:r w:rsidRPr="00326B3D" w:rsidR="004634A0">
        <w:rPr>
          <w:bCs/>
          <w:noProof/>
        </w:rPr>
        <w:t>16</w:t>
      </w:r>
      <w:r w:rsidRPr="00C917F4">
        <w:fldChar w:fldCharType="end"/>
      </w:r>
      <w:r>
        <w:t xml:space="preserve"> randomly from the probability distributions that define the input variables.  The </w:t>
      </w:r>
      <w:r w:rsidR="003971A5">
        <w:t>NRC</w:t>
      </w:r>
      <w:r w:rsidR="00DD7707">
        <w:t xml:space="preserve"> recorded the </w:t>
      </w:r>
      <w:r>
        <w:t>values of the output variables for each iteration</w:t>
      </w:r>
      <w:r w:rsidR="00DD7707">
        <w:t xml:space="preserve"> </w:t>
      </w:r>
      <w:r>
        <w:t xml:space="preserve">and </w:t>
      </w:r>
      <w:r w:rsidR="00DD7707">
        <w:t xml:space="preserve">used </w:t>
      </w:r>
      <w:r>
        <w:t>these resulting output variable values to define the resultant probability distribution.</w:t>
      </w:r>
    </w:p>
    <w:p w:rsidR="009128E1" w:rsidP="008440FA" w14:paraId="79A44561" w14:textId="77777777">
      <w:pPr>
        <w:spacing w:line="240" w:lineRule="auto"/>
      </w:pPr>
    </w:p>
    <w:p w:rsidR="009128E1" w:rsidP="008440FA" w14:paraId="2E068516" w14:textId="79D57A57">
      <w:pPr>
        <w:spacing w:line="240" w:lineRule="auto"/>
      </w:pPr>
      <w:r>
        <w:t xml:space="preserve">For the analysis shown in each figure below, </w:t>
      </w:r>
      <w:r w:rsidR="00DD7707">
        <w:t xml:space="preserve">the </w:t>
      </w:r>
      <w:r w:rsidR="003971A5">
        <w:t>NRC</w:t>
      </w:r>
      <w:r w:rsidR="003C3E3A">
        <w:t xml:space="preserve"> </w:t>
      </w:r>
      <w:r w:rsidR="00DD7707">
        <w:t xml:space="preserve">ran </w:t>
      </w:r>
      <w:r>
        <w:t>10,000 </w:t>
      </w:r>
      <w:r w:rsidRPr="000011D0">
        <w:t xml:space="preserve">simulations </w:t>
      </w:r>
      <w:r>
        <w:t xml:space="preserve">in which </w:t>
      </w:r>
      <w:r w:rsidR="003C3E3A">
        <w:t xml:space="preserve">it changed </w:t>
      </w:r>
      <w:r>
        <w:t>the key variables to assess the resulting effect on costs and benefits</w:t>
      </w:r>
      <w:r w:rsidRPr="000011D0">
        <w:t xml:space="preserve">.  </w:t>
      </w:r>
      <w:r w:rsidRPr="00032061">
        <w:fldChar w:fldCharType="begin"/>
      </w:r>
      <w:r w:rsidRPr="00032061">
        <w:instrText xml:space="preserve"> REF _Ref447551186 \h </w:instrText>
      </w:r>
      <w:r w:rsidRPr="00032061" w:rsidR="006A69C2">
        <w:instrText xml:space="preserve"> \* MERGEFORMAT </w:instrText>
      </w:r>
      <w:r w:rsidRPr="00032061">
        <w:fldChar w:fldCharType="separate"/>
      </w:r>
      <w:r w:rsidRPr="00032061" w:rsidR="004634A0">
        <w:t xml:space="preserve">Figure </w:t>
      </w:r>
      <w:r w:rsidRPr="00032061" w:rsidR="004634A0">
        <w:rPr>
          <w:noProof/>
        </w:rPr>
        <w:t>1</w:t>
      </w:r>
      <w:r w:rsidRPr="00032061">
        <w:fldChar w:fldCharType="end"/>
      </w:r>
      <w:r w:rsidRPr="00032061">
        <w:rPr>
          <w:b/>
          <w:bCs/>
        </w:rPr>
        <w:t>,</w:t>
      </w:r>
      <w:r w:rsidRPr="006A69C2">
        <w:t xml:space="preserve"> </w:t>
      </w:r>
      <w:r>
        <w:t>2, and</w:t>
      </w:r>
      <w:r w:rsidR="00F40878">
        <w:t> </w:t>
      </w:r>
      <w:r>
        <w:t>3</w:t>
      </w:r>
      <w:r w:rsidRPr="000011D0">
        <w:t xml:space="preserve"> </w:t>
      </w:r>
      <w:r>
        <w:t>d</w:t>
      </w:r>
      <w:r w:rsidRPr="000011D0">
        <w:t>isplay the histograms of the</w:t>
      </w:r>
      <w:r w:rsidRPr="007B2F03">
        <w:t xml:space="preserve"> </w:t>
      </w:r>
      <w:r>
        <w:t>incremental costs and benefits from the regulatory baseline (Alternative</w:t>
      </w:r>
      <w:r w:rsidR="00DD7707">
        <w:t> </w:t>
      </w:r>
      <w:r>
        <w:t>1)</w:t>
      </w:r>
      <w:r w:rsidRPr="007B2F03">
        <w:t xml:space="preserve">. </w:t>
      </w:r>
      <w:r w:rsidRPr="00931C77">
        <w:t xml:space="preserve"> </w:t>
      </w:r>
      <w:r w:rsidRPr="007B2F03">
        <w:t>The</w:t>
      </w:r>
      <w:r w:rsidR="00D06E86">
        <w:t xml:space="preserve"> uncertainty analysis </w:t>
      </w:r>
      <w:r w:rsidR="00877546">
        <w:t>evaluates the impact if</w:t>
      </w:r>
      <w:r w:rsidR="00D06E86">
        <w:t xml:space="preserve"> some of the </w:t>
      </w:r>
      <w:r w:rsidR="00656B43">
        <w:t>12 </w:t>
      </w:r>
      <w:r w:rsidR="00D06E86">
        <w:t>applicants cancel or delay their EP submissions.</w:t>
      </w:r>
      <w:r w:rsidR="00F40878">
        <w:t xml:space="preserve"> </w:t>
      </w:r>
      <w:r w:rsidR="006A4574">
        <w:t xml:space="preserve"> Nevertheless</w:t>
      </w:r>
      <w:r w:rsidR="00F40878">
        <w:t>,</w:t>
      </w:r>
      <w:r w:rsidR="006A4574">
        <w:t xml:space="preserve"> the </w:t>
      </w:r>
      <w:r w:rsidRPr="007B2F03" w:rsidR="006A4574">
        <w:t>analysis show</w:t>
      </w:r>
      <w:r w:rsidR="006A4574">
        <w:t>s</w:t>
      </w:r>
      <w:r w:rsidRPr="007B2F03" w:rsidR="006A4574">
        <w:t xml:space="preserve"> </w:t>
      </w:r>
      <w:r w:rsidR="006A4574">
        <w:t xml:space="preserve">that the </w:t>
      </w:r>
      <w:r w:rsidR="00530A66">
        <w:t>final</w:t>
      </w:r>
      <w:r w:rsidR="006A4574">
        <w:t xml:space="preserve"> rule w</w:t>
      </w:r>
      <w:r w:rsidR="009468E2">
        <w:t>ill</w:t>
      </w:r>
      <w:r w:rsidR="006A4574">
        <w:t xml:space="preserve"> be cost beneficial</w:t>
      </w:r>
      <w:r w:rsidR="00402670">
        <w:t xml:space="preserve"> even if half of the expected applicants do not submit and are delayed by 10 years</w:t>
      </w:r>
      <w:r w:rsidR="006A4574">
        <w:t>.</w:t>
      </w:r>
    </w:p>
    <w:p w:rsidR="00D06E86" w:rsidP="008440FA" w14:paraId="5881B17A" w14:textId="6C4BF72E">
      <w:pPr>
        <w:spacing w:line="240" w:lineRule="auto"/>
      </w:pPr>
      <w:r w:rsidRPr="0049753E">
        <w:rPr>
          <w:noProof/>
        </w:rPr>
        <w:drawing>
          <wp:inline distT="0" distB="0" distL="0" distR="0">
            <wp:extent cx="5943600" cy="3232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232150"/>
                    </a:xfrm>
                    <a:prstGeom prst="rect">
                      <a:avLst/>
                    </a:prstGeom>
                    <a:noFill/>
                    <a:ln>
                      <a:noFill/>
                    </a:ln>
                  </pic:spPr>
                </pic:pic>
              </a:graphicData>
            </a:graphic>
          </wp:inline>
        </w:drawing>
      </w:r>
    </w:p>
    <w:p w:rsidR="009128E1" w:rsidRPr="00581806" w:rsidP="008440FA" w14:paraId="03FA1981" w14:textId="65E0874E">
      <w:pPr>
        <w:spacing w:line="240" w:lineRule="auto"/>
        <w:jc w:val="center"/>
        <w:rPr>
          <w:b/>
        </w:rPr>
      </w:pPr>
      <w:bookmarkStart w:id="230" w:name="_Ref447551186"/>
      <w:bookmarkStart w:id="231" w:name="_Toc454442714"/>
      <w:bookmarkStart w:id="232" w:name="_Toc457827435"/>
      <w:bookmarkStart w:id="233" w:name="_Toc70669533"/>
      <w:bookmarkStart w:id="234" w:name="_Toc85198632"/>
      <w:r w:rsidRPr="00581806">
        <w:rPr>
          <w:b/>
        </w:rPr>
        <w:t xml:space="preserve">Figure </w:t>
      </w:r>
      <w:r w:rsidRPr="00581806" w:rsidR="000012A5">
        <w:rPr>
          <w:b/>
        </w:rPr>
        <w:fldChar w:fldCharType="begin"/>
      </w:r>
      <w:r w:rsidRPr="00581806" w:rsidR="000012A5">
        <w:rPr>
          <w:b/>
        </w:rPr>
        <w:instrText xml:space="preserve"> SEQ Figure \* ARABIC </w:instrText>
      </w:r>
      <w:r w:rsidRPr="00581806" w:rsidR="000012A5">
        <w:rPr>
          <w:b/>
        </w:rPr>
        <w:fldChar w:fldCharType="separate"/>
      </w:r>
      <w:r w:rsidR="004634A0">
        <w:rPr>
          <w:b/>
          <w:noProof/>
        </w:rPr>
        <w:t>1</w:t>
      </w:r>
      <w:r w:rsidRPr="00581806" w:rsidR="000012A5">
        <w:rPr>
          <w:b/>
          <w:noProof/>
        </w:rPr>
        <w:fldChar w:fldCharType="end"/>
      </w:r>
      <w:bookmarkEnd w:id="230"/>
      <w:r w:rsidRPr="00581806" w:rsidR="00A70FAA">
        <w:rPr>
          <w:b/>
        </w:rPr>
        <w:t xml:space="preserve">  </w:t>
      </w:r>
      <w:r w:rsidRPr="00581806">
        <w:rPr>
          <w:b/>
        </w:rPr>
        <w:t>Total industry costs (7-percent NPV)—Alternative</w:t>
      </w:r>
      <w:r w:rsidR="00F40878">
        <w:rPr>
          <w:b/>
        </w:rPr>
        <w:t> </w:t>
      </w:r>
      <w:r w:rsidRPr="00581806">
        <w:rPr>
          <w:b/>
        </w:rPr>
        <w:t>2</w:t>
      </w:r>
      <w:bookmarkEnd w:id="231"/>
      <w:bookmarkEnd w:id="232"/>
      <w:bookmarkEnd w:id="233"/>
      <w:bookmarkEnd w:id="234"/>
    </w:p>
    <w:p w:rsidR="009128E1" w:rsidP="008440FA" w14:paraId="2CB111CD" w14:textId="071989ED">
      <w:pPr>
        <w:spacing w:line="240" w:lineRule="auto"/>
      </w:pPr>
    </w:p>
    <w:p w:rsidR="000E7C60" w:rsidP="008440FA" w14:paraId="44150223" w14:textId="41E9051F">
      <w:pPr>
        <w:spacing w:line="240" w:lineRule="auto"/>
      </w:pPr>
      <w:r w:rsidRPr="00232DB7">
        <w:rPr>
          <w:noProof/>
        </w:rPr>
        <w:drawing>
          <wp:inline distT="0" distB="0" distL="0" distR="0">
            <wp:extent cx="5943600" cy="32321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232150"/>
                    </a:xfrm>
                    <a:prstGeom prst="rect">
                      <a:avLst/>
                    </a:prstGeom>
                    <a:noFill/>
                    <a:ln>
                      <a:noFill/>
                    </a:ln>
                  </pic:spPr>
                </pic:pic>
              </a:graphicData>
            </a:graphic>
          </wp:inline>
        </w:drawing>
      </w:r>
    </w:p>
    <w:p w:rsidR="009128E1" w:rsidRPr="00581806" w:rsidP="008440FA" w14:paraId="2004B832" w14:textId="24948B4D">
      <w:pPr>
        <w:spacing w:after="240" w:line="240" w:lineRule="auto"/>
        <w:jc w:val="center"/>
        <w:rPr>
          <w:b/>
        </w:rPr>
      </w:pPr>
      <w:bookmarkStart w:id="235" w:name="_Ref483485872"/>
      <w:bookmarkStart w:id="236" w:name="_Toc454442715"/>
      <w:bookmarkStart w:id="237" w:name="_Toc457827436"/>
      <w:bookmarkStart w:id="238" w:name="_Toc70669534"/>
      <w:bookmarkStart w:id="239" w:name="_Toc85198633"/>
      <w:r w:rsidRPr="00581806">
        <w:rPr>
          <w:b/>
        </w:rPr>
        <w:t xml:space="preserve">Figure </w:t>
      </w:r>
      <w:r w:rsidRPr="00581806" w:rsidR="000012A5">
        <w:rPr>
          <w:b/>
        </w:rPr>
        <w:fldChar w:fldCharType="begin"/>
      </w:r>
      <w:r w:rsidRPr="00581806" w:rsidR="000012A5">
        <w:rPr>
          <w:b/>
        </w:rPr>
        <w:instrText xml:space="preserve"> SEQ Figure \* ARABIC </w:instrText>
      </w:r>
      <w:r w:rsidRPr="00581806" w:rsidR="000012A5">
        <w:rPr>
          <w:b/>
        </w:rPr>
        <w:fldChar w:fldCharType="separate"/>
      </w:r>
      <w:r w:rsidR="004634A0">
        <w:rPr>
          <w:b/>
          <w:noProof/>
        </w:rPr>
        <w:t>2</w:t>
      </w:r>
      <w:r w:rsidRPr="00581806" w:rsidR="000012A5">
        <w:rPr>
          <w:b/>
          <w:noProof/>
        </w:rPr>
        <w:fldChar w:fldCharType="end"/>
      </w:r>
      <w:bookmarkEnd w:id="235"/>
      <w:r w:rsidRPr="00581806" w:rsidR="00A70FAA">
        <w:rPr>
          <w:b/>
        </w:rPr>
        <w:t xml:space="preserve">  </w:t>
      </w:r>
      <w:r w:rsidRPr="00581806">
        <w:rPr>
          <w:b/>
        </w:rPr>
        <w:t>Total NRC costs (7-percent NPV)—Alternative</w:t>
      </w:r>
      <w:r w:rsidR="00F40878">
        <w:rPr>
          <w:b/>
        </w:rPr>
        <w:t> </w:t>
      </w:r>
      <w:r w:rsidRPr="00581806">
        <w:rPr>
          <w:b/>
        </w:rPr>
        <w:t>2</w:t>
      </w:r>
      <w:bookmarkEnd w:id="236"/>
      <w:bookmarkEnd w:id="237"/>
      <w:bookmarkEnd w:id="238"/>
      <w:bookmarkEnd w:id="239"/>
    </w:p>
    <w:p w:rsidR="009128E1" w:rsidP="008440FA" w14:paraId="5B5B8712" w14:textId="597B62F8">
      <w:pPr>
        <w:spacing w:line="240" w:lineRule="auto"/>
      </w:pPr>
    </w:p>
    <w:p w:rsidR="000E7C60" w:rsidP="008440FA" w14:paraId="2A38FB08" w14:textId="226AC3C7">
      <w:pPr>
        <w:spacing w:line="240" w:lineRule="auto"/>
      </w:pPr>
      <w:r w:rsidRPr="00E676CC">
        <w:rPr>
          <w:noProof/>
        </w:rPr>
        <w:drawing>
          <wp:inline distT="0" distB="0" distL="0" distR="0">
            <wp:extent cx="5943600" cy="3028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028950"/>
                    </a:xfrm>
                    <a:prstGeom prst="rect">
                      <a:avLst/>
                    </a:prstGeom>
                    <a:noFill/>
                    <a:ln>
                      <a:noFill/>
                    </a:ln>
                  </pic:spPr>
                </pic:pic>
              </a:graphicData>
            </a:graphic>
          </wp:inline>
        </w:drawing>
      </w:r>
    </w:p>
    <w:p w:rsidR="009128E1" w:rsidRPr="00581806" w:rsidP="008440FA" w14:paraId="6159B50C" w14:textId="416537A2">
      <w:pPr>
        <w:pStyle w:val="Caption"/>
        <w:keepNext w:val="0"/>
        <w:widowControl w:val="0"/>
        <w:spacing w:line="240" w:lineRule="auto"/>
        <w:ind w:left="1440" w:hanging="1354"/>
        <w:jc w:val="center"/>
        <w:rPr>
          <w:b/>
        </w:rPr>
      </w:pPr>
      <w:bookmarkStart w:id="240" w:name="_Ref447551195"/>
      <w:bookmarkStart w:id="241" w:name="_Toc454442716"/>
      <w:bookmarkStart w:id="242" w:name="_Toc457827437"/>
      <w:bookmarkStart w:id="243" w:name="_Toc70669535"/>
      <w:bookmarkStart w:id="244" w:name="_Toc85198634"/>
      <w:r w:rsidRPr="00581806">
        <w:rPr>
          <w:b/>
        </w:rPr>
        <w:t xml:space="preserve">Figure </w:t>
      </w:r>
      <w:r w:rsidRPr="00581806" w:rsidR="000012A5">
        <w:rPr>
          <w:b/>
        </w:rPr>
        <w:fldChar w:fldCharType="begin"/>
      </w:r>
      <w:r w:rsidRPr="00581806" w:rsidR="000012A5">
        <w:rPr>
          <w:b/>
        </w:rPr>
        <w:instrText xml:space="preserve"> SEQ Figure \* ARABIC </w:instrText>
      </w:r>
      <w:r w:rsidRPr="00581806" w:rsidR="000012A5">
        <w:rPr>
          <w:b/>
        </w:rPr>
        <w:fldChar w:fldCharType="separate"/>
      </w:r>
      <w:r w:rsidR="004634A0">
        <w:rPr>
          <w:b/>
          <w:noProof/>
        </w:rPr>
        <w:t>3</w:t>
      </w:r>
      <w:r w:rsidRPr="00581806" w:rsidR="000012A5">
        <w:rPr>
          <w:b/>
          <w:noProof/>
        </w:rPr>
        <w:fldChar w:fldCharType="end"/>
      </w:r>
      <w:bookmarkEnd w:id="240"/>
      <w:r w:rsidRPr="00581806" w:rsidR="00A70FAA">
        <w:rPr>
          <w:b/>
        </w:rPr>
        <w:t xml:space="preserve">  </w:t>
      </w:r>
      <w:r w:rsidRPr="00581806">
        <w:rPr>
          <w:b/>
        </w:rPr>
        <w:t>Total costs (7-percent NPV)—Alternative</w:t>
      </w:r>
      <w:r w:rsidR="00F40878">
        <w:rPr>
          <w:b/>
        </w:rPr>
        <w:t> </w:t>
      </w:r>
      <w:r w:rsidRPr="00581806">
        <w:rPr>
          <w:b/>
        </w:rPr>
        <w:t>2</w:t>
      </w:r>
      <w:bookmarkEnd w:id="241"/>
      <w:bookmarkEnd w:id="242"/>
      <w:bookmarkEnd w:id="243"/>
      <w:bookmarkEnd w:id="244"/>
    </w:p>
    <w:p w:rsidR="009128E1" w:rsidP="008440FA" w14:paraId="498382B2" w14:textId="21C7D453">
      <w:pPr>
        <w:keepNext/>
        <w:keepLines/>
        <w:spacing w:line="240" w:lineRule="auto"/>
      </w:pPr>
      <w:r w:rsidRPr="00EE77D0">
        <w:fldChar w:fldCharType="begin"/>
      </w:r>
      <w:r w:rsidRPr="007E7C44">
        <w:instrText xml:space="preserve"> REF _Ref506274181 \h </w:instrText>
      </w:r>
      <w:r w:rsidRPr="00581806" w:rsidR="007E7C44">
        <w:instrText xml:space="preserve"> \* MERGEFORMAT </w:instrText>
      </w:r>
      <w:r w:rsidRPr="00EE77D0">
        <w:fldChar w:fldCharType="separate"/>
      </w:r>
      <w:r w:rsidRPr="004634A0" w:rsidR="004634A0">
        <w:t>Table</w:t>
      </w:r>
      <w:r w:rsidRPr="00581806" w:rsidR="004634A0">
        <w:rPr>
          <w:b/>
        </w:rPr>
        <w:t xml:space="preserve"> </w:t>
      </w:r>
      <w:r w:rsidRPr="00326B3D" w:rsidR="004634A0">
        <w:rPr>
          <w:bCs/>
          <w:noProof/>
        </w:rPr>
        <w:t>17</w:t>
      </w:r>
      <w:r w:rsidRPr="00EE77D0">
        <w:fldChar w:fldCharType="end"/>
      </w:r>
      <w:r w:rsidRPr="007E7C44">
        <w:t xml:space="preserve"> presents descriptive statistics on the uncertainty analysis.  </w:t>
      </w:r>
      <w:r w:rsidRPr="00EE77D0" w:rsidR="00DD7707">
        <w:fldChar w:fldCharType="begin"/>
      </w:r>
      <w:r w:rsidRPr="007E7C44" w:rsidR="00DD7707">
        <w:instrText xml:space="preserve"> REF _Ref506274181 \h </w:instrText>
      </w:r>
      <w:r w:rsidRPr="00581806" w:rsidR="007E7C44">
        <w:instrText xml:space="preserve"> \* MERGEFORMAT </w:instrText>
      </w:r>
      <w:r w:rsidRPr="00EE77D0" w:rsidR="00DD7707">
        <w:fldChar w:fldCharType="separate"/>
      </w:r>
      <w:r w:rsidRPr="004634A0" w:rsidR="004634A0">
        <w:t>Table</w:t>
      </w:r>
      <w:r w:rsidRPr="00581806" w:rsidR="004634A0">
        <w:rPr>
          <w:b/>
        </w:rPr>
        <w:t xml:space="preserve"> </w:t>
      </w:r>
      <w:r w:rsidRPr="00326B3D" w:rsidR="004634A0">
        <w:rPr>
          <w:bCs/>
          <w:noProof/>
        </w:rPr>
        <w:t>17</w:t>
      </w:r>
      <w:r w:rsidRPr="00EE77D0" w:rsidR="00DD7707">
        <w:fldChar w:fldCharType="end"/>
      </w:r>
      <w:r w:rsidRPr="007E7C44" w:rsidR="00DD7707">
        <w:t xml:space="preserve"> (rounded) reflects t</w:t>
      </w:r>
      <w:r w:rsidRPr="007E7C44">
        <w:t>he 5</w:t>
      </w:r>
      <w:r w:rsidRPr="007E7C44" w:rsidR="00DD7707">
        <w:noBreakHyphen/>
      </w:r>
      <w:r w:rsidRPr="007E7C44">
        <w:t>percent and 95</w:t>
      </w:r>
      <w:r w:rsidRPr="007E7C44" w:rsidR="00DD7707">
        <w:noBreakHyphen/>
      </w:r>
      <w:r w:rsidRPr="007E7C44">
        <w:t>percent values (in other words, the bands marked 5.0</w:t>
      </w:r>
      <w:r w:rsidRPr="007E7C44" w:rsidR="00DD7707">
        <w:t> </w:t>
      </w:r>
      <w:r w:rsidRPr="007E7C44" w:rsidR="003027FA">
        <w:t xml:space="preserve">percent </w:t>
      </w:r>
      <w:r w:rsidRPr="007E7C44">
        <w:t>on either side of the 90</w:t>
      </w:r>
      <w:r w:rsidRPr="007E7C44" w:rsidR="00DD7707">
        <w:noBreakHyphen/>
      </w:r>
      <w:r w:rsidRPr="007E7C44" w:rsidR="003027FA">
        <w:t xml:space="preserve">percent </w:t>
      </w:r>
      <w:r w:rsidRPr="007E7C44">
        <w:t xml:space="preserve">confidence interval) that appear as numerical values on the top of the vertical lines in </w:t>
      </w:r>
      <w:r w:rsidRPr="00EE77D0">
        <w:fldChar w:fldCharType="begin"/>
      </w:r>
      <w:r w:rsidRPr="007E7C44">
        <w:instrText xml:space="preserve"> REF _Ref447551186 \h </w:instrText>
      </w:r>
      <w:r w:rsidRPr="00581806" w:rsidR="007E7C44">
        <w:instrText xml:space="preserve"> \* MERGEFORMAT </w:instrText>
      </w:r>
      <w:r w:rsidRPr="00EE77D0">
        <w:fldChar w:fldCharType="separate"/>
      </w:r>
      <w:r w:rsidRPr="004634A0" w:rsidR="004634A0">
        <w:t>Figure</w:t>
      </w:r>
      <w:r w:rsidRPr="00581806" w:rsidR="004634A0">
        <w:rPr>
          <w:b/>
        </w:rPr>
        <w:t xml:space="preserve"> </w:t>
      </w:r>
      <w:r w:rsidRPr="00326B3D" w:rsidR="004634A0">
        <w:rPr>
          <w:bCs/>
          <w:noProof/>
        </w:rPr>
        <w:t>1</w:t>
      </w:r>
      <w:r w:rsidRPr="00EE77D0">
        <w:fldChar w:fldCharType="end"/>
      </w:r>
      <w:r w:rsidRPr="007E7C44">
        <w:t xml:space="preserve">, </w:t>
      </w:r>
      <w:r w:rsidRPr="00EE77D0">
        <w:fldChar w:fldCharType="begin"/>
      </w:r>
      <w:r w:rsidRPr="007E7C44">
        <w:instrText xml:space="preserve"> REF _Ref483485872 \h </w:instrText>
      </w:r>
      <w:r w:rsidRPr="00581806" w:rsidR="007E7C44">
        <w:instrText xml:space="preserve"> \* MERGEFORMAT </w:instrText>
      </w:r>
      <w:r w:rsidRPr="00EE77D0">
        <w:fldChar w:fldCharType="separate"/>
      </w:r>
      <w:r w:rsidRPr="004634A0" w:rsidR="004634A0">
        <w:rPr>
          <w:noProof/>
        </w:rPr>
        <w:t>Figure</w:t>
      </w:r>
      <w:r w:rsidRPr="00581806" w:rsidR="004634A0">
        <w:rPr>
          <w:b/>
        </w:rPr>
        <w:t xml:space="preserve"> </w:t>
      </w:r>
      <w:r w:rsidRPr="00326B3D" w:rsidR="004634A0">
        <w:rPr>
          <w:bCs/>
          <w:noProof/>
        </w:rPr>
        <w:t>2</w:t>
      </w:r>
      <w:r w:rsidRPr="00EE77D0">
        <w:fldChar w:fldCharType="end"/>
      </w:r>
      <w:r w:rsidRPr="007E7C44">
        <w:t xml:space="preserve">, and </w:t>
      </w:r>
      <w:r w:rsidRPr="00326B3D">
        <w:fldChar w:fldCharType="begin"/>
      </w:r>
      <w:r w:rsidRPr="00326B3D">
        <w:instrText xml:space="preserve"> REF _Ref447551195 \h </w:instrText>
      </w:r>
      <w:r w:rsidRPr="00326B3D" w:rsidR="007E7C44">
        <w:instrText xml:space="preserve"> \* MERGEFORMAT </w:instrText>
      </w:r>
      <w:r w:rsidRPr="00326B3D">
        <w:fldChar w:fldCharType="separate"/>
      </w:r>
      <w:r w:rsidRPr="00326B3D" w:rsidR="004634A0">
        <w:rPr>
          <w:noProof/>
        </w:rPr>
        <w:t>Figure</w:t>
      </w:r>
      <w:r w:rsidRPr="00326B3D" w:rsidR="004634A0">
        <w:t xml:space="preserve"> </w:t>
      </w:r>
      <w:r w:rsidRPr="00326B3D" w:rsidR="004634A0">
        <w:rPr>
          <w:noProof/>
        </w:rPr>
        <w:t>3</w:t>
      </w:r>
      <w:r w:rsidRPr="00326B3D">
        <w:fldChar w:fldCharType="end"/>
      </w:r>
      <w:r w:rsidRPr="00326B3D">
        <w:t xml:space="preserve"> </w:t>
      </w:r>
      <w:r w:rsidRPr="007E7C44">
        <w:t>as the 0.0</w:t>
      </w:r>
      <w:r w:rsidRPr="00523A60">
        <w:t>5 and 0.95</w:t>
      </w:r>
      <w:r w:rsidR="00DD7707">
        <w:t> </w:t>
      </w:r>
      <w:r w:rsidRPr="00523A60">
        <w:t>values, respectively.</w:t>
      </w:r>
    </w:p>
    <w:p w:rsidR="00B15286" w:rsidRPr="00523A60" w:rsidP="008440FA" w14:paraId="4E086FF2" w14:textId="77777777">
      <w:pPr>
        <w:keepNext/>
        <w:keepLines/>
        <w:spacing w:line="240" w:lineRule="auto"/>
      </w:pPr>
    </w:p>
    <w:p w:rsidR="009128E1" w:rsidRPr="00581806" w:rsidP="008440FA" w14:paraId="263008CB" w14:textId="78F0B35D">
      <w:pPr>
        <w:pStyle w:val="Caption"/>
        <w:spacing w:line="240" w:lineRule="auto"/>
        <w:ind w:left="1080" w:hanging="1080"/>
        <w:jc w:val="center"/>
        <w:rPr>
          <w:b/>
        </w:rPr>
      </w:pPr>
      <w:bookmarkStart w:id="245" w:name="_Ref506274181"/>
      <w:bookmarkStart w:id="246" w:name="_Toc70669554"/>
      <w:bookmarkStart w:id="247" w:name="_Toc85198673"/>
      <w:r w:rsidRPr="00581806">
        <w:rPr>
          <w:b/>
        </w:rPr>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4634A0">
        <w:rPr>
          <w:b/>
          <w:noProof/>
        </w:rPr>
        <w:t>17</w:t>
      </w:r>
      <w:r w:rsidRPr="00581806" w:rsidR="000012A5">
        <w:rPr>
          <w:b/>
          <w:noProof/>
        </w:rPr>
        <w:fldChar w:fldCharType="end"/>
      </w:r>
      <w:bookmarkEnd w:id="245"/>
      <w:r w:rsidRPr="00581806" w:rsidR="00A70FAA">
        <w:rPr>
          <w:b/>
        </w:rPr>
        <w:t xml:space="preserve">  </w:t>
      </w:r>
      <w:r w:rsidRPr="00581806">
        <w:rPr>
          <w:b/>
        </w:rPr>
        <w:t>Uncertainty Results Descriptive Statistics</w:t>
      </w:r>
      <w:r w:rsidRPr="00581806" w:rsidR="00A70FAA">
        <w:rPr>
          <w:b/>
        </w:rPr>
        <w:t>—</w:t>
      </w:r>
      <w:r w:rsidRPr="00581806">
        <w:rPr>
          <w:b/>
        </w:rPr>
        <w:t>7</w:t>
      </w:r>
      <w:r w:rsidRPr="00581806" w:rsidR="00A70FAA">
        <w:rPr>
          <w:b/>
        </w:rPr>
        <w:noBreakHyphen/>
      </w:r>
      <w:r w:rsidRPr="00581806">
        <w:rPr>
          <w:b/>
        </w:rPr>
        <w:t>Percent NPV</w:t>
      </w:r>
      <w:bookmarkEnd w:id="246"/>
      <w:bookmarkEnd w:id="247"/>
    </w:p>
    <w:tbl>
      <w:tblPr>
        <w:tblW w:w="9640" w:type="dxa"/>
        <w:tblInd w:w="-10" w:type="dxa"/>
        <w:tblLayout w:type="fixed"/>
        <w:tblLook w:val="04A0"/>
      </w:tblPr>
      <w:tblGrid>
        <w:gridCol w:w="1895"/>
        <w:gridCol w:w="1191"/>
        <w:gridCol w:w="1291"/>
        <w:gridCol w:w="1326"/>
        <w:gridCol w:w="1355"/>
        <w:gridCol w:w="1291"/>
        <w:gridCol w:w="1291"/>
      </w:tblGrid>
      <w:tr w14:paraId="4E0FDDE2" w14:textId="77777777" w:rsidTr="00581806">
        <w:tblPrEx>
          <w:tblW w:w="9640" w:type="dxa"/>
          <w:tblInd w:w="-10" w:type="dxa"/>
          <w:tblLayout w:type="fixed"/>
          <w:tblLook w:val="04A0"/>
        </w:tblPrEx>
        <w:trPr>
          <w:trHeight w:val="276"/>
        </w:trPr>
        <w:tc>
          <w:tcPr>
            <w:tcW w:w="1895"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9128E1" w:rsidRPr="00581806" w:rsidP="008440FA" w14:paraId="1BCE1204" w14:textId="77777777">
            <w:pPr>
              <w:spacing w:line="240" w:lineRule="auto"/>
              <w:jc w:val="center"/>
              <w:rPr>
                <w:rFonts w:eastAsia="Times New Roman"/>
                <w:b/>
                <w:sz w:val="20"/>
                <w:szCs w:val="18"/>
              </w:rPr>
            </w:pPr>
            <w:r w:rsidRPr="00581806">
              <w:rPr>
                <w:b/>
                <w:sz w:val="20"/>
                <w:szCs w:val="18"/>
              </w:rPr>
              <w:t>Uncertainty Result</w:t>
            </w:r>
          </w:p>
        </w:tc>
        <w:tc>
          <w:tcPr>
            <w:tcW w:w="7745" w:type="dxa"/>
            <w:gridSpan w:val="6"/>
            <w:tcBorders>
              <w:top w:val="single" w:sz="8" w:space="0" w:color="auto"/>
              <w:left w:val="nil"/>
              <w:bottom w:val="single" w:sz="4" w:space="0" w:color="auto"/>
              <w:right w:val="single" w:sz="8" w:space="0" w:color="000000"/>
            </w:tcBorders>
            <w:shd w:val="clear" w:color="auto" w:fill="auto"/>
            <w:noWrap/>
            <w:hideMark/>
          </w:tcPr>
          <w:p w:rsidR="009128E1" w:rsidRPr="00581806" w:rsidP="008440FA" w14:paraId="4B95D4C1" w14:textId="3C1D33F1">
            <w:pPr>
              <w:spacing w:line="240" w:lineRule="auto"/>
              <w:jc w:val="center"/>
              <w:rPr>
                <w:b/>
                <w:sz w:val="20"/>
                <w:szCs w:val="18"/>
              </w:rPr>
            </w:pPr>
            <w:r w:rsidRPr="00581806">
              <w:rPr>
                <w:b/>
                <w:sz w:val="20"/>
                <w:szCs w:val="18"/>
              </w:rPr>
              <w:t>Incremental Cost</w:t>
            </w:r>
            <w:r w:rsidR="006B4568">
              <w:rPr>
                <w:b/>
                <w:sz w:val="20"/>
                <w:szCs w:val="18"/>
              </w:rPr>
              <w:t xml:space="preserve"> </w:t>
            </w:r>
            <w:r w:rsidRPr="00581806">
              <w:rPr>
                <w:b/>
                <w:sz w:val="20"/>
                <w:szCs w:val="18"/>
              </w:rPr>
              <w:t>Benefit (2020</w:t>
            </w:r>
            <w:r w:rsidRPr="00581806">
              <w:rPr>
                <w:b/>
                <w:sz w:val="20"/>
                <w:szCs w:val="18"/>
              </w:rPr>
              <w:t xml:space="preserve"> million dollars)</w:t>
            </w:r>
          </w:p>
        </w:tc>
      </w:tr>
      <w:tr w14:paraId="6AB96D19" w14:textId="77777777" w:rsidTr="00581806">
        <w:tblPrEx>
          <w:tblW w:w="9640" w:type="dxa"/>
          <w:tblInd w:w="-10" w:type="dxa"/>
          <w:tblLayout w:type="fixed"/>
          <w:tblLook w:val="04A0"/>
        </w:tblPrEx>
        <w:trPr>
          <w:trHeight w:val="232"/>
        </w:trPr>
        <w:tc>
          <w:tcPr>
            <w:tcW w:w="1895" w:type="dxa"/>
            <w:vMerge/>
            <w:tcBorders>
              <w:top w:val="single" w:sz="8" w:space="0" w:color="auto"/>
              <w:left w:val="single" w:sz="8" w:space="0" w:color="auto"/>
              <w:bottom w:val="single" w:sz="4" w:space="0" w:color="auto"/>
              <w:right w:val="single" w:sz="4" w:space="0" w:color="auto"/>
            </w:tcBorders>
            <w:vAlign w:val="center"/>
            <w:hideMark/>
          </w:tcPr>
          <w:p w:rsidR="009128E1" w:rsidRPr="00FE57E7" w:rsidP="008440FA" w14:paraId="51C004E9" w14:textId="77777777">
            <w:pPr>
              <w:spacing w:line="240" w:lineRule="auto"/>
              <w:rPr>
                <w:rFonts w:eastAsia="Times New Roman"/>
                <w:sz w:val="20"/>
                <w:szCs w:val="18"/>
              </w:rPr>
            </w:pPr>
          </w:p>
        </w:tc>
        <w:tc>
          <w:tcPr>
            <w:tcW w:w="1191" w:type="dxa"/>
            <w:tcBorders>
              <w:top w:val="nil"/>
              <w:left w:val="nil"/>
              <w:bottom w:val="single" w:sz="4" w:space="0" w:color="auto"/>
              <w:right w:val="single" w:sz="4" w:space="0" w:color="auto"/>
            </w:tcBorders>
            <w:shd w:val="clear" w:color="auto" w:fill="auto"/>
            <w:noWrap/>
            <w:hideMark/>
          </w:tcPr>
          <w:p w:rsidR="009128E1" w:rsidRPr="00581806" w:rsidP="008440FA" w14:paraId="4E89485E" w14:textId="48AD99AC">
            <w:pPr>
              <w:spacing w:line="240" w:lineRule="auto"/>
              <w:jc w:val="center"/>
              <w:rPr>
                <w:rFonts w:eastAsia="Times New Roman"/>
                <w:b/>
                <w:sz w:val="20"/>
                <w:szCs w:val="18"/>
              </w:rPr>
            </w:pPr>
            <w:r w:rsidRPr="00581806">
              <w:rPr>
                <w:b/>
                <w:sz w:val="20"/>
                <w:szCs w:val="18"/>
              </w:rPr>
              <w:t>Min</w:t>
            </w:r>
            <w:r w:rsidR="00173E69">
              <w:rPr>
                <w:b/>
                <w:sz w:val="20"/>
                <w:szCs w:val="18"/>
              </w:rPr>
              <w:t>imum</w:t>
            </w:r>
          </w:p>
        </w:tc>
        <w:tc>
          <w:tcPr>
            <w:tcW w:w="1291" w:type="dxa"/>
            <w:tcBorders>
              <w:top w:val="nil"/>
              <w:left w:val="nil"/>
              <w:bottom w:val="single" w:sz="4" w:space="0" w:color="auto"/>
              <w:right w:val="single" w:sz="4" w:space="0" w:color="auto"/>
            </w:tcBorders>
            <w:shd w:val="clear" w:color="auto" w:fill="auto"/>
            <w:noWrap/>
            <w:hideMark/>
          </w:tcPr>
          <w:p w:rsidR="009128E1" w:rsidRPr="00581806" w:rsidP="008440FA" w14:paraId="03AA234E" w14:textId="77777777">
            <w:pPr>
              <w:spacing w:line="240" w:lineRule="auto"/>
              <w:jc w:val="center"/>
              <w:rPr>
                <w:b/>
                <w:sz w:val="20"/>
                <w:szCs w:val="18"/>
              </w:rPr>
            </w:pPr>
            <w:r w:rsidRPr="00581806">
              <w:rPr>
                <w:b/>
                <w:sz w:val="20"/>
                <w:szCs w:val="18"/>
              </w:rPr>
              <w:t>Mean</w:t>
            </w:r>
          </w:p>
        </w:tc>
        <w:tc>
          <w:tcPr>
            <w:tcW w:w="1326" w:type="dxa"/>
            <w:tcBorders>
              <w:top w:val="nil"/>
              <w:left w:val="nil"/>
              <w:bottom w:val="single" w:sz="4" w:space="0" w:color="auto"/>
              <w:right w:val="single" w:sz="4" w:space="0" w:color="auto"/>
            </w:tcBorders>
            <w:shd w:val="clear" w:color="auto" w:fill="auto"/>
            <w:noWrap/>
            <w:hideMark/>
          </w:tcPr>
          <w:p w:rsidR="009128E1" w:rsidRPr="00581806" w:rsidP="008440FA" w14:paraId="3119230E" w14:textId="2811DC90">
            <w:pPr>
              <w:spacing w:line="240" w:lineRule="auto"/>
              <w:jc w:val="center"/>
              <w:rPr>
                <w:rFonts w:eastAsia="Times New Roman"/>
                <w:b/>
                <w:sz w:val="20"/>
                <w:szCs w:val="18"/>
              </w:rPr>
            </w:pPr>
            <w:r w:rsidRPr="00581806">
              <w:rPr>
                <w:b/>
                <w:sz w:val="20"/>
                <w:szCs w:val="18"/>
              </w:rPr>
              <w:t>St</w:t>
            </w:r>
            <w:r w:rsidRPr="00581806" w:rsidR="00505E41">
              <w:rPr>
                <w:b/>
                <w:sz w:val="20"/>
                <w:szCs w:val="18"/>
              </w:rPr>
              <w:t>d</w:t>
            </w:r>
            <w:r w:rsidRPr="00581806">
              <w:rPr>
                <w:b/>
                <w:sz w:val="20"/>
                <w:szCs w:val="18"/>
              </w:rPr>
              <w:t>. Dev.</w:t>
            </w:r>
          </w:p>
        </w:tc>
        <w:tc>
          <w:tcPr>
            <w:tcW w:w="1355" w:type="dxa"/>
            <w:tcBorders>
              <w:top w:val="nil"/>
              <w:left w:val="nil"/>
              <w:bottom w:val="single" w:sz="4" w:space="0" w:color="auto"/>
              <w:right w:val="single" w:sz="4" w:space="0" w:color="auto"/>
            </w:tcBorders>
            <w:shd w:val="clear" w:color="auto" w:fill="auto"/>
            <w:noWrap/>
            <w:hideMark/>
          </w:tcPr>
          <w:p w:rsidR="009128E1" w:rsidRPr="00581806" w:rsidP="008440FA" w14:paraId="2C62A103" w14:textId="32744B91">
            <w:pPr>
              <w:spacing w:line="240" w:lineRule="auto"/>
              <w:jc w:val="center"/>
              <w:rPr>
                <w:rFonts w:eastAsia="Times New Roman"/>
                <w:b/>
                <w:sz w:val="20"/>
                <w:szCs w:val="18"/>
              </w:rPr>
            </w:pPr>
            <w:r w:rsidRPr="00581806">
              <w:rPr>
                <w:b/>
                <w:sz w:val="20"/>
                <w:szCs w:val="18"/>
              </w:rPr>
              <w:t>Max</w:t>
            </w:r>
            <w:r w:rsidR="00173E69">
              <w:rPr>
                <w:b/>
                <w:sz w:val="20"/>
                <w:szCs w:val="18"/>
              </w:rPr>
              <w:t>imum</w:t>
            </w:r>
          </w:p>
        </w:tc>
        <w:tc>
          <w:tcPr>
            <w:tcW w:w="1291" w:type="dxa"/>
            <w:tcBorders>
              <w:top w:val="nil"/>
              <w:left w:val="nil"/>
              <w:bottom w:val="single" w:sz="4" w:space="0" w:color="auto"/>
              <w:right w:val="single" w:sz="4" w:space="0" w:color="auto"/>
            </w:tcBorders>
            <w:shd w:val="clear" w:color="auto" w:fill="auto"/>
            <w:noWrap/>
            <w:hideMark/>
          </w:tcPr>
          <w:p w:rsidR="009128E1" w:rsidRPr="00581806" w:rsidP="008440FA" w14:paraId="5EC7AA28" w14:textId="54AF9088">
            <w:pPr>
              <w:spacing w:line="240" w:lineRule="auto"/>
              <w:jc w:val="center"/>
              <w:rPr>
                <w:rFonts w:eastAsia="Times New Roman"/>
                <w:b/>
                <w:sz w:val="20"/>
                <w:szCs w:val="18"/>
              </w:rPr>
            </w:pPr>
            <w:r w:rsidRPr="00581806">
              <w:rPr>
                <w:b/>
                <w:sz w:val="20"/>
                <w:szCs w:val="18"/>
              </w:rPr>
              <w:t>5%</w:t>
            </w:r>
          </w:p>
        </w:tc>
        <w:tc>
          <w:tcPr>
            <w:tcW w:w="1291" w:type="dxa"/>
            <w:tcBorders>
              <w:top w:val="nil"/>
              <w:left w:val="nil"/>
              <w:bottom w:val="single" w:sz="4" w:space="0" w:color="auto"/>
              <w:right w:val="single" w:sz="8" w:space="0" w:color="auto"/>
            </w:tcBorders>
            <w:shd w:val="clear" w:color="auto" w:fill="auto"/>
            <w:noWrap/>
            <w:hideMark/>
          </w:tcPr>
          <w:p w:rsidR="009128E1" w:rsidRPr="00581806" w:rsidP="008440FA" w14:paraId="2CD7B7F8" w14:textId="4A134A3D">
            <w:pPr>
              <w:spacing w:line="240" w:lineRule="auto"/>
              <w:jc w:val="center"/>
              <w:rPr>
                <w:b/>
                <w:sz w:val="20"/>
                <w:szCs w:val="18"/>
              </w:rPr>
            </w:pPr>
            <w:r w:rsidRPr="00581806">
              <w:rPr>
                <w:b/>
                <w:sz w:val="20"/>
                <w:szCs w:val="18"/>
              </w:rPr>
              <w:t>95</w:t>
            </w:r>
            <w:r w:rsidRPr="00581806" w:rsidR="00BF1C6F">
              <w:rPr>
                <w:b/>
                <w:sz w:val="20"/>
                <w:szCs w:val="18"/>
              </w:rPr>
              <w:t>%</w:t>
            </w:r>
          </w:p>
        </w:tc>
      </w:tr>
      <w:tr w14:paraId="65551F5E" w14:textId="77777777" w:rsidTr="00581806">
        <w:tblPrEx>
          <w:tblW w:w="9640" w:type="dxa"/>
          <w:tblInd w:w="-10" w:type="dxa"/>
          <w:tblLayout w:type="fixed"/>
          <w:tblLook w:val="04A0"/>
        </w:tblPrEx>
        <w:trPr>
          <w:trHeight w:val="276"/>
        </w:trPr>
        <w:tc>
          <w:tcPr>
            <w:tcW w:w="1895" w:type="dxa"/>
            <w:tcBorders>
              <w:top w:val="nil"/>
              <w:left w:val="single" w:sz="8" w:space="0" w:color="auto"/>
              <w:bottom w:val="single" w:sz="4" w:space="0" w:color="auto"/>
              <w:right w:val="single" w:sz="4" w:space="0" w:color="auto"/>
            </w:tcBorders>
            <w:shd w:val="clear" w:color="auto" w:fill="auto"/>
            <w:noWrap/>
            <w:vAlign w:val="center"/>
            <w:hideMark/>
          </w:tcPr>
          <w:p w:rsidR="009128E1" w:rsidRPr="00FE57E7" w:rsidP="008440FA" w14:paraId="669B4746" w14:textId="77777777">
            <w:pPr>
              <w:spacing w:line="240" w:lineRule="auto"/>
              <w:jc w:val="center"/>
              <w:rPr>
                <w:rFonts w:eastAsia="Times New Roman"/>
                <w:sz w:val="20"/>
                <w:szCs w:val="18"/>
              </w:rPr>
            </w:pPr>
            <w:r w:rsidRPr="00FE57E7">
              <w:rPr>
                <w:rFonts w:eastAsia="Times New Roman"/>
                <w:sz w:val="20"/>
                <w:szCs w:val="18"/>
              </w:rPr>
              <w:t>Total Industry Cost</w:t>
            </w:r>
          </w:p>
        </w:tc>
        <w:tc>
          <w:tcPr>
            <w:tcW w:w="1191" w:type="dxa"/>
            <w:tcBorders>
              <w:top w:val="nil"/>
              <w:left w:val="nil"/>
              <w:bottom w:val="single" w:sz="4" w:space="0" w:color="auto"/>
              <w:right w:val="single" w:sz="4" w:space="0" w:color="auto"/>
            </w:tcBorders>
            <w:shd w:val="clear" w:color="auto" w:fill="auto"/>
            <w:noWrap/>
            <w:vAlign w:val="center"/>
            <w:hideMark/>
          </w:tcPr>
          <w:p w:rsidR="009128E1" w:rsidRPr="00FE57E7" w:rsidP="008440FA" w14:paraId="6E0A378C" w14:textId="6BE1DB90">
            <w:pPr>
              <w:spacing w:line="240" w:lineRule="auto"/>
              <w:jc w:val="center"/>
              <w:rPr>
                <w:rFonts w:eastAsia="Times New Roman"/>
                <w:sz w:val="20"/>
                <w:szCs w:val="18"/>
              </w:rPr>
            </w:pPr>
            <w:r>
              <w:rPr>
                <w:rFonts w:eastAsia="Times New Roman"/>
                <w:sz w:val="20"/>
                <w:szCs w:val="18"/>
              </w:rPr>
              <w:t>$</w:t>
            </w:r>
            <w:r w:rsidR="00A63C50">
              <w:rPr>
                <w:rFonts w:eastAsia="Times New Roman"/>
                <w:sz w:val="20"/>
                <w:szCs w:val="18"/>
              </w:rPr>
              <w:t>2</w:t>
            </w:r>
            <w:r w:rsidR="005F1B3B">
              <w:rPr>
                <w:rFonts w:eastAsia="Times New Roman"/>
                <w:sz w:val="20"/>
                <w:szCs w:val="18"/>
              </w:rPr>
              <w:t>.</w:t>
            </w:r>
            <w:r w:rsidR="0061342A">
              <w:rPr>
                <w:rFonts w:eastAsia="Times New Roman"/>
                <w:sz w:val="20"/>
                <w:szCs w:val="18"/>
              </w:rPr>
              <w:t>83</w:t>
            </w:r>
          </w:p>
        </w:tc>
        <w:tc>
          <w:tcPr>
            <w:tcW w:w="1291" w:type="dxa"/>
            <w:tcBorders>
              <w:top w:val="nil"/>
              <w:left w:val="nil"/>
              <w:bottom w:val="single" w:sz="4" w:space="0" w:color="auto"/>
              <w:right w:val="single" w:sz="4" w:space="0" w:color="auto"/>
            </w:tcBorders>
            <w:shd w:val="clear" w:color="auto" w:fill="auto"/>
            <w:noWrap/>
            <w:vAlign w:val="center"/>
            <w:hideMark/>
          </w:tcPr>
          <w:p w:rsidR="009128E1" w:rsidRPr="00FE57E7" w:rsidP="008440FA" w14:paraId="1901DE03" w14:textId="064E2FC5">
            <w:pPr>
              <w:spacing w:line="240" w:lineRule="auto"/>
              <w:jc w:val="center"/>
              <w:rPr>
                <w:rFonts w:eastAsia="Times New Roman"/>
                <w:sz w:val="20"/>
                <w:szCs w:val="18"/>
              </w:rPr>
            </w:pPr>
            <w:r w:rsidRPr="00FE57E7">
              <w:rPr>
                <w:rFonts w:eastAsia="Times New Roman"/>
                <w:sz w:val="20"/>
                <w:szCs w:val="18"/>
              </w:rPr>
              <w:t>$</w:t>
            </w:r>
            <w:r w:rsidR="005F1B3B">
              <w:rPr>
                <w:rFonts w:eastAsia="Times New Roman"/>
                <w:sz w:val="20"/>
                <w:szCs w:val="18"/>
              </w:rPr>
              <w:t>5.</w:t>
            </w:r>
            <w:r w:rsidR="00A63C50">
              <w:rPr>
                <w:rFonts w:eastAsia="Times New Roman"/>
                <w:sz w:val="20"/>
                <w:szCs w:val="18"/>
              </w:rPr>
              <w:t>62</w:t>
            </w:r>
          </w:p>
        </w:tc>
        <w:tc>
          <w:tcPr>
            <w:tcW w:w="1326" w:type="dxa"/>
            <w:tcBorders>
              <w:top w:val="nil"/>
              <w:left w:val="nil"/>
              <w:bottom w:val="single" w:sz="4" w:space="0" w:color="auto"/>
              <w:right w:val="single" w:sz="4" w:space="0" w:color="auto"/>
            </w:tcBorders>
            <w:shd w:val="clear" w:color="auto" w:fill="auto"/>
            <w:noWrap/>
            <w:vAlign w:val="center"/>
            <w:hideMark/>
          </w:tcPr>
          <w:p w:rsidR="009128E1" w:rsidRPr="00FE57E7" w:rsidP="008440FA" w14:paraId="77AEDF25" w14:textId="70397A76">
            <w:pPr>
              <w:spacing w:line="240" w:lineRule="auto"/>
              <w:jc w:val="center"/>
              <w:rPr>
                <w:rFonts w:eastAsia="Times New Roman"/>
                <w:sz w:val="20"/>
                <w:szCs w:val="18"/>
              </w:rPr>
            </w:pPr>
            <w:r w:rsidRPr="00FE57E7">
              <w:rPr>
                <w:rFonts w:eastAsia="Times New Roman"/>
                <w:sz w:val="20"/>
                <w:szCs w:val="18"/>
              </w:rPr>
              <w:t>$</w:t>
            </w:r>
            <w:r w:rsidR="00401D84">
              <w:rPr>
                <w:rFonts w:eastAsia="Times New Roman"/>
                <w:sz w:val="20"/>
                <w:szCs w:val="18"/>
              </w:rPr>
              <w:t>1.</w:t>
            </w:r>
            <w:r w:rsidR="00DE0D22">
              <w:rPr>
                <w:rFonts w:eastAsia="Times New Roman"/>
                <w:sz w:val="20"/>
                <w:szCs w:val="18"/>
              </w:rPr>
              <w:t>0</w:t>
            </w:r>
            <w:r w:rsidR="0061342A">
              <w:rPr>
                <w:rFonts w:eastAsia="Times New Roman"/>
                <w:sz w:val="20"/>
                <w:szCs w:val="18"/>
              </w:rPr>
              <w:t>8</w:t>
            </w:r>
          </w:p>
        </w:tc>
        <w:tc>
          <w:tcPr>
            <w:tcW w:w="1355" w:type="dxa"/>
            <w:tcBorders>
              <w:top w:val="nil"/>
              <w:left w:val="nil"/>
              <w:bottom w:val="single" w:sz="4" w:space="0" w:color="auto"/>
              <w:right w:val="single" w:sz="4" w:space="0" w:color="auto"/>
            </w:tcBorders>
            <w:shd w:val="clear" w:color="auto" w:fill="auto"/>
            <w:noWrap/>
            <w:vAlign w:val="center"/>
            <w:hideMark/>
          </w:tcPr>
          <w:p w:rsidR="009128E1" w:rsidRPr="00FE57E7" w:rsidP="008440FA" w14:paraId="0AB38847" w14:textId="70DA4EA1">
            <w:pPr>
              <w:spacing w:line="240" w:lineRule="auto"/>
              <w:jc w:val="center"/>
              <w:rPr>
                <w:rFonts w:eastAsia="Times New Roman"/>
                <w:sz w:val="20"/>
                <w:szCs w:val="18"/>
              </w:rPr>
            </w:pPr>
            <w:r w:rsidRPr="00FE57E7">
              <w:rPr>
                <w:rFonts w:eastAsia="Times New Roman"/>
                <w:sz w:val="20"/>
                <w:szCs w:val="18"/>
              </w:rPr>
              <w:t>$</w:t>
            </w:r>
            <w:r w:rsidR="00DE0D22">
              <w:rPr>
                <w:rFonts w:eastAsia="Times New Roman"/>
                <w:sz w:val="20"/>
                <w:szCs w:val="18"/>
              </w:rPr>
              <w:t>9.6</w:t>
            </w:r>
            <w:r w:rsidR="0061342A">
              <w:rPr>
                <w:rFonts w:eastAsia="Times New Roman"/>
                <w:sz w:val="20"/>
                <w:szCs w:val="18"/>
              </w:rPr>
              <w:t>4</w:t>
            </w:r>
          </w:p>
        </w:tc>
        <w:tc>
          <w:tcPr>
            <w:tcW w:w="1291" w:type="dxa"/>
            <w:tcBorders>
              <w:top w:val="nil"/>
              <w:left w:val="nil"/>
              <w:bottom w:val="single" w:sz="4" w:space="0" w:color="auto"/>
              <w:right w:val="single" w:sz="4" w:space="0" w:color="auto"/>
            </w:tcBorders>
            <w:shd w:val="clear" w:color="auto" w:fill="auto"/>
            <w:noWrap/>
            <w:vAlign w:val="center"/>
            <w:hideMark/>
          </w:tcPr>
          <w:p w:rsidR="009128E1" w:rsidRPr="00FE57E7" w:rsidP="008440FA" w14:paraId="247FCCC2" w14:textId="12B8B6F1">
            <w:pPr>
              <w:spacing w:line="240" w:lineRule="auto"/>
              <w:jc w:val="center"/>
              <w:rPr>
                <w:rFonts w:eastAsia="Times New Roman"/>
                <w:sz w:val="20"/>
                <w:szCs w:val="18"/>
              </w:rPr>
            </w:pPr>
            <w:r w:rsidRPr="00FE57E7">
              <w:rPr>
                <w:rFonts w:eastAsia="Times New Roman"/>
                <w:sz w:val="20"/>
                <w:szCs w:val="18"/>
              </w:rPr>
              <w:t>$</w:t>
            </w:r>
            <w:r w:rsidR="00401D84">
              <w:rPr>
                <w:rFonts w:eastAsia="Times New Roman"/>
                <w:sz w:val="20"/>
                <w:szCs w:val="18"/>
              </w:rPr>
              <w:t>4.</w:t>
            </w:r>
            <w:r w:rsidR="00A63C50">
              <w:rPr>
                <w:rFonts w:eastAsia="Times New Roman"/>
                <w:sz w:val="20"/>
                <w:szCs w:val="18"/>
              </w:rPr>
              <w:t>0</w:t>
            </w:r>
            <w:r w:rsidR="0061342A">
              <w:rPr>
                <w:rFonts w:eastAsia="Times New Roman"/>
                <w:sz w:val="20"/>
                <w:szCs w:val="18"/>
              </w:rPr>
              <w:t>0</w:t>
            </w:r>
          </w:p>
        </w:tc>
        <w:tc>
          <w:tcPr>
            <w:tcW w:w="1291" w:type="dxa"/>
            <w:tcBorders>
              <w:top w:val="nil"/>
              <w:left w:val="nil"/>
              <w:bottom w:val="single" w:sz="4" w:space="0" w:color="auto"/>
              <w:right w:val="single" w:sz="8" w:space="0" w:color="auto"/>
            </w:tcBorders>
            <w:shd w:val="clear" w:color="auto" w:fill="auto"/>
            <w:noWrap/>
            <w:vAlign w:val="center"/>
            <w:hideMark/>
          </w:tcPr>
          <w:p w:rsidR="009128E1" w:rsidRPr="00FE57E7" w:rsidP="008440FA" w14:paraId="55DEF475" w14:textId="02A074FE">
            <w:pPr>
              <w:spacing w:line="240" w:lineRule="auto"/>
              <w:jc w:val="center"/>
              <w:rPr>
                <w:rFonts w:eastAsia="Times New Roman"/>
                <w:sz w:val="20"/>
                <w:szCs w:val="18"/>
              </w:rPr>
            </w:pPr>
            <w:r w:rsidRPr="00FE57E7">
              <w:rPr>
                <w:rFonts w:eastAsia="Times New Roman"/>
                <w:sz w:val="20"/>
                <w:szCs w:val="18"/>
              </w:rPr>
              <w:t>$</w:t>
            </w:r>
            <w:r w:rsidR="00401D84">
              <w:rPr>
                <w:rFonts w:eastAsia="Times New Roman"/>
                <w:sz w:val="20"/>
                <w:szCs w:val="18"/>
              </w:rPr>
              <w:t>7.</w:t>
            </w:r>
            <w:r w:rsidR="00A63C50">
              <w:rPr>
                <w:rFonts w:eastAsia="Times New Roman"/>
                <w:sz w:val="20"/>
                <w:szCs w:val="18"/>
              </w:rPr>
              <w:t>49</w:t>
            </w:r>
          </w:p>
        </w:tc>
      </w:tr>
      <w:tr w14:paraId="757854C2" w14:textId="77777777" w:rsidTr="00581806">
        <w:tblPrEx>
          <w:tblW w:w="9640" w:type="dxa"/>
          <w:tblInd w:w="-10" w:type="dxa"/>
          <w:tblLayout w:type="fixed"/>
          <w:tblLook w:val="04A0"/>
        </w:tblPrEx>
        <w:trPr>
          <w:trHeight w:val="276"/>
        </w:trPr>
        <w:tc>
          <w:tcPr>
            <w:tcW w:w="1895" w:type="dxa"/>
            <w:tcBorders>
              <w:top w:val="nil"/>
              <w:left w:val="single" w:sz="8" w:space="0" w:color="auto"/>
              <w:bottom w:val="single" w:sz="4" w:space="0" w:color="auto"/>
              <w:right w:val="single" w:sz="4" w:space="0" w:color="auto"/>
            </w:tcBorders>
            <w:shd w:val="clear" w:color="auto" w:fill="auto"/>
            <w:noWrap/>
            <w:vAlign w:val="center"/>
            <w:hideMark/>
          </w:tcPr>
          <w:p w:rsidR="009128E1" w:rsidRPr="00FE57E7" w:rsidP="008440FA" w14:paraId="0DA14473" w14:textId="77777777">
            <w:pPr>
              <w:spacing w:line="240" w:lineRule="auto"/>
              <w:jc w:val="center"/>
              <w:rPr>
                <w:rFonts w:eastAsia="Times New Roman"/>
                <w:sz w:val="20"/>
                <w:szCs w:val="18"/>
              </w:rPr>
            </w:pPr>
            <w:r w:rsidRPr="00FE57E7">
              <w:rPr>
                <w:rFonts w:eastAsia="Times New Roman"/>
                <w:sz w:val="20"/>
                <w:szCs w:val="18"/>
              </w:rPr>
              <w:t>Total NRC Cost</w:t>
            </w:r>
          </w:p>
        </w:tc>
        <w:tc>
          <w:tcPr>
            <w:tcW w:w="1191" w:type="dxa"/>
            <w:tcBorders>
              <w:top w:val="nil"/>
              <w:left w:val="nil"/>
              <w:bottom w:val="single" w:sz="4" w:space="0" w:color="auto"/>
              <w:right w:val="single" w:sz="4" w:space="0" w:color="auto"/>
            </w:tcBorders>
            <w:shd w:val="clear" w:color="auto" w:fill="auto"/>
            <w:noWrap/>
            <w:vAlign w:val="center"/>
            <w:hideMark/>
          </w:tcPr>
          <w:p w:rsidR="009128E1" w:rsidRPr="00FE57E7" w:rsidP="008440FA" w14:paraId="7ECBA772" w14:textId="3C84E68A">
            <w:pPr>
              <w:spacing w:line="240" w:lineRule="auto"/>
              <w:jc w:val="center"/>
              <w:rPr>
                <w:rFonts w:eastAsia="Times New Roman"/>
                <w:sz w:val="20"/>
                <w:szCs w:val="18"/>
              </w:rPr>
            </w:pPr>
            <w:r>
              <w:rPr>
                <w:rFonts w:eastAsia="Times New Roman"/>
                <w:sz w:val="20"/>
                <w:szCs w:val="18"/>
              </w:rPr>
              <w:t>$</w:t>
            </w:r>
            <w:r w:rsidR="00A42043">
              <w:rPr>
                <w:rFonts w:eastAsia="Times New Roman"/>
                <w:sz w:val="20"/>
                <w:szCs w:val="18"/>
              </w:rPr>
              <w:t>1.</w:t>
            </w:r>
            <w:r w:rsidR="00B12BE7">
              <w:rPr>
                <w:rFonts w:eastAsia="Times New Roman"/>
                <w:sz w:val="20"/>
                <w:szCs w:val="18"/>
              </w:rPr>
              <w:t>5</w:t>
            </w:r>
            <w:r w:rsidR="00F206AB">
              <w:rPr>
                <w:rFonts w:eastAsia="Times New Roman"/>
                <w:sz w:val="20"/>
                <w:szCs w:val="18"/>
              </w:rPr>
              <w:t>7</w:t>
            </w:r>
          </w:p>
        </w:tc>
        <w:tc>
          <w:tcPr>
            <w:tcW w:w="1291" w:type="dxa"/>
            <w:tcBorders>
              <w:top w:val="nil"/>
              <w:left w:val="nil"/>
              <w:bottom w:val="single" w:sz="4" w:space="0" w:color="auto"/>
              <w:right w:val="single" w:sz="4" w:space="0" w:color="auto"/>
            </w:tcBorders>
            <w:shd w:val="clear" w:color="auto" w:fill="auto"/>
            <w:noWrap/>
            <w:vAlign w:val="center"/>
            <w:hideMark/>
          </w:tcPr>
          <w:p w:rsidR="009128E1" w:rsidRPr="00FE57E7" w:rsidP="008440FA" w14:paraId="65E3BF0A" w14:textId="60D749C4">
            <w:pPr>
              <w:spacing w:line="240" w:lineRule="auto"/>
              <w:jc w:val="center"/>
              <w:rPr>
                <w:rFonts w:eastAsia="Times New Roman"/>
                <w:sz w:val="20"/>
                <w:szCs w:val="18"/>
              </w:rPr>
            </w:pPr>
            <w:r w:rsidRPr="00FE57E7">
              <w:rPr>
                <w:rFonts w:eastAsia="Times New Roman"/>
                <w:sz w:val="20"/>
                <w:szCs w:val="18"/>
              </w:rPr>
              <w:t>$</w:t>
            </w:r>
            <w:r w:rsidR="00A42043">
              <w:rPr>
                <w:rFonts w:eastAsia="Times New Roman"/>
                <w:sz w:val="20"/>
                <w:szCs w:val="18"/>
              </w:rPr>
              <w:t>2.</w:t>
            </w:r>
            <w:r w:rsidR="007E6794">
              <w:rPr>
                <w:rFonts w:eastAsia="Times New Roman"/>
                <w:sz w:val="20"/>
                <w:szCs w:val="18"/>
              </w:rPr>
              <w:t>35</w:t>
            </w:r>
          </w:p>
        </w:tc>
        <w:tc>
          <w:tcPr>
            <w:tcW w:w="1326" w:type="dxa"/>
            <w:tcBorders>
              <w:top w:val="nil"/>
              <w:left w:val="nil"/>
              <w:bottom w:val="single" w:sz="4" w:space="0" w:color="auto"/>
              <w:right w:val="single" w:sz="4" w:space="0" w:color="auto"/>
            </w:tcBorders>
            <w:shd w:val="clear" w:color="auto" w:fill="auto"/>
            <w:noWrap/>
            <w:vAlign w:val="center"/>
            <w:hideMark/>
          </w:tcPr>
          <w:p w:rsidR="009128E1" w:rsidRPr="00FE57E7" w:rsidP="008440FA" w14:paraId="6D24E1EF" w14:textId="2ED3FD27">
            <w:pPr>
              <w:spacing w:line="240" w:lineRule="auto"/>
              <w:jc w:val="center"/>
              <w:rPr>
                <w:rFonts w:eastAsia="Times New Roman"/>
                <w:sz w:val="20"/>
                <w:szCs w:val="18"/>
              </w:rPr>
            </w:pPr>
            <w:r w:rsidRPr="00FE57E7">
              <w:rPr>
                <w:rFonts w:eastAsia="Times New Roman"/>
                <w:sz w:val="20"/>
                <w:szCs w:val="18"/>
              </w:rPr>
              <w:t>$</w:t>
            </w:r>
            <w:r w:rsidR="00D3501F">
              <w:rPr>
                <w:rFonts w:eastAsia="Times New Roman"/>
                <w:sz w:val="20"/>
                <w:szCs w:val="18"/>
              </w:rPr>
              <w:t>0.2</w:t>
            </w:r>
            <w:r w:rsidR="007E6794">
              <w:rPr>
                <w:rFonts w:eastAsia="Times New Roman"/>
                <w:sz w:val="20"/>
                <w:szCs w:val="18"/>
              </w:rPr>
              <w:t>7</w:t>
            </w:r>
          </w:p>
        </w:tc>
        <w:tc>
          <w:tcPr>
            <w:tcW w:w="1355" w:type="dxa"/>
            <w:tcBorders>
              <w:top w:val="nil"/>
              <w:left w:val="nil"/>
              <w:bottom w:val="single" w:sz="4" w:space="0" w:color="auto"/>
              <w:right w:val="single" w:sz="4" w:space="0" w:color="auto"/>
            </w:tcBorders>
            <w:shd w:val="clear" w:color="auto" w:fill="auto"/>
            <w:noWrap/>
            <w:vAlign w:val="center"/>
            <w:hideMark/>
          </w:tcPr>
          <w:p w:rsidR="009128E1" w:rsidRPr="00FE57E7" w:rsidP="008440FA" w14:paraId="3AFC7EF7" w14:textId="29046BFF">
            <w:pPr>
              <w:spacing w:line="240" w:lineRule="auto"/>
              <w:jc w:val="center"/>
              <w:rPr>
                <w:rFonts w:eastAsia="Times New Roman"/>
                <w:sz w:val="20"/>
                <w:szCs w:val="18"/>
              </w:rPr>
            </w:pPr>
            <w:r w:rsidRPr="00FE57E7">
              <w:rPr>
                <w:rFonts w:eastAsia="Times New Roman"/>
                <w:sz w:val="20"/>
                <w:szCs w:val="18"/>
              </w:rPr>
              <w:t>$</w:t>
            </w:r>
            <w:r w:rsidR="00146F83">
              <w:rPr>
                <w:rFonts w:eastAsia="Times New Roman"/>
                <w:sz w:val="20"/>
                <w:szCs w:val="18"/>
              </w:rPr>
              <w:t>3.</w:t>
            </w:r>
            <w:r w:rsidR="007E6794">
              <w:rPr>
                <w:rFonts w:eastAsia="Times New Roman"/>
                <w:sz w:val="20"/>
                <w:szCs w:val="18"/>
              </w:rPr>
              <w:t>2</w:t>
            </w:r>
            <w:r w:rsidR="00F206AB">
              <w:rPr>
                <w:rFonts w:eastAsia="Times New Roman"/>
                <w:sz w:val="20"/>
                <w:szCs w:val="18"/>
              </w:rPr>
              <w:t>5</w:t>
            </w:r>
          </w:p>
        </w:tc>
        <w:tc>
          <w:tcPr>
            <w:tcW w:w="1291" w:type="dxa"/>
            <w:tcBorders>
              <w:top w:val="nil"/>
              <w:left w:val="nil"/>
              <w:bottom w:val="single" w:sz="4" w:space="0" w:color="auto"/>
              <w:right w:val="single" w:sz="4" w:space="0" w:color="auto"/>
            </w:tcBorders>
            <w:shd w:val="clear" w:color="auto" w:fill="auto"/>
            <w:noWrap/>
            <w:vAlign w:val="center"/>
            <w:hideMark/>
          </w:tcPr>
          <w:p w:rsidR="009128E1" w:rsidRPr="00FE57E7" w:rsidP="00E76A1B" w14:paraId="039FAE5D" w14:textId="16A8A0EA">
            <w:pPr>
              <w:spacing w:line="240" w:lineRule="auto"/>
              <w:jc w:val="center"/>
              <w:rPr>
                <w:rFonts w:eastAsia="Times New Roman"/>
                <w:sz w:val="20"/>
                <w:szCs w:val="18"/>
              </w:rPr>
            </w:pPr>
            <w:r w:rsidRPr="00FE57E7">
              <w:rPr>
                <w:rFonts w:eastAsia="Times New Roman"/>
                <w:sz w:val="20"/>
                <w:szCs w:val="18"/>
              </w:rPr>
              <w:t>$</w:t>
            </w:r>
            <w:r w:rsidR="007E6794">
              <w:rPr>
                <w:rFonts w:eastAsia="Times New Roman"/>
                <w:sz w:val="20"/>
                <w:szCs w:val="18"/>
              </w:rPr>
              <w:t>1</w:t>
            </w:r>
            <w:r w:rsidR="00146F83">
              <w:rPr>
                <w:rFonts w:eastAsia="Times New Roman"/>
                <w:sz w:val="20"/>
                <w:szCs w:val="18"/>
              </w:rPr>
              <w:t>.</w:t>
            </w:r>
            <w:r w:rsidR="007E6794">
              <w:rPr>
                <w:rFonts w:eastAsia="Times New Roman"/>
                <w:sz w:val="20"/>
                <w:szCs w:val="18"/>
              </w:rPr>
              <w:t>92</w:t>
            </w:r>
          </w:p>
        </w:tc>
        <w:tc>
          <w:tcPr>
            <w:tcW w:w="1291" w:type="dxa"/>
            <w:tcBorders>
              <w:top w:val="nil"/>
              <w:left w:val="nil"/>
              <w:bottom w:val="single" w:sz="4" w:space="0" w:color="auto"/>
              <w:right w:val="single" w:sz="8" w:space="0" w:color="auto"/>
            </w:tcBorders>
            <w:shd w:val="clear" w:color="auto" w:fill="auto"/>
            <w:noWrap/>
            <w:vAlign w:val="center"/>
            <w:hideMark/>
          </w:tcPr>
          <w:p w:rsidR="009128E1" w:rsidRPr="00FE57E7" w:rsidP="00E76A1B" w14:paraId="1FF0D717" w14:textId="1C28FE8D">
            <w:pPr>
              <w:spacing w:line="240" w:lineRule="auto"/>
              <w:jc w:val="center"/>
              <w:rPr>
                <w:rFonts w:eastAsia="Times New Roman"/>
                <w:sz w:val="20"/>
                <w:szCs w:val="18"/>
              </w:rPr>
            </w:pPr>
            <w:r w:rsidRPr="00FE57E7">
              <w:rPr>
                <w:rFonts w:eastAsia="Times New Roman"/>
                <w:sz w:val="20"/>
                <w:szCs w:val="18"/>
              </w:rPr>
              <w:t>$</w:t>
            </w:r>
            <w:r w:rsidR="00146F83">
              <w:rPr>
                <w:rFonts w:eastAsia="Times New Roman"/>
                <w:sz w:val="20"/>
                <w:szCs w:val="18"/>
              </w:rPr>
              <w:t>2.</w:t>
            </w:r>
            <w:r w:rsidR="007E6794">
              <w:rPr>
                <w:rFonts w:eastAsia="Times New Roman"/>
                <w:sz w:val="20"/>
                <w:szCs w:val="18"/>
              </w:rPr>
              <w:t>8</w:t>
            </w:r>
            <w:r w:rsidR="0061342A">
              <w:rPr>
                <w:rFonts w:eastAsia="Times New Roman"/>
                <w:sz w:val="20"/>
                <w:szCs w:val="18"/>
              </w:rPr>
              <w:t>1</w:t>
            </w:r>
          </w:p>
        </w:tc>
      </w:tr>
      <w:tr w14:paraId="7B81078B" w14:textId="77777777" w:rsidTr="00581806">
        <w:tblPrEx>
          <w:tblW w:w="9640" w:type="dxa"/>
          <w:tblInd w:w="-10" w:type="dxa"/>
          <w:tblLayout w:type="fixed"/>
          <w:tblLook w:val="04A0"/>
        </w:tblPrEx>
        <w:trPr>
          <w:trHeight w:val="288"/>
        </w:trPr>
        <w:tc>
          <w:tcPr>
            <w:tcW w:w="1895" w:type="dxa"/>
            <w:tcBorders>
              <w:top w:val="nil"/>
              <w:left w:val="single" w:sz="8" w:space="0" w:color="auto"/>
              <w:bottom w:val="single" w:sz="8" w:space="0" w:color="auto"/>
              <w:right w:val="single" w:sz="4" w:space="0" w:color="auto"/>
            </w:tcBorders>
            <w:shd w:val="clear" w:color="auto" w:fill="auto"/>
            <w:noWrap/>
            <w:vAlign w:val="center"/>
            <w:hideMark/>
          </w:tcPr>
          <w:p w:rsidR="009128E1" w:rsidRPr="00FE57E7" w:rsidP="008440FA" w14:paraId="24589AA7" w14:textId="77777777">
            <w:pPr>
              <w:spacing w:line="240" w:lineRule="auto"/>
              <w:jc w:val="center"/>
              <w:rPr>
                <w:rFonts w:eastAsia="Times New Roman"/>
                <w:sz w:val="20"/>
                <w:szCs w:val="18"/>
              </w:rPr>
            </w:pPr>
            <w:r w:rsidRPr="00FE57E7">
              <w:rPr>
                <w:rFonts w:eastAsia="Times New Roman"/>
                <w:sz w:val="20"/>
                <w:szCs w:val="18"/>
              </w:rPr>
              <w:t>Total Cost</w:t>
            </w:r>
          </w:p>
        </w:tc>
        <w:tc>
          <w:tcPr>
            <w:tcW w:w="1191" w:type="dxa"/>
            <w:tcBorders>
              <w:top w:val="nil"/>
              <w:left w:val="nil"/>
              <w:bottom w:val="single" w:sz="8" w:space="0" w:color="auto"/>
              <w:right w:val="single" w:sz="4" w:space="0" w:color="auto"/>
            </w:tcBorders>
            <w:shd w:val="clear" w:color="auto" w:fill="auto"/>
            <w:noWrap/>
            <w:vAlign w:val="center"/>
            <w:hideMark/>
          </w:tcPr>
          <w:p w:rsidR="009128E1" w:rsidRPr="00FE57E7" w:rsidP="00E76A1B" w14:paraId="7631BC07" w14:textId="71614FA2">
            <w:pPr>
              <w:spacing w:line="240" w:lineRule="auto"/>
              <w:jc w:val="center"/>
              <w:rPr>
                <w:rFonts w:eastAsia="Times New Roman"/>
                <w:sz w:val="20"/>
                <w:szCs w:val="18"/>
              </w:rPr>
            </w:pPr>
            <w:r w:rsidRPr="00FE57E7">
              <w:rPr>
                <w:rFonts w:eastAsia="Times New Roman"/>
                <w:sz w:val="20"/>
                <w:szCs w:val="18"/>
              </w:rPr>
              <w:t>$</w:t>
            </w:r>
            <w:r w:rsidR="001B45EB">
              <w:rPr>
                <w:rFonts w:eastAsia="Times New Roman"/>
                <w:sz w:val="20"/>
                <w:szCs w:val="18"/>
              </w:rPr>
              <w:t>4</w:t>
            </w:r>
            <w:r w:rsidR="001C76EB">
              <w:rPr>
                <w:rFonts w:eastAsia="Times New Roman"/>
                <w:sz w:val="20"/>
                <w:szCs w:val="18"/>
              </w:rPr>
              <w:t>.</w:t>
            </w:r>
            <w:r w:rsidR="00DB4B5C">
              <w:rPr>
                <w:rFonts w:eastAsia="Times New Roman"/>
                <w:sz w:val="20"/>
                <w:szCs w:val="18"/>
              </w:rPr>
              <w:t>61</w:t>
            </w:r>
          </w:p>
        </w:tc>
        <w:tc>
          <w:tcPr>
            <w:tcW w:w="1291" w:type="dxa"/>
            <w:tcBorders>
              <w:top w:val="nil"/>
              <w:left w:val="nil"/>
              <w:bottom w:val="single" w:sz="8" w:space="0" w:color="auto"/>
              <w:right w:val="single" w:sz="4" w:space="0" w:color="auto"/>
            </w:tcBorders>
            <w:shd w:val="clear" w:color="auto" w:fill="auto"/>
            <w:noWrap/>
            <w:vAlign w:val="center"/>
            <w:hideMark/>
          </w:tcPr>
          <w:p w:rsidR="009128E1" w:rsidRPr="00FE57E7" w:rsidP="00E76A1B" w14:paraId="6D073DB2" w14:textId="4D4E034C">
            <w:pPr>
              <w:spacing w:line="240" w:lineRule="auto"/>
              <w:jc w:val="center"/>
              <w:rPr>
                <w:rFonts w:eastAsia="Times New Roman"/>
                <w:sz w:val="20"/>
                <w:szCs w:val="18"/>
              </w:rPr>
            </w:pPr>
            <w:r w:rsidRPr="00FE57E7">
              <w:rPr>
                <w:rFonts w:eastAsia="Times New Roman"/>
                <w:sz w:val="20"/>
                <w:szCs w:val="18"/>
              </w:rPr>
              <w:t>$</w:t>
            </w:r>
            <w:r w:rsidR="001B45EB">
              <w:rPr>
                <w:rFonts w:eastAsia="Times New Roman"/>
                <w:sz w:val="20"/>
                <w:szCs w:val="18"/>
              </w:rPr>
              <w:t>7</w:t>
            </w:r>
            <w:r w:rsidR="001C76EB">
              <w:rPr>
                <w:rFonts w:eastAsia="Times New Roman"/>
                <w:sz w:val="20"/>
                <w:szCs w:val="18"/>
              </w:rPr>
              <w:t>.</w:t>
            </w:r>
            <w:r w:rsidR="001B45EB">
              <w:rPr>
                <w:rFonts w:eastAsia="Times New Roman"/>
                <w:sz w:val="20"/>
                <w:szCs w:val="18"/>
              </w:rPr>
              <w:t>9</w:t>
            </w:r>
            <w:r w:rsidR="00DB4B5C">
              <w:rPr>
                <w:rFonts w:eastAsia="Times New Roman"/>
                <w:sz w:val="20"/>
                <w:szCs w:val="18"/>
              </w:rPr>
              <w:t>8</w:t>
            </w:r>
          </w:p>
        </w:tc>
        <w:tc>
          <w:tcPr>
            <w:tcW w:w="1326" w:type="dxa"/>
            <w:tcBorders>
              <w:top w:val="nil"/>
              <w:left w:val="nil"/>
              <w:bottom w:val="single" w:sz="8" w:space="0" w:color="auto"/>
              <w:right w:val="single" w:sz="4" w:space="0" w:color="auto"/>
            </w:tcBorders>
            <w:shd w:val="clear" w:color="auto" w:fill="auto"/>
            <w:noWrap/>
            <w:vAlign w:val="center"/>
            <w:hideMark/>
          </w:tcPr>
          <w:p w:rsidR="009128E1" w:rsidRPr="00FE57E7" w:rsidP="00E76A1B" w14:paraId="49D6B7E5" w14:textId="168DCDA1">
            <w:pPr>
              <w:spacing w:line="240" w:lineRule="auto"/>
              <w:jc w:val="center"/>
              <w:rPr>
                <w:rFonts w:eastAsia="Times New Roman"/>
                <w:sz w:val="20"/>
                <w:szCs w:val="18"/>
              </w:rPr>
            </w:pPr>
            <w:r w:rsidRPr="00FE57E7">
              <w:rPr>
                <w:rFonts w:eastAsia="Times New Roman"/>
                <w:sz w:val="20"/>
                <w:szCs w:val="18"/>
              </w:rPr>
              <w:t>$</w:t>
            </w:r>
            <w:r w:rsidR="00E76A1B">
              <w:rPr>
                <w:rFonts w:eastAsia="Times New Roman"/>
                <w:sz w:val="20"/>
                <w:szCs w:val="18"/>
              </w:rPr>
              <w:t>1.</w:t>
            </w:r>
            <w:r w:rsidR="00BA4A0B">
              <w:rPr>
                <w:rFonts w:eastAsia="Times New Roman"/>
                <w:sz w:val="20"/>
                <w:szCs w:val="18"/>
              </w:rPr>
              <w:t>1</w:t>
            </w:r>
            <w:r w:rsidR="00DB4B5C">
              <w:rPr>
                <w:rFonts w:eastAsia="Times New Roman"/>
                <w:sz w:val="20"/>
                <w:szCs w:val="18"/>
              </w:rPr>
              <w:t>7</w:t>
            </w:r>
          </w:p>
        </w:tc>
        <w:tc>
          <w:tcPr>
            <w:tcW w:w="1355" w:type="dxa"/>
            <w:tcBorders>
              <w:top w:val="nil"/>
              <w:left w:val="nil"/>
              <w:bottom w:val="single" w:sz="8" w:space="0" w:color="auto"/>
              <w:right w:val="single" w:sz="4" w:space="0" w:color="auto"/>
            </w:tcBorders>
            <w:shd w:val="clear" w:color="auto" w:fill="auto"/>
            <w:noWrap/>
            <w:vAlign w:val="center"/>
            <w:hideMark/>
          </w:tcPr>
          <w:p w:rsidR="009128E1" w:rsidRPr="00FE57E7" w:rsidP="00E76A1B" w14:paraId="4D59AB20" w14:textId="27E97F85">
            <w:pPr>
              <w:spacing w:line="240" w:lineRule="auto"/>
              <w:jc w:val="center"/>
              <w:rPr>
                <w:rFonts w:eastAsia="Times New Roman"/>
                <w:sz w:val="20"/>
                <w:szCs w:val="18"/>
              </w:rPr>
            </w:pPr>
            <w:r w:rsidRPr="00FE57E7">
              <w:rPr>
                <w:rFonts w:eastAsia="Times New Roman"/>
                <w:sz w:val="20"/>
                <w:szCs w:val="18"/>
              </w:rPr>
              <w:t>$</w:t>
            </w:r>
            <w:r w:rsidR="008B7EE8">
              <w:rPr>
                <w:rFonts w:eastAsia="Times New Roman"/>
                <w:sz w:val="20"/>
                <w:szCs w:val="18"/>
              </w:rPr>
              <w:t>1</w:t>
            </w:r>
            <w:r w:rsidR="00BA4A0B">
              <w:rPr>
                <w:rFonts w:eastAsia="Times New Roman"/>
                <w:sz w:val="20"/>
                <w:szCs w:val="18"/>
              </w:rPr>
              <w:t>2</w:t>
            </w:r>
            <w:r w:rsidR="008B7EE8">
              <w:rPr>
                <w:rFonts w:eastAsia="Times New Roman"/>
                <w:sz w:val="20"/>
                <w:szCs w:val="18"/>
              </w:rPr>
              <w:t>.</w:t>
            </w:r>
            <w:r w:rsidR="00B12BE7">
              <w:rPr>
                <w:rFonts w:eastAsia="Times New Roman"/>
                <w:sz w:val="20"/>
                <w:szCs w:val="18"/>
              </w:rPr>
              <w:t>4</w:t>
            </w:r>
          </w:p>
        </w:tc>
        <w:tc>
          <w:tcPr>
            <w:tcW w:w="1291" w:type="dxa"/>
            <w:tcBorders>
              <w:top w:val="nil"/>
              <w:left w:val="nil"/>
              <w:bottom w:val="single" w:sz="8" w:space="0" w:color="auto"/>
              <w:right w:val="single" w:sz="4" w:space="0" w:color="auto"/>
            </w:tcBorders>
            <w:shd w:val="clear" w:color="auto" w:fill="auto"/>
            <w:noWrap/>
            <w:vAlign w:val="center"/>
            <w:hideMark/>
          </w:tcPr>
          <w:p w:rsidR="009128E1" w:rsidRPr="00FE57E7" w:rsidP="00E76A1B" w14:paraId="0406C9CA" w14:textId="0BCBFC8F">
            <w:pPr>
              <w:spacing w:line="240" w:lineRule="auto"/>
              <w:jc w:val="center"/>
              <w:rPr>
                <w:rFonts w:eastAsia="Times New Roman"/>
                <w:sz w:val="20"/>
                <w:szCs w:val="18"/>
              </w:rPr>
            </w:pPr>
            <w:r w:rsidRPr="00FE57E7">
              <w:rPr>
                <w:rFonts w:eastAsia="Times New Roman"/>
                <w:sz w:val="20"/>
                <w:szCs w:val="18"/>
              </w:rPr>
              <w:t>$</w:t>
            </w:r>
            <w:r w:rsidR="00150944">
              <w:rPr>
                <w:rFonts w:eastAsia="Times New Roman"/>
                <w:sz w:val="20"/>
                <w:szCs w:val="18"/>
              </w:rPr>
              <w:t>6.</w:t>
            </w:r>
            <w:r w:rsidR="00DB4B5C">
              <w:rPr>
                <w:rFonts w:eastAsia="Times New Roman"/>
                <w:sz w:val="20"/>
                <w:szCs w:val="18"/>
              </w:rPr>
              <w:t>18</w:t>
            </w:r>
          </w:p>
        </w:tc>
        <w:tc>
          <w:tcPr>
            <w:tcW w:w="1291" w:type="dxa"/>
            <w:tcBorders>
              <w:top w:val="nil"/>
              <w:left w:val="nil"/>
              <w:bottom w:val="single" w:sz="8" w:space="0" w:color="auto"/>
              <w:right w:val="single" w:sz="8" w:space="0" w:color="auto"/>
            </w:tcBorders>
            <w:shd w:val="clear" w:color="auto" w:fill="auto"/>
            <w:noWrap/>
            <w:vAlign w:val="center"/>
            <w:hideMark/>
          </w:tcPr>
          <w:p w:rsidR="009128E1" w:rsidRPr="00FE57E7" w:rsidP="00E76A1B" w14:paraId="1377F1B9" w14:textId="111A4455">
            <w:pPr>
              <w:spacing w:line="240" w:lineRule="auto"/>
              <w:jc w:val="center"/>
              <w:rPr>
                <w:rFonts w:eastAsia="Times New Roman"/>
                <w:sz w:val="20"/>
                <w:szCs w:val="18"/>
              </w:rPr>
            </w:pPr>
            <w:r w:rsidRPr="00FE57E7">
              <w:rPr>
                <w:rFonts w:eastAsia="Times New Roman"/>
                <w:sz w:val="20"/>
                <w:szCs w:val="18"/>
              </w:rPr>
              <w:t>$</w:t>
            </w:r>
            <w:r w:rsidR="00150944">
              <w:rPr>
                <w:rFonts w:eastAsia="Times New Roman"/>
                <w:sz w:val="20"/>
                <w:szCs w:val="18"/>
              </w:rPr>
              <w:t>10.</w:t>
            </w:r>
            <w:r w:rsidR="00B12BE7">
              <w:rPr>
                <w:rFonts w:eastAsia="Times New Roman"/>
                <w:sz w:val="20"/>
                <w:szCs w:val="18"/>
              </w:rPr>
              <w:t>0</w:t>
            </w:r>
          </w:p>
        </w:tc>
      </w:tr>
    </w:tbl>
    <w:p w:rsidR="009128E1" w:rsidRPr="00581806" w:rsidP="008440FA" w14:paraId="200B4853" w14:textId="475E7DDD">
      <w:pPr>
        <w:keepNext/>
        <w:spacing w:before="120" w:line="240" w:lineRule="auto"/>
        <w:rPr>
          <w:sz w:val="18"/>
          <w:szCs w:val="18"/>
        </w:rPr>
      </w:pPr>
      <w:r w:rsidRPr="00581806">
        <w:rPr>
          <w:sz w:val="18"/>
          <w:szCs w:val="18"/>
        </w:rPr>
        <w:t xml:space="preserve">Note: </w:t>
      </w:r>
      <w:r w:rsidRPr="00B523C6" w:rsidR="00B523C6">
        <w:rPr>
          <w:sz w:val="18"/>
          <w:szCs w:val="18"/>
        </w:rPr>
        <w:t xml:space="preserve"> </w:t>
      </w:r>
      <w:r w:rsidRPr="00581806">
        <w:rPr>
          <w:sz w:val="18"/>
          <w:szCs w:val="18"/>
        </w:rPr>
        <w:t xml:space="preserve">There may be small differences between tables </w:t>
      </w:r>
      <w:r w:rsidRPr="00581806" w:rsidR="00B523C6">
        <w:rPr>
          <w:sz w:val="18"/>
          <w:szCs w:val="18"/>
        </w:rPr>
        <w:t>as a result of</w:t>
      </w:r>
      <w:r w:rsidRPr="00581806">
        <w:rPr>
          <w:sz w:val="18"/>
          <w:szCs w:val="18"/>
        </w:rPr>
        <w:t xml:space="preserve"> rounding.</w:t>
      </w:r>
    </w:p>
    <w:p w:rsidR="009128E1" w:rsidP="008440FA" w14:paraId="6BE2501F" w14:textId="77777777">
      <w:pPr>
        <w:keepNext/>
        <w:spacing w:line="240" w:lineRule="auto"/>
      </w:pPr>
    </w:p>
    <w:p w:rsidR="009128E1" w:rsidRPr="00523A60" w:rsidP="008440FA" w14:paraId="6428A966" w14:textId="65B1D514">
      <w:pPr>
        <w:spacing w:line="240" w:lineRule="auto"/>
      </w:pPr>
      <w:r w:rsidRPr="00523A60">
        <w:t xml:space="preserve">Examining the range of the resulting output distribution provided </w:t>
      </w:r>
      <w:r w:rsidRPr="0072717E">
        <w:t xml:space="preserve">in </w:t>
      </w:r>
      <w:r w:rsidRPr="00EE77D0">
        <w:fldChar w:fldCharType="begin"/>
      </w:r>
      <w:r w:rsidRPr="0072717E">
        <w:instrText xml:space="preserve"> REF _Ref506274181 \h </w:instrText>
      </w:r>
      <w:r w:rsidRPr="00581806" w:rsidR="0072717E">
        <w:instrText xml:space="preserve"> \* MERGEFORMAT </w:instrText>
      </w:r>
      <w:r w:rsidRPr="00EE77D0">
        <w:fldChar w:fldCharType="separate"/>
      </w:r>
      <w:r w:rsidRPr="004634A0" w:rsidR="004634A0">
        <w:t>Table</w:t>
      </w:r>
      <w:r w:rsidRPr="00581806" w:rsidR="004634A0">
        <w:rPr>
          <w:b/>
        </w:rPr>
        <w:t xml:space="preserve"> </w:t>
      </w:r>
      <w:r w:rsidRPr="008C3D08" w:rsidR="004634A0">
        <w:rPr>
          <w:bCs/>
          <w:noProof/>
        </w:rPr>
        <w:t>17</w:t>
      </w:r>
      <w:r w:rsidRPr="00EE77D0">
        <w:fldChar w:fldCharType="end"/>
      </w:r>
      <w:r w:rsidRPr="0072717E" w:rsidR="006B4568">
        <w:t xml:space="preserve"> makes</w:t>
      </w:r>
      <w:r w:rsidR="006B4568">
        <w:t xml:space="preserve"> it</w:t>
      </w:r>
      <w:r w:rsidRPr="00523A60">
        <w:t xml:space="preserve"> possible to discuss the potential incremental costs and benefits of the </w:t>
      </w:r>
      <w:r>
        <w:t>regulatory basis</w:t>
      </w:r>
      <w:r w:rsidRPr="00346FFB" w:rsidR="00346FFB">
        <w:t xml:space="preserve"> </w:t>
      </w:r>
      <w:r w:rsidRPr="00523A60" w:rsidR="00346FFB">
        <w:t>more confidently</w:t>
      </w:r>
      <w:r w:rsidRPr="00523A60">
        <w:t xml:space="preserve">.  </w:t>
      </w:r>
      <w:r w:rsidR="00CA6077">
        <w:t xml:space="preserve">This </w:t>
      </w:r>
      <w:r w:rsidR="00F60ABE">
        <w:t xml:space="preserve">table </w:t>
      </w:r>
      <w:r w:rsidRPr="00523A60">
        <w:t>displays the key statistical results, including the 90</w:t>
      </w:r>
      <w:r w:rsidR="00003D0D">
        <w:noBreakHyphen/>
      </w:r>
      <w:r w:rsidRPr="00523A60">
        <w:t>percent confidence interval in which the net benefits would fall between the 5- and 95</w:t>
      </w:r>
      <w:r w:rsidR="00E43156">
        <w:noBreakHyphen/>
      </w:r>
      <w:r w:rsidRPr="00523A60">
        <w:t>percentile values.</w:t>
      </w:r>
    </w:p>
    <w:p w:rsidR="009128E1" w:rsidRPr="00523A60" w:rsidP="008440FA" w14:paraId="06F79CE1" w14:textId="77777777">
      <w:pPr>
        <w:spacing w:line="240" w:lineRule="auto"/>
      </w:pPr>
    </w:p>
    <w:p w:rsidR="009128E1" w:rsidRPr="00523A60" w:rsidP="008440FA" w14:paraId="644A09A6" w14:textId="3F204D79">
      <w:pPr>
        <w:spacing w:line="240" w:lineRule="auto"/>
      </w:pPr>
      <w:r w:rsidRPr="00523A60">
        <w:t xml:space="preserve">Figure 4 shows a tornado diagram that identifies the key variables whose uncertainty </w:t>
      </w:r>
      <w:r w:rsidR="008B56F3">
        <w:t>ha</w:t>
      </w:r>
      <w:r w:rsidR="00F40878">
        <w:t>s</w:t>
      </w:r>
      <w:r w:rsidRPr="00523A60" w:rsidR="00005826">
        <w:t xml:space="preserve"> </w:t>
      </w:r>
      <w:r w:rsidRPr="00523A60">
        <w:t xml:space="preserve">the largest impact on total costs (and averted costs) for this </w:t>
      </w:r>
      <w:r w:rsidR="00530A66">
        <w:t>final</w:t>
      </w:r>
      <w:r w:rsidR="006B223D">
        <w:t xml:space="preserve"> rule</w:t>
      </w:r>
      <w:r w:rsidRPr="00523A60">
        <w:t xml:space="preserve">.  </w:t>
      </w:r>
      <w:r w:rsidR="00005826">
        <w:t>F</w:t>
      </w:r>
      <w:r w:rsidRPr="00523A60">
        <w:t>igure</w:t>
      </w:r>
      <w:r w:rsidR="00005826">
        <w:t> 4</w:t>
      </w:r>
      <w:r w:rsidRPr="00523A60">
        <w:t xml:space="preserve"> ranks the variables based on their contribution to cost uncertainty.  </w:t>
      </w:r>
      <w:r w:rsidR="001840F8">
        <w:t>Four</w:t>
      </w:r>
      <w:r>
        <w:t xml:space="preserve"> </w:t>
      </w:r>
      <w:r w:rsidRPr="00523A60">
        <w:t>variable</w:t>
      </w:r>
      <w:r>
        <w:t>s</w:t>
      </w:r>
      <w:r w:rsidRPr="00523A60">
        <w:t>—</w:t>
      </w:r>
      <w:r w:rsidR="008B56F3">
        <w:t>(</w:t>
      </w:r>
      <w:r w:rsidR="008B56F3">
        <w:t>1) </w:t>
      </w:r>
      <w:r w:rsidR="006B223D">
        <w:t>cancellations of SMR or ONT applications</w:t>
      </w:r>
      <w:r w:rsidR="001840F8">
        <w:t xml:space="preserve"> (determined by sensitivity analysis)</w:t>
      </w:r>
      <w:r>
        <w:t>,</w:t>
      </w:r>
      <w:r w:rsidRPr="00816502">
        <w:t xml:space="preserve"> </w:t>
      </w:r>
      <w:r w:rsidR="008B56F3">
        <w:t>(2) </w:t>
      </w:r>
      <w:r w:rsidR="006B223D">
        <w:t>the hours for a licensee to develop a</w:t>
      </w:r>
      <w:r w:rsidR="00C547FC">
        <w:t>n</w:t>
      </w:r>
      <w:r w:rsidR="006B223D">
        <w:t xml:space="preserve"> </w:t>
      </w:r>
      <w:r w:rsidR="00C547FC">
        <w:t>LAR</w:t>
      </w:r>
      <w:r>
        <w:t xml:space="preserve">, </w:t>
      </w:r>
      <w:r w:rsidR="008B56F3">
        <w:t>(3) </w:t>
      </w:r>
      <w:r>
        <w:t>the</w:t>
      </w:r>
      <w:r w:rsidR="0008000C">
        <w:t xml:space="preserve"> number of </w:t>
      </w:r>
      <w:r w:rsidR="00C547FC">
        <w:t>LARs</w:t>
      </w:r>
      <w:r w:rsidR="0008000C">
        <w:t xml:space="preserve"> per site-year</w:t>
      </w:r>
      <w:r w:rsidR="00197D23">
        <w:t>, and (4)</w:t>
      </w:r>
      <w:r w:rsidR="00F40878">
        <w:t> </w:t>
      </w:r>
      <w:r w:rsidR="00197D23">
        <w:t>the industry hourly rate</w:t>
      </w:r>
      <w:r w:rsidRPr="00523A60">
        <w:t>—drive the most uncertainty in the costs.  The remaining key variables show diminishing variation.</w:t>
      </w:r>
    </w:p>
    <w:p w:rsidR="009128E1" w:rsidP="008440FA" w14:paraId="07612210" w14:textId="73EDC928">
      <w:pPr>
        <w:keepNext/>
        <w:spacing w:line="240" w:lineRule="auto"/>
      </w:pPr>
    </w:p>
    <w:p w:rsidR="000E7C60" w:rsidP="008440FA" w14:paraId="62492357" w14:textId="297551C7">
      <w:pPr>
        <w:keepNext/>
        <w:spacing w:line="240" w:lineRule="auto"/>
      </w:pPr>
      <w:r w:rsidRPr="007165DC">
        <w:rPr>
          <w:noProof/>
        </w:rPr>
        <w:drawing>
          <wp:inline distT="0" distB="0" distL="0" distR="0">
            <wp:extent cx="5943600" cy="3028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028950"/>
                    </a:xfrm>
                    <a:prstGeom prst="rect">
                      <a:avLst/>
                    </a:prstGeom>
                    <a:noFill/>
                    <a:ln>
                      <a:noFill/>
                    </a:ln>
                  </pic:spPr>
                </pic:pic>
              </a:graphicData>
            </a:graphic>
          </wp:inline>
        </w:drawing>
      </w:r>
    </w:p>
    <w:p w:rsidR="009128E1" w:rsidRPr="00581806" w:rsidP="008440FA" w14:paraId="346483D9" w14:textId="47C67B07">
      <w:pPr>
        <w:pStyle w:val="Caption"/>
        <w:spacing w:line="240" w:lineRule="auto"/>
        <w:ind w:left="1080" w:hanging="1080"/>
        <w:jc w:val="center"/>
        <w:rPr>
          <w:b/>
        </w:rPr>
      </w:pPr>
      <w:bookmarkStart w:id="248" w:name="_Ref487015282"/>
      <w:bookmarkStart w:id="249" w:name="_Toc70669536"/>
      <w:bookmarkStart w:id="250" w:name="_Toc85198635"/>
      <w:r w:rsidRPr="00581806">
        <w:rPr>
          <w:b/>
        </w:rPr>
        <w:t xml:space="preserve">Figure </w:t>
      </w:r>
      <w:r w:rsidRPr="00581806" w:rsidR="000012A5">
        <w:rPr>
          <w:b/>
        </w:rPr>
        <w:fldChar w:fldCharType="begin"/>
      </w:r>
      <w:r w:rsidRPr="00581806" w:rsidR="000012A5">
        <w:rPr>
          <w:b/>
        </w:rPr>
        <w:instrText xml:space="preserve"> SEQ Figure \* ARABIC </w:instrText>
      </w:r>
      <w:r w:rsidRPr="00581806" w:rsidR="000012A5">
        <w:rPr>
          <w:b/>
        </w:rPr>
        <w:fldChar w:fldCharType="separate"/>
      </w:r>
      <w:r w:rsidR="004634A0">
        <w:rPr>
          <w:b/>
          <w:noProof/>
        </w:rPr>
        <w:t>4</w:t>
      </w:r>
      <w:r w:rsidRPr="00581806" w:rsidR="000012A5">
        <w:rPr>
          <w:b/>
          <w:noProof/>
        </w:rPr>
        <w:fldChar w:fldCharType="end"/>
      </w:r>
      <w:bookmarkEnd w:id="248"/>
      <w:r w:rsidRPr="00581806" w:rsidR="00E2084A">
        <w:rPr>
          <w:b/>
        </w:rPr>
        <w:t xml:space="preserve">  </w:t>
      </w:r>
      <w:r w:rsidRPr="00581806">
        <w:rPr>
          <w:b/>
        </w:rPr>
        <w:t>Tornado Diagram</w:t>
      </w:r>
      <w:r w:rsidRPr="00581806" w:rsidR="00E2084A">
        <w:rPr>
          <w:b/>
        </w:rPr>
        <w:t>—</w:t>
      </w:r>
      <w:r w:rsidRPr="00581806">
        <w:rPr>
          <w:b/>
        </w:rPr>
        <w:t>Total Averted Costs</w:t>
      </w:r>
      <w:r w:rsidRPr="00581806" w:rsidR="00E2084A">
        <w:rPr>
          <w:b/>
        </w:rPr>
        <w:t>—</w:t>
      </w:r>
      <w:r w:rsidRPr="00581806">
        <w:rPr>
          <w:b/>
        </w:rPr>
        <w:t>7</w:t>
      </w:r>
      <w:r w:rsidRPr="00581806" w:rsidR="00E2084A">
        <w:rPr>
          <w:b/>
        </w:rPr>
        <w:t>-</w:t>
      </w:r>
      <w:r w:rsidRPr="00581806">
        <w:rPr>
          <w:b/>
        </w:rPr>
        <w:t>Percent NPV</w:t>
      </w:r>
      <w:bookmarkEnd w:id="249"/>
      <w:bookmarkEnd w:id="250"/>
    </w:p>
    <w:p w:rsidR="009128E1" w:rsidRPr="00A5674C" w:rsidP="008440FA" w14:paraId="0F22F2FA" w14:textId="2667B27C">
      <w:pPr>
        <w:spacing w:line="240" w:lineRule="auto"/>
      </w:pPr>
      <w:r>
        <w:t>T</w:t>
      </w:r>
      <w:r w:rsidRPr="00523A60">
        <w:t xml:space="preserve">he averted costs for industry and the NRC for this </w:t>
      </w:r>
      <w:r w:rsidR="003453D8">
        <w:t>final</w:t>
      </w:r>
      <w:r w:rsidR="00167A66">
        <w:t xml:space="preserve"> rule </w:t>
      </w:r>
      <w:r w:rsidR="00167A66">
        <w:t>has</w:t>
      </w:r>
      <w:r w:rsidRPr="00523A60">
        <w:t xml:space="preserve"> a mean value of $</w:t>
      </w:r>
      <w:r w:rsidR="001F2C76">
        <w:t>7</w:t>
      </w:r>
      <w:r w:rsidR="004436B6">
        <w:t>.</w:t>
      </w:r>
      <w:r w:rsidR="001F2C76">
        <w:t>97</w:t>
      </w:r>
      <w:r w:rsidR="00CD0CD8">
        <w:t> </w:t>
      </w:r>
      <w:r w:rsidR="00BC3B53">
        <w:t>million</w:t>
      </w:r>
      <w:r w:rsidRPr="00523A60">
        <w:t xml:space="preserve"> at a 7</w:t>
      </w:r>
      <w:r w:rsidR="00CD0CD8">
        <w:noBreakHyphen/>
      </w:r>
      <w:r w:rsidRPr="00523A60">
        <w:t xml:space="preserve">percent discount rate.  The uncertainty analysis shows </w:t>
      </w:r>
      <w:r w:rsidR="00B047B3">
        <w:t>all 10,000 simulations</w:t>
      </w:r>
      <w:r w:rsidR="008D433A">
        <w:t xml:space="preserve"> for</w:t>
      </w:r>
      <w:r w:rsidRPr="00523A60">
        <w:t xml:space="preserve"> </w:t>
      </w:r>
      <w:r>
        <w:t xml:space="preserve">the rulemaking </w:t>
      </w:r>
      <w:r w:rsidR="008D433A">
        <w:t>are</w:t>
      </w:r>
      <w:r>
        <w:t xml:space="preserve"> cost effective</w:t>
      </w:r>
      <w:r w:rsidRPr="00523A60">
        <w:t>.  This is the primary reason for concluding that the benefits of this rulemaking outweigh the costs.</w:t>
      </w:r>
    </w:p>
    <w:p w:rsidR="009128E1" w:rsidRPr="00AB18B9" w:rsidP="008440FA" w14:paraId="4AD01DD0" w14:textId="77777777">
      <w:pPr>
        <w:spacing w:line="240" w:lineRule="auto"/>
      </w:pPr>
    </w:p>
    <w:p w:rsidR="009128E1" w:rsidRPr="008C36F9" w:rsidP="008440FA" w14:paraId="2D1488DC" w14:textId="55F53731">
      <w:pPr>
        <w:pStyle w:val="Heading2"/>
        <w:numPr>
          <w:ilvl w:val="1"/>
          <w:numId w:val="34"/>
        </w:numPr>
        <w:spacing w:line="240" w:lineRule="auto"/>
        <w:ind w:hanging="792"/>
      </w:pPr>
      <w:bookmarkStart w:id="251" w:name="_Toc456098351"/>
      <w:bookmarkStart w:id="252" w:name="_Toc457827364"/>
      <w:bookmarkStart w:id="253" w:name="_Toc70669518"/>
      <w:bookmarkStart w:id="254" w:name="_Toc85198617"/>
      <w:r w:rsidRPr="008C36F9">
        <w:t>Disaggregation</w:t>
      </w:r>
      <w:bookmarkEnd w:id="251"/>
      <w:bookmarkEnd w:id="252"/>
      <w:bookmarkEnd w:id="253"/>
      <w:bookmarkEnd w:id="254"/>
    </w:p>
    <w:p w:rsidR="009128E1" w:rsidRPr="008C36F9" w:rsidP="008440FA" w14:paraId="07D320AA" w14:textId="77777777">
      <w:pPr>
        <w:spacing w:line="240" w:lineRule="auto"/>
      </w:pPr>
    </w:p>
    <w:p w:rsidR="004436B6" w:rsidP="008440FA" w14:paraId="0E05C525" w14:textId="3BEEF3DD">
      <w:pPr>
        <w:spacing w:line="240" w:lineRule="auto"/>
      </w:pPr>
      <w:r>
        <w:t>To</w:t>
      </w:r>
      <w:r w:rsidRPr="008C36F9" w:rsidR="009128E1">
        <w:t xml:space="preserve"> comply with the guidance in </w:t>
      </w:r>
      <w:r w:rsidRPr="00FE3D78">
        <w:t>NUREG</w:t>
      </w:r>
      <w:r w:rsidRPr="00FE3D78">
        <w:t>/BR</w:t>
      </w:r>
      <w:r w:rsidR="00E818B5">
        <w:noBreakHyphen/>
      </w:r>
      <w:r w:rsidRPr="00FE3D78">
        <w:t>0058</w:t>
      </w:r>
      <w:r>
        <w:t xml:space="preserve">, </w:t>
      </w:r>
      <w:r w:rsidRPr="008C36F9" w:rsidR="009128E1">
        <w:t>Section</w:t>
      </w:r>
      <w:r>
        <w:t> </w:t>
      </w:r>
      <w:r w:rsidRPr="008C36F9" w:rsidR="009128E1">
        <w:t xml:space="preserve">4.3.2, </w:t>
      </w:r>
      <w:r w:rsidR="009128E1">
        <w:t>“</w:t>
      </w:r>
      <w:r w:rsidRPr="008C36F9" w:rsidR="009128E1">
        <w:t>Criteria for the Treatment of Individual Requirements</w:t>
      </w:r>
      <w:r>
        <w:t>,”</w:t>
      </w:r>
      <w:r w:rsidRPr="008C36F9" w:rsidR="009128E1">
        <w:t xml:space="preserve"> the NRC performed a screening review to determine </w:t>
      </w:r>
      <w:r w:rsidR="009128E1">
        <w:t>whether</w:t>
      </w:r>
      <w:r w:rsidR="008A7008">
        <w:t xml:space="preserve"> </w:t>
      </w:r>
      <w:r w:rsidRPr="008C36F9" w:rsidR="009128E1">
        <w:t xml:space="preserve">the </w:t>
      </w:r>
      <w:r w:rsidR="003453D8">
        <w:t>final</w:t>
      </w:r>
      <w:r w:rsidR="009128E1">
        <w:t xml:space="preserve"> rule</w:t>
      </w:r>
      <w:r w:rsidRPr="00FD663A" w:rsidR="009128E1">
        <w:t xml:space="preserve"> would be unnecessary to achieve the objectives of the rulemaking</w:t>
      </w:r>
      <w:r w:rsidR="00A12126">
        <w:t xml:space="preserve">.  </w:t>
      </w:r>
      <w:r w:rsidRPr="00A12126" w:rsidR="00A12126">
        <w:t xml:space="preserve">Under the NRC’s </w:t>
      </w:r>
      <w:r w:rsidR="00A12126">
        <w:t xml:space="preserve">current </w:t>
      </w:r>
      <w:r w:rsidRPr="00A12126" w:rsidR="00A12126">
        <w:t xml:space="preserve">regulatory framework, all applications for a construction permit or </w:t>
      </w:r>
      <w:r w:rsidR="008F40BE">
        <w:t>OL</w:t>
      </w:r>
      <w:r w:rsidR="00A26F5C">
        <w:t xml:space="preserve"> </w:t>
      </w:r>
      <w:r w:rsidRPr="00A12126" w:rsidR="00A12126">
        <w:t>under 10</w:t>
      </w:r>
      <w:r w:rsidR="008F40BE">
        <w:t> </w:t>
      </w:r>
      <w:r w:rsidRPr="00A12126" w:rsidR="00A12126">
        <w:t>CFR</w:t>
      </w:r>
      <w:r w:rsidR="008F40BE">
        <w:t> </w:t>
      </w:r>
      <w:r w:rsidR="0092502C">
        <w:t>P</w:t>
      </w:r>
      <w:r w:rsidRPr="00A12126" w:rsidR="0092502C">
        <w:t>art</w:t>
      </w:r>
      <w:r w:rsidR="008F40BE">
        <w:t> </w:t>
      </w:r>
      <w:r w:rsidRPr="00A12126" w:rsidR="00A12126">
        <w:t>50</w:t>
      </w:r>
      <w:r w:rsidR="00A26F5C">
        <w:t xml:space="preserve"> and all </w:t>
      </w:r>
      <w:r w:rsidR="00C547FC">
        <w:t>COL</w:t>
      </w:r>
      <w:r w:rsidR="00A26F5C">
        <w:t xml:space="preserve"> </w:t>
      </w:r>
      <w:r w:rsidRPr="00A12126" w:rsidR="00A12126">
        <w:t>applications submitted under 10</w:t>
      </w:r>
      <w:r w:rsidR="00ED5133">
        <w:t> </w:t>
      </w:r>
      <w:r w:rsidRPr="00A12126" w:rsidR="00A12126">
        <w:t>CFR</w:t>
      </w:r>
      <w:r w:rsidR="00ED5133">
        <w:t> </w:t>
      </w:r>
      <w:r w:rsidR="0092502C">
        <w:t>P</w:t>
      </w:r>
      <w:r w:rsidRPr="00A12126" w:rsidR="00A12126">
        <w:t>art</w:t>
      </w:r>
      <w:r w:rsidR="008F40BE">
        <w:t> </w:t>
      </w:r>
      <w:r w:rsidRPr="00A12126" w:rsidR="00A12126">
        <w:t>52 must provide plans for coping with emergencies as part of either a preliminary or</w:t>
      </w:r>
      <w:r w:rsidR="00502993">
        <w:t xml:space="preserve"> a</w:t>
      </w:r>
      <w:r w:rsidRPr="00A12126" w:rsidR="00A12126">
        <w:t xml:space="preserve"> final safety analysis report.</w:t>
      </w:r>
      <w:r w:rsidR="00A26F5C">
        <w:t xml:space="preserve"> </w:t>
      </w:r>
      <w:r>
        <w:t xml:space="preserve"> </w:t>
      </w:r>
      <w:r w:rsidR="00A26F5C">
        <w:t>This</w:t>
      </w:r>
      <w:r w:rsidR="00A12126">
        <w:t xml:space="preserve"> </w:t>
      </w:r>
      <w:r w:rsidRPr="008A7008" w:rsidR="00A12126">
        <w:t>regulatory</w:t>
      </w:r>
      <w:r w:rsidR="00A12126">
        <w:t xml:space="preserve"> framework includes technical </w:t>
      </w:r>
      <w:r w:rsidRPr="008A7008" w:rsidR="00A12126">
        <w:t>and policy infrastructure</w:t>
      </w:r>
      <w:r w:rsidR="00A12126">
        <w:t>s</w:t>
      </w:r>
      <w:r w:rsidR="00A26F5C">
        <w:t xml:space="preserve"> </w:t>
      </w:r>
      <w:r w:rsidR="00A12126">
        <w:t xml:space="preserve">that do not </w:t>
      </w:r>
      <w:r w:rsidR="00E379C0">
        <w:t xml:space="preserve">consider </w:t>
      </w:r>
      <w:r w:rsidRPr="00A12126" w:rsidR="00A12126">
        <w:t>reactor core sizes, lower power densities, lower probability of severe accidents, slower accident progression, and smaller accident offsite consequences</w:t>
      </w:r>
      <w:r w:rsidR="00A12126">
        <w:t xml:space="preserve"> due to advanced reactor designs</w:t>
      </w:r>
      <w:r w:rsidRPr="008F40BE" w:rsidR="008F40BE">
        <w:t xml:space="preserve"> </w:t>
      </w:r>
      <w:r w:rsidR="008F40BE">
        <w:t xml:space="preserve">for </w:t>
      </w:r>
      <w:r w:rsidRPr="00A12126" w:rsidR="008F40BE">
        <w:t xml:space="preserve">SMRs and </w:t>
      </w:r>
      <w:r w:rsidR="005349A0">
        <w:t xml:space="preserve">certain </w:t>
      </w:r>
      <w:r w:rsidRPr="00A12126" w:rsidR="008F40BE">
        <w:t>ONTs</w:t>
      </w:r>
      <w:r w:rsidR="00A12126">
        <w:t xml:space="preserve">. </w:t>
      </w:r>
      <w:r>
        <w:t xml:space="preserve"> </w:t>
      </w:r>
      <w:r w:rsidR="002F5D33">
        <w:t>Hence</w:t>
      </w:r>
      <w:r w:rsidR="008F40BE">
        <w:t>,</w:t>
      </w:r>
      <w:r w:rsidR="002F5D33">
        <w:t xml:space="preserve"> </w:t>
      </w:r>
      <w:r w:rsidR="0067547C">
        <w:t>the</w:t>
      </w:r>
      <w:r w:rsidR="002F5D33">
        <w:t xml:space="preserve"> performance-based framework for SMRs and ONTs</w:t>
      </w:r>
      <w:r w:rsidRPr="00C94F60" w:rsidR="00C94F60">
        <w:t xml:space="preserve"> </w:t>
      </w:r>
      <w:r w:rsidR="0067547C">
        <w:t>in the final rule</w:t>
      </w:r>
      <w:r w:rsidR="00C94F60">
        <w:t xml:space="preserve"> </w:t>
      </w:r>
      <w:r w:rsidRPr="00C94F60" w:rsidR="00C94F60">
        <w:t xml:space="preserve">could allow for more regulatory flexibility, provide a basis for appropriate EP through </w:t>
      </w:r>
      <w:r w:rsidR="008F40BE">
        <w:t xml:space="preserve">the </w:t>
      </w:r>
      <w:r w:rsidRPr="00C94F60" w:rsidR="00C94F60">
        <w:t xml:space="preserve">review of design- and site-specific accident scenarios, and minimize the need for exemption requests that would otherwise </w:t>
      </w:r>
      <w:r w:rsidR="00C94F60">
        <w:t>be anticipated under the current</w:t>
      </w:r>
      <w:r w:rsidRPr="00C94F60" w:rsidR="00C94F60">
        <w:t xml:space="preserve"> regulatory framework.  In this context, performance</w:t>
      </w:r>
      <w:r w:rsidR="00895D40">
        <w:t>-</w:t>
      </w:r>
      <w:r w:rsidRPr="00C94F60" w:rsidR="00C94F60">
        <w:t>based means basing the adequacy of EP upon the NRC’s identification of emergency response functions that affect the protection of public health and safety and the licensee’s successful execution of those functions.  The NRC’s performance</w:t>
      </w:r>
      <w:r w:rsidR="008F40BE">
        <w:noBreakHyphen/>
      </w:r>
      <w:r w:rsidRPr="00C94F60" w:rsidR="00C94F60">
        <w:t>based framework, inspection and enforcement program, and design-specific review process w</w:t>
      </w:r>
      <w:r w:rsidR="00201A4E">
        <w:t>ill</w:t>
      </w:r>
      <w:r w:rsidRPr="00C94F60" w:rsidR="00C94F60">
        <w:t xml:space="preserve"> still provide reasonable assurance that protective </w:t>
      </w:r>
      <w:r w:rsidR="00BE0E9F">
        <w:t>measures</w:t>
      </w:r>
      <w:r w:rsidRPr="00C94F60" w:rsidR="00C94F60">
        <w:t xml:space="preserve"> can and will be taken in the event of a</w:t>
      </w:r>
      <w:r w:rsidR="00B8227C">
        <w:t xml:space="preserve"> radiological</w:t>
      </w:r>
      <w:r w:rsidRPr="00C94F60" w:rsidR="00C94F60">
        <w:t xml:space="preserve"> emergency at an SMR or ONT facility</w:t>
      </w:r>
      <w:r w:rsidR="00C94F60">
        <w:t xml:space="preserve">.  </w:t>
      </w:r>
    </w:p>
    <w:p w:rsidR="004436B6" w:rsidP="008440FA" w14:paraId="6522C5DF" w14:textId="77777777">
      <w:pPr>
        <w:spacing w:line="240" w:lineRule="auto"/>
      </w:pPr>
    </w:p>
    <w:p w:rsidR="004436B6" w:rsidP="008440FA" w14:paraId="6406C4E8" w14:textId="0FA52746">
      <w:pPr>
        <w:spacing w:line="240" w:lineRule="auto"/>
      </w:pPr>
      <w:r>
        <w:t xml:space="preserve">The review process </w:t>
      </w:r>
      <w:r w:rsidR="009370AD">
        <w:t xml:space="preserve">changes </w:t>
      </w:r>
      <w:r>
        <w:t xml:space="preserve">in the </w:t>
      </w:r>
      <w:r w:rsidR="003453D8">
        <w:t>final</w:t>
      </w:r>
      <w:r>
        <w:t xml:space="preserve"> rule will result in averted exemption request costs to the NRC and </w:t>
      </w:r>
      <w:r w:rsidR="008F40BE">
        <w:t>the i</w:t>
      </w:r>
      <w:r>
        <w:t>ndustry, estimated to range from $</w:t>
      </w:r>
      <w:r w:rsidR="002676DC">
        <w:t>2</w:t>
      </w:r>
      <w:r>
        <w:t>.</w:t>
      </w:r>
      <w:r w:rsidR="00985007">
        <w:t>23</w:t>
      </w:r>
      <w:r w:rsidR="008F40BE">
        <w:t> </w:t>
      </w:r>
      <w:r>
        <w:t>million at a 7</w:t>
      </w:r>
      <w:r w:rsidR="008F40BE">
        <w:noBreakHyphen/>
      </w:r>
      <w:r>
        <w:t xml:space="preserve">percent discount rate to </w:t>
      </w:r>
      <w:r>
        <w:t>$</w:t>
      </w:r>
      <w:r w:rsidR="00ED347D">
        <w:t>2</w:t>
      </w:r>
      <w:r>
        <w:t>.</w:t>
      </w:r>
      <w:r w:rsidR="003C606F">
        <w:t>37</w:t>
      </w:r>
      <w:r w:rsidR="008F40BE">
        <w:t> </w:t>
      </w:r>
      <w:r>
        <w:t>million at a 3</w:t>
      </w:r>
      <w:r w:rsidR="008F40BE">
        <w:noBreakHyphen/>
      </w:r>
      <w:r>
        <w:t xml:space="preserve">percent discount rate.  The </w:t>
      </w:r>
      <w:r w:rsidR="009370AD">
        <w:t xml:space="preserve">inspection and enforcement program changes in the </w:t>
      </w:r>
      <w:r w:rsidR="003453D8">
        <w:t>final</w:t>
      </w:r>
      <w:r w:rsidR="009370AD">
        <w:t xml:space="preserve"> rule will result in averted LAR costs to the NRC and </w:t>
      </w:r>
      <w:r w:rsidR="008F40BE">
        <w:t>the i</w:t>
      </w:r>
      <w:r w:rsidR="009370AD">
        <w:t>ndustr</w:t>
      </w:r>
      <w:r w:rsidR="00C404CD">
        <w:t>y, estimated to range from $</w:t>
      </w:r>
      <w:r w:rsidR="00ED347D">
        <w:t>5</w:t>
      </w:r>
      <w:r w:rsidR="00C404CD">
        <w:t>.</w:t>
      </w:r>
      <w:r w:rsidR="008A7148">
        <w:t>46</w:t>
      </w:r>
      <w:r w:rsidR="008F40BE">
        <w:t> </w:t>
      </w:r>
      <w:r w:rsidR="009370AD">
        <w:t xml:space="preserve">million at </w:t>
      </w:r>
      <w:r w:rsidR="00C404CD">
        <w:t>a 7</w:t>
      </w:r>
      <w:r w:rsidR="008F40BE">
        <w:noBreakHyphen/>
      </w:r>
      <w:r w:rsidR="00C404CD">
        <w:t>percent discount rate to $</w:t>
      </w:r>
      <w:r w:rsidR="00B32D36">
        <w:t>1</w:t>
      </w:r>
      <w:r w:rsidR="00316BCD">
        <w:t>2</w:t>
      </w:r>
      <w:r w:rsidR="00C404CD">
        <w:t>.</w:t>
      </w:r>
      <w:r w:rsidR="00316BCD">
        <w:t>2</w:t>
      </w:r>
      <w:r w:rsidR="008F40BE">
        <w:t> </w:t>
      </w:r>
      <w:r w:rsidR="009370AD">
        <w:t>million at a 3</w:t>
      </w:r>
      <w:r w:rsidR="008F40BE">
        <w:noBreakHyphen/>
      </w:r>
      <w:r w:rsidR="009370AD">
        <w:t xml:space="preserve">percent discount rate.  The performance-based framework in the </w:t>
      </w:r>
      <w:r w:rsidR="003453D8">
        <w:t>final</w:t>
      </w:r>
      <w:r w:rsidR="009370AD">
        <w:t xml:space="preserve"> rule will re</w:t>
      </w:r>
      <w:r w:rsidR="00C45DDB">
        <w:t>sult in simplified EP plan benefits</w:t>
      </w:r>
      <w:r w:rsidR="009370AD">
        <w:t xml:space="preserve"> to the NRC and </w:t>
      </w:r>
      <w:r w:rsidR="00B146E3">
        <w:t>the i</w:t>
      </w:r>
      <w:r w:rsidR="009370AD">
        <w:t>ndustry, estimated to range from $</w:t>
      </w:r>
      <w:r w:rsidR="003C606F">
        <w:t>473</w:t>
      </w:r>
      <w:r w:rsidR="009370AD">
        <w:t>,000 at a 7</w:t>
      </w:r>
      <w:r w:rsidR="00B146E3">
        <w:noBreakHyphen/>
      </w:r>
      <w:r w:rsidR="009370AD">
        <w:t>percent discount rate to $</w:t>
      </w:r>
      <w:r w:rsidR="003C606F">
        <w:t>525</w:t>
      </w:r>
      <w:r w:rsidR="009370AD">
        <w:t>,000 at a 3</w:t>
      </w:r>
      <w:r w:rsidR="00B146E3">
        <w:noBreakHyphen/>
      </w:r>
      <w:r w:rsidR="009370AD">
        <w:t>percent discount rate.</w:t>
      </w:r>
    </w:p>
    <w:p w:rsidR="004436B6" w:rsidP="008440FA" w14:paraId="72BCD484" w14:textId="77777777">
      <w:pPr>
        <w:spacing w:line="240" w:lineRule="auto"/>
      </w:pPr>
    </w:p>
    <w:p w:rsidR="00727841" w:rsidP="008440FA" w14:paraId="1824386A" w14:textId="3069598E">
      <w:pPr>
        <w:spacing w:line="240" w:lineRule="auto"/>
      </w:pPr>
      <w:r>
        <w:t>Therefore</w:t>
      </w:r>
      <w:r w:rsidRPr="00FD663A">
        <w:t xml:space="preserve">, the NRC concludes that </w:t>
      </w:r>
      <w:r>
        <w:t xml:space="preserve">the </w:t>
      </w:r>
      <w:r w:rsidR="003453D8">
        <w:t>final</w:t>
      </w:r>
      <w:r>
        <w:t xml:space="preserve"> rule</w:t>
      </w:r>
      <w:r w:rsidRPr="008C36F9">
        <w:t xml:space="preserve"> w</w:t>
      </w:r>
      <w:r w:rsidR="003453D8">
        <w:t>ill</w:t>
      </w:r>
      <w:r w:rsidRPr="008C36F9">
        <w:t xml:space="preserve"> be necessary to achieve </w:t>
      </w:r>
      <w:r>
        <w:t>the objective</w:t>
      </w:r>
      <w:r w:rsidR="00C94F60">
        <w:t>s</w:t>
      </w:r>
      <w:r w:rsidRPr="008C36F9">
        <w:t xml:space="preserve"> of the ru</w:t>
      </w:r>
      <w:r w:rsidR="00E023EE">
        <w:t>lemaking</w:t>
      </w:r>
      <w:bookmarkStart w:id="255" w:name="_Toc456098352"/>
      <w:bookmarkStart w:id="256" w:name="_Toc456098353"/>
      <w:bookmarkEnd w:id="255"/>
      <w:r w:rsidR="004436B6">
        <w:t>, and each aspect</w:t>
      </w:r>
      <w:r w:rsidR="00B146E3">
        <w:t>,</w:t>
      </w:r>
      <w:r w:rsidR="004436B6">
        <w:t xml:space="preserve"> when considered separately</w:t>
      </w:r>
      <w:r w:rsidR="00B146E3">
        <w:t>,</w:t>
      </w:r>
      <w:r w:rsidR="004436B6">
        <w:t xml:space="preserve"> adds to the net cost</w:t>
      </w:r>
      <w:r w:rsidR="00B146E3">
        <w:t>-</w:t>
      </w:r>
      <w:r w:rsidR="004436B6">
        <w:t xml:space="preserve">beneficial nature of the </w:t>
      </w:r>
      <w:r w:rsidR="003453D8">
        <w:t>final</w:t>
      </w:r>
      <w:r w:rsidR="004436B6">
        <w:t xml:space="preserve"> rule.</w:t>
      </w:r>
    </w:p>
    <w:p w:rsidR="00727841" w:rsidP="008440FA" w14:paraId="40950630" w14:textId="77777777">
      <w:pPr>
        <w:spacing w:line="240" w:lineRule="auto"/>
      </w:pPr>
    </w:p>
    <w:p w:rsidR="009128E1" w:rsidRPr="00461295" w:rsidP="008440FA" w14:paraId="7149C07B" w14:textId="03E0FEDA">
      <w:pPr>
        <w:pStyle w:val="Heading2"/>
        <w:numPr>
          <w:ilvl w:val="1"/>
          <w:numId w:val="34"/>
        </w:numPr>
        <w:spacing w:line="240" w:lineRule="auto"/>
        <w:ind w:hanging="792"/>
      </w:pPr>
      <w:bookmarkStart w:id="257" w:name="_Toc457827366"/>
      <w:bookmarkStart w:id="258" w:name="_Toc70669519"/>
      <w:bookmarkStart w:id="259" w:name="_Toc85198618"/>
      <w:r w:rsidRPr="00461295">
        <w:t>Summary</w:t>
      </w:r>
      <w:bookmarkEnd w:id="256"/>
      <w:bookmarkEnd w:id="257"/>
      <w:bookmarkEnd w:id="258"/>
      <w:bookmarkEnd w:id="259"/>
    </w:p>
    <w:p w:rsidR="009128E1" w:rsidRPr="00985500" w:rsidP="008440FA" w14:paraId="356A1749" w14:textId="77777777">
      <w:pPr>
        <w:keepNext/>
        <w:spacing w:line="240" w:lineRule="auto"/>
      </w:pPr>
    </w:p>
    <w:p w:rsidR="009128E1" w:rsidP="008440FA" w14:paraId="420C14E0" w14:textId="28693D8E">
      <w:pPr>
        <w:spacing w:line="240" w:lineRule="auto"/>
      </w:pPr>
      <w:r w:rsidRPr="00985500">
        <w:t>This regulatory analysis identified both quantifiable and nonquantifiable costs</w:t>
      </w:r>
      <w:r>
        <w:t xml:space="preserve"> and benefits</w:t>
      </w:r>
      <w:r w:rsidRPr="00985500">
        <w:t xml:space="preserve"> that </w:t>
      </w:r>
      <w:r w:rsidR="0085585F">
        <w:t>will</w:t>
      </w:r>
      <w:r w:rsidRPr="00985500">
        <w:t xml:space="preserve"> </w:t>
      </w:r>
      <w:r>
        <w:t>result</w:t>
      </w:r>
      <w:r w:rsidRPr="00985500">
        <w:t xml:space="preserve"> from </w:t>
      </w:r>
      <w:r>
        <w:t xml:space="preserve">conducting </w:t>
      </w:r>
      <w:r w:rsidR="00B146E3">
        <w:t xml:space="preserve">the </w:t>
      </w:r>
      <w:r>
        <w:t xml:space="preserve">rulemaking to address </w:t>
      </w:r>
      <w:r w:rsidRPr="000E2735" w:rsidR="000E2735">
        <w:t xml:space="preserve">EP requirements </w:t>
      </w:r>
      <w:r w:rsidR="000E2735">
        <w:t xml:space="preserve">for </w:t>
      </w:r>
      <w:r>
        <w:t>SMR</w:t>
      </w:r>
      <w:r w:rsidR="000E2735">
        <w:t>s</w:t>
      </w:r>
      <w:r>
        <w:t xml:space="preserve"> and </w:t>
      </w:r>
      <w:r w:rsidR="00C6347F">
        <w:t>ONT</w:t>
      </w:r>
      <w:r w:rsidR="000E2735">
        <w:t>s</w:t>
      </w:r>
      <w:r w:rsidRPr="00985500">
        <w:t>.  Although quantifiable costs</w:t>
      </w:r>
      <w:r>
        <w:t xml:space="preserve"> and benefits</w:t>
      </w:r>
      <w:r w:rsidRPr="00985500">
        <w:t xml:space="preserve"> appear to be more tangible, the </w:t>
      </w:r>
      <w:r w:rsidR="003971A5">
        <w:t>NRC</w:t>
      </w:r>
      <w:r w:rsidRPr="00985500">
        <w:t xml:space="preserve"> urges </w:t>
      </w:r>
      <w:r>
        <w:t>decision</w:t>
      </w:r>
      <w:r w:rsidRPr="00985500">
        <w:t>makers not to discount costs</w:t>
      </w:r>
      <w:r>
        <w:t xml:space="preserve"> and benefits</w:t>
      </w:r>
      <w:r w:rsidRPr="00985500">
        <w:t xml:space="preserve"> that are unquantifiable.  Such benefits or costs can be just as </w:t>
      </w:r>
      <w:r>
        <w:t xml:space="preserve">important </w:t>
      </w:r>
      <w:r w:rsidRPr="00985500">
        <w:t>as</w:t>
      </w:r>
      <w:r w:rsidR="00005450">
        <w:t>,</w:t>
      </w:r>
      <w:r w:rsidRPr="00985500">
        <w:t xml:space="preserve"> or </w:t>
      </w:r>
      <w:r w:rsidRPr="00FC735E">
        <w:rPr>
          <w:rFonts w:eastAsiaTheme="majorEastAsia"/>
          <w:bCs/>
          <w:szCs w:val="28"/>
        </w:rPr>
        <w:t>even more important than</w:t>
      </w:r>
      <w:r w:rsidRPr="00FC735E" w:rsidR="00005450">
        <w:rPr>
          <w:rFonts w:eastAsiaTheme="majorEastAsia"/>
          <w:bCs/>
          <w:szCs w:val="28"/>
        </w:rPr>
        <w:t>,</w:t>
      </w:r>
      <w:r w:rsidRPr="00FC735E">
        <w:rPr>
          <w:rFonts w:eastAsiaTheme="majorEastAsia"/>
          <w:bCs/>
          <w:szCs w:val="28"/>
        </w:rPr>
        <w:t xml:space="preserve"> benefits or costs that can be quantified and monetized.</w:t>
      </w:r>
    </w:p>
    <w:p w:rsidR="00B15286" w:rsidRPr="00985500" w:rsidP="008440FA" w14:paraId="3158308C" w14:textId="77777777">
      <w:pPr>
        <w:spacing w:line="240" w:lineRule="auto"/>
      </w:pPr>
    </w:p>
    <w:p w:rsidR="009128E1" w:rsidRPr="00985500" w:rsidP="008440FA" w14:paraId="1013CE2A" w14:textId="23E450F1">
      <w:pPr>
        <w:pStyle w:val="Heading3"/>
        <w:numPr>
          <w:ilvl w:val="2"/>
          <w:numId w:val="34"/>
        </w:numPr>
        <w:spacing w:line="240" w:lineRule="auto"/>
        <w:ind w:left="1080" w:hanging="1080"/>
      </w:pPr>
      <w:bookmarkStart w:id="260" w:name="_Ref393273932"/>
      <w:bookmarkStart w:id="261" w:name="_Toc456098354"/>
      <w:bookmarkStart w:id="262" w:name="_Toc457827367"/>
      <w:bookmarkStart w:id="263" w:name="_Toc70669520"/>
      <w:bookmarkStart w:id="264" w:name="_Toc85198619"/>
      <w:r w:rsidRPr="00985500">
        <w:t>Quantified Net Benefit</w:t>
      </w:r>
      <w:bookmarkEnd w:id="260"/>
      <w:bookmarkEnd w:id="261"/>
      <w:bookmarkEnd w:id="262"/>
      <w:bookmarkEnd w:id="263"/>
      <w:bookmarkEnd w:id="264"/>
    </w:p>
    <w:p w:rsidR="009128E1" w:rsidRPr="00764737" w:rsidP="008440FA" w14:paraId="62D8E9C9" w14:textId="77777777">
      <w:pPr>
        <w:spacing w:line="240" w:lineRule="auto"/>
      </w:pPr>
    </w:p>
    <w:p w:rsidR="009128E1" w:rsidP="008440FA" w14:paraId="368DBDA1" w14:textId="03FA4771">
      <w:pPr>
        <w:spacing w:line="240" w:lineRule="auto"/>
      </w:pPr>
      <w:r w:rsidRPr="00764737">
        <w:t xml:space="preserve">As shown </w:t>
      </w:r>
      <w:r w:rsidRPr="00AD2BE5">
        <w:t xml:space="preserve">in </w:t>
      </w:r>
      <w:r w:rsidRPr="00EE77D0">
        <w:fldChar w:fldCharType="begin"/>
      </w:r>
      <w:r w:rsidRPr="00AD2BE5">
        <w:instrText xml:space="preserve"> REF _Ref506274095 \h </w:instrText>
      </w:r>
      <w:r w:rsidRPr="00581806" w:rsidR="00AD2BE5">
        <w:instrText xml:space="preserve"> \* MERGEFORMAT </w:instrText>
      </w:r>
      <w:r w:rsidRPr="00EE77D0">
        <w:fldChar w:fldCharType="separate"/>
      </w:r>
      <w:r w:rsidRPr="004634A0" w:rsidR="004634A0">
        <w:t>Table</w:t>
      </w:r>
      <w:r w:rsidRPr="00581806" w:rsidR="004634A0">
        <w:rPr>
          <w:b/>
        </w:rPr>
        <w:t xml:space="preserve"> </w:t>
      </w:r>
      <w:r w:rsidRPr="008D2B60" w:rsidR="004634A0">
        <w:rPr>
          <w:bCs/>
          <w:noProof/>
        </w:rPr>
        <w:t>15</w:t>
      </w:r>
      <w:r w:rsidRPr="00EE77D0">
        <w:fldChar w:fldCharType="end"/>
      </w:r>
      <w:r w:rsidRPr="00764737">
        <w:t xml:space="preserve">, the estimated </w:t>
      </w:r>
      <w:r>
        <w:t>quantified incremental averted costs for Alternative</w:t>
      </w:r>
      <w:r w:rsidR="00005450">
        <w:t> </w:t>
      </w:r>
      <w:r>
        <w:t>2</w:t>
      </w:r>
      <w:r w:rsidRPr="00764737">
        <w:t xml:space="preserve"> relative to the regulatory baseline </w:t>
      </w:r>
      <w:r>
        <w:t xml:space="preserve">(Alternative 1) </w:t>
      </w:r>
      <w:r w:rsidRPr="00764737">
        <w:t xml:space="preserve">over the remaining term of the </w:t>
      </w:r>
      <w:r w:rsidR="00B146E3">
        <w:t>OL</w:t>
      </w:r>
      <w:r w:rsidRPr="00764737" w:rsidR="00B146E3">
        <w:t xml:space="preserve">s </w:t>
      </w:r>
      <w:r w:rsidR="00B146E3">
        <w:t xml:space="preserve">of the </w:t>
      </w:r>
      <w:r w:rsidRPr="00764737">
        <w:t xml:space="preserve">affected entities </w:t>
      </w:r>
      <w:r>
        <w:t>range from</w:t>
      </w:r>
      <w:r w:rsidRPr="00764737">
        <w:t xml:space="preserve"> approximately </w:t>
      </w:r>
      <w:r>
        <w:t>$</w:t>
      </w:r>
      <w:r w:rsidR="00316BCD">
        <w:t>7</w:t>
      </w:r>
      <w:r w:rsidR="001378FC">
        <w:t>.</w:t>
      </w:r>
      <w:r w:rsidR="00316BCD">
        <w:t>97</w:t>
      </w:r>
      <w:r w:rsidR="00B146E3">
        <w:t> </w:t>
      </w:r>
      <w:r w:rsidR="00BC3B53">
        <w:t>million</w:t>
      </w:r>
      <w:r w:rsidRPr="00764737">
        <w:t xml:space="preserve"> </w:t>
      </w:r>
      <w:r>
        <w:t>(7</w:t>
      </w:r>
      <w:r w:rsidR="00B146E3">
        <w:noBreakHyphen/>
      </w:r>
      <w:r>
        <w:t xml:space="preserve">percent </w:t>
      </w:r>
      <w:r w:rsidR="00BC3B53">
        <w:t>NPV</w:t>
      </w:r>
      <w:r>
        <w:t>) to $</w:t>
      </w:r>
      <w:r w:rsidR="007E7FDC">
        <w:t>1</w:t>
      </w:r>
      <w:r w:rsidR="00316BCD">
        <w:t>4</w:t>
      </w:r>
      <w:r w:rsidR="001378FC">
        <w:t>.</w:t>
      </w:r>
      <w:r w:rsidR="00316BCD">
        <w:t>9</w:t>
      </w:r>
      <w:r w:rsidR="00005450">
        <w:t> </w:t>
      </w:r>
      <w:r>
        <w:t>million (3</w:t>
      </w:r>
      <w:r w:rsidR="00005450">
        <w:noBreakHyphen/>
      </w:r>
      <w:r>
        <w:t xml:space="preserve">percent </w:t>
      </w:r>
      <w:r w:rsidR="00BC3B53">
        <w:t>NPV</w:t>
      </w:r>
      <w:r w:rsidR="001250CA">
        <w:t>).</w:t>
      </w:r>
      <w:r w:rsidR="00332513">
        <w:t xml:space="preserve">  The sensitivity analysis showed that</w:t>
      </w:r>
      <w:r w:rsidR="00B146E3">
        <w:t>,</w:t>
      </w:r>
      <w:r w:rsidR="00332513">
        <w:t xml:space="preserve"> even if half of the </w:t>
      </w:r>
      <w:r w:rsidR="00BA402E">
        <w:t>12</w:t>
      </w:r>
      <w:r w:rsidR="00332513">
        <w:t xml:space="preserve"> expected SMR and ONT applications do not occur and the remaining </w:t>
      </w:r>
      <w:r w:rsidR="00D262FA">
        <w:t xml:space="preserve">6 </w:t>
      </w:r>
      <w:r w:rsidR="00332513">
        <w:t>are delayed by 10</w:t>
      </w:r>
      <w:r w:rsidR="00B146E3">
        <w:t> </w:t>
      </w:r>
      <w:r w:rsidR="00332513">
        <w:t xml:space="preserve">years, the </w:t>
      </w:r>
      <w:r w:rsidR="00FE6E76">
        <w:t>final</w:t>
      </w:r>
      <w:r w:rsidR="00332513">
        <w:t xml:space="preserve"> rule results in averted costs ranging from</w:t>
      </w:r>
      <w:r w:rsidRPr="00764737" w:rsidR="00332513">
        <w:t xml:space="preserve"> approximately </w:t>
      </w:r>
      <w:r w:rsidR="00C404CD">
        <w:t>$2.</w:t>
      </w:r>
      <w:r w:rsidR="00621509">
        <w:t>2</w:t>
      </w:r>
      <w:r w:rsidR="00201A9F">
        <w:t>0</w:t>
      </w:r>
      <w:r w:rsidR="00B146E3">
        <w:t> </w:t>
      </w:r>
      <w:r w:rsidR="00332513">
        <w:t>million</w:t>
      </w:r>
      <w:r w:rsidRPr="00764737" w:rsidR="00332513">
        <w:t xml:space="preserve"> </w:t>
      </w:r>
      <w:r w:rsidR="00C404CD">
        <w:t>(7</w:t>
      </w:r>
      <w:r w:rsidR="00B146E3">
        <w:noBreakHyphen/>
      </w:r>
      <w:r w:rsidR="00C404CD">
        <w:t>percent NPV) to $</w:t>
      </w:r>
      <w:r w:rsidR="00621509">
        <w:t>5</w:t>
      </w:r>
      <w:r w:rsidR="00C404CD">
        <w:t>.</w:t>
      </w:r>
      <w:r w:rsidR="00201A9F">
        <w:t>8</w:t>
      </w:r>
      <w:r w:rsidR="00621509">
        <w:t>2</w:t>
      </w:r>
      <w:r w:rsidR="00332513">
        <w:t> million (3</w:t>
      </w:r>
      <w:r w:rsidR="00332513">
        <w:noBreakHyphen/>
        <w:t>percent NPV).</w:t>
      </w:r>
    </w:p>
    <w:p w:rsidR="009128E1" w:rsidP="008440FA" w14:paraId="76B09BC2" w14:textId="77777777">
      <w:pPr>
        <w:spacing w:line="240" w:lineRule="auto"/>
      </w:pPr>
    </w:p>
    <w:p w:rsidR="009128E1" w:rsidRPr="00461295" w:rsidP="008440FA" w14:paraId="70544C3F" w14:textId="7F14BDF2">
      <w:pPr>
        <w:pStyle w:val="Heading3"/>
        <w:numPr>
          <w:ilvl w:val="2"/>
          <w:numId w:val="34"/>
        </w:numPr>
        <w:spacing w:line="240" w:lineRule="auto"/>
        <w:ind w:left="1080" w:hanging="1080"/>
      </w:pPr>
      <w:bookmarkStart w:id="265" w:name="_Ref386986522"/>
      <w:bookmarkStart w:id="266" w:name="_Toc456098355"/>
      <w:bookmarkStart w:id="267" w:name="_Toc457827368"/>
      <w:bookmarkStart w:id="268" w:name="_Toc70669521"/>
      <w:bookmarkStart w:id="269" w:name="_Toc85198620"/>
      <w:r w:rsidRPr="00461295">
        <w:t>Nonquantified</w:t>
      </w:r>
      <w:r w:rsidRPr="00461295">
        <w:t xml:space="preserve"> Benefits</w:t>
      </w:r>
      <w:bookmarkEnd w:id="265"/>
      <w:bookmarkEnd w:id="266"/>
      <w:bookmarkEnd w:id="267"/>
      <w:bookmarkEnd w:id="268"/>
      <w:bookmarkEnd w:id="269"/>
    </w:p>
    <w:p w:rsidR="009128E1" w:rsidRPr="00C8647A" w:rsidP="008440FA" w14:paraId="6CFE06F1" w14:textId="77777777">
      <w:pPr>
        <w:spacing w:line="240" w:lineRule="auto"/>
      </w:pPr>
    </w:p>
    <w:p w:rsidR="009128E1" w:rsidP="008440FA" w14:paraId="685D47B4" w14:textId="18391E95">
      <w:pPr>
        <w:spacing w:line="240" w:lineRule="auto"/>
      </w:pPr>
      <w:r w:rsidRPr="00C8647A">
        <w:t xml:space="preserve">In addition to the quantified costs discussed in </w:t>
      </w:r>
      <w:r>
        <w:t>this regulatory analysis</w:t>
      </w:r>
      <w:r w:rsidRPr="00C8647A">
        <w:t xml:space="preserve">, </w:t>
      </w:r>
      <w:r>
        <w:t xml:space="preserve">the attributes of </w:t>
      </w:r>
      <w:r w:rsidRPr="00C8647A">
        <w:t>regulatory efficiency</w:t>
      </w:r>
      <w:r w:rsidR="00A842F0">
        <w:t xml:space="preserve"> and</w:t>
      </w:r>
      <w:r w:rsidRPr="009A4238">
        <w:t xml:space="preserve"> </w:t>
      </w:r>
      <w:r>
        <w:t>public confidence</w:t>
      </w:r>
      <w:r w:rsidR="00A842F0">
        <w:t xml:space="preserve"> </w:t>
      </w:r>
      <w:r w:rsidR="0085585F">
        <w:t>will</w:t>
      </w:r>
      <w:r>
        <w:t xml:space="preserve"> </w:t>
      </w:r>
      <w:r w:rsidRPr="00C8647A">
        <w:t xml:space="preserve">produce </w:t>
      </w:r>
      <w:r w:rsidRPr="00C8647A">
        <w:t>nonquanti</w:t>
      </w:r>
      <w:r>
        <w:t>fied</w:t>
      </w:r>
      <w:r w:rsidRPr="00C8647A">
        <w:t xml:space="preserve"> bene</w:t>
      </w:r>
      <w:r>
        <w:t>fits for industry and the NRC</w:t>
      </w:r>
      <w:r w:rsidR="00E22EA6">
        <w:t xml:space="preserve"> as</w:t>
      </w:r>
      <w:r>
        <w:t xml:space="preserve"> summarized below.</w:t>
      </w:r>
    </w:p>
    <w:p w:rsidR="00977FBD" w:rsidP="008440FA" w14:paraId="294743F6" w14:textId="77777777">
      <w:pPr>
        <w:spacing w:line="240" w:lineRule="auto"/>
      </w:pPr>
    </w:p>
    <w:p w:rsidR="00E35D2A" w:rsidRPr="00FC735E" w:rsidP="008440FA" w14:paraId="2D9BBB5B" w14:textId="1F8E4047">
      <w:pPr>
        <w:pStyle w:val="Heading3"/>
        <w:numPr>
          <w:ilvl w:val="2"/>
          <w:numId w:val="34"/>
        </w:numPr>
        <w:spacing w:line="240" w:lineRule="auto"/>
        <w:ind w:left="1080" w:hanging="1044"/>
      </w:pPr>
      <w:bookmarkStart w:id="270" w:name="_Toc70669522"/>
      <w:bookmarkStart w:id="271" w:name="_Toc85198621"/>
      <w:r w:rsidRPr="00FC735E">
        <w:t>Regulatory Efficiency</w:t>
      </w:r>
      <w:bookmarkEnd w:id="270"/>
      <w:bookmarkEnd w:id="271"/>
    </w:p>
    <w:p w:rsidR="00E35D2A" w:rsidP="008440FA" w14:paraId="06EF5783" w14:textId="77777777">
      <w:pPr>
        <w:spacing w:line="240" w:lineRule="auto"/>
      </w:pPr>
    </w:p>
    <w:p w:rsidR="001A1D57" w:rsidP="008440FA" w14:paraId="04EE186A" w14:textId="166160C7">
      <w:pPr>
        <w:spacing w:line="240" w:lineRule="auto"/>
      </w:pPr>
      <w:r w:rsidRPr="00A04389">
        <w:t xml:space="preserve">The NRC is pursuing </w:t>
      </w:r>
      <w:r>
        <w:t>a</w:t>
      </w:r>
      <w:r w:rsidR="00813658">
        <w:t>n alternative process through</w:t>
      </w:r>
      <w:r>
        <w:t xml:space="preserve"> </w:t>
      </w:r>
      <w:r w:rsidRPr="00A04389">
        <w:t xml:space="preserve">rulemaking because it </w:t>
      </w:r>
      <w:r w:rsidR="0085585F">
        <w:t>will</w:t>
      </w:r>
      <w:r>
        <w:t xml:space="preserve"> establish</w:t>
      </w:r>
      <w:r w:rsidRPr="00A04389">
        <w:t xml:space="preserve"> a </w:t>
      </w:r>
      <w:r w:rsidR="00E35D2A">
        <w:t>performance</w:t>
      </w:r>
      <w:r w:rsidR="00E22EA6">
        <w:noBreakHyphen/>
      </w:r>
      <w:r w:rsidR="00E35D2A">
        <w:t xml:space="preserve">based, </w:t>
      </w:r>
      <w:r w:rsidRPr="00A04389">
        <w:t xml:space="preserve">comprehensive regulatory framework </w:t>
      </w:r>
      <w:r>
        <w:t>that</w:t>
      </w:r>
      <w:r w:rsidRPr="00A04389">
        <w:t xml:space="preserve"> w</w:t>
      </w:r>
      <w:r w:rsidR="0085585F">
        <w:t>ill</w:t>
      </w:r>
      <w:r w:rsidRPr="00A04389">
        <w:t xml:space="preserve"> result in enhanced regulatory stability, predictability, </w:t>
      </w:r>
      <w:r w:rsidR="00E22EA6">
        <w:t xml:space="preserve">and </w:t>
      </w:r>
      <w:r w:rsidRPr="00A04389">
        <w:t xml:space="preserve">clarity in the licensing process </w:t>
      </w:r>
      <w:r w:rsidR="00CA0B11">
        <w:t>by reducing reliance on exemption requests</w:t>
      </w:r>
      <w:r w:rsidRPr="00A04389">
        <w:t>.</w:t>
      </w:r>
      <w:r w:rsidR="00E76A1B">
        <w:t xml:space="preserve">  As a result</w:t>
      </w:r>
      <w:r w:rsidR="00B146E3">
        <w:t>, the</w:t>
      </w:r>
      <w:r w:rsidR="00E76A1B">
        <w:t xml:space="preserve"> </w:t>
      </w:r>
      <w:r w:rsidRPr="00C3003A" w:rsidR="00E76A1B">
        <w:t xml:space="preserve">rulemaking will provide </w:t>
      </w:r>
      <w:r w:rsidR="00303938">
        <w:t>stability</w:t>
      </w:r>
      <w:r w:rsidRPr="00C3003A" w:rsidR="00E76A1B">
        <w:t xml:space="preserve"> by establishing a consi</w:t>
      </w:r>
      <w:r w:rsidR="00E76A1B">
        <w:t xml:space="preserve">stent EP framework </w:t>
      </w:r>
      <w:r w:rsidRPr="00C3003A" w:rsidR="00E76A1B">
        <w:t xml:space="preserve">rather than allowing the regulatory approach to vary from </w:t>
      </w:r>
      <w:r w:rsidR="00303938">
        <w:t>application to application.</w:t>
      </w:r>
    </w:p>
    <w:p w:rsidR="001A1D57" w:rsidP="008440FA" w14:paraId="3FC36095" w14:textId="77777777">
      <w:pPr>
        <w:spacing w:line="240" w:lineRule="auto"/>
      </w:pPr>
    </w:p>
    <w:p w:rsidR="007041B8" w:rsidP="008440FA" w14:paraId="7766E4FB" w14:textId="372D2ADC">
      <w:pPr>
        <w:spacing w:line="240" w:lineRule="auto"/>
      </w:pPr>
      <w:r>
        <w:t>Additionally, the NRC traditionally attempts to avoid regulating by exempt</w:t>
      </w:r>
      <w:r w:rsidR="00E22EA6">
        <w:t>ion</w:t>
      </w:r>
      <w:r>
        <w:t xml:space="preserve"> when an issue can be addressed through generic actions such as rulemaking.</w:t>
      </w:r>
      <w:r>
        <w:t xml:space="preserve">  The estimated benefits of the </w:t>
      </w:r>
      <w:r w:rsidR="00FE6E76">
        <w:t>final</w:t>
      </w:r>
      <w:r w:rsidR="00B146E3">
        <w:t xml:space="preserve"> </w:t>
      </w:r>
      <w:r>
        <w:t>rulemaking action include (1)</w:t>
      </w:r>
      <w:r w:rsidR="00E22EA6">
        <w:t> </w:t>
      </w:r>
      <w:r>
        <w:t>fewer exemption requests as compare</w:t>
      </w:r>
      <w:r w:rsidR="00404C18">
        <w:t>d</w:t>
      </w:r>
      <w:r>
        <w:t xml:space="preserve"> to tho</w:t>
      </w:r>
      <w:r w:rsidR="00404C18">
        <w:t xml:space="preserve">se </w:t>
      </w:r>
      <w:r>
        <w:t>under current regulations, (2)</w:t>
      </w:r>
      <w:r w:rsidR="00E22EA6">
        <w:t> </w:t>
      </w:r>
      <w:r>
        <w:t>fewer LARs to maintain EP documentation during the</w:t>
      </w:r>
      <w:r w:rsidR="00404C18">
        <w:t xml:space="preserve"> operation of the facility, </w:t>
      </w:r>
      <w:r>
        <w:t>(3)</w:t>
      </w:r>
      <w:r w:rsidR="00E22EA6">
        <w:t> </w:t>
      </w:r>
      <w:r>
        <w:t xml:space="preserve">consistent regulatory applicability </w:t>
      </w:r>
      <w:r w:rsidR="00CE7FE8">
        <w:t xml:space="preserve">and efficiencies gained </w:t>
      </w:r>
      <w:r>
        <w:t>in the review of EP plans</w:t>
      </w:r>
      <w:r w:rsidR="00E22EA6">
        <w:t>,</w:t>
      </w:r>
      <w:r>
        <w:t xml:space="preserve"> and (4)</w:t>
      </w:r>
      <w:r w:rsidR="00E22EA6">
        <w:t xml:space="preserve"> the </w:t>
      </w:r>
      <w:r>
        <w:t>use of a more risk</w:t>
      </w:r>
      <w:r w:rsidR="00E22EA6">
        <w:noBreakHyphen/>
      </w:r>
      <w:r>
        <w:t>informed</w:t>
      </w:r>
      <w:r w:rsidR="000E2735">
        <w:t xml:space="preserve"> and</w:t>
      </w:r>
      <w:r>
        <w:t xml:space="preserve"> performance</w:t>
      </w:r>
      <w:r>
        <w:noBreakHyphen/>
        <w:t xml:space="preserve">based EP framework.  This </w:t>
      </w:r>
      <w:r w:rsidR="00FE6E76">
        <w:t xml:space="preserve">final </w:t>
      </w:r>
      <w:r>
        <w:t xml:space="preserve">rulemaking framework </w:t>
      </w:r>
      <w:r w:rsidR="00E22EA6">
        <w:t>(1) </w:t>
      </w:r>
      <w:r>
        <w:t xml:space="preserve">recognizes </w:t>
      </w:r>
      <w:r w:rsidR="000174B4">
        <w:t xml:space="preserve">advances in design and </w:t>
      </w:r>
      <w:r w:rsidRPr="00196534">
        <w:rPr>
          <w:rFonts w:eastAsia="Arial"/>
        </w:rPr>
        <w:t>technolog</w:t>
      </w:r>
      <w:r w:rsidR="000174B4">
        <w:rPr>
          <w:rFonts w:eastAsia="Arial"/>
        </w:rPr>
        <w:t>ical</w:t>
      </w:r>
      <w:r w:rsidRPr="00196534">
        <w:rPr>
          <w:rFonts w:eastAsia="Arial"/>
        </w:rPr>
        <w:t xml:space="preserve"> advancements </w:t>
      </w:r>
      <w:r w:rsidRPr="00196534">
        <w:rPr>
          <w:rFonts w:eastAsia="Arial"/>
        </w:rPr>
        <w:t xml:space="preserve">embedded in </w:t>
      </w:r>
      <w:r>
        <w:rPr>
          <w:rFonts w:eastAsia="Arial"/>
        </w:rPr>
        <w:t xml:space="preserve">SMR and ONT </w:t>
      </w:r>
      <w:r w:rsidRPr="00196534">
        <w:rPr>
          <w:rFonts w:eastAsia="Arial"/>
        </w:rPr>
        <w:t>design features</w:t>
      </w:r>
      <w:r>
        <w:rPr>
          <w:rFonts w:eastAsia="Arial"/>
        </w:rPr>
        <w:t xml:space="preserve">, </w:t>
      </w:r>
      <w:r w:rsidR="00E22EA6">
        <w:rPr>
          <w:rFonts w:eastAsia="Arial"/>
        </w:rPr>
        <w:t>(2) </w:t>
      </w:r>
      <w:r>
        <w:rPr>
          <w:rFonts w:eastAsia="Arial"/>
        </w:rPr>
        <w:t xml:space="preserve">credits the SMR and ONT </w:t>
      </w:r>
      <w:r w:rsidRPr="00196534">
        <w:rPr>
          <w:rFonts w:eastAsia="Arial"/>
        </w:rPr>
        <w:t>safety enhancements existing in evolutionary and passive systems</w:t>
      </w:r>
      <w:r w:rsidR="00E22EA6">
        <w:rPr>
          <w:rFonts w:eastAsia="Arial"/>
        </w:rPr>
        <w:t>,</w:t>
      </w:r>
      <w:r w:rsidRPr="00196534">
        <w:rPr>
          <w:rFonts w:eastAsia="Arial"/>
        </w:rPr>
        <w:t xml:space="preserve"> and </w:t>
      </w:r>
      <w:r w:rsidR="00E22EA6">
        <w:rPr>
          <w:rFonts w:eastAsia="Arial"/>
        </w:rPr>
        <w:t>(3) </w:t>
      </w:r>
      <w:r w:rsidR="00F536F2">
        <w:rPr>
          <w:rFonts w:eastAsia="Arial"/>
        </w:rPr>
        <w:t>credits the potential benefits of smaller sized reactors and non-LWRs associated with</w:t>
      </w:r>
      <w:r w:rsidRPr="00196534">
        <w:rPr>
          <w:rFonts w:eastAsia="Arial"/>
        </w:rPr>
        <w:t xml:space="preserve"> postulated accidents</w:t>
      </w:r>
      <w:r>
        <w:rPr>
          <w:rFonts w:eastAsia="Arial"/>
        </w:rPr>
        <w:t xml:space="preserve"> (e.g.,</w:t>
      </w:r>
      <w:r w:rsidR="00E22EA6">
        <w:rPr>
          <w:rFonts w:eastAsia="Arial"/>
        </w:rPr>
        <w:t> </w:t>
      </w:r>
      <w:r w:rsidRPr="00196534">
        <w:rPr>
          <w:rFonts w:eastAsia="Arial"/>
        </w:rPr>
        <w:t>slower transient response times</w:t>
      </w:r>
      <w:r>
        <w:rPr>
          <w:rFonts w:eastAsia="Arial"/>
        </w:rPr>
        <w:t xml:space="preserve"> </w:t>
      </w:r>
      <w:r w:rsidRPr="00196534">
        <w:rPr>
          <w:rFonts w:eastAsia="Arial"/>
        </w:rPr>
        <w:t>and relatively small and slow release of fission products</w:t>
      </w:r>
      <w:r>
        <w:rPr>
          <w:rFonts w:eastAsia="Arial"/>
        </w:rPr>
        <w:t>).</w:t>
      </w:r>
    </w:p>
    <w:p w:rsidR="007041B8" w:rsidRPr="00AF5FA7" w:rsidP="008440FA" w14:paraId="373338F2" w14:textId="77777777">
      <w:pPr>
        <w:spacing w:line="240" w:lineRule="auto"/>
      </w:pPr>
    </w:p>
    <w:p w:rsidR="009128E1" w:rsidRPr="00FC735E" w:rsidP="008440FA" w14:paraId="23CCB87A" w14:textId="3290EC53">
      <w:pPr>
        <w:pStyle w:val="Heading3"/>
        <w:numPr>
          <w:ilvl w:val="2"/>
          <w:numId w:val="34"/>
        </w:numPr>
        <w:spacing w:line="240" w:lineRule="auto"/>
        <w:ind w:left="1080" w:hanging="1080"/>
      </w:pPr>
      <w:bookmarkStart w:id="272" w:name="_Toc70669523"/>
      <w:bookmarkStart w:id="273" w:name="_Toc85198622"/>
      <w:r w:rsidRPr="00FC735E">
        <w:t>Increased Public Confidence</w:t>
      </w:r>
      <w:bookmarkEnd w:id="272"/>
      <w:bookmarkEnd w:id="273"/>
    </w:p>
    <w:p w:rsidR="009128E1" w:rsidP="008440FA" w14:paraId="7FCDED31" w14:textId="77777777">
      <w:pPr>
        <w:spacing w:line="240" w:lineRule="auto"/>
      </w:pPr>
    </w:p>
    <w:p w:rsidR="009128E1" w:rsidP="008440FA" w14:paraId="1A117EF1" w14:textId="7226EB02">
      <w:pPr>
        <w:spacing w:line="240" w:lineRule="auto"/>
      </w:pPr>
      <w:r>
        <w:t xml:space="preserve">In addition to regulatory efficiency, processing SMRs and </w:t>
      </w:r>
      <w:r w:rsidR="00C6347F">
        <w:t>ONT</w:t>
      </w:r>
      <w:r>
        <w:t>s through rulemaking instead of</w:t>
      </w:r>
      <w:r w:rsidR="00A47705">
        <w:t xml:space="preserve"> through</w:t>
      </w:r>
      <w:r>
        <w:t xml:space="preserve"> the exemption request process will increase public confidence in the NRC’s ability to adapt to new technology and new regulatory needs, </w:t>
      </w:r>
      <w:r w:rsidR="00CA0B11">
        <w:t xml:space="preserve">will provide </w:t>
      </w:r>
      <w:r w:rsidR="00813658">
        <w:t>opportunities</w:t>
      </w:r>
      <w:r w:rsidR="00CA0B11">
        <w:t xml:space="preserve"> for stakeholder input into the </w:t>
      </w:r>
      <w:r w:rsidR="00813658">
        <w:t xml:space="preserve">changes to the EP acceptance criteria, </w:t>
      </w:r>
      <w:r>
        <w:t>and will</w:t>
      </w:r>
      <w:r w:rsidRPr="0038147B">
        <w:t xml:space="preserve"> maintain the NRC’s role as an effective industry regulator.  </w:t>
      </w:r>
      <w:r w:rsidR="001A1D57">
        <w:t xml:space="preserve">Additionally, </w:t>
      </w:r>
      <w:r w:rsidR="00E22EA6">
        <w:t>t</w:t>
      </w:r>
      <w:r w:rsidR="001A1D57">
        <w:t xml:space="preserve">he rulemaking process includes the greatest opportunity for Commission and public engagement on the issues related to </w:t>
      </w:r>
      <w:r w:rsidR="004330A0">
        <w:t>EP</w:t>
      </w:r>
      <w:r w:rsidR="001A1D57">
        <w:t xml:space="preserve"> for advanced reactors.  Public notice and comment during rulemaking </w:t>
      </w:r>
      <w:r w:rsidR="001A1D57">
        <w:t>provide</w:t>
      </w:r>
      <w:r w:rsidR="0085585F">
        <w:t>s</w:t>
      </w:r>
      <w:r w:rsidR="001A1D57">
        <w:t xml:space="preserve"> the widest range of viewpoints for Commission consideration in the development of the </w:t>
      </w:r>
      <w:r w:rsidR="004330A0">
        <w:t xml:space="preserve">final </w:t>
      </w:r>
      <w:r w:rsidR="001A1D57">
        <w:t>rule.</w:t>
      </w:r>
    </w:p>
    <w:p w:rsidR="009128E1" w:rsidRPr="00F90745" w:rsidP="008440FA" w14:paraId="7F19C30B" w14:textId="77777777">
      <w:pPr>
        <w:spacing w:line="240" w:lineRule="auto"/>
      </w:pPr>
    </w:p>
    <w:p w:rsidR="009128E1" w:rsidRPr="009A5D4A" w:rsidP="008440FA" w14:paraId="1A5C80CC" w14:textId="690A29D7">
      <w:pPr>
        <w:pStyle w:val="Heading2"/>
        <w:numPr>
          <w:ilvl w:val="1"/>
          <w:numId w:val="34"/>
        </w:numPr>
        <w:spacing w:line="240" w:lineRule="auto"/>
        <w:ind w:hanging="792"/>
      </w:pPr>
      <w:bookmarkStart w:id="274" w:name="_Toc456098357"/>
      <w:bookmarkStart w:id="275" w:name="_Toc457827370"/>
      <w:bookmarkStart w:id="276" w:name="_Toc70669524"/>
      <w:bookmarkStart w:id="277" w:name="_Toc85198623"/>
      <w:r w:rsidRPr="009A5D4A">
        <w:t>Safety Goal Evaluation</w:t>
      </w:r>
      <w:bookmarkEnd w:id="274"/>
      <w:bookmarkEnd w:id="275"/>
      <w:bookmarkEnd w:id="276"/>
      <w:bookmarkEnd w:id="277"/>
    </w:p>
    <w:p w:rsidR="009128E1" w:rsidRPr="004D2B90" w:rsidP="008440FA" w14:paraId="69C5D910" w14:textId="77777777">
      <w:pPr>
        <w:spacing w:line="240" w:lineRule="auto"/>
      </w:pPr>
    </w:p>
    <w:p w:rsidR="009128E1" w:rsidP="008440FA" w14:paraId="258ABC40" w14:textId="5045E4D2">
      <w:pPr>
        <w:spacing w:line="240" w:lineRule="auto"/>
      </w:pPr>
      <w:r>
        <w:t xml:space="preserve">The NRC’s safety goal evaluation only applies to regulatory initiatives that the agency considers to be a generic safety enhancement backfit subject to the substantial additional protection standard at 10 CFR 50.109(a)(3).  </w:t>
      </w:r>
      <w:r>
        <w:t xml:space="preserve">The </w:t>
      </w:r>
      <w:r w:rsidR="00FE6E76">
        <w:t>final</w:t>
      </w:r>
      <w:r>
        <w:t xml:space="preserve"> rule alternative w</w:t>
      </w:r>
      <w:r w:rsidR="00FE6E76">
        <w:t>ill</w:t>
      </w:r>
      <w:r w:rsidR="00B146E3">
        <w:t xml:space="preserve"> </w:t>
      </w:r>
      <w:r>
        <w:t xml:space="preserve">allow SMR and </w:t>
      </w:r>
      <w:r w:rsidR="00C6347F">
        <w:t>ONT</w:t>
      </w:r>
      <w:r>
        <w:t xml:space="preserve"> applicants to apply for licens</w:t>
      </w:r>
      <w:r w:rsidR="004330A0">
        <w:t>es</w:t>
      </w:r>
      <w:r>
        <w:t xml:space="preserve"> without </w:t>
      </w:r>
      <w:r w:rsidR="007C696B">
        <w:t xml:space="preserve">including </w:t>
      </w:r>
      <w:r>
        <w:t xml:space="preserve">exemption requests </w:t>
      </w:r>
      <w:r w:rsidR="007C696B">
        <w:t xml:space="preserve">to scale the </w:t>
      </w:r>
      <w:r>
        <w:t>EP requirements</w:t>
      </w:r>
      <w:r w:rsidR="007C696B">
        <w:t xml:space="preserve"> appropriately for the SMR or ONT</w:t>
      </w:r>
      <w:r>
        <w:t xml:space="preserve">.  The NRC does not regard </w:t>
      </w:r>
      <w:r w:rsidR="006258D2">
        <w:t xml:space="preserve">this </w:t>
      </w:r>
      <w:r w:rsidR="00FE6E76">
        <w:t>final</w:t>
      </w:r>
      <w:r w:rsidR="006258D2">
        <w:t xml:space="preserve"> rule</w:t>
      </w:r>
      <w:r>
        <w:t xml:space="preserve"> for </w:t>
      </w:r>
      <w:r w:rsidR="000E2735">
        <w:t xml:space="preserve">SMRs and ONTs </w:t>
      </w:r>
      <w:r>
        <w:t>to be backfitting or</w:t>
      </w:r>
      <w:r w:rsidR="00AD1467">
        <w:t xml:space="preserve"> to</w:t>
      </w:r>
      <w:r>
        <w:t xml:space="preserve"> </w:t>
      </w:r>
      <w:r w:rsidR="008D1E31">
        <w:t>affect the</w:t>
      </w:r>
      <w:r>
        <w:t xml:space="preserve"> issue finality </w:t>
      </w:r>
      <w:r w:rsidR="008D1E31">
        <w:t>of any approval issued under</w:t>
      </w:r>
      <w:r>
        <w:t xml:space="preserve"> </w:t>
      </w:r>
      <w:r w:rsidR="00977FBD">
        <w:t>10</w:t>
      </w:r>
      <w:r w:rsidR="00B146E3">
        <w:t> </w:t>
      </w:r>
      <w:r w:rsidR="00977FBD">
        <w:t>CFR</w:t>
      </w:r>
      <w:r w:rsidR="00B146E3">
        <w:t> </w:t>
      </w:r>
      <w:r w:rsidR="00977FBD">
        <w:t>Part</w:t>
      </w:r>
      <w:r w:rsidR="0092502C">
        <w:t> </w:t>
      </w:r>
      <w:r w:rsidR="00977FBD">
        <w:t>52</w:t>
      </w:r>
      <w:r w:rsidR="006258D2">
        <w:t xml:space="preserve"> because the </w:t>
      </w:r>
      <w:r w:rsidR="00FE6E76">
        <w:t>final</w:t>
      </w:r>
      <w:r w:rsidR="006258D2">
        <w:t xml:space="preserve"> rule </w:t>
      </w:r>
      <w:r w:rsidR="00A16E52">
        <w:t>w</w:t>
      </w:r>
      <w:r w:rsidR="00FE6E76">
        <w:t>ill</w:t>
      </w:r>
      <w:r w:rsidR="00A16E52">
        <w:t xml:space="preserve"> not be imposed upon applicants and licensees and </w:t>
      </w:r>
      <w:r w:rsidR="003F26CE">
        <w:t>will</w:t>
      </w:r>
      <w:r w:rsidR="00A16E52">
        <w:t xml:space="preserve"> not prohibit applicants and licensees from following existing requirements</w:t>
      </w:r>
      <w:r w:rsidR="00977FBD">
        <w:t xml:space="preserve">.  </w:t>
      </w:r>
      <w:r w:rsidRPr="00F90745">
        <w:t>Based on the</w:t>
      </w:r>
      <w:r w:rsidR="006258D2">
        <w:t>se</w:t>
      </w:r>
      <w:r w:rsidRPr="00F90745">
        <w:t xml:space="preserve"> reasons, a safety goal evaluation is not appropriate for this regulatory analysis.</w:t>
      </w:r>
    </w:p>
    <w:p w:rsidR="009128E1" w:rsidRPr="00F90745" w:rsidP="008440FA" w14:paraId="5664B419" w14:textId="77777777">
      <w:pPr>
        <w:spacing w:line="240" w:lineRule="auto"/>
      </w:pPr>
    </w:p>
    <w:p w:rsidR="009128E1" w:rsidRPr="00217D07" w:rsidP="008440FA" w14:paraId="705DFC8B" w14:textId="3D562EDA">
      <w:pPr>
        <w:pStyle w:val="Heading2"/>
        <w:numPr>
          <w:ilvl w:val="1"/>
          <w:numId w:val="34"/>
        </w:numPr>
        <w:spacing w:line="240" w:lineRule="auto"/>
        <w:ind w:hanging="792"/>
      </w:pPr>
      <w:bookmarkStart w:id="278" w:name="_Toc456098362"/>
      <w:bookmarkStart w:id="279" w:name="_Toc457827375"/>
      <w:bookmarkStart w:id="280" w:name="_Toc70669525"/>
      <w:bookmarkStart w:id="281" w:name="_Toc85198624"/>
      <w:r w:rsidRPr="00217D07">
        <w:t xml:space="preserve">Results for the Committee </w:t>
      </w:r>
      <w:r w:rsidR="000C0EAA">
        <w:t>to</w:t>
      </w:r>
      <w:r w:rsidRPr="00217D07">
        <w:t xml:space="preserve"> Review Generic Requirements</w:t>
      </w:r>
      <w:bookmarkEnd w:id="278"/>
      <w:bookmarkEnd w:id="279"/>
      <w:bookmarkEnd w:id="280"/>
      <w:bookmarkEnd w:id="281"/>
    </w:p>
    <w:p w:rsidR="009128E1" w:rsidRPr="00217D07" w:rsidP="008440FA" w14:paraId="60AE5C0D" w14:textId="77777777">
      <w:pPr>
        <w:keepNext/>
        <w:spacing w:line="240" w:lineRule="auto"/>
      </w:pPr>
    </w:p>
    <w:p w:rsidR="009128E1" w:rsidRPr="00217D07" w:rsidP="008440FA" w14:paraId="1C0E4CCB" w14:textId="0459B563">
      <w:pPr>
        <w:autoSpaceDE/>
        <w:autoSpaceDN/>
        <w:adjustRightInd/>
        <w:spacing w:line="240" w:lineRule="auto"/>
      </w:pPr>
      <w:r w:rsidRPr="00217D07">
        <w:t xml:space="preserve">This section addresses regulatory analysis information requirements for rulemaking actions or staff positions subject to review by the Committee </w:t>
      </w:r>
      <w:r>
        <w:t>t</w:t>
      </w:r>
      <w:r w:rsidRPr="00217D07">
        <w:t xml:space="preserve">o Review Generic Requirements (CRGR).  All information called for by the CRGR </w:t>
      </w:r>
      <w:r>
        <w:t>procedures</w:t>
      </w:r>
      <w:r w:rsidRPr="00217D07">
        <w:t xml:space="preserve"> (</w:t>
      </w:r>
      <w:r>
        <w:t>NRC, 2018</w:t>
      </w:r>
      <w:r w:rsidRPr="00217D07">
        <w:t xml:space="preserve">) is presented in this regulatory analysis or in the </w:t>
      </w:r>
      <w:r w:rsidRPr="00217D07">
        <w:rPr>
          <w:i/>
        </w:rPr>
        <w:t>Federal Register</w:t>
      </w:r>
      <w:r w:rsidRPr="00217D07">
        <w:t xml:space="preserve"> notice for the </w:t>
      </w:r>
      <w:r>
        <w:t>final</w:t>
      </w:r>
      <w:r w:rsidRPr="00217D07">
        <w:t xml:space="preserve"> rule. </w:t>
      </w:r>
      <w:r w:rsidRPr="00217D07">
        <w:t xml:space="preserve"> </w:t>
      </w:r>
      <w:r w:rsidRPr="00217D07">
        <w:fldChar w:fldCharType="begin"/>
      </w:r>
      <w:r w:rsidRPr="00217D07">
        <w:instrText xml:space="preserve"> REF _Ref453656225 \h  \* MERGEFORMAT </w:instrText>
      </w:r>
      <w:r w:rsidRPr="00217D07">
        <w:fldChar w:fldCharType="separate"/>
      </w:r>
      <w:r w:rsidRPr="004634A0" w:rsidR="004634A0">
        <w:t>Table</w:t>
      </w:r>
      <w:r w:rsidRPr="00581806" w:rsidR="004634A0">
        <w:rPr>
          <w:b/>
        </w:rPr>
        <w:t xml:space="preserve"> </w:t>
      </w:r>
      <w:r w:rsidRPr="008D2B60" w:rsidR="004634A0">
        <w:rPr>
          <w:bCs/>
          <w:noProof/>
        </w:rPr>
        <w:t>18</w:t>
      </w:r>
      <w:r w:rsidRPr="00217D07">
        <w:fldChar w:fldCharType="end"/>
      </w:r>
      <w:r w:rsidRPr="00217D07">
        <w:t xml:space="preserve"> cross</w:t>
      </w:r>
      <w:r w:rsidR="006957CF">
        <w:noBreakHyphen/>
      </w:r>
      <w:r w:rsidRPr="00217D07">
        <w:t>reference</w:t>
      </w:r>
      <w:r w:rsidR="006957CF">
        <w:t>s</w:t>
      </w:r>
      <w:r w:rsidRPr="00217D07">
        <w:t xml:space="preserve"> the relevant information </w:t>
      </w:r>
      <w:r w:rsidR="006957CF">
        <w:t>to</w:t>
      </w:r>
      <w:r w:rsidRPr="00217D07" w:rsidR="006957CF">
        <w:t xml:space="preserve"> </w:t>
      </w:r>
      <w:r w:rsidRPr="00217D07">
        <w:t xml:space="preserve">its location in this document or the </w:t>
      </w:r>
      <w:r w:rsidRPr="00217D07">
        <w:rPr>
          <w:i/>
        </w:rPr>
        <w:t>Federal Register</w:t>
      </w:r>
      <w:r w:rsidRPr="00217D07">
        <w:t xml:space="preserve"> notice.</w:t>
      </w:r>
    </w:p>
    <w:p w:rsidR="009128E1" w:rsidRPr="00217D07" w:rsidP="008440FA" w14:paraId="6BA4DB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center"/>
      </w:pPr>
    </w:p>
    <w:p w:rsidR="009128E1" w:rsidRPr="00581806" w:rsidP="008440FA" w14:paraId="2E74F46B" w14:textId="7A31BC86">
      <w:pPr>
        <w:pStyle w:val="Caption"/>
        <w:spacing w:after="120" w:line="240" w:lineRule="auto"/>
        <w:ind w:left="1080" w:hanging="1080"/>
        <w:jc w:val="center"/>
        <w:rPr>
          <w:b/>
        </w:rPr>
      </w:pPr>
      <w:bookmarkStart w:id="282" w:name="_Ref453656225"/>
      <w:bookmarkStart w:id="283" w:name="_Toc454442509"/>
      <w:bookmarkStart w:id="284" w:name="_Toc457827429"/>
      <w:bookmarkStart w:id="285" w:name="_Toc70669555"/>
      <w:bookmarkStart w:id="286" w:name="_Toc85198674"/>
      <w:r w:rsidRPr="00581806">
        <w:rPr>
          <w:b/>
        </w:rPr>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4634A0">
        <w:rPr>
          <w:b/>
          <w:noProof/>
        </w:rPr>
        <w:t>18</w:t>
      </w:r>
      <w:r w:rsidRPr="00581806" w:rsidR="000012A5">
        <w:rPr>
          <w:b/>
          <w:noProof/>
        </w:rPr>
        <w:fldChar w:fldCharType="end"/>
      </w:r>
      <w:bookmarkEnd w:id="282"/>
      <w:r w:rsidRPr="00581806" w:rsidR="00E2084A">
        <w:rPr>
          <w:b/>
        </w:rPr>
        <w:t xml:space="preserve">  </w:t>
      </w:r>
      <w:r w:rsidRPr="00581806">
        <w:rPr>
          <w:b/>
        </w:rPr>
        <w:t>Specific CRGR Regulatory Analysis Information Requirements</w:t>
      </w:r>
      <w:bookmarkEnd w:id="283"/>
      <w:bookmarkEnd w:id="284"/>
      <w:bookmarkEnd w:id="285"/>
      <w:bookmarkEnd w:id="28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
      <w:tblGrid>
        <w:gridCol w:w="1867"/>
        <w:gridCol w:w="5056"/>
        <w:gridCol w:w="2427"/>
      </w:tblGrid>
      <w:tr w14:paraId="0A4C3767" w14:textId="77777777" w:rsidTr="005555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Ex>
        <w:trPr>
          <w:cantSplit/>
          <w:tblHeader/>
          <w:jc w:val="center"/>
        </w:trPr>
        <w:tc>
          <w:tcPr>
            <w:tcW w:w="998" w:type="pct"/>
          </w:tcPr>
          <w:p w:rsidR="00D21970" w:rsidRPr="00217D07" w:rsidP="00DD559A" w14:paraId="77675087" w14:textId="77777777">
            <w:pPr>
              <w:numPr>
                <w:ilvl w:val="12"/>
                <w:numId w:val="0"/>
              </w:numPr>
              <w:tabs>
                <w:tab w:val="left" w:pos="0"/>
                <w:tab w:val="left" w:pos="720"/>
              </w:tabs>
              <w:spacing w:before="50" w:after="120" w:afterLines="50" w:line="240" w:lineRule="auto"/>
              <w:jc w:val="center"/>
              <w:rPr>
                <w:sz w:val="20"/>
              </w:rPr>
            </w:pPr>
            <w:r w:rsidRPr="00217D07">
              <w:rPr>
                <w:b/>
                <w:bCs/>
                <w:sz w:val="20"/>
              </w:rPr>
              <w:t>CRGR</w:t>
            </w:r>
            <w:r w:rsidRPr="00217D07">
              <w:rPr>
                <w:b/>
                <w:bCs/>
                <w:sz w:val="20"/>
              </w:rPr>
              <w:br/>
            </w:r>
            <w:r>
              <w:rPr>
                <w:b/>
                <w:bCs/>
                <w:sz w:val="20"/>
              </w:rPr>
              <w:t>Procedures</w:t>
            </w:r>
            <w:r w:rsidRPr="00217D07">
              <w:rPr>
                <w:b/>
                <w:bCs/>
                <w:sz w:val="20"/>
              </w:rPr>
              <w:t xml:space="preserve"> Citation (</w:t>
            </w:r>
            <w:r>
              <w:rPr>
                <w:b/>
                <w:bCs/>
                <w:sz w:val="20"/>
              </w:rPr>
              <w:t>NRC, 2018</w:t>
            </w:r>
            <w:r w:rsidRPr="00217D07">
              <w:rPr>
                <w:b/>
                <w:bCs/>
                <w:sz w:val="20"/>
              </w:rPr>
              <w:t>)</w:t>
            </w:r>
          </w:p>
        </w:tc>
        <w:tc>
          <w:tcPr>
            <w:tcW w:w="2704" w:type="pct"/>
          </w:tcPr>
          <w:p w:rsidR="00D21970" w:rsidRPr="00217D07" w:rsidP="00DD559A" w14:paraId="51894E8B" w14:textId="77777777">
            <w:pPr>
              <w:numPr>
                <w:ilvl w:val="12"/>
                <w:numId w:val="0"/>
              </w:numPr>
              <w:tabs>
                <w:tab w:val="left" w:pos="0"/>
                <w:tab w:val="left" w:pos="720"/>
                <w:tab w:val="left" w:pos="1440"/>
                <w:tab w:val="left" w:pos="2160"/>
                <w:tab w:val="left" w:pos="2880"/>
                <w:tab w:val="left" w:pos="3600"/>
                <w:tab w:val="left" w:pos="4320"/>
                <w:tab w:val="left" w:pos="5040"/>
              </w:tabs>
              <w:spacing w:before="50" w:after="120" w:afterLines="50" w:line="240" w:lineRule="auto"/>
              <w:jc w:val="center"/>
              <w:rPr>
                <w:sz w:val="20"/>
              </w:rPr>
            </w:pPr>
            <w:r w:rsidRPr="00217D07">
              <w:rPr>
                <w:b/>
                <w:bCs/>
                <w:sz w:val="20"/>
              </w:rPr>
              <w:t xml:space="preserve">Information Item </w:t>
            </w:r>
            <w:r>
              <w:rPr>
                <w:b/>
                <w:bCs/>
                <w:sz w:val="20"/>
              </w:rPr>
              <w:t>T</w:t>
            </w:r>
            <w:r w:rsidRPr="00217D07">
              <w:rPr>
                <w:b/>
                <w:bCs/>
                <w:sz w:val="20"/>
              </w:rPr>
              <w:t>o</w:t>
            </w:r>
            <w:r w:rsidRPr="00217D07">
              <w:rPr>
                <w:b/>
                <w:bCs/>
                <w:sz w:val="20"/>
              </w:rPr>
              <w:t xml:space="preserve"> Be Included in a Regulatory Analysis Prepared for CRGR Review</w:t>
            </w:r>
          </w:p>
        </w:tc>
        <w:tc>
          <w:tcPr>
            <w:tcW w:w="1298" w:type="pct"/>
          </w:tcPr>
          <w:p w:rsidR="00D21970" w:rsidRPr="00217D07" w:rsidP="00DD559A" w14:paraId="1B96FBF2" w14:textId="77777777">
            <w:pPr>
              <w:numPr>
                <w:ilvl w:val="12"/>
                <w:numId w:val="0"/>
              </w:numPr>
              <w:tabs>
                <w:tab w:val="left" w:pos="0"/>
                <w:tab w:val="left" w:pos="720"/>
                <w:tab w:val="left" w:pos="1440"/>
                <w:tab w:val="left" w:pos="2160"/>
                <w:tab w:val="left" w:pos="2880"/>
              </w:tabs>
              <w:spacing w:before="50" w:after="120" w:afterLines="50" w:line="240" w:lineRule="auto"/>
              <w:jc w:val="center"/>
              <w:rPr>
                <w:sz w:val="20"/>
              </w:rPr>
            </w:pPr>
            <w:r w:rsidRPr="00217D07">
              <w:rPr>
                <w:b/>
                <w:bCs/>
                <w:sz w:val="20"/>
              </w:rPr>
              <w:t>Where Item Is Discussed</w:t>
            </w:r>
          </w:p>
        </w:tc>
      </w:tr>
      <w:tr w14:paraId="6B10DB19" w14:textId="77777777" w:rsidTr="005555E4">
        <w:tblPrEx>
          <w:tblW w:w="5000" w:type="pct"/>
          <w:jc w:val="center"/>
          <w:tblLayout w:type="fixed"/>
          <w:tblCellMar>
            <w:left w:w="100" w:type="dxa"/>
            <w:right w:w="100" w:type="dxa"/>
          </w:tblCellMar>
          <w:tblLook w:val="0000"/>
        </w:tblPrEx>
        <w:trPr>
          <w:cantSplit/>
          <w:jc w:val="center"/>
        </w:trPr>
        <w:tc>
          <w:tcPr>
            <w:tcW w:w="998" w:type="pct"/>
          </w:tcPr>
          <w:p w:rsidR="00D21970" w:rsidRPr="00217D07" w:rsidP="005555E4" w14:paraId="28F61EA5" w14:textId="77777777">
            <w:pPr>
              <w:numPr>
                <w:ilvl w:val="12"/>
                <w:numId w:val="0"/>
              </w:numPr>
              <w:tabs>
                <w:tab w:val="left" w:pos="0"/>
                <w:tab w:val="left" w:pos="720"/>
              </w:tabs>
              <w:spacing w:before="117" w:after="52"/>
              <w:rPr>
                <w:sz w:val="20"/>
              </w:rPr>
            </w:pPr>
            <w:r w:rsidRPr="00217D07">
              <w:rPr>
                <w:sz w:val="20"/>
              </w:rPr>
              <w:t xml:space="preserve">Appendix </w:t>
            </w:r>
            <w:r>
              <w:rPr>
                <w:sz w:val="20"/>
              </w:rPr>
              <w:t>B</w:t>
            </w:r>
            <w:r w:rsidRPr="00217D07">
              <w:rPr>
                <w:sz w:val="20"/>
              </w:rPr>
              <w:t>, (i)</w:t>
            </w:r>
          </w:p>
        </w:tc>
        <w:tc>
          <w:tcPr>
            <w:tcW w:w="2704" w:type="pct"/>
          </w:tcPr>
          <w:p w:rsidR="00D21970" w:rsidRPr="00217D07" w:rsidP="00DD559A" w14:paraId="05026A93" w14:textId="77777777">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sidRPr="00217D07">
              <w:rPr>
                <w:sz w:val="20"/>
              </w:rPr>
              <w:t xml:space="preserve">The new or revised generic requirement or staff position as it is </w:t>
            </w:r>
            <w:r>
              <w:rPr>
                <w:sz w:val="20"/>
              </w:rPr>
              <w:t>issued as a final rule</w:t>
            </w:r>
          </w:p>
        </w:tc>
        <w:tc>
          <w:tcPr>
            <w:tcW w:w="1298" w:type="pct"/>
          </w:tcPr>
          <w:p w:rsidR="00D21970" w:rsidRPr="00217D07" w:rsidP="00DD559A" w14:paraId="48BF3995" w14:textId="77777777">
            <w:pPr>
              <w:numPr>
                <w:ilvl w:val="12"/>
                <w:numId w:val="0"/>
              </w:numPr>
              <w:tabs>
                <w:tab w:val="left" w:pos="0"/>
                <w:tab w:val="left" w:pos="720"/>
                <w:tab w:val="left" w:pos="1440"/>
                <w:tab w:val="left" w:pos="2160"/>
                <w:tab w:val="left" w:pos="2880"/>
              </w:tabs>
              <w:spacing w:before="117" w:after="52" w:line="240" w:lineRule="auto"/>
              <w:rPr>
                <w:sz w:val="20"/>
              </w:rPr>
            </w:pPr>
            <w:r>
              <w:rPr>
                <w:sz w:val="20"/>
              </w:rPr>
              <w:t>Final</w:t>
            </w:r>
            <w:r w:rsidRPr="00217D07">
              <w:rPr>
                <w:sz w:val="20"/>
              </w:rPr>
              <w:t xml:space="preserve"> rule text in </w:t>
            </w:r>
            <w:r w:rsidRPr="00217D07">
              <w:rPr>
                <w:i/>
                <w:sz w:val="20"/>
              </w:rPr>
              <w:t xml:space="preserve">Federal Register </w:t>
            </w:r>
            <w:r w:rsidRPr="00217D07">
              <w:rPr>
                <w:sz w:val="20"/>
              </w:rPr>
              <w:t xml:space="preserve">notice for the </w:t>
            </w:r>
            <w:r>
              <w:rPr>
                <w:sz w:val="20"/>
              </w:rPr>
              <w:t>final</w:t>
            </w:r>
            <w:r w:rsidRPr="00217D07">
              <w:rPr>
                <w:sz w:val="20"/>
              </w:rPr>
              <w:t xml:space="preserve"> rule</w:t>
            </w:r>
          </w:p>
        </w:tc>
      </w:tr>
      <w:tr w14:paraId="25BD82C7" w14:textId="77777777" w:rsidTr="005555E4">
        <w:tblPrEx>
          <w:tblW w:w="5000" w:type="pct"/>
          <w:jc w:val="center"/>
          <w:tblLayout w:type="fixed"/>
          <w:tblCellMar>
            <w:left w:w="100" w:type="dxa"/>
            <w:right w:w="100" w:type="dxa"/>
          </w:tblCellMar>
          <w:tblLook w:val="0000"/>
        </w:tblPrEx>
        <w:trPr>
          <w:cantSplit/>
          <w:jc w:val="center"/>
        </w:trPr>
        <w:tc>
          <w:tcPr>
            <w:tcW w:w="998" w:type="pct"/>
          </w:tcPr>
          <w:p w:rsidR="00D21970" w:rsidRPr="00217D07" w:rsidP="005555E4" w14:paraId="00B24359" w14:textId="77777777">
            <w:pPr>
              <w:numPr>
                <w:ilvl w:val="12"/>
                <w:numId w:val="0"/>
              </w:numPr>
              <w:tabs>
                <w:tab w:val="left" w:pos="0"/>
                <w:tab w:val="left" w:pos="720"/>
              </w:tabs>
              <w:spacing w:before="117" w:after="52"/>
              <w:rPr>
                <w:sz w:val="20"/>
              </w:rPr>
            </w:pPr>
            <w:r w:rsidRPr="00217D07">
              <w:rPr>
                <w:sz w:val="20"/>
              </w:rPr>
              <w:t xml:space="preserve">Appendix </w:t>
            </w:r>
            <w:r>
              <w:rPr>
                <w:sz w:val="20"/>
              </w:rPr>
              <w:t>B</w:t>
            </w:r>
            <w:r w:rsidRPr="00217D07">
              <w:rPr>
                <w:sz w:val="20"/>
              </w:rPr>
              <w:t>, (ii)</w:t>
            </w:r>
          </w:p>
        </w:tc>
        <w:tc>
          <w:tcPr>
            <w:tcW w:w="2704" w:type="pct"/>
          </w:tcPr>
          <w:p w:rsidR="00D21970" w:rsidRPr="00217D07" w:rsidP="00DD559A" w14:paraId="51CE6B26" w14:textId="77777777">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sidRPr="00217D07">
              <w:rPr>
                <w:sz w:val="20"/>
              </w:rPr>
              <w:t>Draft papers or other documents supporting the requirements or staff positions</w:t>
            </w:r>
          </w:p>
        </w:tc>
        <w:tc>
          <w:tcPr>
            <w:tcW w:w="1298" w:type="pct"/>
          </w:tcPr>
          <w:p w:rsidR="00D21970" w:rsidRPr="00217D07" w:rsidP="00DD559A" w14:paraId="76F16506" w14:textId="77777777">
            <w:pPr>
              <w:numPr>
                <w:ilvl w:val="12"/>
                <w:numId w:val="0"/>
              </w:numPr>
              <w:tabs>
                <w:tab w:val="left" w:pos="0"/>
                <w:tab w:val="left" w:pos="720"/>
                <w:tab w:val="left" w:pos="1440"/>
                <w:tab w:val="left" w:pos="2160"/>
                <w:tab w:val="left" w:pos="2880"/>
              </w:tabs>
              <w:spacing w:before="117" w:after="52" w:line="240" w:lineRule="auto"/>
              <w:rPr>
                <w:sz w:val="20"/>
              </w:rPr>
            </w:pPr>
            <w:r w:rsidRPr="00217D07">
              <w:rPr>
                <w:i/>
                <w:sz w:val="20"/>
              </w:rPr>
              <w:t>Federal Register</w:t>
            </w:r>
            <w:r w:rsidRPr="00217D07">
              <w:rPr>
                <w:sz w:val="20"/>
              </w:rPr>
              <w:t xml:space="preserve"> notice for the </w:t>
            </w:r>
            <w:r>
              <w:rPr>
                <w:sz w:val="20"/>
              </w:rPr>
              <w:t>final</w:t>
            </w:r>
            <w:r w:rsidRPr="00217D07">
              <w:rPr>
                <w:sz w:val="20"/>
              </w:rPr>
              <w:t xml:space="preserve"> rule</w:t>
            </w:r>
          </w:p>
        </w:tc>
      </w:tr>
      <w:tr w14:paraId="6683B8F9" w14:textId="77777777" w:rsidTr="005555E4">
        <w:tblPrEx>
          <w:tblW w:w="5000" w:type="pct"/>
          <w:jc w:val="center"/>
          <w:tblLayout w:type="fixed"/>
          <w:tblCellMar>
            <w:left w:w="100" w:type="dxa"/>
            <w:right w:w="100" w:type="dxa"/>
          </w:tblCellMar>
          <w:tblLook w:val="0000"/>
        </w:tblPrEx>
        <w:trPr>
          <w:cantSplit/>
          <w:jc w:val="center"/>
        </w:trPr>
        <w:tc>
          <w:tcPr>
            <w:tcW w:w="998" w:type="pct"/>
          </w:tcPr>
          <w:p w:rsidR="00D21970" w:rsidRPr="00217D07" w:rsidP="005555E4" w14:paraId="724EDFD6" w14:textId="77777777">
            <w:pPr>
              <w:numPr>
                <w:ilvl w:val="12"/>
                <w:numId w:val="0"/>
              </w:numPr>
              <w:tabs>
                <w:tab w:val="left" w:pos="0"/>
                <w:tab w:val="left" w:pos="720"/>
              </w:tabs>
              <w:spacing w:before="117" w:after="52"/>
              <w:rPr>
                <w:sz w:val="20"/>
              </w:rPr>
            </w:pPr>
            <w:r w:rsidRPr="00217D07">
              <w:rPr>
                <w:sz w:val="20"/>
              </w:rPr>
              <w:t xml:space="preserve">Appendix </w:t>
            </w:r>
            <w:r>
              <w:rPr>
                <w:sz w:val="20"/>
              </w:rPr>
              <w:t>B</w:t>
            </w:r>
            <w:r w:rsidRPr="00217D07">
              <w:rPr>
                <w:sz w:val="20"/>
              </w:rPr>
              <w:t>, (iii)</w:t>
            </w:r>
          </w:p>
        </w:tc>
        <w:tc>
          <w:tcPr>
            <w:tcW w:w="2704" w:type="pct"/>
          </w:tcPr>
          <w:p w:rsidR="00D21970" w:rsidRPr="00217D07" w:rsidP="00DD559A" w14:paraId="56EE02E3" w14:textId="77777777">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sidRPr="00217D07">
              <w:rPr>
                <w:sz w:val="20"/>
              </w:rPr>
              <w:t>The sponsoring office</w:t>
            </w:r>
            <w:r>
              <w:rPr>
                <w:sz w:val="20"/>
              </w:rPr>
              <w:t>’</w:t>
            </w:r>
            <w:r w:rsidRPr="00217D07">
              <w:rPr>
                <w:sz w:val="20"/>
              </w:rPr>
              <w:t xml:space="preserve">s position on each requirement or staff position as to whether </w:t>
            </w:r>
            <w:r>
              <w:rPr>
                <w:sz w:val="20"/>
              </w:rPr>
              <w:t>it</w:t>
            </w:r>
            <w:r w:rsidRPr="00217D07">
              <w:rPr>
                <w:sz w:val="20"/>
              </w:rPr>
              <w:t xml:space="preserve"> would modify, implement, relax</w:t>
            </w:r>
            <w:r>
              <w:rPr>
                <w:sz w:val="20"/>
              </w:rPr>
              <w:t>,</w:t>
            </w:r>
            <w:r w:rsidRPr="00217D07">
              <w:rPr>
                <w:sz w:val="20"/>
              </w:rPr>
              <w:t xml:space="preserve"> or reduce existing requirements or staff positions</w:t>
            </w:r>
          </w:p>
        </w:tc>
        <w:tc>
          <w:tcPr>
            <w:tcW w:w="1298" w:type="pct"/>
          </w:tcPr>
          <w:p w:rsidR="00D21970" w:rsidRPr="00217D07" w:rsidP="00DD559A" w14:paraId="03F198E8" w14:textId="77777777">
            <w:pPr>
              <w:numPr>
                <w:ilvl w:val="12"/>
                <w:numId w:val="0"/>
              </w:numPr>
              <w:tabs>
                <w:tab w:val="left" w:pos="0"/>
                <w:tab w:val="left" w:pos="720"/>
                <w:tab w:val="left" w:pos="1440"/>
                <w:tab w:val="left" w:pos="2160"/>
                <w:tab w:val="left" w:pos="2880"/>
              </w:tabs>
              <w:spacing w:before="117" w:after="52" w:line="240" w:lineRule="auto"/>
              <w:rPr>
                <w:sz w:val="20"/>
              </w:rPr>
            </w:pPr>
            <w:r w:rsidRPr="00270E10">
              <w:rPr>
                <w:sz w:val="20"/>
              </w:rPr>
              <w:t xml:space="preserve">Regulatory Analysis, Section 5, and Backfitting and Issue Finality, Section XIII, </w:t>
            </w:r>
            <w:r w:rsidRPr="00270E10">
              <w:rPr>
                <w:i/>
                <w:sz w:val="20"/>
              </w:rPr>
              <w:t xml:space="preserve">Federal Register </w:t>
            </w:r>
            <w:r w:rsidRPr="00270E10">
              <w:rPr>
                <w:sz w:val="20"/>
              </w:rPr>
              <w:t xml:space="preserve">notice for the </w:t>
            </w:r>
            <w:r>
              <w:rPr>
                <w:sz w:val="20"/>
              </w:rPr>
              <w:t>final</w:t>
            </w:r>
            <w:r w:rsidRPr="00270E10">
              <w:rPr>
                <w:sz w:val="20"/>
              </w:rPr>
              <w:t xml:space="preserve"> rule</w:t>
            </w:r>
          </w:p>
        </w:tc>
      </w:tr>
      <w:tr w14:paraId="0615548C" w14:textId="77777777" w:rsidTr="005555E4">
        <w:tblPrEx>
          <w:tblW w:w="5000" w:type="pct"/>
          <w:jc w:val="center"/>
          <w:tblLayout w:type="fixed"/>
          <w:tblCellMar>
            <w:left w:w="100" w:type="dxa"/>
            <w:right w:w="100" w:type="dxa"/>
          </w:tblCellMar>
          <w:tblLook w:val="0000"/>
        </w:tblPrEx>
        <w:trPr>
          <w:cantSplit/>
          <w:jc w:val="center"/>
        </w:trPr>
        <w:tc>
          <w:tcPr>
            <w:tcW w:w="998" w:type="pct"/>
          </w:tcPr>
          <w:p w:rsidR="00D21970" w:rsidRPr="00217D07" w:rsidP="005555E4" w14:paraId="665C073D" w14:textId="77777777">
            <w:pPr>
              <w:numPr>
                <w:ilvl w:val="12"/>
                <w:numId w:val="0"/>
              </w:numPr>
              <w:tabs>
                <w:tab w:val="left" w:pos="0"/>
                <w:tab w:val="left" w:pos="720"/>
              </w:tabs>
              <w:spacing w:before="117" w:after="52"/>
              <w:rPr>
                <w:sz w:val="20"/>
              </w:rPr>
            </w:pPr>
            <w:r w:rsidRPr="00217D07">
              <w:rPr>
                <w:sz w:val="20"/>
              </w:rPr>
              <w:t xml:space="preserve">Appendix </w:t>
            </w:r>
            <w:r>
              <w:rPr>
                <w:sz w:val="20"/>
              </w:rPr>
              <w:t>B</w:t>
            </w:r>
            <w:r w:rsidRPr="00217D07">
              <w:rPr>
                <w:sz w:val="20"/>
              </w:rPr>
              <w:t>, (iv)</w:t>
            </w:r>
          </w:p>
        </w:tc>
        <w:tc>
          <w:tcPr>
            <w:tcW w:w="2704" w:type="pct"/>
          </w:tcPr>
          <w:p w:rsidR="00D21970" w:rsidRPr="00217D07" w:rsidP="00DD559A" w14:paraId="738EA6BE" w14:textId="77777777">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sidRPr="00217D07">
              <w:rPr>
                <w:sz w:val="20"/>
              </w:rPr>
              <w:t>The method of implementation</w:t>
            </w:r>
          </w:p>
        </w:tc>
        <w:tc>
          <w:tcPr>
            <w:tcW w:w="1298" w:type="pct"/>
          </w:tcPr>
          <w:p w:rsidR="00D21970" w:rsidRPr="00217D07" w:rsidP="00DD559A" w14:paraId="429FC354" w14:textId="77777777">
            <w:pPr>
              <w:numPr>
                <w:ilvl w:val="12"/>
                <w:numId w:val="0"/>
              </w:numPr>
              <w:tabs>
                <w:tab w:val="left" w:pos="0"/>
                <w:tab w:val="left" w:pos="720"/>
                <w:tab w:val="left" w:pos="1440"/>
                <w:tab w:val="left" w:pos="2160"/>
                <w:tab w:val="left" w:pos="2880"/>
              </w:tabs>
              <w:spacing w:before="117" w:after="52" w:line="240" w:lineRule="auto"/>
              <w:rPr>
                <w:sz w:val="20"/>
              </w:rPr>
            </w:pPr>
            <w:r w:rsidRPr="00217D07">
              <w:rPr>
                <w:sz w:val="20"/>
              </w:rPr>
              <w:t>Regulatory Analysis, Section 7</w:t>
            </w:r>
          </w:p>
        </w:tc>
      </w:tr>
      <w:tr w14:paraId="56E01DCE" w14:textId="77777777" w:rsidTr="005555E4">
        <w:tblPrEx>
          <w:tblW w:w="5000" w:type="pct"/>
          <w:jc w:val="center"/>
          <w:tblLayout w:type="fixed"/>
          <w:tblCellMar>
            <w:left w:w="100" w:type="dxa"/>
            <w:right w:w="100" w:type="dxa"/>
          </w:tblCellMar>
          <w:tblLook w:val="0000"/>
        </w:tblPrEx>
        <w:trPr>
          <w:cantSplit/>
          <w:jc w:val="center"/>
        </w:trPr>
        <w:tc>
          <w:tcPr>
            <w:tcW w:w="998" w:type="pct"/>
          </w:tcPr>
          <w:p w:rsidR="00D21970" w:rsidRPr="00217D07" w:rsidP="005555E4" w14:paraId="7B5928F7" w14:textId="77777777">
            <w:pPr>
              <w:numPr>
                <w:ilvl w:val="12"/>
                <w:numId w:val="0"/>
              </w:numPr>
              <w:tabs>
                <w:tab w:val="left" w:pos="0"/>
                <w:tab w:val="left" w:pos="720"/>
              </w:tabs>
              <w:spacing w:before="117" w:after="52"/>
              <w:rPr>
                <w:sz w:val="20"/>
              </w:rPr>
            </w:pPr>
            <w:r w:rsidRPr="00217D07">
              <w:rPr>
                <w:sz w:val="20"/>
              </w:rPr>
              <w:t xml:space="preserve">Appendix </w:t>
            </w:r>
            <w:r>
              <w:rPr>
                <w:sz w:val="20"/>
              </w:rPr>
              <w:t>B</w:t>
            </w:r>
            <w:r w:rsidRPr="00217D07">
              <w:rPr>
                <w:sz w:val="20"/>
              </w:rPr>
              <w:t>, (vi)</w:t>
            </w:r>
          </w:p>
        </w:tc>
        <w:tc>
          <w:tcPr>
            <w:tcW w:w="2704" w:type="pct"/>
          </w:tcPr>
          <w:p w:rsidR="00D21970" w:rsidRPr="00217D07" w:rsidP="00DD559A" w14:paraId="26858F15" w14:textId="77777777">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sidRPr="00217D07">
              <w:rPr>
                <w:sz w:val="20"/>
              </w:rPr>
              <w:t xml:space="preserve">Identification of the category of power reactors, new reactors, or nuclear materials facilities or activities to which the generic requirement or staff position </w:t>
            </w:r>
            <w:r>
              <w:rPr>
                <w:sz w:val="20"/>
              </w:rPr>
              <w:t>applies</w:t>
            </w:r>
          </w:p>
        </w:tc>
        <w:tc>
          <w:tcPr>
            <w:tcW w:w="1298" w:type="pct"/>
          </w:tcPr>
          <w:p w:rsidR="00D21970" w:rsidRPr="00217D07" w:rsidP="00DD559A" w14:paraId="6CCEDC23" w14:textId="77777777">
            <w:pPr>
              <w:numPr>
                <w:ilvl w:val="12"/>
                <w:numId w:val="0"/>
              </w:numPr>
              <w:tabs>
                <w:tab w:val="left" w:pos="0"/>
                <w:tab w:val="left" w:pos="720"/>
                <w:tab w:val="left" w:pos="1440"/>
                <w:tab w:val="left" w:pos="2160"/>
                <w:tab w:val="left" w:pos="2880"/>
              </w:tabs>
              <w:spacing w:before="117" w:after="52" w:line="240" w:lineRule="auto"/>
              <w:rPr>
                <w:sz w:val="20"/>
              </w:rPr>
            </w:pPr>
            <w:r w:rsidRPr="00217D07">
              <w:rPr>
                <w:sz w:val="20"/>
              </w:rPr>
              <w:t>Regulatory Analysis, Section 4.2.2</w:t>
            </w:r>
          </w:p>
        </w:tc>
      </w:tr>
      <w:tr w14:paraId="118E6BB9" w14:textId="77777777" w:rsidTr="005555E4">
        <w:tblPrEx>
          <w:tblW w:w="5000" w:type="pct"/>
          <w:jc w:val="center"/>
          <w:tblLayout w:type="fixed"/>
          <w:tblCellMar>
            <w:left w:w="100" w:type="dxa"/>
            <w:right w:w="100" w:type="dxa"/>
          </w:tblCellMar>
          <w:tblLook w:val="0000"/>
        </w:tblPrEx>
        <w:trPr>
          <w:cantSplit/>
          <w:jc w:val="center"/>
        </w:trPr>
        <w:tc>
          <w:tcPr>
            <w:tcW w:w="998" w:type="pct"/>
          </w:tcPr>
          <w:p w:rsidR="00D21970" w:rsidRPr="00217D07" w:rsidP="005555E4" w14:paraId="6EE441AC" w14:textId="77777777">
            <w:pPr>
              <w:numPr>
                <w:ilvl w:val="12"/>
                <w:numId w:val="0"/>
              </w:numPr>
              <w:tabs>
                <w:tab w:val="left" w:pos="0"/>
                <w:tab w:val="left" w:pos="720"/>
              </w:tabs>
              <w:spacing w:before="117"/>
              <w:rPr>
                <w:sz w:val="20"/>
              </w:rPr>
            </w:pPr>
            <w:r w:rsidRPr="00217D07">
              <w:rPr>
                <w:sz w:val="20"/>
              </w:rPr>
              <w:t xml:space="preserve">Appendix </w:t>
            </w:r>
            <w:r>
              <w:rPr>
                <w:sz w:val="20"/>
              </w:rPr>
              <w:t>B</w:t>
            </w:r>
            <w:r w:rsidRPr="00217D07">
              <w:rPr>
                <w:sz w:val="20"/>
              </w:rPr>
              <w:t>,</w:t>
            </w:r>
            <w:r w:rsidRPr="00217D07">
              <w:rPr>
                <w:sz w:val="20"/>
              </w:rPr>
              <w:br/>
              <w:t>(vii)–(viii)</w:t>
            </w:r>
          </w:p>
        </w:tc>
        <w:tc>
          <w:tcPr>
            <w:tcW w:w="2704" w:type="pct"/>
          </w:tcPr>
          <w:p w:rsidR="00D21970" w:rsidRPr="00217D07" w:rsidP="00DD559A" w14:paraId="45B85B85" w14:textId="77777777">
            <w:pPr>
              <w:numPr>
                <w:ilvl w:val="12"/>
                <w:numId w:val="0"/>
              </w:numPr>
              <w:tabs>
                <w:tab w:val="left" w:pos="0"/>
                <w:tab w:val="left" w:pos="720"/>
                <w:tab w:val="left" w:pos="1440"/>
                <w:tab w:val="left" w:pos="2160"/>
                <w:tab w:val="left" w:pos="2880"/>
                <w:tab w:val="left" w:pos="3600"/>
                <w:tab w:val="left" w:pos="4320"/>
                <w:tab w:val="left" w:pos="5040"/>
              </w:tabs>
              <w:spacing w:before="117" w:after="120" w:line="240" w:lineRule="auto"/>
              <w:rPr>
                <w:sz w:val="20"/>
              </w:rPr>
            </w:pPr>
            <w:r w:rsidRPr="00217D07">
              <w:rPr>
                <w:sz w:val="20"/>
              </w:rPr>
              <w:t xml:space="preserve">If the action involves a power reactor backfit and the </w:t>
            </w:r>
            <w:r w:rsidRPr="00932CD6">
              <w:rPr>
                <w:sz w:val="20"/>
                <w:szCs w:val="20"/>
              </w:rPr>
              <w:t>exceptions at 10 CFR 50.109(a)(4) are not applicable, the items required at 10 CFR 50.109(c) and the required rationale at 10 </w:t>
            </w:r>
            <w:r w:rsidRPr="006E7EA9">
              <w:rPr>
                <w:sz w:val="20"/>
                <w:szCs w:val="20"/>
              </w:rPr>
              <w:t>CFR 50</w:t>
            </w:r>
            <w:r w:rsidRPr="00932CD6">
              <w:rPr>
                <w:sz w:val="20"/>
                <w:szCs w:val="20"/>
              </w:rPr>
              <w:t>.109(a)(3)</w:t>
            </w:r>
          </w:p>
        </w:tc>
        <w:tc>
          <w:tcPr>
            <w:tcW w:w="1298" w:type="pct"/>
          </w:tcPr>
          <w:p w:rsidR="00D21970" w:rsidRPr="00217D07" w:rsidP="00DD559A" w14:paraId="4C9BD6DB" w14:textId="77777777">
            <w:pPr>
              <w:numPr>
                <w:ilvl w:val="12"/>
                <w:numId w:val="0"/>
              </w:numPr>
              <w:tabs>
                <w:tab w:val="left" w:pos="0"/>
                <w:tab w:val="left" w:pos="720"/>
                <w:tab w:val="left" w:pos="1440"/>
                <w:tab w:val="left" w:pos="2160"/>
                <w:tab w:val="left" w:pos="2880"/>
              </w:tabs>
              <w:spacing w:before="117" w:after="52" w:line="240" w:lineRule="auto"/>
              <w:rPr>
                <w:sz w:val="20"/>
              </w:rPr>
            </w:pPr>
            <w:r w:rsidRPr="00A779A7">
              <w:rPr>
                <w:sz w:val="20"/>
              </w:rPr>
              <w:t xml:space="preserve">Backfitting and Issue Finality, Section XIII, </w:t>
            </w:r>
            <w:r w:rsidRPr="00A779A7">
              <w:rPr>
                <w:i/>
                <w:sz w:val="20"/>
              </w:rPr>
              <w:t xml:space="preserve">Federal Register </w:t>
            </w:r>
            <w:r w:rsidRPr="00A779A7">
              <w:rPr>
                <w:sz w:val="20"/>
              </w:rPr>
              <w:t>notice</w:t>
            </w:r>
            <w:r w:rsidRPr="00217D07">
              <w:rPr>
                <w:sz w:val="20"/>
              </w:rPr>
              <w:t xml:space="preserve"> for the </w:t>
            </w:r>
            <w:r>
              <w:rPr>
                <w:sz w:val="20"/>
              </w:rPr>
              <w:t>final</w:t>
            </w:r>
            <w:r w:rsidRPr="00217D07">
              <w:rPr>
                <w:sz w:val="20"/>
              </w:rPr>
              <w:t xml:space="preserve"> rule</w:t>
            </w:r>
          </w:p>
        </w:tc>
      </w:tr>
      <w:tr w14:paraId="7F3A7968" w14:textId="77777777" w:rsidTr="005555E4">
        <w:tblPrEx>
          <w:tblW w:w="5000" w:type="pct"/>
          <w:jc w:val="center"/>
          <w:tblLayout w:type="fixed"/>
          <w:tblCellMar>
            <w:left w:w="100" w:type="dxa"/>
            <w:right w:w="100" w:type="dxa"/>
          </w:tblCellMar>
          <w:tblLook w:val="0000"/>
        </w:tblPrEx>
        <w:trPr>
          <w:cantSplit/>
          <w:jc w:val="center"/>
        </w:trPr>
        <w:tc>
          <w:tcPr>
            <w:tcW w:w="998" w:type="pct"/>
          </w:tcPr>
          <w:p w:rsidR="00D21970" w:rsidRPr="00217D07" w:rsidP="005555E4" w14:paraId="1FC75BB8" w14:textId="24391D99">
            <w:pPr>
              <w:numPr>
                <w:ilvl w:val="12"/>
                <w:numId w:val="0"/>
              </w:numPr>
              <w:tabs>
                <w:tab w:val="left" w:pos="0"/>
                <w:tab w:val="left" w:pos="720"/>
              </w:tabs>
              <w:spacing w:before="117" w:after="52"/>
              <w:rPr>
                <w:sz w:val="20"/>
              </w:rPr>
            </w:pPr>
            <w:r w:rsidRPr="00217D07">
              <w:rPr>
                <w:sz w:val="20"/>
              </w:rPr>
              <w:t xml:space="preserve">Appendix </w:t>
            </w:r>
            <w:r w:rsidR="00463620">
              <w:rPr>
                <w:sz w:val="20"/>
              </w:rPr>
              <w:t>B</w:t>
            </w:r>
            <w:r w:rsidRPr="00217D07">
              <w:rPr>
                <w:sz w:val="20"/>
              </w:rPr>
              <w:t>, (x</w:t>
            </w:r>
            <w:r>
              <w:rPr>
                <w:sz w:val="20"/>
              </w:rPr>
              <w:t>v</w:t>
            </w:r>
            <w:r w:rsidRPr="00217D07">
              <w:rPr>
                <w:sz w:val="20"/>
              </w:rPr>
              <w:t>i)</w:t>
            </w:r>
          </w:p>
        </w:tc>
        <w:tc>
          <w:tcPr>
            <w:tcW w:w="2704" w:type="pct"/>
          </w:tcPr>
          <w:p w:rsidR="00D21970" w:rsidRPr="00217D07" w:rsidP="00DD559A" w14:paraId="3E166E92" w14:textId="77777777">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Pr>
                <w:sz w:val="20"/>
              </w:rPr>
              <w:t>A</w:t>
            </w:r>
            <w:r w:rsidRPr="00217D07">
              <w:rPr>
                <w:sz w:val="20"/>
              </w:rPr>
              <w:t>n assessment of how the action relates to the Commission’</w:t>
            </w:r>
            <w:r>
              <w:rPr>
                <w:sz w:val="20"/>
              </w:rPr>
              <w:t>s Safety Goal Policy Statement</w:t>
            </w:r>
          </w:p>
        </w:tc>
        <w:tc>
          <w:tcPr>
            <w:tcW w:w="1298" w:type="pct"/>
          </w:tcPr>
          <w:p w:rsidR="00D21970" w:rsidRPr="00701584" w:rsidP="00DD559A" w14:paraId="7D9CB0E0" w14:textId="77777777">
            <w:pPr>
              <w:numPr>
                <w:ilvl w:val="12"/>
                <w:numId w:val="0"/>
              </w:numPr>
              <w:tabs>
                <w:tab w:val="left" w:pos="0"/>
                <w:tab w:val="left" w:pos="720"/>
                <w:tab w:val="left" w:pos="1440"/>
                <w:tab w:val="left" w:pos="2160"/>
                <w:tab w:val="left" w:pos="2880"/>
              </w:tabs>
              <w:spacing w:before="117" w:after="52" w:line="240" w:lineRule="auto"/>
              <w:rPr>
                <w:sz w:val="20"/>
              </w:rPr>
            </w:pPr>
            <w:r w:rsidRPr="00217D07">
              <w:rPr>
                <w:sz w:val="20"/>
              </w:rPr>
              <w:t>Regulatory Analysis, Section 5.1</w:t>
            </w:r>
            <w:r>
              <w:rPr>
                <w:sz w:val="20"/>
              </w:rPr>
              <w:t>5</w:t>
            </w:r>
          </w:p>
        </w:tc>
      </w:tr>
    </w:tbl>
    <w:p w:rsidR="009128E1" w:rsidRPr="00701584" w:rsidP="008440FA" w14:paraId="43713477" w14:textId="77777777">
      <w:pPr>
        <w:spacing w:line="240" w:lineRule="auto"/>
      </w:pPr>
    </w:p>
    <w:p w:rsidR="009128E1" w:rsidRPr="00E1256C" w:rsidP="008440FA" w14:paraId="68F69C82" w14:textId="77777777">
      <w:pPr>
        <w:pStyle w:val="Heading1"/>
        <w:numPr>
          <w:ilvl w:val="0"/>
          <w:numId w:val="34"/>
        </w:numPr>
        <w:spacing w:line="240" w:lineRule="auto"/>
      </w:pPr>
      <w:bookmarkStart w:id="287" w:name="_Toc456098363"/>
      <w:bookmarkStart w:id="288" w:name="_Toc457827376"/>
      <w:bookmarkStart w:id="289" w:name="_Toc70669526"/>
      <w:bookmarkStart w:id="290" w:name="_Toc85198625"/>
      <w:r w:rsidRPr="00E1256C">
        <w:t>Decision Rationale</w:t>
      </w:r>
      <w:bookmarkEnd w:id="287"/>
      <w:bookmarkEnd w:id="288"/>
      <w:bookmarkEnd w:id="289"/>
      <w:bookmarkEnd w:id="290"/>
    </w:p>
    <w:p w:rsidR="009128E1" w:rsidRPr="004D2B90" w:rsidP="008440FA" w14:paraId="57DF1AEA" w14:textId="77777777">
      <w:pPr>
        <w:spacing w:line="240" w:lineRule="auto"/>
      </w:pPr>
    </w:p>
    <w:p w:rsidR="009128E1" w:rsidP="008440FA" w14:paraId="25186E3B" w14:textId="55DEDC5E">
      <w:pPr>
        <w:spacing w:after="240" w:line="240" w:lineRule="auto"/>
      </w:pPr>
      <w:r w:rsidRPr="00EE77D0">
        <w:fldChar w:fldCharType="begin"/>
      </w:r>
      <w:r w:rsidRPr="00AD2BE5">
        <w:instrText xml:space="preserve"> REF _Ref393461649 \h </w:instrText>
      </w:r>
      <w:r w:rsidRPr="00581806" w:rsidR="00AD2BE5">
        <w:instrText xml:space="preserve"> \* MERGEFORMAT </w:instrText>
      </w:r>
      <w:r w:rsidRPr="00EE77D0">
        <w:fldChar w:fldCharType="separate"/>
      </w:r>
      <w:r w:rsidRPr="004634A0" w:rsidR="004634A0">
        <w:t>Table 19</w:t>
      </w:r>
      <w:r w:rsidRPr="00EE77D0">
        <w:fldChar w:fldCharType="end"/>
      </w:r>
      <w:r w:rsidRPr="00AD2BE5">
        <w:t xml:space="preserve"> provides the quantified and qualified costs and benefits for Alternative</w:t>
      </w:r>
      <w:r w:rsidRPr="00AD2BE5" w:rsidR="00A4595B">
        <w:t> </w:t>
      </w:r>
      <w:r w:rsidRPr="00AD2BE5">
        <w:t>2.  The quantitative ana</w:t>
      </w:r>
      <w:r w:rsidRPr="004D2B90">
        <w:t>lysis</w:t>
      </w:r>
      <w:r>
        <w:t xml:space="preserve"> used</w:t>
      </w:r>
      <w:r w:rsidRPr="004D2B90">
        <w:t xml:space="preserve"> best estimate values.</w:t>
      </w:r>
    </w:p>
    <w:p w:rsidR="009128E1" w:rsidRPr="00581806" w:rsidP="008440FA" w14:paraId="65389EE2" w14:textId="438EBBF9">
      <w:pPr>
        <w:autoSpaceDE/>
        <w:autoSpaceDN/>
        <w:adjustRightInd/>
        <w:spacing w:after="120" w:line="240" w:lineRule="auto"/>
        <w:jc w:val="center"/>
        <w:rPr>
          <w:b/>
        </w:rPr>
      </w:pPr>
      <w:bookmarkStart w:id="291" w:name="_Ref393461649"/>
      <w:bookmarkStart w:id="292" w:name="_Toc393790948"/>
      <w:bookmarkStart w:id="293" w:name="_Toc393791082"/>
      <w:bookmarkStart w:id="294" w:name="_Toc454442510"/>
      <w:bookmarkStart w:id="295" w:name="_Toc457827430"/>
      <w:bookmarkStart w:id="296" w:name="_Toc70669556"/>
      <w:bookmarkStart w:id="297" w:name="_Toc85198675"/>
      <w:r w:rsidRPr="00581806">
        <w:rPr>
          <w:b/>
        </w:rPr>
        <w:t>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4634A0">
        <w:rPr>
          <w:b/>
          <w:noProof/>
        </w:rPr>
        <w:t>19</w:t>
      </w:r>
      <w:r w:rsidRPr="00581806" w:rsidR="000012A5">
        <w:rPr>
          <w:b/>
          <w:noProof/>
        </w:rPr>
        <w:fldChar w:fldCharType="end"/>
      </w:r>
      <w:bookmarkEnd w:id="291"/>
      <w:r w:rsidRPr="00581806" w:rsidR="00E2084A">
        <w:rPr>
          <w:b/>
        </w:rPr>
        <w:t xml:space="preserve">  </w:t>
      </w:r>
      <w:r w:rsidRPr="00581806">
        <w:rPr>
          <w:b/>
        </w:rPr>
        <w:t>Summary of Totals</w:t>
      </w:r>
      <w:bookmarkEnd w:id="292"/>
      <w:bookmarkEnd w:id="293"/>
      <w:bookmarkEnd w:id="294"/>
      <w:bookmarkEnd w:id="295"/>
      <w:bookmarkEnd w:id="296"/>
      <w:bookmarkEnd w:id="297"/>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50"/>
        <w:gridCol w:w="4690"/>
      </w:tblGrid>
      <w:tr w14:paraId="6A43E831" w14:textId="77777777" w:rsidTr="00581806">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blHeader/>
        </w:trPr>
        <w:tc>
          <w:tcPr>
            <w:tcW w:w="4788" w:type="dxa"/>
          </w:tcPr>
          <w:p w:rsidR="009128E1" w:rsidRPr="001C57C6" w:rsidP="008440FA" w14:paraId="483442E1" w14:textId="57DFD931">
            <w:pPr>
              <w:keepNext/>
              <w:spacing w:line="240" w:lineRule="auto"/>
              <w:jc w:val="center"/>
              <w:rPr>
                <w:b/>
              </w:rPr>
            </w:pPr>
            <w:r w:rsidRPr="001C57C6">
              <w:rPr>
                <w:b/>
              </w:rPr>
              <w:t>Net Monetary Savings or (Costs)—</w:t>
            </w:r>
            <w:r w:rsidR="00E2084A">
              <w:rPr>
                <w:b/>
              </w:rPr>
              <w:br/>
            </w:r>
            <w:r w:rsidRPr="001C57C6">
              <w:rPr>
                <w:b/>
              </w:rPr>
              <w:t>Total Present Value</w:t>
            </w:r>
          </w:p>
        </w:tc>
        <w:tc>
          <w:tcPr>
            <w:tcW w:w="4788" w:type="dxa"/>
          </w:tcPr>
          <w:p w:rsidR="009128E1" w:rsidRPr="001C57C6" w:rsidP="008440FA" w14:paraId="17F69878" w14:textId="77777777">
            <w:pPr>
              <w:keepNext/>
              <w:spacing w:line="240" w:lineRule="auto"/>
              <w:jc w:val="center"/>
              <w:rPr>
                <w:b/>
              </w:rPr>
            </w:pPr>
            <w:r w:rsidRPr="001C57C6">
              <w:rPr>
                <w:b/>
              </w:rPr>
              <w:t>Nonquantified</w:t>
            </w:r>
            <w:r w:rsidRPr="001C57C6">
              <w:rPr>
                <w:b/>
              </w:rPr>
              <w:t xml:space="preserve"> Benefits or (Costs)</w:t>
            </w:r>
          </w:p>
        </w:tc>
      </w:tr>
      <w:tr w14:paraId="7A240469" w14:textId="77777777" w:rsidTr="0051747A">
        <w:tblPrEx>
          <w:tblW w:w="0" w:type="auto"/>
          <w:tblLook w:val="04A0"/>
        </w:tblPrEx>
        <w:tc>
          <w:tcPr>
            <w:tcW w:w="4788" w:type="dxa"/>
          </w:tcPr>
          <w:p w:rsidR="009128E1" w:rsidRPr="004D2B90" w:rsidP="00B15286" w14:paraId="1D4B785E" w14:textId="056BE0E2">
            <w:pPr>
              <w:keepNext/>
              <w:spacing w:line="240" w:lineRule="auto"/>
            </w:pPr>
            <w:r w:rsidRPr="00C87518">
              <w:rPr>
                <w:b/>
              </w:rPr>
              <w:t>Alternative 1:</w:t>
            </w:r>
            <w:r>
              <w:t xml:space="preserve">  </w:t>
            </w:r>
            <w:r w:rsidRPr="004D2B90">
              <w:t>No Action</w:t>
            </w:r>
            <w:r w:rsidR="00B15286">
              <w:t xml:space="preserve"> - </w:t>
            </w:r>
            <w:r w:rsidRPr="004D2B90">
              <w:t>$0</w:t>
            </w:r>
          </w:p>
        </w:tc>
        <w:tc>
          <w:tcPr>
            <w:tcW w:w="4788" w:type="dxa"/>
          </w:tcPr>
          <w:p w:rsidR="009128E1" w:rsidRPr="004D2B90" w:rsidP="008440FA" w14:paraId="3268D0EE" w14:textId="77777777">
            <w:pPr>
              <w:keepNext/>
              <w:spacing w:line="240" w:lineRule="auto"/>
            </w:pPr>
            <w:r w:rsidRPr="004D2B90">
              <w:t>None</w:t>
            </w:r>
          </w:p>
        </w:tc>
      </w:tr>
      <w:tr w14:paraId="57986149" w14:textId="77777777" w:rsidTr="0051747A">
        <w:tblPrEx>
          <w:tblW w:w="0" w:type="auto"/>
          <w:tblLook w:val="04A0"/>
        </w:tblPrEx>
        <w:tc>
          <w:tcPr>
            <w:tcW w:w="4788" w:type="dxa"/>
          </w:tcPr>
          <w:p w:rsidR="009128E1" w:rsidRPr="005E7100" w:rsidP="008440FA" w14:paraId="52CA3B10" w14:textId="2EB021C6">
            <w:pPr>
              <w:spacing w:line="240" w:lineRule="auto"/>
              <w:rPr>
                <w:b/>
              </w:rPr>
            </w:pPr>
            <w:r>
              <w:rPr>
                <w:b/>
              </w:rPr>
              <w:t xml:space="preserve">Alternative 2:  </w:t>
            </w:r>
            <w:r w:rsidR="00E74B75">
              <w:t xml:space="preserve">Conduct rulemaking to provide alternative </w:t>
            </w:r>
            <w:r>
              <w:t xml:space="preserve">EP requirements for </w:t>
            </w:r>
            <w:r w:rsidR="00E74B75">
              <w:t xml:space="preserve">SMRs and </w:t>
            </w:r>
            <w:r>
              <w:t>non</w:t>
            </w:r>
            <w:r w:rsidR="00A4595B">
              <w:noBreakHyphen/>
            </w:r>
            <w:r>
              <w:t>LWRs</w:t>
            </w:r>
          </w:p>
          <w:p w:rsidR="009128E1" w:rsidP="008440FA" w14:paraId="3348A5A9" w14:textId="77777777">
            <w:pPr>
              <w:spacing w:line="240" w:lineRule="auto"/>
            </w:pPr>
          </w:p>
          <w:p w:rsidR="009128E1" w:rsidRPr="005E7100" w:rsidP="008440FA" w14:paraId="05081DDD" w14:textId="77777777">
            <w:pPr>
              <w:spacing w:line="240" w:lineRule="auto"/>
            </w:pPr>
            <w:r w:rsidRPr="005E7100">
              <w:t>Industry</w:t>
            </w:r>
            <w:r>
              <w:t>:</w:t>
            </w:r>
          </w:p>
          <w:p w:rsidR="009128E1" w:rsidRPr="005E7100" w:rsidP="008440FA" w14:paraId="236E561E" w14:textId="78E7A799">
            <w:pPr>
              <w:spacing w:line="240" w:lineRule="auto"/>
            </w:pPr>
            <w:r>
              <w:t>$</w:t>
            </w:r>
            <w:r w:rsidR="0057371A">
              <w:t>5.</w:t>
            </w:r>
            <w:r w:rsidR="009D1F09">
              <w:t>62</w:t>
            </w:r>
            <w:r w:rsidR="006C3184">
              <w:t xml:space="preserve"> million</w:t>
            </w:r>
            <w:r w:rsidRPr="005E7100">
              <w:t xml:space="preserve"> using a 7% discount </w:t>
            </w:r>
            <w:r w:rsidRPr="005E7100">
              <w:t>rate</w:t>
            </w:r>
          </w:p>
          <w:p w:rsidR="009128E1" w:rsidRPr="005E7100" w:rsidP="008440FA" w14:paraId="5AEA8487" w14:textId="2E61EBD0">
            <w:pPr>
              <w:spacing w:line="240" w:lineRule="auto"/>
            </w:pPr>
            <w:r w:rsidRPr="005E7100">
              <w:t>$</w:t>
            </w:r>
            <w:r w:rsidR="001117A4">
              <w:t>1</w:t>
            </w:r>
            <w:r w:rsidR="009D1F09">
              <w:t>0</w:t>
            </w:r>
            <w:r w:rsidR="001117A4">
              <w:t>.</w:t>
            </w:r>
            <w:r w:rsidR="009D1F09">
              <w:t>7</w:t>
            </w:r>
            <w:r w:rsidR="006C3184">
              <w:t xml:space="preserve"> </w:t>
            </w:r>
            <w:r>
              <w:t>million</w:t>
            </w:r>
            <w:r w:rsidRPr="005E7100">
              <w:t xml:space="preserve"> using a 3% discount </w:t>
            </w:r>
            <w:r w:rsidRPr="005E7100">
              <w:t>rate</w:t>
            </w:r>
          </w:p>
          <w:p w:rsidR="009128E1" w:rsidRPr="005E7100" w:rsidP="008440FA" w14:paraId="71EB21C1" w14:textId="77777777">
            <w:pPr>
              <w:spacing w:line="240" w:lineRule="auto"/>
            </w:pPr>
          </w:p>
          <w:p w:rsidR="009128E1" w:rsidRPr="005E7100" w:rsidP="008440FA" w14:paraId="647AECD6" w14:textId="77777777">
            <w:pPr>
              <w:spacing w:line="240" w:lineRule="auto"/>
            </w:pPr>
            <w:r>
              <w:t xml:space="preserve">NRC: </w:t>
            </w:r>
          </w:p>
          <w:p w:rsidR="009128E1" w:rsidRPr="005E7100" w:rsidP="008440FA" w14:paraId="5ADCB42B" w14:textId="3E1BABEE">
            <w:pPr>
              <w:spacing w:line="240" w:lineRule="auto"/>
            </w:pPr>
            <w:r>
              <w:t>$</w:t>
            </w:r>
            <w:r w:rsidR="001117A4">
              <w:t>2.</w:t>
            </w:r>
            <w:r w:rsidR="009D1F09">
              <w:t>35</w:t>
            </w:r>
            <w:r w:rsidR="006C3184">
              <w:t xml:space="preserve"> million</w:t>
            </w:r>
            <w:r w:rsidRPr="005E7100">
              <w:t xml:space="preserve"> using a 7% discount </w:t>
            </w:r>
            <w:r w:rsidRPr="005E7100">
              <w:t>rate</w:t>
            </w:r>
          </w:p>
          <w:p w:rsidR="009128E1" w:rsidRPr="005E7100" w:rsidP="008440FA" w14:paraId="5FF8BB13" w14:textId="4EA968E2">
            <w:pPr>
              <w:spacing w:line="240" w:lineRule="auto"/>
            </w:pPr>
            <w:r w:rsidRPr="005E7100">
              <w:t>$</w:t>
            </w:r>
            <w:r w:rsidR="009D1F09">
              <w:t>4</w:t>
            </w:r>
            <w:r w:rsidR="001117A4">
              <w:t>.</w:t>
            </w:r>
            <w:r w:rsidR="009D1F09">
              <w:t>24</w:t>
            </w:r>
            <w:r w:rsidR="006C3184">
              <w:t xml:space="preserve"> million</w:t>
            </w:r>
            <w:r w:rsidRPr="005E7100">
              <w:t xml:space="preserve"> using a 3% discount </w:t>
            </w:r>
            <w:r w:rsidRPr="005E7100">
              <w:t>rate</w:t>
            </w:r>
          </w:p>
          <w:p w:rsidR="009128E1" w:rsidRPr="005E7100" w:rsidP="008440FA" w14:paraId="642D9F7E" w14:textId="77777777">
            <w:pPr>
              <w:spacing w:line="240" w:lineRule="auto"/>
            </w:pPr>
          </w:p>
          <w:p w:rsidR="009128E1" w:rsidRPr="005E7100" w:rsidP="008440FA" w14:paraId="454C8B93" w14:textId="77777777">
            <w:pPr>
              <w:spacing w:line="240" w:lineRule="auto"/>
            </w:pPr>
            <w:r>
              <w:t xml:space="preserve">Net Benefit (Cost): </w:t>
            </w:r>
          </w:p>
          <w:p w:rsidR="009128E1" w:rsidRPr="005E7100" w:rsidP="008440FA" w14:paraId="24936856" w14:textId="469F8DCC">
            <w:pPr>
              <w:spacing w:line="240" w:lineRule="auto"/>
            </w:pPr>
            <w:r>
              <w:t>$</w:t>
            </w:r>
            <w:r w:rsidR="009D1F09">
              <w:t>7</w:t>
            </w:r>
            <w:r w:rsidR="00E27164">
              <w:t>.</w:t>
            </w:r>
            <w:r w:rsidR="009D1F09">
              <w:t>97</w:t>
            </w:r>
            <w:r w:rsidR="006C3184">
              <w:t xml:space="preserve"> million</w:t>
            </w:r>
            <w:r w:rsidRPr="005E7100">
              <w:t xml:space="preserve"> using a 7% discount </w:t>
            </w:r>
            <w:r w:rsidRPr="005E7100">
              <w:t>rate</w:t>
            </w:r>
          </w:p>
          <w:p w:rsidR="009128E1" w:rsidP="008440FA" w14:paraId="46166E3A" w14:textId="51E67814">
            <w:pPr>
              <w:spacing w:line="240" w:lineRule="auto"/>
            </w:pPr>
            <w:r>
              <w:t>$</w:t>
            </w:r>
            <w:r w:rsidR="00E27164">
              <w:t>1</w:t>
            </w:r>
            <w:r w:rsidR="009D1F09">
              <w:t>4</w:t>
            </w:r>
            <w:r w:rsidR="00E27164">
              <w:t>.</w:t>
            </w:r>
            <w:r w:rsidR="009D1F09">
              <w:t>9</w:t>
            </w:r>
            <w:r>
              <w:t> million</w:t>
            </w:r>
            <w:r w:rsidRPr="005E7100">
              <w:t xml:space="preserve"> using a 3% discount </w:t>
            </w:r>
            <w:r w:rsidRPr="005E7100">
              <w:t>rate</w:t>
            </w:r>
          </w:p>
          <w:p w:rsidR="009128E1" w:rsidP="008440FA" w14:paraId="4F8A62B6" w14:textId="77777777">
            <w:pPr>
              <w:spacing w:line="240" w:lineRule="auto"/>
            </w:pPr>
          </w:p>
          <w:p w:rsidR="009128E1" w:rsidP="008440FA" w14:paraId="4B1D664B" w14:textId="77777777">
            <w:pPr>
              <w:spacing w:line="240" w:lineRule="auto"/>
              <w:rPr>
                <w:b/>
              </w:rPr>
            </w:pPr>
          </w:p>
          <w:p w:rsidR="009128E1" w:rsidP="008440FA" w14:paraId="41EA2AEE" w14:textId="77777777">
            <w:pPr>
              <w:spacing w:line="240" w:lineRule="auto"/>
              <w:rPr>
                <w:b/>
              </w:rPr>
            </w:pPr>
          </w:p>
          <w:p w:rsidR="009128E1" w:rsidP="008440FA" w14:paraId="4F7DC493" w14:textId="77777777">
            <w:pPr>
              <w:spacing w:line="240" w:lineRule="auto"/>
              <w:rPr>
                <w:b/>
              </w:rPr>
            </w:pPr>
          </w:p>
          <w:p w:rsidR="009128E1" w:rsidRPr="004875FE" w:rsidP="008440FA" w14:paraId="26EB2C9F" w14:textId="77777777">
            <w:pPr>
              <w:spacing w:line="240" w:lineRule="auto"/>
            </w:pPr>
          </w:p>
        </w:tc>
        <w:tc>
          <w:tcPr>
            <w:tcW w:w="4788" w:type="dxa"/>
          </w:tcPr>
          <w:p w:rsidR="009128E1" w:rsidRPr="005E7100" w:rsidP="008440FA" w14:paraId="271B94D9" w14:textId="77777777">
            <w:pPr>
              <w:spacing w:line="240" w:lineRule="auto"/>
            </w:pPr>
            <w:r w:rsidRPr="005E7100">
              <w:t>Benefits:</w:t>
            </w:r>
          </w:p>
          <w:p w:rsidR="009128E1" w:rsidP="008440FA" w14:paraId="682A0E70" w14:textId="52C9F9AF">
            <w:pPr>
              <w:pStyle w:val="ListParagraph"/>
              <w:widowControl w:val="0"/>
              <w:numPr>
                <w:ilvl w:val="0"/>
                <w:numId w:val="5"/>
              </w:numPr>
              <w:spacing w:line="240" w:lineRule="auto"/>
              <w:ind w:left="360"/>
              <w:contextualSpacing w:val="0"/>
            </w:pPr>
            <w:r>
              <w:rPr>
                <w:b/>
              </w:rPr>
              <w:t xml:space="preserve">Regulatory Efficiency:  </w:t>
            </w:r>
            <w:r>
              <w:t xml:space="preserve">By regulating emergency planning for </w:t>
            </w:r>
            <w:r w:rsidR="000E2735">
              <w:t>SMRs and ONTs</w:t>
            </w:r>
            <w:r>
              <w:t xml:space="preserve"> through rule</w:t>
            </w:r>
            <w:r w:rsidR="00E379C0">
              <w:t>making</w:t>
            </w:r>
            <w:r>
              <w:t xml:space="preserve"> </w:t>
            </w:r>
            <w:r w:rsidR="00A4595B">
              <w:t>instead of</w:t>
            </w:r>
            <w:r>
              <w:t xml:space="preserve"> </w:t>
            </w:r>
            <w:r w:rsidR="00DA4D27">
              <w:t xml:space="preserve">through </w:t>
            </w:r>
            <w:r>
              <w:t xml:space="preserve">the exemption process, </w:t>
            </w:r>
            <w:r w:rsidR="00A4595B">
              <w:t xml:space="preserve">the </w:t>
            </w:r>
            <w:r>
              <w:t xml:space="preserve">NRC will </w:t>
            </w:r>
            <w:r w:rsidR="0098713E">
              <w:t>establish</w:t>
            </w:r>
            <w:r w:rsidRPr="00A04389" w:rsidR="0098713E">
              <w:t xml:space="preserve"> a </w:t>
            </w:r>
            <w:r w:rsidR="0098713E">
              <w:t>performance</w:t>
            </w:r>
            <w:r w:rsidR="00A4595B">
              <w:noBreakHyphen/>
            </w:r>
            <w:r w:rsidR="0098713E">
              <w:t xml:space="preserve">based, </w:t>
            </w:r>
            <w:r w:rsidRPr="00A04389" w:rsidR="0098713E">
              <w:t xml:space="preserve">comprehensive regulatory framework </w:t>
            </w:r>
            <w:r w:rsidR="0098713E">
              <w:t>that</w:t>
            </w:r>
            <w:r w:rsidRPr="00A04389" w:rsidR="0098713E">
              <w:t xml:space="preserve"> w</w:t>
            </w:r>
            <w:r w:rsidR="003F26CE">
              <w:t>ill</w:t>
            </w:r>
            <w:r w:rsidRPr="00A04389" w:rsidR="0098713E">
              <w:t xml:space="preserve"> result in enhanced regulatory stability, predictability,</w:t>
            </w:r>
            <w:r w:rsidR="004B69A9">
              <w:t xml:space="preserve"> and</w:t>
            </w:r>
            <w:r w:rsidRPr="00A04389" w:rsidR="0098713E">
              <w:t xml:space="preserve"> clarity in the licensing process and </w:t>
            </w:r>
            <w:r w:rsidR="004B69A9">
              <w:t xml:space="preserve">an </w:t>
            </w:r>
            <w:r w:rsidRPr="00A04389" w:rsidR="0098713E">
              <w:t>opportunity for stakeholder input on the regulatory framework.</w:t>
            </w:r>
          </w:p>
          <w:p w:rsidR="009128E1" w:rsidP="008440FA" w14:paraId="3078D513" w14:textId="77777777">
            <w:pPr>
              <w:pStyle w:val="ListParagraph"/>
              <w:widowControl w:val="0"/>
              <w:spacing w:line="240" w:lineRule="auto"/>
              <w:ind w:left="360"/>
              <w:contextualSpacing w:val="0"/>
            </w:pPr>
          </w:p>
          <w:p w:rsidR="009128E1" w:rsidRPr="005E7100" w:rsidP="008440FA" w14:paraId="1EE1CD94" w14:textId="0F9A60F8">
            <w:pPr>
              <w:pStyle w:val="ListParagraph"/>
              <w:widowControl w:val="0"/>
              <w:numPr>
                <w:ilvl w:val="0"/>
                <w:numId w:val="5"/>
              </w:numPr>
              <w:spacing w:line="240" w:lineRule="auto"/>
              <w:ind w:left="360"/>
              <w:contextualSpacing w:val="0"/>
            </w:pPr>
            <w:r w:rsidRPr="004A7AAD">
              <w:rPr>
                <w:b/>
              </w:rPr>
              <w:t xml:space="preserve">Increased Public Confidence: </w:t>
            </w:r>
            <w:r>
              <w:t xml:space="preserve"> In addition to regulatory efficiency, </w:t>
            </w:r>
            <w:r>
              <w:t xml:space="preserve">processing </w:t>
            </w:r>
            <w:r w:rsidR="000E2735">
              <w:t>SMRs and ONTs</w:t>
            </w:r>
            <w:r>
              <w:t xml:space="preserve"> through rulemaking instead of the exemption request process will increase public confidence in the NRC’s ability to adapt to new technology and new regulatory needs.</w:t>
            </w:r>
          </w:p>
        </w:tc>
      </w:tr>
    </w:tbl>
    <w:p w:rsidR="009128E1" w:rsidP="008440FA" w14:paraId="0BD9020B" w14:textId="77777777">
      <w:pPr>
        <w:spacing w:line="240" w:lineRule="auto"/>
      </w:pPr>
    </w:p>
    <w:p w:rsidR="00481CF1" w:rsidP="008440FA" w14:paraId="74A7EF37" w14:textId="7B43C432">
      <w:pPr>
        <w:spacing w:line="240" w:lineRule="auto"/>
        <w:rPr>
          <w:sz w:val="18"/>
          <w:szCs w:val="18"/>
        </w:rPr>
      </w:pPr>
      <w:r w:rsidRPr="00581806">
        <w:rPr>
          <w:sz w:val="18"/>
          <w:szCs w:val="18"/>
        </w:rPr>
        <w:t xml:space="preserve">Note: </w:t>
      </w:r>
      <w:r w:rsidRPr="00B523C6">
        <w:rPr>
          <w:sz w:val="18"/>
          <w:szCs w:val="18"/>
        </w:rPr>
        <w:t xml:space="preserve"> </w:t>
      </w:r>
      <w:r w:rsidRPr="00581806">
        <w:rPr>
          <w:sz w:val="18"/>
          <w:szCs w:val="18"/>
        </w:rPr>
        <w:t xml:space="preserve">There may be small differences between tables </w:t>
      </w:r>
      <w:r w:rsidRPr="00581806">
        <w:rPr>
          <w:sz w:val="18"/>
          <w:szCs w:val="18"/>
        </w:rPr>
        <w:t>as a result of</w:t>
      </w:r>
      <w:r w:rsidRPr="00581806">
        <w:rPr>
          <w:sz w:val="18"/>
          <w:szCs w:val="18"/>
        </w:rPr>
        <w:t xml:space="preserve"> rounding.</w:t>
      </w:r>
    </w:p>
    <w:p w:rsidR="00237655" w:rsidP="008440FA" w14:paraId="71CAA015" w14:textId="77777777">
      <w:pPr>
        <w:spacing w:line="240" w:lineRule="auto"/>
      </w:pPr>
    </w:p>
    <w:p w:rsidR="009128E1" w:rsidRPr="00E14B7C" w:rsidP="008440FA" w14:paraId="1F300F47" w14:textId="021EDA43">
      <w:pPr>
        <w:spacing w:line="240" w:lineRule="auto"/>
      </w:pPr>
      <w:r>
        <w:t>The i</w:t>
      </w:r>
      <w:r>
        <w:t xml:space="preserve">ndustry and the NRC </w:t>
      </w:r>
      <w:r w:rsidR="003F26CE">
        <w:t>will</w:t>
      </w:r>
      <w:r>
        <w:t xml:space="preserve"> benefit</w:t>
      </w:r>
      <w:r w:rsidRPr="008A5CB6">
        <w:t xml:space="preserve"> from the </w:t>
      </w:r>
      <w:r w:rsidR="002759F2">
        <w:t>final</w:t>
      </w:r>
      <w:r>
        <w:t xml:space="preserve"> rule</w:t>
      </w:r>
      <w:r w:rsidRPr="008A5CB6">
        <w:t xml:space="preserve">making </w:t>
      </w:r>
      <w:r>
        <w:t>A</w:t>
      </w:r>
      <w:r w:rsidRPr="008A5CB6">
        <w:t>lternative</w:t>
      </w:r>
      <w:r w:rsidR="00A4595B">
        <w:t> </w:t>
      </w:r>
      <w:r>
        <w:t>2</w:t>
      </w:r>
      <w:r w:rsidRPr="008A5CB6">
        <w:t xml:space="preserve"> </w:t>
      </w:r>
      <w:r w:rsidR="00850B4B">
        <w:t xml:space="preserve">primarily </w:t>
      </w:r>
      <w:r w:rsidRPr="00404C18" w:rsidR="00404C18">
        <w:t xml:space="preserve">because of the averted costs from </w:t>
      </w:r>
      <w:r w:rsidR="001273D7">
        <w:t>applicants and</w:t>
      </w:r>
      <w:r w:rsidRPr="001273D7" w:rsidR="001273D7">
        <w:t xml:space="preserve"> </w:t>
      </w:r>
      <w:r w:rsidRPr="00404C18" w:rsidR="00404C18">
        <w:t>licensees submitting fewer EP exemption requests</w:t>
      </w:r>
      <w:r w:rsidR="00A4595B">
        <w:t xml:space="preserve"> and</w:t>
      </w:r>
      <w:r w:rsidR="00850B4B">
        <w:t xml:space="preserve"> </w:t>
      </w:r>
      <w:r w:rsidRPr="00CE7FE8" w:rsidR="00CE7FE8">
        <w:t>LARs</w:t>
      </w:r>
      <w:r w:rsidR="005E334F">
        <w:t xml:space="preserve">.  </w:t>
      </w:r>
      <w:r w:rsidR="004D401D">
        <w:t>As a result</w:t>
      </w:r>
      <w:r w:rsidR="00BB36DF">
        <w:t>,</w:t>
      </w:r>
      <w:r w:rsidR="004D401D">
        <w:t xml:space="preserve"> </w:t>
      </w:r>
      <w:r w:rsidR="005E334F">
        <w:t>there w</w:t>
      </w:r>
      <w:r w:rsidR="009D3012">
        <w:t>ill</w:t>
      </w:r>
      <w:r w:rsidR="005E334F">
        <w:t xml:space="preserve"> be additional </w:t>
      </w:r>
      <w:r w:rsidR="001273D7">
        <w:t xml:space="preserve">averted costs </w:t>
      </w:r>
      <w:r w:rsidR="00A4595B">
        <w:t xml:space="preserve">from </w:t>
      </w:r>
      <w:r w:rsidR="00850B4B">
        <w:t xml:space="preserve">the NRC reviewing and processing these fewer EP exemption requests and LARs.  </w:t>
      </w:r>
      <w:r>
        <w:t>Furthermore</w:t>
      </w:r>
      <w:r w:rsidR="00A4595B">
        <w:t>,</w:t>
      </w:r>
      <w:r w:rsidR="00850B4B">
        <w:t xml:space="preserve"> efficiencies </w:t>
      </w:r>
      <w:r w:rsidR="00A4595B">
        <w:t>w</w:t>
      </w:r>
      <w:r w:rsidR="003F26CE">
        <w:t>ill</w:t>
      </w:r>
      <w:r w:rsidR="00A4595B">
        <w:t xml:space="preserve"> be </w:t>
      </w:r>
      <w:r w:rsidR="00850B4B">
        <w:t xml:space="preserve">gained from </w:t>
      </w:r>
      <w:r w:rsidR="004D401D">
        <w:t xml:space="preserve">applicants </w:t>
      </w:r>
      <w:r w:rsidR="00850B4B">
        <w:t xml:space="preserve">submitting EP plans and </w:t>
      </w:r>
      <w:r w:rsidR="002F1E4C">
        <w:t xml:space="preserve">from </w:t>
      </w:r>
      <w:r w:rsidR="00850B4B">
        <w:t xml:space="preserve">the NRC reviewing these plans </w:t>
      </w:r>
      <w:r w:rsidR="002F1E4C">
        <w:t>because of</w:t>
      </w:r>
      <w:r w:rsidR="00850B4B">
        <w:t xml:space="preserve"> the enhanced clarity in the licensing process</w:t>
      </w:r>
      <w:r w:rsidRPr="00BD5D51" w:rsidR="00850B4B">
        <w:t xml:space="preserve">. </w:t>
      </w:r>
      <w:r w:rsidRPr="00BD5D51" w:rsidR="00A4595B">
        <w:t xml:space="preserve"> </w:t>
      </w:r>
      <w:r w:rsidRPr="00BD5D51">
        <w:fldChar w:fldCharType="begin"/>
      </w:r>
      <w:r w:rsidRPr="00BD5D51">
        <w:instrText xml:space="preserve"> REF _Ref393461649 \h </w:instrText>
      </w:r>
      <w:r w:rsidRPr="00BD5D51" w:rsidR="00BD5D51">
        <w:instrText xml:space="preserve"> \* MERGEFORMAT </w:instrText>
      </w:r>
      <w:r w:rsidRPr="00BD5D51">
        <w:fldChar w:fldCharType="separate"/>
      </w:r>
      <w:r w:rsidRPr="004634A0" w:rsidR="004634A0">
        <w:t>Table 19</w:t>
      </w:r>
      <w:r w:rsidRPr="00BD5D51">
        <w:fldChar w:fldCharType="end"/>
      </w:r>
      <w:r w:rsidR="002F1E4C">
        <w:t xml:space="preserve"> shows that, </w:t>
      </w:r>
      <w:r w:rsidRPr="008A5CB6">
        <w:t>relative to the regulatory baseline</w:t>
      </w:r>
      <w:r w:rsidR="002F1E4C">
        <w:t>,</w:t>
      </w:r>
      <w:r w:rsidRPr="008A5CB6">
        <w:t xml:space="preserve"> </w:t>
      </w:r>
      <w:r w:rsidR="002F1E4C">
        <w:t xml:space="preserve">Alternative 2 </w:t>
      </w:r>
      <w:r w:rsidRPr="008A5CB6">
        <w:t>w</w:t>
      </w:r>
      <w:r w:rsidR="003F26CE">
        <w:t>ill</w:t>
      </w:r>
      <w:r w:rsidRPr="008A5CB6">
        <w:t xml:space="preserve"> result in a net </w:t>
      </w:r>
      <w:r>
        <w:t>benefit (averted cost)</w:t>
      </w:r>
      <w:r w:rsidRPr="008A5CB6">
        <w:t xml:space="preserve"> </w:t>
      </w:r>
      <w:r>
        <w:t>to</w:t>
      </w:r>
      <w:r w:rsidRPr="008A5CB6">
        <w:t xml:space="preserve"> industry </w:t>
      </w:r>
      <w:r>
        <w:t>that ranges from</w:t>
      </w:r>
      <w:r w:rsidRPr="008A5CB6">
        <w:t xml:space="preserve"> </w:t>
      </w:r>
      <w:r>
        <w:t>$</w:t>
      </w:r>
      <w:r w:rsidR="00E27164">
        <w:t>5.</w:t>
      </w:r>
      <w:r w:rsidR="00F66E31">
        <w:t>62</w:t>
      </w:r>
      <w:r>
        <w:t> </w:t>
      </w:r>
      <w:r w:rsidR="006C3184">
        <w:t>million</w:t>
      </w:r>
      <w:r>
        <w:t xml:space="preserve"> (</w:t>
      </w:r>
      <w:r w:rsidRPr="008A5CB6">
        <w:t>7</w:t>
      </w:r>
      <w:r w:rsidRPr="008A5CB6">
        <w:noBreakHyphen/>
        <w:t>percent NPV</w:t>
      </w:r>
      <w:r>
        <w:t>)</w:t>
      </w:r>
      <w:r w:rsidRPr="008A5CB6">
        <w:t xml:space="preserve"> </w:t>
      </w:r>
      <w:r>
        <w:t>to</w:t>
      </w:r>
      <w:r w:rsidRPr="008A5CB6">
        <w:t xml:space="preserve"> $</w:t>
      </w:r>
      <w:r w:rsidR="00E27164">
        <w:t>1</w:t>
      </w:r>
      <w:r w:rsidR="00F66E31">
        <w:t>0</w:t>
      </w:r>
      <w:r w:rsidR="00E27164">
        <w:t>.</w:t>
      </w:r>
      <w:r w:rsidR="00F66E31">
        <w:t>7</w:t>
      </w:r>
      <w:r w:rsidR="002F1E4C">
        <w:t> </w:t>
      </w:r>
      <w:r>
        <w:t>million</w:t>
      </w:r>
      <w:r w:rsidRPr="008A5CB6">
        <w:t xml:space="preserve"> </w:t>
      </w:r>
      <w:r>
        <w:t>(</w:t>
      </w:r>
      <w:r w:rsidRPr="008A5CB6">
        <w:t>3</w:t>
      </w:r>
      <w:r w:rsidR="002F1E4C">
        <w:noBreakHyphen/>
      </w:r>
      <w:r w:rsidRPr="008A5CB6">
        <w:t>percent NPV</w:t>
      </w:r>
      <w:r>
        <w:t>)</w:t>
      </w:r>
      <w:r w:rsidRPr="008A5CB6">
        <w:t xml:space="preserve">.  </w:t>
      </w:r>
      <w:r>
        <w:t>The NRC’s</w:t>
      </w:r>
      <w:r w:rsidRPr="00E14B7C">
        <w:t xml:space="preserve"> </w:t>
      </w:r>
      <w:r w:rsidR="00FD3792">
        <w:t xml:space="preserve">net </w:t>
      </w:r>
      <w:r w:rsidR="006C3184">
        <w:t xml:space="preserve">averted </w:t>
      </w:r>
      <w:r>
        <w:t>cost</w:t>
      </w:r>
      <w:r w:rsidR="006C3184">
        <w:t xml:space="preserve">s range </w:t>
      </w:r>
      <w:r w:rsidRPr="00E14B7C">
        <w:t xml:space="preserve">from </w:t>
      </w:r>
      <w:r w:rsidR="001378FC">
        <w:t>$</w:t>
      </w:r>
      <w:r w:rsidR="00A8470F">
        <w:t>2.</w:t>
      </w:r>
      <w:r w:rsidR="00F66E31">
        <w:t>35</w:t>
      </w:r>
      <w:r w:rsidR="009A4255">
        <w:t> </w:t>
      </w:r>
      <w:r w:rsidR="006C3184">
        <w:t>million</w:t>
      </w:r>
      <w:r w:rsidRPr="00E14B7C">
        <w:t xml:space="preserve"> </w:t>
      </w:r>
      <w:r w:rsidR="006C3184">
        <w:t>(</w:t>
      </w:r>
      <w:r>
        <w:t>7</w:t>
      </w:r>
      <w:r w:rsidR="009A4255">
        <w:noBreakHyphen/>
      </w:r>
      <w:r>
        <w:t>percent</w:t>
      </w:r>
      <w:r w:rsidRPr="00E14B7C">
        <w:t xml:space="preserve"> NPV</w:t>
      </w:r>
      <w:r w:rsidR="006C3184">
        <w:t>)</w:t>
      </w:r>
      <w:r w:rsidRPr="00E14B7C">
        <w:t xml:space="preserve"> to $</w:t>
      </w:r>
      <w:r w:rsidR="00F66E31">
        <w:t>4</w:t>
      </w:r>
      <w:r w:rsidR="00A8470F">
        <w:t>.</w:t>
      </w:r>
      <w:r w:rsidR="00F66E31">
        <w:t>24</w:t>
      </w:r>
      <w:r w:rsidR="002F1E4C">
        <w:t> </w:t>
      </w:r>
      <w:r w:rsidR="006C3184">
        <w:t>million</w:t>
      </w:r>
      <w:r w:rsidRPr="00E14B7C">
        <w:t xml:space="preserve"> </w:t>
      </w:r>
      <w:r w:rsidR="006C3184">
        <w:t>(</w:t>
      </w:r>
      <w:r>
        <w:t>3</w:t>
      </w:r>
      <w:r w:rsidR="009A4255">
        <w:noBreakHyphen/>
      </w:r>
      <w:r>
        <w:t>percent</w:t>
      </w:r>
      <w:r w:rsidRPr="00E14B7C">
        <w:t xml:space="preserve"> NPV</w:t>
      </w:r>
      <w:r w:rsidR="006C3184">
        <w:t>)</w:t>
      </w:r>
      <w:r>
        <w:t>.  Thus, the total quantitative net averted costs of the rulemaking w</w:t>
      </w:r>
      <w:r w:rsidR="003F26CE">
        <w:t>ill</w:t>
      </w:r>
      <w:r>
        <w:t xml:space="preserve"> range from $</w:t>
      </w:r>
      <w:r w:rsidR="00F66E31">
        <w:t>7</w:t>
      </w:r>
      <w:r w:rsidR="00A8470F">
        <w:t>.</w:t>
      </w:r>
      <w:r w:rsidR="00F66E31">
        <w:t>97</w:t>
      </w:r>
      <w:r>
        <w:t> </w:t>
      </w:r>
      <w:r w:rsidR="006C3184">
        <w:t>million</w:t>
      </w:r>
      <w:r>
        <w:t xml:space="preserve"> (7</w:t>
      </w:r>
      <w:r w:rsidR="003027FA">
        <w:noBreakHyphen/>
      </w:r>
      <w:r>
        <w:t>percent discount rate) to $</w:t>
      </w:r>
      <w:r w:rsidR="00A8470F">
        <w:t>1</w:t>
      </w:r>
      <w:r w:rsidR="00F66E31">
        <w:t>4</w:t>
      </w:r>
      <w:r w:rsidR="00A8470F">
        <w:t>.</w:t>
      </w:r>
      <w:r w:rsidR="00F66E31">
        <w:t>9</w:t>
      </w:r>
      <w:r w:rsidR="002F1E4C">
        <w:t> </w:t>
      </w:r>
      <w:r>
        <w:t>million (3</w:t>
      </w:r>
      <w:r w:rsidR="002F1E4C">
        <w:noBreakHyphen/>
      </w:r>
      <w:r>
        <w:t>percent discount rate).</w:t>
      </w:r>
    </w:p>
    <w:p w:rsidR="009128E1" w:rsidRPr="00E14B7C" w:rsidP="008440FA" w14:paraId="11C6E1E0" w14:textId="77777777">
      <w:pPr>
        <w:spacing w:line="240" w:lineRule="auto"/>
      </w:pPr>
    </w:p>
    <w:p w:rsidR="009128E1" w:rsidRPr="00820D31" w:rsidP="008440FA" w14:paraId="09CF8A02" w14:textId="26A90182">
      <w:pPr>
        <w:spacing w:line="240" w:lineRule="auto"/>
      </w:pPr>
      <w:r>
        <w:t>Based</w:t>
      </w:r>
      <w:r w:rsidRPr="00E35C2D">
        <w:t xml:space="preserve"> solely on quantified costs and benefits, </w:t>
      </w:r>
      <w:r>
        <w:t xml:space="preserve">the regulatory analysis </w:t>
      </w:r>
      <w:r w:rsidRPr="00E35C2D">
        <w:t>show</w:t>
      </w:r>
      <w:r>
        <w:t>s</w:t>
      </w:r>
      <w:r w:rsidRPr="00E35C2D">
        <w:t xml:space="preserve"> that the rulemaking is justified because the total quantified benefits of the </w:t>
      </w:r>
      <w:r w:rsidR="009D3012">
        <w:t>final</w:t>
      </w:r>
      <w:r>
        <w:t xml:space="preserve"> rule</w:t>
      </w:r>
      <w:r w:rsidRPr="00E35C2D">
        <w:t xml:space="preserve"> regulatory action </w:t>
      </w:r>
      <w:r>
        <w:t>w</w:t>
      </w:r>
      <w:r w:rsidR="009D3012">
        <w:t>ill</w:t>
      </w:r>
      <w:r>
        <w:t xml:space="preserve"> </w:t>
      </w:r>
      <w:r w:rsidRPr="00E35C2D">
        <w:t xml:space="preserve">exceed the costs of the </w:t>
      </w:r>
      <w:r w:rsidR="009D3012">
        <w:t xml:space="preserve">final </w:t>
      </w:r>
      <w:r w:rsidRPr="00E35C2D">
        <w:t>action</w:t>
      </w:r>
      <w:r>
        <w:t>, for all discount rates up to 7 percent</w:t>
      </w:r>
      <w:r w:rsidRPr="00E35C2D">
        <w:t xml:space="preserve">. </w:t>
      </w:r>
      <w:r w:rsidR="006D3E6C">
        <w:t xml:space="preserve"> </w:t>
      </w:r>
      <w:r w:rsidRPr="00820D31">
        <w:t xml:space="preserve">Considering </w:t>
      </w:r>
      <w:r w:rsidRPr="00820D31">
        <w:t>nonquantified</w:t>
      </w:r>
      <w:r w:rsidRPr="00820D31">
        <w:t xml:space="preserve"> costs and benefits, the regu</w:t>
      </w:r>
      <w:r>
        <w:t>l</w:t>
      </w:r>
      <w:r w:rsidRPr="00820D31">
        <w:t xml:space="preserve">atory analysis shows that the rulemaking is justified because the number and significance of the </w:t>
      </w:r>
      <w:r w:rsidRPr="00820D31">
        <w:t>nonquantified</w:t>
      </w:r>
      <w:r w:rsidRPr="00820D31">
        <w:t xml:space="preserve"> benefits outweigh the </w:t>
      </w:r>
      <w:r w:rsidRPr="00820D31">
        <w:t>nonquantified</w:t>
      </w:r>
      <w:r w:rsidRPr="00820D31">
        <w:t xml:space="preserve"> </w:t>
      </w:r>
      <w:r w:rsidR="00850B4B">
        <w:t xml:space="preserve">costs.  </w:t>
      </w:r>
      <w:r w:rsidRPr="00820D31">
        <w:t xml:space="preserve">Therefore, integrating both quantified and </w:t>
      </w:r>
      <w:r w:rsidRPr="00820D31">
        <w:t>nonquantified</w:t>
      </w:r>
      <w:r w:rsidRPr="00820D31">
        <w:t xml:space="preserve"> costs and benefits</w:t>
      </w:r>
      <w:r w:rsidR="006D3E6C">
        <w:t xml:space="preserve"> indicates that</w:t>
      </w:r>
      <w:r w:rsidRPr="00820D31">
        <w:t xml:space="preserve"> the benefits of the </w:t>
      </w:r>
      <w:r w:rsidR="009D3012">
        <w:t>final</w:t>
      </w:r>
      <w:r>
        <w:t xml:space="preserve"> rule</w:t>
      </w:r>
      <w:r w:rsidRPr="00820D31">
        <w:t xml:space="preserve"> outweigh the identified quantitative and qualitative impacts attributable to the </w:t>
      </w:r>
      <w:r w:rsidR="009D3012">
        <w:t xml:space="preserve">final </w:t>
      </w:r>
      <w:r w:rsidRPr="00820D31">
        <w:t>rule.</w:t>
      </w:r>
    </w:p>
    <w:p w:rsidR="009128E1" w:rsidRPr="00461295" w:rsidP="008440FA" w14:paraId="79EE336F" w14:textId="77777777">
      <w:pPr>
        <w:pStyle w:val="Heading1"/>
        <w:numPr>
          <w:ilvl w:val="0"/>
          <w:numId w:val="34"/>
        </w:numPr>
        <w:spacing w:line="240" w:lineRule="auto"/>
      </w:pPr>
      <w:bookmarkStart w:id="298" w:name="_Toc456098364"/>
      <w:bookmarkStart w:id="299" w:name="_Toc457827377"/>
      <w:bookmarkStart w:id="300" w:name="_Toc70669527"/>
      <w:bookmarkStart w:id="301" w:name="_Toc85198626"/>
      <w:r w:rsidRPr="00461295">
        <w:t>Implementation Schedule</w:t>
      </w:r>
      <w:bookmarkEnd w:id="298"/>
      <w:bookmarkEnd w:id="299"/>
      <w:bookmarkEnd w:id="300"/>
      <w:bookmarkEnd w:id="301"/>
    </w:p>
    <w:p w:rsidR="009128E1" w:rsidRPr="00273771" w:rsidP="008440FA" w14:paraId="423818D1" w14:textId="77777777">
      <w:pPr>
        <w:spacing w:line="240" w:lineRule="auto"/>
      </w:pPr>
    </w:p>
    <w:p w:rsidR="000C0EAA" w:rsidP="008440FA" w14:paraId="0B50B465" w14:textId="68EFFBFD">
      <w:pPr>
        <w:spacing w:line="240" w:lineRule="auto"/>
      </w:pPr>
      <w:r w:rsidRPr="0055009A">
        <w:t xml:space="preserve">The NRC assumes that the final rule </w:t>
      </w:r>
      <w:r w:rsidRPr="0055009A" w:rsidR="003F26CE">
        <w:t xml:space="preserve">will </w:t>
      </w:r>
      <w:r w:rsidRPr="0055009A">
        <w:t xml:space="preserve">become effective 30 days after its publication in the </w:t>
      </w:r>
      <w:r w:rsidRPr="0055009A">
        <w:rPr>
          <w:i/>
        </w:rPr>
        <w:t>Federal Register</w:t>
      </w:r>
      <w:r w:rsidRPr="0055009A">
        <w:t xml:space="preserve"> in 202</w:t>
      </w:r>
      <w:r w:rsidRPr="0055009A" w:rsidR="00B91DC5">
        <w:t>2</w:t>
      </w:r>
      <w:r w:rsidRPr="0055009A">
        <w:t>.</w:t>
      </w:r>
    </w:p>
    <w:p w:rsidR="00EB5298" w14:paraId="01256CC6" w14:textId="13CA8D9F">
      <w:pPr>
        <w:autoSpaceDE/>
        <w:autoSpaceDN/>
        <w:adjustRightInd/>
      </w:pPr>
      <w:r>
        <w:br w:type="page"/>
      </w:r>
    </w:p>
    <w:p w:rsidR="009128E1" w:rsidRPr="001D5BCE" w:rsidP="008440FA" w14:paraId="59F89540" w14:textId="77777777">
      <w:pPr>
        <w:pStyle w:val="Heading1"/>
        <w:numPr>
          <w:ilvl w:val="0"/>
          <w:numId w:val="34"/>
        </w:numPr>
        <w:spacing w:line="240" w:lineRule="auto"/>
      </w:pPr>
      <w:bookmarkStart w:id="302" w:name="_Toc71129990"/>
      <w:bookmarkStart w:id="303" w:name="_Toc71198263"/>
      <w:bookmarkStart w:id="304" w:name="_Toc456098365"/>
      <w:bookmarkStart w:id="305" w:name="_Toc457827378"/>
      <w:bookmarkStart w:id="306" w:name="_Toc70669528"/>
      <w:bookmarkStart w:id="307" w:name="_Toc85198627"/>
      <w:bookmarkEnd w:id="302"/>
      <w:bookmarkEnd w:id="303"/>
      <w:r w:rsidRPr="001D5BCE">
        <w:t>Re</w:t>
      </w:r>
      <w:r>
        <w:t>ferences</w:t>
      </w:r>
      <w:bookmarkEnd w:id="304"/>
      <w:bookmarkEnd w:id="305"/>
      <w:bookmarkEnd w:id="306"/>
      <w:bookmarkEnd w:id="307"/>
    </w:p>
    <w:p w:rsidR="009128E1" w:rsidRPr="002A3407" w:rsidP="008440FA" w14:paraId="3082A62C" w14:textId="77777777">
      <w:pPr>
        <w:keepNext/>
        <w:spacing w:line="240" w:lineRule="auto"/>
      </w:pPr>
    </w:p>
    <w:p w:rsidR="009128E1" w:rsidP="008440FA" w14:paraId="1F2DAB5F" w14:textId="4DBC5191">
      <w:pPr>
        <w:spacing w:after="220" w:line="240" w:lineRule="auto"/>
        <w:rPr>
          <w:i/>
        </w:rPr>
      </w:pPr>
      <w:bookmarkStart w:id="308" w:name="_Ref395251238"/>
      <w:bookmarkStart w:id="309" w:name="_Ref393449697"/>
      <w:r w:rsidRPr="006647C3">
        <w:t>American National Standards Institute</w:t>
      </w:r>
      <w:r w:rsidR="00FE065D">
        <w:t xml:space="preserve"> (ANSI)</w:t>
      </w:r>
      <w:r w:rsidRPr="006647C3">
        <w:t>/American Nuclear Society</w:t>
      </w:r>
      <w:r w:rsidR="00EC2DD9">
        <w:t xml:space="preserve"> (</w:t>
      </w:r>
      <w:r w:rsidRPr="006647C3">
        <w:t>ANS</w:t>
      </w:r>
      <w:r w:rsidR="00EC2DD9">
        <w:t>)</w:t>
      </w:r>
      <w:r w:rsidR="00EC2DD9">
        <w:noBreakHyphen/>
      </w:r>
      <w:r w:rsidRPr="006647C3">
        <w:t>15.16</w:t>
      </w:r>
      <w:r w:rsidR="00EC2DD9">
        <w:noBreakHyphen/>
      </w:r>
      <w:r w:rsidR="005E669C">
        <w:t>2015</w:t>
      </w:r>
      <w:r w:rsidRPr="006647C3">
        <w:t xml:space="preserve">, “Emergency Planning for Research Reactors,” </w:t>
      </w:r>
      <w:r w:rsidR="00C547FC">
        <w:t>ANS</w:t>
      </w:r>
      <w:r w:rsidRPr="006647C3">
        <w:t>, LaGrange Park,</w:t>
      </w:r>
      <w:r w:rsidR="00EC2DD9">
        <w:t> </w:t>
      </w:r>
      <w:r w:rsidRPr="006647C3">
        <w:t>IL</w:t>
      </w:r>
      <w:r>
        <w:t>.</w:t>
      </w:r>
    </w:p>
    <w:p w:rsidR="00DE1C4F" w:rsidRPr="00DE1C4F" w:rsidP="008440FA" w14:paraId="47BE135F" w14:textId="649B1355">
      <w:pPr>
        <w:spacing w:line="240" w:lineRule="auto"/>
      </w:pPr>
      <w:bookmarkStart w:id="310" w:name="_Ref418690787"/>
      <w:r>
        <w:t>Bureau of Labor Statistics (BLS)</w:t>
      </w:r>
      <w:r w:rsidRPr="00DE1C4F">
        <w:t>,</w:t>
      </w:r>
      <w:r w:rsidR="00D909AC">
        <w:t xml:space="preserve"> </w:t>
      </w:r>
      <w:r w:rsidRPr="00DE1C4F">
        <w:t>“SOC Code:  Standard Occupational Cla</w:t>
      </w:r>
      <w:r>
        <w:t xml:space="preserve">ssification Code,” </w:t>
      </w:r>
      <w:r w:rsidR="00D909AC">
        <w:t>U.S. Department of Labor,</w:t>
      </w:r>
      <w:r w:rsidRPr="00DE1C4F" w:rsidR="00D909AC">
        <w:t xml:space="preserve"> </w:t>
      </w:r>
      <w:r>
        <w:t>January</w:t>
      </w:r>
      <w:r w:rsidR="004A68B8">
        <w:t> </w:t>
      </w:r>
      <w:r>
        <w:t>20</w:t>
      </w:r>
      <w:r w:rsidR="008209B6">
        <w:t>21</w:t>
      </w:r>
      <w:r w:rsidR="00E56733">
        <w:t>a</w:t>
      </w:r>
      <w:r w:rsidRPr="00DE1C4F">
        <w:t xml:space="preserve">.  Available at </w:t>
      </w:r>
      <w:bookmarkStart w:id="311" w:name="_Hlk71035535"/>
      <w:hyperlink r:id="rId30" w:history="1">
        <w:r w:rsidRPr="00086DA1" w:rsidR="006B0F1C">
          <w:rPr>
            <w:rStyle w:val="Hyperlink"/>
          </w:rPr>
          <w:t>http://www.bls.gov/soc/home.htm</w:t>
        </w:r>
        <w:bookmarkEnd w:id="311"/>
      </w:hyperlink>
      <w:r w:rsidRPr="00DE1C4F">
        <w:t xml:space="preserve">; last accessed on </w:t>
      </w:r>
      <w:r w:rsidR="008209B6">
        <w:t>March</w:t>
      </w:r>
      <w:r w:rsidR="004A68B8">
        <w:t> </w:t>
      </w:r>
      <w:r w:rsidRPr="00DE1C4F">
        <w:t>16,</w:t>
      </w:r>
      <w:r w:rsidR="004A68B8">
        <w:t> </w:t>
      </w:r>
      <w:r w:rsidRPr="00DE1C4F">
        <w:t>20</w:t>
      </w:r>
      <w:r w:rsidR="008209B6">
        <w:t>21</w:t>
      </w:r>
      <w:r w:rsidRPr="00DE1C4F">
        <w:t>.</w:t>
      </w:r>
    </w:p>
    <w:p w:rsidR="00DE1C4F" w:rsidP="008440FA" w14:paraId="3542569D" w14:textId="77777777">
      <w:pPr>
        <w:spacing w:line="240" w:lineRule="auto"/>
      </w:pPr>
    </w:p>
    <w:p w:rsidR="0038255F" w:rsidRPr="0038255F" w:rsidP="008440FA" w14:paraId="7BFDCE2B" w14:textId="2C41825D">
      <w:pPr>
        <w:spacing w:line="240" w:lineRule="auto"/>
      </w:pPr>
      <w:r w:rsidRPr="0038255F">
        <w:t xml:space="preserve">BLS, “Archived Consumer Price Index Supplement Files:  </w:t>
      </w:r>
      <w:r w:rsidR="008209B6">
        <w:t>March</w:t>
      </w:r>
      <w:r w:rsidR="004A68B8">
        <w:t> </w:t>
      </w:r>
      <w:r w:rsidRPr="0038255F">
        <w:t>20</w:t>
      </w:r>
      <w:r w:rsidR="008209B6">
        <w:t>21</w:t>
      </w:r>
      <w:r w:rsidRPr="0038255F">
        <w:t xml:space="preserve"> Historical CPI-U, Table</w:t>
      </w:r>
      <w:r w:rsidR="004A68B8">
        <w:t> </w:t>
      </w:r>
      <w:r w:rsidRPr="0038255F">
        <w:t>24, Historical Consumer Price Index for All Urban Consumers (CPI-U):  U.S. City Average, All Items,”</w:t>
      </w:r>
      <w:r w:rsidR="006B0F1C">
        <w:t xml:space="preserve"> U.S. Department of Labor,</w:t>
      </w:r>
      <w:r w:rsidRPr="0038255F">
        <w:t xml:space="preserve"> </w:t>
      </w:r>
      <w:r w:rsidR="008209B6">
        <w:t>April</w:t>
      </w:r>
      <w:r w:rsidR="004A68B8">
        <w:t> </w:t>
      </w:r>
      <w:r w:rsidR="008209B6">
        <w:t>2021</w:t>
      </w:r>
      <w:r w:rsidR="00E56733">
        <w:t>b</w:t>
      </w:r>
      <w:r w:rsidRPr="0038255F">
        <w:t xml:space="preserve">.  Available at </w:t>
      </w:r>
      <w:hyperlink r:id="rId31" w:history="1">
        <w:r w:rsidRPr="0038255F">
          <w:rPr>
            <w:rStyle w:val="Hyperlink"/>
          </w:rPr>
          <w:t>http://www.bls.gov/cpi/tables.htm</w:t>
        </w:r>
      </w:hyperlink>
      <w:r w:rsidRPr="0038255F">
        <w:t xml:space="preserve">; last </w:t>
      </w:r>
      <w:r w:rsidR="008209B6">
        <w:t>accessed</w:t>
      </w:r>
      <w:r w:rsidRPr="0038255F">
        <w:t xml:space="preserve"> on </w:t>
      </w:r>
      <w:r w:rsidR="008209B6">
        <w:t>April</w:t>
      </w:r>
      <w:r w:rsidRPr="0038255F">
        <w:t> 10, 20</w:t>
      </w:r>
      <w:r w:rsidR="008209B6">
        <w:t>21</w:t>
      </w:r>
      <w:r w:rsidRPr="0038255F">
        <w:t>.</w:t>
      </w:r>
    </w:p>
    <w:bookmarkEnd w:id="310"/>
    <w:p w:rsidR="00D25A30" w:rsidP="008440FA" w14:paraId="5ACEB013" w14:textId="77777777">
      <w:pPr>
        <w:spacing w:line="240" w:lineRule="auto"/>
      </w:pPr>
    </w:p>
    <w:p w:rsidR="004A7CC5" w:rsidP="008440FA" w14:paraId="1D8E928B" w14:textId="44323FB9">
      <w:pPr>
        <w:spacing w:line="240" w:lineRule="auto"/>
      </w:pPr>
      <w:r w:rsidRPr="004A7CC5">
        <w:rPr>
          <w:i/>
        </w:rPr>
        <w:t>Code of Federal Regulations</w:t>
      </w:r>
      <w:r w:rsidR="004910C5">
        <w:rPr>
          <w:i/>
        </w:rPr>
        <w:t xml:space="preserve"> </w:t>
      </w:r>
      <w:r w:rsidRPr="00581806" w:rsidR="004910C5">
        <w:t>(CFR)</w:t>
      </w:r>
      <w:r w:rsidRPr="00CE3367">
        <w:t>,</w:t>
      </w:r>
      <w:r w:rsidRPr="004A7CC5">
        <w:t xml:space="preserve"> </w:t>
      </w:r>
      <w:r w:rsidRPr="004A7CC5" w:rsidR="00DE2B72">
        <w:t>“Domestic Licensing of Production and Utilization Facilities</w:t>
      </w:r>
      <w:r w:rsidR="00DE2B72">
        <w:t>,” Part</w:t>
      </w:r>
      <w:r w:rsidR="00EC2DD9">
        <w:t> </w:t>
      </w:r>
      <w:r w:rsidR="00DE2B72">
        <w:t>50, Chapter</w:t>
      </w:r>
      <w:r w:rsidR="004D4143">
        <w:t> </w:t>
      </w:r>
      <w:r w:rsidR="00DE2B72">
        <w:t xml:space="preserve">I, </w:t>
      </w:r>
      <w:r w:rsidRPr="004A7CC5">
        <w:t>Title</w:t>
      </w:r>
      <w:r w:rsidR="004D4143">
        <w:t> </w:t>
      </w:r>
      <w:r w:rsidRPr="004A7CC5">
        <w:t xml:space="preserve">10, </w:t>
      </w:r>
      <w:r w:rsidR="004910C5">
        <w:t>“</w:t>
      </w:r>
      <w:r w:rsidRPr="00581806">
        <w:t>Energy</w:t>
      </w:r>
      <w:r w:rsidR="00DE2B72">
        <w:t>.”</w:t>
      </w:r>
    </w:p>
    <w:p w:rsidR="00DE2B72" w:rsidP="008440FA" w14:paraId="0E19457E" w14:textId="7A8B9BC2">
      <w:pPr>
        <w:spacing w:line="240" w:lineRule="auto"/>
      </w:pPr>
    </w:p>
    <w:p w:rsidR="00DE2B72" w:rsidP="008440FA" w14:paraId="58E35487" w14:textId="6A68B886">
      <w:pPr>
        <w:spacing w:line="240" w:lineRule="auto"/>
      </w:pPr>
      <w:r>
        <w:t>CFR,</w:t>
      </w:r>
      <w:r w:rsidRPr="000A5248">
        <w:t xml:space="preserve"> “Licenses, Certifications, and Approval</w:t>
      </w:r>
      <w:r>
        <w:t>s for Nuclear Power Plants,” Part</w:t>
      </w:r>
      <w:r w:rsidR="004D4143">
        <w:t> </w:t>
      </w:r>
      <w:r>
        <w:t xml:space="preserve">52, Chapter I, </w:t>
      </w:r>
      <w:r w:rsidRPr="004A7CC5">
        <w:t>Title</w:t>
      </w:r>
      <w:r>
        <w:t> </w:t>
      </w:r>
      <w:r w:rsidRPr="004A7CC5">
        <w:t xml:space="preserve">10, </w:t>
      </w:r>
      <w:r>
        <w:t>“</w:t>
      </w:r>
      <w:r w:rsidRPr="008F3BA7">
        <w:t>Energy</w:t>
      </w:r>
      <w:r>
        <w:t>.”</w:t>
      </w:r>
    </w:p>
    <w:p w:rsidR="001424A8" w:rsidP="008440FA" w14:paraId="1DE04767" w14:textId="401FEABF">
      <w:pPr>
        <w:spacing w:line="240" w:lineRule="auto"/>
      </w:pPr>
    </w:p>
    <w:p w:rsidR="001424A8" w:rsidRPr="00CE3367" w:rsidP="008440FA" w14:paraId="237D814C" w14:textId="5EFBE17D">
      <w:pPr>
        <w:spacing w:line="240" w:lineRule="auto"/>
      </w:pPr>
      <w:r w:rsidRPr="00CE3367">
        <w:t xml:space="preserve">CFR, </w:t>
      </w:r>
      <w:r w:rsidRPr="00581806">
        <w:t xml:space="preserve">“Fees for </w:t>
      </w:r>
      <w:r w:rsidR="004D4143">
        <w:t>f</w:t>
      </w:r>
      <w:r w:rsidRPr="00581806">
        <w:t xml:space="preserve">acilities, </w:t>
      </w:r>
      <w:r w:rsidR="004D4143">
        <w:t>m</w:t>
      </w:r>
      <w:r w:rsidRPr="00581806">
        <w:t xml:space="preserve">aterials, </w:t>
      </w:r>
      <w:r w:rsidR="004D4143">
        <w:t>i</w:t>
      </w:r>
      <w:r w:rsidRPr="00581806">
        <w:t xml:space="preserve">mport and </w:t>
      </w:r>
      <w:r w:rsidR="004D4143">
        <w:t>e</w:t>
      </w:r>
      <w:r w:rsidRPr="00581806">
        <w:t xml:space="preserve">xport </w:t>
      </w:r>
      <w:r w:rsidR="004D4143">
        <w:t>l</w:t>
      </w:r>
      <w:r w:rsidRPr="00581806">
        <w:t xml:space="preserve">icenses, and </w:t>
      </w:r>
      <w:r w:rsidR="004D4143">
        <w:t>o</w:t>
      </w:r>
      <w:r w:rsidRPr="00581806">
        <w:t xml:space="preserve">ther </w:t>
      </w:r>
      <w:r w:rsidR="004D4143">
        <w:t>r</w:t>
      </w:r>
      <w:r w:rsidRPr="00581806">
        <w:t xml:space="preserve">egulatory </w:t>
      </w:r>
      <w:r w:rsidR="004D4143">
        <w:t>s</w:t>
      </w:r>
      <w:r w:rsidRPr="00581806">
        <w:t xml:space="preserve">ervices under the Atomic Energy Act of 1954, as </w:t>
      </w:r>
      <w:r w:rsidR="00C522DD">
        <w:t>a</w:t>
      </w:r>
      <w:r w:rsidRPr="00581806">
        <w:t>mended</w:t>
      </w:r>
      <w:r>
        <w:t xml:space="preserve">,” </w:t>
      </w:r>
      <w:r w:rsidRPr="008F3BA7">
        <w:t xml:space="preserve">Part 170, </w:t>
      </w:r>
      <w:r>
        <w:t>Chapter</w:t>
      </w:r>
      <w:r w:rsidR="004D4143">
        <w:t> </w:t>
      </w:r>
      <w:r>
        <w:t xml:space="preserve">I, </w:t>
      </w:r>
      <w:r w:rsidRPr="004A7CC5">
        <w:t>Title</w:t>
      </w:r>
      <w:r w:rsidR="00EC2DD9">
        <w:t> </w:t>
      </w:r>
      <w:r w:rsidRPr="004A7CC5">
        <w:t xml:space="preserve">10, </w:t>
      </w:r>
      <w:r>
        <w:t>“</w:t>
      </w:r>
      <w:r w:rsidRPr="008F3BA7">
        <w:t>Energy</w:t>
      </w:r>
      <w:r>
        <w:t>.”</w:t>
      </w:r>
      <w:r w:rsidRPr="00581806">
        <w:t xml:space="preserve">  </w:t>
      </w:r>
    </w:p>
    <w:p w:rsidR="009128E1" w:rsidP="008440FA" w14:paraId="6EA449AF" w14:textId="77777777">
      <w:pPr>
        <w:spacing w:line="240" w:lineRule="auto"/>
      </w:pPr>
    </w:p>
    <w:p w:rsidR="009128E1" w:rsidP="008440FA" w14:paraId="2FAB9EB5" w14:textId="6833057F">
      <w:pPr>
        <w:spacing w:line="240" w:lineRule="auto"/>
      </w:pPr>
      <w:bookmarkStart w:id="312" w:name="_Ref436914381"/>
      <w:r w:rsidRPr="004D4171">
        <w:t xml:space="preserve">U.S. Environmental Protection Agency </w:t>
      </w:r>
      <w:r>
        <w:t>(</w:t>
      </w:r>
      <w:r w:rsidR="004A7CC5">
        <w:t>EPA</w:t>
      </w:r>
      <w:r>
        <w:t>)</w:t>
      </w:r>
      <w:r w:rsidRPr="006647C3">
        <w:t>, “</w:t>
      </w:r>
      <w:r w:rsidR="008B684F">
        <w:t xml:space="preserve">PAG Manual: </w:t>
      </w:r>
      <w:r w:rsidR="00EC2DD9">
        <w:t xml:space="preserve"> </w:t>
      </w:r>
      <w:r w:rsidR="008B684F">
        <w:t>Protective Action Guides and Planning Guidance for Radiological Incidents</w:t>
      </w:r>
      <w:r w:rsidRPr="006647C3">
        <w:t xml:space="preserve">,” </w:t>
      </w:r>
      <w:r w:rsidR="008B684F">
        <w:t>EPA</w:t>
      </w:r>
      <w:r w:rsidR="00502993">
        <w:noBreakHyphen/>
      </w:r>
      <w:r w:rsidR="008B684F">
        <w:t>400/R</w:t>
      </w:r>
      <w:r w:rsidR="00502993">
        <w:noBreakHyphen/>
      </w:r>
      <w:r w:rsidR="008B684F">
        <w:t>17/001, January</w:t>
      </w:r>
      <w:r w:rsidR="00AC3DE7">
        <w:t> </w:t>
      </w:r>
      <w:r w:rsidR="008B684F">
        <w:t>2017</w:t>
      </w:r>
      <w:r w:rsidRPr="006647C3">
        <w:t>.</w:t>
      </w:r>
      <w:r w:rsidR="00052DA5">
        <w:t xml:space="preserve"> </w:t>
      </w:r>
      <w:r w:rsidR="00AC3DE7">
        <w:t xml:space="preserve"> </w:t>
      </w:r>
      <w:r w:rsidR="00052DA5">
        <w:t xml:space="preserve">Available at </w:t>
      </w:r>
      <w:hyperlink r:id="rId32" w:history="1">
        <w:r w:rsidRPr="00CE3367" w:rsidR="00350F17">
          <w:rPr>
            <w:rStyle w:val="Hyperlink"/>
          </w:rPr>
          <w:t>https://www.epa.gov/sites/production/files/2017-01/documents/epa_pag_manual_final_revisions_01-11-2017_cover_disclaimer_8.pdf</w:t>
        </w:r>
      </w:hyperlink>
      <w:r w:rsidR="00052DA5">
        <w:t>; last accessed on April</w:t>
      </w:r>
      <w:r w:rsidR="00F25538">
        <w:t> </w:t>
      </w:r>
      <w:r w:rsidR="00052DA5">
        <w:t>30,</w:t>
      </w:r>
      <w:r w:rsidR="00F25538">
        <w:t> </w:t>
      </w:r>
      <w:r w:rsidR="00052DA5">
        <w:t>2018.</w:t>
      </w:r>
    </w:p>
    <w:bookmarkEnd w:id="312"/>
    <w:p w:rsidR="009128E1" w:rsidP="008440FA" w14:paraId="65F46164" w14:textId="77777777">
      <w:pPr>
        <w:spacing w:line="240" w:lineRule="auto"/>
      </w:pPr>
    </w:p>
    <w:p w:rsidR="006B0F1C" w:rsidRPr="00EF0EB8" w:rsidP="006B0F1C" w14:paraId="1BCA99B8" w14:textId="15DBA487">
      <w:pPr>
        <w:spacing w:line="240" w:lineRule="auto"/>
      </w:pPr>
      <w:r w:rsidRPr="00EF0EB8">
        <w:t>Executive Order</w:t>
      </w:r>
      <w:r>
        <w:t> </w:t>
      </w:r>
      <w:r w:rsidRPr="00EF0EB8">
        <w:t>12866, “Regulatory Planning and Review,” October</w:t>
      </w:r>
      <w:r>
        <w:t> </w:t>
      </w:r>
      <w:r w:rsidRPr="00EF0EB8">
        <w:t>4,</w:t>
      </w:r>
      <w:r>
        <w:t> </w:t>
      </w:r>
      <w:r w:rsidRPr="00EF0EB8">
        <w:t xml:space="preserve">1993; </w:t>
      </w:r>
      <w:r>
        <w:t xml:space="preserve">Volume 58 of the </w:t>
      </w:r>
      <w:r w:rsidRPr="00632218">
        <w:rPr>
          <w:i/>
          <w:iCs/>
        </w:rPr>
        <w:t>Federal Register</w:t>
      </w:r>
      <w:r>
        <w:t xml:space="preserve"> (FR), page 51735 (</w:t>
      </w:r>
      <w:r w:rsidRPr="00EF0EB8">
        <w:t>58</w:t>
      </w:r>
      <w:r>
        <w:t> </w:t>
      </w:r>
      <w:r w:rsidRPr="00EF0EB8">
        <w:t>FR</w:t>
      </w:r>
      <w:r>
        <w:t> </w:t>
      </w:r>
      <w:r w:rsidRPr="00EF0EB8">
        <w:t>51735</w:t>
      </w:r>
      <w:r>
        <w:t>).</w:t>
      </w:r>
    </w:p>
    <w:p w:rsidR="006B0F1C" w:rsidP="008440FA" w14:paraId="14C9D307" w14:textId="77777777">
      <w:pPr>
        <w:spacing w:line="240" w:lineRule="auto"/>
      </w:pPr>
    </w:p>
    <w:p w:rsidR="009128E1" w:rsidP="008440FA" w14:paraId="6B4918C9" w14:textId="26438B83">
      <w:pPr>
        <w:spacing w:line="240" w:lineRule="auto"/>
      </w:pPr>
      <w:r>
        <w:t>U.S. Nuclear Regulatory Commission (</w:t>
      </w:r>
      <w:r w:rsidR="004A7CC5">
        <w:t>NRC</w:t>
      </w:r>
      <w:r>
        <w:t>)</w:t>
      </w:r>
      <w:r w:rsidR="00350F17">
        <w:t>/</w:t>
      </w:r>
      <w:r w:rsidR="004A7CC5">
        <w:t xml:space="preserve">EPA </w:t>
      </w:r>
      <w:r w:rsidRPr="006647C3">
        <w:t>Agency Task Force on Emergency Planning, “Planning Basis for the Development of State and Local Government Radiological Emergency Response Plans in Support of Light</w:t>
      </w:r>
      <w:r w:rsidR="00350F17">
        <w:t xml:space="preserve"> </w:t>
      </w:r>
      <w:r w:rsidRPr="006647C3">
        <w:t>Water Nuclear Power Plants,” NUREG</w:t>
      </w:r>
      <w:r w:rsidR="00502993">
        <w:noBreakHyphen/>
      </w:r>
      <w:r w:rsidRPr="006647C3">
        <w:t>0396 (EPA</w:t>
      </w:r>
      <w:r w:rsidR="00350F17">
        <w:t> </w:t>
      </w:r>
      <w:r w:rsidRPr="006647C3">
        <w:t>520/1</w:t>
      </w:r>
      <w:r w:rsidR="00350F17">
        <w:noBreakHyphen/>
      </w:r>
      <w:r w:rsidRPr="006647C3">
        <w:t>78</w:t>
      </w:r>
      <w:r w:rsidR="00350F17">
        <w:noBreakHyphen/>
      </w:r>
      <w:r w:rsidRPr="006647C3">
        <w:t>016), December</w:t>
      </w:r>
      <w:r w:rsidR="00350F17">
        <w:t> </w:t>
      </w:r>
      <w:r w:rsidRPr="006647C3">
        <w:t xml:space="preserve">1978, </w:t>
      </w:r>
      <w:r w:rsidR="00EC2DD9">
        <w:t xml:space="preserve">Agencywide Documents </w:t>
      </w:r>
      <w:r w:rsidR="00EC2DD9">
        <w:t>Access</w:t>
      </w:r>
      <w:r w:rsidR="00EC2DD9">
        <w:t xml:space="preserve"> and Management System</w:t>
      </w:r>
      <w:r w:rsidRPr="006647C3" w:rsidR="00EC2DD9">
        <w:t xml:space="preserve"> </w:t>
      </w:r>
      <w:r w:rsidR="00EC2DD9">
        <w:t>(</w:t>
      </w:r>
      <w:r w:rsidRPr="006647C3">
        <w:t>ADAMS</w:t>
      </w:r>
      <w:r w:rsidR="00EC2DD9">
        <w:t>)</w:t>
      </w:r>
      <w:r w:rsidRPr="006647C3">
        <w:t xml:space="preserve"> Accession No.</w:t>
      </w:r>
      <w:r w:rsidR="00EC2DD9">
        <w:t> </w:t>
      </w:r>
      <w:r w:rsidRPr="006647C3">
        <w:t>ML051390356.</w:t>
      </w:r>
    </w:p>
    <w:p w:rsidR="009128E1" w:rsidP="008440FA" w14:paraId="6E48C097" w14:textId="77777777">
      <w:pPr>
        <w:spacing w:line="240" w:lineRule="auto"/>
      </w:pPr>
    </w:p>
    <w:p w:rsidR="004A7CC5" w:rsidP="008440FA" w14:paraId="71D86126" w14:textId="636EDB2D">
      <w:pPr>
        <w:spacing w:line="240" w:lineRule="auto"/>
      </w:pPr>
      <w:r w:rsidRPr="004A7CC5">
        <w:t>NRC</w:t>
      </w:r>
      <w:r w:rsidRPr="00BD7E5D">
        <w:rPr>
          <w:lang w:val="en"/>
        </w:rPr>
        <w:t>, “</w:t>
      </w:r>
      <w:r w:rsidRPr="004A7CC5">
        <w:t xml:space="preserve">Standard Review Plan for the Review and Evaluation of Emergency Plans for Research and Test Reactors,” </w:t>
      </w:r>
      <w:r w:rsidRPr="00BD7E5D" w:rsidR="00FE3D78">
        <w:rPr>
          <w:lang w:val="en"/>
        </w:rPr>
        <w:t>NUREG</w:t>
      </w:r>
      <w:r w:rsidR="00502993">
        <w:rPr>
          <w:lang w:val="en"/>
        </w:rPr>
        <w:noBreakHyphen/>
      </w:r>
      <w:r w:rsidRPr="00BD7E5D" w:rsidR="00FE3D78">
        <w:rPr>
          <w:lang w:val="en"/>
        </w:rPr>
        <w:t>0849, October</w:t>
      </w:r>
      <w:r w:rsidR="00502993">
        <w:rPr>
          <w:lang w:val="en"/>
        </w:rPr>
        <w:t> </w:t>
      </w:r>
      <w:r w:rsidRPr="00BD7E5D" w:rsidR="00FE3D78">
        <w:rPr>
          <w:lang w:val="en"/>
        </w:rPr>
        <w:t>1983a</w:t>
      </w:r>
      <w:r w:rsidRPr="009A50AA">
        <w:rPr>
          <w:lang w:val="en"/>
        </w:rPr>
        <w:t>,</w:t>
      </w:r>
      <w:r w:rsidRPr="004A7CC5">
        <w:t xml:space="preserve"> ADAMS Accession No.</w:t>
      </w:r>
      <w:r w:rsidR="00350F17">
        <w:t> </w:t>
      </w:r>
      <w:r w:rsidRPr="004A7CC5">
        <w:t>ML062190191.</w:t>
      </w:r>
    </w:p>
    <w:p w:rsidR="00FE3D78" w:rsidP="008440FA" w14:paraId="46F7AFDF" w14:textId="77777777">
      <w:pPr>
        <w:spacing w:line="240" w:lineRule="auto"/>
      </w:pPr>
    </w:p>
    <w:p w:rsidR="00FE3D78" w:rsidRPr="00FE3D78" w:rsidP="008440FA" w14:paraId="017178D5" w14:textId="2D7A5490">
      <w:pPr>
        <w:spacing w:line="240" w:lineRule="auto"/>
      </w:pPr>
      <w:r w:rsidRPr="00FE3D78">
        <w:t xml:space="preserve">NRC, “A Handbook for Value-Impact Assessment,” </w:t>
      </w:r>
      <w:r w:rsidRPr="00FE3D78">
        <w:t>NUREG</w:t>
      </w:r>
      <w:r w:rsidRPr="00FE3D78">
        <w:t>/CR</w:t>
      </w:r>
      <w:r w:rsidR="00350F17">
        <w:noBreakHyphen/>
      </w:r>
      <w:r w:rsidRPr="00FE3D78">
        <w:t>3568 (PNL</w:t>
      </w:r>
      <w:r w:rsidR="00502993">
        <w:noBreakHyphen/>
      </w:r>
      <w:r w:rsidRPr="00FE3D78">
        <w:t>4646),</w:t>
      </w:r>
      <w:r w:rsidR="00350F17">
        <w:t xml:space="preserve"> </w:t>
      </w:r>
      <w:r w:rsidRPr="00FE3D78">
        <w:t>December 1983b</w:t>
      </w:r>
      <w:r w:rsidR="00F67196">
        <w:t xml:space="preserve">, </w:t>
      </w:r>
      <w:r w:rsidRPr="00FE3D78">
        <w:t>ADAMS Accession No.</w:t>
      </w:r>
      <w:r w:rsidR="00502993">
        <w:t> </w:t>
      </w:r>
      <w:r w:rsidRPr="00FE3D78">
        <w:t>ML062830096.</w:t>
      </w:r>
    </w:p>
    <w:p w:rsidR="004A7CC5" w:rsidP="008440FA" w14:paraId="207634E8" w14:textId="77777777">
      <w:pPr>
        <w:spacing w:line="240" w:lineRule="auto"/>
      </w:pPr>
    </w:p>
    <w:p w:rsidR="00FE3D78" w:rsidP="008440FA" w14:paraId="63AD14C4" w14:textId="490AD2E8">
      <w:pPr>
        <w:spacing w:line="240" w:lineRule="auto"/>
      </w:pPr>
      <w:r w:rsidRPr="00FE3D78">
        <w:t xml:space="preserve">NRC, “Issues Pertaining to the Advanced Reactor (PRISM, </w:t>
      </w:r>
      <w:r w:rsidRPr="00FE3D78">
        <w:t>MHTGR</w:t>
      </w:r>
      <w:r w:rsidRPr="00FE3D78">
        <w:t>, and PIUS) and CANDU</w:t>
      </w:r>
      <w:r w:rsidR="00350F17">
        <w:t> </w:t>
      </w:r>
      <w:r w:rsidRPr="00FE3D78">
        <w:t xml:space="preserve">3 Designs and </w:t>
      </w:r>
      <w:r w:rsidR="004A274C">
        <w:t>T</w:t>
      </w:r>
      <w:r w:rsidRPr="00FE3D78">
        <w:t>heir Relationship to Current Regulatory Requirements,” SECY</w:t>
      </w:r>
      <w:r w:rsidR="00350F17">
        <w:noBreakHyphen/>
      </w:r>
      <w:r w:rsidRPr="00FE3D78">
        <w:t>93</w:t>
      </w:r>
      <w:r w:rsidRPr="00FE3D78">
        <w:noBreakHyphen/>
        <w:t>092, April 8, 1993, ADAMS Accession No.</w:t>
      </w:r>
      <w:r w:rsidR="00181A59">
        <w:t> </w:t>
      </w:r>
      <w:r w:rsidRPr="00FE3D78">
        <w:t>ML040210725.</w:t>
      </w:r>
    </w:p>
    <w:p w:rsidR="009128E1" w:rsidP="008440FA" w14:paraId="1C869090" w14:textId="77777777">
      <w:pPr>
        <w:spacing w:line="240" w:lineRule="auto"/>
      </w:pPr>
    </w:p>
    <w:p w:rsidR="009128E1" w:rsidP="008440FA" w14:paraId="7164983C" w14:textId="77835D2D">
      <w:pPr>
        <w:spacing w:line="240" w:lineRule="auto"/>
      </w:pPr>
      <w:bookmarkStart w:id="313" w:name="_Ref430010490"/>
      <w:r>
        <w:t>NRC</w:t>
      </w:r>
      <w:r w:rsidRPr="006647C3">
        <w:t>, “Results of Evaluation of Emergency Planning for Evolutionary and Advanced Reactors,” SECY</w:t>
      </w:r>
      <w:r w:rsidR="00350F17">
        <w:noBreakHyphen/>
      </w:r>
      <w:r w:rsidRPr="006647C3">
        <w:t>97</w:t>
      </w:r>
      <w:r w:rsidR="00350F17">
        <w:noBreakHyphen/>
      </w:r>
      <w:r w:rsidRPr="006647C3">
        <w:t>020, January 27, 1997, ADAMS Accession No.</w:t>
      </w:r>
      <w:r w:rsidR="00350F17">
        <w:t> </w:t>
      </w:r>
      <w:r w:rsidRPr="006647C3">
        <w:t>ML992920024</w:t>
      </w:r>
      <w:r>
        <w:t>.</w:t>
      </w:r>
    </w:p>
    <w:p w:rsidR="009128E1" w:rsidP="008440FA" w14:paraId="3B313148" w14:textId="77777777">
      <w:pPr>
        <w:spacing w:line="240" w:lineRule="auto"/>
      </w:pPr>
    </w:p>
    <w:p w:rsidR="009128E1" w:rsidP="008440FA" w14:paraId="693C57D1" w14:textId="45C33D37">
      <w:pPr>
        <w:spacing w:line="240" w:lineRule="auto"/>
      </w:pPr>
      <w:r>
        <w:t>NRC</w:t>
      </w:r>
      <w:r w:rsidRPr="006647C3">
        <w:t>, “Staff Requirements—SECY</w:t>
      </w:r>
      <w:r w:rsidR="00181A59">
        <w:noBreakHyphen/>
      </w:r>
      <w:r w:rsidRPr="006647C3">
        <w:t>04</w:t>
      </w:r>
      <w:r w:rsidR="00181A59">
        <w:noBreakHyphen/>
      </w:r>
      <w:r w:rsidRPr="006647C3">
        <w:t xml:space="preserve">0236—Southern Nuclear Operating Company’s Proposal </w:t>
      </w:r>
      <w:r w:rsidR="000C0EAA">
        <w:t>to</w:t>
      </w:r>
      <w:r w:rsidRPr="006647C3">
        <w:t xml:space="preserve"> Establish a Common Emergency Operating Facility at </w:t>
      </w:r>
      <w:r w:rsidR="00350F17">
        <w:t>I</w:t>
      </w:r>
      <w:r w:rsidRPr="006647C3">
        <w:t>ts Corporate Headquarters,” SRM</w:t>
      </w:r>
      <w:r>
        <w:noBreakHyphen/>
      </w:r>
      <w:r w:rsidRPr="006647C3">
        <w:t>SECY</w:t>
      </w:r>
      <w:r w:rsidR="00181A59">
        <w:noBreakHyphen/>
      </w:r>
      <w:r w:rsidRPr="006647C3">
        <w:t>04</w:t>
      </w:r>
      <w:r w:rsidR="00181A59">
        <w:noBreakHyphen/>
      </w:r>
      <w:r w:rsidRPr="006647C3">
        <w:t>0236, February</w:t>
      </w:r>
      <w:r w:rsidR="00181A59">
        <w:t> </w:t>
      </w:r>
      <w:r w:rsidRPr="006647C3">
        <w:t>23,</w:t>
      </w:r>
      <w:r w:rsidR="00181A59">
        <w:t> </w:t>
      </w:r>
      <w:r w:rsidRPr="006647C3">
        <w:t>2005, ADAMS Accession No.</w:t>
      </w:r>
      <w:r w:rsidR="00350F17">
        <w:t> </w:t>
      </w:r>
      <w:r w:rsidRPr="006647C3">
        <w:t>ML050550131</w:t>
      </w:r>
      <w:r>
        <w:t>.</w:t>
      </w:r>
    </w:p>
    <w:bookmarkEnd w:id="313"/>
    <w:p w:rsidR="009128E1" w:rsidP="008440FA" w14:paraId="4B01E3C3" w14:textId="77777777">
      <w:pPr>
        <w:spacing w:line="240" w:lineRule="auto"/>
      </w:pPr>
    </w:p>
    <w:p w:rsidR="009128E1" w:rsidP="008440FA" w14:paraId="228B8CD4" w14:textId="0017EF87">
      <w:pPr>
        <w:spacing w:line="240" w:lineRule="auto"/>
      </w:pPr>
      <w:r>
        <w:t>NRC</w:t>
      </w:r>
      <w:r w:rsidRPr="006647C3">
        <w:t>, “Results of the Review of Emergency Preparedness Regulations and Guidance,” SECY</w:t>
      </w:r>
      <w:r w:rsidR="00350F17">
        <w:noBreakHyphen/>
      </w:r>
      <w:r w:rsidRPr="006647C3">
        <w:t>06</w:t>
      </w:r>
      <w:r w:rsidR="00350F17">
        <w:noBreakHyphen/>
      </w:r>
      <w:r w:rsidRPr="006647C3">
        <w:t>0200, September</w:t>
      </w:r>
      <w:r w:rsidR="00181A59">
        <w:t> </w:t>
      </w:r>
      <w:r w:rsidRPr="006647C3">
        <w:t>20,</w:t>
      </w:r>
      <w:r w:rsidR="00181A59">
        <w:t> </w:t>
      </w:r>
      <w:r w:rsidRPr="006647C3">
        <w:t>2006, ADAMS Accession No.</w:t>
      </w:r>
      <w:r w:rsidR="00350F17">
        <w:t> </w:t>
      </w:r>
      <w:r w:rsidRPr="006647C3">
        <w:t>ML061910707.</w:t>
      </w:r>
    </w:p>
    <w:p w:rsidR="009128E1" w:rsidP="008440FA" w14:paraId="74B12D28" w14:textId="4B036EF6">
      <w:pPr>
        <w:spacing w:line="240" w:lineRule="auto"/>
      </w:pPr>
    </w:p>
    <w:p w:rsidR="009128E1" w:rsidP="008440FA" w14:paraId="52B5BE3C" w14:textId="6669F6DA">
      <w:pPr>
        <w:spacing w:line="240" w:lineRule="auto"/>
      </w:pPr>
      <w:r>
        <w:t>NRC</w:t>
      </w:r>
      <w:r w:rsidRPr="006647C3">
        <w:t>, “Development of an Emergency Planning and Preparedness Framework for Small Modular Reactors,” SECY</w:t>
      </w:r>
      <w:r w:rsidR="00350F17">
        <w:noBreakHyphen/>
      </w:r>
      <w:r w:rsidRPr="006647C3">
        <w:t>11</w:t>
      </w:r>
      <w:r w:rsidR="00350F17">
        <w:noBreakHyphen/>
      </w:r>
      <w:r w:rsidRPr="006647C3">
        <w:t>0152, October</w:t>
      </w:r>
      <w:r w:rsidR="00350F17">
        <w:t> </w:t>
      </w:r>
      <w:r w:rsidRPr="006647C3">
        <w:t>28,</w:t>
      </w:r>
      <w:r w:rsidR="00350F17">
        <w:t> </w:t>
      </w:r>
      <w:r w:rsidRPr="006647C3">
        <w:t>2011, ADAMS Accession No.</w:t>
      </w:r>
      <w:r w:rsidR="00350F17">
        <w:t> </w:t>
      </w:r>
      <w:r w:rsidRPr="006647C3">
        <w:t>ML112570439</w:t>
      </w:r>
      <w:r>
        <w:t>.</w:t>
      </w:r>
    </w:p>
    <w:p w:rsidR="009128E1" w:rsidP="008440FA" w14:paraId="214FD47F" w14:textId="77777777">
      <w:pPr>
        <w:spacing w:line="240" w:lineRule="auto"/>
      </w:pPr>
    </w:p>
    <w:p w:rsidR="009128E1" w:rsidRPr="00A76019" w:rsidP="008440FA" w14:paraId="0E97D7AB" w14:textId="6561D594">
      <w:pPr>
        <w:spacing w:line="240" w:lineRule="auto"/>
      </w:pPr>
      <w:r w:rsidRPr="00CE3367">
        <w:t>NRC, “Final Interim Staff Guidance Augmenting NUREG</w:t>
      </w:r>
      <w:r w:rsidR="00181A59">
        <w:noBreakHyphen/>
      </w:r>
      <w:r w:rsidRPr="00CE3367">
        <w:t>1537, Part</w:t>
      </w:r>
      <w:r w:rsidR="00181A59">
        <w:t> </w:t>
      </w:r>
      <w:r w:rsidRPr="00CE3367">
        <w:t xml:space="preserve">1, ‘Guidelines for Preparing and Reviewing Applications for the Licensing of Non-Power Reactors:  Format and Content,’ for Licensing Radioisotope Production Facilities and Aqueous Homogeneous Reactors,” </w:t>
      </w:r>
      <w:r w:rsidRPr="00A76019">
        <w:t>October 17,</w:t>
      </w:r>
      <w:r w:rsidR="00181A59">
        <w:t> </w:t>
      </w:r>
      <w:r w:rsidRPr="00A76019">
        <w:t>2012a, ADAMS Accession No.</w:t>
      </w:r>
      <w:r w:rsidRPr="00A76019" w:rsidR="00350F17">
        <w:t> </w:t>
      </w:r>
      <w:r w:rsidRPr="00A76019">
        <w:t>ML12156A069.</w:t>
      </w:r>
    </w:p>
    <w:p w:rsidR="009128E1" w:rsidRPr="00A76019" w:rsidP="008440FA" w14:paraId="72397231" w14:textId="77777777">
      <w:pPr>
        <w:spacing w:line="240" w:lineRule="auto"/>
      </w:pPr>
    </w:p>
    <w:p w:rsidR="009128E1" w:rsidP="008440FA" w14:paraId="20DEAF0C" w14:textId="104F15E5">
      <w:pPr>
        <w:spacing w:line="240" w:lineRule="auto"/>
      </w:pPr>
      <w:r w:rsidRPr="00A76019">
        <w:t>NRC</w:t>
      </w:r>
      <w:r w:rsidR="00842019">
        <w:t>,</w:t>
      </w:r>
      <w:r w:rsidRPr="00A76019">
        <w:t xml:space="preserve"> “Final Interim Staff Guidance Augmenting NUREG</w:t>
      </w:r>
      <w:r w:rsidR="00181A59">
        <w:noBreakHyphen/>
      </w:r>
      <w:r w:rsidRPr="00A76019">
        <w:t>1537, Part</w:t>
      </w:r>
      <w:r w:rsidR="00181A59">
        <w:t> </w:t>
      </w:r>
      <w:r w:rsidRPr="00A76019">
        <w:t>2, ‘Guidelines for Preparing and Reviewing Applications for the Licensing of Non-Power Reactors:  Standard Review Plan and Acceptance</w:t>
      </w:r>
      <w:r w:rsidRPr="006647C3">
        <w:t xml:space="preserve"> Criteria,’ for Licensing Radioisotope Production Facilities and Aqueous Homogeneous Reactors,” October</w:t>
      </w:r>
      <w:r w:rsidR="00181A59">
        <w:t> </w:t>
      </w:r>
      <w:r w:rsidRPr="006647C3">
        <w:t>17,</w:t>
      </w:r>
      <w:r w:rsidR="00181A59">
        <w:t> </w:t>
      </w:r>
      <w:r w:rsidRPr="006647C3">
        <w:t>2012</w:t>
      </w:r>
      <w:r>
        <w:t>b</w:t>
      </w:r>
      <w:r w:rsidRPr="006647C3">
        <w:t>, ADAMS Accession No.</w:t>
      </w:r>
      <w:r w:rsidR="00350F17">
        <w:t> </w:t>
      </w:r>
      <w:r w:rsidRPr="006647C3">
        <w:t>ML12156A075.</w:t>
      </w:r>
    </w:p>
    <w:p w:rsidR="009128E1" w:rsidP="008440FA" w14:paraId="19EE32E8" w14:textId="12411C4E">
      <w:pPr>
        <w:spacing w:line="240" w:lineRule="auto"/>
      </w:pPr>
    </w:p>
    <w:p w:rsidR="009128E1" w:rsidP="008440FA" w14:paraId="6223B610" w14:textId="53626C29">
      <w:pPr>
        <w:spacing w:line="240" w:lineRule="auto"/>
      </w:pPr>
      <w:r>
        <w:t>NRC</w:t>
      </w:r>
      <w:r w:rsidRPr="006647C3">
        <w:t>, “Performance-Based Framework for Nuclear Power Plant Emergency Preparedness Oversight,” SECY</w:t>
      </w:r>
      <w:r w:rsidR="00993A4B">
        <w:noBreakHyphen/>
      </w:r>
      <w:r w:rsidRPr="006647C3">
        <w:t>14</w:t>
      </w:r>
      <w:r w:rsidR="00993A4B">
        <w:noBreakHyphen/>
      </w:r>
      <w:r w:rsidRPr="006647C3">
        <w:t>0038, April</w:t>
      </w:r>
      <w:r w:rsidR="00181A59">
        <w:t> </w:t>
      </w:r>
      <w:r w:rsidRPr="006647C3">
        <w:t>4,</w:t>
      </w:r>
      <w:r w:rsidR="00181A59">
        <w:t> </w:t>
      </w:r>
      <w:r w:rsidRPr="006647C3">
        <w:t>2014</w:t>
      </w:r>
      <w:r>
        <w:t>a</w:t>
      </w:r>
      <w:r w:rsidRPr="006647C3">
        <w:t>, ADAMS Accession No.</w:t>
      </w:r>
      <w:r w:rsidR="00993A4B">
        <w:t> </w:t>
      </w:r>
      <w:r w:rsidRPr="006647C3">
        <w:t>ML13238A018.</w:t>
      </w:r>
    </w:p>
    <w:p w:rsidR="009128E1" w:rsidP="008440FA" w14:paraId="0F0C5E1B" w14:textId="77777777">
      <w:pPr>
        <w:spacing w:line="240" w:lineRule="auto"/>
      </w:pPr>
    </w:p>
    <w:p w:rsidR="009128E1" w:rsidP="008440FA" w14:paraId="6882E090" w14:textId="1CA8D925">
      <w:pPr>
        <w:spacing w:line="240" w:lineRule="auto"/>
      </w:pPr>
      <w:r>
        <w:t>NRC</w:t>
      </w:r>
      <w:r w:rsidRPr="006647C3">
        <w:t>, “Staff Requirements—</w:t>
      </w:r>
      <w:r w:rsidRPr="006647C3">
        <w:rPr>
          <w:bCs/>
        </w:rPr>
        <w:t>SECY</w:t>
      </w:r>
      <w:r w:rsidR="00181A59">
        <w:noBreakHyphen/>
      </w:r>
      <w:r w:rsidRPr="006647C3">
        <w:rPr>
          <w:bCs/>
        </w:rPr>
        <w:t>14</w:t>
      </w:r>
      <w:r w:rsidR="00181A59">
        <w:noBreakHyphen/>
      </w:r>
      <w:r w:rsidRPr="006647C3">
        <w:rPr>
          <w:bCs/>
        </w:rPr>
        <w:t>0038</w:t>
      </w:r>
      <w:r w:rsidRPr="006647C3">
        <w:t>—Performance-Based Framework for Nuclear Power Plant Emergency Preparedness Oversight,” SRM</w:t>
      </w:r>
      <w:r w:rsidRPr="006647C3">
        <w:noBreakHyphen/>
        <w:t>SECY</w:t>
      </w:r>
      <w:r w:rsidRPr="006647C3">
        <w:noBreakHyphen/>
        <w:t>14</w:t>
      </w:r>
      <w:r w:rsidRPr="006647C3">
        <w:noBreakHyphen/>
        <w:t>0038, September</w:t>
      </w:r>
      <w:r w:rsidR="00181A59">
        <w:t> </w:t>
      </w:r>
      <w:r w:rsidRPr="006647C3">
        <w:t>16,</w:t>
      </w:r>
      <w:r w:rsidR="00181A59">
        <w:t> </w:t>
      </w:r>
      <w:r w:rsidRPr="006647C3">
        <w:t>2014</w:t>
      </w:r>
      <w:r>
        <w:t>b</w:t>
      </w:r>
      <w:r w:rsidRPr="006647C3">
        <w:t>, ADAMS Accession No.</w:t>
      </w:r>
      <w:r w:rsidR="00181A59">
        <w:t> </w:t>
      </w:r>
      <w:r w:rsidRPr="006647C3">
        <w:t>ML14259A589.</w:t>
      </w:r>
    </w:p>
    <w:p w:rsidR="009128E1" w:rsidP="008440FA" w14:paraId="7FEDDB56" w14:textId="77777777">
      <w:pPr>
        <w:spacing w:line="240" w:lineRule="auto"/>
      </w:pPr>
    </w:p>
    <w:p w:rsidR="009128E1" w:rsidP="008440FA" w14:paraId="63046914" w14:textId="3866D20A">
      <w:pPr>
        <w:spacing w:line="240" w:lineRule="auto"/>
      </w:pPr>
      <w:r>
        <w:t>NRC</w:t>
      </w:r>
      <w:r w:rsidRPr="006647C3">
        <w:t>, “Options for Emergency Preparedness for Small Modular Reactors and Other New Technologies,” SECY</w:t>
      </w:r>
      <w:r w:rsidR="00993A4B">
        <w:noBreakHyphen/>
      </w:r>
      <w:r w:rsidRPr="006647C3">
        <w:t>15</w:t>
      </w:r>
      <w:r w:rsidR="00993A4B">
        <w:noBreakHyphen/>
      </w:r>
      <w:r w:rsidRPr="006647C3">
        <w:t>0077, May</w:t>
      </w:r>
      <w:r w:rsidR="00181A59">
        <w:t> </w:t>
      </w:r>
      <w:r w:rsidRPr="006647C3">
        <w:t>29,</w:t>
      </w:r>
      <w:r w:rsidR="00181A59">
        <w:t> </w:t>
      </w:r>
      <w:r w:rsidRPr="006647C3">
        <w:t>2015</w:t>
      </w:r>
      <w:r w:rsidR="001378FC">
        <w:t>a</w:t>
      </w:r>
      <w:r w:rsidRPr="006647C3">
        <w:t>, ADAMS Accession No.</w:t>
      </w:r>
      <w:r w:rsidR="00993A4B">
        <w:t> </w:t>
      </w:r>
      <w:r w:rsidRPr="006647C3">
        <w:t>ML15037A176.</w:t>
      </w:r>
    </w:p>
    <w:p w:rsidR="009128E1" w:rsidP="008440FA" w14:paraId="3B400167" w14:textId="77777777">
      <w:pPr>
        <w:spacing w:line="240" w:lineRule="auto"/>
      </w:pPr>
    </w:p>
    <w:p w:rsidR="009128E1" w:rsidP="008440FA" w14:paraId="21829DCB" w14:textId="406DBF02">
      <w:pPr>
        <w:spacing w:line="240" w:lineRule="auto"/>
      </w:pPr>
      <w:r>
        <w:t>NRC</w:t>
      </w:r>
      <w:r w:rsidRPr="006647C3">
        <w:t>, “Staff Requirements—SECY</w:t>
      </w:r>
      <w:r w:rsidR="00181A59">
        <w:noBreakHyphen/>
      </w:r>
      <w:r w:rsidRPr="006647C3">
        <w:t>15</w:t>
      </w:r>
      <w:r w:rsidR="00181A59">
        <w:noBreakHyphen/>
      </w:r>
      <w:r w:rsidRPr="006647C3">
        <w:t>0077—Options for Emergency Preparedness for Small Modular Reactors and Other New Technologies,” SRM</w:t>
      </w:r>
      <w:r w:rsidR="00993A4B">
        <w:noBreakHyphen/>
      </w:r>
      <w:r w:rsidRPr="006647C3">
        <w:t>SECY</w:t>
      </w:r>
      <w:r w:rsidR="00993A4B">
        <w:noBreakHyphen/>
      </w:r>
      <w:r w:rsidRPr="006647C3">
        <w:t>15</w:t>
      </w:r>
      <w:r w:rsidR="00993A4B">
        <w:noBreakHyphen/>
      </w:r>
      <w:r w:rsidRPr="006647C3">
        <w:t>0077, August</w:t>
      </w:r>
      <w:r w:rsidR="00993A4B">
        <w:t> </w:t>
      </w:r>
      <w:r w:rsidRPr="006647C3">
        <w:t>4,</w:t>
      </w:r>
      <w:r w:rsidR="00993A4B">
        <w:t> </w:t>
      </w:r>
      <w:r w:rsidRPr="006647C3">
        <w:t>2015</w:t>
      </w:r>
      <w:r w:rsidR="00C07FB0">
        <w:t>b</w:t>
      </w:r>
      <w:r w:rsidRPr="006647C3">
        <w:t>, ADAMS Accession No.</w:t>
      </w:r>
      <w:r w:rsidR="00181A59">
        <w:t> </w:t>
      </w:r>
      <w:r w:rsidRPr="006647C3">
        <w:t>ML15216A492.</w:t>
      </w:r>
    </w:p>
    <w:p w:rsidR="009128E1" w:rsidP="008440FA" w14:paraId="2AEC3244" w14:textId="77777777">
      <w:pPr>
        <w:spacing w:line="240" w:lineRule="auto"/>
      </w:pPr>
    </w:p>
    <w:p w:rsidR="009128E1" w:rsidP="008440FA" w14:paraId="4251130D" w14:textId="703499F1">
      <w:pPr>
        <w:spacing w:line="240" w:lineRule="auto"/>
      </w:pPr>
      <w:r>
        <w:t>NRC</w:t>
      </w:r>
      <w:r w:rsidRPr="006647C3">
        <w:t>, “Rulemaking Plan on Emergency Preparedness for Small Modular Reactors and Other New Technologies,” SECY</w:t>
      </w:r>
      <w:r w:rsidRPr="006647C3">
        <w:noBreakHyphen/>
        <w:t>16</w:t>
      </w:r>
      <w:r w:rsidRPr="006647C3">
        <w:noBreakHyphen/>
        <w:t>0069, May</w:t>
      </w:r>
      <w:r w:rsidR="00993A4B">
        <w:t> </w:t>
      </w:r>
      <w:r w:rsidRPr="006647C3">
        <w:t>31,</w:t>
      </w:r>
      <w:r w:rsidR="00993A4B">
        <w:t> </w:t>
      </w:r>
      <w:r w:rsidRPr="006647C3">
        <w:t>2016</w:t>
      </w:r>
      <w:r>
        <w:t>a</w:t>
      </w:r>
      <w:r w:rsidRPr="006647C3">
        <w:t>, ADAMS Accession No.</w:t>
      </w:r>
      <w:r w:rsidR="00993A4B">
        <w:t> </w:t>
      </w:r>
      <w:r w:rsidRPr="006647C3">
        <w:t>ML16020A388.</w:t>
      </w:r>
    </w:p>
    <w:p w:rsidR="009128E1" w:rsidP="008440FA" w14:paraId="3B54A3FA" w14:textId="77777777">
      <w:pPr>
        <w:spacing w:line="240" w:lineRule="auto"/>
      </w:pPr>
    </w:p>
    <w:p w:rsidR="009128E1" w:rsidP="008440FA" w14:paraId="392387E3" w14:textId="01CF196D">
      <w:pPr>
        <w:spacing w:line="240" w:lineRule="auto"/>
      </w:pPr>
      <w:r>
        <w:t>NRC</w:t>
      </w:r>
      <w:r w:rsidRPr="006647C3">
        <w:t>, “Staff Requirements—SECY</w:t>
      </w:r>
      <w:r w:rsidR="00181A59">
        <w:noBreakHyphen/>
      </w:r>
      <w:r w:rsidRPr="006647C3">
        <w:t>16</w:t>
      </w:r>
      <w:r w:rsidR="00181A59">
        <w:noBreakHyphen/>
      </w:r>
      <w:r w:rsidRPr="006647C3">
        <w:t>0069—Rulemaking Plan on Emergency Preparedness for Small Modular Reactors and Other New Technologies,” SRM</w:t>
      </w:r>
      <w:r w:rsidR="00993A4B">
        <w:noBreakHyphen/>
      </w:r>
      <w:r w:rsidRPr="006647C3">
        <w:t>SECY</w:t>
      </w:r>
      <w:r w:rsidR="00993A4B">
        <w:noBreakHyphen/>
      </w:r>
      <w:r w:rsidRPr="006647C3">
        <w:t>16</w:t>
      </w:r>
      <w:r w:rsidR="00993A4B">
        <w:noBreakHyphen/>
      </w:r>
      <w:r w:rsidRPr="006647C3">
        <w:t>0069, June</w:t>
      </w:r>
      <w:r w:rsidR="00993A4B">
        <w:t> </w:t>
      </w:r>
      <w:r w:rsidRPr="006647C3">
        <w:t>22,</w:t>
      </w:r>
      <w:r w:rsidR="00993A4B">
        <w:t> </w:t>
      </w:r>
      <w:r w:rsidRPr="006647C3">
        <w:t>2016</w:t>
      </w:r>
      <w:r>
        <w:t>b</w:t>
      </w:r>
      <w:r w:rsidRPr="006647C3">
        <w:t>, ADAMS Accession No.</w:t>
      </w:r>
      <w:r w:rsidR="00993A4B">
        <w:t> </w:t>
      </w:r>
      <w:r w:rsidRPr="006647C3">
        <w:t>ML16174A166.</w:t>
      </w:r>
    </w:p>
    <w:p w:rsidR="009128E1" w:rsidP="008440FA" w14:paraId="2320CFAE" w14:textId="77777777">
      <w:pPr>
        <w:spacing w:line="240" w:lineRule="auto"/>
      </w:pPr>
    </w:p>
    <w:p w:rsidR="009128E1" w:rsidP="008440FA" w14:paraId="3CCC133D" w14:textId="297C9CA5">
      <w:pPr>
        <w:spacing w:line="240" w:lineRule="auto"/>
      </w:pPr>
      <w:r>
        <w:t>NRC, “</w:t>
      </w:r>
      <w:r w:rsidRPr="009958B4">
        <w:t xml:space="preserve">NRC Vision and Strategy: </w:t>
      </w:r>
      <w:r w:rsidR="00993A4B">
        <w:t xml:space="preserve"> </w:t>
      </w:r>
      <w:r w:rsidRPr="009958B4">
        <w:t>Safely Achieving Effective and Efficient</w:t>
      </w:r>
      <w:r>
        <w:t xml:space="preserve"> </w:t>
      </w:r>
      <w:r w:rsidRPr="009958B4">
        <w:t>Non</w:t>
      </w:r>
      <w:r w:rsidR="00993A4B">
        <w:noBreakHyphen/>
      </w:r>
      <w:r w:rsidRPr="009958B4">
        <w:t>Light</w:t>
      </w:r>
      <w:r w:rsidR="00993A4B">
        <w:t xml:space="preserve"> </w:t>
      </w:r>
      <w:r w:rsidRPr="009958B4">
        <w:t>Water Reactor Mission Readin</w:t>
      </w:r>
      <w:r>
        <w:t>ess,” December</w:t>
      </w:r>
      <w:r w:rsidR="00181A59">
        <w:t> </w:t>
      </w:r>
      <w:r>
        <w:t xml:space="preserve">2016c, </w:t>
      </w:r>
      <w:r w:rsidRPr="006647C3">
        <w:t>ADAMS Accession No.</w:t>
      </w:r>
      <w:r w:rsidR="00993A4B">
        <w:t> </w:t>
      </w:r>
      <w:r>
        <w:t>ML16356A670.</w:t>
      </w:r>
    </w:p>
    <w:p w:rsidR="009128E1" w:rsidP="008440FA" w14:paraId="51F17154" w14:textId="77777777">
      <w:pPr>
        <w:spacing w:line="240" w:lineRule="auto"/>
      </w:pPr>
    </w:p>
    <w:p w:rsidR="006B1A9F" w:rsidRPr="006B1A9F" w:rsidP="008440FA" w14:paraId="1B31FF22" w14:textId="3CAB28F2">
      <w:pPr>
        <w:spacing w:line="240" w:lineRule="auto"/>
      </w:pPr>
      <w:r w:rsidRPr="006B1A9F">
        <w:t>NRC, “Rulemaking for Emergency Preparedness for Small Modular Reactors and Other New Technologies,”</w:t>
      </w:r>
      <w:r w:rsidR="001E0559">
        <w:t xml:space="preserve"> Final Regulatory Basis,</w:t>
      </w:r>
      <w:r w:rsidRPr="006B1A9F">
        <w:t xml:space="preserve"> September</w:t>
      </w:r>
      <w:r w:rsidR="00993A4B">
        <w:t> </w:t>
      </w:r>
      <w:r w:rsidRPr="006B1A9F">
        <w:t>2017a</w:t>
      </w:r>
      <w:r w:rsidR="00CE3367">
        <w:t xml:space="preserve">, </w:t>
      </w:r>
      <w:r w:rsidRPr="006B1A9F">
        <w:t>ADAMS Accession No.</w:t>
      </w:r>
      <w:r w:rsidR="00993A4B">
        <w:t> </w:t>
      </w:r>
      <w:r w:rsidRPr="006B1A9F">
        <w:t>ML17206A265.</w:t>
      </w:r>
    </w:p>
    <w:p w:rsidR="006B1A9F" w:rsidP="008440FA" w14:paraId="4CA96FC7" w14:textId="77777777">
      <w:pPr>
        <w:spacing w:line="240" w:lineRule="auto"/>
      </w:pPr>
    </w:p>
    <w:p w:rsidR="00FE3D78" w:rsidP="008440FA" w14:paraId="62774175" w14:textId="2C923943">
      <w:pPr>
        <w:spacing w:line="240" w:lineRule="auto"/>
      </w:pPr>
      <w:r w:rsidRPr="00FE3D78">
        <w:t>NRC, “Emergency Planning for Research and Test Reactors</w:t>
      </w:r>
      <w:r w:rsidR="00934DE8">
        <w:t xml:space="preserve"> </w:t>
      </w:r>
      <w:r w:rsidR="00934DE8">
        <w:rPr>
          <w:lang w:val="en"/>
        </w:rPr>
        <w:t>and Other Non</w:t>
      </w:r>
      <w:r w:rsidR="00CE3367">
        <w:rPr>
          <w:lang w:val="en"/>
        </w:rPr>
        <w:noBreakHyphen/>
      </w:r>
      <w:r w:rsidR="00934DE8">
        <w:rPr>
          <w:lang w:val="en"/>
        </w:rPr>
        <w:t>Power Production and Utilization Facilities</w:t>
      </w:r>
      <w:r w:rsidRPr="00FE3D78">
        <w:t>,” Regulatory Guide</w:t>
      </w:r>
      <w:r w:rsidR="00CE3367">
        <w:t> </w:t>
      </w:r>
      <w:r w:rsidRPr="00FE3D78">
        <w:t>2.6, Revision </w:t>
      </w:r>
      <w:r w:rsidR="006B1A9F">
        <w:t>2, September</w:t>
      </w:r>
      <w:r w:rsidR="00CE3367">
        <w:t> </w:t>
      </w:r>
      <w:r w:rsidR="006B1A9F">
        <w:t>2017b</w:t>
      </w:r>
      <w:r w:rsidRPr="00FE3D78">
        <w:t>, ADAMS Accession No.</w:t>
      </w:r>
      <w:r w:rsidR="00CE3367">
        <w:t> </w:t>
      </w:r>
      <w:r w:rsidRPr="00FE3D78">
        <w:t>ML17263A472.</w:t>
      </w:r>
    </w:p>
    <w:p w:rsidR="00245927" w:rsidRPr="00FE3D78" w:rsidP="008440FA" w14:paraId="05453808" w14:textId="5B400383">
      <w:pPr>
        <w:spacing w:line="240" w:lineRule="auto"/>
      </w:pPr>
      <w:r w:rsidRPr="007A56C3">
        <w:t>NRC, “Committee to Review Generic Requirements</w:t>
      </w:r>
      <w:r>
        <w:t xml:space="preserve"> Procedures and Internal Administrative Process</w:t>
      </w:r>
      <w:r w:rsidRPr="007A56C3">
        <w:t>,” June 2018.  Available at (ADAMS Accession No.</w:t>
      </w:r>
      <w:r>
        <w:t> </w:t>
      </w:r>
      <w:r w:rsidRPr="00F55A22">
        <w:t>ML17355A533</w:t>
      </w:r>
      <w:r>
        <w:t>).</w:t>
      </w:r>
    </w:p>
    <w:p w:rsidR="00FE3D78" w:rsidRPr="00FE3D78" w:rsidP="008440FA" w14:paraId="141701F8" w14:textId="77777777">
      <w:pPr>
        <w:spacing w:line="240" w:lineRule="auto"/>
      </w:pPr>
    </w:p>
    <w:p w:rsidR="00AC0F88" w:rsidP="00AC0F88" w14:paraId="11E748DE" w14:textId="70E3169B">
      <w:pPr>
        <w:spacing w:line="240" w:lineRule="auto"/>
      </w:pPr>
      <w:r>
        <w:t>NRC,</w:t>
      </w:r>
      <w:r w:rsidRPr="004F502C">
        <w:t xml:space="preserve"> </w:t>
      </w:r>
      <w:r>
        <w:t>2019.  SECY</w:t>
      </w:r>
      <w:r>
        <w:noBreakHyphen/>
        <w:t>19</w:t>
      </w:r>
      <w:r>
        <w:noBreakHyphen/>
        <w:t>0062,</w:t>
      </w:r>
      <w:r w:rsidRPr="00536B75">
        <w:t xml:space="preserve"> “</w:t>
      </w:r>
      <w:r>
        <w:t xml:space="preserve">Final Rule:  </w:t>
      </w:r>
      <w:r w:rsidRPr="00536B75">
        <w:t>Non-Power Production or Utilization Facility License Renewal</w:t>
      </w:r>
      <w:r>
        <w:t>,</w:t>
      </w:r>
      <w:r w:rsidRPr="00536B75">
        <w:t>”</w:t>
      </w:r>
      <w:r>
        <w:t xml:space="preserve"> June 17, 2019.  Available at </w:t>
      </w:r>
      <w:r w:rsidRPr="00994752">
        <w:t>ADAMS</w:t>
      </w:r>
      <w:r w:rsidRPr="00E67BCC">
        <w:t xml:space="preserve"> Accession No.</w:t>
      </w:r>
      <w:r>
        <w:t> </w:t>
      </w:r>
      <w:r w:rsidRPr="00994752">
        <w:t>ML</w:t>
      </w:r>
      <w:r w:rsidRPr="00C923B9">
        <w:t>18031A000</w:t>
      </w:r>
      <w:r w:rsidRPr="00E67BCC">
        <w:t>.</w:t>
      </w:r>
    </w:p>
    <w:p w:rsidR="00AC0F88" w:rsidP="00AC0F88" w14:paraId="52E72DB8" w14:textId="77777777">
      <w:pPr>
        <w:spacing w:line="240" w:lineRule="auto"/>
      </w:pPr>
    </w:p>
    <w:p w:rsidR="00FE3D78" w:rsidP="008440FA" w14:paraId="51B3401D" w14:textId="299862D2">
      <w:pPr>
        <w:spacing w:line="240" w:lineRule="auto"/>
      </w:pPr>
      <w:r w:rsidRPr="00FE3D78">
        <w:t xml:space="preserve">NRC, </w:t>
      </w:r>
      <w:r w:rsidR="002B72FD">
        <w:t xml:space="preserve">2020.  </w:t>
      </w:r>
      <w:r w:rsidRPr="00FE3D78">
        <w:t>“Regulatory Analysis Guidelines of the U.S. Nuclear Regulatory Commission,</w:t>
      </w:r>
      <w:r w:rsidR="00572906">
        <w:t>”</w:t>
      </w:r>
      <w:r w:rsidRPr="00FE3D78">
        <w:t xml:space="preserve"> Draft </w:t>
      </w:r>
      <w:r w:rsidR="009B4FEB">
        <w:t xml:space="preserve">Final </w:t>
      </w:r>
      <w:r w:rsidRPr="00FE3D78">
        <w:t xml:space="preserve">Report, </w:t>
      </w:r>
      <w:r w:rsidRPr="00FE3D78">
        <w:t>NUREG</w:t>
      </w:r>
      <w:r w:rsidRPr="00FE3D78">
        <w:t>/BR</w:t>
      </w:r>
      <w:r w:rsidR="00CE3367">
        <w:noBreakHyphen/>
      </w:r>
      <w:r w:rsidRPr="00FE3D78">
        <w:t xml:space="preserve">0058, </w:t>
      </w:r>
      <w:r w:rsidR="004D4171">
        <w:t xml:space="preserve">draft </w:t>
      </w:r>
      <w:r w:rsidRPr="00FE3D78">
        <w:t>Revision</w:t>
      </w:r>
      <w:r w:rsidR="00CE3367">
        <w:t> </w:t>
      </w:r>
      <w:r w:rsidRPr="00FE3D78">
        <w:t xml:space="preserve">5, </w:t>
      </w:r>
      <w:r w:rsidR="002E5B89">
        <w:t>January 28,</w:t>
      </w:r>
      <w:r w:rsidRPr="00FE3D78">
        <w:t> 20</w:t>
      </w:r>
      <w:r w:rsidR="002B72FD">
        <w:t>20</w:t>
      </w:r>
      <w:r w:rsidR="00181A59">
        <w:t>,</w:t>
      </w:r>
      <w:r w:rsidRPr="00FE3D78">
        <w:t xml:space="preserve"> ADAMS Accession No. </w:t>
      </w:r>
      <w:r w:rsidRPr="00A40F4F" w:rsidR="00A40F4F">
        <w:t>ML19261A277</w:t>
      </w:r>
      <w:r w:rsidRPr="00FE3D78">
        <w:t>.</w:t>
      </w:r>
    </w:p>
    <w:p w:rsidR="00FE3D78" w:rsidP="008440FA" w14:paraId="47BE16A3" w14:textId="2C7E011D">
      <w:pPr>
        <w:spacing w:line="240" w:lineRule="auto"/>
      </w:pPr>
    </w:p>
    <w:p w:rsidR="00AC0F88" w:rsidP="00AC0F88" w14:paraId="76A5C880" w14:textId="24682E86">
      <w:pPr>
        <w:spacing w:line="240" w:lineRule="auto"/>
      </w:pPr>
      <w:r>
        <w:t xml:space="preserve">NRC, </w:t>
      </w:r>
      <w:r w:rsidRPr="00187BD5">
        <w:t xml:space="preserve">“Performance-Based Emergency Preparedness </w:t>
      </w:r>
      <w:r>
        <w:t>f</w:t>
      </w:r>
      <w:r w:rsidRPr="00187BD5">
        <w:t>or Small Modular Reactors, Non-Light</w:t>
      </w:r>
      <w:r>
        <w:t>-</w:t>
      </w:r>
      <w:r w:rsidRPr="00187BD5">
        <w:t>Water Reactors, and Non-Power Produ</w:t>
      </w:r>
      <w:r>
        <w:t>ction or Utilization Facilities,</w:t>
      </w:r>
      <w:r w:rsidRPr="00187BD5">
        <w:t>”</w:t>
      </w:r>
      <w:r>
        <w:t xml:space="preserve"> Regulatory Guide 1.242, Revision 0, </w:t>
      </w:r>
      <w:r w:rsidR="00E86F97">
        <w:t>2022</w:t>
      </w:r>
      <w:r>
        <w:t xml:space="preserve">, ADAMS Accession No. </w:t>
      </w:r>
      <w:r w:rsidRPr="003F653C">
        <w:t>ML20345A345</w:t>
      </w:r>
      <w:r>
        <w:t>.</w:t>
      </w:r>
    </w:p>
    <w:p w:rsidR="00734AC3" w:rsidP="008440FA" w14:paraId="6A6EF8BB" w14:textId="77777777">
      <w:pPr>
        <w:spacing w:line="240" w:lineRule="auto"/>
      </w:pPr>
    </w:p>
    <w:p w:rsidR="00475B30" w:rsidRPr="004A7CC5" w:rsidP="008440FA" w14:paraId="36F211CB" w14:textId="0B8EFAA1">
      <w:pPr>
        <w:spacing w:line="240" w:lineRule="auto"/>
      </w:pPr>
      <w:r>
        <w:t>Office of Management and Budget (</w:t>
      </w:r>
      <w:r w:rsidRPr="00475B30">
        <w:t>OMB</w:t>
      </w:r>
      <w:r>
        <w:t>)</w:t>
      </w:r>
      <w:r w:rsidRPr="00475B30">
        <w:t xml:space="preserve"> Circular No. A</w:t>
      </w:r>
      <w:r w:rsidRPr="00475B30">
        <w:noBreakHyphen/>
        <w:t>4, “Regulatory Analysis,” September 17, 2003</w:t>
      </w:r>
      <w:r w:rsidR="006D481D">
        <w:t>.</w:t>
      </w:r>
    </w:p>
    <w:p w:rsidR="009128E1" w:rsidRPr="00D3212A" w:rsidP="008440FA" w14:paraId="7B801EE0" w14:textId="77777777">
      <w:pPr>
        <w:spacing w:line="240" w:lineRule="auto"/>
      </w:pPr>
    </w:p>
    <w:bookmarkEnd w:id="308"/>
    <w:bookmarkEnd w:id="309"/>
    <w:p w:rsidR="00951FF7" w:rsidP="008440FA" w14:paraId="56148622" w14:textId="14E93A28">
      <w:pPr>
        <w:spacing w:line="240" w:lineRule="auto"/>
      </w:pPr>
    </w:p>
    <w:p w:rsidR="00951FF7" w:rsidP="008440FA" w14:paraId="5268D0F8" w14:textId="715FA729">
      <w:pPr>
        <w:tabs>
          <w:tab w:val="left" w:pos="2310"/>
        </w:tabs>
        <w:spacing w:line="240" w:lineRule="auto"/>
      </w:pPr>
      <w:r>
        <w:tab/>
      </w:r>
    </w:p>
    <w:p w:rsidR="00951FF7" w:rsidP="008440FA" w14:paraId="2B92D2B8" w14:textId="3AAAAD2B">
      <w:pPr>
        <w:spacing w:line="240" w:lineRule="auto"/>
      </w:pPr>
    </w:p>
    <w:p w:rsidR="009128E1" w:rsidRPr="00951FF7" w:rsidP="008440FA" w14:paraId="40C219AC" w14:textId="77777777">
      <w:pPr>
        <w:spacing w:line="240" w:lineRule="auto"/>
        <w:sectPr w:rsidSect="0026556F">
          <w:headerReference w:type="default" r:id="rId33"/>
          <w:footerReference w:type="default" r:id="rId34"/>
          <w:pgSz w:w="12240" w:h="15840"/>
          <w:pgMar w:top="1440" w:right="1440" w:bottom="1440" w:left="1440" w:header="720" w:footer="720" w:gutter="0"/>
          <w:pgNumType w:start="1"/>
          <w:cols w:space="720"/>
          <w:docGrid w:linePitch="360"/>
        </w:sectPr>
      </w:pPr>
    </w:p>
    <w:p w:rsidR="000D7621" w:rsidP="008440FA" w14:paraId="2C26247D" w14:textId="5BD3C47E">
      <w:pPr>
        <w:pStyle w:val="Heading1"/>
        <w:spacing w:before="0" w:line="240" w:lineRule="auto"/>
        <w:jc w:val="center"/>
      </w:pPr>
      <w:bookmarkStart w:id="314" w:name="_Toc70669529"/>
      <w:bookmarkStart w:id="315" w:name="_Toc85198628"/>
      <w:bookmarkStart w:id="316" w:name="_Toc456098367"/>
      <w:bookmarkStart w:id="317" w:name="_Ref448385102"/>
      <w:bookmarkStart w:id="318" w:name="_Ref448385111"/>
      <w:bookmarkStart w:id="319" w:name="_Ref448385113"/>
      <w:bookmarkStart w:id="320" w:name="_Ref448385138"/>
      <w:bookmarkStart w:id="321" w:name="_Toc457827380"/>
      <w:r w:rsidRPr="00C41D12">
        <w:t xml:space="preserve">APPENDIX </w:t>
      </w:r>
      <w:r>
        <w:t>A</w:t>
      </w:r>
      <w:bookmarkEnd w:id="314"/>
      <w:bookmarkEnd w:id="315"/>
    </w:p>
    <w:p w:rsidR="009128E1" w:rsidP="008440FA" w14:paraId="6C6AA4FC" w14:textId="5C6CBE9A">
      <w:pPr>
        <w:pStyle w:val="Heading1"/>
        <w:spacing w:before="0" w:line="240" w:lineRule="auto"/>
        <w:jc w:val="center"/>
      </w:pPr>
      <w:bookmarkStart w:id="322" w:name="_Toc70669530"/>
      <w:bookmarkStart w:id="323" w:name="_Toc85198629"/>
      <w:r>
        <w:t>HISTORICAL NRC CONSIDERATIONS OF E</w:t>
      </w:r>
      <w:r w:rsidR="000017D7">
        <w:t>MERGENCY PREPAREDNESS</w:t>
      </w:r>
      <w:r>
        <w:t xml:space="preserve"> FOR ADVANCED REACTOR DESIGN</w:t>
      </w:r>
      <w:bookmarkEnd w:id="322"/>
      <w:bookmarkEnd w:id="323"/>
    </w:p>
    <w:p w:rsidR="009128E1" w:rsidRPr="000E791F" w:rsidP="008440FA" w14:paraId="52484132" w14:textId="77777777">
      <w:pPr>
        <w:spacing w:line="240" w:lineRule="auto"/>
      </w:pPr>
    </w:p>
    <w:p w:rsidR="009128E1" w:rsidRPr="00711891" w:rsidP="008440FA" w14:paraId="38F9F980" w14:textId="3A9CEB6A">
      <w:pPr>
        <w:spacing w:line="240" w:lineRule="auto"/>
      </w:pPr>
      <w:r w:rsidRPr="001D1E53">
        <w:t>In SECY</w:t>
      </w:r>
      <w:r w:rsidRPr="001D1E53">
        <w:noBreakHyphen/>
        <w:t>93</w:t>
      </w:r>
      <w:r w:rsidRPr="001D1E53">
        <w:noBreakHyphen/>
        <w:t xml:space="preserve">092, “Issues Pertaining to the Advanced Reactor (PRISM, </w:t>
      </w:r>
      <w:r w:rsidRPr="001D1E53">
        <w:t>MHTGR</w:t>
      </w:r>
      <w:r w:rsidRPr="001D1E53">
        <w:t>, and PIUS) and CANDU 3 Designs and Their Relationship to Current Regulatory Requirements</w:t>
      </w:r>
      <w:r w:rsidR="00011B17">
        <w:t>,</w:t>
      </w:r>
      <w:r w:rsidRPr="001D1E53">
        <w:t>”</w:t>
      </w:r>
      <w:r>
        <w:rPr>
          <w:rStyle w:val="FootnoteReference"/>
          <w:vertAlign w:val="superscript"/>
        </w:rPr>
        <w:footnoteReference w:id="12"/>
      </w:r>
      <w:r w:rsidR="00011B17">
        <w:t xml:space="preserve"> dated April 8, 1993</w:t>
      </w:r>
      <w:r>
        <w:t xml:space="preserve"> (NRC, 1993</w:t>
      </w:r>
      <w:r w:rsidRPr="001D1E53">
        <w:t>), the</w:t>
      </w:r>
      <w:r w:rsidRPr="00711891">
        <w:t xml:space="preserve"> </w:t>
      </w:r>
      <w:r w:rsidR="00A82637">
        <w:t xml:space="preserve">U.S. Nuclear Regulatory Commission (NRC) </w:t>
      </w:r>
      <w:r w:rsidRPr="00711891">
        <w:t xml:space="preserve">staff suggested that </w:t>
      </w:r>
      <w:r w:rsidR="00313792">
        <w:t>the</w:t>
      </w:r>
      <w:r w:rsidRPr="00711891">
        <w:t xml:space="preserve"> existing regulations govern</w:t>
      </w:r>
      <w:r w:rsidR="0038776F">
        <w:t>ing</w:t>
      </w:r>
      <w:r w:rsidRPr="00711891">
        <w:t xml:space="preserve"> </w:t>
      </w:r>
      <w:r w:rsidR="003A6B17">
        <w:t>emergency preparedness (</w:t>
      </w:r>
      <w:r w:rsidRPr="00711891">
        <w:t>EP</w:t>
      </w:r>
      <w:r w:rsidR="003A6B17">
        <w:t>)</w:t>
      </w:r>
      <w:r w:rsidRPr="00711891">
        <w:t xml:space="preserve"> for advanced reactors </w:t>
      </w:r>
      <w:r w:rsidR="00313792">
        <w:t xml:space="preserve">should not be changed </w:t>
      </w:r>
      <w:r w:rsidRPr="00711891">
        <w:t xml:space="preserve">and stated that regulatory direction would be given at or before the start of the design certification phase </w:t>
      </w:r>
      <w:r w:rsidR="0038776F">
        <w:t>to address</w:t>
      </w:r>
      <w:r w:rsidRPr="00711891">
        <w:t xml:space="preserve"> design implications for EP.</w:t>
      </w:r>
    </w:p>
    <w:p w:rsidR="009128E1" w:rsidRPr="00711891" w:rsidP="008440FA" w14:paraId="68E57146" w14:textId="77777777">
      <w:pPr>
        <w:spacing w:line="240" w:lineRule="auto"/>
      </w:pPr>
    </w:p>
    <w:p w:rsidR="009128E1" w:rsidRPr="00711891" w:rsidP="008440FA" w14:paraId="45377919" w14:textId="77140AEA">
      <w:pPr>
        <w:spacing w:line="240" w:lineRule="auto"/>
      </w:pPr>
      <w:r w:rsidRPr="001D1E53">
        <w:t>In SECY</w:t>
      </w:r>
      <w:r w:rsidR="003A6B17">
        <w:noBreakHyphen/>
      </w:r>
      <w:r w:rsidRPr="001D1E53">
        <w:t>97</w:t>
      </w:r>
      <w:r w:rsidR="003A6B17">
        <w:noBreakHyphen/>
      </w:r>
      <w:r w:rsidRPr="001D1E53">
        <w:t>020, “Results of Evaluation of Emergency Planning for Evolutionary and Advanced Reactors</w:t>
      </w:r>
      <w:r w:rsidR="00A82637">
        <w:t>,</w:t>
      </w:r>
      <w:r w:rsidRPr="001D1E53">
        <w:t>”</w:t>
      </w:r>
      <w:r w:rsidR="00A82637">
        <w:t xml:space="preserve"> dated </w:t>
      </w:r>
      <w:r w:rsidRPr="006647C3" w:rsidR="00A82637">
        <w:t>January</w:t>
      </w:r>
      <w:r w:rsidR="00A82637">
        <w:t> </w:t>
      </w:r>
      <w:r w:rsidRPr="006647C3" w:rsidR="00A82637">
        <w:t>27,</w:t>
      </w:r>
      <w:r w:rsidR="00A82637">
        <w:t> </w:t>
      </w:r>
      <w:r w:rsidRPr="006647C3" w:rsidR="00A82637">
        <w:t>1997</w:t>
      </w:r>
      <w:r w:rsidR="00FE3D78">
        <w:t xml:space="preserve"> (NRC, 1997</w:t>
      </w:r>
      <w:r>
        <w:t xml:space="preserve">), </w:t>
      </w:r>
      <w:r w:rsidRPr="005031ED" w:rsidR="005031ED">
        <w:t>the NRC staff determined that the rationale upon which EP for current reactor designs is based</w:t>
      </w:r>
      <w:r w:rsidR="00FC0923">
        <w:t>—</w:t>
      </w:r>
      <w:r w:rsidRPr="005031ED" w:rsidR="005031ED">
        <w:t>that is, potential consequences from a spectrum of accidents</w:t>
      </w:r>
      <w:r w:rsidR="00FC0923">
        <w:t>—</w:t>
      </w:r>
      <w:r w:rsidRPr="005031ED" w:rsidR="005031ED">
        <w:t xml:space="preserve">is appropriate for use as the basis for EP for evolutionary and passive advanced </w:t>
      </w:r>
      <w:r w:rsidR="000404E8">
        <w:t xml:space="preserve">light-water reactor </w:t>
      </w:r>
      <w:r w:rsidRPr="005031ED" w:rsidR="005031ED">
        <w:t>designs and is consistent with the Commission's defense-in-depth safety philosophy.</w:t>
      </w:r>
    </w:p>
    <w:p w:rsidR="009128E1" w:rsidRPr="001D1E53" w:rsidP="008440FA" w14:paraId="7C2D98C8" w14:textId="77777777">
      <w:pPr>
        <w:spacing w:line="240" w:lineRule="auto"/>
      </w:pPr>
    </w:p>
    <w:p w:rsidR="009128E1" w:rsidRPr="00711891" w:rsidP="008440FA" w14:paraId="7C4B35A7" w14:textId="0C3A3140">
      <w:pPr>
        <w:spacing w:line="240" w:lineRule="auto"/>
      </w:pPr>
      <w:r w:rsidRPr="001D1E53">
        <w:t xml:space="preserve">In </w:t>
      </w:r>
      <w:r w:rsidR="004A274C">
        <w:t>Staff Requirements Memorandum (</w:t>
      </w:r>
      <w:r w:rsidRPr="001D1E53">
        <w:t>SRM</w:t>
      </w:r>
      <w:r w:rsidR="0001329C">
        <w:t>)</w:t>
      </w:r>
      <w:r w:rsidR="004A274C">
        <w:noBreakHyphen/>
      </w:r>
      <w:r w:rsidRPr="001D1E53">
        <w:t>SECY</w:t>
      </w:r>
      <w:r w:rsidR="004A274C">
        <w:noBreakHyphen/>
      </w:r>
      <w:r w:rsidRPr="001D1E53">
        <w:t>04</w:t>
      </w:r>
      <w:r w:rsidR="004A274C">
        <w:noBreakHyphen/>
      </w:r>
      <w:r w:rsidRPr="001D1E53">
        <w:t>0236, “Staff Requirements—SECY</w:t>
      </w:r>
      <w:r w:rsidR="004A274C">
        <w:noBreakHyphen/>
      </w:r>
      <w:r w:rsidRPr="001D1E53">
        <w:t>04</w:t>
      </w:r>
      <w:r w:rsidR="004A274C">
        <w:noBreakHyphen/>
      </w:r>
      <w:r w:rsidRPr="001D1E53">
        <w:t>0236—Southern Nuclear Operating Company’s Proposal</w:t>
      </w:r>
      <w:r w:rsidR="004D4171">
        <w:t xml:space="preserve"> t</w:t>
      </w:r>
      <w:r w:rsidRPr="001D1E53">
        <w:t>o Establish a Common Emergency Operating Facility at its Corporate Headquarters</w:t>
      </w:r>
      <w:r w:rsidR="00441756">
        <w:t>,</w:t>
      </w:r>
      <w:r>
        <w:t>”</w:t>
      </w:r>
      <w:r w:rsidR="00441756">
        <w:t xml:space="preserve"> dated February 23, 2005</w:t>
      </w:r>
      <w:r>
        <w:t xml:space="preserve"> (NRC,</w:t>
      </w:r>
      <w:r w:rsidR="004A274C">
        <w:t> </w:t>
      </w:r>
      <w:r>
        <w:t>2005)</w:t>
      </w:r>
      <w:r w:rsidRPr="001D1E53">
        <w:t>,</w:t>
      </w:r>
      <w:r>
        <w:t xml:space="preserve"> </w:t>
      </w:r>
      <w:r w:rsidRPr="00711891">
        <w:t xml:space="preserve">the Commission </w:t>
      </w:r>
      <w:r>
        <w:t>recognized the importance of performance</w:t>
      </w:r>
      <w:r w:rsidR="004A274C">
        <w:noBreakHyphen/>
      </w:r>
      <w:r>
        <w:t xml:space="preserve">based EP.  </w:t>
      </w:r>
      <w:r w:rsidRPr="001D1E53">
        <w:t>In SECY</w:t>
      </w:r>
      <w:r w:rsidR="004A274C">
        <w:noBreakHyphen/>
      </w:r>
      <w:r w:rsidRPr="001D1E53">
        <w:t>06</w:t>
      </w:r>
      <w:r w:rsidR="004A274C">
        <w:noBreakHyphen/>
      </w:r>
      <w:r w:rsidRPr="001D1E53">
        <w:t>0200, “Results of the Review of Emergency Preparedness Regulations and Guidance</w:t>
      </w:r>
      <w:r w:rsidR="004A274C">
        <w:t>,</w:t>
      </w:r>
      <w:r w:rsidRPr="001D1E53">
        <w:t>”</w:t>
      </w:r>
      <w:r w:rsidR="004A274C">
        <w:t xml:space="preserve"> dated September 20, 2006</w:t>
      </w:r>
      <w:r w:rsidRPr="006647C3">
        <w:t xml:space="preserve"> (</w:t>
      </w:r>
      <w:r>
        <w:t>NRC,</w:t>
      </w:r>
      <w:r w:rsidR="004A274C">
        <w:t> </w:t>
      </w:r>
      <w:r>
        <w:t>2006</w:t>
      </w:r>
      <w:r w:rsidRPr="001D1E53">
        <w:t>), the staff sought Commission approval to explore the feasibility of a voluntary, performance</w:t>
      </w:r>
      <w:r w:rsidR="004A274C">
        <w:noBreakHyphen/>
      </w:r>
      <w:r w:rsidRPr="001D1E53">
        <w:t>based</w:t>
      </w:r>
      <w:r w:rsidRPr="00711891">
        <w:t xml:space="preserve"> EP regulatory regimen.  </w:t>
      </w:r>
      <w:r>
        <w:t>The staff outlined high</w:t>
      </w:r>
      <w:r w:rsidR="004A274C">
        <w:noBreakHyphen/>
      </w:r>
      <w:r>
        <w:t>level concepts for performance</w:t>
      </w:r>
      <w:r w:rsidR="004A274C">
        <w:noBreakHyphen/>
      </w:r>
      <w:r>
        <w:t>based EP in SECY</w:t>
      </w:r>
      <w:r w:rsidR="004A274C">
        <w:noBreakHyphen/>
      </w:r>
      <w:r>
        <w:t>06</w:t>
      </w:r>
      <w:r w:rsidR="004A274C">
        <w:noBreakHyphen/>
      </w:r>
      <w:r>
        <w:t>0200, such as (1)</w:t>
      </w:r>
      <w:r w:rsidR="004A274C">
        <w:t xml:space="preserve"> the </w:t>
      </w:r>
      <w:r>
        <w:t>staff</w:t>
      </w:r>
      <w:r w:rsidR="004A274C">
        <w:t>’s</w:t>
      </w:r>
      <w:r>
        <w:t xml:space="preserve"> </w:t>
      </w:r>
      <w:r w:rsidRPr="00711891">
        <w:t>develop</w:t>
      </w:r>
      <w:r>
        <w:t>ment of</w:t>
      </w:r>
      <w:r w:rsidRPr="00711891">
        <w:t xml:space="preserve"> a set of overarching performance goals to guide the design of </w:t>
      </w:r>
      <w:r>
        <w:t>the performance</w:t>
      </w:r>
      <w:r w:rsidR="004A274C">
        <w:noBreakHyphen/>
      </w:r>
      <w:r>
        <w:t>based framework</w:t>
      </w:r>
      <w:r w:rsidR="004A274C">
        <w:t>,</w:t>
      </w:r>
      <w:r>
        <w:t xml:space="preserve"> (2)</w:t>
      </w:r>
      <w:r w:rsidR="000404E8">
        <w:t> </w:t>
      </w:r>
      <w:r w:rsidR="004A274C">
        <w:t xml:space="preserve">the </w:t>
      </w:r>
      <w:r>
        <w:t>staff</w:t>
      </w:r>
      <w:r w:rsidR="004A274C">
        <w:t>’s</w:t>
      </w:r>
      <w:r>
        <w:t xml:space="preserve"> </w:t>
      </w:r>
      <w:r w:rsidRPr="00711891">
        <w:t>develop</w:t>
      </w:r>
      <w:r>
        <w:t>ment of several</w:t>
      </w:r>
      <w:r w:rsidRPr="00711891">
        <w:t xml:space="preserve"> </w:t>
      </w:r>
      <w:r>
        <w:t xml:space="preserve">key </w:t>
      </w:r>
      <w:r w:rsidRPr="00711891">
        <w:t>performan</w:t>
      </w:r>
      <w:r>
        <w:t>ce indicators to support the performance goals</w:t>
      </w:r>
      <w:r w:rsidR="004A274C">
        <w:t>,</w:t>
      </w:r>
      <w:r>
        <w:t xml:space="preserve"> (3)</w:t>
      </w:r>
      <w:r w:rsidR="004A274C">
        <w:t> </w:t>
      </w:r>
      <w:r>
        <w:t>th</w:t>
      </w:r>
      <w:r w:rsidRPr="00711891">
        <w:t>e on</w:t>
      </w:r>
      <w:r w:rsidR="007E2A8D">
        <w:t>-</w:t>
      </w:r>
      <w:r w:rsidRPr="00711891">
        <w:t xml:space="preserve">shift emergency response </w:t>
      </w:r>
      <w:r>
        <w:t>organization</w:t>
      </w:r>
      <w:r w:rsidR="004A274C">
        <w:t>’s</w:t>
      </w:r>
      <w:r>
        <w:t xml:space="preserve"> perform</w:t>
      </w:r>
      <w:r w:rsidR="004A274C">
        <w:t xml:space="preserve">ance of </w:t>
      </w:r>
      <w:r w:rsidR="003A6B17">
        <w:t xml:space="preserve">the </w:t>
      </w:r>
      <w:r w:rsidRPr="00711891">
        <w:t>many competencies n</w:t>
      </w:r>
      <w:r>
        <w:t>ecessary for emergency response</w:t>
      </w:r>
      <w:r w:rsidR="004A274C">
        <w:t xml:space="preserve">, </w:t>
      </w:r>
      <w:r>
        <w:t>and (4)</w:t>
      </w:r>
      <w:r w:rsidR="004A274C">
        <w:t> </w:t>
      </w:r>
      <w:r>
        <w:t>t</w:t>
      </w:r>
      <w:r w:rsidRPr="00711891">
        <w:t xml:space="preserve">he augmented </w:t>
      </w:r>
      <w:r w:rsidRPr="00711891" w:rsidR="003A6B17">
        <w:t xml:space="preserve">emergency response </w:t>
      </w:r>
      <w:r w:rsidR="003A6B17">
        <w:t>organizations’</w:t>
      </w:r>
      <w:r w:rsidRPr="00711891">
        <w:t xml:space="preserve"> </w:t>
      </w:r>
      <w:r>
        <w:t>perform</w:t>
      </w:r>
      <w:r w:rsidR="00617F11">
        <w:t>ance of</w:t>
      </w:r>
      <w:r w:rsidRPr="00711891">
        <w:t xml:space="preserve"> the emergency response competencies specific to t</w:t>
      </w:r>
      <w:r>
        <w:t>he emergency response facility.</w:t>
      </w:r>
    </w:p>
    <w:p w:rsidR="009128E1" w:rsidRPr="00711891" w:rsidP="008440FA" w14:paraId="6C563164" w14:textId="77777777">
      <w:pPr>
        <w:spacing w:line="240" w:lineRule="auto"/>
      </w:pPr>
    </w:p>
    <w:p w:rsidR="005031ED" w:rsidRPr="005031ED" w:rsidP="008440FA" w14:paraId="7573840A" w14:textId="0884F74B">
      <w:pPr>
        <w:spacing w:line="240" w:lineRule="auto"/>
      </w:pPr>
      <w:r w:rsidRPr="00711891">
        <w:t>Following public meetings with industry</w:t>
      </w:r>
      <w:r>
        <w:t xml:space="preserve"> and</w:t>
      </w:r>
      <w:r w:rsidRPr="00711891">
        <w:t xml:space="preserve"> stakeholders and </w:t>
      </w:r>
      <w:r>
        <w:t xml:space="preserve">a </w:t>
      </w:r>
      <w:r w:rsidRPr="00711891">
        <w:t xml:space="preserve">review of other </w:t>
      </w:r>
      <w:r w:rsidR="003A6B17">
        <w:t>small modular reactor (</w:t>
      </w:r>
      <w:r w:rsidRPr="00711891">
        <w:t>SMR</w:t>
      </w:r>
      <w:r w:rsidR="003A6B17">
        <w:t>)</w:t>
      </w:r>
      <w:r w:rsidRPr="00711891">
        <w:t xml:space="preserve"> issues, the staff issued </w:t>
      </w:r>
      <w:r w:rsidRPr="001D1E53">
        <w:t>SECY</w:t>
      </w:r>
      <w:r w:rsidRPr="001D1E53">
        <w:noBreakHyphen/>
        <w:t>11</w:t>
      </w:r>
      <w:r w:rsidRPr="001D1E53">
        <w:noBreakHyphen/>
        <w:t>0152, “Development of an Emergency Planning and Preparedness Framework for Small Modular Reactors</w:t>
      </w:r>
      <w:r w:rsidR="00767303">
        <w:t>,</w:t>
      </w:r>
      <w:r w:rsidRPr="001D1E53">
        <w:t>”</w:t>
      </w:r>
      <w:r w:rsidR="00767303">
        <w:t xml:space="preserve"> dated </w:t>
      </w:r>
      <w:r w:rsidRPr="006647C3" w:rsidR="00767303">
        <w:t>October</w:t>
      </w:r>
      <w:r w:rsidR="000404E8">
        <w:t> </w:t>
      </w:r>
      <w:r w:rsidRPr="006647C3" w:rsidR="00767303">
        <w:t>28,</w:t>
      </w:r>
      <w:r w:rsidR="000404E8">
        <w:t> </w:t>
      </w:r>
      <w:r w:rsidRPr="006647C3" w:rsidR="00767303">
        <w:t>2011</w:t>
      </w:r>
      <w:r w:rsidRPr="006647C3">
        <w:t xml:space="preserve"> (</w:t>
      </w:r>
      <w:r>
        <w:t>NRC,</w:t>
      </w:r>
      <w:r w:rsidR="00BF08DB">
        <w:t> </w:t>
      </w:r>
      <w:r>
        <w:t>2011)</w:t>
      </w:r>
      <w:r w:rsidRPr="001D1E53">
        <w:t>.</w:t>
      </w:r>
      <w:r>
        <w:t xml:space="preserve"> </w:t>
      </w:r>
      <w:r w:rsidRPr="00711891">
        <w:t xml:space="preserve"> This paper</w:t>
      </w:r>
      <w:r>
        <w:t xml:space="preserve"> </w:t>
      </w:r>
      <w:r w:rsidRPr="005031ED">
        <w:t>informed the Commission of the NRC staff’s proposed actions to develop an emergency planning and preparedness framework for SMR facilities.  In the document, the NRC staff stated its intent to develop a technology-neutral</w:t>
      </w:r>
      <w:r w:rsidR="006D715B">
        <w:t xml:space="preserve"> (now technology-inclusive)</w:t>
      </w:r>
      <w:r w:rsidRPr="005031ED">
        <w:t xml:space="preserve">, dose-based, consequence-oriented EP framework for SMR sites that would </w:t>
      </w:r>
      <w:r w:rsidRPr="005031ED">
        <w:t>take into account</w:t>
      </w:r>
      <w:r w:rsidRPr="005031ED">
        <w:t xml:space="preserve"> the various designs, modularity, and co</w:t>
      </w:r>
      <w:r w:rsidR="00B931C9">
        <w:t>-</w:t>
      </w:r>
      <w:r w:rsidRPr="005031ED">
        <w:t xml:space="preserve">location of these facilities, as well as the size of the </w:t>
      </w:r>
      <w:r w:rsidRPr="005031ED">
        <w:t>EPZs</w:t>
      </w:r>
      <w:r w:rsidRPr="005031ED">
        <w:t xml:space="preserve">.  The staff also stated that “[t]he staff will work with stakeholders to develop general guidance on calculating the offsite </w:t>
      </w:r>
      <w:r w:rsidRPr="005031ED">
        <w:t>dose, and</w:t>
      </w:r>
      <w:r w:rsidRPr="005031ED">
        <w:t xml:space="preserve"> is anticipating that the industry will develop and implement the detailed calculation method for review and approval by the staff.”</w:t>
      </w:r>
    </w:p>
    <w:p w:rsidR="009128E1" w:rsidRPr="00711891" w:rsidP="008440FA" w14:paraId="41B1AE8E" w14:textId="27A626AC">
      <w:pPr>
        <w:spacing w:line="240" w:lineRule="auto"/>
      </w:pPr>
    </w:p>
    <w:p w:rsidR="009128E1" w:rsidP="008440FA" w14:paraId="1DAB27E4" w14:textId="625432A2">
      <w:pPr>
        <w:spacing w:line="240" w:lineRule="auto"/>
      </w:pPr>
      <w:r w:rsidRPr="001D1E53">
        <w:t>In SECY</w:t>
      </w:r>
      <w:r w:rsidR="000404E8">
        <w:noBreakHyphen/>
      </w:r>
      <w:r w:rsidRPr="001D1E53">
        <w:t>14</w:t>
      </w:r>
      <w:r w:rsidR="000404E8">
        <w:noBreakHyphen/>
      </w:r>
      <w:r w:rsidRPr="001D1E53">
        <w:t>0038, “Performance-Based Framework for Nuclear Power Plant Emergency Preparedness Oversight</w:t>
      </w:r>
      <w:r w:rsidR="00802882">
        <w:t>,</w:t>
      </w:r>
      <w:r w:rsidRPr="001D1E53">
        <w:t>”</w:t>
      </w:r>
      <w:r w:rsidR="00802882">
        <w:t xml:space="preserve"> dated April 4, 2014</w:t>
      </w:r>
      <w:r w:rsidRPr="006647C3">
        <w:t xml:space="preserve"> (</w:t>
      </w:r>
      <w:r>
        <w:t>NRC,</w:t>
      </w:r>
      <w:r w:rsidR="00802882">
        <w:t> </w:t>
      </w:r>
      <w:r>
        <w:t>2014a</w:t>
      </w:r>
      <w:r w:rsidRPr="001D1E53">
        <w:t>), the</w:t>
      </w:r>
      <w:r w:rsidRPr="00711891">
        <w:t xml:space="preserve"> staff </w:t>
      </w:r>
      <w:r>
        <w:t>further endorsed and committed to a performance</w:t>
      </w:r>
      <w:r w:rsidR="00DD1C04">
        <w:noBreakHyphen/>
      </w:r>
      <w:r>
        <w:t>based oversight regimen to simplify EP regulations.  However, at that time</w:t>
      </w:r>
      <w:r w:rsidR="00802882">
        <w:t>,</w:t>
      </w:r>
      <w:r>
        <w:t xml:space="preserve"> </w:t>
      </w:r>
      <w:r w:rsidRPr="00711891">
        <w:t xml:space="preserve">the staff recommended that </w:t>
      </w:r>
      <w:r w:rsidR="005E7604">
        <w:t xml:space="preserve">continued use of </w:t>
      </w:r>
      <w:r w:rsidRPr="00711891">
        <w:t>the existing framework with operating plants</w:t>
      </w:r>
      <w:r>
        <w:t xml:space="preserve"> because changing the EP approach for those plants would require significant</w:t>
      </w:r>
      <w:r w:rsidRPr="00711891">
        <w:t xml:space="preserve"> resources</w:t>
      </w:r>
      <w:r w:rsidR="00A345CF">
        <w:t xml:space="preserve"> </w:t>
      </w:r>
      <w:r w:rsidRPr="00711891">
        <w:t>for implementing a performance</w:t>
      </w:r>
      <w:r w:rsidR="00802882">
        <w:noBreakHyphen/>
      </w:r>
      <w:r w:rsidRPr="00711891">
        <w:t xml:space="preserve">based framework and </w:t>
      </w:r>
      <w:r>
        <w:t>could</w:t>
      </w:r>
      <w:r w:rsidRPr="00711891">
        <w:t xml:space="preserve"> in</w:t>
      </w:r>
      <w:r>
        <w:t>tro</w:t>
      </w:r>
      <w:r w:rsidRPr="00711891">
        <w:t>duce regulatory</w:t>
      </w:r>
      <w:r>
        <w:t xml:space="preserve"> uncertainty.  Additionally, the staff recognized that existing EP programs provided reasonable assurance of adequate protection of public health and safety; therefore, the staff recommended maintaining the current EP regimen.</w:t>
      </w:r>
    </w:p>
    <w:p w:rsidR="009128E1" w:rsidP="008440FA" w14:paraId="4A260C27" w14:textId="77777777">
      <w:pPr>
        <w:spacing w:line="240" w:lineRule="auto"/>
      </w:pPr>
    </w:p>
    <w:p w:rsidR="009128E1" w:rsidRPr="00711891" w:rsidP="008440FA" w14:paraId="30AD0218" w14:textId="561A169C">
      <w:pPr>
        <w:spacing w:line="240" w:lineRule="auto"/>
      </w:pPr>
      <w:r w:rsidRPr="001D1E53">
        <w:t>In SRM</w:t>
      </w:r>
      <w:r w:rsidRPr="001D1E53">
        <w:noBreakHyphen/>
        <w:t>SECY</w:t>
      </w:r>
      <w:r w:rsidRPr="001D1E53">
        <w:noBreakHyphen/>
        <w:t>14</w:t>
      </w:r>
      <w:r w:rsidRPr="001D1E53">
        <w:noBreakHyphen/>
        <w:t>0038, “Staff Requirements</w:t>
      </w:r>
      <w:r w:rsidR="00D42FEF">
        <w:t>—</w:t>
      </w:r>
      <w:r w:rsidRPr="001D1E53">
        <w:rPr>
          <w:bCs/>
        </w:rPr>
        <w:t>SECY</w:t>
      </w:r>
      <w:r w:rsidR="000404E8">
        <w:noBreakHyphen/>
      </w:r>
      <w:r w:rsidRPr="001D1E53">
        <w:rPr>
          <w:bCs/>
        </w:rPr>
        <w:t>14</w:t>
      </w:r>
      <w:r w:rsidR="000404E8">
        <w:noBreakHyphen/>
      </w:r>
      <w:r w:rsidRPr="001D1E53">
        <w:rPr>
          <w:bCs/>
        </w:rPr>
        <w:t>0038</w:t>
      </w:r>
      <w:r w:rsidR="00D42FEF">
        <w:rPr>
          <w:bCs/>
        </w:rPr>
        <w:t>—</w:t>
      </w:r>
      <w:r w:rsidRPr="001D1E53">
        <w:t>Performance</w:t>
      </w:r>
      <w:r w:rsidR="00D42FEF">
        <w:noBreakHyphen/>
      </w:r>
      <w:r w:rsidRPr="001D1E53">
        <w:t>Based Framework for Nuclear Power Plant Emergency Preparedness Oversight</w:t>
      </w:r>
      <w:r w:rsidR="00D42FEF">
        <w:t>,</w:t>
      </w:r>
      <w:r w:rsidRPr="001D1E53">
        <w:t>”</w:t>
      </w:r>
      <w:r w:rsidR="00D42FEF">
        <w:t xml:space="preserve"> dated </w:t>
      </w:r>
      <w:r w:rsidRPr="006647C3" w:rsidR="00D42FEF">
        <w:t>September</w:t>
      </w:r>
      <w:r w:rsidR="00D42FEF">
        <w:t> </w:t>
      </w:r>
      <w:r w:rsidRPr="006647C3" w:rsidR="00D42FEF">
        <w:t>16,</w:t>
      </w:r>
      <w:r w:rsidR="00D42FEF">
        <w:t> </w:t>
      </w:r>
      <w:r w:rsidRPr="006647C3" w:rsidR="00D42FEF">
        <w:t>2014</w:t>
      </w:r>
      <w:r w:rsidRPr="001D1E53">
        <w:t xml:space="preserve"> </w:t>
      </w:r>
      <w:r w:rsidRPr="006647C3">
        <w:t>(</w:t>
      </w:r>
      <w:r>
        <w:t>NRC,</w:t>
      </w:r>
      <w:r w:rsidR="00D42FEF">
        <w:t> </w:t>
      </w:r>
      <w:r>
        <w:t>2014b</w:t>
      </w:r>
      <w:r w:rsidRPr="001D1E53">
        <w:t>), the Commission approved the staff’s recommendation and specified that the staff “</w:t>
      </w:r>
      <w:r>
        <w:t xml:space="preserve">should </w:t>
      </w:r>
      <w:r w:rsidRPr="001D1E53">
        <w:t>be vigilant in continuing to assess the NRC’s</w:t>
      </w:r>
      <w:r w:rsidRPr="00711891">
        <w:t xml:space="preserve"> </w:t>
      </w:r>
      <w:r w:rsidR="00C547FC">
        <w:t>EP</w:t>
      </w:r>
      <w:r w:rsidRPr="00711891">
        <w:t xml:space="preserve"> program and should not rule out the possibility of moving to a performance</w:t>
      </w:r>
      <w:r w:rsidR="00D42FEF">
        <w:noBreakHyphen/>
      </w:r>
      <w:r w:rsidRPr="00711891">
        <w:t>based framework in the future.  The Commission notes the potential benefit of a performance</w:t>
      </w:r>
      <w:r w:rsidR="00D42FEF">
        <w:noBreakHyphen/>
      </w:r>
      <w:r w:rsidRPr="00711891">
        <w:t xml:space="preserve">based </w:t>
      </w:r>
      <w:r w:rsidR="00C547FC">
        <w:t>EP</w:t>
      </w:r>
      <w:r w:rsidRPr="00711891">
        <w:t xml:space="preserve"> regimen for </w:t>
      </w:r>
      <w:r w:rsidR="00E2062F">
        <w:t>SMRs</w:t>
      </w:r>
      <w:r w:rsidRPr="00711891">
        <w:t>, and the staff should return to the Commission if it finds that conditions warrant rulemaking.”</w:t>
      </w:r>
    </w:p>
    <w:p w:rsidR="009128E1" w:rsidRPr="00711891" w:rsidP="008440FA" w14:paraId="783628F5" w14:textId="77777777">
      <w:pPr>
        <w:spacing w:line="240" w:lineRule="auto"/>
      </w:pPr>
    </w:p>
    <w:p w:rsidR="009128E1" w:rsidRPr="00711891" w:rsidP="008440FA" w14:paraId="50CE41D4" w14:textId="233F15E9">
      <w:pPr>
        <w:spacing w:line="240" w:lineRule="auto"/>
      </w:pPr>
      <w:r w:rsidRPr="00711891">
        <w:t xml:space="preserve">In 2015, the staff sought </w:t>
      </w:r>
      <w:r w:rsidRPr="001D1E53">
        <w:t xml:space="preserve">Commission approval to initiate rulemaking to revise EP regulations and guidance for </w:t>
      </w:r>
      <w:r w:rsidRPr="000A5248">
        <w:t>SMRs</w:t>
      </w:r>
      <w:r>
        <w:t>, non</w:t>
      </w:r>
      <w:r w:rsidR="001A77C7">
        <w:noBreakHyphen/>
      </w:r>
      <w:r w:rsidR="00C547FC">
        <w:t>LWRs</w:t>
      </w:r>
      <w:r>
        <w:t>,</w:t>
      </w:r>
      <w:r w:rsidRPr="000A5248">
        <w:t xml:space="preserve"> and medical </w:t>
      </w:r>
      <w:r w:rsidR="00315E20">
        <w:t>radio</w:t>
      </w:r>
      <w:r w:rsidRPr="000A5248">
        <w:t>isotope facilities</w:t>
      </w:r>
      <w:r w:rsidRPr="001D1E53">
        <w:t>.  In SECY</w:t>
      </w:r>
      <w:r w:rsidR="00DD1C04">
        <w:noBreakHyphen/>
      </w:r>
      <w:r w:rsidRPr="001D1E53">
        <w:t>15</w:t>
      </w:r>
      <w:r w:rsidR="00DD1C04">
        <w:noBreakHyphen/>
      </w:r>
      <w:r w:rsidRPr="001D1E53">
        <w:t>0077, “Options for Emergency Preparedness for Small Modular Reactors and Other New Technologies</w:t>
      </w:r>
      <w:r w:rsidR="001A77C7">
        <w:t>,” dated May 29</w:t>
      </w:r>
      <w:r w:rsidRPr="006647C3" w:rsidR="001A77C7">
        <w:t>,</w:t>
      </w:r>
      <w:r w:rsidR="001A77C7">
        <w:t> </w:t>
      </w:r>
      <w:r w:rsidRPr="006647C3" w:rsidR="001A77C7">
        <w:t>2015</w:t>
      </w:r>
      <w:r w:rsidRPr="006647C3">
        <w:t xml:space="preserve"> (</w:t>
      </w:r>
      <w:r>
        <w:t>NRC, 2015</w:t>
      </w:r>
      <w:r w:rsidR="001378FC">
        <w:t>a</w:t>
      </w:r>
      <w:r w:rsidRPr="001D1E53">
        <w:t xml:space="preserve">), the staff proposed a </w:t>
      </w:r>
      <w:r>
        <w:t>consequence</w:t>
      </w:r>
      <w:r w:rsidR="001A77C7">
        <w:noBreakHyphen/>
      </w:r>
      <w:r>
        <w:t>oriented</w:t>
      </w:r>
      <w:r w:rsidRPr="001D1E53">
        <w:t xml:space="preserve"> approach to establishing requirements commensurate</w:t>
      </w:r>
      <w:r w:rsidRPr="00711891">
        <w:t xml:space="preserve"> with the potential consequence</w:t>
      </w:r>
      <w:r>
        <w:t>s</w:t>
      </w:r>
      <w:r w:rsidRPr="00711891">
        <w:t xml:space="preserve"> to public health and safety and the common defense and security at SMR and </w:t>
      </w:r>
      <w:r w:rsidR="003A6B17">
        <w:t>other new technology</w:t>
      </w:r>
      <w:r w:rsidRPr="00711891" w:rsidR="003A6B17">
        <w:t xml:space="preserve"> </w:t>
      </w:r>
      <w:r w:rsidRPr="00711891">
        <w:t xml:space="preserve">facilities.  The staff stated </w:t>
      </w:r>
      <w:r>
        <w:t xml:space="preserve">that the need </w:t>
      </w:r>
      <w:r w:rsidR="00860600">
        <w:t>for</w:t>
      </w:r>
      <w:r w:rsidRPr="00711891">
        <w:t xml:space="preserve"> EP </w:t>
      </w:r>
      <w:r>
        <w:t>is</w:t>
      </w:r>
      <w:r w:rsidRPr="00711891">
        <w:t xml:space="preserve"> based on the </w:t>
      </w:r>
      <w:r>
        <w:t xml:space="preserve">projected offsite dose in the unlikely </w:t>
      </w:r>
      <w:r w:rsidRPr="001D1E53">
        <w:t>occurrence of a severe accident.  In SRM</w:t>
      </w:r>
      <w:r w:rsidR="007E2B12">
        <w:noBreakHyphen/>
      </w:r>
      <w:r w:rsidRPr="001D1E53">
        <w:t>SECY</w:t>
      </w:r>
      <w:r w:rsidR="007E2B12">
        <w:noBreakHyphen/>
      </w:r>
      <w:r w:rsidRPr="001D1E53">
        <w:t>15</w:t>
      </w:r>
      <w:r w:rsidR="007E2B12">
        <w:noBreakHyphen/>
      </w:r>
      <w:r w:rsidRPr="001D1E53">
        <w:t>0077, “Staff Requirements</w:t>
      </w:r>
      <w:r w:rsidR="0001329C">
        <w:t>—</w:t>
      </w:r>
      <w:r w:rsidRPr="001D1E53">
        <w:t>SECY</w:t>
      </w:r>
      <w:r w:rsidR="0001329C">
        <w:noBreakHyphen/>
      </w:r>
      <w:r w:rsidRPr="001D1E53">
        <w:t>15</w:t>
      </w:r>
      <w:r w:rsidR="0001329C">
        <w:noBreakHyphen/>
      </w:r>
      <w:r w:rsidRPr="001D1E53">
        <w:t>0077</w:t>
      </w:r>
      <w:r w:rsidR="0001329C">
        <w:t>—</w:t>
      </w:r>
      <w:r w:rsidRPr="001D1E53">
        <w:t>Options for Emergency Preparedness for Small Modular Reactors and Other New Technologies</w:t>
      </w:r>
      <w:r w:rsidR="0001329C">
        <w:t>,</w:t>
      </w:r>
      <w:r w:rsidRPr="001D1E53">
        <w:t>”</w:t>
      </w:r>
      <w:r w:rsidR="0001329C">
        <w:t xml:space="preserve"> dated August 4, 2015</w:t>
      </w:r>
      <w:r w:rsidRPr="006647C3">
        <w:t xml:space="preserve"> (</w:t>
      </w:r>
      <w:r>
        <w:t>NRC,</w:t>
      </w:r>
      <w:r w:rsidR="0001329C">
        <w:t> </w:t>
      </w:r>
      <w:r>
        <w:t>2015</w:t>
      </w:r>
      <w:r w:rsidR="00C07FB0">
        <w:t>b</w:t>
      </w:r>
      <w:r w:rsidRPr="001D1E53">
        <w:t>), the</w:t>
      </w:r>
      <w:r w:rsidRPr="00711891">
        <w:t xml:space="preserve"> Commission directed the staff to proceed with </w:t>
      </w:r>
      <w:r w:rsidR="00FE5199">
        <w:t xml:space="preserve">the </w:t>
      </w:r>
      <w:r w:rsidRPr="00711891">
        <w:t>rulemaking.</w:t>
      </w:r>
    </w:p>
    <w:p w:rsidR="009128E1" w:rsidRPr="00711891" w:rsidP="008440FA" w14:paraId="13C0418D" w14:textId="77777777">
      <w:pPr>
        <w:spacing w:line="240" w:lineRule="auto"/>
      </w:pPr>
    </w:p>
    <w:p w:rsidR="009128E1" w:rsidP="008440FA" w14:paraId="519F8867" w14:textId="413CA62A">
      <w:pPr>
        <w:spacing w:line="240" w:lineRule="auto"/>
      </w:pPr>
      <w:r w:rsidRPr="001D1E53">
        <w:t>In SECY</w:t>
      </w:r>
      <w:r w:rsidRPr="001D1E53">
        <w:noBreakHyphen/>
        <w:t>16</w:t>
      </w:r>
      <w:r w:rsidRPr="001D1E53">
        <w:noBreakHyphen/>
        <w:t>0069, “Rulemaking Plan on Emergency Preparedness for Small Modular Reactors and Other New Technologies</w:t>
      </w:r>
      <w:r w:rsidR="00FE5199">
        <w:t>,</w:t>
      </w:r>
      <w:r w:rsidRPr="001D1E53">
        <w:t>”</w:t>
      </w:r>
      <w:r w:rsidR="00FE5199">
        <w:t xml:space="preserve"> dated </w:t>
      </w:r>
      <w:r w:rsidRPr="006647C3" w:rsidR="00FE5199">
        <w:t>May</w:t>
      </w:r>
      <w:r w:rsidR="00FE5199">
        <w:t> </w:t>
      </w:r>
      <w:r w:rsidRPr="006647C3" w:rsidR="00FE5199">
        <w:t>31,</w:t>
      </w:r>
      <w:r w:rsidR="00FE5199">
        <w:t> </w:t>
      </w:r>
      <w:r w:rsidRPr="006647C3" w:rsidR="00FE5199">
        <w:t>2016</w:t>
      </w:r>
      <w:r>
        <w:t xml:space="preserve"> (NRC,</w:t>
      </w:r>
      <w:r w:rsidR="00FE5199">
        <w:t> </w:t>
      </w:r>
      <w:r>
        <w:t>2016a</w:t>
      </w:r>
      <w:r w:rsidRPr="001D1E53">
        <w:t>),</w:t>
      </w:r>
      <w:r w:rsidRPr="001C395A">
        <w:t xml:space="preserve"> </w:t>
      </w:r>
      <w:r w:rsidRPr="00711891">
        <w:t xml:space="preserve">the staff </w:t>
      </w:r>
      <w:r w:rsidRPr="00A345CF" w:rsidR="00A345CF">
        <w:t xml:space="preserve">provided a proposed rulemaking schedule, outlining the need to develop EP requirements for SMRs and </w:t>
      </w:r>
      <w:r w:rsidR="003A6B17">
        <w:t>other new technology facilities,</w:t>
      </w:r>
      <w:r w:rsidRPr="00A345CF" w:rsidR="00A345CF">
        <w:t xml:space="preserve"> commensurate with the potential consequences to public health and s</w:t>
      </w:r>
      <w:r w:rsidR="00A345CF">
        <w:t>afety posed by these facilities</w:t>
      </w:r>
      <w:r w:rsidRPr="001D1E53">
        <w:t>.</w:t>
      </w:r>
      <w:bookmarkStart w:id="324" w:name="_Toc461114899"/>
      <w:bookmarkEnd w:id="324"/>
      <w:r w:rsidRPr="001D1E53">
        <w:t xml:space="preserve">  In SRM</w:t>
      </w:r>
      <w:r w:rsidR="00FE5199">
        <w:noBreakHyphen/>
      </w:r>
      <w:r w:rsidRPr="001D1E53">
        <w:t>SECY</w:t>
      </w:r>
      <w:r w:rsidR="00FE5199">
        <w:noBreakHyphen/>
      </w:r>
      <w:r w:rsidRPr="001D1E53">
        <w:t>16</w:t>
      </w:r>
      <w:r w:rsidR="00FE5199">
        <w:noBreakHyphen/>
      </w:r>
      <w:r w:rsidRPr="001D1E53">
        <w:t>0069, “Staff Requirements</w:t>
      </w:r>
      <w:r w:rsidR="00FE5199">
        <w:t>—</w:t>
      </w:r>
      <w:r w:rsidRPr="001D1E53">
        <w:t>SECY</w:t>
      </w:r>
      <w:r w:rsidR="000404E8">
        <w:noBreakHyphen/>
      </w:r>
      <w:r w:rsidRPr="001D1E53">
        <w:t>16</w:t>
      </w:r>
      <w:r w:rsidR="000404E8">
        <w:noBreakHyphen/>
      </w:r>
      <w:r w:rsidRPr="001D1E53">
        <w:t>0069</w:t>
      </w:r>
      <w:r w:rsidR="00FE5199">
        <w:t>—</w:t>
      </w:r>
      <w:r w:rsidRPr="001D1E53">
        <w:t>Rulemaking Plan on Emergency Preparedness for Small Modular Reactors and Other New Technologies</w:t>
      </w:r>
      <w:r w:rsidR="00FE5199">
        <w:t>,</w:t>
      </w:r>
      <w:r w:rsidRPr="001D1E53">
        <w:t>”</w:t>
      </w:r>
      <w:r w:rsidR="00FE5199">
        <w:t xml:space="preserve"> </w:t>
      </w:r>
      <w:r w:rsidR="002D4B99">
        <w:t xml:space="preserve">dated </w:t>
      </w:r>
      <w:r w:rsidRPr="006647C3" w:rsidR="00FE5199">
        <w:t>June</w:t>
      </w:r>
      <w:r w:rsidR="00FE5199">
        <w:t> </w:t>
      </w:r>
      <w:r w:rsidRPr="006647C3" w:rsidR="00FE5199">
        <w:t>22,</w:t>
      </w:r>
      <w:r w:rsidR="00FE5199">
        <w:t> </w:t>
      </w:r>
      <w:r w:rsidRPr="006647C3" w:rsidR="00FE5199">
        <w:t>2016</w:t>
      </w:r>
      <w:r w:rsidRPr="001D1E53">
        <w:t xml:space="preserve"> </w:t>
      </w:r>
      <w:r w:rsidRPr="006647C3">
        <w:t>(</w:t>
      </w:r>
      <w:r>
        <w:t>NRC,</w:t>
      </w:r>
      <w:r w:rsidR="00FE5199">
        <w:t> </w:t>
      </w:r>
      <w:r>
        <w:t>2016b</w:t>
      </w:r>
      <w:r w:rsidRPr="001D1E53">
        <w:t>), the</w:t>
      </w:r>
      <w:r>
        <w:t xml:space="preserve"> Commission approved the staff’s proposed rulemaking plan.</w:t>
      </w:r>
    </w:p>
    <w:p w:rsidR="009128E1" w:rsidRPr="00711891" w:rsidP="008440FA" w14:paraId="7040AA83" w14:textId="77777777">
      <w:pPr>
        <w:spacing w:line="240" w:lineRule="auto"/>
      </w:pPr>
    </w:p>
    <w:p w:rsidR="009128E1" w:rsidP="008440FA" w14:paraId="7BDA4E49" w14:textId="15A103C0">
      <w:pPr>
        <w:autoSpaceDE/>
        <w:autoSpaceDN/>
        <w:adjustRightInd/>
        <w:spacing w:line="240" w:lineRule="auto"/>
        <w:rPr>
          <w:rFonts w:eastAsiaTheme="majorEastAsia"/>
          <w:b/>
          <w:bCs/>
          <w:szCs w:val="28"/>
        </w:rPr>
      </w:pPr>
      <w:r>
        <w:br w:type="page"/>
      </w:r>
    </w:p>
    <w:p w:rsidR="009128E1" w:rsidP="008440FA" w14:paraId="00FA398A" w14:textId="77777777">
      <w:pPr>
        <w:pStyle w:val="Heading1"/>
        <w:spacing w:line="240" w:lineRule="auto"/>
        <w:sectPr w:rsidSect="00B26532">
          <w:footerReference w:type="default" r:id="rId35"/>
          <w:footerReference w:type="first" r:id="rId36"/>
          <w:pgSz w:w="12240" w:h="15840"/>
          <w:pgMar w:top="1440" w:right="1440" w:bottom="1440" w:left="1440" w:header="720" w:footer="720" w:gutter="0"/>
          <w:pgNumType w:start="1"/>
          <w:cols w:space="720"/>
          <w:titlePg/>
          <w:docGrid w:linePitch="360"/>
        </w:sectPr>
      </w:pPr>
    </w:p>
    <w:p w:rsidR="006C2EE8" w:rsidP="008440FA" w14:paraId="38FAF343" w14:textId="4CB99492">
      <w:pPr>
        <w:pStyle w:val="Heading1"/>
        <w:spacing w:line="240" w:lineRule="auto"/>
        <w:jc w:val="center"/>
      </w:pPr>
      <w:bookmarkStart w:id="325" w:name="_Toc70669531"/>
      <w:bookmarkStart w:id="326" w:name="_Toc85198630"/>
      <w:r>
        <w:t>APPENDIX B</w:t>
      </w:r>
      <w:bookmarkEnd w:id="325"/>
      <w:bookmarkEnd w:id="326"/>
    </w:p>
    <w:p w:rsidR="009128E1" w:rsidP="008440FA" w14:paraId="712DBC3D" w14:textId="1BE7077E">
      <w:pPr>
        <w:pStyle w:val="Heading1"/>
        <w:spacing w:before="0" w:after="240" w:line="240" w:lineRule="auto"/>
        <w:jc w:val="center"/>
      </w:pPr>
      <w:bookmarkStart w:id="327" w:name="_Toc70669532"/>
      <w:bookmarkStart w:id="328" w:name="_Toc85198631"/>
      <w:r>
        <w:t xml:space="preserve">MAJOR ASSUMPTIONS AND </w:t>
      </w:r>
      <w:bookmarkEnd w:id="316"/>
      <w:r>
        <w:t>INPUT DATA</w:t>
      </w:r>
      <w:bookmarkEnd w:id="317"/>
      <w:bookmarkEnd w:id="318"/>
      <w:bookmarkEnd w:id="319"/>
      <w:bookmarkEnd w:id="320"/>
      <w:bookmarkEnd w:id="321"/>
      <w:bookmarkEnd w:id="327"/>
      <w:bookmarkEnd w:id="3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05"/>
        <w:gridCol w:w="1170"/>
        <w:gridCol w:w="1800"/>
        <w:gridCol w:w="6475"/>
      </w:tblGrid>
      <w:tr w14:paraId="49EF0329" w14:textId="77777777" w:rsidTr="0055009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blHeader/>
        </w:trPr>
        <w:tc>
          <w:tcPr>
            <w:tcW w:w="3505" w:type="dxa"/>
            <w:noWrap/>
            <w:vAlign w:val="center"/>
            <w:hideMark/>
          </w:tcPr>
          <w:p w:rsidR="009128E1" w:rsidRPr="004A5A16" w:rsidP="008440FA" w14:paraId="029B76EC" w14:textId="77777777">
            <w:pPr>
              <w:spacing w:line="240" w:lineRule="auto"/>
              <w:jc w:val="center"/>
              <w:rPr>
                <w:b/>
              </w:rPr>
            </w:pPr>
            <w:r w:rsidRPr="004A5A16">
              <w:rPr>
                <w:b/>
              </w:rPr>
              <w:t>Data Element</w:t>
            </w:r>
          </w:p>
        </w:tc>
        <w:tc>
          <w:tcPr>
            <w:tcW w:w="1170" w:type="dxa"/>
            <w:vAlign w:val="center"/>
            <w:hideMark/>
          </w:tcPr>
          <w:p w:rsidR="009128E1" w:rsidRPr="004A5A16" w:rsidP="008440FA" w14:paraId="212DF641" w14:textId="77777777">
            <w:pPr>
              <w:spacing w:line="240" w:lineRule="auto"/>
              <w:jc w:val="center"/>
              <w:rPr>
                <w:b/>
              </w:rPr>
            </w:pPr>
            <w:r w:rsidRPr="004A5A16">
              <w:rPr>
                <w:b/>
              </w:rPr>
              <w:t>Best Estimate</w:t>
            </w:r>
          </w:p>
        </w:tc>
        <w:tc>
          <w:tcPr>
            <w:tcW w:w="1800" w:type="dxa"/>
            <w:vAlign w:val="center"/>
            <w:hideMark/>
          </w:tcPr>
          <w:p w:rsidR="009128E1" w:rsidRPr="004A5A16" w:rsidP="008440FA" w14:paraId="7B4CF022" w14:textId="77777777">
            <w:pPr>
              <w:spacing w:line="240" w:lineRule="auto"/>
              <w:jc w:val="center"/>
              <w:rPr>
                <w:b/>
              </w:rPr>
            </w:pPr>
            <w:r w:rsidRPr="004A5A16">
              <w:rPr>
                <w:b/>
              </w:rPr>
              <w:t>Unit</w:t>
            </w:r>
          </w:p>
        </w:tc>
        <w:tc>
          <w:tcPr>
            <w:tcW w:w="6475" w:type="dxa"/>
            <w:noWrap/>
            <w:vAlign w:val="center"/>
            <w:hideMark/>
          </w:tcPr>
          <w:p w:rsidR="009128E1" w:rsidRPr="004A5A16" w:rsidP="008440FA" w14:paraId="51A534FF" w14:textId="77777777">
            <w:pPr>
              <w:spacing w:line="240" w:lineRule="auto"/>
              <w:jc w:val="center"/>
              <w:rPr>
                <w:b/>
              </w:rPr>
            </w:pPr>
            <w:r w:rsidRPr="004A5A16">
              <w:rPr>
                <w:b/>
              </w:rPr>
              <w:t>Source or Basis of Estimate</w:t>
            </w:r>
          </w:p>
        </w:tc>
      </w:tr>
      <w:tr w14:paraId="03DFA53D" w14:textId="77777777" w:rsidTr="00581806">
        <w:tblPrEx>
          <w:tblW w:w="0" w:type="auto"/>
          <w:tblLayout w:type="fixed"/>
          <w:tblLook w:val="04A0"/>
        </w:tblPrEx>
        <w:trPr>
          <w:trHeight w:val="288"/>
        </w:trPr>
        <w:tc>
          <w:tcPr>
            <w:tcW w:w="12950" w:type="dxa"/>
            <w:gridSpan w:val="4"/>
            <w:noWrap/>
            <w:hideMark/>
          </w:tcPr>
          <w:p w:rsidR="009128E1" w:rsidRPr="00581806" w:rsidP="008440FA" w14:paraId="715924A4" w14:textId="77777777">
            <w:pPr>
              <w:spacing w:line="240" w:lineRule="auto"/>
              <w:rPr>
                <w:b/>
              </w:rPr>
            </w:pPr>
            <w:r w:rsidRPr="00581806">
              <w:rPr>
                <w:b/>
              </w:rPr>
              <w:t>Key Analysis Dates</w:t>
            </w:r>
          </w:p>
        </w:tc>
      </w:tr>
      <w:tr w14:paraId="6D9FFD94" w14:textId="77777777" w:rsidTr="00581806">
        <w:tblPrEx>
          <w:tblW w:w="0" w:type="auto"/>
          <w:tblLayout w:type="fixed"/>
          <w:tblLook w:val="04A0"/>
        </w:tblPrEx>
        <w:trPr>
          <w:trHeight w:val="288"/>
        </w:trPr>
        <w:tc>
          <w:tcPr>
            <w:tcW w:w="3505" w:type="dxa"/>
            <w:noWrap/>
            <w:hideMark/>
          </w:tcPr>
          <w:p w:rsidR="009128E1" w:rsidRPr="006106D3" w:rsidP="008440FA" w14:paraId="35D2B9CD" w14:textId="0437831C">
            <w:pPr>
              <w:spacing w:line="240" w:lineRule="auto"/>
            </w:pPr>
            <w:r>
              <w:t>Final</w:t>
            </w:r>
            <w:r w:rsidRPr="006106D3">
              <w:t xml:space="preserve"> </w:t>
            </w:r>
            <w:r w:rsidR="00212E0F">
              <w:t>r</w:t>
            </w:r>
            <w:r w:rsidRPr="006106D3">
              <w:t xml:space="preserve">ule </w:t>
            </w:r>
            <w:r w:rsidR="00212E0F">
              <w:t>e</w:t>
            </w:r>
            <w:r w:rsidRPr="006106D3">
              <w:t xml:space="preserve">ffective </w:t>
            </w:r>
            <w:r w:rsidR="00212E0F">
              <w:t>d</w:t>
            </w:r>
            <w:r w:rsidRPr="006106D3">
              <w:t>ate</w:t>
            </w:r>
          </w:p>
        </w:tc>
        <w:tc>
          <w:tcPr>
            <w:tcW w:w="1170" w:type="dxa"/>
            <w:hideMark/>
          </w:tcPr>
          <w:p w:rsidR="009128E1" w:rsidRPr="006106D3" w:rsidP="0055009A" w14:paraId="702EC07E" w14:textId="406DDACA">
            <w:pPr>
              <w:spacing w:line="240" w:lineRule="auto"/>
              <w:jc w:val="center"/>
            </w:pPr>
            <w:r>
              <w:t>202</w:t>
            </w:r>
            <w:r w:rsidR="0046127F">
              <w:t>1</w:t>
            </w:r>
          </w:p>
        </w:tc>
        <w:tc>
          <w:tcPr>
            <w:tcW w:w="1800" w:type="dxa"/>
            <w:hideMark/>
          </w:tcPr>
          <w:p w:rsidR="009128E1" w:rsidRPr="006106D3" w:rsidP="0055009A" w14:paraId="4C9B8581" w14:textId="77777777">
            <w:pPr>
              <w:spacing w:line="240" w:lineRule="auto"/>
              <w:jc w:val="center"/>
            </w:pPr>
            <w:r w:rsidRPr="006106D3">
              <w:t>year</w:t>
            </w:r>
          </w:p>
        </w:tc>
        <w:tc>
          <w:tcPr>
            <w:tcW w:w="6475" w:type="dxa"/>
            <w:noWrap/>
            <w:hideMark/>
          </w:tcPr>
          <w:p w:rsidR="009128E1" w:rsidRPr="006106D3" w:rsidP="008440FA" w14:paraId="055D76B7" w14:textId="77777777">
            <w:pPr>
              <w:spacing w:line="240" w:lineRule="auto"/>
            </w:pPr>
            <w:r w:rsidRPr="006106D3">
              <w:t>NRC input</w:t>
            </w:r>
          </w:p>
        </w:tc>
      </w:tr>
      <w:tr w14:paraId="43CCFE7E" w14:textId="77777777" w:rsidTr="00581806">
        <w:tblPrEx>
          <w:tblW w:w="0" w:type="auto"/>
          <w:tblLayout w:type="fixed"/>
          <w:tblLook w:val="04A0"/>
        </w:tblPrEx>
        <w:trPr>
          <w:trHeight w:val="288"/>
        </w:trPr>
        <w:tc>
          <w:tcPr>
            <w:tcW w:w="3505" w:type="dxa"/>
            <w:noWrap/>
            <w:hideMark/>
          </w:tcPr>
          <w:p w:rsidR="009128E1" w:rsidRPr="006106D3" w:rsidP="008440FA" w14:paraId="2DD01253" w14:textId="7C234BFF">
            <w:pPr>
              <w:spacing w:line="240" w:lineRule="auto"/>
            </w:pPr>
            <w:r w:rsidRPr="006106D3">
              <w:t xml:space="preserve">Analysis </w:t>
            </w:r>
            <w:r w:rsidR="00212E0F">
              <w:t>b</w:t>
            </w:r>
            <w:r w:rsidRPr="006106D3">
              <w:t xml:space="preserve">ase </w:t>
            </w:r>
            <w:r w:rsidR="00212E0F">
              <w:t>y</w:t>
            </w:r>
            <w:r w:rsidRPr="006106D3">
              <w:t>ear</w:t>
            </w:r>
          </w:p>
        </w:tc>
        <w:tc>
          <w:tcPr>
            <w:tcW w:w="1170" w:type="dxa"/>
            <w:noWrap/>
            <w:hideMark/>
          </w:tcPr>
          <w:p w:rsidR="009128E1" w:rsidRPr="006106D3" w:rsidP="0055009A" w14:paraId="225BC1DC" w14:textId="352A3949">
            <w:pPr>
              <w:spacing w:line="240" w:lineRule="auto"/>
              <w:jc w:val="center"/>
            </w:pPr>
            <w:r>
              <w:t>202</w:t>
            </w:r>
            <w:r w:rsidR="0046127F">
              <w:t>1</w:t>
            </w:r>
          </w:p>
        </w:tc>
        <w:tc>
          <w:tcPr>
            <w:tcW w:w="1800" w:type="dxa"/>
            <w:noWrap/>
            <w:hideMark/>
          </w:tcPr>
          <w:p w:rsidR="009128E1" w:rsidRPr="006106D3" w:rsidP="0055009A" w14:paraId="3528E83E" w14:textId="77777777">
            <w:pPr>
              <w:spacing w:line="240" w:lineRule="auto"/>
              <w:jc w:val="center"/>
            </w:pPr>
            <w:r w:rsidRPr="006106D3">
              <w:t>year</w:t>
            </w:r>
          </w:p>
        </w:tc>
        <w:tc>
          <w:tcPr>
            <w:tcW w:w="6475" w:type="dxa"/>
            <w:noWrap/>
            <w:hideMark/>
          </w:tcPr>
          <w:p w:rsidR="009128E1" w:rsidRPr="006106D3" w:rsidP="008440FA" w14:paraId="7D626BC2" w14:textId="77777777">
            <w:pPr>
              <w:spacing w:line="240" w:lineRule="auto"/>
            </w:pPr>
            <w:r w:rsidRPr="006106D3">
              <w:t>NRC input</w:t>
            </w:r>
          </w:p>
        </w:tc>
      </w:tr>
      <w:tr w14:paraId="400C3F89" w14:textId="77777777" w:rsidTr="00581806">
        <w:tblPrEx>
          <w:tblW w:w="0" w:type="auto"/>
          <w:tblLayout w:type="fixed"/>
          <w:tblLook w:val="04A0"/>
        </w:tblPrEx>
        <w:trPr>
          <w:trHeight w:val="288"/>
        </w:trPr>
        <w:tc>
          <w:tcPr>
            <w:tcW w:w="12950" w:type="dxa"/>
            <w:gridSpan w:val="4"/>
            <w:noWrap/>
            <w:hideMark/>
          </w:tcPr>
          <w:p w:rsidR="009128E1" w:rsidRPr="00581806" w:rsidP="008440FA" w14:paraId="2A4BFBEB" w14:textId="77777777">
            <w:pPr>
              <w:spacing w:line="240" w:lineRule="auto"/>
              <w:rPr>
                <w:b/>
              </w:rPr>
            </w:pPr>
            <w:r w:rsidRPr="00581806">
              <w:rPr>
                <w:b/>
              </w:rPr>
              <w:t>Number of Entities</w:t>
            </w:r>
          </w:p>
        </w:tc>
      </w:tr>
      <w:tr w14:paraId="76F6B4FC" w14:textId="77777777" w:rsidTr="0055009A">
        <w:tblPrEx>
          <w:tblW w:w="0" w:type="auto"/>
          <w:tblLayout w:type="fixed"/>
          <w:tblLook w:val="04A0"/>
        </w:tblPrEx>
        <w:trPr>
          <w:trHeight w:val="576"/>
        </w:trPr>
        <w:tc>
          <w:tcPr>
            <w:tcW w:w="3505" w:type="dxa"/>
            <w:noWrap/>
            <w:vAlign w:val="center"/>
            <w:hideMark/>
          </w:tcPr>
          <w:p w:rsidR="009128E1" w:rsidRPr="006106D3" w:rsidP="008440FA" w14:paraId="30EE4A74" w14:textId="463861D0">
            <w:pPr>
              <w:spacing w:line="240" w:lineRule="auto"/>
            </w:pPr>
            <w:r>
              <w:t xml:space="preserve">Number of </w:t>
            </w:r>
            <w:r>
              <w:t>SMR and non</w:t>
            </w:r>
            <w:r w:rsidR="00212E0F">
              <w:noBreakHyphen/>
            </w:r>
            <w:r>
              <w:t>LWR</w:t>
            </w:r>
            <w:r w:rsidRPr="006106D3">
              <w:t xml:space="preserve"> </w:t>
            </w:r>
            <w:r>
              <w:t>reactors</w:t>
            </w:r>
          </w:p>
        </w:tc>
        <w:tc>
          <w:tcPr>
            <w:tcW w:w="1170" w:type="dxa"/>
            <w:noWrap/>
            <w:vAlign w:val="center"/>
            <w:hideMark/>
          </w:tcPr>
          <w:p w:rsidR="009128E1" w:rsidRPr="006106D3" w:rsidP="0055009A" w14:paraId="40AB1C42" w14:textId="523C12D9">
            <w:pPr>
              <w:spacing w:line="240" w:lineRule="auto"/>
              <w:jc w:val="center"/>
            </w:pPr>
            <w:r>
              <w:t>12</w:t>
            </w:r>
          </w:p>
        </w:tc>
        <w:tc>
          <w:tcPr>
            <w:tcW w:w="1800" w:type="dxa"/>
            <w:noWrap/>
            <w:vAlign w:val="center"/>
            <w:hideMark/>
          </w:tcPr>
          <w:p w:rsidR="009128E1" w:rsidRPr="006106D3" w:rsidP="0055009A" w14:paraId="7F67DAD4" w14:textId="77777777">
            <w:pPr>
              <w:spacing w:line="240" w:lineRule="auto"/>
              <w:jc w:val="center"/>
            </w:pPr>
            <w:r w:rsidRPr="006106D3">
              <w:t>units</w:t>
            </w:r>
          </w:p>
        </w:tc>
        <w:tc>
          <w:tcPr>
            <w:tcW w:w="6475" w:type="dxa"/>
            <w:vAlign w:val="center"/>
            <w:hideMark/>
          </w:tcPr>
          <w:p w:rsidR="009128E1" w:rsidRPr="006106D3" w:rsidP="008440FA" w14:paraId="4E42E276" w14:textId="7DD8403F">
            <w:pPr>
              <w:spacing w:line="240" w:lineRule="auto"/>
            </w:pPr>
            <w:r>
              <w:t>NRC</w:t>
            </w:r>
            <w:r w:rsidR="001520E9">
              <w:t xml:space="preserve"> estimate informed by industry</w:t>
            </w:r>
            <w:r w:rsidR="00E30554">
              <w:t>-supplied</w:t>
            </w:r>
            <w:r w:rsidR="001520E9">
              <w:t xml:space="preserve"> </w:t>
            </w:r>
            <w:r>
              <w:t>proprietary information</w:t>
            </w:r>
          </w:p>
        </w:tc>
      </w:tr>
      <w:tr w14:paraId="323F8FAC" w14:textId="77777777" w:rsidTr="00581806">
        <w:tblPrEx>
          <w:tblW w:w="0" w:type="auto"/>
          <w:tblLayout w:type="fixed"/>
          <w:tblLook w:val="04A0"/>
        </w:tblPrEx>
        <w:trPr>
          <w:trHeight w:val="288"/>
        </w:trPr>
        <w:tc>
          <w:tcPr>
            <w:tcW w:w="12950" w:type="dxa"/>
            <w:gridSpan w:val="4"/>
            <w:noWrap/>
            <w:hideMark/>
          </w:tcPr>
          <w:p w:rsidR="009128E1" w:rsidRPr="00581806" w:rsidP="008440FA" w14:paraId="527A208D" w14:textId="73DF768C">
            <w:pPr>
              <w:spacing w:line="240" w:lineRule="auto"/>
              <w:rPr>
                <w:b/>
              </w:rPr>
            </w:pPr>
            <w:r w:rsidRPr="00581806">
              <w:rPr>
                <w:b/>
              </w:rPr>
              <w:t>License term applicability period (</w:t>
            </w:r>
            <w:r w:rsidR="00212E0F">
              <w:rPr>
                <w:b/>
              </w:rPr>
              <w:t>y</w:t>
            </w:r>
            <w:r w:rsidRPr="00581806">
              <w:rPr>
                <w:b/>
              </w:rPr>
              <w:t>ears)</w:t>
            </w:r>
          </w:p>
        </w:tc>
      </w:tr>
      <w:tr w14:paraId="1046890B" w14:textId="77777777" w:rsidTr="00581806">
        <w:tblPrEx>
          <w:tblW w:w="0" w:type="auto"/>
          <w:tblLayout w:type="fixed"/>
          <w:tblLook w:val="04A0"/>
        </w:tblPrEx>
        <w:trPr>
          <w:trHeight w:val="288"/>
        </w:trPr>
        <w:tc>
          <w:tcPr>
            <w:tcW w:w="3505" w:type="dxa"/>
            <w:noWrap/>
            <w:hideMark/>
          </w:tcPr>
          <w:p w:rsidR="009128E1" w:rsidRPr="006106D3" w:rsidP="008440FA" w14:paraId="4B779A24" w14:textId="2AE40EA3">
            <w:pPr>
              <w:spacing w:line="240" w:lineRule="auto"/>
            </w:pPr>
            <w:r>
              <w:t xml:space="preserve">New SMR or </w:t>
            </w:r>
            <w:r w:rsidR="00C6347F">
              <w:t>ONT</w:t>
            </w:r>
            <w:r>
              <w:t xml:space="preserve"> license term</w:t>
            </w:r>
          </w:p>
        </w:tc>
        <w:tc>
          <w:tcPr>
            <w:tcW w:w="1170" w:type="dxa"/>
            <w:noWrap/>
            <w:hideMark/>
          </w:tcPr>
          <w:p w:rsidR="009128E1" w:rsidRPr="006106D3" w:rsidP="0055009A" w14:paraId="46613D0E" w14:textId="00C38825">
            <w:pPr>
              <w:spacing w:line="240" w:lineRule="auto"/>
              <w:jc w:val="center"/>
            </w:pPr>
            <w:r>
              <w:t>60</w:t>
            </w:r>
          </w:p>
        </w:tc>
        <w:tc>
          <w:tcPr>
            <w:tcW w:w="1800" w:type="dxa"/>
            <w:noWrap/>
            <w:hideMark/>
          </w:tcPr>
          <w:p w:rsidR="009128E1" w:rsidRPr="006106D3" w:rsidP="0055009A" w14:paraId="1B702418" w14:textId="77777777">
            <w:pPr>
              <w:spacing w:line="240" w:lineRule="auto"/>
              <w:jc w:val="center"/>
            </w:pPr>
            <w:r w:rsidRPr="006106D3">
              <w:t>years</w:t>
            </w:r>
          </w:p>
        </w:tc>
        <w:tc>
          <w:tcPr>
            <w:tcW w:w="6475" w:type="dxa"/>
            <w:hideMark/>
          </w:tcPr>
          <w:p w:rsidR="009128E1" w:rsidRPr="006106D3" w:rsidP="008440FA" w14:paraId="382576AC" w14:textId="32232936">
            <w:pPr>
              <w:spacing w:line="240" w:lineRule="auto"/>
            </w:pPr>
            <w:r w:rsidRPr="006106D3">
              <w:t>Assumption based on a 40</w:t>
            </w:r>
            <w:r>
              <w:t>-</w:t>
            </w:r>
            <w:r w:rsidRPr="006106D3">
              <w:t xml:space="preserve">year </w:t>
            </w:r>
            <w:r w:rsidR="00880B92">
              <w:t>OL</w:t>
            </w:r>
            <w:r w:rsidR="0046127F">
              <w:t xml:space="preserve"> and 20-year renewal</w:t>
            </w:r>
          </w:p>
        </w:tc>
      </w:tr>
      <w:tr w14:paraId="20B32969" w14:textId="77777777" w:rsidTr="00581806">
        <w:tblPrEx>
          <w:tblW w:w="0" w:type="auto"/>
          <w:tblLayout w:type="fixed"/>
          <w:tblLook w:val="04A0"/>
        </w:tblPrEx>
        <w:trPr>
          <w:trHeight w:val="288"/>
        </w:trPr>
        <w:tc>
          <w:tcPr>
            <w:tcW w:w="12950" w:type="dxa"/>
            <w:gridSpan w:val="4"/>
            <w:noWrap/>
          </w:tcPr>
          <w:p w:rsidR="009128E1" w:rsidRPr="00581806" w:rsidP="008440FA" w14:paraId="7D041554" w14:textId="77777777">
            <w:pPr>
              <w:spacing w:line="240" w:lineRule="auto"/>
              <w:rPr>
                <w:b/>
              </w:rPr>
            </w:pPr>
            <w:r w:rsidRPr="00581806">
              <w:rPr>
                <w:b/>
              </w:rPr>
              <w:t>Labor Rates</w:t>
            </w:r>
          </w:p>
        </w:tc>
      </w:tr>
      <w:tr w14:paraId="52F5BF38" w14:textId="77777777" w:rsidTr="00581806">
        <w:tblPrEx>
          <w:tblW w:w="0" w:type="auto"/>
          <w:tblLayout w:type="fixed"/>
          <w:tblLook w:val="04A0"/>
        </w:tblPrEx>
        <w:trPr>
          <w:trHeight w:val="288"/>
        </w:trPr>
        <w:tc>
          <w:tcPr>
            <w:tcW w:w="3505" w:type="dxa"/>
            <w:noWrap/>
          </w:tcPr>
          <w:p w:rsidR="009128E1" w:rsidRPr="004A5A16" w:rsidP="008440FA" w14:paraId="14485838" w14:textId="77777777">
            <w:pPr>
              <w:spacing w:line="240" w:lineRule="auto"/>
              <w:rPr>
                <w:sz w:val="20"/>
              </w:rPr>
            </w:pPr>
            <w:r w:rsidRPr="00D156FD">
              <w:t>Industry engineer or plant supervisor</w:t>
            </w:r>
          </w:p>
        </w:tc>
        <w:tc>
          <w:tcPr>
            <w:tcW w:w="1170" w:type="dxa"/>
            <w:noWrap/>
          </w:tcPr>
          <w:p w:rsidR="009128E1" w:rsidRPr="006106D3" w:rsidP="0055009A" w14:paraId="366D233A" w14:textId="061B5E9D">
            <w:pPr>
              <w:spacing w:line="240" w:lineRule="auto"/>
              <w:jc w:val="center"/>
            </w:pPr>
            <w:r>
              <w:t>$1</w:t>
            </w:r>
            <w:r w:rsidR="00567E94">
              <w:t>26</w:t>
            </w:r>
          </w:p>
        </w:tc>
        <w:tc>
          <w:tcPr>
            <w:tcW w:w="1800" w:type="dxa"/>
            <w:noWrap/>
          </w:tcPr>
          <w:p w:rsidR="009128E1" w:rsidRPr="006106D3" w:rsidP="0055009A" w14:paraId="13ED3B78" w14:textId="77777777">
            <w:pPr>
              <w:spacing w:line="240" w:lineRule="auto"/>
              <w:jc w:val="center"/>
            </w:pPr>
            <w:r w:rsidRPr="00D156FD">
              <w:t>Dollars per hour</w:t>
            </w:r>
          </w:p>
        </w:tc>
        <w:tc>
          <w:tcPr>
            <w:tcW w:w="6475" w:type="dxa"/>
            <w:vMerge w:val="restart"/>
          </w:tcPr>
          <w:p w:rsidR="009128E1" w:rsidRPr="006106D3" w:rsidP="008440FA" w14:paraId="0F0F2471" w14:textId="2272CEF6">
            <w:pPr>
              <w:spacing w:line="240" w:lineRule="auto"/>
            </w:pPr>
            <w:r>
              <w:t>The l</w:t>
            </w:r>
            <w:r w:rsidR="00FA5ECA">
              <w:t xml:space="preserve">abor rates used are from the </w:t>
            </w:r>
            <w:r w:rsidR="000404E8">
              <w:t xml:space="preserve">data set, </w:t>
            </w:r>
            <w:r w:rsidRPr="00FA5ECA" w:rsidR="00FA5ECA">
              <w:t xml:space="preserve">“SOC Code:  Standard Occupational Classification Code” </w:t>
            </w:r>
            <w:r>
              <w:t>(</w:t>
            </w:r>
            <w:r>
              <w:t>20</w:t>
            </w:r>
            <w:r w:rsidR="002C5D91">
              <w:t>20</w:t>
            </w:r>
            <w:r w:rsidRPr="00D156FD">
              <w:t xml:space="preserve"> values</w:t>
            </w:r>
            <w:r>
              <w:t>)</w:t>
            </w:r>
            <w:r w:rsidRPr="00D156FD">
              <w:t>.  These ho</w:t>
            </w:r>
            <w:r>
              <w:t xml:space="preserve">urly rates were inflated to </w:t>
            </w:r>
            <w:r w:rsidR="00BC32B3">
              <w:t>202</w:t>
            </w:r>
            <w:r w:rsidR="002C5D91">
              <w:t>1</w:t>
            </w:r>
            <w:r w:rsidRPr="00D156FD">
              <w:t xml:space="preserve"> dollars using values of CPI</w:t>
            </w:r>
            <w:r>
              <w:noBreakHyphen/>
            </w:r>
            <w:r w:rsidRPr="00D156FD">
              <w:t xml:space="preserve">U.  </w:t>
            </w:r>
            <w:r w:rsidR="00177BEA">
              <w:t xml:space="preserve">The </w:t>
            </w:r>
            <w:r w:rsidR="00141464">
              <w:t>NRC</w:t>
            </w:r>
            <w:r w:rsidR="00177BEA">
              <w:t xml:space="preserve"> then </w:t>
            </w:r>
            <w:r w:rsidR="00141464">
              <w:t>applied</w:t>
            </w:r>
            <w:r w:rsidR="00177BEA">
              <w:t xml:space="preserve"> a</w:t>
            </w:r>
            <w:r w:rsidRPr="00D156FD">
              <w:t xml:space="preserve"> multiplier of 2.4, which include</w:t>
            </w:r>
            <w:r w:rsidR="00141464">
              <w:t>d</w:t>
            </w:r>
            <w:r w:rsidRPr="00D156FD">
              <w:t xml:space="preserve"> fringe and indirect management cost</w:t>
            </w:r>
            <w:r w:rsidR="008937DE">
              <w:t>s</w:t>
            </w:r>
            <w:r w:rsidR="00FB38FB">
              <w:t>,</w:t>
            </w:r>
            <w:r w:rsidRPr="00D156FD">
              <w:t xml:space="preserve"> result</w:t>
            </w:r>
            <w:r w:rsidR="00FB38FB">
              <w:t>ing</w:t>
            </w:r>
            <w:r w:rsidRPr="00D156FD">
              <w:t xml:space="preserve"> in the displayed labor rates.</w:t>
            </w:r>
          </w:p>
        </w:tc>
      </w:tr>
      <w:tr w14:paraId="41F96522" w14:textId="77777777" w:rsidTr="00581806">
        <w:tblPrEx>
          <w:tblW w:w="0" w:type="auto"/>
          <w:tblLayout w:type="fixed"/>
          <w:tblLook w:val="04A0"/>
        </w:tblPrEx>
        <w:trPr>
          <w:trHeight w:val="288"/>
        </w:trPr>
        <w:tc>
          <w:tcPr>
            <w:tcW w:w="3505" w:type="dxa"/>
            <w:noWrap/>
          </w:tcPr>
          <w:p w:rsidR="009128E1" w:rsidRPr="004A5A16" w:rsidP="008440FA" w14:paraId="38B59BB7" w14:textId="77777777">
            <w:pPr>
              <w:spacing w:line="240" w:lineRule="auto"/>
              <w:rPr>
                <w:sz w:val="20"/>
              </w:rPr>
            </w:pPr>
            <w:r w:rsidRPr="00D156FD">
              <w:t>Managers</w:t>
            </w:r>
          </w:p>
        </w:tc>
        <w:tc>
          <w:tcPr>
            <w:tcW w:w="1170" w:type="dxa"/>
            <w:noWrap/>
          </w:tcPr>
          <w:p w:rsidR="009128E1" w:rsidRPr="00D156FD" w:rsidP="0055009A" w14:paraId="2A238330" w14:textId="2CCA6EC1">
            <w:pPr>
              <w:spacing w:line="240" w:lineRule="auto"/>
              <w:jc w:val="center"/>
            </w:pPr>
            <w:r w:rsidRPr="00D156FD">
              <w:t>$1</w:t>
            </w:r>
            <w:r w:rsidR="002C5D91">
              <w:t>45</w:t>
            </w:r>
          </w:p>
        </w:tc>
        <w:tc>
          <w:tcPr>
            <w:tcW w:w="1800" w:type="dxa"/>
            <w:noWrap/>
          </w:tcPr>
          <w:p w:rsidR="009128E1" w:rsidRPr="00D156FD" w:rsidP="0055009A" w14:paraId="2F6C9BC2" w14:textId="77777777">
            <w:pPr>
              <w:spacing w:line="240" w:lineRule="auto"/>
              <w:jc w:val="center"/>
            </w:pPr>
            <w:r w:rsidRPr="00D156FD">
              <w:t>Dollars per hour</w:t>
            </w:r>
          </w:p>
        </w:tc>
        <w:tc>
          <w:tcPr>
            <w:tcW w:w="6475" w:type="dxa"/>
            <w:vMerge/>
          </w:tcPr>
          <w:p w:rsidR="009128E1" w:rsidRPr="00D156FD" w:rsidP="008440FA" w14:paraId="74A03AB7" w14:textId="77777777">
            <w:pPr>
              <w:spacing w:line="240" w:lineRule="auto"/>
            </w:pPr>
          </w:p>
        </w:tc>
      </w:tr>
      <w:tr w14:paraId="20726779" w14:textId="77777777" w:rsidTr="00581806">
        <w:tblPrEx>
          <w:tblW w:w="0" w:type="auto"/>
          <w:tblLayout w:type="fixed"/>
          <w:tblLook w:val="04A0"/>
        </w:tblPrEx>
        <w:trPr>
          <w:trHeight w:val="288"/>
        </w:trPr>
        <w:tc>
          <w:tcPr>
            <w:tcW w:w="3505" w:type="dxa"/>
            <w:noWrap/>
          </w:tcPr>
          <w:p w:rsidR="009128E1" w:rsidRPr="004A5A16" w:rsidP="008440FA" w14:paraId="3732287B" w14:textId="29D6EDB1">
            <w:pPr>
              <w:spacing w:line="240" w:lineRule="auto"/>
              <w:rPr>
                <w:sz w:val="20"/>
              </w:rPr>
            </w:pPr>
            <w:r w:rsidRPr="00D156FD">
              <w:t xml:space="preserve">Administrative </w:t>
            </w:r>
            <w:r w:rsidR="00212E0F">
              <w:t>s</w:t>
            </w:r>
            <w:r w:rsidRPr="00D156FD">
              <w:t>taff</w:t>
            </w:r>
          </w:p>
        </w:tc>
        <w:tc>
          <w:tcPr>
            <w:tcW w:w="1170" w:type="dxa"/>
            <w:noWrap/>
          </w:tcPr>
          <w:p w:rsidR="009128E1" w:rsidRPr="00D156FD" w:rsidP="0055009A" w14:paraId="1A47BC4B" w14:textId="5FC0F01A">
            <w:pPr>
              <w:spacing w:line="240" w:lineRule="auto"/>
              <w:jc w:val="center"/>
            </w:pPr>
            <w:r w:rsidRPr="00D156FD">
              <w:t>$</w:t>
            </w:r>
            <w:r w:rsidR="002C5D91">
              <w:t>78</w:t>
            </w:r>
          </w:p>
        </w:tc>
        <w:tc>
          <w:tcPr>
            <w:tcW w:w="1800" w:type="dxa"/>
            <w:noWrap/>
          </w:tcPr>
          <w:p w:rsidR="009128E1" w:rsidRPr="00D156FD" w:rsidP="0055009A" w14:paraId="4D0F5945" w14:textId="77777777">
            <w:pPr>
              <w:spacing w:line="240" w:lineRule="auto"/>
              <w:jc w:val="center"/>
            </w:pPr>
            <w:r w:rsidRPr="00D156FD">
              <w:t>Dollars per hour</w:t>
            </w:r>
          </w:p>
        </w:tc>
        <w:tc>
          <w:tcPr>
            <w:tcW w:w="6475" w:type="dxa"/>
            <w:vMerge/>
          </w:tcPr>
          <w:p w:rsidR="009128E1" w:rsidRPr="00D156FD" w:rsidP="008440FA" w14:paraId="60E0859B" w14:textId="77777777">
            <w:pPr>
              <w:spacing w:line="240" w:lineRule="auto"/>
            </w:pPr>
          </w:p>
        </w:tc>
      </w:tr>
      <w:tr w14:paraId="13C19B49" w14:textId="77777777" w:rsidTr="00581806">
        <w:tblPrEx>
          <w:tblW w:w="0" w:type="auto"/>
          <w:tblLayout w:type="fixed"/>
          <w:tblLook w:val="04A0"/>
        </w:tblPrEx>
        <w:trPr>
          <w:trHeight w:val="288"/>
        </w:trPr>
        <w:tc>
          <w:tcPr>
            <w:tcW w:w="3505" w:type="dxa"/>
            <w:noWrap/>
          </w:tcPr>
          <w:p w:rsidR="009128E1" w:rsidRPr="004A5A16" w:rsidP="008440FA" w14:paraId="5FF85077" w14:textId="3569728C">
            <w:pPr>
              <w:spacing w:line="240" w:lineRule="auto"/>
              <w:rPr>
                <w:sz w:val="20"/>
              </w:rPr>
            </w:pPr>
            <w:r w:rsidRPr="00D156FD">
              <w:t xml:space="preserve">Licensing </w:t>
            </w:r>
            <w:r w:rsidR="00212E0F">
              <w:t>s</w:t>
            </w:r>
            <w:r w:rsidRPr="00D156FD">
              <w:t>taff</w:t>
            </w:r>
          </w:p>
        </w:tc>
        <w:tc>
          <w:tcPr>
            <w:tcW w:w="1170" w:type="dxa"/>
            <w:noWrap/>
          </w:tcPr>
          <w:p w:rsidR="009128E1" w:rsidRPr="00D156FD" w:rsidP="0055009A" w14:paraId="5433D852" w14:textId="57CEC595">
            <w:pPr>
              <w:spacing w:line="240" w:lineRule="auto"/>
              <w:jc w:val="center"/>
            </w:pPr>
            <w:r>
              <w:t>$1</w:t>
            </w:r>
            <w:r w:rsidR="00ED4391">
              <w:t>4</w:t>
            </w:r>
            <w:r w:rsidR="00606F6C">
              <w:t>0</w:t>
            </w:r>
          </w:p>
        </w:tc>
        <w:tc>
          <w:tcPr>
            <w:tcW w:w="1800" w:type="dxa"/>
            <w:noWrap/>
          </w:tcPr>
          <w:p w:rsidR="009128E1" w:rsidRPr="00D156FD" w:rsidP="0055009A" w14:paraId="63FE9BA0" w14:textId="77777777">
            <w:pPr>
              <w:spacing w:line="240" w:lineRule="auto"/>
              <w:jc w:val="center"/>
            </w:pPr>
            <w:r w:rsidRPr="00D156FD">
              <w:t>Dollars per hour</w:t>
            </w:r>
          </w:p>
        </w:tc>
        <w:tc>
          <w:tcPr>
            <w:tcW w:w="6475" w:type="dxa"/>
            <w:vMerge/>
          </w:tcPr>
          <w:p w:rsidR="009128E1" w:rsidRPr="00D156FD" w:rsidP="008440FA" w14:paraId="39A54129" w14:textId="77777777">
            <w:pPr>
              <w:spacing w:line="240" w:lineRule="auto"/>
            </w:pPr>
          </w:p>
        </w:tc>
      </w:tr>
      <w:tr w14:paraId="2E4E68C8" w14:textId="77777777" w:rsidTr="00581806">
        <w:tblPrEx>
          <w:tblW w:w="0" w:type="auto"/>
          <w:tblLayout w:type="fixed"/>
          <w:tblLook w:val="04A0"/>
        </w:tblPrEx>
        <w:trPr>
          <w:trHeight w:val="288"/>
        </w:trPr>
        <w:tc>
          <w:tcPr>
            <w:tcW w:w="3505" w:type="dxa"/>
            <w:noWrap/>
          </w:tcPr>
          <w:p w:rsidR="009128E1" w:rsidRPr="004A5A16" w:rsidP="008440FA" w14:paraId="3E737CAE" w14:textId="18F028B9">
            <w:pPr>
              <w:spacing w:line="240" w:lineRule="auto"/>
              <w:rPr>
                <w:sz w:val="20"/>
              </w:rPr>
            </w:pPr>
            <w:r w:rsidRPr="00D156FD">
              <w:t xml:space="preserve">NRC </w:t>
            </w:r>
            <w:r w:rsidR="005806CD">
              <w:t>staff</w:t>
            </w:r>
          </w:p>
        </w:tc>
        <w:tc>
          <w:tcPr>
            <w:tcW w:w="1170" w:type="dxa"/>
            <w:noWrap/>
          </w:tcPr>
          <w:p w:rsidR="009128E1" w:rsidRPr="00D156FD" w:rsidP="0055009A" w14:paraId="6F82EA49" w14:textId="440F1AA7">
            <w:pPr>
              <w:spacing w:line="240" w:lineRule="auto"/>
              <w:jc w:val="center"/>
            </w:pPr>
            <w:r>
              <w:t>$13</w:t>
            </w:r>
            <w:r w:rsidR="00606F6C">
              <w:t>7</w:t>
            </w:r>
          </w:p>
        </w:tc>
        <w:tc>
          <w:tcPr>
            <w:tcW w:w="1800" w:type="dxa"/>
            <w:noWrap/>
          </w:tcPr>
          <w:p w:rsidR="009128E1" w:rsidRPr="00D156FD" w:rsidP="0055009A" w14:paraId="0C62F2E0" w14:textId="77777777">
            <w:pPr>
              <w:spacing w:line="240" w:lineRule="auto"/>
              <w:jc w:val="center"/>
            </w:pPr>
            <w:r w:rsidRPr="00D156FD">
              <w:t>Dollars per hour</w:t>
            </w:r>
          </w:p>
        </w:tc>
        <w:tc>
          <w:tcPr>
            <w:tcW w:w="6475" w:type="dxa"/>
          </w:tcPr>
          <w:p w:rsidR="009128E1" w:rsidRPr="00D156FD" w:rsidP="008440FA" w14:paraId="4B0C34B2" w14:textId="5BAC8F0B">
            <w:pPr>
              <w:spacing w:line="240" w:lineRule="auto"/>
            </w:pPr>
            <w:r>
              <w:t>Calculated Value</w:t>
            </w:r>
          </w:p>
        </w:tc>
      </w:tr>
    </w:tbl>
    <w:p w:rsidR="00CA74E3" w:rsidRPr="005A345B" w:rsidP="003745BF" w14:paraId="404A2629" w14:textId="6FCA9FB8">
      <w:pPr>
        <w:spacing w:line="240" w:lineRule="auto"/>
        <w:ind w:left="540" w:hanging="540"/>
        <w:rPr>
          <w:sz w:val="18"/>
          <w:szCs w:val="18"/>
        </w:rPr>
      </w:pPr>
      <w:r w:rsidRPr="00581806">
        <w:rPr>
          <w:sz w:val="18"/>
          <w:szCs w:val="18"/>
        </w:rPr>
        <w:t xml:space="preserve">Note:  SMR = small modular reactor, </w:t>
      </w:r>
      <w:r w:rsidR="008937DE">
        <w:rPr>
          <w:sz w:val="18"/>
          <w:szCs w:val="18"/>
        </w:rPr>
        <w:t>n</w:t>
      </w:r>
      <w:r w:rsidRPr="00581806">
        <w:rPr>
          <w:sz w:val="18"/>
          <w:szCs w:val="18"/>
        </w:rPr>
        <w:t xml:space="preserve">on-LWR = non-light-water reactor, ONT = other new technology, </w:t>
      </w:r>
      <w:r w:rsidR="00E31089">
        <w:rPr>
          <w:sz w:val="18"/>
          <w:szCs w:val="18"/>
        </w:rPr>
        <w:t xml:space="preserve">NRC = U.S. Nuclear Regulatory Commission, </w:t>
      </w:r>
      <w:r w:rsidRPr="00581806">
        <w:rPr>
          <w:sz w:val="18"/>
          <w:szCs w:val="18"/>
        </w:rPr>
        <w:t>OL</w:t>
      </w:r>
      <w:r w:rsidR="00E31089">
        <w:rPr>
          <w:sz w:val="18"/>
          <w:szCs w:val="18"/>
        </w:rPr>
        <w:t> </w:t>
      </w:r>
      <w:r w:rsidRPr="00581806">
        <w:rPr>
          <w:sz w:val="18"/>
          <w:szCs w:val="18"/>
        </w:rPr>
        <w:t>=</w:t>
      </w:r>
      <w:r w:rsidR="00E31089">
        <w:rPr>
          <w:sz w:val="18"/>
          <w:szCs w:val="18"/>
        </w:rPr>
        <w:t> </w:t>
      </w:r>
      <w:r w:rsidRPr="00581806">
        <w:rPr>
          <w:sz w:val="18"/>
          <w:szCs w:val="18"/>
        </w:rPr>
        <w:t>operating license, and CPI</w:t>
      </w:r>
      <w:r w:rsidRPr="00581806">
        <w:rPr>
          <w:sz w:val="18"/>
          <w:szCs w:val="18"/>
        </w:rPr>
        <w:noBreakHyphen/>
        <w:t xml:space="preserve">U = </w:t>
      </w:r>
      <w:r w:rsidRPr="00581806" w:rsidR="00C823CB">
        <w:rPr>
          <w:sz w:val="18"/>
          <w:szCs w:val="18"/>
        </w:rPr>
        <w:t>consumer price index for all urban consumers.</w:t>
      </w:r>
    </w:p>
    <w:sectPr w:rsidSect="00EB133B">
      <w:footerReference w:type="default" r:id="rId3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Cambria"/>
    <w:panose1 w:val="00000000000000000000"/>
    <w:charset w:val="00"/>
    <w:family w:val="roma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1AA0" w:rsidRPr="00B26532" w:rsidP="00B26532" w14:paraId="0BD74E3B" w14:textId="77777777">
    <w:pPr>
      <w:tabs>
        <w:tab w:val="center" w:pos="6480"/>
        <w:tab w:val="right" w:pos="9360"/>
      </w:tabs>
      <w:jc w:val="center"/>
    </w:pPr>
    <w:r w:rsidRPr="00B26532">
      <w:t>A</w:t>
    </w:r>
    <w:r w:rsidRPr="00B26532">
      <w:noBreakHyphen/>
      <w:t>1</w:t>
    </w:r>
  </w:p>
  <w:p w:rsidR="00791AA0" w14:paraId="02683D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1AA0" w:rsidRPr="0075644E" w:rsidP="00615B30" w14:paraId="0DE143E1" w14:textId="77777777">
    <w:pPr>
      <w:pStyle w:val="Footer"/>
    </w:pPr>
    <w:r>
      <w:tab/>
    </w:r>
    <w:r>
      <w:fldChar w:fldCharType="begin"/>
    </w:r>
    <w:r>
      <w:instrText xml:space="preserve"> PAGE   \* MERGEFORMAT </w:instrText>
    </w:r>
    <w:r>
      <w:fldChar w:fldCharType="separate"/>
    </w:r>
    <w:r>
      <w:rPr>
        <w:noProof/>
      </w:rPr>
      <w:t>x</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1AA0" w:rsidRPr="00892A3E" w:rsidP="00F44845" w14:paraId="58808D46" w14:textId="77777777">
    <w:pPr>
      <w:pStyle w:val="Footer"/>
      <w:tabs>
        <w:tab w:val="clear" w:pos="4680"/>
        <w:tab w:val="center" w:pos="6480"/>
      </w:tabs>
      <w:jc w:val="center"/>
    </w:pPr>
    <w:r>
      <w:fldChar w:fldCharType="begin"/>
    </w:r>
    <w:r>
      <w:instrText xml:space="preserve"> PAGE  \* Arabic  \* MERGEFORMAT</w:instrText>
    </w:r>
    <w:r>
      <w:fldChar w:fldCharType="separate"/>
    </w:r>
    <w:r>
      <w:rPr>
        <w:noProof/>
      </w:rPr>
      <w:t>33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1AA0" w:rsidRPr="00892A3E" w:rsidP="00F44845" w14:paraId="69A962BC" w14:textId="4B21A5EB">
    <w:pPr>
      <w:pStyle w:val="Footer"/>
      <w:tabs>
        <w:tab w:val="clear" w:pos="4680"/>
        <w:tab w:val="center" w:pos="6480"/>
      </w:tabs>
      <w:jc w:val="center"/>
    </w:pPr>
    <w:r>
      <w:t>A</w:t>
    </w:r>
    <w:r>
      <w:noBreakHyphen/>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1AA0" w:rsidRPr="00B26532" w:rsidP="00B26532" w14:paraId="69BDEB73" w14:textId="77777777">
    <w:pPr>
      <w:tabs>
        <w:tab w:val="center" w:pos="6480"/>
        <w:tab w:val="right" w:pos="9360"/>
      </w:tabs>
      <w:jc w:val="center"/>
    </w:pPr>
    <w:r w:rsidRPr="00B26532">
      <w:t>A</w:t>
    </w:r>
    <w:r w:rsidRPr="00B26532">
      <w:noBreakHyphen/>
      <w:t>1</w:t>
    </w:r>
  </w:p>
  <w:p w:rsidR="00791AA0" w14:paraId="35FE844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1AA0" w:rsidRPr="00892A3E" w:rsidP="00F44845" w14:paraId="40C93F41" w14:textId="6B362D12">
    <w:pPr>
      <w:pStyle w:val="Footer"/>
      <w:tabs>
        <w:tab w:val="clear" w:pos="4680"/>
        <w:tab w:val="center" w:pos="6570"/>
      </w:tabs>
      <w:jc w:val="center"/>
    </w:pPr>
    <w:r>
      <w:t>B-1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93F84" w:rsidP="00891C71" w14:paraId="5AD7F5B9" w14:textId="77777777">
      <w:r>
        <w:separator/>
      </w:r>
    </w:p>
  </w:footnote>
  <w:footnote w:type="continuationSeparator" w:id="1">
    <w:p w:rsidR="00E93F84" w:rsidP="00891C71" w14:paraId="0EBD8EA3" w14:textId="77777777">
      <w:r>
        <w:continuationSeparator/>
      </w:r>
    </w:p>
  </w:footnote>
  <w:footnote w:type="continuationNotice" w:id="2">
    <w:p w:rsidR="00E93F84" w:rsidP="00891C71" w14:paraId="70567E3F" w14:textId="77777777"/>
  </w:footnote>
  <w:footnote w:id="3">
    <w:p w:rsidR="00791AA0" w:rsidRPr="00581806" w:rsidP="00DD559A" w14:paraId="49AF5AA9" w14:textId="700FB995">
      <w:pPr>
        <w:pStyle w:val="FootnoteText"/>
        <w:spacing w:line="240" w:lineRule="auto"/>
        <w:ind w:left="180" w:hanging="180"/>
        <w:rPr>
          <w:sz w:val="18"/>
          <w:szCs w:val="18"/>
        </w:rPr>
      </w:pPr>
      <w:r w:rsidRPr="00581806">
        <w:rPr>
          <w:rStyle w:val="FootnoteReference"/>
          <w:sz w:val="18"/>
          <w:szCs w:val="18"/>
          <w:vertAlign w:val="superscript"/>
        </w:rPr>
        <w:footnoteRef/>
      </w:r>
      <w:r w:rsidRPr="00581806">
        <w:rPr>
          <w:sz w:val="18"/>
          <w:szCs w:val="18"/>
        </w:rPr>
        <w:t xml:space="preserve"> </w:t>
      </w:r>
      <w:r w:rsidRPr="00581806">
        <w:rPr>
          <w:sz w:val="18"/>
          <w:szCs w:val="18"/>
        </w:rPr>
        <w:tab/>
        <w:t xml:space="preserve">The PAGs are reference values for radiation doses that warrant preselected protective </w:t>
      </w:r>
      <w:r>
        <w:rPr>
          <w:sz w:val="18"/>
          <w:szCs w:val="18"/>
        </w:rPr>
        <w:t>measures</w:t>
      </w:r>
      <w:r w:rsidRPr="00581806">
        <w:rPr>
          <w:sz w:val="18"/>
          <w:szCs w:val="18"/>
        </w:rPr>
        <w:t xml:space="preserve"> for public protection if the projected dose received by an individual in the absence of protective action</w:t>
      </w:r>
      <w:r>
        <w:rPr>
          <w:sz w:val="18"/>
          <w:szCs w:val="18"/>
        </w:rPr>
        <w:t xml:space="preserve">s exceeds the radiation </w:t>
      </w:r>
      <w:r w:rsidRPr="004D7425">
        <w:rPr>
          <w:sz w:val="18"/>
          <w:szCs w:val="18"/>
        </w:rPr>
        <w:t xml:space="preserve">dose </w:t>
      </w:r>
      <w:r>
        <w:rPr>
          <w:sz w:val="18"/>
          <w:szCs w:val="18"/>
        </w:rPr>
        <w:t>reference value</w:t>
      </w:r>
      <w:r w:rsidRPr="00581806">
        <w:rPr>
          <w:sz w:val="18"/>
          <w:szCs w:val="18"/>
        </w:rPr>
        <w:t>.</w:t>
      </w:r>
    </w:p>
  </w:footnote>
  <w:footnote w:id="4">
    <w:p w:rsidR="00791AA0" w:rsidRPr="001A5BD0" w:rsidP="001A5BD0" w14:paraId="7EDA566D" w14:textId="3BC45DA2">
      <w:pPr>
        <w:pStyle w:val="FootnoteText"/>
        <w:spacing w:line="240" w:lineRule="auto"/>
        <w:ind w:left="187" w:hanging="187"/>
        <w:rPr>
          <w:sz w:val="18"/>
          <w:szCs w:val="18"/>
        </w:rPr>
      </w:pPr>
      <w:r w:rsidRPr="001A5BD0">
        <w:rPr>
          <w:rStyle w:val="FootnoteReference"/>
          <w:sz w:val="18"/>
          <w:szCs w:val="18"/>
          <w:vertAlign w:val="superscript"/>
        </w:rPr>
        <w:footnoteRef/>
      </w:r>
      <w:r w:rsidRPr="001A5BD0">
        <w:rPr>
          <w:sz w:val="18"/>
          <w:szCs w:val="18"/>
        </w:rPr>
        <w:t xml:space="preserve">  </w:t>
      </w:r>
      <w:r w:rsidRPr="005B0C3C">
        <w:rPr>
          <w:sz w:val="18"/>
          <w:szCs w:val="18"/>
        </w:rPr>
        <w:t>As defined in ANSI/ANS-15.16-2015, “operations boundary” refers to the area within the site boundary such as the reactor building (or the nearest physical personnel barrier in cases where the reactor building is not a principal physical personnel barrier) where the reactor chief administrator has direct authority over all activities.</w:t>
      </w:r>
    </w:p>
  </w:footnote>
  <w:footnote w:id="5">
    <w:p w:rsidR="00791AA0" w:rsidP="00DD559A" w14:paraId="1B375626" w14:textId="1C748C13">
      <w:pPr>
        <w:pStyle w:val="FootnoteText"/>
        <w:spacing w:line="240" w:lineRule="auto"/>
        <w:ind w:left="180" w:hanging="180"/>
        <w:rPr>
          <w:sz w:val="18"/>
          <w:szCs w:val="18"/>
        </w:rPr>
      </w:pPr>
      <w:r w:rsidRPr="00A05161">
        <w:rPr>
          <w:rStyle w:val="FootnoteReference"/>
          <w:sz w:val="18"/>
          <w:szCs w:val="18"/>
          <w:vertAlign w:val="superscript"/>
        </w:rPr>
        <w:footnoteRef/>
      </w:r>
      <w:r w:rsidRPr="00A05161">
        <w:rPr>
          <w:rStyle w:val="FootnoteReference"/>
          <w:sz w:val="18"/>
          <w:szCs w:val="18"/>
          <w:vertAlign w:val="superscript"/>
        </w:rPr>
        <w:t xml:space="preserve"> </w:t>
      </w:r>
      <w:r>
        <w:rPr>
          <w:sz w:val="18"/>
          <w:szCs w:val="18"/>
          <w:vertAlign w:val="superscript"/>
        </w:rPr>
        <w:tab/>
      </w:r>
      <w:r w:rsidRPr="00A05161">
        <w:rPr>
          <w:sz w:val="18"/>
          <w:szCs w:val="18"/>
        </w:rPr>
        <w:t>The</w:t>
      </w:r>
      <w:r w:rsidRPr="00A05161">
        <w:rPr>
          <w:i/>
          <w:sz w:val="18"/>
          <w:szCs w:val="18"/>
        </w:rPr>
        <w:t xml:space="preserve"> </w:t>
      </w:r>
      <w:r w:rsidRPr="005B50DA">
        <w:rPr>
          <w:sz w:val="18"/>
          <w:szCs w:val="18"/>
        </w:rPr>
        <w:t>“</w:t>
      </w:r>
      <w:r w:rsidRPr="00581806">
        <w:rPr>
          <w:sz w:val="18"/>
          <w:szCs w:val="18"/>
        </w:rPr>
        <w:t>social rate of time preference discounting concept</w:t>
      </w:r>
      <w:r>
        <w:rPr>
          <w:sz w:val="18"/>
          <w:szCs w:val="18"/>
        </w:rPr>
        <w:t>”</w:t>
      </w:r>
      <w:r w:rsidRPr="00A05161">
        <w:rPr>
          <w:sz w:val="18"/>
          <w:szCs w:val="18"/>
        </w:rPr>
        <w:t xml:space="preserve"> refers to the rate at which society is willing to postpone a marginal unit of current consumption in exchange for more future consumption.</w:t>
      </w:r>
    </w:p>
    <w:p w:rsidR="00791AA0" w:rsidRPr="004D3CDD" w:rsidP="00DD559A" w14:paraId="3E2E8779" w14:textId="77777777">
      <w:pPr>
        <w:pStyle w:val="FootnoteText"/>
        <w:spacing w:line="240" w:lineRule="auto"/>
        <w:ind w:left="720" w:hanging="720"/>
        <w:rPr>
          <w:sz w:val="18"/>
          <w:szCs w:val="18"/>
        </w:rPr>
      </w:pPr>
    </w:p>
  </w:footnote>
  <w:footnote w:id="6">
    <w:p w:rsidR="00791AA0" w:rsidRPr="005B50DA" w:rsidP="00DD559A" w14:paraId="34F0B50A" w14:textId="4C4408E3">
      <w:pPr>
        <w:pStyle w:val="FootnoteText"/>
        <w:spacing w:line="240" w:lineRule="auto"/>
        <w:ind w:left="180" w:hanging="180"/>
        <w:rPr>
          <w:sz w:val="18"/>
          <w:szCs w:val="18"/>
        </w:rPr>
      </w:pPr>
      <w:r w:rsidRPr="00AA2F30">
        <w:rPr>
          <w:rStyle w:val="FootnoteReference"/>
          <w:sz w:val="18"/>
          <w:szCs w:val="18"/>
          <w:vertAlign w:val="superscript"/>
        </w:rPr>
        <w:footnoteRef/>
      </w:r>
      <w:r w:rsidRPr="005B50DA">
        <w:rPr>
          <w:sz w:val="18"/>
          <w:szCs w:val="18"/>
        </w:rPr>
        <w:t xml:space="preserve"> </w:t>
      </w:r>
      <w:r w:rsidRPr="005B50DA">
        <w:rPr>
          <w:sz w:val="18"/>
          <w:szCs w:val="18"/>
        </w:rPr>
        <w:tab/>
        <w:t xml:space="preserve">“Opportunity cost” represents what is foregone by undertaking a given action.  If the applicant or licensee personnel were not engaged in producing exemption requests, they would be engaged in other work activities.  </w:t>
      </w:r>
      <w:r w:rsidRPr="00AD3DA5">
        <w:rPr>
          <w:sz w:val="18"/>
          <w:szCs w:val="18"/>
        </w:rPr>
        <w:t>Throughout the analysis, the</w:t>
      </w:r>
      <w:r w:rsidRPr="005B50DA">
        <w:rPr>
          <w:sz w:val="18"/>
          <w:szCs w:val="18"/>
        </w:rPr>
        <w:t xml:space="preserve"> NRC estimates the opportunity cost of performing these incremental tasks as the industry personnel’s pay for the designated unit of time.</w:t>
      </w:r>
    </w:p>
    <w:p w:rsidR="00791AA0" w:rsidRPr="005A6A7A" w:rsidP="009404F9" w14:paraId="115E142E" w14:textId="77777777">
      <w:pPr>
        <w:pStyle w:val="FootnoteText"/>
        <w:ind w:left="360" w:hanging="360"/>
        <w:rPr>
          <w:sz w:val="18"/>
          <w:szCs w:val="18"/>
        </w:rPr>
      </w:pPr>
    </w:p>
  </w:footnote>
  <w:footnote w:id="7">
    <w:p w:rsidR="00791AA0" w:rsidRPr="00150095" w:rsidP="00DD559A" w14:paraId="6138F07E" w14:textId="2398CD5C">
      <w:pPr>
        <w:spacing w:line="240" w:lineRule="auto"/>
        <w:ind w:left="180" w:hanging="180"/>
        <w:rPr>
          <w:sz w:val="20"/>
          <w:szCs w:val="18"/>
        </w:rPr>
      </w:pPr>
      <w:r w:rsidRPr="00EB7FA7">
        <w:rPr>
          <w:rStyle w:val="FootnoteReference"/>
          <w:sz w:val="18"/>
          <w:szCs w:val="18"/>
          <w:vertAlign w:val="superscript"/>
        </w:rPr>
        <w:footnoteRef/>
      </w:r>
      <w:r w:rsidRPr="00150095">
        <w:rPr>
          <w:sz w:val="18"/>
          <w:szCs w:val="18"/>
          <w:vertAlign w:val="superscript"/>
        </w:rPr>
        <w:t xml:space="preserve"> </w:t>
      </w:r>
      <w:r w:rsidRPr="00150095">
        <w:rPr>
          <w:sz w:val="18"/>
          <w:szCs w:val="18"/>
        </w:rPr>
        <w:tab/>
      </w:r>
      <w:r w:rsidRPr="00DC08A0">
        <w:rPr>
          <w:sz w:val="18"/>
        </w:rPr>
        <w:t>The NRC labor rates presented here</w:t>
      </w:r>
      <w:r>
        <w:rPr>
          <w:sz w:val="18"/>
        </w:rPr>
        <w:t>in</w:t>
      </w:r>
      <w:r w:rsidRPr="00DC08A0">
        <w:rPr>
          <w:sz w:val="18"/>
        </w:rPr>
        <w:t xml:space="preserve"> differ from those developed under the NRC’s license fee recovery program (10</w:t>
      </w:r>
      <w:r>
        <w:rPr>
          <w:sz w:val="18"/>
        </w:rPr>
        <w:t> </w:t>
      </w:r>
      <w:r w:rsidRPr="00DC08A0">
        <w:rPr>
          <w:sz w:val="18"/>
        </w:rPr>
        <w:t>CFR</w:t>
      </w:r>
      <w:r>
        <w:rPr>
          <w:sz w:val="18"/>
          <w:szCs w:val="18"/>
        </w:rPr>
        <w:t> </w:t>
      </w:r>
      <w:r w:rsidRPr="00DC08A0">
        <w:rPr>
          <w:sz w:val="18"/>
        </w:rPr>
        <w:t>Part</w:t>
      </w:r>
      <w:r>
        <w:rPr>
          <w:sz w:val="18"/>
          <w:szCs w:val="18"/>
        </w:rPr>
        <w:t> </w:t>
      </w:r>
      <w:r w:rsidRPr="00DC08A0">
        <w:rPr>
          <w:sz w:val="18"/>
        </w:rPr>
        <w:t>170</w:t>
      </w:r>
      <w:r w:rsidRPr="00AD3DA5">
        <w:rPr>
          <w:sz w:val="18"/>
          <w:szCs w:val="18"/>
        </w:rPr>
        <w:t xml:space="preserve">, “Fees for </w:t>
      </w:r>
      <w:r>
        <w:rPr>
          <w:sz w:val="18"/>
          <w:szCs w:val="18"/>
        </w:rPr>
        <w:t>f</w:t>
      </w:r>
      <w:r w:rsidRPr="00AD3DA5">
        <w:rPr>
          <w:sz w:val="18"/>
          <w:szCs w:val="18"/>
        </w:rPr>
        <w:t xml:space="preserve">acilities, </w:t>
      </w:r>
      <w:r>
        <w:rPr>
          <w:sz w:val="18"/>
          <w:szCs w:val="18"/>
        </w:rPr>
        <w:t>m</w:t>
      </w:r>
      <w:r w:rsidRPr="00AD3DA5">
        <w:rPr>
          <w:sz w:val="18"/>
          <w:szCs w:val="18"/>
        </w:rPr>
        <w:t xml:space="preserve">aterials, </w:t>
      </w:r>
      <w:r>
        <w:rPr>
          <w:sz w:val="18"/>
          <w:szCs w:val="18"/>
        </w:rPr>
        <w:t>i</w:t>
      </w:r>
      <w:r w:rsidRPr="00AD3DA5">
        <w:rPr>
          <w:sz w:val="18"/>
          <w:szCs w:val="18"/>
        </w:rPr>
        <w:t xml:space="preserve">mport and </w:t>
      </w:r>
      <w:r>
        <w:rPr>
          <w:sz w:val="18"/>
          <w:szCs w:val="18"/>
        </w:rPr>
        <w:t>e</w:t>
      </w:r>
      <w:r w:rsidRPr="00AD3DA5">
        <w:rPr>
          <w:sz w:val="18"/>
          <w:szCs w:val="18"/>
        </w:rPr>
        <w:t xml:space="preserve">xport </w:t>
      </w:r>
      <w:r>
        <w:rPr>
          <w:sz w:val="18"/>
          <w:szCs w:val="18"/>
        </w:rPr>
        <w:t>l</w:t>
      </w:r>
      <w:r w:rsidRPr="00AD3DA5">
        <w:rPr>
          <w:sz w:val="18"/>
          <w:szCs w:val="18"/>
        </w:rPr>
        <w:t xml:space="preserve">icenses, and </w:t>
      </w:r>
      <w:r>
        <w:rPr>
          <w:sz w:val="18"/>
          <w:szCs w:val="18"/>
        </w:rPr>
        <w:t>o</w:t>
      </w:r>
      <w:r w:rsidRPr="00AD3DA5">
        <w:rPr>
          <w:sz w:val="18"/>
          <w:szCs w:val="18"/>
        </w:rPr>
        <w:t xml:space="preserve">ther </w:t>
      </w:r>
      <w:r>
        <w:rPr>
          <w:sz w:val="18"/>
          <w:szCs w:val="18"/>
        </w:rPr>
        <w:t>r</w:t>
      </w:r>
      <w:r w:rsidRPr="00AD3DA5">
        <w:rPr>
          <w:sz w:val="18"/>
          <w:szCs w:val="18"/>
        </w:rPr>
        <w:t xml:space="preserve">egulatory </w:t>
      </w:r>
      <w:r>
        <w:rPr>
          <w:sz w:val="18"/>
          <w:szCs w:val="18"/>
        </w:rPr>
        <w:t>s</w:t>
      </w:r>
      <w:r w:rsidRPr="00AD3DA5">
        <w:rPr>
          <w:sz w:val="18"/>
          <w:szCs w:val="18"/>
        </w:rPr>
        <w:t xml:space="preserve">ervices under the Atomic Energy Act of 1954, as </w:t>
      </w:r>
      <w:r>
        <w:rPr>
          <w:sz w:val="18"/>
          <w:szCs w:val="18"/>
        </w:rPr>
        <w:t>a</w:t>
      </w:r>
      <w:r w:rsidRPr="00AD3DA5">
        <w:rPr>
          <w:sz w:val="18"/>
          <w:szCs w:val="18"/>
        </w:rPr>
        <w:t>mended”).</w:t>
      </w:r>
      <w:r w:rsidRPr="00DC08A0">
        <w:rPr>
          <w:sz w:val="18"/>
        </w:rPr>
        <w:t xml:space="preserve">  NRC labor rates for fee recovery purposes are appropriately designed for full</w:t>
      </w:r>
      <w:r w:rsidRPr="00AD3DA5">
        <w:rPr>
          <w:sz w:val="18"/>
          <w:szCs w:val="18"/>
        </w:rPr>
        <w:t>-</w:t>
      </w:r>
      <w:r w:rsidRPr="00DC08A0">
        <w:rPr>
          <w:sz w:val="18"/>
        </w:rPr>
        <w:t xml:space="preserve">cost recovery of the services rendered and as such include </w:t>
      </w:r>
      <w:r w:rsidRPr="00DC08A0">
        <w:rPr>
          <w:sz w:val="18"/>
        </w:rPr>
        <w:t>nonincremental costs (e.g.,</w:t>
      </w:r>
      <w:r>
        <w:rPr>
          <w:sz w:val="18"/>
          <w:szCs w:val="18"/>
        </w:rPr>
        <w:t> </w:t>
      </w:r>
      <w:r w:rsidRPr="00DC08A0">
        <w:rPr>
          <w:sz w:val="18"/>
        </w:rPr>
        <w:t>overhead, administrative, and logistical support costs).</w:t>
      </w:r>
    </w:p>
    <w:p w:rsidR="00791AA0" w:rsidRPr="00150095" w:rsidP="009128E1" w14:paraId="606EEC0F" w14:textId="77777777">
      <w:pPr>
        <w:rPr>
          <w:sz w:val="20"/>
          <w:szCs w:val="18"/>
        </w:rPr>
      </w:pPr>
    </w:p>
  </w:footnote>
  <w:footnote w:id="8">
    <w:p w:rsidR="00791AA0" w:rsidP="00DD559A" w14:paraId="1A62F6EF" w14:textId="08781657">
      <w:pPr>
        <w:pStyle w:val="FootnoteText"/>
        <w:spacing w:line="240" w:lineRule="auto"/>
        <w:ind w:left="180" w:hanging="180"/>
        <w:rPr>
          <w:sz w:val="18"/>
        </w:rPr>
      </w:pPr>
      <w:r w:rsidRPr="009634AB">
        <w:rPr>
          <w:rStyle w:val="FootnoteReference"/>
          <w:sz w:val="18"/>
          <w:szCs w:val="18"/>
          <w:vertAlign w:val="superscript"/>
        </w:rPr>
        <w:footnoteRef/>
      </w:r>
      <w:r w:rsidRPr="00DC08A0">
        <w:rPr>
          <w:sz w:val="18"/>
          <w:vertAlign w:val="superscript"/>
        </w:rPr>
        <w:t xml:space="preserve"> </w:t>
      </w:r>
      <w:r w:rsidRPr="00DC08A0">
        <w:rPr>
          <w:sz w:val="18"/>
          <w:vertAlign w:val="superscript"/>
        </w:rPr>
        <w:tab/>
      </w:r>
      <w:r w:rsidRPr="00DC08A0">
        <w:rPr>
          <w:sz w:val="18"/>
        </w:rPr>
        <w:t xml:space="preserve">An </w:t>
      </w:r>
      <w:r>
        <w:rPr>
          <w:sz w:val="18"/>
        </w:rPr>
        <w:t>“</w:t>
      </w:r>
      <w:r w:rsidRPr="00581806">
        <w:rPr>
          <w:sz w:val="18"/>
        </w:rPr>
        <w:t>ex ante cost-benefit analysis</w:t>
      </w:r>
      <w:r>
        <w:rPr>
          <w:sz w:val="18"/>
        </w:rPr>
        <w:t>”</w:t>
      </w:r>
      <w:r w:rsidRPr="00DC08A0">
        <w:rPr>
          <w:sz w:val="18"/>
        </w:rPr>
        <w:t xml:space="preserve"> is prepared before </w:t>
      </w:r>
      <w:r>
        <w:rPr>
          <w:sz w:val="18"/>
        </w:rPr>
        <w:t xml:space="preserve">the implementation of </w:t>
      </w:r>
      <w:r w:rsidRPr="00DC08A0">
        <w:rPr>
          <w:sz w:val="18"/>
        </w:rPr>
        <w:t xml:space="preserve">a policy, program, or alternative and can assist in the </w:t>
      </w:r>
      <w:r w:rsidRPr="00DC08A0">
        <w:rPr>
          <w:sz w:val="18"/>
        </w:rPr>
        <w:t>decision</w:t>
      </w:r>
      <w:r>
        <w:rPr>
          <w:sz w:val="18"/>
        </w:rPr>
        <w:t>making</w:t>
      </w:r>
      <w:r w:rsidRPr="00DC08A0">
        <w:rPr>
          <w:sz w:val="18"/>
        </w:rPr>
        <w:t xml:space="preserve"> about whether resources should be allocated to that alternative.</w:t>
      </w:r>
    </w:p>
    <w:p w:rsidR="00791AA0" w:rsidRPr="00DC08A0" w:rsidP="00DD559A" w14:paraId="01FDC0EE" w14:textId="77777777">
      <w:pPr>
        <w:pStyle w:val="FootnoteText"/>
        <w:spacing w:line="240" w:lineRule="auto"/>
        <w:ind w:left="720" w:hanging="720"/>
        <w:rPr>
          <w:sz w:val="18"/>
        </w:rPr>
      </w:pPr>
    </w:p>
  </w:footnote>
  <w:footnote w:id="9">
    <w:p w:rsidR="00791AA0" w:rsidRPr="00581806" w:rsidP="00DD559A" w14:paraId="60B4FA55" w14:textId="0CF1EEB7">
      <w:pPr>
        <w:pStyle w:val="FootnoteText"/>
        <w:spacing w:line="240" w:lineRule="auto"/>
        <w:ind w:left="180" w:hanging="180"/>
        <w:rPr>
          <w:sz w:val="18"/>
          <w:szCs w:val="18"/>
        </w:rPr>
      </w:pPr>
      <w:r w:rsidRPr="00581806">
        <w:rPr>
          <w:rStyle w:val="FootnoteReference"/>
          <w:sz w:val="18"/>
          <w:szCs w:val="18"/>
          <w:vertAlign w:val="superscript"/>
        </w:rPr>
        <w:footnoteRef/>
      </w:r>
      <w:r w:rsidRPr="00581806">
        <w:rPr>
          <w:sz w:val="18"/>
          <w:szCs w:val="18"/>
        </w:rPr>
        <w:t xml:space="preserve"> </w:t>
      </w:r>
      <w:r w:rsidRPr="00581806">
        <w:rPr>
          <w:sz w:val="18"/>
          <w:szCs w:val="18"/>
        </w:rPr>
        <w:tab/>
        <w:t xml:space="preserve">The </w:t>
      </w:r>
      <w:r>
        <w:rPr>
          <w:sz w:val="18"/>
          <w:szCs w:val="18"/>
        </w:rPr>
        <w:t xml:space="preserve">NRC considered the </w:t>
      </w:r>
      <w:r w:rsidRPr="00581806">
        <w:rPr>
          <w:sz w:val="18"/>
          <w:szCs w:val="18"/>
        </w:rPr>
        <w:t xml:space="preserve">incremental impact of the </w:t>
      </w:r>
      <w:r>
        <w:rPr>
          <w:sz w:val="18"/>
          <w:szCs w:val="18"/>
        </w:rPr>
        <w:t>final</w:t>
      </w:r>
      <w:r w:rsidRPr="00581806">
        <w:rPr>
          <w:sz w:val="18"/>
          <w:szCs w:val="18"/>
        </w:rPr>
        <w:t xml:space="preserve"> rule for other entities</w:t>
      </w:r>
      <w:r>
        <w:rPr>
          <w:sz w:val="18"/>
          <w:szCs w:val="18"/>
        </w:rPr>
        <w:t>,</w:t>
      </w:r>
      <w:r w:rsidRPr="00581806">
        <w:rPr>
          <w:sz w:val="18"/>
          <w:szCs w:val="18"/>
        </w:rPr>
        <w:t xml:space="preserve"> including State,</w:t>
      </w:r>
      <w:r>
        <w:rPr>
          <w:sz w:val="18"/>
          <w:szCs w:val="18"/>
        </w:rPr>
        <w:t xml:space="preserve"> local, and</w:t>
      </w:r>
      <w:r w:rsidRPr="00581806">
        <w:rPr>
          <w:sz w:val="18"/>
          <w:szCs w:val="18"/>
        </w:rPr>
        <w:t xml:space="preserve"> </w:t>
      </w:r>
      <w:r>
        <w:rPr>
          <w:sz w:val="18"/>
          <w:szCs w:val="18"/>
        </w:rPr>
        <w:t xml:space="preserve">Tribal </w:t>
      </w:r>
      <w:r w:rsidRPr="00581806">
        <w:rPr>
          <w:sz w:val="18"/>
          <w:szCs w:val="18"/>
        </w:rPr>
        <w:t>government organizations</w:t>
      </w:r>
      <w:r>
        <w:rPr>
          <w:sz w:val="18"/>
          <w:szCs w:val="18"/>
        </w:rPr>
        <w:t>,</w:t>
      </w:r>
      <w:r w:rsidRPr="00581806">
        <w:rPr>
          <w:sz w:val="18"/>
          <w:szCs w:val="18"/>
        </w:rPr>
        <w:t xml:space="preserve"> </w:t>
      </w:r>
      <w:r>
        <w:rPr>
          <w:sz w:val="18"/>
          <w:szCs w:val="18"/>
        </w:rPr>
        <w:t>but it</w:t>
      </w:r>
      <w:r w:rsidRPr="00581806">
        <w:rPr>
          <w:sz w:val="18"/>
          <w:szCs w:val="18"/>
        </w:rPr>
        <w:t xml:space="preserve"> </w:t>
      </w:r>
      <w:r>
        <w:rPr>
          <w:sz w:val="18"/>
          <w:szCs w:val="18"/>
        </w:rPr>
        <w:t>does</w:t>
      </w:r>
      <w:r w:rsidRPr="00581806">
        <w:rPr>
          <w:sz w:val="18"/>
          <w:szCs w:val="18"/>
        </w:rPr>
        <w:t xml:space="preserve"> not expect</w:t>
      </w:r>
      <w:r>
        <w:rPr>
          <w:sz w:val="18"/>
          <w:szCs w:val="18"/>
        </w:rPr>
        <w:t xml:space="preserve"> such entities</w:t>
      </w:r>
      <w:r w:rsidRPr="00581806">
        <w:rPr>
          <w:sz w:val="18"/>
          <w:szCs w:val="18"/>
        </w:rPr>
        <w:t xml:space="preserve"> to be affected.</w:t>
      </w:r>
    </w:p>
  </w:footnote>
  <w:footnote w:id="10">
    <w:p w:rsidR="00791AA0" w:rsidP="00DD559A" w14:paraId="60B01BFC" w14:textId="62E584DB">
      <w:pPr>
        <w:pStyle w:val="FootnoteText"/>
        <w:ind w:left="180" w:hanging="180"/>
        <w:rPr>
          <w:sz w:val="18"/>
        </w:rPr>
      </w:pPr>
      <w:r w:rsidRPr="00DC08A0">
        <w:rPr>
          <w:rStyle w:val="FootnoteReference"/>
          <w:sz w:val="18"/>
          <w:vertAlign w:val="superscript"/>
        </w:rPr>
        <w:footnoteRef/>
      </w:r>
      <w:r w:rsidRPr="00DC08A0">
        <w:rPr>
          <w:sz w:val="18"/>
        </w:rPr>
        <w:t xml:space="preserve"> </w:t>
      </w:r>
      <w:r w:rsidRPr="00DC08A0">
        <w:rPr>
          <w:sz w:val="18"/>
        </w:rPr>
        <w:tab/>
        <w:t xml:space="preserve">Information about </w:t>
      </w:r>
      <w:r>
        <w:rPr>
          <w:sz w:val="18"/>
        </w:rPr>
        <w:t>the @Risk</w:t>
      </w:r>
      <w:r w:rsidRPr="00DC08A0">
        <w:rPr>
          <w:sz w:val="18"/>
        </w:rPr>
        <w:t xml:space="preserve"> software is available at </w:t>
      </w:r>
      <w:hyperlink r:id="rId1" w:history="1">
        <w:r w:rsidRPr="00945E3D">
          <w:rPr>
            <w:rStyle w:val="Hyperlink"/>
            <w:sz w:val="18"/>
            <w:szCs w:val="18"/>
          </w:rPr>
          <w:t>http://</w:t>
        </w:r>
        <w:r w:rsidRPr="00DC08A0">
          <w:rPr>
            <w:rStyle w:val="Hyperlink"/>
            <w:sz w:val="18"/>
          </w:rPr>
          <w:t>www.palisade.com</w:t>
        </w:r>
      </w:hyperlink>
      <w:r w:rsidRPr="00DC08A0">
        <w:rPr>
          <w:sz w:val="18"/>
        </w:rPr>
        <w:t>.</w:t>
      </w:r>
    </w:p>
    <w:p w:rsidR="00791AA0" w:rsidRPr="005A6A7A" w:rsidP="000F46FC" w14:paraId="1A26AFBC" w14:textId="77777777">
      <w:pPr>
        <w:pStyle w:val="FootnoteText"/>
        <w:ind w:left="720" w:hanging="720"/>
        <w:rPr>
          <w:sz w:val="16"/>
          <w:szCs w:val="16"/>
        </w:rPr>
      </w:pPr>
    </w:p>
  </w:footnote>
  <w:footnote w:id="11">
    <w:p w:rsidR="00791AA0" w:rsidRPr="00DC08A0" w:rsidP="00DD559A" w14:paraId="1D93E117" w14:textId="2484F161">
      <w:pPr>
        <w:pStyle w:val="FootnoteText"/>
        <w:spacing w:line="240" w:lineRule="auto"/>
        <w:ind w:left="180" w:hanging="180"/>
        <w:rPr>
          <w:sz w:val="18"/>
        </w:rPr>
      </w:pPr>
      <w:r w:rsidRPr="00DC08A0">
        <w:rPr>
          <w:rStyle w:val="FootnoteReference"/>
          <w:rFonts w:eastAsiaTheme="majorEastAsia"/>
          <w:sz w:val="18"/>
          <w:vertAlign w:val="superscript"/>
        </w:rPr>
        <w:footnoteRef/>
      </w:r>
      <w:r w:rsidRPr="00DC08A0">
        <w:rPr>
          <w:sz w:val="18"/>
        </w:rPr>
        <w:t xml:space="preserve"> </w:t>
      </w:r>
      <w:r w:rsidRPr="00DC08A0">
        <w:rPr>
          <w:sz w:val="18"/>
        </w:rPr>
        <w:tab/>
        <w:t xml:space="preserve">A PERT distribution is a special form of the beta distribution with </w:t>
      </w:r>
      <w:r>
        <w:rPr>
          <w:rFonts w:cs="Arial"/>
          <w:sz w:val="18"/>
          <w:szCs w:val="18"/>
        </w:rPr>
        <w:t>specified</w:t>
      </w:r>
      <w:r w:rsidRPr="00DC08A0">
        <w:rPr>
          <w:sz w:val="18"/>
        </w:rPr>
        <w:t xml:space="preserve"> minimum and maximum </w:t>
      </w:r>
      <w:r w:rsidRPr="00AD3DA5">
        <w:rPr>
          <w:rFonts w:cs="Arial"/>
          <w:sz w:val="18"/>
          <w:szCs w:val="18"/>
        </w:rPr>
        <w:t>value</w:t>
      </w:r>
      <w:r>
        <w:rPr>
          <w:rFonts w:cs="Arial"/>
          <w:sz w:val="18"/>
          <w:szCs w:val="18"/>
        </w:rPr>
        <w:t>s</w:t>
      </w:r>
      <w:r w:rsidRPr="00DC08A0">
        <w:rPr>
          <w:sz w:val="18"/>
        </w:rPr>
        <w:t xml:space="preserve">.  The shape parameter is calculated from the </w:t>
      </w:r>
      <w:r w:rsidRPr="00863247">
        <w:rPr>
          <w:sz w:val="18"/>
        </w:rPr>
        <w:t>defined “</w:t>
      </w:r>
      <w:r w:rsidRPr="00581806">
        <w:rPr>
          <w:sz w:val="18"/>
        </w:rPr>
        <w:t xml:space="preserve">most likely” </w:t>
      </w:r>
      <w:r w:rsidRPr="00863247">
        <w:rPr>
          <w:sz w:val="18"/>
        </w:rPr>
        <w:t>value</w:t>
      </w:r>
      <w:r w:rsidRPr="00DC08A0">
        <w:rPr>
          <w:sz w:val="18"/>
        </w:rPr>
        <w:t xml:space="preserve">.  The PERT distribution is </w:t>
      </w:r>
      <w:r w:rsidRPr="00DC08A0">
        <w:rPr>
          <w:sz w:val="18"/>
        </w:rPr>
        <w:t>similar to a triangular distribution in that it has the same set of three parameters.  Technically, it is a special case of a scaled beta (or beta general) distribution.  The PERT distribution is generally considered superior to the triangular distribution when the parameters result in a skewed distribution</w:t>
      </w:r>
      <w:r>
        <w:rPr>
          <w:sz w:val="18"/>
        </w:rPr>
        <w:t xml:space="preserve"> because</w:t>
      </w:r>
      <w:r w:rsidRPr="00DC08A0">
        <w:rPr>
          <w:sz w:val="18"/>
        </w:rPr>
        <w:t xml:space="preserve"> the smooth shape of the curve places less emphasis in the direction of skew.  Similar to the triangular distribution, the PERT distribution is bounded on both sides and</w:t>
      </w:r>
      <w:r>
        <w:rPr>
          <w:sz w:val="18"/>
        </w:rPr>
        <w:t>,</w:t>
      </w:r>
      <w:r w:rsidRPr="00DC08A0">
        <w:rPr>
          <w:sz w:val="18"/>
        </w:rPr>
        <w:t xml:space="preserve"> therefore</w:t>
      </w:r>
      <w:r>
        <w:rPr>
          <w:sz w:val="18"/>
        </w:rPr>
        <w:t>,</w:t>
      </w:r>
      <w:r w:rsidRPr="00DC08A0">
        <w:rPr>
          <w:sz w:val="18"/>
        </w:rPr>
        <w:t xml:space="preserve"> may not be adequate for some modeling purposes </w:t>
      </w:r>
      <w:r>
        <w:rPr>
          <w:rFonts w:cs="Arial"/>
          <w:sz w:val="18"/>
          <w:szCs w:val="18"/>
        </w:rPr>
        <w:t>if</w:t>
      </w:r>
      <w:r w:rsidRPr="00DC08A0">
        <w:rPr>
          <w:sz w:val="18"/>
        </w:rPr>
        <w:t xml:space="preserve"> </w:t>
      </w:r>
      <w:r>
        <w:rPr>
          <w:sz w:val="18"/>
        </w:rPr>
        <w:t xml:space="preserve">the </w:t>
      </w:r>
      <w:r w:rsidRPr="00DC08A0">
        <w:rPr>
          <w:sz w:val="18"/>
        </w:rPr>
        <w:t>capture</w:t>
      </w:r>
      <w:r>
        <w:rPr>
          <w:sz w:val="18"/>
        </w:rPr>
        <w:t xml:space="preserve"> of</w:t>
      </w:r>
      <w:r w:rsidRPr="00DC08A0">
        <w:rPr>
          <w:sz w:val="18"/>
        </w:rPr>
        <w:t xml:space="preserve"> tail or extreme events</w:t>
      </w:r>
      <w:r>
        <w:rPr>
          <w:sz w:val="18"/>
        </w:rPr>
        <w:t xml:space="preserve"> is desired</w:t>
      </w:r>
      <w:r w:rsidRPr="00DC08A0">
        <w:rPr>
          <w:sz w:val="18"/>
        </w:rPr>
        <w:t>.</w:t>
      </w:r>
    </w:p>
  </w:footnote>
  <w:footnote w:id="12">
    <w:p w:rsidR="00791AA0" w:rsidRPr="008672E4" w:rsidP="00DD559A" w14:paraId="08FC0F51" w14:textId="0A1A8E92">
      <w:pPr>
        <w:pStyle w:val="FootnoteText"/>
        <w:spacing w:line="240" w:lineRule="auto"/>
        <w:ind w:left="180" w:hanging="180"/>
        <w:rPr>
          <w:sz w:val="18"/>
        </w:rPr>
      </w:pPr>
      <w:r w:rsidRPr="008672E4">
        <w:rPr>
          <w:rStyle w:val="FootnoteReference"/>
          <w:sz w:val="18"/>
          <w:vertAlign w:val="superscript"/>
        </w:rPr>
        <w:footnoteRef/>
      </w:r>
      <w:r w:rsidRPr="008672E4">
        <w:rPr>
          <w:sz w:val="18"/>
        </w:rPr>
        <w:t xml:space="preserve"> </w:t>
      </w:r>
      <w:r w:rsidRPr="00AB0E8F">
        <w:rPr>
          <w:sz w:val="18"/>
          <w:szCs w:val="18"/>
        </w:rPr>
        <w:tab/>
      </w:r>
      <w:r w:rsidRPr="008672E4">
        <w:rPr>
          <w:sz w:val="18"/>
        </w:rPr>
        <w:t>“PRISM,” “</w:t>
      </w:r>
      <w:r w:rsidRPr="008672E4">
        <w:rPr>
          <w:sz w:val="18"/>
        </w:rPr>
        <w:t>MHTGR,” “PIUS,” and “CANDU” are abbreviations for power reactor innovative small module</w:t>
      </w:r>
      <w:r w:rsidRPr="00AB0E8F">
        <w:rPr>
          <w:sz w:val="18"/>
          <w:szCs w:val="18"/>
        </w:rPr>
        <w:t>;</w:t>
      </w:r>
      <w:r w:rsidRPr="008672E4">
        <w:rPr>
          <w:sz w:val="18"/>
        </w:rPr>
        <w:t xml:space="preserve"> modular high-temperature</w:t>
      </w:r>
      <w:r w:rsidRPr="00AB0E8F">
        <w:rPr>
          <w:sz w:val="18"/>
          <w:szCs w:val="18"/>
        </w:rPr>
        <w:t>,</w:t>
      </w:r>
      <w:r w:rsidRPr="008672E4">
        <w:rPr>
          <w:sz w:val="18"/>
        </w:rPr>
        <w:t xml:space="preserve"> gas-cooled reactor</w:t>
      </w:r>
      <w:r w:rsidRPr="00AB0E8F">
        <w:rPr>
          <w:sz w:val="18"/>
          <w:szCs w:val="18"/>
        </w:rPr>
        <w:t>;</w:t>
      </w:r>
      <w:r w:rsidRPr="008672E4">
        <w:rPr>
          <w:sz w:val="18"/>
        </w:rPr>
        <w:t xml:space="preserve"> process inherent ultimate safety</w:t>
      </w:r>
      <w:r w:rsidRPr="00AB0E8F">
        <w:rPr>
          <w:sz w:val="18"/>
          <w:szCs w:val="18"/>
        </w:rPr>
        <w:t>;</w:t>
      </w:r>
      <w:r w:rsidRPr="008672E4">
        <w:rPr>
          <w:sz w:val="18"/>
        </w:rPr>
        <w:t xml:space="preserve"> and Canadian deuterium</w:t>
      </w:r>
      <w:r>
        <w:rPr>
          <w:sz w:val="18"/>
          <w:szCs w:val="18"/>
        </w:rPr>
        <w:noBreakHyphen/>
      </w:r>
      <w:r w:rsidRPr="008672E4">
        <w:rPr>
          <w:sz w:val="18"/>
        </w:rPr>
        <w:t>uranium, respectively.</w:t>
      </w:r>
    </w:p>
    <w:p w:rsidR="00791AA0" w14:paraId="555DD139" w14:textId="56E362F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1AA0" w:rsidRPr="0075644E" w:rsidP="00891C71" w14:paraId="3C35D3E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1AA0" w:rsidRPr="00E325C9" w:rsidP="00891C71" w14:paraId="10F780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6995456"/>
    <w:multiLevelType w:val="multilevel"/>
    <w:tmpl w:val="8500B7EA"/>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CAE155D"/>
    <w:multiLevelType w:val="hybridMultilevel"/>
    <w:tmpl w:val="8EBE72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F514DB"/>
    <w:multiLevelType w:val="hybridMultilevel"/>
    <w:tmpl w:val="9780A1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8F2C35"/>
    <w:multiLevelType w:val="hybridMultilevel"/>
    <w:tmpl w:val="745E94EA"/>
    <w:lvl w:ilvl="0">
      <w:start w:val="5"/>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AE4C09"/>
    <w:multiLevelType w:val="hybridMultilevel"/>
    <w:tmpl w:val="122C9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370284"/>
    <w:multiLevelType w:val="hybridMultilevel"/>
    <w:tmpl w:val="6C48777A"/>
    <w:lvl w:ilvl="0">
      <w:start w:val="5"/>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D01F8E"/>
    <w:multiLevelType w:val="hybridMultilevel"/>
    <w:tmpl w:val="657E0C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692D54"/>
    <w:multiLevelType w:val="hybridMultilevel"/>
    <w:tmpl w:val="36769B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BA56B0"/>
    <w:multiLevelType w:val="hybridMultilevel"/>
    <w:tmpl w:val="D0CA50F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041122"/>
    <w:multiLevelType w:val="hybridMultilevel"/>
    <w:tmpl w:val="E02EF6CE"/>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Arial" w:hAnsi="Arial" w:eastAsiaTheme="minorHAnsi" w:cs="Aria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48A51A4"/>
    <w:multiLevelType w:val="hybridMultilevel"/>
    <w:tmpl w:val="3F5C360A"/>
    <w:lvl w:ilvl="0">
      <w:start w:val="1"/>
      <w:numFmt w:val="bullet"/>
      <w:lvlText w:val=""/>
      <w:lvlJc w:val="left"/>
      <w:pPr>
        <w:tabs>
          <w:tab w:val="num" w:pos="720"/>
        </w:tabs>
        <w:ind w:left="720" w:hanging="360"/>
      </w:pPr>
      <w:rPr>
        <w:rFonts w:ascii="Symbol" w:hAnsi="Symbol" w:hint="default"/>
      </w:rPr>
    </w:lvl>
    <w:lvl w:ilvl="1">
      <w:start w:val="2514"/>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4F84CFC"/>
    <w:multiLevelType w:val="hybridMultilevel"/>
    <w:tmpl w:val="355C7CE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59F56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8F95607"/>
    <w:multiLevelType w:val="hybridMultilevel"/>
    <w:tmpl w:val="2D381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2684020"/>
    <w:multiLevelType w:val="hybridMultilevel"/>
    <w:tmpl w:val="B5F4C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042725"/>
    <w:multiLevelType w:val="hybridMultilevel"/>
    <w:tmpl w:val="CB4A512E"/>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7">
    <w:nsid w:val="43E44A1B"/>
    <w:multiLevelType w:val="hybridMultilevel"/>
    <w:tmpl w:val="42B6AA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DD660F"/>
    <w:multiLevelType w:val="hybridMultilevel"/>
    <w:tmpl w:val="90CEC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765937"/>
    <w:multiLevelType w:val="hybridMultilevel"/>
    <w:tmpl w:val="CB3C76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BF241D7"/>
    <w:multiLevelType w:val="hybridMultilevel"/>
    <w:tmpl w:val="3E8282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8CA05A4"/>
    <w:multiLevelType w:val="hybridMultilevel"/>
    <w:tmpl w:val="F9B2B122"/>
    <w:lvl w:ilvl="0">
      <w:start w:val="10"/>
      <w:numFmt w:val="bullet"/>
      <w:lvlText w:val="-"/>
      <w:lvlJc w:val="left"/>
      <w:pPr>
        <w:ind w:left="720" w:hanging="360"/>
      </w:pPr>
      <w:rPr>
        <w:rFonts w:ascii="Arial" w:hAnsi="Arial" w:eastAsiaTheme="minorHAnsi" w:cs="Arial"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AA78EE"/>
    <w:multiLevelType w:val="hybridMultilevel"/>
    <w:tmpl w:val="445CC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D5A10D5"/>
    <w:multiLevelType w:val="hybridMultilevel"/>
    <w:tmpl w:val="F392E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CC35E9"/>
    <w:multiLevelType w:val="hybridMultilevel"/>
    <w:tmpl w:val="BEB6EADC"/>
    <w:lvl w:ilvl="0">
      <w:start w:val="1"/>
      <w:numFmt w:val="decimal"/>
      <w:lvlText w:val="(%1)"/>
      <w:lvlJc w:val="left"/>
      <w:pPr>
        <w:tabs>
          <w:tab w:val="num" w:pos="720"/>
        </w:tabs>
        <w:ind w:left="720" w:hanging="360"/>
      </w:pPr>
      <w:rPr>
        <w:rFonts w:hint="default"/>
      </w:rPr>
    </w:lvl>
    <w:lvl w:ilvl="1">
      <w:start w:val="2514"/>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0FD1B63"/>
    <w:multiLevelType w:val="multilevel"/>
    <w:tmpl w:val="3628F7B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nsid w:val="62942366"/>
    <w:multiLevelType w:val="hybridMultilevel"/>
    <w:tmpl w:val="4E0EF7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3E772DD"/>
    <w:multiLevelType w:val="hybridMultilevel"/>
    <w:tmpl w:val="8EFE2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8E74622"/>
    <w:multiLevelType w:val="hybridMultilevel"/>
    <w:tmpl w:val="B78C0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A005BC6"/>
    <w:multiLevelType w:val="hybridMultilevel"/>
    <w:tmpl w:val="F3140F92"/>
    <w:lvl w:ilvl="0">
      <w:start w:val="5"/>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0B7E12"/>
    <w:multiLevelType w:val="hybridMultilevel"/>
    <w:tmpl w:val="94643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5EB0ADB"/>
    <w:multiLevelType w:val="hybridMultilevel"/>
    <w:tmpl w:val="671E8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3B32A0"/>
    <w:multiLevelType w:val="hybridMultilevel"/>
    <w:tmpl w:val="D0E0C4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CA76BC5"/>
    <w:multiLevelType w:val="hybridMultilevel"/>
    <w:tmpl w:val="16E83AFA"/>
    <w:lvl w:ilvl="0">
      <w:start w:val="1"/>
      <w:numFmt w:val="decimal"/>
      <w:lvlText w:val="(%1)"/>
      <w:lvlJc w:val="left"/>
      <w:pPr>
        <w:ind w:left="720" w:hanging="360"/>
      </w:pPr>
      <w:rPr>
        <w:rFonts w:hint="default"/>
        <w:u w:val="none"/>
      </w:rPr>
    </w:lvl>
    <w:lvl w:ilvl="1">
      <w:start w:val="1"/>
      <w:numFmt w:val="low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CB164F0"/>
    <w:multiLevelType w:val="hybridMultilevel"/>
    <w:tmpl w:val="0684431C"/>
    <w:lvl w:ilvl="0">
      <w:start w:val="2"/>
      <w:numFmt w:val="bullet"/>
      <w:lvlText w:val="-"/>
      <w:lvlJc w:val="left"/>
      <w:pPr>
        <w:ind w:left="420" w:hanging="360"/>
      </w:pPr>
      <w:rPr>
        <w:rFonts w:ascii="Arial" w:hAnsi="Arial" w:eastAsiaTheme="minorHAnsi" w:cs="Arial"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num w:numId="1" w16cid:durableId="857735832">
    <w:abstractNumId w:val="20"/>
  </w:num>
  <w:num w:numId="2" w16cid:durableId="81874547">
    <w:abstractNumId w:val="10"/>
  </w:num>
  <w:num w:numId="3" w16cid:durableId="1825974135">
    <w:abstractNumId w:val="11"/>
  </w:num>
  <w:num w:numId="4" w16cid:durableId="1171683135">
    <w:abstractNumId w:val="24"/>
  </w:num>
  <w:num w:numId="5" w16cid:durableId="1241018087">
    <w:abstractNumId w:val="5"/>
  </w:num>
  <w:num w:numId="6" w16cid:durableId="1300919361">
    <w:abstractNumId w:val="25"/>
  </w:num>
  <w:num w:numId="7" w16cid:durableId="33317226">
    <w:abstractNumId w:val="28"/>
  </w:num>
  <w:num w:numId="8" w16cid:durableId="1664119980">
    <w:abstractNumId w:val="17"/>
  </w:num>
  <w:num w:numId="9" w16cid:durableId="578828141">
    <w:abstractNumId w:val="9"/>
  </w:num>
  <w:num w:numId="10" w16cid:durableId="410351705">
    <w:abstractNumId w:val="19"/>
  </w:num>
  <w:num w:numId="11" w16cid:durableId="392777378">
    <w:abstractNumId w:val="3"/>
  </w:num>
  <w:num w:numId="12" w16cid:durableId="978605552">
    <w:abstractNumId w:val="27"/>
  </w:num>
  <w:num w:numId="13" w16cid:durableId="834884313">
    <w:abstractNumId w:val="1"/>
  </w:num>
  <w:num w:numId="14" w16cid:durableId="1343584951">
    <w:abstractNumId w:val="30"/>
  </w:num>
  <w:num w:numId="15" w16cid:durableId="1601373285">
    <w:abstractNumId w:val="32"/>
  </w:num>
  <w:num w:numId="16" w16cid:durableId="603271323">
    <w:abstractNumId w:val="26"/>
  </w:num>
  <w:num w:numId="17" w16cid:durableId="1765148814">
    <w:abstractNumId w:val="8"/>
  </w:num>
  <w:num w:numId="18" w16cid:durableId="812259864">
    <w:abstractNumId w:val="33"/>
  </w:num>
  <w:num w:numId="19" w16cid:durableId="779299325">
    <w:abstractNumId w:val="12"/>
  </w:num>
  <w:num w:numId="20" w16cid:durableId="1587497759">
    <w:abstractNumId w:val="22"/>
  </w:num>
  <w:num w:numId="21" w16cid:durableId="1163669626">
    <w:abstractNumId w:val="23"/>
  </w:num>
  <w:num w:numId="22" w16cid:durableId="1090658280">
    <w:abstractNumId w:val="2"/>
  </w:num>
  <w:num w:numId="23" w16cid:durableId="60835543">
    <w:abstractNumId w:val="7"/>
  </w:num>
  <w:num w:numId="24" w16cid:durableId="345717028">
    <w:abstractNumId w:val="15"/>
  </w:num>
  <w:num w:numId="25" w16cid:durableId="1338078774">
    <w:abstractNumId w:val="18"/>
  </w:num>
  <w:num w:numId="26" w16cid:durableId="856624939">
    <w:abstractNumId w:val="14"/>
  </w:num>
  <w:num w:numId="27" w16cid:durableId="1883052741">
    <w:abstractNumId w:val="31"/>
  </w:num>
  <w:num w:numId="28" w16cid:durableId="1789620351">
    <w:abstractNumId w:val="29"/>
  </w:num>
  <w:num w:numId="29" w16cid:durableId="917255179">
    <w:abstractNumId w:val="4"/>
  </w:num>
  <w:num w:numId="30" w16cid:durableId="192110411">
    <w:abstractNumId w:val="6"/>
  </w:num>
  <w:num w:numId="31" w16cid:durableId="1734961180">
    <w:abstractNumId w:val="34"/>
  </w:num>
  <w:num w:numId="32" w16cid:durableId="1461145757">
    <w:abstractNumId w:val="21"/>
  </w:num>
  <w:num w:numId="33" w16cid:durableId="1851875248">
    <w:abstractNumId w:val="16"/>
  </w:num>
  <w:num w:numId="34" w16cid:durableId="820733268">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A58"/>
    <w:rsid w:val="00000874"/>
    <w:rsid w:val="00000D58"/>
    <w:rsid w:val="00000F88"/>
    <w:rsid w:val="00000FB1"/>
    <w:rsid w:val="000011D0"/>
    <w:rsid w:val="000012A5"/>
    <w:rsid w:val="00001488"/>
    <w:rsid w:val="000014A9"/>
    <w:rsid w:val="00001690"/>
    <w:rsid w:val="000016AA"/>
    <w:rsid w:val="000017D7"/>
    <w:rsid w:val="00001A4B"/>
    <w:rsid w:val="00001AC8"/>
    <w:rsid w:val="00001F5D"/>
    <w:rsid w:val="00003363"/>
    <w:rsid w:val="00003A5B"/>
    <w:rsid w:val="00003D0D"/>
    <w:rsid w:val="00004B7A"/>
    <w:rsid w:val="000050E6"/>
    <w:rsid w:val="000052F0"/>
    <w:rsid w:val="00005450"/>
    <w:rsid w:val="00005826"/>
    <w:rsid w:val="0000654B"/>
    <w:rsid w:val="00006558"/>
    <w:rsid w:val="00006A8E"/>
    <w:rsid w:val="00006B7F"/>
    <w:rsid w:val="00006BCA"/>
    <w:rsid w:val="00006DF8"/>
    <w:rsid w:val="000076D4"/>
    <w:rsid w:val="0000774F"/>
    <w:rsid w:val="0001063B"/>
    <w:rsid w:val="000108A0"/>
    <w:rsid w:val="000108B4"/>
    <w:rsid w:val="000116A7"/>
    <w:rsid w:val="0001192A"/>
    <w:rsid w:val="00011A59"/>
    <w:rsid w:val="00011A5C"/>
    <w:rsid w:val="00011B17"/>
    <w:rsid w:val="00011CBD"/>
    <w:rsid w:val="00012442"/>
    <w:rsid w:val="00012C3C"/>
    <w:rsid w:val="00012EB5"/>
    <w:rsid w:val="00013148"/>
    <w:rsid w:val="0001329C"/>
    <w:rsid w:val="000145C8"/>
    <w:rsid w:val="0001503F"/>
    <w:rsid w:val="0001537D"/>
    <w:rsid w:val="0001567D"/>
    <w:rsid w:val="00015A1B"/>
    <w:rsid w:val="00016CEC"/>
    <w:rsid w:val="000174B4"/>
    <w:rsid w:val="0001790C"/>
    <w:rsid w:val="00017918"/>
    <w:rsid w:val="00017B01"/>
    <w:rsid w:val="000205B5"/>
    <w:rsid w:val="000208ED"/>
    <w:rsid w:val="00020AFB"/>
    <w:rsid w:val="00021480"/>
    <w:rsid w:val="000214CC"/>
    <w:rsid w:val="0002193D"/>
    <w:rsid w:val="00021BE3"/>
    <w:rsid w:val="00022327"/>
    <w:rsid w:val="000228D4"/>
    <w:rsid w:val="00022F90"/>
    <w:rsid w:val="0002303A"/>
    <w:rsid w:val="00023626"/>
    <w:rsid w:val="000241FB"/>
    <w:rsid w:val="000244DF"/>
    <w:rsid w:val="00024BDB"/>
    <w:rsid w:val="0002547F"/>
    <w:rsid w:val="000261D1"/>
    <w:rsid w:val="00027A8A"/>
    <w:rsid w:val="0003007E"/>
    <w:rsid w:val="000302EA"/>
    <w:rsid w:val="00030C66"/>
    <w:rsid w:val="00030FA5"/>
    <w:rsid w:val="00031046"/>
    <w:rsid w:val="000310AF"/>
    <w:rsid w:val="0003161E"/>
    <w:rsid w:val="00032061"/>
    <w:rsid w:val="00032075"/>
    <w:rsid w:val="00032109"/>
    <w:rsid w:val="0003224A"/>
    <w:rsid w:val="00033D22"/>
    <w:rsid w:val="000347C4"/>
    <w:rsid w:val="00034E37"/>
    <w:rsid w:val="000359B4"/>
    <w:rsid w:val="000359C1"/>
    <w:rsid w:val="00036AE7"/>
    <w:rsid w:val="0003752F"/>
    <w:rsid w:val="000377A4"/>
    <w:rsid w:val="00037A0C"/>
    <w:rsid w:val="00037BCE"/>
    <w:rsid w:val="00037E4D"/>
    <w:rsid w:val="0004011B"/>
    <w:rsid w:val="000404E8"/>
    <w:rsid w:val="00040906"/>
    <w:rsid w:val="00040A0C"/>
    <w:rsid w:val="00041766"/>
    <w:rsid w:val="00041A9C"/>
    <w:rsid w:val="0004324C"/>
    <w:rsid w:val="00043443"/>
    <w:rsid w:val="000435F9"/>
    <w:rsid w:val="000438AA"/>
    <w:rsid w:val="00043AC8"/>
    <w:rsid w:val="00043B27"/>
    <w:rsid w:val="00044329"/>
    <w:rsid w:val="00044B76"/>
    <w:rsid w:val="000452D0"/>
    <w:rsid w:val="000456DB"/>
    <w:rsid w:val="00045CB8"/>
    <w:rsid w:val="00047050"/>
    <w:rsid w:val="00047DBD"/>
    <w:rsid w:val="000505ED"/>
    <w:rsid w:val="00050E01"/>
    <w:rsid w:val="000513C0"/>
    <w:rsid w:val="000515DA"/>
    <w:rsid w:val="00051A03"/>
    <w:rsid w:val="0005271C"/>
    <w:rsid w:val="00052DA5"/>
    <w:rsid w:val="00052FCC"/>
    <w:rsid w:val="0005367C"/>
    <w:rsid w:val="00053D9F"/>
    <w:rsid w:val="00053DAD"/>
    <w:rsid w:val="000542BF"/>
    <w:rsid w:val="000544CB"/>
    <w:rsid w:val="00054E67"/>
    <w:rsid w:val="0005588F"/>
    <w:rsid w:val="000558D4"/>
    <w:rsid w:val="00055D69"/>
    <w:rsid w:val="00055E2B"/>
    <w:rsid w:val="00056097"/>
    <w:rsid w:val="0005609A"/>
    <w:rsid w:val="000560B0"/>
    <w:rsid w:val="000566C4"/>
    <w:rsid w:val="0005677C"/>
    <w:rsid w:val="00056A9A"/>
    <w:rsid w:val="00057933"/>
    <w:rsid w:val="0005797B"/>
    <w:rsid w:val="00057987"/>
    <w:rsid w:val="000601E7"/>
    <w:rsid w:val="0006023C"/>
    <w:rsid w:val="00060401"/>
    <w:rsid w:val="000613FB"/>
    <w:rsid w:val="00061924"/>
    <w:rsid w:val="00061C6D"/>
    <w:rsid w:val="00061C74"/>
    <w:rsid w:val="00061C8B"/>
    <w:rsid w:val="00061D35"/>
    <w:rsid w:val="000638B2"/>
    <w:rsid w:val="000646B2"/>
    <w:rsid w:val="00064736"/>
    <w:rsid w:val="0006479D"/>
    <w:rsid w:val="000649CD"/>
    <w:rsid w:val="00064B41"/>
    <w:rsid w:val="00064CAF"/>
    <w:rsid w:val="00064E3D"/>
    <w:rsid w:val="000660CF"/>
    <w:rsid w:val="0006615D"/>
    <w:rsid w:val="000661AE"/>
    <w:rsid w:val="000664E2"/>
    <w:rsid w:val="000665FF"/>
    <w:rsid w:val="00066AD8"/>
    <w:rsid w:val="0006711D"/>
    <w:rsid w:val="00067EC4"/>
    <w:rsid w:val="00070D62"/>
    <w:rsid w:val="00071061"/>
    <w:rsid w:val="0007118D"/>
    <w:rsid w:val="00071504"/>
    <w:rsid w:val="000716AA"/>
    <w:rsid w:val="00072267"/>
    <w:rsid w:val="00072891"/>
    <w:rsid w:val="00073384"/>
    <w:rsid w:val="00073A07"/>
    <w:rsid w:val="00074837"/>
    <w:rsid w:val="000748E9"/>
    <w:rsid w:val="00075193"/>
    <w:rsid w:val="0007524E"/>
    <w:rsid w:val="000753AE"/>
    <w:rsid w:val="0007558B"/>
    <w:rsid w:val="00075634"/>
    <w:rsid w:val="000763A2"/>
    <w:rsid w:val="00076D31"/>
    <w:rsid w:val="00076F03"/>
    <w:rsid w:val="00077016"/>
    <w:rsid w:val="0008000C"/>
    <w:rsid w:val="00081223"/>
    <w:rsid w:val="000818DB"/>
    <w:rsid w:val="00081ACF"/>
    <w:rsid w:val="0008200F"/>
    <w:rsid w:val="0008268D"/>
    <w:rsid w:val="00082CE9"/>
    <w:rsid w:val="00082E12"/>
    <w:rsid w:val="00082F42"/>
    <w:rsid w:val="000837A6"/>
    <w:rsid w:val="000851CB"/>
    <w:rsid w:val="00085469"/>
    <w:rsid w:val="00085789"/>
    <w:rsid w:val="0008579E"/>
    <w:rsid w:val="0008614B"/>
    <w:rsid w:val="000861BC"/>
    <w:rsid w:val="00086D07"/>
    <w:rsid w:val="00086DA1"/>
    <w:rsid w:val="00086DF0"/>
    <w:rsid w:val="000878CC"/>
    <w:rsid w:val="000904E5"/>
    <w:rsid w:val="000906F1"/>
    <w:rsid w:val="00091F19"/>
    <w:rsid w:val="00092667"/>
    <w:rsid w:val="00092B00"/>
    <w:rsid w:val="00092D1F"/>
    <w:rsid w:val="0009368D"/>
    <w:rsid w:val="00093EA7"/>
    <w:rsid w:val="00095290"/>
    <w:rsid w:val="00095A33"/>
    <w:rsid w:val="00095EEA"/>
    <w:rsid w:val="00096851"/>
    <w:rsid w:val="00097572"/>
    <w:rsid w:val="00097B7B"/>
    <w:rsid w:val="00097C55"/>
    <w:rsid w:val="000A0317"/>
    <w:rsid w:val="000A073E"/>
    <w:rsid w:val="000A098F"/>
    <w:rsid w:val="000A0C8B"/>
    <w:rsid w:val="000A0E03"/>
    <w:rsid w:val="000A10C6"/>
    <w:rsid w:val="000A1A44"/>
    <w:rsid w:val="000A1FB9"/>
    <w:rsid w:val="000A295C"/>
    <w:rsid w:val="000A3336"/>
    <w:rsid w:val="000A3709"/>
    <w:rsid w:val="000A37AA"/>
    <w:rsid w:val="000A38CC"/>
    <w:rsid w:val="000A397E"/>
    <w:rsid w:val="000A42B7"/>
    <w:rsid w:val="000A4C67"/>
    <w:rsid w:val="000A5248"/>
    <w:rsid w:val="000A5B4F"/>
    <w:rsid w:val="000A617F"/>
    <w:rsid w:val="000A6D7D"/>
    <w:rsid w:val="000A6E38"/>
    <w:rsid w:val="000B004C"/>
    <w:rsid w:val="000B022F"/>
    <w:rsid w:val="000B0444"/>
    <w:rsid w:val="000B095B"/>
    <w:rsid w:val="000B111E"/>
    <w:rsid w:val="000B18F3"/>
    <w:rsid w:val="000B190E"/>
    <w:rsid w:val="000B1BDF"/>
    <w:rsid w:val="000B1DE5"/>
    <w:rsid w:val="000B2CEB"/>
    <w:rsid w:val="000B3198"/>
    <w:rsid w:val="000B378E"/>
    <w:rsid w:val="000B496A"/>
    <w:rsid w:val="000B4B6B"/>
    <w:rsid w:val="000B4EC0"/>
    <w:rsid w:val="000B530B"/>
    <w:rsid w:val="000B53EE"/>
    <w:rsid w:val="000B5C8E"/>
    <w:rsid w:val="000B60A3"/>
    <w:rsid w:val="000B6269"/>
    <w:rsid w:val="000B6ECA"/>
    <w:rsid w:val="000B7F93"/>
    <w:rsid w:val="000C0002"/>
    <w:rsid w:val="000C026C"/>
    <w:rsid w:val="000C0640"/>
    <w:rsid w:val="000C0EAA"/>
    <w:rsid w:val="000C1588"/>
    <w:rsid w:val="000C1B50"/>
    <w:rsid w:val="000C1E29"/>
    <w:rsid w:val="000C1FF8"/>
    <w:rsid w:val="000C37C3"/>
    <w:rsid w:val="000C38A5"/>
    <w:rsid w:val="000C3C8A"/>
    <w:rsid w:val="000C482E"/>
    <w:rsid w:val="000C49B7"/>
    <w:rsid w:val="000C4DB1"/>
    <w:rsid w:val="000C4DC3"/>
    <w:rsid w:val="000C50B5"/>
    <w:rsid w:val="000C50D8"/>
    <w:rsid w:val="000C5636"/>
    <w:rsid w:val="000C59CA"/>
    <w:rsid w:val="000C5AC1"/>
    <w:rsid w:val="000C5CDA"/>
    <w:rsid w:val="000C5F59"/>
    <w:rsid w:val="000C6822"/>
    <w:rsid w:val="000C78A5"/>
    <w:rsid w:val="000C7B9F"/>
    <w:rsid w:val="000C7EDA"/>
    <w:rsid w:val="000D018A"/>
    <w:rsid w:val="000D0ED7"/>
    <w:rsid w:val="000D137E"/>
    <w:rsid w:val="000D1728"/>
    <w:rsid w:val="000D1C6A"/>
    <w:rsid w:val="000D1FAF"/>
    <w:rsid w:val="000D2565"/>
    <w:rsid w:val="000D2A5D"/>
    <w:rsid w:val="000D2CD5"/>
    <w:rsid w:val="000D2F06"/>
    <w:rsid w:val="000D374F"/>
    <w:rsid w:val="000D3A41"/>
    <w:rsid w:val="000D3E2D"/>
    <w:rsid w:val="000D4825"/>
    <w:rsid w:val="000D4DF7"/>
    <w:rsid w:val="000D4F75"/>
    <w:rsid w:val="000D5BC1"/>
    <w:rsid w:val="000D5CB5"/>
    <w:rsid w:val="000D6B1C"/>
    <w:rsid w:val="000D73A4"/>
    <w:rsid w:val="000D7621"/>
    <w:rsid w:val="000D7AB7"/>
    <w:rsid w:val="000E2115"/>
    <w:rsid w:val="000E2735"/>
    <w:rsid w:val="000E2F56"/>
    <w:rsid w:val="000E31EF"/>
    <w:rsid w:val="000E4B69"/>
    <w:rsid w:val="000E5543"/>
    <w:rsid w:val="000E5687"/>
    <w:rsid w:val="000E5FB2"/>
    <w:rsid w:val="000E640B"/>
    <w:rsid w:val="000E6F09"/>
    <w:rsid w:val="000E7477"/>
    <w:rsid w:val="000E7844"/>
    <w:rsid w:val="000E791F"/>
    <w:rsid w:val="000E7A40"/>
    <w:rsid w:val="000E7C60"/>
    <w:rsid w:val="000F03AF"/>
    <w:rsid w:val="000F0626"/>
    <w:rsid w:val="000F0B44"/>
    <w:rsid w:val="000F22EB"/>
    <w:rsid w:val="000F2355"/>
    <w:rsid w:val="000F3E5E"/>
    <w:rsid w:val="000F4172"/>
    <w:rsid w:val="000F4643"/>
    <w:rsid w:val="000F46FC"/>
    <w:rsid w:val="000F5249"/>
    <w:rsid w:val="000F5820"/>
    <w:rsid w:val="000F5942"/>
    <w:rsid w:val="000F64D1"/>
    <w:rsid w:val="000F6A91"/>
    <w:rsid w:val="000F6F82"/>
    <w:rsid w:val="000F734F"/>
    <w:rsid w:val="000F76CD"/>
    <w:rsid w:val="000F7E3C"/>
    <w:rsid w:val="0010013E"/>
    <w:rsid w:val="00100435"/>
    <w:rsid w:val="001009DC"/>
    <w:rsid w:val="00101045"/>
    <w:rsid w:val="0010106E"/>
    <w:rsid w:val="001013FE"/>
    <w:rsid w:val="00103319"/>
    <w:rsid w:val="00104772"/>
    <w:rsid w:val="0010533C"/>
    <w:rsid w:val="001053EF"/>
    <w:rsid w:val="00106CC2"/>
    <w:rsid w:val="00106FCB"/>
    <w:rsid w:val="00107097"/>
    <w:rsid w:val="00107471"/>
    <w:rsid w:val="0010747F"/>
    <w:rsid w:val="00107A00"/>
    <w:rsid w:val="00107D0F"/>
    <w:rsid w:val="00107EA6"/>
    <w:rsid w:val="00110198"/>
    <w:rsid w:val="001105AE"/>
    <w:rsid w:val="00110C40"/>
    <w:rsid w:val="00110CB4"/>
    <w:rsid w:val="00110CE0"/>
    <w:rsid w:val="0011107F"/>
    <w:rsid w:val="00111189"/>
    <w:rsid w:val="001117A4"/>
    <w:rsid w:val="00112038"/>
    <w:rsid w:val="001127CC"/>
    <w:rsid w:val="0011378A"/>
    <w:rsid w:val="00114BF1"/>
    <w:rsid w:val="0011592E"/>
    <w:rsid w:val="00115FAA"/>
    <w:rsid w:val="001162B8"/>
    <w:rsid w:val="001166EC"/>
    <w:rsid w:val="00117242"/>
    <w:rsid w:val="001173AC"/>
    <w:rsid w:val="00117D20"/>
    <w:rsid w:val="00117F22"/>
    <w:rsid w:val="0012164D"/>
    <w:rsid w:val="00121A86"/>
    <w:rsid w:val="00122280"/>
    <w:rsid w:val="0012255B"/>
    <w:rsid w:val="00122A8F"/>
    <w:rsid w:val="00123462"/>
    <w:rsid w:val="00123AA7"/>
    <w:rsid w:val="00123B56"/>
    <w:rsid w:val="001244A7"/>
    <w:rsid w:val="001245DE"/>
    <w:rsid w:val="00124D1E"/>
    <w:rsid w:val="00124D6C"/>
    <w:rsid w:val="00125082"/>
    <w:rsid w:val="001250CA"/>
    <w:rsid w:val="001266C0"/>
    <w:rsid w:val="00126983"/>
    <w:rsid w:val="00126D3D"/>
    <w:rsid w:val="00127013"/>
    <w:rsid w:val="001273D7"/>
    <w:rsid w:val="001306C7"/>
    <w:rsid w:val="001310ED"/>
    <w:rsid w:val="00132082"/>
    <w:rsid w:val="00132F98"/>
    <w:rsid w:val="0013409C"/>
    <w:rsid w:val="00134C06"/>
    <w:rsid w:val="0013502B"/>
    <w:rsid w:val="001357C3"/>
    <w:rsid w:val="00135820"/>
    <w:rsid w:val="00135880"/>
    <w:rsid w:val="00135C30"/>
    <w:rsid w:val="00135C3D"/>
    <w:rsid w:val="00135F74"/>
    <w:rsid w:val="0013625D"/>
    <w:rsid w:val="00137189"/>
    <w:rsid w:val="001378FC"/>
    <w:rsid w:val="001409FC"/>
    <w:rsid w:val="00140A50"/>
    <w:rsid w:val="00141464"/>
    <w:rsid w:val="00141646"/>
    <w:rsid w:val="00141FA3"/>
    <w:rsid w:val="001424A8"/>
    <w:rsid w:val="00143EE2"/>
    <w:rsid w:val="00144202"/>
    <w:rsid w:val="001444E3"/>
    <w:rsid w:val="00144C17"/>
    <w:rsid w:val="00145066"/>
    <w:rsid w:val="001455E6"/>
    <w:rsid w:val="00146215"/>
    <w:rsid w:val="0014628A"/>
    <w:rsid w:val="00146405"/>
    <w:rsid w:val="00146F83"/>
    <w:rsid w:val="00146FE6"/>
    <w:rsid w:val="00147832"/>
    <w:rsid w:val="00147FE8"/>
    <w:rsid w:val="00150095"/>
    <w:rsid w:val="001500B6"/>
    <w:rsid w:val="00150285"/>
    <w:rsid w:val="00150944"/>
    <w:rsid w:val="00151190"/>
    <w:rsid w:val="0015185A"/>
    <w:rsid w:val="001520E9"/>
    <w:rsid w:val="00152FE4"/>
    <w:rsid w:val="001541EC"/>
    <w:rsid w:val="00154B9A"/>
    <w:rsid w:val="00155842"/>
    <w:rsid w:val="0015585C"/>
    <w:rsid w:val="00156373"/>
    <w:rsid w:val="001566A1"/>
    <w:rsid w:val="00156D99"/>
    <w:rsid w:val="00156DCD"/>
    <w:rsid w:val="001579FE"/>
    <w:rsid w:val="001608CA"/>
    <w:rsid w:val="00160F30"/>
    <w:rsid w:val="00161646"/>
    <w:rsid w:val="00161B78"/>
    <w:rsid w:val="00161C2A"/>
    <w:rsid w:val="00161FDA"/>
    <w:rsid w:val="00162718"/>
    <w:rsid w:val="00162AB6"/>
    <w:rsid w:val="00162BCF"/>
    <w:rsid w:val="00162C7C"/>
    <w:rsid w:val="00162C82"/>
    <w:rsid w:val="00163018"/>
    <w:rsid w:val="00164568"/>
    <w:rsid w:val="00164CF8"/>
    <w:rsid w:val="0016521C"/>
    <w:rsid w:val="00165F34"/>
    <w:rsid w:val="001660CE"/>
    <w:rsid w:val="0016668A"/>
    <w:rsid w:val="00166ADD"/>
    <w:rsid w:val="00166B2B"/>
    <w:rsid w:val="00166BF6"/>
    <w:rsid w:val="0016703E"/>
    <w:rsid w:val="00167A66"/>
    <w:rsid w:val="00167C41"/>
    <w:rsid w:val="00170DD5"/>
    <w:rsid w:val="00171162"/>
    <w:rsid w:val="00171643"/>
    <w:rsid w:val="00171FE6"/>
    <w:rsid w:val="00173124"/>
    <w:rsid w:val="00173A9B"/>
    <w:rsid w:val="00173C69"/>
    <w:rsid w:val="00173E69"/>
    <w:rsid w:val="0017412A"/>
    <w:rsid w:val="001749CF"/>
    <w:rsid w:val="00174D88"/>
    <w:rsid w:val="0017577D"/>
    <w:rsid w:val="001757E6"/>
    <w:rsid w:val="001759FC"/>
    <w:rsid w:val="00175C81"/>
    <w:rsid w:val="00175F59"/>
    <w:rsid w:val="001769FC"/>
    <w:rsid w:val="00176E25"/>
    <w:rsid w:val="00177BEA"/>
    <w:rsid w:val="001803D7"/>
    <w:rsid w:val="00180750"/>
    <w:rsid w:val="00180C5E"/>
    <w:rsid w:val="001811B8"/>
    <w:rsid w:val="00181488"/>
    <w:rsid w:val="0018149A"/>
    <w:rsid w:val="0018150B"/>
    <w:rsid w:val="0018161F"/>
    <w:rsid w:val="00181A59"/>
    <w:rsid w:val="00182A6D"/>
    <w:rsid w:val="00182B55"/>
    <w:rsid w:val="0018303B"/>
    <w:rsid w:val="00183242"/>
    <w:rsid w:val="001832D1"/>
    <w:rsid w:val="00183AAD"/>
    <w:rsid w:val="00183D15"/>
    <w:rsid w:val="001840F8"/>
    <w:rsid w:val="001846DF"/>
    <w:rsid w:val="001847B5"/>
    <w:rsid w:val="001852E6"/>
    <w:rsid w:val="001852F9"/>
    <w:rsid w:val="00185BB7"/>
    <w:rsid w:val="0018625A"/>
    <w:rsid w:val="00186358"/>
    <w:rsid w:val="001869BE"/>
    <w:rsid w:val="00186F47"/>
    <w:rsid w:val="00187BD5"/>
    <w:rsid w:val="00187DAA"/>
    <w:rsid w:val="00187FBA"/>
    <w:rsid w:val="0019071C"/>
    <w:rsid w:val="00190B40"/>
    <w:rsid w:val="00190D6B"/>
    <w:rsid w:val="00190F4A"/>
    <w:rsid w:val="001910EA"/>
    <w:rsid w:val="00191133"/>
    <w:rsid w:val="00191552"/>
    <w:rsid w:val="00192C92"/>
    <w:rsid w:val="00192F27"/>
    <w:rsid w:val="0019497A"/>
    <w:rsid w:val="00194BF8"/>
    <w:rsid w:val="00195036"/>
    <w:rsid w:val="0019532A"/>
    <w:rsid w:val="001957D3"/>
    <w:rsid w:val="00195E5E"/>
    <w:rsid w:val="00195F19"/>
    <w:rsid w:val="00196534"/>
    <w:rsid w:val="00196889"/>
    <w:rsid w:val="00196AF5"/>
    <w:rsid w:val="00196BA9"/>
    <w:rsid w:val="00196F43"/>
    <w:rsid w:val="0019789F"/>
    <w:rsid w:val="00197D23"/>
    <w:rsid w:val="00197DCD"/>
    <w:rsid w:val="00197EA9"/>
    <w:rsid w:val="001A0644"/>
    <w:rsid w:val="001A0C34"/>
    <w:rsid w:val="001A1405"/>
    <w:rsid w:val="001A166F"/>
    <w:rsid w:val="001A1889"/>
    <w:rsid w:val="001A1A14"/>
    <w:rsid w:val="001A1D57"/>
    <w:rsid w:val="001A1F84"/>
    <w:rsid w:val="001A245B"/>
    <w:rsid w:val="001A277F"/>
    <w:rsid w:val="001A27C5"/>
    <w:rsid w:val="001A2CF2"/>
    <w:rsid w:val="001A2D2E"/>
    <w:rsid w:val="001A35F6"/>
    <w:rsid w:val="001A3D54"/>
    <w:rsid w:val="001A4ACF"/>
    <w:rsid w:val="001A516E"/>
    <w:rsid w:val="001A5801"/>
    <w:rsid w:val="001A58DB"/>
    <w:rsid w:val="001A5BD0"/>
    <w:rsid w:val="001A60EC"/>
    <w:rsid w:val="001A6806"/>
    <w:rsid w:val="001A77C7"/>
    <w:rsid w:val="001A7A44"/>
    <w:rsid w:val="001A7E70"/>
    <w:rsid w:val="001B03AB"/>
    <w:rsid w:val="001B04DB"/>
    <w:rsid w:val="001B04FD"/>
    <w:rsid w:val="001B0991"/>
    <w:rsid w:val="001B0BB0"/>
    <w:rsid w:val="001B0E32"/>
    <w:rsid w:val="001B1F0A"/>
    <w:rsid w:val="001B2159"/>
    <w:rsid w:val="001B324A"/>
    <w:rsid w:val="001B38D8"/>
    <w:rsid w:val="001B4134"/>
    <w:rsid w:val="001B45EB"/>
    <w:rsid w:val="001B468B"/>
    <w:rsid w:val="001B4A15"/>
    <w:rsid w:val="001B61F7"/>
    <w:rsid w:val="001B6E94"/>
    <w:rsid w:val="001C0034"/>
    <w:rsid w:val="001C00CE"/>
    <w:rsid w:val="001C1669"/>
    <w:rsid w:val="001C1B27"/>
    <w:rsid w:val="001C1B99"/>
    <w:rsid w:val="001C1EB3"/>
    <w:rsid w:val="001C1F48"/>
    <w:rsid w:val="001C22C4"/>
    <w:rsid w:val="001C28CF"/>
    <w:rsid w:val="001C395A"/>
    <w:rsid w:val="001C3B9D"/>
    <w:rsid w:val="001C3C2C"/>
    <w:rsid w:val="001C4A8F"/>
    <w:rsid w:val="001C4B1B"/>
    <w:rsid w:val="001C4BCD"/>
    <w:rsid w:val="001C4BFE"/>
    <w:rsid w:val="001C4D4D"/>
    <w:rsid w:val="001C4DF5"/>
    <w:rsid w:val="001C4F0A"/>
    <w:rsid w:val="001C5258"/>
    <w:rsid w:val="001C5655"/>
    <w:rsid w:val="001C57C6"/>
    <w:rsid w:val="001C5B83"/>
    <w:rsid w:val="001C5E05"/>
    <w:rsid w:val="001C69A1"/>
    <w:rsid w:val="001C6A76"/>
    <w:rsid w:val="001C6B9C"/>
    <w:rsid w:val="001C6C0E"/>
    <w:rsid w:val="001C6D83"/>
    <w:rsid w:val="001C6E6B"/>
    <w:rsid w:val="001C70AC"/>
    <w:rsid w:val="001C76EB"/>
    <w:rsid w:val="001C7F6B"/>
    <w:rsid w:val="001D0820"/>
    <w:rsid w:val="001D0878"/>
    <w:rsid w:val="001D095F"/>
    <w:rsid w:val="001D09E8"/>
    <w:rsid w:val="001D0D5C"/>
    <w:rsid w:val="001D0EAE"/>
    <w:rsid w:val="001D1986"/>
    <w:rsid w:val="001D1E53"/>
    <w:rsid w:val="001D2F45"/>
    <w:rsid w:val="001D3315"/>
    <w:rsid w:val="001D34DD"/>
    <w:rsid w:val="001D3BD6"/>
    <w:rsid w:val="001D3D08"/>
    <w:rsid w:val="001D437C"/>
    <w:rsid w:val="001D495F"/>
    <w:rsid w:val="001D49CC"/>
    <w:rsid w:val="001D5BCE"/>
    <w:rsid w:val="001D66F2"/>
    <w:rsid w:val="001D689B"/>
    <w:rsid w:val="001D71EB"/>
    <w:rsid w:val="001D726F"/>
    <w:rsid w:val="001D73A4"/>
    <w:rsid w:val="001D7694"/>
    <w:rsid w:val="001D77BB"/>
    <w:rsid w:val="001D780D"/>
    <w:rsid w:val="001D7879"/>
    <w:rsid w:val="001D7FF2"/>
    <w:rsid w:val="001E043A"/>
    <w:rsid w:val="001E0559"/>
    <w:rsid w:val="001E09C0"/>
    <w:rsid w:val="001E10BE"/>
    <w:rsid w:val="001E1901"/>
    <w:rsid w:val="001E232F"/>
    <w:rsid w:val="001E2AFC"/>
    <w:rsid w:val="001E3726"/>
    <w:rsid w:val="001E3B41"/>
    <w:rsid w:val="001E3BD3"/>
    <w:rsid w:val="001E4990"/>
    <w:rsid w:val="001E4F06"/>
    <w:rsid w:val="001E50EA"/>
    <w:rsid w:val="001E5A45"/>
    <w:rsid w:val="001E5B56"/>
    <w:rsid w:val="001E6226"/>
    <w:rsid w:val="001E67E1"/>
    <w:rsid w:val="001E7018"/>
    <w:rsid w:val="001F03F1"/>
    <w:rsid w:val="001F0860"/>
    <w:rsid w:val="001F0898"/>
    <w:rsid w:val="001F1B24"/>
    <w:rsid w:val="001F1EA0"/>
    <w:rsid w:val="001F1EE0"/>
    <w:rsid w:val="001F28FB"/>
    <w:rsid w:val="001F2C76"/>
    <w:rsid w:val="001F2CC7"/>
    <w:rsid w:val="001F3A4E"/>
    <w:rsid w:val="001F3BB3"/>
    <w:rsid w:val="001F3F50"/>
    <w:rsid w:val="001F4055"/>
    <w:rsid w:val="001F40FA"/>
    <w:rsid w:val="001F4537"/>
    <w:rsid w:val="001F4B87"/>
    <w:rsid w:val="001F5535"/>
    <w:rsid w:val="001F581E"/>
    <w:rsid w:val="001F5836"/>
    <w:rsid w:val="001F585B"/>
    <w:rsid w:val="001F5C7D"/>
    <w:rsid w:val="001F70F4"/>
    <w:rsid w:val="001F7117"/>
    <w:rsid w:val="001F7D69"/>
    <w:rsid w:val="0020032C"/>
    <w:rsid w:val="00200349"/>
    <w:rsid w:val="00200EA0"/>
    <w:rsid w:val="00201A4E"/>
    <w:rsid w:val="00201A9F"/>
    <w:rsid w:val="00201F8F"/>
    <w:rsid w:val="00202306"/>
    <w:rsid w:val="002023B7"/>
    <w:rsid w:val="00202D74"/>
    <w:rsid w:val="002031E2"/>
    <w:rsid w:val="002032F1"/>
    <w:rsid w:val="00203A52"/>
    <w:rsid w:val="00204596"/>
    <w:rsid w:val="00204B17"/>
    <w:rsid w:val="00206262"/>
    <w:rsid w:val="00207254"/>
    <w:rsid w:val="002073B7"/>
    <w:rsid w:val="00207AB8"/>
    <w:rsid w:val="002103DD"/>
    <w:rsid w:val="00211814"/>
    <w:rsid w:val="00211D94"/>
    <w:rsid w:val="0021224F"/>
    <w:rsid w:val="002122A5"/>
    <w:rsid w:val="00212E0F"/>
    <w:rsid w:val="00212ECA"/>
    <w:rsid w:val="00213B40"/>
    <w:rsid w:val="00213D84"/>
    <w:rsid w:val="00214575"/>
    <w:rsid w:val="00214C65"/>
    <w:rsid w:val="0021539B"/>
    <w:rsid w:val="002156E1"/>
    <w:rsid w:val="0021576A"/>
    <w:rsid w:val="00216894"/>
    <w:rsid w:val="00217D07"/>
    <w:rsid w:val="00220794"/>
    <w:rsid w:val="00220A78"/>
    <w:rsid w:val="00220AE5"/>
    <w:rsid w:val="00220C15"/>
    <w:rsid w:val="002223D2"/>
    <w:rsid w:val="00222C4E"/>
    <w:rsid w:val="00222C80"/>
    <w:rsid w:val="00222E1C"/>
    <w:rsid w:val="0022342B"/>
    <w:rsid w:val="00223AEE"/>
    <w:rsid w:val="00223D85"/>
    <w:rsid w:val="00224ADF"/>
    <w:rsid w:val="00224D94"/>
    <w:rsid w:val="00224EA7"/>
    <w:rsid w:val="00224FA6"/>
    <w:rsid w:val="00225239"/>
    <w:rsid w:val="002256D5"/>
    <w:rsid w:val="00225CE1"/>
    <w:rsid w:val="00227801"/>
    <w:rsid w:val="00227989"/>
    <w:rsid w:val="00227A3A"/>
    <w:rsid w:val="00227B0D"/>
    <w:rsid w:val="00227FE7"/>
    <w:rsid w:val="002303B1"/>
    <w:rsid w:val="00230DB1"/>
    <w:rsid w:val="00230FDB"/>
    <w:rsid w:val="00231094"/>
    <w:rsid w:val="0023148A"/>
    <w:rsid w:val="00232DB7"/>
    <w:rsid w:val="0023322A"/>
    <w:rsid w:val="00233F90"/>
    <w:rsid w:val="0023422C"/>
    <w:rsid w:val="00235B12"/>
    <w:rsid w:val="00235DF9"/>
    <w:rsid w:val="0023689B"/>
    <w:rsid w:val="002375AD"/>
    <w:rsid w:val="00237655"/>
    <w:rsid w:val="00240618"/>
    <w:rsid w:val="0024071A"/>
    <w:rsid w:val="00240D3F"/>
    <w:rsid w:val="00240F2C"/>
    <w:rsid w:val="00241B3F"/>
    <w:rsid w:val="00241E55"/>
    <w:rsid w:val="00242B47"/>
    <w:rsid w:val="0024357E"/>
    <w:rsid w:val="00244A39"/>
    <w:rsid w:val="00245840"/>
    <w:rsid w:val="00245927"/>
    <w:rsid w:val="00245994"/>
    <w:rsid w:val="00245C32"/>
    <w:rsid w:val="00246DF6"/>
    <w:rsid w:val="00247C3E"/>
    <w:rsid w:val="002500B2"/>
    <w:rsid w:val="00250D13"/>
    <w:rsid w:val="00251347"/>
    <w:rsid w:val="00252050"/>
    <w:rsid w:val="0025227B"/>
    <w:rsid w:val="002525C0"/>
    <w:rsid w:val="00252C42"/>
    <w:rsid w:val="00255407"/>
    <w:rsid w:val="00255538"/>
    <w:rsid w:val="00255801"/>
    <w:rsid w:val="00255C31"/>
    <w:rsid w:val="002563E0"/>
    <w:rsid w:val="002567C2"/>
    <w:rsid w:val="00256F70"/>
    <w:rsid w:val="00256FEC"/>
    <w:rsid w:val="0025740D"/>
    <w:rsid w:val="002576A2"/>
    <w:rsid w:val="0026003C"/>
    <w:rsid w:val="002602BE"/>
    <w:rsid w:val="002608B5"/>
    <w:rsid w:val="00260D19"/>
    <w:rsid w:val="00260E27"/>
    <w:rsid w:val="002610A3"/>
    <w:rsid w:val="00261514"/>
    <w:rsid w:val="002628EE"/>
    <w:rsid w:val="002629A9"/>
    <w:rsid w:val="002630CA"/>
    <w:rsid w:val="0026367C"/>
    <w:rsid w:val="002639C9"/>
    <w:rsid w:val="00264880"/>
    <w:rsid w:val="00264F68"/>
    <w:rsid w:val="0026539C"/>
    <w:rsid w:val="002654D3"/>
    <w:rsid w:val="0026556F"/>
    <w:rsid w:val="00266402"/>
    <w:rsid w:val="002670FD"/>
    <w:rsid w:val="002676DC"/>
    <w:rsid w:val="00267CF0"/>
    <w:rsid w:val="00270331"/>
    <w:rsid w:val="0027038B"/>
    <w:rsid w:val="00270651"/>
    <w:rsid w:val="00270BD1"/>
    <w:rsid w:val="00270C85"/>
    <w:rsid w:val="00270DD5"/>
    <w:rsid w:val="00270E10"/>
    <w:rsid w:val="00270F6D"/>
    <w:rsid w:val="002711EE"/>
    <w:rsid w:val="00271D65"/>
    <w:rsid w:val="00273051"/>
    <w:rsid w:val="002730AD"/>
    <w:rsid w:val="002732D8"/>
    <w:rsid w:val="0027345D"/>
    <w:rsid w:val="00273771"/>
    <w:rsid w:val="002738B6"/>
    <w:rsid w:val="00273CCB"/>
    <w:rsid w:val="002740CC"/>
    <w:rsid w:val="002749F6"/>
    <w:rsid w:val="00274CCB"/>
    <w:rsid w:val="00275155"/>
    <w:rsid w:val="00275290"/>
    <w:rsid w:val="002759F2"/>
    <w:rsid w:val="0027632E"/>
    <w:rsid w:val="00276B1F"/>
    <w:rsid w:val="00276ED1"/>
    <w:rsid w:val="00277393"/>
    <w:rsid w:val="00277CEC"/>
    <w:rsid w:val="00280450"/>
    <w:rsid w:val="00280A8B"/>
    <w:rsid w:val="00280AA8"/>
    <w:rsid w:val="00280B22"/>
    <w:rsid w:val="00280E71"/>
    <w:rsid w:val="00280E8B"/>
    <w:rsid w:val="002812CB"/>
    <w:rsid w:val="00281398"/>
    <w:rsid w:val="002816A7"/>
    <w:rsid w:val="00282083"/>
    <w:rsid w:val="00282881"/>
    <w:rsid w:val="002828CB"/>
    <w:rsid w:val="0028294D"/>
    <w:rsid w:val="00282B18"/>
    <w:rsid w:val="00282E3E"/>
    <w:rsid w:val="0028306A"/>
    <w:rsid w:val="00283144"/>
    <w:rsid w:val="00284B6F"/>
    <w:rsid w:val="00284BED"/>
    <w:rsid w:val="00284F76"/>
    <w:rsid w:val="00286692"/>
    <w:rsid w:val="00286CFF"/>
    <w:rsid w:val="00286DD9"/>
    <w:rsid w:val="00287A02"/>
    <w:rsid w:val="00287BA6"/>
    <w:rsid w:val="00287D89"/>
    <w:rsid w:val="00287E98"/>
    <w:rsid w:val="002907E7"/>
    <w:rsid w:val="00290E17"/>
    <w:rsid w:val="00290FAB"/>
    <w:rsid w:val="00291A05"/>
    <w:rsid w:val="00291AB7"/>
    <w:rsid w:val="00292480"/>
    <w:rsid w:val="00292D77"/>
    <w:rsid w:val="00292E37"/>
    <w:rsid w:val="00292EFB"/>
    <w:rsid w:val="00293075"/>
    <w:rsid w:val="0029348B"/>
    <w:rsid w:val="00293A42"/>
    <w:rsid w:val="00294034"/>
    <w:rsid w:val="002946CB"/>
    <w:rsid w:val="0029475A"/>
    <w:rsid w:val="002947DD"/>
    <w:rsid w:val="00295027"/>
    <w:rsid w:val="002950C6"/>
    <w:rsid w:val="00295618"/>
    <w:rsid w:val="00296451"/>
    <w:rsid w:val="0029683F"/>
    <w:rsid w:val="00296A02"/>
    <w:rsid w:val="00296AAD"/>
    <w:rsid w:val="00296AFD"/>
    <w:rsid w:val="00296BE6"/>
    <w:rsid w:val="00296C27"/>
    <w:rsid w:val="00296DB6"/>
    <w:rsid w:val="00297A2D"/>
    <w:rsid w:val="00297FE6"/>
    <w:rsid w:val="002A039F"/>
    <w:rsid w:val="002A0A2C"/>
    <w:rsid w:val="002A1319"/>
    <w:rsid w:val="002A15B9"/>
    <w:rsid w:val="002A2D18"/>
    <w:rsid w:val="002A301E"/>
    <w:rsid w:val="002A33DD"/>
    <w:rsid w:val="002A3407"/>
    <w:rsid w:val="002A3634"/>
    <w:rsid w:val="002A3A76"/>
    <w:rsid w:val="002A3DC9"/>
    <w:rsid w:val="002A3FD1"/>
    <w:rsid w:val="002A4504"/>
    <w:rsid w:val="002A54C0"/>
    <w:rsid w:val="002A5945"/>
    <w:rsid w:val="002A647A"/>
    <w:rsid w:val="002A6585"/>
    <w:rsid w:val="002A6A4E"/>
    <w:rsid w:val="002A70CD"/>
    <w:rsid w:val="002B0397"/>
    <w:rsid w:val="002B07FB"/>
    <w:rsid w:val="002B0EC2"/>
    <w:rsid w:val="002B1D36"/>
    <w:rsid w:val="002B2C87"/>
    <w:rsid w:val="002B3140"/>
    <w:rsid w:val="002B33A4"/>
    <w:rsid w:val="002B35BB"/>
    <w:rsid w:val="002B40F1"/>
    <w:rsid w:val="002B4BE6"/>
    <w:rsid w:val="002B5314"/>
    <w:rsid w:val="002B5DB0"/>
    <w:rsid w:val="002B6218"/>
    <w:rsid w:val="002B693A"/>
    <w:rsid w:val="002B6B50"/>
    <w:rsid w:val="002B72FD"/>
    <w:rsid w:val="002B7348"/>
    <w:rsid w:val="002B7A39"/>
    <w:rsid w:val="002B7B55"/>
    <w:rsid w:val="002B7BED"/>
    <w:rsid w:val="002B7EA7"/>
    <w:rsid w:val="002C0118"/>
    <w:rsid w:val="002C01BF"/>
    <w:rsid w:val="002C0DC4"/>
    <w:rsid w:val="002C1018"/>
    <w:rsid w:val="002C1EE8"/>
    <w:rsid w:val="002C1FB8"/>
    <w:rsid w:val="002C20BF"/>
    <w:rsid w:val="002C3F00"/>
    <w:rsid w:val="002C41DB"/>
    <w:rsid w:val="002C4389"/>
    <w:rsid w:val="002C466C"/>
    <w:rsid w:val="002C480F"/>
    <w:rsid w:val="002C4EAA"/>
    <w:rsid w:val="002C50A4"/>
    <w:rsid w:val="002C5253"/>
    <w:rsid w:val="002C542B"/>
    <w:rsid w:val="002C5D91"/>
    <w:rsid w:val="002C60F0"/>
    <w:rsid w:val="002C6516"/>
    <w:rsid w:val="002C6551"/>
    <w:rsid w:val="002C68BF"/>
    <w:rsid w:val="002C6ECC"/>
    <w:rsid w:val="002C7F03"/>
    <w:rsid w:val="002D00DC"/>
    <w:rsid w:val="002D019C"/>
    <w:rsid w:val="002D0604"/>
    <w:rsid w:val="002D0B05"/>
    <w:rsid w:val="002D0B8E"/>
    <w:rsid w:val="002D1080"/>
    <w:rsid w:val="002D1D03"/>
    <w:rsid w:val="002D225C"/>
    <w:rsid w:val="002D278B"/>
    <w:rsid w:val="002D313E"/>
    <w:rsid w:val="002D319D"/>
    <w:rsid w:val="002D3552"/>
    <w:rsid w:val="002D3971"/>
    <w:rsid w:val="002D3F98"/>
    <w:rsid w:val="002D42BA"/>
    <w:rsid w:val="002D4443"/>
    <w:rsid w:val="002D4B99"/>
    <w:rsid w:val="002D4F32"/>
    <w:rsid w:val="002D4FF5"/>
    <w:rsid w:val="002D4FFF"/>
    <w:rsid w:val="002D53A7"/>
    <w:rsid w:val="002D58CA"/>
    <w:rsid w:val="002D592C"/>
    <w:rsid w:val="002D5A7B"/>
    <w:rsid w:val="002D6049"/>
    <w:rsid w:val="002D6497"/>
    <w:rsid w:val="002D6C95"/>
    <w:rsid w:val="002D6E95"/>
    <w:rsid w:val="002D6FD7"/>
    <w:rsid w:val="002D7395"/>
    <w:rsid w:val="002D7D89"/>
    <w:rsid w:val="002E0141"/>
    <w:rsid w:val="002E0216"/>
    <w:rsid w:val="002E06F5"/>
    <w:rsid w:val="002E0B24"/>
    <w:rsid w:val="002E0C00"/>
    <w:rsid w:val="002E0C8F"/>
    <w:rsid w:val="002E24DD"/>
    <w:rsid w:val="002E35A6"/>
    <w:rsid w:val="002E3A93"/>
    <w:rsid w:val="002E3CCC"/>
    <w:rsid w:val="002E4052"/>
    <w:rsid w:val="002E4395"/>
    <w:rsid w:val="002E4856"/>
    <w:rsid w:val="002E4A0B"/>
    <w:rsid w:val="002E4C2A"/>
    <w:rsid w:val="002E5698"/>
    <w:rsid w:val="002E5876"/>
    <w:rsid w:val="002E587B"/>
    <w:rsid w:val="002E5B89"/>
    <w:rsid w:val="002E75EA"/>
    <w:rsid w:val="002E761D"/>
    <w:rsid w:val="002F01D7"/>
    <w:rsid w:val="002F05DC"/>
    <w:rsid w:val="002F0953"/>
    <w:rsid w:val="002F137F"/>
    <w:rsid w:val="002F1E4C"/>
    <w:rsid w:val="002F3842"/>
    <w:rsid w:val="002F43E3"/>
    <w:rsid w:val="002F4E31"/>
    <w:rsid w:val="002F50CE"/>
    <w:rsid w:val="002F588F"/>
    <w:rsid w:val="002F5CD0"/>
    <w:rsid w:val="002F5D33"/>
    <w:rsid w:val="002F737F"/>
    <w:rsid w:val="00300214"/>
    <w:rsid w:val="003002BA"/>
    <w:rsid w:val="00301133"/>
    <w:rsid w:val="00301420"/>
    <w:rsid w:val="00301AF2"/>
    <w:rsid w:val="00302304"/>
    <w:rsid w:val="003027FA"/>
    <w:rsid w:val="00302ACB"/>
    <w:rsid w:val="00302F3F"/>
    <w:rsid w:val="00303126"/>
    <w:rsid w:val="003034A3"/>
    <w:rsid w:val="00303938"/>
    <w:rsid w:val="003046AB"/>
    <w:rsid w:val="00304A56"/>
    <w:rsid w:val="0030502B"/>
    <w:rsid w:val="003053AC"/>
    <w:rsid w:val="00305A3A"/>
    <w:rsid w:val="00305E50"/>
    <w:rsid w:val="00305F28"/>
    <w:rsid w:val="00306546"/>
    <w:rsid w:val="0030682B"/>
    <w:rsid w:val="0030687B"/>
    <w:rsid w:val="003070AC"/>
    <w:rsid w:val="0030728E"/>
    <w:rsid w:val="003078DE"/>
    <w:rsid w:val="003102BA"/>
    <w:rsid w:val="003106CC"/>
    <w:rsid w:val="00310BF3"/>
    <w:rsid w:val="00310D12"/>
    <w:rsid w:val="0031133A"/>
    <w:rsid w:val="003117C7"/>
    <w:rsid w:val="00312020"/>
    <w:rsid w:val="003129FC"/>
    <w:rsid w:val="00312A38"/>
    <w:rsid w:val="00312B6D"/>
    <w:rsid w:val="00312E6F"/>
    <w:rsid w:val="00312F9C"/>
    <w:rsid w:val="00313792"/>
    <w:rsid w:val="00313F59"/>
    <w:rsid w:val="00314135"/>
    <w:rsid w:val="0031414C"/>
    <w:rsid w:val="00314D36"/>
    <w:rsid w:val="00314DFC"/>
    <w:rsid w:val="003153AB"/>
    <w:rsid w:val="00315E20"/>
    <w:rsid w:val="0031640C"/>
    <w:rsid w:val="00316BCD"/>
    <w:rsid w:val="00317389"/>
    <w:rsid w:val="00320456"/>
    <w:rsid w:val="003204AB"/>
    <w:rsid w:val="00320A43"/>
    <w:rsid w:val="00320E78"/>
    <w:rsid w:val="00320EED"/>
    <w:rsid w:val="00320FB4"/>
    <w:rsid w:val="00321586"/>
    <w:rsid w:val="0032174A"/>
    <w:rsid w:val="00321D05"/>
    <w:rsid w:val="00321ED6"/>
    <w:rsid w:val="00321FD9"/>
    <w:rsid w:val="0032202C"/>
    <w:rsid w:val="00322AD5"/>
    <w:rsid w:val="00322FB7"/>
    <w:rsid w:val="00323279"/>
    <w:rsid w:val="00323360"/>
    <w:rsid w:val="00323506"/>
    <w:rsid w:val="00323710"/>
    <w:rsid w:val="003246A4"/>
    <w:rsid w:val="00325690"/>
    <w:rsid w:val="00325A54"/>
    <w:rsid w:val="00325CE7"/>
    <w:rsid w:val="00325DB5"/>
    <w:rsid w:val="00325DE3"/>
    <w:rsid w:val="00325FB6"/>
    <w:rsid w:val="0032631D"/>
    <w:rsid w:val="00326B3D"/>
    <w:rsid w:val="00326D79"/>
    <w:rsid w:val="00326DB9"/>
    <w:rsid w:val="00327550"/>
    <w:rsid w:val="00327596"/>
    <w:rsid w:val="00327BF3"/>
    <w:rsid w:val="00327EC2"/>
    <w:rsid w:val="00330260"/>
    <w:rsid w:val="00330361"/>
    <w:rsid w:val="00330774"/>
    <w:rsid w:val="003317FF"/>
    <w:rsid w:val="00331CD2"/>
    <w:rsid w:val="00332513"/>
    <w:rsid w:val="003330D2"/>
    <w:rsid w:val="0033392A"/>
    <w:rsid w:val="00333982"/>
    <w:rsid w:val="003342D3"/>
    <w:rsid w:val="0033473E"/>
    <w:rsid w:val="00334E1A"/>
    <w:rsid w:val="00335166"/>
    <w:rsid w:val="0033518C"/>
    <w:rsid w:val="00335CF9"/>
    <w:rsid w:val="00336936"/>
    <w:rsid w:val="00336A29"/>
    <w:rsid w:val="00336AA9"/>
    <w:rsid w:val="00336BAC"/>
    <w:rsid w:val="003374C8"/>
    <w:rsid w:val="00337A82"/>
    <w:rsid w:val="00337CB2"/>
    <w:rsid w:val="00337F51"/>
    <w:rsid w:val="003406FD"/>
    <w:rsid w:val="00340721"/>
    <w:rsid w:val="00340B9F"/>
    <w:rsid w:val="00341C83"/>
    <w:rsid w:val="00341F5A"/>
    <w:rsid w:val="00342365"/>
    <w:rsid w:val="0034282B"/>
    <w:rsid w:val="00342F2B"/>
    <w:rsid w:val="003430D8"/>
    <w:rsid w:val="00344BBC"/>
    <w:rsid w:val="00344F9B"/>
    <w:rsid w:val="00345029"/>
    <w:rsid w:val="003450ED"/>
    <w:rsid w:val="003453D8"/>
    <w:rsid w:val="00345528"/>
    <w:rsid w:val="00345FC9"/>
    <w:rsid w:val="00346438"/>
    <w:rsid w:val="0034690C"/>
    <w:rsid w:val="003469D0"/>
    <w:rsid w:val="00346CDC"/>
    <w:rsid w:val="00346FFB"/>
    <w:rsid w:val="00347D92"/>
    <w:rsid w:val="00350F17"/>
    <w:rsid w:val="00351FD6"/>
    <w:rsid w:val="003523D7"/>
    <w:rsid w:val="003526D8"/>
    <w:rsid w:val="00352DA6"/>
    <w:rsid w:val="00352DF0"/>
    <w:rsid w:val="00352E5D"/>
    <w:rsid w:val="00352F57"/>
    <w:rsid w:val="00354C23"/>
    <w:rsid w:val="00355A9E"/>
    <w:rsid w:val="00356125"/>
    <w:rsid w:val="003562B3"/>
    <w:rsid w:val="00356C0D"/>
    <w:rsid w:val="00356C46"/>
    <w:rsid w:val="00356C50"/>
    <w:rsid w:val="00356E47"/>
    <w:rsid w:val="00357030"/>
    <w:rsid w:val="0035739D"/>
    <w:rsid w:val="003602BC"/>
    <w:rsid w:val="003619AF"/>
    <w:rsid w:val="00361C29"/>
    <w:rsid w:val="00361D28"/>
    <w:rsid w:val="003623CF"/>
    <w:rsid w:val="003628E4"/>
    <w:rsid w:val="00363360"/>
    <w:rsid w:val="00363503"/>
    <w:rsid w:val="00363548"/>
    <w:rsid w:val="00363D39"/>
    <w:rsid w:val="00364536"/>
    <w:rsid w:val="0036509D"/>
    <w:rsid w:val="0036585B"/>
    <w:rsid w:val="0036597D"/>
    <w:rsid w:val="00365B4B"/>
    <w:rsid w:val="00365DEB"/>
    <w:rsid w:val="00365EE8"/>
    <w:rsid w:val="00366B90"/>
    <w:rsid w:val="00366C04"/>
    <w:rsid w:val="0036799F"/>
    <w:rsid w:val="00370514"/>
    <w:rsid w:val="0037130A"/>
    <w:rsid w:val="00371A27"/>
    <w:rsid w:val="00372ADF"/>
    <w:rsid w:val="00372D2B"/>
    <w:rsid w:val="00373881"/>
    <w:rsid w:val="003745BF"/>
    <w:rsid w:val="00374629"/>
    <w:rsid w:val="00374766"/>
    <w:rsid w:val="00374AB7"/>
    <w:rsid w:val="0037524C"/>
    <w:rsid w:val="00375FA1"/>
    <w:rsid w:val="00376A37"/>
    <w:rsid w:val="00376AC1"/>
    <w:rsid w:val="00376B6A"/>
    <w:rsid w:val="00377171"/>
    <w:rsid w:val="003802DE"/>
    <w:rsid w:val="00380AEA"/>
    <w:rsid w:val="00380FD6"/>
    <w:rsid w:val="0038147B"/>
    <w:rsid w:val="00381505"/>
    <w:rsid w:val="0038255F"/>
    <w:rsid w:val="00382786"/>
    <w:rsid w:val="00382DEE"/>
    <w:rsid w:val="00382F3A"/>
    <w:rsid w:val="0038393A"/>
    <w:rsid w:val="0038418D"/>
    <w:rsid w:val="003843B8"/>
    <w:rsid w:val="00384727"/>
    <w:rsid w:val="00384A92"/>
    <w:rsid w:val="00385362"/>
    <w:rsid w:val="00385AD0"/>
    <w:rsid w:val="0038610D"/>
    <w:rsid w:val="003863FE"/>
    <w:rsid w:val="00386DD7"/>
    <w:rsid w:val="0038776F"/>
    <w:rsid w:val="003877FE"/>
    <w:rsid w:val="003903E4"/>
    <w:rsid w:val="00390610"/>
    <w:rsid w:val="00390A76"/>
    <w:rsid w:val="00391668"/>
    <w:rsid w:val="00392DE8"/>
    <w:rsid w:val="00392E51"/>
    <w:rsid w:val="00392FD8"/>
    <w:rsid w:val="00393853"/>
    <w:rsid w:val="00394291"/>
    <w:rsid w:val="00394373"/>
    <w:rsid w:val="003943E7"/>
    <w:rsid w:val="003945A3"/>
    <w:rsid w:val="0039498F"/>
    <w:rsid w:val="003949A1"/>
    <w:rsid w:val="0039594D"/>
    <w:rsid w:val="00395C85"/>
    <w:rsid w:val="00396CCE"/>
    <w:rsid w:val="003971A5"/>
    <w:rsid w:val="003979D8"/>
    <w:rsid w:val="00397D38"/>
    <w:rsid w:val="00397E52"/>
    <w:rsid w:val="003A015E"/>
    <w:rsid w:val="003A0512"/>
    <w:rsid w:val="003A2FC8"/>
    <w:rsid w:val="003A3C6D"/>
    <w:rsid w:val="003A3FB1"/>
    <w:rsid w:val="003A41E2"/>
    <w:rsid w:val="003A4209"/>
    <w:rsid w:val="003A4B02"/>
    <w:rsid w:val="003A4DBB"/>
    <w:rsid w:val="003A4DFF"/>
    <w:rsid w:val="003A51FA"/>
    <w:rsid w:val="003A5314"/>
    <w:rsid w:val="003A5788"/>
    <w:rsid w:val="003A5A75"/>
    <w:rsid w:val="003A675D"/>
    <w:rsid w:val="003A693C"/>
    <w:rsid w:val="003A6B17"/>
    <w:rsid w:val="003A6DF1"/>
    <w:rsid w:val="003A75F5"/>
    <w:rsid w:val="003A7689"/>
    <w:rsid w:val="003A7A91"/>
    <w:rsid w:val="003A7DF5"/>
    <w:rsid w:val="003B01CC"/>
    <w:rsid w:val="003B0392"/>
    <w:rsid w:val="003B05A8"/>
    <w:rsid w:val="003B0B82"/>
    <w:rsid w:val="003B2AEE"/>
    <w:rsid w:val="003B3567"/>
    <w:rsid w:val="003B3677"/>
    <w:rsid w:val="003B3FBB"/>
    <w:rsid w:val="003B42E9"/>
    <w:rsid w:val="003B49F0"/>
    <w:rsid w:val="003B4B77"/>
    <w:rsid w:val="003B5814"/>
    <w:rsid w:val="003B5C85"/>
    <w:rsid w:val="003B717C"/>
    <w:rsid w:val="003B79AD"/>
    <w:rsid w:val="003B79FF"/>
    <w:rsid w:val="003B7B34"/>
    <w:rsid w:val="003C04A1"/>
    <w:rsid w:val="003C0B0B"/>
    <w:rsid w:val="003C0DA8"/>
    <w:rsid w:val="003C10DC"/>
    <w:rsid w:val="003C19A1"/>
    <w:rsid w:val="003C2378"/>
    <w:rsid w:val="003C2CEA"/>
    <w:rsid w:val="003C3902"/>
    <w:rsid w:val="003C39F5"/>
    <w:rsid w:val="003C3A04"/>
    <w:rsid w:val="003C3E3A"/>
    <w:rsid w:val="003C43E9"/>
    <w:rsid w:val="003C510D"/>
    <w:rsid w:val="003C606F"/>
    <w:rsid w:val="003C6B11"/>
    <w:rsid w:val="003D05F3"/>
    <w:rsid w:val="003D1085"/>
    <w:rsid w:val="003D11C4"/>
    <w:rsid w:val="003D1E7A"/>
    <w:rsid w:val="003D23F1"/>
    <w:rsid w:val="003D2621"/>
    <w:rsid w:val="003D2689"/>
    <w:rsid w:val="003D27B2"/>
    <w:rsid w:val="003D27DE"/>
    <w:rsid w:val="003D2A05"/>
    <w:rsid w:val="003D2A84"/>
    <w:rsid w:val="003D2AF3"/>
    <w:rsid w:val="003D2D26"/>
    <w:rsid w:val="003D32AF"/>
    <w:rsid w:val="003D334F"/>
    <w:rsid w:val="003D38F4"/>
    <w:rsid w:val="003D3BFE"/>
    <w:rsid w:val="003D3C70"/>
    <w:rsid w:val="003D402D"/>
    <w:rsid w:val="003D4801"/>
    <w:rsid w:val="003D4CDB"/>
    <w:rsid w:val="003D53E3"/>
    <w:rsid w:val="003D5D53"/>
    <w:rsid w:val="003D5D76"/>
    <w:rsid w:val="003D6471"/>
    <w:rsid w:val="003D6A19"/>
    <w:rsid w:val="003D771A"/>
    <w:rsid w:val="003D774B"/>
    <w:rsid w:val="003E0170"/>
    <w:rsid w:val="003E0336"/>
    <w:rsid w:val="003E0733"/>
    <w:rsid w:val="003E09D1"/>
    <w:rsid w:val="003E1056"/>
    <w:rsid w:val="003E12C1"/>
    <w:rsid w:val="003E1811"/>
    <w:rsid w:val="003E28A6"/>
    <w:rsid w:val="003E31DA"/>
    <w:rsid w:val="003E321D"/>
    <w:rsid w:val="003E3BDF"/>
    <w:rsid w:val="003E412E"/>
    <w:rsid w:val="003E416F"/>
    <w:rsid w:val="003E42A3"/>
    <w:rsid w:val="003E501D"/>
    <w:rsid w:val="003E56A9"/>
    <w:rsid w:val="003E57BE"/>
    <w:rsid w:val="003E61B3"/>
    <w:rsid w:val="003E62DE"/>
    <w:rsid w:val="003E64FC"/>
    <w:rsid w:val="003E6513"/>
    <w:rsid w:val="003E6CD0"/>
    <w:rsid w:val="003E72A4"/>
    <w:rsid w:val="003E742C"/>
    <w:rsid w:val="003E79B4"/>
    <w:rsid w:val="003E7ABB"/>
    <w:rsid w:val="003E7BF3"/>
    <w:rsid w:val="003F00D8"/>
    <w:rsid w:val="003F01A2"/>
    <w:rsid w:val="003F079C"/>
    <w:rsid w:val="003F0FC2"/>
    <w:rsid w:val="003F14DD"/>
    <w:rsid w:val="003F1BF6"/>
    <w:rsid w:val="003F1D5F"/>
    <w:rsid w:val="003F26CE"/>
    <w:rsid w:val="003F29D4"/>
    <w:rsid w:val="003F33C2"/>
    <w:rsid w:val="003F400D"/>
    <w:rsid w:val="003F4BB0"/>
    <w:rsid w:val="003F4E39"/>
    <w:rsid w:val="003F4E4E"/>
    <w:rsid w:val="003F5C47"/>
    <w:rsid w:val="003F5C48"/>
    <w:rsid w:val="003F653C"/>
    <w:rsid w:val="003F654F"/>
    <w:rsid w:val="003F6625"/>
    <w:rsid w:val="003F7185"/>
    <w:rsid w:val="003F72AE"/>
    <w:rsid w:val="003F7FF5"/>
    <w:rsid w:val="00400521"/>
    <w:rsid w:val="004007D8"/>
    <w:rsid w:val="00400B02"/>
    <w:rsid w:val="00400F77"/>
    <w:rsid w:val="00401D84"/>
    <w:rsid w:val="00401F9B"/>
    <w:rsid w:val="0040215C"/>
    <w:rsid w:val="00402670"/>
    <w:rsid w:val="00402EE8"/>
    <w:rsid w:val="004033C4"/>
    <w:rsid w:val="0040412A"/>
    <w:rsid w:val="00404259"/>
    <w:rsid w:val="00404AD7"/>
    <w:rsid w:val="00404C18"/>
    <w:rsid w:val="00404EED"/>
    <w:rsid w:val="00405427"/>
    <w:rsid w:val="00405BC3"/>
    <w:rsid w:val="00405F7A"/>
    <w:rsid w:val="00406500"/>
    <w:rsid w:val="00406D1A"/>
    <w:rsid w:val="004101D1"/>
    <w:rsid w:val="004108A7"/>
    <w:rsid w:val="00410F5F"/>
    <w:rsid w:val="004110AF"/>
    <w:rsid w:val="00411728"/>
    <w:rsid w:val="00411BA0"/>
    <w:rsid w:val="0041217D"/>
    <w:rsid w:val="00412424"/>
    <w:rsid w:val="00412525"/>
    <w:rsid w:val="00412C0C"/>
    <w:rsid w:val="004133B0"/>
    <w:rsid w:val="0041374B"/>
    <w:rsid w:val="00413811"/>
    <w:rsid w:val="00414AEE"/>
    <w:rsid w:val="0041527B"/>
    <w:rsid w:val="00415455"/>
    <w:rsid w:val="00415B08"/>
    <w:rsid w:val="00415D32"/>
    <w:rsid w:val="00416275"/>
    <w:rsid w:val="0041725B"/>
    <w:rsid w:val="004175EF"/>
    <w:rsid w:val="00417713"/>
    <w:rsid w:val="00417BFC"/>
    <w:rsid w:val="00420133"/>
    <w:rsid w:val="00420D99"/>
    <w:rsid w:val="00421D3F"/>
    <w:rsid w:val="004224C9"/>
    <w:rsid w:val="00422ADB"/>
    <w:rsid w:val="004237A3"/>
    <w:rsid w:val="004239F9"/>
    <w:rsid w:val="00424F3A"/>
    <w:rsid w:val="00425249"/>
    <w:rsid w:val="00425754"/>
    <w:rsid w:val="00425DC7"/>
    <w:rsid w:val="00425DE1"/>
    <w:rsid w:val="004260CC"/>
    <w:rsid w:val="004269F1"/>
    <w:rsid w:val="0042718B"/>
    <w:rsid w:val="004275DB"/>
    <w:rsid w:val="004278A7"/>
    <w:rsid w:val="00427A53"/>
    <w:rsid w:val="00427E04"/>
    <w:rsid w:val="004304B1"/>
    <w:rsid w:val="0043086D"/>
    <w:rsid w:val="00430CA5"/>
    <w:rsid w:val="0043125E"/>
    <w:rsid w:val="00431C77"/>
    <w:rsid w:val="00431FC3"/>
    <w:rsid w:val="004330A0"/>
    <w:rsid w:val="0043325D"/>
    <w:rsid w:val="00433D10"/>
    <w:rsid w:val="00433E59"/>
    <w:rsid w:val="004342D4"/>
    <w:rsid w:val="00434950"/>
    <w:rsid w:val="004349BE"/>
    <w:rsid w:val="00434B08"/>
    <w:rsid w:val="004355AE"/>
    <w:rsid w:val="00435AD2"/>
    <w:rsid w:val="00435BF8"/>
    <w:rsid w:val="00435CA8"/>
    <w:rsid w:val="0043602B"/>
    <w:rsid w:val="004362DA"/>
    <w:rsid w:val="004365DE"/>
    <w:rsid w:val="004368A3"/>
    <w:rsid w:val="00436930"/>
    <w:rsid w:val="00436A0A"/>
    <w:rsid w:val="00436CB5"/>
    <w:rsid w:val="004371B9"/>
    <w:rsid w:val="00437221"/>
    <w:rsid w:val="004372FC"/>
    <w:rsid w:val="00437456"/>
    <w:rsid w:val="00437B1F"/>
    <w:rsid w:val="00437BB9"/>
    <w:rsid w:val="00437DE9"/>
    <w:rsid w:val="00440558"/>
    <w:rsid w:val="00440A5B"/>
    <w:rsid w:val="00441756"/>
    <w:rsid w:val="00441FB5"/>
    <w:rsid w:val="00442818"/>
    <w:rsid w:val="00442835"/>
    <w:rsid w:val="00442E22"/>
    <w:rsid w:val="004432E0"/>
    <w:rsid w:val="004436B6"/>
    <w:rsid w:val="00443BB8"/>
    <w:rsid w:val="00443DE4"/>
    <w:rsid w:val="00444690"/>
    <w:rsid w:val="00445147"/>
    <w:rsid w:val="0044547C"/>
    <w:rsid w:val="00445484"/>
    <w:rsid w:val="004455FC"/>
    <w:rsid w:val="00445630"/>
    <w:rsid w:val="00445730"/>
    <w:rsid w:val="004458E4"/>
    <w:rsid w:val="00445A04"/>
    <w:rsid w:val="00445A94"/>
    <w:rsid w:val="00445B4E"/>
    <w:rsid w:val="0044731B"/>
    <w:rsid w:val="00447970"/>
    <w:rsid w:val="004503AB"/>
    <w:rsid w:val="004508E2"/>
    <w:rsid w:val="0045095A"/>
    <w:rsid w:val="00451324"/>
    <w:rsid w:val="00451DE0"/>
    <w:rsid w:val="004535CA"/>
    <w:rsid w:val="004536EC"/>
    <w:rsid w:val="00453C7E"/>
    <w:rsid w:val="00454768"/>
    <w:rsid w:val="004554BD"/>
    <w:rsid w:val="004555B0"/>
    <w:rsid w:val="004556DF"/>
    <w:rsid w:val="00455EA0"/>
    <w:rsid w:val="00455ECB"/>
    <w:rsid w:val="00455F18"/>
    <w:rsid w:val="00456165"/>
    <w:rsid w:val="004567A7"/>
    <w:rsid w:val="00456C9F"/>
    <w:rsid w:val="00456EE7"/>
    <w:rsid w:val="00457255"/>
    <w:rsid w:val="004600D6"/>
    <w:rsid w:val="00460287"/>
    <w:rsid w:val="004609B4"/>
    <w:rsid w:val="00460A0A"/>
    <w:rsid w:val="0046127F"/>
    <w:rsid w:val="00461295"/>
    <w:rsid w:val="004618D6"/>
    <w:rsid w:val="0046194A"/>
    <w:rsid w:val="00462424"/>
    <w:rsid w:val="00462F21"/>
    <w:rsid w:val="004634A0"/>
    <w:rsid w:val="00463549"/>
    <w:rsid w:val="0046359F"/>
    <w:rsid w:val="00463620"/>
    <w:rsid w:val="00463A83"/>
    <w:rsid w:val="00464D8D"/>
    <w:rsid w:val="00465868"/>
    <w:rsid w:val="004659FF"/>
    <w:rsid w:val="004661DA"/>
    <w:rsid w:val="00466E1F"/>
    <w:rsid w:val="004670B7"/>
    <w:rsid w:val="004678FD"/>
    <w:rsid w:val="00467E20"/>
    <w:rsid w:val="00467EA3"/>
    <w:rsid w:val="004704E8"/>
    <w:rsid w:val="00471126"/>
    <w:rsid w:val="0047127B"/>
    <w:rsid w:val="00471705"/>
    <w:rsid w:val="004721F8"/>
    <w:rsid w:val="00472401"/>
    <w:rsid w:val="0047241C"/>
    <w:rsid w:val="00472577"/>
    <w:rsid w:val="0047302C"/>
    <w:rsid w:val="00473046"/>
    <w:rsid w:val="00473628"/>
    <w:rsid w:val="00473641"/>
    <w:rsid w:val="004737BB"/>
    <w:rsid w:val="0047396C"/>
    <w:rsid w:val="004743FF"/>
    <w:rsid w:val="004746D0"/>
    <w:rsid w:val="00475380"/>
    <w:rsid w:val="00475509"/>
    <w:rsid w:val="004755FE"/>
    <w:rsid w:val="00475787"/>
    <w:rsid w:val="00475B30"/>
    <w:rsid w:val="00475D67"/>
    <w:rsid w:val="00476B25"/>
    <w:rsid w:val="00476F03"/>
    <w:rsid w:val="004774C6"/>
    <w:rsid w:val="0048089E"/>
    <w:rsid w:val="00480925"/>
    <w:rsid w:val="00480BB7"/>
    <w:rsid w:val="00481A2B"/>
    <w:rsid w:val="00481BE6"/>
    <w:rsid w:val="00481CF1"/>
    <w:rsid w:val="00483066"/>
    <w:rsid w:val="004834FE"/>
    <w:rsid w:val="004835A9"/>
    <w:rsid w:val="00483D08"/>
    <w:rsid w:val="004842A5"/>
    <w:rsid w:val="004844F7"/>
    <w:rsid w:val="00484739"/>
    <w:rsid w:val="004853EE"/>
    <w:rsid w:val="004854CD"/>
    <w:rsid w:val="00486577"/>
    <w:rsid w:val="004867A7"/>
    <w:rsid w:val="00486F82"/>
    <w:rsid w:val="004873D2"/>
    <w:rsid w:val="004875FE"/>
    <w:rsid w:val="004879EB"/>
    <w:rsid w:val="00487A42"/>
    <w:rsid w:val="00487AE7"/>
    <w:rsid w:val="00487C54"/>
    <w:rsid w:val="00487EC8"/>
    <w:rsid w:val="00490B50"/>
    <w:rsid w:val="00490EB7"/>
    <w:rsid w:val="004910C5"/>
    <w:rsid w:val="00491429"/>
    <w:rsid w:val="004918C3"/>
    <w:rsid w:val="00491EC1"/>
    <w:rsid w:val="00492330"/>
    <w:rsid w:val="004925AF"/>
    <w:rsid w:val="00493035"/>
    <w:rsid w:val="00493B77"/>
    <w:rsid w:val="0049414B"/>
    <w:rsid w:val="0049484B"/>
    <w:rsid w:val="00494DFE"/>
    <w:rsid w:val="00494E84"/>
    <w:rsid w:val="00495417"/>
    <w:rsid w:val="00495D4B"/>
    <w:rsid w:val="00495DC8"/>
    <w:rsid w:val="004971A5"/>
    <w:rsid w:val="00497264"/>
    <w:rsid w:val="0049753E"/>
    <w:rsid w:val="0049788E"/>
    <w:rsid w:val="00497DC9"/>
    <w:rsid w:val="004A0891"/>
    <w:rsid w:val="004A0955"/>
    <w:rsid w:val="004A0AC1"/>
    <w:rsid w:val="004A0D5A"/>
    <w:rsid w:val="004A11F4"/>
    <w:rsid w:val="004A2367"/>
    <w:rsid w:val="004A240F"/>
    <w:rsid w:val="004A274C"/>
    <w:rsid w:val="004A35A4"/>
    <w:rsid w:val="004A3B4B"/>
    <w:rsid w:val="004A3FFA"/>
    <w:rsid w:val="004A40BB"/>
    <w:rsid w:val="004A40F9"/>
    <w:rsid w:val="004A4722"/>
    <w:rsid w:val="004A5191"/>
    <w:rsid w:val="004A55A6"/>
    <w:rsid w:val="004A5699"/>
    <w:rsid w:val="004A57D3"/>
    <w:rsid w:val="004A5A16"/>
    <w:rsid w:val="004A6477"/>
    <w:rsid w:val="004A68B8"/>
    <w:rsid w:val="004A6ABD"/>
    <w:rsid w:val="004A7A81"/>
    <w:rsid w:val="004A7AAD"/>
    <w:rsid w:val="004A7CC5"/>
    <w:rsid w:val="004A7CF5"/>
    <w:rsid w:val="004A7D52"/>
    <w:rsid w:val="004B084A"/>
    <w:rsid w:val="004B0A79"/>
    <w:rsid w:val="004B1D9E"/>
    <w:rsid w:val="004B2582"/>
    <w:rsid w:val="004B2A57"/>
    <w:rsid w:val="004B3206"/>
    <w:rsid w:val="004B3496"/>
    <w:rsid w:val="004B4502"/>
    <w:rsid w:val="004B464A"/>
    <w:rsid w:val="004B4897"/>
    <w:rsid w:val="004B4BCF"/>
    <w:rsid w:val="004B4F88"/>
    <w:rsid w:val="004B5954"/>
    <w:rsid w:val="004B62E5"/>
    <w:rsid w:val="004B65EB"/>
    <w:rsid w:val="004B69A9"/>
    <w:rsid w:val="004B6BBE"/>
    <w:rsid w:val="004B6F3C"/>
    <w:rsid w:val="004B7457"/>
    <w:rsid w:val="004B7B9B"/>
    <w:rsid w:val="004C0EB9"/>
    <w:rsid w:val="004C1183"/>
    <w:rsid w:val="004C15D2"/>
    <w:rsid w:val="004C1CF3"/>
    <w:rsid w:val="004C1F99"/>
    <w:rsid w:val="004C22BB"/>
    <w:rsid w:val="004C2963"/>
    <w:rsid w:val="004C2BD7"/>
    <w:rsid w:val="004C3239"/>
    <w:rsid w:val="004C3B30"/>
    <w:rsid w:val="004C4312"/>
    <w:rsid w:val="004C4B9D"/>
    <w:rsid w:val="004C4BA3"/>
    <w:rsid w:val="004C50A5"/>
    <w:rsid w:val="004C50DC"/>
    <w:rsid w:val="004C590E"/>
    <w:rsid w:val="004C604E"/>
    <w:rsid w:val="004C6498"/>
    <w:rsid w:val="004C697A"/>
    <w:rsid w:val="004C7407"/>
    <w:rsid w:val="004C798A"/>
    <w:rsid w:val="004D0C3A"/>
    <w:rsid w:val="004D1436"/>
    <w:rsid w:val="004D18DB"/>
    <w:rsid w:val="004D20EB"/>
    <w:rsid w:val="004D2238"/>
    <w:rsid w:val="004D279F"/>
    <w:rsid w:val="004D2B90"/>
    <w:rsid w:val="004D2BB0"/>
    <w:rsid w:val="004D2CA9"/>
    <w:rsid w:val="004D3BE5"/>
    <w:rsid w:val="004D3CDD"/>
    <w:rsid w:val="004D401D"/>
    <w:rsid w:val="004D4143"/>
    <w:rsid w:val="004D4171"/>
    <w:rsid w:val="004D4510"/>
    <w:rsid w:val="004D4BA9"/>
    <w:rsid w:val="004D5429"/>
    <w:rsid w:val="004D54A1"/>
    <w:rsid w:val="004D5804"/>
    <w:rsid w:val="004D5812"/>
    <w:rsid w:val="004D5822"/>
    <w:rsid w:val="004D5891"/>
    <w:rsid w:val="004D5A6A"/>
    <w:rsid w:val="004D5AD9"/>
    <w:rsid w:val="004D5EF1"/>
    <w:rsid w:val="004D640E"/>
    <w:rsid w:val="004D7425"/>
    <w:rsid w:val="004D752B"/>
    <w:rsid w:val="004D7AC2"/>
    <w:rsid w:val="004E02E3"/>
    <w:rsid w:val="004E0501"/>
    <w:rsid w:val="004E165A"/>
    <w:rsid w:val="004E183C"/>
    <w:rsid w:val="004E24A2"/>
    <w:rsid w:val="004E2BEE"/>
    <w:rsid w:val="004E3265"/>
    <w:rsid w:val="004E36F9"/>
    <w:rsid w:val="004E377C"/>
    <w:rsid w:val="004E3E04"/>
    <w:rsid w:val="004E4DE4"/>
    <w:rsid w:val="004E6842"/>
    <w:rsid w:val="004E6E53"/>
    <w:rsid w:val="004E6EA6"/>
    <w:rsid w:val="004E757D"/>
    <w:rsid w:val="004E779D"/>
    <w:rsid w:val="004E7B60"/>
    <w:rsid w:val="004E7E8F"/>
    <w:rsid w:val="004E7F3B"/>
    <w:rsid w:val="004F078E"/>
    <w:rsid w:val="004F09C2"/>
    <w:rsid w:val="004F1485"/>
    <w:rsid w:val="004F1BDB"/>
    <w:rsid w:val="004F1F16"/>
    <w:rsid w:val="004F24F7"/>
    <w:rsid w:val="004F34E7"/>
    <w:rsid w:val="004F3C21"/>
    <w:rsid w:val="004F3F0D"/>
    <w:rsid w:val="004F3F15"/>
    <w:rsid w:val="004F429F"/>
    <w:rsid w:val="004F463A"/>
    <w:rsid w:val="004F4688"/>
    <w:rsid w:val="004F48BC"/>
    <w:rsid w:val="004F4BD5"/>
    <w:rsid w:val="004F502C"/>
    <w:rsid w:val="004F5830"/>
    <w:rsid w:val="004F591D"/>
    <w:rsid w:val="004F5AEB"/>
    <w:rsid w:val="004F61E6"/>
    <w:rsid w:val="004F685B"/>
    <w:rsid w:val="004F691D"/>
    <w:rsid w:val="004F6965"/>
    <w:rsid w:val="004F6B8B"/>
    <w:rsid w:val="004F7002"/>
    <w:rsid w:val="004F738C"/>
    <w:rsid w:val="004F752D"/>
    <w:rsid w:val="004F7A3E"/>
    <w:rsid w:val="00500171"/>
    <w:rsid w:val="0050071B"/>
    <w:rsid w:val="00500BBD"/>
    <w:rsid w:val="005012D7"/>
    <w:rsid w:val="00502900"/>
    <w:rsid w:val="00502914"/>
    <w:rsid w:val="00502993"/>
    <w:rsid w:val="005031ED"/>
    <w:rsid w:val="00503FB3"/>
    <w:rsid w:val="005043C6"/>
    <w:rsid w:val="00504B1C"/>
    <w:rsid w:val="00505598"/>
    <w:rsid w:val="0050572C"/>
    <w:rsid w:val="00505E41"/>
    <w:rsid w:val="005064F1"/>
    <w:rsid w:val="005065FE"/>
    <w:rsid w:val="0050672C"/>
    <w:rsid w:val="00506AAA"/>
    <w:rsid w:val="00506B16"/>
    <w:rsid w:val="00506D46"/>
    <w:rsid w:val="0050783F"/>
    <w:rsid w:val="0051061F"/>
    <w:rsid w:val="00510AB1"/>
    <w:rsid w:val="00510BE7"/>
    <w:rsid w:val="0051209E"/>
    <w:rsid w:val="0051263B"/>
    <w:rsid w:val="00512697"/>
    <w:rsid w:val="005129F2"/>
    <w:rsid w:val="005136FA"/>
    <w:rsid w:val="00514AC5"/>
    <w:rsid w:val="00514C3C"/>
    <w:rsid w:val="005151EA"/>
    <w:rsid w:val="00515259"/>
    <w:rsid w:val="00515ED1"/>
    <w:rsid w:val="005165DC"/>
    <w:rsid w:val="00517049"/>
    <w:rsid w:val="0051747A"/>
    <w:rsid w:val="00517498"/>
    <w:rsid w:val="00517E36"/>
    <w:rsid w:val="00520358"/>
    <w:rsid w:val="00520408"/>
    <w:rsid w:val="0052082A"/>
    <w:rsid w:val="00520A20"/>
    <w:rsid w:val="00521D7F"/>
    <w:rsid w:val="00522963"/>
    <w:rsid w:val="00523A60"/>
    <w:rsid w:val="005243E7"/>
    <w:rsid w:val="005244D4"/>
    <w:rsid w:val="0052492F"/>
    <w:rsid w:val="00524A19"/>
    <w:rsid w:val="00524A3B"/>
    <w:rsid w:val="0052543B"/>
    <w:rsid w:val="00525B1C"/>
    <w:rsid w:val="005264E2"/>
    <w:rsid w:val="00526798"/>
    <w:rsid w:val="0052715B"/>
    <w:rsid w:val="00527553"/>
    <w:rsid w:val="00527FB5"/>
    <w:rsid w:val="005304E6"/>
    <w:rsid w:val="0053067C"/>
    <w:rsid w:val="00530734"/>
    <w:rsid w:val="005307EA"/>
    <w:rsid w:val="00530A66"/>
    <w:rsid w:val="00530BD9"/>
    <w:rsid w:val="005313EE"/>
    <w:rsid w:val="00531C1D"/>
    <w:rsid w:val="00533753"/>
    <w:rsid w:val="005337FF"/>
    <w:rsid w:val="0053471E"/>
    <w:rsid w:val="005349A0"/>
    <w:rsid w:val="00534CC7"/>
    <w:rsid w:val="005351AE"/>
    <w:rsid w:val="00535210"/>
    <w:rsid w:val="00535F44"/>
    <w:rsid w:val="00536677"/>
    <w:rsid w:val="005368AE"/>
    <w:rsid w:val="005368D1"/>
    <w:rsid w:val="00536B75"/>
    <w:rsid w:val="0053704F"/>
    <w:rsid w:val="0053749F"/>
    <w:rsid w:val="005375E2"/>
    <w:rsid w:val="00537819"/>
    <w:rsid w:val="00537868"/>
    <w:rsid w:val="00537B63"/>
    <w:rsid w:val="005421A4"/>
    <w:rsid w:val="005429C2"/>
    <w:rsid w:val="00542A7B"/>
    <w:rsid w:val="00543DB5"/>
    <w:rsid w:val="00544813"/>
    <w:rsid w:val="00544C78"/>
    <w:rsid w:val="00544CDC"/>
    <w:rsid w:val="005453A2"/>
    <w:rsid w:val="00545FC2"/>
    <w:rsid w:val="0054670F"/>
    <w:rsid w:val="00547113"/>
    <w:rsid w:val="0054765F"/>
    <w:rsid w:val="00547B5E"/>
    <w:rsid w:val="0055009A"/>
    <w:rsid w:val="0055109E"/>
    <w:rsid w:val="005514D9"/>
    <w:rsid w:val="00551DAE"/>
    <w:rsid w:val="00552937"/>
    <w:rsid w:val="00553028"/>
    <w:rsid w:val="00553B80"/>
    <w:rsid w:val="00553E3E"/>
    <w:rsid w:val="00553F08"/>
    <w:rsid w:val="00553F42"/>
    <w:rsid w:val="00554067"/>
    <w:rsid w:val="0055557B"/>
    <w:rsid w:val="005555E4"/>
    <w:rsid w:val="0055571B"/>
    <w:rsid w:val="00556CEA"/>
    <w:rsid w:val="00556CED"/>
    <w:rsid w:val="00557B51"/>
    <w:rsid w:val="00557FC2"/>
    <w:rsid w:val="005616C9"/>
    <w:rsid w:val="005617D5"/>
    <w:rsid w:val="00561ED0"/>
    <w:rsid w:val="0056247C"/>
    <w:rsid w:val="00562B00"/>
    <w:rsid w:val="00563095"/>
    <w:rsid w:val="005637A8"/>
    <w:rsid w:val="00563EB5"/>
    <w:rsid w:val="00564179"/>
    <w:rsid w:val="00564371"/>
    <w:rsid w:val="00564919"/>
    <w:rsid w:val="00564BFB"/>
    <w:rsid w:val="00565A64"/>
    <w:rsid w:val="00566EEC"/>
    <w:rsid w:val="0056726B"/>
    <w:rsid w:val="005672EB"/>
    <w:rsid w:val="005672F1"/>
    <w:rsid w:val="00567E94"/>
    <w:rsid w:val="00570530"/>
    <w:rsid w:val="00570FF8"/>
    <w:rsid w:val="00572802"/>
    <w:rsid w:val="00572906"/>
    <w:rsid w:val="00572BC6"/>
    <w:rsid w:val="00573527"/>
    <w:rsid w:val="00573538"/>
    <w:rsid w:val="0057371A"/>
    <w:rsid w:val="00573A1C"/>
    <w:rsid w:val="00574044"/>
    <w:rsid w:val="00574656"/>
    <w:rsid w:val="00574C61"/>
    <w:rsid w:val="0057508E"/>
    <w:rsid w:val="00575417"/>
    <w:rsid w:val="0057652C"/>
    <w:rsid w:val="00576938"/>
    <w:rsid w:val="00576FBA"/>
    <w:rsid w:val="00577DBB"/>
    <w:rsid w:val="00577F10"/>
    <w:rsid w:val="00580140"/>
    <w:rsid w:val="005806CD"/>
    <w:rsid w:val="00580CAF"/>
    <w:rsid w:val="00580D71"/>
    <w:rsid w:val="005814CB"/>
    <w:rsid w:val="00581806"/>
    <w:rsid w:val="00581B3F"/>
    <w:rsid w:val="00581D32"/>
    <w:rsid w:val="0058258A"/>
    <w:rsid w:val="005828F5"/>
    <w:rsid w:val="0058359F"/>
    <w:rsid w:val="00584F13"/>
    <w:rsid w:val="00585102"/>
    <w:rsid w:val="005852EE"/>
    <w:rsid w:val="00585E19"/>
    <w:rsid w:val="00585E5B"/>
    <w:rsid w:val="0058610C"/>
    <w:rsid w:val="005864A0"/>
    <w:rsid w:val="00586869"/>
    <w:rsid w:val="00586BBF"/>
    <w:rsid w:val="00586D8F"/>
    <w:rsid w:val="0058705E"/>
    <w:rsid w:val="005877EB"/>
    <w:rsid w:val="00587C9F"/>
    <w:rsid w:val="00590541"/>
    <w:rsid w:val="00590DC6"/>
    <w:rsid w:val="00591110"/>
    <w:rsid w:val="005920E6"/>
    <w:rsid w:val="00592704"/>
    <w:rsid w:val="00592C3A"/>
    <w:rsid w:val="00592F4D"/>
    <w:rsid w:val="00592FF7"/>
    <w:rsid w:val="0059365A"/>
    <w:rsid w:val="0059397A"/>
    <w:rsid w:val="00594361"/>
    <w:rsid w:val="0059446B"/>
    <w:rsid w:val="005949C6"/>
    <w:rsid w:val="00594C56"/>
    <w:rsid w:val="00594D5C"/>
    <w:rsid w:val="0059548B"/>
    <w:rsid w:val="00595887"/>
    <w:rsid w:val="0059592A"/>
    <w:rsid w:val="00597C77"/>
    <w:rsid w:val="005A046A"/>
    <w:rsid w:val="005A047F"/>
    <w:rsid w:val="005A1652"/>
    <w:rsid w:val="005A1C73"/>
    <w:rsid w:val="005A1D08"/>
    <w:rsid w:val="005A217F"/>
    <w:rsid w:val="005A2852"/>
    <w:rsid w:val="005A2898"/>
    <w:rsid w:val="005A2E0F"/>
    <w:rsid w:val="005A340F"/>
    <w:rsid w:val="005A345B"/>
    <w:rsid w:val="005A410A"/>
    <w:rsid w:val="005A4801"/>
    <w:rsid w:val="005A4CEC"/>
    <w:rsid w:val="005A53F5"/>
    <w:rsid w:val="005A5F4F"/>
    <w:rsid w:val="005A5F93"/>
    <w:rsid w:val="005A6A7A"/>
    <w:rsid w:val="005B0C3C"/>
    <w:rsid w:val="005B1775"/>
    <w:rsid w:val="005B1C57"/>
    <w:rsid w:val="005B23E7"/>
    <w:rsid w:val="005B2A7A"/>
    <w:rsid w:val="005B2FC2"/>
    <w:rsid w:val="005B3CC7"/>
    <w:rsid w:val="005B4913"/>
    <w:rsid w:val="005B50DA"/>
    <w:rsid w:val="005B53BD"/>
    <w:rsid w:val="005B550E"/>
    <w:rsid w:val="005B58FF"/>
    <w:rsid w:val="005B5ACC"/>
    <w:rsid w:val="005B5DE1"/>
    <w:rsid w:val="005B665C"/>
    <w:rsid w:val="005C009F"/>
    <w:rsid w:val="005C00C2"/>
    <w:rsid w:val="005C0423"/>
    <w:rsid w:val="005C08B7"/>
    <w:rsid w:val="005C0D7E"/>
    <w:rsid w:val="005C1028"/>
    <w:rsid w:val="005C1C72"/>
    <w:rsid w:val="005C20B0"/>
    <w:rsid w:val="005C251E"/>
    <w:rsid w:val="005C2EF2"/>
    <w:rsid w:val="005C3CC8"/>
    <w:rsid w:val="005C3DD4"/>
    <w:rsid w:val="005C49BA"/>
    <w:rsid w:val="005C4A58"/>
    <w:rsid w:val="005C5E20"/>
    <w:rsid w:val="005C5EF4"/>
    <w:rsid w:val="005C6C70"/>
    <w:rsid w:val="005C6D9E"/>
    <w:rsid w:val="005C7698"/>
    <w:rsid w:val="005C793C"/>
    <w:rsid w:val="005C7B9A"/>
    <w:rsid w:val="005D004D"/>
    <w:rsid w:val="005D01B3"/>
    <w:rsid w:val="005D0C30"/>
    <w:rsid w:val="005D0DB7"/>
    <w:rsid w:val="005D1CDB"/>
    <w:rsid w:val="005D2056"/>
    <w:rsid w:val="005D2A12"/>
    <w:rsid w:val="005D32A5"/>
    <w:rsid w:val="005D3B08"/>
    <w:rsid w:val="005D3F54"/>
    <w:rsid w:val="005D45B6"/>
    <w:rsid w:val="005D465B"/>
    <w:rsid w:val="005D47B3"/>
    <w:rsid w:val="005D4D86"/>
    <w:rsid w:val="005D7768"/>
    <w:rsid w:val="005D797E"/>
    <w:rsid w:val="005D7F9A"/>
    <w:rsid w:val="005E0302"/>
    <w:rsid w:val="005E08AD"/>
    <w:rsid w:val="005E093F"/>
    <w:rsid w:val="005E098C"/>
    <w:rsid w:val="005E0C20"/>
    <w:rsid w:val="005E0D3C"/>
    <w:rsid w:val="005E107A"/>
    <w:rsid w:val="005E11FE"/>
    <w:rsid w:val="005E2184"/>
    <w:rsid w:val="005E334F"/>
    <w:rsid w:val="005E3790"/>
    <w:rsid w:val="005E3B8F"/>
    <w:rsid w:val="005E4042"/>
    <w:rsid w:val="005E49DC"/>
    <w:rsid w:val="005E4FE3"/>
    <w:rsid w:val="005E5ADD"/>
    <w:rsid w:val="005E5B9F"/>
    <w:rsid w:val="005E6092"/>
    <w:rsid w:val="005E61B8"/>
    <w:rsid w:val="005E669C"/>
    <w:rsid w:val="005E6821"/>
    <w:rsid w:val="005E6879"/>
    <w:rsid w:val="005E69D7"/>
    <w:rsid w:val="005E7100"/>
    <w:rsid w:val="005E7604"/>
    <w:rsid w:val="005E7D9C"/>
    <w:rsid w:val="005F05DF"/>
    <w:rsid w:val="005F05F1"/>
    <w:rsid w:val="005F0BEF"/>
    <w:rsid w:val="005F123C"/>
    <w:rsid w:val="005F12C9"/>
    <w:rsid w:val="005F1B3B"/>
    <w:rsid w:val="005F1BAA"/>
    <w:rsid w:val="005F233C"/>
    <w:rsid w:val="005F2738"/>
    <w:rsid w:val="005F2DCD"/>
    <w:rsid w:val="005F33AD"/>
    <w:rsid w:val="005F349E"/>
    <w:rsid w:val="005F355A"/>
    <w:rsid w:val="005F3663"/>
    <w:rsid w:val="005F3726"/>
    <w:rsid w:val="005F3B55"/>
    <w:rsid w:val="005F3D56"/>
    <w:rsid w:val="005F4157"/>
    <w:rsid w:val="005F4677"/>
    <w:rsid w:val="005F4B8F"/>
    <w:rsid w:val="005F4C5A"/>
    <w:rsid w:val="005F53CA"/>
    <w:rsid w:val="005F5DD0"/>
    <w:rsid w:val="005F6171"/>
    <w:rsid w:val="005F65EA"/>
    <w:rsid w:val="005F7153"/>
    <w:rsid w:val="005F716D"/>
    <w:rsid w:val="005F7283"/>
    <w:rsid w:val="005F744B"/>
    <w:rsid w:val="005F74D9"/>
    <w:rsid w:val="005F751C"/>
    <w:rsid w:val="005F7618"/>
    <w:rsid w:val="005F7B00"/>
    <w:rsid w:val="005F7CDF"/>
    <w:rsid w:val="005F7D31"/>
    <w:rsid w:val="0060006A"/>
    <w:rsid w:val="006002A7"/>
    <w:rsid w:val="00600361"/>
    <w:rsid w:val="006003AF"/>
    <w:rsid w:val="0060052F"/>
    <w:rsid w:val="006005EA"/>
    <w:rsid w:val="00600E0E"/>
    <w:rsid w:val="00601BBD"/>
    <w:rsid w:val="0060257C"/>
    <w:rsid w:val="006029FB"/>
    <w:rsid w:val="00603382"/>
    <w:rsid w:val="00603568"/>
    <w:rsid w:val="006035FA"/>
    <w:rsid w:val="00603F48"/>
    <w:rsid w:val="00604747"/>
    <w:rsid w:val="00604FD0"/>
    <w:rsid w:val="00605499"/>
    <w:rsid w:val="006066F3"/>
    <w:rsid w:val="00606F6C"/>
    <w:rsid w:val="00607AC6"/>
    <w:rsid w:val="00607E57"/>
    <w:rsid w:val="00610147"/>
    <w:rsid w:val="006106D3"/>
    <w:rsid w:val="0061092B"/>
    <w:rsid w:val="00611703"/>
    <w:rsid w:val="00612CDE"/>
    <w:rsid w:val="0061342A"/>
    <w:rsid w:val="00613FF5"/>
    <w:rsid w:val="00614695"/>
    <w:rsid w:val="00614AB9"/>
    <w:rsid w:val="00614D1A"/>
    <w:rsid w:val="006156E1"/>
    <w:rsid w:val="00615B30"/>
    <w:rsid w:val="00615DD4"/>
    <w:rsid w:val="006164A8"/>
    <w:rsid w:val="006167E9"/>
    <w:rsid w:val="0061725C"/>
    <w:rsid w:val="006177CC"/>
    <w:rsid w:val="00617A64"/>
    <w:rsid w:val="00617AE3"/>
    <w:rsid w:val="00617F11"/>
    <w:rsid w:val="00617F43"/>
    <w:rsid w:val="00617F48"/>
    <w:rsid w:val="00621509"/>
    <w:rsid w:val="006218E6"/>
    <w:rsid w:val="006225B7"/>
    <w:rsid w:val="00622B32"/>
    <w:rsid w:val="006231FE"/>
    <w:rsid w:val="00623D59"/>
    <w:rsid w:val="00623E72"/>
    <w:rsid w:val="0062454C"/>
    <w:rsid w:val="006249F2"/>
    <w:rsid w:val="00624DD3"/>
    <w:rsid w:val="00624E96"/>
    <w:rsid w:val="00624F07"/>
    <w:rsid w:val="00625054"/>
    <w:rsid w:val="00625149"/>
    <w:rsid w:val="00625242"/>
    <w:rsid w:val="006258D2"/>
    <w:rsid w:val="00625B8A"/>
    <w:rsid w:val="0062613D"/>
    <w:rsid w:val="006263E7"/>
    <w:rsid w:val="0062650E"/>
    <w:rsid w:val="006265A4"/>
    <w:rsid w:val="00626B3D"/>
    <w:rsid w:val="00626F33"/>
    <w:rsid w:val="00627485"/>
    <w:rsid w:val="00630447"/>
    <w:rsid w:val="006305D8"/>
    <w:rsid w:val="0063092E"/>
    <w:rsid w:val="00630A33"/>
    <w:rsid w:val="00630A61"/>
    <w:rsid w:val="00630F76"/>
    <w:rsid w:val="00631BD2"/>
    <w:rsid w:val="0063213E"/>
    <w:rsid w:val="00632218"/>
    <w:rsid w:val="0063254E"/>
    <w:rsid w:val="006327EB"/>
    <w:rsid w:val="00632A0F"/>
    <w:rsid w:val="00632E3A"/>
    <w:rsid w:val="00632FB5"/>
    <w:rsid w:val="0063343E"/>
    <w:rsid w:val="0063351B"/>
    <w:rsid w:val="00633C8A"/>
    <w:rsid w:val="00633F0A"/>
    <w:rsid w:val="00633F2F"/>
    <w:rsid w:val="00634E3D"/>
    <w:rsid w:val="006350CA"/>
    <w:rsid w:val="006358B4"/>
    <w:rsid w:val="00635FFC"/>
    <w:rsid w:val="00636352"/>
    <w:rsid w:val="00636481"/>
    <w:rsid w:val="0063652C"/>
    <w:rsid w:val="00636691"/>
    <w:rsid w:val="0063754C"/>
    <w:rsid w:val="006378B5"/>
    <w:rsid w:val="0064030B"/>
    <w:rsid w:val="0064032D"/>
    <w:rsid w:val="00640A8E"/>
    <w:rsid w:val="00640BEC"/>
    <w:rsid w:val="00641BA6"/>
    <w:rsid w:val="00641C80"/>
    <w:rsid w:val="00642790"/>
    <w:rsid w:val="0064286D"/>
    <w:rsid w:val="006430D4"/>
    <w:rsid w:val="006431A8"/>
    <w:rsid w:val="006437E9"/>
    <w:rsid w:val="006439E7"/>
    <w:rsid w:val="00643EC6"/>
    <w:rsid w:val="0064424A"/>
    <w:rsid w:val="0064480E"/>
    <w:rsid w:val="006452E7"/>
    <w:rsid w:val="0064580F"/>
    <w:rsid w:val="0064596A"/>
    <w:rsid w:val="00645AEC"/>
    <w:rsid w:val="00645DCB"/>
    <w:rsid w:val="00646114"/>
    <w:rsid w:val="006461DE"/>
    <w:rsid w:val="00646882"/>
    <w:rsid w:val="00647015"/>
    <w:rsid w:val="0064724E"/>
    <w:rsid w:val="00647840"/>
    <w:rsid w:val="00647DE2"/>
    <w:rsid w:val="00650A55"/>
    <w:rsid w:val="0065124D"/>
    <w:rsid w:val="00651580"/>
    <w:rsid w:val="006516C5"/>
    <w:rsid w:val="0065194A"/>
    <w:rsid w:val="0065221A"/>
    <w:rsid w:val="00652C89"/>
    <w:rsid w:val="0065422C"/>
    <w:rsid w:val="006543BD"/>
    <w:rsid w:val="00654649"/>
    <w:rsid w:val="006547EC"/>
    <w:rsid w:val="00654BC2"/>
    <w:rsid w:val="0065555D"/>
    <w:rsid w:val="00655C0C"/>
    <w:rsid w:val="00655C3A"/>
    <w:rsid w:val="00656AF9"/>
    <w:rsid w:val="00656B43"/>
    <w:rsid w:val="006571D2"/>
    <w:rsid w:val="0066004C"/>
    <w:rsid w:val="006603C4"/>
    <w:rsid w:val="00660F82"/>
    <w:rsid w:val="00661B2E"/>
    <w:rsid w:val="00661B99"/>
    <w:rsid w:val="00661EF2"/>
    <w:rsid w:val="006624DA"/>
    <w:rsid w:val="00662645"/>
    <w:rsid w:val="00662796"/>
    <w:rsid w:val="00662859"/>
    <w:rsid w:val="00663497"/>
    <w:rsid w:val="006637BC"/>
    <w:rsid w:val="00663950"/>
    <w:rsid w:val="006641B6"/>
    <w:rsid w:val="006647C3"/>
    <w:rsid w:val="00665DC6"/>
    <w:rsid w:val="00666301"/>
    <w:rsid w:val="00666DF8"/>
    <w:rsid w:val="006672A7"/>
    <w:rsid w:val="00667607"/>
    <w:rsid w:val="00667854"/>
    <w:rsid w:val="00667FC5"/>
    <w:rsid w:val="006708FD"/>
    <w:rsid w:val="0067090F"/>
    <w:rsid w:val="00670B1A"/>
    <w:rsid w:val="006710F7"/>
    <w:rsid w:val="0067121C"/>
    <w:rsid w:val="00671979"/>
    <w:rsid w:val="00671AE3"/>
    <w:rsid w:val="0067210B"/>
    <w:rsid w:val="006724A8"/>
    <w:rsid w:val="00672827"/>
    <w:rsid w:val="006728C4"/>
    <w:rsid w:val="00672D2C"/>
    <w:rsid w:val="006731A9"/>
    <w:rsid w:val="0067364D"/>
    <w:rsid w:val="0067375C"/>
    <w:rsid w:val="00673779"/>
    <w:rsid w:val="00673BC8"/>
    <w:rsid w:val="006751AD"/>
    <w:rsid w:val="0067547C"/>
    <w:rsid w:val="006756F1"/>
    <w:rsid w:val="00675BDC"/>
    <w:rsid w:val="00680769"/>
    <w:rsid w:val="00680771"/>
    <w:rsid w:val="00680FF0"/>
    <w:rsid w:val="006818A8"/>
    <w:rsid w:val="00682710"/>
    <w:rsid w:val="006835F7"/>
    <w:rsid w:val="00683D80"/>
    <w:rsid w:val="00683E95"/>
    <w:rsid w:val="00684A20"/>
    <w:rsid w:val="00684BE5"/>
    <w:rsid w:val="00685946"/>
    <w:rsid w:val="00685992"/>
    <w:rsid w:val="00685EA4"/>
    <w:rsid w:val="006866B1"/>
    <w:rsid w:val="00686CDD"/>
    <w:rsid w:val="00686F1B"/>
    <w:rsid w:val="00687775"/>
    <w:rsid w:val="00687FAC"/>
    <w:rsid w:val="00690653"/>
    <w:rsid w:val="00690EF1"/>
    <w:rsid w:val="0069157B"/>
    <w:rsid w:val="00692858"/>
    <w:rsid w:val="006932EC"/>
    <w:rsid w:val="00693497"/>
    <w:rsid w:val="00693A47"/>
    <w:rsid w:val="00693CBF"/>
    <w:rsid w:val="00694548"/>
    <w:rsid w:val="00694BE3"/>
    <w:rsid w:val="006957CF"/>
    <w:rsid w:val="00695B98"/>
    <w:rsid w:val="00695C17"/>
    <w:rsid w:val="00696348"/>
    <w:rsid w:val="006964AD"/>
    <w:rsid w:val="00696E0F"/>
    <w:rsid w:val="00696FA9"/>
    <w:rsid w:val="0069717A"/>
    <w:rsid w:val="006973AA"/>
    <w:rsid w:val="00697794"/>
    <w:rsid w:val="0069779D"/>
    <w:rsid w:val="006A1164"/>
    <w:rsid w:val="006A1CC1"/>
    <w:rsid w:val="006A2E82"/>
    <w:rsid w:val="006A3136"/>
    <w:rsid w:val="006A3606"/>
    <w:rsid w:val="006A4007"/>
    <w:rsid w:val="006A4574"/>
    <w:rsid w:val="006A5598"/>
    <w:rsid w:val="006A58A2"/>
    <w:rsid w:val="006A652F"/>
    <w:rsid w:val="006A69C2"/>
    <w:rsid w:val="006A6A7F"/>
    <w:rsid w:val="006A6BF5"/>
    <w:rsid w:val="006B03F6"/>
    <w:rsid w:val="006B03F7"/>
    <w:rsid w:val="006B0843"/>
    <w:rsid w:val="006B0F1C"/>
    <w:rsid w:val="006B124E"/>
    <w:rsid w:val="006B1A92"/>
    <w:rsid w:val="006B1A9F"/>
    <w:rsid w:val="006B223D"/>
    <w:rsid w:val="006B226E"/>
    <w:rsid w:val="006B227B"/>
    <w:rsid w:val="006B27DA"/>
    <w:rsid w:val="006B2D53"/>
    <w:rsid w:val="006B3326"/>
    <w:rsid w:val="006B378D"/>
    <w:rsid w:val="006B3B7C"/>
    <w:rsid w:val="006B3C6D"/>
    <w:rsid w:val="006B3E91"/>
    <w:rsid w:val="006B4568"/>
    <w:rsid w:val="006B4621"/>
    <w:rsid w:val="006B4640"/>
    <w:rsid w:val="006B46C5"/>
    <w:rsid w:val="006B50F1"/>
    <w:rsid w:val="006B5C17"/>
    <w:rsid w:val="006B5DB8"/>
    <w:rsid w:val="006B601C"/>
    <w:rsid w:val="006B60E6"/>
    <w:rsid w:val="006B6637"/>
    <w:rsid w:val="006B766E"/>
    <w:rsid w:val="006B7B28"/>
    <w:rsid w:val="006C11AF"/>
    <w:rsid w:val="006C12E3"/>
    <w:rsid w:val="006C1561"/>
    <w:rsid w:val="006C1692"/>
    <w:rsid w:val="006C1F52"/>
    <w:rsid w:val="006C27F6"/>
    <w:rsid w:val="006C2EE8"/>
    <w:rsid w:val="006C3184"/>
    <w:rsid w:val="006C357D"/>
    <w:rsid w:val="006C3F3B"/>
    <w:rsid w:val="006C3FEC"/>
    <w:rsid w:val="006C43C9"/>
    <w:rsid w:val="006C4B5D"/>
    <w:rsid w:val="006C4C36"/>
    <w:rsid w:val="006C5D6E"/>
    <w:rsid w:val="006C6073"/>
    <w:rsid w:val="006C6734"/>
    <w:rsid w:val="006C680D"/>
    <w:rsid w:val="006C6CF7"/>
    <w:rsid w:val="006C7505"/>
    <w:rsid w:val="006C7A73"/>
    <w:rsid w:val="006C7BDF"/>
    <w:rsid w:val="006D09C9"/>
    <w:rsid w:val="006D0A08"/>
    <w:rsid w:val="006D187F"/>
    <w:rsid w:val="006D198E"/>
    <w:rsid w:val="006D1D56"/>
    <w:rsid w:val="006D1ECA"/>
    <w:rsid w:val="006D1F5D"/>
    <w:rsid w:val="006D23ED"/>
    <w:rsid w:val="006D2468"/>
    <w:rsid w:val="006D299C"/>
    <w:rsid w:val="006D33A5"/>
    <w:rsid w:val="006D3CE0"/>
    <w:rsid w:val="006D3E6C"/>
    <w:rsid w:val="006D43FC"/>
    <w:rsid w:val="006D44D2"/>
    <w:rsid w:val="006D481D"/>
    <w:rsid w:val="006D4BC0"/>
    <w:rsid w:val="006D5073"/>
    <w:rsid w:val="006D58DB"/>
    <w:rsid w:val="006D5AFD"/>
    <w:rsid w:val="006D5E59"/>
    <w:rsid w:val="006D6248"/>
    <w:rsid w:val="006D66F2"/>
    <w:rsid w:val="006D6A60"/>
    <w:rsid w:val="006D715B"/>
    <w:rsid w:val="006D784E"/>
    <w:rsid w:val="006D7B94"/>
    <w:rsid w:val="006E0234"/>
    <w:rsid w:val="006E025C"/>
    <w:rsid w:val="006E028E"/>
    <w:rsid w:val="006E0C8B"/>
    <w:rsid w:val="006E1917"/>
    <w:rsid w:val="006E2094"/>
    <w:rsid w:val="006E2726"/>
    <w:rsid w:val="006E29EA"/>
    <w:rsid w:val="006E3533"/>
    <w:rsid w:val="006E3729"/>
    <w:rsid w:val="006E3B2F"/>
    <w:rsid w:val="006E4691"/>
    <w:rsid w:val="006E49F3"/>
    <w:rsid w:val="006E4AF7"/>
    <w:rsid w:val="006E4C95"/>
    <w:rsid w:val="006E4FEC"/>
    <w:rsid w:val="006E5316"/>
    <w:rsid w:val="006E53F3"/>
    <w:rsid w:val="006E5687"/>
    <w:rsid w:val="006E5B44"/>
    <w:rsid w:val="006E6365"/>
    <w:rsid w:val="006E6A1C"/>
    <w:rsid w:val="006E6C1D"/>
    <w:rsid w:val="006E6D40"/>
    <w:rsid w:val="006E6FBE"/>
    <w:rsid w:val="006E7103"/>
    <w:rsid w:val="006E7EA9"/>
    <w:rsid w:val="006F0047"/>
    <w:rsid w:val="006F00C8"/>
    <w:rsid w:val="006F0888"/>
    <w:rsid w:val="006F19D6"/>
    <w:rsid w:val="006F20AD"/>
    <w:rsid w:val="006F2743"/>
    <w:rsid w:val="006F32B2"/>
    <w:rsid w:val="006F3A71"/>
    <w:rsid w:val="006F466C"/>
    <w:rsid w:val="006F467E"/>
    <w:rsid w:val="006F4815"/>
    <w:rsid w:val="006F61CD"/>
    <w:rsid w:val="006F6B37"/>
    <w:rsid w:val="006F6CEB"/>
    <w:rsid w:val="006F6E1F"/>
    <w:rsid w:val="006F6FA8"/>
    <w:rsid w:val="006F75ED"/>
    <w:rsid w:val="006F7AC1"/>
    <w:rsid w:val="006F7BFB"/>
    <w:rsid w:val="00700379"/>
    <w:rsid w:val="00700A73"/>
    <w:rsid w:val="007011E0"/>
    <w:rsid w:val="00701535"/>
    <w:rsid w:val="00701584"/>
    <w:rsid w:val="00702101"/>
    <w:rsid w:val="007028AC"/>
    <w:rsid w:val="007031FE"/>
    <w:rsid w:val="007036D3"/>
    <w:rsid w:val="00703BBC"/>
    <w:rsid w:val="00703D73"/>
    <w:rsid w:val="00703DC4"/>
    <w:rsid w:val="007041B8"/>
    <w:rsid w:val="007045B5"/>
    <w:rsid w:val="0070504F"/>
    <w:rsid w:val="00705502"/>
    <w:rsid w:val="00705AF8"/>
    <w:rsid w:val="00705D1A"/>
    <w:rsid w:val="00705DA7"/>
    <w:rsid w:val="00706008"/>
    <w:rsid w:val="00706921"/>
    <w:rsid w:val="00706C8A"/>
    <w:rsid w:val="00707A50"/>
    <w:rsid w:val="00707D02"/>
    <w:rsid w:val="00710E7B"/>
    <w:rsid w:val="00711891"/>
    <w:rsid w:val="007118F6"/>
    <w:rsid w:val="00711905"/>
    <w:rsid w:val="00713160"/>
    <w:rsid w:val="0071323B"/>
    <w:rsid w:val="007134E5"/>
    <w:rsid w:val="00713B68"/>
    <w:rsid w:val="00713B9A"/>
    <w:rsid w:val="00714A8C"/>
    <w:rsid w:val="00714BFC"/>
    <w:rsid w:val="00714C4A"/>
    <w:rsid w:val="00715163"/>
    <w:rsid w:val="007157F0"/>
    <w:rsid w:val="00715AF7"/>
    <w:rsid w:val="007164D2"/>
    <w:rsid w:val="007165DC"/>
    <w:rsid w:val="0071680F"/>
    <w:rsid w:val="00716B22"/>
    <w:rsid w:val="00716BB5"/>
    <w:rsid w:val="007178DA"/>
    <w:rsid w:val="00717CA0"/>
    <w:rsid w:val="00717F6F"/>
    <w:rsid w:val="007201D0"/>
    <w:rsid w:val="00720573"/>
    <w:rsid w:val="00720C86"/>
    <w:rsid w:val="0072144C"/>
    <w:rsid w:val="007223F2"/>
    <w:rsid w:val="00722C7B"/>
    <w:rsid w:val="00723EAC"/>
    <w:rsid w:val="007242E1"/>
    <w:rsid w:val="00724404"/>
    <w:rsid w:val="00725A12"/>
    <w:rsid w:val="00725E34"/>
    <w:rsid w:val="0072697C"/>
    <w:rsid w:val="00726A5E"/>
    <w:rsid w:val="0072717E"/>
    <w:rsid w:val="00727841"/>
    <w:rsid w:val="00727DA1"/>
    <w:rsid w:val="00727E1D"/>
    <w:rsid w:val="007304DE"/>
    <w:rsid w:val="007314B0"/>
    <w:rsid w:val="007317B3"/>
    <w:rsid w:val="007318DD"/>
    <w:rsid w:val="00731AA1"/>
    <w:rsid w:val="0073207B"/>
    <w:rsid w:val="00732789"/>
    <w:rsid w:val="00732F64"/>
    <w:rsid w:val="00733C46"/>
    <w:rsid w:val="00734067"/>
    <w:rsid w:val="00734115"/>
    <w:rsid w:val="00734AC3"/>
    <w:rsid w:val="00734FD6"/>
    <w:rsid w:val="0073537E"/>
    <w:rsid w:val="00735583"/>
    <w:rsid w:val="00735D9C"/>
    <w:rsid w:val="0073605C"/>
    <w:rsid w:val="00736259"/>
    <w:rsid w:val="00740CD2"/>
    <w:rsid w:val="007414DC"/>
    <w:rsid w:val="007417C1"/>
    <w:rsid w:val="0074211C"/>
    <w:rsid w:val="007425A5"/>
    <w:rsid w:val="00742D06"/>
    <w:rsid w:val="00742DD4"/>
    <w:rsid w:val="00742DE7"/>
    <w:rsid w:val="00743EE3"/>
    <w:rsid w:val="0074448F"/>
    <w:rsid w:val="00744BE2"/>
    <w:rsid w:val="00744EAB"/>
    <w:rsid w:val="00745C57"/>
    <w:rsid w:val="00745EBE"/>
    <w:rsid w:val="00746FC6"/>
    <w:rsid w:val="007477C5"/>
    <w:rsid w:val="0075004E"/>
    <w:rsid w:val="00750404"/>
    <w:rsid w:val="00750DB7"/>
    <w:rsid w:val="00750F39"/>
    <w:rsid w:val="00751C88"/>
    <w:rsid w:val="00751F67"/>
    <w:rsid w:val="007525BB"/>
    <w:rsid w:val="00752983"/>
    <w:rsid w:val="00754922"/>
    <w:rsid w:val="00754DDF"/>
    <w:rsid w:val="00755830"/>
    <w:rsid w:val="00756226"/>
    <w:rsid w:val="007562A0"/>
    <w:rsid w:val="0075644E"/>
    <w:rsid w:val="00756579"/>
    <w:rsid w:val="00756788"/>
    <w:rsid w:val="0075681F"/>
    <w:rsid w:val="007568C3"/>
    <w:rsid w:val="00756CA5"/>
    <w:rsid w:val="00756E8B"/>
    <w:rsid w:val="0075745B"/>
    <w:rsid w:val="00757D75"/>
    <w:rsid w:val="00757DE9"/>
    <w:rsid w:val="00757F8C"/>
    <w:rsid w:val="007600B0"/>
    <w:rsid w:val="007603BA"/>
    <w:rsid w:val="007608A6"/>
    <w:rsid w:val="00761056"/>
    <w:rsid w:val="00761715"/>
    <w:rsid w:val="00761AAD"/>
    <w:rsid w:val="00761F94"/>
    <w:rsid w:val="007626B0"/>
    <w:rsid w:val="0076349B"/>
    <w:rsid w:val="00764737"/>
    <w:rsid w:val="00764745"/>
    <w:rsid w:val="00764756"/>
    <w:rsid w:val="0076499B"/>
    <w:rsid w:val="00764D7B"/>
    <w:rsid w:val="00764DF1"/>
    <w:rsid w:val="00765547"/>
    <w:rsid w:val="0076579B"/>
    <w:rsid w:val="00766757"/>
    <w:rsid w:val="00767037"/>
    <w:rsid w:val="00767303"/>
    <w:rsid w:val="007673BF"/>
    <w:rsid w:val="007676A0"/>
    <w:rsid w:val="0076776F"/>
    <w:rsid w:val="00767A18"/>
    <w:rsid w:val="00767AE8"/>
    <w:rsid w:val="00770004"/>
    <w:rsid w:val="0077082C"/>
    <w:rsid w:val="00771861"/>
    <w:rsid w:val="00771C8F"/>
    <w:rsid w:val="007722EB"/>
    <w:rsid w:val="00772C49"/>
    <w:rsid w:val="00772D42"/>
    <w:rsid w:val="00772D54"/>
    <w:rsid w:val="00772FBA"/>
    <w:rsid w:val="007736F1"/>
    <w:rsid w:val="00773805"/>
    <w:rsid w:val="007746F3"/>
    <w:rsid w:val="00774B40"/>
    <w:rsid w:val="00774CBF"/>
    <w:rsid w:val="00774D9D"/>
    <w:rsid w:val="00774DCC"/>
    <w:rsid w:val="00775410"/>
    <w:rsid w:val="0077559D"/>
    <w:rsid w:val="00775FB4"/>
    <w:rsid w:val="0077602E"/>
    <w:rsid w:val="00776073"/>
    <w:rsid w:val="00776080"/>
    <w:rsid w:val="00776B06"/>
    <w:rsid w:val="00776B8B"/>
    <w:rsid w:val="00776E5D"/>
    <w:rsid w:val="007770AD"/>
    <w:rsid w:val="0077773C"/>
    <w:rsid w:val="007778C7"/>
    <w:rsid w:val="00777AE8"/>
    <w:rsid w:val="00780A3E"/>
    <w:rsid w:val="00780F91"/>
    <w:rsid w:val="00782571"/>
    <w:rsid w:val="00782E23"/>
    <w:rsid w:val="00783150"/>
    <w:rsid w:val="007835CC"/>
    <w:rsid w:val="00783768"/>
    <w:rsid w:val="00783D72"/>
    <w:rsid w:val="00783F2A"/>
    <w:rsid w:val="00784359"/>
    <w:rsid w:val="00784D85"/>
    <w:rsid w:val="0078520C"/>
    <w:rsid w:val="00785A7C"/>
    <w:rsid w:val="007868D3"/>
    <w:rsid w:val="007869DB"/>
    <w:rsid w:val="0078734C"/>
    <w:rsid w:val="007876A6"/>
    <w:rsid w:val="00787A80"/>
    <w:rsid w:val="00790EE5"/>
    <w:rsid w:val="0079119B"/>
    <w:rsid w:val="00791535"/>
    <w:rsid w:val="00791729"/>
    <w:rsid w:val="00791AA0"/>
    <w:rsid w:val="00791F79"/>
    <w:rsid w:val="00792276"/>
    <w:rsid w:val="0079252B"/>
    <w:rsid w:val="00793027"/>
    <w:rsid w:val="00793243"/>
    <w:rsid w:val="007933EF"/>
    <w:rsid w:val="00793779"/>
    <w:rsid w:val="00793E69"/>
    <w:rsid w:val="00793EB6"/>
    <w:rsid w:val="0079431D"/>
    <w:rsid w:val="007943EF"/>
    <w:rsid w:val="00794D1A"/>
    <w:rsid w:val="007955A5"/>
    <w:rsid w:val="0079594C"/>
    <w:rsid w:val="00795E7B"/>
    <w:rsid w:val="0079626A"/>
    <w:rsid w:val="00796DF7"/>
    <w:rsid w:val="00797987"/>
    <w:rsid w:val="00797C1F"/>
    <w:rsid w:val="007A009A"/>
    <w:rsid w:val="007A08BB"/>
    <w:rsid w:val="007A1103"/>
    <w:rsid w:val="007A13EF"/>
    <w:rsid w:val="007A236C"/>
    <w:rsid w:val="007A3036"/>
    <w:rsid w:val="007A323C"/>
    <w:rsid w:val="007A3251"/>
    <w:rsid w:val="007A357A"/>
    <w:rsid w:val="007A39B9"/>
    <w:rsid w:val="007A5336"/>
    <w:rsid w:val="007A5619"/>
    <w:rsid w:val="007A56C3"/>
    <w:rsid w:val="007A58DD"/>
    <w:rsid w:val="007A5B4C"/>
    <w:rsid w:val="007A6682"/>
    <w:rsid w:val="007A687B"/>
    <w:rsid w:val="007A6B33"/>
    <w:rsid w:val="007A7802"/>
    <w:rsid w:val="007A7DE1"/>
    <w:rsid w:val="007B010F"/>
    <w:rsid w:val="007B037D"/>
    <w:rsid w:val="007B192E"/>
    <w:rsid w:val="007B1C22"/>
    <w:rsid w:val="007B20E0"/>
    <w:rsid w:val="007B2C29"/>
    <w:rsid w:val="007B2D7D"/>
    <w:rsid w:val="007B2F03"/>
    <w:rsid w:val="007B302A"/>
    <w:rsid w:val="007B3786"/>
    <w:rsid w:val="007B3EA5"/>
    <w:rsid w:val="007B44FA"/>
    <w:rsid w:val="007B4894"/>
    <w:rsid w:val="007B4C48"/>
    <w:rsid w:val="007B5102"/>
    <w:rsid w:val="007B53AB"/>
    <w:rsid w:val="007B5FEB"/>
    <w:rsid w:val="007B6099"/>
    <w:rsid w:val="007B6D46"/>
    <w:rsid w:val="007B72AC"/>
    <w:rsid w:val="007B75DE"/>
    <w:rsid w:val="007B78C8"/>
    <w:rsid w:val="007B7DB6"/>
    <w:rsid w:val="007C04BD"/>
    <w:rsid w:val="007C095E"/>
    <w:rsid w:val="007C0FED"/>
    <w:rsid w:val="007C181F"/>
    <w:rsid w:val="007C21E8"/>
    <w:rsid w:val="007C2D1F"/>
    <w:rsid w:val="007C3413"/>
    <w:rsid w:val="007C35B3"/>
    <w:rsid w:val="007C37AA"/>
    <w:rsid w:val="007C41F7"/>
    <w:rsid w:val="007C4D11"/>
    <w:rsid w:val="007C4E0A"/>
    <w:rsid w:val="007C696B"/>
    <w:rsid w:val="007C7289"/>
    <w:rsid w:val="007C7548"/>
    <w:rsid w:val="007D0AE6"/>
    <w:rsid w:val="007D0F2B"/>
    <w:rsid w:val="007D0FD7"/>
    <w:rsid w:val="007D120F"/>
    <w:rsid w:val="007D1A7A"/>
    <w:rsid w:val="007D2366"/>
    <w:rsid w:val="007D28A4"/>
    <w:rsid w:val="007D2D84"/>
    <w:rsid w:val="007D3966"/>
    <w:rsid w:val="007D3E67"/>
    <w:rsid w:val="007D4408"/>
    <w:rsid w:val="007D4692"/>
    <w:rsid w:val="007D47F4"/>
    <w:rsid w:val="007D5048"/>
    <w:rsid w:val="007D5447"/>
    <w:rsid w:val="007D5634"/>
    <w:rsid w:val="007D645D"/>
    <w:rsid w:val="007D6F1E"/>
    <w:rsid w:val="007D7A2B"/>
    <w:rsid w:val="007D7DAF"/>
    <w:rsid w:val="007E0530"/>
    <w:rsid w:val="007E13A3"/>
    <w:rsid w:val="007E146C"/>
    <w:rsid w:val="007E17D0"/>
    <w:rsid w:val="007E1FE0"/>
    <w:rsid w:val="007E20D5"/>
    <w:rsid w:val="007E2A8D"/>
    <w:rsid w:val="007E2B12"/>
    <w:rsid w:val="007E2EE4"/>
    <w:rsid w:val="007E3699"/>
    <w:rsid w:val="007E36DF"/>
    <w:rsid w:val="007E376E"/>
    <w:rsid w:val="007E4058"/>
    <w:rsid w:val="007E418E"/>
    <w:rsid w:val="007E4A88"/>
    <w:rsid w:val="007E4F9E"/>
    <w:rsid w:val="007E5405"/>
    <w:rsid w:val="007E5A93"/>
    <w:rsid w:val="007E61D7"/>
    <w:rsid w:val="007E66F1"/>
    <w:rsid w:val="007E6794"/>
    <w:rsid w:val="007E6DF6"/>
    <w:rsid w:val="007E6E69"/>
    <w:rsid w:val="007E7A6F"/>
    <w:rsid w:val="007E7C44"/>
    <w:rsid w:val="007E7FDC"/>
    <w:rsid w:val="007F1568"/>
    <w:rsid w:val="007F1E65"/>
    <w:rsid w:val="007F225C"/>
    <w:rsid w:val="007F269F"/>
    <w:rsid w:val="007F277F"/>
    <w:rsid w:val="007F2820"/>
    <w:rsid w:val="007F289F"/>
    <w:rsid w:val="007F3136"/>
    <w:rsid w:val="007F37BD"/>
    <w:rsid w:val="007F4183"/>
    <w:rsid w:val="007F429A"/>
    <w:rsid w:val="007F4473"/>
    <w:rsid w:val="007F475C"/>
    <w:rsid w:val="007F4AC9"/>
    <w:rsid w:val="007F5270"/>
    <w:rsid w:val="007F5CF5"/>
    <w:rsid w:val="007F5E92"/>
    <w:rsid w:val="007F6353"/>
    <w:rsid w:val="007F647D"/>
    <w:rsid w:val="007F6A97"/>
    <w:rsid w:val="007F6C39"/>
    <w:rsid w:val="007F6F9A"/>
    <w:rsid w:val="008009D7"/>
    <w:rsid w:val="00800F09"/>
    <w:rsid w:val="0080147E"/>
    <w:rsid w:val="00801551"/>
    <w:rsid w:val="008016E2"/>
    <w:rsid w:val="00802299"/>
    <w:rsid w:val="00802431"/>
    <w:rsid w:val="00802882"/>
    <w:rsid w:val="008029AB"/>
    <w:rsid w:val="008029EB"/>
    <w:rsid w:val="008029F0"/>
    <w:rsid w:val="0080361A"/>
    <w:rsid w:val="00803922"/>
    <w:rsid w:val="00803F9D"/>
    <w:rsid w:val="00804592"/>
    <w:rsid w:val="00807658"/>
    <w:rsid w:val="0080790B"/>
    <w:rsid w:val="00807BF4"/>
    <w:rsid w:val="0081005C"/>
    <w:rsid w:val="0081011F"/>
    <w:rsid w:val="00810498"/>
    <w:rsid w:val="00810B70"/>
    <w:rsid w:val="00810C0A"/>
    <w:rsid w:val="00810CC7"/>
    <w:rsid w:val="008110A3"/>
    <w:rsid w:val="00811912"/>
    <w:rsid w:val="00812418"/>
    <w:rsid w:val="0081251E"/>
    <w:rsid w:val="00812777"/>
    <w:rsid w:val="00812BE1"/>
    <w:rsid w:val="00812F3C"/>
    <w:rsid w:val="00813367"/>
    <w:rsid w:val="008135AC"/>
    <w:rsid w:val="00813658"/>
    <w:rsid w:val="0081375F"/>
    <w:rsid w:val="0081395A"/>
    <w:rsid w:val="00813DD2"/>
    <w:rsid w:val="00814215"/>
    <w:rsid w:val="008143B7"/>
    <w:rsid w:val="008148DE"/>
    <w:rsid w:val="008149A5"/>
    <w:rsid w:val="00815263"/>
    <w:rsid w:val="008155CC"/>
    <w:rsid w:val="00816502"/>
    <w:rsid w:val="00816A0D"/>
    <w:rsid w:val="00816B3C"/>
    <w:rsid w:val="00817648"/>
    <w:rsid w:val="00817CAB"/>
    <w:rsid w:val="00817FA4"/>
    <w:rsid w:val="008200B6"/>
    <w:rsid w:val="008209B6"/>
    <w:rsid w:val="00820D31"/>
    <w:rsid w:val="00821409"/>
    <w:rsid w:val="0082154F"/>
    <w:rsid w:val="00821750"/>
    <w:rsid w:val="00821A3D"/>
    <w:rsid w:val="00821C76"/>
    <w:rsid w:val="008223FD"/>
    <w:rsid w:val="00822AE8"/>
    <w:rsid w:val="00822BC4"/>
    <w:rsid w:val="00822ECA"/>
    <w:rsid w:val="00823764"/>
    <w:rsid w:val="00823EEB"/>
    <w:rsid w:val="00824DD7"/>
    <w:rsid w:val="0082547F"/>
    <w:rsid w:val="008259FC"/>
    <w:rsid w:val="00825CE6"/>
    <w:rsid w:val="00825F6F"/>
    <w:rsid w:val="00825FB6"/>
    <w:rsid w:val="008261E9"/>
    <w:rsid w:val="0082780A"/>
    <w:rsid w:val="008303AF"/>
    <w:rsid w:val="00830886"/>
    <w:rsid w:val="00830ACE"/>
    <w:rsid w:val="00830D24"/>
    <w:rsid w:val="00831004"/>
    <w:rsid w:val="0083188C"/>
    <w:rsid w:val="00831BF5"/>
    <w:rsid w:val="00831D50"/>
    <w:rsid w:val="0083209A"/>
    <w:rsid w:val="00832F2C"/>
    <w:rsid w:val="008331D7"/>
    <w:rsid w:val="00833613"/>
    <w:rsid w:val="00833EB3"/>
    <w:rsid w:val="00834DEA"/>
    <w:rsid w:val="00834EE8"/>
    <w:rsid w:val="008350E1"/>
    <w:rsid w:val="00835778"/>
    <w:rsid w:val="00836517"/>
    <w:rsid w:val="00836871"/>
    <w:rsid w:val="00837018"/>
    <w:rsid w:val="00837501"/>
    <w:rsid w:val="0084016A"/>
    <w:rsid w:val="008402E3"/>
    <w:rsid w:val="008407B8"/>
    <w:rsid w:val="008411B2"/>
    <w:rsid w:val="008412E4"/>
    <w:rsid w:val="008413FC"/>
    <w:rsid w:val="008416EF"/>
    <w:rsid w:val="008418CD"/>
    <w:rsid w:val="00842019"/>
    <w:rsid w:val="0084273A"/>
    <w:rsid w:val="008427A8"/>
    <w:rsid w:val="00842971"/>
    <w:rsid w:val="0084315B"/>
    <w:rsid w:val="0084352E"/>
    <w:rsid w:val="00843767"/>
    <w:rsid w:val="00843A31"/>
    <w:rsid w:val="008440DF"/>
    <w:rsid w:val="008440FA"/>
    <w:rsid w:val="008445CD"/>
    <w:rsid w:val="008447B8"/>
    <w:rsid w:val="00844BB5"/>
    <w:rsid w:val="00844BFC"/>
    <w:rsid w:val="0084672B"/>
    <w:rsid w:val="00846AD1"/>
    <w:rsid w:val="008471CF"/>
    <w:rsid w:val="008472C3"/>
    <w:rsid w:val="00847661"/>
    <w:rsid w:val="00847E7F"/>
    <w:rsid w:val="00850B4B"/>
    <w:rsid w:val="00850EBD"/>
    <w:rsid w:val="008511B9"/>
    <w:rsid w:val="00851906"/>
    <w:rsid w:val="0085201A"/>
    <w:rsid w:val="00852A1B"/>
    <w:rsid w:val="0085399B"/>
    <w:rsid w:val="00853D48"/>
    <w:rsid w:val="00854677"/>
    <w:rsid w:val="0085472B"/>
    <w:rsid w:val="00854D39"/>
    <w:rsid w:val="008550B5"/>
    <w:rsid w:val="0085585F"/>
    <w:rsid w:val="00855F57"/>
    <w:rsid w:val="008565DE"/>
    <w:rsid w:val="00856835"/>
    <w:rsid w:val="0085732D"/>
    <w:rsid w:val="00857B94"/>
    <w:rsid w:val="00860600"/>
    <w:rsid w:val="00860DD1"/>
    <w:rsid w:val="00861570"/>
    <w:rsid w:val="00861DB0"/>
    <w:rsid w:val="0086228E"/>
    <w:rsid w:val="0086260F"/>
    <w:rsid w:val="008630A3"/>
    <w:rsid w:val="00863247"/>
    <w:rsid w:val="00863CB6"/>
    <w:rsid w:val="00863F23"/>
    <w:rsid w:val="00864121"/>
    <w:rsid w:val="00864152"/>
    <w:rsid w:val="008648E5"/>
    <w:rsid w:val="00864D64"/>
    <w:rsid w:val="00865897"/>
    <w:rsid w:val="008661D9"/>
    <w:rsid w:val="008667DB"/>
    <w:rsid w:val="008669FB"/>
    <w:rsid w:val="00866B5F"/>
    <w:rsid w:val="00866DD7"/>
    <w:rsid w:val="00867172"/>
    <w:rsid w:val="008672E4"/>
    <w:rsid w:val="0086733C"/>
    <w:rsid w:val="00867EF9"/>
    <w:rsid w:val="0087005A"/>
    <w:rsid w:val="008700D2"/>
    <w:rsid w:val="0087043F"/>
    <w:rsid w:val="00870863"/>
    <w:rsid w:val="008724EF"/>
    <w:rsid w:val="0087265A"/>
    <w:rsid w:val="00872AC3"/>
    <w:rsid w:val="00872EF2"/>
    <w:rsid w:val="00873082"/>
    <w:rsid w:val="00873204"/>
    <w:rsid w:val="008739A4"/>
    <w:rsid w:val="00874F08"/>
    <w:rsid w:val="00875140"/>
    <w:rsid w:val="00875DDD"/>
    <w:rsid w:val="008760A5"/>
    <w:rsid w:val="008764DB"/>
    <w:rsid w:val="00876E45"/>
    <w:rsid w:val="00876F17"/>
    <w:rsid w:val="0087701D"/>
    <w:rsid w:val="00877546"/>
    <w:rsid w:val="00880832"/>
    <w:rsid w:val="00880A37"/>
    <w:rsid w:val="00880B92"/>
    <w:rsid w:val="00880BB7"/>
    <w:rsid w:val="00881230"/>
    <w:rsid w:val="00881777"/>
    <w:rsid w:val="00881C9E"/>
    <w:rsid w:val="00882190"/>
    <w:rsid w:val="008831F5"/>
    <w:rsid w:val="00883693"/>
    <w:rsid w:val="008845B8"/>
    <w:rsid w:val="00884674"/>
    <w:rsid w:val="00884C08"/>
    <w:rsid w:val="00884C3D"/>
    <w:rsid w:val="00885098"/>
    <w:rsid w:val="008851B6"/>
    <w:rsid w:val="0088553C"/>
    <w:rsid w:val="00886A35"/>
    <w:rsid w:val="00886B20"/>
    <w:rsid w:val="00887892"/>
    <w:rsid w:val="008906C2"/>
    <w:rsid w:val="008910C3"/>
    <w:rsid w:val="00891704"/>
    <w:rsid w:val="00891C71"/>
    <w:rsid w:val="00891E06"/>
    <w:rsid w:val="00891FAA"/>
    <w:rsid w:val="008920A5"/>
    <w:rsid w:val="0089212C"/>
    <w:rsid w:val="00892A3E"/>
    <w:rsid w:val="0089351C"/>
    <w:rsid w:val="008937DE"/>
    <w:rsid w:val="00893E98"/>
    <w:rsid w:val="00893FC6"/>
    <w:rsid w:val="00894286"/>
    <w:rsid w:val="00895544"/>
    <w:rsid w:val="00895D40"/>
    <w:rsid w:val="00895D62"/>
    <w:rsid w:val="008976FB"/>
    <w:rsid w:val="008A0AFC"/>
    <w:rsid w:val="008A1158"/>
    <w:rsid w:val="008A1CBD"/>
    <w:rsid w:val="008A2362"/>
    <w:rsid w:val="008A2900"/>
    <w:rsid w:val="008A33EE"/>
    <w:rsid w:val="008A3592"/>
    <w:rsid w:val="008A36F6"/>
    <w:rsid w:val="008A3E99"/>
    <w:rsid w:val="008A426A"/>
    <w:rsid w:val="008A4D91"/>
    <w:rsid w:val="008A4F1E"/>
    <w:rsid w:val="008A567E"/>
    <w:rsid w:val="008A5CB3"/>
    <w:rsid w:val="008A5CB6"/>
    <w:rsid w:val="008A6C3D"/>
    <w:rsid w:val="008A7008"/>
    <w:rsid w:val="008A7148"/>
    <w:rsid w:val="008A7402"/>
    <w:rsid w:val="008A7907"/>
    <w:rsid w:val="008B0342"/>
    <w:rsid w:val="008B03BD"/>
    <w:rsid w:val="008B0E25"/>
    <w:rsid w:val="008B10A6"/>
    <w:rsid w:val="008B1408"/>
    <w:rsid w:val="008B1591"/>
    <w:rsid w:val="008B29F4"/>
    <w:rsid w:val="008B2C9A"/>
    <w:rsid w:val="008B2DEF"/>
    <w:rsid w:val="008B2DF8"/>
    <w:rsid w:val="008B32D7"/>
    <w:rsid w:val="008B3389"/>
    <w:rsid w:val="008B354F"/>
    <w:rsid w:val="008B3F2D"/>
    <w:rsid w:val="008B42FE"/>
    <w:rsid w:val="008B43F2"/>
    <w:rsid w:val="008B44A6"/>
    <w:rsid w:val="008B5083"/>
    <w:rsid w:val="008B56F3"/>
    <w:rsid w:val="008B5AA4"/>
    <w:rsid w:val="008B624D"/>
    <w:rsid w:val="008B684F"/>
    <w:rsid w:val="008B7436"/>
    <w:rsid w:val="008B770C"/>
    <w:rsid w:val="008B7A5F"/>
    <w:rsid w:val="008B7C91"/>
    <w:rsid w:val="008B7E76"/>
    <w:rsid w:val="008B7EE8"/>
    <w:rsid w:val="008B7F2D"/>
    <w:rsid w:val="008C0555"/>
    <w:rsid w:val="008C09FB"/>
    <w:rsid w:val="008C11A5"/>
    <w:rsid w:val="008C269F"/>
    <w:rsid w:val="008C2C15"/>
    <w:rsid w:val="008C36F9"/>
    <w:rsid w:val="008C3D08"/>
    <w:rsid w:val="008C4AB8"/>
    <w:rsid w:val="008C5449"/>
    <w:rsid w:val="008C58D7"/>
    <w:rsid w:val="008C7825"/>
    <w:rsid w:val="008D143E"/>
    <w:rsid w:val="008D1B69"/>
    <w:rsid w:val="008D1D45"/>
    <w:rsid w:val="008D1E31"/>
    <w:rsid w:val="008D1FF0"/>
    <w:rsid w:val="008D2185"/>
    <w:rsid w:val="008D2292"/>
    <w:rsid w:val="008D2641"/>
    <w:rsid w:val="008D2B60"/>
    <w:rsid w:val="008D315F"/>
    <w:rsid w:val="008D4092"/>
    <w:rsid w:val="008D4255"/>
    <w:rsid w:val="008D433A"/>
    <w:rsid w:val="008D4F33"/>
    <w:rsid w:val="008D556D"/>
    <w:rsid w:val="008D590D"/>
    <w:rsid w:val="008D5BFC"/>
    <w:rsid w:val="008D5CC4"/>
    <w:rsid w:val="008D66AB"/>
    <w:rsid w:val="008D66F4"/>
    <w:rsid w:val="008D79C3"/>
    <w:rsid w:val="008E01A1"/>
    <w:rsid w:val="008E0CE7"/>
    <w:rsid w:val="008E0E61"/>
    <w:rsid w:val="008E12B1"/>
    <w:rsid w:val="008E12C0"/>
    <w:rsid w:val="008E13AF"/>
    <w:rsid w:val="008E1B24"/>
    <w:rsid w:val="008E1D2B"/>
    <w:rsid w:val="008E2466"/>
    <w:rsid w:val="008E2AD1"/>
    <w:rsid w:val="008E3D25"/>
    <w:rsid w:val="008E406F"/>
    <w:rsid w:val="008E48F8"/>
    <w:rsid w:val="008E49A5"/>
    <w:rsid w:val="008E4EA8"/>
    <w:rsid w:val="008E5312"/>
    <w:rsid w:val="008E58B9"/>
    <w:rsid w:val="008E655E"/>
    <w:rsid w:val="008E77A5"/>
    <w:rsid w:val="008E7B18"/>
    <w:rsid w:val="008F093D"/>
    <w:rsid w:val="008F09E7"/>
    <w:rsid w:val="008F0A84"/>
    <w:rsid w:val="008F0D91"/>
    <w:rsid w:val="008F0FE7"/>
    <w:rsid w:val="008F18CD"/>
    <w:rsid w:val="008F1BE3"/>
    <w:rsid w:val="008F1C33"/>
    <w:rsid w:val="008F28A0"/>
    <w:rsid w:val="008F2F18"/>
    <w:rsid w:val="008F3BA7"/>
    <w:rsid w:val="008F3BF4"/>
    <w:rsid w:val="008F40BE"/>
    <w:rsid w:val="008F4ECD"/>
    <w:rsid w:val="008F5648"/>
    <w:rsid w:val="008F5F4C"/>
    <w:rsid w:val="008F69B0"/>
    <w:rsid w:val="008F6C96"/>
    <w:rsid w:val="008F6F3C"/>
    <w:rsid w:val="008F71AC"/>
    <w:rsid w:val="008F7BC1"/>
    <w:rsid w:val="008F7F7A"/>
    <w:rsid w:val="009006C6"/>
    <w:rsid w:val="00900E22"/>
    <w:rsid w:val="00901157"/>
    <w:rsid w:val="009015C8"/>
    <w:rsid w:val="009029B5"/>
    <w:rsid w:val="00902AEF"/>
    <w:rsid w:val="00902BE6"/>
    <w:rsid w:val="00902C71"/>
    <w:rsid w:val="00902E11"/>
    <w:rsid w:val="00902F8F"/>
    <w:rsid w:val="0090323B"/>
    <w:rsid w:val="009032FF"/>
    <w:rsid w:val="009037B6"/>
    <w:rsid w:val="009038CB"/>
    <w:rsid w:val="00903DC1"/>
    <w:rsid w:val="0090402C"/>
    <w:rsid w:val="00904083"/>
    <w:rsid w:val="0090471C"/>
    <w:rsid w:val="00904C43"/>
    <w:rsid w:val="00904D26"/>
    <w:rsid w:val="00904E69"/>
    <w:rsid w:val="009054D2"/>
    <w:rsid w:val="00905D72"/>
    <w:rsid w:val="009061DB"/>
    <w:rsid w:val="009067DD"/>
    <w:rsid w:val="00906A80"/>
    <w:rsid w:val="00906B37"/>
    <w:rsid w:val="00906CE2"/>
    <w:rsid w:val="00906E8D"/>
    <w:rsid w:val="00907658"/>
    <w:rsid w:val="0090798A"/>
    <w:rsid w:val="00907B2D"/>
    <w:rsid w:val="009100E0"/>
    <w:rsid w:val="009102DC"/>
    <w:rsid w:val="009110F1"/>
    <w:rsid w:val="009115FA"/>
    <w:rsid w:val="009123C4"/>
    <w:rsid w:val="00912528"/>
    <w:rsid w:val="009128E1"/>
    <w:rsid w:val="00912CA5"/>
    <w:rsid w:val="009131E5"/>
    <w:rsid w:val="00913DFF"/>
    <w:rsid w:val="009149DA"/>
    <w:rsid w:val="00916127"/>
    <w:rsid w:val="009166A6"/>
    <w:rsid w:val="009168C9"/>
    <w:rsid w:val="00920D03"/>
    <w:rsid w:val="00920E24"/>
    <w:rsid w:val="00921332"/>
    <w:rsid w:val="0092139A"/>
    <w:rsid w:val="009216A3"/>
    <w:rsid w:val="00922341"/>
    <w:rsid w:val="00922467"/>
    <w:rsid w:val="0092334E"/>
    <w:rsid w:val="00923591"/>
    <w:rsid w:val="009236EE"/>
    <w:rsid w:val="0092406C"/>
    <w:rsid w:val="009240CE"/>
    <w:rsid w:val="00924CA4"/>
    <w:rsid w:val="0092502C"/>
    <w:rsid w:val="0092512F"/>
    <w:rsid w:val="009258B1"/>
    <w:rsid w:val="009258EA"/>
    <w:rsid w:val="00926369"/>
    <w:rsid w:val="0092694F"/>
    <w:rsid w:val="00926CEA"/>
    <w:rsid w:val="009270EE"/>
    <w:rsid w:val="00927359"/>
    <w:rsid w:val="009275F3"/>
    <w:rsid w:val="00927C06"/>
    <w:rsid w:val="0093039B"/>
    <w:rsid w:val="009304D5"/>
    <w:rsid w:val="009309F5"/>
    <w:rsid w:val="00930E8C"/>
    <w:rsid w:val="00930EF3"/>
    <w:rsid w:val="00931502"/>
    <w:rsid w:val="00931B95"/>
    <w:rsid w:val="00931C77"/>
    <w:rsid w:val="00932CD6"/>
    <w:rsid w:val="009330C0"/>
    <w:rsid w:val="009334DF"/>
    <w:rsid w:val="0093426B"/>
    <w:rsid w:val="00934DE8"/>
    <w:rsid w:val="00935482"/>
    <w:rsid w:val="00935D30"/>
    <w:rsid w:val="009360E5"/>
    <w:rsid w:val="0093639B"/>
    <w:rsid w:val="009363DE"/>
    <w:rsid w:val="00936A58"/>
    <w:rsid w:val="009370AD"/>
    <w:rsid w:val="0093717B"/>
    <w:rsid w:val="00937660"/>
    <w:rsid w:val="009376E9"/>
    <w:rsid w:val="00937ECE"/>
    <w:rsid w:val="00940344"/>
    <w:rsid w:val="009404DF"/>
    <w:rsid w:val="009404F9"/>
    <w:rsid w:val="0094119E"/>
    <w:rsid w:val="009419F9"/>
    <w:rsid w:val="009421E3"/>
    <w:rsid w:val="00942379"/>
    <w:rsid w:val="00942A7E"/>
    <w:rsid w:val="00942F1E"/>
    <w:rsid w:val="009431CD"/>
    <w:rsid w:val="0094345D"/>
    <w:rsid w:val="009436AE"/>
    <w:rsid w:val="009439D1"/>
    <w:rsid w:val="00943A17"/>
    <w:rsid w:val="009441D4"/>
    <w:rsid w:val="0094455A"/>
    <w:rsid w:val="00944EBE"/>
    <w:rsid w:val="00945129"/>
    <w:rsid w:val="00945E3D"/>
    <w:rsid w:val="009464ED"/>
    <w:rsid w:val="009468E2"/>
    <w:rsid w:val="009470D3"/>
    <w:rsid w:val="00947321"/>
    <w:rsid w:val="00947832"/>
    <w:rsid w:val="00947D4A"/>
    <w:rsid w:val="009500A1"/>
    <w:rsid w:val="009501B6"/>
    <w:rsid w:val="009502F9"/>
    <w:rsid w:val="00950BDB"/>
    <w:rsid w:val="00950E4B"/>
    <w:rsid w:val="0095101A"/>
    <w:rsid w:val="00951899"/>
    <w:rsid w:val="009519E4"/>
    <w:rsid w:val="009519EF"/>
    <w:rsid w:val="00951FF7"/>
    <w:rsid w:val="009521CF"/>
    <w:rsid w:val="0095283D"/>
    <w:rsid w:val="009539C9"/>
    <w:rsid w:val="00953B3E"/>
    <w:rsid w:val="00954438"/>
    <w:rsid w:val="00954C14"/>
    <w:rsid w:val="00955183"/>
    <w:rsid w:val="00955360"/>
    <w:rsid w:val="00956369"/>
    <w:rsid w:val="00956554"/>
    <w:rsid w:val="009567A9"/>
    <w:rsid w:val="00956B2C"/>
    <w:rsid w:val="00957CB7"/>
    <w:rsid w:val="009607C4"/>
    <w:rsid w:val="00960A59"/>
    <w:rsid w:val="00960E6E"/>
    <w:rsid w:val="00960ECE"/>
    <w:rsid w:val="0096100E"/>
    <w:rsid w:val="009610FF"/>
    <w:rsid w:val="00961EA2"/>
    <w:rsid w:val="009622AA"/>
    <w:rsid w:val="00962839"/>
    <w:rsid w:val="00962B35"/>
    <w:rsid w:val="009634AB"/>
    <w:rsid w:val="00963603"/>
    <w:rsid w:val="00963711"/>
    <w:rsid w:val="009644DD"/>
    <w:rsid w:val="009647F9"/>
    <w:rsid w:val="009648DD"/>
    <w:rsid w:val="00964A7C"/>
    <w:rsid w:val="00965136"/>
    <w:rsid w:val="0096545A"/>
    <w:rsid w:val="009657C6"/>
    <w:rsid w:val="00965AFF"/>
    <w:rsid w:val="00965C9E"/>
    <w:rsid w:val="00965DBE"/>
    <w:rsid w:val="00966438"/>
    <w:rsid w:val="009665A7"/>
    <w:rsid w:val="00966967"/>
    <w:rsid w:val="00966AA5"/>
    <w:rsid w:val="00966B0E"/>
    <w:rsid w:val="0096702E"/>
    <w:rsid w:val="0096708B"/>
    <w:rsid w:val="00972228"/>
    <w:rsid w:val="009722E2"/>
    <w:rsid w:val="009726A7"/>
    <w:rsid w:val="009743F7"/>
    <w:rsid w:val="00974612"/>
    <w:rsid w:val="00974C65"/>
    <w:rsid w:val="00974DFB"/>
    <w:rsid w:val="00975525"/>
    <w:rsid w:val="0097586A"/>
    <w:rsid w:val="00975A67"/>
    <w:rsid w:val="00975B8A"/>
    <w:rsid w:val="00976A87"/>
    <w:rsid w:val="00977553"/>
    <w:rsid w:val="00977A87"/>
    <w:rsid w:val="00977FBD"/>
    <w:rsid w:val="009804C9"/>
    <w:rsid w:val="009805FF"/>
    <w:rsid w:val="00980EF9"/>
    <w:rsid w:val="0098152B"/>
    <w:rsid w:val="0098182B"/>
    <w:rsid w:val="00981E37"/>
    <w:rsid w:val="00981E9D"/>
    <w:rsid w:val="0098229A"/>
    <w:rsid w:val="0098377B"/>
    <w:rsid w:val="00983E08"/>
    <w:rsid w:val="009847DD"/>
    <w:rsid w:val="00984DB1"/>
    <w:rsid w:val="00985007"/>
    <w:rsid w:val="00985059"/>
    <w:rsid w:val="00985473"/>
    <w:rsid w:val="00985500"/>
    <w:rsid w:val="00985EDF"/>
    <w:rsid w:val="009863C2"/>
    <w:rsid w:val="00986B03"/>
    <w:rsid w:val="00986B40"/>
    <w:rsid w:val="00986F0B"/>
    <w:rsid w:val="00986F49"/>
    <w:rsid w:val="0098713E"/>
    <w:rsid w:val="00987238"/>
    <w:rsid w:val="009878B7"/>
    <w:rsid w:val="00987E69"/>
    <w:rsid w:val="00990313"/>
    <w:rsid w:val="00990A9C"/>
    <w:rsid w:val="00990B11"/>
    <w:rsid w:val="00991087"/>
    <w:rsid w:val="009916E1"/>
    <w:rsid w:val="00991B3D"/>
    <w:rsid w:val="00992324"/>
    <w:rsid w:val="00992DA9"/>
    <w:rsid w:val="00993166"/>
    <w:rsid w:val="00993A24"/>
    <w:rsid w:val="00993A4B"/>
    <w:rsid w:val="00993AF0"/>
    <w:rsid w:val="00993D72"/>
    <w:rsid w:val="00994235"/>
    <w:rsid w:val="00994752"/>
    <w:rsid w:val="00995343"/>
    <w:rsid w:val="009958B4"/>
    <w:rsid w:val="0099622F"/>
    <w:rsid w:val="00996274"/>
    <w:rsid w:val="009962E2"/>
    <w:rsid w:val="009966CA"/>
    <w:rsid w:val="00996F10"/>
    <w:rsid w:val="00997485"/>
    <w:rsid w:val="009A047D"/>
    <w:rsid w:val="009A0CA3"/>
    <w:rsid w:val="009A1710"/>
    <w:rsid w:val="009A1BCA"/>
    <w:rsid w:val="009A1CB4"/>
    <w:rsid w:val="009A1EDA"/>
    <w:rsid w:val="009A1F85"/>
    <w:rsid w:val="009A2A18"/>
    <w:rsid w:val="009A306C"/>
    <w:rsid w:val="009A3671"/>
    <w:rsid w:val="009A3B98"/>
    <w:rsid w:val="009A4238"/>
    <w:rsid w:val="009A4255"/>
    <w:rsid w:val="009A4267"/>
    <w:rsid w:val="009A426E"/>
    <w:rsid w:val="009A4635"/>
    <w:rsid w:val="009A473A"/>
    <w:rsid w:val="009A4AD8"/>
    <w:rsid w:val="009A4F86"/>
    <w:rsid w:val="009A50AA"/>
    <w:rsid w:val="009A50AD"/>
    <w:rsid w:val="009A5D4A"/>
    <w:rsid w:val="009A5DDF"/>
    <w:rsid w:val="009A5FE3"/>
    <w:rsid w:val="009A6AFA"/>
    <w:rsid w:val="009B0CF0"/>
    <w:rsid w:val="009B1181"/>
    <w:rsid w:val="009B1571"/>
    <w:rsid w:val="009B15A0"/>
    <w:rsid w:val="009B17BC"/>
    <w:rsid w:val="009B17D0"/>
    <w:rsid w:val="009B1B5E"/>
    <w:rsid w:val="009B248A"/>
    <w:rsid w:val="009B2BCB"/>
    <w:rsid w:val="009B2F68"/>
    <w:rsid w:val="009B315B"/>
    <w:rsid w:val="009B4AD2"/>
    <w:rsid w:val="009B4B14"/>
    <w:rsid w:val="009B4FEB"/>
    <w:rsid w:val="009B5255"/>
    <w:rsid w:val="009B579E"/>
    <w:rsid w:val="009B5E42"/>
    <w:rsid w:val="009B5FA8"/>
    <w:rsid w:val="009B6338"/>
    <w:rsid w:val="009B6739"/>
    <w:rsid w:val="009B68D2"/>
    <w:rsid w:val="009B6CD8"/>
    <w:rsid w:val="009B6DB5"/>
    <w:rsid w:val="009B7181"/>
    <w:rsid w:val="009B7901"/>
    <w:rsid w:val="009C0051"/>
    <w:rsid w:val="009C0656"/>
    <w:rsid w:val="009C08F4"/>
    <w:rsid w:val="009C110D"/>
    <w:rsid w:val="009C134F"/>
    <w:rsid w:val="009C140D"/>
    <w:rsid w:val="009C1DA1"/>
    <w:rsid w:val="009C1F73"/>
    <w:rsid w:val="009C26AF"/>
    <w:rsid w:val="009C4330"/>
    <w:rsid w:val="009C4682"/>
    <w:rsid w:val="009C50B8"/>
    <w:rsid w:val="009C53D1"/>
    <w:rsid w:val="009C53DE"/>
    <w:rsid w:val="009C713D"/>
    <w:rsid w:val="009C71EB"/>
    <w:rsid w:val="009C7525"/>
    <w:rsid w:val="009C76DF"/>
    <w:rsid w:val="009C7905"/>
    <w:rsid w:val="009C79BF"/>
    <w:rsid w:val="009C7C5B"/>
    <w:rsid w:val="009C7C70"/>
    <w:rsid w:val="009C7D38"/>
    <w:rsid w:val="009D0356"/>
    <w:rsid w:val="009D05EA"/>
    <w:rsid w:val="009D06B3"/>
    <w:rsid w:val="009D0C20"/>
    <w:rsid w:val="009D12A1"/>
    <w:rsid w:val="009D1B0C"/>
    <w:rsid w:val="009D1BE5"/>
    <w:rsid w:val="009D1E21"/>
    <w:rsid w:val="009D1F09"/>
    <w:rsid w:val="009D25BE"/>
    <w:rsid w:val="009D3012"/>
    <w:rsid w:val="009D3CF6"/>
    <w:rsid w:val="009D5020"/>
    <w:rsid w:val="009D518A"/>
    <w:rsid w:val="009D52B2"/>
    <w:rsid w:val="009D6232"/>
    <w:rsid w:val="009D6C62"/>
    <w:rsid w:val="009D7219"/>
    <w:rsid w:val="009D7923"/>
    <w:rsid w:val="009E0FF1"/>
    <w:rsid w:val="009E14A9"/>
    <w:rsid w:val="009E1AB6"/>
    <w:rsid w:val="009E1B51"/>
    <w:rsid w:val="009E1E90"/>
    <w:rsid w:val="009E2327"/>
    <w:rsid w:val="009E27AA"/>
    <w:rsid w:val="009E3212"/>
    <w:rsid w:val="009E394C"/>
    <w:rsid w:val="009E3FCE"/>
    <w:rsid w:val="009E4663"/>
    <w:rsid w:val="009E486A"/>
    <w:rsid w:val="009E48AC"/>
    <w:rsid w:val="009E585A"/>
    <w:rsid w:val="009E5B50"/>
    <w:rsid w:val="009E5CF8"/>
    <w:rsid w:val="009E60F0"/>
    <w:rsid w:val="009E790F"/>
    <w:rsid w:val="009F01DC"/>
    <w:rsid w:val="009F0698"/>
    <w:rsid w:val="009F0D26"/>
    <w:rsid w:val="009F29FC"/>
    <w:rsid w:val="009F2E9E"/>
    <w:rsid w:val="009F2F99"/>
    <w:rsid w:val="009F3138"/>
    <w:rsid w:val="009F3865"/>
    <w:rsid w:val="009F39A4"/>
    <w:rsid w:val="009F433F"/>
    <w:rsid w:val="009F43FB"/>
    <w:rsid w:val="009F48E0"/>
    <w:rsid w:val="009F4921"/>
    <w:rsid w:val="009F4DE1"/>
    <w:rsid w:val="009F5442"/>
    <w:rsid w:val="009F59E8"/>
    <w:rsid w:val="009F5ABF"/>
    <w:rsid w:val="009F5BD0"/>
    <w:rsid w:val="009F6E8F"/>
    <w:rsid w:val="009F70C1"/>
    <w:rsid w:val="009F73A2"/>
    <w:rsid w:val="009F76E7"/>
    <w:rsid w:val="00A00191"/>
    <w:rsid w:val="00A003CC"/>
    <w:rsid w:val="00A00AC6"/>
    <w:rsid w:val="00A01130"/>
    <w:rsid w:val="00A0238A"/>
    <w:rsid w:val="00A0257D"/>
    <w:rsid w:val="00A0287C"/>
    <w:rsid w:val="00A02AB1"/>
    <w:rsid w:val="00A030F5"/>
    <w:rsid w:val="00A03298"/>
    <w:rsid w:val="00A03829"/>
    <w:rsid w:val="00A0396B"/>
    <w:rsid w:val="00A03BB5"/>
    <w:rsid w:val="00A04389"/>
    <w:rsid w:val="00A04558"/>
    <w:rsid w:val="00A04B24"/>
    <w:rsid w:val="00A05161"/>
    <w:rsid w:val="00A05E8F"/>
    <w:rsid w:val="00A0676A"/>
    <w:rsid w:val="00A06F1B"/>
    <w:rsid w:val="00A07047"/>
    <w:rsid w:val="00A0780F"/>
    <w:rsid w:val="00A10981"/>
    <w:rsid w:val="00A10CA2"/>
    <w:rsid w:val="00A1114B"/>
    <w:rsid w:val="00A11332"/>
    <w:rsid w:val="00A114CB"/>
    <w:rsid w:val="00A1194A"/>
    <w:rsid w:val="00A12126"/>
    <w:rsid w:val="00A121D8"/>
    <w:rsid w:val="00A1233B"/>
    <w:rsid w:val="00A12822"/>
    <w:rsid w:val="00A12937"/>
    <w:rsid w:val="00A12B44"/>
    <w:rsid w:val="00A13163"/>
    <w:rsid w:val="00A1342D"/>
    <w:rsid w:val="00A13B02"/>
    <w:rsid w:val="00A143EC"/>
    <w:rsid w:val="00A14482"/>
    <w:rsid w:val="00A1488A"/>
    <w:rsid w:val="00A149E6"/>
    <w:rsid w:val="00A14B46"/>
    <w:rsid w:val="00A14BFA"/>
    <w:rsid w:val="00A15C08"/>
    <w:rsid w:val="00A16A8B"/>
    <w:rsid w:val="00A16E52"/>
    <w:rsid w:val="00A1707B"/>
    <w:rsid w:val="00A17203"/>
    <w:rsid w:val="00A206BA"/>
    <w:rsid w:val="00A20E8F"/>
    <w:rsid w:val="00A2147F"/>
    <w:rsid w:val="00A2165A"/>
    <w:rsid w:val="00A235F4"/>
    <w:rsid w:val="00A24422"/>
    <w:rsid w:val="00A24484"/>
    <w:rsid w:val="00A24863"/>
    <w:rsid w:val="00A248B9"/>
    <w:rsid w:val="00A24C92"/>
    <w:rsid w:val="00A24D29"/>
    <w:rsid w:val="00A257A6"/>
    <w:rsid w:val="00A2589E"/>
    <w:rsid w:val="00A26D0E"/>
    <w:rsid w:val="00A26F5C"/>
    <w:rsid w:val="00A271E2"/>
    <w:rsid w:val="00A278EE"/>
    <w:rsid w:val="00A304BD"/>
    <w:rsid w:val="00A30C48"/>
    <w:rsid w:val="00A317F0"/>
    <w:rsid w:val="00A31832"/>
    <w:rsid w:val="00A31C88"/>
    <w:rsid w:val="00A31D6D"/>
    <w:rsid w:val="00A3209C"/>
    <w:rsid w:val="00A326B4"/>
    <w:rsid w:val="00A3325D"/>
    <w:rsid w:val="00A336C3"/>
    <w:rsid w:val="00A33B18"/>
    <w:rsid w:val="00A344D6"/>
    <w:rsid w:val="00A345CF"/>
    <w:rsid w:val="00A358B1"/>
    <w:rsid w:val="00A359E1"/>
    <w:rsid w:val="00A35C38"/>
    <w:rsid w:val="00A35CBA"/>
    <w:rsid w:val="00A35CF7"/>
    <w:rsid w:val="00A36421"/>
    <w:rsid w:val="00A36A5D"/>
    <w:rsid w:val="00A36C3C"/>
    <w:rsid w:val="00A37B2E"/>
    <w:rsid w:val="00A408AF"/>
    <w:rsid w:val="00A40F4F"/>
    <w:rsid w:val="00A42043"/>
    <w:rsid w:val="00A4206E"/>
    <w:rsid w:val="00A42129"/>
    <w:rsid w:val="00A42137"/>
    <w:rsid w:val="00A42C6F"/>
    <w:rsid w:val="00A4356B"/>
    <w:rsid w:val="00A43C1A"/>
    <w:rsid w:val="00A4454E"/>
    <w:rsid w:val="00A44997"/>
    <w:rsid w:val="00A44EEA"/>
    <w:rsid w:val="00A453C4"/>
    <w:rsid w:val="00A456D6"/>
    <w:rsid w:val="00A4595B"/>
    <w:rsid w:val="00A45E39"/>
    <w:rsid w:val="00A45FC7"/>
    <w:rsid w:val="00A46363"/>
    <w:rsid w:val="00A46704"/>
    <w:rsid w:val="00A46A2D"/>
    <w:rsid w:val="00A46CFE"/>
    <w:rsid w:val="00A47504"/>
    <w:rsid w:val="00A47705"/>
    <w:rsid w:val="00A47B84"/>
    <w:rsid w:val="00A47CD2"/>
    <w:rsid w:val="00A502D1"/>
    <w:rsid w:val="00A506A8"/>
    <w:rsid w:val="00A50B62"/>
    <w:rsid w:val="00A50C07"/>
    <w:rsid w:val="00A517B5"/>
    <w:rsid w:val="00A52288"/>
    <w:rsid w:val="00A5284B"/>
    <w:rsid w:val="00A533FB"/>
    <w:rsid w:val="00A5356C"/>
    <w:rsid w:val="00A53D6C"/>
    <w:rsid w:val="00A54625"/>
    <w:rsid w:val="00A546EA"/>
    <w:rsid w:val="00A552C1"/>
    <w:rsid w:val="00A554A5"/>
    <w:rsid w:val="00A55507"/>
    <w:rsid w:val="00A556F6"/>
    <w:rsid w:val="00A55A51"/>
    <w:rsid w:val="00A5674C"/>
    <w:rsid w:val="00A57096"/>
    <w:rsid w:val="00A57104"/>
    <w:rsid w:val="00A57161"/>
    <w:rsid w:val="00A60911"/>
    <w:rsid w:val="00A60F6C"/>
    <w:rsid w:val="00A610E5"/>
    <w:rsid w:val="00A613FA"/>
    <w:rsid w:val="00A615FC"/>
    <w:rsid w:val="00A633C3"/>
    <w:rsid w:val="00A63803"/>
    <w:rsid w:val="00A63C50"/>
    <w:rsid w:val="00A64394"/>
    <w:rsid w:val="00A64973"/>
    <w:rsid w:val="00A6526B"/>
    <w:rsid w:val="00A659C8"/>
    <w:rsid w:val="00A660CC"/>
    <w:rsid w:val="00A670E0"/>
    <w:rsid w:val="00A672EB"/>
    <w:rsid w:val="00A70AE9"/>
    <w:rsid w:val="00A70FAA"/>
    <w:rsid w:val="00A71C59"/>
    <w:rsid w:val="00A72469"/>
    <w:rsid w:val="00A72FE5"/>
    <w:rsid w:val="00A73304"/>
    <w:rsid w:val="00A738C6"/>
    <w:rsid w:val="00A74681"/>
    <w:rsid w:val="00A74872"/>
    <w:rsid w:val="00A74A24"/>
    <w:rsid w:val="00A74C4D"/>
    <w:rsid w:val="00A76019"/>
    <w:rsid w:val="00A7629F"/>
    <w:rsid w:val="00A7647A"/>
    <w:rsid w:val="00A76B09"/>
    <w:rsid w:val="00A77154"/>
    <w:rsid w:val="00A77566"/>
    <w:rsid w:val="00A77714"/>
    <w:rsid w:val="00A779A7"/>
    <w:rsid w:val="00A80222"/>
    <w:rsid w:val="00A80512"/>
    <w:rsid w:val="00A80EFC"/>
    <w:rsid w:val="00A810EA"/>
    <w:rsid w:val="00A82274"/>
    <w:rsid w:val="00A82389"/>
    <w:rsid w:val="00A82637"/>
    <w:rsid w:val="00A8289B"/>
    <w:rsid w:val="00A8294B"/>
    <w:rsid w:val="00A82BB7"/>
    <w:rsid w:val="00A83340"/>
    <w:rsid w:val="00A8376E"/>
    <w:rsid w:val="00A837D0"/>
    <w:rsid w:val="00A83AED"/>
    <w:rsid w:val="00A83B60"/>
    <w:rsid w:val="00A83E4F"/>
    <w:rsid w:val="00A83E5B"/>
    <w:rsid w:val="00A842F0"/>
    <w:rsid w:val="00A84705"/>
    <w:rsid w:val="00A8470F"/>
    <w:rsid w:val="00A85BFC"/>
    <w:rsid w:val="00A85D08"/>
    <w:rsid w:val="00A86114"/>
    <w:rsid w:val="00A861C8"/>
    <w:rsid w:val="00A86B52"/>
    <w:rsid w:val="00A87D63"/>
    <w:rsid w:val="00A87D98"/>
    <w:rsid w:val="00A90C6D"/>
    <w:rsid w:val="00A91117"/>
    <w:rsid w:val="00A920B3"/>
    <w:rsid w:val="00A92270"/>
    <w:rsid w:val="00A92A61"/>
    <w:rsid w:val="00A92E1B"/>
    <w:rsid w:val="00A93289"/>
    <w:rsid w:val="00A9361F"/>
    <w:rsid w:val="00A938B4"/>
    <w:rsid w:val="00A93B92"/>
    <w:rsid w:val="00A93D27"/>
    <w:rsid w:val="00A93F09"/>
    <w:rsid w:val="00A9437B"/>
    <w:rsid w:val="00A94666"/>
    <w:rsid w:val="00A95375"/>
    <w:rsid w:val="00A95ED2"/>
    <w:rsid w:val="00A96086"/>
    <w:rsid w:val="00A96492"/>
    <w:rsid w:val="00A9677E"/>
    <w:rsid w:val="00A972FF"/>
    <w:rsid w:val="00A9791B"/>
    <w:rsid w:val="00A97C0C"/>
    <w:rsid w:val="00A97D72"/>
    <w:rsid w:val="00AA01EF"/>
    <w:rsid w:val="00AA1216"/>
    <w:rsid w:val="00AA1897"/>
    <w:rsid w:val="00AA2774"/>
    <w:rsid w:val="00AA2F30"/>
    <w:rsid w:val="00AA36F7"/>
    <w:rsid w:val="00AA37D3"/>
    <w:rsid w:val="00AA479C"/>
    <w:rsid w:val="00AA4CD3"/>
    <w:rsid w:val="00AA54FA"/>
    <w:rsid w:val="00AA55F3"/>
    <w:rsid w:val="00AA6066"/>
    <w:rsid w:val="00AA6398"/>
    <w:rsid w:val="00AA6F19"/>
    <w:rsid w:val="00AA767E"/>
    <w:rsid w:val="00AA7773"/>
    <w:rsid w:val="00AA7B04"/>
    <w:rsid w:val="00AB02A0"/>
    <w:rsid w:val="00AB0736"/>
    <w:rsid w:val="00AB0999"/>
    <w:rsid w:val="00AB0E80"/>
    <w:rsid w:val="00AB0E8F"/>
    <w:rsid w:val="00AB14C7"/>
    <w:rsid w:val="00AB157A"/>
    <w:rsid w:val="00AB18B9"/>
    <w:rsid w:val="00AB209D"/>
    <w:rsid w:val="00AB22F2"/>
    <w:rsid w:val="00AB2CAB"/>
    <w:rsid w:val="00AB2F4B"/>
    <w:rsid w:val="00AB3FFD"/>
    <w:rsid w:val="00AB4543"/>
    <w:rsid w:val="00AB45FF"/>
    <w:rsid w:val="00AB482B"/>
    <w:rsid w:val="00AB4F22"/>
    <w:rsid w:val="00AB5345"/>
    <w:rsid w:val="00AB5BD6"/>
    <w:rsid w:val="00AB5EF1"/>
    <w:rsid w:val="00AC017B"/>
    <w:rsid w:val="00AC0E27"/>
    <w:rsid w:val="00AC0F88"/>
    <w:rsid w:val="00AC13C6"/>
    <w:rsid w:val="00AC15DA"/>
    <w:rsid w:val="00AC1638"/>
    <w:rsid w:val="00AC17A6"/>
    <w:rsid w:val="00AC1EA2"/>
    <w:rsid w:val="00AC2659"/>
    <w:rsid w:val="00AC28BB"/>
    <w:rsid w:val="00AC2ACB"/>
    <w:rsid w:val="00AC2C0B"/>
    <w:rsid w:val="00AC30BF"/>
    <w:rsid w:val="00AC3C44"/>
    <w:rsid w:val="00AC3DE7"/>
    <w:rsid w:val="00AC3FAA"/>
    <w:rsid w:val="00AC42A9"/>
    <w:rsid w:val="00AC4B19"/>
    <w:rsid w:val="00AC4B48"/>
    <w:rsid w:val="00AC5771"/>
    <w:rsid w:val="00AC5BBB"/>
    <w:rsid w:val="00AC6318"/>
    <w:rsid w:val="00AC72BE"/>
    <w:rsid w:val="00AC7EF2"/>
    <w:rsid w:val="00AC7F15"/>
    <w:rsid w:val="00AD00D1"/>
    <w:rsid w:val="00AD0139"/>
    <w:rsid w:val="00AD05C1"/>
    <w:rsid w:val="00AD0757"/>
    <w:rsid w:val="00AD1467"/>
    <w:rsid w:val="00AD14E9"/>
    <w:rsid w:val="00AD1665"/>
    <w:rsid w:val="00AD179D"/>
    <w:rsid w:val="00AD1805"/>
    <w:rsid w:val="00AD194F"/>
    <w:rsid w:val="00AD290F"/>
    <w:rsid w:val="00AD2BE5"/>
    <w:rsid w:val="00AD32E2"/>
    <w:rsid w:val="00AD3DA5"/>
    <w:rsid w:val="00AD41BF"/>
    <w:rsid w:val="00AD46AB"/>
    <w:rsid w:val="00AD4705"/>
    <w:rsid w:val="00AD4ECB"/>
    <w:rsid w:val="00AD4FCA"/>
    <w:rsid w:val="00AD57AD"/>
    <w:rsid w:val="00AD5930"/>
    <w:rsid w:val="00AD5D57"/>
    <w:rsid w:val="00AD5E02"/>
    <w:rsid w:val="00AD69DF"/>
    <w:rsid w:val="00AD6AE0"/>
    <w:rsid w:val="00AD74CA"/>
    <w:rsid w:val="00AD7823"/>
    <w:rsid w:val="00AD7CA9"/>
    <w:rsid w:val="00AE0F91"/>
    <w:rsid w:val="00AE1956"/>
    <w:rsid w:val="00AE299E"/>
    <w:rsid w:val="00AE2ABF"/>
    <w:rsid w:val="00AE3592"/>
    <w:rsid w:val="00AE35CA"/>
    <w:rsid w:val="00AE4257"/>
    <w:rsid w:val="00AE499C"/>
    <w:rsid w:val="00AE5F0C"/>
    <w:rsid w:val="00AE692B"/>
    <w:rsid w:val="00AE6F2A"/>
    <w:rsid w:val="00AE6F44"/>
    <w:rsid w:val="00AE731F"/>
    <w:rsid w:val="00AE776C"/>
    <w:rsid w:val="00AE7BBD"/>
    <w:rsid w:val="00AE7D72"/>
    <w:rsid w:val="00AF0385"/>
    <w:rsid w:val="00AF03A2"/>
    <w:rsid w:val="00AF03FD"/>
    <w:rsid w:val="00AF0635"/>
    <w:rsid w:val="00AF092A"/>
    <w:rsid w:val="00AF16EF"/>
    <w:rsid w:val="00AF2326"/>
    <w:rsid w:val="00AF244D"/>
    <w:rsid w:val="00AF327F"/>
    <w:rsid w:val="00AF3347"/>
    <w:rsid w:val="00AF35BF"/>
    <w:rsid w:val="00AF3676"/>
    <w:rsid w:val="00AF3C10"/>
    <w:rsid w:val="00AF3EDD"/>
    <w:rsid w:val="00AF43F8"/>
    <w:rsid w:val="00AF45FB"/>
    <w:rsid w:val="00AF4B54"/>
    <w:rsid w:val="00AF58C9"/>
    <w:rsid w:val="00AF5D92"/>
    <w:rsid w:val="00AF5FA7"/>
    <w:rsid w:val="00AF669C"/>
    <w:rsid w:val="00AF680F"/>
    <w:rsid w:val="00AF6F95"/>
    <w:rsid w:val="00AF70FE"/>
    <w:rsid w:val="00AF72CD"/>
    <w:rsid w:val="00AF78F5"/>
    <w:rsid w:val="00AF7C65"/>
    <w:rsid w:val="00B000BD"/>
    <w:rsid w:val="00B00DC9"/>
    <w:rsid w:val="00B02158"/>
    <w:rsid w:val="00B02653"/>
    <w:rsid w:val="00B02738"/>
    <w:rsid w:val="00B044F7"/>
    <w:rsid w:val="00B047B3"/>
    <w:rsid w:val="00B04837"/>
    <w:rsid w:val="00B04D87"/>
    <w:rsid w:val="00B050AD"/>
    <w:rsid w:val="00B05321"/>
    <w:rsid w:val="00B054D8"/>
    <w:rsid w:val="00B05B18"/>
    <w:rsid w:val="00B05E07"/>
    <w:rsid w:val="00B06ED2"/>
    <w:rsid w:val="00B107A3"/>
    <w:rsid w:val="00B10CA4"/>
    <w:rsid w:val="00B1111B"/>
    <w:rsid w:val="00B112A7"/>
    <w:rsid w:val="00B11329"/>
    <w:rsid w:val="00B1161E"/>
    <w:rsid w:val="00B11999"/>
    <w:rsid w:val="00B11DF1"/>
    <w:rsid w:val="00B12969"/>
    <w:rsid w:val="00B12BE7"/>
    <w:rsid w:val="00B12BE9"/>
    <w:rsid w:val="00B13AF9"/>
    <w:rsid w:val="00B13C20"/>
    <w:rsid w:val="00B13DAC"/>
    <w:rsid w:val="00B14531"/>
    <w:rsid w:val="00B146E3"/>
    <w:rsid w:val="00B148A2"/>
    <w:rsid w:val="00B14D92"/>
    <w:rsid w:val="00B14EC9"/>
    <w:rsid w:val="00B15286"/>
    <w:rsid w:val="00B15BDF"/>
    <w:rsid w:val="00B15ED3"/>
    <w:rsid w:val="00B173F3"/>
    <w:rsid w:val="00B17452"/>
    <w:rsid w:val="00B176E5"/>
    <w:rsid w:val="00B179A4"/>
    <w:rsid w:val="00B17ECB"/>
    <w:rsid w:val="00B17F7F"/>
    <w:rsid w:val="00B17FB6"/>
    <w:rsid w:val="00B2084C"/>
    <w:rsid w:val="00B20CA9"/>
    <w:rsid w:val="00B213A4"/>
    <w:rsid w:val="00B2177C"/>
    <w:rsid w:val="00B21B4A"/>
    <w:rsid w:val="00B22193"/>
    <w:rsid w:val="00B22448"/>
    <w:rsid w:val="00B22B62"/>
    <w:rsid w:val="00B22CCA"/>
    <w:rsid w:val="00B22E87"/>
    <w:rsid w:val="00B23FC6"/>
    <w:rsid w:val="00B24029"/>
    <w:rsid w:val="00B244C5"/>
    <w:rsid w:val="00B24BC9"/>
    <w:rsid w:val="00B24CC5"/>
    <w:rsid w:val="00B257B3"/>
    <w:rsid w:val="00B25965"/>
    <w:rsid w:val="00B26532"/>
    <w:rsid w:val="00B279F3"/>
    <w:rsid w:val="00B30308"/>
    <w:rsid w:val="00B310D7"/>
    <w:rsid w:val="00B31348"/>
    <w:rsid w:val="00B31724"/>
    <w:rsid w:val="00B3238F"/>
    <w:rsid w:val="00B32D36"/>
    <w:rsid w:val="00B33217"/>
    <w:rsid w:val="00B33377"/>
    <w:rsid w:val="00B33B88"/>
    <w:rsid w:val="00B3597D"/>
    <w:rsid w:val="00B35FF8"/>
    <w:rsid w:val="00B36A17"/>
    <w:rsid w:val="00B36ADD"/>
    <w:rsid w:val="00B36DC9"/>
    <w:rsid w:val="00B36E1D"/>
    <w:rsid w:val="00B371E7"/>
    <w:rsid w:val="00B377CD"/>
    <w:rsid w:val="00B37ECE"/>
    <w:rsid w:val="00B37F7C"/>
    <w:rsid w:val="00B37FC8"/>
    <w:rsid w:val="00B40A8A"/>
    <w:rsid w:val="00B41D5D"/>
    <w:rsid w:val="00B42244"/>
    <w:rsid w:val="00B4261F"/>
    <w:rsid w:val="00B426CB"/>
    <w:rsid w:val="00B42729"/>
    <w:rsid w:val="00B42A1A"/>
    <w:rsid w:val="00B42B2B"/>
    <w:rsid w:val="00B42F28"/>
    <w:rsid w:val="00B438BD"/>
    <w:rsid w:val="00B43B64"/>
    <w:rsid w:val="00B43D16"/>
    <w:rsid w:val="00B44092"/>
    <w:rsid w:val="00B44645"/>
    <w:rsid w:val="00B44A69"/>
    <w:rsid w:val="00B44C1A"/>
    <w:rsid w:val="00B44EDC"/>
    <w:rsid w:val="00B45547"/>
    <w:rsid w:val="00B45594"/>
    <w:rsid w:val="00B45C2C"/>
    <w:rsid w:val="00B45CC9"/>
    <w:rsid w:val="00B46138"/>
    <w:rsid w:val="00B46AEF"/>
    <w:rsid w:val="00B46C58"/>
    <w:rsid w:val="00B4742A"/>
    <w:rsid w:val="00B476FE"/>
    <w:rsid w:val="00B47832"/>
    <w:rsid w:val="00B50652"/>
    <w:rsid w:val="00B50FA7"/>
    <w:rsid w:val="00B512E8"/>
    <w:rsid w:val="00B515CC"/>
    <w:rsid w:val="00B51F1B"/>
    <w:rsid w:val="00B520F3"/>
    <w:rsid w:val="00B523C6"/>
    <w:rsid w:val="00B52447"/>
    <w:rsid w:val="00B52708"/>
    <w:rsid w:val="00B5293F"/>
    <w:rsid w:val="00B53BCA"/>
    <w:rsid w:val="00B54481"/>
    <w:rsid w:val="00B54656"/>
    <w:rsid w:val="00B54DE0"/>
    <w:rsid w:val="00B5503F"/>
    <w:rsid w:val="00B555C7"/>
    <w:rsid w:val="00B56A13"/>
    <w:rsid w:val="00B56A49"/>
    <w:rsid w:val="00B56E01"/>
    <w:rsid w:val="00B5704F"/>
    <w:rsid w:val="00B572CF"/>
    <w:rsid w:val="00B57BBB"/>
    <w:rsid w:val="00B57E0F"/>
    <w:rsid w:val="00B6018A"/>
    <w:rsid w:val="00B602F5"/>
    <w:rsid w:val="00B618FD"/>
    <w:rsid w:val="00B61ACC"/>
    <w:rsid w:val="00B61F0B"/>
    <w:rsid w:val="00B628D6"/>
    <w:rsid w:val="00B63633"/>
    <w:rsid w:val="00B65355"/>
    <w:rsid w:val="00B65500"/>
    <w:rsid w:val="00B65966"/>
    <w:rsid w:val="00B65C92"/>
    <w:rsid w:val="00B6663E"/>
    <w:rsid w:val="00B67188"/>
    <w:rsid w:val="00B677AB"/>
    <w:rsid w:val="00B67BC2"/>
    <w:rsid w:val="00B67D70"/>
    <w:rsid w:val="00B67F2A"/>
    <w:rsid w:val="00B67FB7"/>
    <w:rsid w:val="00B7035E"/>
    <w:rsid w:val="00B7077D"/>
    <w:rsid w:val="00B7143D"/>
    <w:rsid w:val="00B71FC3"/>
    <w:rsid w:val="00B72E98"/>
    <w:rsid w:val="00B73BFA"/>
    <w:rsid w:val="00B740D6"/>
    <w:rsid w:val="00B74DAD"/>
    <w:rsid w:val="00B75246"/>
    <w:rsid w:val="00B756B5"/>
    <w:rsid w:val="00B75D83"/>
    <w:rsid w:val="00B76008"/>
    <w:rsid w:val="00B761B2"/>
    <w:rsid w:val="00B769ED"/>
    <w:rsid w:val="00B76A2F"/>
    <w:rsid w:val="00B76E88"/>
    <w:rsid w:val="00B80478"/>
    <w:rsid w:val="00B80E05"/>
    <w:rsid w:val="00B81175"/>
    <w:rsid w:val="00B812DC"/>
    <w:rsid w:val="00B8203B"/>
    <w:rsid w:val="00B82271"/>
    <w:rsid w:val="00B8227C"/>
    <w:rsid w:val="00B82A9B"/>
    <w:rsid w:val="00B835A0"/>
    <w:rsid w:val="00B8363A"/>
    <w:rsid w:val="00B83C9A"/>
    <w:rsid w:val="00B84047"/>
    <w:rsid w:val="00B845CC"/>
    <w:rsid w:val="00B84767"/>
    <w:rsid w:val="00B84783"/>
    <w:rsid w:val="00B849D4"/>
    <w:rsid w:val="00B84FCE"/>
    <w:rsid w:val="00B85E76"/>
    <w:rsid w:val="00B85FC2"/>
    <w:rsid w:val="00B87F22"/>
    <w:rsid w:val="00B90697"/>
    <w:rsid w:val="00B90919"/>
    <w:rsid w:val="00B90E27"/>
    <w:rsid w:val="00B91616"/>
    <w:rsid w:val="00B918DF"/>
    <w:rsid w:val="00B91DC5"/>
    <w:rsid w:val="00B92651"/>
    <w:rsid w:val="00B92B00"/>
    <w:rsid w:val="00B92E2F"/>
    <w:rsid w:val="00B9304A"/>
    <w:rsid w:val="00B930F9"/>
    <w:rsid w:val="00B931C9"/>
    <w:rsid w:val="00B93809"/>
    <w:rsid w:val="00B93817"/>
    <w:rsid w:val="00B93B04"/>
    <w:rsid w:val="00B93D50"/>
    <w:rsid w:val="00B93DBC"/>
    <w:rsid w:val="00B94023"/>
    <w:rsid w:val="00B9425B"/>
    <w:rsid w:val="00B9426D"/>
    <w:rsid w:val="00B944DC"/>
    <w:rsid w:val="00B947D2"/>
    <w:rsid w:val="00B94BAC"/>
    <w:rsid w:val="00B95FA7"/>
    <w:rsid w:val="00B9620D"/>
    <w:rsid w:val="00B965F5"/>
    <w:rsid w:val="00B967E8"/>
    <w:rsid w:val="00B967F2"/>
    <w:rsid w:val="00B979FF"/>
    <w:rsid w:val="00BA0164"/>
    <w:rsid w:val="00BA01DC"/>
    <w:rsid w:val="00BA0206"/>
    <w:rsid w:val="00BA021B"/>
    <w:rsid w:val="00BA0A5C"/>
    <w:rsid w:val="00BA0A65"/>
    <w:rsid w:val="00BA1E49"/>
    <w:rsid w:val="00BA1F45"/>
    <w:rsid w:val="00BA2127"/>
    <w:rsid w:val="00BA2328"/>
    <w:rsid w:val="00BA2853"/>
    <w:rsid w:val="00BA33B7"/>
    <w:rsid w:val="00BA364D"/>
    <w:rsid w:val="00BA380E"/>
    <w:rsid w:val="00BA3BA9"/>
    <w:rsid w:val="00BA402E"/>
    <w:rsid w:val="00BA41D7"/>
    <w:rsid w:val="00BA457A"/>
    <w:rsid w:val="00BA4A0B"/>
    <w:rsid w:val="00BA4B38"/>
    <w:rsid w:val="00BA4E15"/>
    <w:rsid w:val="00BA5434"/>
    <w:rsid w:val="00BA5BBD"/>
    <w:rsid w:val="00BA6473"/>
    <w:rsid w:val="00BA661F"/>
    <w:rsid w:val="00BA67CC"/>
    <w:rsid w:val="00BA6D14"/>
    <w:rsid w:val="00BA77A8"/>
    <w:rsid w:val="00BA7939"/>
    <w:rsid w:val="00BA7955"/>
    <w:rsid w:val="00BB03A4"/>
    <w:rsid w:val="00BB0482"/>
    <w:rsid w:val="00BB1EF4"/>
    <w:rsid w:val="00BB28E4"/>
    <w:rsid w:val="00BB331B"/>
    <w:rsid w:val="00BB36DF"/>
    <w:rsid w:val="00BB455E"/>
    <w:rsid w:val="00BB54B2"/>
    <w:rsid w:val="00BB6400"/>
    <w:rsid w:val="00BB733B"/>
    <w:rsid w:val="00BB781C"/>
    <w:rsid w:val="00BB7CC0"/>
    <w:rsid w:val="00BC0251"/>
    <w:rsid w:val="00BC05FA"/>
    <w:rsid w:val="00BC135F"/>
    <w:rsid w:val="00BC1C3B"/>
    <w:rsid w:val="00BC1D01"/>
    <w:rsid w:val="00BC246D"/>
    <w:rsid w:val="00BC2DB2"/>
    <w:rsid w:val="00BC3111"/>
    <w:rsid w:val="00BC32B3"/>
    <w:rsid w:val="00BC33F1"/>
    <w:rsid w:val="00BC3A6F"/>
    <w:rsid w:val="00BC3B53"/>
    <w:rsid w:val="00BC4417"/>
    <w:rsid w:val="00BC4968"/>
    <w:rsid w:val="00BC4C1E"/>
    <w:rsid w:val="00BC4CA2"/>
    <w:rsid w:val="00BC54D6"/>
    <w:rsid w:val="00BC58A7"/>
    <w:rsid w:val="00BC6193"/>
    <w:rsid w:val="00BC6B52"/>
    <w:rsid w:val="00BC6E82"/>
    <w:rsid w:val="00BC74D2"/>
    <w:rsid w:val="00BC75CF"/>
    <w:rsid w:val="00BD0566"/>
    <w:rsid w:val="00BD06F8"/>
    <w:rsid w:val="00BD08B6"/>
    <w:rsid w:val="00BD0C1E"/>
    <w:rsid w:val="00BD179D"/>
    <w:rsid w:val="00BD21FB"/>
    <w:rsid w:val="00BD25C5"/>
    <w:rsid w:val="00BD265E"/>
    <w:rsid w:val="00BD3549"/>
    <w:rsid w:val="00BD378F"/>
    <w:rsid w:val="00BD38B2"/>
    <w:rsid w:val="00BD4206"/>
    <w:rsid w:val="00BD42CC"/>
    <w:rsid w:val="00BD4398"/>
    <w:rsid w:val="00BD4520"/>
    <w:rsid w:val="00BD47F1"/>
    <w:rsid w:val="00BD5769"/>
    <w:rsid w:val="00BD584D"/>
    <w:rsid w:val="00BD5D51"/>
    <w:rsid w:val="00BD6274"/>
    <w:rsid w:val="00BD62B0"/>
    <w:rsid w:val="00BD7372"/>
    <w:rsid w:val="00BD75C9"/>
    <w:rsid w:val="00BD7E5D"/>
    <w:rsid w:val="00BE0CCE"/>
    <w:rsid w:val="00BE0E9F"/>
    <w:rsid w:val="00BE157B"/>
    <w:rsid w:val="00BE1A4C"/>
    <w:rsid w:val="00BE1CAD"/>
    <w:rsid w:val="00BE2167"/>
    <w:rsid w:val="00BE220E"/>
    <w:rsid w:val="00BE26E0"/>
    <w:rsid w:val="00BE2936"/>
    <w:rsid w:val="00BE2E7D"/>
    <w:rsid w:val="00BE347C"/>
    <w:rsid w:val="00BE393D"/>
    <w:rsid w:val="00BE4CB0"/>
    <w:rsid w:val="00BE4D2E"/>
    <w:rsid w:val="00BE5B15"/>
    <w:rsid w:val="00BE5F2F"/>
    <w:rsid w:val="00BE671A"/>
    <w:rsid w:val="00BE693E"/>
    <w:rsid w:val="00BE6C8F"/>
    <w:rsid w:val="00BE6F7A"/>
    <w:rsid w:val="00BE6FA9"/>
    <w:rsid w:val="00BE7E2E"/>
    <w:rsid w:val="00BF037F"/>
    <w:rsid w:val="00BF0484"/>
    <w:rsid w:val="00BF08DB"/>
    <w:rsid w:val="00BF1C6F"/>
    <w:rsid w:val="00BF21C1"/>
    <w:rsid w:val="00BF2809"/>
    <w:rsid w:val="00BF2FEA"/>
    <w:rsid w:val="00BF30D4"/>
    <w:rsid w:val="00BF38AF"/>
    <w:rsid w:val="00BF40A0"/>
    <w:rsid w:val="00BF45AB"/>
    <w:rsid w:val="00BF4FED"/>
    <w:rsid w:val="00BF5201"/>
    <w:rsid w:val="00BF57F5"/>
    <w:rsid w:val="00BF5AC4"/>
    <w:rsid w:val="00BF61E9"/>
    <w:rsid w:val="00BF6832"/>
    <w:rsid w:val="00BF6D41"/>
    <w:rsid w:val="00BF6F6D"/>
    <w:rsid w:val="00BF7342"/>
    <w:rsid w:val="00BF785B"/>
    <w:rsid w:val="00C001D5"/>
    <w:rsid w:val="00C00B0E"/>
    <w:rsid w:val="00C0102B"/>
    <w:rsid w:val="00C0147C"/>
    <w:rsid w:val="00C014C1"/>
    <w:rsid w:val="00C01FA8"/>
    <w:rsid w:val="00C0227C"/>
    <w:rsid w:val="00C02F11"/>
    <w:rsid w:val="00C03D99"/>
    <w:rsid w:val="00C03EF2"/>
    <w:rsid w:val="00C040A9"/>
    <w:rsid w:val="00C0451D"/>
    <w:rsid w:val="00C04A7C"/>
    <w:rsid w:val="00C04B48"/>
    <w:rsid w:val="00C04C03"/>
    <w:rsid w:val="00C0569B"/>
    <w:rsid w:val="00C06E43"/>
    <w:rsid w:val="00C070B8"/>
    <w:rsid w:val="00C07541"/>
    <w:rsid w:val="00C07A98"/>
    <w:rsid w:val="00C07FB0"/>
    <w:rsid w:val="00C108D5"/>
    <w:rsid w:val="00C11017"/>
    <w:rsid w:val="00C118D5"/>
    <w:rsid w:val="00C12414"/>
    <w:rsid w:val="00C12E4F"/>
    <w:rsid w:val="00C12EA3"/>
    <w:rsid w:val="00C12ECE"/>
    <w:rsid w:val="00C13354"/>
    <w:rsid w:val="00C13819"/>
    <w:rsid w:val="00C13A8B"/>
    <w:rsid w:val="00C13D2C"/>
    <w:rsid w:val="00C13E2E"/>
    <w:rsid w:val="00C13EC6"/>
    <w:rsid w:val="00C142B6"/>
    <w:rsid w:val="00C14AC4"/>
    <w:rsid w:val="00C1566B"/>
    <w:rsid w:val="00C156D3"/>
    <w:rsid w:val="00C1581B"/>
    <w:rsid w:val="00C159F6"/>
    <w:rsid w:val="00C174C0"/>
    <w:rsid w:val="00C20A0D"/>
    <w:rsid w:val="00C218A0"/>
    <w:rsid w:val="00C21C43"/>
    <w:rsid w:val="00C224CB"/>
    <w:rsid w:val="00C22DDC"/>
    <w:rsid w:val="00C23112"/>
    <w:rsid w:val="00C23246"/>
    <w:rsid w:val="00C23282"/>
    <w:rsid w:val="00C236A0"/>
    <w:rsid w:val="00C237CD"/>
    <w:rsid w:val="00C23B33"/>
    <w:rsid w:val="00C23E7C"/>
    <w:rsid w:val="00C24081"/>
    <w:rsid w:val="00C2449B"/>
    <w:rsid w:val="00C2459D"/>
    <w:rsid w:val="00C2477A"/>
    <w:rsid w:val="00C252A1"/>
    <w:rsid w:val="00C253C2"/>
    <w:rsid w:val="00C25AE7"/>
    <w:rsid w:val="00C25D88"/>
    <w:rsid w:val="00C260BA"/>
    <w:rsid w:val="00C26161"/>
    <w:rsid w:val="00C26397"/>
    <w:rsid w:val="00C2648F"/>
    <w:rsid w:val="00C2685F"/>
    <w:rsid w:val="00C26CD5"/>
    <w:rsid w:val="00C3003A"/>
    <w:rsid w:val="00C301BE"/>
    <w:rsid w:val="00C3032F"/>
    <w:rsid w:val="00C321BA"/>
    <w:rsid w:val="00C32644"/>
    <w:rsid w:val="00C3285F"/>
    <w:rsid w:val="00C32C0C"/>
    <w:rsid w:val="00C33463"/>
    <w:rsid w:val="00C33A78"/>
    <w:rsid w:val="00C34635"/>
    <w:rsid w:val="00C34B50"/>
    <w:rsid w:val="00C34E43"/>
    <w:rsid w:val="00C34FCF"/>
    <w:rsid w:val="00C35324"/>
    <w:rsid w:val="00C35DA2"/>
    <w:rsid w:val="00C3646E"/>
    <w:rsid w:val="00C369B7"/>
    <w:rsid w:val="00C36ED9"/>
    <w:rsid w:val="00C37AA6"/>
    <w:rsid w:val="00C37CDA"/>
    <w:rsid w:val="00C4029E"/>
    <w:rsid w:val="00C40424"/>
    <w:rsid w:val="00C404A3"/>
    <w:rsid w:val="00C404CD"/>
    <w:rsid w:val="00C40F8F"/>
    <w:rsid w:val="00C41BE1"/>
    <w:rsid w:val="00C41D12"/>
    <w:rsid w:val="00C423B8"/>
    <w:rsid w:val="00C424F4"/>
    <w:rsid w:val="00C42857"/>
    <w:rsid w:val="00C42F3A"/>
    <w:rsid w:val="00C433D4"/>
    <w:rsid w:val="00C435E6"/>
    <w:rsid w:val="00C4446C"/>
    <w:rsid w:val="00C44833"/>
    <w:rsid w:val="00C45129"/>
    <w:rsid w:val="00C45296"/>
    <w:rsid w:val="00C45DDB"/>
    <w:rsid w:val="00C45E9F"/>
    <w:rsid w:val="00C4600B"/>
    <w:rsid w:val="00C462A7"/>
    <w:rsid w:val="00C46617"/>
    <w:rsid w:val="00C46F59"/>
    <w:rsid w:val="00C50076"/>
    <w:rsid w:val="00C50155"/>
    <w:rsid w:val="00C50B57"/>
    <w:rsid w:val="00C522DD"/>
    <w:rsid w:val="00C53220"/>
    <w:rsid w:val="00C5343E"/>
    <w:rsid w:val="00C53B6B"/>
    <w:rsid w:val="00C53F01"/>
    <w:rsid w:val="00C53F3B"/>
    <w:rsid w:val="00C5413C"/>
    <w:rsid w:val="00C547FC"/>
    <w:rsid w:val="00C54CEB"/>
    <w:rsid w:val="00C54CF0"/>
    <w:rsid w:val="00C5507D"/>
    <w:rsid w:val="00C550E8"/>
    <w:rsid w:val="00C55891"/>
    <w:rsid w:val="00C55CA9"/>
    <w:rsid w:val="00C5614B"/>
    <w:rsid w:val="00C56855"/>
    <w:rsid w:val="00C574BC"/>
    <w:rsid w:val="00C57610"/>
    <w:rsid w:val="00C57681"/>
    <w:rsid w:val="00C60FFF"/>
    <w:rsid w:val="00C61892"/>
    <w:rsid w:val="00C61D5A"/>
    <w:rsid w:val="00C62363"/>
    <w:rsid w:val="00C6281D"/>
    <w:rsid w:val="00C62A19"/>
    <w:rsid w:val="00C62A2D"/>
    <w:rsid w:val="00C62EB9"/>
    <w:rsid w:val="00C6347F"/>
    <w:rsid w:val="00C63B63"/>
    <w:rsid w:val="00C63E17"/>
    <w:rsid w:val="00C64821"/>
    <w:rsid w:val="00C65427"/>
    <w:rsid w:val="00C65896"/>
    <w:rsid w:val="00C65D40"/>
    <w:rsid w:val="00C65F03"/>
    <w:rsid w:val="00C66171"/>
    <w:rsid w:val="00C66610"/>
    <w:rsid w:val="00C67A42"/>
    <w:rsid w:val="00C70417"/>
    <w:rsid w:val="00C7075F"/>
    <w:rsid w:val="00C70A22"/>
    <w:rsid w:val="00C70DA7"/>
    <w:rsid w:val="00C70F35"/>
    <w:rsid w:val="00C71748"/>
    <w:rsid w:val="00C71D7B"/>
    <w:rsid w:val="00C71E8D"/>
    <w:rsid w:val="00C728D7"/>
    <w:rsid w:val="00C72B9E"/>
    <w:rsid w:val="00C732E4"/>
    <w:rsid w:val="00C74230"/>
    <w:rsid w:val="00C7430B"/>
    <w:rsid w:val="00C74368"/>
    <w:rsid w:val="00C743B3"/>
    <w:rsid w:val="00C74B0A"/>
    <w:rsid w:val="00C756C5"/>
    <w:rsid w:val="00C7597F"/>
    <w:rsid w:val="00C75E2D"/>
    <w:rsid w:val="00C75EC0"/>
    <w:rsid w:val="00C761D9"/>
    <w:rsid w:val="00C76374"/>
    <w:rsid w:val="00C76D8B"/>
    <w:rsid w:val="00C76E62"/>
    <w:rsid w:val="00C76EF3"/>
    <w:rsid w:val="00C76FE8"/>
    <w:rsid w:val="00C777FB"/>
    <w:rsid w:val="00C778A4"/>
    <w:rsid w:val="00C77A3E"/>
    <w:rsid w:val="00C80243"/>
    <w:rsid w:val="00C80520"/>
    <w:rsid w:val="00C80751"/>
    <w:rsid w:val="00C80B69"/>
    <w:rsid w:val="00C811F9"/>
    <w:rsid w:val="00C815BE"/>
    <w:rsid w:val="00C816E6"/>
    <w:rsid w:val="00C81DA3"/>
    <w:rsid w:val="00C81E24"/>
    <w:rsid w:val="00C823CB"/>
    <w:rsid w:val="00C82898"/>
    <w:rsid w:val="00C82C08"/>
    <w:rsid w:val="00C837EF"/>
    <w:rsid w:val="00C8385A"/>
    <w:rsid w:val="00C83DB0"/>
    <w:rsid w:val="00C83FF0"/>
    <w:rsid w:val="00C84089"/>
    <w:rsid w:val="00C8444B"/>
    <w:rsid w:val="00C846B1"/>
    <w:rsid w:val="00C84EB3"/>
    <w:rsid w:val="00C8533A"/>
    <w:rsid w:val="00C85691"/>
    <w:rsid w:val="00C857FA"/>
    <w:rsid w:val="00C861CD"/>
    <w:rsid w:val="00C8647A"/>
    <w:rsid w:val="00C86540"/>
    <w:rsid w:val="00C873FB"/>
    <w:rsid w:val="00C87518"/>
    <w:rsid w:val="00C87625"/>
    <w:rsid w:val="00C87769"/>
    <w:rsid w:val="00C87B61"/>
    <w:rsid w:val="00C903F1"/>
    <w:rsid w:val="00C9050E"/>
    <w:rsid w:val="00C905F6"/>
    <w:rsid w:val="00C90BAF"/>
    <w:rsid w:val="00C911CA"/>
    <w:rsid w:val="00C917F4"/>
    <w:rsid w:val="00C923B9"/>
    <w:rsid w:val="00C926B7"/>
    <w:rsid w:val="00C92E77"/>
    <w:rsid w:val="00C93983"/>
    <w:rsid w:val="00C94A65"/>
    <w:rsid w:val="00C94D7F"/>
    <w:rsid w:val="00C94F60"/>
    <w:rsid w:val="00C95575"/>
    <w:rsid w:val="00C95BD0"/>
    <w:rsid w:val="00C95C6E"/>
    <w:rsid w:val="00CA01EA"/>
    <w:rsid w:val="00CA07B4"/>
    <w:rsid w:val="00CA0B11"/>
    <w:rsid w:val="00CA1224"/>
    <w:rsid w:val="00CA224F"/>
    <w:rsid w:val="00CA3290"/>
    <w:rsid w:val="00CA37A6"/>
    <w:rsid w:val="00CA37A8"/>
    <w:rsid w:val="00CA3B71"/>
    <w:rsid w:val="00CA3BEB"/>
    <w:rsid w:val="00CA3FCC"/>
    <w:rsid w:val="00CA3FCD"/>
    <w:rsid w:val="00CA408C"/>
    <w:rsid w:val="00CA40D6"/>
    <w:rsid w:val="00CA431F"/>
    <w:rsid w:val="00CA4745"/>
    <w:rsid w:val="00CA52D8"/>
    <w:rsid w:val="00CA5B5F"/>
    <w:rsid w:val="00CA5D73"/>
    <w:rsid w:val="00CA6077"/>
    <w:rsid w:val="00CA6285"/>
    <w:rsid w:val="00CA6E8E"/>
    <w:rsid w:val="00CA74E3"/>
    <w:rsid w:val="00CA7A0E"/>
    <w:rsid w:val="00CA7C7A"/>
    <w:rsid w:val="00CA7DCF"/>
    <w:rsid w:val="00CA7FD8"/>
    <w:rsid w:val="00CB0796"/>
    <w:rsid w:val="00CB0B12"/>
    <w:rsid w:val="00CB128C"/>
    <w:rsid w:val="00CB2585"/>
    <w:rsid w:val="00CB2BE0"/>
    <w:rsid w:val="00CB2E09"/>
    <w:rsid w:val="00CB39AA"/>
    <w:rsid w:val="00CB3E80"/>
    <w:rsid w:val="00CB4448"/>
    <w:rsid w:val="00CB4BFB"/>
    <w:rsid w:val="00CB51C8"/>
    <w:rsid w:val="00CB566D"/>
    <w:rsid w:val="00CB5F58"/>
    <w:rsid w:val="00CB63B0"/>
    <w:rsid w:val="00CB6FC7"/>
    <w:rsid w:val="00CB72D5"/>
    <w:rsid w:val="00CC0499"/>
    <w:rsid w:val="00CC17AF"/>
    <w:rsid w:val="00CC1965"/>
    <w:rsid w:val="00CC1B24"/>
    <w:rsid w:val="00CC1B26"/>
    <w:rsid w:val="00CC2A84"/>
    <w:rsid w:val="00CC30A5"/>
    <w:rsid w:val="00CC3BFD"/>
    <w:rsid w:val="00CC3E88"/>
    <w:rsid w:val="00CC3F05"/>
    <w:rsid w:val="00CC42EE"/>
    <w:rsid w:val="00CC432B"/>
    <w:rsid w:val="00CC4446"/>
    <w:rsid w:val="00CC4C68"/>
    <w:rsid w:val="00CC617B"/>
    <w:rsid w:val="00CC7716"/>
    <w:rsid w:val="00CD027E"/>
    <w:rsid w:val="00CD0C68"/>
    <w:rsid w:val="00CD0CD8"/>
    <w:rsid w:val="00CD0CFE"/>
    <w:rsid w:val="00CD1907"/>
    <w:rsid w:val="00CD1EC1"/>
    <w:rsid w:val="00CD2C32"/>
    <w:rsid w:val="00CD3CBA"/>
    <w:rsid w:val="00CD4384"/>
    <w:rsid w:val="00CD44E0"/>
    <w:rsid w:val="00CD44E8"/>
    <w:rsid w:val="00CD6305"/>
    <w:rsid w:val="00CD70F9"/>
    <w:rsid w:val="00CD7C5C"/>
    <w:rsid w:val="00CD7CBB"/>
    <w:rsid w:val="00CE01CA"/>
    <w:rsid w:val="00CE0C2D"/>
    <w:rsid w:val="00CE10F0"/>
    <w:rsid w:val="00CE1718"/>
    <w:rsid w:val="00CE213B"/>
    <w:rsid w:val="00CE2C92"/>
    <w:rsid w:val="00CE3025"/>
    <w:rsid w:val="00CE3367"/>
    <w:rsid w:val="00CE33DE"/>
    <w:rsid w:val="00CE3A33"/>
    <w:rsid w:val="00CE4717"/>
    <w:rsid w:val="00CE50C7"/>
    <w:rsid w:val="00CE5256"/>
    <w:rsid w:val="00CE54FE"/>
    <w:rsid w:val="00CE613A"/>
    <w:rsid w:val="00CE664E"/>
    <w:rsid w:val="00CE6962"/>
    <w:rsid w:val="00CE6BC7"/>
    <w:rsid w:val="00CE6D70"/>
    <w:rsid w:val="00CE6EE7"/>
    <w:rsid w:val="00CE70CB"/>
    <w:rsid w:val="00CE78E9"/>
    <w:rsid w:val="00CE7A19"/>
    <w:rsid w:val="00CE7D4D"/>
    <w:rsid w:val="00CE7DEB"/>
    <w:rsid w:val="00CE7FE8"/>
    <w:rsid w:val="00CF101B"/>
    <w:rsid w:val="00CF11E2"/>
    <w:rsid w:val="00CF1AFD"/>
    <w:rsid w:val="00CF201E"/>
    <w:rsid w:val="00CF224A"/>
    <w:rsid w:val="00CF3221"/>
    <w:rsid w:val="00CF335D"/>
    <w:rsid w:val="00CF3AFF"/>
    <w:rsid w:val="00CF3C0E"/>
    <w:rsid w:val="00CF3D0F"/>
    <w:rsid w:val="00CF4669"/>
    <w:rsid w:val="00CF5482"/>
    <w:rsid w:val="00CF65F1"/>
    <w:rsid w:val="00CF7268"/>
    <w:rsid w:val="00CF7618"/>
    <w:rsid w:val="00CF7D47"/>
    <w:rsid w:val="00CF7D89"/>
    <w:rsid w:val="00CF7FEB"/>
    <w:rsid w:val="00D01097"/>
    <w:rsid w:val="00D01141"/>
    <w:rsid w:val="00D013D2"/>
    <w:rsid w:val="00D01C64"/>
    <w:rsid w:val="00D01C7A"/>
    <w:rsid w:val="00D020B8"/>
    <w:rsid w:val="00D0279D"/>
    <w:rsid w:val="00D02F65"/>
    <w:rsid w:val="00D0313A"/>
    <w:rsid w:val="00D037F1"/>
    <w:rsid w:val="00D038FE"/>
    <w:rsid w:val="00D03B0E"/>
    <w:rsid w:val="00D0466B"/>
    <w:rsid w:val="00D053E4"/>
    <w:rsid w:val="00D05422"/>
    <w:rsid w:val="00D057ED"/>
    <w:rsid w:val="00D05F52"/>
    <w:rsid w:val="00D061E0"/>
    <w:rsid w:val="00D0641C"/>
    <w:rsid w:val="00D0683A"/>
    <w:rsid w:val="00D06C12"/>
    <w:rsid w:val="00D06E86"/>
    <w:rsid w:val="00D07194"/>
    <w:rsid w:val="00D07319"/>
    <w:rsid w:val="00D07445"/>
    <w:rsid w:val="00D0751B"/>
    <w:rsid w:val="00D07DFA"/>
    <w:rsid w:val="00D07F0C"/>
    <w:rsid w:val="00D101C1"/>
    <w:rsid w:val="00D103EE"/>
    <w:rsid w:val="00D109C3"/>
    <w:rsid w:val="00D109D8"/>
    <w:rsid w:val="00D10E78"/>
    <w:rsid w:val="00D11595"/>
    <w:rsid w:val="00D1166B"/>
    <w:rsid w:val="00D116BB"/>
    <w:rsid w:val="00D11A03"/>
    <w:rsid w:val="00D11BE8"/>
    <w:rsid w:val="00D11DC4"/>
    <w:rsid w:val="00D12316"/>
    <w:rsid w:val="00D12448"/>
    <w:rsid w:val="00D13873"/>
    <w:rsid w:val="00D13AAF"/>
    <w:rsid w:val="00D13CFF"/>
    <w:rsid w:val="00D146BB"/>
    <w:rsid w:val="00D14A37"/>
    <w:rsid w:val="00D156FD"/>
    <w:rsid w:val="00D1571D"/>
    <w:rsid w:val="00D157CC"/>
    <w:rsid w:val="00D1623D"/>
    <w:rsid w:val="00D170F1"/>
    <w:rsid w:val="00D17A30"/>
    <w:rsid w:val="00D21961"/>
    <w:rsid w:val="00D21970"/>
    <w:rsid w:val="00D2222D"/>
    <w:rsid w:val="00D22D45"/>
    <w:rsid w:val="00D232D0"/>
    <w:rsid w:val="00D232FE"/>
    <w:rsid w:val="00D238C0"/>
    <w:rsid w:val="00D240CE"/>
    <w:rsid w:val="00D244B5"/>
    <w:rsid w:val="00D24655"/>
    <w:rsid w:val="00D2560E"/>
    <w:rsid w:val="00D259A3"/>
    <w:rsid w:val="00D25A30"/>
    <w:rsid w:val="00D25E1A"/>
    <w:rsid w:val="00D262FA"/>
    <w:rsid w:val="00D26E0C"/>
    <w:rsid w:val="00D27ABD"/>
    <w:rsid w:val="00D3038E"/>
    <w:rsid w:val="00D3117C"/>
    <w:rsid w:val="00D31AC9"/>
    <w:rsid w:val="00D3212A"/>
    <w:rsid w:val="00D328AE"/>
    <w:rsid w:val="00D32B36"/>
    <w:rsid w:val="00D33468"/>
    <w:rsid w:val="00D33FC4"/>
    <w:rsid w:val="00D345AA"/>
    <w:rsid w:val="00D34F86"/>
    <w:rsid w:val="00D3501F"/>
    <w:rsid w:val="00D35CEB"/>
    <w:rsid w:val="00D36E86"/>
    <w:rsid w:val="00D37772"/>
    <w:rsid w:val="00D379BE"/>
    <w:rsid w:val="00D37BA5"/>
    <w:rsid w:val="00D37DC8"/>
    <w:rsid w:val="00D40293"/>
    <w:rsid w:val="00D40CCA"/>
    <w:rsid w:val="00D40EF1"/>
    <w:rsid w:val="00D418A5"/>
    <w:rsid w:val="00D41A7E"/>
    <w:rsid w:val="00D42D14"/>
    <w:rsid w:val="00D42FEF"/>
    <w:rsid w:val="00D430F0"/>
    <w:rsid w:val="00D432D7"/>
    <w:rsid w:val="00D43CD4"/>
    <w:rsid w:val="00D43DFE"/>
    <w:rsid w:val="00D44675"/>
    <w:rsid w:val="00D44A8D"/>
    <w:rsid w:val="00D461F8"/>
    <w:rsid w:val="00D46257"/>
    <w:rsid w:val="00D46841"/>
    <w:rsid w:val="00D469E6"/>
    <w:rsid w:val="00D47152"/>
    <w:rsid w:val="00D4717A"/>
    <w:rsid w:val="00D476D4"/>
    <w:rsid w:val="00D50640"/>
    <w:rsid w:val="00D50740"/>
    <w:rsid w:val="00D5077D"/>
    <w:rsid w:val="00D507BE"/>
    <w:rsid w:val="00D50E31"/>
    <w:rsid w:val="00D51C5E"/>
    <w:rsid w:val="00D5210F"/>
    <w:rsid w:val="00D522DE"/>
    <w:rsid w:val="00D529A9"/>
    <w:rsid w:val="00D52F4C"/>
    <w:rsid w:val="00D531AB"/>
    <w:rsid w:val="00D53208"/>
    <w:rsid w:val="00D53474"/>
    <w:rsid w:val="00D53C31"/>
    <w:rsid w:val="00D54719"/>
    <w:rsid w:val="00D54EB3"/>
    <w:rsid w:val="00D5565C"/>
    <w:rsid w:val="00D564FB"/>
    <w:rsid w:val="00D565E1"/>
    <w:rsid w:val="00D573D0"/>
    <w:rsid w:val="00D578B7"/>
    <w:rsid w:val="00D57CFD"/>
    <w:rsid w:val="00D57D37"/>
    <w:rsid w:val="00D57EFF"/>
    <w:rsid w:val="00D60B69"/>
    <w:rsid w:val="00D60C85"/>
    <w:rsid w:val="00D61BF7"/>
    <w:rsid w:val="00D61C43"/>
    <w:rsid w:val="00D62CC2"/>
    <w:rsid w:val="00D62E4D"/>
    <w:rsid w:val="00D63A1D"/>
    <w:rsid w:val="00D64019"/>
    <w:rsid w:val="00D64A74"/>
    <w:rsid w:val="00D64D86"/>
    <w:rsid w:val="00D6513F"/>
    <w:rsid w:val="00D67485"/>
    <w:rsid w:val="00D67ABF"/>
    <w:rsid w:val="00D67B90"/>
    <w:rsid w:val="00D6E8E4"/>
    <w:rsid w:val="00D70322"/>
    <w:rsid w:val="00D7106B"/>
    <w:rsid w:val="00D7167F"/>
    <w:rsid w:val="00D71B0C"/>
    <w:rsid w:val="00D71BF2"/>
    <w:rsid w:val="00D71D2D"/>
    <w:rsid w:val="00D7206C"/>
    <w:rsid w:val="00D720F9"/>
    <w:rsid w:val="00D72546"/>
    <w:rsid w:val="00D7276B"/>
    <w:rsid w:val="00D7299A"/>
    <w:rsid w:val="00D729F6"/>
    <w:rsid w:val="00D72A21"/>
    <w:rsid w:val="00D72EFF"/>
    <w:rsid w:val="00D72F3F"/>
    <w:rsid w:val="00D7371D"/>
    <w:rsid w:val="00D73BBC"/>
    <w:rsid w:val="00D73F53"/>
    <w:rsid w:val="00D7475A"/>
    <w:rsid w:val="00D74EBF"/>
    <w:rsid w:val="00D75EA0"/>
    <w:rsid w:val="00D77066"/>
    <w:rsid w:val="00D770E4"/>
    <w:rsid w:val="00D775BD"/>
    <w:rsid w:val="00D77960"/>
    <w:rsid w:val="00D77D23"/>
    <w:rsid w:val="00D804DC"/>
    <w:rsid w:val="00D8086C"/>
    <w:rsid w:val="00D809FD"/>
    <w:rsid w:val="00D812DE"/>
    <w:rsid w:val="00D81602"/>
    <w:rsid w:val="00D81710"/>
    <w:rsid w:val="00D81C0E"/>
    <w:rsid w:val="00D8306E"/>
    <w:rsid w:val="00D830CE"/>
    <w:rsid w:val="00D83288"/>
    <w:rsid w:val="00D83439"/>
    <w:rsid w:val="00D83727"/>
    <w:rsid w:val="00D8380B"/>
    <w:rsid w:val="00D83A74"/>
    <w:rsid w:val="00D83D06"/>
    <w:rsid w:val="00D84752"/>
    <w:rsid w:val="00D849B9"/>
    <w:rsid w:val="00D84A2C"/>
    <w:rsid w:val="00D84C69"/>
    <w:rsid w:val="00D8562B"/>
    <w:rsid w:val="00D8564C"/>
    <w:rsid w:val="00D85C3C"/>
    <w:rsid w:val="00D868EE"/>
    <w:rsid w:val="00D86F6E"/>
    <w:rsid w:val="00D87184"/>
    <w:rsid w:val="00D87722"/>
    <w:rsid w:val="00D87E15"/>
    <w:rsid w:val="00D87F85"/>
    <w:rsid w:val="00D909AC"/>
    <w:rsid w:val="00D90F41"/>
    <w:rsid w:val="00D91C8C"/>
    <w:rsid w:val="00D921B4"/>
    <w:rsid w:val="00D9261A"/>
    <w:rsid w:val="00D9335C"/>
    <w:rsid w:val="00D933F5"/>
    <w:rsid w:val="00D93822"/>
    <w:rsid w:val="00D94A1B"/>
    <w:rsid w:val="00D94BD0"/>
    <w:rsid w:val="00D94E72"/>
    <w:rsid w:val="00D95464"/>
    <w:rsid w:val="00D957E3"/>
    <w:rsid w:val="00D96721"/>
    <w:rsid w:val="00D96796"/>
    <w:rsid w:val="00D96F01"/>
    <w:rsid w:val="00D97258"/>
    <w:rsid w:val="00D972C6"/>
    <w:rsid w:val="00D979D0"/>
    <w:rsid w:val="00D979D4"/>
    <w:rsid w:val="00D97F84"/>
    <w:rsid w:val="00DA0252"/>
    <w:rsid w:val="00DA0493"/>
    <w:rsid w:val="00DA0FA4"/>
    <w:rsid w:val="00DA17A5"/>
    <w:rsid w:val="00DA33DF"/>
    <w:rsid w:val="00DA36FF"/>
    <w:rsid w:val="00DA3954"/>
    <w:rsid w:val="00DA3B21"/>
    <w:rsid w:val="00DA449F"/>
    <w:rsid w:val="00DA4D27"/>
    <w:rsid w:val="00DA4D9B"/>
    <w:rsid w:val="00DA4FD1"/>
    <w:rsid w:val="00DA5025"/>
    <w:rsid w:val="00DA528E"/>
    <w:rsid w:val="00DA5A8F"/>
    <w:rsid w:val="00DA5F69"/>
    <w:rsid w:val="00DA6648"/>
    <w:rsid w:val="00DA6E0C"/>
    <w:rsid w:val="00DA6F64"/>
    <w:rsid w:val="00DA7583"/>
    <w:rsid w:val="00DA7BC6"/>
    <w:rsid w:val="00DB0CFD"/>
    <w:rsid w:val="00DB0E28"/>
    <w:rsid w:val="00DB11B0"/>
    <w:rsid w:val="00DB1810"/>
    <w:rsid w:val="00DB264E"/>
    <w:rsid w:val="00DB2B7C"/>
    <w:rsid w:val="00DB2D55"/>
    <w:rsid w:val="00DB429D"/>
    <w:rsid w:val="00DB4364"/>
    <w:rsid w:val="00DB46F7"/>
    <w:rsid w:val="00DB49F8"/>
    <w:rsid w:val="00DB4B5C"/>
    <w:rsid w:val="00DB56E2"/>
    <w:rsid w:val="00DB5E85"/>
    <w:rsid w:val="00DB6606"/>
    <w:rsid w:val="00DB777D"/>
    <w:rsid w:val="00DC04CF"/>
    <w:rsid w:val="00DC08A0"/>
    <w:rsid w:val="00DC08FE"/>
    <w:rsid w:val="00DC16B1"/>
    <w:rsid w:val="00DC2B5C"/>
    <w:rsid w:val="00DC337A"/>
    <w:rsid w:val="00DC350A"/>
    <w:rsid w:val="00DC4286"/>
    <w:rsid w:val="00DC4987"/>
    <w:rsid w:val="00DC5315"/>
    <w:rsid w:val="00DC5AC1"/>
    <w:rsid w:val="00DC64EE"/>
    <w:rsid w:val="00DC7B2C"/>
    <w:rsid w:val="00DC7BF6"/>
    <w:rsid w:val="00DC7D31"/>
    <w:rsid w:val="00DD034E"/>
    <w:rsid w:val="00DD04AD"/>
    <w:rsid w:val="00DD0D98"/>
    <w:rsid w:val="00DD1C04"/>
    <w:rsid w:val="00DD2207"/>
    <w:rsid w:val="00DD3211"/>
    <w:rsid w:val="00DD3900"/>
    <w:rsid w:val="00DD40F5"/>
    <w:rsid w:val="00DD42CC"/>
    <w:rsid w:val="00DD44F0"/>
    <w:rsid w:val="00DD4E63"/>
    <w:rsid w:val="00DD559A"/>
    <w:rsid w:val="00DD5B28"/>
    <w:rsid w:val="00DD5CFF"/>
    <w:rsid w:val="00DD6481"/>
    <w:rsid w:val="00DD6482"/>
    <w:rsid w:val="00DD64D7"/>
    <w:rsid w:val="00DD6F22"/>
    <w:rsid w:val="00DD727E"/>
    <w:rsid w:val="00DD734C"/>
    <w:rsid w:val="00DD7707"/>
    <w:rsid w:val="00DD791D"/>
    <w:rsid w:val="00DD7A4E"/>
    <w:rsid w:val="00DE0023"/>
    <w:rsid w:val="00DE0D22"/>
    <w:rsid w:val="00DE0EC6"/>
    <w:rsid w:val="00DE1299"/>
    <w:rsid w:val="00DE17B2"/>
    <w:rsid w:val="00DE1C4F"/>
    <w:rsid w:val="00DE1D1D"/>
    <w:rsid w:val="00DE2B72"/>
    <w:rsid w:val="00DE2BA6"/>
    <w:rsid w:val="00DE33C1"/>
    <w:rsid w:val="00DE35D9"/>
    <w:rsid w:val="00DE3918"/>
    <w:rsid w:val="00DE3E62"/>
    <w:rsid w:val="00DE5970"/>
    <w:rsid w:val="00DE5FFE"/>
    <w:rsid w:val="00DE6306"/>
    <w:rsid w:val="00DE68E7"/>
    <w:rsid w:val="00DE714A"/>
    <w:rsid w:val="00DE7384"/>
    <w:rsid w:val="00DE74F8"/>
    <w:rsid w:val="00DE75D0"/>
    <w:rsid w:val="00DE75EF"/>
    <w:rsid w:val="00DE7DB8"/>
    <w:rsid w:val="00DF046D"/>
    <w:rsid w:val="00DF0687"/>
    <w:rsid w:val="00DF0F9B"/>
    <w:rsid w:val="00DF1934"/>
    <w:rsid w:val="00DF21F6"/>
    <w:rsid w:val="00DF234E"/>
    <w:rsid w:val="00DF2971"/>
    <w:rsid w:val="00DF2D53"/>
    <w:rsid w:val="00DF2F1B"/>
    <w:rsid w:val="00DF312B"/>
    <w:rsid w:val="00DF35B0"/>
    <w:rsid w:val="00DF371F"/>
    <w:rsid w:val="00DF3825"/>
    <w:rsid w:val="00DF427A"/>
    <w:rsid w:val="00DF4345"/>
    <w:rsid w:val="00DF5637"/>
    <w:rsid w:val="00DF5B81"/>
    <w:rsid w:val="00DF5C6B"/>
    <w:rsid w:val="00DF5D16"/>
    <w:rsid w:val="00DF5F1A"/>
    <w:rsid w:val="00DF6A20"/>
    <w:rsid w:val="00DF6D75"/>
    <w:rsid w:val="00DF71F9"/>
    <w:rsid w:val="00DF7634"/>
    <w:rsid w:val="00DF7639"/>
    <w:rsid w:val="00DF77FB"/>
    <w:rsid w:val="00DF7AB4"/>
    <w:rsid w:val="00DF7D25"/>
    <w:rsid w:val="00E00B43"/>
    <w:rsid w:val="00E0130D"/>
    <w:rsid w:val="00E01EF0"/>
    <w:rsid w:val="00E01F71"/>
    <w:rsid w:val="00E02064"/>
    <w:rsid w:val="00E022C1"/>
    <w:rsid w:val="00E023EE"/>
    <w:rsid w:val="00E025CC"/>
    <w:rsid w:val="00E03972"/>
    <w:rsid w:val="00E03E20"/>
    <w:rsid w:val="00E040BE"/>
    <w:rsid w:val="00E04E7D"/>
    <w:rsid w:val="00E05A1C"/>
    <w:rsid w:val="00E0611C"/>
    <w:rsid w:val="00E066A5"/>
    <w:rsid w:val="00E06792"/>
    <w:rsid w:val="00E06FA4"/>
    <w:rsid w:val="00E07208"/>
    <w:rsid w:val="00E07501"/>
    <w:rsid w:val="00E10046"/>
    <w:rsid w:val="00E10EF7"/>
    <w:rsid w:val="00E11032"/>
    <w:rsid w:val="00E1125A"/>
    <w:rsid w:val="00E11607"/>
    <w:rsid w:val="00E11A55"/>
    <w:rsid w:val="00E11EF1"/>
    <w:rsid w:val="00E12345"/>
    <w:rsid w:val="00E124CA"/>
    <w:rsid w:val="00E1256C"/>
    <w:rsid w:val="00E130F4"/>
    <w:rsid w:val="00E1388B"/>
    <w:rsid w:val="00E13C6C"/>
    <w:rsid w:val="00E13E5B"/>
    <w:rsid w:val="00E13F77"/>
    <w:rsid w:val="00E14144"/>
    <w:rsid w:val="00E14B7C"/>
    <w:rsid w:val="00E15C9D"/>
    <w:rsid w:val="00E162F1"/>
    <w:rsid w:val="00E167FD"/>
    <w:rsid w:val="00E174E4"/>
    <w:rsid w:val="00E176D1"/>
    <w:rsid w:val="00E20612"/>
    <w:rsid w:val="00E2062F"/>
    <w:rsid w:val="00E2084A"/>
    <w:rsid w:val="00E218A5"/>
    <w:rsid w:val="00E21E49"/>
    <w:rsid w:val="00E21F9F"/>
    <w:rsid w:val="00E2214A"/>
    <w:rsid w:val="00E22EA6"/>
    <w:rsid w:val="00E231EA"/>
    <w:rsid w:val="00E23652"/>
    <w:rsid w:val="00E23CDB"/>
    <w:rsid w:val="00E23E03"/>
    <w:rsid w:val="00E241E3"/>
    <w:rsid w:val="00E24EC7"/>
    <w:rsid w:val="00E25B84"/>
    <w:rsid w:val="00E25CDB"/>
    <w:rsid w:val="00E25D9E"/>
    <w:rsid w:val="00E25F68"/>
    <w:rsid w:val="00E26128"/>
    <w:rsid w:val="00E26565"/>
    <w:rsid w:val="00E26BD5"/>
    <w:rsid w:val="00E27164"/>
    <w:rsid w:val="00E272DD"/>
    <w:rsid w:val="00E27842"/>
    <w:rsid w:val="00E302F2"/>
    <w:rsid w:val="00E30554"/>
    <w:rsid w:val="00E305A1"/>
    <w:rsid w:val="00E31089"/>
    <w:rsid w:val="00E3118A"/>
    <w:rsid w:val="00E314FB"/>
    <w:rsid w:val="00E325C9"/>
    <w:rsid w:val="00E32DD5"/>
    <w:rsid w:val="00E334E4"/>
    <w:rsid w:val="00E344E7"/>
    <w:rsid w:val="00E34CD8"/>
    <w:rsid w:val="00E35C2D"/>
    <w:rsid w:val="00E35D2A"/>
    <w:rsid w:val="00E36093"/>
    <w:rsid w:val="00E3611E"/>
    <w:rsid w:val="00E37688"/>
    <w:rsid w:val="00E379C0"/>
    <w:rsid w:val="00E41A9D"/>
    <w:rsid w:val="00E41B1C"/>
    <w:rsid w:val="00E43156"/>
    <w:rsid w:val="00E433A2"/>
    <w:rsid w:val="00E43727"/>
    <w:rsid w:val="00E43AC5"/>
    <w:rsid w:val="00E43EB0"/>
    <w:rsid w:val="00E44C0B"/>
    <w:rsid w:val="00E44C23"/>
    <w:rsid w:val="00E44C99"/>
    <w:rsid w:val="00E45851"/>
    <w:rsid w:val="00E45C00"/>
    <w:rsid w:val="00E45EF0"/>
    <w:rsid w:val="00E45EF2"/>
    <w:rsid w:val="00E462B1"/>
    <w:rsid w:val="00E46330"/>
    <w:rsid w:val="00E5033F"/>
    <w:rsid w:val="00E504C0"/>
    <w:rsid w:val="00E5080B"/>
    <w:rsid w:val="00E5097F"/>
    <w:rsid w:val="00E51F6A"/>
    <w:rsid w:val="00E530C1"/>
    <w:rsid w:val="00E5314B"/>
    <w:rsid w:val="00E53412"/>
    <w:rsid w:val="00E5406E"/>
    <w:rsid w:val="00E557C4"/>
    <w:rsid w:val="00E55E47"/>
    <w:rsid w:val="00E55F52"/>
    <w:rsid w:val="00E56733"/>
    <w:rsid w:val="00E5788A"/>
    <w:rsid w:val="00E57F86"/>
    <w:rsid w:val="00E600FB"/>
    <w:rsid w:val="00E6031A"/>
    <w:rsid w:val="00E603FD"/>
    <w:rsid w:val="00E60595"/>
    <w:rsid w:val="00E60983"/>
    <w:rsid w:val="00E609B5"/>
    <w:rsid w:val="00E60D53"/>
    <w:rsid w:val="00E61002"/>
    <w:rsid w:val="00E6185C"/>
    <w:rsid w:val="00E61902"/>
    <w:rsid w:val="00E61D8E"/>
    <w:rsid w:val="00E621B5"/>
    <w:rsid w:val="00E62349"/>
    <w:rsid w:val="00E626E7"/>
    <w:rsid w:val="00E63413"/>
    <w:rsid w:val="00E63B8C"/>
    <w:rsid w:val="00E63D54"/>
    <w:rsid w:val="00E65D13"/>
    <w:rsid w:val="00E660D0"/>
    <w:rsid w:val="00E662C8"/>
    <w:rsid w:val="00E6650C"/>
    <w:rsid w:val="00E6726A"/>
    <w:rsid w:val="00E676CC"/>
    <w:rsid w:val="00E67BCC"/>
    <w:rsid w:val="00E7031B"/>
    <w:rsid w:val="00E7160D"/>
    <w:rsid w:val="00E717FF"/>
    <w:rsid w:val="00E7191A"/>
    <w:rsid w:val="00E72AA1"/>
    <w:rsid w:val="00E73462"/>
    <w:rsid w:val="00E73870"/>
    <w:rsid w:val="00E74B75"/>
    <w:rsid w:val="00E750E1"/>
    <w:rsid w:val="00E75929"/>
    <w:rsid w:val="00E7600C"/>
    <w:rsid w:val="00E76803"/>
    <w:rsid w:val="00E76A1B"/>
    <w:rsid w:val="00E76A72"/>
    <w:rsid w:val="00E76FDA"/>
    <w:rsid w:val="00E7712E"/>
    <w:rsid w:val="00E77ED5"/>
    <w:rsid w:val="00E77F62"/>
    <w:rsid w:val="00E8085F"/>
    <w:rsid w:val="00E80BBC"/>
    <w:rsid w:val="00E81537"/>
    <w:rsid w:val="00E818B5"/>
    <w:rsid w:val="00E81C0A"/>
    <w:rsid w:val="00E8225B"/>
    <w:rsid w:val="00E82517"/>
    <w:rsid w:val="00E82DD2"/>
    <w:rsid w:val="00E83DBD"/>
    <w:rsid w:val="00E83FAB"/>
    <w:rsid w:val="00E8474E"/>
    <w:rsid w:val="00E85BFD"/>
    <w:rsid w:val="00E85C9E"/>
    <w:rsid w:val="00E860D7"/>
    <w:rsid w:val="00E866FD"/>
    <w:rsid w:val="00E86F97"/>
    <w:rsid w:val="00E87731"/>
    <w:rsid w:val="00E87779"/>
    <w:rsid w:val="00E879A2"/>
    <w:rsid w:val="00E879AB"/>
    <w:rsid w:val="00E87A92"/>
    <w:rsid w:val="00E87EF7"/>
    <w:rsid w:val="00E903D6"/>
    <w:rsid w:val="00E90993"/>
    <w:rsid w:val="00E90DEB"/>
    <w:rsid w:val="00E9130A"/>
    <w:rsid w:val="00E91467"/>
    <w:rsid w:val="00E91ADA"/>
    <w:rsid w:val="00E9205E"/>
    <w:rsid w:val="00E92722"/>
    <w:rsid w:val="00E92B77"/>
    <w:rsid w:val="00E93112"/>
    <w:rsid w:val="00E93128"/>
    <w:rsid w:val="00E93231"/>
    <w:rsid w:val="00E9325B"/>
    <w:rsid w:val="00E932B9"/>
    <w:rsid w:val="00E93751"/>
    <w:rsid w:val="00E93AB6"/>
    <w:rsid w:val="00E93E7E"/>
    <w:rsid w:val="00E93F84"/>
    <w:rsid w:val="00E94693"/>
    <w:rsid w:val="00E946A2"/>
    <w:rsid w:val="00E947C1"/>
    <w:rsid w:val="00E9535C"/>
    <w:rsid w:val="00E958CC"/>
    <w:rsid w:val="00E95CA0"/>
    <w:rsid w:val="00E95F85"/>
    <w:rsid w:val="00E96110"/>
    <w:rsid w:val="00E963A5"/>
    <w:rsid w:val="00E965A8"/>
    <w:rsid w:val="00E967F2"/>
    <w:rsid w:val="00E96C6A"/>
    <w:rsid w:val="00E979B7"/>
    <w:rsid w:val="00E97CD2"/>
    <w:rsid w:val="00EA0759"/>
    <w:rsid w:val="00EA286A"/>
    <w:rsid w:val="00EA29C4"/>
    <w:rsid w:val="00EA4326"/>
    <w:rsid w:val="00EA44D0"/>
    <w:rsid w:val="00EA45D3"/>
    <w:rsid w:val="00EA49E9"/>
    <w:rsid w:val="00EA53DE"/>
    <w:rsid w:val="00EA54DD"/>
    <w:rsid w:val="00EA54EC"/>
    <w:rsid w:val="00EA68CD"/>
    <w:rsid w:val="00EA6ABC"/>
    <w:rsid w:val="00EA7EFB"/>
    <w:rsid w:val="00EA7FD8"/>
    <w:rsid w:val="00EB0302"/>
    <w:rsid w:val="00EB0537"/>
    <w:rsid w:val="00EB0B99"/>
    <w:rsid w:val="00EB0E61"/>
    <w:rsid w:val="00EB0EA6"/>
    <w:rsid w:val="00EB133B"/>
    <w:rsid w:val="00EB1B47"/>
    <w:rsid w:val="00EB20D8"/>
    <w:rsid w:val="00EB2D41"/>
    <w:rsid w:val="00EB3011"/>
    <w:rsid w:val="00EB3801"/>
    <w:rsid w:val="00EB420F"/>
    <w:rsid w:val="00EB4876"/>
    <w:rsid w:val="00EB5298"/>
    <w:rsid w:val="00EB650E"/>
    <w:rsid w:val="00EB6EB0"/>
    <w:rsid w:val="00EB6F39"/>
    <w:rsid w:val="00EB7136"/>
    <w:rsid w:val="00EB7525"/>
    <w:rsid w:val="00EB7CF8"/>
    <w:rsid w:val="00EB7FA7"/>
    <w:rsid w:val="00EC059B"/>
    <w:rsid w:val="00EC1172"/>
    <w:rsid w:val="00EC15E6"/>
    <w:rsid w:val="00EC194E"/>
    <w:rsid w:val="00EC1BF7"/>
    <w:rsid w:val="00EC226F"/>
    <w:rsid w:val="00EC2CAF"/>
    <w:rsid w:val="00EC2DD9"/>
    <w:rsid w:val="00EC351E"/>
    <w:rsid w:val="00EC36EF"/>
    <w:rsid w:val="00EC3A42"/>
    <w:rsid w:val="00EC3B88"/>
    <w:rsid w:val="00EC4119"/>
    <w:rsid w:val="00EC42E1"/>
    <w:rsid w:val="00EC5166"/>
    <w:rsid w:val="00EC5528"/>
    <w:rsid w:val="00EC57AA"/>
    <w:rsid w:val="00EC66A2"/>
    <w:rsid w:val="00EC6E3D"/>
    <w:rsid w:val="00EC744F"/>
    <w:rsid w:val="00EC77CD"/>
    <w:rsid w:val="00ED0123"/>
    <w:rsid w:val="00ED03AC"/>
    <w:rsid w:val="00ED1D75"/>
    <w:rsid w:val="00ED1D86"/>
    <w:rsid w:val="00ED30B4"/>
    <w:rsid w:val="00ED3106"/>
    <w:rsid w:val="00ED315B"/>
    <w:rsid w:val="00ED347D"/>
    <w:rsid w:val="00ED36DF"/>
    <w:rsid w:val="00ED38DB"/>
    <w:rsid w:val="00ED3D06"/>
    <w:rsid w:val="00ED4391"/>
    <w:rsid w:val="00ED4590"/>
    <w:rsid w:val="00ED5133"/>
    <w:rsid w:val="00ED56FC"/>
    <w:rsid w:val="00ED5B0E"/>
    <w:rsid w:val="00ED5B87"/>
    <w:rsid w:val="00ED651A"/>
    <w:rsid w:val="00ED6D35"/>
    <w:rsid w:val="00ED7370"/>
    <w:rsid w:val="00ED7C40"/>
    <w:rsid w:val="00ED7F7F"/>
    <w:rsid w:val="00EE0431"/>
    <w:rsid w:val="00EE0761"/>
    <w:rsid w:val="00EE0EC8"/>
    <w:rsid w:val="00EE111D"/>
    <w:rsid w:val="00EE1C9B"/>
    <w:rsid w:val="00EE2459"/>
    <w:rsid w:val="00EE2C2E"/>
    <w:rsid w:val="00EE2ECB"/>
    <w:rsid w:val="00EE38E1"/>
    <w:rsid w:val="00EE3944"/>
    <w:rsid w:val="00EE3AF8"/>
    <w:rsid w:val="00EE405E"/>
    <w:rsid w:val="00EE45B1"/>
    <w:rsid w:val="00EE4BD9"/>
    <w:rsid w:val="00EE4E7E"/>
    <w:rsid w:val="00EE53FC"/>
    <w:rsid w:val="00EE5A17"/>
    <w:rsid w:val="00EE679F"/>
    <w:rsid w:val="00EE701D"/>
    <w:rsid w:val="00EE77D0"/>
    <w:rsid w:val="00EE77FD"/>
    <w:rsid w:val="00EF0E35"/>
    <w:rsid w:val="00EF0EB8"/>
    <w:rsid w:val="00EF1368"/>
    <w:rsid w:val="00EF15B0"/>
    <w:rsid w:val="00EF1C4A"/>
    <w:rsid w:val="00EF1D3B"/>
    <w:rsid w:val="00EF2371"/>
    <w:rsid w:val="00EF2B4D"/>
    <w:rsid w:val="00EF3F4A"/>
    <w:rsid w:val="00EF40DC"/>
    <w:rsid w:val="00EF4760"/>
    <w:rsid w:val="00EF49AE"/>
    <w:rsid w:val="00EF5622"/>
    <w:rsid w:val="00EF5A42"/>
    <w:rsid w:val="00EF5BF4"/>
    <w:rsid w:val="00EF5E74"/>
    <w:rsid w:val="00EF635F"/>
    <w:rsid w:val="00EF6446"/>
    <w:rsid w:val="00EF65E7"/>
    <w:rsid w:val="00EF672A"/>
    <w:rsid w:val="00EF673A"/>
    <w:rsid w:val="00EF685B"/>
    <w:rsid w:val="00EF700C"/>
    <w:rsid w:val="00EF7032"/>
    <w:rsid w:val="00EF7222"/>
    <w:rsid w:val="00EF754A"/>
    <w:rsid w:val="00EF7EF7"/>
    <w:rsid w:val="00F00845"/>
    <w:rsid w:val="00F00E40"/>
    <w:rsid w:val="00F015E9"/>
    <w:rsid w:val="00F025BA"/>
    <w:rsid w:val="00F0282E"/>
    <w:rsid w:val="00F02B0E"/>
    <w:rsid w:val="00F031EC"/>
    <w:rsid w:val="00F03730"/>
    <w:rsid w:val="00F04306"/>
    <w:rsid w:val="00F0438D"/>
    <w:rsid w:val="00F04636"/>
    <w:rsid w:val="00F0552C"/>
    <w:rsid w:val="00F06168"/>
    <w:rsid w:val="00F06487"/>
    <w:rsid w:val="00F065CD"/>
    <w:rsid w:val="00F06641"/>
    <w:rsid w:val="00F068FE"/>
    <w:rsid w:val="00F073EE"/>
    <w:rsid w:val="00F07831"/>
    <w:rsid w:val="00F0796E"/>
    <w:rsid w:val="00F101B2"/>
    <w:rsid w:val="00F1022E"/>
    <w:rsid w:val="00F10A4B"/>
    <w:rsid w:val="00F1291C"/>
    <w:rsid w:val="00F12BBB"/>
    <w:rsid w:val="00F12C30"/>
    <w:rsid w:val="00F135BB"/>
    <w:rsid w:val="00F13DAA"/>
    <w:rsid w:val="00F14737"/>
    <w:rsid w:val="00F14782"/>
    <w:rsid w:val="00F14B37"/>
    <w:rsid w:val="00F14C47"/>
    <w:rsid w:val="00F1683A"/>
    <w:rsid w:val="00F16AD4"/>
    <w:rsid w:val="00F16D46"/>
    <w:rsid w:val="00F170AA"/>
    <w:rsid w:val="00F170AE"/>
    <w:rsid w:val="00F201B6"/>
    <w:rsid w:val="00F20609"/>
    <w:rsid w:val="00F206AB"/>
    <w:rsid w:val="00F20741"/>
    <w:rsid w:val="00F2133D"/>
    <w:rsid w:val="00F2147B"/>
    <w:rsid w:val="00F21C7B"/>
    <w:rsid w:val="00F22111"/>
    <w:rsid w:val="00F22895"/>
    <w:rsid w:val="00F22B28"/>
    <w:rsid w:val="00F23906"/>
    <w:rsid w:val="00F23B9B"/>
    <w:rsid w:val="00F23CE3"/>
    <w:rsid w:val="00F23FA6"/>
    <w:rsid w:val="00F24B00"/>
    <w:rsid w:val="00F25538"/>
    <w:rsid w:val="00F25608"/>
    <w:rsid w:val="00F258EE"/>
    <w:rsid w:val="00F259B2"/>
    <w:rsid w:val="00F259D7"/>
    <w:rsid w:val="00F266EC"/>
    <w:rsid w:val="00F26AA0"/>
    <w:rsid w:val="00F2714D"/>
    <w:rsid w:val="00F30CAF"/>
    <w:rsid w:val="00F31BEB"/>
    <w:rsid w:val="00F32E04"/>
    <w:rsid w:val="00F32EE0"/>
    <w:rsid w:val="00F335D6"/>
    <w:rsid w:val="00F33BF4"/>
    <w:rsid w:val="00F34720"/>
    <w:rsid w:val="00F348CB"/>
    <w:rsid w:val="00F34AFD"/>
    <w:rsid w:val="00F3501B"/>
    <w:rsid w:val="00F35020"/>
    <w:rsid w:val="00F36387"/>
    <w:rsid w:val="00F366EA"/>
    <w:rsid w:val="00F366EE"/>
    <w:rsid w:val="00F36BD4"/>
    <w:rsid w:val="00F36CB3"/>
    <w:rsid w:val="00F36F3C"/>
    <w:rsid w:val="00F3719B"/>
    <w:rsid w:val="00F37DDF"/>
    <w:rsid w:val="00F40878"/>
    <w:rsid w:val="00F40B35"/>
    <w:rsid w:val="00F40C5B"/>
    <w:rsid w:val="00F41185"/>
    <w:rsid w:val="00F411D3"/>
    <w:rsid w:val="00F41738"/>
    <w:rsid w:val="00F417F5"/>
    <w:rsid w:val="00F418D0"/>
    <w:rsid w:val="00F41E2F"/>
    <w:rsid w:val="00F42E5A"/>
    <w:rsid w:val="00F4301F"/>
    <w:rsid w:val="00F430E5"/>
    <w:rsid w:val="00F43255"/>
    <w:rsid w:val="00F4362C"/>
    <w:rsid w:val="00F43B17"/>
    <w:rsid w:val="00F44845"/>
    <w:rsid w:val="00F452AD"/>
    <w:rsid w:val="00F45E7A"/>
    <w:rsid w:val="00F46CC7"/>
    <w:rsid w:val="00F47029"/>
    <w:rsid w:val="00F471E2"/>
    <w:rsid w:val="00F478BF"/>
    <w:rsid w:val="00F505C7"/>
    <w:rsid w:val="00F50622"/>
    <w:rsid w:val="00F51335"/>
    <w:rsid w:val="00F52528"/>
    <w:rsid w:val="00F527D7"/>
    <w:rsid w:val="00F52A7E"/>
    <w:rsid w:val="00F536F2"/>
    <w:rsid w:val="00F53C3E"/>
    <w:rsid w:val="00F54C4A"/>
    <w:rsid w:val="00F54C7D"/>
    <w:rsid w:val="00F5541D"/>
    <w:rsid w:val="00F557AB"/>
    <w:rsid w:val="00F55A22"/>
    <w:rsid w:val="00F55ED7"/>
    <w:rsid w:val="00F56066"/>
    <w:rsid w:val="00F567A9"/>
    <w:rsid w:val="00F56953"/>
    <w:rsid w:val="00F5746B"/>
    <w:rsid w:val="00F575AB"/>
    <w:rsid w:val="00F57DE4"/>
    <w:rsid w:val="00F6028A"/>
    <w:rsid w:val="00F604D7"/>
    <w:rsid w:val="00F60ABE"/>
    <w:rsid w:val="00F60B57"/>
    <w:rsid w:val="00F61CAC"/>
    <w:rsid w:val="00F62196"/>
    <w:rsid w:val="00F6286C"/>
    <w:rsid w:val="00F6318C"/>
    <w:rsid w:val="00F6369D"/>
    <w:rsid w:val="00F637A1"/>
    <w:rsid w:val="00F63843"/>
    <w:rsid w:val="00F645BB"/>
    <w:rsid w:val="00F6462A"/>
    <w:rsid w:val="00F64663"/>
    <w:rsid w:val="00F64B40"/>
    <w:rsid w:val="00F65E50"/>
    <w:rsid w:val="00F66296"/>
    <w:rsid w:val="00F6658B"/>
    <w:rsid w:val="00F66CCC"/>
    <w:rsid w:val="00F66E31"/>
    <w:rsid w:val="00F67196"/>
    <w:rsid w:val="00F679A0"/>
    <w:rsid w:val="00F700D8"/>
    <w:rsid w:val="00F709B1"/>
    <w:rsid w:val="00F71235"/>
    <w:rsid w:val="00F71245"/>
    <w:rsid w:val="00F715EC"/>
    <w:rsid w:val="00F71FCF"/>
    <w:rsid w:val="00F721BB"/>
    <w:rsid w:val="00F722BD"/>
    <w:rsid w:val="00F72816"/>
    <w:rsid w:val="00F72B1A"/>
    <w:rsid w:val="00F72B42"/>
    <w:rsid w:val="00F72B84"/>
    <w:rsid w:val="00F72D55"/>
    <w:rsid w:val="00F72EAD"/>
    <w:rsid w:val="00F7309D"/>
    <w:rsid w:val="00F730E7"/>
    <w:rsid w:val="00F73417"/>
    <w:rsid w:val="00F735D9"/>
    <w:rsid w:val="00F7547D"/>
    <w:rsid w:val="00F75A58"/>
    <w:rsid w:val="00F75C37"/>
    <w:rsid w:val="00F75FD7"/>
    <w:rsid w:val="00F761E3"/>
    <w:rsid w:val="00F76557"/>
    <w:rsid w:val="00F76F99"/>
    <w:rsid w:val="00F77649"/>
    <w:rsid w:val="00F77C65"/>
    <w:rsid w:val="00F802FE"/>
    <w:rsid w:val="00F81CEA"/>
    <w:rsid w:val="00F8215D"/>
    <w:rsid w:val="00F822CB"/>
    <w:rsid w:val="00F828DD"/>
    <w:rsid w:val="00F83170"/>
    <w:rsid w:val="00F83203"/>
    <w:rsid w:val="00F843BD"/>
    <w:rsid w:val="00F84BFC"/>
    <w:rsid w:val="00F86696"/>
    <w:rsid w:val="00F866AC"/>
    <w:rsid w:val="00F87002"/>
    <w:rsid w:val="00F8767D"/>
    <w:rsid w:val="00F878A2"/>
    <w:rsid w:val="00F87A0A"/>
    <w:rsid w:val="00F87A16"/>
    <w:rsid w:val="00F87E02"/>
    <w:rsid w:val="00F90540"/>
    <w:rsid w:val="00F90597"/>
    <w:rsid w:val="00F90745"/>
    <w:rsid w:val="00F910D0"/>
    <w:rsid w:val="00F9180B"/>
    <w:rsid w:val="00F91D45"/>
    <w:rsid w:val="00F91DCA"/>
    <w:rsid w:val="00F91F9F"/>
    <w:rsid w:val="00F92D8C"/>
    <w:rsid w:val="00F940B9"/>
    <w:rsid w:val="00F9468B"/>
    <w:rsid w:val="00F947B7"/>
    <w:rsid w:val="00F94D9F"/>
    <w:rsid w:val="00F94F1B"/>
    <w:rsid w:val="00F953A8"/>
    <w:rsid w:val="00F95935"/>
    <w:rsid w:val="00F959F6"/>
    <w:rsid w:val="00F9689C"/>
    <w:rsid w:val="00F971DF"/>
    <w:rsid w:val="00F973D6"/>
    <w:rsid w:val="00FA0BAE"/>
    <w:rsid w:val="00FA1467"/>
    <w:rsid w:val="00FA211A"/>
    <w:rsid w:val="00FA238A"/>
    <w:rsid w:val="00FA2560"/>
    <w:rsid w:val="00FA25E6"/>
    <w:rsid w:val="00FA2668"/>
    <w:rsid w:val="00FA2670"/>
    <w:rsid w:val="00FA2CA8"/>
    <w:rsid w:val="00FA2D35"/>
    <w:rsid w:val="00FA2FD8"/>
    <w:rsid w:val="00FA3346"/>
    <w:rsid w:val="00FA3464"/>
    <w:rsid w:val="00FA3987"/>
    <w:rsid w:val="00FA3BF2"/>
    <w:rsid w:val="00FA3EDD"/>
    <w:rsid w:val="00FA40E2"/>
    <w:rsid w:val="00FA4100"/>
    <w:rsid w:val="00FA44BC"/>
    <w:rsid w:val="00FA4E97"/>
    <w:rsid w:val="00FA4FA1"/>
    <w:rsid w:val="00FA5ECA"/>
    <w:rsid w:val="00FA6AE1"/>
    <w:rsid w:val="00FA7536"/>
    <w:rsid w:val="00FA7FA1"/>
    <w:rsid w:val="00FB0127"/>
    <w:rsid w:val="00FB0798"/>
    <w:rsid w:val="00FB14C2"/>
    <w:rsid w:val="00FB173D"/>
    <w:rsid w:val="00FB1998"/>
    <w:rsid w:val="00FB27F1"/>
    <w:rsid w:val="00FB336D"/>
    <w:rsid w:val="00FB378D"/>
    <w:rsid w:val="00FB37CB"/>
    <w:rsid w:val="00FB387F"/>
    <w:rsid w:val="00FB38FB"/>
    <w:rsid w:val="00FB3ECE"/>
    <w:rsid w:val="00FB3EE1"/>
    <w:rsid w:val="00FB3EE9"/>
    <w:rsid w:val="00FB42CC"/>
    <w:rsid w:val="00FB4732"/>
    <w:rsid w:val="00FB4AB5"/>
    <w:rsid w:val="00FB552B"/>
    <w:rsid w:val="00FB5811"/>
    <w:rsid w:val="00FB5C22"/>
    <w:rsid w:val="00FB62BB"/>
    <w:rsid w:val="00FB69CA"/>
    <w:rsid w:val="00FB6D07"/>
    <w:rsid w:val="00FB6F5B"/>
    <w:rsid w:val="00FB73B7"/>
    <w:rsid w:val="00FB7D86"/>
    <w:rsid w:val="00FC0923"/>
    <w:rsid w:val="00FC10D5"/>
    <w:rsid w:val="00FC1BCB"/>
    <w:rsid w:val="00FC20FA"/>
    <w:rsid w:val="00FC2610"/>
    <w:rsid w:val="00FC39BE"/>
    <w:rsid w:val="00FC3B7D"/>
    <w:rsid w:val="00FC426E"/>
    <w:rsid w:val="00FC4731"/>
    <w:rsid w:val="00FC4ACF"/>
    <w:rsid w:val="00FC51F8"/>
    <w:rsid w:val="00FC53FD"/>
    <w:rsid w:val="00FC54EF"/>
    <w:rsid w:val="00FC583A"/>
    <w:rsid w:val="00FC5930"/>
    <w:rsid w:val="00FC5CC2"/>
    <w:rsid w:val="00FC6017"/>
    <w:rsid w:val="00FC6749"/>
    <w:rsid w:val="00FC735E"/>
    <w:rsid w:val="00FC736D"/>
    <w:rsid w:val="00FC7851"/>
    <w:rsid w:val="00FC7A98"/>
    <w:rsid w:val="00FC7DB5"/>
    <w:rsid w:val="00FD0BF8"/>
    <w:rsid w:val="00FD1107"/>
    <w:rsid w:val="00FD11DD"/>
    <w:rsid w:val="00FD1BFE"/>
    <w:rsid w:val="00FD201B"/>
    <w:rsid w:val="00FD298E"/>
    <w:rsid w:val="00FD2E88"/>
    <w:rsid w:val="00FD35E3"/>
    <w:rsid w:val="00FD3792"/>
    <w:rsid w:val="00FD3DA7"/>
    <w:rsid w:val="00FD47C7"/>
    <w:rsid w:val="00FD4878"/>
    <w:rsid w:val="00FD4E2E"/>
    <w:rsid w:val="00FD5350"/>
    <w:rsid w:val="00FD6075"/>
    <w:rsid w:val="00FD63D4"/>
    <w:rsid w:val="00FD663A"/>
    <w:rsid w:val="00FD781F"/>
    <w:rsid w:val="00FE01C3"/>
    <w:rsid w:val="00FE063F"/>
    <w:rsid w:val="00FE065D"/>
    <w:rsid w:val="00FE08F3"/>
    <w:rsid w:val="00FE0960"/>
    <w:rsid w:val="00FE0B15"/>
    <w:rsid w:val="00FE0C2C"/>
    <w:rsid w:val="00FE0CF1"/>
    <w:rsid w:val="00FE1936"/>
    <w:rsid w:val="00FE252F"/>
    <w:rsid w:val="00FE2707"/>
    <w:rsid w:val="00FE3216"/>
    <w:rsid w:val="00FE359C"/>
    <w:rsid w:val="00FE3D78"/>
    <w:rsid w:val="00FE406C"/>
    <w:rsid w:val="00FE5199"/>
    <w:rsid w:val="00FE57E7"/>
    <w:rsid w:val="00FE5AA5"/>
    <w:rsid w:val="00FE6645"/>
    <w:rsid w:val="00FE6E76"/>
    <w:rsid w:val="00FE72AA"/>
    <w:rsid w:val="00FE74BF"/>
    <w:rsid w:val="00FE7AF5"/>
    <w:rsid w:val="00FE7B2C"/>
    <w:rsid w:val="00FF05D1"/>
    <w:rsid w:val="00FF0AD3"/>
    <w:rsid w:val="00FF11CE"/>
    <w:rsid w:val="00FF1892"/>
    <w:rsid w:val="00FF197B"/>
    <w:rsid w:val="00FF290C"/>
    <w:rsid w:val="00FF2D86"/>
    <w:rsid w:val="00FF38FD"/>
    <w:rsid w:val="00FF3A0D"/>
    <w:rsid w:val="00FF3A71"/>
    <w:rsid w:val="00FF4435"/>
    <w:rsid w:val="00FF4B53"/>
    <w:rsid w:val="00FF4B82"/>
    <w:rsid w:val="00FF4EE4"/>
    <w:rsid w:val="00FF525E"/>
    <w:rsid w:val="00FF577D"/>
    <w:rsid w:val="00FF5E00"/>
    <w:rsid w:val="00FF62C3"/>
    <w:rsid w:val="00FF65CA"/>
    <w:rsid w:val="00FF6F8A"/>
    <w:rsid w:val="00FF6FF0"/>
    <w:rsid w:val="00FF7193"/>
    <w:rsid w:val="00FF73B5"/>
    <w:rsid w:val="022BFBE2"/>
    <w:rsid w:val="023E010E"/>
    <w:rsid w:val="02E5DCA6"/>
    <w:rsid w:val="02F4925F"/>
    <w:rsid w:val="0738E108"/>
    <w:rsid w:val="07E089CF"/>
    <w:rsid w:val="0BB5B419"/>
    <w:rsid w:val="0BC11343"/>
    <w:rsid w:val="0C9A9FC4"/>
    <w:rsid w:val="0CB9FD67"/>
    <w:rsid w:val="0CE1E91A"/>
    <w:rsid w:val="0DBF2457"/>
    <w:rsid w:val="0E153AC8"/>
    <w:rsid w:val="0E3DD0CB"/>
    <w:rsid w:val="0EA113AC"/>
    <w:rsid w:val="0EE8C58C"/>
    <w:rsid w:val="10DD656E"/>
    <w:rsid w:val="10F1D29F"/>
    <w:rsid w:val="1144993A"/>
    <w:rsid w:val="12552E9B"/>
    <w:rsid w:val="129F80E3"/>
    <w:rsid w:val="1579FDEC"/>
    <w:rsid w:val="157A6385"/>
    <w:rsid w:val="15C5C3DF"/>
    <w:rsid w:val="15FC2674"/>
    <w:rsid w:val="16EE81A0"/>
    <w:rsid w:val="170AC9CC"/>
    <w:rsid w:val="17400446"/>
    <w:rsid w:val="17F4E731"/>
    <w:rsid w:val="187F6C87"/>
    <w:rsid w:val="1981E533"/>
    <w:rsid w:val="1B3611C7"/>
    <w:rsid w:val="1BD39999"/>
    <w:rsid w:val="1C5567C4"/>
    <w:rsid w:val="1CA10E96"/>
    <w:rsid w:val="1D15DF80"/>
    <w:rsid w:val="1DBC5A39"/>
    <w:rsid w:val="1DFF18FD"/>
    <w:rsid w:val="1F19E525"/>
    <w:rsid w:val="21395472"/>
    <w:rsid w:val="21636BC8"/>
    <w:rsid w:val="21CE238B"/>
    <w:rsid w:val="229E378B"/>
    <w:rsid w:val="22EF1AE1"/>
    <w:rsid w:val="23897580"/>
    <w:rsid w:val="24E2482B"/>
    <w:rsid w:val="25D21272"/>
    <w:rsid w:val="268BF964"/>
    <w:rsid w:val="27609FAD"/>
    <w:rsid w:val="283CC79D"/>
    <w:rsid w:val="28E6D481"/>
    <w:rsid w:val="2A5C3325"/>
    <w:rsid w:val="2A893064"/>
    <w:rsid w:val="2A8CFD0F"/>
    <w:rsid w:val="2B47711A"/>
    <w:rsid w:val="2CCFA406"/>
    <w:rsid w:val="2D094E91"/>
    <w:rsid w:val="2DDFFCF9"/>
    <w:rsid w:val="2DF6629F"/>
    <w:rsid w:val="2E9D4260"/>
    <w:rsid w:val="2E9EEB91"/>
    <w:rsid w:val="2F4DC770"/>
    <w:rsid w:val="318195C0"/>
    <w:rsid w:val="333FE49D"/>
    <w:rsid w:val="350EE397"/>
    <w:rsid w:val="368927A2"/>
    <w:rsid w:val="38F42D2E"/>
    <w:rsid w:val="3A6B5A1C"/>
    <w:rsid w:val="3AEC0773"/>
    <w:rsid w:val="3B5510E1"/>
    <w:rsid w:val="3BF67DD6"/>
    <w:rsid w:val="3C339CEE"/>
    <w:rsid w:val="3E0BDA96"/>
    <w:rsid w:val="3FADAE00"/>
    <w:rsid w:val="4101C7CC"/>
    <w:rsid w:val="43F69B4E"/>
    <w:rsid w:val="4503869E"/>
    <w:rsid w:val="45377D96"/>
    <w:rsid w:val="45BF3B1C"/>
    <w:rsid w:val="460ABD70"/>
    <w:rsid w:val="49476FA5"/>
    <w:rsid w:val="49F3AAF8"/>
    <w:rsid w:val="4A532686"/>
    <w:rsid w:val="4A6A733B"/>
    <w:rsid w:val="4C1142DF"/>
    <w:rsid w:val="4CE12AC7"/>
    <w:rsid w:val="4D78DE23"/>
    <w:rsid w:val="4E82252C"/>
    <w:rsid w:val="4F705596"/>
    <w:rsid w:val="4F9497D8"/>
    <w:rsid w:val="4F977631"/>
    <w:rsid w:val="50DD1F0A"/>
    <w:rsid w:val="51142B89"/>
    <w:rsid w:val="52E94B74"/>
    <w:rsid w:val="5336CC03"/>
    <w:rsid w:val="5359238B"/>
    <w:rsid w:val="53646001"/>
    <w:rsid w:val="54C53377"/>
    <w:rsid w:val="56C9772C"/>
    <w:rsid w:val="56D32869"/>
    <w:rsid w:val="586E12D0"/>
    <w:rsid w:val="58E6F36D"/>
    <w:rsid w:val="59C63994"/>
    <w:rsid w:val="59DC6C99"/>
    <w:rsid w:val="5A3A9271"/>
    <w:rsid w:val="5A6D69A4"/>
    <w:rsid w:val="5A7317F2"/>
    <w:rsid w:val="5A816AC3"/>
    <w:rsid w:val="5B03F0EA"/>
    <w:rsid w:val="5B6871B8"/>
    <w:rsid w:val="5B6F540B"/>
    <w:rsid w:val="5B7E0ADE"/>
    <w:rsid w:val="5BDA575A"/>
    <w:rsid w:val="5BFA0B7C"/>
    <w:rsid w:val="5C2DC699"/>
    <w:rsid w:val="5D6A4DE8"/>
    <w:rsid w:val="5DD9710B"/>
    <w:rsid w:val="5ED28A5A"/>
    <w:rsid w:val="5FAB5F5D"/>
    <w:rsid w:val="5FB568CF"/>
    <w:rsid w:val="611111CD"/>
    <w:rsid w:val="62F75703"/>
    <w:rsid w:val="6350601E"/>
    <w:rsid w:val="6380F0C0"/>
    <w:rsid w:val="63F0C957"/>
    <w:rsid w:val="644A1450"/>
    <w:rsid w:val="64D2EDF6"/>
    <w:rsid w:val="6561B84F"/>
    <w:rsid w:val="6743F210"/>
    <w:rsid w:val="68E19949"/>
    <w:rsid w:val="691902BA"/>
    <w:rsid w:val="6AB0CC13"/>
    <w:rsid w:val="6ABA63BC"/>
    <w:rsid w:val="6BCBB3F9"/>
    <w:rsid w:val="6D66A411"/>
    <w:rsid w:val="6DC43AD9"/>
    <w:rsid w:val="6E2AFEFD"/>
    <w:rsid w:val="6F79F78E"/>
    <w:rsid w:val="70345E28"/>
    <w:rsid w:val="7070AFD9"/>
    <w:rsid w:val="70FAFBEE"/>
    <w:rsid w:val="72582643"/>
    <w:rsid w:val="727D12EA"/>
    <w:rsid w:val="73BD54B0"/>
    <w:rsid w:val="73FB2862"/>
    <w:rsid w:val="758AB2E5"/>
    <w:rsid w:val="77698C38"/>
    <w:rsid w:val="77E0CADF"/>
    <w:rsid w:val="79B72CB4"/>
    <w:rsid w:val="7AA0510D"/>
    <w:rsid w:val="7B02FB53"/>
    <w:rsid w:val="7B8CCA58"/>
    <w:rsid w:val="7C2BAFE5"/>
    <w:rsid w:val="7C6DB868"/>
    <w:rsid w:val="7C91CB0D"/>
    <w:rsid w:val="7D548FB6"/>
    <w:rsid w:val="7DE5E71D"/>
    <w:rsid w:val="7ED2A52E"/>
    <w:rsid w:val="7F78EC34"/>
    <w:rsid w:val="7FE3F0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697F1D"/>
  <w15:docId w15:val="{BE79AD06-5EE5-4265-9B4E-6F47A460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536"/>
    <w:pPr>
      <w:autoSpaceDE w:val="0"/>
      <w:autoSpaceDN w:val="0"/>
      <w:adjustRightInd w:val="0"/>
    </w:pPr>
    <w:rPr>
      <w:color w:val="000000" w:themeColor="text1"/>
    </w:rPr>
  </w:style>
  <w:style w:type="paragraph" w:styleId="Heading1">
    <w:name w:val="heading 1"/>
    <w:basedOn w:val="Normal"/>
    <w:next w:val="Normal"/>
    <w:link w:val="Heading1Char"/>
    <w:uiPriority w:val="99"/>
    <w:qFormat/>
    <w:rsid w:val="002303B1"/>
    <w:pPr>
      <w:keepNext/>
      <w:keepLines/>
      <w:spacing w:before="240"/>
      <w:outlineLvl w:val="0"/>
    </w:pPr>
    <w:rPr>
      <w:rFonts w:eastAsiaTheme="majorEastAsia"/>
      <w:b/>
      <w:bCs/>
      <w:szCs w:val="28"/>
    </w:rPr>
  </w:style>
  <w:style w:type="paragraph" w:styleId="Heading2">
    <w:name w:val="heading 2"/>
    <w:basedOn w:val="Heading1"/>
    <w:next w:val="Normal"/>
    <w:link w:val="Heading2Char"/>
    <w:uiPriority w:val="9"/>
    <w:unhideWhenUsed/>
    <w:qFormat/>
    <w:rsid w:val="00101045"/>
    <w:pPr>
      <w:numPr>
        <w:ilvl w:val="1"/>
      </w:numPr>
      <w:spacing w:before="0"/>
      <w:outlineLvl w:val="1"/>
    </w:pPr>
  </w:style>
  <w:style w:type="paragraph" w:styleId="Heading3">
    <w:name w:val="heading 3"/>
    <w:basedOn w:val="Heading2"/>
    <w:next w:val="Normal"/>
    <w:link w:val="Heading3Char"/>
    <w:uiPriority w:val="99"/>
    <w:unhideWhenUsed/>
    <w:qFormat/>
    <w:rsid w:val="00101045"/>
    <w:pPr>
      <w:keepLines w:val="0"/>
      <w:numPr>
        <w:ilvl w:val="2"/>
      </w:numPr>
      <w:ind w:left="1080" w:hanging="1080"/>
      <w:outlineLvl w:val="2"/>
    </w:pPr>
    <w:rPr>
      <w:b w:val="0"/>
      <w:i/>
      <w:szCs w:val="24"/>
    </w:rPr>
  </w:style>
  <w:style w:type="paragraph" w:styleId="Heading4">
    <w:name w:val="heading 4"/>
    <w:basedOn w:val="Heading3"/>
    <w:next w:val="Normal"/>
    <w:link w:val="Heading4Char"/>
    <w:uiPriority w:val="9"/>
    <w:unhideWhenUsed/>
    <w:qFormat/>
    <w:rsid w:val="003C3A04"/>
    <w:pPr>
      <w:keepNext w:val="0"/>
      <w:numPr>
        <w:ilvl w:val="3"/>
      </w:numPr>
      <w:ind w:left="2520" w:hanging="1440"/>
      <w:outlineLvl w:val="3"/>
    </w:pPr>
  </w:style>
  <w:style w:type="paragraph" w:styleId="Heading5">
    <w:name w:val="heading 5"/>
    <w:basedOn w:val="Normal"/>
    <w:next w:val="Normal"/>
    <w:link w:val="Heading5Char"/>
    <w:uiPriority w:val="9"/>
    <w:unhideWhenUsed/>
    <w:qFormat/>
    <w:rsid w:val="003C2CEA"/>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2CEA"/>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C2CEA"/>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Appendix H1"/>
    <w:basedOn w:val="Normal"/>
    <w:next w:val="Normal"/>
    <w:link w:val="Heading8Char"/>
    <w:uiPriority w:val="9"/>
    <w:unhideWhenUsed/>
    <w:qFormat/>
    <w:rsid w:val="003C2CEA"/>
    <w:pPr>
      <w:keepNext/>
      <w:keepLines/>
      <w:numPr>
        <w:ilvl w:val="7"/>
        <w:numId w:val="6"/>
      </w:numPr>
      <w:spacing w:before="200"/>
      <w:outlineLvl w:val="7"/>
    </w:pPr>
    <w:rPr>
      <w:rFonts w:eastAsiaTheme="majorEastAsia"/>
      <w:color w:val="404040" w:themeColor="text1" w:themeTint="BF"/>
    </w:rPr>
  </w:style>
  <w:style w:type="paragraph" w:styleId="Heading9">
    <w:name w:val="heading 9"/>
    <w:aliases w:val="Appendix H2"/>
    <w:basedOn w:val="Normal"/>
    <w:next w:val="Normal"/>
    <w:link w:val="Heading9Char"/>
    <w:uiPriority w:val="9"/>
    <w:unhideWhenUsed/>
    <w:qFormat/>
    <w:rsid w:val="003C2CEA"/>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6B7"/>
    <w:rPr>
      <w:rFonts w:eastAsiaTheme="majorEastAsia"/>
      <w:b/>
      <w:bCs/>
      <w:color w:val="000000" w:themeColor="text1"/>
      <w:szCs w:val="28"/>
    </w:rPr>
  </w:style>
  <w:style w:type="character" w:customStyle="1" w:styleId="Heading2Char">
    <w:name w:val="Heading 2 Char"/>
    <w:basedOn w:val="DefaultParagraphFont"/>
    <w:link w:val="Heading2"/>
    <w:uiPriority w:val="9"/>
    <w:rsid w:val="00101045"/>
    <w:rPr>
      <w:rFonts w:eastAsiaTheme="majorEastAsia"/>
      <w:b/>
      <w:bCs/>
      <w:color w:val="000000" w:themeColor="text1"/>
      <w:szCs w:val="28"/>
    </w:rPr>
  </w:style>
  <w:style w:type="character" w:customStyle="1" w:styleId="Heading3Char">
    <w:name w:val="Heading 3 Char"/>
    <w:basedOn w:val="DefaultParagraphFont"/>
    <w:link w:val="Heading3"/>
    <w:uiPriority w:val="99"/>
    <w:rsid w:val="00101045"/>
    <w:rPr>
      <w:rFonts w:eastAsiaTheme="majorEastAsia"/>
      <w:bCs/>
      <w:i/>
      <w:color w:val="000000" w:themeColor="text1"/>
      <w:szCs w:val="24"/>
    </w:rPr>
  </w:style>
  <w:style w:type="character" w:customStyle="1" w:styleId="Heading4Char">
    <w:name w:val="Heading 4 Char"/>
    <w:basedOn w:val="DefaultParagraphFont"/>
    <w:link w:val="Heading4"/>
    <w:uiPriority w:val="9"/>
    <w:rsid w:val="003C3A04"/>
    <w:rPr>
      <w:rFonts w:eastAsiaTheme="majorEastAsia"/>
      <w:bCs/>
      <w:i/>
      <w:color w:val="000000" w:themeColor="text1"/>
      <w:szCs w:val="24"/>
    </w:rPr>
  </w:style>
  <w:style w:type="character" w:customStyle="1" w:styleId="Heading5Char">
    <w:name w:val="Heading 5 Char"/>
    <w:basedOn w:val="DefaultParagraphFont"/>
    <w:link w:val="Heading5"/>
    <w:uiPriority w:val="9"/>
    <w:rsid w:val="003C2C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C2CE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C2CEA"/>
    <w:rPr>
      <w:rFonts w:asciiTheme="majorHAnsi" w:eastAsiaTheme="majorEastAsia" w:hAnsiTheme="majorHAnsi" w:cstheme="majorBidi"/>
      <w:i/>
      <w:iCs/>
      <w:color w:val="404040" w:themeColor="text1" w:themeTint="BF"/>
    </w:rPr>
  </w:style>
  <w:style w:type="character" w:customStyle="1" w:styleId="Heading8Char">
    <w:name w:val="Heading 8 Char"/>
    <w:aliases w:val="Appendix H1 Char"/>
    <w:basedOn w:val="DefaultParagraphFont"/>
    <w:link w:val="Heading8"/>
    <w:uiPriority w:val="9"/>
    <w:rsid w:val="003C2CEA"/>
    <w:rPr>
      <w:rFonts w:eastAsiaTheme="majorEastAsia"/>
      <w:color w:val="404040" w:themeColor="text1" w:themeTint="BF"/>
    </w:rPr>
  </w:style>
  <w:style w:type="character" w:customStyle="1" w:styleId="Heading9Char">
    <w:name w:val="Heading 9 Char"/>
    <w:aliases w:val="Appendix H2 Char"/>
    <w:basedOn w:val="DefaultParagraphFont"/>
    <w:link w:val="Heading9"/>
    <w:uiPriority w:val="9"/>
    <w:rsid w:val="003C2CE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C424F4"/>
    <w:pPr>
      <w:ind w:left="720"/>
      <w:contextualSpacing/>
    </w:pPr>
  </w:style>
  <w:style w:type="character" w:customStyle="1" w:styleId="ListParagraphChar">
    <w:name w:val="List Paragraph Char"/>
    <w:basedOn w:val="DefaultParagraphFont"/>
    <w:link w:val="ListParagraph"/>
    <w:uiPriority w:val="34"/>
    <w:rsid w:val="00BC1D01"/>
  </w:style>
  <w:style w:type="paragraph" w:styleId="Header">
    <w:name w:val="header"/>
    <w:basedOn w:val="Normal"/>
    <w:link w:val="HeaderChar"/>
    <w:uiPriority w:val="99"/>
    <w:unhideWhenUsed/>
    <w:rsid w:val="007D4408"/>
    <w:pPr>
      <w:tabs>
        <w:tab w:val="center" w:pos="4680"/>
        <w:tab w:val="right" w:pos="9360"/>
      </w:tabs>
    </w:pPr>
  </w:style>
  <w:style w:type="character" w:customStyle="1" w:styleId="HeaderChar">
    <w:name w:val="Header Char"/>
    <w:basedOn w:val="DefaultParagraphFont"/>
    <w:link w:val="Header"/>
    <w:uiPriority w:val="99"/>
    <w:rsid w:val="007D4408"/>
  </w:style>
  <w:style w:type="paragraph" w:styleId="Footer">
    <w:name w:val="footer"/>
    <w:basedOn w:val="Normal"/>
    <w:link w:val="FooterChar"/>
    <w:uiPriority w:val="99"/>
    <w:unhideWhenUsed/>
    <w:rsid w:val="007D4408"/>
    <w:pPr>
      <w:tabs>
        <w:tab w:val="center" w:pos="4680"/>
        <w:tab w:val="right" w:pos="9360"/>
      </w:tabs>
    </w:pPr>
  </w:style>
  <w:style w:type="character" w:customStyle="1" w:styleId="FooterChar">
    <w:name w:val="Footer Char"/>
    <w:basedOn w:val="DefaultParagraphFont"/>
    <w:link w:val="Footer"/>
    <w:uiPriority w:val="99"/>
    <w:rsid w:val="007D4408"/>
  </w:style>
  <w:style w:type="paragraph" w:styleId="BalloonText">
    <w:name w:val="Balloon Text"/>
    <w:basedOn w:val="Normal"/>
    <w:link w:val="BalloonTextChar"/>
    <w:uiPriority w:val="99"/>
    <w:semiHidden/>
    <w:unhideWhenUsed/>
    <w:rsid w:val="00B515CC"/>
    <w:rPr>
      <w:rFonts w:ascii="Tahoma" w:hAnsi="Tahoma" w:cs="Tahoma"/>
      <w:sz w:val="16"/>
      <w:szCs w:val="16"/>
    </w:rPr>
  </w:style>
  <w:style w:type="character" w:customStyle="1" w:styleId="BalloonTextChar">
    <w:name w:val="Balloon Text Char"/>
    <w:basedOn w:val="DefaultParagraphFont"/>
    <w:link w:val="BalloonText"/>
    <w:uiPriority w:val="99"/>
    <w:semiHidden/>
    <w:rsid w:val="00B515CC"/>
    <w:rPr>
      <w:rFonts w:ascii="Tahoma" w:hAnsi="Tahoma" w:cs="Tahoma"/>
      <w:sz w:val="16"/>
      <w:szCs w:val="16"/>
    </w:rPr>
  </w:style>
  <w:style w:type="paragraph" w:styleId="FootnoteText">
    <w:name w:val="footnote text"/>
    <w:basedOn w:val="Normal"/>
    <w:link w:val="FootnoteTextChar"/>
    <w:uiPriority w:val="99"/>
    <w:unhideWhenUsed/>
    <w:rsid w:val="00AF5D92"/>
    <w:rPr>
      <w:rFonts w:eastAsia="Times New Roman" w:cs="Times New Roman"/>
      <w:sz w:val="20"/>
      <w:szCs w:val="20"/>
    </w:rPr>
  </w:style>
  <w:style w:type="character" w:customStyle="1" w:styleId="FootnoteTextChar">
    <w:name w:val="Footnote Text Char"/>
    <w:basedOn w:val="DefaultParagraphFont"/>
    <w:link w:val="FootnoteText"/>
    <w:uiPriority w:val="99"/>
    <w:rsid w:val="00AF5D92"/>
    <w:rPr>
      <w:rFonts w:eastAsia="Times New Roman" w:cs="Times New Roman"/>
      <w:sz w:val="20"/>
      <w:szCs w:val="20"/>
    </w:rPr>
  </w:style>
  <w:style w:type="character" w:styleId="FootnoteReference">
    <w:name w:val="footnote reference"/>
    <w:basedOn w:val="DefaultParagraphFont"/>
    <w:uiPriority w:val="99"/>
    <w:unhideWhenUsed/>
    <w:rsid w:val="00AF5D92"/>
  </w:style>
  <w:style w:type="paragraph" w:styleId="Caption">
    <w:name w:val="caption"/>
    <w:basedOn w:val="Normal"/>
    <w:next w:val="Normal"/>
    <w:uiPriority w:val="35"/>
    <w:unhideWhenUsed/>
    <w:qFormat/>
    <w:rsid w:val="00E1388B"/>
    <w:pPr>
      <w:keepNext/>
      <w:spacing w:after="200"/>
    </w:pPr>
    <w:rPr>
      <w:bCs/>
    </w:rPr>
  </w:style>
  <w:style w:type="character" w:styleId="Hyperlink">
    <w:name w:val="Hyperlink"/>
    <w:basedOn w:val="DefaultParagraphFont"/>
    <w:uiPriority w:val="99"/>
    <w:unhideWhenUsed/>
    <w:rsid w:val="00123B56"/>
    <w:rPr>
      <w:color w:val="0000FF"/>
      <w:u w:val="single"/>
    </w:rPr>
  </w:style>
  <w:style w:type="table" w:styleId="TableGrid">
    <w:name w:val="Table Grid"/>
    <w:basedOn w:val="TableNormal"/>
    <w:uiPriority w:val="59"/>
    <w:rsid w:val="004E37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BD3549"/>
    <w:rPr>
      <w:sz w:val="16"/>
      <w:szCs w:val="16"/>
    </w:rPr>
  </w:style>
  <w:style w:type="paragraph" w:styleId="CommentText">
    <w:name w:val="annotation text"/>
    <w:basedOn w:val="Normal"/>
    <w:link w:val="CommentTextChar"/>
    <w:uiPriority w:val="99"/>
    <w:rsid w:val="00BD3549"/>
    <w:pPr>
      <w:widowControl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D3549"/>
    <w:rPr>
      <w:rFonts w:ascii="Times New Roman" w:eastAsia="Times New Roman" w:hAnsi="Times New Roman" w:cs="Times New Roman"/>
      <w:sz w:val="20"/>
      <w:szCs w:val="20"/>
    </w:rPr>
  </w:style>
  <w:style w:type="paragraph" w:styleId="TOC1">
    <w:name w:val="toc 1"/>
    <w:basedOn w:val="Normal"/>
    <w:next w:val="Normal"/>
    <w:autoRedefine/>
    <w:uiPriority w:val="39"/>
    <w:rsid w:val="006C4B5D"/>
    <w:pPr>
      <w:tabs>
        <w:tab w:val="left" w:pos="720"/>
        <w:tab w:val="left" w:pos="1440"/>
        <w:tab w:val="right" w:leader="dot" w:pos="8990"/>
      </w:tabs>
      <w:spacing w:before="220" w:line="240" w:lineRule="auto"/>
      <w:ind w:left="1440" w:hanging="1440"/>
    </w:pPr>
    <w:rPr>
      <w:rFonts w:eastAsiaTheme="minorEastAsia"/>
      <w:noProof/>
      <w:color w:val="auto"/>
    </w:rPr>
  </w:style>
  <w:style w:type="paragraph" w:styleId="TOC2">
    <w:name w:val="toc 2"/>
    <w:basedOn w:val="Normal"/>
    <w:next w:val="Normal"/>
    <w:autoRedefine/>
    <w:uiPriority w:val="39"/>
    <w:rsid w:val="006A5598"/>
    <w:pPr>
      <w:tabs>
        <w:tab w:val="left" w:pos="180"/>
        <w:tab w:val="left" w:pos="1440"/>
        <w:tab w:val="right" w:leader="dot" w:pos="8990"/>
      </w:tabs>
      <w:ind w:left="2160" w:hanging="1800"/>
    </w:pPr>
    <w:rPr>
      <w:rFonts w:eastAsia="Times New Roman" w:cs="Times New Roman"/>
      <w:sz w:val="20"/>
      <w:szCs w:val="20"/>
    </w:rPr>
  </w:style>
  <w:style w:type="character" w:styleId="PageNumber">
    <w:name w:val="page number"/>
    <w:basedOn w:val="DefaultParagraphFont"/>
    <w:rsid w:val="00780F91"/>
  </w:style>
  <w:style w:type="paragraph" w:styleId="TOC3">
    <w:name w:val="toc 3"/>
    <w:basedOn w:val="Normal"/>
    <w:next w:val="Normal"/>
    <w:autoRedefine/>
    <w:uiPriority w:val="39"/>
    <w:rsid w:val="006A5598"/>
    <w:pPr>
      <w:tabs>
        <w:tab w:val="left" w:pos="720"/>
        <w:tab w:val="left" w:pos="1440"/>
        <w:tab w:val="left" w:pos="1530"/>
        <w:tab w:val="right" w:leader="dot" w:pos="8990"/>
      </w:tabs>
      <w:spacing w:after="40"/>
      <w:ind w:left="1440" w:hanging="1080"/>
    </w:pPr>
    <w:rPr>
      <w:rFonts w:eastAsia="Times New Roman" w:cs="Times New Roman"/>
      <w:sz w:val="20"/>
      <w:szCs w:val="20"/>
    </w:rPr>
  </w:style>
  <w:style w:type="character" w:customStyle="1" w:styleId="QuickFormat1">
    <w:name w:val="QuickFormat1"/>
    <w:uiPriority w:val="99"/>
    <w:rsid w:val="003C2CEA"/>
    <w:rPr>
      <w:rFonts w:ascii="Arial" w:hAnsi="Arial" w:cs="Arial"/>
      <w:b/>
      <w:bCs/>
      <w:color w:val="000000"/>
      <w:sz w:val="22"/>
      <w:szCs w:val="22"/>
    </w:rPr>
  </w:style>
  <w:style w:type="character" w:styleId="PlaceholderText">
    <w:name w:val="Placeholder Text"/>
    <w:basedOn w:val="DefaultParagraphFont"/>
    <w:uiPriority w:val="99"/>
    <w:semiHidden/>
    <w:rsid w:val="00E27842"/>
    <w:rPr>
      <w:color w:val="808080"/>
    </w:rPr>
  </w:style>
  <w:style w:type="character" w:styleId="Emphasis">
    <w:name w:val="Emphasis"/>
    <w:uiPriority w:val="20"/>
    <w:qFormat/>
    <w:rsid w:val="00942F1E"/>
    <w:rPr>
      <w:i/>
      <w:iCs/>
    </w:rPr>
  </w:style>
  <w:style w:type="paragraph" w:customStyle="1" w:styleId="indentfirstline05">
    <w:name w:val="indent first line 0.5"/>
    <w:basedOn w:val="Normal"/>
    <w:link w:val="indentfirstline05Char"/>
    <w:qFormat/>
    <w:rsid w:val="00500171"/>
    <w:pPr>
      <w:widowControl w:val="0"/>
      <w:spacing w:line="480" w:lineRule="auto"/>
      <w:ind w:firstLine="720"/>
    </w:pPr>
    <w:rPr>
      <w:rFonts w:eastAsia="Times New Roman"/>
    </w:rPr>
  </w:style>
  <w:style w:type="character" w:customStyle="1" w:styleId="indentfirstline05Char">
    <w:name w:val="indent first line 0.5 Char"/>
    <w:basedOn w:val="DefaultParagraphFont"/>
    <w:link w:val="indentfirstline05"/>
    <w:rsid w:val="00500171"/>
    <w:rPr>
      <w:rFonts w:eastAsia="Times New Roman"/>
    </w:rPr>
  </w:style>
  <w:style w:type="paragraph" w:customStyle="1" w:styleId="Default">
    <w:name w:val="Default"/>
    <w:rsid w:val="001245DE"/>
    <w:pPr>
      <w:autoSpaceDE w:val="0"/>
      <w:autoSpaceDN w:val="0"/>
      <w:adjustRightInd w:val="0"/>
      <w:spacing w:line="240" w:lineRule="auto"/>
    </w:pPr>
    <w:rPr>
      <w:rFonts w:ascii="Adobe Garamond Pro" w:hAnsi="Adobe Garamond Pro" w:cs="Adobe Garamond Pro"/>
      <w:color w:val="000000"/>
      <w:sz w:val="24"/>
      <w:szCs w:val="24"/>
    </w:rPr>
  </w:style>
  <w:style w:type="paragraph" w:styleId="TOC4">
    <w:name w:val="toc 4"/>
    <w:basedOn w:val="Normal"/>
    <w:next w:val="Normal"/>
    <w:autoRedefine/>
    <w:uiPriority w:val="39"/>
    <w:unhideWhenUsed/>
    <w:rsid w:val="00352DA6"/>
    <w:pPr>
      <w:autoSpaceDE/>
      <w:autoSpaceDN/>
      <w:adjustRightInd/>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352DA6"/>
    <w:pPr>
      <w:autoSpaceDE/>
      <w:autoSpaceDN/>
      <w:adjustRightInd/>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352DA6"/>
    <w:pPr>
      <w:autoSpaceDE/>
      <w:autoSpaceDN/>
      <w:adjustRightInd/>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352DA6"/>
    <w:pPr>
      <w:autoSpaceDE/>
      <w:autoSpaceDN/>
      <w:adjustRightInd/>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352DA6"/>
    <w:pPr>
      <w:autoSpaceDE/>
      <w:autoSpaceDN/>
      <w:adjustRightInd/>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352DA6"/>
    <w:pPr>
      <w:autoSpaceDE/>
      <w:autoSpaceDN/>
      <w:adjustRightInd/>
      <w:spacing w:after="100"/>
      <w:ind w:left="1760"/>
    </w:pPr>
    <w:rPr>
      <w:rFonts w:asciiTheme="minorHAnsi" w:eastAsiaTheme="minorEastAsia" w:hAnsiTheme="minorHAnsi" w:cstheme="minorBidi"/>
    </w:rPr>
  </w:style>
  <w:style w:type="character" w:styleId="HTMLCite">
    <w:name w:val="HTML Cite"/>
    <w:basedOn w:val="DefaultParagraphFont"/>
    <w:uiPriority w:val="99"/>
    <w:semiHidden/>
    <w:unhideWhenUsed/>
    <w:rsid w:val="002A3407"/>
    <w:rPr>
      <w:i w:val="0"/>
      <w:iCs w:val="0"/>
      <w:color w:val="006621"/>
    </w:rPr>
  </w:style>
  <w:style w:type="paragraph" w:styleId="NormalWeb">
    <w:name w:val="Normal (Web)"/>
    <w:basedOn w:val="Normal"/>
    <w:uiPriority w:val="99"/>
    <w:unhideWhenUsed/>
    <w:rsid w:val="000F4643"/>
    <w:pPr>
      <w:autoSpaceDE/>
      <w:autoSpaceDN/>
      <w:adjustRightInd/>
      <w:spacing w:after="300"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65422C"/>
  </w:style>
  <w:style w:type="paragraph" w:styleId="CommentSubject">
    <w:name w:val="annotation subject"/>
    <w:basedOn w:val="CommentText"/>
    <w:next w:val="CommentText"/>
    <w:link w:val="CommentSubjectChar"/>
    <w:uiPriority w:val="99"/>
    <w:semiHidden/>
    <w:unhideWhenUsed/>
    <w:rsid w:val="002C5253"/>
    <w:pPr>
      <w:widowControl/>
      <w:spacing w:line="240" w:lineRule="auto"/>
    </w:pPr>
    <w:rPr>
      <w:rFonts w:ascii="Arial" w:hAnsi="Arial" w:eastAsiaTheme="minorHAnsi" w:cs="Arial"/>
      <w:b/>
      <w:bCs/>
    </w:rPr>
  </w:style>
  <w:style w:type="character" w:customStyle="1" w:styleId="CommentSubjectChar">
    <w:name w:val="Comment Subject Char"/>
    <w:basedOn w:val="CommentTextChar"/>
    <w:link w:val="CommentSubject"/>
    <w:uiPriority w:val="99"/>
    <w:semiHidden/>
    <w:rsid w:val="002C5253"/>
    <w:rPr>
      <w:rFonts w:ascii="Times New Roman" w:eastAsia="Times New Roman" w:hAnsi="Times New Roman" w:cs="Times New Roman"/>
      <w:b/>
      <w:bCs/>
      <w:sz w:val="20"/>
      <w:szCs w:val="20"/>
    </w:rPr>
  </w:style>
  <w:style w:type="paragraph" w:customStyle="1" w:styleId="headinglineafter">
    <w:name w:val="heading line after"/>
    <w:qFormat/>
    <w:rsid w:val="00830D24"/>
    <w:pPr>
      <w:keepNext/>
      <w:spacing w:line="240" w:lineRule="auto"/>
    </w:pPr>
    <w:rPr>
      <w:rFonts w:eastAsia="Times New Roman"/>
    </w:rPr>
  </w:style>
  <w:style w:type="paragraph" w:styleId="Revision">
    <w:name w:val="Revision"/>
    <w:hidden/>
    <w:uiPriority w:val="99"/>
    <w:semiHidden/>
    <w:rsid w:val="00891C71"/>
    <w:pPr>
      <w:spacing w:line="240" w:lineRule="auto"/>
    </w:pPr>
  </w:style>
  <w:style w:type="character" w:styleId="FollowedHyperlink">
    <w:name w:val="FollowedHyperlink"/>
    <w:basedOn w:val="DefaultParagraphFont"/>
    <w:uiPriority w:val="99"/>
    <w:semiHidden/>
    <w:unhideWhenUsed/>
    <w:rsid w:val="00754922"/>
    <w:rPr>
      <w:color w:val="800080" w:themeColor="followedHyperlink"/>
      <w:u w:val="single"/>
    </w:rPr>
  </w:style>
  <w:style w:type="paragraph" w:styleId="HTMLPreformatted">
    <w:name w:val="HTML Preformatted"/>
    <w:basedOn w:val="Normal"/>
    <w:link w:val="HTMLPreformattedChar"/>
    <w:uiPriority w:val="99"/>
    <w:semiHidden/>
    <w:unhideWhenUsed/>
    <w:rsid w:val="00C70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C70A22"/>
    <w:rPr>
      <w:rFonts w:ascii="Courier New" w:eastAsia="Times New Roman" w:hAnsi="Courier New" w:cs="Courier New"/>
      <w:sz w:val="20"/>
      <w:szCs w:val="20"/>
    </w:rPr>
  </w:style>
  <w:style w:type="numbering" w:customStyle="1" w:styleId="NoList1">
    <w:name w:val="No List1"/>
    <w:next w:val="NoList"/>
    <w:uiPriority w:val="99"/>
    <w:semiHidden/>
    <w:unhideWhenUsed/>
    <w:rsid w:val="006C27F6"/>
  </w:style>
  <w:style w:type="paragraph" w:customStyle="1" w:styleId="xl74">
    <w:name w:val="xl74"/>
    <w:basedOn w:val="Normal"/>
    <w:rsid w:val="006C27F6"/>
    <w:pPr>
      <w:autoSpaceDE/>
      <w:autoSpaceDN/>
      <w:adjustRightInd/>
      <w:spacing w:before="100" w:beforeAutospacing="1" w:after="100" w:afterAutospacing="1" w:line="240" w:lineRule="auto"/>
    </w:pPr>
    <w:rPr>
      <w:rFonts w:eastAsia="Times New Roman"/>
      <w:color w:val="auto"/>
      <w:sz w:val="20"/>
      <w:szCs w:val="20"/>
    </w:rPr>
  </w:style>
  <w:style w:type="paragraph" w:customStyle="1" w:styleId="xl75">
    <w:name w:val="xl75"/>
    <w:basedOn w:val="Normal"/>
    <w:rsid w:val="006C27F6"/>
    <w:pPr>
      <w:shd w:val="clear" w:color="000000" w:fill="FFFF00"/>
      <w:autoSpaceDE/>
      <w:autoSpaceDN/>
      <w:adjustRightInd/>
      <w:spacing w:before="100" w:beforeAutospacing="1" w:after="100" w:afterAutospacing="1" w:line="240" w:lineRule="auto"/>
    </w:pPr>
    <w:rPr>
      <w:rFonts w:eastAsia="Times New Roman"/>
      <w:color w:val="auto"/>
      <w:sz w:val="20"/>
      <w:szCs w:val="20"/>
    </w:rPr>
  </w:style>
  <w:style w:type="paragraph" w:customStyle="1" w:styleId="xl76">
    <w:name w:val="xl76"/>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77">
    <w:name w:val="xl77"/>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xl78">
    <w:name w:val="xl78"/>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79">
    <w:name w:val="xl79"/>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0">
    <w:name w:val="xl80"/>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1">
    <w:name w:val="xl81"/>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2">
    <w:name w:val="xl82"/>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3">
    <w:name w:val="xl83"/>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4">
    <w:name w:val="xl84"/>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85">
    <w:name w:val="xl85"/>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6">
    <w:name w:val="xl86"/>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7">
    <w:name w:val="xl87"/>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numbering" w:customStyle="1" w:styleId="NoList2">
    <w:name w:val="No List2"/>
    <w:next w:val="NoList"/>
    <w:uiPriority w:val="99"/>
    <w:semiHidden/>
    <w:unhideWhenUsed/>
    <w:rsid w:val="000D374F"/>
  </w:style>
  <w:style w:type="paragraph" w:customStyle="1" w:styleId="xl88">
    <w:name w:val="xl88"/>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9">
    <w:name w:val="xl89"/>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90">
    <w:name w:val="xl90"/>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1">
    <w:name w:val="xl91"/>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2">
    <w:name w:val="xl92"/>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3">
    <w:name w:val="xl93"/>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4">
    <w:name w:val="xl94"/>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5">
    <w:name w:val="xl95"/>
    <w:basedOn w:val="Normal"/>
    <w:rsid w:val="000D374F"/>
    <w:pPr>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6">
    <w:name w:val="xl96"/>
    <w:basedOn w:val="Normal"/>
    <w:rsid w:val="000D374F"/>
    <w:pPr>
      <w:pBdr>
        <w:top w:val="single" w:sz="8" w:space="0" w:color="auto"/>
        <w:left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7">
    <w:name w:val="xl97"/>
    <w:basedOn w:val="Normal"/>
    <w:rsid w:val="000D374F"/>
    <w:pPr>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8">
    <w:name w:val="xl98"/>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9">
    <w:name w:val="xl99"/>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0">
    <w:name w:val="xl100"/>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1">
    <w:name w:val="xl101"/>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102">
    <w:name w:val="xl102"/>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3">
    <w:name w:val="xl103"/>
    <w:basedOn w:val="Normal"/>
    <w:rsid w:val="000D374F"/>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4">
    <w:name w:val="xl104"/>
    <w:basedOn w:val="Normal"/>
    <w:rsid w:val="000D374F"/>
    <w:pPr>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5">
    <w:name w:val="xl105"/>
    <w:basedOn w:val="Normal"/>
    <w:rsid w:val="000D374F"/>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6">
    <w:name w:val="xl106"/>
    <w:basedOn w:val="Normal"/>
    <w:rsid w:val="000D374F"/>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7">
    <w:name w:val="xl107"/>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8">
    <w:name w:val="xl108"/>
    <w:basedOn w:val="Normal"/>
    <w:rsid w:val="000D374F"/>
    <w:pPr>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styleId="NoSpacing">
    <w:name w:val="No Spacing"/>
    <w:uiPriority w:val="1"/>
    <w:qFormat/>
    <w:rsid w:val="00714C4A"/>
    <w:pPr>
      <w:spacing w:line="240" w:lineRule="auto"/>
    </w:pPr>
    <w:rPr>
      <w:szCs w:val="24"/>
    </w:rPr>
  </w:style>
  <w:style w:type="paragraph" w:customStyle="1" w:styleId="p1">
    <w:name w:val="p1"/>
    <w:basedOn w:val="Normal"/>
    <w:rsid w:val="001D495F"/>
    <w:pPr>
      <w:autoSpaceDE/>
      <w:autoSpaceDN/>
      <w:adjustRightInd/>
      <w:spacing w:line="240" w:lineRule="auto"/>
    </w:pPr>
    <w:rPr>
      <w:color w:val="auto"/>
      <w:sz w:val="17"/>
      <w:szCs w:val="17"/>
    </w:rPr>
  </w:style>
  <w:style w:type="character" w:customStyle="1" w:styleId="UnresolvedMention1">
    <w:name w:val="Unresolved Mention1"/>
    <w:basedOn w:val="DefaultParagraphFont"/>
    <w:uiPriority w:val="99"/>
    <w:semiHidden/>
    <w:unhideWhenUsed/>
    <w:rsid w:val="00C861CD"/>
    <w:rPr>
      <w:color w:val="808080"/>
      <w:shd w:val="clear" w:color="auto" w:fill="E6E6E6"/>
    </w:rPr>
  </w:style>
  <w:style w:type="table" w:customStyle="1" w:styleId="TableGrid1">
    <w:name w:val="Table Grid1"/>
    <w:basedOn w:val="TableNormal"/>
    <w:next w:val="TableGrid"/>
    <w:uiPriority w:val="59"/>
    <w:rsid w:val="00CA74E3"/>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DD034E"/>
    <w:rPr>
      <w:color w:val="605E5C"/>
      <w:shd w:val="clear" w:color="auto" w:fill="E1DFDD"/>
    </w:rPr>
  </w:style>
  <w:style w:type="character" w:styleId="Mention">
    <w:name w:val="Mention"/>
    <w:basedOn w:val="DefaultParagraphFont"/>
    <w:uiPriority w:val="99"/>
    <w:unhideWhenUsed/>
    <w:rsid w:val="005750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footer" Target="footer1.xml" /><Relationship Id="rId12" Type="http://schemas.openxmlformats.org/officeDocument/2006/relationships/image" Target="media/image2.emf" /><Relationship Id="rId13" Type="http://schemas.openxmlformats.org/officeDocument/2006/relationships/header" Target="header1.xml" /><Relationship Id="rId14" Type="http://schemas.openxmlformats.org/officeDocument/2006/relationships/footer" Target="footer2.xml" /><Relationship Id="rId15" Type="http://schemas.openxmlformats.org/officeDocument/2006/relationships/image" Target="media/image3.emf" /><Relationship Id="rId16" Type="http://schemas.openxmlformats.org/officeDocument/2006/relationships/image" Target="media/image4.emf" /><Relationship Id="rId17" Type="http://schemas.openxmlformats.org/officeDocument/2006/relationships/image" Target="media/image5.emf" /><Relationship Id="rId18" Type="http://schemas.openxmlformats.org/officeDocument/2006/relationships/image" Target="media/image6.emf" /><Relationship Id="rId19" Type="http://schemas.openxmlformats.org/officeDocument/2006/relationships/image" Target="media/image7.emf" /><Relationship Id="rId2" Type="http://schemas.openxmlformats.org/officeDocument/2006/relationships/settings" Target="settings.xml" /><Relationship Id="rId20" Type="http://schemas.openxmlformats.org/officeDocument/2006/relationships/image" Target="media/image8.emf" /><Relationship Id="rId21" Type="http://schemas.openxmlformats.org/officeDocument/2006/relationships/image" Target="media/image9.emf" /><Relationship Id="rId22" Type="http://schemas.openxmlformats.org/officeDocument/2006/relationships/image" Target="media/image10.emf" /><Relationship Id="rId23" Type="http://schemas.openxmlformats.org/officeDocument/2006/relationships/image" Target="media/image11.emf" /><Relationship Id="rId24" Type="http://schemas.openxmlformats.org/officeDocument/2006/relationships/image" Target="media/image12.emf" /><Relationship Id="rId25" Type="http://schemas.openxmlformats.org/officeDocument/2006/relationships/image" Target="media/image13.emf" /><Relationship Id="rId26" Type="http://schemas.openxmlformats.org/officeDocument/2006/relationships/image" Target="media/image14.emf" /><Relationship Id="rId27" Type="http://schemas.openxmlformats.org/officeDocument/2006/relationships/image" Target="media/image15.emf" /><Relationship Id="rId28" Type="http://schemas.openxmlformats.org/officeDocument/2006/relationships/image" Target="media/image16.emf" /><Relationship Id="rId29" Type="http://schemas.openxmlformats.org/officeDocument/2006/relationships/image" Target="media/image17.emf" /><Relationship Id="rId3" Type="http://schemas.openxmlformats.org/officeDocument/2006/relationships/webSettings" Target="webSettings.xml" /><Relationship Id="rId30" Type="http://schemas.openxmlformats.org/officeDocument/2006/relationships/hyperlink" Target="http://www.bls.gov/soc/home.htm" TargetMode="External" /><Relationship Id="rId31" Type="http://schemas.openxmlformats.org/officeDocument/2006/relationships/hyperlink" Target="http://www.bls.gov/cpi/tables.htm" TargetMode="External" /><Relationship Id="rId32" Type="http://schemas.openxmlformats.org/officeDocument/2006/relationships/hyperlink" Target="https://www.epa.gov/sites/production/files/2017-01/documents/epa_pag_manual_final_revisions_01-11-2017_cover_disclaimer_8.pdf" TargetMode="External" /><Relationship Id="rId33" Type="http://schemas.openxmlformats.org/officeDocument/2006/relationships/header" Target="header2.xml" /><Relationship Id="rId34" Type="http://schemas.openxmlformats.org/officeDocument/2006/relationships/footer" Target="footer3.xml" /><Relationship Id="rId35" Type="http://schemas.openxmlformats.org/officeDocument/2006/relationships/footer" Target="footer4.xml" /><Relationship Id="rId36" Type="http://schemas.openxmlformats.org/officeDocument/2006/relationships/footer" Target="footer5.xml" /><Relationship Id="rId37" Type="http://schemas.openxmlformats.org/officeDocument/2006/relationships/footer" Target="footer6.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fontTable" Target="fontTable.xml" /><Relationship Id="rId40"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palisad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7f93ab76-aa30-41d1-a02d-fdb0ec7c7c71">
      <UserInfo>
        <DisplayName>Brunson, Wesley</DisplayName>
        <AccountId>14</AccountId>
        <AccountType/>
      </UserInfo>
      <UserInfo>
        <DisplayName>Cline-Thomas, Patricia</DisplayName>
        <AccountId>199</AccountId>
        <AccountType/>
      </UserInfo>
      <UserInfo>
        <DisplayName>Ghneim, Munira</DisplayName>
        <AccountId>10</AccountId>
        <AccountType/>
      </UserInfo>
      <UserInfo>
        <DisplayName>Gunasekera, Manjula</DisplayName>
        <AccountId>21</AccountId>
        <AccountType/>
      </UserInfo>
      <UserInfo>
        <DisplayName>Lappert, Glenna</DisplayName>
        <AccountId>242</AccountId>
        <AccountType/>
      </UserInfo>
      <UserInfo>
        <DisplayName>Soto Lugo, Soly</DisplayName>
        <AccountId>261</AccountId>
        <AccountType/>
      </UserInfo>
      <UserInfo>
        <DisplayName>Thieneman, Kristopher</DisplayName>
        <AccountId>13</AccountId>
        <AccountType/>
      </UserInfo>
      <UserInfo>
        <DisplayName>Berrios, Ilka</DisplayName>
        <AccountId>129</AccountId>
        <AccountType/>
      </UserInfo>
      <UserInfo>
        <DisplayName>Erwin, Kenneth</DisplayName>
        <AccountId>138</AccountId>
        <AccountType/>
      </UserInfo>
      <UserInfo>
        <DisplayName>Kahler, Robert</DisplayName>
        <AccountId>156</AccountId>
        <AccountType/>
      </UserInfo>
      <UserInfo>
        <DisplayName>Segala, John</DisplayName>
        <AccountId>202</AccountId>
        <AccountType/>
      </UserInfo>
      <UserInfo>
        <DisplayName>Bladey, Cindy</DisplayName>
        <AccountId>67</AccountId>
        <AccountType/>
      </UserInfo>
      <UserInfo>
        <DisplayName>Rahimi, Meraj</DisplayName>
        <AccountId>92</AccountId>
        <AccountType/>
      </UserInfo>
      <UserInfo>
        <DisplayName>Arribas-Colon, Maria</DisplayName>
        <AccountId>466</AccountId>
        <AccountType/>
      </UserInfo>
      <UserInfo>
        <DisplayName>Smith - NRR, Brian</DisplayName>
        <AccountId>319</AccountId>
        <AccountType/>
      </UserInfo>
      <UserInfo>
        <DisplayName>Benney, Kristen</DisplayName>
        <AccountId>459</AccountId>
        <AccountType/>
      </UserInfo>
      <UserInfo>
        <DisplayName>Cullison, David</DisplayName>
        <AccountId>68</AccountId>
        <AccountType/>
      </UserInfo>
      <UserInfo>
        <DisplayName>Mossman, Tim</DisplayName>
        <AccountId>105</AccountId>
        <AccountType/>
      </UserInfo>
      <UserInfo>
        <DisplayName>Beall, Bob</DisplayName>
        <AccountId>256</AccountId>
        <AccountType/>
      </UserInfo>
      <UserInfo>
        <DisplayName>Cuadrado, Leira</DisplayName>
        <AccountId>284</AccountId>
        <AccountType/>
      </UserInfo>
      <UserInfo>
        <DisplayName>Tappert, John</DisplayName>
        <AccountId>80</AccountId>
        <AccountType/>
      </UserInfo>
      <UserInfo>
        <DisplayName>Coyne, Kevin</DisplayName>
        <AccountId>96</AccountId>
        <AccountType/>
      </UserInfo>
      <UserInfo>
        <DisplayName>Love Blair, Angella</DisplayName>
        <AccountId>103</AccountId>
        <AccountType/>
      </UserInfo>
      <UserInfo>
        <DisplayName>Brock, Kathryn</DisplayName>
        <AccountId>150</AccountId>
        <AccountType/>
      </UserInfo>
      <UserInfo>
        <DisplayName>Gavrilas, Mirela</DisplayName>
        <AccountId>215</AccountId>
        <AccountType/>
      </UserInfo>
      <UserInfo>
        <DisplayName>Whitaker, Scheera</DisplayName>
        <AccountId>109</AccountId>
        <AccountType/>
      </UserInfo>
      <UserInfo>
        <DisplayName>Huckabay, Victoria</DisplayName>
        <AccountId>241</AccountId>
        <AccountType/>
      </UserInfo>
      <UserInfo>
        <DisplayName>O'Driscoll, James</DisplayName>
        <AccountId>258</AccountId>
        <AccountType/>
      </UserInfo>
      <UserInfo>
        <DisplayName>Doyle, Dan</DisplayName>
        <AccountId>254</AccountId>
        <AccountType/>
      </UserInfo>
      <UserInfo>
        <DisplayName>Kohen, Marshall</DisplayName>
        <AccountId>223</AccountId>
        <AccountType/>
      </UserInfo>
      <UserInfo>
        <DisplayName>Sall, Basia</DisplayName>
        <AccountId>43</AccountId>
        <AccountType/>
      </UserInfo>
      <UserInfo>
        <DisplayName>Duran-Hernandez, Doris</DisplayName>
        <AccountId>71</AccountId>
        <AccountType/>
      </UserInfo>
    </SharedWithUsers>
    <_dlc_DocId xmlns="7f93ab76-aa30-41d1-a02d-fdb0ec7c7c71">CA4TU2V674C5-237960338-1812</_dlc_DocId>
    <_dlc_DocIdUrl xmlns="7f93ab76-aa30-41d1-a02d-fdb0ec7c7c71">
      <Url>https://usnrc.sharepoint.com/teams/NMSS-Emergency-Preparedness-for-SMRs-RULEMAKING/_layouts/15/DocIdRedir.aspx?ID=CA4TU2V674C5-237960338-1812</Url>
      <Description>CA4TU2V674C5-237960338-1812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B337B4898E9A142B8F27D9DC0F0E114" ma:contentTypeVersion="20" ma:contentTypeDescription="Create a new document." ma:contentTypeScope="" ma:versionID="9b97bfc4ba4240b8c388e05f9ffc22fe">
  <xsd:schema xmlns:xsd="http://www.w3.org/2001/XMLSchema" xmlns:xs="http://www.w3.org/2001/XMLSchema" xmlns:p="http://schemas.microsoft.com/office/2006/metadata/properties" xmlns:ns2="7f93ab76-aa30-41d1-a02d-fdb0ec7c7c71" xmlns:ns3="bb814c83-644e-4392-97fe-cfd86f886af8" targetNamespace="http://schemas.microsoft.com/office/2006/metadata/properties" ma:root="true" ma:fieldsID="fb2ac3872ed080555f1c96efcbae3113" ns2:_="" ns3:_="">
    <xsd:import namespace="7f93ab76-aa30-41d1-a02d-fdb0ec7c7c71"/>
    <xsd:import namespace="bb814c83-644e-4392-97fe-cfd86f886a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3ab76-aa30-41d1-a02d-fdb0ec7c7c71"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814c83-644e-4392-97fe-cfd86f886a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C1B4D-3209-42FC-8EFD-1B341169837D}">
  <ds:schemaRefs>
    <ds:schemaRef ds:uri="http://schemas.microsoft.com/sharepoint/events"/>
  </ds:schemaRefs>
</ds:datastoreItem>
</file>

<file path=customXml/itemProps2.xml><?xml version="1.0" encoding="utf-8"?>
<ds:datastoreItem xmlns:ds="http://schemas.openxmlformats.org/officeDocument/2006/customXml" ds:itemID="{EBE9F509-9398-4FED-9938-8B74DC4845A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bb814c83-644e-4392-97fe-cfd86f886af8"/>
    <ds:schemaRef ds:uri="http://schemas.openxmlformats.org/package/2006/metadata/core-properties"/>
    <ds:schemaRef ds:uri="7f93ab76-aa30-41d1-a02d-fdb0ec7c7c71"/>
    <ds:schemaRef ds:uri="http://www.w3.org/XML/1998/namespace"/>
    <ds:schemaRef ds:uri="http://purl.org/dc/dcmitype/"/>
  </ds:schemaRefs>
</ds:datastoreItem>
</file>

<file path=customXml/itemProps3.xml><?xml version="1.0" encoding="utf-8"?>
<ds:datastoreItem xmlns:ds="http://schemas.openxmlformats.org/officeDocument/2006/customXml" ds:itemID="{C935DD5D-48F4-4D4E-BC8B-E8F14580D4E6}">
  <ds:schemaRefs>
    <ds:schemaRef ds:uri="http://schemas.microsoft.com/sharepoint/v3/contenttype/forms"/>
  </ds:schemaRefs>
</ds:datastoreItem>
</file>

<file path=customXml/itemProps4.xml><?xml version="1.0" encoding="utf-8"?>
<ds:datastoreItem xmlns:ds="http://schemas.openxmlformats.org/officeDocument/2006/customXml" ds:itemID="{B8FFE4F7-F142-4864-9A94-ED867E01F8E2}">
  <ds:schemaRefs>
    <ds:schemaRef ds:uri="http://schemas.openxmlformats.org/officeDocument/2006/bibliography"/>
  </ds:schemaRefs>
</ds:datastoreItem>
</file>

<file path=customXml/itemProps5.xml><?xml version="1.0" encoding="utf-8"?>
<ds:datastoreItem xmlns:ds="http://schemas.openxmlformats.org/officeDocument/2006/customXml" ds:itemID="{25882E1A-5F8E-4FD0-A1BC-767A0485E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3ab76-aa30-41d1-a02d-fdb0ec7c7c71"/>
    <ds:schemaRef ds:uri="bb814c83-644e-4392-97fe-cfd86f886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TotalTime>
  <Pages>46</Pages>
  <Words>17267</Words>
  <Characters>98427</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ASME 09-13 draft final RA</vt:lpstr>
    </vt:vector>
  </TitlesOfParts>
  <Company>Nuclear Regulatory Commission</Company>
  <LinksUpToDate>false</LinksUpToDate>
  <CharactersWithSpaces>115464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ASME 09-13 draft final RA</dc:title>
  <dc:creator>Sanders, Aaron</dc:creator>
  <cp:lastModifiedBy>Bob Beall</cp:lastModifiedBy>
  <cp:revision>2</cp:revision>
  <cp:lastPrinted>2021-05-04T22:01:00Z</cp:lastPrinted>
  <dcterms:created xsi:type="dcterms:W3CDTF">2023-08-22T14:11:00Z</dcterms:created>
  <dcterms:modified xsi:type="dcterms:W3CDTF">2023-08-22T14:11:00Z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0x010100AB337B4898E9A142B8F27D9DC0F0E114</vt:lpwstr>
  </property>
  <property fmtid="{D5CDD505-2E9C-101B-9397-08002B2CF9AE}" pid="3" name="_dlc_DocIdItemGuid">
    <vt:lpwstr>a091bbfa-0997-47ae-b89d-7c52772cc1ca</vt:lpwstr>
  </property>
</Properties>
</file>