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947A3" w:rsidRPr="0019473E" w14:paraId="5AC81140" w14:textId="52408736">
      <w:pPr>
        <w:rPr>
          <w:shd w:val="clear" w:color="auto" w:fill="FFFFFF"/>
        </w:rPr>
      </w:pPr>
    </w:p>
    <w:p w:rsidR="00F352AD" w:rsidRPr="0019473E" w14:paraId="484AB491" w14:textId="77777777">
      <w:pPr>
        <w:rPr>
          <w:shd w:val="clear" w:color="auto" w:fill="FFFFFF"/>
        </w:rPr>
      </w:pPr>
    </w:p>
    <w:p w:rsidR="00F352AD" w:rsidRPr="0019473E" w:rsidP="00F352AD" w14:paraId="74FE033A" w14:textId="77777777">
      <w:pPr>
        <w:jc w:val="center"/>
        <w:rPr>
          <w:b/>
          <w:shd w:val="clear" w:color="auto" w:fill="FFFFFF"/>
        </w:rPr>
      </w:pPr>
      <w:r w:rsidRPr="0019473E">
        <w:rPr>
          <w:b/>
          <w:shd w:val="clear" w:color="auto" w:fill="FFFFFF"/>
        </w:rPr>
        <w:t>SUPPORTING STATEMENT</w:t>
      </w:r>
    </w:p>
    <w:p w:rsidR="00F352AD" w:rsidRPr="0019473E" w:rsidP="00F352AD" w14:paraId="4FCEBF21" w14:textId="77777777">
      <w:pPr>
        <w:jc w:val="center"/>
        <w:rPr>
          <w:b/>
          <w:shd w:val="clear" w:color="auto" w:fill="FFFFFF"/>
        </w:rPr>
      </w:pPr>
    </w:p>
    <w:p w:rsidR="00BF5E80" w:rsidRPr="0019473E" w:rsidP="00623E30" w14:paraId="498746F4" w14:textId="77777777">
      <w:pPr>
        <w:tabs>
          <w:tab w:val="left" w:pos="360"/>
        </w:tabs>
        <w:rPr>
          <w:b/>
          <w:shd w:val="clear" w:color="auto" w:fill="FFFFFF"/>
        </w:rPr>
      </w:pPr>
      <w:r w:rsidRPr="0019473E">
        <w:rPr>
          <w:b/>
          <w:shd w:val="clear" w:color="auto" w:fill="FFFFFF"/>
        </w:rPr>
        <w:t xml:space="preserve">A. </w:t>
      </w:r>
      <w:r w:rsidRPr="0019473E" w:rsidR="00623E30">
        <w:rPr>
          <w:b/>
          <w:shd w:val="clear" w:color="auto" w:fill="FFFFFF"/>
        </w:rPr>
        <w:tab/>
        <w:t>Justification.</w:t>
      </w:r>
    </w:p>
    <w:p w:rsidR="00623E30" w:rsidRPr="0019473E" w:rsidP="00623E30" w14:paraId="65B9E30B" w14:textId="77777777">
      <w:pPr>
        <w:tabs>
          <w:tab w:val="left" w:pos="360"/>
        </w:tabs>
        <w:rPr>
          <w:b/>
          <w:shd w:val="clear" w:color="auto" w:fill="FFFFFF"/>
        </w:rPr>
      </w:pPr>
    </w:p>
    <w:p w:rsidR="005B4ED3" w:rsidRPr="0019473E" w:rsidP="00DA07E9" w14:paraId="2748061F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1.</w:t>
      </w:r>
      <w:r w:rsidRPr="0019473E">
        <w:rPr>
          <w:sz w:val="22"/>
          <w:szCs w:val="22"/>
          <w:shd w:val="clear" w:color="auto" w:fill="FFFFFF"/>
        </w:rPr>
        <w:tab/>
      </w:r>
      <w:r w:rsidRPr="0019473E" w:rsidR="00DA07E9">
        <w:rPr>
          <w:sz w:val="22"/>
          <w:szCs w:val="22"/>
          <w:shd w:val="clear" w:color="auto" w:fill="FFFFFF"/>
        </w:rPr>
        <w:t xml:space="preserve">Title 47 CFR Part 3 establishes rules related to the administration of accounting authorities.  </w:t>
      </w:r>
    </w:p>
    <w:p w:rsidR="005B4ED3" w:rsidRPr="0019473E" w:rsidP="00DA07E9" w14:paraId="111FA709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5B4ED3" w:rsidRPr="0019473E" w:rsidP="005B4ED3" w14:paraId="0657BA99" w14:textId="77777777">
      <w:pPr>
        <w:numPr>
          <w:ilvl w:val="0"/>
          <w:numId w:val="1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rules are required to ensure adherence to international </w:t>
      </w:r>
      <w:r w:rsidRPr="0019473E" w:rsidR="00D550A4">
        <w:rPr>
          <w:sz w:val="22"/>
          <w:szCs w:val="22"/>
          <w:shd w:val="clear" w:color="auto" w:fill="FFFFFF"/>
        </w:rPr>
        <w:t xml:space="preserve">telecommunications </w:t>
      </w:r>
      <w:r w:rsidRPr="0019473E">
        <w:rPr>
          <w:sz w:val="22"/>
          <w:szCs w:val="22"/>
          <w:shd w:val="clear" w:color="auto" w:fill="FFFFFF"/>
        </w:rPr>
        <w:t xml:space="preserve">settlement procedures.  </w:t>
      </w:r>
    </w:p>
    <w:p w:rsidR="005B4ED3" w:rsidRPr="0019473E" w:rsidP="005B4ED3" w14:paraId="6E9E2724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="00F352AD" w:rsidRPr="0019473E" w:rsidP="005B4ED3" w14:paraId="44508CAF" w14:textId="77777777">
      <w:pPr>
        <w:numPr>
          <w:ilvl w:val="0"/>
          <w:numId w:val="1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The collection requirements provide information necessary for the FCC to determine whether an applicant is qualified to act as an accounting authority.</w:t>
      </w:r>
    </w:p>
    <w:p w:rsidR="00DA07E9" w:rsidRPr="0019473E" w:rsidP="00DA07E9" w14:paraId="6131F21C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6273C0" w:rsidRPr="0019473E" w:rsidP="00DA07E9" w14:paraId="54220286" w14:textId="77777777">
      <w:pPr>
        <w:tabs>
          <w:tab w:val="left" w:pos="360"/>
        </w:tabs>
        <w:ind w:left="360" w:hanging="360"/>
        <w:rPr>
          <w:b/>
          <w:i/>
          <w:sz w:val="22"/>
          <w:szCs w:val="22"/>
          <w:shd w:val="clear" w:color="auto" w:fill="FFFFFF"/>
        </w:rPr>
      </w:pPr>
      <w:r w:rsidRPr="0019473E">
        <w:rPr>
          <w:b/>
          <w:i/>
          <w:sz w:val="22"/>
          <w:szCs w:val="22"/>
          <w:shd w:val="clear" w:color="auto" w:fill="FFFFFF"/>
        </w:rPr>
        <w:tab/>
        <w:t>Background:</w:t>
      </w:r>
    </w:p>
    <w:p w:rsidR="006273C0" w:rsidRPr="0019473E" w:rsidP="00DA07E9" w14:paraId="37C7AD2A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C40C0E" w:rsidP="00DA07E9" w14:paraId="024AFFF9" w14:textId="77777777">
      <w:pPr>
        <w:tabs>
          <w:tab w:val="left" w:pos="360"/>
        </w:tabs>
        <w:ind w:left="360" w:hanging="360"/>
        <w:rPr>
          <w:noProof/>
          <w:sz w:val="22"/>
          <w:szCs w:val="22"/>
        </w:rPr>
      </w:pPr>
      <w:r w:rsidRPr="0019473E">
        <w:rPr>
          <w:sz w:val="22"/>
          <w:szCs w:val="22"/>
          <w:shd w:val="clear" w:color="auto" w:fill="FFFFFF"/>
        </w:rPr>
        <w:tab/>
      </w:r>
      <w:r w:rsidRPr="002F24AA" w:rsidR="002F24AA">
        <w:rPr>
          <w:noProof/>
          <w:sz w:val="22"/>
          <w:szCs w:val="22"/>
        </w:rPr>
        <w:t>The FCC has standards for accounting authorities</w:t>
      </w:r>
      <w:r>
        <w:rPr>
          <w:rStyle w:val="FootnoteReference"/>
          <w:noProof/>
          <w:sz w:val="22"/>
          <w:szCs w:val="22"/>
        </w:rPr>
        <w:footnoteReference w:id="2"/>
      </w:r>
      <w:r w:rsidRPr="002F24AA" w:rsidR="002F24AA">
        <w:rPr>
          <w:noProof/>
          <w:sz w:val="22"/>
          <w:szCs w:val="22"/>
        </w:rPr>
        <w:t xml:space="preserve"> in the maritime mobile and maritime-satellite radio services.  The Commission will use the </w:t>
      </w:r>
      <w:r w:rsidR="002809BB">
        <w:rPr>
          <w:noProof/>
          <w:sz w:val="22"/>
          <w:szCs w:val="22"/>
        </w:rPr>
        <w:t>i</w:t>
      </w:r>
      <w:r w:rsidRPr="002F24AA" w:rsidR="002F24AA">
        <w:rPr>
          <w:noProof/>
          <w:sz w:val="22"/>
          <w:szCs w:val="22"/>
        </w:rPr>
        <w:t>nformation to determine eligibility of applicants for certification as an accounting authority, to monitor activity, to insure compliance, and to identify accounting authorities to the International Telecommunications Union</w:t>
      </w:r>
      <w:r w:rsidR="00867B85">
        <w:rPr>
          <w:noProof/>
          <w:sz w:val="22"/>
          <w:szCs w:val="22"/>
        </w:rPr>
        <w:t xml:space="preserve"> (ITU)</w:t>
      </w:r>
      <w:r w:rsidRPr="002F24AA" w:rsidR="002F24AA">
        <w:rPr>
          <w:noProof/>
          <w:sz w:val="22"/>
          <w:szCs w:val="22"/>
        </w:rPr>
        <w:t xml:space="preserve">.  Respondents are individuals or entities seeking certification or those already certified to be accounting authorities.  </w:t>
      </w:r>
    </w:p>
    <w:p w:rsidR="00D02949" w:rsidRPr="0019473E" w:rsidP="00DA07E9" w14:paraId="124AB386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681496" w:rsidRPr="0019473E" w:rsidP="00DA07E9" w14:paraId="56D5DAC5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  <w:t>47 CFR §</w:t>
      </w:r>
      <w:r w:rsidRPr="0019473E" w:rsidR="00D550A4">
        <w:rPr>
          <w:sz w:val="22"/>
          <w:szCs w:val="22"/>
          <w:shd w:val="clear" w:color="auto" w:fill="FFFFFF"/>
        </w:rPr>
        <w:t xml:space="preserve"> </w:t>
      </w:r>
      <w:r w:rsidRPr="0019473E">
        <w:rPr>
          <w:sz w:val="22"/>
          <w:szCs w:val="22"/>
          <w:shd w:val="clear" w:color="auto" w:fill="FFFFFF"/>
        </w:rPr>
        <w:t>3.10 requires applicants to meet the r</w:t>
      </w:r>
      <w:r w:rsidRPr="0019473E" w:rsidR="00595A94">
        <w:rPr>
          <w:sz w:val="22"/>
          <w:szCs w:val="22"/>
          <w:shd w:val="clear" w:color="auto" w:fill="FFFFFF"/>
        </w:rPr>
        <w:t>e</w:t>
      </w:r>
      <w:r w:rsidRPr="0019473E">
        <w:rPr>
          <w:sz w:val="22"/>
          <w:szCs w:val="22"/>
          <w:shd w:val="clear" w:color="auto" w:fill="FFFFFF"/>
        </w:rPr>
        <w:t>q</w:t>
      </w:r>
      <w:r w:rsidR="0060773C">
        <w:rPr>
          <w:sz w:val="22"/>
          <w:szCs w:val="22"/>
          <w:shd w:val="clear" w:color="auto" w:fill="FFFFFF"/>
        </w:rPr>
        <w:t>u</w:t>
      </w:r>
      <w:r w:rsidRPr="0019473E">
        <w:rPr>
          <w:sz w:val="22"/>
          <w:szCs w:val="22"/>
          <w:shd w:val="clear" w:color="auto" w:fill="FFFFFF"/>
        </w:rPr>
        <w:t xml:space="preserve">irements and conditions contained in the Part 3 rules in order to be certified as an accounting authority.  </w:t>
      </w:r>
    </w:p>
    <w:p w:rsidR="00681496" w:rsidRPr="0019473E" w:rsidP="00DA07E9" w14:paraId="6536A629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D02949" w:rsidRPr="0019473E" w:rsidP="004146E2" w14:paraId="7C9150A0" w14:textId="7AE80F9D">
      <w:pPr>
        <w:numPr>
          <w:ilvl w:val="0"/>
          <w:numId w:val="2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No individual or other entity, including accounting authorities approved by other administrations, may act as </w:t>
      </w:r>
      <w:r w:rsidRPr="0019473E" w:rsidR="00E93305">
        <w:rPr>
          <w:sz w:val="22"/>
          <w:szCs w:val="22"/>
          <w:shd w:val="clear" w:color="auto" w:fill="FFFFFF"/>
        </w:rPr>
        <w:t>a</w:t>
      </w:r>
      <w:r w:rsidRPr="0019473E">
        <w:rPr>
          <w:sz w:val="22"/>
          <w:szCs w:val="22"/>
          <w:shd w:val="clear" w:color="auto" w:fill="FFFFFF"/>
        </w:rPr>
        <w:t xml:space="preserve"> United States accounting authority and settle accounts of U.S. license</w:t>
      </w:r>
      <w:r w:rsidR="00DD5D2E">
        <w:rPr>
          <w:sz w:val="22"/>
          <w:szCs w:val="22"/>
          <w:shd w:val="clear" w:color="auto" w:fill="FFFFFF"/>
        </w:rPr>
        <w:t>d</w:t>
      </w:r>
      <w:r w:rsidRPr="0019473E">
        <w:rPr>
          <w:sz w:val="22"/>
          <w:szCs w:val="22"/>
          <w:shd w:val="clear" w:color="auto" w:fill="FFFFFF"/>
        </w:rPr>
        <w:t xml:space="preserve"> vessels in the maritime mobile or maritime mobile-satellite services without </w:t>
      </w:r>
      <w:r w:rsidRPr="0019473E" w:rsidR="00681496">
        <w:rPr>
          <w:sz w:val="22"/>
          <w:szCs w:val="22"/>
          <w:shd w:val="clear" w:color="auto" w:fill="FFFFFF"/>
        </w:rPr>
        <w:t>a certification from the FCC.</w:t>
      </w:r>
    </w:p>
    <w:p w:rsidR="004146E2" w:rsidRPr="0019473E" w:rsidP="004146E2" w14:paraId="6DCF133E" w14:textId="77777777">
      <w:pPr>
        <w:tabs>
          <w:tab w:val="left" w:pos="360"/>
          <w:tab w:val="left" w:pos="720"/>
        </w:tabs>
        <w:ind w:left="360"/>
        <w:rPr>
          <w:sz w:val="22"/>
          <w:szCs w:val="22"/>
          <w:shd w:val="clear" w:color="auto" w:fill="FFFFFF"/>
        </w:rPr>
      </w:pPr>
    </w:p>
    <w:p w:rsidR="004146E2" w:rsidRPr="0019473E" w:rsidP="004146E2" w14:paraId="3C221AF3" w14:textId="77777777">
      <w:pPr>
        <w:numPr>
          <w:ilvl w:val="0"/>
          <w:numId w:val="2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Accounting authorities with interim certification </w:t>
      </w:r>
      <w:r w:rsidR="00DD5D2E">
        <w:rPr>
          <w:sz w:val="22"/>
          <w:szCs w:val="22"/>
          <w:shd w:val="clear" w:color="auto" w:fill="FFFFFF"/>
        </w:rPr>
        <w:t xml:space="preserve">as </w:t>
      </w:r>
      <w:r w:rsidRPr="0019473E">
        <w:rPr>
          <w:sz w:val="22"/>
          <w:szCs w:val="22"/>
          <w:shd w:val="clear" w:color="auto" w:fill="FFFFFF"/>
        </w:rPr>
        <w:t xml:space="preserve">of the effective date of this rule must submit to the application process discussed in 47 CFR § 3.20.  These accounting authorities will be “grandfathered” into this process, </w:t>
      </w:r>
      <w:r w:rsidRPr="0019473E">
        <w:rPr>
          <w:i/>
          <w:sz w:val="22"/>
          <w:szCs w:val="22"/>
          <w:shd w:val="clear" w:color="auto" w:fill="FFFFFF"/>
        </w:rPr>
        <w:t>i.e.</w:t>
      </w:r>
      <w:r w:rsidRPr="0019473E">
        <w:rPr>
          <w:sz w:val="22"/>
          <w:szCs w:val="22"/>
          <w:shd w:val="clear" w:color="auto" w:fill="FFFFFF"/>
        </w:rPr>
        <w:t>, granted permanent certification provided they demonstrate their eligibility and present a proper application.</w:t>
      </w:r>
    </w:p>
    <w:p w:rsidR="004146E2" w:rsidRPr="0019473E" w:rsidP="004146E2" w14:paraId="0370A5A3" w14:textId="77777777">
      <w:pPr>
        <w:tabs>
          <w:tab w:val="left" w:pos="360"/>
        </w:tabs>
        <w:rPr>
          <w:sz w:val="22"/>
          <w:szCs w:val="22"/>
          <w:shd w:val="clear" w:color="auto" w:fill="FFFFFF"/>
        </w:rPr>
      </w:pPr>
    </w:p>
    <w:p w:rsidR="004146E2" w:rsidRPr="0019473E" w:rsidP="004146E2" w14:paraId="138F0B06" w14:textId="77777777">
      <w:pPr>
        <w:numPr>
          <w:ilvl w:val="0"/>
          <w:numId w:val="2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Applicants must provide formal financial statements or documentation proving all assets, liabilities, income, and expenses.  </w:t>
      </w:r>
    </w:p>
    <w:p w:rsidR="00944A7E" w:rsidRPr="0019473E" w:rsidP="00944A7E" w14:paraId="71A6B07B" w14:textId="77777777">
      <w:pPr>
        <w:tabs>
          <w:tab w:val="left" w:pos="360"/>
        </w:tabs>
        <w:rPr>
          <w:sz w:val="22"/>
          <w:szCs w:val="22"/>
          <w:shd w:val="clear" w:color="auto" w:fill="FFFFFF"/>
        </w:rPr>
      </w:pPr>
    </w:p>
    <w:p w:rsidR="00944A7E" w:rsidRPr="0019473E" w:rsidP="004146E2" w14:paraId="22CD4D94" w14:textId="77777777">
      <w:pPr>
        <w:numPr>
          <w:ilvl w:val="0"/>
          <w:numId w:val="2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Applicants must also provide any additional information that the Commission deems necessary.</w:t>
      </w:r>
    </w:p>
    <w:p w:rsidR="00112EE6" w:rsidRPr="0019473E" w:rsidP="00112EE6" w14:paraId="3925FA03" w14:textId="77777777">
      <w:pPr>
        <w:tabs>
          <w:tab w:val="left" w:pos="360"/>
        </w:tabs>
        <w:rPr>
          <w:sz w:val="22"/>
          <w:szCs w:val="22"/>
          <w:shd w:val="clear" w:color="auto" w:fill="FFFFFF"/>
        </w:rPr>
      </w:pPr>
    </w:p>
    <w:p w:rsidR="00112EE6" w:rsidP="00112EE6" w14:paraId="00F5175E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Applicants must offer their services to any member of the public making a reasonable request therefore, without undue discrimination against any customer or class of customer, and fees charged from providing such services shall be reasonable and non-discriminatory.</w:t>
      </w:r>
    </w:p>
    <w:p w:rsidR="00D33991" w:rsidRPr="0019473E" w:rsidP="00112EE6" w14:paraId="558E0F32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="005740E1" w:rsidRPr="0019473E" w:rsidP="00112EE6" w14:paraId="45E9C4C9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="005740E1" w:rsidRPr="0019473E" w:rsidP="005740E1" w14:paraId="342F2D3C" w14:textId="77777777">
      <w:pPr>
        <w:numPr>
          <w:ilvl w:val="0"/>
          <w:numId w:val="3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FCC will waive this requirement for applicants who settle their own accounts only and are </w:t>
      </w:r>
      <w:r w:rsidRPr="0019473E" w:rsidR="0060773C">
        <w:rPr>
          <w:sz w:val="22"/>
          <w:szCs w:val="22"/>
          <w:shd w:val="clear" w:color="auto" w:fill="FFFFFF"/>
        </w:rPr>
        <w:t>eligible</w:t>
      </w:r>
      <w:r w:rsidRPr="0019473E">
        <w:rPr>
          <w:sz w:val="22"/>
          <w:szCs w:val="22"/>
          <w:shd w:val="clear" w:color="auto" w:fill="FFFFFF"/>
        </w:rPr>
        <w:t xml:space="preserve"> to be “grandfathered” during the initial application period.</w:t>
      </w:r>
    </w:p>
    <w:p w:rsidR="003033FA" w:rsidRPr="0019473E" w:rsidP="005740E1" w14:paraId="10E724F3" w14:textId="77777777">
      <w:pPr>
        <w:tabs>
          <w:tab w:val="left" w:pos="360"/>
        </w:tabs>
        <w:rPr>
          <w:sz w:val="22"/>
          <w:szCs w:val="22"/>
          <w:shd w:val="clear" w:color="auto" w:fill="FFFFFF"/>
        </w:rPr>
      </w:pPr>
    </w:p>
    <w:p w:rsidR="005740E1" w:rsidRPr="0019473E" w:rsidP="00A13F95" w14:paraId="0E814311" w14:textId="77777777">
      <w:pPr>
        <w:numPr>
          <w:ilvl w:val="0"/>
          <w:numId w:val="3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Should the need for additional accounting authorities be proven, accounting authorities will be required, however, to offer their services to the public or relinquish their certification.</w:t>
      </w:r>
    </w:p>
    <w:p w:rsidR="005748F8" w:rsidRPr="0019473E" w:rsidP="00A13F95" w14:paraId="0FF68CEA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="00A13F95" w:rsidRPr="0019473E" w:rsidP="00A13F95" w14:paraId="0088A728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47 CFR § 3.28 details the reasons for denial of accounting authority </w:t>
      </w:r>
      <w:r w:rsidRPr="0019473E" w:rsidR="008551FC">
        <w:rPr>
          <w:sz w:val="22"/>
          <w:szCs w:val="22"/>
          <w:shd w:val="clear" w:color="auto" w:fill="FFFFFF"/>
        </w:rPr>
        <w:t>privileges</w:t>
      </w:r>
      <w:r w:rsidRPr="0019473E">
        <w:rPr>
          <w:sz w:val="22"/>
          <w:szCs w:val="22"/>
          <w:shd w:val="clear" w:color="auto" w:fill="FFFFFF"/>
        </w:rPr>
        <w:t>.</w:t>
      </w:r>
    </w:p>
    <w:p w:rsidR="00A13F95" w:rsidRPr="0019473E" w:rsidP="00A13F95" w14:paraId="15815B36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="00A13F95" w:rsidRPr="0019473E" w:rsidP="00A13F95" w14:paraId="1E94EA81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47 CFR § 3.29 states that the Commission will publish the </w:t>
      </w:r>
      <w:r w:rsidRPr="0019473E">
        <w:rPr>
          <w:sz w:val="22"/>
          <w:szCs w:val="22"/>
          <w:shd w:val="clear" w:color="auto" w:fill="FFFFFF"/>
        </w:rPr>
        <w:t>name of an applicant in a Public Notice before granting certification and will invite public comment on the qualifications of the applicant from any interested parties.</w:t>
      </w:r>
    </w:p>
    <w:p w:rsidR="0057731D" w:rsidRPr="0019473E" w:rsidP="00A13F95" w14:paraId="51F52B92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="0057731D" w:rsidRPr="0019473E" w:rsidP="0062216E" w14:paraId="459553EC" w14:textId="77777777">
      <w:pPr>
        <w:numPr>
          <w:ilvl w:val="0"/>
          <w:numId w:val="4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The FCC will publish a Public Notice listing the names and addresses of all newly certified accounting authorities</w:t>
      </w:r>
      <w:r w:rsidRPr="0019473E" w:rsidR="0062216E">
        <w:rPr>
          <w:sz w:val="22"/>
          <w:szCs w:val="22"/>
          <w:shd w:val="clear" w:color="auto" w:fill="FFFFFF"/>
        </w:rPr>
        <w:t>.</w:t>
      </w:r>
    </w:p>
    <w:p w:rsidR="0062216E" w:rsidRPr="0019473E" w:rsidP="0062216E" w14:paraId="0CC158A8" w14:textId="77777777">
      <w:pPr>
        <w:tabs>
          <w:tab w:val="left" w:pos="720"/>
        </w:tabs>
        <w:ind w:left="360"/>
        <w:rPr>
          <w:sz w:val="22"/>
          <w:szCs w:val="22"/>
          <w:shd w:val="clear" w:color="auto" w:fill="FFFFFF"/>
        </w:rPr>
      </w:pPr>
    </w:p>
    <w:p w:rsidR="0062216E" w:rsidRPr="0019473E" w:rsidP="0062216E" w14:paraId="7072E94A" w14:textId="77777777">
      <w:pPr>
        <w:numPr>
          <w:ilvl w:val="0"/>
          <w:numId w:val="4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FCC will also notify the International Telecommunications </w:t>
      </w:r>
      <w:r w:rsidRPr="0019473E" w:rsidR="00E93305">
        <w:rPr>
          <w:sz w:val="22"/>
          <w:szCs w:val="22"/>
          <w:shd w:val="clear" w:color="auto" w:fill="FFFFFF"/>
        </w:rPr>
        <w:t>Union within</w:t>
      </w:r>
      <w:r w:rsidRPr="0019473E">
        <w:rPr>
          <w:sz w:val="22"/>
          <w:szCs w:val="22"/>
          <w:shd w:val="clear" w:color="auto" w:fill="FFFFFF"/>
        </w:rPr>
        <w:t xml:space="preserve"> 30 days of any changes to its approved list of accounting authorities.</w:t>
      </w:r>
    </w:p>
    <w:p w:rsidR="0062216E" w:rsidRPr="0019473E" w:rsidP="0062216E" w14:paraId="036CA7EF" w14:textId="77777777">
      <w:pPr>
        <w:rPr>
          <w:sz w:val="22"/>
          <w:szCs w:val="22"/>
          <w:shd w:val="clear" w:color="auto" w:fill="FFFFFF"/>
        </w:rPr>
      </w:pPr>
    </w:p>
    <w:p w:rsidR="00B0341E" w:rsidRPr="0019473E" w:rsidP="00B0341E" w14:paraId="7A732C99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47 CFR § 3.50 requires accounting authorities to maintain, for the </w:t>
      </w:r>
      <w:r w:rsidRPr="0019473E">
        <w:rPr>
          <w:sz w:val="22"/>
          <w:szCs w:val="22"/>
          <w:shd w:val="clear" w:color="auto" w:fill="FFFFFF"/>
        </w:rPr>
        <w:t>purpose of compliance with these rules, all settlement records for a period of at least seven (7) years following settlement of an account with a foreign administration or agent.</w:t>
      </w:r>
    </w:p>
    <w:p w:rsidR="00A954C2" w:rsidRPr="0019473E" w:rsidP="00B0341E" w14:paraId="2F82F34D" w14:textId="77777777">
      <w:pPr>
        <w:ind w:left="360"/>
        <w:rPr>
          <w:sz w:val="22"/>
          <w:szCs w:val="22"/>
          <w:shd w:val="clear" w:color="auto" w:fill="FFFFFF"/>
        </w:rPr>
      </w:pPr>
    </w:p>
    <w:p w:rsidR="00A954C2" w:rsidRPr="0019473E" w:rsidP="00B0341E" w14:paraId="4DBCA56B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47 CFR § 3.51 states that the FCC must be notified immediately should any accounting authority plan to relinquish its certification or cease to perform settlements as authorized.  </w:t>
      </w:r>
    </w:p>
    <w:p w:rsidR="00251C39" w:rsidRPr="0019473E" w:rsidP="00B0341E" w14:paraId="5922C88B" w14:textId="77777777">
      <w:pPr>
        <w:ind w:left="360"/>
        <w:rPr>
          <w:sz w:val="22"/>
          <w:szCs w:val="22"/>
          <w:shd w:val="clear" w:color="auto" w:fill="FFFFFF"/>
        </w:rPr>
      </w:pPr>
    </w:p>
    <w:p w:rsidR="00251C39" w:rsidRPr="0019473E" w:rsidP="00614D3F" w14:paraId="2674720F" w14:textId="77777777">
      <w:pPr>
        <w:numPr>
          <w:ilvl w:val="0"/>
          <w:numId w:val="5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Additionally, the Commission must be advised in advance of any proposed transfer of control of an accounting authority’s firm or organization, by any means, to another entity.</w:t>
      </w:r>
    </w:p>
    <w:p w:rsidR="00614D3F" w:rsidRPr="0019473E" w:rsidP="00614D3F" w14:paraId="5C488310" w14:textId="77777777">
      <w:pPr>
        <w:ind w:left="360"/>
        <w:rPr>
          <w:sz w:val="22"/>
          <w:szCs w:val="22"/>
          <w:shd w:val="clear" w:color="auto" w:fill="FFFFFF"/>
        </w:rPr>
      </w:pPr>
    </w:p>
    <w:p w:rsidR="00614D3F" w:rsidRPr="0019473E" w:rsidP="003F40D7" w14:paraId="64D8DFF1" w14:textId="77777777">
      <w:pPr>
        <w:numPr>
          <w:ilvl w:val="0"/>
          <w:numId w:val="5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The applicant must certify acceptance of all accounts and must furnish a list of the accounts to the Commission at the time of application.</w:t>
      </w:r>
    </w:p>
    <w:p w:rsidR="003F40D7" w:rsidRPr="0019473E" w:rsidP="003F40D7" w14:paraId="6F14064D" w14:textId="77777777">
      <w:pPr>
        <w:rPr>
          <w:sz w:val="22"/>
          <w:szCs w:val="22"/>
          <w:shd w:val="clear" w:color="auto" w:fill="FFFFFF"/>
        </w:rPr>
      </w:pPr>
    </w:p>
    <w:p w:rsidR="003F40D7" w:rsidRPr="0019473E" w:rsidP="003F40D7" w14:paraId="6E42AB6F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47 CFR § 3.52 requires accounting authorities to maintain procedures for resolving complaints and/or inquiries from its contractual customers (vessels for which it performs settlements), the FCC, the ITU, and foreign administrations or their agents.  </w:t>
      </w:r>
    </w:p>
    <w:p w:rsidR="003F40D7" w:rsidRPr="0019473E" w:rsidP="003F40D7" w14:paraId="0EB7BE15" w14:textId="77777777">
      <w:pPr>
        <w:ind w:left="360"/>
        <w:rPr>
          <w:sz w:val="22"/>
          <w:szCs w:val="22"/>
          <w:shd w:val="clear" w:color="auto" w:fill="FFFFFF"/>
        </w:rPr>
      </w:pPr>
    </w:p>
    <w:p w:rsidR="003F40D7" w:rsidRPr="0019473E" w:rsidP="003F40D7" w14:paraId="3A03EFBD" w14:textId="77777777">
      <w:pPr>
        <w:numPr>
          <w:ilvl w:val="0"/>
          <w:numId w:val="6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These procedures must be available to the Commission upon request.</w:t>
      </w:r>
    </w:p>
    <w:p w:rsidR="003F40D7" w:rsidRPr="0019473E" w:rsidP="003F40D7" w14:paraId="441103C5" w14:textId="77777777">
      <w:pPr>
        <w:ind w:left="360"/>
        <w:rPr>
          <w:sz w:val="22"/>
          <w:szCs w:val="22"/>
          <w:shd w:val="clear" w:color="auto" w:fill="FFFFFF"/>
        </w:rPr>
      </w:pPr>
    </w:p>
    <w:p w:rsidR="003F40D7" w:rsidRPr="0019473E" w:rsidP="00630007" w14:paraId="5BCA7BCD" w14:textId="77777777">
      <w:pPr>
        <w:numPr>
          <w:ilvl w:val="0"/>
          <w:numId w:val="6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If an account is in dispute, the Commission will determine the amount due the foreign administration, </w:t>
      </w:r>
      <w:r w:rsidRPr="0019473E" w:rsidR="00ED0520">
        <w:rPr>
          <w:sz w:val="22"/>
          <w:szCs w:val="22"/>
          <w:shd w:val="clear" w:color="auto" w:fill="FFFFFF"/>
        </w:rPr>
        <w:t xml:space="preserve">recognized operating agency or </w:t>
      </w:r>
      <w:r w:rsidRPr="0019473E">
        <w:rPr>
          <w:sz w:val="22"/>
          <w:szCs w:val="22"/>
          <w:shd w:val="clear" w:color="auto" w:fill="FFFFFF"/>
        </w:rPr>
        <w:t xml:space="preserve">accounting authority and may </w:t>
      </w:r>
      <w:r w:rsidRPr="0019473E" w:rsidR="00630007">
        <w:rPr>
          <w:sz w:val="22"/>
          <w:szCs w:val="22"/>
          <w:shd w:val="clear" w:color="auto" w:fill="FFFFFF"/>
        </w:rPr>
        <w:t>direct the accounting authority to pay the accounts to a foreign administration.</w:t>
      </w:r>
    </w:p>
    <w:p w:rsidR="00630007" w:rsidRPr="0019473E" w:rsidP="00630007" w14:paraId="01FC3C25" w14:textId="77777777">
      <w:pPr>
        <w:rPr>
          <w:sz w:val="22"/>
          <w:szCs w:val="22"/>
          <w:shd w:val="clear" w:color="auto" w:fill="FFFFFF"/>
        </w:rPr>
      </w:pPr>
    </w:p>
    <w:p w:rsidR="00630007" w:rsidRPr="0019473E" w:rsidP="00630007" w14:paraId="449C14A8" w14:textId="77777777">
      <w:pPr>
        <w:numPr>
          <w:ilvl w:val="0"/>
          <w:numId w:val="6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If the </w:t>
      </w:r>
      <w:r w:rsidRPr="0019473E">
        <w:rPr>
          <w:sz w:val="22"/>
          <w:szCs w:val="22"/>
          <w:shd w:val="clear" w:color="auto" w:fill="FFFFFF"/>
        </w:rPr>
        <w:t>accounting authority does not pay the disputed accounts within a reasonable timeframe, the Commission may take action to levy a forfeiture, cancel the AAIC</w:t>
      </w:r>
      <w:r>
        <w:rPr>
          <w:rStyle w:val="FootnoteReference"/>
          <w:sz w:val="22"/>
          <w:szCs w:val="22"/>
          <w:shd w:val="clear" w:color="auto" w:fill="FFFFFF"/>
        </w:rPr>
        <w:footnoteReference w:id="3"/>
      </w:r>
      <w:r w:rsidRPr="0019473E">
        <w:rPr>
          <w:sz w:val="22"/>
          <w:szCs w:val="22"/>
          <w:shd w:val="clear" w:color="auto" w:fill="FFFFFF"/>
        </w:rPr>
        <w:t xml:space="preserve"> privilege and/or to revoke any operating authority or licenses held by that accounting authority, </w:t>
      </w:r>
      <w:r w:rsidRPr="0019473E">
        <w:rPr>
          <w:i/>
          <w:sz w:val="22"/>
          <w:szCs w:val="22"/>
          <w:shd w:val="clear" w:color="auto" w:fill="FFFFFF"/>
        </w:rPr>
        <w:t>see</w:t>
      </w:r>
      <w:r w:rsidRPr="0019473E">
        <w:rPr>
          <w:sz w:val="22"/>
          <w:szCs w:val="22"/>
          <w:shd w:val="clear" w:color="auto" w:fill="FFFFFF"/>
        </w:rPr>
        <w:t xml:space="preserve"> 47 CFR § 3.72.</w:t>
      </w:r>
    </w:p>
    <w:p w:rsidR="00CA2D99" w:rsidP="00A27549" w14:paraId="32D15A3C" w14:textId="77777777">
      <w:pPr>
        <w:rPr>
          <w:sz w:val="22"/>
          <w:szCs w:val="22"/>
          <w:shd w:val="clear" w:color="auto" w:fill="FFFFFF"/>
        </w:rPr>
      </w:pPr>
    </w:p>
    <w:p w:rsidR="00CA2D99" w:rsidP="00D46630" w14:paraId="247F7B2D" w14:textId="77777777">
      <w:pPr>
        <w:ind w:left="360"/>
        <w:rPr>
          <w:sz w:val="22"/>
          <w:szCs w:val="22"/>
          <w:shd w:val="clear" w:color="auto" w:fill="FFFFFF"/>
        </w:rPr>
      </w:pPr>
    </w:p>
    <w:p w:rsidR="00D46630" w:rsidRPr="0019473E" w:rsidP="00D46630" w14:paraId="49A53CD9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47 CFR § 3.53 requires an accounting authority to inform the FCC immediately should it receive notice from any source that a foreign administration or facility is refusing or plans to refuse legitimate public correspondence to or from any U.S. registered vessel.</w:t>
      </w:r>
    </w:p>
    <w:p w:rsidR="00FE0A09" w:rsidRPr="0019473E" w:rsidP="00D46630" w14:paraId="631C1FF4" w14:textId="77777777">
      <w:pPr>
        <w:ind w:left="360"/>
        <w:rPr>
          <w:sz w:val="22"/>
          <w:szCs w:val="22"/>
          <w:shd w:val="clear" w:color="auto" w:fill="FFFFFF"/>
        </w:rPr>
      </w:pPr>
    </w:p>
    <w:p w:rsidR="00FE0A09" w:rsidRPr="0019473E" w:rsidP="00D46630" w14:paraId="4902CCA6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47 CFR § 3.54 </w:t>
      </w:r>
      <w:r w:rsidRPr="0019473E" w:rsidR="008551FC">
        <w:rPr>
          <w:sz w:val="22"/>
          <w:szCs w:val="22"/>
          <w:shd w:val="clear" w:color="auto" w:fill="FFFFFF"/>
        </w:rPr>
        <w:t>requires</w:t>
      </w:r>
      <w:r w:rsidRPr="0019473E">
        <w:rPr>
          <w:sz w:val="22"/>
          <w:szCs w:val="22"/>
          <w:shd w:val="clear" w:color="auto" w:fill="FFFFFF"/>
        </w:rPr>
        <w:t xml:space="preserve"> that the Commission be notified in writing within 15 days of any change in address of an accounting authority.</w:t>
      </w:r>
    </w:p>
    <w:p w:rsidR="0053147E" w:rsidRPr="0019473E" w:rsidP="00D46630" w14:paraId="0B71E38F" w14:textId="77777777">
      <w:pPr>
        <w:ind w:left="360"/>
        <w:rPr>
          <w:sz w:val="22"/>
          <w:szCs w:val="22"/>
          <w:shd w:val="clear" w:color="auto" w:fill="FFFFFF"/>
        </w:rPr>
      </w:pPr>
    </w:p>
    <w:p w:rsidR="007278D3" w:rsidRPr="0019473E" w:rsidP="00D46630" w14:paraId="2B33A3F7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FCC Forms 44 and 45 were modified to include the FCC Registration Number (FRN).  </w:t>
      </w:r>
    </w:p>
    <w:p w:rsidR="007278D3" w:rsidRPr="0019473E" w:rsidP="00D46630" w14:paraId="77260B5A" w14:textId="77777777">
      <w:pPr>
        <w:ind w:left="360"/>
        <w:rPr>
          <w:sz w:val="22"/>
          <w:szCs w:val="22"/>
          <w:shd w:val="clear" w:color="auto" w:fill="FFFFFF"/>
        </w:rPr>
      </w:pPr>
    </w:p>
    <w:p w:rsidR="0053147E" w:rsidRPr="0019473E" w:rsidP="00D46630" w14:paraId="098E669F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In addition, the Commission received blanket OMB approval to add the </w:t>
      </w:r>
      <w:r w:rsidRPr="0019473E" w:rsidR="006A5A54">
        <w:rPr>
          <w:sz w:val="22"/>
          <w:szCs w:val="22"/>
          <w:shd w:val="clear" w:color="auto" w:fill="FFFFFF"/>
        </w:rPr>
        <w:t>FRN to all of our application forms as they have come up for expiration.</w:t>
      </w:r>
      <w:r>
        <w:rPr>
          <w:rStyle w:val="FootnoteReference"/>
          <w:sz w:val="22"/>
          <w:szCs w:val="22"/>
          <w:shd w:val="clear" w:color="auto" w:fill="FFFFFF"/>
        </w:rPr>
        <w:footnoteReference w:id="4"/>
      </w:r>
    </w:p>
    <w:p w:rsidR="00376105" w:rsidRPr="0019473E" w:rsidP="00D46630" w14:paraId="37039D08" w14:textId="77777777">
      <w:pPr>
        <w:ind w:left="360"/>
        <w:rPr>
          <w:sz w:val="22"/>
          <w:szCs w:val="22"/>
          <w:shd w:val="clear" w:color="auto" w:fill="FFFFFF"/>
        </w:rPr>
      </w:pPr>
    </w:p>
    <w:p w:rsidR="007278D3" w:rsidP="00D46630" w14:paraId="20AC0962" w14:textId="06558EC2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statutory authorities for this collection of information are Sections 4(i), 4(j), 11, 201-205, and 303(r) of </w:t>
      </w:r>
      <w:r w:rsidRPr="0019473E">
        <w:rPr>
          <w:sz w:val="22"/>
          <w:szCs w:val="22"/>
          <w:shd w:val="clear" w:color="auto" w:fill="FFFFFF"/>
        </w:rPr>
        <w:t>the Communications Act of 1934, as amended, 47 U.S.C. 154(i), 154(j), 161, 201-205, and 303(r).</w:t>
      </w:r>
    </w:p>
    <w:p w:rsidR="00C07E58" w:rsidP="00D46630" w14:paraId="1B525FC7" w14:textId="04577046">
      <w:pPr>
        <w:ind w:left="360"/>
        <w:rPr>
          <w:sz w:val="22"/>
          <w:szCs w:val="22"/>
          <w:shd w:val="clear" w:color="auto" w:fill="FFFFFF"/>
        </w:rPr>
      </w:pPr>
    </w:p>
    <w:p w:rsidR="00C07E58" w:rsidRPr="0019473E" w:rsidP="00D46630" w14:paraId="297ACD5A" w14:textId="77C600EA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This information collection does not affect individuals or households; thus, there are no impacts under the Privacy Act.</w:t>
      </w:r>
    </w:p>
    <w:p w:rsidR="00574C62" w:rsidRPr="0019473E" w:rsidP="00574C62" w14:paraId="02F0C767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574C62" w:rsidRPr="0019473E" w:rsidP="00574C62" w14:paraId="6A1E62E1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2.</w:t>
      </w:r>
      <w:r w:rsidRPr="0019473E">
        <w:rPr>
          <w:sz w:val="22"/>
          <w:szCs w:val="22"/>
          <w:shd w:val="clear" w:color="auto" w:fill="FFFFFF"/>
        </w:rPr>
        <w:tab/>
        <w:t>The Commission will use the data in this information collection:</w:t>
      </w:r>
    </w:p>
    <w:p w:rsidR="00574C62" w:rsidRPr="0019473E" w:rsidP="00574C62" w14:paraId="2AC42EE1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574C62" w:rsidRPr="0019473E" w:rsidP="00574C62" w14:paraId="43472FC0" w14:textId="77777777">
      <w:pPr>
        <w:numPr>
          <w:ilvl w:val="0"/>
          <w:numId w:val="7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to determine the eligibility of applicants for certification as accounting authorities, </w:t>
      </w:r>
    </w:p>
    <w:p w:rsidR="00D73D10" w:rsidRPr="0019473E" w:rsidP="00D73D10" w14:paraId="1CFFB391" w14:textId="77777777">
      <w:pPr>
        <w:ind w:left="360"/>
        <w:rPr>
          <w:sz w:val="22"/>
          <w:szCs w:val="22"/>
          <w:shd w:val="clear" w:color="auto" w:fill="FFFFFF"/>
        </w:rPr>
      </w:pPr>
    </w:p>
    <w:p w:rsidR="00D73D10" w:rsidRPr="0019473E" w:rsidP="00574C62" w14:paraId="18987AD9" w14:textId="77777777">
      <w:pPr>
        <w:numPr>
          <w:ilvl w:val="0"/>
          <w:numId w:val="7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to monitor settlement activities to ensure compliance, and </w:t>
      </w:r>
    </w:p>
    <w:p w:rsidR="00D73D10" w:rsidRPr="0019473E" w:rsidP="00D73D10" w14:paraId="2CADA103" w14:textId="77777777">
      <w:pPr>
        <w:rPr>
          <w:sz w:val="22"/>
          <w:szCs w:val="22"/>
          <w:shd w:val="clear" w:color="auto" w:fill="FFFFFF"/>
        </w:rPr>
      </w:pPr>
    </w:p>
    <w:p w:rsidR="00574C62" w:rsidRPr="0019473E" w:rsidP="00574C62" w14:paraId="1C06C330" w14:textId="77777777">
      <w:pPr>
        <w:numPr>
          <w:ilvl w:val="0"/>
          <w:numId w:val="7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to identify accounting authorities to the International </w:t>
      </w:r>
      <w:r w:rsidRPr="0019473E">
        <w:rPr>
          <w:sz w:val="22"/>
          <w:szCs w:val="22"/>
          <w:shd w:val="clear" w:color="auto" w:fill="FFFFFF"/>
        </w:rPr>
        <w:t>Telecommunications Union for disclosure in their List of Ship Stations Report.</w:t>
      </w:r>
    </w:p>
    <w:p w:rsidR="00585940" w:rsidRPr="0019473E" w:rsidP="00585940" w14:paraId="4A7ACCC6" w14:textId="77777777">
      <w:pPr>
        <w:rPr>
          <w:sz w:val="22"/>
          <w:szCs w:val="22"/>
          <w:shd w:val="clear" w:color="auto" w:fill="FFFFFF"/>
        </w:rPr>
      </w:pPr>
    </w:p>
    <w:p w:rsidR="0094685D" w:rsidRPr="0019473E" w:rsidP="0010051C" w14:paraId="640E9494" w14:textId="77777777">
      <w:pPr>
        <w:numPr>
          <w:ilvl w:val="0"/>
          <w:numId w:val="8"/>
        </w:numPr>
        <w:tabs>
          <w:tab w:val="num" w:pos="360"/>
          <w:tab w:val="clear" w:pos="720"/>
        </w:tabs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Commission believes that most </w:t>
      </w:r>
      <w:r w:rsidRPr="0019473E" w:rsidR="00C671BB">
        <w:rPr>
          <w:sz w:val="22"/>
          <w:szCs w:val="22"/>
          <w:shd w:val="clear" w:color="auto" w:fill="FFFFFF"/>
        </w:rPr>
        <w:t>accounting authority respondents will prepare their a</w:t>
      </w:r>
      <w:r w:rsidRPr="0019473E">
        <w:rPr>
          <w:sz w:val="22"/>
          <w:szCs w:val="22"/>
          <w:shd w:val="clear" w:color="auto" w:fill="FFFFFF"/>
        </w:rPr>
        <w:t>pplications for certification</w:t>
      </w:r>
      <w:r w:rsidRPr="0019473E" w:rsidR="00C671BB">
        <w:rPr>
          <w:sz w:val="22"/>
          <w:szCs w:val="22"/>
          <w:shd w:val="clear" w:color="auto" w:fill="FFFFFF"/>
        </w:rPr>
        <w:t xml:space="preserve"> manually.  </w:t>
      </w:r>
    </w:p>
    <w:p w:rsidR="0094685D" w:rsidRPr="0019473E" w:rsidP="0094685D" w14:paraId="1E66EB01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="00585940" w:rsidRPr="0019473E" w:rsidP="0010051C" w14:paraId="6D5234CA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</w:r>
      <w:r w:rsidRPr="0019473E" w:rsidR="00C671BB">
        <w:rPr>
          <w:sz w:val="22"/>
          <w:szCs w:val="22"/>
          <w:shd w:val="clear" w:color="auto" w:fill="FFFFFF"/>
        </w:rPr>
        <w:t xml:space="preserve">At present, the Commission has no plans to implement </w:t>
      </w:r>
      <w:r w:rsidR="00DD5D2E">
        <w:rPr>
          <w:sz w:val="22"/>
          <w:szCs w:val="22"/>
          <w:shd w:val="clear" w:color="auto" w:fill="FFFFFF"/>
        </w:rPr>
        <w:t xml:space="preserve">mandatory </w:t>
      </w:r>
      <w:r w:rsidRPr="0019473E" w:rsidR="00C671BB">
        <w:rPr>
          <w:sz w:val="22"/>
          <w:szCs w:val="22"/>
          <w:shd w:val="clear" w:color="auto" w:fill="FFFFFF"/>
        </w:rPr>
        <w:t>electronic filing</w:t>
      </w:r>
      <w:r w:rsidR="00DD5D2E">
        <w:rPr>
          <w:sz w:val="22"/>
          <w:szCs w:val="22"/>
          <w:shd w:val="clear" w:color="auto" w:fill="FFFFFF"/>
        </w:rPr>
        <w:t xml:space="preserve"> for this collection.  T</w:t>
      </w:r>
      <w:r w:rsidRPr="0019473E" w:rsidR="00C671BB">
        <w:rPr>
          <w:sz w:val="22"/>
          <w:szCs w:val="22"/>
          <w:shd w:val="clear" w:color="auto" w:fill="FFFFFF"/>
        </w:rPr>
        <w:t xml:space="preserve">he Commission </w:t>
      </w:r>
      <w:r w:rsidRPr="0019473E" w:rsidR="0073199C">
        <w:rPr>
          <w:sz w:val="22"/>
          <w:szCs w:val="22"/>
          <w:shd w:val="clear" w:color="auto" w:fill="FFFFFF"/>
        </w:rPr>
        <w:t xml:space="preserve">does not </w:t>
      </w:r>
      <w:r w:rsidRPr="0019473E" w:rsidR="00C671BB">
        <w:rPr>
          <w:sz w:val="22"/>
          <w:szCs w:val="22"/>
          <w:shd w:val="clear" w:color="auto" w:fill="FFFFFF"/>
        </w:rPr>
        <w:t xml:space="preserve">wish to restrict respondents’ </w:t>
      </w:r>
      <w:r w:rsidR="00DD5D2E">
        <w:rPr>
          <w:sz w:val="22"/>
          <w:szCs w:val="22"/>
          <w:shd w:val="clear" w:color="auto" w:fill="FFFFFF"/>
        </w:rPr>
        <w:t xml:space="preserve">methods for </w:t>
      </w:r>
      <w:r w:rsidRPr="0019473E" w:rsidR="00C671BB">
        <w:rPr>
          <w:sz w:val="22"/>
          <w:szCs w:val="22"/>
          <w:shd w:val="clear" w:color="auto" w:fill="FFFFFF"/>
        </w:rPr>
        <w:t>provid</w:t>
      </w:r>
      <w:r w:rsidR="00DD5D2E">
        <w:rPr>
          <w:sz w:val="22"/>
          <w:szCs w:val="22"/>
          <w:shd w:val="clear" w:color="auto" w:fill="FFFFFF"/>
        </w:rPr>
        <w:t>ing</w:t>
      </w:r>
      <w:r w:rsidRPr="0019473E" w:rsidR="00C671BB">
        <w:rPr>
          <w:sz w:val="22"/>
          <w:szCs w:val="22"/>
          <w:shd w:val="clear" w:color="auto" w:fill="FFFFFF"/>
        </w:rPr>
        <w:t xml:space="preserve"> the necessary data, and will accept applications that include </w:t>
      </w:r>
      <w:r w:rsidR="00A32F23">
        <w:rPr>
          <w:sz w:val="22"/>
          <w:szCs w:val="22"/>
          <w:shd w:val="clear" w:color="auto" w:fill="FFFFFF"/>
        </w:rPr>
        <w:t>paper</w:t>
      </w:r>
      <w:r w:rsidRPr="0019473E" w:rsidR="00A32F23">
        <w:rPr>
          <w:sz w:val="22"/>
          <w:szCs w:val="22"/>
          <w:shd w:val="clear" w:color="auto" w:fill="FFFFFF"/>
        </w:rPr>
        <w:t xml:space="preserve"> </w:t>
      </w:r>
      <w:r w:rsidRPr="0019473E" w:rsidR="00C671BB">
        <w:rPr>
          <w:sz w:val="22"/>
          <w:szCs w:val="22"/>
          <w:shd w:val="clear" w:color="auto" w:fill="FFFFFF"/>
        </w:rPr>
        <w:t>and/or electronic mail formats.</w:t>
      </w:r>
    </w:p>
    <w:p w:rsidR="00C671BB" w:rsidRPr="0019473E" w:rsidP="0010051C" w14:paraId="05C028C4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C671BB" w:rsidRPr="0019473E" w:rsidP="0010051C" w14:paraId="37E89296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  <w:t xml:space="preserve">The Commission also makes the application forms available on </w:t>
      </w:r>
      <w:r w:rsidRPr="0019473E" w:rsidR="00641D25">
        <w:rPr>
          <w:sz w:val="22"/>
          <w:szCs w:val="22"/>
          <w:shd w:val="clear" w:color="auto" w:fill="FFFFFF"/>
        </w:rPr>
        <w:t>the</w:t>
      </w:r>
      <w:r w:rsidRPr="0019473E">
        <w:rPr>
          <w:sz w:val="22"/>
          <w:szCs w:val="22"/>
          <w:shd w:val="clear" w:color="auto" w:fill="FFFFFF"/>
        </w:rPr>
        <w:t xml:space="preserve"> FCC Internet website at </w:t>
      </w:r>
      <w:hyperlink r:id="rId6" w:history="1">
        <w:r w:rsidRPr="0019473E">
          <w:rPr>
            <w:rStyle w:val="Hyperlink"/>
            <w:sz w:val="22"/>
            <w:szCs w:val="22"/>
            <w:shd w:val="clear" w:color="auto" w:fill="FFFFFF"/>
          </w:rPr>
          <w:t>www.fcc.forms</w:t>
        </w:r>
      </w:hyperlink>
      <w:r w:rsidRPr="0019473E">
        <w:rPr>
          <w:sz w:val="22"/>
          <w:szCs w:val="22"/>
          <w:shd w:val="clear" w:color="auto" w:fill="FFFFFF"/>
        </w:rPr>
        <w:t>.</w:t>
      </w:r>
    </w:p>
    <w:p w:rsidR="007178A7" w:rsidRPr="0019473E" w:rsidP="0010051C" w14:paraId="704C64D9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7178A7" w:rsidRPr="0019473E" w:rsidP="0010051C" w14:paraId="3DC5C94D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4.</w:t>
      </w:r>
      <w:r w:rsidRPr="0019473E">
        <w:rPr>
          <w:sz w:val="22"/>
          <w:szCs w:val="22"/>
          <w:shd w:val="clear" w:color="auto" w:fill="FFFFFF"/>
        </w:rPr>
        <w:tab/>
      </w:r>
      <w:r w:rsidRPr="0019473E" w:rsidR="000A6FB2">
        <w:rPr>
          <w:sz w:val="22"/>
          <w:szCs w:val="22"/>
          <w:shd w:val="clear" w:color="auto" w:fill="FFFFFF"/>
        </w:rPr>
        <w:t>The Commission does not impose any similar information collection requirements on the public.</w:t>
      </w:r>
    </w:p>
    <w:p w:rsidR="000A6FB2" w:rsidRPr="0019473E" w:rsidP="0010051C" w14:paraId="67C85B2C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0A6FB2" w:rsidRPr="0019473E" w:rsidP="0010051C" w14:paraId="0C5E9CC6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5.</w:t>
      </w:r>
      <w:r w:rsidRPr="0019473E">
        <w:rPr>
          <w:sz w:val="22"/>
          <w:szCs w:val="22"/>
          <w:shd w:val="clear" w:color="auto" w:fill="FFFFFF"/>
        </w:rPr>
        <w:tab/>
        <w:t xml:space="preserve">In conformance with the Paperwork Reduction Act of 1995, the Commission has made a diligent effort to minimize the burden on all respondents, including small businesses.  The Commission has limited the information collection requirements to those that are </w:t>
      </w:r>
      <w:r w:rsidRPr="0019473E" w:rsidR="008551FC">
        <w:rPr>
          <w:sz w:val="22"/>
          <w:szCs w:val="22"/>
          <w:shd w:val="clear" w:color="auto" w:fill="FFFFFF"/>
        </w:rPr>
        <w:t>necessary</w:t>
      </w:r>
      <w:r w:rsidRPr="0019473E">
        <w:rPr>
          <w:sz w:val="22"/>
          <w:szCs w:val="22"/>
          <w:shd w:val="clear" w:color="auto" w:fill="FFFFFF"/>
        </w:rPr>
        <w:t xml:space="preserve"> for evaluating and processing the certification applications and to ensure compliance with the </w:t>
      </w:r>
      <w:r w:rsidRPr="0019473E" w:rsidR="007A004E">
        <w:rPr>
          <w:sz w:val="22"/>
          <w:szCs w:val="22"/>
          <w:shd w:val="clear" w:color="auto" w:fill="FFFFFF"/>
        </w:rPr>
        <w:t>accounting regulations for maritime mobile and maritime mobile-satellite radio services.</w:t>
      </w:r>
    </w:p>
    <w:p w:rsidR="001E6B07" w:rsidRPr="0019473E" w:rsidP="0010051C" w14:paraId="24B12016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C34450" w:rsidRPr="0019473E" w:rsidP="0010051C" w14:paraId="3A28C2C3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6.</w:t>
      </w:r>
      <w:r w:rsidRPr="0019473E">
        <w:rPr>
          <w:sz w:val="22"/>
          <w:szCs w:val="22"/>
          <w:shd w:val="clear" w:color="auto" w:fill="FFFFFF"/>
        </w:rPr>
        <w:tab/>
        <w:t xml:space="preserve">47 CFR § 3.72 sets forth the reasons for further enforcement action.  </w:t>
      </w:r>
    </w:p>
    <w:p w:rsidR="00C34450" w:rsidRPr="0019473E" w:rsidP="0010051C" w14:paraId="48C4735A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207017" w:rsidRPr="00B51E19" w:rsidP="00B51E19" w14:paraId="338A2C99" w14:textId="77777777">
      <w:pPr>
        <w:numPr>
          <w:ilvl w:val="0"/>
          <w:numId w:val="9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This action may include forfeiture, suspension, or cancellation of an accounting authority certification, if the Commission determines that the public interest requires such.  </w:t>
      </w:r>
    </w:p>
    <w:p w:rsidR="00C34450" w:rsidRPr="0019473E" w:rsidP="00C34450" w14:paraId="56DDA872" w14:textId="77777777">
      <w:pPr>
        <w:tabs>
          <w:tab w:val="left" w:pos="360"/>
        </w:tabs>
        <w:ind w:left="360"/>
        <w:rPr>
          <w:sz w:val="22"/>
          <w:szCs w:val="22"/>
          <w:shd w:val="clear" w:color="auto" w:fill="FFFFFF"/>
        </w:rPr>
      </w:pPr>
    </w:p>
    <w:p w:rsidR="00C34450" w:rsidRPr="0019473E" w:rsidP="00C34450" w14:paraId="10940677" w14:textId="77777777">
      <w:pPr>
        <w:numPr>
          <w:ilvl w:val="0"/>
          <w:numId w:val="9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Establishment of this collection will help to minimize the U.S. Government’s liability for failure by an accounting authority to perform the settlement process satisfactorily.  </w:t>
      </w:r>
    </w:p>
    <w:p w:rsidR="00C34450" w:rsidRPr="0019473E" w:rsidP="00C34450" w14:paraId="19C8D009" w14:textId="77777777">
      <w:pPr>
        <w:tabs>
          <w:tab w:val="left" w:pos="360"/>
        </w:tabs>
        <w:rPr>
          <w:sz w:val="22"/>
          <w:szCs w:val="22"/>
          <w:shd w:val="clear" w:color="auto" w:fill="FFFFFF"/>
        </w:rPr>
      </w:pPr>
    </w:p>
    <w:p w:rsidR="001E6B07" w:rsidRPr="0019473E" w:rsidP="00C34450" w14:paraId="47E1A3B7" w14:textId="77777777">
      <w:pPr>
        <w:numPr>
          <w:ilvl w:val="0"/>
          <w:numId w:val="9"/>
        </w:numPr>
        <w:tabs>
          <w:tab w:val="left" w:pos="360"/>
        </w:tabs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Failure to pay foreign countries or agents amounts that are due them can result in a denial of communications between </w:t>
      </w:r>
      <w:smartTag w:uri="urn:schemas-microsoft-com:office:smarttags" w:element="country-region">
        <w:r w:rsidRPr="0019473E">
          <w:rPr>
            <w:sz w:val="22"/>
            <w:szCs w:val="22"/>
            <w:shd w:val="clear" w:color="auto" w:fill="FFFFFF"/>
          </w:rPr>
          <w:t>U.S.</w:t>
        </w:r>
      </w:smartTag>
      <w:r w:rsidRPr="0019473E">
        <w:rPr>
          <w:sz w:val="22"/>
          <w:szCs w:val="22"/>
          <w:shd w:val="clear" w:color="auto" w:fill="FFFFFF"/>
        </w:rPr>
        <w:t xml:space="preserve"> licensed ships, possibly affecting commercial enterprises and/or </w:t>
      </w:r>
      <w:smartTag w:uri="urn:schemas-microsoft-com:office:smarttags" w:element="place">
        <w:smartTag w:uri="urn:schemas-microsoft-com:office:smarttags" w:element="country-region">
          <w:r w:rsidRPr="0019473E">
            <w:rPr>
              <w:sz w:val="22"/>
              <w:szCs w:val="22"/>
              <w:shd w:val="clear" w:color="auto" w:fill="FFFFFF"/>
            </w:rPr>
            <w:t>U.S.</w:t>
          </w:r>
        </w:smartTag>
      </w:smartTag>
      <w:r w:rsidRPr="0019473E">
        <w:rPr>
          <w:sz w:val="22"/>
          <w:szCs w:val="22"/>
          <w:shd w:val="clear" w:color="auto" w:fill="FFFFFF"/>
        </w:rPr>
        <w:t xml:space="preserve"> security. </w:t>
      </w:r>
    </w:p>
    <w:p w:rsidR="002C6786" w:rsidRPr="00972887" w:rsidP="003D0BA9" w14:paraId="36527108" w14:textId="77777777">
      <w:pPr>
        <w:pStyle w:val="NormalWeb"/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7.</w:t>
      </w:r>
      <w:r w:rsidRPr="0019473E">
        <w:rPr>
          <w:sz w:val="22"/>
          <w:szCs w:val="22"/>
          <w:shd w:val="clear" w:color="auto" w:fill="FFFFFF"/>
        </w:rPr>
        <w:tab/>
      </w:r>
      <w:r w:rsidRPr="00972887" w:rsidR="005D37BA">
        <w:rPr>
          <w:sz w:val="22"/>
          <w:szCs w:val="22"/>
          <w:shd w:val="clear" w:color="auto" w:fill="FFFFFF"/>
        </w:rPr>
        <w:t xml:space="preserve">As noted above, </w:t>
      </w:r>
      <w:r w:rsidRPr="00972887" w:rsidR="00685F6F">
        <w:rPr>
          <w:sz w:val="22"/>
          <w:szCs w:val="22"/>
          <w:shd w:val="clear" w:color="auto" w:fill="FFFFFF"/>
        </w:rPr>
        <w:t xml:space="preserve">47 CFR </w:t>
      </w:r>
      <w:r w:rsidRPr="00972887" w:rsidR="005D37BA">
        <w:rPr>
          <w:sz w:val="22"/>
          <w:szCs w:val="22"/>
          <w:shd w:val="clear" w:color="auto" w:fill="FFFFFF"/>
        </w:rPr>
        <w:t xml:space="preserve">§ 3.50 requires accounting authorities to maintain, for the purpose of compliance with these rules, all settlement records for a period of at least seven (7) years following settlement of an account with a foreign administration or agent. </w:t>
      </w:r>
    </w:p>
    <w:p w:rsidR="002C6786" w:rsidRPr="00972887" w:rsidP="002C6786" w14:paraId="13C719AC" w14:textId="77777777">
      <w:pPr>
        <w:pStyle w:val="NormalWeb"/>
        <w:ind w:left="720" w:hanging="360"/>
        <w:rPr>
          <w:sz w:val="22"/>
          <w:szCs w:val="22"/>
          <w:shd w:val="clear" w:color="auto" w:fill="FFFFFF"/>
        </w:rPr>
      </w:pPr>
      <w:r w:rsidRPr="00972887">
        <w:rPr>
          <w:sz w:val="22"/>
          <w:szCs w:val="22"/>
          <w:shd w:val="clear" w:color="auto" w:fill="FFFFFF"/>
        </w:rPr>
        <w:t xml:space="preserve">(a) </w:t>
      </w:r>
      <w:r w:rsidRPr="00972887" w:rsidR="00F23B92">
        <w:rPr>
          <w:sz w:val="22"/>
          <w:szCs w:val="22"/>
          <w:shd w:val="clear" w:color="auto" w:fill="FFFFFF"/>
        </w:rPr>
        <w:t>The purpose of this requirement is to be in a position</w:t>
      </w:r>
      <w:r w:rsidRPr="00972887" w:rsidR="003D0BA9">
        <w:rPr>
          <w:sz w:val="22"/>
          <w:szCs w:val="22"/>
          <w:shd w:val="clear" w:color="auto" w:fill="FFFFFF"/>
        </w:rPr>
        <w:t xml:space="preserve"> to</w:t>
      </w:r>
      <w:r w:rsidRPr="00972887" w:rsidR="00F23B92">
        <w:rPr>
          <w:sz w:val="22"/>
          <w:szCs w:val="22"/>
          <w:shd w:val="clear" w:color="auto" w:fill="FFFFFF"/>
        </w:rPr>
        <w:t xml:space="preserve"> audit</w:t>
      </w:r>
      <w:r w:rsidRPr="00972887" w:rsidR="003D0BA9">
        <w:rPr>
          <w:sz w:val="22"/>
          <w:szCs w:val="22"/>
          <w:shd w:val="clear" w:color="auto" w:fill="FFFFFF"/>
        </w:rPr>
        <w:t xml:space="preserve"> the financial </w:t>
      </w:r>
      <w:r w:rsidRPr="00972887" w:rsidR="00F23B92">
        <w:rPr>
          <w:sz w:val="22"/>
          <w:szCs w:val="22"/>
          <w:shd w:val="clear" w:color="auto" w:fill="FFFFFF"/>
        </w:rPr>
        <w:t>records</w:t>
      </w:r>
      <w:r w:rsidRPr="00972887" w:rsidR="003D0BA9">
        <w:rPr>
          <w:sz w:val="22"/>
          <w:szCs w:val="22"/>
          <w:shd w:val="clear" w:color="auto" w:fill="FFFFFF"/>
        </w:rPr>
        <w:t xml:space="preserve"> of registered accounting authorities.  </w:t>
      </w:r>
    </w:p>
    <w:p w:rsidR="003D0BA9" w:rsidRPr="00972887" w:rsidP="002C6786" w14:paraId="5830A630" w14:textId="77777777">
      <w:pPr>
        <w:pStyle w:val="NormalWeb"/>
        <w:ind w:left="720" w:hanging="360"/>
        <w:rPr>
          <w:sz w:val="22"/>
          <w:szCs w:val="22"/>
          <w:shd w:val="clear" w:color="auto" w:fill="FFFFFF"/>
        </w:rPr>
      </w:pPr>
      <w:r w:rsidRPr="00972887">
        <w:rPr>
          <w:sz w:val="22"/>
          <w:szCs w:val="22"/>
          <w:shd w:val="clear" w:color="auto" w:fill="FFFFFF"/>
        </w:rPr>
        <w:t xml:space="preserve">(b) </w:t>
      </w:r>
      <w:r w:rsidRPr="00972887" w:rsidR="00F73E6F">
        <w:rPr>
          <w:sz w:val="22"/>
          <w:szCs w:val="22"/>
          <w:shd w:val="clear" w:color="auto" w:fill="FFFFFF"/>
        </w:rPr>
        <w:t xml:space="preserve">General guidelines recommend that </w:t>
      </w:r>
      <w:r w:rsidRPr="00972887">
        <w:rPr>
          <w:sz w:val="22"/>
          <w:szCs w:val="22"/>
          <w:shd w:val="clear" w:color="auto" w:fill="FFFFFF"/>
        </w:rPr>
        <w:t xml:space="preserve">businesses retain certain financial records for at least </w:t>
      </w:r>
      <w:r w:rsidRPr="00972887" w:rsidR="00F73E6F">
        <w:rPr>
          <w:sz w:val="22"/>
          <w:szCs w:val="22"/>
          <w:shd w:val="clear" w:color="auto" w:fill="FFFFFF"/>
        </w:rPr>
        <w:t>seven years for audit purposes.</w:t>
      </w:r>
      <w:r w:rsidRPr="00972887">
        <w:rPr>
          <w:sz w:val="22"/>
          <w:szCs w:val="22"/>
          <w:shd w:val="clear" w:color="auto" w:fill="FFFFFF"/>
        </w:rPr>
        <w:t xml:space="preserve"> </w:t>
      </w:r>
    </w:p>
    <w:p w:rsidR="00012611" w:rsidRPr="0019473E" w:rsidP="00E746C1" w14:paraId="5D645CF2" w14:textId="0283331A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972887">
        <w:rPr>
          <w:sz w:val="22"/>
          <w:szCs w:val="22"/>
          <w:shd w:val="clear" w:color="auto" w:fill="FFFFFF"/>
        </w:rPr>
        <w:tab/>
        <w:t>Otherwise, t</w:t>
      </w:r>
      <w:r w:rsidRPr="00972887" w:rsidR="00685F6F">
        <w:rPr>
          <w:sz w:val="22"/>
          <w:szCs w:val="22"/>
          <w:shd w:val="clear" w:color="auto" w:fill="FFFFFF"/>
        </w:rPr>
        <w:t xml:space="preserve">he </w:t>
      </w:r>
      <w:r w:rsidRPr="00972887">
        <w:rPr>
          <w:sz w:val="22"/>
          <w:szCs w:val="22"/>
          <w:shd w:val="clear" w:color="auto" w:fill="FFFFFF"/>
        </w:rPr>
        <w:t xml:space="preserve">Commission is not </w:t>
      </w:r>
      <w:r w:rsidRPr="00972887" w:rsidR="00396E32">
        <w:rPr>
          <w:sz w:val="22"/>
          <w:szCs w:val="22"/>
          <w:shd w:val="clear" w:color="auto" w:fill="FFFFFF"/>
        </w:rPr>
        <w:t xml:space="preserve">aware of any circumstances that would create </w:t>
      </w:r>
      <w:r w:rsidRPr="00972887" w:rsidR="00E746C1">
        <w:rPr>
          <w:sz w:val="22"/>
          <w:szCs w:val="22"/>
          <w:shd w:val="clear" w:color="auto" w:fill="FFFFFF"/>
        </w:rPr>
        <w:t>any information collection requirements not consistent with the PRA’s general requirements under 5 CFR § 1320.5</w:t>
      </w:r>
      <w:r w:rsidR="00C07E58">
        <w:rPr>
          <w:sz w:val="22"/>
          <w:szCs w:val="22"/>
          <w:shd w:val="clear" w:color="auto" w:fill="FFFFFF"/>
        </w:rPr>
        <w:t>(d)(2)</w:t>
      </w:r>
      <w:r w:rsidRPr="00972887" w:rsidR="00E746C1">
        <w:rPr>
          <w:sz w:val="22"/>
          <w:szCs w:val="22"/>
          <w:shd w:val="clear" w:color="auto" w:fill="FFFFFF"/>
        </w:rPr>
        <w:t>.</w:t>
      </w:r>
    </w:p>
    <w:p w:rsidR="00B17882" w:rsidRPr="0019473E" w:rsidP="00E746C1" w14:paraId="6E4EA420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B17882" w:rsidRPr="0019473E" w:rsidP="00E746C1" w14:paraId="59FB5543" w14:textId="2300FC1A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8.</w:t>
      </w:r>
      <w:r w:rsidRPr="0019473E">
        <w:rPr>
          <w:sz w:val="22"/>
          <w:szCs w:val="22"/>
          <w:shd w:val="clear" w:color="auto" w:fill="FFFFFF"/>
        </w:rPr>
        <w:tab/>
      </w:r>
      <w:r w:rsidRPr="00C451C8">
        <w:rPr>
          <w:sz w:val="22"/>
          <w:szCs w:val="22"/>
          <w:shd w:val="clear" w:color="auto" w:fill="FFFFFF"/>
        </w:rPr>
        <w:t>The Commission initiated a 60</w:t>
      </w:r>
      <w:r w:rsidR="00C07E58">
        <w:rPr>
          <w:sz w:val="22"/>
          <w:szCs w:val="22"/>
          <w:shd w:val="clear" w:color="auto" w:fill="FFFFFF"/>
        </w:rPr>
        <w:t>-</w:t>
      </w:r>
      <w:r w:rsidRPr="00C451C8">
        <w:rPr>
          <w:sz w:val="22"/>
          <w:szCs w:val="22"/>
          <w:shd w:val="clear" w:color="auto" w:fill="FFFFFF"/>
        </w:rPr>
        <w:t xml:space="preserve">day public comment period </w:t>
      </w:r>
      <w:r w:rsidRPr="00C451C8" w:rsidR="00AB437D">
        <w:rPr>
          <w:sz w:val="22"/>
          <w:szCs w:val="22"/>
          <w:shd w:val="clear" w:color="auto" w:fill="FFFFFF"/>
        </w:rPr>
        <w:t xml:space="preserve">with publication of a Notice in the </w:t>
      </w:r>
      <w:r w:rsidRPr="00C451C8" w:rsidR="00AB437D">
        <w:rPr>
          <w:i/>
          <w:sz w:val="22"/>
          <w:szCs w:val="22"/>
          <w:shd w:val="clear" w:color="auto" w:fill="FFFFFF"/>
        </w:rPr>
        <w:t>Federal Register</w:t>
      </w:r>
      <w:r w:rsidRPr="00C451C8" w:rsidR="00AB437D">
        <w:rPr>
          <w:sz w:val="22"/>
          <w:szCs w:val="22"/>
          <w:shd w:val="clear" w:color="auto" w:fill="FFFFFF"/>
        </w:rPr>
        <w:t xml:space="preserve"> </w:t>
      </w:r>
      <w:r w:rsidRPr="00C451C8">
        <w:rPr>
          <w:sz w:val="22"/>
          <w:szCs w:val="22"/>
          <w:shd w:val="clear" w:color="auto" w:fill="FFFFFF"/>
        </w:rPr>
        <w:t xml:space="preserve">on </w:t>
      </w:r>
      <w:r w:rsidR="000A7DE6">
        <w:rPr>
          <w:sz w:val="22"/>
          <w:szCs w:val="22"/>
          <w:shd w:val="clear" w:color="auto" w:fill="FFFFFF"/>
        </w:rPr>
        <w:t xml:space="preserve"> </w:t>
      </w:r>
      <w:r w:rsidR="00941481">
        <w:rPr>
          <w:sz w:val="22"/>
          <w:szCs w:val="22"/>
          <w:shd w:val="clear" w:color="auto" w:fill="FFFFFF"/>
        </w:rPr>
        <w:t>September 27</w:t>
      </w:r>
      <w:r w:rsidR="000A7DE6">
        <w:rPr>
          <w:sz w:val="22"/>
          <w:szCs w:val="22"/>
          <w:shd w:val="clear" w:color="auto" w:fill="FFFFFF"/>
        </w:rPr>
        <w:t>, 20</w:t>
      </w:r>
      <w:r w:rsidR="001012F6">
        <w:rPr>
          <w:sz w:val="22"/>
          <w:szCs w:val="22"/>
          <w:shd w:val="clear" w:color="auto" w:fill="FFFFFF"/>
        </w:rPr>
        <w:t>2</w:t>
      </w:r>
      <w:r w:rsidR="00941481">
        <w:rPr>
          <w:sz w:val="22"/>
          <w:szCs w:val="22"/>
          <w:shd w:val="clear" w:color="auto" w:fill="FFFFFF"/>
        </w:rPr>
        <w:t>3</w:t>
      </w:r>
      <w:r w:rsidR="001012F6">
        <w:rPr>
          <w:sz w:val="22"/>
          <w:szCs w:val="22"/>
          <w:shd w:val="clear" w:color="auto" w:fill="FFFFFF"/>
        </w:rPr>
        <w:t xml:space="preserve"> </w:t>
      </w:r>
      <w:r w:rsidR="000A7DE6">
        <w:rPr>
          <w:sz w:val="22"/>
          <w:szCs w:val="22"/>
          <w:shd w:val="clear" w:color="auto" w:fill="FFFFFF"/>
        </w:rPr>
        <w:t>(</w:t>
      </w:r>
      <w:r w:rsidR="00941481">
        <w:rPr>
          <w:sz w:val="22"/>
          <w:szCs w:val="22"/>
          <w:shd w:val="clear" w:color="auto" w:fill="FFFFFF"/>
        </w:rPr>
        <w:t>88</w:t>
      </w:r>
      <w:r w:rsidR="000A7DE6">
        <w:rPr>
          <w:sz w:val="22"/>
          <w:szCs w:val="22"/>
          <w:shd w:val="clear" w:color="auto" w:fill="FFFFFF"/>
        </w:rPr>
        <w:t xml:space="preserve"> FR </w:t>
      </w:r>
      <w:r w:rsidR="00941481">
        <w:rPr>
          <w:sz w:val="22"/>
          <w:szCs w:val="22"/>
          <w:shd w:val="clear" w:color="auto" w:fill="FFFFFF"/>
        </w:rPr>
        <w:t>66448</w:t>
      </w:r>
      <w:r w:rsidR="000A7DE6">
        <w:rPr>
          <w:sz w:val="22"/>
          <w:szCs w:val="22"/>
          <w:shd w:val="clear" w:color="auto" w:fill="FFFFFF"/>
        </w:rPr>
        <w:t>)</w:t>
      </w:r>
      <w:r w:rsidRPr="00C451C8" w:rsidR="00AB437D">
        <w:rPr>
          <w:sz w:val="22"/>
          <w:szCs w:val="22"/>
          <w:shd w:val="clear" w:color="auto" w:fill="FFFFFF"/>
        </w:rPr>
        <w:t xml:space="preserve">.  The Commission received no comments </w:t>
      </w:r>
      <w:r w:rsidRPr="00C451C8" w:rsidR="00B51E19">
        <w:rPr>
          <w:sz w:val="22"/>
          <w:szCs w:val="22"/>
          <w:shd w:val="clear" w:color="auto" w:fill="FFFFFF"/>
        </w:rPr>
        <w:t xml:space="preserve">from the public </w:t>
      </w:r>
      <w:r w:rsidRPr="00C451C8" w:rsidR="00AB437D">
        <w:rPr>
          <w:sz w:val="22"/>
          <w:szCs w:val="22"/>
          <w:shd w:val="clear" w:color="auto" w:fill="FFFFFF"/>
        </w:rPr>
        <w:t>in response to publication of this Notice.</w:t>
      </w:r>
    </w:p>
    <w:p w:rsidR="00E62B83" w:rsidRPr="0019473E" w:rsidP="00E746C1" w14:paraId="1A02CC13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E62B83" w:rsidRPr="0019473E" w:rsidP="00E746C1" w14:paraId="785BBB7B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9.</w:t>
      </w:r>
      <w:r w:rsidRPr="0019473E">
        <w:rPr>
          <w:sz w:val="22"/>
          <w:szCs w:val="22"/>
          <w:shd w:val="clear" w:color="auto" w:fill="FFFFFF"/>
        </w:rPr>
        <w:tab/>
        <w:t xml:space="preserve">Respondents will not receive any </w:t>
      </w:r>
      <w:r w:rsidRPr="0019473E">
        <w:rPr>
          <w:sz w:val="22"/>
          <w:szCs w:val="22"/>
          <w:shd w:val="clear" w:color="auto" w:fill="FFFFFF"/>
        </w:rPr>
        <w:t>payments or gifts.</w:t>
      </w:r>
    </w:p>
    <w:p w:rsidR="00E62B83" w:rsidRPr="0019473E" w:rsidP="00E746C1" w14:paraId="723461EE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57544B" w:rsidRPr="0019473E" w:rsidP="00E746C1" w14:paraId="5E9DD83A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10.</w:t>
      </w:r>
      <w:r w:rsidRPr="0019473E">
        <w:rPr>
          <w:sz w:val="22"/>
          <w:szCs w:val="22"/>
          <w:shd w:val="clear" w:color="auto" w:fill="FFFFFF"/>
        </w:rPr>
        <w:tab/>
        <w:t>Under 47 CFR § 3.62, applicants should comply with 47 CFR § 0.459 of FCC Rules when requesting confidentiality since the Commission does not offer confidentiality automatically.</w:t>
      </w:r>
    </w:p>
    <w:p w:rsidR="0057544B" w:rsidRPr="0019473E" w:rsidP="00E746C1" w14:paraId="687D1125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E62B83" w:rsidRPr="0019473E" w:rsidP="00E746C1" w14:paraId="21079DBF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11.</w:t>
      </w:r>
      <w:r w:rsidRPr="0019473E">
        <w:rPr>
          <w:sz w:val="22"/>
          <w:szCs w:val="22"/>
          <w:shd w:val="clear" w:color="auto" w:fill="FFFFFF"/>
        </w:rPr>
        <w:tab/>
        <w:t xml:space="preserve">This information collection does not address any issues of a sensitive nature. </w:t>
      </w:r>
    </w:p>
    <w:p w:rsidR="0057544B" w:rsidRPr="0019473E" w:rsidP="00E746C1" w14:paraId="3C3B720B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57544B" w:rsidRPr="0019473E" w:rsidP="00E746C1" w14:paraId="4F92D8AD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12.</w:t>
      </w:r>
      <w:r w:rsidRPr="0019473E">
        <w:rPr>
          <w:sz w:val="22"/>
          <w:szCs w:val="22"/>
          <w:shd w:val="clear" w:color="auto" w:fill="FFFFFF"/>
        </w:rPr>
        <w:tab/>
      </w:r>
      <w:r w:rsidR="00867B85">
        <w:rPr>
          <w:sz w:val="22"/>
          <w:szCs w:val="22"/>
          <w:shd w:val="clear" w:color="auto" w:fill="FFFFFF"/>
        </w:rPr>
        <w:t xml:space="preserve">47 CFR </w:t>
      </w:r>
      <w:r w:rsidRPr="0019473E" w:rsidR="00867B85">
        <w:rPr>
          <w:sz w:val="22"/>
          <w:szCs w:val="22"/>
          <w:shd w:val="clear" w:color="auto" w:fill="FFFFFF"/>
        </w:rPr>
        <w:t>§</w:t>
      </w:r>
      <w:r w:rsidR="00867B85">
        <w:rPr>
          <w:sz w:val="22"/>
          <w:szCs w:val="22"/>
          <w:shd w:val="clear" w:color="auto" w:fill="FFFFFF"/>
        </w:rPr>
        <w:t xml:space="preserve"> 3.21(b) states that at any given time there will be no more than </w:t>
      </w:r>
      <w:r w:rsidR="009342B0">
        <w:rPr>
          <w:sz w:val="22"/>
          <w:szCs w:val="22"/>
          <w:shd w:val="clear" w:color="auto" w:fill="FFFFFF"/>
        </w:rPr>
        <w:t xml:space="preserve">25 </w:t>
      </w:r>
      <w:r w:rsidR="00867B85">
        <w:rPr>
          <w:sz w:val="22"/>
          <w:szCs w:val="22"/>
          <w:shd w:val="clear" w:color="auto" w:fill="FFFFFF"/>
        </w:rPr>
        <w:t>certified accounting authorities.</w:t>
      </w:r>
    </w:p>
    <w:p w:rsidR="0057544B" w:rsidP="00E746C1" w14:paraId="4F8F4607" w14:textId="78683F45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1012F6" w:rsidP="00E746C1" w14:paraId="52502464" w14:textId="6790E093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1012F6" w:rsidRPr="0019473E" w:rsidP="00E746C1" w14:paraId="3C0455D9" w14:textId="77777777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</w:p>
    <w:p w:rsidR="00B918AF" w:rsidRPr="0019473E" w:rsidP="00B918AF" w14:paraId="467E6AEF" w14:textId="7955D866">
      <w:pPr>
        <w:ind w:left="360"/>
        <w:rPr>
          <w:sz w:val="22"/>
          <w:szCs w:val="22"/>
          <w:shd w:val="clear" w:color="auto" w:fill="FFFFFF"/>
        </w:rPr>
      </w:pPr>
      <w:r w:rsidRPr="002809BB">
        <w:rPr>
          <w:b/>
          <w:sz w:val="22"/>
          <w:szCs w:val="22"/>
          <w:u w:val="single"/>
          <w:shd w:val="clear" w:color="auto" w:fill="FFFFFF"/>
        </w:rPr>
        <w:t>Total Number of Respondents:</w:t>
      </w:r>
      <w:r w:rsidRPr="0019473E">
        <w:rPr>
          <w:sz w:val="22"/>
          <w:szCs w:val="22"/>
          <w:shd w:val="clear" w:color="auto" w:fill="FFFFFF"/>
        </w:rPr>
        <w:t xml:space="preserve"> </w:t>
      </w:r>
      <w:r w:rsidR="00C00009">
        <w:rPr>
          <w:sz w:val="22"/>
          <w:szCs w:val="22"/>
          <w:shd w:val="clear" w:color="auto" w:fill="FFFFFF"/>
        </w:rPr>
        <w:t xml:space="preserve"> </w:t>
      </w:r>
      <w:r w:rsidR="00E53D7B">
        <w:rPr>
          <w:b/>
          <w:sz w:val="22"/>
          <w:szCs w:val="22"/>
          <w:shd w:val="clear" w:color="auto" w:fill="FFFFFF"/>
        </w:rPr>
        <w:t>1</w:t>
      </w:r>
      <w:r w:rsidR="00DA5499">
        <w:rPr>
          <w:b/>
          <w:sz w:val="22"/>
          <w:szCs w:val="22"/>
          <w:shd w:val="clear" w:color="auto" w:fill="FFFFFF"/>
        </w:rPr>
        <w:t>0</w:t>
      </w:r>
      <w:r w:rsidRPr="00280C30" w:rsidR="00E53D7B">
        <w:rPr>
          <w:b/>
          <w:sz w:val="22"/>
          <w:szCs w:val="22"/>
          <w:shd w:val="clear" w:color="auto" w:fill="FFFFFF"/>
        </w:rPr>
        <w:t xml:space="preserve"> </w:t>
      </w:r>
      <w:r w:rsidRPr="00280C30" w:rsidR="00C00009">
        <w:rPr>
          <w:b/>
          <w:sz w:val="22"/>
          <w:szCs w:val="22"/>
          <w:shd w:val="clear" w:color="auto" w:fill="FFFFFF"/>
        </w:rPr>
        <w:t>respondents</w:t>
      </w:r>
    </w:p>
    <w:p w:rsidR="00B918AF" w:rsidRPr="0019473E" w:rsidP="00B918AF" w14:paraId="7AD93E58" w14:textId="77777777">
      <w:pPr>
        <w:ind w:left="360"/>
        <w:rPr>
          <w:sz w:val="22"/>
          <w:szCs w:val="22"/>
          <w:shd w:val="clear" w:color="auto" w:fill="FFFFFF"/>
        </w:rPr>
      </w:pPr>
    </w:p>
    <w:p w:rsidR="00B918AF" w:rsidRPr="0019473E" w:rsidP="00B918AF" w14:paraId="7B39A8E8" w14:textId="1DD63918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Currently</w:t>
      </w:r>
      <w:r w:rsidR="00FD78B0">
        <w:rPr>
          <w:sz w:val="22"/>
          <w:szCs w:val="22"/>
          <w:shd w:val="clear" w:color="auto" w:fill="FFFFFF"/>
        </w:rPr>
        <w:t>,</w:t>
      </w:r>
      <w:r>
        <w:rPr>
          <w:sz w:val="22"/>
          <w:szCs w:val="22"/>
          <w:shd w:val="clear" w:color="auto" w:fill="FFFFFF"/>
        </w:rPr>
        <w:t xml:space="preserve"> there are </w:t>
      </w:r>
      <w:r w:rsidR="00DA5499">
        <w:rPr>
          <w:sz w:val="22"/>
          <w:szCs w:val="22"/>
          <w:shd w:val="clear" w:color="auto" w:fill="FFFFFF"/>
        </w:rPr>
        <w:t>no more than 10</w:t>
      </w:r>
      <w:r w:rsidRPr="0019473E" w:rsidR="00B47E02">
        <w:rPr>
          <w:sz w:val="22"/>
          <w:szCs w:val="22"/>
          <w:shd w:val="clear" w:color="auto" w:fill="FFFFFF"/>
        </w:rPr>
        <w:t xml:space="preserve"> </w:t>
      </w:r>
      <w:r w:rsidRPr="0019473E">
        <w:rPr>
          <w:sz w:val="22"/>
          <w:szCs w:val="22"/>
          <w:shd w:val="clear" w:color="auto" w:fill="FFFFFF"/>
        </w:rPr>
        <w:t xml:space="preserve">certified </w:t>
      </w:r>
      <w:r>
        <w:rPr>
          <w:sz w:val="22"/>
          <w:szCs w:val="22"/>
          <w:shd w:val="clear" w:color="auto" w:fill="FFFFFF"/>
        </w:rPr>
        <w:t xml:space="preserve">accounting </w:t>
      </w:r>
      <w:r w:rsidRPr="0019473E">
        <w:rPr>
          <w:sz w:val="22"/>
          <w:szCs w:val="22"/>
          <w:shd w:val="clear" w:color="auto" w:fill="FFFFFF"/>
        </w:rPr>
        <w:t>authorities</w:t>
      </w:r>
      <w:r>
        <w:rPr>
          <w:sz w:val="22"/>
          <w:szCs w:val="22"/>
          <w:shd w:val="clear" w:color="auto" w:fill="FFFFFF"/>
        </w:rPr>
        <w:t xml:space="preserve">. </w:t>
      </w:r>
    </w:p>
    <w:p w:rsidR="00B918AF" w:rsidRPr="0019473E" w:rsidP="00B918AF" w14:paraId="6E11BEB2" w14:textId="77777777">
      <w:pPr>
        <w:ind w:left="720"/>
        <w:rPr>
          <w:sz w:val="22"/>
          <w:szCs w:val="22"/>
          <w:shd w:val="clear" w:color="auto" w:fill="FFFFFF"/>
        </w:rPr>
      </w:pPr>
    </w:p>
    <w:p w:rsidR="00B918AF" w:rsidRPr="008D65EC" w:rsidP="00B918AF" w14:paraId="39CD9A97" w14:textId="02C39F15">
      <w:pPr>
        <w:ind w:left="360"/>
        <w:rPr>
          <w:b/>
          <w:sz w:val="22"/>
          <w:szCs w:val="22"/>
          <w:u w:val="single"/>
          <w:shd w:val="clear" w:color="auto" w:fill="FFFFFF"/>
        </w:rPr>
      </w:pPr>
      <w:r>
        <w:rPr>
          <w:b/>
          <w:sz w:val="22"/>
          <w:szCs w:val="22"/>
          <w:u w:val="single"/>
          <w:shd w:val="clear" w:color="auto" w:fill="FFFFFF"/>
        </w:rPr>
        <w:t xml:space="preserve">Total </w:t>
      </w:r>
      <w:r w:rsidRPr="008D65EC" w:rsidR="008D65EC">
        <w:rPr>
          <w:b/>
          <w:sz w:val="22"/>
          <w:szCs w:val="22"/>
          <w:u w:val="single"/>
          <w:shd w:val="clear" w:color="auto" w:fill="FFFFFF"/>
        </w:rPr>
        <w:t>Number of Responses</w:t>
      </w:r>
      <w:r w:rsidR="00280C30">
        <w:rPr>
          <w:b/>
          <w:sz w:val="22"/>
          <w:szCs w:val="22"/>
          <w:u w:val="single"/>
          <w:shd w:val="clear" w:color="auto" w:fill="FFFFFF"/>
        </w:rPr>
        <w:t xml:space="preserve"> Annually</w:t>
      </w:r>
      <w:r w:rsidRPr="00280C30" w:rsidR="008D65EC">
        <w:rPr>
          <w:b/>
          <w:sz w:val="22"/>
          <w:szCs w:val="22"/>
          <w:shd w:val="clear" w:color="auto" w:fill="FFFFFF"/>
        </w:rPr>
        <w:t>:</w:t>
      </w:r>
      <w:r w:rsidRPr="00280C30">
        <w:rPr>
          <w:b/>
          <w:sz w:val="22"/>
          <w:szCs w:val="22"/>
          <w:shd w:val="clear" w:color="auto" w:fill="FFFFFF"/>
        </w:rPr>
        <w:t xml:space="preserve"> </w:t>
      </w:r>
      <w:r w:rsidR="008A2BE8">
        <w:rPr>
          <w:b/>
          <w:sz w:val="22"/>
          <w:szCs w:val="22"/>
          <w:shd w:val="clear" w:color="auto" w:fill="FFFFFF"/>
        </w:rPr>
        <w:t>22</w:t>
      </w:r>
      <w:r w:rsidRPr="00280C30" w:rsidR="002D29C9">
        <w:rPr>
          <w:b/>
          <w:sz w:val="22"/>
          <w:szCs w:val="22"/>
          <w:shd w:val="clear" w:color="auto" w:fill="FFFFFF"/>
        </w:rPr>
        <w:t xml:space="preserve"> </w:t>
      </w:r>
      <w:r w:rsidRPr="00280C30" w:rsidR="00280C30">
        <w:rPr>
          <w:b/>
          <w:sz w:val="22"/>
          <w:szCs w:val="22"/>
          <w:shd w:val="clear" w:color="auto" w:fill="FFFFFF"/>
        </w:rPr>
        <w:t>responses</w:t>
      </w:r>
    </w:p>
    <w:p w:rsidR="008D65EC" w:rsidRPr="0019473E" w:rsidP="00B918AF" w14:paraId="1FB06A4D" w14:textId="77777777">
      <w:pPr>
        <w:ind w:left="360"/>
        <w:rPr>
          <w:sz w:val="22"/>
          <w:szCs w:val="22"/>
          <w:shd w:val="clear" w:color="auto" w:fill="FFFFFF"/>
        </w:rPr>
      </w:pPr>
    </w:p>
    <w:p w:rsidR="00E53D7B" w:rsidP="00B918AF" w14:paraId="4DEABE79" w14:textId="2EADCD3F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Form 44 Certification Application – Filed only for new authority. A</w:t>
      </w:r>
      <w:r w:rsidR="00FC3291">
        <w:rPr>
          <w:sz w:val="22"/>
          <w:szCs w:val="22"/>
          <w:shd w:val="clear" w:color="auto" w:fill="FFFFFF"/>
        </w:rPr>
        <w:t>verages less than</w:t>
      </w:r>
      <w:r w:rsidR="00A27549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1 response annually.</w:t>
      </w:r>
    </w:p>
    <w:p w:rsidR="00E53D7B" w:rsidP="00B918AF" w14:paraId="419A1221" w14:textId="77777777">
      <w:pPr>
        <w:ind w:left="360"/>
        <w:rPr>
          <w:sz w:val="22"/>
          <w:szCs w:val="22"/>
          <w:shd w:val="clear" w:color="auto" w:fill="FFFFFF"/>
        </w:rPr>
      </w:pPr>
    </w:p>
    <w:p w:rsidR="00E53D7B" w:rsidP="00B918AF" w14:paraId="4EB66496" w14:textId="7428D1B0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Form 45 Statistical Report of Settlement Activities – 1</w:t>
      </w:r>
      <w:r w:rsidR="00DA5499">
        <w:rPr>
          <w:sz w:val="22"/>
          <w:szCs w:val="22"/>
          <w:shd w:val="clear" w:color="auto" w:fill="FFFFFF"/>
        </w:rPr>
        <w:t>0</w:t>
      </w:r>
      <w:r>
        <w:rPr>
          <w:sz w:val="22"/>
          <w:szCs w:val="22"/>
          <w:shd w:val="clear" w:color="auto" w:fill="FFFFFF"/>
        </w:rPr>
        <w:t xml:space="preserve"> responses annually.</w:t>
      </w:r>
    </w:p>
    <w:p w:rsidR="00E53D7B" w:rsidP="00B918AF" w14:paraId="463DBE36" w14:textId="77777777">
      <w:pPr>
        <w:ind w:left="360"/>
        <w:rPr>
          <w:sz w:val="22"/>
          <w:szCs w:val="22"/>
          <w:shd w:val="clear" w:color="auto" w:fill="FFFFFF"/>
        </w:rPr>
      </w:pPr>
    </w:p>
    <w:p w:rsidR="00E53D7B" w:rsidP="00B918AF" w14:paraId="49B6F0CA" w14:textId="22AE2C10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I</w:t>
      </w:r>
      <w:r w:rsidRPr="00E53D7B">
        <w:rPr>
          <w:sz w:val="22"/>
          <w:szCs w:val="22"/>
          <w:shd w:val="clear" w:color="auto" w:fill="FFFFFF"/>
        </w:rPr>
        <w:t xml:space="preserve">nitial </w:t>
      </w:r>
      <w:r>
        <w:rPr>
          <w:sz w:val="22"/>
          <w:szCs w:val="22"/>
          <w:shd w:val="clear" w:color="auto" w:fill="FFFFFF"/>
        </w:rPr>
        <w:t>I</w:t>
      </w:r>
      <w:r w:rsidRPr="00E53D7B">
        <w:rPr>
          <w:sz w:val="22"/>
          <w:szCs w:val="22"/>
          <w:shd w:val="clear" w:color="auto" w:fill="FFFFFF"/>
        </w:rPr>
        <w:t xml:space="preserve">nventory of </w:t>
      </w:r>
      <w:r>
        <w:rPr>
          <w:sz w:val="22"/>
          <w:szCs w:val="22"/>
          <w:shd w:val="clear" w:color="auto" w:fill="FFFFFF"/>
        </w:rPr>
        <w:t>V</w:t>
      </w:r>
      <w:r w:rsidRPr="00E53D7B">
        <w:rPr>
          <w:sz w:val="22"/>
          <w:szCs w:val="22"/>
          <w:shd w:val="clear" w:color="auto" w:fill="FFFFFF"/>
        </w:rPr>
        <w:t xml:space="preserve">essels </w:t>
      </w:r>
      <w:r>
        <w:rPr>
          <w:sz w:val="22"/>
          <w:szCs w:val="22"/>
          <w:shd w:val="clear" w:color="auto" w:fill="FFFFFF"/>
        </w:rPr>
        <w:t>R</w:t>
      </w:r>
      <w:r w:rsidRPr="00E53D7B">
        <w:rPr>
          <w:sz w:val="22"/>
          <w:szCs w:val="22"/>
          <w:shd w:val="clear" w:color="auto" w:fill="FFFFFF"/>
        </w:rPr>
        <w:t>eport</w:t>
      </w:r>
      <w:r w:rsidR="00C630BA">
        <w:rPr>
          <w:sz w:val="22"/>
          <w:szCs w:val="22"/>
          <w:shd w:val="clear" w:color="auto" w:fill="FFFFFF"/>
        </w:rPr>
        <w:t xml:space="preserve"> - </w:t>
      </w:r>
      <w:r w:rsidRPr="00C630BA" w:rsidR="00C630BA">
        <w:rPr>
          <w:sz w:val="22"/>
          <w:szCs w:val="22"/>
          <w:shd w:val="clear" w:color="auto" w:fill="FFFFFF"/>
        </w:rPr>
        <w:t xml:space="preserve">filed within 60 days of </w:t>
      </w:r>
      <w:r w:rsidR="00C630BA">
        <w:rPr>
          <w:sz w:val="22"/>
          <w:szCs w:val="22"/>
          <w:shd w:val="clear" w:color="auto" w:fill="FFFFFF"/>
        </w:rPr>
        <w:t>receiving final approval as an accounting a</w:t>
      </w:r>
      <w:r w:rsidRPr="00C630BA" w:rsidR="00C630BA">
        <w:rPr>
          <w:sz w:val="22"/>
          <w:szCs w:val="22"/>
          <w:shd w:val="clear" w:color="auto" w:fill="FFFFFF"/>
        </w:rPr>
        <w:t>uthority</w:t>
      </w:r>
      <w:r w:rsidR="00C630BA">
        <w:rPr>
          <w:sz w:val="22"/>
          <w:szCs w:val="22"/>
          <w:shd w:val="clear" w:color="auto" w:fill="FFFFFF"/>
        </w:rPr>
        <w:t xml:space="preserve">. </w:t>
      </w:r>
      <w:r w:rsidR="00FC3291">
        <w:rPr>
          <w:sz w:val="22"/>
          <w:szCs w:val="22"/>
          <w:shd w:val="clear" w:color="auto" w:fill="FFFFFF"/>
        </w:rPr>
        <w:t>No responses in recent years</w:t>
      </w:r>
      <w:r w:rsidR="00C630BA">
        <w:rPr>
          <w:sz w:val="22"/>
          <w:szCs w:val="22"/>
          <w:shd w:val="clear" w:color="auto" w:fill="FFFFFF"/>
        </w:rPr>
        <w:t>.</w:t>
      </w:r>
    </w:p>
    <w:p w:rsidR="00C630BA" w:rsidP="00B918AF" w14:paraId="0A4040B0" w14:textId="77777777">
      <w:pPr>
        <w:ind w:left="360"/>
        <w:rPr>
          <w:sz w:val="22"/>
          <w:szCs w:val="22"/>
          <w:shd w:val="clear" w:color="auto" w:fill="FFFFFF"/>
        </w:rPr>
      </w:pPr>
    </w:p>
    <w:p w:rsidR="00C630BA" w:rsidP="00B918AF" w14:paraId="5DFE6877" w14:textId="77777777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S</w:t>
      </w:r>
      <w:r w:rsidRPr="002D29C9">
        <w:rPr>
          <w:sz w:val="22"/>
          <w:szCs w:val="22"/>
          <w:shd w:val="clear" w:color="auto" w:fill="FFFFFF"/>
        </w:rPr>
        <w:t>emi-</w:t>
      </w:r>
      <w:r>
        <w:rPr>
          <w:sz w:val="22"/>
          <w:szCs w:val="22"/>
          <w:shd w:val="clear" w:color="auto" w:fill="FFFFFF"/>
        </w:rPr>
        <w:t>A</w:t>
      </w:r>
      <w:r w:rsidRPr="002D29C9">
        <w:rPr>
          <w:sz w:val="22"/>
          <w:szCs w:val="22"/>
          <w:shd w:val="clear" w:color="auto" w:fill="FFFFFF"/>
        </w:rPr>
        <w:t xml:space="preserve">nnual </w:t>
      </w:r>
      <w:r>
        <w:rPr>
          <w:sz w:val="22"/>
          <w:szCs w:val="22"/>
          <w:shd w:val="clear" w:color="auto" w:fill="FFFFFF"/>
        </w:rPr>
        <w:t>I</w:t>
      </w:r>
      <w:r w:rsidRPr="002D29C9">
        <w:rPr>
          <w:sz w:val="22"/>
          <w:szCs w:val="22"/>
          <w:shd w:val="clear" w:color="auto" w:fill="FFFFFF"/>
        </w:rPr>
        <w:t xml:space="preserve">nventory of </w:t>
      </w:r>
      <w:r>
        <w:rPr>
          <w:sz w:val="22"/>
          <w:szCs w:val="22"/>
          <w:shd w:val="clear" w:color="auto" w:fill="FFFFFF"/>
        </w:rPr>
        <w:t>V</w:t>
      </w:r>
      <w:r w:rsidRPr="002D29C9">
        <w:rPr>
          <w:sz w:val="22"/>
          <w:szCs w:val="22"/>
          <w:shd w:val="clear" w:color="auto" w:fill="FFFFFF"/>
        </w:rPr>
        <w:t xml:space="preserve">essels </w:t>
      </w:r>
      <w:r>
        <w:rPr>
          <w:sz w:val="22"/>
          <w:szCs w:val="22"/>
          <w:shd w:val="clear" w:color="auto" w:fill="FFFFFF"/>
        </w:rPr>
        <w:t>R</w:t>
      </w:r>
      <w:r w:rsidRPr="002D29C9">
        <w:rPr>
          <w:sz w:val="22"/>
          <w:szCs w:val="22"/>
          <w:shd w:val="clear" w:color="auto" w:fill="FFFFFF"/>
        </w:rPr>
        <w:t>eport</w:t>
      </w:r>
      <w:r>
        <w:rPr>
          <w:sz w:val="22"/>
          <w:szCs w:val="22"/>
          <w:shd w:val="clear" w:color="auto" w:fill="FFFFFF"/>
        </w:rPr>
        <w:t xml:space="preserve"> - F</w:t>
      </w:r>
      <w:r w:rsidRPr="002D29C9">
        <w:rPr>
          <w:sz w:val="22"/>
          <w:szCs w:val="22"/>
          <w:shd w:val="clear" w:color="auto" w:fill="FFFFFF"/>
        </w:rPr>
        <w:t xml:space="preserve">iled only if there are additions, modifications or deletions to </w:t>
      </w:r>
      <w:r>
        <w:rPr>
          <w:sz w:val="22"/>
          <w:szCs w:val="22"/>
          <w:shd w:val="clear" w:color="auto" w:fill="FFFFFF"/>
        </w:rPr>
        <w:t>an accounting authority’s</w:t>
      </w:r>
      <w:r w:rsidRPr="002D29C9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v</w:t>
      </w:r>
      <w:r w:rsidRPr="002D29C9">
        <w:rPr>
          <w:sz w:val="22"/>
          <w:szCs w:val="22"/>
          <w:shd w:val="clear" w:color="auto" w:fill="FFFFFF"/>
        </w:rPr>
        <w:t xml:space="preserve">essel </w:t>
      </w:r>
      <w:r>
        <w:rPr>
          <w:sz w:val="22"/>
          <w:szCs w:val="22"/>
          <w:shd w:val="clear" w:color="auto" w:fill="FFFFFF"/>
        </w:rPr>
        <w:t>i</w:t>
      </w:r>
      <w:r w:rsidRPr="002D29C9">
        <w:rPr>
          <w:sz w:val="22"/>
          <w:szCs w:val="22"/>
          <w:shd w:val="clear" w:color="auto" w:fill="FFFFFF"/>
        </w:rPr>
        <w:t>nventory</w:t>
      </w:r>
      <w:r>
        <w:rPr>
          <w:sz w:val="22"/>
          <w:szCs w:val="22"/>
          <w:shd w:val="clear" w:color="auto" w:fill="FFFFFF"/>
        </w:rPr>
        <w:t>. Averages less than 1 response annually.</w:t>
      </w:r>
    </w:p>
    <w:p w:rsidR="002D29C9" w:rsidP="00B918AF" w14:paraId="03FA96D8" w14:textId="77777777">
      <w:pPr>
        <w:ind w:left="360"/>
        <w:rPr>
          <w:sz w:val="22"/>
          <w:szCs w:val="22"/>
          <w:shd w:val="clear" w:color="auto" w:fill="FFFFFF"/>
        </w:rPr>
      </w:pPr>
    </w:p>
    <w:p w:rsidR="002D29C9" w:rsidP="00B918AF" w14:paraId="3F798861" w14:textId="542A36AC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E</w:t>
      </w:r>
      <w:r w:rsidRPr="002D29C9">
        <w:rPr>
          <w:sz w:val="22"/>
          <w:szCs w:val="22"/>
          <w:shd w:val="clear" w:color="auto" w:fill="FFFFFF"/>
        </w:rPr>
        <w:t xml:space="preserve">nd of </w:t>
      </w:r>
      <w:r>
        <w:rPr>
          <w:sz w:val="22"/>
          <w:szCs w:val="22"/>
          <w:shd w:val="clear" w:color="auto" w:fill="FFFFFF"/>
        </w:rPr>
        <w:t>Y</w:t>
      </w:r>
      <w:r w:rsidRPr="002D29C9">
        <w:rPr>
          <w:sz w:val="22"/>
          <w:szCs w:val="22"/>
          <w:shd w:val="clear" w:color="auto" w:fill="FFFFFF"/>
        </w:rPr>
        <w:t xml:space="preserve">ear </w:t>
      </w:r>
      <w:r>
        <w:rPr>
          <w:sz w:val="22"/>
          <w:szCs w:val="22"/>
          <w:shd w:val="clear" w:color="auto" w:fill="FFFFFF"/>
        </w:rPr>
        <w:t>I</w:t>
      </w:r>
      <w:r w:rsidRPr="002D29C9">
        <w:rPr>
          <w:sz w:val="22"/>
          <w:szCs w:val="22"/>
          <w:shd w:val="clear" w:color="auto" w:fill="FFFFFF"/>
        </w:rPr>
        <w:t xml:space="preserve">nventory of </w:t>
      </w:r>
      <w:r>
        <w:rPr>
          <w:sz w:val="22"/>
          <w:szCs w:val="22"/>
          <w:shd w:val="clear" w:color="auto" w:fill="FFFFFF"/>
        </w:rPr>
        <w:t>V</w:t>
      </w:r>
      <w:r w:rsidRPr="002D29C9">
        <w:rPr>
          <w:sz w:val="22"/>
          <w:szCs w:val="22"/>
          <w:shd w:val="clear" w:color="auto" w:fill="FFFFFF"/>
        </w:rPr>
        <w:t>essel</w:t>
      </w:r>
      <w:r>
        <w:rPr>
          <w:sz w:val="22"/>
          <w:szCs w:val="22"/>
          <w:shd w:val="clear" w:color="auto" w:fill="FFFFFF"/>
        </w:rPr>
        <w:t>s</w:t>
      </w:r>
      <w:r w:rsidRPr="002D29C9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R</w:t>
      </w:r>
      <w:r w:rsidRPr="002D29C9">
        <w:rPr>
          <w:sz w:val="22"/>
          <w:szCs w:val="22"/>
          <w:shd w:val="clear" w:color="auto" w:fill="FFFFFF"/>
        </w:rPr>
        <w:t>eport</w:t>
      </w:r>
      <w:r>
        <w:rPr>
          <w:sz w:val="22"/>
          <w:szCs w:val="22"/>
          <w:shd w:val="clear" w:color="auto" w:fill="FFFFFF"/>
        </w:rPr>
        <w:t xml:space="preserve"> – 1</w:t>
      </w:r>
      <w:r w:rsidR="00FC3291">
        <w:rPr>
          <w:sz w:val="22"/>
          <w:szCs w:val="22"/>
          <w:shd w:val="clear" w:color="auto" w:fill="FFFFFF"/>
        </w:rPr>
        <w:t>0</w:t>
      </w:r>
      <w:r>
        <w:rPr>
          <w:sz w:val="22"/>
          <w:szCs w:val="22"/>
          <w:shd w:val="clear" w:color="auto" w:fill="FFFFFF"/>
        </w:rPr>
        <w:t xml:space="preserve"> responses annually.</w:t>
      </w:r>
    </w:p>
    <w:p w:rsidR="001E6B4C" w:rsidP="00B918AF" w14:paraId="3471B5A6" w14:textId="77777777">
      <w:pPr>
        <w:ind w:left="360"/>
        <w:rPr>
          <w:sz w:val="22"/>
          <w:szCs w:val="22"/>
          <w:shd w:val="clear" w:color="auto" w:fill="FFFFFF"/>
        </w:rPr>
      </w:pPr>
    </w:p>
    <w:p w:rsidR="008D65EC" w:rsidRPr="00280C30" w:rsidP="008D65EC" w14:paraId="095274EE" w14:textId="5330F4CA">
      <w:pPr>
        <w:ind w:left="360"/>
        <w:rPr>
          <w:sz w:val="22"/>
          <w:szCs w:val="22"/>
          <w:shd w:val="clear" w:color="auto" w:fill="FFFFFF"/>
        </w:rPr>
      </w:pPr>
      <w:r w:rsidRPr="00280C30">
        <w:rPr>
          <w:sz w:val="22"/>
          <w:szCs w:val="22"/>
          <w:shd w:val="clear" w:color="auto" w:fill="FFFFFF"/>
        </w:rPr>
        <w:t xml:space="preserve">Total Number of Responses Annually:  </w:t>
      </w:r>
      <w:r w:rsidR="008A2BE8">
        <w:rPr>
          <w:sz w:val="22"/>
          <w:szCs w:val="22"/>
          <w:shd w:val="clear" w:color="auto" w:fill="FFFFFF"/>
        </w:rPr>
        <w:t>22</w:t>
      </w:r>
      <w:r w:rsidRPr="00280C30" w:rsidR="002D29C9">
        <w:rPr>
          <w:sz w:val="22"/>
          <w:szCs w:val="22"/>
          <w:shd w:val="clear" w:color="auto" w:fill="FFFFFF"/>
        </w:rPr>
        <w:t xml:space="preserve"> </w:t>
      </w:r>
      <w:r w:rsidRPr="00280C30">
        <w:rPr>
          <w:sz w:val="22"/>
          <w:szCs w:val="22"/>
          <w:shd w:val="clear" w:color="auto" w:fill="FFFFFF"/>
        </w:rPr>
        <w:t>responses</w:t>
      </w:r>
    </w:p>
    <w:p w:rsidR="008D65EC" w:rsidRPr="0019473E" w:rsidP="00B918AF" w14:paraId="3B5C76D9" w14:textId="77777777">
      <w:pPr>
        <w:ind w:left="360"/>
        <w:rPr>
          <w:sz w:val="22"/>
          <w:szCs w:val="22"/>
          <w:shd w:val="clear" w:color="auto" w:fill="FFFFFF"/>
        </w:rPr>
      </w:pPr>
    </w:p>
    <w:p w:rsidR="007638E2" w:rsidRPr="00280C30" w:rsidP="00B918AF" w14:paraId="654838FF" w14:textId="0D5E35A2">
      <w:pPr>
        <w:ind w:left="360"/>
        <w:rPr>
          <w:b/>
          <w:sz w:val="22"/>
          <w:szCs w:val="22"/>
          <w:u w:val="single"/>
          <w:shd w:val="clear" w:color="auto" w:fill="FFFFFF"/>
        </w:rPr>
      </w:pPr>
      <w:r>
        <w:rPr>
          <w:b/>
          <w:sz w:val="22"/>
          <w:szCs w:val="22"/>
          <w:u w:val="single"/>
          <w:shd w:val="clear" w:color="auto" w:fill="FFFFFF"/>
        </w:rPr>
        <w:t xml:space="preserve">Total </w:t>
      </w:r>
      <w:r w:rsidRPr="008D65EC" w:rsidR="008D65EC">
        <w:rPr>
          <w:b/>
          <w:sz w:val="22"/>
          <w:szCs w:val="22"/>
          <w:u w:val="single"/>
          <w:shd w:val="clear" w:color="auto" w:fill="FFFFFF"/>
        </w:rPr>
        <w:t>Annual Burden Hours</w:t>
      </w:r>
      <w:r w:rsidR="008D65EC">
        <w:rPr>
          <w:b/>
          <w:sz w:val="22"/>
          <w:szCs w:val="22"/>
          <w:u w:val="single"/>
          <w:shd w:val="clear" w:color="auto" w:fill="FFFFFF"/>
        </w:rPr>
        <w:t>:</w:t>
      </w:r>
      <w:r w:rsidRPr="00280C30">
        <w:rPr>
          <w:sz w:val="22"/>
          <w:szCs w:val="22"/>
          <w:shd w:val="clear" w:color="auto" w:fill="FFFFFF"/>
        </w:rPr>
        <w:t xml:space="preserve"> </w:t>
      </w:r>
      <w:r w:rsidRPr="001012F6" w:rsidR="00BF3791">
        <w:rPr>
          <w:b/>
          <w:bCs/>
          <w:sz w:val="22"/>
          <w:szCs w:val="22"/>
          <w:shd w:val="clear" w:color="auto" w:fill="FFFFFF"/>
        </w:rPr>
        <w:t>24</w:t>
      </w:r>
      <w:r w:rsidR="001012F6">
        <w:rPr>
          <w:b/>
          <w:bCs/>
          <w:sz w:val="22"/>
          <w:szCs w:val="22"/>
          <w:shd w:val="clear" w:color="auto" w:fill="FFFFFF"/>
        </w:rPr>
        <w:t xml:space="preserve"> </w:t>
      </w:r>
      <w:r w:rsidRPr="00280C30">
        <w:rPr>
          <w:b/>
          <w:sz w:val="22"/>
          <w:szCs w:val="22"/>
          <w:shd w:val="clear" w:color="auto" w:fill="FFFFFF"/>
        </w:rPr>
        <w:t>hours</w:t>
      </w:r>
    </w:p>
    <w:p w:rsidR="008D65EC" w:rsidP="00B918AF" w14:paraId="1EBF8A7F" w14:textId="77777777">
      <w:pPr>
        <w:ind w:left="360"/>
        <w:rPr>
          <w:b/>
          <w:sz w:val="22"/>
          <w:szCs w:val="22"/>
          <w:shd w:val="clear" w:color="auto" w:fill="FFFFFF"/>
        </w:rPr>
      </w:pPr>
    </w:p>
    <w:p w:rsidR="007638E2" w:rsidRPr="007D2BC5" w:rsidP="00B918AF" w14:paraId="3530E747" w14:textId="77777777">
      <w:pPr>
        <w:ind w:left="360"/>
        <w:rPr>
          <w:sz w:val="22"/>
          <w:szCs w:val="22"/>
          <w:shd w:val="clear" w:color="auto" w:fill="FFFFFF"/>
        </w:rPr>
      </w:pPr>
      <w:r w:rsidRPr="007D2BC5">
        <w:rPr>
          <w:sz w:val="22"/>
          <w:szCs w:val="22"/>
          <w:shd w:val="clear" w:color="auto" w:fill="FFFFFF"/>
        </w:rPr>
        <w:t>The Commission estimates the average burden on each Form 44, Application for Certification is 3 hours, thus:</w:t>
      </w:r>
    </w:p>
    <w:p w:rsidR="007638E2" w:rsidRPr="007D2BC5" w:rsidP="007638E2" w14:paraId="30257106" w14:textId="78C48A49">
      <w:pPr>
        <w:ind w:left="360" w:firstLine="360"/>
        <w:rPr>
          <w:sz w:val="22"/>
          <w:szCs w:val="22"/>
          <w:shd w:val="clear" w:color="auto" w:fill="FFFFFF"/>
        </w:rPr>
      </w:pPr>
      <w:r w:rsidRPr="007D2BC5">
        <w:rPr>
          <w:sz w:val="22"/>
          <w:szCs w:val="22"/>
          <w:shd w:val="clear" w:color="auto" w:fill="FFFFFF"/>
        </w:rPr>
        <w:t xml:space="preserve"> </w:t>
      </w:r>
      <w:r w:rsidR="00B510FE">
        <w:rPr>
          <w:sz w:val="22"/>
          <w:szCs w:val="22"/>
          <w:shd w:val="clear" w:color="auto" w:fill="FFFFFF"/>
        </w:rPr>
        <w:t>1 response</w:t>
      </w:r>
      <w:r w:rsidRPr="007D2BC5">
        <w:rPr>
          <w:sz w:val="22"/>
          <w:szCs w:val="22"/>
          <w:shd w:val="clear" w:color="auto" w:fill="FFFFFF"/>
        </w:rPr>
        <w:t xml:space="preserve"> x </w:t>
      </w:r>
      <w:r w:rsidR="00B510FE">
        <w:rPr>
          <w:sz w:val="22"/>
          <w:szCs w:val="22"/>
          <w:shd w:val="clear" w:color="auto" w:fill="FFFFFF"/>
        </w:rPr>
        <w:t>3</w:t>
      </w:r>
      <w:r w:rsidRPr="007D2BC5" w:rsidR="00B510FE">
        <w:rPr>
          <w:sz w:val="22"/>
          <w:szCs w:val="22"/>
          <w:shd w:val="clear" w:color="auto" w:fill="FFFFFF"/>
        </w:rPr>
        <w:t xml:space="preserve"> </w:t>
      </w:r>
      <w:r w:rsidRPr="007D2BC5">
        <w:rPr>
          <w:sz w:val="22"/>
          <w:szCs w:val="22"/>
          <w:shd w:val="clear" w:color="auto" w:fill="FFFFFF"/>
        </w:rPr>
        <w:t xml:space="preserve">hours/application = </w:t>
      </w:r>
      <w:r w:rsidR="00B510FE">
        <w:rPr>
          <w:sz w:val="22"/>
          <w:szCs w:val="22"/>
          <w:shd w:val="clear" w:color="auto" w:fill="FFFFFF"/>
        </w:rPr>
        <w:t>3</w:t>
      </w:r>
      <w:r w:rsidRPr="007D2BC5" w:rsidR="00B510FE">
        <w:rPr>
          <w:sz w:val="22"/>
          <w:szCs w:val="22"/>
          <w:shd w:val="clear" w:color="auto" w:fill="FFFFFF"/>
        </w:rPr>
        <w:t xml:space="preserve"> </w:t>
      </w:r>
      <w:r w:rsidRPr="007D2BC5">
        <w:rPr>
          <w:sz w:val="22"/>
          <w:szCs w:val="22"/>
          <w:shd w:val="clear" w:color="auto" w:fill="FFFFFF"/>
        </w:rPr>
        <w:t>hours</w:t>
      </w:r>
    </w:p>
    <w:p w:rsidR="007638E2" w:rsidRPr="007D2BC5" w:rsidP="00B918AF" w14:paraId="276DD20A" w14:textId="77777777">
      <w:pPr>
        <w:ind w:left="360"/>
        <w:rPr>
          <w:sz w:val="22"/>
          <w:szCs w:val="22"/>
          <w:shd w:val="clear" w:color="auto" w:fill="FFFFFF"/>
        </w:rPr>
      </w:pPr>
    </w:p>
    <w:p w:rsidR="00D00F65" w:rsidRPr="007D2BC5" w:rsidP="00D00F65" w14:paraId="3B1FA1D3" w14:textId="77777777">
      <w:pPr>
        <w:ind w:left="360"/>
        <w:rPr>
          <w:sz w:val="22"/>
          <w:szCs w:val="22"/>
          <w:shd w:val="clear" w:color="auto" w:fill="FFFFFF"/>
        </w:rPr>
      </w:pPr>
      <w:r w:rsidRPr="007D2BC5">
        <w:rPr>
          <w:sz w:val="22"/>
          <w:szCs w:val="22"/>
          <w:shd w:val="clear" w:color="auto" w:fill="FFFFFF"/>
        </w:rPr>
        <w:t xml:space="preserve">The Commission estimates the average burden on each Form 45, Annual Statistical Report of Settlement Operations, </w:t>
      </w:r>
      <w:r w:rsidRPr="007D2BC5" w:rsidR="007D2BC5">
        <w:rPr>
          <w:sz w:val="22"/>
          <w:szCs w:val="22"/>
          <w:shd w:val="clear" w:color="auto" w:fill="FFFFFF"/>
        </w:rPr>
        <w:t xml:space="preserve">is </w:t>
      </w:r>
      <w:r w:rsidRPr="007D2BC5">
        <w:rPr>
          <w:sz w:val="22"/>
          <w:szCs w:val="22"/>
          <w:shd w:val="clear" w:color="auto" w:fill="FFFFFF"/>
        </w:rPr>
        <w:t>1 hour, thus</w:t>
      </w:r>
    </w:p>
    <w:p w:rsidR="007638E2" w:rsidRPr="007D2BC5" w:rsidP="00D00F65" w14:paraId="478FED79" w14:textId="4DC6146E">
      <w:pPr>
        <w:ind w:left="36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</w:t>
      </w:r>
      <w:r w:rsidR="00CA4BAA">
        <w:rPr>
          <w:sz w:val="22"/>
          <w:szCs w:val="22"/>
          <w:shd w:val="clear" w:color="auto" w:fill="FFFFFF"/>
        </w:rPr>
        <w:t>0</w:t>
      </w:r>
      <w:r w:rsidRPr="007D2BC5">
        <w:rPr>
          <w:sz w:val="22"/>
          <w:szCs w:val="22"/>
          <w:shd w:val="clear" w:color="auto" w:fill="FFFFFF"/>
        </w:rPr>
        <w:t xml:space="preserve"> </w:t>
      </w:r>
      <w:r w:rsidRPr="007D2BC5" w:rsidR="00D00F65">
        <w:rPr>
          <w:sz w:val="22"/>
          <w:szCs w:val="22"/>
          <w:shd w:val="clear" w:color="auto" w:fill="FFFFFF"/>
        </w:rPr>
        <w:t>accounting authorities x 1</w:t>
      </w:r>
      <w:r>
        <w:rPr>
          <w:sz w:val="22"/>
          <w:szCs w:val="22"/>
          <w:shd w:val="clear" w:color="auto" w:fill="FFFFFF"/>
        </w:rPr>
        <w:t xml:space="preserve"> </w:t>
      </w:r>
      <w:r w:rsidRPr="007D2BC5" w:rsidR="00D00F65">
        <w:rPr>
          <w:sz w:val="22"/>
          <w:szCs w:val="22"/>
          <w:shd w:val="clear" w:color="auto" w:fill="FFFFFF"/>
        </w:rPr>
        <w:t>hour/</w:t>
      </w:r>
      <w:r w:rsidRPr="007D2BC5">
        <w:rPr>
          <w:sz w:val="22"/>
          <w:szCs w:val="22"/>
          <w:shd w:val="clear" w:color="auto" w:fill="FFFFFF"/>
        </w:rPr>
        <w:t>Form 45</w:t>
      </w:r>
      <w:r w:rsidRPr="007D2BC5" w:rsidR="00D00F65">
        <w:rPr>
          <w:sz w:val="22"/>
          <w:szCs w:val="22"/>
          <w:shd w:val="clear" w:color="auto" w:fill="FFFFFF"/>
        </w:rPr>
        <w:t xml:space="preserve"> = </w:t>
      </w:r>
      <w:r>
        <w:rPr>
          <w:sz w:val="22"/>
          <w:szCs w:val="22"/>
          <w:shd w:val="clear" w:color="auto" w:fill="FFFFFF"/>
        </w:rPr>
        <w:t>1</w:t>
      </w:r>
      <w:r w:rsidR="00CA4BAA">
        <w:rPr>
          <w:sz w:val="22"/>
          <w:szCs w:val="22"/>
          <w:shd w:val="clear" w:color="auto" w:fill="FFFFFF"/>
        </w:rPr>
        <w:t>0</w:t>
      </w:r>
      <w:r w:rsidRPr="007D2BC5">
        <w:rPr>
          <w:sz w:val="22"/>
          <w:szCs w:val="22"/>
          <w:shd w:val="clear" w:color="auto" w:fill="FFFFFF"/>
        </w:rPr>
        <w:t xml:space="preserve"> </w:t>
      </w:r>
      <w:r w:rsidRPr="007D2BC5" w:rsidR="00D00F65">
        <w:rPr>
          <w:sz w:val="22"/>
          <w:szCs w:val="22"/>
          <w:shd w:val="clear" w:color="auto" w:fill="FFFFFF"/>
        </w:rPr>
        <w:t>hours</w:t>
      </w:r>
    </w:p>
    <w:p w:rsidR="00D00F65" w:rsidRPr="007D2BC5" w:rsidP="00D00F65" w14:paraId="77962248" w14:textId="77777777">
      <w:pPr>
        <w:rPr>
          <w:sz w:val="22"/>
          <w:szCs w:val="22"/>
          <w:shd w:val="clear" w:color="auto" w:fill="FFFFFF"/>
        </w:rPr>
      </w:pPr>
    </w:p>
    <w:p w:rsidR="00D00F65" w:rsidRPr="007D2BC5" w:rsidP="00D00F65" w14:paraId="55AE1080" w14:textId="77777777">
      <w:pPr>
        <w:ind w:left="360"/>
        <w:rPr>
          <w:sz w:val="22"/>
          <w:szCs w:val="22"/>
          <w:shd w:val="clear" w:color="auto" w:fill="FFFFFF"/>
        </w:rPr>
      </w:pPr>
      <w:r w:rsidRPr="007D2BC5">
        <w:rPr>
          <w:sz w:val="22"/>
          <w:szCs w:val="22"/>
          <w:shd w:val="clear" w:color="auto" w:fill="FFFFFF"/>
        </w:rPr>
        <w:t xml:space="preserve">The Commission estimates the average burden on preparing </w:t>
      </w:r>
      <w:r w:rsidR="00335D31">
        <w:rPr>
          <w:sz w:val="22"/>
          <w:szCs w:val="22"/>
          <w:shd w:val="clear" w:color="auto" w:fill="FFFFFF"/>
        </w:rPr>
        <w:t>each</w:t>
      </w:r>
      <w:r w:rsidRPr="007D2BC5">
        <w:rPr>
          <w:sz w:val="22"/>
          <w:szCs w:val="22"/>
          <w:shd w:val="clear" w:color="auto" w:fill="FFFFFF"/>
        </w:rPr>
        <w:t xml:space="preserve"> inventory report of vessels (initial, semi-annual, </w:t>
      </w:r>
      <w:r w:rsidR="00335D31">
        <w:rPr>
          <w:sz w:val="22"/>
          <w:szCs w:val="22"/>
          <w:shd w:val="clear" w:color="auto" w:fill="FFFFFF"/>
        </w:rPr>
        <w:t>or</w:t>
      </w:r>
      <w:r w:rsidRPr="007D2BC5" w:rsidR="00335D31">
        <w:rPr>
          <w:sz w:val="22"/>
          <w:szCs w:val="22"/>
          <w:shd w:val="clear" w:color="auto" w:fill="FFFFFF"/>
        </w:rPr>
        <w:t xml:space="preserve"> </w:t>
      </w:r>
      <w:r w:rsidRPr="007D2BC5">
        <w:rPr>
          <w:sz w:val="22"/>
          <w:szCs w:val="22"/>
          <w:shd w:val="clear" w:color="auto" w:fill="FFFFFF"/>
        </w:rPr>
        <w:t xml:space="preserve">year-end) </w:t>
      </w:r>
      <w:r w:rsidRPr="007D2BC5" w:rsidR="007D2BC5">
        <w:rPr>
          <w:sz w:val="22"/>
          <w:szCs w:val="22"/>
          <w:shd w:val="clear" w:color="auto" w:fill="FFFFFF"/>
        </w:rPr>
        <w:t xml:space="preserve">is </w:t>
      </w:r>
      <w:r w:rsidRPr="007D2BC5">
        <w:rPr>
          <w:sz w:val="22"/>
          <w:szCs w:val="22"/>
          <w:shd w:val="clear" w:color="auto" w:fill="FFFFFF"/>
        </w:rPr>
        <w:t>1 hour each, thus:</w:t>
      </w:r>
    </w:p>
    <w:p w:rsidR="00335D31" w:rsidP="00335D31" w14:paraId="11BBF185" w14:textId="05C7C247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  <w:t xml:space="preserve">0 </w:t>
      </w:r>
      <w:r w:rsidRPr="00335D31">
        <w:rPr>
          <w:sz w:val="22"/>
          <w:szCs w:val="22"/>
          <w:shd w:val="clear" w:color="auto" w:fill="FFFFFF"/>
        </w:rPr>
        <w:t xml:space="preserve">Initial </w:t>
      </w:r>
      <w:r w:rsidRPr="00335D31">
        <w:rPr>
          <w:sz w:val="22"/>
          <w:szCs w:val="22"/>
          <w:shd w:val="clear" w:color="auto" w:fill="FFFFFF"/>
        </w:rPr>
        <w:t>Inventory of Vessels Report</w:t>
      </w:r>
      <w:r>
        <w:rPr>
          <w:sz w:val="22"/>
          <w:szCs w:val="22"/>
          <w:shd w:val="clear" w:color="auto" w:fill="FFFFFF"/>
        </w:rPr>
        <w:t>s x 1 hour/report = 0 hours</w:t>
      </w:r>
    </w:p>
    <w:p w:rsidR="00335D31" w:rsidP="00335D31" w14:paraId="722D27D2" w14:textId="77777777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  <w:t xml:space="preserve">1 </w:t>
      </w:r>
      <w:r w:rsidRPr="00335D31">
        <w:rPr>
          <w:sz w:val="22"/>
          <w:szCs w:val="22"/>
          <w:shd w:val="clear" w:color="auto" w:fill="FFFFFF"/>
        </w:rPr>
        <w:t>Semi-Annual Inventory of Vessels Report</w:t>
      </w:r>
      <w:r>
        <w:rPr>
          <w:sz w:val="22"/>
          <w:szCs w:val="22"/>
          <w:shd w:val="clear" w:color="auto" w:fill="FFFFFF"/>
        </w:rPr>
        <w:t xml:space="preserve"> x 1 hour/report = 1 hour</w:t>
      </w:r>
    </w:p>
    <w:p w:rsidR="00335D31" w:rsidP="00335D31" w14:paraId="495D9F72" w14:textId="1A32020B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  <w:t>1</w:t>
      </w:r>
      <w:r w:rsidR="001E22A6">
        <w:rPr>
          <w:sz w:val="22"/>
          <w:szCs w:val="22"/>
          <w:shd w:val="clear" w:color="auto" w:fill="FFFFFF"/>
        </w:rPr>
        <w:t>0</w:t>
      </w:r>
      <w:r>
        <w:rPr>
          <w:sz w:val="22"/>
          <w:szCs w:val="22"/>
          <w:shd w:val="clear" w:color="auto" w:fill="FFFFFF"/>
        </w:rPr>
        <w:t xml:space="preserve"> </w:t>
      </w:r>
      <w:r w:rsidRPr="00335D31">
        <w:rPr>
          <w:sz w:val="22"/>
          <w:szCs w:val="22"/>
          <w:shd w:val="clear" w:color="auto" w:fill="FFFFFF"/>
        </w:rPr>
        <w:t>End of Year Inventory of Vessels Report</w:t>
      </w:r>
      <w:r>
        <w:rPr>
          <w:sz w:val="22"/>
          <w:szCs w:val="22"/>
          <w:shd w:val="clear" w:color="auto" w:fill="FFFFFF"/>
        </w:rPr>
        <w:t>s x 1 hour/report = 1</w:t>
      </w:r>
      <w:r w:rsidR="001E22A6">
        <w:rPr>
          <w:sz w:val="22"/>
          <w:szCs w:val="22"/>
          <w:shd w:val="clear" w:color="auto" w:fill="FFFFFF"/>
        </w:rPr>
        <w:t>0</w:t>
      </w:r>
      <w:r>
        <w:rPr>
          <w:sz w:val="22"/>
          <w:szCs w:val="22"/>
          <w:shd w:val="clear" w:color="auto" w:fill="FFFFFF"/>
        </w:rPr>
        <w:t xml:space="preserve"> hours</w:t>
      </w:r>
    </w:p>
    <w:p w:rsidR="008D65EC" w:rsidRPr="007D2BC5" w:rsidP="00D00F65" w14:paraId="27BAB181" w14:textId="77777777">
      <w:pPr>
        <w:ind w:left="360"/>
        <w:rPr>
          <w:sz w:val="22"/>
          <w:szCs w:val="22"/>
          <w:shd w:val="clear" w:color="auto" w:fill="FFFFFF"/>
        </w:rPr>
      </w:pPr>
    </w:p>
    <w:p w:rsidR="008D65EC" w:rsidRPr="00972887" w:rsidP="008D65EC" w14:paraId="40387A94" w14:textId="52196D84">
      <w:pPr>
        <w:ind w:left="360"/>
        <w:rPr>
          <w:b/>
          <w:sz w:val="22"/>
          <w:szCs w:val="22"/>
          <w:shd w:val="clear" w:color="auto" w:fill="FFFFFF"/>
        </w:rPr>
      </w:pPr>
      <w:r w:rsidRPr="007D2BC5">
        <w:rPr>
          <w:sz w:val="22"/>
          <w:szCs w:val="22"/>
          <w:shd w:val="clear" w:color="auto" w:fill="FFFFFF"/>
        </w:rPr>
        <w:t xml:space="preserve"> </w:t>
      </w:r>
      <w:r w:rsidRPr="00972887">
        <w:rPr>
          <w:b/>
          <w:sz w:val="22"/>
          <w:szCs w:val="22"/>
          <w:shd w:val="clear" w:color="auto" w:fill="FFFFFF"/>
        </w:rPr>
        <w:t xml:space="preserve">Total Annual Burden Hours:  </w:t>
      </w:r>
      <w:r w:rsidRPr="00972887" w:rsidR="00335D31">
        <w:rPr>
          <w:b/>
          <w:sz w:val="22"/>
          <w:szCs w:val="22"/>
          <w:shd w:val="clear" w:color="auto" w:fill="FFFFFF"/>
        </w:rPr>
        <w:t xml:space="preserve">3 </w:t>
      </w:r>
      <w:r w:rsidRPr="00972887">
        <w:rPr>
          <w:b/>
          <w:sz w:val="22"/>
          <w:szCs w:val="22"/>
          <w:shd w:val="clear" w:color="auto" w:fill="FFFFFF"/>
        </w:rPr>
        <w:t>+</w:t>
      </w:r>
      <w:r w:rsidRPr="00972887" w:rsidR="00335D31">
        <w:rPr>
          <w:b/>
          <w:sz w:val="22"/>
          <w:szCs w:val="22"/>
          <w:shd w:val="clear" w:color="auto" w:fill="FFFFFF"/>
        </w:rPr>
        <w:t>1</w:t>
      </w:r>
      <w:r w:rsidR="00554769">
        <w:rPr>
          <w:b/>
          <w:sz w:val="22"/>
          <w:szCs w:val="22"/>
          <w:shd w:val="clear" w:color="auto" w:fill="FFFFFF"/>
        </w:rPr>
        <w:t>0</w:t>
      </w:r>
      <w:r w:rsidRPr="00972887">
        <w:rPr>
          <w:b/>
          <w:sz w:val="22"/>
          <w:szCs w:val="22"/>
          <w:shd w:val="clear" w:color="auto" w:fill="FFFFFF"/>
        </w:rPr>
        <w:t>+</w:t>
      </w:r>
      <w:r w:rsidRPr="00972887" w:rsidR="00335D31">
        <w:rPr>
          <w:b/>
          <w:sz w:val="22"/>
          <w:szCs w:val="22"/>
          <w:shd w:val="clear" w:color="auto" w:fill="FFFFFF"/>
        </w:rPr>
        <w:t>0</w:t>
      </w:r>
      <w:r w:rsidRPr="00972887">
        <w:rPr>
          <w:b/>
          <w:sz w:val="22"/>
          <w:szCs w:val="22"/>
          <w:shd w:val="clear" w:color="auto" w:fill="FFFFFF"/>
        </w:rPr>
        <w:t>+</w:t>
      </w:r>
      <w:r w:rsidRPr="00972887" w:rsidR="00335D31">
        <w:rPr>
          <w:b/>
          <w:sz w:val="22"/>
          <w:szCs w:val="22"/>
          <w:shd w:val="clear" w:color="auto" w:fill="FFFFFF"/>
        </w:rPr>
        <w:t>1</w:t>
      </w:r>
      <w:r w:rsidRPr="00972887">
        <w:rPr>
          <w:b/>
          <w:sz w:val="22"/>
          <w:szCs w:val="22"/>
          <w:shd w:val="clear" w:color="auto" w:fill="FFFFFF"/>
        </w:rPr>
        <w:t>+</w:t>
      </w:r>
      <w:r w:rsidRPr="00972887" w:rsidR="00335D31">
        <w:rPr>
          <w:b/>
          <w:sz w:val="22"/>
          <w:szCs w:val="22"/>
          <w:shd w:val="clear" w:color="auto" w:fill="FFFFFF"/>
        </w:rPr>
        <w:t>1</w:t>
      </w:r>
      <w:r w:rsidR="00554769">
        <w:rPr>
          <w:b/>
          <w:sz w:val="22"/>
          <w:szCs w:val="22"/>
          <w:shd w:val="clear" w:color="auto" w:fill="FFFFFF"/>
        </w:rPr>
        <w:t>0</w:t>
      </w:r>
      <w:r w:rsidRPr="00972887" w:rsidR="00335D31">
        <w:rPr>
          <w:b/>
          <w:sz w:val="22"/>
          <w:szCs w:val="22"/>
          <w:shd w:val="clear" w:color="auto" w:fill="FFFFFF"/>
        </w:rPr>
        <w:t xml:space="preserve"> </w:t>
      </w:r>
      <w:r w:rsidRPr="00972887">
        <w:rPr>
          <w:b/>
          <w:sz w:val="22"/>
          <w:szCs w:val="22"/>
          <w:shd w:val="clear" w:color="auto" w:fill="FFFFFF"/>
        </w:rPr>
        <w:t xml:space="preserve">= </w:t>
      </w:r>
      <w:r w:rsidR="00554769">
        <w:rPr>
          <w:b/>
          <w:sz w:val="22"/>
          <w:szCs w:val="22"/>
          <w:shd w:val="clear" w:color="auto" w:fill="FFFFFF"/>
        </w:rPr>
        <w:t>24</w:t>
      </w:r>
      <w:r w:rsidRPr="00972887" w:rsidR="00335D31">
        <w:rPr>
          <w:b/>
          <w:sz w:val="22"/>
          <w:szCs w:val="22"/>
          <w:shd w:val="clear" w:color="auto" w:fill="FFFFFF"/>
        </w:rPr>
        <w:t xml:space="preserve"> </w:t>
      </w:r>
      <w:r w:rsidRPr="00972887">
        <w:rPr>
          <w:b/>
          <w:sz w:val="22"/>
          <w:szCs w:val="22"/>
          <w:shd w:val="clear" w:color="auto" w:fill="FFFFFF"/>
        </w:rPr>
        <w:t>hours</w:t>
      </w:r>
    </w:p>
    <w:p w:rsidR="00D00F65" w:rsidRPr="007D2BC5" w:rsidP="00D00F65" w14:paraId="51C35C00" w14:textId="77777777">
      <w:pPr>
        <w:ind w:left="360"/>
        <w:rPr>
          <w:sz w:val="22"/>
          <w:szCs w:val="22"/>
          <w:shd w:val="clear" w:color="auto" w:fill="FFFFFF"/>
        </w:rPr>
      </w:pPr>
    </w:p>
    <w:p w:rsidR="007D2BC5" w:rsidP="00B918AF" w14:paraId="4EAD5CD7" w14:textId="77777777">
      <w:pPr>
        <w:ind w:left="360"/>
        <w:rPr>
          <w:b/>
          <w:sz w:val="22"/>
          <w:szCs w:val="22"/>
          <w:shd w:val="clear" w:color="auto" w:fill="FFFFFF"/>
        </w:rPr>
      </w:pPr>
    </w:p>
    <w:p w:rsidR="00AE0715" w:rsidP="006368F7" w14:paraId="6BCF9312" w14:textId="27896250">
      <w:pPr>
        <w:ind w:left="360"/>
        <w:rPr>
          <w:sz w:val="22"/>
          <w:szCs w:val="22"/>
          <w:shd w:val="clear" w:color="auto" w:fill="FFFFFF"/>
        </w:rPr>
      </w:pPr>
      <w:r w:rsidRPr="008D65EC">
        <w:rPr>
          <w:b/>
          <w:sz w:val="22"/>
          <w:szCs w:val="22"/>
          <w:u w:val="single"/>
          <w:shd w:val="clear" w:color="auto" w:fill="FFFFFF"/>
        </w:rPr>
        <w:t>Total “In</w:t>
      </w:r>
      <w:r w:rsidR="00D40758">
        <w:rPr>
          <w:b/>
          <w:sz w:val="22"/>
          <w:szCs w:val="22"/>
          <w:u w:val="single"/>
          <w:shd w:val="clear" w:color="auto" w:fill="FFFFFF"/>
        </w:rPr>
        <w:t>-</w:t>
      </w:r>
      <w:r w:rsidRPr="008D65EC">
        <w:rPr>
          <w:b/>
          <w:sz w:val="22"/>
          <w:szCs w:val="22"/>
          <w:u w:val="single"/>
          <w:shd w:val="clear" w:color="auto" w:fill="FFFFFF"/>
        </w:rPr>
        <w:t>House” Staff Costs</w:t>
      </w:r>
      <w:r w:rsidRPr="00280C30">
        <w:rPr>
          <w:sz w:val="22"/>
          <w:szCs w:val="22"/>
          <w:u w:val="single"/>
          <w:shd w:val="clear" w:color="auto" w:fill="FFFFFF"/>
        </w:rPr>
        <w:t>:</w:t>
      </w:r>
      <w:r w:rsidRPr="00280C30">
        <w:rPr>
          <w:sz w:val="22"/>
          <w:szCs w:val="22"/>
          <w:shd w:val="clear" w:color="auto" w:fill="FFFFFF"/>
        </w:rPr>
        <w:t xml:space="preserve"> </w:t>
      </w:r>
      <w:r w:rsidRPr="00280C30" w:rsidR="00280C30">
        <w:rPr>
          <w:sz w:val="22"/>
          <w:szCs w:val="22"/>
          <w:shd w:val="clear" w:color="auto" w:fill="FFFFFF"/>
        </w:rPr>
        <w:t xml:space="preserve"> </w:t>
      </w:r>
      <w:r w:rsidRPr="00A27549" w:rsidR="00280C30">
        <w:rPr>
          <w:b/>
          <w:sz w:val="22"/>
          <w:szCs w:val="22"/>
          <w:shd w:val="clear" w:color="auto" w:fill="FFFFFF"/>
        </w:rPr>
        <w:t>$</w:t>
      </w:r>
      <w:r w:rsidR="00086B45">
        <w:rPr>
          <w:b/>
          <w:sz w:val="22"/>
          <w:szCs w:val="22"/>
          <w:shd w:val="clear" w:color="auto" w:fill="FFFFFF"/>
        </w:rPr>
        <w:t>1,</w:t>
      </w:r>
      <w:r w:rsidR="00EA2038">
        <w:rPr>
          <w:b/>
          <w:sz w:val="22"/>
          <w:szCs w:val="22"/>
          <w:shd w:val="clear" w:color="auto" w:fill="FFFFFF"/>
        </w:rPr>
        <w:t>897.90</w:t>
      </w:r>
    </w:p>
    <w:p w:rsidR="002809BB" w:rsidP="002809BB" w14:paraId="154A1A1E" w14:textId="77777777">
      <w:pPr>
        <w:tabs>
          <w:tab w:val="left" w:pos="360"/>
        </w:tabs>
        <w:ind w:left="720" w:hanging="720"/>
        <w:rPr>
          <w:sz w:val="22"/>
          <w:szCs w:val="22"/>
          <w:shd w:val="clear" w:color="auto" w:fill="FFFFFF"/>
        </w:rPr>
      </w:pPr>
    </w:p>
    <w:p w:rsidR="002809BB" w:rsidP="00B53B38" w14:paraId="56D8BF0C" w14:textId="28FEBC58">
      <w:pPr>
        <w:tabs>
          <w:tab w:val="left" w:pos="360"/>
        </w:tabs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Pr="0019473E">
        <w:rPr>
          <w:sz w:val="22"/>
          <w:szCs w:val="22"/>
          <w:shd w:val="clear" w:color="auto" w:fill="FFFFFF"/>
        </w:rPr>
        <w:t>The Commission estimates that respondents will perform all these activities using “in</w:t>
      </w:r>
      <w:r w:rsidR="00D40758">
        <w:rPr>
          <w:sz w:val="22"/>
          <w:szCs w:val="22"/>
          <w:shd w:val="clear" w:color="auto" w:fill="FFFFFF"/>
        </w:rPr>
        <w:t>-</w:t>
      </w:r>
      <w:r w:rsidRPr="0019473E">
        <w:rPr>
          <w:sz w:val="22"/>
          <w:szCs w:val="22"/>
          <w:shd w:val="clear" w:color="auto" w:fill="FFFFFF"/>
        </w:rPr>
        <w:t xml:space="preserve">house” accounting and audit staff, equivalent to a GS-13/Step 5 </w:t>
      </w:r>
      <w:r>
        <w:rPr>
          <w:sz w:val="22"/>
          <w:szCs w:val="22"/>
          <w:shd w:val="clear" w:color="auto" w:fill="FFFFFF"/>
        </w:rPr>
        <w:t>($</w:t>
      </w:r>
      <w:r w:rsidR="00EA2038">
        <w:rPr>
          <w:sz w:val="22"/>
          <w:szCs w:val="22"/>
          <w:shd w:val="clear" w:color="auto" w:fill="FFFFFF"/>
        </w:rPr>
        <w:t>60</w:t>
      </w:r>
      <w:r w:rsidRPr="00497866" w:rsidR="00497866">
        <w:rPr>
          <w:sz w:val="22"/>
          <w:szCs w:val="22"/>
          <w:shd w:val="clear" w:color="auto" w:fill="FFFFFF"/>
        </w:rPr>
        <w:t>.</w:t>
      </w:r>
      <w:r w:rsidR="00EA2038">
        <w:rPr>
          <w:sz w:val="22"/>
          <w:szCs w:val="22"/>
          <w:shd w:val="clear" w:color="auto" w:fill="FFFFFF"/>
        </w:rPr>
        <w:t>83</w:t>
      </w:r>
      <w:r w:rsidRPr="00286319" w:rsidR="00286319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/hour) </w:t>
      </w:r>
      <w:r w:rsidRPr="0019473E">
        <w:rPr>
          <w:sz w:val="22"/>
          <w:szCs w:val="22"/>
          <w:shd w:val="clear" w:color="auto" w:fill="FFFFFF"/>
        </w:rPr>
        <w:t>in the Federal GS Salary Schedule</w:t>
      </w:r>
      <w:r>
        <w:rPr>
          <w:sz w:val="22"/>
          <w:szCs w:val="22"/>
          <w:shd w:val="clear" w:color="auto" w:fill="FFFFFF"/>
        </w:rPr>
        <w:t xml:space="preserve"> plus 30% overhead</w:t>
      </w:r>
      <w:r w:rsidRPr="0019473E">
        <w:rPr>
          <w:sz w:val="22"/>
          <w:szCs w:val="22"/>
          <w:shd w:val="clear" w:color="auto" w:fill="FFFFFF"/>
        </w:rPr>
        <w:t>.</w:t>
      </w:r>
    </w:p>
    <w:p w:rsidR="002809BB" w:rsidRPr="0019473E" w:rsidP="002809BB" w14:paraId="54261A82" w14:textId="77777777">
      <w:pPr>
        <w:tabs>
          <w:tab w:val="left" w:pos="360"/>
        </w:tabs>
        <w:ind w:left="720" w:hanging="720"/>
        <w:rPr>
          <w:sz w:val="22"/>
          <w:szCs w:val="22"/>
          <w:shd w:val="clear" w:color="auto" w:fill="FFFFFF"/>
        </w:rPr>
      </w:pPr>
    </w:p>
    <w:p w:rsidR="00E641FE" w:rsidP="00AE0715" w14:paraId="54D3BD53" w14:textId="77D42E6F">
      <w:pPr>
        <w:ind w:left="36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</w:t>
      </w:r>
      <w:r w:rsidR="00497866">
        <w:rPr>
          <w:sz w:val="22"/>
          <w:szCs w:val="22"/>
          <w:shd w:val="clear" w:color="auto" w:fill="FFFFFF"/>
        </w:rPr>
        <w:t>24</w:t>
      </w:r>
      <w:r w:rsidRPr="0019473E" w:rsidR="007B2D6E">
        <w:rPr>
          <w:sz w:val="22"/>
          <w:szCs w:val="22"/>
          <w:shd w:val="clear" w:color="auto" w:fill="FFFFFF"/>
        </w:rPr>
        <w:t xml:space="preserve"> </w:t>
      </w:r>
      <w:r w:rsidRPr="0019473E" w:rsidR="006368F7">
        <w:rPr>
          <w:sz w:val="22"/>
          <w:szCs w:val="22"/>
          <w:shd w:val="clear" w:color="auto" w:fill="FFFFFF"/>
        </w:rPr>
        <w:t>hours x $</w:t>
      </w:r>
      <w:r w:rsidR="00EB72FB">
        <w:rPr>
          <w:sz w:val="22"/>
          <w:szCs w:val="22"/>
          <w:shd w:val="clear" w:color="auto" w:fill="FFFFFF"/>
        </w:rPr>
        <w:t>60.83</w:t>
      </w:r>
      <w:r w:rsidRPr="00286319" w:rsidR="00286319">
        <w:rPr>
          <w:sz w:val="22"/>
          <w:szCs w:val="22"/>
          <w:shd w:val="clear" w:color="auto" w:fill="FFFFFF"/>
        </w:rPr>
        <w:t xml:space="preserve"> </w:t>
      </w:r>
      <w:r w:rsidRPr="0019473E" w:rsidR="006368F7">
        <w:rPr>
          <w:sz w:val="22"/>
          <w:szCs w:val="22"/>
          <w:shd w:val="clear" w:color="auto" w:fill="FFFFFF"/>
        </w:rPr>
        <w:t xml:space="preserve">/hour = </w:t>
      </w:r>
      <w:r w:rsidR="00FD78B0">
        <w:rPr>
          <w:sz w:val="22"/>
          <w:szCs w:val="22"/>
          <w:shd w:val="clear" w:color="auto" w:fill="FFFFFF"/>
        </w:rPr>
        <w:t xml:space="preserve"> </w:t>
      </w:r>
      <w:r w:rsidRPr="00E641FE" w:rsidR="006368F7">
        <w:rPr>
          <w:sz w:val="22"/>
          <w:szCs w:val="22"/>
          <w:shd w:val="clear" w:color="auto" w:fill="FFFFFF"/>
        </w:rPr>
        <w:t>$</w:t>
      </w:r>
      <w:r w:rsidR="00086B45">
        <w:rPr>
          <w:sz w:val="22"/>
          <w:szCs w:val="22"/>
          <w:shd w:val="clear" w:color="auto" w:fill="FFFFFF"/>
        </w:rPr>
        <w:t>1,</w:t>
      </w:r>
      <w:r w:rsidR="00EB72FB">
        <w:rPr>
          <w:sz w:val="22"/>
          <w:szCs w:val="22"/>
          <w:shd w:val="clear" w:color="auto" w:fill="FFFFFF"/>
        </w:rPr>
        <w:t>459.</w:t>
      </w:r>
      <w:r w:rsidR="00D367A2">
        <w:rPr>
          <w:sz w:val="22"/>
          <w:szCs w:val="22"/>
          <w:shd w:val="clear" w:color="auto" w:fill="FFFFFF"/>
        </w:rPr>
        <w:t>9</w:t>
      </w:r>
      <w:r w:rsidR="00EB72FB">
        <w:rPr>
          <w:sz w:val="22"/>
          <w:szCs w:val="22"/>
          <w:shd w:val="clear" w:color="auto" w:fill="FFFFFF"/>
        </w:rPr>
        <w:t>2</w:t>
      </w:r>
    </w:p>
    <w:p w:rsidR="006368F7" w:rsidRPr="00E641FE" w:rsidP="006368F7" w14:paraId="5A12F9A9" w14:textId="23BAD906">
      <w:pPr>
        <w:ind w:left="360"/>
        <w:rPr>
          <w:sz w:val="22"/>
          <w:szCs w:val="22"/>
          <w:shd w:val="clear" w:color="auto" w:fill="FFFFFF"/>
        </w:rPr>
      </w:pPr>
      <w:r w:rsidRPr="00E641FE">
        <w:rPr>
          <w:sz w:val="22"/>
          <w:szCs w:val="22"/>
          <w:shd w:val="clear" w:color="auto" w:fill="FFFFFF"/>
        </w:rPr>
        <w:t xml:space="preserve">      </w:t>
      </w:r>
      <w:r w:rsidR="00AE0715">
        <w:rPr>
          <w:sz w:val="22"/>
          <w:szCs w:val="22"/>
          <w:shd w:val="clear" w:color="auto" w:fill="FFFFFF"/>
        </w:rPr>
        <w:tab/>
      </w:r>
      <w:r w:rsidRPr="00E641FE">
        <w:rPr>
          <w:sz w:val="22"/>
          <w:szCs w:val="22"/>
          <w:shd w:val="clear" w:color="auto" w:fill="FFFFFF"/>
        </w:rPr>
        <w:t xml:space="preserve">       </w:t>
      </w:r>
      <w:r>
        <w:rPr>
          <w:sz w:val="22"/>
          <w:szCs w:val="22"/>
          <w:shd w:val="clear" w:color="auto" w:fill="FFFFFF"/>
        </w:rPr>
        <w:t xml:space="preserve">  </w:t>
      </w:r>
      <w:r w:rsidR="00AE0715">
        <w:rPr>
          <w:sz w:val="22"/>
          <w:szCs w:val="22"/>
          <w:shd w:val="clear" w:color="auto" w:fill="FFFFFF"/>
        </w:rPr>
        <w:t xml:space="preserve">       </w:t>
      </w:r>
      <w:r w:rsidR="008D65EC">
        <w:rPr>
          <w:sz w:val="22"/>
          <w:szCs w:val="22"/>
          <w:shd w:val="clear" w:color="auto" w:fill="FFFFFF"/>
        </w:rPr>
        <w:t xml:space="preserve"> </w:t>
      </w:r>
      <w:r w:rsidRPr="00E641FE">
        <w:rPr>
          <w:sz w:val="22"/>
          <w:szCs w:val="22"/>
          <w:shd w:val="clear" w:color="auto" w:fill="FFFFFF"/>
        </w:rPr>
        <w:t xml:space="preserve">30% overhead = </w:t>
      </w:r>
      <w:r w:rsidRPr="00D5466E">
        <w:rPr>
          <w:sz w:val="22"/>
          <w:szCs w:val="22"/>
          <w:u w:val="single"/>
          <w:shd w:val="clear" w:color="auto" w:fill="FFFFFF"/>
        </w:rPr>
        <w:t>$</w:t>
      </w:r>
      <w:r w:rsidR="00086B45">
        <w:rPr>
          <w:sz w:val="22"/>
          <w:szCs w:val="22"/>
          <w:u w:val="single"/>
          <w:shd w:val="clear" w:color="auto" w:fill="FFFFFF"/>
        </w:rPr>
        <w:t xml:space="preserve">   </w:t>
      </w:r>
      <w:r w:rsidR="00EB72FB">
        <w:rPr>
          <w:sz w:val="22"/>
          <w:szCs w:val="22"/>
          <w:u w:val="single"/>
          <w:shd w:val="clear" w:color="auto" w:fill="FFFFFF"/>
        </w:rPr>
        <w:t>437.98</w:t>
      </w:r>
    </w:p>
    <w:p w:rsidR="00E641FE" w:rsidRPr="00BF3791" w:rsidP="006368F7" w14:paraId="2500A070" w14:textId="5F582BB1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                      </w:t>
      </w:r>
      <w:r w:rsidR="00AE0715">
        <w:rPr>
          <w:sz w:val="22"/>
          <w:szCs w:val="22"/>
          <w:shd w:val="clear" w:color="auto" w:fill="FFFFFF"/>
        </w:rPr>
        <w:t xml:space="preserve">      </w:t>
      </w:r>
      <w:r w:rsidR="008D65EC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Total:   </w:t>
      </w:r>
      <w:r w:rsidRPr="001012F6">
        <w:rPr>
          <w:sz w:val="22"/>
          <w:szCs w:val="22"/>
          <w:shd w:val="clear" w:color="auto" w:fill="FFFFFF"/>
        </w:rPr>
        <w:t>$</w:t>
      </w:r>
      <w:r w:rsidRPr="001012F6" w:rsidR="00086B45">
        <w:rPr>
          <w:sz w:val="22"/>
          <w:szCs w:val="22"/>
          <w:shd w:val="clear" w:color="auto" w:fill="FFFFFF"/>
        </w:rPr>
        <w:t>1,</w:t>
      </w:r>
      <w:r w:rsidR="00EB72FB">
        <w:rPr>
          <w:sz w:val="22"/>
          <w:szCs w:val="22"/>
          <w:shd w:val="clear" w:color="auto" w:fill="FFFFFF"/>
        </w:rPr>
        <w:t>897.90</w:t>
      </w:r>
    </w:p>
    <w:p w:rsidR="00AE0715" w:rsidP="002B4549" w14:paraId="2417AC93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BF3791" w:rsidP="00A27549" w14:paraId="559EDE9D" w14:textId="77777777">
      <w:pPr>
        <w:ind w:left="360"/>
        <w:rPr>
          <w:b/>
          <w:sz w:val="22"/>
          <w:szCs w:val="22"/>
          <w:shd w:val="clear" w:color="auto" w:fill="FFFFFF"/>
        </w:rPr>
      </w:pPr>
    </w:p>
    <w:p w:rsidR="00423328" w:rsidP="00A27549" w14:paraId="3B444C9C" w14:textId="25C36FA5">
      <w:pPr>
        <w:ind w:left="360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Total Respondents: 1</w:t>
      </w:r>
      <w:r w:rsidR="005421A7">
        <w:rPr>
          <w:b/>
          <w:sz w:val="22"/>
          <w:szCs w:val="22"/>
          <w:shd w:val="clear" w:color="auto" w:fill="FFFFFF"/>
        </w:rPr>
        <w:t>0</w:t>
      </w:r>
    </w:p>
    <w:p w:rsidR="00423328" w:rsidP="00A27549" w14:paraId="463BC1E8" w14:textId="2CF1218F">
      <w:pPr>
        <w:ind w:left="360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Total Responses: 1+1</w:t>
      </w:r>
      <w:r w:rsidR="00A81839">
        <w:rPr>
          <w:b/>
          <w:sz w:val="22"/>
          <w:szCs w:val="22"/>
          <w:shd w:val="clear" w:color="auto" w:fill="FFFFFF"/>
        </w:rPr>
        <w:t>0</w:t>
      </w:r>
      <w:r>
        <w:rPr>
          <w:b/>
          <w:sz w:val="22"/>
          <w:szCs w:val="22"/>
          <w:shd w:val="clear" w:color="auto" w:fill="FFFFFF"/>
        </w:rPr>
        <w:t>+0+1+1</w:t>
      </w:r>
      <w:r w:rsidR="00A81839">
        <w:rPr>
          <w:b/>
          <w:sz w:val="22"/>
          <w:szCs w:val="22"/>
          <w:shd w:val="clear" w:color="auto" w:fill="FFFFFF"/>
        </w:rPr>
        <w:t>0</w:t>
      </w:r>
      <w:r>
        <w:rPr>
          <w:b/>
          <w:sz w:val="22"/>
          <w:szCs w:val="22"/>
          <w:shd w:val="clear" w:color="auto" w:fill="FFFFFF"/>
        </w:rPr>
        <w:t>=</w:t>
      </w:r>
      <w:r w:rsidR="00A81839">
        <w:rPr>
          <w:b/>
          <w:sz w:val="22"/>
          <w:szCs w:val="22"/>
          <w:shd w:val="clear" w:color="auto" w:fill="FFFFFF"/>
        </w:rPr>
        <w:t>22</w:t>
      </w:r>
      <w:r>
        <w:rPr>
          <w:b/>
          <w:sz w:val="22"/>
          <w:szCs w:val="22"/>
          <w:shd w:val="clear" w:color="auto" w:fill="FFFFFF"/>
        </w:rPr>
        <w:t xml:space="preserve"> </w:t>
      </w:r>
    </w:p>
    <w:p w:rsidR="00423328" w:rsidRPr="00A27549" w:rsidP="00A27549" w14:paraId="7D8AB4D3" w14:textId="1AA2DB83">
      <w:pPr>
        <w:ind w:left="360"/>
        <w:rPr>
          <w:b/>
          <w:sz w:val="22"/>
          <w:szCs w:val="22"/>
          <w:shd w:val="clear" w:color="auto" w:fill="FFFFFF"/>
        </w:rPr>
      </w:pPr>
      <w:r w:rsidRPr="00972887">
        <w:rPr>
          <w:b/>
          <w:sz w:val="22"/>
          <w:szCs w:val="22"/>
          <w:shd w:val="clear" w:color="auto" w:fill="FFFFFF"/>
        </w:rPr>
        <w:t xml:space="preserve">Total Annual Burden Hours:  </w:t>
      </w:r>
      <w:r w:rsidRPr="00972887" w:rsidR="00A81839">
        <w:rPr>
          <w:b/>
          <w:sz w:val="22"/>
          <w:szCs w:val="22"/>
          <w:shd w:val="clear" w:color="auto" w:fill="FFFFFF"/>
        </w:rPr>
        <w:t>3 +1</w:t>
      </w:r>
      <w:r w:rsidR="00A81839">
        <w:rPr>
          <w:b/>
          <w:sz w:val="22"/>
          <w:szCs w:val="22"/>
          <w:shd w:val="clear" w:color="auto" w:fill="FFFFFF"/>
        </w:rPr>
        <w:t>0</w:t>
      </w:r>
      <w:r w:rsidRPr="00972887" w:rsidR="00A81839">
        <w:rPr>
          <w:b/>
          <w:sz w:val="22"/>
          <w:szCs w:val="22"/>
          <w:shd w:val="clear" w:color="auto" w:fill="FFFFFF"/>
        </w:rPr>
        <w:t>+0+1+1</w:t>
      </w:r>
      <w:r w:rsidR="00A81839">
        <w:rPr>
          <w:b/>
          <w:sz w:val="22"/>
          <w:szCs w:val="22"/>
          <w:shd w:val="clear" w:color="auto" w:fill="FFFFFF"/>
        </w:rPr>
        <w:t>0</w:t>
      </w:r>
      <w:r w:rsidRPr="00972887" w:rsidR="00A81839">
        <w:rPr>
          <w:b/>
          <w:sz w:val="22"/>
          <w:szCs w:val="22"/>
          <w:shd w:val="clear" w:color="auto" w:fill="FFFFFF"/>
        </w:rPr>
        <w:t xml:space="preserve"> = </w:t>
      </w:r>
      <w:r w:rsidR="00A81839">
        <w:rPr>
          <w:b/>
          <w:sz w:val="22"/>
          <w:szCs w:val="22"/>
          <w:shd w:val="clear" w:color="auto" w:fill="FFFFFF"/>
        </w:rPr>
        <w:t>24</w:t>
      </w:r>
      <w:r w:rsidRPr="00972887">
        <w:rPr>
          <w:b/>
          <w:sz w:val="22"/>
          <w:szCs w:val="22"/>
          <w:shd w:val="clear" w:color="auto" w:fill="FFFFFF"/>
        </w:rPr>
        <w:t xml:space="preserve"> hours</w:t>
      </w:r>
    </w:p>
    <w:p w:rsidR="002809BB" w:rsidRPr="00A27549" w:rsidP="002B4549" w14:paraId="4D47F0CC" w14:textId="62F209BA">
      <w:pPr>
        <w:ind w:left="360" w:hanging="360"/>
        <w:rPr>
          <w:b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 w:rsidRPr="00A27549">
        <w:rPr>
          <w:b/>
          <w:sz w:val="22"/>
          <w:szCs w:val="22"/>
          <w:shd w:val="clear" w:color="auto" w:fill="FFFFFF"/>
        </w:rPr>
        <w:t>Total “In</w:t>
      </w:r>
      <w:r w:rsidR="00423328">
        <w:rPr>
          <w:b/>
          <w:sz w:val="22"/>
          <w:szCs w:val="22"/>
          <w:shd w:val="clear" w:color="auto" w:fill="FFFFFF"/>
        </w:rPr>
        <w:t>-</w:t>
      </w:r>
      <w:r w:rsidRPr="00A27549">
        <w:rPr>
          <w:b/>
          <w:sz w:val="22"/>
          <w:szCs w:val="22"/>
          <w:shd w:val="clear" w:color="auto" w:fill="FFFFFF"/>
        </w:rPr>
        <w:t>House” Staff Costs = $</w:t>
      </w:r>
      <w:r w:rsidR="00A81839">
        <w:rPr>
          <w:b/>
          <w:sz w:val="22"/>
          <w:szCs w:val="22"/>
          <w:shd w:val="clear" w:color="auto" w:fill="FFFFFF"/>
        </w:rPr>
        <w:t>1,</w:t>
      </w:r>
      <w:r w:rsidR="00EB72FB">
        <w:rPr>
          <w:b/>
          <w:sz w:val="22"/>
          <w:szCs w:val="22"/>
          <w:shd w:val="clear" w:color="auto" w:fill="FFFFFF"/>
        </w:rPr>
        <w:t>897.9</w:t>
      </w:r>
      <w:r w:rsidR="00A81839">
        <w:rPr>
          <w:b/>
          <w:sz w:val="22"/>
          <w:szCs w:val="22"/>
          <w:shd w:val="clear" w:color="auto" w:fill="FFFFFF"/>
        </w:rPr>
        <w:t>0</w:t>
      </w:r>
    </w:p>
    <w:p w:rsidR="002809BB" w:rsidP="002B4549" w14:paraId="5BED9C8C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2B4549" w:rsidRPr="0019473E" w:rsidP="002B4549" w14:paraId="459B89EA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13.</w:t>
      </w:r>
      <w:r w:rsidRPr="0019473E">
        <w:rPr>
          <w:sz w:val="22"/>
          <w:szCs w:val="22"/>
          <w:shd w:val="clear" w:color="auto" w:fill="FFFFFF"/>
        </w:rPr>
        <w:tab/>
        <w:t xml:space="preserve">The </w:t>
      </w:r>
      <w:r w:rsidRPr="0019473E" w:rsidR="00E13BE0">
        <w:rPr>
          <w:sz w:val="22"/>
          <w:szCs w:val="22"/>
          <w:shd w:val="clear" w:color="auto" w:fill="FFFFFF"/>
        </w:rPr>
        <w:t xml:space="preserve">Commission notes that the accounting authorities are required to submit formal financial statements to the FCC </w:t>
      </w:r>
      <w:r w:rsidR="00DD5D2E">
        <w:rPr>
          <w:sz w:val="22"/>
          <w:szCs w:val="22"/>
          <w:shd w:val="clear" w:color="auto" w:fill="FFFFFF"/>
        </w:rPr>
        <w:t>along with their annual Form 4</w:t>
      </w:r>
      <w:r w:rsidR="005A2287">
        <w:rPr>
          <w:sz w:val="22"/>
          <w:szCs w:val="22"/>
          <w:shd w:val="clear" w:color="auto" w:fill="FFFFFF"/>
        </w:rPr>
        <w:t>4</w:t>
      </w:r>
      <w:r w:rsidR="00DD5D2E">
        <w:rPr>
          <w:sz w:val="22"/>
          <w:szCs w:val="22"/>
          <w:shd w:val="clear" w:color="auto" w:fill="FFFFFF"/>
        </w:rPr>
        <w:t xml:space="preserve"> submission</w:t>
      </w:r>
      <w:r w:rsidRPr="0019473E" w:rsidR="00E13BE0">
        <w:rPr>
          <w:sz w:val="22"/>
          <w:szCs w:val="22"/>
          <w:shd w:val="clear" w:color="auto" w:fill="FFFFFF"/>
        </w:rPr>
        <w:t>.  We believe that these accounting authorities will choose to have an independent auditing firm prepare the financial statement</w:t>
      </w:r>
      <w:r w:rsidR="00DD5D2E">
        <w:rPr>
          <w:sz w:val="22"/>
          <w:szCs w:val="22"/>
          <w:shd w:val="clear" w:color="auto" w:fill="FFFFFF"/>
        </w:rPr>
        <w:t>s</w:t>
      </w:r>
      <w:r w:rsidRPr="0019473E" w:rsidR="00E13BE0">
        <w:rPr>
          <w:sz w:val="22"/>
          <w:szCs w:val="22"/>
          <w:shd w:val="clear" w:color="auto" w:fill="FFFFFF"/>
        </w:rPr>
        <w:t>.</w:t>
      </w:r>
    </w:p>
    <w:p w:rsidR="002B4549" w:rsidRPr="0019473E" w:rsidP="002B4549" w14:paraId="7B06B4CA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2B4549" w:rsidP="002B4549" w14:paraId="4B52A0F8" w14:textId="77777777">
      <w:pPr>
        <w:numPr>
          <w:ilvl w:val="0"/>
          <w:numId w:val="11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Total annualized capital/startup costs: None</w:t>
      </w:r>
      <w:r w:rsidR="00C451C8">
        <w:rPr>
          <w:sz w:val="22"/>
          <w:szCs w:val="22"/>
          <w:shd w:val="clear" w:color="auto" w:fill="FFFFFF"/>
        </w:rPr>
        <w:t>.</w:t>
      </w:r>
    </w:p>
    <w:p w:rsidR="002B4549" w:rsidRPr="00A27549" w:rsidP="00D21E85" w14:paraId="3BF62009" w14:textId="77777777">
      <w:pPr>
        <w:rPr>
          <w:sz w:val="22"/>
          <w:szCs w:val="22"/>
          <w:highlight w:val="yellow"/>
          <w:shd w:val="clear" w:color="auto" w:fill="FFFFFF"/>
        </w:rPr>
      </w:pPr>
    </w:p>
    <w:p w:rsidR="00207017" w:rsidP="00D21E85" w14:paraId="6C37E038" w14:textId="67A8FCC6">
      <w:pPr>
        <w:pStyle w:val="ListParagraph"/>
        <w:numPr>
          <w:ilvl w:val="0"/>
          <w:numId w:val="11"/>
        </w:num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Total annual costs (O&amp;M): $</w:t>
      </w:r>
      <w:r w:rsidR="00C73F14">
        <w:rPr>
          <w:sz w:val="22"/>
          <w:szCs w:val="22"/>
          <w:shd w:val="clear" w:color="auto" w:fill="FFFFFF"/>
        </w:rPr>
        <w:t>250</w:t>
      </w:r>
      <w:r>
        <w:rPr>
          <w:sz w:val="22"/>
          <w:szCs w:val="22"/>
          <w:shd w:val="clear" w:color="auto" w:fill="FFFFFF"/>
        </w:rPr>
        <w:t>,000.</w:t>
      </w:r>
    </w:p>
    <w:p w:rsidR="00D21E85" w:rsidRPr="00D21E85" w:rsidP="00D21E85" w14:paraId="36A1B436" w14:textId="77777777">
      <w:pPr>
        <w:pStyle w:val="ListParagraph"/>
        <w:rPr>
          <w:sz w:val="22"/>
          <w:szCs w:val="22"/>
          <w:shd w:val="clear" w:color="auto" w:fill="FFFFFF"/>
        </w:rPr>
      </w:pPr>
    </w:p>
    <w:p w:rsidR="00E13BE0" w:rsidRPr="0019473E" w:rsidP="00E13BE0" w14:paraId="748B5CCC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The Commission believes </w:t>
      </w:r>
      <w:r w:rsidRPr="0019473E" w:rsidR="00D16160">
        <w:rPr>
          <w:sz w:val="22"/>
          <w:szCs w:val="22"/>
          <w:shd w:val="clear" w:color="auto" w:fill="FFFFFF"/>
        </w:rPr>
        <w:t>that the independent auditing firms will charge their customers approximately $</w:t>
      </w:r>
      <w:r w:rsidR="00B51E19">
        <w:rPr>
          <w:sz w:val="22"/>
          <w:szCs w:val="22"/>
          <w:shd w:val="clear" w:color="auto" w:fill="FFFFFF"/>
        </w:rPr>
        <w:t>250</w:t>
      </w:r>
      <w:r w:rsidRPr="0019473E" w:rsidR="00D16160">
        <w:rPr>
          <w:sz w:val="22"/>
          <w:szCs w:val="22"/>
          <w:shd w:val="clear" w:color="auto" w:fill="FFFFFF"/>
        </w:rPr>
        <w:t>.00/hour to prepare the annual financial statement</w:t>
      </w:r>
      <w:r w:rsidR="00DD5D2E">
        <w:rPr>
          <w:sz w:val="22"/>
          <w:szCs w:val="22"/>
          <w:shd w:val="clear" w:color="auto" w:fill="FFFFFF"/>
        </w:rPr>
        <w:t>s</w:t>
      </w:r>
      <w:r w:rsidRPr="0019473E" w:rsidR="00D16160">
        <w:rPr>
          <w:sz w:val="22"/>
          <w:szCs w:val="22"/>
          <w:shd w:val="clear" w:color="auto" w:fill="FFFFFF"/>
        </w:rPr>
        <w:t>.</w:t>
      </w:r>
      <w:r w:rsidRPr="0019473E" w:rsidR="002D6656">
        <w:rPr>
          <w:sz w:val="22"/>
          <w:szCs w:val="22"/>
          <w:shd w:val="clear" w:color="auto" w:fill="FFFFFF"/>
        </w:rPr>
        <w:t xml:space="preserve"> </w:t>
      </w:r>
      <w:r w:rsidR="00E93305">
        <w:rPr>
          <w:sz w:val="22"/>
          <w:szCs w:val="22"/>
          <w:shd w:val="clear" w:color="auto" w:fill="FFFFFF"/>
        </w:rPr>
        <w:t>The Commission</w:t>
      </w:r>
      <w:r w:rsidRPr="0019473E" w:rsidR="002D6656">
        <w:rPr>
          <w:sz w:val="22"/>
          <w:szCs w:val="22"/>
          <w:shd w:val="clear" w:color="auto" w:fill="FFFFFF"/>
        </w:rPr>
        <w:t xml:space="preserve"> also believe</w:t>
      </w:r>
      <w:r w:rsidR="00E93305">
        <w:rPr>
          <w:sz w:val="22"/>
          <w:szCs w:val="22"/>
          <w:shd w:val="clear" w:color="auto" w:fill="FFFFFF"/>
        </w:rPr>
        <w:t>s</w:t>
      </w:r>
      <w:r w:rsidRPr="0019473E" w:rsidR="002D6656">
        <w:rPr>
          <w:sz w:val="22"/>
          <w:szCs w:val="22"/>
          <w:shd w:val="clear" w:color="auto" w:fill="FFFFFF"/>
        </w:rPr>
        <w:t xml:space="preserve"> that it requires approximately 100 hours </w:t>
      </w:r>
      <w:r w:rsidRPr="0019473E" w:rsidR="00E93305">
        <w:rPr>
          <w:sz w:val="22"/>
          <w:szCs w:val="22"/>
          <w:shd w:val="clear" w:color="auto" w:fill="FFFFFF"/>
        </w:rPr>
        <w:t>reviewing the applicant’s financial records and preparing</w:t>
      </w:r>
      <w:r w:rsidRPr="0019473E" w:rsidR="002D6656">
        <w:rPr>
          <w:sz w:val="22"/>
          <w:szCs w:val="22"/>
          <w:shd w:val="clear" w:color="auto" w:fill="FFFFFF"/>
        </w:rPr>
        <w:t xml:space="preserve"> the statement</w:t>
      </w:r>
      <w:r w:rsidR="00DD5D2E">
        <w:rPr>
          <w:sz w:val="22"/>
          <w:szCs w:val="22"/>
          <w:shd w:val="clear" w:color="auto" w:fill="FFFFFF"/>
        </w:rPr>
        <w:t>s</w:t>
      </w:r>
      <w:r w:rsidRPr="0019473E" w:rsidR="002D6656">
        <w:rPr>
          <w:sz w:val="22"/>
          <w:szCs w:val="22"/>
          <w:shd w:val="clear" w:color="auto" w:fill="FFFFFF"/>
        </w:rPr>
        <w:t>.</w:t>
      </w:r>
    </w:p>
    <w:p w:rsidR="00D16160" w:rsidRPr="0019473E" w:rsidP="00E13BE0" w14:paraId="2173EE81" w14:textId="77777777">
      <w:pPr>
        <w:ind w:left="360"/>
        <w:rPr>
          <w:sz w:val="22"/>
          <w:szCs w:val="22"/>
          <w:shd w:val="clear" w:color="auto" w:fill="FFFFFF"/>
        </w:rPr>
      </w:pPr>
    </w:p>
    <w:p w:rsidR="00E13BE0" w:rsidRPr="0019473E" w:rsidP="00E13BE0" w14:paraId="77919005" w14:textId="41D27E50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</w:t>
      </w:r>
      <w:r w:rsidR="00C73F14">
        <w:rPr>
          <w:sz w:val="22"/>
          <w:szCs w:val="22"/>
          <w:shd w:val="clear" w:color="auto" w:fill="FFFFFF"/>
        </w:rPr>
        <w:t>0</w:t>
      </w:r>
      <w:r w:rsidRPr="0019473E">
        <w:rPr>
          <w:sz w:val="22"/>
          <w:szCs w:val="22"/>
          <w:shd w:val="clear" w:color="auto" w:fill="FFFFFF"/>
        </w:rPr>
        <w:t xml:space="preserve"> accounting authorities x 1 </w:t>
      </w:r>
      <w:r w:rsidR="002263B4">
        <w:rPr>
          <w:sz w:val="22"/>
          <w:szCs w:val="22"/>
          <w:shd w:val="clear" w:color="auto" w:fill="FFFFFF"/>
        </w:rPr>
        <w:t xml:space="preserve">set of </w:t>
      </w:r>
      <w:r w:rsidRPr="0019473E">
        <w:rPr>
          <w:sz w:val="22"/>
          <w:szCs w:val="22"/>
          <w:shd w:val="clear" w:color="auto" w:fill="FFFFFF"/>
        </w:rPr>
        <w:t>financial statement</w:t>
      </w:r>
      <w:r w:rsidR="002263B4">
        <w:rPr>
          <w:sz w:val="22"/>
          <w:szCs w:val="22"/>
          <w:shd w:val="clear" w:color="auto" w:fill="FFFFFF"/>
        </w:rPr>
        <w:t>s</w:t>
      </w:r>
      <w:r w:rsidRPr="0019473E">
        <w:rPr>
          <w:sz w:val="22"/>
          <w:szCs w:val="22"/>
          <w:shd w:val="clear" w:color="auto" w:fill="FFFFFF"/>
        </w:rPr>
        <w:t xml:space="preserve">/authority x </w:t>
      </w:r>
      <w:r w:rsidRPr="0019473E" w:rsidR="00D16160">
        <w:rPr>
          <w:sz w:val="22"/>
          <w:szCs w:val="22"/>
          <w:shd w:val="clear" w:color="auto" w:fill="FFFFFF"/>
        </w:rPr>
        <w:t>$</w:t>
      </w:r>
      <w:r w:rsidR="0063658A">
        <w:rPr>
          <w:sz w:val="22"/>
          <w:szCs w:val="22"/>
          <w:shd w:val="clear" w:color="auto" w:fill="FFFFFF"/>
        </w:rPr>
        <w:t>2</w:t>
      </w:r>
      <w:r w:rsidRPr="0019473E" w:rsidR="0063658A">
        <w:rPr>
          <w:sz w:val="22"/>
          <w:szCs w:val="22"/>
          <w:shd w:val="clear" w:color="auto" w:fill="FFFFFF"/>
        </w:rPr>
        <w:t>50</w:t>
      </w:r>
      <w:r w:rsidRPr="0019473E" w:rsidR="00D16160">
        <w:rPr>
          <w:sz w:val="22"/>
          <w:szCs w:val="22"/>
          <w:shd w:val="clear" w:color="auto" w:fill="FFFFFF"/>
        </w:rPr>
        <w:t xml:space="preserve">.00/hour </w:t>
      </w:r>
      <w:r w:rsidRPr="0019473E" w:rsidR="002D6656">
        <w:rPr>
          <w:sz w:val="22"/>
          <w:szCs w:val="22"/>
          <w:shd w:val="clear" w:color="auto" w:fill="FFFFFF"/>
        </w:rPr>
        <w:t>x 100 hours = $</w:t>
      </w:r>
      <w:r w:rsidR="00C73F14">
        <w:rPr>
          <w:sz w:val="22"/>
          <w:szCs w:val="22"/>
          <w:shd w:val="clear" w:color="auto" w:fill="FFFFFF"/>
        </w:rPr>
        <w:t>250,000</w:t>
      </w:r>
    </w:p>
    <w:p w:rsidR="00E13BE0" w:rsidRPr="0019473E" w:rsidP="00E13BE0" w14:paraId="264F02C2" w14:textId="77777777">
      <w:pPr>
        <w:ind w:left="360"/>
        <w:rPr>
          <w:sz w:val="22"/>
          <w:szCs w:val="22"/>
          <w:shd w:val="clear" w:color="auto" w:fill="FFFFFF"/>
        </w:rPr>
      </w:pPr>
    </w:p>
    <w:p w:rsidR="002B4549" w:rsidRPr="0019473E" w:rsidP="002B4549" w14:paraId="40299887" w14:textId="1B9B4A5A">
      <w:pPr>
        <w:numPr>
          <w:ilvl w:val="0"/>
          <w:numId w:val="11"/>
        </w:num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Total annualized cost request</w:t>
      </w:r>
      <w:r w:rsidRPr="0019473E" w:rsidR="002D6656">
        <w:rPr>
          <w:sz w:val="22"/>
          <w:szCs w:val="22"/>
          <w:shd w:val="clear" w:color="auto" w:fill="FFFFFF"/>
        </w:rPr>
        <w:t xml:space="preserve">ed: </w:t>
      </w:r>
      <w:r w:rsidRPr="008D65EC" w:rsidR="002D6656">
        <w:rPr>
          <w:sz w:val="22"/>
          <w:szCs w:val="22"/>
          <w:shd w:val="clear" w:color="auto" w:fill="FFFFFF"/>
        </w:rPr>
        <w:t>$</w:t>
      </w:r>
      <w:r w:rsidR="00C73F14">
        <w:rPr>
          <w:sz w:val="22"/>
          <w:szCs w:val="22"/>
          <w:shd w:val="clear" w:color="auto" w:fill="FFFFFF"/>
        </w:rPr>
        <w:t>250</w:t>
      </w:r>
      <w:r w:rsidR="00331554">
        <w:rPr>
          <w:sz w:val="22"/>
          <w:szCs w:val="22"/>
          <w:shd w:val="clear" w:color="auto" w:fill="FFFFFF"/>
        </w:rPr>
        <w:t>,000</w:t>
      </w:r>
    </w:p>
    <w:p w:rsidR="002B4549" w:rsidRPr="0019473E" w:rsidP="002B4549" w14:paraId="16CD5AE5" w14:textId="77777777">
      <w:pPr>
        <w:ind w:left="360"/>
        <w:rPr>
          <w:sz w:val="22"/>
          <w:szCs w:val="22"/>
          <w:shd w:val="clear" w:color="auto" w:fill="FFFFFF"/>
        </w:rPr>
      </w:pPr>
    </w:p>
    <w:p w:rsidR="00AE6C60" w:rsidRPr="0019473E" w:rsidP="00AE6C60" w14:paraId="5F24D396" w14:textId="0EFC9C33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14.</w:t>
      </w:r>
      <w:r w:rsidRPr="0019473E">
        <w:rPr>
          <w:sz w:val="22"/>
          <w:szCs w:val="22"/>
          <w:shd w:val="clear" w:color="auto" w:fill="FFFFFF"/>
        </w:rPr>
        <w:tab/>
      </w:r>
      <w:r w:rsidRPr="0019473E" w:rsidR="002D6656">
        <w:rPr>
          <w:sz w:val="22"/>
          <w:szCs w:val="22"/>
          <w:shd w:val="clear" w:color="auto" w:fill="FFFFFF"/>
        </w:rPr>
        <w:t xml:space="preserve">The Commission uses </w:t>
      </w:r>
      <w:r w:rsidR="005A2287">
        <w:rPr>
          <w:sz w:val="22"/>
          <w:szCs w:val="22"/>
          <w:shd w:val="clear" w:color="auto" w:fill="FFFFFF"/>
        </w:rPr>
        <w:t xml:space="preserve">either financial analysts or accountants </w:t>
      </w:r>
      <w:r w:rsidRPr="0019473E" w:rsidR="002D6656">
        <w:rPr>
          <w:sz w:val="22"/>
          <w:szCs w:val="22"/>
          <w:shd w:val="clear" w:color="auto" w:fill="FFFFFF"/>
        </w:rPr>
        <w:t xml:space="preserve">to review these occasional, semi-annual, and annual certification </w:t>
      </w:r>
      <w:r w:rsidR="00DD5D2E">
        <w:rPr>
          <w:sz w:val="22"/>
          <w:szCs w:val="22"/>
          <w:shd w:val="clear" w:color="auto" w:fill="FFFFFF"/>
        </w:rPr>
        <w:t>applications</w:t>
      </w:r>
      <w:r w:rsidR="005A2287">
        <w:rPr>
          <w:sz w:val="22"/>
          <w:szCs w:val="22"/>
          <w:shd w:val="clear" w:color="auto" w:fill="FFFFFF"/>
        </w:rPr>
        <w:t>,</w:t>
      </w:r>
      <w:r w:rsidR="00DD5D2E">
        <w:rPr>
          <w:sz w:val="22"/>
          <w:szCs w:val="22"/>
          <w:shd w:val="clear" w:color="auto" w:fill="FFFFFF"/>
        </w:rPr>
        <w:t xml:space="preserve"> </w:t>
      </w:r>
      <w:r w:rsidR="005A2287">
        <w:rPr>
          <w:sz w:val="22"/>
          <w:szCs w:val="22"/>
          <w:shd w:val="clear" w:color="auto" w:fill="FFFFFF"/>
        </w:rPr>
        <w:t xml:space="preserve">reports of </w:t>
      </w:r>
      <w:r w:rsidRPr="0019473E" w:rsidR="002D6656">
        <w:rPr>
          <w:sz w:val="22"/>
          <w:szCs w:val="22"/>
          <w:shd w:val="clear" w:color="auto" w:fill="FFFFFF"/>
        </w:rPr>
        <w:t xml:space="preserve">settlement </w:t>
      </w:r>
      <w:r w:rsidR="005A2287">
        <w:rPr>
          <w:sz w:val="22"/>
          <w:szCs w:val="22"/>
          <w:shd w:val="clear" w:color="auto" w:fill="FFFFFF"/>
        </w:rPr>
        <w:t xml:space="preserve">operations and inventory of vessels </w:t>
      </w:r>
      <w:r w:rsidR="00DD5D2E">
        <w:rPr>
          <w:sz w:val="22"/>
          <w:szCs w:val="22"/>
          <w:shd w:val="clear" w:color="auto" w:fill="FFFFFF"/>
        </w:rPr>
        <w:t>reports</w:t>
      </w:r>
      <w:r w:rsidR="005A2287">
        <w:rPr>
          <w:sz w:val="22"/>
          <w:szCs w:val="22"/>
          <w:shd w:val="clear" w:color="auto" w:fill="FFFFFF"/>
        </w:rPr>
        <w:t>.  The Commission further assumes that these financial analysts or accountants are GS-13/Step 5 at $</w:t>
      </w:r>
      <w:r w:rsidR="00EB72FB">
        <w:rPr>
          <w:sz w:val="22"/>
          <w:szCs w:val="22"/>
          <w:shd w:val="clear" w:color="auto" w:fill="FFFFFF"/>
        </w:rPr>
        <w:t>60.83</w:t>
      </w:r>
      <w:r w:rsidRPr="00286319" w:rsidR="003156EA">
        <w:rPr>
          <w:sz w:val="22"/>
          <w:szCs w:val="22"/>
          <w:shd w:val="clear" w:color="auto" w:fill="FFFFFF"/>
        </w:rPr>
        <w:t xml:space="preserve"> </w:t>
      </w:r>
      <w:r w:rsidR="005A2287">
        <w:rPr>
          <w:sz w:val="22"/>
          <w:szCs w:val="22"/>
          <w:shd w:val="clear" w:color="auto" w:fill="FFFFFF"/>
        </w:rPr>
        <w:t>/hour plus 30% overhead cost</w:t>
      </w:r>
      <w:r w:rsidRPr="0019473E" w:rsidR="00E13BE0">
        <w:rPr>
          <w:sz w:val="22"/>
          <w:szCs w:val="22"/>
          <w:shd w:val="clear" w:color="auto" w:fill="FFFFFF"/>
        </w:rPr>
        <w:t>:</w:t>
      </w:r>
    </w:p>
    <w:p w:rsidR="002D6656" w:rsidRPr="0019473E" w:rsidP="00AE6C60" w14:paraId="22D61DE0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923E5C" w:rsidRPr="0019473E" w:rsidP="005A2287" w14:paraId="0B44E1EF" w14:textId="77777777">
      <w:pPr>
        <w:ind w:left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 xml:space="preserve">(a) We estimate that reviewing the </w:t>
      </w:r>
      <w:r w:rsidR="00DD5D2E">
        <w:rPr>
          <w:sz w:val="22"/>
          <w:szCs w:val="22"/>
          <w:shd w:val="clear" w:color="auto" w:fill="FFFFFF"/>
        </w:rPr>
        <w:t>Form 44 certification applications</w:t>
      </w:r>
      <w:r w:rsidRPr="0019473E">
        <w:rPr>
          <w:sz w:val="22"/>
          <w:szCs w:val="22"/>
          <w:shd w:val="clear" w:color="auto" w:fill="FFFFFF"/>
        </w:rPr>
        <w:t xml:space="preserve"> requires two (</w:t>
      </w:r>
      <w:r w:rsidR="005A2287">
        <w:rPr>
          <w:sz w:val="22"/>
          <w:szCs w:val="22"/>
          <w:shd w:val="clear" w:color="auto" w:fill="FFFFFF"/>
        </w:rPr>
        <w:t>3</w:t>
      </w:r>
      <w:r w:rsidRPr="0019473E">
        <w:rPr>
          <w:sz w:val="22"/>
          <w:szCs w:val="22"/>
          <w:shd w:val="clear" w:color="auto" w:fill="FFFFFF"/>
        </w:rPr>
        <w:t>) hours:</w:t>
      </w:r>
    </w:p>
    <w:p w:rsidR="00923E5C" w:rsidRPr="0019473E" w:rsidP="00AE6C60" w14:paraId="6C9C5335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101B48" w:rsidP="00AE6C60" w14:paraId="4430F9BC" w14:textId="51F1B5CF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</w:r>
      <w:r w:rsidRPr="0019473E" w:rsidR="001F6E31">
        <w:rPr>
          <w:sz w:val="22"/>
          <w:szCs w:val="22"/>
          <w:shd w:val="clear" w:color="auto" w:fill="FFFFFF"/>
        </w:rPr>
        <w:tab/>
      </w:r>
      <w:r w:rsidR="00B42282">
        <w:rPr>
          <w:sz w:val="22"/>
          <w:szCs w:val="22"/>
          <w:shd w:val="clear" w:color="auto" w:fill="FFFFFF"/>
        </w:rPr>
        <w:t>1</w:t>
      </w:r>
      <w:r w:rsidRPr="0019473E" w:rsidR="00B42282">
        <w:rPr>
          <w:sz w:val="22"/>
          <w:szCs w:val="22"/>
          <w:shd w:val="clear" w:color="auto" w:fill="FFFFFF"/>
        </w:rPr>
        <w:t xml:space="preserve"> </w:t>
      </w:r>
      <w:r w:rsidRPr="0019473E">
        <w:rPr>
          <w:sz w:val="22"/>
          <w:szCs w:val="22"/>
          <w:shd w:val="clear" w:color="auto" w:fill="FFFFFF"/>
        </w:rPr>
        <w:t xml:space="preserve">application x </w:t>
      </w:r>
      <w:r w:rsidR="005A2287">
        <w:rPr>
          <w:sz w:val="22"/>
          <w:szCs w:val="22"/>
          <w:shd w:val="clear" w:color="auto" w:fill="FFFFFF"/>
        </w:rPr>
        <w:t>3</w:t>
      </w:r>
      <w:r w:rsidRPr="0019473E">
        <w:rPr>
          <w:sz w:val="22"/>
          <w:szCs w:val="22"/>
          <w:shd w:val="clear" w:color="auto" w:fill="FFFFFF"/>
        </w:rPr>
        <w:t xml:space="preserve"> hours/review x $</w:t>
      </w:r>
      <w:r w:rsidR="00EB72FB">
        <w:rPr>
          <w:sz w:val="22"/>
          <w:szCs w:val="22"/>
          <w:shd w:val="clear" w:color="auto" w:fill="FFFFFF"/>
        </w:rPr>
        <w:t>60.83</w:t>
      </w:r>
      <w:r w:rsidRPr="0019473E">
        <w:rPr>
          <w:sz w:val="22"/>
          <w:szCs w:val="22"/>
          <w:shd w:val="clear" w:color="auto" w:fill="FFFFFF"/>
        </w:rPr>
        <w:t>/hour</w:t>
      </w:r>
      <w:r w:rsidR="003156EA">
        <w:rPr>
          <w:sz w:val="22"/>
          <w:szCs w:val="22"/>
          <w:shd w:val="clear" w:color="auto" w:fill="FFFFFF"/>
        </w:rPr>
        <w:t xml:space="preserve">  </w:t>
      </w:r>
      <w:r w:rsidRPr="0019473E">
        <w:rPr>
          <w:sz w:val="22"/>
          <w:szCs w:val="22"/>
          <w:shd w:val="clear" w:color="auto" w:fill="FFFFFF"/>
        </w:rPr>
        <w:t xml:space="preserve"> = </w:t>
      </w:r>
      <w:r w:rsidR="00CE04D8">
        <w:rPr>
          <w:sz w:val="22"/>
          <w:szCs w:val="22"/>
          <w:shd w:val="clear" w:color="auto" w:fill="FFFFFF"/>
        </w:rPr>
        <w:t xml:space="preserve"> </w:t>
      </w:r>
      <w:r w:rsidRPr="0019473E" w:rsidR="00DC5DC1">
        <w:rPr>
          <w:sz w:val="22"/>
          <w:szCs w:val="22"/>
          <w:shd w:val="clear" w:color="auto" w:fill="FFFFFF"/>
        </w:rPr>
        <w:t>$</w:t>
      </w:r>
      <w:r w:rsidR="00EB72FB">
        <w:rPr>
          <w:sz w:val="22"/>
          <w:szCs w:val="22"/>
          <w:shd w:val="clear" w:color="auto" w:fill="FFFFFF"/>
        </w:rPr>
        <w:t>182.49</w:t>
      </w:r>
    </w:p>
    <w:p w:rsidR="00923E5C" w:rsidRPr="0019473E" w:rsidP="00AE6C60" w14:paraId="25E98747" w14:textId="14DC4E58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                       30% overhead </w:t>
      </w:r>
      <w:r w:rsidR="00C451C8">
        <w:rPr>
          <w:sz w:val="22"/>
          <w:szCs w:val="22"/>
          <w:shd w:val="clear" w:color="auto" w:fill="FFFFFF"/>
        </w:rPr>
        <w:t xml:space="preserve">  </w:t>
      </w:r>
      <w:r>
        <w:rPr>
          <w:sz w:val="22"/>
          <w:szCs w:val="22"/>
          <w:shd w:val="clear" w:color="auto" w:fill="FFFFFF"/>
        </w:rPr>
        <w:t xml:space="preserve">= </w:t>
      </w:r>
      <w:r w:rsidRPr="00D5466E">
        <w:rPr>
          <w:sz w:val="22"/>
          <w:szCs w:val="22"/>
          <w:u w:val="single"/>
          <w:shd w:val="clear" w:color="auto" w:fill="FFFFFF"/>
        </w:rPr>
        <w:t>$</w:t>
      </w:r>
      <w:r w:rsidR="001012F6">
        <w:rPr>
          <w:sz w:val="22"/>
          <w:szCs w:val="22"/>
          <w:u w:val="single"/>
          <w:shd w:val="clear" w:color="auto" w:fill="FFFFFF"/>
        </w:rPr>
        <w:t xml:space="preserve"> </w:t>
      </w:r>
      <w:r w:rsidR="003156EA">
        <w:rPr>
          <w:sz w:val="22"/>
          <w:szCs w:val="22"/>
          <w:u w:val="single"/>
          <w:shd w:val="clear" w:color="auto" w:fill="FFFFFF"/>
        </w:rPr>
        <w:t>5</w:t>
      </w:r>
      <w:r w:rsidR="00EB72FB">
        <w:rPr>
          <w:sz w:val="22"/>
          <w:szCs w:val="22"/>
          <w:u w:val="single"/>
          <w:shd w:val="clear" w:color="auto" w:fill="FFFFFF"/>
        </w:rPr>
        <w:t>4.75</w:t>
      </w:r>
    </w:p>
    <w:p w:rsidR="004222C3" w:rsidP="004222C3" w14:paraId="0AF76A71" w14:textId="73D1C7FA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 w:rsidR="00B25971">
        <w:rPr>
          <w:sz w:val="22"/>
          <w:szCs w:val="22"/>
          <w:shd w:val="clear" w:color="auto" w:fill="FFFFFF"/>
        </w:rPr>
        <w:t xml:space="preserve">              </w:t>
      </w:r>
      <w:r>
        <w:rPr>
          <w:sz w:val="22"/>
          <w:szCs w:val="22"/>
          <w:shd w:val="clear" w:color="auto" w:fill="FFFFFF"/>
        </w:rPr>
        <w:t xml:space="preserve"> </w:t>
      </w:r>
      <w:r w:rsidR="007C755A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 Total: $</w:t>
      </w:r>
      <w:bookmarkStart w:id="0" w:name="_Hlk53036944"/>
      <w:r w:rsidRPr="00046872" w:rsidR="00046872">
        <w:rPr>
          <w:sz w:val="22"/>
          <w:szCs w:val="22"/>
          <w:shd w:val="clear" w:color="auto" w:fill="FFFFFF"/>
        </w:rPr>
        <w:t>2</w:t>
      </w:r>
      <w:bookmarkEnd w:id="0"/>
      <w:r w:rsidR="00EB72FB">
        <w:rPr>
          <w:sz w:val="22"/>
          <w:szCs w:val="22"/>
          <w:shd w:val="clear" w:color="auto" w:fill="FFFFFF"/>
        </w:rPr>
        <w:t>37.24</w:t>
      </w:r>
    </w:p>
    <w:p w:rsidR="008D769E" w:rsidRPr="0019473E" w:rsidP="004222C3" w14:paraId="50BB14A4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D40758" w:rsidRPr="00C451C8" w:rsidP="00D40758" w14:paraId="3413BC22" w14:textId="77777777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(b) </w:t>
      </w:r>
      <w:r w:rsidRPr="0019473E" w:rsidR="004222C3">
        <w:rPr>
          <w:sz w:val="22"/>
          <w:szCs w:val="22"/>
          <w:shd w:val="clear" w:color="auto" w:fill="FFFFFF"/>
        </w:rPr>
        <w:t xml:space="preserve">We estimate that reviewing the annual </w:t>
      </w:r>
      <w:r w:rsidR="00DD5D2E">
        <w:rPr>
          <w:sz w:val="22"/>
          <w:szCs w:val="22"/>
          <w:shd w:val="clear" w:color="auto" w:fill="FFFFFF"/>
        </w:rPr>
        <w:t xml:space="preserve">Form 45 </w:t>
      </w:r>
      <w:r w:rsidRPr="0019473E" w:rsidR="004222C3">
        <w:rPr>
          <w:sz w:val="22"/>
          <w:szCs w:val="22"/>
          <w:shd w:val="clear" w:color="auto" w:fill="FFFFFF"/>
        </w:rPr>
        <w:t xml:space="preserve">settlement activity </w:t>
      </w:r>
      <w:r w:rsidR="00DD5D2E">
        <w:rPr>
          <w:sz w:val="22"/>
          <w:szCs w:val="22"/>
          <w:shd w:val="clear" w:color="auto" w:fill="FFFFFF"/>
        </w:rPr>
        <w:t xml:space="preserve">reports </w:t>
      </w:r>
      <w:r w:rsidRPr="0019473E" w:rsidR="004222C3">
        <w:rPr>
          <w:sz w:val="22"/>
          <w:szCs w:val="22"/>
          <w:shd w:val="clear" w:color="auto" w:fill="FFFFFF"/>
        </w:rPr>
        <w:t xml:space="preserve">requires </w:t>
      </w:r>
      <w:r w:rsidRPr="00C451C8" w:rsidR="00FD78B0">
        <w:rPr>
          <w:sz w:val="22"/>
          <w:szCs w:val="22"/>
          <w:shd w:val="clear" w:color="auto" w:fill="FFFFFF"/>
        </w:rPr>
        <w:t>30 minutes</w:t>
      </w:r>
      <w:r w:rsidRPr="00C451C8" w:rsidR="00B25971">
        <w:rPr>
          <w:sz w:val="22"/>
          <w:szCs w:val="22"/>
          <w:shd w:val="clear" w:color="auto" w:fill="FFFFFF"/>
        </w:rPr>
        <w:t xml:space="preserve"> </w:t>
      </w:r>
    </w:p>
    <w:p w:rsidR="004222C3" w:rsidRPr="0019473E" w:rsidP="00D40758" w14:paraId="7425350C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C451C8">
        <w:rPr>
          <w:sz w:val="22"/>
          <w:szCs w:val="22"/>
          <w:shd w:val="clear" w:color="auto" w:fill="FFFFFF"/>
        </w:rPr>
        <w:t>(0.5 hours</w:t>
      </w:r>
      <w:r w:rsidRPr="00C451C8" w:rsidR="00FD78B0">
        <w:rPr>
          <w:sz w:val="22"/>
          <w:szCs w:val="22"/>
          <w:shd w:val="clear" w:color="auto" w:fill="FFFFFF"/>
        </w:rPr>
        <w:t>)</w:t>
      </w:r>
      <w:r w:rsidRPr="00C451C8">
        <w:rPr>
          <w:sz w:val="22"/>
          <w:szCs w:val="22"/>
          <w:shd w:val="clear" w:color="auto" w:fill="FFFFFF"/>
        </w:rPr>
        <w:t>:</w:t>
      </w:r>
    </w:p>
    <w:p w:rsidR="004222C3" w:rsidRPr="0019473E" w:rsidP="004222C3" w14:paraId="5270FF40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1F6E31" w:rsidRPr="0019473E" w:rsidP="001F6E31" w14:paraId="53FD17AF" w14:textId="436A50D3">
      <w:pPr>
        <w:ind w:left="36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</w:t>
      </w:r>
      <w:r w:rsidR="009D2E20">
        <w:rPr>
          <w:sz w:val="22"/>
          <w:szCs w:val="22"/>
          <w:shd w:val="clear" w:color="auto" w:fill="FFFFFF"/>
        </w:rPr>
        <w:t>0</w:t>
      </w:r>
      <w:r w:rsidRPr="0019473E">
        <w:rPr>
          <w:sz w:val="22"/>
          <w:szCs w:val="22"/>
          <w:shd w:val="clear" w:color="auto" w:fill="FFFFFF"/>
        </w:rPr>
        <w:t xml:space="preserve"> applications x </w:t>
      </w:r>
      <w:r w:rsidR="00B25971">
        <w:rPr>
          <w:sz w:val="22"/>
          <w:szCs w:val="22"/>
          <w:shd w:val="clear" w:color="auto" w:fill="FFFFFF"/>
        </w:rPr>
        <w:t>0.5</w:t>
      </w:r>
      <w:r w:rsidRPr="0019473E">
        <w:rPr>
          <w:sz w:val="22"/>
          <w:szCs w:val="22"/>
          <w:shd w:val="clear" w:color="auto" w:fill="FFFFFF"/>
        </w:rPr>
        <w:t xml:space="preserve"> hours/review x $</w:t>
      </w:r>
      <w:r w:rsidR="00EB72FB">
        <w:rPr>
          <w:sz w:val="22"/>
          <w:szCs w:val="22"/>
          <w:shd w:val="clear" w:color="auto" w:fill="FFFFFF"/>
        </w:rPr>
        <w:t>60.83</w:t>
      </w:r>
      <w:r w:rsidRPr="0019473E">
        <w:rPr>
          <w:sz w:val="22"/>
          <w:szCs w:val="22"/>
          <w:shd w:val="clear" w:color="auto" w:fill="FFFFFF"/>
        </w:rPr>
        <w:t>/hour = $</w:t>
      </w:r>
      <w:r w:rsidR="00EB72FB">
        <w:rPr>
          <w:sz w:val="22"/>
          <w:szCs w:val="22"/>
          <w:shd w:val="clear" w:color="auto" w:fill="FFFFFF"/>
        </w:rPr>
        <w:t>304.15</w:t>
      </w:r>
    </w:p>
    <w:p w:rsidR="007C755A" w:rsidRPr="0019473E" w:rsidP="007C755A" w14:paraId="2F8281D2" w14:textId="602A4C04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                                                             </w:t>
      </w:r>
      <w:r w:rsidR="00B25971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 xml:space="preserve">30% overhead = </w:t>
      </w:r>
      <w:r w:rsidRPr="007C755A">
        <w:rPr>
          <w:sz w:val="22"/>
          <w:szCs w:val="22"/>
          <w:u w:val="single"/>
          <w:shd w:val="clear" w:color="auto" w:fill="FFFFFF"/>
        </w:rPr>
        <w:t>$</w:t>
      </w:r>
      <w:r w:rsidR="009D2E20">
        <w:rPr>
          <w:sz w:val="22"/>
          <w:szCs w:val="22"/>
          <w:u w:val="single"/>
          <w:shd w:val="clear" w:color="auto" w:fill="FFFFFF"/>
        </w:rPr>
        <w:t xml:space="preserve"> </w:t>
      </w:r>
      <w:r w:rsidR="008473B1">
        <w:rPr>
          <w:sz w:val="22"/>
          <w:szCs w:val="22"/>
          <w:u w:val="single"/>
          <w:shd w:val="clear" w:color="auto" w:fill="FFFFFF"/>
        </w:rPr>
        <w:t xml:space="preserve"> </w:t>
      </w:r>
      <w:r w:rsidR="00EB72FB">
        <w:rPr>
          <w:sz w:val="22"/>
          <w:szCs w:val="22"/>
          <w:u w:val="single"/>
          <w:shd w:val="clear" w:color="auto" w:fill="FFFFFF"/>
        </w:rPr>
        <w:t>91.25</w:t>
      </w:r>
    </w:p>
    <w:p w:rsidR="007C755A" w:rsidP="007C755A" w14:paraId="3CBB28AF" w14:textId="640238A9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 xml:space="preserve">  </w:t>
      </w:r>
      <w:r w:rsidR="00B25971">
        <w:rPr>
          <w:sz w:val="22"/>
          <w:szCs w:val="22"/>
          <w:shd w:val="clear" w:color="auto" w:fill="FFFFFF"/>
        </w:rPr>
        <w:t xml:space="preserve">  </w:t>
      </w:r>
      <w:r>
        <w:rPr>
          <w:sz w:val="22"/>
          <w:szCs w:val="22"/>
          <w:shd w:val="clear" w:color="auto" w:fill="FFFFFF"/>
        </w:rPr>
        <w:t xml:space="preserve">  Total:  $</w:t>
      </w:r>
      <w:bookmarkStart w:id="1" w:name="_Hlk53036998"/>
      <w:r w:rsidR="008473B1">
        <w:rPr>
          <w:sz w:val="22"/>
          <w:szCs w:val="22"/>
          <w:shd w:val="clear" w:color="auto" w:fill="FFFFFF"/>
        </w:rPr>
        <w:t>3</w:t>
      </w:r>
      <w:bookmarkEnd w:id="1"/>
      <w:r w:rsidR="00EB72FB">
        <w:rPr>
          <w:sz w:val="22"/>
          <w:szCs w:val="22"/>
          <w:shd w:val="clear" w:color="auto" w:fill="FFFFFF"/>
        </w:rPr>
        <w:t>95.40</w:t>
      </w:r>
    </w:p>
    <w:p w:rsidR="008D769E" w:rsidRPr="0019473E" w:rsidP="004222C3" w14:paraId="7314A1C8" w14:textId="77777777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 </w:t>
      </w:r>
    </w:p>
    <w:p w:rsidR="00B25971" w:rsidRPr="0019473E" w:rsidP="00B25971" w14:paraId="798F582F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</w:r>
      <w:r w:rsidRPr="0019473E" w:rsidR="00942479">
        <w:rPr>
          <w:sz w:val="22"/>
          <w:szCs w:val="22"/>
          <w:shd w:val="clear" w:color="auto" w:fill="FFFFFF"/>
        </w:rPr>
        <w:t>(c)</w:t>
      </w:r>
      <w:r>
        <w:rPr>
          <w:sz w:val="22"/>
          <w:szCs w:val="22"/>
          <w:shd w:val="clear" w:color="auto" w:fill="FFFFFF"/>
        </w:rPr>
        <w:t xml:space="preserve"> </w:t>
      </w:r>
      <w:r w:rsidRPr="0019473E">
        <w:rPr>
          <w:sz w:val="22"/>
          <w:szCs w:val="22"/>
          <w:shd w:val="clear" w:color="auto" w:fill="FFFFFF"/>
        </w:rPr>
        <w:t xml:space="preserve">We estimate that reviewing the </w:t>
      </w:r>
      <w:r w:rsidR="0073209A">
        <w:rPr>
          <w:sz w:val="22"/>
          <w:szCs w:val="22"/>
          <w:shd w:val="clear" w:color="auto" w:fill="FFFFFF"/>
        </w:rPr>
        <w:t xml:space="preserve">inventory of vessels reports </w:t>
      </w:r>
      <w:r w:rsidRPr="0019473E">
        <w:rPr>
          <w:sz w:val="22"/>
          <w:szCs w:val="22"/>
          <w:shd w:val="clear" w:color="auto" w:fill="FFFFFF"/>
        </w:rPr>
        <w:t xml:space="preserve">requires </w:t>
      </w:r>
      <w:r w:rsidRPr="00C451C8" w:rsidR="00FD78B0">
        <w:rPr>
          <w:sz w:val="22"/>
          <w:szCs w:val="22"/>
          <w:shd w:val="clear" w:color="auto" w:fill="FFFFFF"/>
        </w:rPr>
        <w:t xml:space="preserve">30 minutes </w:t>
      </w:r>
      <w:r w:rsidRPr="00C451C8">
        <w:rPr>
          <w:sz w:val="22"/>
          <w:szCs w:val="22"/>
          <w:shd w:val="clear" w:color="auto" w:fill="FFFFFF"/>
        </w:rPr>
        <w:t>(0.5 hours</w:t>
      </w:r>
      <w:r w:rsidRPr="00C451C8" w:rsidR="00FD78B0">
        <w:rPr>
          <w:sz w:val="22"/>
          <w:szCs w:val="22"/>
          <w:shd w:val="clear" w:color="auto" w:fill="FFFFFF"/>
        </w:rPr>
        <w:t>)</w:t>
      </w:r>
      <w:r w:rsidR="0073209A">
        <w:rPr>
          <w:sz w:val="22"/>
          <w:szCs w:val="22"/>
          <w:shd w:val="clear" w:color="auto" w:fill="FFFFFF"/>
        </w:rPr>
        <w:t xml:space="preserve"> per report</w:t>
      </w:r>
      <w:r w:rsidRPr="0019473E">
        <w:rPr>
          <w:sz w:val="22"/>
          <w:szCs w:val="22"/>
          <w:shd w:val="clear" w:color="auto" w:fill="FFFFFF"/>
        </w:rPr>
        <w:t>:</w:t>
      </w:r>
    </w:p>
    <w:p w:rsidR="00942479" w:rsidRPr="0019473E" w:rsidP="0073209A" w14:paraId="0B36FDE3" w14:textId="11A062D0">
      <w:pPr>
        <w:ind w:left="360" w:firstLine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11</w:t>
      </w:r>
      <w:r w:rsidRPr="0019473E" w:rsidR="00B248B7">
        <w:rPr>
          <w:sz w:val="22"/>
          <w:szCs w:val="22"/>
          <w:shd w:val="clear" w:color="auto" w:fill="FFFFFF"/>
        </w:rPr>
        <w:t xml:space="preserve"> </w:t>
      </w:r>
      <w:r w:rsidRPr="0019473E">
        <w:rPr>
          <w:sz w:val="22"/>
          <w:szCs w:val="22"/>
          <w:shd w:val="clear" w:color="auto" w:fill="FFFFFF"/>
        </w:rPr>
        <w:t>inventory</w:t>
      </w:r>
      <w:r w:rsidR="00B25971">
        <w:rPr>
          <w:sz w:val="22"/>
          <w:szCs w:val="22"/>
          <w:shd w:val="clear" w:color="auto" w:fill="FFFFFF"/>
        </w:rPr>
        <w:t xml:space="preserve"> report</w:t>
      </w:r>
      <w:r w:rsidR="00D367A2">
        <w:rPr>
          <w:sz w:val="22"/>
          <w:szCs w:val="22"/>
          <w:shd w:val="clear" w:color="auto" w:fill="FFFFFF"/>
        </w:rPr>
        <w:t>s</w:t>
      </w:r>
      <w:r w:rsidRPr="0019473E">
        <w:rPr>
          <w:sz w:val="22"/>
          <w:szCs w:val="22"/>
          <w:shd w:val="clear" w:color="auto" w:fill="FFFFFF"/>
        </w:rPr>
        <w:t xml:space="preserve"> x </w:t>
      </w:r>
      <w:r w:rsidR="00B25971">
        <w:rPr>
          <w:sz w:val="22"/>
          <w:szCs w:val="22"/>
          <w:shd w:val="clear" w:color="auto" w:fill="FFFFFF"/>
        </w:rPr>
        <w:t>0.5</w:t>
      </w:r>
      <w:r w:rsidRPr="0019473E">
        <w:rPr>
          <w:sz w:val="22"/>
          <w:szCs w:val="22"/>
          <w:shd w:val="clear" w:color="auto" w:fill="FFFFFF"/>
        </w:rPr>
        <w:t xml:space="preserve"> hour</w:t>
      </w:r>
      <w:r w:rsidR="00FD78B0">
        <w:rPr>
          <w:sz w:val="22"/>
          <w:szCs w:val="22"/>
          <w:shd w:val="clear" w:color="auto" w:fill="FFFFFF"/>
        </w:rPr>
        <w:t>s</w:t>
      </w:r>
      <w:r w:rsidRPr="0019473E">
        <w:rPr>
          <w:sz w:val="22"/>
          <w:szCs w:val="22"/>
          <w:shd w:val="clear" w:color="auto" w:fill="FFFFFF"/>
        </w:rPr>
        <w:t>/review</w:t>
      </w:r>
      <w:r w:rsidRPr="00702DF7" w:rsidR="00702DF7">
        <w:rPr>
          <w:sz w:val="22"/>
          <w:szCs w:val="22"/>
          <w:shd w:val="clear" w:color="auto" w:fill="FFFFFF"/>
        </w:rPr>
        <w:t xml:space="preserve"> </w:t>
      </w:r>
      <w:r w:rsidRPr="0019473E" w:rsidR="00702DF7">
        <w:rPr>
          <w:sz w:val="22"/>
          <w:szCs w:val="22"/>
          <w:shd w:val="clear" w:color="auto" w:fill="FFFFFF"/>
        </w:rPr>
        <w:t>x $</w:t>
      </w:r>
      <w:r w:rsidR="00EB72FB">
        <w:rPr>
          <w:sz w:val="22"/>
          <w:szCs w:val="22"/>
          <w:shd w:val="clear" w:color="auto" w:fill="FFFFFF"/>
        </w:rPr>
        <w:t>60.83</w:t>
      </w:r>
      <w:r w:rsidRPr="0019473E" w:rsidR="00702DF7">
        <w:rPr>
          <w:sz w:val="22"/>
          <w:szCs w:val="22"/>
          <w:shd w:val="clear" w:color="auto" w:fill="FFFFFF"/>
        </w:rPr>
        <w:t>/hour</w:t>
      </w:r>
      <w:r w:rsidR="00C451C8">
        <w:rPr>
          <w:sz w:val="22"/>
          <w:szCs w:val="22"/>
          <w:shd w:val="clear" w:color="auto" w:fill="FFFFFF"/>
        </w:rPr>
        <w:t xml:space="preserve">  </w:t>
      </w:r>
      <w:r w:rsidR="00CE04D8">
        <w:rPr>
          <w:sz w:val="22"/>
          <w:szCs w:val="22"/>
          <w:shd w:val="clear" w:color="auto" w:fill="FFFFFF"/>
        </w:rPr>
        <w:t xml:space="preserve"> </w:t>
      </w:r>
      <w:r w:rsidRPr="0019473E">
        <w:rPr>
          <w:sz w:val="22"/>
          <w:szCs w:val="22"/>
          <w:shd w:val="clear" w:color="auto" w:fill="FFFFFF"/>
        </w:rPr>
        <w:t>= $</w:t>
      </w:r>
      <w:r>
        <w:rPr>
          <w:sz w:val="22"/>
          <w:szCs w:val="22"/>
          <w:shd w:val="clear" w:color="auto" w:fill="FFFFFF"/>
        </w:rPr>
        <w:t>3</w:t>
      </w:r>
      <w:r w:rsidR="00EB72FB">
        <w:rPr>
          <w:sz w:val="22"/>
          <w:szCs w:val="22"/>
          <w:shd w:val="clear" w:color="auto" w:fill="FFFFFF"/>
        </w:rPr>
        <w:t>34.57</w:t>
      </w:r>
    </w:p>
    <w:p w:rsidR="003B4CB8" w:rsidRPr="0019473E" w:rsidP="003B4CB8" w14:paraId="57B695DA" w14:textId="2C9A9678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                    </w:t>
      </w:r>
      <w:r w:rsidR="00F87986">
        <w:rPr>
          <w:sz w:val="22"/>
          <w:szCs w:val="22"/>
          <w:shd w:val="clear" w:color="auto" w:fill="FFFFFF"/>
        </w:rPr>
        <w:t xml:space="preserve">                           </w:t>
      </w:r>
      <w:r w:rsidR="00B25971">
        <w:rPr>
          <w:sz w:val="22"/>
          <w:szCs w:val="22"/>
          <w:shd w:val="clear" w:color="auto" w:fill="FFFFFF"/>
        </w:rPr>
        <w:t xml:space="preserve"> </w:t>
      </w:r>
      <w:r w:rsidR="00FD78B0">
        <w:rPr>
          <w:sz w:val="22"/>
          <w:szCs w:val="22"/>
          <w:shd w:val="clear" w:color="auto" w:fill="FFFFFF"/>
        </w:rPr>
        <w:tab/>
        <w:t xml:space="preserve"> </w:t>
      </w:r>
      <w:r w:rsidR="00FD78B0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30% overhead = </w:t>
      </w:r>
      <w:r w:rsidRPr="003B4CB8">
        <w:rPr>
          <w:sz w:val="22"/>
          <w:szCs w:val="22"/>
          <w:u w:val="single"/>
          <w:shd w:val="clear" w:color="auto" w:fill="FFFFFF"/>
        </w:rPr>
        <w:t>$</w:t>
      </w:r>
      <w:r w:rsidR="00823BF0">
        <w:rPr>
          <w:sz w:val="22"/>
          <w:szCs w:val="22"/>
          <w:u w:val="single"/>
          <w:shd w:val="clear" w:color="auto" w:fill="FFFFFF"/>
        </w:rPr>
        <w:t xml:space="preserve"> </w:t>
      </w:r>
      <w:r w:rsidR="00EB72FB">
        <w:rPr>
          <w:sz w:val="22"/>
          <w:szCs w:val="22"/>
          <w:u w:val="single"/>
          <w:shd w:val="clear" w:color="auto" w:fill="FFFFFF"/>
        </w:rPr>
        <w:t>100.37</w:t>
      </w:r>
    </w:p>
    <w:p w:rsidR="007124A2" w:rsidP="003B4CB8" w14:paraId="129FA25E" w14:textId="3207EBE4">
      <w:pPr>
        <w:ind w:left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 xml:space="preserve">          </w:t>
      </w:r>
      <w:r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ab/>
        <w:t xml:space="preserve">        </w:t>
      </w:r>
      <w:r w:rsidR="00B25971">
        <w:rPr>
          <w:sz w:val="22"/>
          <w:szCs w:val="22"/>
          <w:shd w:val="clear" w:color="auto" w:fill="FFFFFF"/>
        </w:rPr>
        <w:t xml:space="preserve">       </w:t>
      </w:r>
      <w:r w:rsidR="00FD78B0">
        <w:rPr>
          <w:sz w:val="22"/>
          <w:szCs w:val="22"/>
          <w:shd w:val="clear" w:color="auto" w:fill="FFFFFF"/>
        </w:rPr>
        <w:tab/>
      </w:r>
      <w:r w:rsidR="00FD78B0">
        <w:rPr>
          <w:sz w:val="22"/>
          <w:szCs w:val="22"/>
          <w:shd w:val="clear" w:color="auto" w:fill="FFFFFF"/>
        </w:rPr>
        <w:tab/>
        <w:t xml:space="preserve">   </w:t>
      </w:r>
      <w:r>
        <w:rPr>
          <w:sz w:val="22"/>
          <w:szCs w:val="22"/>
          <w:shd w:val="clear" w:color="auto" w:fill="FFFFFF"/>
        </w:rPr>
        <w:t>Total:  $</w:t>
      </w:r>
      <w:r w:rsidR="00EB72FB">
        <w:rPr>
          <w:sz w:val="22"/>
          <w:szCs w:val="22"/>
          <w:shd w:val="clear" w:color="auto" w:fill="FFFFFF"/>
        </w:rPr>
        <w:t>434.94</w:t>
      </w:r>
    </w:p>
    <w:p w:rsidR="007124A2" w:rsidRPr="0019473E" w:rsidP="00AE6C60" w14:paraId="11249F48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ab/>
      </w:r>
      <w:r w:rsidRPr="0019473E">
        <w:rPr>
          <w:sz w:val="22"/>
          <w:szCs w:val="22"/>
          <w:shd w:val="clear" w:color="auto" w:fill="FFFFFF"/>
        </w:rPr>
        <w:tab/>
      </w:r>
      <w:r w:rsidRPr="0019473E">
        <w:rPr>
          <w:sz w:val="22"/>
          <w:szCs w:val="22"/>
          <w:shd w:val="clear" w:color="auto" w:fill="FFFFFF"/>
        </w:rPr>
        <w:tab/>
      </w:r>
      <w:r w:rsidRPr="0019473E" w:rsidR="003F71E3">
        <w:rPr>
          <w:sz w:val="22"/>
          <w:szCs w:val="22"/>
          <w:shd w:val="clear" w:color="auto" w:fill="FFFFFF"/>
        </w:rPr>
        <w:tab/>
      </w:r>
      <w:r w:rsidRPr="0019473E">
        <w:rPr>
          <w:sz w:val="22"/>
          <w:szCs w:val="22"/>
          <w:shd w:val="clear" w:color="auto" w:fill="FFFFFF"/>
        </w:rPr>
        <w:tab/>
      </w:r>
    </w:p>
    <w:p w:rsidR="00D367A2" w:rsidP="007C755A" w14:paraId="2DCFB434" w14:textId="77777777">
      <w:pPr>
        <w:ind w:left="360" w:firstLine="360"/>
        <w:rPr>
          <w:b/>
          <w:sz w:val="22"/>
          <w:szCs w:val="22"/>
          <w:shd w:val="clear" w:color="auto" w:fill="FFFFFF"/>
        </w:rPr>
      </w:pPr>
    </w:p>
    <w:p w:rsidR="00D367A2" w:rsidP="007C755A" w14:paraId="0512829A" w14:textId="77777777">
      <w:pPr>
        <w:ind w:left="360" w:firstLine="360"/>
        <w:rPr>
          <w:b/>
          <w:sz w:val="22"/>
          <w:szCs w:val="22"/>
          <w:shd w:val="clear" w:color="auto" w:fill="FFFFFF"/>
        </w:rPr>
      </w:pPr>
    </w:p>
    <w:p w:rsidR="007C755A" w:rsidRPr="0019473E" w:rsidP="007C755A" w14:paraId="44FF4A4C" w14:textId="28EF72C4">
      <w:pPr>
        <w:ind w:left="360" w:firstLine="360"/>
        <w:rPr>
          <w:sz w:val="22"/>
          <w:szCs w:val="22"/>
          <w:shd w:val="clear" w:color="auto" w:fill="FFFFFF"/>
        </w:rPr>
      </w:pPr>
      <w:r w:rsidRPr="0019473E">
        <w:rPr>
          <w:b/>
          <w:sz w:val="22"/>
          <w:szCs w:val="22"/>
          <w:shd w:val="clear" w:color="auto" w:fill="FFFFFF"/>
        </w:rPr>
        <w:t>Total Cost to Federal Government</w:t>
      </w:r>
      <w:r w:rsidRPr="00280C30">
        <w:rPr>
          <w:b/>
          <w:sz w:val="22"/>
          <w:szCs w:val="22"/>
          <w:shd w:val="clear" w:color="auto" w:fill="FFFFFF"/>
        </w:rPr>
        <w:t xml:space="preserve">: </w:t>
      </w:r>
      <w:r w:rsidRPr="00280C30" w:rsidR="003F71E3">
        <w:rPr>
          <w:b/>
          <w:sz w:val="22"/>
          <w:szCs w:val="22"/>
          <w:shd w:val="clear" w:color="auto" w:fill="FFFFFF"/>
        </w:rPr>
        <w:t xml:space="preserve"> </w:t>
      </w:r>
      <w:r w:rsidRPr="00280C30">
        <w:rPr>
          <w:b/>
          <w:sz w:val="22"/>
          <w:szCs w:val="22"/>
          <w:shd w:val="clear" w:color="auto" w:fill="FFFFFF"/>
        </w:rPr>
        <w:t>$</w:t>
      </w:r>
      <w:r w:rsidRPr="00901EB2" w:rsidR="00901EB2">
        <w:rPr>
          <w:b/>
          <w:sz w:val="22"/>
          <w:szCs w:val="22"/>
          <w:shd w:val="clear" w:color="auto" w:fill="FFFFFF"/>
        </w:rPr>
        <w:t>2</w:t>
      </w:r>
      <w:r w:rsidR="001212F2">
        <w:rPr>
          <w:b/>
          <w:sz w:val="22"/>
          <w:szCs w:val="22"/>
          <w:shd w:val="clear" w:color="auto" w:fill="FFFFFF"/>
        </w:rPr>
        <w:t>37.24</w:t>
      </w:r>
      <w:r w:rsidRPr="00280C30" w:rsidR="00B25971">
        <w:rPr>
          <w:b/>
          <w:sz w:val="22"/>
          <w:szCs w:val="22"/>
          <w:shd w:val="clear" w:color="auto" w:fill="FFFFFF"/>
        </w:rPr>
        <w:t xml:space="preserve"> + $</w:t>
      </w:r>
      <w:r w:rsidRPr="00901EB2" w:rsidR="00901EB2">
        <w:rPr>
          <w:b/>
          <w:sz w:val="22"/>
          <w:szCs w:val="22"/>
          <w:shd w:val="clear" w:color="auto" w:fill="FFFFFF"/>
        </w:rPr>
        <w:t>3</w:t>
      </w:r>
      <w:r w:rsidR="001212F2">
        <w:rPr>
          <w:b/>
          <w:sz w:val="22"/>
          <w:szCs w:val="22"/>
          <w:shd w:val="clear" w:color="auto" w:fill="FFFFFF"/>
        </w:rPr>
        <w:t>95.40</w:t>
      </w:r>
      <w:r w:rsidRPr="00280C30" w:rsidR="00B25971">
        <w:rPr>
          <w:b/>
          <w:sz w:val="22"/>
          <w:szCs w:val="22"/>
          <w:shd w:val="clear" w:color="auto" w:fill="FFFFFF"/>
        </w:rPr>
        <w:t xml:space="preserve"> + $</w:t>
      </w:r>
      <w:r w:rsidR="001212F2">
        <w:rPr>
          <w:b/>
          <w:sz w:val="22"/>
          <w:szCs w:val="22"/>
          <w:shd w:val="clear" w:color="auto" w:fill="FFFFFF"/>
        </w:rPr>
        <w:t>434.94</w:t>
      </w:r>
      <w:r w:rsidRPr="00280C30" w:rsidR="00B25971">
        <w:rPr>
          <w:b/>
          <w:sz w:val="22"/>
          <w:szCs w:val="22"/>
          <w:shd w:val="clear" w:color="auto" w:fill="FFFFFF"/>
        </w:rPr>
        <w:t xml:space="preserve"> = $</w:t>
      </w:r>
      <w:r w:rsidR="001212F2">
        <w:rPr>
          <w:b/>
          <w:sz w:val="22"/>
          <w:szCs w:val="22"/>
          <w:shd w:val="clear" w:color="auto" w:fill="FFFFFF"/>
        </w:rPr>
        <w:t>1,067.58</w:t>
      </w:r>
    </w:p>
    <w:p w:rsidR="002D6656" w:rsidP="00AE6C60" w14:paraId="10D227D8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4F016C" w:rsidRPr="0019473E" w:rsidP="00941481" w14:paraId="1405C78F" w14:textId="77777777">
      <w:pPr>
        <w:rPr>
          <w:sz w:val="22"/>
          <w:szCs w:val="22"/>
          <w:shd w:val="clear" w:color="auto" w:fill="FFFFFF"/>
        </w:rPr>
      </w:pPr>
    </w:p>
    <w:p w:rsidR="00D52984" w:rsidRPr="00C451C8" w:rsidP="00A4612F" w14:paraId="0FEB6B4C" w14:textId="25DB2C8E">
      <w:pPr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15.</w:t>
      </w:r>
      <w:r w:rsidR="00C07E58">
        <w:rPr>
          <w:sz w:val="22"/>
          <w:szCs w:val="22"/>
          <w:shd w:val="clear" w:color="auto" w:fill="FFFFFF"/>
        </w:rPr>
        <w:t xml:space="preserve"> </w:t>
      </w:r>
      <w:r w:rsidRPr="00C451C8">
        <w:rPr>
          <w:sz w:val="22"/>
          <w:szCs w:val="22"/>
          <w:shd w:val="clear" w:color="auto" w:fill="FFFFFF"/>
        </w:rPr>
        <w:t>The</w:t>
      </w:r>
      <w:r>
        <w:rPr>
          <w:sz w:val="22"/>
          <w:szCs w:val="22"/>
          <w:shd w:val="clear" w:color="auto" w:fill="FFFFFF"/>
        </w:rPr>
        <w:t>re are</w:t>
      </w:r>
      <w:r w:rsidRPr="00C451C8"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</w:rPr>
        <w:t>no program changes</w:t>
      </w:r>
      <w:r w:rsidRPr="00C451C8">
        <w:rPr>
          <w:sz w:val="22"/>
          <w:szCs w:val="22"/>
          <w:shd w:val="clear" w:color="auto" w:fill="FFFFFF"/>
        </w:rPr>
        <w:t xml:space="preserve"> </w:t>
      </w:r>
      <w:r w:rsidR="00D367A2">
        <w:rPr>
          <w:sz w:val="22"/>
          <w:szCs w:val="22"/>
          <w:shd w:val="clear" w:color="auto" w:fill="FFFFFF"/>
        </w:rPr>
        <w:t xml:space="preserve">or adjustments </w:t>
      </w:r>
      <w:r w:rsidRPr="00C451C8">
        <w:rPr>
          <w:sz w:val="22"/>
          <w:szCs w:val="22"/>
          <w:shd w:val="clear" w:color="auto" w:fill="FFFFFF"/>
        </w:rPr>
        <w:t>to this information collection</w:t>
      </w:r>
      <w:r>
        <w:rPr>
          <w:sz w:val="22"/>
          <w:szCs w:val="22"/>
          <w:shd w:val="clear" w:color="auto" w:fill="FFFFFF"/>
        </w:rPr>
        <w:t>.</w:t>
      </w:r>
    </w:p>
    <w:p w:rsidR="00334F6F" w:rsidRPr="00C451C8" w:rsidP="00AE6C60" w14:paraId="7EE2CBFD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A27549" w:rsidP="00A4612F" w14:paraId="5104D6F7" w14:textId="77777777">
      <w:pPr>
        <w:rPr>
          <w:sz w:val="22"/>
          <w:szCs w:val="22"/>
          <w:shd w:val="clear" w:color="auto" w:fill="FFFFFF"/>
        </w:rPr>
      </w:pPr>
    </w:p>
    <w:p w:rsidR="00BF5E80" w:rsidRPr="0019473E" w:rsidP="00AE6C60" w14:paraId="41B79AE5" w14:textId="77777777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16.</w:t>
      </w:r>
      <w:r w:rsidRPr="0019473E">
        <w:rPr>
          <w:sz w:val="22"/>
          <w:szCs w:val="22"/>
          <w:shd w:val="clear" w:color="auto" w:fill="FFFFFF"/>
        </w:rPr>
        <w:tab/>
        <w:t>The data will not be published for statistical uses.</w:t>
      </w:r>
    </w:p>
    <w:p w:rsidR="00334F6F" w:rsidP="00AE6C60" w14:paraId="3BBE22E0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BF5E80" w:rsidRPr="0019473E" w:rsidP="00AE6C60" w14:paraId="084CC37F" w14:textId="44CEF2DA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17.</w:t>
      </w:r>
      <w:r w:rsidRPr="0019473E">
        <w:rPr>
          <w:sz w:val="22"/>
          <w:szCs w:val="22"/>
          <w:shd w:val="clear" w:color="auto" w:fill="FFFFFF"/>
        </w:rPr>
        <w:tab/>
      </w:r>
      <w:r w:rsidRPr="0019473E">
        <w:rPr>
          <w:sz w:val="22"/>
          <w:szCs w:val="22"/>
          <w:shd w:val="clear" w:color="auto" w:fill="FFFFFF"/>
        </w:rPr>
        <w:t xml:space="preserve">The Commission requests OMB approval not to display the expiration date for OMB approval on FCC Forms 44 and 45.  This will allow </w:t>
      </w:r>
      <w:r w:rsidR="007660FB">
        <w:rPr>
          <w:sz w:val="22"/>
          <w:szCs w:val="22"/>
          <w:shd w:val="clear" w:color="auto" w:fill="FFFFFF"/>
        </w:rPr>
        <w:t>continued use of the version of the form that respondents already have</w:t>
      </w:r>
      <w:r w:rsidRPr="0019473E">
        <w:rPr>
          <w:sz w:val="22"/>
          <w:szCs w:val="22"/>
          <w:shd w:val="clear" w:color="auto" w:fill="FFFFFF"/>
        </w:rPr>
        <w:t>.</w:t>
      </w:r>
    </w:p>
    <w:p w:rsidR="00BF5E80" w:rsidRPr="0019473E" w:rsidP="00AE6C60" w14:paraId="03F483A1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E9201A" w:rsidRPr="0019473E" w:rsidP="00D367A2" w14:paraId="39E01BAF" w14:textId="39902A88">
      <w:pPr>
        <w:ind w:left="360" w:hanging="360"/>
        <w:rPr>
          <w:sz w:val="22"/>
          <w:szCs w:val="22"/>
          <w:shd w:val="clear" w:color="auto" w:fill="FFFFFF"/>
        </w:rPr>
      </w:pPr>
      <w:r w:rsidRPr="0019473E">
        <w:rPr>
          <w:sz w:val="22"/>
          <w:szCs w:val="22"/>
          <w:shd w:val="clear" w:color="auto" w:fill="FFFFFF"/>
        </w:rPr>
        <w:t>18.</w:t>
      </w:r>
      <w:r w:rsidRPr="0019473E">
        <w:rPr>
          <w:sz w:val="22"/>
          <w:szCs w:val="22"/>
          <w:shd w:val="clear" w:color="auto" w:fill="FFFFFF"/>
        </w:rPr>
        <w:tab/>
      </w:r>
      <w:r>
        <w:rPr>
          <w:sz w:val="22"/>
          <w:szCs w:val="22"/>
          <w:shd w:val="clear" w:color="auto" w:fill="FFFFFF"/>
        </w:rPr>
        <w:t xml:space="preserve">There are </w:t>
      </w:r>
      <w:r w:rsidR="006C44C7">
        <w:rPr>
          <w:sz w:val="22"/>
          <w:szCs w:val="22"/>
          <w:shd w:val="clear" w:color="auto" w:fill="FFFFFF"/>
        </w:rPr>
        <w:t xml:space="preserve">no </w:t>
      </w:r>
      <w:r>
        <w:rPr>
          <w:sz w:val="22"/>
          <w:szCs w:val="22"/>
          <w:shd w:val="clear" w:color="auto" w:fill="FFFFFF"/>
        </w:rPr>
        <w:t xml:space="preserve">exceptions to the Certification Statement. </w:t>
      </w:r>
    </w:p>
    <w:p w:rsidR="00BF5E80" w:rsidRPr="0019473E" w:rsidP="00AE6C60" w14:paraId="4E39D903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BF5E80" w:rsidRPr="00BF5E80" w:rsidP="00AE6C60" w14:paraId="1C47181E" w14:textId="77777777">
      <w:pPr>
        <w:ind w:left="360" w:hanging="360"/>
        <w:rPr>
          <w:b/>
          <w:sz w:val="22"/>
          <w:szCs w:val="22"/>
          <w:shd w:val="clear" w:color="auto" w:fill="FFFFFF"/>
        </w:rPr>
      </w:pPr>
      <w:r w:rsidRPr="00BF5E80">
        <w:rPr>
          <w:b/>
          <w:sz w:val="22"/>
          <w:szCs w:val="22"/>
          <w:shd w:val="clear" w:color="auto" w:fill="FFFFFF"/>
        </w:rPr>
        <w:t xml:space="preserve">B. </w:t>
      </w:r>
      <w:r w:rsidRPr="00BF5E80">
        <w:rPr>
          <w:b/>
          <w:sz w:val="22"/>
          <w:szCs w:val="22"/>
          <w:shd w:val="clear" w:color="auto" w:fill="FFFFFF"/>
        </w:rPr>
        <w:tab/>
        <w:t>Collections of Information Employing Statistical Methods.</w:t>
      </w:r>
    </w:p>
    <w:p w:rsidR="00BF5E80" w:rsidP="00AE6C60" w14:paraId="6E74EA12" w14:textId="77777777">
      <w:pPr>
        <w:ind w:left="360" w:hanging="360"/>
        <w:rPr>
          <w:sz w:val="22"/>
          <w:szCs w:val="22"/>
          <w:shd w:val="clear" w:color="auto" w:fill="FFFFFF"/>
        </w:rPr>
      </w:pPr>
    </w:p>
    <w:p w:rsidR="00BF5E80" w:rsidRPr="00BF5E80" w:rsidP="00AE6C60" w14:paraId="1644B711" w14:textId="77777777">
      <w:pPr>
        <w:ind w:left="360" w:hanging="360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ab/>
        <w:t>This information collection does not use any statistical methods.</w:t>
      </w:r>
    </w:p>
    <w:p w:rsidR="00E13BE0" w:rsidRPr="00D02949" w:rsidP="00AE6C60" w14:paraId="652FCAD6" w14:textId="65389EF3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</w:r>
    </w:p>
    <w:sectPr w:rsidSect="008E6648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3162" w:rsidP="00725505" w14:paraId="1655CA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53162" w14:paraId="74357FE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3162" w:rsidRPr="00725505" w:rsidP="00D84ABE" w14:paraId="331BA133" w14:textId="3B55D9BA">
    <w:pPr>
      <w:pStyle w:val="Footer"/>
      <w:framePr w:wrap="around" w:vAnchor="text" w:hAnchor="page" w:x="6121" w:y="-38"/>
      <w:jc w:val="center"/>
      <w:rPr>
        <w:rStyle w:val="PageNumber"/>
        <w:sz w:val="20"/>
        <w:szCs w:val="20"/>
      </w:rPr>
    </w:pPr>
    <w:r w:rsidRPr="00725505">
      <w:rPr>
        <w:rStyle w:val="PageNumber"/>
        <w:sz w:val="20"/>
        <w:szCs w:val="20"/>
      </w:rPr>
      <w:fldChar w:fldCharType="begin"/>
    </w:r>
    <w:r w:rsidRPr="00725505">
      <w:rPr>
        <w:rStyle w:val="PageNumber"/>
        <w:sz w:val="20"/>
        <w:szCs w:val="20"/>
      </w:rPr>
      <w:instrText xml:space="preserve">PAGE  </w:instrText>
    </w:r>
    <w:r w:rsidRPr="00725505">
      <w:rPr>
        <w:rStyle w:val="PageNumber"/>
        <w:sz w:val="20"/>
        <w:szCs w:val="20"/>
      </w:rPr>
      <w:fldChar w:fldCharType="separate"/>
    </w:r>
    <w:r w:rsidR="003958F6">
      <w:rPr>
        <w:rStyle w:val="PageNumber"/>
        <w:noProof/>
        <w:sz w:val="20"/>
        <w:szCs w:val="20"/>
      </w:rPr>
      <w:t>1</w:t>
    </w:r>
    <w:r w:rsidRPr="00725505">
      <w:rPr>
        <w:rStyle w:val="PageNumber"/>
        <w:sz w:val="20"/>
        <w:szCs w:val="20"/>
      </w:rPr>
      <w:fldChar w:fldCharType="end"/>
    </w:r>
  </w:p>
  <w:p w:rsidR="00B53162" w14:paraId="4603E09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02BBA" w14:paraId="4034B39C" w14:textId="77777777">
      <w:r>
        <w:separator/>
      </w:r>
    </w:p>
  </w:footnote>
  <w:footnote w:type="continuationSeparator" w:id="1">
    <w:p w:rsidR="00B02BBA" w14:paraId="360E3488" w14:textId="77777777">
      <w:r>
        <w:continuationSeparator/>
      </w:r>
    </w:p>
  </w:footnote>
  <w:footnote w:id="2">
    <w:p w:rsidR="00B53162" w:rsidRPr="0060497F" w:rsidP="0060497F" w14:paraId="4DB0BC0C" w14:textId="77777777">
      <w:pPr>
        <w:tabs>
          <w:tab w:val="left" w:pos="120"/>
        </w:tabs>
        <w:ind w:left="120" w:hanging="120"/>
        <w:rPr>
          <w:sz w:val="20"/>
          <w:szCs w:val="22"/>
          <w:shd w:val="clear" w:color="auto" w:fill="FFFFFF"/>
        </w:rPr>
      </w:pPr>
      <w:r w:rsidRPr="0060497F">
        <w:rPr>
          <w:rStyle w:val="FootnoteReference"/>
          <w:sz w:val="20"/>
        </w:rPr>
        <w:footnoteRef/>
      </w:r>
      <w:r w:rsidRPr="0060497F">
        <w:rPr>
          <w:sz w:val="20"/>
        </w:rPr>
        <w:t xml:space="preserve"> </w:t>
      </w:r>
      <w:r w:rsidRPr="0060497F">
        <w:rPr>
          <w:sz w:val="20"/>
          <w:szCs w:val="22"/>
          <w:shd w:val="clear" w:color="auto" w:fill="FFFFFF"/>
        </w:rPr>
        <w:t xml:space="preserve">On July 13, 1999, the FCC adopted a </w:t>
      </w:r>
      <w:r w:rsidRPr="003C12CD">
        <w:rPr>
          <w:i/>
          <w:sz w:val="20"/>
          <w:szCs w:val="22"/>
          <w:shd w:val="clear" w:color="auto" w:fill="FFFFFF"/>
        </w:rPr>
        <w:t>Report and Order and Further Notice of Proposed Rulemaking</w:t>
      </w:r>
      <w:r w:rsidRPr="0060497F">
        <w:rPr>
          <w:sz w:val="20"/>
          <w:szCs w:val="22"/>
          <w:shd w:val="clear" w:color="auto" w:fill="FFFFFF"/>
        </w:rPr>
        <w:t xml:space="preserve">, In the Matter of </w:t>
      </w:r>
      <w:r w:rsidRPr="0060497F">
        <w:rPr>
          <w:sz w:val="20"/>
          <w:szCs w:val="22"/>
          <w:shd w:val="clear" w:color="auto" w:fill="FFFFFF"/>
        </w:rPr>
        <w:t>1998 Biennial Regulatory Review—Review of Accounts Settlement in the Maritime Mobile and Maritime Mobile-Satellite Radio Services and Withdrawal of the Commission as an Accounting Authority in the Maritime Mobile and Maritime Mobile-Satellite Radio Services, IB Docket No. 98-96, FCC 99-150, in which the Commission propos</w:t>
      </w:r>
      <w:r>
        <w:rPr>
          <w:sz w:val="20"/>
          <w:szCs w:val="22"/>
          <w:shd w:val="clear" w:color="auto" w:fill="FFFFFF"/>
        </w:rPr>
        <w:t>ed</w:t>
      </w:r>
      <w:r w:rsidRPr="0060497F">
        <w:rPr>
          <w:sz w:val="20"/>
          <w:szCs w:val="22"/>
          <w:shd w:val="clear" w:color="auto" w:fill="FFFFFF"/>
        </w:rPr>
        <w:t xml:space="preserve"> to withdrawal the FCC from its role as a nationwide clearinghouse for settling accounts for maritime mobile, maritime satellite, aircraft, and handheld terminal radio services.</w:t>
      </w:r>
      <w:r>
        <w:rPr>
          <w:sz w:val="20"/>
          <w:szCs w:val="22"/>
          <w:shd w:val="clear" w:color="auto" w:fill="FFFFFF"/>
        </w:rPr>
        <w:t xml:space="preserve">  However, </w:t>
      </w:r>
      <w:r>
        <w:rPr>
          <w:sz w:val="20"/>
          <w:szCs w:val="22"/>
          <w:shd w:val="clear" w:color="auto" w:fill="FFFFFF"/>
        </w:rPr>
        <w:t xml:space="preserve">this proposal was never finalized and the FCC continues to assume its role as a nationwide clearinghouse. </w:t>
      </w:r>
    </w:p>
    <w:p w:rsidR="00B53162" w14:paraId="102B01B6" w14:textId="77777777">
      <w:pPr>
        <w:pStyle w:val="FootnoteText"/>
      </w:pPr>
    </w:p>
  </w:footnote>
  <w:footnote w:id="3">
    <w:p w:rsidR="00B53162" w:rsidRPr="00E8229F" w14:paraId="5CED656D" w14:textId="77777777">
      <w:pPr>
        <w:pStyle w:val="FootnoteText"/>
      </w:pPr>
      <w:r w:rsidRPr="00E8229F">
        <w:rPr>
          <w:rStyle w:val="FootnoteReference"/>
        </w:rPr>
        <w:footnoteRef/>
      </w:r>
      <w:r w:rsidRPr="00E8229F">
        <w:t xml:space="preserve"> AAIC is the Accounting </w:t>
      </w:r>
      <w:r>
        <w:t>A</w:t>
      </w:r>
      <w:r w:rsidRPr="00E8229F">
        <w:t xml:space="preserve">uthority </w:t>
      </w:r>
      <w:r>
        <w:t>I</w:t>
      </w:r>
      <w:r w:rsidRPr="00E8229F">
        <w:t xml:space="preserve">dentification </w:t>
      </w:r>
      <w:r>
        <w:t>C</w:t>
      </w:r>
      <w:r w:rsidRPr="00E8229F">
        <w:t>ode (AAIC).</w:t>
      </w:r>
    </w:p>
  </w:footnote>
  <w:footnote w:id="4">
    <w:p w:rsidR="00B53162" w14:paraId="1A58FD4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5A54">
        <w:rPr>
          <w:i/>
        </w:rPr>
        <w:t>See</w:t>
      </w:r>
      <w:r>
        <w:t xml:space="preserve"> OMB Control Number 3060-0728.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A7DE6" w:rsidP="000A7DE6" w14:paraId="7AA09D35" w14:textId="77777777">
    <w:pPr>
      <w:pStyle w:val="Header"/>
      <w:rPr>
        <w:b/>
        <w:sz w:val="22"/>
        <w:szCs w:val="22"/>
      </w:rPr>
    </w:pPr>
    <w:r>
      <w:rPr>
        <w:b/>
        <w:sz w:val="22"/>
        <w:szCs w:val="22"/>
      </w:rPr>
      <w:tab/>
    </w:r>
  </w:p>
  <w:p w:rsidR="000A7DE6" w:rsidP="000A7DE6" w14:paraId="7EBBF2A9" w14:textId="71E593AD">
    <w:pPr>
      <w:pStyle w:val="Header"/>
      <w:rPr>
        <w:b/>
        <w:sz w:val="22"/>
        <w:szCs w:val="22"/>
      </w:rPr>
    </w:pPr>
    <w:r>
      <w:rPr>
        <w:b/>
        <w:sz w:val="22"/>
        <w:szCs w:val="22"/>
      </w:rPr>
      <w:t xml:space="preserve">Administration of U.S. Certified Accounting Authorities in Maritime Mobile             </w:t>
    </w:r>
    <w:r w:rsidR="00BF7254">
      <w:rPr>
        <w:b/>
        <w:sz w:val="22"/>
        <w:szCs w:val="22"/>
      </w:rPr>
      <w:t xml:space="preserve">     </w:t>
    </w:r>
    <w:r>
      <w:rPr>
        <w:b/>
        <w:sz w:val="22"/>
        <w:szCs w:val="22"/>
      </w:rPr>
      <w:t>3060-0584</w:t>
    </w:r>
    <w:r>
      <w:rPr>
        <w:b/>
        <w:sz w:val="22"/>
        <w:szCs w:val="22"/>
      </w:rPr>
      <w:tab/>
    </w:r>
  </w:p>
  <w:p w:rsidR="00D21E85" w:rsidP="000A7DE6" w14:paraId="3DEE2495" w14:textId="3E51E44F">
    <w:pPr>
      <w:pStyle w:val="Header"/>
      <w:spacing w:after="240"/>
      <w:rPr>
        <w:b/>
        <w:sz w:val="22"/>
        <w:szCs w:val="22"/>
      </w:rPr>
    </w:pPr>
    <w:r>
      <w:rPr>
        <w:b/>
        <w:sz w:val="22"/>
        <w:szCs w:val="22"/>
      </w:rPr>
      <w:t xml:space="preserve">and Maritime Mobile-Satellite Radio Services, FCC Forms 44 and 45                      </w:t>
    </w:r>
    <w:r w:rsidR="00A94975">
      <w:rPr>
        <w:b/>
        <w:sz w:val="22"/>
        <w:szCs w:val="22"/>
      </w:rPr>
      <w:t xml:space="preserve"> November </w:t>
    </w:r>
    <w:r w:rsidR="00225063">
      <w:rPr>
        <w:b/>
        <w:sz w:val="22"/>
        <w:szCs w:val="22"/>
      </w:rPr>
      <w:t>202</w:t>
    </w:r>
    <w:r w:rsidR="00EB72FB">
      <w:rPr>
        <w:b/>
        <w:sz w:val="22"/>
        <w:szCs w:val="22"/>
      </w:rPr>
      <w:t>3</w:t>
    </w:r>
  </w:p>
  <w:p w:rsidR="00B53162" w:rsidRPr="00B13A05" w:rsidP="000A7DE6" w14:paraId="0DA62871" w14:textId="7326CB14">
    <w:pPr>
      <w:pStyle w:val="Header"/>
      <w:rPr>
        <w:b/>
        <w:sz w:val="22"/>
        <w:szCs w:val="22"/>
      </w:rPr>
    </w:pPr>
    <w:r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="00956487">
      <w:rPr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D59C0"/>
    <w:multiLevelType w:val="hybridMultilevel"/>
    <w:tmpl w:val="392CAB7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4467F2"/>
    <w:multiLevelType w:val="hybridMultilevel"/>
    <w:tmpl w:val="562684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82531"/>
    <w:multiLevelType w:val="hybridMultilevel"/>
    <w:tmpl w:val="B14673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EE128C"/>
    <w:multiLevelType w:val="hybridMultilevel"/>
    <w:tmpl w:val="5140541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C84F6F"/>
    <w:multiLevelType w:val="hybridMultilevel"/>
    <w:tmpl w:val="78D4BFF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321615"/>
    <w:multiLevelType w:val="hybridMultilevel"/>
    <w:tmpl w:val="AC22460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767CE9"/>
    <w:multiLevelType w:val="hybridMultilevel"/>
    <w:tmpl w:val="8684EB0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022618"/>
    <w:multiLevelType w:val="hybridMultilevel"/>
    <w:tmpl w:val="4024062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643437"/>
    <w:multiLevelType w:val="hybridMultilevel"/>
    <w:tmpl w:val="6468529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1453E2"/>
    <w:multiLevelType w:val="hybridMultilevel"/>
    <w:tmpl w:val="DAF805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211CE"/>
    <w:multiLevelType w:val="hybridMultilevel"/>
    <w:tmpl w:val="97E49DC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0E1653"/>
    <w:multiLevelType w:val="hybridMultilevel"/>
    <w:tmpl w:val="0F7A21C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458420">
    <w:abstractNumId w:val="2"/>
  </w:num>
  <w:num w:numId="2" w16cid:durableId="1178736095">
    <w:abstractNumId w:val="8"/>
  </w:num>
  <w:num w:numId="3" w16cid:durableId="178082912">
    <w:abstractNumId w:val="4"/>
  </w:num>
  <w:num w:numId="4" w16cid:durableId="1038704139">
    <w:abstractNumId w:val="5"/>
  </w:num>
  <w:num w:numId="5" w16cid:durableId="1031607603">
    <w:abstractNumId w:val="1"/>
  </w:num>
  <w:num w:numId="6" w16cid:durableId="1841235299">
    <w:abstractNumId w:val="7"/>
  </w:num>
  <w:num w:numId="7" w16cid:durableId="1820271668">
    <w:abstractNumId w:val="10"/>
  </w:num>
  <w:num w:numId="8" w16cid:durableId="1368681941">
    <w:abstractNumId w:val="9"/>
  </w:num>
  <w:num w:numId="9" w16cid:durableId="562954256">
    <w:abstractNumId w:val="3"/>
  </w:num>
  <w:num w:numId="10" w16cid:durableId="1159423829">
    <w:abstractNumId w:val="6"/>
  </w:num>
  <w:num w:numId="11" w16cid:durableId="606278284">
    <w:abstractNumId w:val="11"/>
  </w:num>
  <w:num w:numId="12" w16cid:durableId="162693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A3"/>
    <w:rsid w:val="00006CCB"/>
    <w:rsid w:val="00012611"/>
    <w:rsid w:val="00013ADF"/>
    <w:rsid w:val="00014B27"/>
    <w:rsid w:val="00014F4E"/>
    <w:rsid w:val="00024030"/>
    <w:rsid w:val="00026DC2"/>
    <w:rsid w:val="000334AD"/>
    <w:rsid w:val="00046872"/>
    <w:rsid w:val="00050AE9"/>
    <w:rsid w:val="00052176"/>
    <w:rsid w:val="000562AA"/>
    <w:rsid w:val="00065110"/>
    <w:rsid w:val="00080D6C"/>
    <w:rsid w:val="00085B84"/>
    <w:rsid w:val="00086B45"/>
    <w:rsid w:val="000A2AEF"/>
    <w:rsid w:val="000A6FB2"/>
    <w:rsid w:val="000A7DE6"/>
    <w:rsid w:val="000B7E03"/>
    <w:rsid w:val="000C2BE4"/>
    <w:rsid w:val="000C580F"/>
    <w:rsid w:val="000D1025"/>
    <w:rsid w:val="000F0AE1"/>
    <w:rsid w:val="000F5480"/>
    <w:rsid w:val="0010051C"/>
    <w:rsid w:val="001012F6"/>
    <w:rsid w:val="00101B48"/>
    <w:rsid w:val="00112EE6"/>
    <w:rsid w:val="001212F2"/>
    <w:rsid w:val="00121A2B"/>
    <w:rsid w:val="00132130"/>
    <w:rsid w:val="00150A40"/>
    <w:rsid w:val="00161544"/>
    <w:rsid w:val="00162374"/>
    <w:rsid w:val="00171D47"/>
    <w:rsid w:val="00171E78"/>
    <w:rsid w:val="0017238D"/>
    <w:rsid w:val="001810CA"/>
    <w:rsid w:val="00186836"/>
    <w:rsid w:val="0019473E"/>
    <w:rsid w:val="0019627B"/>
    <w:rsid w:val="00197B56"/>
    <w:rsid w:val="001D55F8"/>
    <w:rsid w:val="001E14DD"/>
    <w:rsid w:val="001E22A6"/>
    <w:rsid w:val="001E6B07"/>
    <w:rsid w:val="001E6B4C"/>
    <w:rsid w:val="001F6E31"/>
    <w:rsid w:val="00201128"/>
    <w:rsid w:val="00205480"/>
    <w:rsid w:val="00207017"/>
    <w:rsid w:val="00207B0B"/>
    <w:rsid w:val="00225063"/>
    <w:rsid w:val="002263B4"/>
    <w:rsid w:val="00232EC2"/>
    <w:rsid w:val="00241322"/>
    <w:rsid w:val="00243026"/>
    <w:rsid w:val="00247FEC"/>
    <w:rsid w:val="00251B25"/>
    <w:rsid w:val="00251C39"/>
    <w:rsid w:val="0025282C"/>
    <w:rsid w:val="0025718F"/>
    <w:rsid w:val="0026328B"/>
    <w:rsid w:val="002809BB"/>
    <w:rsid w:val="00280C30"/>
    <w:rsid w:val="00286319"/>
    <w:rsid w:val="002874FD"/>
    <w:rsid w:val="00292E46"/>
    <w:rsid w:val="00293A86"/>
    <w:rsid w:val="002968F0"/>
    <w:rsid w:val="002A0501"/>
    <w:rsid w:val="002A5FEA"/>
    <w:rsid w:val="002B4549"/>
    <w:rsid w:val="002C6786"/>
    <w:rsid w:val="002D29C9"/>
    <w:rsid w:val="002D6656"/>
    <w:rsid w:val="002F09BC"/>
    <w:rsid w:val="002F24AA"/>
    <w:rsid w:val="00301F07"/>
    <w:rsid w:val="003033FA"/>
    <w:rsid w:val="00305E16"/>
    <w:rsid w:val="003156EA"/>
    <w:rsid w:val="00326FB3"/>
    <w:rsid w:val="003270B0"/>
    <w:rsid w:val="00331554"/>
    <w:rsid w:val="00332B7A"/>
    <w:rsid w:val="00334F6F"/>
    <w:rsid w:val="00335D31"/>
    <w:rsid w:val="00371558"/>
    <w:rsid w:val="00376105"/>
    <w:rsid w:val="003800F7"/>
    <w:rsid w:val="003817BB"/>
    <w:rsid w:val="003958F6"/>
    <w:rsid w:val="00396E32"/>
    <w:rsid w:val="00396E81"/>
    <w:rsid w:val="003B2218"/>
    <w:rsid w:val="003B4CB8"/>
    <w:rsid w:val="003C12CD"/>
    <w:rsid w:val="003C6427"/>
    <w:rsid w:val="003C663A"/>
    <w:rsid w:val="003D0BA9"/>
    <w:rsid w:val="003D1C3D"/>
    <w:rsid w:val="003D2F75"/>
    <w:rsid w:val="003D470A"/>
    <w:rsid w:val="003F40D7"/>
    <w:rsid w:val="003F71E3"/>
    <w:rsid w:val="004146E2"/>
    <w:rsid w:val="00414939"/>
    <w:rsid w:val="004222C3"/>
    <w:rsid w:val="00423328"/>
    <w:rsid w:val="004238B1"/>
    <w:rsid w:val="004340EC"/>
    <w:rsid w:val="00434441"/>
    <w:rsid w:val="0046310F"/>
    <w:rsid w:val="00481144"/>
    <w:rsid w:val="00481561"/>
    <w:rsid w:val="00492A3D"/>
    <w:rsid w:val="00493543"/>
    <w:rsid w:val="00493DCE"/>
    <w:rsid w:val="00497866"/>
    <w:rsid w:val="004A0836"/>
    <w:rsid w:val="004A5A7C"/>
    <w:rsid w:val="004B5039"/>
    <w:rsid w:val="004E2D91"/>
    <w:rsid w:val="004F016C"/>
    <w:rsid w:val="004F743D"/>
    <w:rsid w:val="005002AE"/>
    <w:rsid w:val="00525F73"/>
    <w:rsid w:val="0053147E"/>
    <w:rsid w:val="00535088"/>
    <w:rsid w:val="005421A7"/>
    <w:rsid w:val="00554769"/>
    <w:rsid w:val="00556717"/>
    <w:rsid w:val="0056349E"/>
    <w:rsid w:val="005740E1"/>
    <w:rsid w:val="005748F8"/>
    <w:rsid w:val="00574C62"/>
    <w:rsid w:val="0057544B"/>
    <w:rsid w:val="00575B1F"/>
    <w:rsid w:val="0057731D"/>
    <w:rsid w:val="00583911"/>
    <w:rsid w:val="00585940"/>
    <w:rsid w:val="00590DDC"/>
    <w:rsid w:val="00595A94"/>
    <w:rsid w:val="005A2287"/>
    <w:rsid w:val="005A50D9"/>
    <w:rsid w:val="005B4ED3"/>
    <w:rsid w:val="005B4FCA"/>
    <w:rsid w:val="005C645A"/>
    <w:rsid w:val="005D1B20"/>
    <w:rsid w:val="005D37BA"/>
    <w:rsid w:val="0060497F"/>
    <w:rsid w:val="006069B9"/>
    <w:rsid w:val="0060773C"/>
    <w:rsid w:val="00614D3F"/>
    <w:rsid w:val="00621AA9"/>
    <w:rsid w:val="0062216E"/>
    <w:rsid w:val="00623A7C"/>
    <w:rsid w:val="00623E30"/>
    <w:rsid w:val="006273C0"/>
    <w:rsid w:val="00630007"/>
    <w:rsid w:val="00633904"/>
    <w:rsid w:val="0063658A"/>
    <w:rsid w:val="006368F7"/>
    <w:rsid w:val="00637946"/>
    <w:rsid w:val="00641D25"/>
    <w:rsid w:val="00643572"/>
    <w:rsid w:val="00661E3E"/>
    <w:rsid w:val="00670491"/>
    <w:rsid w:val="00671B7A"/>
    <w:rsid w:val="00673A58"/>
    <w:rsid w:val="00681496"/>
    <w:rsid w:val="00685F6F"/>
    <w:rsid w:val="00687371"/>
    <w:rsid w:val="006A5A54"/>
    <w:rsid w:val="006B2232"/>
    <w:rsid w:val="006C40E0"/>
    <w:rsid w:val="006C44C7"/>
    <w:rsid w:val="006C6905"/>
    <w:rsid w:val="006D0218"/>
    <w:rsid w:val="00702DF7"/>
    <w:rsid w:val="00711143"/>
    <w:rsid w:val="007124A2"/>
    <w:rsid w:val="007178A7"/>
    <w:rsid w:val="00725505"/>
    <w:rsid w:val="007278D3"/>
    <w:rsid w:val="00727CE8"/>
    <w:rsid w:val="0073199C"/>
    <w:rsid w:val="0073209A"/>
    <w:rsid w:val="00732E3A"/>
    <w:rsid w:val="00733BE3"/>
    <w:rsid w:val="00752BAE"/>
    <w:rsid w:val="00754CF2"/>
    <w:rsid w:val="0075527B"/>
    <w:rsid w:val="00761B75"/>
    <w:rsid w:val="0076349F"/>
    <w:rsid w:val="007638E2"/>
    <w:rsid w:val="00764FCE"/>
    <w:rsid w:val="00765411"/>
    <w:rsid w:val="007660FB"/>
    <w:rsid w:val="00791956"/>
    <w:rsid w:val="007947A3"/>
    <w:rsid w:val="007972A2"/>
    <w:rsid w:val="007A004E"/>
    <w:rsid w:val="007A4078"/>
    <w:rsid w:val="007B2D6E"/>
    <w:rsid w:val="007B3212"/>
    <w:rsid w:val="007C1F67"/>
    <w:rsid w:val="007C755A"/>
    <w:rsid w:val="007D2BC5"/>
    <w:rsid w:val="007E1910"/>
    <w:rsid w:val="007E5A66"/>
    <w:rsid w:val="007F37A2"/>
    <w:rsid w:val="00802B7B"/>
    <w:rsid w:val="0080616C"/>
    <w:rsid w:val="00823BF0"/>
    <w:rsid w:val="0083467B"/>
    <w:rsid w:val="008438C7"/>
    <w:rsid w:val="00843A92"/>
    <w:rsid w:val="008473B1"/>
    <w:rsid w:val="00851DCA"/>
    <w:rsid w:val="008551FC"/>
    <w:rsid w:val="00861BB7"/>
    <w:rsid w:val="00867B85"/>
    <w:rsid w:val="00873F92"/>
    <w:rsid w:val="008A2BE8"/>
    <w:rsid w:val="008A6B89"/>
    <w:rsid w:val="008B468F"/>
    <w:rsid w:val="008C3300"/>
    <w:rsid w:val="008C3D73"/>
    <w:rsid w:val="008C3EB7"/>
    <w:rsid w:val="008C522B"/>
    <w:rsid w:val="008D42CE"/>
    <w:rsid w:val="008D5C50"/>
    <w:rsid w:val="008D65EC"/>
    <w:rsid w:val="008D769E"/>
    <w:rsid w:val="008E1FC8"/>
    <w:rsid w:val="008E6648"/>
    <w:rsid w:val="00901EB2"/>
    <w:rsid w:val="0091488F"/>
    <w:rsid w:val="0091792A"/>
    <w:rsid w:val="00921AF3"/>
    <w:rsid w:val="00923E5C"/>
    <w:rsid w:val="009342B0"/>
    <w:rsid w:val="00937704"/>
    <w:rsid w:val="009404D8"/>
    <w:rsid w:val="00941481"/>
    <w:rsid w:val="0094246F"/>
    <w:rsid w:val="00942479"/>
    <w:rsid w:val="00942A8B"/>
    <w:rsid w:val="00944A7E"/>
    <w:rsid w:val="0094685D"/>
    <w:rsid w:val="00956487"/>
    <w:rsid w:val="00972887"/>
    <w:rsid w:val="00973DDF"/>
    <w:rsid w:val="009C1CCA"/>
    <w:rsid w:val="009D2E20"/>
    <w:rsid w:val="009E6B07"/>
    <w:rsid w:val="009F63D7"/>
    <w:rsid w:val="00A00153"/>
    <w:rsid w:val="00A123E6"/>
    <w:rsid w:val="00A13F95"/>
    <w:rsid w:val="00A27549"/>
    <w:rsid w:val="00A32F23"/>
    <w:rsid w:val="00A4531E"/>
    <w:rsid w:val="00A4612F"/>
    <w:rsid w:val="00A543A4"/>
    <w:rsid w:val="00A61C52"/>
    <w:rsid w:val="00A7253B"/>
    <w:rsid w:val="00A77A60"/>
    <w:rsid w:val="00A81839"/>
    <w:rsid w:val="00A84FDC"/>
    <w:rsid w:val="00A86FB3"/>
    <w:rsid w:val="00A872F4"/>
    <w:rsid w:val="00A9174F"/>
    <w:rsid w:val="00A93F36"/>
    <w:rsid w:val="00A94975"/>
    <w:rsid w:val="00A954C2"/>
    <w:rsid w:val="00AA2D28"/>
    <w:rsid w:val="00AB2AF2"/>
    <w:rsid w:val="00AB437D"/>
    <w:rsid w:val="00AB4BC7"/>
    <w:rsid w:val="00AC3318"/>
    <w:rsid w:val="00AC4375"/>
    <w:rsid w:val="00AC76C5"/>
    <w:rsid w:val="00AD3C63"/>
    <w:rsid w:val="00AD50AE"/>
    <w:rsid w:val="00AE0715"/>
    <w:rsid w:val="00AE6C60"/>
    <w:rsid w:val="00AF432F"/>
    <w:rsid w:val="00B02BBA"/>
    <w:rsid w:val="00B0341E"/>
    <w:rsid w:val="00B042BD"/>
    <w:rsid w:val="00B13A05"/>
    <w:rsid w:val="00B17882"/>
    <w:rsid w:val="00B20681"/>
    <w:rsid w:val="00B20C55"/>
    <w:rsid w:val="00B248B7"/>
    <w:rsid w:val="00B24FD3"/>
    <w:rsid w:val="00B25971"/>
    <w:rsid w:val="00B316BD"/>
    <w:rsid w:val="00B32636"/>
    <w:rsid w:val="00B42282"/>
    <w:rsid w:val="00B4428F"/>
    <w:rsid w:val="00B47CEC"/>
    <w:rsid w:val="00B47E02"/>
    <w:rsid w:val="00B510FE"/>
    <w:rsid w:val="00B51C29"/>
    <w:rsid w:val="00B51E19"/>
    <w:rsid w:val="00B53162"/>
    <w:rsid w:val="00B53B38"/>
    <w:rsid w:val="00B53B92"/>
    <w:rsid w:val="00B60FEF"/>
    <w:rsid w:val="00B81C2B"/>
    <w:rsid w:val="00B90227"/>
    <w:rsid w:val="00B918AF"/>
    <w:rsid w:val="00B9436A"/>
    <w:rsid w:val="00BA489E"/>
    <w:rsid w:val="00BA5D1A"/>
    <w:rsid w:val="00BA6B3C"/>
    <w:rsid w:val="00BB0336"/>
    <w:rsid w:val="00BB247C"/>
    <w:rsid w:val="00BB3347"/>
    <w:rsid w:val="00BB699D"/>
    <w:rsid w:val="00BE17DA"/>
    <w:rsid w:val="00BF2785"/>
    <w:rsid w:val="00BF3791"/>
    <w:rsid w:val="00BF5E80"/>
    <w:rsid w:val="00BF66B7"/>
    <w:rsid w:val="00BF7254"/>
    <w:rsid w:val="00C00009"/>
    <w:rsid w:val="00C05E30"/>
    <w:rsid w:val="00C07E58"/>
    <w:rsid w:val="00C110FF"/>
    <w:rsid w:val="00C20ECC"/>
    <w:rsid w:val="00C30031"/>
    <w:rsid w:val="00C34450"/>
    <w:rsid w:val="00C40C0E"/>
    <w:rsid w:val="00C40D38"/>
    <w:rsid w:val="00C451C8"/>
    <w:rsid w:val="00C630BA"/>
    <w:rsid w:val="00C671BB"/>
    <w:rsid w:val="00C73F14"/>
    <w:rsid w:val="00C80BB6"/>
    <w:rsid w:val="00CA2D99"/>
    <w:rsid w:val="00CA4BAA"/>
    <w:rsid w:val="00CB7630"/>
    <w:rsid w:val="00CC303C"/>
    <w:rsid w:val="00CE04D8"/>
    <w:rsid w:val="00D00F65"/>
    <w:rsid w:val="00D02949"/>
    <w:rsid w:val="00D034FB"/>
    <w:rsid w:val="00D07B51"/>
    <w:rsid w:val="00D1094C"/>
    <w:rsid w:val="00D122A7"/>
    <w:rsid w:val="00D155DF"/>
    <w:rsid w:val="00D16160"/>
    <w:rsid w:val="00D17EAA"/>
    <w:rsid w:val="00D2130E"/>
    <w:rsid w:val="00D21E85"/>
    <w:rsid w:val="00D25EFA"/>
    <w:rsid w:val="00D33991"/>
    <w:rsid w:val="00D348BB"/>
    <w:rsid w:val="00D367A2"/>
    <w:rsid w:val="00D370AB"/>
    <w:rsid w:val="00D40758"/>
    <w:rsid w:val="00D4176F"/>
    <w:rsid w:val="00D43A71"/>
    <w:rsid w:val="00D461CB"/>
    <w:rsid w:val="00D46630"/>
    <w:rsid w:val="00D52984"/>
    <w:rsid w:val="00D5466E"/>
    <w:rsid w:val="00D550A4"/>
    <w:rsid w:val="00D73D10"/>
    <w:rsid w:val="00D74DF8"/>
    <w:rsid w:val="00D83888"/>
    <w:rsid w:val="00D84ABE"/>
    <w:rsid w:val="00DA07E9"/>
    <w:rsid w:val="00DA5499"/>
    <w:rsid w:val="00DC266E"/>
    <w:rsid w:val="00DC5DC1"/>
    <w:rsid w:val="00DD4746"/>
    <w:rsid w:val="00DD5D2E"/>
    <w:rsid w:val="00DD6F9E"/>
    <w:rsid w:val="00DE08D9"/>
    <w:rsid w:val="00DF1E53"/>
    <w:rsid w:val="00DF370D"/>
    <w:rsid w:val="00DF78FB"/>
    <w:rsid w:val="00E13BE0"/>
    <w:rsid w:val="00E17305"/>
    <w:rsid w:val="00E47E67"/>
    <w:rsid w:val="00E53D7B"/>
    <w:rsid w:val="00E62B83"/>
    <w:rsid w:val="00E6412A"/>
    <w:rsid w:val="00E641FE"/>
    <w:rsid w:val="00E64CF7"/>
    <w:rsid w:val="00E70AA4"/>
    <w:rsid w:val="00E746C1"/>
    <w:rsid w:val="00E8229F"/>
    <w:rsid w:val="00E8589C"/>
    <w:rsid w:val="00E9201A"/>
    <w:rsid w:val="00E93305"/>
    <w:rsid w:val="00EA2038"/>
    <w:rsid w:val="00EA3FAC"/>
    <w:rsid w:val="00EB72FB"/>
    <w:rsid w:val="00EC0D72"/>
    <w:rsid w:val="00EC6514"/>
    <w:rsid w:val="00ED0520"/>
    <w:rsid w:val="00ED572E"/>
    <w:rsid w:val="00ED7A7E"/>
    <w:rsid w:val="00EE51A0"/>
    <w:rsid w:val="00EF17BB"/>
    <w:rsid w:val="00EF2120"/>
    <w:rsid w:val="00EF6691"/>
    <w:rsid w:val="00F12D0A"/>
    <w:rsid w:val="00F13F69"/>
    <w:rsid w:val="00F23B92"/>
    <w:rsid w:val="00F257BB"/>
    <w:rsid w:val="00F352AD"/>
    <w:rsid w:val="00F45B77"/>
    <w:rsid w:val="00F5708F"/>
    <w:rsid w:val="00F57A63"/>
    <w:rsid w:val="00F63B0F"/>
    <w:rsid w:val="00F67497"/>
    <w:rsid w:val="00F7025D"/>
    <w:rsid w:val="00F73E6F"/>
    <w:rsid w:val="00F87986"/>
    <w:rsid w:val="00FC1893"/>
    <w:rsid w:val="00FC3291"/>
    <w:rsid w:val="00FD78B0"/>
    <w:rsid w:val="00FE0A09"/>
    <w:rsid w:val="00FE4D55"/>
    <w:rsid w:val="00FF472F"/>
    <w:rsid w:val="00FF6A2F"/>
    <w:rsid w:val="00FF6B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55B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A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3A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5505"/>
  </w:style>
  <w:style w:type="paragraph" w:styleId="FootnoteText">
    <w:name w:val="footnote text"/>
    <w:basedOn w:val="Normal"/>
    <w:semiHidden/>
    <w:rsid w:val="00C40D38"/>
    <w:rPr>
      <w:sz w:val="20"/>
      <w:szCs w:val="20"/>
    </w:rPr>
  </w:style>
  <w:style w:type="character" w:styleId="FootnoteReference">
    <w:name w:val="footnote reference"/>
    <w:semiHidden/>
    <w:rsid w:val="00C40D38"/>
    <w:rPr>
      <w:vertAlign w:val="superscript"/>
    </w:rPr>
  </w:style>
  <w:style w:type="character" w:styleId="Hyperlink">
    <w:name w:val="Hyperlink"/>
    <w:rsid w:val="00C671BB"/>
    <w:rPr>
      <w:color w:val="0000FF"/>
      <w:u w:val="single"/>
    </w:rPr>
  </w:style>
  <w:style w:type="paragraph" w:styleId="BalloonText">
    <w:name w:val="Balloon Text"/>
    <w:basedOn w:val="Normal"/>
    <w:semiHidden/>
    <w:rsid w:val="00D550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D0BA9"/>
    <w:pPr>
      <w:spacing w:before="100" w:beforeAutospacing="1" w:after="100" w:afterAutospacing="1"/>
    </w:pPr>
  </w:style>
  <w:style w:type="character" w:styleId="CommentReference">
    <w:name w:val="annotation reference"/>
    <w:rsid w:val="00E17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7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7305"/>
  </w:style>
  <w:style w:type="paragraph" w:styleId="CommentSubject">
    <w:name w:val="annotation subject"/>
    <w:basedOn w:val="CommentText"/>
    <w:next w:val="CommentText"/>
    <w:link w:val="CommentSubjectChar"/>
    <w:rsid w:val="00E17305"/>
    <w:rPr>
      <w:b/>
      <w:bCs/>
    </w:rPr>
  </w:style>
  <w:style w:type="character" w:customStyle="1" w:styleId="CommentSubjectChar">
    <w:name w:val="Comment Subject Char"/>
    <w:link w:val="CommentSubject"/>
    <w:rsid w:val="00E17305"/>
    <w:rPr>
      <w:b/>
      <w:bCs/>
    </w:rPr>
  </w:style>
  <w:style w:type="paragraph" w:styleId="ListParagraph">
    <w:name w:val="List Paragraph"/>
    <w:basedOn w:val="Normal"/>
    <w:uiPriority w:val="34"/>
    <w:qFormat/>
    <w:rsid w:val="00D21E85"/>
    <w:pPr>
      <w:ind w:left="720"/>
      <w:contextualSpacing/>
    </w:pPr>
  </w:style>
  <w:style w:type="paragraph" w:styleId="Revision">
    <w:name w:val="Revision"/>
    <w:hidden/>
    <w:uiPriority w:val="99"/>
    <w:semiHidden/>
    <w:rsid w:val="00D36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fcc.forms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F5AD-C3A0-4745-8915-8C94CB49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2090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2012-01-10T20:49:00Z</cp:lastPrinted>
  <dcterms:created xsi:type="dcterms:W3CDTF">2023-11-28T13:22:00Z</dcterms:created>
  <dcterms:modified xsi:type="dcterms:W3CDTF">2023-11-28T13:22:00Z</dcterms:modified>
</cp:coreProperties>
</file>