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1BD" w:rsidP="00D471BD" w14:paraId="3A5007A6" w14:textId="77777777">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D471BD" w:rsidP="00D471BD" w14:paraId="3A5007A7" w14:textId="77777777">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D471BD" w:rsidP="0014291D" w14:paraId="3A5007A8" w14:textId="77777777">
      <w:pPr>
        <w:jc w:val="right"/>
        <w:rPr>
          <w:rFonts w:ascii="Arial" w:hAnsi="Arial" w:cs="Arial"/>
          <w:b/>
          <w:bCs/>
          <w:sz w:val="16"/>
          <w:szCs w:val="16"/>
        </w:rPr>
      </w:pPr>
    </w:p>
    <w:p w:rsidR="00D471BD" w:rsidP="0014291D" w14:paraId="3A5007A9" w14:textId="77777777">
      <w:pPr>
        <w:jc w:val="right"/>
        <w:rPr>
          <w:rFonts w:ascii="Arial" w:hAnsi="Arial" w:cs="Arial"/>
          <w:b/>
          <w:bCs/>
          <w:sz w:val="16"/>
          <w:szCs w:val="16"/>
        </w:rPr>
      </w:pPr>
    </w:p>
    <w:p w:rsidR="0014291D" w:rsidP="0014291D" w14:paraId="3A5007AA" w14:textId="77777777">
      <w:pPr>
        <w:jc w:val="right"/>
        <w:rPr>
          <w:rFonts w:ascii="Arial" w:hAnsi="Arial" w:cs="Arial"/>
          <w:b/>
          <w:bCs/>
          <w:sz w:val="16"/>
          <w:szCs w:val="16"/>
        </w:rPr>
      </w:pPr>
      <w:r>
        <w:rPr>
          <w:rFonts w:ascii="Arial" w:hAnsi="Arial" w:cs="Arial"/>
          <w:b/>
          <w:bCs/>
          <w:sz w:val="16"/>
          <w:szCs w:val="16"/>
        </w:rPr>
        <w:t>OMB Control Number: 1660-0125</w:t>
      </w:r>
    </w:p>
    <w:p w:rsidR="0014291D" w:rsidP="0014291D" w14:paraId="3A5007AB" w14:textId="7694F92D">
      <w:pPr>
        <w:jc w:val="right"/>
        <w:rPr>
          <w:rFonts w:ascii="Arial" w:hAnsi="Arial" w:cs="Arial"/>
          <w:b/>
          <w:bCs/>
          <w:sz w:val="16"/>
          <w:szCs w:val="16"/>
        </w:rPr>
      </w:pPr>
      <w:r>
        <w:rPr>
          <w:rFonts w:ascii="Arial" w:hAnsi="Arial" w:cs="Arial"/>
          <w:b/>
          <w:bCs/>
          <w:sz w:val="16"/>
          <w:szCs w:val="16"/>
        </w:rPr>
        <w:t>Expiration</w:t>
      </w:r>
      <w:r w:rsidR="00BE54B6">
        <w:rPr>
          <w:rFonts w:ascii="Arial" w:hAnsi="Arial" w:cs="Arial"/>
          <w:b/>
          <w:bCs/>
          <w:sz w:val="16"/>
          <w:szCs w:val="16"/>
        </w:rPr>
        <w:t xml:space="preserve"> Date</w:t>
      </w:r>
      <w:r>
        <w:rPr>
          <w:rFonts w:ascii="Arial" w:hAnsi="Arial" w:cs="Arial"/>
          <w:b/>
          <w:bCs/>
          <w:sz w:val="16"/>
          <w:szCs w:val="16"/>
        </w:rPr>
        <w:t xml:space="preserve">: </w:t>
      </w:r>
      <w:r w:rsidR="00D5382D">
        <w:rPr>
          <w:rFonts w:ascii="Arial" w:hAnsi="Arial" w:cs="Arial"/>
          <w:b/>
          <w:bCs/>
          <w:sz w:val="16"/>
          <w:szCs w:val="16"/>
        </w:rPr>
        <w:t>6</w:t>
      </w:r>
      <w:r w:rsidR="00AE6AEA">
        <w:rPr>
          <w:rFonts w:ascii="Arial" w:hAnsi="Arial" w:cs="Arial"/>
          <w:b/>
          <w:bCs/>
          <w:sz w:val="16"/>
          <w:szCs w:val="16"/>
        </w:rPr>
        <w:t>/30/20</w:t>
      </w:r>
      <w:r w:rsidR="00D5382D">
        <w:rPr>
          <w:rFonts w:ascii="Arial" w:hAnsi="Arial" w:cs="Arial"/>
          <w:b/>
          <w:bCs/>
          <w:sz w:val="16"/>
          <w:szCs w:val="16"/>
        </w:rPr>
        <w:t>24</w:t>
      </w:r>
    </w:p>
    <w:p w:rsidR="0097172F" w:rsidP="0014291D" w14:paraId="3A5007AC" w14:textId="77777777">
      <w:pPr>
        <w:jc w:val="right"/>
        <w:rPr>
          <w:rFonts w:ascii="Arial" w:hAnsi="Arial" w:cs="Arial"/>
          <w:b/>
          <w:bCs/>
          <w:sz w:val="16"/>
          <w:szCs w:val="16"/>
        </w:rPr>
      </w:pPr>
    </w:p>
    <w:p w:rsidR="0014291D" w:rsidP="0014291D" w14:paraId="3A5007AD" w14:textId="77777777">
      <w:pPr>
        <w:jc w:val="center"/>
        <w:rPr>
          <w:rFonts w:ascii="Arial" w:hAnsi="Arial" w:cs="Arial"/>
          <w:b/>
          <w:bCs/>
          <w:sz w:val="16"/>
          <w:szCs w:val="16"/>
        </w:rPr>
      </w:pPr>
      <w:r>
        <w:rPr>
          <w:rFonts w:ascii="Arial" w:hAnsi="Arial" w:cs="Arial"/>
          <w:b/>
          <w:bCs/>
          <w:sz w:val="16"/>
          <w:szCs w:val="16"/>
        </w:rPr>
        <w:t>PAPERWORK BURDEN DISCLOSURE NOTICE</w:t>
      </w:r>
    </w:p>
    <w:p w:rsidR="0014291D" w:rsidP="0014291D" w14:paraId="3A5007AE" w14:textId="77777777">
      <w:pPr>
        <w:rPr>
          <w:rFonts w:ascii="Arial" w:hAnsi="Arial" w:cs="Arial"/>
          <w:b/>
          <w:bCs/>
          <w:sz w:val="16"/>
          <w:szCs w:val="16"/>
        </w:rPr>
      </w:pPr>
      <w:r>
        <w:rPr>
          <w:rFonts w:ascii="Arial" w:hAnsi="Arial" w:cs="Arial"/>
          <w:sz w:val="16"/>
          <w:szCs w:val="16"/>
        </w:rPr>
        <w:t>Public reporting burden for this form is estimated to average 1</w:t>
      </w:r>
      <w:r w:rsidR="0097172F">
        <w:rPr>
          <w:rFonts w:ascii="Arial" w:hAnsi="Arial" w:cs="Arial"/>
          <w:sz w:val="16"/>
          <w:szCs w:val="16"/>
        </w:rPr>
        <w:t>354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7B41E7" w:rsidR="007B41E7">
        <w:rPr>
          <w:rFonts w:ascii="Arial" w:hAnsi="Arial" w:cs="Arial"/>
          <w:sz w:val="16"/>
          <w:szCs w:val="16"/>
        </w:rPr>
        <w:t>500 C Street,</w:t>
      </w:r>
      <w:r w:rsidR="007B41E7">
        <w:rPr>
          <w:rFonts w:ascii="Arial" w:hAnsi="Arial" w:cs="Arial"/>
          <w:sz w:val="16"/>
          <w:szCs w:val="16"/>
        </w:rPr>
        <w:t xml:space="preserve"> SW., Washington, DC 20472-3100</w:t>
      </w:r>
      <w:r>
        <w:rPr>
          <w:rFonts w:ascii="Arial" w:hAnsi="Arial" w:cs="Arial"/>
          <w:sz w:val="16"/>
          <w:szCs w:val="16"/>
        </w:rPr>
        <w:t xml:space="preserve">, Paperwork Reduction Project (1660-0125). </w:t>
      </w:r>
      <w:r>
        <w:rPr>
          <w:rFonts w:ascii="Arial" w:hAnsi="Arial" w:cs="Arial"/>
          <w:b/>
          <w:bCs/>
          <w:sz w:val="16"/>
          <w:szCs w:val="16"/>
        </w:rPr>
        <w:t>NOTE: DO NOT SEND YOUR COMPLETED FORM TO THIS ADDRESS.</w:t>
      </w:r>
    </w:p>
    <w:p w:rsidR="00060880" w:rsidP="0014291D" w14:paraId="3A5007AF" w14:textId="77777777">
      <w:pPr>
        <w:rPr>
          <w:rFonts w:ascii="Arial" w:hAnsi="Arial" w:cs="Arial"/>
          <w:b/>
          <w:bCs/>
          <w:sz w:val="16"/>
          <w:szCs w:val="16"/>
        </w:rPr>
      </w:pPr>
    </w:p>
    <w:p w:rsidR="00060880" w:rsidP="00060880" w14:paraId="3A5007B0" w14:textId="77777777">
      <w:pPr>
        <w:jc w:val="center"/>
        <w:rPr>
          <w:rFonts w:ascii="Times New Roman" w:hAnsi="Times New Roman" w:cs="Times New Roman"/>
          <w:b/>
          <w:bCs/>
          <w:sz w:val="24"/>
          <w:szCs w:val="24"/>
        </w:rPr>
      </w:pPr>
    </w:p>
    <w:p w:rsidR="0014291D" w:rsidP="00060880" w14:paraId="3A5007B1" w14:textId="77777777">
      <w:pPr>
        <w:jc w:val="center"/>
        <w:rPr>
          <w:rFonts w:ascii="Times New Roman" w:hAnsi="Times New Roman" w:cs="Times New Roman"/>
          <w:b/>
          <w:sz w:val="24"/>
          <w:szCs w:val="24"/>
        </w:rPr>
      </w:pPr>
      <w:r w:rsidRPr="00060880">
        <w:rPr>
          <w:rFonts w:ascii="Times New Roman" w:hAnsi="Times New Roman" w:cs="Times New Roman"/>
          <w:b/>
          <w:sz w:val="24"/>
          <w:szCs w:val="24"/>
        </w:rPr>
        <w:t>Urban Area Working Group Structure, including Points of Contact</w:t>
      </w:r>
    </w:p>
    <w:p w:rsidR="00060880" w:rsidRPr="00060880" w:rsidP="00060880" w14:paraId="3A5007B2" w14:textId="77777777">
      <w:pPr>
        <w:jc w:val="center"/>
        <w:rPr>
          <w:rFonts w:ascii="Times New Roman" w:hAnsi="Times New Roman" w:cs="Times New Roman"/>
          <w:b/>
          <w:sz w:val="24"/>
          <w:szCs w:val="24"/>
        </w:rPr>
      </w:pPr>
    </w:p>
    <w:p w:rsidR="005A459D" w:rsidRPr="00D95105" w:rsidP="000C28A8" w14:paraId="7E0B5C35" w14:textId="77777777">
      <w:pPr>
        <w:pStyle w:val="Heading1"/>
      </w:pPr>
      <w:bookmarkStart w:id="0" w:name="_Toc139025365"/>
      <w:bookmarkStart w:id="1" w:name="_Toc139025629"/>
      <w:bookmarkStart w:id="2" w:name="_Toc139025798"/>
      <w:bookmarkStart w:id="3" w:name="_Toc139026005"/>
      <w:bookmarkStart w:id="4" w:name="_Toc148705270"/>
      <w:r w:rsidRPr="00D95105">
        <w:t>Urban Area Working Group (</w:t>
      </w:r>
      <w:r>
        <w:t>Homeland Security Grant Program</w:t>
      </w:r>
      <w:r w:rsidRPr="00D95105">
        <w:t>)</w:t>
      </w:r>
      <w:bookmarkEnd w:id="0"/>
      <w:bookmarkEnd w:id="1"/>
      <w:bookmarkEnd w:id="2"/>
      <w:bookmarkEnd w:id="3"/>
      <w:bookmarkEnd w:id="4"/>
    </w:p>
    <w:p w:rsidR="005A459D" w:rsidRPr="00354FC0" w:rsidP="005A459D" w14:paraId="14DD5EF5" w14:textId="77777777">
      <w:pPr>
        <w:pStyle w:val="BodyText"/>
        <w:spacing w:line="240" w:lineRule="auto"/>
      </w:pPr>
      <w:r w:rsidRPr="00354FC0">
        <w:t xml:space="preserve">To </w:t>
      </w:r>
      <w:r>
        <w:t>support the Whole Community Approach (see Section 1.6 “Strengthening Governance Integration” and Section 6.13 “Whole Community Preparedness”)</w:t>
      </w:r>
      <w:r w:rsidRPr="00354FC0">
        <w:t xml:space="preserve">, </w:t>
      </w:r>
      <w:r>
        <w:t>high-risk</w:t>
      </w:r>
      <w:r w:rsidRPr="00354FC0">
        <w:t xml:space="preserve"> </w:t>
      </w:r>
      <w:r>
        <w:t>u</w:t>
      </w:r>
      <w:r w:rsidRPr="00354FC0">
        <w:t xml:space="preserve">rban </w:t>
      </w:r>
      <w:r>
        <w:t>a</w:t>
      </w:r>
      <w:r w:rsidRPr="00354FC0">
        <w:t>reas are required to establish UAWG</w:t>
      </w:r>
      <w:r>
        <w:t>s</w:t>
      </w:r>
      <w:r w:rsidRPr="00354FC0">
        <w:t xml:space="preserve"> representative of the counties, cities, towns, and tribes within the high-risk urban area including,</w:t>
      </w:r>
      <w:r w:rsidRPr="00354FC0">
        <w:rPr>
          <w:spacing w:val="2"/>
        </w:rPr>
        <w:t xml:space="preserve"> </w:t>
      </w:r>
      <w:r w:rsidRPr="00354FC0">
        <w:t>as appropriate, representatives of rural jurisdictions, high-population jurisdictions, and high-threat jurisdictions.</w:t>
      </w:r>
    </w:p>
    <w:p w:rsidR="005A459D" w:rsidRPr="00354FC0" w:rsidP="005A459D" w14:paraId="0B90A0AB" w14:textId="77777777">
      <w:pPr>
        <w:pStyle w:val="BodyText"/>
        <w:spacing w:line="240" w:lineRule="auto"/>
      </w:pPr>
      <w:r w:rsidRPr="00354FC0">
        <w:t xml:space="preserve">UASI implementation and governance must include regional partners and should have balanced representation among entities with operational responsibilities for prevention, protection, mitigation, </w:t>
      </w:r>
      <w:r>
        <w:t xml:space="preserve">and </w:t>
      </w:r>
      <w:r w:rsidRPr="00354FC0">
        <w:t>response activities within the region</w:t>
      </w:r>
      <w:r>
        <w:t xml:space="preserve">. </w:t>
      </w:r>
      <w:r w:rsidRPr="00354FC0">
        <w:t xml:space="preserve">In some instances, </w:t>
      </w:r>
      <w:r>
        <w:t>high-risk u</w:t>
      </w:r>
      <w:r w:rsidRPr="00354FC0">
        <w:t xml:space="preserve">rban </w:t>
      </w:r>
      <w:r>
        <w:t>a</w:t>
      </w:r>
      <w:r w:rsidRPr="00354FC0">
        <w:t xml:space="preserve">rea boundaries cross </w:t>
      </w:r>
      <w:r>
        <w:t>state</w:t>
      </w:r>
      <w:r w:rsidRPr="00354FC0">
        <w:t xml:space="preserve"> borders</w:t>
      </w:r>
      <w:r>
        <w:t>. State</w:t>
      </w:r>
      <w:r w:rsidRPr="00354FC0">
        <w:t>s</w:t>
      </w:r>
      <w:r>
        <w:t xml:space="preserve"> and territories</w:t>
      </w:r>
      <w:r w:rsidRPr="00354FC0">
        <w:t xml:space="preserve"> must ensure that the identified </w:t>
      </w:r>
      <w:r>
        <w:t>high-risk u</w:t>
      </w:r>
      <w:r w:rsidRPr="00354FC0">
        <w:t xml:space="preserve">rban </w:t>
      </w:r>
      <w:r>
        <w:t>a</w:t>
      </w:r>
      <w:r w:rsidRPr="00354FC0">
        <w:t xml:space="preserve">reas take an inclusive regional approach to the development and implementation of the UASI </w:t>
      </w:r>
      <w:r>
        <w:t>a</w:t>
      </w:r>
      <w:r w:rsidRPr="00354FC0">
        <w:t xml:space="preserve">nd involve the contiguous jurisdictions, mutual aid partners, port authorities, rail and transit authorities, </w:t>
      </w:r>
      <w:r>
        <w:t>state</w:t>
      </w:r>
      <w:r w:rsidRPr="00354FC0">
        <w:t xml:space="preserve"> agencies, </w:t>
      </w:r>
      <w:r>
        <w:t>State</w:t>
      </w:r>
      <w:r w:rsidRPr="00354FC0">
        <w:t>wide Interoperability Coordinators, Citizen Corps Whole Community Council(s), and campus law enforcement in their program activities.</w:t>
      </w:r>
    </w:p>
    <w:p w:rsidR="005A459D" w:rsidRPr="00D95105" w:rsidP="000C28A8" w14:paraId="4670746C" w14:textId="77777777">
      <w:pPr>
        <w:pStyle w:val="Heading2"/>
        <w:rPr>
          <w:bCs/>
        </w:rPr>
      </w:pPr>
      <w:bookmarkStart w:id="5" w:name="_Toc5275394"/>
      <w:bookmarkStart w:id="6" w:name="_Toc139025630"/>
      <w:r>
        <w:t>Urban Area Working Group COMPOSITION AND SCOPE</w:t>
      </w:r>
      <w:bookmarkEnd w:id="5"/>
      <w:bookmarkEnd w:id="6"/>
    </w:p>
    <w:p w:rsidR="005A459D" w:rsidRPr="00354FC0" w:rsidP="005A459D" w14:paraId="632F24D4" w14:textId="77777777">
      <w:pPr>
        <w:pStyle w:val="BodyText"/>
        <w:spacing w:line="240" w:lineRule="auto"/>
      </w:pPr>
      <w:r w:rsidRPr="003B5C9B">
        <w:t>P</w:t>
      </w:r>
      <w:r w:rsidRPr="0006102A">
        <w:t xml:space="preserve">ursuant to section 2003(b) of the </w:t>
      </w:r>
      <w:r w:rsidRPr="0006102A">
        <w:rPr>
          <w:i/>
        </w:rPr>
        <w:t>Homeland Security Act of 2002</w:t>
      </w:r>
      <w:r w:rsidRPr="0006102A">
        <w:t xml:space="preserve"> (codified as amended at 6 U.S.C. § 604(b)), eligible high-risk urban areas were determined based on an analysis of relative risk of the 100 most populous Metropolitan Statistical Areas (MSA), as defined by the Office of Management and Budget (OMB).</w:t>
      </w:r>
      <w:r>
        <w:t xml:space="preserve"> </w:t>
      </w:r>
      <w:r w:rsidRPr="00354FC0">
        <w:t>MSAs are used by FEMA to determine eligibility for participation in the program</w:t>
      </w:r>
      <w:r>
        <w:t xml:space="preserve">. </w:t>
      </w:r>
      <w:r w:rsidRPr="00354FC0">
        <w:t xml:space="preserve">Geographical areas queried do not equate to minimum mandated membership representation of an </w:t>
      </w:r>
      <w:r>
        <w:t>u</w:t>
      </w:r>
      <w:r w:rsidRPr="00354FC0">
        <w:t xml:space="preserve">rban </w:t>
      </w:r>
      <w:r>
        <w:t>a</w:t>
      </w:r>
      <w:r w:rsidRPr="00354FC0">
        <w:t>rea, nor does this guarantee funding for geographical areas queried</w:t>
      </w:r>
      <w:r>
        <w:t xml:space="preserve">. </w:t>
      </w:r>
      <w:r w:rsidRPr="00354FC0">
        <w:t xml:space="preserve">UAWGs are not required to expand or contract existing </w:t>
      </w:r>
      <w:r>
        <w:t>u</w:t>
      </w:r>
      <w:r w:rsidRPr="00354FC0">
        <w:t xml:space="preserve">rban </w:t>
      </w:r>
      <w:r>
        <w:t>a</w:t>
      </w:r>
      <w:r w:rsidRPr="00354FC0">
        <w:t>rea participation to conform to MSA composition</w:t>
      </w:r>
      <w:r>
        <w:t xml:space="preserve">. Detailed information on </w:t>
      </w:r>
      <w:hyperlink r:id="rId4">
        <w:r w:rsidRPr="60CBDE81">
          <w:rPr>
            <w:rStyle w:val="Hyperlink"/>
          </w:rPr>
          <w:t>MSAs</w:t>
        </w:r>
      </w:hyperlink>
      <w:r>
        <w:t xml:space="preserve"> is publicly available from the United States Census Bureau.</w:t>
      </w:r>
    </w:p>
    <w:p w:rsidR="005A459D" w:rsidRPr="00354FC0" w:rsidP="005A459D" w14:paraId="22A4D1CD" w14:textId="77777777">
      <w:pPr>
        <w:pStyle w:val="BodyText"/>
        <w:spacing w:line="240" w:lineRule="auto"/>
      </w:pPr>
      <w:r>
        <w:t>An</w:t>
      </w:r>
      <w:r w:rsidRPr="00354FC0">
        <w:t xml:space="preserve"> SAA must confirm a specific POC with the designated </w:t>
      </w:r>
      <w:r>
        <w:t>high-risk u</w:t>
      </w:r>
      <w:r w:rsidRPr="00354FC0">
        <w:t xml:space="preserve">rban </w:t>
      </w:r>
      <w:r>
        <w:t>a</w:t>
      </w:r>
      <w:r w:rsidRPr="00354FC0">
        <w:t>rea</w:t>
      </w:r>
      <w:r>
        <w:t xml:space="preserve">. </w:t>
      </w:r>
      <w:r w:rsidRPr="00354FC0">
        <w:t xml:space="preserve">The SAA POC </w:t>
      </w:r>
      <w:r w:rsidRPr="00354FC0">
        <w:rPr>
          <w:noProof/>
        </w:rPr>
        <w:t>is</w:t>
      </w:r>
      <w:r w:rsidRPr="00354FC0">
        <w:t xml:space="preserve"> responsible for identifying and coordinating with the POC for the UAWG</w:t>
      </w:r>
      <w:r>
        <w:t xml:space="preserve">. </w:t>
      </w:r>
      <w:r w:rsidRPr="00354FC0">
        <w:t>This information must be provided to FEMA with the grant application</w:t>
      </w:r>
      <w:r>
        <w:t xml:space="preserve">. </w:t>
      </w:r>
      <w:r w:rsidRPr="00354FC0">
        <w:t xml:space="preserve">SAAs must work with existing </w:t>
      </w:r>
      <w:r>
        <w:t>high-risk u</w:t>
      </w:r>
      <w:r w:rsidRPr="00354FC0">
        <w:t xml:space="preserve">rban </w:t>
      </w:r>
      <w:r>
        <w:t>a</w:t>
      </w:r>
      <w:r w:rsidRPr="00354FC0">
        <w:t>reas to ensure that information for current POCs is on file with FEMA.</w:t>
      </w:r>
    </w:p>
    <w:p w:rsidR="005A459D" w:rsidRPr="00354FC0" w:rsidP="005A459D" w14:paraId="281177D2" w14:textId="77777777">
      <w:pPr>
        <w:pStyle w:val="BodyText"/>
        <w:spacing w:line="240" w:lineRule="auto"/>
      </w:pPr>
      <w:r w:rsidRPr="00354FC0">
        <w:t xml:space="preserve">Membership in the UAWG must provide either direct or indirect representation for all relevant jurisdictions and response disciplines (including law enforcement, fire service, EMS, hospitals, public health, and emergency management) that comprise the defined </w:t>
      </w:r>
      <w:r>
        <w:t>high-risk u</w:t>
      </w:r>
      <w:r w:rsidRPr="00354FC0">
        <w:t xml:space="preserve">rban </w:t>
      </w:r>
      <w:r>
        <w:t>a</w:t>
      </w:r>
      <w:r w:rsidRPr="00354FC0">
        <w:t>rea</w:t>
      </w:r>
      <w:r>
        <w:t xml:space="preserve">. </w:t>
      </w:r>
      <w:r w:rsidRPr="00354FC0">
        <w:t xml:space="preserve">It must also be </w:t>
      </w:r>
      <w:r w:rsidRPr="00354FC0">
        <w:t>inclusive of local Whole Community Citizen Corps Council and tribal representatives</w:t>
      </w:r>
      <w:r>
        <w:t xml:space="preserve">. </w:t>
      </w:r>
      <w:r w:rsidRPr="00354FC0">
        <w:t>The UAWG should also include at least one representative from each of the following significant stakeholders:</w:t>
      </w:r>
    </w:p>
    <w:p w:rsidR="005A459D" w:rsidRPr="00354FC0" w:rsidP="005A459D" w14:paraId="412E7EAB" w14:textId="77777777">
      <w:pPr>
        <w:pStyle w:val="FEMABullet-1"/>
        <w:spacing w:line="240" w:lineRule="auto"/>
      </w:pPr>
      <w:r w:rsidRPr="00354FC0">
        <w:t xml:space="preserve">Local </w:t>
      </w:r>
      <w:r>
        <w:t>and</w:t>
      </w:r>
      <w:r w:rsidRPr="00354FC0">
        <w:t xml:space="preserve"> tribal government officials</w:t>
      </w:r>
      <w:r>
        <w:t>;</w:t>
      </w:r>
    </w:p>
    <w:p w:rsidR="005A459D" w:rsidRPr="00354FC0" w:rsidP="005A459D" w14:paraId="2FBE359F" w14:textId="77777777">
      <w:pPr>
        <w:pStyle w:val="FEMABullet-1"/>
        <w:spacing w:line="240" w:lineRule="auto"/>
      </w:pPr>
      <w:r w:rsidRPr="00354FC0">
        <w:t>CIO and CISO</w:t>
      </w:r>
      <w:r>
        <w:t>;</w:t>
      </w:r>
    </w:p>
    <w:p w:rsidR="005A459D" w:rsidRPr="00354FC0" w:rsidP="005A459D" w14:paraId="2F1BE3E3" w14:textId="77777777">
      <w:pPr>
        <w:pStyle w:val="FEMABullet-1"/>
        <w:spacing w:line="240" w:lineRule="auto"/>
      </w:pPr>
      <w:r w:rsidRPr="00354FC0">
        <w:t>Emergency response providers, which shall include representatives of the fire service, law enforcement, emergency medical services, and emergency managers</w:t>
      </w:r>
      <w:r>
        <w:t>;</w:t>
      </w:r>
    </w:p>
    <w:p w:rsidR="005A459D" w:rsidRPr="00354FC0" w:rsidP="005A459D" w14:paraId="5C024E1C" w14:textId="77777777">
      <w:pPr>
        <w:pStyle w:val="FEMABullet-1"/>
        <w:spacing w:line="240" w:lineRule="auto"/>
      </w:pPr>
      <w:r w:rsidRPr="00354FC0">
        <w:t xml:space="preserve">Public health officials and other appropriate medical practitioners, </w:t>
      </w:r>
      <w:r w:rsidRPr="00354FC0">
        <w:rPr>
          <w:spacing w:val="-1"/>
        </w:rPr>
        <w:t>including Health Care Coalitions (HCCs)</w:t>
      </w:r>
      <w:r>
        <w:t>;</w:t>
      </w:r>
    </w:p>
    <w:p w:rsidR="005A459D" w:rsidRPr="00354FC0" w:rsidP="005A459D" w14:paraId="5F7B6F6C" w14:textId="77777777">
      <w:pPr>
        <w:pStyle w:val="FEMABullet-1"/>
        <w:spacing w:line="240" w:lineRule="auto"/>
      </w:pPr>
      <w:r w:rsidRPr="00354FC0">
        <w:t xml:space="preserve">Individuals representing educational institutions, including elementary schools, </w:t>
      </w:r>
      <w:r>
        <w:t xml:space="preserve">middle schools, junior high schools, high schools, </w:t>
      </w:r>
      <w:r w:rsidRPr="00354FC0">
        <w:t>community colleges, and other institutions of higher education</w:t>
      </w:r>
      <w:r>
        <w:t>; and,</w:t>
      </w:r>
    </w:p>
    <w:p w:rsidR="005A459D" w:rsidRPr="00354FC0" w:rsidP="005A459D" w14:paraId="1D6E679D" w14:textId="77777777">
      <w:pPr>
        <w:pStyle w:val="FEMABullet-1"/>
        <w:spacing w:line="240" w:lineRule="auto"/>
      </w:pPr>
      <w:r>
        <w:t>State</w:t>
      </w:r>
      <w:r w:rsidRPr="00354FC0">
        <w:t xml:space="preserve"> and regional interoperable communications coordinators </w:t>
      </w:r>
      <w:r>
        <w:t>and state</w:t>
      </w:r>
      <w:r w:rsidRPr="00354FC0">
        <w:t xml:space="preserve"> and major urban area fusion centers, as appropriate</w:t>
      </w:r>
      <w:r>
        <w:t>.</w:t>
      </w:r>
    </w:p>
    <w:p w:rsidR="005A459D" w:rsidRPr="00354FC0" w:rsidP="005A459D" w14:paraId="2F89C2A9" w14:textId="77777777">
      <w:pPr>
        <w:pStyle w:val="BodyText"/>
        <w:spacing w:line="240" w:lineRule="auto"/>
      </w:pPr>
      <w:r w:rsidRPr="00354FC0">
        <w:t xml:space="preserve">In addition to representatives from the local jurisdictions and tribes within the </w:t>
      </w:r>
      <w:r>
        <w:t>state, territory,</w:t>
      </w:r>
      <w:r w:rsidRPr="00354FC0">
        <w:t xml:space="preserve"> or high-risk urban area, the UAWG should include officials responsible for the administration of </w:t>
      </w:r>
      <w:r>
        <w:t>Centers for Disease Control and Prevention’s (</w:t>
      </w:r>
      <w:r w:rsidRPr="00354FC0">
        <w:t>CDC</w:t>
      </w:r>
      <w:r>
        <w:t>)</w:t>
      </w:r>
      <w:r w:rsidRPr="00354FC0">
        <w:t xml:space="preserve"> and </w:t>
      </w:r>
      <w:r>
        <w:t>the HHS Assistant Secretary for Preparedness and Response’s (</w:t>
      </w:r>
      <w:r w:rsidRPr="00354FC0">
        <w:t>ASPR</w:t>
      </w:r>
      <w:r>
        <w:t>)</w:t>
      </w:r>
      <w:r w:rsidRPr="00354FC0">
        <w:t xml:space="preserve"> cooperative agreements</w:t>
      </w:r>
      <w:r>
        <w:t xml:space="preserve">. </w:t>
      </w:r>
      <w:r w:rsidRPr="00354FC0">
        <w:t>Finally, it must be inclusive of members advocating on behalf of youth, older adults, individuals with disabilities, individuals with limited English proficiency</w:t>
      </w:r>
      <w:r>
        <w:t>,</w:t>
      </w:r>
      <w:r w:rsidRPr="00354FC0">
        <w:t xml:space="preserve"> and others with</w:t>
      </w:r>
      <w:r>
        <w:t xml:space="preserve"> other</w:t>
      </w:r>
      <w:r w:rsidRPr="00354FC0">
        <w:t xml:space="preserve"> access and functional needs, socio-economic factors</w:t>
      </w:r>
      <w:r>
        <w:t>,</w:t>
      </w:r>
      <w:r w:rsidRPr="00354FC0">
        <w:t xml:space="preserve"> and cultural diversity.</w:t>
      </w:r>
    </w:p>
    <w:p w:rsidR="005A459D" w:rsidRPr="00354FC0" w:rsidP="005A459D" w14:paraId="52FD91F4" w14:textId="77777777">
      <w:pPr>
        <w:pStyle w:val="BodyText"/>
        <w:spacing w:line="240" w:lineRule="auto"/>
        <w:rPr>
          <w:spacing w:val="-2"/>
        </w:rPr>
      </w:pPr>
      <w:r>
        <w:rPr>
          <w:spacing w:val="-2"/>
        </w:rPr>
        <w:t>High-risk u</w:t>
      </w:r>
      <w:r w:rsidRPr="00354FC0">
        <w:rPr>
          <w:spacing w:val="-2"/>
        </w:rPr>
        <w:t xml:space="preserve">rban </w:t>
      </w:r>
      <w:r>
        <w:rPr>
          <w:spacing w:val="-2"/>
        </w:rPr>
        <w:t>a</w:t>
      </w:r>
      <w:r w:rsidRPr="00354FC0">
        <w:rPr>
          <w:spacing w:val="-2"/>
        </w:rPr>
        <w:t>rea</w:t>
      </w:r>
      <w:r w:rsidRPr="00354FC0">
        <w:t>s will use the URT to verify UAWG structure and membership</w:t>
      </w:r>
      <w:r>
        <w:t xml:space="preserve">. </w:t>
      </w:r>
      <w:r w:rsidRPr="00354FC0">
        <w:t xml:space="preserve">The list of UAWG members must also be submitted at the time of application as an attachment in </w:t>
      </w:r>
      <w:r>
        <w:t xml:space="preserve">FEMA GO. </w:t>
      </w:r>
      <w:r>
        <w:rPr>
          <w:spacing w:val="-2"/>
        </w:rPr>
        <w:t>High-risk u</w:t>
      </w:r>
      <w:r w:rsidRPr="00354FC0">
        <w:rPr>
          <w:spacing w:val="-2"/>
        </w:rPr>
        <w:t xml:space="preserve">rban </w:t>
      </w:r>
      <w:r>
        <w:rPr>
          <w:spacing w:val="-2"/>
        </w:rPr>
        <w:t>a</w:t>
      </w:r>
      <w:r w:rsidRPr="00354FC0">
        <w:rPr>
          <w:spacing w:val="-2"/>
        </w:rPr>
        <w:t>rea</w:t>
      </w:r>
      <w:r w:rsidRPr="00354FC0">
        <w:t xml:space="preserve">s must notify the SAA and the FEMA Headquarters </w:t>
      </w:r>
      <w:r>
        <w:t xml:space="preserve">Preparedness Officer </w:t>
      </w:r>
      <w:r w:rsidRPr="00354FC0">
        <w:t>of any updates to the UAWG structure or membership</w:t>
      </w:r>
      <w:r>
        <w:t xml:space="preserve"> after the application is submitted</w:t>
      </w:r>
      <w:r w:rsidRPr="00354FC0">
        <w:rPr>
          <w:spacing w:val="-2"/>
        </w:rPr>
        <w:t>.</w:t>
      </w:r>
    </w:p>
    <w:p w:rsidR="005A459D" w:rsidRPr="00D95105" w:rsidP="000C28A8" w14:paraId="64D51F32" w14:textId="77777777">
      <w:pPr>
        <w:pStyle w:val="Heading2"/>
      </w:pPr>
      <w:bookmarkStart w:id="7" w:name="_Toc5275395"/>
      <w:bookmarkStart w:id="8" w:name="_Toc139025631"/>
      <w:r>
        <w:t>Urban Area Working Group</w:t>
      </w:r>
      <w:r w:rsidRPr="00D95105">
        <w:t xml:space="preserve"> Responsibilities</w:t>
      </w:r>
      <w:bookmarkEnd w:id="7"/>
      <w:bookmarkEnd w:id="8"/>
    </w:p>
    <w:p w:rsidR="005A459D" w:rsidRPr="00354FC0" w:rsidP="005A459D" w14:paraId="5F1AAE09" w14:textId="77777777">
      <w:pPr>
        <w:pStyle w:val="BodyText"/>
        <w:spacing w:line="240" w:lineRule="auto"/>
      </w:pPr>
      <w:r w:rsidRPr="00354FC0">
        <w:t xml:space="preserve">UAWGs must ensure that applications for funding under the UASI support </w:t>
      </w:r>
      <w:r w:rsidRPr="00730604">
        <w:t>building capability</w:t>
      </w:r>
      <w:r>
        <w:t>,</w:t>
      </w:r>
      <w:r w:rsidRPr="00730604">
        <w:t xml:space="preserve"> </w:t>
      </w:r>
      <w:r w:rsidRPr="00354FC0">
        <w:t>closing capability gaps</w:t>
      </w:r>
      <w:r>
        <w:t>,</w:t>
      </w:r>
      <w:r w:rsidRPr="00354FC0">
        <w:t xml:space="preserve"> or sustain</w:t>
      </w:r>
      <w:r>
        <w:t>ing</w:t>
      </w:r>
      <w:r w:rsidRPr="00354FC0">
        <w:t xml:space="preserve"> capabilities identified in the </w:t>
      </w:r>
      <w:r>
        <w:t>high-risk u</w:t>
      </w:r>
      <w:r w:rsidRPr="00354FC0">
        <w:t xml:space="preserve">rban </w:t>
      </w:r>
      <w:r>
        <w:t>a</w:t>
      </w:r>
      <w:r w:rsidRPr="00354FC0">
        <w:t>rea</w:t>
      </w:r>
      <w:r>
        <w:t>’s</w:t>
      </w:r>
      <w:r w:rsidRPr="00354FC0">
        <w:t xml:space="preserve"> THIRA</w:t>
      </w:r>
      <w:r>
        <w:t>/</w:t>
      </w:r>
      <w:r w:rsidRPr="00354FC0">
        <w:t>SPR</w:t>
      </w:r>
      <w:r>
        <w:t xml:space="preserve">. </w:t>
      </w:r>
      <w:r w:rsidRPr="00354FC0">
        <w:t xml:space="preserve">The UAWG should support </w:t>
      </w:r>
      <w:r>
        <w:t>state</w:t>
      </w:r>
      <w:r w:rsidRPr="00354FC0">
        <w:t xml:space="preserve"> efforts to develop the SPR particularly as it relates to UASI</w:t>
      </w:r>
      <w:r>
        <w:t>-</w:t>
      </w:r>
      <w:r w:rsidRPr="00354FC0">
        <w:t>funded activities</w:t>
      </w:r>
      <w:r>
        <w:t xml:space="preserve">. </w:t>
      </w:r>
      <w:r w:rsidRPr="00354FC0">
        <w:t>The UAWG, in coordination with the SAA POC, must develop a methodology for allocating funding available through the UASI</w:t>
      </w:r>
      <w:r>
        <w:t xml:space="preserve">. </w:t>
      </w:r>
      <w:r w:rsidRPr="00354FC0">
        <w:t>The UAWG must reach consensus on all UASI funding allocations</w:t>
      </w:r>
      <w:r>
        <w:t xml:space="preserve">. </w:t>
      </w:r>
      <w:r w:rsidRPr="00354FC0">
        <w:t xml:space="preserve">If consensus cannot be reached within the 45-day period allotted for the </w:t>
      </w:r>
      <w:r>
        <w:t>state</w:t>
      </w:r>
      <w:r w:rsidRPr="00354FC0">
        <w:t xml:space="preserve"> to obligate funds to subrecipients, the SAA must make the allocation determination</w:t>
      </w:r>
      <w:r>
        <w:t xml:space="preserve">. </w:t>
      </w:r>
      <w:r w:rsidRPr="00354FC0">
        <w:t xml:space="preserve">The SAA must provide written documentation verifying the consensus of the UAWG or the failure to achieve otherwise on the allocation of funds and submit it to FEMA immediately after the 45-day period allotted for the </w:t>
      </w:r>
      <w:r>
        <w:t>state</w:t>
      </w:r>
      <w:r w:rsidRPr="00354FC0">
        <w:t xml:space="preserve"> to obligate funds to subrecipients</w:t>
      </w:r>
      <w:r>
        <w:t xml:space="preserve">. </w:t>
      </w:r>
      <w:r w:rsidRPr="00354FC0">
        <w:t xml:space="preserve">Any UASI funds retained by the </w:t>
      </w:r>
      <w:r>
        <w:t>state</w:t>
      </w:r>
      <w:r w:rsidRPr="00354FC0">
        <w:t xml:space="preserve"> must be used in direct support of the </w:t>
      </w:r>
      <w:r>
        <w:t>high-risk u</w:t>
      </w:r>
      <w:r w:rsidRPr="00354FC0">
        <w:t xml:space="preserve">rban </w:t>
      </w:r>
      <w:r>
        <w:t>a</w:t>
      </w:r>
      <w:r w:rsidRPr="00354FC0">
        <w:t>rea</w:t>
      </w:r>
      <w:r>
        <w:t>. State</w:t>
      </w:r>
      <w:r w:rsidRPr="00354FC0">
        <w:t>s must provide documentation to the UAWG, and FEMA upon request</w:t>
      </w:r>
      <w:r>
        <w:t>,</w:t>
      </w:r>
      <w:r w:rsidRPr="00354FC0">
        <w:t xml:space="preserve"> demonstrating how any UASI funds retained by </w:t>
      </w:r>
      <w:r>
        <w:t>a</w:t>
      </w:r>
      <w:r w:rsidRPr="00354FC0">
        <w:t xml:space="preserve"> </w:t>
      </w:r>
      <w:r>
        <w:t>state</w:t>
      </w:r>
      <w:r w:rsidRPr="00354FC0">
        <w:t xml:space="preserve"> are directly supporting the </w:t>
      </w:r>
      <w:r>
        <w:t>high-risk u</w:t>
      </w:r>
      <w:r w:rsidRPr="00354FC0">
        <w:t xml:space="preserve">rban </w:t>
      </w:r>
      <w:r>
        <w:t>a</w:t>
      </w:r>
      <w:r w:rsidRPr="00354FC0">
        <w:t>rea</w:t>
      </w:r>
      <w:r>
        <w:t>.</w:t>
      </w:r>
      <w:r w:rsidRPr="00354FC0">
        <w:t xml:space="preserve"> </w:t>
      </w:r>
    </w:p>
    <w:p w:rsidR="005A459D" w:rsidRPr="00D95105" w:rsidP="000C28A8" w14:paraId="1D936630" w14:textId="77777777">
      <w:pPr>
        <w:pStyle w:val="Heading2"/>
      </w:pPr>
      <w:bookmarkStart w:id="9" w:name="_Toc5275396"/>
      <w:bookmarkStart w:id="10" w:name="_Toc139025632"/>
      <w:r>
        <w:t>Urban Area Working Group Charter</w:t>
      </w:r>
      <w:bookmarkEnd w:id="9"/>
      <w:bookmarkEnd w:id="10"/>
    </w:p>
    <w:p w:rsidR="005A459D" w:rsidRPr="000C28A8" w:rsidP="000C28A8" w14:paraId="31B106EE" w14:textId="7FFA7821">
      <w:pPr>
        <w:pStyle w:val="BodyText"/>
        <w:spacing w:line="240" w:lineRule="auto"/>
        <w:rPr>
          <w:b/>
          <w:bCs/>
        </w:rPr>
      </w:pPr>
      <w:r w:rsidRPr="00354FC0">
        <w:t xml:space="preserve">In keeping with sound project management practices, the UAWG must ensure that its approach to critical issues such as membership, governance structure, voting rights, grant </w:t>
      </w:r>
      <w:r>
        <w:t xml:space="preserve">M&amp;A </w:t>
      </w:r>
      <w:r w:rsidRPr="00354FC0">
        <w:t>responsibilities, and funding allocation methodologies are formalized in a working group charter</w:t>
      </w:r>
      <w:r>
        <w:t>,</w:t>
      </w:r>
      <w:r w:rsidRPr="00354FC0">
        <w:t xml:space="preserve"> or an</w:t>
      </w:r>
      <w:r w:rsidRPr="00354FC0">
        <w:rPr>
          <w:noProof/>
        </w:rPr>
        <w:t>other</w:t>
      </w:r>
      <w:r w:rsidRPr="00354FC0">
        <w:t xml:space="preserve"> form of </w:t>
      </w:r>
      <w:r w:rsidRPr="00354FC0">
        <w:t>standard operating procedure related to the UASI governance</w:t>
      </w:r>
      <w:r>
        <w:t xml:space="preserve">. </w:t>
      </w:r>
      <w:r w:rsidRPr="00354FC0">
        <w:t>The charter must also outline how decisions made in UAWG meetings will be documented and shared with UAWG members</w:t>
      </w:r>
      <w:r>
        <w:t xml:space="preserve">. </w:t>
      </w:r>
      <w:r w:rsidRPr="00354FC0">
        <w:t xml:space="preserve">The UAWG charter must be submitted at the time of application </w:t>
      </w:r>
      <w:r>
        <w:t>as an attachment in FEMA GO</w:t>
      </w:r>
      <w:r w:rsidRPr="00354FC0">
        <w:t xml:space="preserve"> and must be on file with FEMA prior to drawing down UASI funding</w:t>
      </w:r>
      <w:r>
        <w:t>. It also</w:t>
      </w:r>
      <w:r w:rsidRPr="00354FC0">
        <w:t xml:space="preserve"> must be available to all UAWG members to promote transparency in decision</w:t>
      </w:r>
      <w:r>
        <w:t xml:space="preserve"> </w:t>
      </w:r>
      <w:r w:rsidRPr="00354FC0">
        <w:t>making related to the UASI.</w:t>
      </w:r>
      <w:bookmarkStart w:id="11" w:name="Supplemental_SHSP_and_UASI_Guidance"/>
      <w:bookmarkEnd w:id="11"/>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335625"/>
    <w:multiLevelType w:val="hybrid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nsid w:val="51685667"/>
    <w:multiLevelType w:val="hybridMultilevel"/>
    <w:tmpl w:val="53BA638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Courier New" w:hAnsi="Courier New"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6955355C"/>
    <w:multiLevelType w:val="multilevel"/>
    <w:tmpl w:val="573ACD06"/>
    <w:lvl w:ilvl="0">
      <w:start w:val="1"/>
      <w:numFmt w:val="none"/>
      <w:pStyle w:val="FEMAHeading0-CHAPTER"/>
      <w:lvlText w:val="%1"/>
      <w:lvlJc w:val="left"/>
      <w:pPr>
        <w:ind w:left="0" w:firstLine="0"/>
      </w:pPr>
      <w:rPr>
        <w:rFonts w:hint="default"/>
      </w:rPr>
    </w:lvl>
    <w:lvl w:ilvl="1">
      <w:start w:val="1"/>
      <w:numFmt w:val="decimal"/>
      <w:pStyle w:val="FEMAHeading1"/>
      <w:lvlText w:val="%1%2."/>
      <w:lvlJc w:val="left"/>
      <w:pPr>
        <w:ind w:left="720" w:hanging="720"/>
      </w:pPr>
      <w:rPr>
        <w:rFonts w:hint="default"/>
      </w:rPr>
    </w:lvl>
    <w:lvl w:ilvl="2">
      <w:start w:val="1"/>
      <w:numFmt w:val="decimal"/>
      <w:pStyle w:val="FEMAHeading2"/>
      <w:lvlText w:val="%1%2.%3."/>
      <w:lvlJc w:val="left"/>
      <w:pPr>
        <w:ind w:left="1080" w:hanging="1080"/>
      </w:pPr>
      <w:rPr>
        <w:rFonts w:hint="default"/>
        <w:i w:val="0"/>
        <w:iCs/>
      </w:rPr>
    </w:lvl>
    <w:lvl w:ilvl="3">
      <w:start w:val="1"/>
      <w:numFmt w:val="decimal"/>
      <w:pStyle w:val="FEMAHeading3"/>
      <w:lvlText w:val="%2.%3.%4."/>
      <w:lvlJc w:val="left"/>
      <w:pPr>
        <w:ind w:left="3816" w:hanging="1296"/>
      </w:pPr>
      <w:rPr>
        <w:rFonts w:ascii="Franklin Gothic Book" w:hAnsi="Franklin Gothic Book" w:hint="default"/>
        <w:i w:val="0"/>
        <w:iCs/>
      </w:rPr>
    </w:lvl>
    <w:lvl w:ilvl="4">
      <w:start w:val="1"/>
      <w:numFmt w:val="none"/>
      <w:pStyle w:val="FEMAHeading4"/>
      <w:suff w:val="nothing"/>
      <w:lvlJc w:val="left"/>
      <w:pPr>
        <w:ind w:left="0" w:firstLine="0"/>
      </w:pPr>
      <w:rPr>
        <w:rFonts w:hint="default"/>
      </w:rPr>
    </w:lvl>
    <w:lvl w:ilvl="5">
      <w:start w:val="1"/>
      <w:numFmt w:val="none"/>
      <w:pStyle w:val="FEMAHeading5"/>
      <w:suff w:val="nothing"/>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1321426704">
    <w:abstractNumId w:val="1"/>
  </w:num>
  <w:num w:numId="2" w16cid:durableId="1623148701">
    <w:abstractNumId w:val="0"/>
  </w:num>
  <w:num w:numId="3" w16cid:durableId="171253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4291D"/>
    <w:rsid w:val="00060880"/>
    <w:rsid w:val="0006102A"/>
    <w:rsid w:val="000C28A8"/>
    <w:rsid w:val="001040FB"/>
    <w:rsid w:val="0014291D"/>
    <w:rsid w:val="002073FB"/>
    <w:rsid w:val="00354FC0"/>
    <w:rsid w:val="003B5C9B"/>
    <w:rsid w:val="00587CC8"/>
    <w:rsid w:val="005A459D"/>
    <w:rsid w:val="005F2711"/>
    <w:rsid w:val="006128D9"/>
    <w:rsid w:val="00730604"/>
    <w:rsid w:val="007B41E7"/>
    <w:rsid w:val="007E2C4E"/>
    <w:rsid w:val="0097172F"/>
    <w:rsid w:val="00AE6AEA"/>
    <w:rsid w:val="00B90FCB"/>
    <w:rsid w:val="00BA4B42"/>
    <w:rsid w:val="00BE54B6"/>
    <w:rsid w:val="00D471BD"/>
    <w:rsid w:val="00D5382D"/>
    <w:rsid w:val="00D87E9C"/>
    <w:rsid w:val="00D95105"/>
    <w:rsid w:val="60CBDE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007A6"/>
  <w15:docId w15:val="{A094461F-AB41-46CF-AEC1-51E5F6BB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91D"/>
    <w:pPr>
      <w:spacing w:after="0" w:line="240" w:lineRule="auto"/>
    </w:pPr>
    <w:rPr>
      <w:rFonts w:ascii="Calibri" w:hAnsi="Calibri" w:cs="Calibri"/>
    </w:rPr>
  </w:style>
  <w:style w:type="paragraph" w:styleId="Heading1">
    <w:name w:val="heading 1"/>
    <w:basedOn w:val="Normal"/>
    <w:next w:val="Normal"/>
    <w:link w:val="Heading1Char"/>
    <w:uiPriority w:val="9"/>
    <w:qFormat/>
    <w:rsid w:val="00587C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7C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6AEA"/>
    <w:rPr>
      <w:color w:val="0000FF"/>
      <w:u w:val="single"/>
    </w:rPr>
  </w:style>
  <w:style w:type="paragraph" w:styleId="Revision">
    <w:name w:val="Revision"/>
    <w:hidden/>
    <w:uiPriority w:val="99"/>
    <w:semiHidden/>
    <w:rsid w:val="005A459D"/>
    <w:pPr>
      <w:spacing w:after="0" w:line="240" w:lineRule="auto"/>
    </w:pPr>
    <w:rPr>
      <w:rFonts w:ascii="Calibri" w:hAnsi="Calibri" w:cs="Calibri"/>
    </w:rPr>
  </w:style>
  <w:style w:type="paragraph" w:styleId="BodyText">
    <w:name w:val="Body Text"/>
    <w:basedOn w:val="Normal"/>
    <w:link w:val="BodyTextChar"/>
    <w:uiPriority w:val="99"/>
    <w:qFormat/>
    <w:rsid w:val="005A459D"/>
    <w:pPr>
      <w:spacing w:after="240" w:line="288" w:lineRule="auto"/>
    </w:pPr>
    <w:rPr>
      <w:rFonts w:ascii="Franklin Gothic Book" w:hAnsi="Franklin Gothic Book" w:cstheme="minorBidi"/>
      <w:szCs w:val="24"/>
    </w:rPr>
  </w:style>
  <w:style w:type="character" w:customStyle="1" w:styleId="BodyTextChar">
    <w:name w:val="Body Text Char"/>
    <w:basedOn w:val="DefaultParagraphFont"/>
    <w:link w:val="BodyText"/>
    <w:uiPriority w:val="99"/>
    <w:rsid w:val="005A459D"/>
    <w:rPr>
      <w:rFonts w:ascii="Franklin Gothic Book" w:hAnsi="Franklin Gothic Book"/>
      <w:szCs w:val="24"/>
    </w:rPr>
  </w:style>
  <w:style w:type="paragraph" w:customStyle="1" w:styleId="FEMABullet-1">
    <w:name w:val="FEMA Bullet - 1"/>
    <w:basedOn w:val="Normal"/>
    <w:uiPriority w:val="1"/>
    <w:qFormat/>
    <w:rsid w:val="005A459D"/>
    <w:pPr>
      <w:numPr>
        <w:numId w:val="2"/>
      </w:numPr>
      <w:spacing w:after="240" w:line="288" w:lineRule="auto"/>
    </w:pPr>
    <w:rPr>
      <w:rFonts w:ascii="Franklin Gothic Book" w:hAnsi="Franklin Gothic Book" w:cstheme="minorBidi"/>
      <w:szCs w:val="24"/>
    </w:rPr>
  </w:style>
  <w:style w:type="paragraph" w:customStyle="1" w:styleId="FEMABullet-2">
    <w:name w:val="FEMA Bullet - 2"/>
    <w:basedOn w:val="FEMABullet-1"/>
    <w:uiPriority w:val="2"/>
    <w:qFormat/>
    <w:rsid w:val="005A459D"/>
    <w:pPr>
      <w:numPr>
        <w:ilvl w:val="1"/>
      </w:numPr>
    </w:pPr>
  </w:style>
  <w:style w:type="paragraph" w:customStyle="1" w:styleId="FEMABullet-3">
    <w:name w:val="FEMA Bullet - 3"/>
    <w:basedOn w:val="FEMABullet-2"/>
    <w:uiPriority w:val="3"/>
    <w:qFormat/>
    <w:rsid w:val="005A459D"/>
    <w:pPr>
      <w:numPr>
        <w:ilvl w:val="2"/>
      </w:numPr>
    </w:pPr>
  </w:style>
  <w:style w:type="paragraph" w:customStyle="1" w:styleId="FEMAHeading1">
    <w:name w:val="FEMA Heading 1"/>
    <w:basedOn w:val="FEMAHeading0-CHAPTER"/>
    <w:next w:val="Normal"/>
    <w:uiPriority w:val="6"/>
    <w:qFormat/>
    <w:rsid w:val="005A459D"/>
    <w:pPr>
      <w:pageBreakBefore w:val="0"/>
      <w:numPr>
        <w:ilvl w:val="1"/>
      </w:numPr>
      <w:tabs>
        <w:tab w:val="left" w:pos="720"/>
      </w:tabs>
      <w:spacing w:before="360" w:after="120"/>
      <w:outlineLvl w:val="1"/>
    </w:pPr>
    <w:rPr>
      <w:color w:val="2F2F30"/>
      <w:sz w:val="38"/>
      <w:szCs w:val="38"/>
    </w:rPr>
  </w:style>
  <w:style w:type="paragraph" w:customStyle="1" w:styleId="FEMAHeading2">
    <w:name w:val="FEMA Heading 2"/>
    <w:basedOn w:val="FEMAHeading1"/>
    <w:next w:val="Normal"/>
    <w:uiPriority w:val="7"/>
    <w:qFormat/>
    <w:rsid w:val="005A459D"/>
    <w:pPr>
      <w:numPr>
        <w:ilvl w:val="2"/>
      </w:numPr>
      <w:tabs>
        <w:tab w:val="clear" w:pos="720"/>
        <w:tab w:val="left" w:pos="900"/>
      </w:tabs>
      <w:outlineLvl w:val="2"/>
    </w:pPr>
    <w:rPr>
      <w:color w:val="005288"/>
      <w:sz w:val="28"/>
    </w:rPr>
  </w:style>
  <w:style w:type="paragraph" w:customStyle="1" w:styleId="FEMAHeading3">
    <w:name w:val="FEMA Heading 3"/>
    <w:basedOn w:val="FEMAHeading2"/>
    <w:next w:val="Normal"/>
    <w:uiPriority w:val="8"/>
    <w:qFormat/>
    <w:rsid w:val="005A459D"/>
    <w:pPr>
      <w:numPr>
        <w:ilvl w:val="3"/>
      </w:numPr>
      <w:outlineLvl w:val="3"/>
    </w:pPr>
    <w:rPr>
      <w:caps/>
      <w:color w:val="2F2F30"/>
      <w:sz w:val="24"/>
    </w:rPr>
  </w:style>
  <w:style w:type="paragraph" w:customStyle="1" w:styleId="FEMAHeading4">
    <w:name w:val="FEMA Heading 4"/>
    <w:basedOn w:val="FEMAHeading3"/>
    <w:next w:val="Normal"/>
    <w:uiPriority w:val="9"/>
    <w:qFormat/>
    <w:rsid w:val="005A459D"/>
    <w:pPr>
      <w:numPr>
        <w:ilvl w:val="4"/>
      </w:numPr>
      <w:outlineLvl w:val="4"/>
    </w:pPr>
    <w:rPr>
      <w:rFonts w:eastAsiaTheme="majorEastAsia" w:cstheme="majorBidi"/>
      <w:caps w:val="0"/>
      <w:color w:val="005288"/>
    </w:rPr>
  </w:style>
  <w:style w:type="paragraph" w:customStyle="1" w:styleId="FEMAHeading5">
    <w:name w:val="FEMA Heading 5"/>
    <w:basedOn w:val="FEMAHeading4"/>
    <w:uiPriority w:val="99"/>
    <w:qFormat/>
    <w:rsid w:val="005A459D"/>
    <w:pPr>
      <w:numPr>
        <w:ilvl w:val="5"/>
      </w:numPr>
      <w:outlineLvl w:val="5"/>
    </w:pPr>
    <w:rPr>
      <w:i/>
      <w:color w:val="2F2F30"/>
      <w:sz w:val="22"/>
    </w:rPr>
  </w:style>
  <w:style w:type="paragraph" w:customStyle="1" w:styleId="FEMAHeading0-CHAPTER">
    <w:name w:val="FEMA Heading 0 - CHAPTER"/>
    <w:basedOn w:val="Normal"/>
    <w:next w:val="Normal"/>
    <w:uiPriority w:val="99"/>
    <w:qFormat/>
    <w:rsid w:val="005A459D"/>
    <w:pPr>
      <w:keepNext/>
      <w:pageBreakBefore/>
      <w:numPr>
        <w:numId w:val="3"/>
      </w:numPr>
      <w:spacing w:after="240"/>
      <w:outlineLvl w:val="0"/>
    </w:pPr>
    <w:rPr>
      <w:rFonts w:ascii="Franklin Gothic Medium" w:hAnsi="Franklin Gothic Medium" w:cstheme="minorBidi"/>
      <w:color w:val="005288"/>
      <w:sz w:val="60"/>
      <w:szCs w:val="24"/>
    </w:rPr>
  </w:style>
  <w:style w:type="character" w:customStyle="1" w:styleId="Heading1Char">
    <w:name w:val="Heading 1 Char"/>
    <w:basedOn w:val="DefaultParagraphFont"/>
    <w:link w:val="Heading1"/>
    <w:uiPriority w:val="9"/>
    <w:rsid w:val="00587C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87C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programs-surveys/metro-micro.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Westinson, Krista</cp:lastModifiedBy>
  <cp:revision>13</cp:revision>
  <dcterms:created xsi:type="dcterms:W3CDTF">2015-10-13T19:08:00Z</dcterms:created>
  <dcterms:modified xsi:type="dcterms:W3CDTF">2024-02-06T18:00:00Z</dcterms:modified>
</cp:coreProperties>
</file>