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4B5F" w:rsidRPr="008807BD" w:rsidP="000C0B62" w14:paraId="5182A9A1" w14:textId="77777777">
      <w:pPr>
        <w:pStyle w:val="Title"/>
        <w:rPr>
          <w:b w:val="0"/>
        </w:rPr>
      </w:pPr>
      <w:r>
        <w:t>Supporting Statement – Part B</w:t>
      </w:r>
    </w:p>
    <w:p w:rsidR="001D51A8" w:rsidP="001D51A8" w14:paraId="1CB27728" w14:textId="77777777">
      <w:pPr>
        <w:pStyle w:val="Title"/>
      </w:pPr>
      <w:r>
        <w:t>Quality Payment Program/Merit-Based Incentive Payment System (MIPS)</w:t>
      </w:r>
    </w:p>
    <w:p w:rsidR="000C4B5F" w:rsidP="001D51A8" w14:paraId="05920211" w14:textId="77777777">
      <w:pPr>
        <w:pStyle w:val="Title"/>
        <w:rPr>
          <w:b w:val="0"/>
        </w:rPr>
      </w:pPr>
      <w:r>
        <w:t xml:space="preserve">CMS-10621, </w:t>
      </w:r>
      <w:r w:rsidR="00D360BA">
        <w:t>OMB</w:t>
      </w:r>
      <w:r>
        <w:t xml:space="preserve"> 0938-1314</w:t>
      </w:r>
      <w:r w:rsidR="00FD21BE">
        <w:br/>
      </w:r>
      <w:r w:rsidR="00FD21BE">
        <w:rPr>
          <w:b w:val="0"/>
        </w:rPr>
        <w:t>Collections of Information Employing Statistical Models</w:t>
      </w:r>
    </w:p>
    <w:p w:rsidR="00FD21BE" w:rsidP="00FD21BE" w14:paraId="4D65F30F" w14:textId="77777777"/>
    <w:p w:rsidR="00FD21BE" w:rsidRPr="00FB070C" w:rsidP="00FF4FAE" w14:paraId="5B2A58B8" w14:textId="77777777">
      <w:pPr>
        <w:pStyle w:val="Heading1"/>
        <w:rPr>
          <w:sz w:val="24"/>
          <w:szCs w:val="18"/>
        </w:rPr>
      </w:pPr>
      <w:r w:rsidRPr="00FB070C">
        <w:rPr>
          <w:sz w:val="24"/>
          <w:szCs w:val="18"/>
        </w:rPr>
        <w:t>Introduction</w:t>
      </w:r>
    </w:p>
    <w:p w:rsidR="001D51A8" w:rsidP="001D51A8" w14:paraId="029A759F" w14:textId="249BBF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2D3906">
        <w:t>The Merit-based Incentive Payment System (MIPS)</w:t>
      </w:r>
      <w:r w:rsidRPr="002D3906">
        <w:t xml:space="preserve"> is one of two paths for </w:t>
      </w:r>
      <w:r>
        <w:t>clinicians</w:t>
      </w:r>
      <w:r w:rsidRPr="002D3906">
        <w:t xml:space="preserve"> available through the Quality Payment Program authorized by the Medicare Access and CHIP Reauthorization Act of 2015 (MACRA). The Quality Payment Program replace</w:t>
      </w:r>
      <w:r>
        <w:t>d</w:t>
      </w:r>
      <w:r w:rsidRPr="002D3906">
        <w:t xml:space="preserve"> </w:t>
      </w:r>
      <w:r>
        <w:t>three precursor</w:t>
      </w:r>
      <w:r w:rsidRPr="002D3906">
        <w:t xml:space="preserve"> Medicare reporting programs with a flexible system that allows clinicians to choose from two paths that link quality to payments:  MIPS and Advanced Alternative Payment Models (APMs). The MIPS </w:t>
      </w:r>
      <w:r>
        <w:t xml:space="preserve">path </w:t>
      </w:r>
      <w:r w:rsidR="0024708A">
        <w:t xml:space="preserve">measures </w:t>
      </w:r>
      <w:r>
        <w:t xml:space="preserve">MIPS </w:t>
      </w:r>
      <w:r w:rsidRPr="002D3906">
        <w:t xml:space="preserve">eligible clinicians and groups on </w:t>
      </w:r>
      <w:r w:rsidR="00754B4B">
        <w:t xml:space="preserve">the following </w:t>
      </w:r>
      <w:r w:rsidRPr="002D3906">
        <w:t xml:space="preserve">performance </w:t>
      </w:r>
      <w:r w:rsidR="00582049">
        <w:t>areas</w:t>
      </w:r>
      <w:r w:rsidRPr="002D3906">
        <w:t>: quality</w:t>
      </w:r>
      <w:r w:rsidR="00396287">
        <w:t xml:space="preserve"> </w:t>
      </w:r>
      <w:r w:rsidR="00831488">
        <w:t>–</w:t>
      </w:r>
      <w:r w:rsidR="00396287">
        <w:t xml:space="preserve"> </w:t>
      </w:r>
      <w:r w:rsidR="00831488">
        <w:t>a set of evidence-based</w:t>
      </w:r>
      <w:r w:rsidRPr="002D3906">
        <w:t xml:space="preserve">, </w:t>
      </w:r>
      <w:r w:rsidR="007E295C">
        <w:t xml:space="preserve">specialty-specific standards; </w:t>
      </w:r>
      <w:r w:rsidRPr="002D3906">
        <w:t>improvement activities</w:t>
      </w:r>
      <w:r w:rsidR="00F37BD3">
        <w:t xml:space="preserve"> that </w:t>
      </w:r>
      <w:r w:rsidR="00D54944">
        <w:t xml:space="preserve">focus on </w:t>
      </w:r>
      <w:r w:rsidR="000563E0">
        <w:t>practice-based improvements</w:t>
      </w:r>
      <w:r w:rsidR="00D444E0">
        <w:t>;</w:t>
      </w:r>
      <w:r w:rsidRPr="002D3906">
        <w:t xml:space="preserve"> </w:t>
      </w:r>
      <w:r w:rsidR="00D444E0">
        <w:t xml:space="preserve">cost; </w:t>
      </w:r>
      <w:r w:rsidRPr="002D3906">
        <w:t xml:space="preserve">and use of </w:t>
      </w:r>
      <w:r w:rsidR="008A6903">
        <w:t>C</w:t>
      </w:r>
      <w:r w:rsidRPr="002D3906">
        <w:t>ertified E</w:t>
      </w:r>
      <w:r w:rsidR="00DE00F7">
        <w:t xml:space="preserve">lectronic </w:t>
      </w:r>
      <w:r w:rsidRPr="002D3906">
        <w:t>H</w:t>
      </w:r>
      <w:r w:rsidR="00DE00F7">
        <w:t xml:space="preserve">ealth </w:t>
      </w:r>
      <w:r w:rsidRPr="002D3906">
        <w:t>R</w:t>
      </w:r>
      <w:r w:rsidR="00DE00F7">
        <w:t>ecord</w:t>
      </w:r>
      <w:r w:rsidRPr="002D3906">
        <w:t xml:space="preserve"> </w:t>
      </w:r>
      <w:r w:rsidR="00BE1EB5">
        <w:t>T</w:t>
      </w:r>
      <w:r w:rsidRPr="002D3906">
        <w:t>echnology</w:t>
      </w:r>
      <w:r>
        <w:t xml:space="preserve"> </w:t>
      </w:r>
      <w:r w:rsidR="00BE1EB5">
        <w:t>(</w:t>
      </w:r>
      <w:r>
        <w:t>CEHRT</w:t>
      </w:r>
      <w:r w:rsidRPr="002D3906">
        <w:t>)</w:t>
      </w:r>
      <w:r w:rsidR="00173869">
        <w:t xml:space="preserve"> to support interoperability </w:t>
      </w:r>
      <w:r w:rsidR="000C10E3">
        <w:t>and advanced quality objectives</w:t>
      </w:r>
      <w:r w:rsidR="00C618AF">
        <w:t xml:space="preserve"> in a single, cohesive </w:t>
      </w:r>
      <w:r w:rsidR="00844BD3">
        <w:t>program that avoids redundancies</w:t>
      </w:r>
      <w:r w:rsidRPr="002D3906">
        <w:t xml:space="preserve">. </w:t>
      </w:r>
      <w:r>
        <w:t xml:space="preserve"> Under the APM path, clinicians participating in certain types of APMs (Advanced APMs) may become Qualifying APM participants (QPs) and</w:t>
      </w:r>
      <w:r w:rsidR="0095479E">
        <w:t xml:space="preserve"> be</w:t>
      </w:r>
      <w:r>
        <w:t xml:space="preserve"> excluded from MIPS. </w:t>
      </w:r>
    </w:p>
    <w:p w:rsidR="001D51A8" w:rsidP="001D51A8" w14:paraId="7A9F0204" w14:textId="6CD0E2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The primary purpose of this collection is to generate data on a MIPS eligible clinician</w:t>
      </w:r>
      <w:r w:rsidR="006F6610">
        <w:t>,</w:t>
      </w:r>
      <w:r>
        <w:t xml:space="preserve"> group</w:t>
      </w:r>
      <w:r w:rsidR="007B2A1B">
        <w:t>, or subgroup</w:t>
      </w:r>
      <w:r>
        <w:t xml:space="preserve"> so that CMS can </w:t>
      </w:r>
      <w:r w:rsidRPr="0007426C">
        <w:t xml:space="preserve">assess </w:t>
      </w:r>
      <w:r>
        <w:t xml:space="preserve">MIPS </w:t>
      </w:r>
      <w:r w:rsidRPr="00AC495C">
        <w:t>eligible clinician</w:t>
      </w:r>
      <w:r w:rsidRPr="0007426C">
        <w:t xml:space="preserve"> performance in the </w:t>
      </w:r>
      <w:r>
        <w:t>four</w:t>
      </w:r>
      <w:r w:rsidRPr="0007426C">
        <w:t xml:space="preserve"> performance categories, calculat</w:t>
      </w:r>
      <w:r>
        <w:t>e</w:t>
      </w:r>
      <w:r w:rsidRPr="0007426C">
        <w:t xml:space="preserve"> </w:t>
      </w:r>
      <w:r>
        <w:t>the</w:t>
      </w:r>
      <w:r w:rsidRPr="0007426C">
        <w:t xml:space="preserve"> </w:t>
      </w:r>
      <w:r>
        <w:t>final score,</w:t>
      </w:r>
      <w:r w:rsidRPr="0007426C">
        <w:t xml:space="preserve"> and appl</w:t>
      </w:r>
      <w:r>
        <w:t>y</w:t>
      </w:r>
      <w:r w:rsidRPr="0007426C">
        <w:t xml:space="preserve"> performance-based payment </w:t>
      </w:r>
      <w:r>
        <w:t>adjustments</w:t>
      </w:r>
      <w:r w:rsidRPr="0007426C">
        <w:t xml:space="preserve">. </w:t>
      </w:r>
      <w:r>
        <w:t xml:space="preserve">We will also use this </w:t>
      </w:r>
      <w:r w:rsidRPr="0007426C">
        <w:t>information to provide regular</w:t>
      </w:r>
      <w:r>
        <w:t xml:space="preserve"> performance</w:t>
      </w:r>
      <w:r w:rsidRPr="0007426C">
        <w:t xml:space="preserve"> feedback to </w:t>
      </w:r>
      <w:r>
        <w:t xml:space="preserve">MIPS </w:t>
      </w:r>
      <w:r w:rsidRPr="00AC495C">
        <w:t>eligible clinicia</w:t>
      </w:r>
      <w:r w:rsidRPr="0007426C">
        <w:t>ns and eligible entities.</w:t>
      </w:r>
      <w:r>
        <w:t xml:space="preserve"> </w:t>
      </w:r>
      <w:r w:rsidRPr="0007426C">
        <w:t xml:space="preserve">This information </w:t>
      </w:r>
      <w:r>
        <w:t xml:space="preserve">will also be </w:t>
      </w:r>
      <w:r w:rsidRPr="0007426C">
        <w:t>made available to beneficiaries</w:t>
      </w:r>
      <w:r>
        <w:t>,</w:t>
      </w:r>
      <w:r w:rsidRPr="0007426C">
        <w:t xml:space="preserve"> as well as to the </w:t>
      </w:r>
      <w:r>
        <w:t xml:space="preserve">general </w:t>
      </w:r>
      <w:r w:rsidRPr="0007426C">
        <w:t>public, on the</w:t>
      </w:r>
      <w:r w:rsidR="002721E6">
        <w:t xml:space="preserve"> </w:t>
      </w:r>
      <w:r w:rsidR="00D03247">
        <w:t>c</w:t>
      </w:r>
      <w:r w:rsidR="00107E4E">
        <w:t>are</w:t>
      </w:r>
      <w:r w:rsidRPr="00702FF7" w:rsidR="00BF1823">
        <w:t xml:space="preserve"> </w:t>
      </w:r>
      <w:r w:rsidR="00CA5AB2">
        <w:t>c</w:t>
      </w:r>
      <w:r w:rsidRPr="00702FF7">
        <w:t>ompare</w:t>
      </w:r>
      <w:r w:rsidRPr="0007426C">
        <w:t xml:space="preserve"> </w:t>
      </w:r>
      <w:r w:rsidR="00CA5AB2">
        <w:t>tool</w:t>
      </w:r>
      <w:r w:rsidR="00431C64">
        <w:t xml:space="preserve"> hosted by the </w:t>
      </w:r>
      <w:r w:rsidR="00EB6615">
        <w:t>U.S. Department of Health and Services.</w:t>
      </w:r>
      <w:r>
        <w:t xml:space="preserve"> In addition</w:t>
      </w:r>
      <w:r>
        <w:rPr>
          <w:rStyle w:val="CommentReference"/>
        </w:rPr>
        <w:t>,</w:t>
      </w:r>
      <w:r>
        <w:t xml:space="preserve"> the data collected under this PRA will be used for research, evaluation, and measure assessment and refinement activities.</w:t>
      </w:r>
    </w:p>
    <w:p w:rsidR="001D51A8" w:rsidP="001D51A8" w14:paraId="411D4892" w14:textId="3D5123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B26C0A">
        <w:t>Specifically, CMS use</w:t>
      </w:r>
      <w:r w:rsidR="006C54D6">
        <w:t>s</w:t>
      </w:r>
      <w:r w:rsidRPr="00B26C0A">
        <w:t xml:space="preserve"> the data to produce annual statistical reports that </w:t>
      </w:r>
      <w:r w:rsidR="003B5826">
        <w:t>provide a comprehensive representation of the overall</w:t>
      </w:r>
      <w:r w:rsidRPr="00B26C0A">
        <w:t xml:space="preserve"> experience of MIPS eligible clinicians.</w:t>
      </w:r>
      <w:r>
        <w:t xml:space="preserve"> </w:t>
      </w:r>
      <w:r w:rsidRPr="00B26C0A">
        <w:t xml:space="preserve">Further, CMS </w:t>
      </w:r>
      <w:r w:rsidR="00C85C95">
        <w:t xml:space="preserve">has </w:t>
      </w:r>
      <w:r w:rsidRPr="00B26C0A">
        <w:t xml:space="preserve">processes to monitor and assess measures to ensure their soundness and appropriateness for continued use in the MIPS. </w:t>
      </w:r>
      <w:r>
        <w:t xml:space="preserve"> </w:t>
      </w:r>
      <w:r w:rsidRPr="00B26C0A">
        <w:t>As required by the MACRA, the ongoing measure assessment and monitoring process will be used to refine, add, and drop measures as appropriate</w:t>
      </w:r>
      <w:r w:rsidR="00C85C95">
        <w:t>, as shown in the</w:t>
      </w:r>
      <w:r w:rsidR="00CB2D7E">
        <w:t xml:space="preserve"> </w:t>
      </w:r>
      <w:r w:rsidR="00E84B24">
        <w:t>finalized</w:t>
      </w:r>
      <w:r w:rsidR="00C25747">
        <w:t xml:space="preserve"> </w:t>
      </w:r>
      <w:r w:rsidR="00C85C95">
        <w:t>changes to the measure sets discussed in the</w:t>
      </w:r>
      <w:r w:rsidR="00F57774">
        <w:t xml:space="preserve"> CY 202</w:t>
      </w:r>
      <w:r w:rsidR="00604B4D">
        <w:t>4</w:t>
      </w:r>
      <w:r w:rsidR="00F57774">
        <w:t xml:space="preserve"> PFS </w:t>
      </w:r>
      <w:r w:rsidR="00E84B24">
        <w:t>final</w:t>
      </w:r>
      <w:r w:rsidR="00F57774">
        <w:t xml:space="preserve"> rule</w:t>
      </w:r>
      <w:r w:rsidRPr="00B26C0A">
        <w:t>.</w:t>
      </w:r>
      <w:r>
        <w:t xml:space="preserve"> </w:t>
      </w:r>
      <w:r w:rsidR="002732FB">
        <w:t xml:space="preserve">Supporting Statement </w:t>
      </w:r>
      <w:r w:rsidRPr="002732FB">
        <w:t>Part B</w:t>
      </w:r>
      <w:r>
        <w:t xml:space="preserve"> characterizes the respondents of this collection and any sampling used in data collection so that, when grouped/aggregated data are presented, the inferences that can be drawn from those data are clear.</w:t>
      </w:r>
    </w:p>
    <w:p w:rsidR="001D51A8" w:rsidP="001E50FB" w14:paraId="1B75CFD9" w14:textId="79A98863">
      <w:pPr>
        <w:spacing w:line="276" w:lineRule="auto"/>
      </w:pPr>
      <w:r>
        <w:t xml:space="preserve">There are </w:t>
      </w:r>
      <w:r w:rsidRPr="000857A1" w:rsidR="0095479E">
        <w:t>2</w:t>
      </w:r>
      <w:r w:rsidR="00F5334D">
        <w:t xml:space="preserve">5 </w:t>
      </w:r>
      <w:r>
        <w:t>information collections in the CY 20</w:t>
      </w:r>
      <w:r w:rsidR="00B0748F">
        <w:t>2</w:t>
      </w:r>
      <w:r w:rsidR="00F5334D">
        <w:t>4</w:t>
      </w:r>
      <w:r>
        <w:t xml:space="preserve"> </w:t>
      </w:r>
      <w:r w:rsidR="00B0748F">
        <w:t xml:space="preserve">PFS </w:t>
      </w:r>
      <w:r w:rsidR="001E57AE">
        <w:t>final</w:t>
      </w:r>
      <w:r>
        <w:t xml:space="preserve"> rule requirements and burden estimates. The discussion in this Supporting Statement Part B focuses on the 6 information </w:t>
      </w:r>
      <w:r>
        <w:t>collections for which we plan to conduct statistical reporting and analyses: quality performance</w:t>
      </w:r>
      <w:r w:rsidR="001A0688">
        <w:t xml:space="preserve"> category data submitted via Medicare Part B</w:t>
      </w:r>
      <w:r>
        <w:t xml:space="preserve"> claims, </w:t>
      </w:r>
      <w:r w:rsidR="00F308BD">
        <w:t>electronic clinical quality measure (</w:t>
      </w:r>
      <w:r>
        <w:t>eCQM</w:t>
      </w:r>
      <w:r w:rsidR="00F308BD">
        <w:t>)</w:t>
      </w:r>
      <w:r>
        <w:t xml:space="preserve">, </w:t>
      </w:r>
      <w:r w:rsidR="00F57774">
        <w:t xml:space="preserve">and </w:t>
      </w:r>
      <w:r w:rsidR="00714371">
        <w:t xml:space="preserve">MIPS </w:t>
      </w:r>
      <w:r w:rsidR="003777D1">
        <w:t>clinical quality measure (</w:t>
      </w:r>
      <w:r w:rsidR="00714371">
        <w:t>CQM</w:t>
      </w:r>
      <w:r w:rsidR="003777D1">
        <w:t>)</w:t>
      </w:r>
      <w:r>
        <w:t xml:space="preserve"> and </w:t>
      </w:r>
      <w:r w:rsidR="00D00BE9">
        <w:t>q</w:t>
      </w:r>
      <w:r w:rsidR="003777D1">
        <w:t>ualified clinical data registry (</w:t>
      </w:r>
      <w:r>
        <w:t>QCDR</w:t>
      </w:r>
      <w:r w:rsidR="003777D1">
        <w:t>)</w:t>
      </w:r>
      <w:r>
        <w:t xml:space="preserve"> collection types, </w:t>
      </w:r>
      <w:r w:rsidR="0095479E">
        <w:t xml:space="preserve">the </w:t>
      </w:r>
      <w:r w:rsidR="00F077B4">
        <w:t xml:space="preserve">quality performance category submissions for </w:t>
      </w:r>
      <w:r w:rsidR="00D735D6">
        <w:t>MIPS Value Pathways</w:t>
      </w:r>
      <w:r w:rsidR="004D7D8A">
        <w:t xml:space="preserve"> (</w:t>
      </w:r>
      <w:r w:rsidR="00F077B4">
        <w:t>MVPs</w:t>
      </w:r>
      <w:r w:rsidR="004D7D8A">
        <w:t>)</w:t>
      </w:r>
      <w:r w:rsidR="00F077B4">
        <w:t xml:space="preserve">, </w:t>
      </w:r>
      <w:r>
        <w:t xml:space="preserve">and data submitted for the Promoting Interoperability and improvement activities performance categories. </w:t>
      </w:r>
    </w:p>
    <w:p w:rsidR="00D26EEF" w:rsidRPr="00FB070C" w:rsidP="00FB070C" w14:paraId="11B38443" w14:textId="77777777">
      <w:pPr>
        <w:pStyle w:val="Heading1"/>
        <w:numPr>
          <w:ilvl w:val="0"/>
          <w:numId w:val="20"/>
        </w:numPr>
        <w:rPr>
          <w:sz w:val="24"/>
          <w:szCs w:val="18"/>
        </w:rPr>
      </w:pPr>
      <w:r w:rsidRPr="00FB070C">
        <w:rPr>
          <w:sz w:val="24"/>
          <w:szCs w:val="18"/>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6104BA" w:rsidRPr="001D51A8" w:rsidP="00FE4E51" w14:paraId="2EE5BC4F" w14:textId="77777777">
      <w:pPr>
        <w:pStyle w:val="Heading2"/>
      </w:pPr>
      <w:r w:rsidRPr="001D51A8">
        <w:t>Quality Performance Category Data Submission</w:t>
      </w:r>
    </w:p>
    <w:p w:rsidR="001D51A8" w:rsidP="00FE4E51" w14:paraId="3E75DE7E" w14:textId="77777777">
      <w:pPr>
        <w:pStyle w:val="Heading3"/>
      </w:pPr>
      <w:r w:rsidRPr="001D51A8">
        <w:t>Potential respondent universe and response rates</w:t>
      </w:r>
    </w:p>
    <w:p w:rsidR="00A642D7" w:rsidRPr="00A642D7" w:rsidP="001E50FB" w14:paraId="4AE55FAA" w14:textId="5D4BB806">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Cs w:val="20"/>
        </w:rPr>
      </w:pPr>
      <w:r>
        <w:t>W</w:t>
      </w:r>
      <w:r w:rsidRPr="001D51A8">
        <w:rPr>
          <w:szCs w:val="20"/>
        </w:rPr>
        <w:t>e anticipate</w:t>
      </w:r>
      <w:r w:rsidR="001A0688">
        <w:rPr>
          <w:szCs w:val="20"/>
        </w:rPr>
        <w:t xml:space="preserve"> that </w:t>
      </w:r>
      <w:r w:rsidRPr="00D27151" w:rsidR="00D27151">
        <w:rPr>
          <w:szCs w:val="20"/>
        </w:rPr>
        <w:t>two groups of clinicians will submit quality data under MIPS: those who submit as MIPS eligible clinicians and other eligible clinicians who submit data voluntarily</w:t>
      </w:r>
      <w:r w:rsidR="00D27151">
        <w:rPr>
          <w:szCs w:val="20"/>
        </w:rPr>
        <w:t>.</w:t>
      </w:r>
      <w:r w:rsidRPr="001D51A8">
        <w:rPr>
          <w:szCs w:val="20"/>
        </w:rPr>
        <w:t xml:space="preserve"> </w:t>
      </w:r>
      <w:r w:rsidR="00F67020">
        <w:rPr>
          <w:szCs w:val="20"/>
        </w:rPr>
        <w:t xml:space="preserve"> </w:t>
      </w:r>
      <w:r w:rsidRPr="001D51A8">
        <w:rPr>
          <w:szCs w:val="20"/>
        </w:rPr>
        <w:t>We estimate the potential respondent universe and response rates for MIPS eligible clinicians</w:t>
      </w:r>
      <w:r w:rsidR="00D27151">
        <w:rPr>
          <w:szCs w:val="20"/>
        </w:rPr>
        <w:t xml:space="preserve"> </w:t>
      </w:r>
      <w:r w:rsidRPr="001D51A8">
        <w:rPr>
          <w:szCs w:val="20"/>
        </w:rPr>
        <w:t xml:space="preserve">and clinicians excluded from MIPS using data from the </w:t>
      </w:r>
      <w:r w:rsidR="00324E5B">
        <w:rPr>
          <w:szCs w:val="20"/>
        </w:rPr>
        <w:t xml:space="preserve">CY </w:t>
      </w:r>
      <w:r w:rsidR="00D27151">
        <w:rPr>
          <w:szCs w:val="20"/>
        </w:rPr>
        <w:t>20</w:t>
      </w:r>
      <w:r w:rsidR="00806212">
        <w:rPr>
          <w:szCs w:val="20"/>
        </w:rPr>
        <w:t>2</w:t>
      </w:r>
      <w:r w:rsidR="0058136F">
        <w:rPr>
          <w:szCs w:val="20"/>
        </w:rPr>
        <w:t>2</w:t>
      </w:r>
      <w:r w:rsidR="00D27151">
        <w:rPr>
          <w:szCs w:val="20"/>
        </w:rPr>
        <w:t xml:space="preserve"> performance period</w:t>
      </w:r>
      <w:r w:rsidR="00324E5B">
        <w:rPr>
          <w:szCs w:val="20"/>
        </w:rPr>
        <w:t>/202</w:t>
      </w:r>
      <w:r w:rsidR="0058136F">
        <w:rPr>
          <w:szCs w:val="20"/>
        </w:rPr>
        <w:t>4</w:t>
      </w:r>
      <w:r w:rsidR="00F22817">
        <w:rPr>
          <w:szCs w:val="20"/>
        </w:rPr>
        <w:t xml:space="preserve"> </w:t>
      </w:r>
      <w:r w:rsidR="00911FB4">
        <w:rPr>
          <w:szCs w:val="20"/>
        </w:rPr>
        <w:t>MIPS payment year</w:t>
      </w:r>
      <w:r w:rsidRPr="001D51A8">
        <w:rPr>
          <w:szCs w:val="20"/>
        </w:rPr>
        <w:t xml:space="preserve"> and other CMS sources.</w:t>
      </w:r>
      <w:r w:rsidR="00F67020">
        <w:rPr>
          <w:szCs w:val="20"/>
        </w:rPr>
        <w:t xml:space="preserve"> </w:t>
      </w:r>
      <w:r w:rsidRPr="0040019A" w:rsidR="0040019A">
        <w:rPr>
          <w:szCs w:val="20"/>
        </w:rPr>
        <w:t>To deter</w:t>
      </w:r>
      <w:r w:rsidR="005C3C42">
        <w:rPr>
          <w:szCs w:val="20"/>
        </w:rPr>
        <w:t>mine</w:t>
      </w:r>
      <w:r w:rsidRPr="0040019A" w:rsidR="0040019A">
        <w:rPr>
          <w:szCs w:val="20"/>
        </w:rPr>
        <w:t xml:space="preserve"> which QPs should be excluded from MIPS, </w:t>
      </w:r>
      <w:r w:rsidRPr="00360295" w:rsidR="00E01366">
        <w:rPr>
          <w:rFonts w:eastAsia="Calibri"/>
          <w:snapToGrid w:val="0"/>
        </w:rPr>
        <w:t xml:space="preserve">we used Advanced APM payment and patient percentages from the APM Participant List for the </w:t>
      </w:r>
      <w:r w:rsidR="00286C4C">
        <w:rPr>
          <w:rFonts w:eastAsia="Calibri"/>
          <w:snapToGrid w:val="0"/>
        </w:rPr>
        <w:t>third</w:t>
      </w:r>
      <w:r w:rsidR="00311D67">
        <w:rPr>
          <w:rFonts w:eastAsia="Calibri"/>
          <w:snapToGrid w:val="0"/>
        </w:rPr>
        <w:t xml:space="preserve"> </w:t>
      </w:r>
      <w:r w:rsidRPr="00360295" w:rsidR="00E01366">
        <w:rPr>
          <w:rFonts w:eastAsia="Calibri"/>
          <w:snapToGrid w:val="0"/>
        </w:rPr>
        <w:t xml:space="preserve">snapshot date for the </w:t>
      </w:r>
      <w:r w:rsidR="00E01366">
        <w:rPr>
          <w:rFonts w:eastAsia="Calibri"/>
          <w:snapToGrid w:val="0"/>
        </w:rPr>
        <w:t>20</w:t>
      </w:r>
      <w:r w:rsidR="00377AD6">
        <w:rPr>
          <w:rFonts w:eastAsia="Calibri"/>
          <w:snapToGrid w:val="0"/>
        </w:rPr>
        <w:t>2</w:t>
      </w:r>
      <w:r w:rsidR="00286C4C">
        <w:rPr>
          <w:rFonts w:eastAsia="Calibri"/>
          <w:snapToGrid w:val="0"/>
        </w:rPr>
        <w:t>2</w:t>
      </w:r>
      <w:r w:rsidRPr="00360295" w:rsidR="00E01366">
        <w:rPr>
          <w:rFonts w:eastAsia="Calibri"/>
          <w:snapToGrid w:val="0"/>
        </w:rPr>
        <w:t xml:space="preserve"> QP </w:t>
      </w:r>
      <w:r w:rsidR="00B32B28">
        <w:rPr>
          <w:rFonts w:eastAsia="Calibri"/>
          <w:snapToGrid w:val="0"/>
        </w:rPr>
        <w:t>P</w:t>
      </w:r>
      <w:r w:rsidRPr="00360295" w:rsidR="00E01366">
        <w:rPr>
          <w:rFonts w:eastAsia="Calibri"/>
          <w:snapToGrid w:val="0"/>
        </w:rPr>
        <w:t xml:space="preserve">erformance </w:t>
      </w:r>
      <w:r w:rsidR="00B32B28">
        <w:rPr>
          <w:rFonts w:eastAsia="Calibri"/>
          <w:snapToGrid w:val="0"/>
        </w:rPr>
        <w:t>P</w:t>
      </w:r>
      <w:r w:rsidRPr="00360295" w:rsidR="00E01366">
        <w:rPr>
          <w:rFonts w:eastAsia="Calibri"/>
          <w:snapToGrid w:val="0"/>
        </w:rPr>
        <w:t>eriod</w:t>
      </w:r>
      <w:r w:rsidR="009A2D12">
        <w:rPr>
          <w:rFonts w:eastAsia="Calibri"/>
          <w:snapToGrid w:val="0"/>
        </w:rPr>
        <w:t>.</w:t>
      </w:r>
      <w:r w:rsidRPr="00360295" w:rsidR="00E01366">
        <w:rPr>
          <w:rFonts w:eastAsia="Calibri"/>
          <w:snapToGrid w:val="0"/>
        </w:rPr>
        <w:t xml:space="preserve"> From this data, we calculated the QP determinations as described in the Qualifying APM Participant definition at § 414.1305 for the </w:t>
      </w:r>
      <w:r w:rsidR="00B17744">
        <w:rPr>
          <w:rFonts w:eastAsia="Calibri"/>
          <w:snapToGrid w:val="0"/>
        </w:rPr>
        <w:t xml:space="preserve">CY </w:t>
      </w:r>
      <w:r w:rsidRPr="00360295" w:rsidR="00E01366">
        <w:rPr>
          <w:rFonts w:eastAsia="Calibri"/>
          <w:snapToGrid w:val="0"/>
        </w:rPr>
        <w:t>202</w:t>
      </w:r>
      <w:r w:rsidR="00311D67">
        <w:rPr>
          <w:rFonts w:eastAsia="Calibri"/>
          <w:snapToGrid w:val="0"/>
        </w:rPr>
        <w:t>4</w:t>
      </w:r>
      <w:r w:rsidRPr="00360295" w:rsidR="00DB15B7">
        <w:rPr>
          <w:rFonts w:eastAsia="Calibri"/>
          <w:snapToGrid w:val="0"/>
        </w:rPr>
        <w:t xml:space="preserve"> </w:t>
      </w:r>
      <w:r w:rsidRPr="00360295" w:rsidR="00E01366">
        <w:rPr>
          <w:rFonts w:eastAsia="Calibri"/>
          <w:snapToGrid w:val="0"/>
        </w:rPr>
        <w:t>performance period</w:t>
      </w:r>
      <w:r w:rsidR="002A4B7D">
        <w:rPr>
          <w:rFonts w:eastAsia="Calibri"/>
          <w:snapToGrid w:val="0"/>
        </w:rPr>
        <w:t>/202</w:t>
      </w:r>
      <w:r w:rsidR="00311D67">
        <w:rPr>
          <w:rFonts w:eastAsia="Calibri"/>
          <w:snapToGrid w:val="0"/>
        </w:rPr>
        <w:t>6</w:t>
      </w:r>
      <w:r w:rsidR="002A4B7D">
        <w:rPr>
          <w:rFonts w:eastAsia="Calibri"/>
          <w:snapToGrid w:val="0"/>
        </w:rPr>
        <w:t xml:space="preserve"> MIPS payment year</w:t>
      </w:r>
      <w:r w:rsidRPr="00360295" w:rsidR="00E01366">
        <w:rPr>
          <w:rFonts w:eastAsia="Calibri"/>
          <w:snapToGrid w:val="0"/>
        </w:rPr>
        <w:t xml:space="preserve">.  Due to data limitations, we could not identify specific clinicians who may become QPs in the </w:t>
      </w:r>
      <w:r w:rsidR="00637996">
        <w:rPr>
          <w:rFonts w:eastAsia="Calibri"/>
          <w:snapToGrid w:val="0"/>
        </w:rPr>
        <w:t>CY</w:t>
      </w:r>
      <w:r w:rsidRPr="00360295" w:rsidR="00E01366">
        <w:rPr>
          <w:rFonts w:eastAsia="Calibri"/>
          <w:snapToGrid w:val="0"/>
        </w:rPr>
        <w:t xml:space="preserve"> 202</w:t>
      </w:r>
      <w:r w:rsidR="00286C4C">
        <w:rPr>
          <w:rFonts w:eastAsia="Calibri"/>
          <w:snapToGrid w:val="0"/>
        </w:rPr>
        <w:t>4</w:t>
      </w:r>
      <w:r w:rsidRPr="00360295" w:rsidR="00E01366">
        <w:rPr>
          <w:rFonts w:eastAsia="Calibri"/>
          <w:snapToGrid w:val="0"/>
        </w:rPr>
        <w:t xml:space="preserve"> </w:t>
      </w:r>
      <w:r w:rsidR="00637996">
        <w:rPr>
          <w:rFonts w:eastAsia="Calibri"/>
          <w:snapToGrid w:val="0"/>
        </w:rPr>
        <w:t>p</w:t>
      </w:r>
      <w:r w:rsidRPr="00360295" w:rsidR="00E01366">
        <w:rPr>
          <w:rFonts w:eastAsia="Calibri"/>
          <w:snapToGrid w:val="0"/>
        </w:rPr>
        <w:t xml:space="preserve">erformance </w:t>
      </w:r>
      <w:r w:rsidR="00637996">
        <w:rPr>
          <w:rFonts w:eastAsia="Calibri"/>
          <w:snapToGrid w:val="0"/>
        </w:rPr>
        <w:t>p</w:t>
      </w:r>
      <w:r w:rsidRPr="00360295" w:rsidR="00E01366">
        <w:rPr>
          <w:rFonts w:eastAsia="Calibri"/>
          <w:snapToGrid w:val="0"/>
        </w:rPr>
        <w:t>eriod</w:t>
      </w:r>
      <w:r w:rsidR="00637996">
        <w:rPr>
          <w:rFonts w:eastAsia="Calibri"/>
          <w:snapToGrid w:val="0"/>
        </w:rPr>
        <w:t>/</w:t>
      </w:r>
      <w:r w:rsidR="00637996">
        <w:rPr>
          <w:rFonts w:eastAsia="Calibri"/>
          <w:snapToGrid w:val="0"/>
        </w:rPr>
        <w:t>202</w:t>
      </w:r>
      <w:r w:rsidR="00286C4C">
        <w:rPr>
          <w:rFonts w:eastAsia="Calibri"/>
          <w:snapToGrid w:val="0"/>
        </w:rPr>
        <w:t>6</w:t>
      </w:r>
      <w:r w:rsidR="00637996">
        <w:rPr>
          <w:rFonts w:eastAsia="Calibri"/>
          <w:snapToGrid w:val="0"/>
        </w:rPr>
        <w:t xml:space="preserve"> MIPS payment year</w:t>
      </w:r>
      <w:r w:rsidRPr="00360295" w:rsidR="00E01366">
        <w:rPr>
          <w:rFonts w:eastAsia="Calibri"/>
          <w:snapToGrid w:val="0"/>
        </w:rPr>
        <w:t>; hence, our model may underestimate or overestimate the fraction of clinicians and allowed charges for covered professional services that will remain subject to MIPS after the exclusions</w:t>
      </w:r>
      <w:r w:rsidRPr="00B76237" w:rsidR="00EB2500">
        <w:rPr>
          <w:rFonts w:eastAsia="Calibri"/>
          <w:snapToGrid w:val="0"/>
        </w:rPr>
        <w:t>.</w:t>
      </w:r>
    </w:p>
    <w:p w:rsidR="00851040" w:rsidP="001E50FB" w14:paraId="5C93D911" w14:textId="6D4FA0C8">
      <w:pPr>
        <w:keepNext/>
        <w:keepLines/>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3F392E3E">
        <w:t xml:space="preserve">We assume that 100 percent of ACO APM Entities will submit quality data to CMS as required under their models. </w:t>
      </w:r>
      <w:r w:rsidRPr="00CC1878" w:rsidR="00E01366">
        <w:rPr>
          <w:rFonts w:eastAsia="Calibri"/>
        </w:rPr>
        <w:t>While we do not believe there is additional reporting for ACO APM entities, consistent with assumptions used in the CY 20</w:t>
      </w:r>
      <w:r w:rsidR="00C21046">
        <w:rPr>
          <w:rFonts w:eastAsia="Calibri"/>
        </w:rPr>
        <w:t>2</w:t>
      </w:r>
      <w:r w:rsidR="00AB5826">
        <w:rPr>
          <w:rFonts w:eastAsia="Calibri"/>
        </w:rPr>
        <w:t>2</w:t>
      </w:r>
      <w:r w:rsidRPr="00CC1878" w:rsidR="00E01366">
        <w:rPr>
          <w:rFonts w:eastAsia="Calibri"/>
        </w:rPr>
        <w:t xml:space="preserve"> PFS final rule (8</w:t>
      </w:r>
      <w:r w:rsidR="007D3DD0">
        <w:rPr>
          <w:rFonts w:eastAsia="Calibri"/>
        </w:rPr>
        <w:t>6</w:t>
      </w:r>
      <w:r w:rsidRPr="00CC1878" w:rsidR="00E01366">
        <w:rPr>
          <w:rFonts w:eastAsia="Calibri"/>
        </w:rPr>
        <w:t xml:space="preserve"> FR </w:t>
      </w:r>
      <w:r w:rsidR="00567B62">
        <w:rPr>
          <w:rFonts w:eastAsia="Calibri"/>
        </w:rPr>
        <w:t>65577</w:t>
      </w:r>
      <w:r w:rsidRPr="00CC1878" w:rsidR="00E01366">
        <w:rPr>
          <w:rFonts w:eastAsia="Calibri"/>
        </w:rPr>
        <w:t xml:space="preserve">), we include all quality data voluntarily submitted by MIPS APM participants made at the individual or TIN-level in our respondent estimates. As stated </w:t>
      </w:r>
      <w:r w:rsidR="00327F14">
        <w:rPr>
          <w:rFonts w:eastAsia="Calibri"/>
        </w:rPr>
        <w:t xml:space="preserve">in </w:t>
      </w:r>
      <w:r w:rsidRPr="00CC1878" w:rsidR="00E01366">
        <w:rPr>
          <w:rFonts w:eastAsia="Calibri"/>
        </w:rPr>
        <w:t>th</w:t>
      </w:r>
      <w:r w:rsidR="00E01366">
        <w:rPr>
          <w:rFonts w:eastAsia="Calibri"/>
        </w:rPr>
        <w:t>e</w:t>
      </w:r>
      <w:r w:rsidRPr="00CC1878" w:rsidR="00E01366">
        <w:rPr>
          <w:rFonts w:eastAsia="Calibri"/>
        </w:rPr>
        <w:t xml:space="preserve"> </w:t>
      </w:r>
      <w:r w:rsidR="00514D08">
        <w:rPr>
          <w:rFonts w:eastAsia="Calibri"/>
        </w:rPr>
        <w:t>CY 2022 PFS</w:t>
      </w:r>
      <w:r w:rsidRPr="00CC1878" w:rsidR="00E01366">
        <w:rPr>
          <w:rFonts w:eastAsia="Calibri"/>
        </w:rPr>
        <w:t xml:space="preserve"> </w:t>
      </w:r>
      <w:r w:rsidR="00BD541B">
        <w:rPr>
          <w:rFonts w:eastAsia="Calibri"/>
        </w:rPr>
        <w:t>final</w:t>
      </w:r>
      <w:r w:rsidRPr="00CC1878" w:rsidR="00E01366">
        <w:rPr>
          <w:rFonts w:eastAsia="Calibri"/>
        </w:rPr>
        <w:t xml:space="preserve"> </w:t>
      </w:r>
      <w:r w:rsidR="00BD541B">
        <w:rPr>
          <w:rFonts w:eastAsia="Calibri"/>
        </w:rPr>
        <w:t>r</w:t>
      </w:r>
      <w:r w:rsidRPr="00CC1878" w:rsidR="00E01366">
        <w:rPr>
          <w:rFonts w:eastAsia="Calibri"/>
        </w:rPr>
        <w:t>ule</w:t>
      </w:r>
      <w:r w:rsidR="004F61E0">
        <w:rPr>
          <w:rFonts w:eastAsia="Calibri"/>
        </w:rPr>
        <w:t xml:space="preserve"> (86 FR 65577)</w:t>
      </w:r>
      <w:r w:rsidRPr="00CC1878" w:rsidR="00E01366">
        <w:rPr>
          <w:rFonts w:eastAsia="Calibri"/>
        </w:rPr>
        <w:t xml:space="preserve">, we assume non-ACO APM Entities will </w:t>
      </w:r>
      <w:r w:rsidR="008F5CEA">
        <w:rPr>
          <w:rFonts w:eastAsia="Calibri"/>
        </w:rPr>
        <w:t xml:space="preserve">continue to </w:t>
      </w:r>
      <w:r w:rsidRPr="00CC1878" w:rsidR="00E01366">
        <w:rPr>
          <w:rFonts w:eastAsia="Calibri"/>
        </w:rPr>
        <w:t xml:space="preserve">participate through traditional MIPS and submit as an individual or group rather than as an entity. </w:t>
      </w:r>
      <w:r w:rsidRPr="00CC1878" w:rsidR="00E01366">
        <w:rPr>
          <w:rFonts w:eastAsia="Calibri"/>
          <w:snapToGrid w:val="0"/>
        </w:rPr>
        <w:t xml:space="preserve">To estimate who will be a MIPS APM participant </w:t>
      </w:r>
      <w:r w:rsidR="00B90A15">
        <w:rPr>
          <w:rFonts w:eastAsia="Calibri"/>
          <w:snapToGrid w:val="0"/>
        </w:rPr>
        <w:t>that can report using the A</w:t>
      </w:r>
      <w:r w:rsidR="00AE43B6">
        <w:rPr>
          <w:rFonts w:eastAsia="Calibri"/>
          <w:snapToGrid w:val="0"/>
        </w:rPr>
        <w:t xml:space="preserve">PM performance pathway (APP) </w:t>
      </w:r>
      <w:r w:rsidRPr="00CC1878" w:rsidR="00E01366">
        <w:rPr>
          <w:rFonts w:eastAsia="Calibri"/>
          <w:snapToGrid w:val="0"/>
        </w:rPr>
        <w:t xml:space="preserve">in the </w:t>
      </w:r>
      <w:r w:rsidR="00364F7E">
        <w:rPr>
          <w:rFonts w:eastAsia="Calibri"/>
          <w:snapToGrid w:val="0"/>
        </w:rPr>
        <w:t xml:space="preserve">CY </w:t>
      </w:r>
      <w:r w:rsidR="006308F7">
        <w:rPr>
          <w:rFonts w:eastAsia="Calibri"/>
          <w:snapToGrid w:val="0"/>
        </w:rPr>
        <w:t>202</w:t>
      </w:r>
      <w:r w:rsidR="008F5CEA">
        <w:rPr>
          <w:rFonts w:eastAsia="Calibri"/>
          <w:snapToGrid w:val="0"/>
        </w:rPr>
        <w:t>4</w:t>
      </w:r>
      <w:r w:rsidRPr="00CC1878" w:rsidR="00E01366">
        <w:rPr>
          <w:rFonts w:eastAsia="Calibri"/>
          <w:snapToGrid w:val="0"/>
        </w:rPr>
        <w:t xml:space="preserve"> performance period</w:t>
      </w:r>
      <w:r w:rsidR="00EE2CE6">
        <w:rPr>
          <w:rFonts w:eastAsia="Calibri"/>
          <w:snapToGrid w:val="0"/>
        </w:rPr>
        <w:t>/202</w:t>
      </w:r>
      <w:r w:rsidR="008F5CEA">
        <w:rPr>
          <w:rFonts w:eastAsia="Calibri"/>
          <w:snapToGrid w:val="0"/>
        </w:rPr>
        <w:t>6</w:t>
      </w:r>
      <w:r w:rsidR="00EE2CE6">
        <w:rPr>
          <w:rFonts w:eastAsia="Calibri"/>
          <w:snapToGrid w:val="0"/>
        </w:rPr>
        <w:t xml:space="preserve"> MIPS payment year</w:t>
      </w:r>
      <w:r w:rsidRPr="00CC1878" w:rsidR="00E01366">
        <w:rPr>
          <w:rFonts w:eastAsia="Calibri"/>
          <w:snapToGrid w:val="0"/>
        </w:rPr>
        <w:t xml:space="preserve">, </w:t>
      </w:r>
      <w:r w:rsidRPr="002C4BD6" w:rsidR="00E01366">
        <w:rPr>
          <w:rFonts w:eastAsia="Calibri"/>
          <w:snapToGrid w:val="0"/>
        </w:rPr>
        <w:t>we used the f</w:t>
      </w:r>
      <w:r w:rsidRPr="002C4BD6" w:rsidR="00A1635A">
        <w:rPr>
          <w:rFonts w:eastAsia="Calibri"/>
          <w:snapToGrid w:val="0"/>
        </w:rPr>
        <w:t xml:space="preserve">inal </w:t>
      </w:r>
      <w:r w:rsidRPr="002C4BD6" w:rsidR="00E01366">
        <w:rPr>
          <w:rFonts w:eastAsia="Calibri"/>
          <w:snapToGrid w:val="0"/>
        </w:rPr>
        <w:t xml:space="preserve">snapshot data </w:t>
      </w:r>
      <w:r w:rsidRPr="00E56699" w:rsidR="006D5C2D">
        <w:rPr>
          <w:rFonts w:eastAsia="Calibri"/>
          <w:snapToGrid w:val="0"/>
        </w:rPr>
        <w:t>from</w:t>
      </w:r>
      <w:r w:rsidRPr="002C4BD6" w:rsidR="00E01366">
        <w:rPr>
          <w:rFonts w:eastAsia="Calibri"/>
          <w:snapToGrid w:val="0"/>
        </w:rPr>
        <w:t xml:space="preserve"> the</w:t>
      </w:r>
      <w:r w:rsidRPr="00E56699" w:rsidR="006D5C2D">
        <w:rPr>
          <w:rFonts w:eastAsia="Calibri"/>
          <w:snapToGrid w:val="0"/>
        </w:rPr>
        <w:t xml:space="preserve"> </w:t>
      </w:r>
      <w:r w:rsidRPr="002C4BD6" w:rsidR="00E01366">
        <w:rPr>
          <w:rFonts w:eastAsia="Calibri"/>
          <w:snapToGrid w:val="0"/>
        </w:rPr>
        <w:t>20</w:t>
      </w:r>
      <w:r w:rsidR="0060353D">
        <w:rPr>
          <w:rFonts w:eastAsia="Calibri"/>
          <w:snapToGrid w:val="0"/>
        </w:rPr>
        <w:t>2</w:t>
      </w:r>
      <w:r w:rsidRPr="00E56699" w:rsidR="00A6583F">
        <w:rPr>
          <w:rFonts w:eastAsia="Calibri"/>
          <w:snapToGrid w:val="0"/>
        </w:rPr>
        <w:t>1</w:t>
      </w:r>
      <w:r w:rsidRPr="002C4BD6" w:rsidR="00E01366">
        <w:rPr>
          <w:rFonts w:eastAsia="Calibri"/>
          <w:snapToGrid w:val="0"/>
        </w:rPr>
        <w:t xml:space="preserve"> QP performance period.</w:t>
      </w:r>
      <w:r w:rsidRPr="00CC1878" w:rsidR="00E01366">
        <w:rPr>
          <w:rFonts w:eastAsia="Calibri"/>
          <w:snapToGrid w:val="0"/>
        </w:rPr>
        <w:t xml:space="preserve"> </w:t>
      </w:r>
      <w:r w:rsidRPr="00325FA3" w:rsidR="00325FA3">
        <w:rPr>
          <w:rFonts w:eastAsia="Calibri"/>
          <w:snapToGrid w:val="0"/>
        </w:rPr>
        <w:t>We elected to use this data source because the APM participant list for the 20</w:t>
      </w:r>
      <w:r w:rsidR="0060353D">
        <w:rPr>
          <w:rFonts w:eastAsia="Calibri"/>
          <w:snapToGrid w:val="0"/>
        </w:rPr>
        <w:t>2</w:t>
      </w:r>
      <w:r w:rsidR="006B713E">
        <w:rPr>
          <w:rFonts w:eastAsia="Calibri"/>
          <w:snapToGrid w:val="0"/>
        </w:rPr>
        <w:t>1</w:t>
      </w:r>
      <w:r w:rsidRPr="00325FA3" w:rsidR="00325FA3">
        <w:rPr>
          <w:rFonts w:eastAsia="Calibri"/>
          <w:snapToGrid w:val="0"/>
        </w:rPr>
        <w:t xml:space="preserve"> final snapshot can reliably be used for </w:t>
      </w:r>
      <w:r w:rsidR="00D6075C">
        <w:rPr>
          <w:rFonts w:eastAsia="Calibri"/>
          <w:snapToGrid w:val="0"/>
        </w:rPr>
        <w:t xml:space="preserve">MIPS APM </w:t>
      </w:r>
      <w:r w:rsidR="0046086D">
        <w:rPr>
          <w:rFonts w:eastAsia="Calibri"/>
          <w:snapToGrid w:val="0"/>
        </w:rPr>
        <w:t>participant</w:t>
      </w:r>
      <w:r w:rsidRPr="00325FA3" w:rsidR="00325FA3">
        <w:rPr>
          <w:rFonts w:eastAsia="Calibri"/>
          <w:snapToGrid w:val="0"/>
        </w:rPr>
        <w:t xml:space="preserve"> projections.</w:t>
      </w:r>
      <w:r w:rsidR="00325FA3">
        <w:rPr>
          <w:rFonts w:eastAsia="Calibri"/>
          <w:snapToGrid w:val="0"/>
        </w:rPr>
        <w:t xml:space="preserve"> </w:t>
      </w:r>
    </w:p>
    <w:p w:rsidR="001D51A8" w:rsidP="001E50FB" w14:paraId="2EFB58FD" w14:textId="426F968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t>As discussed in Supporting Statement A,</w:t>
      </w:r>
      <w:r w:rsidR="00B273FE">
        <w:t xml:space="preserve"> we explain that we assume </w:t>
      </w:r>
      <w:r w:rsidR="00D4294A">
        <w:t>686,650</w:t>
      </w:r>
      <w:r>
        <w:t xml:space="preserve"> MIPS eligible clinicians w</w:t>
      </w:r>
      <w:r w:rsidR="00790453">
        <w:t>ould</w:t>
      </w:r>
      <w:r>
        <w:t xml:space="preserve"> submit data as individual clinicians</w:t>
      </w:r>
      <w:r w:rsidR="00B146B3">
        <w:t xml:space="preserve"> (both required and voluntary)</w:t>
      </w:r>
      <w:r>
        <w:t xml:space="preserve">, or as part of groups or </w:t>
      </w:r>
      <w:r w:rsidR="00440BCE">
        <w:t>APM entities</w:t>
      </w:r>
      <w:r w:rsidR="00B30459">
        <w:t xml:space="preserve"> in the</w:t>
      </w:r>
      <w:r w:rsidR="000C0047">
        <w:t xml:space="preserve"> CY 202</w:t>
      </w:r>
      <w:r w:rsidR="00E337AF">
        <w:t>4</w:t>
      </w:r>
      <w:r w:rsidR="000C0047">
        <w:t xml:space="preserve"> performance period/202</w:t>
      </w:r>
      <w:r w:rsidR="00E337AF">
        <w:t>6</w:t>
      </w:r>
      <w:r w:rsidR="000C0047">
        <w:t xml:space="preserve"> MIPS payment</w:t>
      </w:r>
      <w:r w:rsidR="00E03C9B">
        <w:t xml:space="preserve"> year</w:t>
      </w:r>
      <w:r>
        <w:t xml:space="preserve">. </w:t>
      </w:r>
      <w:r w:rsidR="00397D7D">
        <w:t xml:space="preserve">Included in this number, we </w:t>
      </w:r>
      <w:r>
        <w:t xml:space="preserve">estimate that </w:t>
      </w:r>
      <w:r w:rsidR="00A96721">
        <w:t xml:space="preserve">6,554 </w:t>
      </w:r>
      <w:r>
        <w:t>clinicians</w:t>
      </w:r>
      <w:r w:rsidR="00592975">
        <w:t xml:space="preserve"> who exceed</w:t>
      </w:r>
      <w:r w:rsidR="0062744E">
        <w:t>ed</w:t>
      </w:r>
      <w:r w:rsidR="00592975">
        <w:t xml:space="preserve"> at least one but not all low-volume threshold</w:t>
      </w:r>
      <w:r w:rsidR="00CC10F4">
        <w:t xml:space="preserve"> criteria</w:t>
      </w:r>
      <w:r w:rsidR="00761C31">
        <w:t>, elected to opt-in</w:t>
      </w:r>
      <w:r w:rsidR="00592975">
        <w:t xml:space="preserve"> and submitted data in the </w:t>
      </w:r>
      <w:r w:rsidR="00BC606F">
        <w:t xml:space="preserve">CY </w:t>
      </w:r>
      <w:r w:rsidR="00592975">
        <w:t>20</w:t>
      </w:r>
      <w:r w:rsidR="00044ECC">
        <w:t>2</w:t>
      </w:r>
      <w:r w:rsidR="00EA2BC7">
        <w:t>2</w:t>
      </w:r>
      <w:r w:rsidR="00592975">
        <w:t xml:space="preserve"> performance period</w:t>
      </w:r>
      <w:r w:rsidR="00BC606F">
        <w:t>/202</w:t>
      </w:r>
      <w:r w:rsidR="00EA2BC7">
        <w:t>4</w:t>
      </w:r>
      <w:r w:rsidR="00BC606F">
        <w:t xml:space="preserve"> MIPS</w:t>
      </w:r>
      <w:r w:rsidR="0038539C">
        <w:t xml:space="preserve"> payment year</w:t>
      </w:r>
      <w:r w:rsidR="00592975">
        <w:t xml:space="preserve"> w</w:t>
      </w:r>
      <w:r w:rsidR="00790453">
        <w:t>ould</w:t>
      </w:r>
      <w:r w:rsidR="00592975">
        <w:t xml:space="preserve"> elect to opt-in to MIPS</w:t>
      </w:r>
      <w:r w:rsidR="00761C31">
        <w:t xml:space="preserve"> in the </w:t>
      </w:r>
      <w:r w:rsidR="0038539C">
        <w:t xml:space="preserve">CY </w:t>
      </w:r>
      <w:r w:rsidR="00761C31">
        <w:t>202</w:t>
      </w:r>
      <w:r w:rsidR="00EA2BC7">
        <w:t>4</w:t>
      </w:r>
      <w:r w:rsidR="00761C31">
        <w:t xml:space="preserve"> performance period</w:t>
      </w:r>
      <w:r w:rsidR="0092347E">
        <w:t>/202</w:t>
      </w:r>
      <w:r w:rsidR="00EA2BC7">
        <w:t>6</w:t>
      </w:r>
      <w:r w:rsidR="0092347E">
        <w:t xml:space="preserve"> MIPS payment year</w:t>
      </w:r>
      <w:r>
        <w:t>.</w:t>
      </w:r>
      <w:r w:rsidR="004E1D6C">
        <w:t xml:space="preserve"> While this is the </w:t>
      </w:r>
      <w:r w:rsidR="006975F0">
        <w:t xml:space="preserve">estimated </w:t>
      </w:r>
      <w:r w:rsidR="004E1D6C">
        <w:t xml:space="preserve">number of MIPS eligible clinicians, the number of respondents that </w:t>
      </w:r>
      <w:r w:rsidR="00694DE9">
        <w:t xml:space="preserve">actually </w:t>
      </w:r>
      <w:r w:rsidR="004E1D6C">
        <w:t xml:space="preserve">submit data </w:t>
      </w:r>
      <w:r w:rsidR="006975F0">
        <w:t>var</w:t>
      </w:r>
      <w:r w:rsidR="00694DE9">
        <w:t>ies</w:t>
      </w:r>
      <w:r w:rsidR="006975F0">
        <w:t xml:space="preserve"> significantly</w:t>
      </w:r>
      <w:r w:rsidR="004C0E1D">
        <w:t xml:space="preserve"> due to differences in individual, group, virtual group</w:t>
      </w:r>
      <w:r w:rsidR="00417CD2">
        <w:t>,</w:t>
      </w:r>
      <w:r w:rsidR="004C0E1D">
        <w:t xml:space="preserve"> and APM entity reporting and by the requirements and policies for each performance category. </w:t>
      </w:r>
      <w:r w:rsidR="006975F0">
        <w:t xml:space="preserve"> </w:t>
      </w:r>
    </w:p>
    <w:p w:rsidR="001D51A8" w:rsidP="001E50FB" w14:paraId="7B91A664"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Cs w:val="20"/>
        </w:rPr>
      </w:pPr>
      <w:r w:rsidRPr="001D51A8">
        <w:rPr>
          <w:szCs w:val="20"/>
        </w:rPr>
        <w:t>CMS annual statistical reports about MIPS will be able to provide estimates of the numbers and percentages of MIPS eligible clinicians submitting quality that can be generalized to the entire population of MIPS eligible clinicians, and to relevant subpopulations (such as eligible clinicians participating in MIPS APMs).</w:t>
      </w:r>
    </w:p>
    <w:p w:rsidR="001D51A8" w:rsidP="00FE4E51" w14:paraId="1DA94B48" w14:textId="77777777">
      <w:pPr>
        <w:pStyle w:val="Heading3"/>
      </w:pPr>
      <w:r w:rsidRPr="001D51A8">
        <w:t xml:space="preserve">Sampling for quality data submission </w:t>
      </w:r>
    </w:p>
    <w:p w:rsidR="001D51A8" w:rsidRPr="001D51A8" w:rsidP="001E50FB" w14:paraId="02B9D3DD" w14:textId="0D5A25CE">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176C95">
        <w:t>For the CY 2024 performance period/2026 MIPS payment year, we finalized the data completeness criteria threshold of at least 75 percent for MIPS eligible clinicians and groups submitting data for the quality performance category (87 FR 70049 through 70052).</w:t>
      </w:r>
      <w:r w:rsidR="00957C6F">
        <w:t xml:space="preserve"> </w:t>
      </w:r>
      <w:r>
        <w:t>Tables 1</w:t>
      </w:r>
      <w:r w:rsidR="00697809">
        <w:t xml:space="preserve"> </w:t>
      </w:r>
      <w:r>
        <w:t xml:space="preserve">and </w:t>
      </w:r>
      <w:r w:rsidR="00697809">
        <w:t>2</w:t>
      </w:r>
      <w:r>
        <w:t xml:space="preserve"> summarize the </w:t>
      </w:r>
      <w:r w:rsidR="00044ECC">
        <w:t>finalized</w:t>
      </w:r>
      <w:r w:rsidR="009B7BD1">
        <w:t xml:space="preserve"> </w:t>
      </w:r>
      <w:r>
        <w:t>data completeness criteria for</w:t>
      </w:r>
      <w:r w:rsidR="000C4FE5">
        <w:t xml:space="preserve"> the </w:t>
      </w:r>
      <w:r w:rsidR="00FD79B9">
        <w:t xml:space="preserve">CY </w:t>
      </w:r>
      <w:r w:rsidR="006308F7">
        <w:t>202</w:t>
      </w:r>
      <w:r w:rsidR="00D510AC">
        <w:t>4</w:t>
      </w:r>
      <w:r w:rsidR="000C4FE5">
        <w:t xml:space="preserve"> performance period</w:t>
      </w:r>
      <w:r w:rsidR="00FD79B9">
        <w:t>/202</w:t>
      </w:r>
      <w:r w:rsidR="00D510AC">
        <w:t>6</w:t>
      </w:r>
      <w:r w:rsidR="00FD79B9">
        <w:t xml:space="preserve"> MIPS payment year</w:t>
      </w:r>
      <w:r>
        <w:t>.</w:t>
      </w:r>
    </w:p>
    <w:p w:rsidR="001D51A8" w:rsidRPr="00A76E73" w:rsidP="6C7B4B5F" w14:paraId="2E017C6F" w14:textId="413F0CD8">
      <w:pPr>
        <w:pStyle w:val="ListParagraph"/>
        <w:keepNext/>
        <w:keepLines/>
        <w:ind w:left="0"/>
        <w:jc w:val="center"/>
        <w:rPr>
          <w:b/>
          <w:bCs/>
        </w:rPr>
      </w:pPr>
      <w:r w:rsidRPr="6C7B4B5F">
        <w:rPr>
          <w:b/>
          <w:bCs/>
        </w:rPr>
        <w:t xml:space="preserve">TABLE 1: Summary of Data Completeness </w:t>
      </w:r>
      <w:r w:rsidRPr="6C7B4B5F" w:rsidR="00D465AD">
        <w:rPr>
          <w:b/>
          <w:bCs/>
        </w:rPr>
        <w:t xml:space="preserve">Requirements </w:t>
      </w:r>
      <w:r w:rsidRPr="6C7B4B5F">
        <w:rPr>
          <w:b/>
          <w:bCs/>
        </w:rPr>
        <w:t>and Performance Period by Collection Type</w:t>
      </w:r>
      <w:r w:rsidRPr="6C7B4B5F" w:rsidR="00D465AD">
        <w:rPr>
          <w:b/>
          <w:bCs/>
        </w:rPr>
        <w:t xml:space="preserve"> for the </w:t>
      </w:r>
      <w:r w:rsidRPr="6C7B4B5F" w:rsidR="00C6227D">
        <w:rPr>
          <w:b/>
          <w:bCs/>
        </w:rPr>
        <w:t xml:space="preserve">CY </w:t>
      </w:r>
      <w:r w:rsidRPr="6C7B4B5F" w:rsidR="006308F7">
        <w:rPr>
          <w:b/>
          <w:bCs/>
        </w:rPr>
        <w:t>202</w:t>
      </w:r>
      <w:r w:rsidR="00D510AC">
        <w:rPr>
          <w:b/>
          <w:bCs/>
        </w:rPr>
        <w:t>4</w:t>
      </w:r>
      <w:r w:rsidRPr="6C7B4B5F" w:rsidR="00D465AD">
        <w:rPr>
          <w:b/>
          <w:bCs/>
        </w:rPr>
        <w:t xml:space="preserve"> P</w:t>
      </w:r>
      <w:r w:rsidRPr="6C7B4B5F" w:rsidR="002F427D">
        <w:rPr>
          <w:b/>
          <w:bCs/>
        </w:rPr>
        <w:t>erformance Period</w:t>
      </w:r>
      <w:r w:rsidRPr="6C7B4B5F" w:rsidR="00316D15">
        <w:rPr>
          <w:b/>
          <w:bCs/>
        </w:rPr>
        <w:t>/202</w:t>
      </w:r>
      <w:r w:rsidR="00D510AC">
        <w:rPr>
          <w:b/>
          <w:bCs/>
        </w:rPr>
        <w:t>6</w:t>
      </w:r>
      <w:r w:rsidRPr="6C7B4B5F" w:rsidR="00316D15">
        <w:rPr>
          <w:b/>
          <w:bCs/>
        </w:rPr>
        <w:t xml:space="preserve"> MIPS payment year</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639"/>
        <w:gridCol w:w="3595"/>
      </w:tblGrid>
      <w:tr w14:paraId="0C38906A" w14:textId="77777777" w:rsidTr="6C7B4B5F">
        <w:tblPrEx>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3116" w:type="dxa"/>
            <w:shd w:val="clear" w:color="auto" w:fill="auto"/>
          </w:tcPr>
          <w:p w:rsidR="001D51A8" w:rsidRPr="001A402B" w:rsidP="008C0C9C" w14:paraId="0A0F7C2E" w14:textId="77777777">
            <w:pPr>
              <w:jc w:val="center"/>
              <w:rPr>
                <w:rFonts w:eastAsia="Calibri"/>
                <w:b/>
              </w:rPr>
            </w:pPr>
            <w:r w:rsidRPr="001A402B">
              <w:rPr>
                <w:rFonts w:eastAsia="Calibri"/>
                <w:b/>
              </w:rPr>
              <w:t>Collection Type</w:t>
            </w:r>
          </w:p>
        </w:tc>
        <w:tc>
          <w:tcPr>
            <w:tcW w:w="2639" w:type="dxa"/>
            <w:shd w:val="clear" w:color="auto" w:fill="auto"/>
          </w:tcPr>
          <w:p w:rsidR="001D51A8" w:rsidRPr="001A402B" w:rsidP="008C0C9C" w14:paraId="0F1BB0A1" w14:textId="77777777">
            <w:pPr>
              <w:jc w:val="center"/>
              <w:rPr>
                <w:rFonts w:eastAsia="Calibri"/>
                <w:b/>
              </w:rPr>
            </w:pPr>
            <w:r w:rsidRPr="001A402B">
              <w:rPr>
                <w:rFonts w:eastAsia="Calibri"/>
                <w:b/>
              </w:rPr>
              <w:t>Performance Period</w:t>
            </w:r>
          </w:p>
        </w:tc>
        <w:tc>
          <w:tcPr>
            <w:tcW w:w="3595" w:type="dxa"/>
            <w:shd w:val="clear" w:color="auto" w:fill="auto"/>
          </w:tcPr>
          <w:p w:rsidR="001D51A8" w:rsidRPr="001A402B" w:rsidP="008C0C9C" w14:paraId="3453C1A4" w14:textId="77777777">
            <w:pPr>
              <w:jc w:val="center"/>
              <w:rPr>
                <w:rFonts w:eastAsia="Calibri"/>
                <w:b/>
              </w:rPr>
            </w:pPr>
            <w:r w:rsidRPr="001A402B">
              <w:rPr>
                <w:rFonts w:eastAsia="Calibri"/>
                <w:b/>
              </w:rPr>
              <w:t>Data Completeness</w:t>
            </w:r>
          </w:p>
        </w:tc>
      </w:tr>
      <w:tr w14:paraId="77548A84" w14:textId="77777777" w:rsidTr="6C7B4B5F">
        <w:tblPrEx>
          <w:tblW w:w="9350" w:type="dxa"/>
          <w:tblInd w:w="-5" w:type="dxa"/>
          <w:tblLook w:val="04A0"/>
        </w:tblPrEx>
        <w:trPr>
          <w:cantSplit/>
        </w:trPr>
        <w:tc>
          <w:tcPr>
            <w:tcW w:w="3116" w:type="dxa"/>
            <w:shd w:val="clear" w:color="auto" w:fill="auto"/>
          </w:tcPr>
          <w:p w:rsidR="001D51A8" w:rsidRPr="001A402B" w:rsidP="008C0C9C" w14:paraId="7108F232" w14:textId="77777777">
            <w:pPr>
              <w:rPr>
                <w:rFonts w:eastAsia="Calibri"/>
              </w:rPr>
            </w:pPr>
            <w:r>
              <w:rPr>
                <w:rFonts w:eastAsia="Calibri"/>
              </w:rPr>
              <w:t xml:space="preserve">Medicare </w:t>
            </w:r>
            <w:r w:rsidRPr="001A402B">
              <w:rPr>
                <w:rFonts w:eastAsia="Calibri"/>
              </w:rPr>
              <w:t>Part B Claims measure</w:t>
            </w:r>
            <w:r>
              <w:rPr>
                <w:rFonts w:eastAsia="Calibri"/>
              </w:rPr>
              <w:t>s</w:t>
            </w:r>
            <w:r w:rsidRPr="001A402B">
              <w:rPr>
                <w:rFonts w:eastAsia="Calibri"/>
              </w:rPr>
              <w:t xml:space="preserve"> </w:t>
            </w:r>
          </w:p>
        </w:tc>
        <w:tc>
          <w:tcPr>
            <w:tcW w:w="2639" w:type="dxa"/>
            <w:shd w:val="clear" w:color="auto" w:fill="auto"/>
          </w:tcPr>
          <w:p w:rsidR="001D51A8" w:rsidRPr="001A402B" w:rsidP="008C0C9C" w14:paraId="7F405123" w14:textId="77777777">
            <w:pPr>
              <w:rPr>
                <w:rFonts w:eastAsia="Calibri"/>
              </w:rPr>
            </w:pPr>
            <w:r w:rsidRPr="001A402B">
              <w:rPr>
                <w:rFonts w:eastAsia="Calibri"/>
              </w:rPr>
              <w:t xml:space="preserve">Jan 1- Dec 31 </w:t>
            </w:r>
          </w:p>
        </w:tc>
        <w:tc>
          <w:tcPr>
            <w:tcW w:w="3595" w:type="dxa"/>
            <w:shd w:val="clear" w:color="auto" w:fill="auto"/>
          </w:tcPr>
          <w:p w:rsidR="001D51A8" w:rsidRPr="001A402B" w:rsidP="00EC54DC" w14:paraId="617597FC" w14:textId="5AC1F387">
            <w:pPr>
              <w:rPr>
                <w:rFonts w:eastAsia="Calibri"/>
              </w:rPr>
            </w:pPr>
            <w:r w:rsidRPr="6C7B4B5F">
              <w:rPr>
                <w:rFonts w:eastAsia="Calibri"/>
              </w:rPr>
              <w:t xml:space="preserve">For the </w:t>
            </w:r>
            <w:r w:rsidRPr="6C7B4B5F" w:rsidR="00E039CE">
              <w:rPr>
                <w:rFonts w:eastAsia="Calibri"/>
              </w:rPr>
              <w:t>CY 202</w:t>
            </w:r>
            <w:r w:rsidR="00D510AC">
              <w:rPr>
                <w:rFonts w:eastAsia="Calibri"/>
              </w:rPr>
              <w:t>4</w:t>
            </w:r>
            <w:r w:rsidRPr="6C7B4B5F">
              <w:rPr>
                <w:rFonts w:eastAsia="Calibri"/>
              </w:rPr>
              <w:t xml:space="preserve"> performance period</w:t>
            </w:r>
            <w:r w:rsidRPr="6C7B4B5F" w:rsidR="005C46B8">
              <w:rPr>
                <w:rFonts w:eastAsia="Calibri"/>
              </w:rPr>
              <w:t>/</w:t>
            </w:r>
            <w:r w:rsidRPr="6C7B4B5F" w:rsidR="00E039CE">
              <w:rPr>
                <w:rFonts w:eastAsia="Calibri"/>
              </w:rPr>
              <w:t xml:space="preserve"> 202</w:t>
            </w:r>
            <w:r w:rsidR="00D510AC">
              <w:rPr>
                <w:rFonts w:eastAsia="Calibri"/>
              </w:rPr>
              <w:t>6</w:t>
            </w:r>
            <w:r w:rsidRPr="6C7B4B5F" w:rsidR="005C46B8">
              <w:rPr>
                <w:rFonts w:eastAsia="Calibri"/>
              </w:rPr>
              <w:t xml:space="preserve"> MIPS payment year</w:t>
            </w:r>
            <w:r w:rsidRPr="6C7B4B5F">
              <w:rPr>
                <w:rFonts w:eastAsia="Calibri"/>
              </w:rPr>
              <w:t xml:space="preserve">, </w:t>
            </w:r>
            <w:r w:rsidRPr="6C7B4B5F" w:rsidR="00106086">
              <w:rPr>
                <w:rFonts w:eastAsia="Calibri"/>
              </w:rPr>
              <w:t>7</w:t>
            </w:r>
            <w:r w:rsidR="00D510AC">
              <w:rPr>
                <w:rFonts w:eastAsia="Calibri"/>
              </w:rPr>
              <w:t>5</w:t>
            </w:r>
            <w:r w:rsidRPr="6C7B4B5F">
              <w:rPr>
                <w:rFonts w:eastAsia="Calibri"/>
              </w:rPr>
              <w:t xml:space="preserve"> percent </w:t>
            </w:r>
            <w:r w:rsidRPr="6C7B4B5F" w:rsidR="0022098F">
              <w:rPr>
                <w:rFonts w:eastAsia="Calibri"/>
              </w:rPr>
              <w:t xml:space="preserve">sample </w:t>
            </w:r>
            <w:r w:rsidRPr="6C7B4B5F">
              <w:rPr>
                <w:rFonts w:eastAsia="Calibri"/>
              </w:rPr>
              <w:t>of indiv</w:t>
            </w:r>
            <w:r w:rsidRPr="6C7B4B5F" w:rsidR="00D465AD">
              <w:rPr>
                <w:rFonts w:eastAsia="Calibri"/>
              </w:rPr>
              <w:t xml:space="preserve">idual MIPS eligible clinician’s, </w:t>
            </w:r>
            <w:r w:rsidR="00F706B2">
              <w:rPr>
                <w:rFonts w:eastAsia="Calibri"/>
              </w:rPr>
              <w:t xml:space="preserve">group </w:t>
            </w:r>
            <w:r w:rsidRPr="6C7B4B5F" w:rsidR="00D465AD">
              <w:rPr>
                <w:rFonts w:eastAsia="Calibri"/>
              </w:rPr>
              <w:t xml:space="preserve">or </w:t>
            </w:r>
            <w:r w:rsidR="00F706B2">
              <w:rPr>
                <w:rFonts w:eastAsia="Calibri"/>
              </w:rPr>
              <w:t>sub</w:t>
            </w:r>
            <w:r w:rsidRPr="6C7B4B5F" w:rsidR="00D465AD">
              <w:rPr>
                <w:rFonts w:eastAsia="Calibri"/>
              </w:rPr>
              <w:t xml:space="preserve">group’s </w:t>
            </w:r>
            <w:r w:rsidRPr="6C7B4B5F">
              <w:rPr>
                <w:rFonts w:eastAsia="Calibri"/>
              </w:rPr>
              <w:t>Medicare Part B patients for the performance period.</w:t>
            </w:r>
          </w:p>
        </w:tc>
      </w:tr>
      <w:tr w14:paraId="52A60F48" w14:textId="77777777" w:rsidTr="6C7B4B5F">
        <w:tblPrEx>
          <w:tblW w:w="9350" w:type="dxa"/>
          <w:tblInd w:w="-5" w:type="dxa"/>
          <w:tblLook w:val="04A0"/>
        </w:tblPrEx>
        <w:trPr>
          <w:cantSplit/>
        </w:trPr>
        <w:tc>
          <w:tcPr>
            <w:tcW w:w="3116" w:type="dxa"/>
            <w:shd w:val="clear" w:color="auto" w:fill="auto"/>
          </w:tcPr>
          <w:p w:rsidR="0044627A" w:rsidRPr="00E60EB6" w:rsidP="0044627A" w14:paraId="0152E058" w14:textId="77777777">
            <w:pPr>
              <w:rPr>
                <w:rFonts w:eastAsia="Calibri"/>
              </w:rPr>
            </w:pPr>
            <w:r w:rsidRPr="00AF6A4F">
              <w:rPr>
                <w:szCs w:val="20"/>
              </w:rPr>
              <w:t>Administrative claims measures</w:t>
            </w:r>
          </w:p>
        </w:tc>
        <w:tc>
          <w:tcPr>
            <w:tcW w:w="2639" w:type="dxa"/>
            <w:shd w:val="clear" w:color="auto" w:fill="auto"/>
          </w:tcPr>
          <w:p w:rsidR="0044627A" w:rsidRPr="00E60EB6" w:rsidP="0044627A" w14:paraId="63754325" w14:textId="77777777">
            <w:pPr>
              <w:rPr>
                <w:rFonts w:eastAsia="Calibri"/>
              </w:rPr>
            </w:pPr>
            <w:r w:rsidRPr="00AF6A4F">
              <w:rPr>
                <w:szCs w:val="20"/>
              </w:rPr>
              <w:t>Jan 1- Dec 31</w:t>
            </w:r>
          </w:p>
        </w:tc>
        <w:tc>
          <w:tcPr>
            <w:tcW w:w="3595" w:type="dxa"/>
            <w:shd w:val="clear" w:color="auto" w:fill="auto"/>
          </w:tcPr>
          <w:p w:rsidR="0044627A" w:rsidRPr="00E60EB6" w:rsidP="0044627A" w14:paraId="249DBE9B" w14:textId="77777777">
            <w:pPr>
              <w:rPr>
                <w:rFonts w:eastAsia="Calibri"/>
              </w:rPr>
            </w:pPr>
            <w:r w:rsidRPr="00AF6A4F">
              <w:rPr>
                <w:szCs w:val="20"/>
              </w:rPr>
              <w:t xml:space="preserve">100 percent </w:t>
            </w:r>
            <w:r w:rsidR="0022098F">
              <w:rPr>
                <w:szCs w:val="20"/>
              </w:rPr>
              <w:t xml:space="preserve">sample </w:t>
            </w:r>
            <w:r w:rsidRPr="00AF6A4F">
              <w:rPr>
                <w:szCs w:val="20"/>
              </w:rPr>
              <w:t>of individual MIPS eligible clinician’s Medicare Part B patients for the performance period.</w:t>
            </w:r>
          </w:p>
        </w:tc>
      </w:tr>
      <w:tr w14:paraId="151AF538" w14:textId="77777777" w:rsidTr="6C7B4B5F">
        <w:tblPrEx>
          <w:tblW w:w="9350" w:type="dxa"/>
          <w:tblInd w:w="-5" w:type="dxa"/>
          <w:tblLook w:val="04A0"/>
        </w:tblPrEx>
        <w:trPr>
          <w:cantSplit/>
        </w:trPr>
        <w:tc>
          <w:tcPr>
            <w:tcW w:w="3116" w:type="dxa"/>
            <w:shd w:val="clear" w:color="auto" w:fill="auto"/>
          </w:tcPr>
          <w:p w:rsidR="0044627A" w:rsidRPr="001A402B" w:rsidP="0044627A" w14:paraId="47A5283B" w14:textId="77777777">
            <w:pPr>
              <w:rPr>
                <w:rFonts w:eastAsia="Calibri"/>
              </w:rPr>
            </w:pPr>
            <w:r w:rsidRPr="001A402B">
              <w:rPr>
                <w:rFonts w:eastAsia="Calibri"/>
              </w:rPr>
              <w:t xml:space="preserve">QCDR measures, </w:t>
            </w:r>
            <w:r>
              <w:rPr>
                <w:rFonts w:eastAsia="Calibri"/>
              </w:rPr>
              <w:t>MIPS CQMs</w:t>
            </w:r>
            <w:r w:rsidRPr="001A402B">
              <w:rPr>
                <w:rFonts w:eastAsia="Calibri"/>
              </w:rPr>
              <w:t>, and eCQM</w:t>
            </w:r>
            <w:r>
              <w:rPr>
                <w:rFonts w:eastAsia="Calibri"/>
              </w:rPr>
              <w:t>s</w:t>
            </w:r>
            <w:r w:rsidRPr="001A402B">
              <w:rPr>
                <w:rFonts w:eastAsia="Calibri"/>
              </w:rPr>
              <w:t xml:space="preserve"> </w:t>
            </w:r>
          </w:p>
        </w:tc>
        <w:tc>
          <w:tcPr>
            <w:tcW w:w="2639" w:type="dxa"/>
            <w:shd w:val="clear" w:color="auto" w:fill="auto"/>
          </w:tcPr>
          <w:p w:rsidR="0044627A" w:rsidRPr="001A402B" w:rsidP="0044627A" w14:paraId="26052891" w14:textId="77777777">
            <w:pPr>
              <w:rPr>
                <w:rFonts w:eastAsia="Calibri"/>
              </w:rPr>
            </w:pPr>
            <w:r w:rsidRPr="001A402B">
              <w:rPr>
                <w:rFonts w:eastAsia="Calibri"/>
              </w:rPr>
              <w:t xml:space="preserve">Jan 1- Dec 31 </w:t>
            </w:r>
          </w:p>
        </w:tc>
        <w:tc>
          <w:tcPr>
            <w:tcW w:w="3595" w:type="dxa"/>
            <w:shd w:val="clear" w:color="auto" w:fill="auto"/>
          </w:tcPr>
          <w:p w:rsidR="0044627A" w:rsidRPr="001A402B" w:rsidP="00EC54DC" w14:paraId="2EF200F1" w14:textId="106249CA">
            <w:pPr>
              <w:rPr>
                <w:rFonts w:eastAsia="Calibri"/>
              </w:rPr>
            </w:pPr>
            <w:r>
              <w:t xml:space="preserve">For the </w:t>
            </w:r>
            <w:r w:rsidR="00E039CE">
              <w:t>CY 202</w:t>
            </w:r>
            <w:r w:rsidR="00D510AC">
              <w:t>4</w:t>
            </w:r>
            <w:r>
              <w:t xml:space="preserve"> performance period</w:t>
            </w:r>
            <w:r w:rsidR="002E09E9">
              <w:t>/</w:t>
            </w:r>
            <w:r w:rsidR="00E039CE">
              <w:t>2025</w:t>
            </w:r>
            <w:r w:rsidR="002E09E9">
              <w:t xml:space="preserve"> MIPS payment year</w:t>
            </w:r>
            <w:r>
              <w:t xml:space="preserve">, </w:t>
            </w:r>
            <w:r w:rsidR="0022209C">
              <w:t>7</w:t>
            </w:r>
            <w:r w:rsidR="00D96A91">
              <w:t>5</w:t>
            </w:r>
            <w:r>
              <w:t xml:space="preserve"> percent</w:t>
            </w:r>
            <w:r w:rsidR="0022098F">
              <w:t xml:space="preserve"> sample</w:t>
            </w:r>
            <w:r>
              <w:t xml:space="preserve"> of individual MIPS eligible clinician’s, </w:t>
            </w:r>
            <w:r w:rsidR="00F706B2">
              <w:t>group</w:t>
            </w:r>
            <w:r w:rsidR="00D96A91">
              <w:t>,</w:t>
            </w:r>
            <w:r w:rsidR="00F706B2">
              <w:t xml:space="preserve"> </w:t>
            </w:r>
            <w:r>
              <w:t xml:space="preserve">or </w:t>
            </w:r>
            <w:r w:rsidR="00F706B2">
              <w:t>sub</w:t>
            </w:r>
            <w:r>
              <w:t>group’s patients across all payers for the</w:t>
            </w:r>
            <w:r w:rsidR="00B66D2E">
              <w:t xml:space="preserve"> </w:t>
            </w:r>
            <w:r>
              <w:t>performance period.</w:t>
            </w:r>
          </w:p>
        </w:tc>
      </w:tr>
      <w:tr w14:paraId="62DEA6EB" w14:textId="77777777" w:rsidTr="6C7B4B5F">
        <w:tblPrEx>
          <w:tblW w:w="9350" w:type="dxa"/>
          <w:tblInd w:w="-5" w:type="dxa"/>
          <w:tblLook w:val="04A0"/>
        </w:tblPrEx>
        <w:trPr>
          <w:cantSplit/>
        </w:trPr>
        <w:tc>
          <w:tcPr>
            <w:tcW w:w="3116" w:type="dxa"/>
            <w:shd w:val="clear" w:color="auto" w:fill="auto"/>
          </w:tcPr>
          <w:p w:rsidR="00334C7B" w:rsidRPr="001A402B" w:rsidP="00334C7B" w14:paraId="6A10AC9B" w14:textId="77777777">
            <w:pPr>
              <w:rPr>
                <w:rFonts w:eastAsia="Calibri"/>
              </w:rPr>
            </w:pPr>
            <w:r w:rsidRPr="001A402B">
              <w:rPr>
                <w:rFonts w:eastAsia="Calibri"/>
              </w:rPr>
              <w:t>CAHPS f</w:t>
            </w:r>
            <w:r>
              <w:rPr>
                <w:rFonts w:eastAsia="Calibri"/>
              </w:rPr>
              <w:t>or MIPS s</w:t>
            </w:r>
            <w:r w:rsidRPr="001A402B">
              <w:rPr>
                <w:rFonts w:eastAsia="Calibri"/>
              </w:rPr>
              <w:t>urvey</w:t>
            </w:r>
            <w:r>
              <w:rPr>
                <w:rFonts w:eastAsia="Calibri"/>
              </w:rPr>
              <w:t xml:space="preserve"> measure</w:t>
            </w:r>
          </w:p>
        </w:tc>
        <w:tc>
          <w:tcPr>
            <w:tcW w:w="2639" w:type="dxa"/>
            <w:shd w:val="clear" w:color="auto" w:fill="auto"/>
          </w:tcPr>
          <w:p w:rsidR="00334C7B" w:rsidRPr="001A402B" w:rsidP="00334C7B" w14:paraId="1CBA9DB6" w14:textId="77777777">
            <w:pPr>
              <w:rPr>
                <w:rFonts w:eastAsia="Calibri"/>
              </w:rPr>
            </w:pPr>
            <w:r w:rsidRPr="001A402B">
              <w:rPr>
                <w:rFonts w:eastAsia="Calibri"/>
              </w:rPr>
              <w:t xml:space="preserve">Jan 1- Dec 31 </w:t>
            </w:r>
          </w:p>
        </w:tc>
        <w:tc>
          <w:tcPr>
            <w:tcW w:w="3595" w:type="dxa"/>
            <w:shd w:val="clear" w:color="auto" w:fill="auto"/>
          </w:tcPr>
          <w:p w:rsidR="00334C7B" w:rsidRPr="001A402B" w:rsidP="00334C7B" w14:paraId="3E411C12" w14:textId="5C10ED09">
            <w:pPr>
              <w:rPr>
                <w:rFonts w:eastAsia="Calibri"/>
              </w:rPr>
            </w:pPr>
            <w:r w:rsidRPr="001A402B">
              <w:rPr>
                <w:rFonts w:eastAsia="Calibri"/>
              </w:rPr>
              <w:t xml:space="preserve">Sampling requirements for the group </w:t>
            </w:r>
            <w:r w:rsidR="00E03A31">
              <w:rPr>
                <w:rFonts w:eastAsia="Calibri"/>
              </w:rPr>
              <w:t xml:space="preserve">and subgroup’s </w:t>
            </w:r>
            <w:r w:rsidRPr="001A402B">
              <w:rPr>
                <w:rFonts w:eastAsia="Calibri"/>
              </w:rPr>
              <w:t>Medicare Part B patients</w:t>
            </w:r>
            <w:r w:rsidR="00D96A91">
              <w:rPr>
                <w:rFonts w:eastAsia="Calibri"/>
              </w:rPr>
              <w:t>.</w:t>
            </w:r>
          </w:p>
        </w:tc>
      </w:tr>
    </w:tbl>
    <w:p w:rsidR="001D51A8" w:rsidP="001D51A8" w14:paraId="12B6710C" w14:textId="77777777">
      <w:pPr>
        <w:pStyle w:val="ListParagraph"/>
        <w:spacing w:line="480" w:lineRule="auto"/>
        <w:rPr>
          <w:b/>
        </w:rPr>
      </w:pPr>
    </w:p>
    <w:p w:rsidR="001D51A8" w:rsidRPr="005F7182" w:rsidP="6C7B4B5F" w14:paraId="7C1B8D82" w14:textId="7139A11E">
      <w:pPr>
        <w:pStyle w:val="ListParagraph"/>
        <w:keepNext/>
        <w:keepLines/>
        <w:ind w:left="0"/>
        <w:jc w:val="center"/>
        <w:rPr>
          <w:b/>
          <w:bCs/>
        </w:rPr>
      </w:pPr>
      <w:r w:rsidRPr="6C7B4B5F">
        <w:rPr>
          <w:b/>
          <w:bCs/>
        </w:rPr>
        <w:t xml:space="preserve">TABLE </w:t>
      </w:r>
      <w:r w:rsidR="00697809">
        <w:rPr>
          <w:b/>
          <w:bCs/>
        </w:rPr>
        <w:t>2</w:t>
      </w:r>
      <w:r w:rsidRPr="6C7B4B5F">
        <w:rPr>
          <w:b/>
          <w:bCs/>
        </w:rPr>
        <w:t xml:space="preserve">: Summary of Quality Data Submission Criteria for </w:t>
      </w:r>
      <w:r w:rsidRPr="6C7B4B5F" w:rsidR="00AF40D8">
        <w:rPr>
          <w:b/>
          <w:bCs/>
        </w:rPr>
        <w:t xml:space="preserve">the </w:t>
      </w:r>
      <w:r w:rsidRPr="6C7B4B5F" w:rsidR="00AA072E">
        <w:rPr>
          <w:b/>
          <w:bCs/>
        </w:rPr>
        <w:t xml:space="preserve">CY </w:t>
      </w:r>
      <w:r w:rsidRPr="6C7B4B5F" w:rsidR="006308F7">
        <w:rPr>
          <w:b/>
          <w:bCs/>
        </w:rPr>
        <w:t>202</w:t>
      </w:r>
      <w:r w:rsidR="00D96A91">
        <w:rPr>
          <w:b/>
          <w:bCs/>
        </w:rPr>
        <w:t>4</w:t>
      </w:r>
      <w:r w:rsidR="00E973FC">
        <w:rPr>
          <w:b/>
          <w:bCs/>
        </w:rPr>
        <w:t xml:space="preserve"> </w:t>
      </w:r>
      <w:r w:rsidRPr="6C7B4B5F">
        <w:rPr>
          <w:b/>
          <w:bCs/>
        </w:rPr>
        <w:t>P</w:t>
      </w:r>
      <w:r w:rsidRPr="6C7B4B5F" w:rsidR="00AF40D8">
        <w:rPr>
          <w:b/>
          <w:bCs/>
        </w:rPr>
        <w:t>erformance Period</w:t>
      </w:r>
      <w:r w:rsidRPr="6C7B4B5F" w:rsidR="007D6500">
        <w:rPr>
          <w:b/>
          <w:bCs/>
        </w:rPr>
        <w:t>/202</w:t>
      </w:r>
      <w:r w:rsidR="00D96A91">
        <w:rPr>
          <w:b/>
          <w:bCs/>
        </w:rPr>
        <w:t>6</w:t>
      </w:r>
      <w:r w:rsidRPr="6C7B4B5F" w:rsidR="007D6500">
        <w:rPr>
          <w:b/>
          <w:bCs/>
        </w:rPr>
        <w:t xml:space="preserve"> MIPS </w:t>
      </w:r>
      <w:r w:rsidRPr="6C7B4B5F" w:rsidR="005A0D01">
        <w:rPr>
          <w:b/>
          <w:bCs/>
        </w:rPr>
        <w:t>P</w:t>
      </w:r>
      <w:r w:rsidRPr="6C7B4B5F" w:rsidR="007D6500">
        <w:rPr>
          <w:b/>
          <w:bCs/>
        </w:rPr>
        <w:t xml:space="preserve">ayment </w:t>
      </w:r>
      <w:r w:rsidRPr="6C7B4B5F" w:rsidR="005A0D01">
        <w:rPr>
          <w:b/>
          <w:bCs/>
        </w:rPr>
        <w:t>Y</w:t>
      </w:r>
      <w:r w:rsidRPr="6C7B4B5F" w:rsidR="007D6500">
        <w:rPr>
          <w:b/>
          <w:bCs/>
        </w:rPr>
        <w:t>ear</w:t>
      </w:r>
      <w:r w:rsidRPr="6C7B4B5F">
        <w:rPr>
          <w:b/>
          <w:bCs/>
        </w:rPr>
        <w:t xml:space="preserve"> for Individual</w:t>
      </w:r>
      <w:r w:rsidRPr="6C7B4B5F" w:rsidR="00EC38B8">
        <w:rPr>
          <w:b/>
          <w:bCs/>
        </w:rPr>
        <w:t xml:space="preserve"> Clinicians</w:t>
      </w:r>
      <w:r w:rsidRPr="6C7B4B5F">
        <w:rPr>
          <w:b/>
          <w:bCs/>
        </w:rPr>
        <w:t xml:space="preserve"> and Groups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0"/>
        <w:gridCol w:w="3889"/>
        <w:gridCol w:w="3411"/>
      </w:tblGrid>
      <w:tr w14:paraId="482A5F9F" w14:textId="77777777" w:rsidTr="00837595">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50" w:type="dxa"/>
            <w:shd w:val="clear" w:color="auto" w:fill="auto"/>
          </w:tcPr>
          <w:p w:rsidR="001D51A8" w:rsidRPr="001A402B" w:rsidP="008C0C9C" w14:paraId="48109E40" w14:textId="77777777">
            <w:pPr>
              <w:jc w:val="center"/>
              <w:rPr>
                <w:rFonts w:eastAsia="Calibri"/>
                <w:b/>
              </w:rPr>
            </w:pPr>
            <w:r w:rsidRPr="001A402B">
              <w:rPr>
                <w:rFonts w:eastAsia="Calibri"/>
                <w:b/>
              </w:rPr>
              <w:t>Clinician Type</w:t>
            </w:r>
          </w:p>
        </w:tc>
        <w:tc>
          <w:tcPr>
            <w:tcW w:w="3889" w:type="dxa"/>
            <w:shd w:val="clear" w:color="auto" w:fill="auto"/>
          </w:tcPr>
          <w:p w:rsidR="001D51A8" w:rsidRPr="001A402B" w:rsidP="008C0C9C" w14:paraId="4093D7FD" w14:textId="77777777">
            <w:pPr>
              <w:jc w:val="center"/>
              <w:rPr>
                <w:rFonts w:eastAsia="Calibri"/>
                <w:b/>
              </w:rPr>
            </w:pPr>
            <w:r w:rsidRPr="001A402B">
              <w:rPr>
                <w:rFonts w:eastAsia="Calibri"/>
                <w:b/>
              </w:rPr>
              <w:t>Submission Criteria</w:t>
            </w:r>
          </w:p>
        </w:tc>
        <w:tc>
          <w:tcPr>
            <w:tcW w:w="3411" w:type="dxa"/>
            <w:shd w:val="clear" w:color="auto" w:fill="auto"/>
          </w:tcPr>
          <w:p w:rsidR="001D51A8" w:rsidRPr="001A402B" w:rsidP="008C0C9C" w14:paraId="02D1DD7B" w14:textId="77777777">
            <w:pPr>
              <w:jc w:val="center"/>
              <w:rPr>
                <w:rFonts w:eastAsia="Calibri"/>
                <w:b/>
              </w:rPr>
            </w:pPr>
            <w:r w:rsidRPr="001A402B">
              <w:rPr>
                <w:rFonts w:eastAsia="Calibri"/>
                <w:b/>
              </w:rPr>
              <w:t xml:space="preserve">Measure Collection Types </w:t>
            </w:r>
            <w:r w:rsidR="00837595">
              <w:rPr>
                <w:rFonts w:eastAsia="Calibri"/>
                <w:b/>
              </w:rPr>
              <w:br/>
            </w:r>
            <w:r w:rsidRPr="001A402B">
              <w:rPr>
                <w:rFonts w:eastAsia="Calibri"/>
                <w:b/>
              </w:rPr>
              <w:t>(or Measure Sets) Available</w:t>
            </w:r>
            <w:r w:rsidR="00E65A91">
              <w:rPr>
                <w:rFonts w:eastAsia="Calibri"/>
                <w:b/>
              </w:rPr>
              <w:t xml:space="preserve"> for Submission</w:t>
            </w:r>
            <w:r w:rsidR="00860367">
              <w:rPr>
                <w:rFonts w:eastAsia="Calibri"/>
                <w:b/>
              </w:rPr>
              <w:t xml:space="preserve"> </w:t>
            </w:r>
            <w:r w:rsidR="0004143B">
              <w:rPr>
                <w:rFonts w:eastAsia="Calibri"/>
                <w:b/>
              </w:rPr>
              <w:t>(Excludes Administrative Claims</w:t>
            </w:r>
            <w:r w:rsidR="00E65A91">
              <w:rPr>
                <w:rFonts w:eastAsia="Calibri"/>
                <w:b/>
              </w:rPr>
              <w:t>)</w:t>
            </w:r>
          </w:p>
        </w:tc>
      </w:tr>
      <w:tr w14:paraId="2F62B7C8" w14:textId="77777777" w:rsidTr="00837595">
        <w:tblPrEx>
          <w:tblW w:w="9350" w:type="dxa"/>
          <w:tblLook w:val="04A0"/>
        </w:tblPrEx>
        <w:trPr>
          <w:cantSplit/>
        </w:trPr>
        <w:tc>
          <w:tcPr>
            <w:tcW w:w="2050" w:type="dxa"/>
            <w:shd w:val="clear" w:color="auto" w:fill="auto"/>
          </w:tcPr>
          <w:p w:rsidR="001D51A8" w:rsidRPr="001A402B" w:rsidP="008C0C9C" w14:paraId="1CA3297D" w14:textId="77777777">
            <w:pPr>
              <w:rPr>
                <w:rFonts w:eastAsia="Calibri"/>
              </w:rPr>
            </w:pPr>
            <w:r>
              <w:rPr>
                <w:rFonts w:eastAsia="Calibri"/>
              </w:rPr>
              <w:t>Individual Clinicians</w:t>
            </w:r>
          </w:p>
        </w:tc>
        <w:tc>
          <w:tcPr>
            <w:tcW w:w="3889" w:type="dxa"/>
            <w:shd w:val="clear" w:color="auto" w:fill="auto"/>
          </w:tcPr>
          <w:p w:rsidR="001D51A8" w:rsidRPr="001A402B" w:rsidP="00EC54DC" w14:paraId="3A7B58E8" w14:textId="30428CF1">
            <w:pPr>
              <w:rPr>
                <w:rFonts w:eastAsia="Calibri"/>
              </w:rPr>
            </w:pPr>
            <w:r w:rsidRPr="00EC38B8">
              <w:rPr>
                <w:rFonts w:eastAsia="Calibri"/>
              </w:rPr>
              <w:t xml:space="preserve">Report at least six measures including one outcome measure, or if an outcome measure is not available report another high priority measure; if </w:t>
            </w:r>
            <w:r w:rsidR="005A253A">
              <w:rPr>
                <w:rFonts w:eastAsia="Calibri"/>
              </w:rPr>
              <w:t xml:space="preserve">fewer </w:t>
            </w:r>
            <w:r w:rsidRPr="00EC38B8">
              <w:rPr>
                <w:rFonts w:eastAsia="Calibri"/>
              </w:rPr>
              <w:t>than six measures apply then report on each measure that is applicable. Clinicians would need to meet the applicable data completeness standard for the applicable performance period for each collection type.</w:t>
            </w:r>
          </w:p>
        </w:tc>
        <w:tc>
          <w:tcPr>
            <w:tcW w:w="3411" w:type="dxa"/>
            <w:shd w:val="clear" w:color="auto" w:fill="auto"/>
          </w:tcPr>
          <w:p w:rsidR="001D51A8" w:rsidRPr="001A402B" w:rsidP="008C0C9C" w14:paraId="290E9479" w14:textId="77777777">
            <w:pPr>
              <w:rPr>
                <w:rFonts w:eastAsia="Calibri"/>
              </w:rPr>
            </w:pPr>
            <w:r w:rsidRPr="00EC38B8">
              <w:rPr>
                <w:rFonts w:eastAsia="Calibri"/>
              </w:rPr>
              <w:t>Individual MIPS eligible clinicians select their measures from the following collection types: Medicare Part B claims measures (individual clinicians in small practices only), MIPS CQMs, QCDR measures, eCQMs, or reports on one of the specialty measure sets if applicable.</w:t>
            </w:r>
          </w:p>
        </w:tc>
      </w:tr>
      <w:tr w14:paraId="4569B394" w14:textId="77777777" w:rsidTr="00837595">
        <w:tblPrEx>
          <w:tblW w:w="9350" w:type="dxa"/>
          <w:tblLook w:val="04A0"/>
        </w:tblPrEx>
        <w:trPr>
          <w:cantSplit/>
        </w:trPr>
        <w:tc>
          <w:tcPr>
            <w:tcW w:w="2050" w:type="dxa"/>
            <w:shd w:val="clear" w:color="auto" w:fill="auto"/>
          </w:tcPr>
          <w:p w:rsidR="001D51A8" w:rsidRPr="001A402B" w:rsidP="008C0C9C" w14:paraId="7931349E" w14:textId="79B3F1DB">
            <w:pPr>
              <w:rPr>
                <w:rFonts w:eastAsia="Calibri"/>
              </w:rPr>
            </w:pPr>
            <w:r w:rsidRPr="001A402B">
              <w:rPr>
                <w:rFonts w:eastAsia="Calibri"/>
              </w:rPr>
              <w:t xml:space="preserve">Groups </w:t>
            </w:r>
          </w:p>
        </w:tc>
        <w:tc>
          <w:tcPr>
            <w:tcW w:w="3889" w:type="dxa"/>
            <w:shd w:val="clear" w:color="auto" w:fill="auto"/>
          </w:tcPr>
          <w:p w:rsidR="001D51A8" w:rsidRPr="001A402B" w:rsidP="00EC54DC" w14:paraId="6FBC7DBE" w14:textId="0425B9EB">
            <w:pPr>
              <w:rPr>
                <w:rFonts w:eastAsia="Calibri"/>
              </w:rPr>
            </w:pPr>
            <w:r w:rsidRPr="00EC38B8">
              <w:rPr>
                <w:rFonts w:eastAsia="Calibri"/>
              </w:rPr>
              <w:t xml:space="preserve">Report at least six measures including one outcome measure, or if an outcome measure is not available report another high priority measure; if </w:t>
            </w:r>
            <w:r w:rsidR="005A253A">
              <w:rPr>
                <w:rFonts w:eastAsia="Calibri"/>
              </w:rPr>
              <w:t>fewer</w:t>
            </w:r>
            <w:r w:rsidRPr="00EC38B8">
              <w:rPr>
                <w:rFonts w:eastAsia="Calibri"/>
              </w:rPr>
              <w:t xml:space="preserve"> than six measures apply then report on each measure that is applicable. Clinicians would need to meet the applicable data completeness standard for the applicable performance period for each collection type.</w:t>
            </w:r>
          </w:p>
        </w:tc>
        <w:tc>
          <w:tcPr>
            <w:tcW w:w="3411" w:type="dxa"/>
            <w:shd w:val="clear" w:color="auto" w:fill="auto"/>
          </w:tcPr>
          <w:p w:rsidR="0044627A" w:rsidRPr="001A402B" w:rsidP="00EC54DC" w14:paraId="2D30D50A" w14:textId="77777777">
            <w:pPr>
              <w:rPr>
                <w:rFonts w:eastAsia="Calibri"/>
              </w:rPr>
            </w:pPr>
            <w:r w:rsidRPr="00EC38B8">
              <w:rPr>
                <w:rFonts w:eastAsia="Calibri"/>
              </w:rPr>
              <w:t xml:space="preserve">Groups select their measures from the following collection types: Medicare Part B claims measures (small practices only), MIPS CQMs, QCDR measures, eCQMs, or the CAHPS for MIPS survey - or reports on one of the specialty measure sets if applicable. </w:t>
            </w:r>
          </w:p>
        </w:tc>
      </w:tr>
      <w:tr w14:paraId="7C149A34" w14:textId="77777777" w:rsidTr="00837595">
        <w:tblPrEx>
          <w:tblW w:w="9350" w:type="dxa"/>
          <w:tblLook w:val="04A0"/>
        </w:tblPrEx>
        <w:trPr>
          <w:cantSplit/>
        </w:trPr>
        <w:tc>
          <w:tcPr>
            <w:tcW w:w="2050" w:type="dxa"/>
            <w:shd w:val="clear" w:color="auto" w:fill="auto"/>
          </w:tcPr>
          <w:p w:rsidR="009101FA" w:rsidRPr="001A402B" w:rsidP="00334C7B" w14:paraId="2116AD70" w14:textId="5FDA4EEF">
            <w:pPr>
              <w:rPr>
                <w:rFonts w:eastAsia="Calibri"/>
              </w:rPr>
            </w:pPr>
            <w:r>
              <w:rPr>
                <w:rFonts w:eastAsia="Calibri"/>
              </w:rPr>
              <w:t>MVP Partici</w:t>
            </w:r>
            <w:r w:rsidR="00E602E7">
              <w:rPr>
                <w:rFonts w:eastAsia="Calibri"/>
              </w:rPr>
              <w:t>pant</w:t>
            </w:r>
            <w:r>
              <w:rPr>
                <w:rFonts w:eastAsia="Calibri"/>
              </w:rPr>
              <w:t xml:space="preserve"> </w:t>
            </w:r>
          </w:p>
        </w:tc>
        <w:tc>
          <w:tcPr>
            <w:tcW w:w="3889" w:type="dxa"/>
            <w:shd w:val="clear" w:color="auto" w:fill="auto"/>
          </w:tcPr>
          <w:p w:rsidR="009101FA" w:rsidRPr="00EC38B8" w:rsidP="00334C7B" w14:paraId="7E0873CE" w14:textId="3AAFB791">
            <w:pPr>
              <w:rPr>
                <w:szCs w:val="20"/>
              </w:rPr>
            </w:pPr>
            <w:r>
              <w:t>An</w:t>
            </w:r>
            <w:r w:rsidRPr="00EB3F6E">
              <w:t xml:space="preserve"> MVP Participant must select and report 4 quality measures, including 1 outcome measure (or, if an outcome measure is not available, 1 high priority measure, included in the MVP</w:t>
            </w:r>
            <w:r w:rsidR="00E81BFB">
              <w:t>)</w:t>
            </w:r>
            <w:r w:rsidR="00DC315E">
              <w:t>.</w:t>
            </w:r>
            <w:r w:rsidRPr="00EB3F6E">
              <w:t xml:space="preserve">  </w:t>
            </w:r>
          </w:p>
        </w:tc>
        <w:tc>
          <w:tcPr>
            <w:tcW w:w="3411" w:type="dxa"/>
            <w:shd w:val="clear" w:color="auto" w:fill="auto"/>
          </w:tcPr>
          <w:p w:rsidR="009101FA" w:rsidRPr="00EC38B8" w:rsidP="00334C7B" w14:paraId="254FA90A" w14:textId="77777777">
            <w:pPr>
              <w:rPr>
                <w:rFonts w:eastAsia="Calibri"/>
              </w:rPr>
            </w:pPr>
            <w:r>
              <w:rPr>
                <w:rFonts w:eastAsia="Calibri"/>
              </w:rPr>
              <w:t>MVP Participants (</w:t>
            </w:r>
            <w:r w:rsidRPr="00AF0F5B">
              <w:t xml:space="preserve">individual MIPS eligible clinician, single specialty group, </w:t>
            </w:r>
            <w:r w:rsidR="00D55E11">
              <w:t xml:space="preserve">multispecialty group, </w:t>
            </w:r>
            <w:r w:rsidRPr="00AF0F5B">
              <w:t>subgroup, or APM Entity that is assessed on an MVP</w:t>
            </w:r>
            <w:r>
              <w:rPr>
                <w:rFonts w:eastAsia="Calibri"/>
              </w:rPr>
              <w:t xml:space="preserve">) report on the applicable </w:t>
            </w:r>
            <w:r w:rsidR="00761120">
              <w:rPr>
                <w:rFonts w:eastAsia="Calibri"/>
              </w:rPr>
              <w:t xml:space="preserve">measures and activities </w:t>
            </w:r>
            <w:r w:rsidR="00B64ED7">
              <w:rPr>
                <w:rFonts w:eastAsia="Calibri"/>
              </w:rPr>
              <w:t>in MVPs included in the MVP</w:t>
            </w:r>
            <w:r w:rsidR="00C858A9">
              <w:rPr>
                <w:rFonts w:eastAsia="Calibri"/>
              </w:rPr>
              <w:t xml:space="preserve"> Inventory.</w:t>
            </w:r>
            <w:r w:rsidR="00B64ED7">
              <w:rPr>
                <w:rFonts w:eastAsia="Calibri"/>
              </w:rPr>
              <w:t xml:space="preserve"> </w:t>
            </w:r>
          </w:p>
        </w:tc>
      </w:tr>
    </w:tbl>
    <w:p w:rsidR="006D040F" w:rsidP="001D51A8" w14:paraId="3D6CB839" w14:textId="77777777">
      <w:pPr>
        <w:ind w:firstLine="720"/>
      </w:pPr>
    </w:p>
    <w:p w:rsidR="001D51A8" w:rsidRPr="001D51A8" w:rsidP="00FE4E51" w14:paraId="75337F7F" w14:textId="77777777">
      <w:pPr>
        <w:pStyle w:val="Heading2"/>
      </w:pPr>
      <w:r w:rsidRPr="001D51A8">
        <w:t xml:space="preserve">Data Submission for Promoting Interoperability and Improvement Activities Performance Categories </w:t>
      </w:r>
    </w:p>
    <w:p w:rsidR="001D51A8" w:rsidP="001E50FB" w14:paraId="53AF18AE" w14:textId="49276C34">
      <w:pPr>
        <w:spacing w:line="276" w:lineRule="auto"/>
        <w:rPr>
          <w:szCs w:val="20"/>
        </w:rPr>
      </w:pPr>
      <w:r w:rsidRPr="002B4ED4">
        <w:t xml:space="preserve">During the </w:t>
      </w:r>
      <w:r w:rsidR="001736B1">
        <w:t xml:space="preserve">CY </w:t>
      </w:r>
      <w:r w:rsidR="006308F7">
        <w:t>202</w:t>
      </w:r>
      <w:r w:rsidR="0095325D">
        <w:t>4</w:t>
      </w:r>
      <w:r>
        <w:t xml:space="preserve"> performance period</w:t>
      </w:r>
      <w:r w:rsidR="00A200E4">
        <w:t>/202</w:t>
      </w:r>
      <w:r w:rsidR="0095325D">
        <w:t>6</w:t>
      </w:r>
      <w:r w:rsidR="00A200E4">
        <w:t xml:space="preserve"> MIPS payment year</w:t>
      </w:r>
      <w:r w:rsidRPr="002B4ED4">
        <w:t xml:space="preserve">, </w:t>
      </w:r>
      <w:r>
        <w:t xml:space="preserve">eligible </w:t>
      </w:r>
      <w:r w:rsidRPr="002B4ED4">
        <w:t>clinicians</w:t>
      </w:r>
      <w:r w:rsidR="00EE2ECD">
        <w:t>,</w:t>
      </w:r>
      <w:r w:rsidRPr="002B4ED4">
        <w:t xml:space="preserve"> groups</w:t>
      </w:r>
      <w:r w:rsidR="00EE2ECD">
        <w:t>, subgroups and APM Entities</w:t>
      </w:r>
      <w:r w:rsidRPr="002B4ED4">
        <w:t xml:space="preserve"> can submit </w:t>
      </w:r>
      <w:r>
        <w:t>Promoting Interoperability</w:t>
      </w:r>
      <w:r w:rsidRPr="002B4ED4">
        <w:t xml:space="preserve"> </w:t>
      </w:r>
      <w:r>
        <w:t>and improvement activities data t</w:t>
      </w:r>
      <w:r w:rsidRPr="00FA1111">
        <w:t xml:space="preserve">hrough </w:t>
      </w:r>
      <w:r w:rsidRPr="00284E95">
        <w:t>direct, log</w:t>
      </w:r>
      <w:r>
        <w:t xml:space="preserve"> </w:t>
      </w:r>
      <w:r w:rsidRPr="00284E95">
        <w:t>in and upload, or log</w:t>
      </w:r>
      <w:r>
        <w:t xml:space="preserve"> </w:t>
      </w:r>
      <w:r w:rsidRPr="00284E95">
        <w:t>in and attest</w:t>
      </w:r>
      <w:r w:rsidRPr="007F7DAE">
        <w:t xml:space="preserve"> submission types</w:t>
      </w:r>
      <w:r>
        <w:t>.</w:t>
      </w:r>
      <w:r>
        <w:rPr>
          <w:szCs w:val="20"/>
        </w:rPr>
        <w:t xml:space="preserve">  </w:t>
      </w:r>
    </w:p>
    <w:p w:rsidR="001D51A8" w:rsidP="001E50FB" w14:paraId="23CE9027" w14:textId="68DA98C0">
      <w:pPr>
        <w:spacing w:line="276" w:lineRule="auto"/>
        <w:rPr>
          <w:szCs w:val="20"/>
        </w:rPr>
      </w:pPr>
      <w:r>
        <w:t>B</w:t>
      </w:r>
      <w:r w:rsidRPr="00C73614">
        <w:t xml:space="preserve">ased on </w:t>
      </w:r>
      <w:r w:rsidR="00D2588B">
        <w:t xml:space="preserve">MIPS submission </w:t>
      </w:r>
      <w:r w:rsidRPr="00C73614">
        <w:t xml:space="preserve">data from the </w:t>
      </w:r>
      <w:r w:rsidR="00584151">
        <w:t xml:space="preserve">CY </w:t>
      </w:r>
      <w:r w:rsidR="00E90263">
        <w:t>20</w:t>
      </w:r>
      <w:r w:rsidR="00E830F7">
        <w:t>2</w:t>
      </w:r>
      <w:r w:rsidR="0095325D">
        <w:t>2</w:t>
      </w:r>
      <w:r w:rsidR="00E90263">
        <w:t xml:space="preserve"> performance period</w:t>
      </w:r>
      <w:r w:rsidR="00584151">
        <w:t>/202</w:t>
      </w:r>
      <w:r w:rsidR="00785ABA">
        <w:t>4</w:t>
      </w:r>
      <w:r w:rsidR="00584151">
        <w:t xml:space="preserve"> MIPS payment year</w:t>
      </w:r>
      <w:r w:rsidRPr="00C73614">
        <w:t xml:space="preserve">, we </w:t>
      </w:r>
      <w:r w:rsidR="00146BA9">
        <w:t xml:space="preserve">estimate that </w:t>
      </w:r>
      <w:r w:rsidR="005378FA">
        <w:t xml:space="preserve">a total of </w:t>
      </w:r>
      <w:r w:rsidR="00A13718">
        <w:t>25,990</w:t>
      </w:r>
      <w:r w:rsidR="005378FA">
        <w:t xml:space="preserve"> </w:t>
      </w:r>
      <w:r w:rsidR="00F34DA9">
        <w:t>respondents</w:t>
      </w:r>
      <w:r w:rsidR="009545E2">
        <w:t xml:space="preserve"> (</w:t>
      </w:r>
      <w:r w:rsidR="00D2588B">
        <w:t>19,292</w:t>
      </w:r>
      <w:r w:rsidRPr="00C73614" w:rsidR="00146BA9">
        <w:t xml:space="preserve"> individual </w:t>
      </w:r>
      <w:r w:rsidRPr="00C73614" w:rsidR="00146BA9">
        <w:t xml:space="preserve">MIPS </w:t>
      </w:r>
      <w:r w:rsidRPr="00C73614" w:rsidR="00146BA9">
        <w:t xml:space="preserve">eligible </w:t>
      </w:r>
      <w:r w:rsidR="00146BA9">
        <w:t xml:space="preserve">clinicians, </w:t>
      </w:r>
      <w:r w:rsidR="00D2588B">
        <w:t>6,678</w:t>
      </w:r>
      <w:r w:rsidRPr="00C73614" w:rsidR="00146BA9">
        <w:t xml:space="preserve"> groups</w:t>
      </w:r>
      <w:r w:rsidR="00146BA9">
        <w:t>, and 20 subgroups</w:t>
      </w:r>
      <w:r w:rsidR="009545E2">
        <w:t>)</w:t>
      </w:r>
      <w:r w:rsidRPr="00C73614" w:rsidR="00146BA9">
        <w:t xml:space="preserve"> w</w:t>
      </w:r>
      <w:r w:rsidR="003350AD">
        <w:t>ould</w:t>
      </w:r>
      <w:r w:rsidRPr="00C73614" w:rsidR="00146BA9">
        <w:t xml:space="preserve"> submit </w:t>
      </w:r>
      <w:r w:rsidR="00146BA9">
        <w:t>Promoting Interoperability</w:t>
      </w:r>
      <w:r w:rsidRPr="00C73614" w:rsidR="00146BA9">
        <w:t xml:space="preserve"> data</w:t>
      </w:r>
      <w:r w:rsidR="00146BA9">
        <w:t xml:space="preserve"> f</w:t>
      </w:r>
      <w:r w:rsidR="00C96BA1">
        <w:t>or the CY 202</w:t>
      </w:r>
      <w:r w:rsidR="00D2588B">
        <w:t>4</w:t>
      </w:r>
      <w:r w:rsidR="00C96BA1">
        <w:t xml:space="preserve"> performance period/202</w:t>
      </w:r>
      <w:r w:rsidR="00E42DCB">
        <w:t>6</w:t>
      </w:r>
      <w:r w:rsidR="00C96BA1">
        <w:t xml:space="preserve"> MIPS payment year</w:t>
      </w:r>
      <w:r w:rsidR="00146BA9">
        <w:t>.</w:t>
      </w:r>
      <w:r w:rsidRPr="00631DDE">
        <w:t xml:space="preserve"> </w:t>
      </w:r>
      <w:r w:rsidRPr="00B43237">
        <w:t xml:space="preserve">These estimates reflect that </w:t>
      </w:r>
      <w:r w:rsidR="00974FE2">
        <w:rPr>
          <w:rFonts w:eastAsia="Calibri"/>
        </w:rPr>
        <w:t>c</w:t>
      </w:r>
      <w:r w:rsidRPr="00CC2BFB" w:rsidR="00FE693D">
        <w:rPr>
          <w:rFonts w:eastAsia="Calibri"/>
        </w:rPr>
        <w:t xml:space="preserve">ertain MIPS eligible clinicians will </w:t>
      </w:r>
      <w:r w:rsidR="006D3112">
        <w:rPr>
          <w:rFonts w:eastAsia="Calibri"/>
        </w:rPr>
        <w:t>qualify</w:t>
      </w:r>
      <w:r w:rsidRPr="00CC2BFB" w:rsidR="00FE693D">
        <w:rPr>
          <w:rFonts w:eastAsia="Calibri"/>
        </w:rPr>
        <w:t xml:space="preserve"> for automatic reweighting of the Promoting Interoperability performance category to zero percent, including MIPS eligible clinicians </w:t>
      </w:r>
      <w:r w:rsidR="00FE693D">
        <w:rPr>
          <w:rFonts w:eastAsia="Calibri"/>
        </w:rPr>
        <w:t>who</w:t>
      </w:r>
      <w:r w:rsidRPr="00CC2BFB" w:rsidR="00FE693D">
        <w:rPr>
          <w:rFonts w:eastAsia="Calibri"/>
        </w:rPr>
        <w:t xml:space="preserve"> are hospital-based, ambulatory surgical center-based, </w:t>
      </w:r>
      <w:r w:rsidR="005676CE">
        <w:rPr>
          <w:rFonts w:eastAsia="Calibri"/>
        </w:rPr>
        <w:t xml:space="preserve">small practices, </w:t>
      </w:r>
      <w:r w:rsidRPr="00CC2BFB" w:rsidR="00FE693D">
        <w:rPr>
          <w:rFonts w:eastAsia="Calibri"/>
        </w:rPr>
        <w:t xml:space="preserve">non-patient facing clinicians, </w:t>
      </w:r>
      <w:r w:rsidR="00FE693D">
        <w:rPr>
          <w:rFonts w:eastAsia="Calibri"/>
        </w:rPr>
        <w:t>and clinical social workers.</w:t>
      </w:r>
      <w:r w:rsidRPr="003428D4" w:rsidR="00E90263">
        <w:rPr>
          <w:rFonts w:eastAsia="Calibri"/>
        </w:rPr>
        <w:t xml:space="preserve"> </w:t>
      </w:r>
    </w:p>
    <w:p w:rsidR="003C50B4" w:rsidP="001E50FB" w14:paraId="467CDDBE" w14:textId="65C53C65">
      <w:pPr>
        <w:spacing w:line="276" w:lineRule="auto"/>
        <w:rPr>
          <w:rFonts w:eastAsia="Calibri"/>
        </w:rPr>
      </w:pPr>
      <w:bookmarkStart w:id="0" w:name="_Hlk516985011"/>
      <w:r>
        <w:rPr>
          <w:rFonts w:eastAsia="Calibri"/>
        </w:rPr>
        <w:t>As discussed in Supporting Statement A, a</w:t>
      </w:r>
      <w:r w:rsidRPr="003428D4">
        <w:rPr>
          <w:rFonts w:eastAsia="Calibri"/>
        </w:rPr>
        <w:t xml:space="preserve"> </w:t>
      </w:r>
      <w:r w:rsidRPr="00811AF2" w:rsidR="00811AF2">
        <w:rPr>
          <w:rFonts w:eastAsia="Calibri"/>
        </w:rPr>
        <w:t>variety of organizations will submit Promoting Interoperability data on behalf of clinicians. Clinicians not participating in a MIPS APM may submit data as individuals or as part of a group. In the CY 2017 Quality Payment Program final rule (81 FR 77258 through 77260, 77262 through 77264) and CY 2019 PFS final rule (83 FR 59822</w:t>
      </w:r>
      <w:r w:rsidR="00CE6885">
        <w:rPr>
          <w:rFonts w:eastAsia="Calibri"/>
        </w:rPr>
        <w:t xml:space="preserve"> and</w:t>
      </w:r>
      <w:r w:rsidR="004320F9">
        <w:rPr>
          <w:rFonts w:eastAsia="Calibri"/>
        </w:rPr>
        <w:t xml:space="preserve"> </w:t>
      </w:r>
      <w:r w:rsidRPr="00811AF2" w:rsidR="00811AF2">
        <w:rPr>
          <w:rFonts w:eastAsia="Calibri"/>
        </w:rPr>
        <w:t xml:space="preserve">59823), we established that eligible clinicians in MIPS APMs (including the Shared Savings Program) may report for the Promoting Interoperability performance category as an APM Entity group, individuals, or a group. </w:t>
      </w:r>
      <w:r w:rsidR="00462D21">
        <w:rPr>
          <w:rFonts w:eastAsia="Calibri"/>
        </w:rPr>
        <w:t>In the CY 2023 final rule</w:t>
      </w:r>
      <w:r w:rsidR="00252949">
        <w:rPr>
          <w:rFonts w:eastAsia="Calibri"/>
        </w:rPr>
        <w:t xml:space="preserve"> (</w:t>
      </w:r>
      <w:r w:rsidR="008834AF">
        <w:rPr>
          <w:rFonts w:eastAsia="Calibri"/>
        </w:rPr>
        <w:t>87 FR 70087 and 70088</w:t>
      </w:r>
      <w:r w:rsidR="00252949">
        <w:rPr>
          <w:rFonts w:eastAsia="Calibri"/>
        </w:rPr>
        <w:t>)</w:t>
      </w:r>
      <w:r w:rsidR="00462D21">
        <w:rPr>
          <w:rFonts w:eastAsia="Calibri"/>
        </w:rPr>
        <w:t xml:space="preserve">, we finalized </w:t>
      </w:r>
      <w:r w:rsidR="00DE53F2">
        <w:rPr>
          <w:rFonts w:eastAsia="Calibri"/>
        </w:rPr>
        <w:t xml:space="preserve">a voluntary reporting option </w:t>
      </w:r>
      <w:r w:rsidR="00C42256">
        <w:rPr>
          <w:rFonts w:eastAsia="Calibri"/>
        </w:rPr>
        <w:t xml:space="preserve">for </w:t>
      </w:r>
      <w:r w:rsidRPr="00794B98" w:rsidR="00C42256">
        <w:rPr>
          <w:rFonts w:eastAsia="Calibri"/>
        </w:rPr>
        <w:t>APM Entities to report the Promoting Interoperability performance category at the APM Entity level beginning with the CY 2023 performance period/2025 MIPS payment year.</w:t>
      </w:r>
      <w:r w:rsidRPr="00811AF2" w:rsidR="00811AF2">
        <w:rPr>
          <w:rFonts w:eastAsia="Calibri"/>
        </w:rPr>
        <w:t xml:space="preserve"> </w:t>
      </w:r>
      <w:bookmarkEnd w:id="0"/>
    </w:p>
    <w:p w:rsidR="001D51A8" w:rsidRPr="001D51A8" w:rsidP="001E50FB" w14:paraId="3F5396FE" w14:textId="1D9D0099">
      <w:pPr>
        <w:spacing w:line="276" w:lineRule="auto"/>
      </w:pPr>
      <w:r>
        <w:t>As discussed in Supporting Statement A, we estimate</w:t>
      </w:r>
      <w:r w:rsidR="00851A7E">
        <w:t xml:space="preserve"> </w:t>
      </w:r>
      <w:r w:rsidR="00BE7FF8">
        <w:t xml:space="preserve">that total of </w:t>
      </w:r>
      <w:r w:rsidR="0053414A">
        <w:t xml:space="preserve">50,289 </w:t>
      </w:r>
      <w:r w:rsidR="00F34DA9">
        <w:t>respondents</w:t>
      </w:r>
      <w:r w:rsidR="0053414A">
        <w:t xml:space="preserve"> (</w:t>
      </w:r>
      <w:r w:rsidR="00851A7E">
        <w:t>3</w:t>
      </w:r>
      <w:r w:rsidR="00420BBD">
        <w:t>7,939</w:t>
      </w:r>
      <w:r w:rsidR="00113CB4">
        <w:t xml:space="preserve"> individual</w:t>
      </w:r>
      <w:r w:rsidR="000F76F9">
        <w:t>ly</w:t>
      </w:r>
      <w:r w:rsidR="00113CB4">
        <w:t xml:space="preserve"> eligible</w:t>
      </w:r>
      <w:r>
        <w:t xml:space="preserve"> clinicians</w:t>
      </w:r>
      <w:r w:rsidR="00113CB4">
        <w:t>,</w:t>
      </w:r>
      <w:r w:rsidR="003C50B4">
        <w:t xml:space="preserve"> 1</w:t>
      </w:r>
      <w:r w:rsidR="00113CB4">
        <w:t>2,33</w:t>
      </w:r>
      <w:r w:rsidR="002A7D88">
        <w:t>0</w:t>
      </w:r>
      <w:r>
        <w:t xml:space="preserve"> groups </w:t>
      </w:r>
      <w:r w:rsidR="00424961">
        <w:t xml:space="preserve">and </w:t>
      </w:r>
      <w:r>
        <w:t>virtual groups</w:t>
      </w:r>
      <w:r w:rsidR="008E5A8A">
        <w:t>, and 20 subgroups</w:t>
      </w:r>
      <w:r w:rsidR="0053414A">
        <w:t>)</w:t>
      </w:r>
      <w:r w:rsidR="008E5A8A">
        <w:t xml:space="preserve"> </w:t>
      </w:r>
      <w:r>
        <w:t>will submit</w:t>
      </w:r>
      <w:r w:rsidR="00640297">
        <w:t xml:space="preserve"> data for the</w:t>
      </w:r>
      <w:r>
        <w:t xml:space="preserve"> improvement activities </w:t>
      </w:r>
      <w:r w:rsidR="00640297">
        <w:t xml:space="preserve">performance category </w:t>
      </w:r>
      <w:r>
        <w:t xml:space="preserve">during the </w:t>
      </w:r>
      <w:r w:rsidR="00E00197">
        <w:t xml:space="preserve">CY </w:t>
      </w:r>
      <w:r w:rsidR="006308F7">
        <w:t>202</w:t>
      </w:r>
      <w:r w:rsidR="0053414A">
        <w:t>4</w:t>
      </w:r>
      <w:r w:rsidR="006308F7">
        <w:t xml:space="preserve"> </w:t>
      </w:r>
      <w:r>
        <w:t>performance period</w:t>
      </w:r>
      <w:r w:rsidR="00E00197">
        <w:t>/202</w:t>
      </w:r>
      <w:r w:rsidR="0053414A">
        <w:t>6</w:t>
      </w:r>
      <w:r w:rsidR="00E00197">
        <w:t xml:space="preserve"> MIPS payment year</w:t>
      </w:r>
      <w:r>
        <w:t>.</w:t>
      </w:r>
      <w:r w:rsidR="0072717C">
        <w:t xml:space="preserve"> </w:t>
      </w:r>
    </w:p>
    <w:p w:rsidR="00FB070C" w:rsidP="00023065" w14:paraId="04D4675E" w14:textId="77777777">
      <w:pPr>
        <w:pStyle w:val="Heading1"/>
        <w:keepLines/>
        <w:numPr>
          <w:ilvl w:val="0"/>
          <w:numId w:val="20"/>
        </w:numPr>
        <w:rPr>
          <w:sz w:val="24"/>
          <w:szCs w:val="18"/>
        </w:rPr>
      </w:pPr>
      <w:r w:rsidRPr="00FB070C">
        <w:rPr>
          <w:sz w:val="24"/>
          <w:szCs w:val="18"/>
        </w:rPr>
        <w:t>Describe the procedures for the collection of information including:</w:t>
      </w:r>
    </w:p>
    <w:p w:rsidR="00FB070C" w:rsidP="00023065" w14:paraId="638E3380" w14:textId="77777777">
      <w:pPr>
        <w:pStyle w:val="Heading1"/>
        <w:keepLines/>
        <w:numPr>
          <w:ilvl w:val="1"/>
          <w:numId w:val="20"/>
        </w:numPr>
        <w:spacing w:after="0"/>
        <w:rPr>
          <w:sz w:val="24"/>
          <w:szCs w:val="18"/>
        </w:rPr>
      </w:pPr>
      <w:r w:rsidRPr="00FB070C">
        <w:rPr>
          <w:sz w:val="24"/>
          <w:szCs w:val="18"/>
        </w:rPr>
        <w:t>Statistical methodology for stratification and sample selection</w:t>
      </w:r>
      <w:r>
        <w:rPr>
          <w:sz w:val="24"/>
          <w:szCs w:val="18"/>
        </w:rPr>
        <w:t>,</w:t>
      </w:r>
    </w:p>
    <w:p w:rsidR="00FB070C" w:rsidP="00023065" w14:paraId="615A91BC" w14:textId="77777777">
      <w:pPr>
        <w:pStyle w:val="Heading1"/>
        <w:keepLines/>
        <w:numPr>
          <w:ilvl w:val="1"/>
          <w:numId w:val="20"/>
        </w:numPr>
        <w:spacing w:after="0"/>
        <w:rPr>
          <w:sz w:val="24"/>
          <w:szCs w:val="18"/>
        </w:rPr>
      </w:pPr>
      <w:r w:rsidRPr="00FB070C">
        <w:rPr>
          <w:sz w:val="24"/>
          <w:szCs w:val="18"/>
        </w:rPr>
        <w:t>Estimation procedure,</w:t>
      </w:r>
    </w:p>
    <w:p w:rsidR="00FB070C" w:rsidP="00023065" w14:paraId="6A95CA23" w14:textId="77777777">
      <w:pPr>
        <w:pStyle w:val="Heading1"/>
        <w:keepLines/>
        <w:numPr>
          <w:ilvl w:val="1"/>
          <w:numId w:val="20"/>
        </w:numPr>
        <w:spacing w:after="0"/>
        <w:rPr>
          <w:sz w:val="24"/>
          <w:szCs w:val="18"/>
        </w:rPr>
      </w:pPr>
      <w:r w:rsidRPr="00FB070C">
        <w:rPr>
          <w:sz w:val="24"/>
          <w:szCs w:val="18"/>
        </w:rPr>
        <w:t>Degree of accuracy needed for the purpose described in the justification,</w:t>
      </w:r>
    </w:p>
    <w:p w:rsidR="00FB070C" w:rsidP="00023065" w14:paraId="0F788FB0" w14:textId="77777777">
      <w:pPr>
        <w:pStyle w:val="Heading1"/>
        <w:keepLines/>
        <w:numPr>
          <w:ilvl w:val="1"/>
          <w:numId w:val="20"/>
        </w:numPr>
        <w:spacing w:after="0"/>
        <w:rPr>
          <w:sz w:val="24"/>
          <w:szCs w:val="18"/>
        </w:rPr>
      </w:pPr>
      <w:r w:rsidRPr="00FB070C">
        <w:rPr>
          <w:sz w:val="24"/>
          <w:szCs w:val="18"/>
        </w:rPr>
        <w:t>Unusual problems requiring specialized sampling procedures, and</w:t>
      </w:r>
    </w:p>
    <w:p w:rsidR="00020D26" w:rsidP="00023065" w14:paraId="1F2D06CA" w14:textId="77777777">
      <w:pPr>
        <w:pStyle w:val="Heading1"/>
        <w:keepLines/>
        <w:numPr>
          <w:ilvl w:val="1"/>
          <w:numId w:val="20"/>
        </w:numPr>
        <w:spacing w:after="0"/>
        <w:rPr>
          <w:sz w:val="24"/>
          <w:szCs w:val="18"/>
        </w:rPr>
      </w:pPr>
      <w:r w:rsidRPr="00FB070C">
        <w:rPr>
          <w:sz w:val="24"/>
          <w:szCs w:val="18"/>
        </w:rPr>
        <w:t>Any use of periodic (less frequent than annual) data collection cycles to reduce burden.</w:t>
      </w:r>
    </w:p>
    <w:p w:rsidR="00FB070C" w:rsidRPr="00FB070C" w:rsidP="00023065" w14:paraId="1D6A4189" w14:textId="77777777">
      <w:pPr>
        <w:keepNext/>
        <w:keepLines/>
      </w:pPr>
    </w:p>
    <w:p w:rsidR="001D51A8" w:rsidP="00023065" w14:paraId="1060E98F" w14:textId="692DACED">
      <w:pPr>
        <w:keepNext/>
        <w:keepLines/>
        <w:spacing w:line="274" w:lineRule="auto"/>
      </w:pPr>
      <w:r>
        <w:t xml:space="preserve">There are </w:t>
      </w:r>
      <w:r w:rsidR="00424961">
        <w:t>2</w:t>
      </w:r>
      <w:r w:rsidR="00090A32">
        <w:t>5</w:t>
      </w:r>
      <w:r>
        <w:t xml:space="preserve"> information collections in the 20</w:t>
      </w:r>
      <w:r w:rsidR="00301176">
        <w:t>2</w:t>
      </w:r>
      <w:r w:rsidR="00090A32">
        <w:t>4 final rule MIPS</w:t>
      </w:r>
      <w:r>
        <w:t xml:space="preserve"> PRA package.</w:t>
      </w:r>
      <w:r w:rsidR="00424961">
        <w:t xml:space="preserve"> </w:t>
      </w:r>
      <w:r>
        <w:t xml:space="preserve">We do not anticipate using sampling or statistical estimation in </w:t>
      </w:r>
      <w:r w:rsidR="00A71CD1">
        <w:t>all</w:t>
      </w:r>
      <w:r w:rsidR="002C107E">
        <w:t xml:space="preserve"> </w:t>
      </w:r>
      <w:r>
        <w:t xml:space="preserve">the information collections.  </w:t>
      </w:r>
    </w:p>
    <w:p w:rsidR="00020D26" w:rsidRPr="00FB070C" w:rsidP="00FB070C" w14:paraId="70ECBCAE" w14:textId="5DD91FD4">
      <w:pPr>
        <w:pStyle w:val="Heading1"/>
        <w:numPr>
          <w:ilvl w:val="0"/>
          <w:numId w:val="20"/>
        </w:numPr>
        <w:rPr>
          <w:sz w:val="24"/>
          <w:szCs w:val="24"/>
        </w:rPr>
      </w:pPr>
      <w:r w:rsidRPr="5F6EBF62">
        <w:rPr>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20D26" w:rsidP="00FE4E51" w14:paraId="450F6615" w14:textId="77777777">
      <w:pPr>
        <w:pStyle w:val="Heading2"/>
      </w:pPr>
      <w:r w:rsidRPr="001D51A8">
        <w:t>Quality Performance Category Data Submission</w:t>
      </w:r>
    </w:p>
    <w:p w:rsidR="001D51A8" w:rsidP="001E50FB" w14:paraId="7ACC0BAB" w14:textId="1D0F13AB">
      <w:pPr>
        <w:pStyle w:val="NoSpacing"/>
        <w:spacing w:line="276" w:lineRule="auto"/>
        <w:rPr>
          <w:rFonts w:ascii="Times New Roman" w:hAnsi="Times New Roman"/>
          <w:szCs w:val="24"/>
        </w:rPr>
      </w:pPr>
      <w:r w:rsidRPr="001213B0">
        <w:rPr>
          <w:rFonts w:ascii="Times New Roman" w:hAnsi="Times New Roman"/>
          <w:szCs w:val="24"/>
        </w:rPr>
        <w:t xml:space="preserve">We expect additional experience with </w:t>
      </w:r>
      <w:r>
        <w:rPr>
          <w:rFonts w:ascii="Times New Roman" w:hAnsi="Times New Roman"/>
          <w:szCs w:val="24"/>
        </w:rPr>
        <w:t xml:space="preserve">submissions </w:t>
      </w:r>
      <w:r w:rsidRPr="001213B0">
        <w:rPr>
          <w:rFonts w:ascii="Times New Roman" w:hAnsi="Times New Roman"/>
          <w:szCs w:val="24"/>
        </w:rPr>
        <w:t xml:space="preserve">under MIPS to clarify optimal </w:t>
      </w:r>
      <w:r w:rsidR="00D53A9C">
        <w:rPr>
          <w:rFonts w:ascii="Times New Roman" w:hAnsi="Times New Roman"/>
          <w:szCs w:val="24"/>
        </w:rPr>
        <w:t xml:space="preserve">data completeness thresholds and </w:t>
      </w:r>
      <w:r>
        <w:rPr>
          <w:rFonts w:ascii="Times New Roman" w:hAnsi="Times New Roman"/>
          <w:szCs w:val="24"/>
        </w:rPr>
        <w:t xml:space="preserve">submission </w:t>
      </w:r>
      <w:r w:rsidRPr="001213B0">
        <w:rPr>
          <w:rFonts w:ascii="Times New Roman" w:hAnsi="Times New Roman"/>
          <w:szCs w:val="24"/>
        </w:rPr>
        <w:t xml:space="preserve">criteria for use in future </w:t>
      </w:r>
      <w:r>
        <w:rPr>
          <w:rFonts w:ascii="Times New Roman" w:hAnsi="Times New Roman"/>
          <w:szCs w:val="24"/>
        </w:rPr>
        <w:t>performance</w:t>
      </w:r>
      <w:r w:rsidRPr="001213B0">
        <w:rPr>
          <w:rFonts w:ascii="Times New Roman" w:hAnsi="Times New Roman"/>
          <w:szCs w:val="24"/>
        </w:rPr>
        <w:t xml:space="preserve"> periods. We will continually evaluate our policies </w:t>
      </w:r>
      <w:r w:rsidR="00D53A9C">
        <w:rPr>
          <w:rFonts w:ascii="Times New Roman" w:hAnsi="Times New Roman"/>
          <w:szCs w:val="24"/>
        </w:rPr>
        <w:t xml:space="preserve">and </w:t>
      </w:r>
      <w:r w:rsidRPr="001213B0">
        <w:rPr>
          <w:rFonts w:ascii="Times New Roman" w:hAnsi="Times New Roman"/>
          <w:szCs w:val="24"/>
        </w:rPr>
        <w:t xml:space="preserve">notify the public through future notice and comment rulemaking if we make substantive changes. As we evaluate our policies, we plan to continue a dialogue with </w:t>
      </w:r>
      <w:r w:rsidR="00A30F77">
        <w:rPr>
          <w:rFonts w:ascii="Times New Roman" w:hAnsi="Times New Roman"/>
          <w:szCs w:val="24"/>
        </w:rPr>
        <w:t>interested parties</w:t>
      </w:r>
      <w:r w:rsidRPr="001213B0">
        <w:rPr>
          <w:rFonts w:ascii="Times New Roman" w:hAnsi="Times New Roman"/>
          <w:szCs w:val="24"/>
        </w:rPr>
        <w:t xml:space="preserve"> to discuss opportunities for program efficiency and flexibility.  </w:t>
      </w:r>
    </w:p>
    <w:p w:rsidR="001D51A8" w:rsidRPr="001D51A8" w:rsidP="001E50FB" w14:paraId="117579D3" w14:textId="77777777">
      <w:pPr>
        <w:pStyle w:val="NoSpacing"/>
        <w:spacing w:line="276" w:lineRule="auto"/>
        <w:rPr>
          <w:rFonts w:ascii="Times New Roman" w:hAnsi="Times New Roman"/>
          <w:szCs w:val="24"/>
        </w:rPr>
      </w:pPr>
    </w:p>
    <w:p w:rsidR="00020D26" w:rsidRPr="001D51A8" w:rsidP="001E50FB" w14:paraId="62CF4421"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Cs/>
        </w:rPr>
      </w:pPr>
      <w:r>
        <w:rPr>
          <w:bCs/>
        </w:rPr>
        <w:t xml:space="preserve">We believe that by continuing to provide virtual group participation as an option we will experience continued </w:t>
      </w:r>
      <w:r w:rsidRPr="00791ADE">
        <w:t>improve</w:t>
      </w:r>
      <w:r>
        <w:t>ment in</w:t>
      </w:r>
      <w:r w:rsidRPr="00791ADE">
        <w:t xml:space="preserve"> response rates due to the ability to better pool resources from participating as part of a virtual group, allowing for reporting on 6 quality measures.</w:t>
      </w:r>
      <w:r>
        <w:t xml:space="preserve">  </w:t>
      </w:r>
    </w:p>
    <w:p w:rsidR="00020D26" w:rsidRPr="001D51A8" w:rsidP="00FE4E51" w14:paraId="447593D5" w14:textId="77777777">
      <w:pPr>
        <w:pStyle w:val="Heading2"/>
        <w:rPr>
          <w:szCs w:val="20"/>
        </w:rPr>
      </w:pPr>
      <w:r w:rsidRPr="001D51A8">
        <w:t xml:space="preserve">Promoting Interoperability Performance Category Data Submission </w:t>
      </w:r>
    </w:p>
    <w:p w:rsidR="00020D26" w:rsidP="001E50FB" w14:paraId="6DB53728" w14:textId="6015246E">
      <w:pPr>
        <w:pStyle w:val="NoSpacing"/>
        <w:spacing w:line="276" w:lineRule="auto"/>
        <w:rPr>
          <w:rFonts w:ascii="Times New Roman" w:hAnsi="Times New Roman"/>
        </w:rPr>
      </w:pPr>
      <w:r w:rsidRPr="6C7B4B5F">
        <w:rPr>
          <w:rFonts w:ascii="Times New Roman" w:hAnsi="Times New Roman"/>
        </w:rPr>
        <w:t>The</w:t>
      </w:r>
      <w:r w:rsidRPr="6C7B4B5F" w:rsidR="003C50B4">
        <w:rPr>
          <w:rFonts w:ascii="Times New Roman" w:hAnsi="Times New Roman"/>
        </w:rPr>
        <w:t xml:space="preserve"> </w:t>
      </w:r>
      <w:r w:rsidRPr="6C7B4B5F">
        <w:rPr>
          <w:rFonts w:ascii="Times New Roman" w:hAnsi="Times New Roman"/>
        </w:rPr>
        <w:t xml:space="preserve">revised </w:t>
      </w:r>
      <w:r w:rsidRPr="6C7B4B5F" w:rsidR="001D51A8">
        <w:rPr>
          <w:rFonts w:ascii="Times New Roman" w:hAnsi="Times New Roman"/>
        </w:rPr>
        <w:t xml:space="preserve">scoring methodology </w:t>
      </w:r>
      <w:r w:rsidRPr="6C7B4B5F">
        <w:rPr>
          <w:rFonts w:ascii="Times New Roman" w:hAnsi="Times New Roman"/>
        </w:rPr>
        <w:t>finalized in the CY</w:t>
      </w:r>
      <w:r w:rsidRPr="6C7B4B5F" w:rsidR="001D51A8">
        <w:rPr>
          <w:rFonts w:ascii="Times New Roman" w:hAnsi="Times New Roman"/>
        </w:rPr>
        <w:t xml:space="preserve"> 2019 </w:t>
      </w:r>
      <w:r w:rsidRPr="6C7B4B5F">
        <w:rPr>
          <w:rFonts w:ascii="Times New Roman" w:hAnsi="Times New Roman"/>
        </w:rPr>
        <w:t>PFS final rule</w:t>
      </w:r>
      <w:r w:rsidRPr="6C7B4B5F" w:rsidR="001D51A8">
        <w:rPr>
          <w:rFonts w:ascii="Times New Roman" w:hAnsi="Times New Roman"/>
        </w:rPr>
        <w:t xml:space="preserve"> </w:t>
      </w:r>
      <w:r w:rsidRPr="6C7B4B5F" w:rsidR="00F814D1">
        <w:rPr>
          <w:rFonts w:ascii="Times New Roman" w:hAnsi="Times New Roman"/>
        </w:rPr>
        <w:t xml:space="preserve">(83 FR 59791) </w:t>
      </w:r>
      <w:r w:rsidRPr="6C7B4B5F">
        <w:rPr>
          <w:rFonts w:ascii="Times New Roman" w:hAnsi="Times New Roman"/>
        </w:rPr>
        <w:t xml:space="preserve">has </w:t>
      </w:r>
      <w:r w:rsidRPr="6C7B4B5F" w:rsidR="001D51A8">
        <w:rPr>
          <w:rFonts w:ascii="Times New Roman" w:hAnsi="Times New Roman"/>
        </w:rPr>
        <w:t>provide</w:t>
      </w:r>
      <w:r w:rsidRPr="6C7B4B5F" w:rsidR="00F814D1">
        <w:rPr>
          <w:rFonts w:ascii="Times New Roman" w:hAnsi="Times New Roman"/>
        </w:rPr>
        <w:t>d</w:t>
      </w:r>
      <w:r w:rsidRPr="6C7B4B5F" w:rsidR="001D51A8">
        <w:rPr>
          <w:rFonts w:ascii="Times New Roman" w:hAnsi="Times New Roman"/>
        </w:rPr>
        <w:t xml:space="preserve"> a simpler, more flexible, less burdensome structure, allowing MIPS eligible clinicians to put their focus back on patients. Th</w:t>
      </w:r>
      <w:r w:rsidRPr="6C7B4B5F" w:rsidR="00F814D1">
        <w:rPr>
          <w:rFonts w:ascii="Times New Roman" w:hAnsi="Times New Roman"/>
        </w:rPr>
        <w:t xml:space="preserve">is </w:t>
      </w:r>
      <w:r w:rsidRPr="6C7B4B5F" w:rsidR="001D51A8">
        <w:rPr>
          <w:rFonts w:ascii="Times New Roman" w:hAnsi="Times New Roman"/>
        </w:rPr>
        <w:t>scoring methodology encourage</w:t>
      </w:r>
      <w:r w:rsidRPr="6C7B4B5F" w:rsidR="00F814D1">
        <w:rPr>
          <w:rFonts w:ascii="Times New Roman" w:hAnsi="Times New Roman"/>
        </w:rPr>
        <w:t>s</w:t>
      </w:r>
      <w:r w:rsidRPr="6C7B4B5F" w:rsidR="001D51A8">
        <w:rPr>
          <w:rFonts w:ascii="Times New Roman" w:hAnsi="Times New Roman"/>
        </w:rPr>
        <w:t xml:space="preserve"> MIPS eligible clinicians to push themselves on measures that are most applicable to how they deliver care to patients, instead of focusing on measures that may not be as applicable to them.  We believe the increased flexibility to MIPS eligible clinicians that enables them to focus more on patient care and health data exchange through interoperability will </w:t>
      </w:r>
      <w:r w:rsidRPr="6C7B4B5F" w:rsidR="008C5226">
        <w:rPr>
          <w:rFonts w:ascii="Times New Roman" w:hAnsi="Times New Roman"/>
        </w:rPr>
        <w:t xml:space="preserve">continue to </w:t>
      </w:r>
      <w:r w:rsidRPr="6C7B4B5F" w:rsidR="001D51A8">
        <w:rPr>
          <w:rFonts w:ascii="Times New Roman" w:hAnsi="Times New Roman"/>
        </w:rPr>
        <w:t>help to maximize response rates for the Promoting Interoperability performance category. </w:t>
      </w:r>
    </w:p>
    <w:p w:rsidR="008C5226" w:rsidP="001E50FB" w14:paraId="78F0964B" w14:textId="77777777">
      <w:pPr>
        <w:pStyle w:val="NoSpacing"/>
        <w:spacing w:line="276" w:lineRule="auto"/>
        <w:rPr>
          <w:rFonts w:ascii="Times New Roman" w:hAnsi="Times New Roman"/>
          <w:szCs w:val="24"/>
        </w:rPr>
      </w:pPr>
    </w:p>
    <w:p w:rsidR="008C5226" w:rsidP="001E50FB" w14:paraId="40C2C44A" w14:textId="5EC0740F">
      <w:pPr>
        <w:pStyle w:val="NoSpacing"/>
        <w:spacing w:line="276" w:lineRule="auto"/>
        <w:rPr>
          <w:rFonts w:ascii="Times New Roman" w:hAnsi="Times New Roman"/>
          <w:szCs w:val="24"/>
        </w:rPr>
      </w:pPr>
      <w:r>
        <w:rPr>
          <w:rFonts w:ascii="Times New Roman" w:hAnsi="Times New Roman"/>
          <w:szCs w:val="24"/>
        </w:rPr>
        <w:t>I</w:t>
      </w:r>
      <w:r w:rsidRPr="00CD27DF">
        <w:rPr>
          <w:rFonts w:ascii="Times New Roman" w:hAnsi="Times New Roman"/>
          <w:szCs w:val="24"/>
        </w:rPr>
        <w:t>n th</w:t>
      </w:r>
      <w:r>
        <w:rPr>
          <w:rFonts w:ascii="Times New Roman" w:hAnsi="Times New Roman"/>
          <w:szCs w:val="24"/>
        </w:rPr>
        <w:t>e CY 2020 PFS</w:t>
      </w:r>
      <w:r w:rsidRPr="00CD27DF">
        <w:rPr>
          <w:rFonts w:ascii="Times New Roman" w:hAnsi="Times New Roman"/>
          <w:szCs w:val="24"/>
        </w:rPr>
        <w:t xml:space="preserve"> </w:t>
      </w:r>
      <w:r w:rsidR="002E0F0D">
        <w:rPr>
          <w:rFonts w:ascii="Times New Roman" w:hAnsi="Times New Roman"/>
          <w:szCs w:val="24"/>
        </w:rPr>
        <w:t>final</w:t>
      </w:r>
      <w:r w:rsidRPr="00CD27DF">
        <w:rPr>
          <w:rFonts w:ascii="Times New Roman" w:hAnsi="Times New Roman"/>
          <w:szCs w:val="24"/>
        </w:rPr>
        <w:t xml:space="preserve"> rule, </w:t>
      </w:r>
      <w:r w:rsidR="00B02778">
        <w:rPr>
          <w:rFonts w:ascii="Times New Roman" w:hAnsi="Times New Roman"/>
          <w:szCs w:val="24"/>
        </w:rPr>
        <w:t xml:space="preserve">we </w:t>
      </w:r>
      <w:r w:rsidR="008E4352">
        <w:rPr>
          <w:rFonts w:ascii="Times New Roman" w:hAnsi="Times New Roman"/>
          <w:szCs w:val="24"/>
        </w:rPr>
        <w:t>required</w:t>
      </w:r>
      <w:r w:rsidRPr="00CD27DF">
        <w:rPr>
          <w:rFonts w:ascii="Times New Roman" w:hAnsi="Times New Roman"/>
          <w:szCs w:val="24"/>
        </w:rPr>
        <w:t xml:space="preserve"> QCDRs and qualified registries to </w:t>
      </w:r>
      <w:r w:rsidR="002E0F0D">
        <w:rPr>
          <w:rFonts w:ascii="Times New Roman" w:hAnsi="Times New Roman"/>
          <w:szCs w:val="24"/>
        </w:rPr>
        <w:t>be able to submit data</w:t>
      </w:r>
      <w:r w:rsidR="00333C84">
        <w:rPr>
          <w:rFonts w:ascii="Times New Roman" w:hAnsi="Times New Roman"/>
          <w:szCs w:val="24"/>
        </w:rPr>
        <w:t xml:space="preserve"> for each of the</w:t>
      </w:r>
      <w:r w:rsidRPr="00CD27DF">
        <w:rPr>
          <w:rFonts w:ascii="Times New Roman" w:hAnsi="Times New Roman"/>
          <w:szCs w:val="24"/>
        </w:rPr>
        <w:t xml:space="preserve"> quality, improvement activities, and Promoting Interoperability</w:t>
      </w:r>
      <w:r w:rsidR="00333C84">
        <w:rPr>
          <w:rFonts w:ascii="Times New Roman" w:hAnsi="Times New Roman"/>
          <w:szCs w:val="24"/>
        </w:rPr>
        <w:t xml:space="preserve"> performance categories</w:t>
      </w:r>
      <w:r w:rsidR="00C05FC7">
        <w:rPr>
          <w:rFonts w:ascii="Times New Roman" w:hAnsi="Times New Roman"/>
          <w:szCs w:val="24"/>
        </w:rPr>
        <w:t xml:space="preserve"> </w:t>
      </w:r>
      <w:r w:rsidRPr="00CC2BFB" w:rsidR="00C05FC7">
        <w:rPr>
          <w:rFonts w:ascii="Times New Roman" w:hAnsi="Times New Roman" w:cs="Times New Roman"/>
          <w:szCs w:val="24"/>
        </w:rPr>
        <w:t xml:space="preserve">with the </w:t>
      </w:r>
      <w:r w:rsidR="00C05FC7">
        <w:rPr>
          <w:rFonts w:ascii="Times New Roman" w:hAnsi="Times New Roman" w:cs="Times New Roman"/>
          <w:szCs w:val="24"/>
        </w:rPr>
        <w:t>stipulation</w:t>
      </w:r>
      <w:r w:rsidRPr="00CC2BFB" w:rsidR="00C05FC7">
        <w:rPr>
          <w:rFonts w:ascii="Times New Roman" w:hAnsi="Times New Roman" w:cs="Times New Roman"/>
          <w:szCs w:val="24"/>
        </w:rPr>
        <w:t xml:space="preserve"> that based on the amendment to § 414.1400(a)(2)(iii) </w:t>
      </w:r>
      <w:r w:rsidRPr="004119E5" w:rsidR="00C05FC7">
        <w:rPr>
          <w:rFonts w:ascii="Times New Roman" w:hAnsi="Times New Roman" w:cs="Times New Roman"/>
          <w:szCs w:val="24"/>
        </w:rPr>
        <w:t xml:space="preserve">a third party </w:t>
      </w:r>
      <w:r w:rsidRPr="004119E5" w:rsidR="00C05FC7">
        <w:rPr>
          <w:rFonts w:ascii="Times New Roman" w:hAnsi="Times New Roman" w:cs="Times New Roman"/>
          <w:szCs w:val="24"/>
        </w:rPr>
        <w:t>could be excepted from this requirement if its MIPS eligible clinicians, groups or virtual groups fall under the reweighting policies at § 414.1380(c)(2)(i)(A)(4) or (5) or § 414.1380(c)(2)(i)(C)(1) through (7) or § 414.1380(c)(2)(i)(C)(9))</w:t>
      </w:r>
      <w:r w:rsidRPr="00CC2BFB" w:rsidR="00C05FC7">
        <w:rPr>
          <w:rFonts w:ascii="Times New Roman" w:hAnsi="Times New Roman" w:cs="Times New Roman"/>
          <w:szCs w:val="24"/>
        </w:rPr>
        <w:t>.</w:t>
      </w:r>
      <w:r w:rsidR="00814202">
        <w:rPr>
          <w:rFonts w:ascii="Times New Roman" w:hAnsi="Times New Roman" w:cs="Times New Roman"/>
          <w:szCs w:val="24"/>
        </w:rPr>
        <w:t xml:space="preserve"> </w:t>
      </w:r>
      <w:r w:rsidR="00B02778">
        <w:rPr>
          <w:rFonts w:ascii="Times New Roman" w:hAnsi="Times New Roman" w:cs="Times New Roman"/>
          <w:szCs w:val="24"/>
        </w:rPr>
        <w:t xml:space="preserve">As a result, </w:t>
      </w:r>
      <w:r w:rsidR="00247EFB">
        <w:rPr>
          <w:rFonts w:ascii="Times New Roman" w:hAnsi="Times New Roman" w:cs="Times New Roman"/>
          <w:szCs w:val="24"/>
        </w:rPr>
        <w:t xml:space="preserve">MIPS </w:t>
      </w:r>
      <w:r w:rsidR="00B7253D">
        <w:rPr>
          <w:rFonts w:ascii="Times New Roman" w:hAnsi="Times New Roman" w:cs="Times New Roman"/>
          <w:szCs w:val="24"/>
        </w:rPr>
        <w:t xml:space="preserve">reporting for </w:t>
      </w:r>
      <w:r w:rsidR="00247EFB">
        <w:rPr>
          <w:rFonts w:ascii="Times New Roman" w:hAnsi="Times New Roman" w:cs="Times New Roman"/>
          <w:szCs w:val="24"/>
        </w:rPr>
        <w:t xml:space="preserve">clinicians who </w:t>
      </w:r>
      <w:r w:rsidR="00BB6537">
        <w:rPr>
          <w:rFonts w:ascii="Times New Roman" w:hAnsi="Times New Roman" w:cs="Times New Roman"/>
          <w:szCs w:val="24"/>
        </w:rPr>
        <w:t>utilize</w:t>
      </w:r>
      <w:r w:rsidR="00B02778">
        <w:rPr>
          <w:rFonts w:ascii="Times New Roman" w:hAnsi="Times New Roman" w:cs="Times New Roman"/>
          <w:szCs w:val="24"/>
        </w:rPr>
        <w:t>d</w:t>
      </w:r>
      <w:r w:rsidR="00247EFB">
        <w:rPr>
          <w:rFonts w:ascii="Times New Roman" w:hAnsi="Times New Roman" w:cs="Times New Roman"/>
          <w:szCs w:val="24"/>
        </w:rPr>
        <w:t xml:space="preserve"> qualified registr</w:t>
      </w:r>
      <w:r w:rsidR="007A612B">
        <w:rPr>
          <w:rFonts w:ascii="Times New Roman" w:hAnsi="Times New Roman" w:cs="Times New Roman"/>
          <w:szCs w:val="24"/>
        </w:rPr>
        <w:t>ies</w:t>
      </w:r>
      <w:r w:rsidR="00247EFB">
        <w:rPr>
          <w:rFonts w:ascii="Times New Roman" w:hAnsi="Times New Roman" w:cs="Times New Roman"/>
          <w:szCs w:val="24"/>
        </w:rPr>
        <w:t xml:space="preserve"> or QCDR </w:t>
      </w:r>
      <w:r w:rsidR="007A612B">
        <w:rPr>
          <w:rFonts w:ascii="Times New Roman" w:hAnsi="Times New Roman" w:cs="Times New Roman"/>
          <w:szCs w:val="24"/>
        </w:rPr>
        <w:t>that have not previously offered the ability to report</w:t>
      </w:r>
      <w:r w:rsidR="005F1276">
        <w:rPr>
          <w:rFonts w:ascii="Times New Roman" w:hAnsi="Times New Roman" w:cs="Times New Roman"/>
          <w:szCs w:val="24"/>
        </w:rPr>
        <w:t xml:space="preserve"> performance categories</w:t>
      </w:r>
      <w:r w:rsidR="0009603A">
        <w:rPr>
          <w:rFonts w:ascii="Times New Roman" w:hAnsi="Times New Roman" w:cs="Times New Roman"/>
          <w:szCs w:val="24"/>
        </w:rPr>
        <w:t xml:space="preserve"> other than quality</w:t>
      </w:r>
      <w:r w:rsidR="00B02778">
        <w:rPr>
          <w:rFonts w:ascii="Times New Roman" w:hAnsi="Times New Roman" w:cs="Times New Roman"/>
          <w:szCs w:val="24"/>
        </w:rPr>
        <w:t xml:space="preserve"> will be able to report MIPS data in a more streamlined and less burdensome manner</w:t>
      </w:r>
      <w:r w:rsidR="005F1276">
        <w:rPr>
          <w:rFonts w:ascii="Times New Roman" w:hAnsi="Times New Roman" w:cs="Times New Roman"/>
          <w:szCs w:val="24"/>
        </w:rPr>
        <w:t>.</w:t>
      </w:r>
    </w:p>
    <w:p w:rsidR="00020D26" w:rsidRPr="00DE2EFC" w:rsidP="00FE4E51" w14:paraId="0AF12D44" w14:textId="77777777">
      <w:pPr>
        <w:pStyle w:val="Heading2"/>
      </w:pPr>
      <w:r w:rsidRPr="00DE2EFC">
        <w:t>Improvement Activities Performance Category Data Submission</w:t>
      </w:r>
    </w:p>
    <w:p w:rsidR="0009603A" w:rsidP="001E50FB" w14:paraId="61625022" w14:textId="2A672E42">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eastAsia="Calibri"/>
        </w:rPr>
      </w:pPr>
      <w:r w:rsidRPr="001C4DAF">
        <w:rPr>
          <w:rFonts w:eastAsia="Calibri"/>
        </w:rPr>
        <w:t xml:space="preserve">User experiences from the </w:t>
      </w:r>
      <w:r w:rsidR="00A30F77">
        <w:rPr>
          <w:rFonts w:eastAsia="Calibri"/>
        </w:rPr>
        <w:t xml:space="preserve">CY </w:t>
      </w:r>
      <w:r w:rsidRPr="001C4DAF">
        <w:rPr>
          <w:rFonts w:eastAsia="Calibri"/>
        </w:rPr>
        <w:t>201</w:t>
      </w:r>
      <w:r w:rsidR="00FE0311">
        <w:rPr>
          <w:rFonts w:eastAsia="Calibri"/>
        </w:rPr>
        <w:t>9</w:t>
      </w:r>
      <w:r w:rsidRPr="001C4DAF">
        <w:rPr>
          <w:rFonts w:eastAsia="Calibri"/>
        </w:rPr>
        <w:t xml:space="preserve"> performance period</w:t>
      </w:r>
      <w:r w:rsidR="00253873">
        <w:rPr>
          <w:rFonts w:eastAsia="Calibri"/>
        </w:rPr>
        <w:t>/2021 MIPS payment year</w:t>
      </w:r>
      <w:r w:rsidRPr="001C4DAF">
        <w:rPr>
          <w:rFonts w:eastAsia="Calibri"/>
        </w:rPr>
        <w:t xml:space="preserve"> reflect that the majority of users submit improvement activities data as part of the login and upload or direct submission types which allow </w:t>
      </w:r>
      <w:r w:rsidR="00B41F05">
        <w:rPr>
          <w:rFonts w:eastAsia="Calibri"/>
        </w:rPr>
        <w:t xml:space="preserve">data for </w:t>
      </w:r>
      <w:r w:rsidRPr="001C4DAF">
        <w:rPr>
          <w:rFonts w:eastAsia="Calibri"/>
        </w:rPr>
        <w:t>multiple performance categories (</w:t>
      </w:r>
      <w:r w:rsidRPr="001C4DAF" w:rsidR="002E65D9">
        <w:rPr>
          <w:rFonts w:eastAsia="Calibri"/>
        </w:rPr>
        <w:t>i.e.,</w:t>
      </w:r>
      <w:r w:rsidRPr="001C4DAF">
        <w:rPr>
          <w:rFonts w:eastAsia="Calibri"/>
        </w:rPr>
        <w:t xml:space="preserve"> quality and </w:t>
      </w:r>
      <w:r w:rsidR="00B41F05">
        <w:rPr>
          <w:rFonts w:eastAsia="Calibri"/>
        </w:rPr>
        <w:t>P</w:t>
      </w:r>
      <w:r w:rsidRPr="001C4DAF">
        <w:rPr>
          <w:rFonts w:eastAsia="Calibri"/>
        </w:rPr>
        <w:t xml:space="preserve">romoting </w:t>
      </w:r>
      <w:r w:rsidR="00B41F05">
        <w:rPr>
          <w:rFonts w:eastAsia="Calibri"/>
        </w:rPr>
        <w:t>I</w:t>
      </w:r>
      <w:r w:rsidRPr="001C4DAF">
        <w:rPr>
          <w:rFonts w:eastAsia="Calibri"/>
        </w:rPr>
        <w:t xml:space="preserve">nteroperability) to be submitted at once.  This results in less additional required time to submit improvement activities data which consists of manually attesting that certain activities were performed.  In addition, the same improvement activity may be reported across multiple performance periods so many MIPS eligible clinicians </w:t>
      </w:r>
      <w:r>
        <w:rPr>
          <w:rFonts w:eastAsia="Calibri"/>
        </w:rPr>
        <w:t>may</w:t>
      </w:r>
      <w:r w:rsidRPr="001C4DAF">
        <w:rPr>
          <w:rFonts w:eastAsia="Calibri"/>
        </w:rPr>
        <w:t xml:space="preserve"> submit </w:t>
      </w:r>
      <w:r>
        <w:rPr>
          <w:rFonts w:eastAsia="Calibri"/>
        </w:rPr>
        <w:t xml:space="preserve">the same </w:t>
      </w:r>
      <w:r w:rsidR="00B60B36">
        <w:rPr>
          <w:rFonts w:eastAsia="Calibri"/>
        </w:rPr>
        <w:t xml:space="preserve">information </w:t>
      </w:r>
      <w:r w:rsidRPr="001C4DAF">
        <w:rPr>
          <w:rFonts w:eastAsia="Calibri"/>
        </w:rPr>
        <w:t xml:space="preserve">for the </w:t>
      </w:r>
      <w:r w:rsidR="00432519">
        <w:rPr>
          <w:rFonts w:eastAsia="Calibri"/>
        </w:rPr>
        <w:t>CY</w:t>
      </w:r>
      <w:r w:rsidR="00FE0311">
        <w:rPr>
          <w:rFonts w:eastAsia="Calibri"/>
        </w:rPr>
        <w:t xml:space="preserve"> 202</w:t>
      </w:r>
      <w:r w:rsidR="00067062">
        <w:rPr>
          <w:rFonts w:eastAsia="Calibri"/>
        </w:rPr>
        <w:t>4</w:t>
      </w:r>
      <w:r w:rsidRPr="001C4DAF">
        <w:rPr>
          <w:rFonts w:eastAsia="Calibri"/>
        </w:rPr>
        <w:t xml:space="preserve"> performance period</w:t>
      </w:r>
      <w:r w:rsidR="00432519">
        <w:rPr>
          <w:rFonts w:eastAsia="Calibri"/>
        </w:rPr>
        <w:t>/202</w:t>
      </w:r>
      <w:r w:rsidR="00067062">
        <w:rPr>
          <w:rFonts w:eastAsia="Calibri"/>
        </w:rPr>
        <w:t>6</w:t>
      </w:r>
      <w:r w:rsidR="00432519">
        <w:rPr>
          <w:rFonts w:eastAsia="Calibri"/>
        </w:rPr>
        <w:t xml:space="preserve"> MIPS payment year</w:t>
      </w:r>
      <w:r w:rsidR="00B60B36">
        <w:rPr>
          <w:rFonts w:eastAsia="Calibri"/>
        </w:rPr>
        <w:t xml:space="preserve"> as they did for </w:t>
      </w:r>
      <w:r w:rsidR="00B02778">
        <w:rPr>
          <w:rFonts w:eastAsia="Calibri"/>
        </w:rPr>
        <w:t>previous</w:t>
      </w:r>
      <w:r w:rsidR="00B60B36">
        <w:rPr>
          <w:rFonts w:eastAsia="Calibri"/>
        </w:rPr>
        <w:t xml:space="preserve"> MIPS performance period</w:t>
      </w:r>
      <w:r w:rsidR="00B02778">
        <w:rPr>
          <w:rFonts w:eastAsia="Calibri"/>
        </w:rPr>
        <w:t>s</w:t>
      </w:r>
      <w:r w:rsidR="00B37252">
        <w:rPr>
          <w:rFonts w:eastAsia="Calibri"/>
        </w:rPr>
        <w:t>/MIPS payment years</w:t>
      </w:r>
      <w:r w:rsidRPr="001C4DAF">
        <w:rPr>
          <w:rFonts w:eastAsia="Calibri"/>
        </w:rPr>
        <w:t>. There is also financial incentive to submit improvement activities da</w:t>
      </w:r>
      <w:r w:rsidRPr="001C4DAF" w:rsidR="00DE2EFC">
        <w:rPr>
          <w:rFonts w:eastAsia="Calibri"/>
        </w:rPr>
        <w:t xml:space="preserve">ta, as clinicians would not receive credit in their MIPS final score otherwise. We believe a less burdensome user experience combined with the financial incentives for submitting improvement activities data will continue to improve response rates in the </w:t>
      </w:r>
      <w:r w:rsidR="00352017">
        <w:rPr>
          <w:rFonts w:eastAsia="Calibri"/>
        </w:rPr>
        <w:t>CY 202</w:t>
      </w:r>
      <w:r w:rsidR="001B0560">
        <w:rPr>
          <w:rFonts w:eastAsia="Calibri"/>
        </w:rPr>
        <w:t>4</w:t>
      </w:r>
      <w:r w:rsidRPr="001C4DAF" w:rsidR="00DE2EFC">
        <w:rPr>
          <w:rFonts w:eastAsia="Calibri"/>
        </w:rPr>
        <w:t xml:space="preserve"> performance period</w:t>
      </w:r>
      <w:r w:rsidR="00B37252">
        <w:rPr>
          <w:rFonts w:eastAsia="Calibri"/>
        </w:rPr>
        <w:t>/</w:t>
      </w:r>
      <w:r w:rsidR="00352017">
        <w:rPr>
          <w:rFonts w:eastAsia="Calibri"/>
        </w:rPr>
        <w:t>202</w:t>
      </w:r>
      <w:r w:rsidR="001B0560">
        <w:rPr>
          <w:rFonts w:eastAsia="Calibri"/>
        </w:rPr>
        <w:t>6</w:t>
      </w:r>
      <w:r w:rsidR="004B31FC">
        <w:rPr>
          <w:rFonts w:eastAsia="Calibri"/>
        </w:rPr>
        <w:t xml:space="preserve"> </w:t>
      </w:r>
      <w:r w:rsidR="00B37252">
        <w:rPr>
          <w:rFonts w:eastAsia="Calibri"/>
        </w:rPr>
        <w:t>MIPS</w:t>
      </w:r>
      <w:r w:rsidR="001E1490">
        <w:rPr>
          <w:rFonts w:eastAsia="Calibri"/>
        </w:rPr>
        <w:t xml:space="preserve"> payment year</w:t>
      </w:r>
      <w:r w:rsidR="004B31FC">
        <w:rPr>
          <w:rFonts w:eastAsia="Calibri"/>
        </w:rPr>
        <w:t>.</w:t>
      </w:r>
      <w:r w:rsidR="001E1490">
        <w:rPr>
          <w:rFonts w:eastAsia="Calibri"/>
        </w:rPr>
        <w:t xml:space="preserve"> </w:t>
      </w:r>
    </w:p>
    <w:p w:rsidR="00020D26" w:rsidRPr="00FB070C" w:rsidP="00FB070C" w14:paraId="13A91EAB" w14:textId="77777777">
      <w:pPr>
        <w:pStyle w:val="Heading1"/>
        <w:numPr>
          <w:ilvl w:val="0"/>
          <w:numId w:val="20"/>
        </w:numPr>
        <w:rPr>
          <w:sz w:val="24"/>
          <w:szCs w:val="18"/>
        </w:rPr>
      </w:pPr>
      <w:r w:rsidRPr="00FB070C">
        <w:rPr>
          <w:sz w:val="24"/>
          <w:szCs w:val="18"/>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FB070C">
        <w:rPr>
          <w:sz w:val="24"/>
          <w:szCs w:val="18"/>
        </w:rPr>
        <w:softHyphen/>
        <w:t>ly or in combination with the main collection of information.</w:t>
      </w:r>
    </w:p>
    <w:p w:rsidR="001D51A8" w:rsidRPr="001B3B8A" w:rsidP="00B02778" w14:paraId="5A0A3254" w14:textId="34B157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7169F0">
        <w:t>We are refining our procedures, methods</w:t>
      </w:r>
      <w:r w:rsidR="00DA50BD">
        <w:t>,</w:t>
      </w:r>
      <w:r w:rsidRPr="007169F0">
        <w:t xml:space="preserve"> and testing over</w:t>
      </w:r>
      <w:r>
        <w:t xml:space="preserve"> </w:t>
      </w:r>
      <w:r w:rsidRPr="007169F0">
        <w:t xml:space="preserve">time to be more efficient. </w:t>
      </w:r>
      <w:r w:rsidR="00F67020">
        <w:t xml:space="preserve"> </w:t>
      </w:r>
      <w:r w:rsidRPr="007169F0">
        <w:t>We do not have any additional testing to describe in this section, including no additional tests that call for answers to identical questions from 10 or more respondents.</w:t>
      </w:r>
    </w:p>
    <w:p w:rsidR="001D51A8" w:rsidRPr="001B3B8A" w:rsidP="001E50FB" w14:paraId="5439A0CC" w14:textId="6DC164F1">
      <w:pPr>
        <w:pStyle w:val="NoSpacing"/>
        <w:spacing w:line="276" w:lineRule="auto"/>
        <w:rPr>
          <w:rFonts w:ascii="Times New Roman" w:hAnsi="Times New Roman"/>
          <w:szCs w:val="24"/>
        </w:rPr>
      </w:pPr>
      <w:r w:rsidRPr="001B3B8A">
        <w:rPr>
          <w:rFonts w:ascii="Times New Roman" w:hAnsi="Times New Roman"/>
          <w:szCs w:val="24"/>
        </w:rPr>
        <w:t xml:space="preserve">As stated above, we expect that </w:t>
      </w:r>
      <w:r w:rsidR="00B02778">
        <w:rPr>
          <w:rFonts w:ascii="Times New Roman" w:hAnsi="Times New Roman"/>
          <w:szCs w:val="24"/>
        </w:rPr>
        <w:t xml:space="preserve">additional </w:t>
      </w:r>
      <w:r w:rsidRPr="001B3B8A">
        <w:rPr>
          <w:rFonts w:ascii="Times New Roman" w:hAnsi="Times New Roman"/>
          <w:szCs w:val="24"/>
        </w:rPr>
        <w:t xml:space="preserve">experience with MIPS will clarify optimal </w:t>
      </w:r>
      <w:r w:rsidR="00B02778">
        <w:rPr>
          <w:rFonts w:ascii="Times New Roman" w:hAnsi="Times New Roman"/>
          <w:szCs w:val="24"/>
        </w:rPr>
        <w:t>reporting thresholds</w:t>
      </w:r>
      <w:r w:rsidRPr="001B3B8A">
        <w:rPr>
          <w:rFonts w:ascii="Times New Roman" w:hAnsi="Times New Roman"/>
          <w:szCs w:val="24"/>
        </w:rPr>
        <w:t xml:space="preserve"> and submission criteria for use in future performance periods</w:t>
      </w:r>
      <w:r w:rsidR="00B02778">
        <w:rPr>
          <w:rFonts w:ascii="Times New Roman" w:hAnsi="Times New Roman"/>
          <w:szCs w:val="24"/>
        </w:rPr>
        <w:t xml:space="preserve"> across the quality, Promoting Interoperability, and improvement activities performance categories</w:t>
      </w:r>
      <w:r w:rsidRPr="001B3B8A">
        <w:rPr>
          <w:rFonts w:ascii="Times New Roman" w:hAnsi="Times New Roman"/>
          <w:szCs w:val="24"/>
        </w:rPr>
        <w:t xml:space="preserve">. We will continually evaluate our policies based on our analysis of MIPS and other data.  </w:t>
      </w:r>
    </w:p>
    <w:p w:rsidR="00020D26" w:rsidP="001D51A8" w14:paraId="41DA9B9C"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p>
    <w:p w:rsidR="00020D26" w:rsidRPr="00FB070C" w:rsidP="00FB070C" w14:paraId="7A907FEB" w14:textId="77777777">
      <w:pPr>
        <w:pStyle w:val="Heading1"/>
        <w:numPr>
          <w:ilvl w:val="0"/>
          <w:numId w:val="20"/>
        </w:numPr>
        <w:rPr>
          <w:sz w:val="24"/>
          <w:szCs w:val="18"/>
        </w:rPr>
      </w:pPr>
      <w:r w:rsidRPr="00FB070C">
        <w:rPr>
          <w:sz w:val="24"/>
          <w:szCs w:val="18"/>
        </w:rPr>
        <w:t>Provide the name and telephone number of individuals consulted on statistical aspects of the design and the name of the agency unit, contractor(s), grantee(s), or other person(s) who will actually collect and/or analyze the information for the agency.</w:t>
      </w:r>
    </w:p>
    <w:p w:rsidR="001D51A8" w:rsidRPr="001B3B8A" w:rsidP="001D51A8" w14:paraId="148848D2" w14:textId="281AB3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We do not anticipate any additional statistical reporting on data other than that pre</w:t>
      </w:r>
      <w:r w:rsidR="001B3B8A">
        <w:t>sented here for the quality or Promoting I</w:t>
      </w:r>
      <w:r>
        <w:t xml:space="preserve">nteroperability and improvement </w:t>
      </w:r>
      <w:r w:rsidR="001B3B8A">
        <w:t xml:space="preserve">activities </w:t>
      </w:r>
      <w:r>
        <w:t>performance categories.</w:t>
      </w:r>
    </w:p>
    <w:p w:rsidR="001D51A8" w:rsidRPr="0007643E" w:rsidP="00FE4E51" w14:paraId="4B5E49E0" w14:textId="77777777">
      <w:pPr>
        <w:pStyle w:val="Heading2"/>
      </w:pPr>
      <w:r w:rsidRPr="0007643E">
        <w:t>Quality</w:t>
      </w:r>
      <w:r w:rsidR="00283903">
        <w:t xml:space="preserve">, Promoting Interoperability, and Improvement Activities </w:t>
      </w:r>
      <w:r>
        <w:t xml:space="preserve">Performance Category </w:t>
      </w:r>
      <w:r w:rsidRPr="0007643E">
        <w:t xml:space="preserve">Data </w:t>
      </w:r>
    </w:p>
    <w:p w:rsidR="00A824B7" w:rsidP="00B02778" w14:paraId="7B44E8F1" w14:textId="0CDB0E80">
      <w:pPr>
        <w:keepNext/>
        <w:keepLines/>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We anticipate that a contractor will analyze information collected from indi</w:t>
      </w:r>
      <w:r w:rsidR="00822D04">
        <w:t>vidual MIPS eligible clinicians and</w:t>
      </w:r>
      <w:r>
        <w:t xml:space="preserve"> groups submitting data to the quality</w:t>
      </w:r>
      <w:r w:rsidR="00B02778">
        <w:t>,</w:t>
      </w:r>
      <w:r>
        <w:t xml:space="preserve"> </w:t>
      </w:r>
      <w:r w:rsidR="00B02778">
        <w:t>Promoting Interoperability and improvement activities performance categories</w:t>
      </w:r>
      <w:r>
        <w:t>.</w:t>
      </w:r>
      <w:bookmarkStart w:id="1" w:name="_Ref408572865"/>
      <w:bookmarkEnd w:id="1"/>
      <w:r w:rsidRPr="00656F15">
        <w:t xml:space="preserve"> </w:t>
      </w:r>
    </w:p>
    <w:p w:rsidR="00283903" w:rsidP="00283903" w14:paraId="07A8A3BE" w14:textId="60982336">
      <w:pPr>
        <w:pStyle w:val="NoSpacing"/>
        <w:spacing w:line="276" w:lineRule="auto"/>
        <w:ind w:firstLine="720"/>
        <w:rPr>
          <w:rFonts w:ascii="Times New Roman" w:hAnsi="Times New Roman"/>
          <w:color w:val="000000"/>
          <w:szCs w:val="24"/>
        </w:rPr>
      </w:pPr>
      <w:r w:rsidRPr="0078041E">
        <w:rPr>
          <w:rFonts w:ascii="Times New Roman" w:hAnsi="Times New Roman"/>
          <w:color w:val="000000"/>
          <w:szCs w:val="24"/>
        </w:rPr>
        <w:t xml:space="preserve"> </w:t>
      </w:r>
    </w:p>
    <w:p w:rsidR="00283903" w:rsidRPr="001D51A8" w:rsidP="00B02778" w14:paraId="6B9E60E0" w14:textId="77777777">
      <w:pPr>
        <w:keepNext/>
        <w:keepLines/>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sectPr w:rsidSect="00DD477E">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4133490"/>
      <w:docPartObj>
        <w:docPartGallery w:val="Page Numbers (Bottom of Page)"/>
        <w:docPartUnique/>
      </w:docPartObj>
    </w:sdtPr>
    <w:sdtEndPr>
      <w:rPr>
        <w:noProof/>
      </w:rPr>
    </w:sdtEndPr>
    <w:sdtContent>
      <w:p w:rsidR="00A2039F" w14:paraId="686CDE9F" w14:textId="77777777">
        <w:pPr>
          <w:pStyle w:val="Footer"/>
          <w:jc w:val="right"/>
        </w:pPr>
        <w:r>
          <w:fldChar w:fldCharType="begin"/>
        </w:r>
        <w:r>
          <w:instrText xml:space="preserve"> PAGE   \* MERGEFORMAT </w:instrText>
        </w:r>
        <w:r>
          <w:fldChar w:fldCharType="separate"/>
        </w:r>
        <w:r w:rsidR="00DC0398">
          <w:rPr>
            <w:noProof/>
          </w:rPr>
          <w:t>12</w:t>
        </w:r>
        <w:r>
          <w:rPr>
            <w:noProof/>
          </w:rPr>
          <w:fldChar w:fldCharType="end"/>
        </w:r>
      </w:p>
    </w:sdtContent>
  </w:sdt>
  <w:p w:rsidR="00A2039F" w14:paraId="33A5692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D7D7D"/>
    <w:multiLevelType w:val="multilevel"/>
    <w:tmpl w:val="A844CF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8B2CDD"/>
    <w:multiLevelType w:val="hybridMultilevel"/>
    <w:tmpl w:val="9B466D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475B84"/>
    <w:multiLevelType w:val="hybridMultilevel"/>
    <w:tmpl w:val="38DCCE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00C2DC2"/>
    <w:multiLevelType w:val="hybridMultilevel"/>
    <w:tmpl w:val="4B8216AA"/>
    <w:styleLink w:val="StyleforLevelHeadings"/>
    <w:lvl w:ilvl="0">
      <w:start w:val="1"/>
      <w:numFmt w:val="decimal"/>
      <w:lvlText w:val="%1"/>
      <w:lvlJc w:val="left"/>
      <w:pPr>
        <w:ind w:left="0" w:firstLine="0"/>
      </w:pPr>
      <w:rPr>
        <w:rFonts w:hint="default"/>
      </w:rPr>
    </w:lvl>
    <w:lvl w:ilvl="1">
      <w:start w:val="1"/>
      <w:numFmt w:val="none"/>
      <w:lvlText w:val="%2"/>
      <w:lvlJc w:val="left"/>
      <w:pPr>
        <w:ind w:left="360" w:firstLine="0"/>
      </w:pPr>
      <w:rPr>
        <w:rFonts w:hint="default"/>
      </w:rPr>
    </w:lvl>
    <w:lvl w:ilvl="2">
      <w:start w:val="1"/>
      <w:numFmt w:val="none"/>
      <w:lvlText w:val="%3."/>
      <w:lvlJc w:val="right"/>
      <w:pPr>
        <w:ind w:left="720" w:firstLine="0"/>
      </w:pPr>
      <w:rPr>
        <w:rFonts w:hint="default"/>
      </w:rPr>
    </w:lvl>
    <w:lvl w:ilvl="3">
      <w:start w:val="1"/>
      <w:numFmt w:val="none"/>
      <w:lvlText w:val="%4"/>
      <w:lvlJc w:val="left"/>
      <w:pPr>
        <w:ind w:left="144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
    <w:nsid w:val="20A63991"/>
    <w:multiLevelType w:val="hybridMultilevel"/>
    <w:tmpl w:val="5D84125E"/>
    <w:lvl w:ilvl="0">
      <w:start w:val="6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611AF6"/>
    <w:multiLevelType w:val="hybridMultilevel"/>
    <w:tmpl w:val="940E3FB6"/>
    <w:lvl w:ilvl="0">
      <w:start w:val="1"/>
      <w:numFmt w:val="decimal"/>
      <w:lvlText w:val="%1."/>
      <w:lvlJc w:val="left"/>
      <w:pPr>
        <w:ind w:left="720" w:hanging="360"/>
      </w:pPr>
      <w:rPr>
        <w:rFonts w:hint="default"/>
        <w:b w:val="0"/>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150C75"/>
    <w:multiLevelType w:val="hybridMultilevel"/>
    <w:tmpl w:val="55A8920C"/>
    <w:lvl w:ilvl="0">
      <w:start w:val="1"/>
      <w:numFmt w:val="decimal"/>
      <w:lvlText w:val="%1."/>
      <w:lvlJc w:val="left"/>
      <w:pPr>
        <w:ind w:left="720" w:hanging="360"/>
      </w:pPr>
      <w:rPr>
        <w:rFonts w:hint="default"/>
        <w:b w:val="0"/>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547002C"/>
    <w:multiLevelType w:val="hybridMultilevel"/>
    <w:tmpl w:val="0226B2D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70373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7FC50FA"/>
    <w:multiLevelType w:val="hybridMultilevel"/>
    <w:tmpl w:val="7668E9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83085C"/>
    <w:multiLevelType w:val="multilevel"/>
    <w:tmpl w:val="4B8216AA"/>
    <w:numStyleLink w:val="StyleforLevelHeadings"/>
  </w:abstractNum>
  <w:abstractNum w:abstractNumId="11">
    <w:nsid w:val="61802EF3"/>
    <w:multiLevelType w:val="multilevel"/>
    <w:tmpl w:val="4B8216AA"/>
    <w:numStyleLink w:val="StyleforLevelHeadings"/>
  </w:abstractNum>
  <w:abstractNum w:abstractNumId="12">
    <w:nsid w:val="650B20F9"/>
    <w:multiLevelType w:val="hybridMultilevel"/>
    <w:tmpl w:val="A32C52B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695C44F9"/>
    <w:multiLevelType w:val="hybridMultilevel"/>
    <w:tmpl w:val="A844CF6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B6C6E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3EC7BB3"/>
    <w:multiLevelType w:val="hybridMultilevel"/>
    <w:tmpl w:val="C62E57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4168982">
    <w:abstractNumId w:val="9"/>
  </w:num>
  <w:num w:numId="2" w16cid:durableId="1824202086">
    <w:abstractNumId w:val="1"/>
  </w:num>
  <w:num w:numId="3" w16cid:durableId="228344762">
    <w:abstractNumId w:val="6"/>
  </w:num>
  <w:num w:numId="4" w16cid:durableId="454641581">
    <w:abstractNumId w:val="12"/>
  </w:num>
  <w:num w:numId="5" w16cid:durableId="327906979">
    <w:abstractNumId w:val="12"/>
    <w:lvlOverride w:ilvl="0">
      <w:startOverride w:val="1"/>
    </w:lvlOverride>
  </w:num>
  <w:num w:numId="6" w16cid:durableId="1712995279">
    <w:abstractNumId w:val="13"/>
  </w:num>
  <w:num w:numId="7" w16cid:durableId="1047266585">
    <w:abstractNumId w:val="5"/>
  </w:num>
  <w:num w:numId="8" w16cid:durableId="1244293817">
    <w:abstractNumId w:val="3"/>
  </w:num>
  <w:num w:numId="9" w16cid:durableId="1220938563">
    <w:abstractNumId w:val="3"/>
  </w:num>
  <w:num w:numId="10" w16cid:durableId="382677079">
    <w:abstractNumId w:val="14"/>
  </w:num>
  <w:num w:numId="11" w16cid:durableId="1361280012">
    <w:abstractNumId w:val="0"/>
  </w:num>
  <w:num w:numId="12" w16cid:durableId="873037462">
    <w:abstractNumId w:val="8"/>
  </w:num>
  <w:num w:numId="13" w16cid:durableId="1995641052">
    <w:abstractNumId w:val="10"/>
  </w:num>
  <w:num w:numId="14" w16cid:durableId="1555462199">
    <w:abstractNumId w:val="11"/>
  </w:num>
  <w:num w:numId="15" w16cid:durableId="1542085072">
    <w:abstractNumId w:val="11"/>
  </w:num>
  <w:num w:numId="16" w16cid:durableId="832260051">
    <w:abstractNumId w:val="11"/>
  </w:num>
  <w:num w:numId="17" w16cid:durableId="567691905">
    <w:abstractNumId w:val="2"/>
  </w:num>
  <w:num w:numId="18" w16cid:durableId="1517815518">
    <w:abstractNumId w:val="4"/>
  </w:num>
  <w:num w:numId="19" w16cid:durableId="361321534">
    <w:abstractNumId w:val="15"/>
  </w:num>
  <w:num w:numId="20" w16cid:durableId="172629894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EF"/>
    <w:rsid w:val="0000001D"/>
    <w:rsid w:val="00001133"/>
    <w:rsid w:val="00002813"/>
    <w:rsid w:val="00002C57"/>
    <w:rsid w:val="00003BBC"/>
    <w:rsid w:val="00003BE3"/>
    <w:rsid w:val="00003E64"/>
    <w:rsid w:val="0000434B"/>
    <w:rsid w:val="00004523"/>
    <w:rsid w:val="00004F3A"/>
    <w:rsid w:val="0000623C"/>
    <w:rsid w:val="00007278"/>
    <w:rsid w:val="00010400"/>
    <w:rsid w:val="000124DD"/>
    <w:rsid w:val="000126D3"/>
    <w:rsid w:val="0001418A"/>
    <w:rsid w:val="0001456E"/>
    <w:rsid w:val="0001490B"/>
    <w:rsid w:val="00014F57"/>
    <w:rsid w:val="000163A4"/>
    <w:rsid w:val="00017F8D"/>
    <w:rsid w:val="00020465"/>
    <w:rsid w:val="00020D26"/>
    <w:rsid w:val="00021493"/>
    <w:rsid w:val="00021F96"/>
    <w:rsid w:val="00022CEE"/>
    <w:rsid w:val="00023065"/>
    <w:rsid w:val="000246C6"/>
    <w:rsid w:val="0002497D"/>
    <w:rsid w:val="000250F7"/>
    <w:rsid w:val="00026CFD"/>
    <w:rsid w:val="00026EEE"/>
    <w:rsid w:val="000270EC"/>
    <w:rsid w:val="000273B9"/>
    <w:rsid w:val="0003065E"/>
    <w:rsid w:val="00031017"/>
    <w:rsid w:val="0003131D"/>
    <w:rsid w:val="0003134F"/>
    <w:rsid w:val="00031616"/>
    <w:rsid w:val="0003251D"/>
    <w:rsid w:val="00032B74"/>
    <w:rsid w:val="00033E22"/>
    <w:rsid w:val="00035969"/>
    <w:rsid w:val="00036084"/>
    <w:rsid w:val="00036133"/>
    <w:rsid w:val="000363EB"/>
    <w:rsid w:val="00036B85"/>
    <w:rsid w:val="00036D78"/>
    <w:rsid w:val="00040D7C"/>
    <w:rsid w:val="0004143B"/>
    <w:rsid w:val="000447A4"/>
    <w:rsid w:val="0004495F"/>
    <w:rsid w:val="00044ECC"/>
    <w:rsid w:val="000460CC"/>
    <w:rsid w:val="000463A6"/>
    <w:rsid w:val="000465E1"/>
    <w:rsid w:val="00046E4E"/>
    <w:rsid w:val="00046F92"/>
    <w:rsid w:val="00047833"/>
    <w:rsid w:val="00047E70"/>
    <w:rsid w:val="000504DC"/>
    <w:rsid w:val="000504E4"/>
    <w:rsid w:val="00051118"/>
    <w:rsid w:val="000528E3"/>
    <w:rsid w:val="000531B4"/>
    <w:rsid w:val="00053C11"/>
    <w:rsid w:val="0005542A"/>
    <w:rsid w:val="00055AD0"/>
    <w:rsid w:val="000563E0"/>
    <w:rsid w:val="000569F4"/>
    <w:rsid w:val="000570A8"/>
    <w:rsid w:val="00057B77"/>
    <w:rsid w:val="00057FDD"/>
    <w:rsid w:val="0006093D"/>
    <w:rsid w:val="00061ACC"/>
    <w:rsid w:val="00061FD4"/>
    <w:rsid w:val="00061FF8"/>
    <w:rsid w:val="000621F2"/>
    <w:rsid w:val="00063253"/>
    <w:rsid w:val="0006333E"/>
    <w:rsid w:val="00063599"/>
    <w:rsid w:val="0006410A"/>
    <w:rsid w:val="000642D0"/>
    <w:rsid w:val="00064397"/>
    <w:rsid w:val="00064719"/>
    <w:rsid w:val="0006533E"/>
    <w:rsid w:val="00067062"/>
    <w:rsid w:val="0006780D"/>
    <w:rsid w:val="00070233"/>
    <w:rsid w:val="00070627"/>
    <w:rsid w:val="0007091C"/>
    <w:rsid w:val="00071AA3"/>
    <w:rsid w:val="0007426C"/>
    <w:rsid w:val="000759C5"/>
    <w:rsid w:val="00075D51"/>
    <w:rsid w:val="0007626D"/>
    <w:rsid w:val="0007638C"/>
    <w:rsid w:val="0007643E"/>
    <w:rsid w:val="000772CF"/>
    <w:rsid w:val="00077503"/>
    <w:rsid w:val="000775EA"/>
    <w:rsid w:val="00080B4C"/>
    <w:rsid w:val="00080EB4"/>
    <w:rsid w:val="000811DE"/>
    <w:rsid w:val="00081292"/>
    <w:rsid w:val="000814C8"/>
    <w:rsid w:val="00081800"/>
    <w:rsid w:val="00081E3C"/>
    <w:rsid w:val="0008216F"/>
    <w:rsid w:val="00082CE0"/>
    <w:rsid w:val="00084F60"/>
    <w:rsid w:val="000857A1"/>
    <w:rsid w:val="00085E61"/>
    <w:rsid w:val="000869B2"/>
    <w:rsid w:val="00087BA0"/>
    <w:rsid w:val="00087C7F"/>
    <w:rsid w:val="00090A32"/>
    <w:rsid w:val="00091623"/>
    <w:rsid w:val="00092C3D"/>
    <w:rsid w:val="00094BB7"/>
    <w:rsid w:val="0009603A"/>
    <w:rsid w:val="00096985"/>
    <w:rsid w:val="00096E42"/>
    <w:rsid w:val="00097D8D"/>
    <w:rsid w:val="000A0717"/>
    <w:rsid w:val="000A14E5"/>
    <w:rsid w:val="000A1BC2"/>
    <w:rsid w:val="000A2755"/>
    <w:rsid w:val="000A2BD9"/>
    <w:rsid w:val="000A360D"/>
    <w:rsid w:val="000A3FAB"/>
    <w:rsid w:val="000A4CC1"/>
    <w:rsid w:val="000A4ECB"/>
    <w:rsid w:val="000A7983"/>
    <w:rsid w:val="000B0DFC"/>
    <w:rsid w:val="000B0EE7"/>
    <w:rsid w:val="000B176E"/>
    <w:rsid w:val="000B24DF"/>
    <w:rsid w:val="000B2BB1"/>
    <w:rsid w:val="000B3039"/>
    <w:rsid w:val="000B3D9F"/>
    <w:rsid w:val="000B5976"/>
    <w:rsid w:val="000B5CAC"/>
    <w:rsid w:val="000B5D71"/>
    <w:rsid w:val="000B5FFD"/>
    <w:rsid w:val="000B772B"/>
    <w:rsid w:val="000B7EE3"/>
    <w:rsid w:val="000C0047"/>
    <w:rsid w:val="000C0B62"/>
    <w:rsid w:val="000C10E3"/>
    <w:rsid w:val="000C16A1"/>
    <w:rsid w:val="000C1AEA"/>
    <w:rsid w:val="000C2D65"/>
    <w:rsid w:val="000C2D7C"/>
    <w:rsid w:val="000C2E57"/>
    <w:rsid w:val="000C3E5D"/>
    <w:rsid w:val="000C478C"/>
    <w:rsid w:val="000C4B5F"/>
    <w:rsid w:val="000C4BBE"/>
    <w:rsid w:val="000C4FE5"/>
    <w:rsid w:val="000C632F"/>
    <w:rsid w:val="000C671D"/>
    <w:rsid w:val="000C7097"/>
    <w:rsid w:val="000C77F2"/>
    <w:rsid w:val="000D0D10"/>
    <w:rsid w:val="000D0FC8"/>
    <w:rsid w:val="000D17A1"/>
    <w:rsid w:val="000D20F2"/>
    <w:rsid w:val="000D2AF4"/>
    <w:rsid w:val="000D3C8B"/>
    <w:rsid w:val="000D4687"/>
    <w:rsid w:val="000D52DE"/>
    <w:rsid w:val="000D5836"/>
    <w:rsid w:val="000D6125"/>
    <w:rsid w:val="000D6266"/>
    <w:rsid w:val="000D63C2"/>
    <w:rsid w:val="000D6804"/>
    <w:rsid w:val="000D78AD"/>
    <w:rsid w:val="000E026B"/>
    <w:rsid w:val="000E051C"/>
    <w:rsid w:val="000E0EEF"/>
    <w:rsid w:val="000E1583"/>
    <w:rsid w:val="000E163A"/>
    <w:rsid w:val="000E2214"/>
    <w:rsid w:val="000E2BA4"/>
    <w:rsid w:val="000E3FF8"/>
    <w:rsid w:val="000E48AB"/>
    <w:rsid w:val="000E56B6"/>
    <w:rsid w:val="000E7C89"/>
    <w:rsid w:val="000F15C0"/>
    <w:rsid w:val="000F1620"/>
    <w:rsid w:val="000F172F"/>
    <w:rsid w:val="000F4AA1"/>
    <w:rsid w:val="000F4D45"/>
    <w:rsid w:val="000F509F"/>
    <w:rsid w:val="000F5300"/>
    <w:rsid w:val="000F5926"/>
    <w:rsid w:val="000F5AE3"/>
    <w:rsid w:val="000F5BA6"/>
    <w:rsid w:val="000F5D5E"/>
    <w:rsid w:val="000F5D8E"/>
    <w:rsid w:val="000F7642"/>
    <w:rsid w:val="000F76F9"/>
    <w:rsid w:val="000F7900"/>
    <w:rsid w:val="000F7EAA"/>
    <w:rsid w:val="001018C1"/>
    <w:rsid w:val="00101E91"/>
    <w:rsid w:val="001021F2"/>
    <w:rsid w:val="001026E3"/>
    <w:rsid w:val="00102F28"/>
    <w:rsid w:val="00103E72"/>
    <w:rsid w:val="00104C3E"/>
    <w:rsid w:val="00106086"/>
    <w:rsid w:val="00106963"/>
    <w:rsid w:val="00106F52"/>
    <w:rsid w:val="001071BE"/>
    <w:rsid w:val="001078E7"/>
    <w:rsid w:val="00107E4E"/>
    <w:rsid w:val="001103ED"/>
    <w:rsid w:val="001105E0"/>
    <w:rsid w:val="0011108C"/>
    <w:rsid w:val="00112F2A"/>
    <w:rsid w:val="001138E9"/>
    <w:rsid w:val="00113CB4"/>
    <w:rsid w:val="001144E1"/>
    <w:rsid w:val="001145C3"/>
    <w:rsid w:val="001150B4"/>
    <w:rsid w:val="00115EB2"/>
    <w:rsid w:val="00116048"/>
    <w:rsid w:val="0011657A"/>
    <w:rsid w:val="00117131"/>
    <w:rsid w:val="001213B0"/>
    <w:rsid w:val="001218DA"/>
    <w:rsid w:val="00122556"/>
    <w:rsid w:val="001225A9"/>
    <w:rsid w:val="001230DF"/>
    <w:rsid w:val="00125289"/>
    <w:rsid w:val="001252E8"/>
    <w:rsid w:val="0012532F"/>
    <w:rsid w:val="00126DDB"/>
    <w:rsid w:val="00126F09"/>
    <w:rsid w:val="001277C0"/>
    <w:rsid w:val="001320B7"/>
    <w:rsid w:val="00132733"/>
    <w:rsid w:val="00133611"/>
    <w:rsid w:val="00133C8E"/>
    <w:rsid w:val="00133D8E"/>
    <w:rsid w:val="00134112"/>
    <w:rsid w:val="001344BE"/>
    <w:rsid w:val="00134E7A"/>
    <w:rsid w:val="00136340"/>
    <w:rsid w:val="0013735F"/>
    <w:rsid w:val="00141F2A"/>
    <w:rsid w:val="00142192"/>
    <w:rsid w:val="0014362A"/>
    <w:rsid w:val="001462C5"/>
    <w:rsid w:val="00146BA9"/>
    <w:rsid w:val="00147280"/>
    <w:rsid w:val="00147AB1"/>
    <w:rsid w:val="0015095B"/>
    <w:rsid w:val="00150D16"/>
    <w:rsid w:val="00152C9B"/>
    <w:rsid w:val="00153E0D"/>
    <w:rsid w:val="001557F2"/>
    <w:rsid w:val="00155A26"/>
    <w:rsid w:val="00155FB0"/>
    <w:rsid w:val="00156399"/>
    <w:rsid w:val="001602D1"/>
    <w:rsid w:val="0016244B"/>
    <w:rsid w:val="00163131"/>
    <w:rsid w:val="00163345"/>
    <w:rsid w:val="00165F39"/>
    <w:rsid w:val="00166DB6"/>
    <w:rsid w:val="00167584"/>
    <w:rsid w:val="001677FA"/>
    <w:rsid w:val="00167CE0"/>
    <w:rsid w:val="00167E90"/>
    <w:rsid w:val="001705AC"/>
    <w:rsid w:val="00170702"/>
    <w:rsid w:val="00171143"/>
    <w:rsid w:val="00171293"/>
    <w:rsid w:val="001712F9"/>
    <w:rsid w:val="00171ABC"/>
    <w:rsid w:val="001728D0"/>
    <w:rsid w:val="00172ACA"/>
    <w:rsid w:val="00172D3B"/>
    <w:rsid w:val="00172DA9"/>
    <w:rsid w:val="001736B1"/>
    <w:rsid w:val="00173869"/>
    <w:rsid w:val="00173ECA"/>
    <w:rsid w:val="0017481D"/>
    <w:rsid w:val="00174C72"/>
    <w:rsid w:val="00174EF9"/>
    <w:rsid w:val="00176C95"/>
    <w:rsid w:val="001806C8"/>
    <w:rsid w:val="00182EAB"/>
    <w:rsid w:val="00182EFD"/>
    <w:rsid w:val="0018334A"/>
    <w:rsid w:val="0018457C"/>
    <w:rsid w:val="00184B11"/>
    <w:rsid w:val="00185440"/>
    <w:rsid w:val="0018550F"/>
    <w:rsid w:val="001869E7"/>
    <w:rsid w:val="0018796E"/>
    <w:rsid w:val="00187983"/>
    <w:rsid w:val="0019115A"/>
    <w:rsid w:val="001915A4"/>
    <w:rsid w:val="00191EFB"/>
    <w:rsid w:val="00193D4C"/>
    <w:rsid w:val="001941B9"/>
    <w:rsid w:val="00195A69"/>
    <w:rsid w:val="00196248"/>
    <w:rsid w:val="00196262"/>
    <w:rsid w:val="0019638B"/>
    <w:rsid w:val="00197473"/>
    <w:rsid w:val="001A0688"/>
    <w:rsid w:val="001A2492"/>
    <w:rsid w:val="001A3195"/>
    <w:rsid w:val="001A378A"/>
    <w:rsid w:val="001A3C1B"/>
    <w:rsid w:val="001A402B"/>
    <w:rsid w:val="001A4CDD"/>
    <w:rsid w:val="001A5ACD"/>
    <w:rsid w:val="001A6934"/>
    <w:rsid w:val="001A7083"/>
    <w:rsid w:val="001B032D"/>
    <w:rsid w:val="001B0560"/>
    <w:rsid w:val="001B09BE"/>
    <w:rsid w:val="001B3B8A"/>
    <w:rsid w:val="001B3DE4"/>
    <w:rsid w:val="001B3E9E"/>
    <w:rsid w:val="001B3EA7"/>
    <w:rsid w:val="001B63F1"/>
    <w:rsid w:val="001B7FFA"/>
    <w:rsid w:val="001C03F3"/>
    <w:rsid w:val="001C3EA0"/>
    <w:rsid w:val="001C47C8"/>
    <w:rsid w:val="001C4DAF"/>
    <w:rsid w:val="001C5B3B"/>
    <w:rsid w:val="001C6950"/>
    <w:rsid w:val="001D0B32"/>
    <w:rsid w:val="001D0CB3"/>
    <w:rsid w:val="001D0EE9"/>
    <w:rsid w:val="001D15B0"/>
    <w:rsid w:val="001D1AFF"/>
    <w:rsid w:val="001D3797"/>
    <w:rsid w:val="001D4467"/>
    <w:rsid w:val="001D4CA8"/>
    <w:rsid w:val="001D50BA"/>
    <w:rsid w:val="001D51A8"/>
    <w:rsid w:val="001D56A8"/>
    <w:rsid w:val="001D572C"/>
    <w:rsid w:val="001D62BF"/>
    <w:rsid w:val="001D664C"/>
    <w:rsid w:val="001D71B8"/>
    <w:rsid w:val="001E1490"/>
    <w:rsid w:val="001E17EE"/>
    <w:rsid w:val="001E1895"/>
    <w:rsid w:val="001E2B04"/>
    <w:rsid w:val="001E2C6E"/>
    <w:rsid w:val="001E2F26"/>
    <w:rsid w:val="001E2F4F"/>
    <w:rsid w:val="001E3A85"/>
    <w:rsid w:val="001E3B3B"/>
    <w:rsid w:val="001E3F6B"/>
    <w:rsid w:val="001E45C7"/>
    <w:rsid w:val="001E49D7"/>
    <w:rsid w:val="001E50FB"/>
    <w:rsid w:val="001E57AE"/>
    <w:rsid w:val="001E57B0"/>
    <w:rsid w:val="001E599A"/>
    <w:rsid w:val="001E5C40"/>
    <w:rsid w:val="001E7357"/>
    <w:rsid w:val="001E7F22"/>
    <w:rsid w:val="001F01EA"/>
    <w:rsid w:val="001F0BDD"/>
    <w:rsid w:val="001F0CF2"/>
    <w:rsid w:val="001F3BB0"/>
    <w:rsid w:val="001F4C40"/>
    <w:rsid w:val="001F4FCD"/>
    <w:rsid w:val="001F534F"/>
    <w:rsid w:val="001F637B"/>
    <w:rsid w:val="001F72D4"/>
    <w:rsid w:val="001F75ED"/>
    <w:rsid w:val="001F770B"/>
    <w:rsid w:val="001F7A6F"/>
    <w:rsid w:val="00201801"/>
    <w:rsid w:val="002027CD"/>
    <w:rsid w:val="00207FEA"/>
    <w:rsid w:val="002103BD"/>
    <w:rsid w:val="0021095C"/>
    <w:rsid w:val="0021110C"/>
    <w:rsid w:val="002119FD"/>
    <w:rsid w:val="00212508"/>
    <w:rsid w:val="0021260A"/>
    <w:rsid w:val="00212F4E"/>
    <w:rsid w:val="002134F5"/>
    <w:rsid w:val="002147A1"/>
    <w:rsid w:val="0021579C"/>
    <w:rsid w:val="00215F59"/>
    <w:rsid w:val="00216F07"/>
    <w:rsid w:val="0022098F"/>
    <w:rsid w:val="00220BA7"/>
    <w:rsid w:val="0022209C"/>
    <w:rsid w:val="00223FA0"/>
    <w:rsid w:val="0022619E"/>
    <w:rsid w:val="0023055B"/>
    <w:rsid w:val="00230B38"/>
    <w:rsid w:val="00231411"/>
    <w:rsid w:val="0023275A"/>
    <w:rsid w:val="00232851"/>
    <w:rsid w:val="002331F5"/>
    <w:rsid w:val="0023345A"/>
    <w:rsid w:val="0023389A"/>
    <w:rsid w:val="0023477E"/>
    <w:rsid w:val="00234A16"/>
    <w:rsid w:val="002354A3"/>
    <w:rsid w:val="00235766"/>
    <w:rsid w:val="002359B6"/>
    <w:rsid w:val="00235BF3"/>
    <w:rsid w:val="00236A49"/>
    <w:rsid w:val="002407F8"/>
    <w:rsid w:val="002417E0"/>
    <w:rsid w:val="00241F11"/>
    <w:rsid w:val="0024218E"/>
    <w:rsid w:val="00242725"/>
    <w:rsid w:val="00242ED6"/>
    <w:rsid w:val="0024379B"/>
    <w:rsid w:val="00244883"/>
    <w:rsid w:val="00246048"/>
    <w:rsid w:val="00246229"/>
    <w:rsid w:val="002467EA"/>
    <w:rsid w:val="0024686F"/>
    <w:rsid w:val="00246D74"/>
    <w:rsid w:val="0024708A"/>
    <w:rsid w:val="00247EFB"/>
    <w:rsid w:val="00251131"/>
    <w:rsid w:val="00251AC4"/>
    <w:rsid w:val="00252796"/>
    <w:rsid w:val="00252949"/>
    <w:rsid w:val="002529A4"/>
    <w:rsid w:val="002533FB"/>
    <w:rsid w:val="00253873"/>
    <w:rsid w:val="002574BB"/>
    <w:rsid w:val="00257690"/>
    <w:rsid w:val="00257ABC"/>
    <w:rsid w:val="002603B9"/>
    <w:rsid w:val="002627A7"/>
    <w:rsid w:val="00264EF1"/>
    <w:rsid w:val="0026525A"/>
    <w:rsid w:val="0026531D"/>
    <w:rsid w:val="00265348"/>
    <w:rsid w:val="0026667A"/>
    <w:rsid w:val="00266F0D"/>
    <w:rsid w:val="00266FA1"/>
    <w:rsid w:val="00267BEE"/>
    <w:rsid w:val="002705BB"/>
    <w:rsid w:val="00271DFA"/>
    <w:rsid w:val="002721E6"/>
    <w:rsid w:val="00272461"/>
    <w:rsid w:val="002724E2"/>
    <w:rsid w:val="002732FB"/>
    <w:rsid w:val="002737A3"/>
    <w:rsid w:val="00273ED4"/>
    <w:rsid w:val="00274203"/>
    <w:rsid w:val="002748AA"/>
    <w:rsid w:val="00274C34"/>
    <w:rsid w:val="00274ED3"/>
    <w:rsid w:val="00276DBB"/>
    <w:rsid w:val="00277367"/>
    <w:rsid w:val="00277925"/>
    <w:rsid w:val="00280C0C"/>
    <w:rsid w:val="00280D29"/>
    <w:rsid w:val="002818D7"/>
    <w:rsid w:val="00283468"/>
    <w:rsid w:val="00283903"/>
    <w:rsid w:val="00284E95"/>
    <w:rsid w:val="0028612D"/>
    <w:rsid w:val="002867FC"/>
    <w:rsid w:val="00286C4C"/>
    <w:rsid w:val="00290CA9"/>
    <w:rsid w:val="002918C1"/>
    <w:rsid w:val="00292ACC"/>
    <w:rsid w:val="00292C1E"/>
    <w:rsid w:val="00293786"/>
    <w:rsid w:val="0029500A"/>
    <w:rsid w:val="00295A6F"/>
    <w:rsid w:val="00295CE6"/>
    <w:rsid w:val="00297CE1"/>
    <w:rsid w:val="002A0F0E"/>
    <w:rsid w:val="002A1737"/>
    <w:rsid w:val="002A183C"/>
    <w:rsid w:val="002A19F1"/>
    <w:rsid w:val="002A1CCE"/>
    <w:rsid w:val="002A357A"/>
    <w:rsid w:val="002A4470"/>
    <w:rsid w:val="002A4B7D"/>
    <w:rsid w:val="002A622F"/>
    <w:rsid w:val="002A73D5"/>
    <w:rsid w:val="002A7D88"/>
    <w:rsid w:val="002B0BBA"/>
    <w:rsid w:val="002B0E36"/>
    <w:rsid w:val="002B19F8"/>
    <w:rsid w:val="002B2844"/>
    <w:rsid w:val="002B2ED8"/>
    <w:rsid w:val="002B4ED4"/>
    <w:rsid w:val="002B77FF"/>
    <w:rsid w:val="002B7A75"/>
    <w:rsid w:val="002C107E"/>
    <w:rsid w:val="002C207C"/>
    <w:rsid w:val="002C25C7"/>
    <w:rsid w:val="002C3637"/>
    <w:rsid w:val="002C3E18"/>
    <w:rsid w:val="002C4A15"/>
    <w:rsid w:val="002C4BD6"/>
    <w:rsid w:val="002C5B8A"/>
    <w:rsid w:val="002C6DA4"/>
    <w:rsid w:val="002C7B27"/>
    <w:rsid w:val="002D0F2E"/>
    <w:rsid w:val="002D237A"/>
    <w:rsid w:val="002D2511"/>
    <w:rsid w:val="002D3906"/>
    <w:rsid w:val="002D3912"/>
    <w:rsid w:val="002D3CE3"/>
    <w:rsid w:val="002D408E"/>
    <w:rsid w:val="002D4F33"/>
    <w:rsid w:val="002D6364"/>
    <w:rsid w:val="002D7B84"/>
    <w:rsid w:val="002E00EC"/>
    <w:rsid w:val="002E01E1"/>
    <w:rsid w:val="002E0639"/>
    <w:rsid w:val="002E09E9"/>
    <w:rsid w:val="002E0CC4"/>
    <w:rsid w:val="002E0F0D"/>
    <w:rsid w:val="002E144B"/>
    <w:rsid w:val="002E151C"/>
    <w:rsid w:val="002E1D6E"/>
    <w:rsid w:val="002E352D"/>
    <w:rsid w:val="002E4733"/>
    <w:rsid w:val="002E4FAF"/>
    <w:rsid w:val="002E63B4"/>
    <w:rsid w:val="002E645C"/>
    <w:rsid w:val="002E65D9"/>
    <w:rsid w:val="002E6EA5"/>
    <w:rsid w:val="002E767A"/>
    <w:rsid w:val="002F06BB"/>
    <w:rsid w:val="002F0D7B"/>
    <w:rsid w:val="002F11FE"/>
    <w:rsid w:val="002F193D"/>
    <w:rsid w:val="002F1BA0"/>
    <w:rsid w:val="002F1D2A"/>
    <w:rsid w:val="002F1FE3"/>
    <w:rsid w:val="002F2E2F"/>
    <w:rsid w:val="002F3B23"/>
    <w:rsid w:val="002F427D"/>
    <w:rsid w:val="002F4853"/>
    <w:rsid w:val="002F4CEF"/>
    <w:rsid w:val="002F6B09"/>
    <w:rsid w:val="002F6F9C"/>
    <w:rsid w:val="002F6F9D"/>
    <w:rsid w:val="002F70D5"/>
    <w:rsid w:val="00300ACB"/>
    <w:rsid w:val="00300B14"/>
    <w:rsid w:val="00301176"/>
    <w:rsid w:val="00301827"/>
    <w:rsid w:val="0030258F"/>
    <w:rsid w:val="00303EB6"/>
    <w:rsid w:val="003040F7"/>
    <w:rsid w:val="003064C2"/>
    <w:rsid w:val="00310CB7"/>
    <w:rsid w:val="003113CD"/>
    <w:rsid w:val="00311D67"/>
    <w:rsid w:val="00312658"/>
    <w:rsid w:val="00313120"/>
    <w:rsid w:val="00313232"/>
    <w:rsid w:val="00313D54"/>
    <w:rsid w:val="00314BF4"/>
    <w:rsid w:val="003159C5"/>
    <w:rsid w:val="0031632B"/>
    <w:rsid w:val="0031696C"/>
    <w:rsid w:val="00316D15"/>
    <w:rsid w:val="0031707D"/>
    <w:rsid w:val="00317430"/>
    <w:rsid w:val="00317ACF"/>
    <w:rsid w:val="00317E87"/>
    <w:rsid w:val="0032042A"/>
    <w:rsid w:val="0032222F"/>
    <w:rsid w:val="0032403B"/>
    <w:rsid w:val="00324E5B"/>
    <w:rsid w:val="003250F3"/>
    <w:rsid w:val="003256A0"/>
    <w:rsid w:val="0032574F"/>
    <w:rsid w:val="0032583B"/>
    <w:rsid w:val="00325FA3"/>
    <w:rsid w:val="0032607B"/>
    <w:rsid w:val="00326F3C"/>
    <w:rsid w:val="00327359"/>
    <w:rsid w:val="00327B47"/>
    <w:rsid w:val="00327F14"/>
    <w:rsid w:val="00331ACC"/>
    <w:rsid w:val="00331FB1"/>
    <w:rsid w:val="0033247E"/>
    <w:rsid w:val="003328E2"/>
    <w:rsid w:val="00333B84"/>
    <w:rsid w:val="00333C84"/>
    <w:rsid w:val="003348BE"/>
    <w:rsid w:val="00334C7B"/>
    <w:rsid w:val="00334F9C"/>
    <w:rsid w:val="003350AD"/>
    <w:rsid w:val="0033518F"/>
    <w:rsid w:val="00335A7E"/>
    <w:rsid w:val="003368BC"/>
    <w:rsid w:val="0034080E"/>
    <w:rsid w:val="00340A6F"/>
    <w:rsid w:val="003428D4"/>
    <w:rsid w:val="003429D4"/>
    <w:rsid w:val="00342ACB"/>
    <w:rsid w:val="00343EDA"/>
    <w:rsid w:val="00344B33"/>
    <w:rsid w:val="00345224"/>
    <w:rsid w:val="003455EA"/>
    <w:rsid w:val="003461A2"/>
    <w:rsid w:val="00347387"/>
    <w:rsid w:val="0035064D"/>
    <w:rsid w:val="0035092C"/>
    <w:rsid w:val="00351609"/>
    <w:rsid w:val="00352017"/>
    <w:rsid w:val="00354017"/>
    <w:rsid w:val="00354645"/>
    <w:rsid w:val="00355D9D"/>
    <w:rsid w:val="0035633D"/>
    <w:rsid w:val="00360295"/>
    <w:rsid w:val="00362B25"/>
    <w:rsid w:val="00363337"/>
    <w:rsid w:val="00364784"/>
    <w:rsid w:val="00364F7E"/>
    <w:rsid w:val="00364F8F"/>
    <w:rsid w:val="003654CC"/>
    <w:rsid w:val="00366681"/>
    <w:rsid w:val="0036696D"/>
    <w:rsid w:val="00366B60"/>
    <w:rsid w:val="00366C00"/>
    <w:rsid w:val="0036733E"/>
    <w:rsid w:val="0036785E"/>
    <w:rsid w:val="003702F3"/>
    <w:rsid w:val="0037149B"/>
    <w:rsid w:val="00372197"/>
    <w:rsid w:val="003728D2"/>
    <w:rsid w:val="00374E51"/>
    <w:rsid w:val="0037567B"/>
    <w:rsid w:val="003763ED"/>
    <w:rsid w:val="003777D1"/>
    <w:rsid w:val="00377AD6"/>
    <w:rsid w:val="00381435"/>
    <w:rsid w:val="00382950"/>
    <w:rsid w:val="003836D0"/>
    <w:rsid w:val="0038379B"/>
    <w:rsid w:val="0038397D"/>
    <w:rsid w:val="00384221"/>
    <w:rsid w:val="00384478"/>
    <w:rsid w:val="003851BC"/>
    <w:rsid w:val="003851E9"/>
    <w:rsid w:val="0038539C"/>
    <w:rsid w:val="00385527"/>
    <w:rsid w:val="00387479"/>
    <w:rsid w:val="003874FF"/>
    <w:rsid w:val="003913BA"/>
    <w:rsid w:val="00391BA7"/>
    <w:rsid w:val="0039233A"/>
    <w:rsid w:val="0039274D"/>
    <w:rsid w:val="00392B45"/>
    <w:rsid w:val="003930CC"/>
    <w:rsid w:val="00393484"/>
    <w:rsid w:val="00394432"/>
    <w:rsid w:val="00394782"/>
    <w:rsid w:val="00394E43"/>
    <w:rsid w:val="00396287"/>
    <w:rsid w:val="00396BB7"/>
    <w:rsid w:val="00397587"/>
    <w:rsid w:val="0039781E"/>
    <w:rsid w:val="00397D7D"/>
    <w:rsid w:val="003A0991"/>
    <w:rsid w:val="003A1AF0"/>
    <w:rsid w:val="003A37D4"/>
    <w:rsid w:val="003A3EDC"/>
    <w:rsid w:val="003A4DE9"/>
    <w:rsid w:val="003A6C1E"/>
    <w:rsid w:val="003A739B"/>
    <w:rsid w:val="003A791F"/>
    <w:rsid w:val="003A7A8A"/>
    <w:rsid w:val="003B0115"/>
    <w:rsid w:val="003B151B"/>
    <w:rsid w:val="003B1C15"/>
    <w:rsid w:val="003B1E21"/>
    <w:rsid w:val="003B3E87"/>
    <w:rsid w:val="003B4646"/>
    <w:rsid w:val="003B51F8"/>
    <w:rsid w:val="003B5826"/>
    <w:rsid w:val="003B5E0B"/>
    <w:rsid w:val="003B64F3"/>
    <w:rsid w:val="003B66FF"/>
    <w:rsid w:val="003C00E5"/>
    <w:rsid w:val="003C09D6"/>
    <w:rsid w:val="003C10CD"/>
    <w:rsid w:val="003C20E0"/>
    <w:rsid w:val="003C2803"/>
    <w:rsid w:val="003C2BB4"/>
    <w:rsid w:val="003C376E"/>
    <w:rsid w:val="003C4BD2"/>
    <w:rsid w:val="003C4F07"/>
    <w:rsid w:val="003C50B4"/>
    <w:rsid w:val="003C5AA5"/>
    <w:rsid w:val="003C7581"/>
    <w:rsid w:val="003C7F78"/>
    <w:rsid w:val="003D0863"/>
    <w:rsid w:val="003D0B61"/>
    <w:rsid w:val="003D1346"/>
    <w:rsid w:val="003D13B1"/>
    <w:rsid w:val="003D1F66"/>
    <w:rsid w:val="003D2010"/>
    <w:rsid w:val="003D37D6"/>
    <w:rsid w:val="003D4D10"/>
    <w:rsid w:val="003D4DA0"/>
    <w:rsid w:val="003D6AF9"/>
    <w:rsid w:val="003D6B56"/>
    <w:rsid w:val="003D76A2"/>
    <w:rsid w:val="003D7CB6"/>
    <w:rsid w:val="003E12C7"/>
    <w:rsid w:val="003E1B67"/>
    <w:rsid w:val="003E1D81"/>
    <w:rsid w:val="003E3D61"/>
    <w:rsid w:val="003E564B"/>
    <w:rsid w:val="003E5B2C"/>
    <w:rsid w:val="003E652A"/>
    <w:rsid w:val="003E6B3B"/>
    <w:rsid w:val="003E6E2C"/>
    <w:rsid w:val="003E77A0"/>
    <w:rsid w:val="003E78F7"/>
    <w:rsid w:val="003E7A55"/>
    <w:rsid w:val="003E7C9D"/>
    <w:rsid w:val="003F0061"/>
    <w:rsid w:val="003F07C9"/>
    <w:rsid w:val="003F1B39"/>
    <w:rsid w:val="003F1D00"/>
    <w:rsid w:val="003F1E38"/>
    <w:rsid w:val="003F22E8"/>
    <w:rsid w:val="003F4329"/>
    <w:rsid w:val="003F69B9"/>
    <w:rsid w:val="003F7394"/>
    <w:rsid w:val="0040019A"/>
    <w:rsid w:val="004005FF"/>
    <w:rsid w:val="00400C72"/>
    <w:rsid w:val="004013EA"/>
    <w:rsid w:val="0040195A"/>
    <w:rsid w:val="00401A6C"/>
    <w:rsid w:val="00402271"/>
    <w:rsid w:val="00403105"/>
    <w:rsid w:val="0040457F"/>
    <w:rsid w:val="00406015"/>
    <w:rsid w:val="00406BAB"/>
    <w:rsid w:val="00406D5F"/>
    <w:rsid w:val="00406FC4"/>
    <w:rsid w:val="00407A03"/>
    <w:rsid w:val="004119E5"/>
    <w:rsid w:val="0041215A"/>
    <w:rsid w:val="0041222B"/>
    <w:rsid w:val="00413879"/>
    <w:rsid w:val="00414B7B"/>
    <w:rsid w:val="004157A7"/>
    <w:rsid w:val="004158CA"/>
    <w:rsid w:val="00415990"/>
    <w:rsid w:val="00415C20"/>
    <w:rsid w:val="00416AEF"/>
    <w:rsid w:val="00417CD2"/>
    <w:rsid w:val="0042067E"/>
    <w:rsid w:val="00420763"/>
    <w:rsid w:val="00420BBD"/>
    <w:rsid w:val="004214DB"/>
    <w:rsid w:val="00421F75"/>
    <w:rsid w:val="00423488"/>
    <w:rsid w:val="00423D16"/>
    <w:rsid w:val="00424961"/>
    <w:rsid w:val="00424E2D"/>
    <w:rsid w:val="0042523E"/>
    <w:rsid w:val="00425969"/>
    <w:rsid w:val="00425AAD"/>
    <w:rsid w:val="00425C76"/>
    <w:rsid w:val="004272EE"/>
    <w:rsid w:val="00427988"/>
    <w:rsid w:val="0043080D"/>
    <w:rsid w:val="00430ADF"/>
    <w:rsid w:val="00431156"/>
    <w:rsid w:val="00431C64"/>
    <w:rsid w:val="00431D9C"/>
    <w:rsid w:val="004320F9"/>
    <w:rsid w:val="00432519"/>
    <w:rsid w:val="00433242"/>
    <w:rsid w:val="00433401"/>
    <w:rsid w:val="00433709"/>
    <w:rsid w:val="0043583E"/>
    <w:rsid w:val="004359B7"/>
    <w:rsid w:val="00435C32"/>
    <w:rsid w:val="0043676B"/>
    <w:rsid w:val="004367EF"/>
    <w:rsid w:val="00437919"/>
    <w:rsid w:val="0044060F"/>
    <w:rsid w:val="004406CB"/>
    <w:rsid w:val="00440BCE"/>
    <w:rsid w:val="00441A14"/>
    <w:rsid w:val="00442CD1"/>
    <w:rsid w:val="00442D6A"/>
    <w:rsid w:val="00443F22"/>
    <w:rsid w:val="00444383"/>
    <w:rsid w:val="00444E27"/>
    <w:rsid w:val="00446138"/>
    <w:rsid w:val="00446152"/>
    <w:rsid w:val="0044627A"/>
    <w:rsid w:val="00447F85"/>
    <w:rsid w:val="0045089B"/>
    <w:rsid w:val="00450952"/>
    <w:rsid w:val="00451B01"/>
    <w:rsid w:val="004523A4"/>
    <w:rsid w:val="004524B0"/>
    <w:rsid w:val="00452CB6"/>
    <w:rsid w:val="004547F3"/>
    <w:rsid w:val="00455B18"/>
    <w:rsid w:val="00456020"/>
    <w:rsid w:val="00456883"/>
    <w:rsid w:val="0046086D"/>
    <w:rsid w:val="00460985"/>
    <w:rsid w:val="00461AB3"/>
    <w:rsid w:val="00461C4C"/>
    <w:rsid w:val="00462D21"/>
    <w:rsid w:val="0046304E"/>
    <w:rsid w:val="004635AF"/>
    <w:rsid w:val="004635CA"/>
    <w:rsid w:val="00463EE8"/>
    <w:rsid w:val="00464B33"/>
    <w:rsid w:val="00464BD0"/>
    <w:rsid w:val="00464E67"/>
    <w:rsid w:val="00465FE2"/>
    <w:rsid w:val="004664A2"/>
    <w:rsid w:val="004675E5"/>
    <w:rsid w:val="00467A00"/>
    <w:rsid w:val="0047099D"/>
    <w:rsid w:val="00471740"/>
    <w:rsid w:val="00474662"/>
    <w:rsid w:val="00476341"/>
    <w:rsid w:val="004763F1"/>
    <w:rsid w:val="00476715"/>
    <w:rsid w:val="00477299"/>
    <w:rsid w:val="0047777B"/>
    <w:rsid w:val="00477D6F"/>
    <w:rsid w:val="00477DFD"/>
    <w:rsid w:val="00480607"/>
    <w:rsid w:val="00480B34"/>
    <w:rsid w:val="00480F09"/>
    <w:rsid w:val="004833DA"/>
    <w:rsid w:val="00485676"/>
    <w:rsid w:val="00485B6E"/>
    <w:rsid w:val="004862AA"/>
    <w:rsid w:val="00486776"/>
    <w:rsid w:val="00490272"/>
    <w:rsid w:val="00491487"/>
    <w:rsid w:val="00492895"/>
    <w:rsid w:val="0049326B"/>
    <w:rsid w:val="004938DD"/>
    <w:rsid w:val="004947BC"/>
    <w:rsid w:val="00497B04"/>
    <w:rsid w:val="00497EB4"/>
    <w:rsid w:val="004A0E90"/>
    <w:rsid w:val="004A3116"/>
    <w:rsid w:val="004A39E3"/>
    <w:rsid w:val="004A3EFB"/>
    <w:rsid w:val="004A4EC9"/>
    <w:rsid w:val="004A5D0B"/>
    <w:rsid w:val="004A6672"/>
    <w:rsid w:val="004A7286"/>
    <w:rsid w:val="004B06FF"/>
    <w:rsid w:val="004B1121"/>
    <w:rsid w:val="004B153A"/>
    <w:rsid w:val="004B1EC7"/>
    <w:rsid w:val="004B2A26"/>
    <w:rsid w:val="004B318A"/>
    <w:rsid w:val="004B31FC"/>
    <w:rsid w:val="004B3813"/>
    <w:rsid w:val="004B3ED7"/>
    <w:rsid w:val="004B431D"/>
    <w:rsid w:val="004B4CC7"/>
    <w:rsid w:val="004B52D4"/>
    <w:rsid w:val="004B6363"/>
    <w:rsid w:val="004B6CB4"/>
    <w:rsid w:val="004B7260"/>
    <w:rsid w:val="004C034D"/>
    <w:rsid w:val="004C0E1D"/>
    <w:rsid w:val="004C1131"/>
    <w:rsid w:val="004C195B"/>
    <w:rsid w:val="004C19E9"/>
    <w:rsid w:val="004C2137"/>
    <w:rsid w:val="004C35B9"/>
    <w:rsid w:val="004C4E97"/>
    <w:rsid w:val="004C5161"/>
    <w:rsid w:val="004C5684"/>
    <w:rsid w:val="004C5EEC"/>
    <w:rsid w:val="004C6149"/>
    <w:rsid w:val="004C62A0"/>
    <w:rsid w:val="004C6554"/>
    <w:rsid w:val="004C7DD7"/>
    <w:rsid w:val="004C7FD8"/>
    <w:rsid w:val="004D011D"/>
    <w:rsid w:val="004D0ADF"/>
    <w:rsid w:val="004D11A3"/>
    <w:rsid w:val="004D11EA"/>
    <w:rsid w:val="004D13FE"/>
    <w:rsid w:val="004D18EA"/>
    <w:rsid w:val="004D2A73"/>
    <w:rsid w:val="004D2DAF"/>
    <w:rsid w:val="004D31F9"/>
    <w:rsid w:val="004D3FB4"/>
    <w:rsid w:val="004D47F8"/>
    <w:rsid w:val="004D4924"/>
    <w:rsid w:val="004D4A2A"/>
    <w:rsid w:val="004D61F4"/>
    <w:rsid w:val="004D66B5"/>
    <w:rsid w:val="004D68AE"/>
    <w:rsid w:val="004D6A8D"/>
    <w:rsid w:val="004D7D8A"/>
    <w:rsid w:val="004E148E"/>
    <w:rsid w:val="004E1B23"/>
    <w:rsid w:val="004E1D6C"/>
    <w:rsid w:val="004E1F24"/>
    <w:rsid w:val="004E3FEA"/>
    <w:rsid w:val="004E5717"/>
    <w:rsid w:val="004E5CC7"/>
    <w:rsid w:val="004E678A"/>
    <w:rsid w:val="004E6DCF"/>
    <w:rsid w:val="004E6FB1"/>
    <w:rsid w:val="004F0DEE"/>
    <w:rsid w:val="004F1549"/>
    <w:rsid w:val="004F2A4D"/>
    <w:rsid w:val="004F3987"/>
    <w:rsid w:val="004F41B7"/>
    <w:rsid w:val="004F4604"/>
    <w:rsid w:val="004F512C"/>
    <w:rsid w:val="004F5370"/>
    <w:rsid w:val="004F61E0"/>
    <w:rsid w:val="004F63E3"/>
    <w:rsid w:val="005006B5"/>
    <w:rsid w:val="005006CB"/>
    <w:rsid w:val="00500EC2"/>
    <w:rsid w:val="0050195E"/>
    <w:rsid w:val="00501AF7"/>
    <w:rsid w:val="00503249"/>
    <w:rsid w:val="00505271"/>
    <w:rsid w:val="0050561A"/>
    <w:rsid w:val="005057FC"/>
    <w:rsid w:val="005076FD"/>
    <w:rsid w:val="005079FB"/>
    <w:rsid w:val="00510056"/>
    <w:rsid w:val="005104AD"/>
    <w:rsid w:val="005110C6"/>
    <w:rsid w:val="00511C1F"/>
    <w:rsid w:val="00512F76"/>
    <w:rsid w:val="00513BCC"/>
    <w:rsid w:val="00514D08"/>
    <w:rsid w:val="00515020"/>
    <w:rsid w:val="0052045C"/>
    <w:rsid w:val="0052046F"/>
    <w:rsid w:val="00520549"/>
    <w:rsid w:val="00520ECF"/>
    <w:rsid w:val="005210CA"/>
    <w:rsid w:val="0052181A"/>
    <w:rsid w:val="00521971"/>
    <w:rsid w:val="00521D4F"/>
    <w:rsid w:val="00522726"/>
    <w:rsid w:val="00522F62"/>
    <w:rsid w:val="00523676"/>
    <w:rsid w:val="005246CD"/>
    <w:rsid w:val="005259BE"/>
    <w:rsid w:val="005271B6"/>
    <w:rsid w:val="005276A5"/>
    <w:rsid w:val="00527DC0"/>
    <w:rsid w:val="0053089D"/>
    <w:rsid w:val="00531837"/>
    <w:rsid w:val="00531D06"/>
    <w:rsid w:val="005321CD"/>
    <w:rsid w:val="0053222B"/>
    <w:rsid w:val="00532B0E"/>
    <w:rsid w:val="00533EC1"/>
    <w:rsid w:val="0053414A"/>
    <w:rsid w:val="005358FF"/>
    <w:rsid w:val="00536871"/>
    <w:rsid w:val="005378FA"/>
    <w:rsid w:val="00537FC3"/>
    <w:rsid w:val="0054046D"/>
    <w:rsid w:val="00541C6E"/>
    <w:rsid w:val="00541D57"/>
    <w:rsid w:val="00541DC1"/>
    <w:rsid w:val="005422C7"/>
    <w:rsid w:val="00542E6C"/>
    <w:rsid w:val="005441DE"/>
    <w:rsid w:val="005449DE"/>
    <w:rsid w:val="005468AE"/>
    <w:rsid w:val="005477CC"/>
    <w:rsid w:val="00547E93"/>
    <w:rsid w:val="00552107"/>
    <w:rsid w:val="00555C84"/>
    <w:rsid w:val="00555DEF"/>
    <w:rsid w:val="00555FA9"/>
    <w:rsid w:val="00555FC4"/>
    <w:rsid w:val="005560AA"/>
    <w:rsid w:val="00556E26"/>
    <w:rsid w:val="0055773E"/>
    <w:rsid w:val="0056015E"/>
    <w:rsid w:val="0056154D"/>
    <w:rsid w:val="005626B0"/>
    <w:rsid w:val="00562D50"/>
    <w:rsid w:val="00564265"/>
    <w:rsid w:val="00564C18"/>
    <w:rsid w:val="00566ADE"/>
    <w:rsid w:val="005671C8"/>
    <w:rsid w:val="005676CE"/>
    <w:rsid w:val="005677C4"/>
    <w:rsid w:val="00567B62"/>
    <w:rsid w:val="00567C24"/>
    <w:rsid w:val="005708A8"/>
    <w:rsid w:val="00570EE2"/>
    <w:rsid w:val="005713DC"/>
    <w:rsid w:val="00572300"/>
    <w:rsid w:val="00573EF8"/>
    <w:rsid w:val="0057441B"/>
    <w:rsid w:val="00575A57"/>
    <w:rsid w:val="00576EA5"/>
    <w:rsid w:val="00577F37"/>
    <w:rsid w:val="00580CBC"/>
    <w:rsid w:val="00580E3C"/>
    <w:rsid w:val="0058127C"/>
    <w:rsid w:val="0058136F"/>
    <w:rsid w:val="00582049"/>
    <w:rsid w:val="00582A9C"/>
    <w:rsid w:val="005830E5"/>
    <w:rsid w:val="00584151"/>
    <w:rsid w:val="005845BA"/>
    <w:rsid w:val="005849CC"/>
    <w:rsid w:val="005850B8"/>
    <w:rsid w:val="005867F5"/>
    <w:rsid w:val="0058722C"/>
    <w:rsid w:val="005909E3"/>
    <w:rsid w:val="00591BB4"/>
    <w:rsid w:val="00592975"/>
    <w:rsid w:val="005936A5"/>
    <w:rsid w:val="00593A86"/>
    <w:rsid w:val="00593DB5"/>
    <w:rsid w:val="0059431F"/>
    <w:rsid w:val="0059584E"/>
    <w:rsid w:val="005972D8"/>
    <w:rsid w:val="00597B28"/>
    <w:rsid w:val="005A0710"/>
    <w:rsid w:val="005A0A77"/>
    <w:rsid w:val="005A0D01"/>
    <w:rsid w:val="005A20AA"/>
    <w:rsid w:val="005A253A"/>
    <w:rsid w:val="005A2C58"/>
    <w:rsid w:val="005A3220"/>
    <w:rsid w:val="005A3912"/>
    <w:rsid w:val="005A45FD"/>
    <w:rsid w:val="005A4861"/>
    <w:rsid w:val="005A55BD"/>
    <w:rsid w:val="005A60F6"/>
    <w:rsid w:val="005B0190"/>
    <w:rsid w:val="005B0E35"/>
    <w:rsid w:val="005B1ADF"/>
    <w:rsid w:val="005B2013"/>
    <w:rsid w:val="005B247A"/>
    <w:rsid w:val="005B2F89"/>
    <w:rsid w:val="005B3397"/>
    <w:rsid w:val="005B3DFD"/>
    <w:rsid w:val="005B48D7"/>
    <w:rsid w:val="005B6696"/>
    <w:rsid w:val="005B68BE"/>
    <w:rsid w:val="005B7259"/>
    <w:rsid w:val="005B79E0"/>
    <w:rsid w:val="005B79E5"/>
    <w:rsid w:val="005B7FEB"/>
    <w:rsid w:val="005C0BBA"/>
    <w:rsid w:val="005C378C"/>
    <w:rsid w:val="005C3C42"/>
    <w:rsid w:val="005C3F7A"/>
    <w:rsid w:val="005C4432"/>
    <w:rsid w:val="005C46B8"/>
    <w:rsid w:val="005C5F30"/>
    <w:rsid w:val="005C64B0"/>
    <w:rsid w:val="005C64DC"/>
    <w:rsid w:val="005C65B6"/>
    <w:rsid w:val="005C68DE"/>
    <w:rsid w:val="005C6D2A"/>
    <w:rsid w:val="005D09F0"/>
    <w:rsid w:val="005D0D1F"/>
    <w:rsid w:val="005D1D87"/>
    <w:rsid w:val="005D20B7"/>
    <w:rsid w:val="005D25B7"/>
    <w:rsid w:val="005D27B7"/>
    <w:rsid w:val="005D324D"/>
    <w:rsid w:val="005D3E02"/>
    <w:rsid w:val="005D63DC"/>
    <w:rsid w:val="005D7AE1"/>
    <w:rsid w:val="005E040D"/>
    <w:rsid w:val="005E09BB"/>
    <w:rsid w:val="005E0FD3"/>
    <w:rsid w:val="005E15AD"/>
    <w:rsid w:val="005E2995"/>
    <w:rsid w:val="005E32CC"/>
    <w:rsid w:val="005E3B7A"/>
    <w:rsid w:val="005E4F8C"/>
    <w:rsid w:val="005E501D"/>
    <w:rsid w:val="005E6DDE"/>
    <w:rsid w:val="005F0C2D"/>
    <w:rsid w:val="005F122D"/>
    <w:rsid w:val="005F1276"/>
    <w:rsid w:val="005F1A92"/>
    <w:rsid w:val="005F23FE"/>
    <w:rsid w:val="005F3274"/>
    <w:rsid w:val="005F4351"/>
    <w:rsid w:val="005F4B49"/>
    <w:rsid w:val="005F504D"/>
    <w:rsid w:val="005F5887"/>
    <w:rsid w:val="005F7182"/>
    <w:rsid w:val="00600780"/>
    <w:rsid w:val="00601BF0"/>
    <w:rsid w:val="00601E0C"/>
    <w:rsid w:val="006021AE"/>
    <w:rsid w:val="006021DA"/>
    <w:rsid w:val="0060242D"/>
    <w:rsid w:val="00602DA3"/>
    <w:rsid w:val="0060353D"/>
    <w:rsid w:val="00604B4D"/>
    <w:rsid w:val="00605145"/>
    <w:rsid w:val="00605EBC"/>
    <w:rsid w:val="00607129"/>
    <w:rsid w:val="00607975"/>
    <w:rsid w:val="006104BA"/>
    <w:rsid w:val="00610736"/>
    <w:rsid w:val="006107CA"/>
    <w:rsid w:val="00610CDE"/>
    <w:rsid w:val="00611007"/>
    <w:rsid w:val="006110D7"/>
    <w:rsid w:val="0061212A"/>
    <w:rsid w:val="006141F9"/>
    <w:rsid w:val="0061468D"/>
    <w:rsid w:val="00614E59"/>
    <w:rsid w:val="00615DEC"/>
    <w:rsid w:val="00615FF5"/>
    <w:rsid w:val="0061664E"/>
    <w:rsid w:val="00616690"/>
    <w:rsid w:val="00617550"/>
    <w:rsid w:val="00617B79"/>
    <w:rsid w:val="0062113D"/>
    <w:rsid w:val="00622020"/>
    <w:rsid w:val="00622A43"/>
    <w:rsid w:val="00623BE0"/>
    <w:rsid w:val="00623BF9"/>
    <w:rsid w:val="0062411F"/>
    <w:rsid w:val="0062455E"/>
    <w:rsid w:val="00624AE7"/>
    <w:rsid w:val="00624F8C"/>
    <w:rsid w:val="00625285"/>
    <w:rsid w:val="00625B17"/>
    <w:rsid w:val="00626CB2"/>
    <w:rsid w:val="0062744E"/>
    <w:rsid w:val="00630873"/>
    <w:rsid w:val="006308F7"/>
    <w:rsid w:val="006309A7"/>
    <w:rsid w:val="006319E0"/>
    <w:rsid w:val="00631DDE"/>
    <w:rsid w:val="00633F47"/>
    <w:rsid w:val="0063525A"/>
    <w:rsid w:val="00637996"/>
    <w:rsid w:val="006401B2"/>
    <w:rsid w:val="00640297"/>
    <w:rsid w:val="006412B2"/>
    <w:rsid w:val="00641896"/>
    <w:rsid w:val="00641FD9"/>
    <w:rsid w:val="00642857"/>
    <w:rsid w:val="00642D40"/>
    <w:rsid w:val="00642EC9"/>
    <w:rsid w:val="006439B2"/>
    <w:rsid w:val="00643BC3"/>
    <w:rsid w:val="00643C5B"/>
    <w:rsid w:val="006444CE"/>
    <w:rsid w:val="00646AB4"/>
    <w:rsid w:val="00646C2B"/>
    <w:rsid w:val="00647953"/>
    <w:rsid w:val="00651243"/>
    <w:rsid w:val="006514B0"/>
    <w:rsid w:val="00652748"/>
    <w:rsid w:val="006529A7"/>
    <w:rsid w:val="006550C5"/>
    <w:rsid w:val="00655FEF"/>
    <w:rsid w:val="006562B6"/>
    <w:rsid w:val="00656F15"/>
    <w:rsid w:val="00657205"/>
    <w:rsid w:val="00657D88"/>
    <w:rsid w:val="006613FF"/>
    <w:rsid w:val="006615B5"/>
    <w:rsid w:val="00661A85"/>
    <w:rsid w:val="00661BB8"/>
    <w:rsid w:val="00661EEF"/>
    <w:rsid w:val="00662106"/>
    <w:rsid w:val="00662B45"/>
    <w:rsid w:val="006649E1"/>
    <w:rsid w:val="00665396"/>
    <w:rsid w:val="00665ED3"/>
    <w:rsid w:val="0066650F"/>
    <w:rsid w:val="00666915"/>
    <w:rsid w:val="00666B24"/>
    <w:rsid w:val="00666FF1"/>
    <w:rsid w:val="00667070"/>
    <w:rsid w:val="0066709D"/>
    <w:rsid w:val="006676D7"/>
    <w:rsid w:val="006677CD"/>
    <w:rsid w:val="00667A32"/>
    <w:rsid w:val="0067006C"/>
    <w:rsid w:val="0067037B"/>
    <w:rsid w:val="006715CC"/>
    <w:rsid w:val="00673365"/>
    <w:rsid w:val="00673837"/>
    <w:rsid w:val="006748E7"/>
    <w:rsid w:val="00676286"/>
    <w:rsid w:val="00676750"/>
    <w:rsid w:val="006775CA"/>
    <w:rsid w:val="00677B3F"/>
    <w:rsid w:val="00680CF6"/>
    <w:rsid w:val="006817A6"/>
    <w:rsid w:val="00683523"/>
    <w:rsid w:val="0068394B"/>
    <w:rsid w:val="006843A5"/>
    <w:rsid w:val="0068495A"/>
    <w:rsid w:val="00684CCE"/>
    <w:rsid w:val="00690132"/>
    <w:rsid w:val="00690319"/>
    <w:rsid w:val="006925C3"/>
    <w:rsid w:val="00692888"/>
    <w:rsid w:val="00693690"/>
    <w:rsid w:val="00694859"/>
    <w:rsid w:val="00694DE9"/>
    <w:rsid w:val="006975F0"/>
    <w:rsid w:val="00697809"/>
    <w:rsid w:val="00697EBD"/>
    <w:rsid w:val="006A08CF"/>
    <w:rsid w:val="006A1530"/>
    <w:rsid w:val="006A1FC0"/>
    <w:rsid w:val="006A2942"/>
    <w:rsid w:val="006A2A1A"/>
    <w:rsid w:val="006A3963"/>
    <w:rsid w:val="006A3A11"/>
    <w:rsid w:val="006A40C0"/>
    <w:rsid w:val="006A57A6"/>
    <w:rsid w:val="006A6CD4"/>
    <w:rsid w:val="006A7779"/>
    <w:rsid w:val="006B0F6D"/>
    <w:rsid w:val="006B1EF6"/>
    <w:rsid w:val="006B2A04"/>
    <w:rsid w:val="006B3037"/>
    <w:rsid w:val="006B713E"/>
    <w:rsid w:val="006B7E5A"/>
    <w:rsid w:val="006C01A1"/>
    <w:rsid w:val="006C04E8"/>
    <w:rsid w:val="006C0D1B"/>
    <w:rsid w:val="006C24F4"/>
    <w:rsid w:val="006C2CAA"/>
    <w:rsid w:val="006C4565"/>
    <w:rsid w:val="006C46F6"/>
    <w:rsid w:val="006C54D6"/>
    <w:rsid w:val="006C5569"/>
    <w:rsid w:val="006C67AA"/>
    <w:rsid w:val="006C7490"/>
    <w:rsid w:val="006D01D8"/>
    <w:rsid w:val="006D040F"/>
    <w:rsid w:val="006D096D"/>
    <w:rsid w:val="006D0AC1"/>
    <w:rsid w:val="006D11CC"/>
    <w:rsid w:val="006D3112"/>
    <w:rsid w:val="006D3D7B"/>
    <w:rsid w:val="006D5182"/>
    <w:rsid w:val="006D548C"/>
    <w:rsid w:val="006D5C2D"/>
    <w:rsid w:val="006D633E"/>
    <w:rsid w:val="006D6845"/>
    <w:rsid w:val="006D7E2F"/>
    <w:rsid w:val="006E03E1"/>
    <w:rsid w:val="006E1F68"/>
    <w:rsid w:val="006E213C"/>
    <w:rsid w:val="006E27BE"/>
    <w:rsid w:val="006E4B97"/>
    <w:rsid w:val="006E5F55"/>
    <w:rsid w:val="006E60BE"/>
    <w:rsid w:val="006E62A3"/>
    <w:rsid w:val="006F0548"/>
    <w:rsid w:val="006F0B2B"/>
    <w:rsid w:val="006F1214"/>
    <w:rsid w:val="006F189F"/>
    <w:rsid w:val="006F1AE7"/>
    <w:rsid w:val="006F4668"/>
    <w:rsid w:val="006F5307"/>
    <w:rsid w:val="006F558D"/>
    <w:rsid w:val="006F5D5E"/>
    <w:rsid w:val="006F6610"/>
    <w:rsid w:val="006F7AC8"/>
    <w:rsid w:val="0070059D"/>
    <w:rsid w:val="00700730"/>
    <w:rsid w:val="00701EBC"/>
    <w:rsid w:val="0070275D"/>
    <w:rsid w:val="00702F40"/>
    <w:rsid w:val="00702FF7"/>
    <w:rsid w:val="00703048"/>
    <w:rsid w:val="007033EC"/>
    <w:rsid w:val="00703C4A"/>
    <w:rsid w:val="00704117"/>
    <w:rsid w:val="007042D5"/>
    <w:rsid w:val="00705AEB"/>
    <w:rsid w:val="0071361E"/>
    <w:rsid w:val="00714371"/>
    <w:rsid w:val="007143CE"/>
    <w:rsid w:val="00714EF5"/>
    <w:rsid w:val="007156BF"/>
    <w:rsid w:val="00716513"/>
    <w:rsid w:val="007168C2"/>
    <w:rsid w:val="00716999"/>
    <w:rsid w:val="007169F0"/>
    <w:rsid w:val="00720D42"/>
    <w:rsid w:val="00724402"/>
    <w:rsid w:val="00725723"/>
    <w:rsid w:val="00725BE9"/>
    <w:rsid w:val="00725C1C"/>
    <w:rsid w:val="00725F77"/>
    <w:rsid w:val="00726F7B"/>
    <w:rsid w:val="0072717C"/>
    <w:rsid w:val="00731662"/>
    <w:rsid w:val="00732723"/>
    <w:rsid w:val="00732A66"/>
    <w:rsid w:val="007344C7"/>
    <w:rsid w:val="00734C8A"/>
    <w:rsid w:val="0073517F"/>
    <w:rsid w:val="007357A7"/>
    <w:rsid w:val="00736DA9"/>
    <w:rsid w:val="007372EA"/>
    <w:rsid w:val="00737F15"/>
    <w:rsid w:val="00740343"/>
    <w:rsid w:val="007406B0"/>
    <w:rsid w:val="00742153"/>
    <w:rsid w:val="00742480"/>
    <w:rsid w:val="00744B85"/>
    <w:rsid w:val="00745010"/>
    <w:rsid w:val="00745ABF"/>
    <w:rsid w:val="00745E01"/>
    <w:rsid w:val="00746B17"/>
    <w:rsid w:val="00746B1C"/>
    <w:rsid w:val="00746E67"/>
    <w:rsid w:val="00747AC2"/>
    <w:rsid w:val="00747BDE"/>
    <w:rsid w:val="00747F98"/>
    <w:rsid w:val="00750D04"/>
    <w:rsid w:val="00750F71"/>
    <w:rsid w:val="007516A0"/>
    <w:rsid w:val="007517FF"/>
    <w:rsid w:val="00751BA5"/>
    <w:rsid w:val="00751F48"/>
    <w:rsid w:val="007531EE"/>
    <w:rsid w:val="00754B4B"/>
    <w:rsid w:val="00754B4E"/>
    <w:rsid w:val="00755633"/>
    <w:rsid w:val="007566A6"/>
    <w:rsid w:val="007572FE"/>
    <w:rsid w:val="00757CB3"/>
    <w:rsid w:val="007608A5"/>
    <w:rsid w:val="00760AFE"/>
    <w:rsid w:val="007610A2"/>
    <w:rsid w:val="00761120"/>
    <w:rsid w:val="007612B8"/>
    <w:rsid w:val="007619D2"/>
    <w:rsid w:val="00761BF4"/>
    <w:rsid w:val="00761C31"/>
    <w:rsid w:val="00761CF7"/>
    <w:rsid w:val="007629FC"/>
    <w:rsid w:val="00763410"/>
    <w:rsid w:val="007654A2"/>
    <w:rsid w:val="00766429"/>
    <w:rsid w:val="00766540"/>
    <w:rsid w:val="007665AC"/>
    <w:rsid w:val="00766CBB"/>
    <w:rsid w:val="00766CD0"/>
    <w:rsid w:val="007706A7"/>
    <w:rsid w:val="007712FB"/>
    <w:rsid w:val="0077158F"/>
    <w:rsid w:val="0077223A"/>
    <w:rsid w:val="00772F4E"/>
    <w:rsid w:val="0077352A"/>
    <w:rsid w:val="00773627"/>
    <w:rsid w:val="007736CD"/>
    <w:rsid w:val="0077714A"/>
    <w:rsid w:val="007779D4"/>
    <w:rsid w:val="0078041E"/>
    <w:rsid w:val="007807F1"/>
    <w:rsid w:val="00780C0D"/>
    <w:rsid w:val="0078112B"/>
    <w:rsid w:val="00781791"/>
    <w:rsid w:val="007818EF"/>
    <w:rsid w:val="007823B4"/>
    <w:rsid w:val="00782A36"/>
    <w:rsid w:val="00783B1A"/>
    <w:rsid w:val="00783CE6"/>
    <w:rsid w:val="00784909"/>
    <w:rsid w:val="00785ABA"/>
    <w:rsid w:val="00785C91"/>
    <w:rsid w:val="007863F2"/>
    <w:rsid w:val="00786AAF"/>
    <w:rsid w:val="00790453"/>
    <w:rsid w:val="007911FF"/>
    <w:rsid w:val="00791ADE"/>
    <w:rsid w:val="0079215C"/>
    <w:rsid w:val="00792F84"/>
    <w:rsid w:val="0079431F"/>
    <w:rsid w:val="0079448C"/>
    <w:rsid w:val="00794B98"/>
    <w:rsid w:val="00794D1D"/>
    <w:rsid w:val="00794F20"/>
    <w:rsid w:val="00794F52"/>
    <w:rsid w:val="00794FB7"/>
    <w:rsid w:val="00797E62"/>
    <w:rsid w:val="007A0297"/>
    <w:rsid w:val="007A0AB7"/>
    <w:rsid w:val="007A137E"/>
    <w:rsid w:val="007A13EE"/>
    <w:rsid w:val="007A24A0"/>
    <w:rsid w:val="007A4048"/>
    <w:rsid w:val="007A47AA"/>
    <w:rsid w:val="007A5184"/>
    <w:rsid w:val="007A612B"/>
    <w:rsid w:val="007A7CE9"/>
    <w:rsid w:val="007B0B74"/>
    <w:rsid w:val="007B20A3"/>
    <w:rsid w:val="007B22B3"/>
    <w:rsid w:val="007B2A1B"/>
    <w:rsid w:val="007B3161"/>
    <w:rsid w:val="007B3A2B"/>
    <w:rsid w:val="007B56CF"/>
    <w:rsid w:val="007B56D3"/>
    <w:rsid w:val="007B6105"/>
    <w:rsid w:val="007B6591"/>
    <w:rsid w:val="007B670F"/>
    <w:rsid w:val="007B6F7F"/>
    <w:rsid w:val="007B757D"/>
    <w:rsid w:val="007B7D22"/>
    <w:rsid w:val="007C1467"/>
    <w:rsid w:val="007C4FE4"/>
    <w:rsid w:val="007C557F"/>
    <w:rsid w:val="007C59EC"/>
    <w:rsid w:val="007C611C"/>
    <w:rsid w:val="007C7044"/>
    <w:rsid w:val="007C7FD2"/>
    <w:rsid w:val="007D18FB"/>
    <w:rsid w:val="007D1F16"/>
    <w:rsid w:val="007D254C"/>
    <w:rsid w:val="007D2E75"/>
    <w:rsid w:val="007D3CE5"/>
    <w:rsid w:val="007D3DD0"/>
    <w:rsid w:val="007D4251"/>
    <w:rsid w:val="007D6500"/>
    <w:rsid w:val="007D6B2B"/>
    <w:rsid w:val="007D7A18"/>
    <w:rsid w:val="007E218F"/>
    <w:rsid w:val="007E237F"/>
    <w:rsid w:val="007E256B"/>
    <w:rsid w:val="007E2784"/>
    <w:rsid w:val="007E281A"/>
    <w:rsid w:val="007E295C"/>
    <w:rsid w:val="007E2D03"/>
    <w:rsid w:val="007E45DB"/>
    <w:rsid w:val="007E6662"/>
    <w:rsid w:val="007E6EDE"/>
    <w:rsid w:val="007E75D6"/>
    <w:rsid w:val="007E7BE6"/>
    <w:rsid w:val="007F0015"/>
    <w:rsid w:val="007F0C8D"/>
    <w:rsid w:val="007F1AE6"/>
    <w:rsid w:val="007F1C9D"/>
    <w:rsid w:val="007F1E47"/>
    <w:rsid w:val="007F2623"/>
    <w:rsid w:val="007F3C95"/>
    <w:rsid w:val="007F481B"/>
    <w:rsid w:val="007F4B2B"/>
    <w:rsid w:val="007F6423"/>
    <w:rsid w:val="007F6D3B"/>
    <w:rsid w:val="007F71AA"/>
    <w:rsid w:val="007F7797"/>
    <w:rsid w:val="007F7A80"/>
    <w:rsid w:val="007F7DAE"/>
    <w:rsid w:val="008003CA"/>
    <w:rsid w:val="0080201E"/>
    <w:rsid w:val="008037B5"/>
    <w:rsid w:val="00806212"/>
    <w:rsid w:val="0080622A"/>
    <w:rsid w:val="00806312"/>
    <w:rsid w:val="00806850"/>
    <w:rsid w:val="00806A29"/>
    <w:rsid w:val="00806A88"/>
    <w:rsid w:val="00806E7A"/>
    <w:rsid w:val="008078B8"/>
    <w:rsid w:val="00807FC3"/>
    <w:rsid w:val="00810202"/>
    <w:rsid w:val="00811493"/>
    <w:rsid w:val="00811AF2"/>
    <w:rsid w:val="00811E3B"/>
    <w:rsid w:val="00813CD8"/>
    <w:rsid w:val="00813ED0"/>
    <w:rsid w:val="00814202"/>
    <w:rsid w:val="00814970"/>
    <w:rsid w:val="00814BAD"/>
    <w:rsid w:val="00817DE9"/>
    <w:rsid w:val="00820013"/>
    <w:rsid w:val="00821570"/>
    <w:rsid w:val="0082177E"/>
    <w:rsid w:val="00822182"/>
    <w:rsid w:val="0082237E"/>
    <w:rsid w:val="008224C4"/>
    <w:rsid w:val="00822D04"/>
    <w:rsid w:val="008230BF"/>
    <w:rsid w:val="00824EB3"/>
    <w:rsid w:val="008258A6"/>
    <w:rsid w:val="008263B4"/>
    <w:rsid w:val="008268F0"/>
    <w:rsid w:val="00826EB3"/>
    <w:rsid w:val="00831488"/>
    <w:rsid w:val="00831C6D"/>
    <w:rsid w:val="00832A19"/>
    <w:rsid w:val="00833733"/>
    <w:rsid w:val="00833FCD"/>
    <w:rsid w:val="00834CB1"/>
    <w:rsid w:val="008350F5"/>
    <w:rsid w:val="008361E4"/>
    <w:rsid w:val="00836504"/>
    <w:rsid w:val="0083734D"/>
    <w:rsid w:val="00837595"/>
    <w:rsid w:val="008378B0"/>
    <w:rsid w:val="00841F29"/>
    <w:rsid w:val="0084241C"/>
    <w:rsid w:val="008432F6"/>
    <w:rsid w:val="008434E0"/>
    <w:rsid w:val="00844039"/>
    <w:rsid w:val="008449EB"/>
    <w:rsid w:val="00844BD3"/>
    <w:rsid w:val="00851040"/>
    <w:rsid w:val="00851A7E"/>
    <w:rsid w:val="008521EA"/>
    <w:rsid w:val="00852295"/>
    <w:rsid w:val="0085255D"/>
    <w:rsid w:val="00852958"/>
    <w:rsid w:val="008536DA"/>
    <w:rsid w:val="0085515F"/>
    <w:rsid w:val="008554C6"/>
    <w:rsid w:val="00855A84"/>
    <w:rsid w:val="00856AA6"/>
    <w:rsid w:val="00856FBA"/>
    <w:rsid w:val="008577B2"/>
    <w:rsid w:val="00860158"/>
    <w:rsid w:val="008601A7"/>
    <w:rsid w:val="00860367"/>
    <w:rsid w:val="008608E6"/>
    <w:rsid w:val="008626F9"/>
    <w:rsid w:val="0086332D"/>
    <w:rsid w:val="00863467"/>
    <w:rsid w:val="00865054"/>
    <w:rsid w:val="008653BC"/>
    <w:rsid w:val="008658E4"/>
    <w:rsid w:val="0086696D"/>
    <w:rsid w:val="00870F83"/>
    <w:rsid w:val="00871AEC"/>
    <w:rsid w:val="008738D8"/>
    <w:rsid w:val="008739CB"/>
    <w:rsid w:val="00873BDF"/>
    <w:rsid w:val="00874860"/>
    <w:rsid w:val="00874A19"/>
    <w:rsid w:val="00874B49"/>
    <w:rsid w:val="00875C4D"/>
    <w:rsid w:val="00875D52"/>
    <w:rsid w:val="008807BD"/>
    <w:rsid w:val="00880AE9"/>
    <w:rsid w:val="00881C76"/>
    <w:rsid w:val="008834AF"/>
    <w:rsid w:val="00884E6E"/>
    <w:rsid w:val="00885C70"/>
    <w:rsid w:val="00885DFF"/>
    <w:rsid w:val="00885E46"/>
    <w:rsid w:val="008865F0"/>
    <w:rsid w:val="00886746"/>
    <w:rsid w:val="00887300"/>
    <w:rsid w:val="00887BC4"/>
    <w:rsid w:val="008900DE"/>
    <w:rsid w:val="00890616"/>
    <w:rsid w:val="0089094A"/>
    <w:rsid w:val="00891450"/>
    <w:rsid w:val="00891A27"/>
    <w:rsid w:val="0089396A"/>
    <w:rsid w:val="00893BBE"/>
    <w:rsid w:val="0089476F"/>
    <w:rsid w:val="00894BAE"/>
    <w:rsid w:val="00894E05"/>
    <w:rsid w:val="00894EF5"/>
    <w:rsid w:val="00897685"/>
    <w:rsid w:val="008A2568"/>
    <w:rsid w:val="008A2747"/>
    <w:rsid w:val="008A2CCF"/>
    <w:rsid w:val="008A3122"/>
    <w:rsid w:val="008A33B8"/>
    <w:rsid w:val="008A48CA"/>
    <w:rsid w:val="008A5877"/>
    <w:rsid w:val="008A6903"/>
    <w:rsid w:val="008A70D2"/>
    <w:rsid w:val="008A73B8"/>
    <w:rsid w:val="008A77D1"/>
    <w:rsid w:val="008B076C"/>
    <w:rsid w:val="008B0EBE"/>
    <w:rsid w:val="008B0EFB"/>
    <w:rsid w:val="008B2800"/>
    <w:rsid w:val="008B2CAB"/>
    <w:rsid w:val="008B355F"/>
    <w:rsid w:val="008B4D21"/>
    <w:rsid w:val="008B5154"/>
    <w:rsid w:val="008B5220"/>
    <w:rsid w:val="008B58D6"/>
    <w:rsid w:val="008B6B18"/>
    <w:rsid w:val="008B6FDE"/>
    <w:rsid w:val="008C03C6"/>
    <w:rsid w:val="008C0B98"/>
    <w:rsid w:val="008C0C9C"/>
    <w:rsid w:val="008C2FDD"/>
    <w:rsid w:val="008C38A4"/>
    <w:rsid w:val="008C42AF"/>
    <w:rsid w:val="008C5226"/>
    <w:rsid w:val="008C5912"/>
    <w:rsid w:val="008C61FD"/>
    <w:rsid w:val="008C6699"/>
    <w:rsid w:val="008C6866"/>
    <w:rsid w:val="008C7BC9"/>
    <w:rsid w:val="008D04C1"/>
    <w:rsid w:val="008D08AF"/>
    <w:rsid w:val="008D0BF6"/>
    <w:rsid w:val="008D1234"/>
    <w:rsid w:val="008D1595"/>
    <w:rsid w:val="008D28C1"/>
    <w:rsid w:val="008D44E8"/>
    <w:rsid w:val="008D552C"/>
    <w:rsid w:val="008D7EA5"/>
    <w:rsid w:val="008E231C"/>
    <w:rsid w:val="008E3E4B"/>
    <w:rsid w:val="008E410F"/>
    <w:rsid w:val="008E4352"/>
    <w:rsid w:val="008E4491"/>
    <w:rsid w:val="008E45E1"/>
    <w:rsid w:val="008E496D"/>
    <w:rsid w:val="008E4A29"/>
    <w:rsid w:val="008E5570"/>
    <w:rsid w:val="008E5A2D"/>
    <w:rsid w:val="008E5A8A"/>
    <w:rsid w:val="008E6A21"/>
    <w:rsid w:val="008E7DFC"/>
    <w:rsid w:val="008F095F"/>
    <w:rsid w:val="008F133E"/>
    <w:rsid w:val="008F2EA7"/>
    <w:rsid w:val="008F3234"/>
    <w:rsid w:val="008F434F"/>
    <w:rsid w:val="008F5CEA"/>
    <w:rsid w:val="008F6988"/>
    <w:rsid w:val="008F6D61"/>
    <w:rsid w:val="008F727D"/>
    <w:rsid w:val="00900AA9"/>
    <w:rsid w:val="00900DD0"/>
    <w:rsid w:val="00901E5A"/>
    <w:rsid w:val="00902164"/>
    <w:rsid w:val="00902538"/>
    <w:rsid w:val="009036A3"/>
    <w:rsid w:val="0090508B"/>
    <w:rsid w:val="00906ED3"/>
    <w:rsid w:val="009074FE"/>
    <w:rsid w:val="009101FA"/>
    <w:rsid w:val="009109C4"/>
    <w:rsid w:val="00910C9F"/>
    <w:rsid w:val="00911FB4"/>
    <w:rsid w:val="00912526"/>
    <w:rsid w:val="00913E1D"/>
    <w:rsid w:val="00914E86"/>
    <w:rsid w:val="00915B44"/>
    <w:rsid w:val="0091703C"/>
    <w:rsid w:val="0092022E"/>
    <w:rsid w:val="00920CD7"/>
    <w:rsid w:val="00920CFB"/>
    <w:rsid w:val="009211F1"/>
    <w:rsid w:val="00921731"/>
    <w:rsid w:val="009217BF"/>
    <w:rsid w:val="0092329D"/>
    <w:rsid w:val="00923453"/>
    <w:rsid w:val="0092347E"/>
    <w:rsid w:val="00923EE5"/>
    <w:rsid w:val="009249E7"/>
    <w:rsid w:val="009259A9"/>
    <w:rsid w:val="00930DE6"/>
    <w:rsid w:val="0093142A"/>
    <w:rsid w:val="009316FD"/>
    <w:rsid w:val="00932A5A"/>
    <w:rsid w:val="0093326A"/>
    <w:rsid w:val="00933C18"/>
    <w:rsid w:val="00934937"/>
    <w:rsid w:val="00935130"/>
    <w:rsid w:val="009358DC"/>
    <w:rsid w:val="00935BD7"/>
    <w:rsid w:val="00940342"/>
    <w:rsid w:val="00940571"/>
    <w:rsid w:val="00940890"/>
    <w:rsid w:val="00940BB8"/>
    <w:rsid w:val="009413AE"/>
    <w:rsid w:val="00942318"/>
    <w:rsid w:val="00942F92"/>
    <w:rsid w:val="00943070"/>
    <w:rsid w:val="00943A00"/>
    <w:rsid w:val="0094410C"/>
    <w:rsid w:val="00944341"/>
    <w:rsid w:val="00945DE8"/>
    <w:rsid w:val="00945F58"/>
    <w:rsid w:val="009515E0"/>
    <w:rsid w:val="00951F90"/>
    <w:rsid w:val="009523A0"/>
    <w:rsid w:val="00952CBE"/>
    <w:rsid w:val="009531BB"/>
    <w:rsid w:val="0095325D"/>
    <w:rsid w:val="00953757"/>
    <w:rsid w:val="009545E2"/>
    <w:rsid w:val="0095479E"/>
    <w:rsid w:val="0095671D"/>
    <w:rsid w:val="009567F3"/>
    <w:rsid w:val="00956BF1"/>
    <w:rsid w:val="00956C1A"/>
    <w:rsid w:val="00956F55"/>
    <w:rsid w:val="00957C6F"/>
    <w:rsid w:val="00960C20"/>
    <w:rsid w:val="009614DD"/>
    <w:rsid w:val="00961CED"/>
    <w:rsid w:val="00961D15"/>
    <w:rsid w:val="009629C9"/>
    <w:rsid w:val="00962D41"/>
    <w:rsid w:val="00963ABA"/>
    <w:rsid w:val="00963B2A"/>
    <w:rsid w:val="00963E87"/>
    <w:rsid w:val="00964C4E"/>
    <w:rsid w:val="00965426"/>
    <w:rsid w:val="00965680"/>
    <w:rsid w:val="00965FE5"/>
    <w:rsid w:val="0096657E"/>
    <w:rsid w:val="009666DD"/>
    <w:rsid w:val="009703FD"/>
    <w:rsid w:val="0097110C"/>
    <w:rsid w:val="00971921"/>
    <w:rsid w:val="00972752"/>
    <w:rsid w:val="00973E31"/>
    <w:rsid w:val="00974206"/>
    <w:rsid w:val="009742C1"/>
    <w:rsid w:val="00974FE2"/>
    <w:rsid w:val="00974FFF"/>
    <w:rsid w:val="00975125"/>
    <w:rsid w:val="00975915"/>
    <w:rsid w:val="00975EA1"/>
    <w:rsid w:val="0098157B"/>
    <w:rsid w:val="0098225A"/>
    <w:rsid w:val="00983157"/>
    <w:rsid w:val="00983262"/>
    <w:rsid w:val="009832B5"/>
    <w:rsid w:val="009833E0"/>
    <w:rsid w:val="00984629"/>
    <w:rsid w:val="00985883"/>
    <w:rsid w:val="00987D1F"/>
    <w:rsid w:val="00990BEF"/>
    <w:rsid w:val="00990DC7"/>
    <w:rsid w:val="0099132D"/>
    <w:rsid w:val="00992341"/>
    <w:rsid w:val="00992DF8"/>
    <w:rsid w:val="00993A4E"/>
    <w:rsid w:val="009947B7"/>
    <w:rsid w:val="00994C7B"/>
    <w:rsid w:val="00995D4A"/>
    <w:rsid w:val="009A0721"/>
    <w:rsid w:val="009A07E0"/>
    <w:rsid w:val="009A16D2"/>
    <w:rsid w:val="009A1D5C"/>
    <w:rsid w:val="009A1F6B"/>
    <w:rsid w:val="009A2B0B"/>
    <w:rsid w:val="009A2D12"/>
    <w:rsid w:val="009A3A00"/>
    <w:rsid w:val="009A4D1D"/>
    <w:rsid w:val="009A52AB"/>
    <w:rsid w:val="009A67D9"/>
    <w:rsid w:val="009B0ABF"/>
    <w:rsid w:val="009B0B24"/>
    <w:rsid w:val="009B0E11"/>
    <w:rsid w:val="009B0EAD"/>
    <w:rsid w:val="009B26FA"/>
    <w:rsid w:val="009B33B9"/>
    <w:rsid w:val="009B4538"/>
    <w:rsid w:val="009B52DC"/>
    <w:rsid w:val="009B5C91"/>
    <w:rsid w:val="009B6D8F"/>
    <w:rsid w:val="009B7193"/>
    <w:rsid w:val="009B78B2"/>
    <w:rsid w:val="009B7BD1"/>
    <w:rsid w:val="009C0057"/>
    <w:rsid w:val="009C0229"/>
    <w:rsid w:val="009C08DF"/>
    <w:rsid w:val="009C102D"/>
    <w:rsid w:val="009C15B7"/>
    <w:rsid w:val="009C1BDA"/>
    <w:rsid w:val="009C3505"/>
    <w:rsid w:val="009C4022"/>
    <w:rsid w:val="009C428F"/>
    <w:rsid w:val="009C572B"/>
    <w:rsid w:val="009C5C58"/>
    <w:rsid w:val="009C64AE"/>
    <w:rsid w:val="009C7FE6"/>
    <w:rsid w:val="009D0EFD"/>
    <w:rsid w:val="009D14F7"/>
    <w:rsid w:val="009D21EE"/>
    <w:rsid w:val="009D2D95"/>
    <w:rsid w:val="009D3B9C"/>
    <w:rsid w:val="009D4250"/>
    <w:rsid w:val="009D5E4D"/>
    <w:rsid w:val="009D652A"/>
    <w:rsid w:val="009D67F3"/>
    <w:rsid w:val="009D7D8F"/>
    <w:rsid w:val="009E06A6"/>
    <w:rsid w:val="009E3718"/>
    <w:rsid w:val="009E4CA1"/>
    <w:rsid w:val="009E6F1C"/>
    <w:rsid w:val="009E721E"/>
    <w:rsid w:val="009E7305"/>
    <w:rsid w:val="009F03F9"/>
    <w:rsid w:val="009F041A"/>
    <w:rsid w:val="009F1728"/>
    <w:rsid w:val="009F220F"/>
    <w:rsid w:val="009F2677"/>
    <w:rsid w:val="009F2F06"/>
    <w:rsid w:val="009F38E2"/>
    <w:rsid w:val="009F448E"/>
    <w:rsid w:val="009F45D5"/>
    <w:rsid w:val="009F4E33"/>
    <w:rsid w:val="009F50A9"/>
    <w:rsid w:val="009F54D7"/>
    <w:rsid w:val="009F6194"/>
    <w:rsid w:val="009F6A3E"/>
    <w:rsid w:val="009F6BC9"/>
    <w:rsid w:val="009F778B"/>
    <w:rsid w:val="009F784E"/>
    <w:rsid w:val="00A001A2"/>
    <w:rsid w:val="00A00A93"/>
    <w:rsid w:val="00A00C09"/>
    <w:rsid w:val="00A0189B"/>
    <w:rsid w:val="00A01DEB"/>
    <w:rsid w:val="00A02686"/>
    <w:rsid w:val="00A0297C"/>
    <w:rsid w:val="00A03E61"/>
    <w:rsid w:val="00A045B4"/>
    <w:rsid w:val="00A04B86"/>
    <w:rsid w:val="00A05C1B"/>
    <w:rsid w:val="00A061B8"/>
    <w:rsid w:val="00A0677A"/>
    <w:rsid w:val="00A103C4"/>
    <w:rsid w:val="00A1285F"/>
    <w:rsid w:val="00A13718"/>
    <w:rsid w:val="00A14511"/>
    <w:rsid w:val="00A152D7"/>
    <w:rsid w:val="00A15A91"/>
    <w:rsid w:val="00A15F77"/>
    <w:rsid w:val="00A1635A"/>
    <w:rsid w:val="00A17B2F"/>
    <w:rsid w:val="00A17E75"/>
    <w:rsid w:val="00A200E4"/>
    <w:rsid w:val="00A2039F"/>
    <w:rsid w:val="00A203CE"/>
    <w:rsid w:val="00A20673"/>
    <w:rsid w:val="00A20ADD"/>
    <w:rsid w:val="00A210BB"/>
    <w:rsid w:val="00A23563"/>
    <w:rsid w:val="00A23C17"/>
    <w:rsid w:val="00A24A20"/>
    <w:rsid w:val="00A24DF4"/>
    <w:rsid w:val="00A25811"/>
    <w:rsid w:val="00A26EDC"/>
    <w:rsid w:val="00A30A10"/>
    <w:rsid w:val="00A30F77"/>
    <w:rsid w:val="00A33AC8"/>
    <w:rsid w:val="00A33C8D"/>
    <w:rsid w:val="00A34C36"/>
    <w:rsid w:val="00A35B22"/>
    <w:rsid w:val="00A35D8F"/>
    <w:rsid w:val="00A36026"/>
    <w:rsid w:val="00A360B8"/>
    <w:rsid w:val="00A361B2"/>
    <w:rsid w:val="00A3756B"/>
    <w:rsid w:val="00A3761D"/>
    <w:rsid w:val="00A40667"/>
    <w:rsid w:val="00A408EB"/>
    <w:rsid w:val="00A418D2"/>
    <w:rsid w:val="00A419F7"/>
    <w:rsid w:val="00A41D92"/>
    <w:rsid w:val="00A41EB6"/>
    <w:rsid w:val="00A42518"/>
    <w:rsid w:val="00A42BDC"/>
    <w:rsid w:val="00A512FF"/>
    <w:rsid w:val="00A5146E"/>
    <w:rsid w:val="00A516B3"/>
    <w:rsid w:val="00A52098"/>
    <w:rsid w:val="00A530F9"/>
    <w:rsid w:val="00A53680"/>
    <w:rsid w:val="00A53AA4"/>
    <w:rsid w:val="00A548FB"/>
    <w:rsid w:val="00A55604"/>
    <w:rsid w:val="00A56297"/>
    <w:rsid w:val="00A57A7C"/>
    <w:rsid w:val="00A57CE7"/>
    <w:rsid w:val="00A57D89"/>
    <w:rsid w:val="00A60D14"/>
    <w:rsid w:val="00A61AF1"/>
    <w:rsid w:val="00A62487"/>
    <w:rsid w:val="00A6318D"/>
    <w:rsid w:val="00A63831"/>
    <w:rsid w:val="00A642D7"/>
    <w:rsid w:val="00A64ED4"/>
    <w:rsid w:val="00A6583F"/>
    <w:rsid w:val="00A66B0C"/>
    <w:rsid w:val="00A70A6B"/>
    <w:rsid w:val="00A7136E"/>
    <w:rsid w:val="00A71CD1"/>
    <w:rsid w:val="00A7259F"/>
    <w:rsid w:val="00A72E92"/>
    <w:rsid w:val="00A73DA0"/>
    <w:rsid w:val="00A74134"/>
    <w:rsid w:val="00A7479F"/>
    <w:rsid w:val="00A747B9"/>
    <w:rsid w:val="00A74849"/>
    <w:rsid w:val="00A753EA"/>
    <w:rsid w:val="00A75A23"/>
    <w:rsid w:val="00A76452"/>
    <w:rsid w:val="00A76E2A"/>
    <w:rsid w:val="00A76E73"/>
    <w:rsid w:val="00A77315"/>
    <w:rsid w:val="00A824B7"/>
    <w:rsid w:val="00A82759"/>
    <w:rsid w:val="00A83437"/>
    <w:rsid w:val="00A835D5"/>
    <w:rsid w:val="00A839E7"/>
    <w:rsid w:val="00A83A47"/>
    <w:rsid w:val="00A84CE6"/>
    <w:rsid w:val="00A852B4"/>
    <w:rsid w:val="00A854A4"/>
    <w:rsid w:val="00A86315"/>
    <w:rsid w:val="00A864D0"/>
    <w:rsid w:val="00A91ED3"/>
    <w:rsid w:val="00A93036"/>
    <w:rsid w:val="00A934D8"/>
    <w:rsid w:val="00A93548"/>
    <w:rsid w:val="00A940EB"/>
    <w:rsid w:val="00A9509A"/>
    <w:rsid w:val="00A963C9"/>
    <w:rsid w:val="00A96721"/>
    <w:rsid w:val="00A968FA"/>
    <w:rsid w:val="00A9778F"/>
    <w:rsid w:val="00A97B27"/>
    <w:rsid w:val="00AA072E"/>
    <w:rsid w:val="00AA13D4"/>
    <w:rsid w:val="00AA14D1"/>
    <w:rsid w:val="00AA41C3"/>
    <w:rsid w:val="00AA43D6"/>
    <w:rsid w:val="00AA5B8E"/>
    <w:rsid w:val="00AA7FA0"/>
    <w:rsid w:val="00AB0027"/>
    <w:rsid w:val="00AB07D0"/>
    <w:rsid w:val="00AB0F45"/>
    <w:rsid w:val="00AB1AA1"/>
    <w:rsid w:val="00AB1D4C"/>
    <w:rsid w:val="00AB4956"/>
    <w:rsid w:val="00AB4B3D"/>
    <w:rsid w:val="00AB52EA"/>
    <w:rsid w:val="00AB5826"/>
    <w:rsid w:val="00AB6209"/>
    <w:rsid w:val="00AB700D"/>
    <w:rsid w:val="00AB749C"/>
    <w:rsid w:val="00AB7D40"/>
    <w:rsid w:val="00AC01AD"/>
    <w:rsid w:val="00AC0A01"/>
    <w:rsid w:val="00AC13FC"/>
    <w:rsid w:val="00AC1447"/>
    <w:rsid w:val="00AC1AF7"/>
    <w:rsid w:val="00AC244A"/>
    <w:rsid w:val="00AC2611"/>
    <w:rsid w:val="00AC33BE"/>
    <w:rsid w:val="00AC3805"/>
    <w:rsid w:val="00AC3845"/>
    <w:rsid w:val="00AC3A58"/>
    <w:rsid w:val="00AC4329"/>
    <w:rsid w:val="00AC495C"/>
    <w:rsid w:val="00AC50BA"/>
    <w:rsid w:val="00AC5327"/>
    <w:rsid w:val="00AC56D0"/>
    <w:rsid w:val="00AC610A"/>
    <w:rsid w:val="00AC6283"/>
    <w:rsid w:val="00AC69EB"/>
    <w:rsid w:val="00AD0A6F"/>
    <w:rsid w:val="00AD0F99"/>
    <w:rsid w:val="00AD0FCA"/>
    <w:rsid w:val="00AD106D"/>
    <w:rsid w:val="00AD11DA"/>
    <w:rsid w:val="00AD1D66"/>
    <w:rsid w:val="00AD1ECE"/>
    <w:rsid w:val="00AD2901"/>
    <w:rsid w:val="00AD49CB"/>
    <w:rsid w:val="00AD510A"/>
    <w:rsid w:val="00AD63C9"/>
    <w:rsid w:val="00AD641B"/>
    <w:rsid w:val="00AD65AD"/>
    <w:rsid w:val="00AD72AC"/>
    <w:rsid w:val="00AE1829"/>
    <w:rsid w:val="00AE34EA"/>
    <w:rsid w:val="00AE43B6"/>
    <w:rsid w:val="00AE45E1"/>
    <w:rsid w:val="00AE5118"/>
    <w:rsid w:val="00AE5B1D"/>
    <w:rsid w:val="00AE6109"/>
    <w:rsid w:val="00AE75EA"/>
    <w:rsid w:val="00AF0207"/>
    <w:rsid w:val="00AF0F5B"/>
    <w:rsid w:val="00AF1006"/>
    <w:rsid w:val="00AF1A74"/>
    <w:rsid w:val="00AF1FAD"/>
    <w:rsid w:val="00AF2BD8"/>
    <w:rsid w:val="00AF38CD"/>
    <w:rsid w:val="00AF40D8"/>
    <w:rsid w:val="00AF4717"/>
    <w:rsid w:val="00AF4A6E"/>
    <w:rsid w:val="00AF5380"/>
    <w:rsid w:val="00AF5856"/>
    <w:rsid w:val="00AF5B49"/>
    <w:rsid w:val="00AF5F09"/>
    <w:rsid w:val="00AF5F5D"/>
    <w:rsid w:val="00AF6A4F"/>
    <w:rsid w:val="00AF6F0A"/>
    <w:rsid w:val="00AF73A4"/>
    <w:rsid w:val="00AF73B5"/>
    <w:rsid w:val="00AF773D"/>
    <w:rsid w:val="00AF79CB"/>
    <w:rsid w:val="00B001ED"/>
    <w:rsid w:val="00B0120C"/>
    <w:rsid w:val="00B014F4"/>
    <w:rsid w:val="00B016E0"/>
    <w:rsid w:val="00B01B23"/>
    <w:rsid w:val="00B01BA5"/>
    <w:rsid w:val="00B02778"/>
    <w:rsid w:val="00B03A42"/>
    <w:rsid w:val="00B03DA6"/>
    <w:rsid w:val="00B03E19"/>
    <w:rsid w:val="00B0655F"/>
    <w:rsid w:val="00B0660F"/>
    <w:rsid w:val="00B068C6"/>
    <w:rsid w:val="00B0748F"/>
    <w:rsid w:val="00B10C19"/>
    <w:rsid w:val="00B11372"/>
    <w:rsid w:val="00B119D4"/>
    <w:rsid w:val="00B11CBF"/>
    <w:rsid w:val="00B12A0A"/>
    <w:rsid w:val="00B131EA"/>
    <w:rsid w:val="00B13450"/>
    <w:rsid w:val="00B13847"/>
    <w:rsid w:val="00B146B3"/>
    <w:rsid w:val="00B14964"/>
    <w:rsid w:val="00B15503"/>
    <w:rsid w:val="00B17744"/>
    <w:rsid w:val="00B17994"/>
    <w:rsid w:val="00B208E2"/>
    <w:rsid w:val="00B21F69"/>
    <w:rsid w:val="00B22035"/>
    <w:rsid w:val="00B23ED3"/>
    <w:rsid w:val="00B2468D"/>
    <w:rsid w:val="00B2499C"/>
    <w:rsid w:val="00B263A0"/>
    <w:rsid w:val="00B269C6"/>
    <w:rsid w:val="00B26C0A"/>
    <w:rsid w:val="00B273C8"/>
    <w:rsid w:val="00B273FE"/>
    <w:rsid w:val="00B27BBA"/>
    <w:rsid w:val="00B302D5"/>
    <w:rsid w:val="00B30459"/>
    <w:rsid w:val="00B30BBA"/>
    <w:rsid w:val="00B32B28"/>
    <w:rsid w:val="00B3390A"/>
    <w:rsid w:val="00B33C42"/>
    <w:rsid w:val="00B342C0"/>
    <w:rsid w:val="00B34455"/>
    <w:rsid w:val="00B345D9"/>
    <w:rsid w:val="00B360C0"/>
    <w:rsid w:val="00B37252"/>
    <w:rsid w:val="00B40534"/>
    <w:rsid w:val="00B414AD"/>
    <w:rsid w:val="00B41F05"/>
    <w:rsid w:val="00B427CB"/>
    <w:rsid w:val="00B4317E"/>
    <w:rsid w:val="00B43237"/>
    <w:rsid w:val="00B43534"/>
    <w:rsid w:val="00B4368C"/>
    <w:rsid w:val="00B43A1A"/>
    <w:rsid w:val="00B44530"/>
    <w:rsid w:val="00B4550E"/>
    <w:rsid w:val="00B46200"/>
    <w:rsid w:val="00B468F6"/>
    <w:rsid w:val="00B5031A"/>
    <w:rsid w:val="00B512E5"/>
    <w:rsid w:val="00B5191E"/>
    <w:rsid w:val="00B525E1"/>
    <w:rsid w:val="00B5261B"/>
    <w:rsid w:val="00B52B57"/>
    <w:rsid w:val="00B53AC4"/>
    <w:rsid w:val="00B541C3"/>
    <w:rsid w:val="00B5476A"/>
    <w:rsid w:val="00B54DF1"/>
    <w:rsid w:val="00B55068"/>
    <w:rsid w:val="00B555FC"/>
    <w:rsid w:val="00B559B2"/>
    <w:rsid w:val="00B60B36"/>
    <w:rsid w:val="00B60B60"/>
    <w:rsid w:val="00B618AD"/>
    <w:rsid w:val="00B61C60"/>
    <w:rsid w:val="00B62A22"/>
    <w:rsid w:val="00B63CA0"/>
    <w:rsid w:val="00B63EB8"/>
    <w:rsid w:val="00B64538"/>
    <w:rsid w:val="00B64904"/>
    <w:rsid w:val="00B64ED7"/>
    <w:rsid w:val="00B653B2"/>
    <w:rsid w:val="00B66D2E"/>
    <w:rsid w:val="00B678EB"/>
    <w:rsid w:val="00B70195"/>
    <w:rsid w:val="00B705CF"/>
    <w:rsid w:val="00B70D35"/>
    <w:rsid w:val="00B714FF"/>
    <w:rsid w:val="00B7253D"/>
    <w:rsid w:val="00B75EC4"/>
    <w:rsid w:val="00B76237"/>
    <w:rsid w:val="00B80F59"/>
    <w:rsid w:val="00B81462"/>
    <w:rsid w:val="00B81CCD"/>
    <w:rsid w:val="00B8248D"/>
    <w:rsid w:val="00B82F08"/>
    <w:rsid w:val="00B8494F"/>
    <w:rsid w:val="00B84AC9"/>
    <w:rsid w:val="00B85017"/>
    <w:rsid w:val="00B8556D"/>
    <w:rsid w:val="00B86A6F"/>
    <w:rsid w:val="00B905B5"/>
    <w:rsid w:val="00B90A15"/>
    <w:rsid w:val="00B90F5F"/>
    <w:rsid w:val="00B92FE9"/>
    <w:rsid w:val="00B941ED"/>
    <w:rsid w:val="00B94F53"/>
    <w:rsid w:val="00B9623D"/>
    <w:rsid w:val="00B965DF"/>
    <w:rsid w:val="00B966F8"/>
    <w:rsid w:val="00B96780"/>
    <w:rsid w:val="00B967D5"/>
    <w:rsid w:val="00B96BCF"/>
    <w:rsid w:val="00B979EA"/>
    <w:rsid w:val="00BA101A"/>
    <w:rsid w:val="00BA107A"/>
    <w:rsid w:val="00BA1BB9"/>
    <w:rsid w:val="00BA1BDA"/>
    <w:rsid w:val="00BA208A"/>
    <w:rsid w:val="00BA22AB"/>
    <w:rsid w:val="00BA22CE"/>
    <w:rsid w:val="00BA25C7"/>
    <w:rsid w:val="00BA351F"/>
    <w:rsid w:val="00BA3F8E"/>
    <w:rsid w:val="00BA44C6"/>
    <w:rsid w:val="00BA7B9D"/>
    <w:rsid w:val="00BB1A74"/>
    <w:rsid w:val="00BB1E80"/>
    <w:rsid w:val="00BB2BE9"/>
    <w:rsid w:val="00BB3357"/>
    <w:rsid w:val="00BB3DCD"/>
    <w:rsid w:val="00BB466B"/>
    <w:rsid w:val="00BB54CB"/>
    <w:rsid w:val="00BB563E"/>
    <w:rsid w:val="00BB6537"/>
    <w:rsid w:val="00BB6F22"/>
    <w:rsid w:val="00BB6FA3"/>
    <w:rsid w:val="00BB73B5"/>
    <w:rsid w:val="00BB7A3E"/>
    <w:rsid w:val="00BC0442"/>
    <w:rsid w:val="00BC1CE8"/>
    <w:rsid w:val="00BC36D7"/>
    <w:rsid w:val="00BC3A03"/>
    <w:rsid w:val="00BC41A3"/>
    <w:rsid w:val="00BC4B1A"/>
    <w:rsid w:val="00BC50CD"/>
    <w:rsid w:val="00BC606F"/>
    <w:rsid w:val="00BC6906"/>
    <w:rsid w:val="00BC761C"/>
    <w:rsid w:val="00BC7798"/>
    <w:rsid w:val="00BD0DCD"/>
    <w:rsid w:val="00BD14A8"/>
    <w:rsid w:val="00BD24CB"/>
    <w:rsid w:val="00BD4288"/>
    <w:rsid w:val="00BD51B0"/>
    <w:rsid w:val="00BD541B"/>
    <w:rsid w:val="00BD5F6D"/>
    <w:rsid w:val="00BD6456"/>
    <w:rsid w:val="00BD6F03"/>
    <w:rsid w:val="00BE0651"/>
    <w:rsid w:val="00BE067F"/>
    <w:rsid w:val="00BE0784"/>
    <w:rsid w:val="00BE19C3"/>
    <w:rsid w:val="00BE1BCD"/>
    <w:rsid w:val="00BE1EB5"/>
    <w:rsid w:val="00BE2B9B"/>
    <w:rsid w:val="00BE2E23"/>
    <w:rsid w:val="00BE2EF3"/>
    <w:rsid w:val="00BE300B"/>
    <w:rsid w:val="00BE3AF2"/>
    <w:rsid w:val="00BE3DFC"/>
    <w:rsid w:val="00BE4879"/>
    <w:rsid w:val="00BE4F99"/>
    <w:rsid w:val="00BE543F"/>
    <w:rsid w:val="00BE549B"/>
    <w:rsid w:val="00BE571B"/>
    <w:rsid w:val="00BE6A45"/>
    <w:rsid w:val="00BE707E"/>
    <w:rsid w:val="00BE799C"/>
    <w:rsid w:val="00BE7FF8"/>
    <w:rsid w:val="00BF0D0A"/>
    <w:rsid w:val="00BF1397"/>
    <w:rsid w:val="00BF1609"/>
    <w:rsid w:val="00BF1823"/>
    <w:rsid w:val="00BF1DE6"/>
    <w:rsid w:val="00BF590B"/>
    <w:rsid w:val="00BF5935"/>
    <w:rsid w:val="00BF61E8"/>
    <w:rsid w:val="00BF735C"/>
    <w:rsid w:val="00BF7853"/>
    <w:rsid w:val="00C013ED"/>
    <w:rsid w:val="00C015A7"/>
    <w:rsid w:val="00C01C1C"/>
    <w:rsid w:val="00C02B39"/>
    <w:rsid w:val="00C02BBD"/>
    <w:rsid w:val="00C02D8E"/>
    <w:rsid w:val="00C038B5"/>
    <w:rsid w:val="00C03B0F"/>
    <w:rsid w:val="00C03F01"/>
    <w:rsid w:val="00C0529E"/>
    <w:rsid w:val="00C05FC7"/>
    <w:rsid w:val="00C07668"/>
    <w:rsid w:val="00C10DA0"/>
    <w:rsid w:val="00C11169"/>
    <w:rsid w:val="00C1132E"/>
    <w:rsid w:val="00C11754"/>
    <w:rsid w:val="00C11FA6"/>
    <w:rsid w:val="00C12068"/>
    <w:rsid w:val="00C128B6"/>
    <w:rsid w:val="00C140B0"/>
    <w:rsid w:val="00C1504A"/>
    <w:rsid w:val="00C15CB0"/>
    <w:rsid w:val="00C17386"/>
    <w:rsid w:val="00C17B87"/>
    <w:rsid w:val="00C17CB9"/>
    <w:rsid w:val="00C20889"/>
    <w:rsid w:val="00C21046"/>
    <w:rsid w:val="00C2120E"/>
    <w:rsid w:val="00C217DE"/>
    <w:rsid w:val="00C2483C"/>
    <w:rsid w:val="00C25747"/>
    <w:rsid w:val="00C262B6"/>
    <w:rsid w:val="00C262BD"/>
    <w:rsid w:val="00C26DB3"/>
    <w:rsid w:val="00C316BE"/>
    <w:rsid w:val="00C320FB"/>
    <w:rsid w:val="00C322A1"/>
    <w:rsid w:val="00C32550"/>
    <w:rsid w:val="00C3346B"/>
    <w:rsid w:val="00C34E0A"/>
    <w:rsid w:val="00C35EFC"/>
    <w:rsid w:val="00C36875"/>
    <w:rsid w:val="00C40430"/>
    <w:rsid w:val="00C41D74"/>
    <w:rsid w:val="00C42256"/>
    <w:rsid w:val="00C43426"/>
    <w:rsid w:val="00C43785"/>
    <w:rsid w:val="00C43A72"/>
    <w:rsid w:val="00C46BBA"/>
    <w:rsid w:val="00C5009E"/>
    <w:rsid w:val="00C514F9"/>
    <w:rsid w:val="00C54BED"/>
    <w:rsid w:val="00C55945"/>
    <w:rsid w:val="00C5661C"/>
    <w:rsid w:val="00C5706D"/>
    <w:rsid w:val="00C579A7"/>
    <w:rsid w:val="00C60848"/>
    <w:rsid w:val="00C609FF"/>
    <w:rsid w:val="00C618AF"/>
    <w:rsid w:val="00C6227D"/>
    <w:rsid w:val="00C626F1"/>
    <w:rsid w:val="00C62E43"/>
    <w:rsid w:val="00C63AAF"/>
    <w:rsid w:val="00C6470E"/>
    <w:rsid w:val="00C64CE5"/>
    <w:rsid w:val="00C653B5"/>
    <w:rsid w:val="00C666BF"/>
    <w:rsid w:val="00C66FFF"/>
    <w:rsid w:val="00C672CB"/>
    <w:rsid w:val="00C674F8"/>
    <w:rsid w:val="00C702E2"/>
    <w:rsid w:val="00C706A7"/>
    <w:rsid w:val="00C7115B"/>
    <w:rsid w:val="00C729CE"/>
    <w:rsid w:val="00C73614"/>
    <w:rsid w:val="00C7550A"/>
    <w:rsid w:val="00C7630F"/>
    <w:rsid w:val="00C8057B"/>
    <w:rsid w:val="00C830E6"/>
    <w:rsid w:val="00C840E1"/>
    <w:rsid w:val="00C85659"/>
    <w:rsid w:val="00C858A9"/>
    <w:rsid w:val="00C8590D"/>
    <w:rsid w:val="00C85C95"/>
    <w:rsid w:val="00C86599"/>
    <w:rsid w:val="00C876D6"/>
    <w:rsid w:val="00C87F57"/>
    <w:rsid w:val="00C901AA"/>
    <w:rsid w:val="00C90858"/>
    <w:rsid w:val="00C90C7F"/>
    <w:rsid w:val="00C923FE"/>
    <w:rsid w:val="00C92D0B"/>
    <w:rsid w:val="00C92F39"/>
    <w:rsid w:val="00C9393A"/>
    <w:rsid w:val="00C95AD9"/>
    <w:rsid w:val="00C95D3A"/>
    <w:rsid w:val="00C95E96"/>
    <w:rsid w:val="00C96BA1"/>
    <w:rsid w:val="00C96E65"/>
    <w:rsid w:val="00CA0D82"/>
    <w:rsid w:val="00CA0E72"/>
    <w:rsid w:val="00CA33B8"/>
    <w:rsid w:val="00CA3C3A"/>
    <w:rsid w:val="00CA40B5"/>
    <w:rsid w:val="00CA41B3"/>
    <w:rsid w:val="00CA506A"/>
    <w:rsid w:val="00CA5AB2"/>
    <w:rsid w:val="00CA7979"/>
    <w:rsid w:val="00CB06A1"/>
    <w:rsid w:val="00CB2D7E"/>
    <w:rsid w:val="00CB30F2"/>
    <w:rsid w:val="00CB38E3"/>
    <w:rsid w:val="00CB3F62"/>
    <w:rsid w:val="00CB3FA2"/>
    <w:rsid w:val="00CB4326"/>
    <w:rsid w:val="00CB4DF6"/>
    <w:rsid w:val="00CB5D82"/>
    <w:rsid w:val="00CB60E4"/>
    <w:rsid w:val="00CB6604"/>
    <w:rsid w:val="00CC0DBD"/>
    <w:rsid w:val="00CC10F4"/>
    <w:rsid w:val="00CC1878"/>
    <w:rsid w:val="00CC18C4"/>
    <w:rsid w:val="00CC221E"/>
    <w:rsid w:val="00CC28F7"/>
    <w:rsid w:val="00CC2BFB"/>
    <w:rsid w:val="00CC3E3E"/>
    <w:rsid w:val="00CC57C2"/>
    <w:rsid w:val="00CC72AB"/>
    <w:rsid w:val="00CC7544"/>
    <w:rsid w:val="00CC7E22"/>
    <w:rsid w:val="00CC7F00"/>
    <w:rsid w:val="00CC7FC4"/>
    <w:rsid w:val="00CD0079"/>
    <w:rsid w:val="00CD1F85"/>
    <w:rsid w:val="00CD2711"/>
    <w:rsid w:val="00CD27DF"/>
    <w:rsid w:val="00CD3927"/>
    <w:rsid w:val="00CD39D9"/>
    <w:rsid w:val="00CD3DD1"/>
    <w:rsid w:val="00CD436F"/>
    <w:rsid w:val="00CD4FC4"/>
    <w:rsid w:val="00CD530F"/>
    <w:rsid w:val="00CD5799"/>
    <w:rsid w:val="00CD60C7"/>
    <w:rsid w:val="00CD6746"/>
    <w:rsid w:val="00CD6E2E"/>
    <w:rsid w:val="00CD6E53"/>
    <w:rsid w:val="00CD72B5"/>
    <w:rsid w:val="00CD7A5B"/>
    <w:rsid w:val="00CD7AF9"/>
    <w:rsid w:val="00CE0C84"/>
    <w:rsid w:val="00CE13DB"/>
    <w:rsid w:val="00CE18FC"/>
    <w:rsid w:val="00CE1971"/>
    <w:rsid w:val="00CE24EF"/>
    <w:rsid w:val="00CE2637"/>
    <w:rsid w:val="00CE28CD"/>
    <w:rsid w:val="00CE2B55"/>
    <w:rsid w:val="00CE322A"/>
    <w:rsid w:val="00CE3CEC"/>
    <w:rsid w:val="00CE4108"/>
    <w:rsid w:val="00CE4E31"/>
    <w:rsid w:val="00CE5811"/>
    <w:rsid w:val="00CE6885"/>
    <w:rsid w:val="00CE6ABB"/>
    <w:rsid w:val="00CE7341"/>
    <w:rsid w:val="00CE7E57"/>
    <w:rsid w:val="00CF05AF"/>
    <w:rsid w:val="00CF07C9"/>
    <w:rsid w:val="00CF1982"/>
    <w:rsid w:val="00CF5843"/>
    <w:rsid w:val="00CF59B8"/>
    <w:rsid w:val="00CF5D55"/>
    <w:rsid w:val="00CF6190"/>
    <w:rsid w:val="00CF6504"/>
    <w:rsid w:val="00CF6C78"/>
    <w:rsid w:val="00CF6E39"/>
    <w:rsid w:val="00CF7C74"/>
    <w:rsid w:val="00D0099F"/>
    <w:rsid w:val="00D00BE9"/>
    <w:rsid w:val="00D02A76"/>
    <w:rsid w:val="00D03247"/>
    <w:rsid w:val="00D034B7"/>
    <w:rsid w:val="00D03C91"/>
    <w:rsid w:val="00D0426E"/>
    <w:rsid w:val="00D049EA"/>
    <w:rsid w:val="00D04E6C"/>
    <w:rsid w:val="00D0579F"/>
    <w:rsid w:val="00D05D63"/>
    <w:rsid w:val="00D10574"/>
    <w:rsid w:val="00D1110E"/>
    <w:rsid w:val="00D117EB"/>
    <w:rsid w:val="00D13116"/>
    <w:rsid w:val="00D14D1D"/>
    <w:rsid w:val="00D1659C"/>
    <w:rsid w:val="00D176EA"/>
    <w:rsid w:val="00D177C1"/>
    <w:rsid w:val="00D1794A"/>
    <w:rsid w:val="00D17BE0"/>
    <w:rsid w:val="00D219B7"/>
    <w:rsid w:val="00D224B3"/>
    <w:rsid w:val="00D242B5"/>
    <w:rsid w:val="00D24508"/>
    <w:rsid w:val="00D25692"/>
    <w:rsid w:val="00D257CC"/>
    <w:rsid w:val="00D2588B"/>
    <w:rsid w:val="00D25D9C"/>
    <w:rsid w:val="00D2684E"/>
    <w:rsid w:val="00D26EA0"/>
    <w:rsid w:val="00D26EEF"/>
    <w:rsid w:val="00D2714A"/>
    <w:rsid w:val="00D27151"/>
    <w:rsid w:val="00D27773"/>
    <w:rsid w:val="00D27E54"/>
    <w:rsid w:val="00D3176C"/>
    <w:rsid w:val="00D325CD"/>
    <w:rsid w:val="00D32EE9"/>
    <w:rsid w:val="00D3313A"/>
    <w:rsid w:val="00D3336E"/>
    <w:rsid w:val="00D3350D"/>
    <w:rsid w:val="00D33A75"/>
    <w:rsid w:val="00D3456E"/>
    <w:rsid w:val="00D348F8"/>
    <w:rsid w:val="00D34DFA"/>
    <w:rsid w:val="00D3518C"/>
    <w:rsid w:val="00D360BA"/>
    <w:rsid w:val="00D373F9"/>
    <w:rsid w:val="00D374CA"/>
    <w:rsid w:val="00D40788"/>
    <w:rsid w:val="00D40A97"/>
    <w:rsid w:val="00D41E6A"/>
    <w:rsid w:val="00D427C8"/>
    <w:rsid w:val="00D4294A"/>
    <w:rsid w:val="00D42A8E"/>
    <w:rsid w:val="00D438F5"/>
    <w:rsid w:val="00D444E0"/>
    <w:rsid w:val="00D4497A"/>
    <w:rsid w:val="00D44D6C"/>
    <w:rsid w:val="00D456E4"/>
    <w:rsid w:val="00D465AD"/>
    <w:rsid w:val="00D46B5A"/>
    <w:rsid w:val="00D4790C"/>
    <w:rsid w:val="00D479D5"/>
    <w:rsid w:val="00D51011"/>
    <w:rsid w:val="00D510AC"/>
    <w:rsid w:val="00D51F41"/>
    <w:rsid w:val="00D5249B"/>
    <w:rsid w:val="00D53A9C"/>
    <w:rsid w:val="00D54944"/>
    <w:rsid w:val="00D553AB"/>
    <w:rsid w:val="00D55523"/>
    <w:rsid w:val="00D55708"/>
    <w:rsid w:val="00D55C11"/>
    <w:rsid w:val="00D55E11"/>
    <w:rsid w:val="00D56855"/>
    <w:rsid w:val="00D57D7E"/>
    <w:rsid w:val="00D604F2"/>
    <w:rsid w:val="00D6075C"/>
    <w:rsid w:val="00D6139D"/>
    <w:rsid w:val="00D62022"/>
    <w:rsid w:val="00D623B4"/>
    <w:rsid w:val="00D626A8"/>
    <w:rsid w:val="00D63757"/>
    <w:rsid w:val="00D63E01"/>
    <w:rsid w:val="00D64237"/>
    <w:rsid w:val="00D6540C"/>
    <w:rsid w:val="00D66E31"/>
    <w:rsid w:val="00D66E69"/>
    <w:rsid w:val="00D673A2"/>
    <w:rsid w:val="00D6750F"/>
    <w:rsid w:val="00D677ED"/>
    <w:rsid w:val="00D7064B"/>
    <w:rsid w:val="00D7081B"/>
    <w:rsid w:val="00D7094D"/>
    <w:rsid w:val="00D70C6B"/>
    <w:rsid w:val="00D71239"/>
    <w:rsid w:val="00D717EE"/>
    <w:rsid w:val="00D73297"/>
    <w:rsid w:val="00D735D6"/>
    <w:rsid w:val="00D73E2D"/>
    <w:rsid w:val="00D744F5"/>
    <w:rsid w:val="00D74A54"/>
    <w:rsid w:val="00D75056"/>
    <w:rsid w:val="00D75EC4"/>
    <w:rsid w:val="00D76904"/>
    <w:rsid w:val="00D76E61"/>
    <w:rsid w:val="00D80FEC"/>
    <w:rsid w:val="00D815BF"/>
    <w:rsid w:val="00D81DC4"/>
    <w:rsid w:val="00D8222C"/>
    <w:rsid w:val="00D82B07"/>
    <w:rsid w:val="00D82B64"/>
    <w:rsid w:val="00D8534F"/>
    <w:rsid w:val="00D85992"/>
    <w:rsid w:val="00D85DF2"/>
    <w:rsid w:val="00D85E50"/>
    <w:rsid w:val="00D860B8"/>
    <w:rsid w:val="00D86ACC"/>
    <w:rsid w:val="00D8781A"/>
    <w:rsid w:val="00D878BE"/>
    <w:rsid w:val="00D91442"/>
    <w:rsid w:val="00D91D36"/>
    <w:rsid w:val="00D93237"/>
    <w:rsid w:val="00D958A5"/>
    <w:rsid w:val="00D95EEB"/>
    <w:rsid w:val="00D96A91"/>
    <w:rsid w:val="00D97140"/>
    <w:rsid w:val="00D97690"/>
    <w:rsid w:val="00D976A7"/>
    <w:rsid w:val="00D9776A"/>
    <w:rsid w:val="00DA04D9"/>
    <w:rsid w:val="00DA1049"/>
    <w:rsid w:val="00DA1252"/>
    <w:rsid w:val="00DA28BC"/>
    <w:rsid w:val="00DA2AAA"/>
    <w:rsid w:val="00DA47A3"/>
    <w:rsid w:val="00DA50BD"/>
    <w:rsid w:val="00DA5301"/>
    <w:rsid w:val="00DA709B"/>
    <w:rsid w:val="00DA78D5"/>
    <w:rsid w:val="00DB040A"/>
    <w:rsid w:val="00DB04C0"/>
    <w:rsid w:val="00DB0691"/>
    <w:rsid w:val="00DB15B7"/>
    <w:rsid w:val="00DB170E"/>
    <w:rsid w:val="00DB25B4"/>
    <w:rsid w:val="00DB2BA7"/>
    <w:rsid w:val="00DB43B8"/>
    <w:rsid w:val="00DB4599"/>
    <w:rsid w:val="00DB527A"/>
    <w:rsid w:val="00DB529D"/>
    <w:rsid w:val="00DB5BDD"/>
    <w:rsid w:val="00DB5FE1"/>
    <w:rsid w:val="00DB6283"/>
    <w:rsid w:val="00DB6E3E"/>
    <w:rsid w:val="00DB725F"/>
    <w:rsid w:val="00DB7632"/>
    <w:rsid w:val="00DB770E"/>
    <w:rsid w:val="00DB7BBF"/>
    <w:rsid w:val="00DB7F7D"/>
    <w:rsid w:val="00DC0141"/>
    <w:rsid w:val="00DC0398"/>
    <w:rsid w:val="00DC1BD2"/>
    <w:rsid w:val="00DC24DC"/>
    <w:rsid w:val="00DC2ACD"/>
    <w:rsid w:val="00DC315E"/>
    <w:rsid w:val="00DC3EE4"/>
    <w:rsid w:val="00DC45E5"/>
    <w:rsid w:val="00DC60B0"/>
    <w:rsid w:val="00DC7678"/>
    <w:rsid w:val="00DD0704"/>
    <w:rsid w:val="00DD0D09"/>
    <w:rsid w:val="00DD10D3"/>
    <w:rsid w:val="00DD2286"/>
    <w:rsid w:val="00DD3435"/>
    <w:rsid w:val="00DD477E"/>
    <w:rsid w:val="00DD480E"/>
    <w:rsid w:val="00DD4935"/>
    <w:rsid w:val="00DE00F7"/>
    <w:rsid w:val="00DE0B0C"/>
    <w:rsid w:val="00DE234A"/>
    <w:rsid w:val="00DE2EFC"/>
    <w:rsid w:val="00DE34ED"/>
    <w:rsid w:val="00DE3E6C"/>
    <w:rsid w:val="00DE42CD"/>
    <w:rsid w:val="00DE4729"/>
    <w:rsid w:val="00DE4FC0"/>
    <w:rsid w:val="00DE53F2"/>
    <w:rsid w:val="00DE56C5"/>
    <w:rsid w:val="00DE5AA3"/>
    <w:rsid w:val="00DE5C52"/>
    <w:rsid w:val="00DE71CD"/>
    <w:rsid w:val="00DE7A5A"/>
    <w:rsid w:val="00DE7A8E"/>
    <w:rsid w:val="00DF039C"/>
    <w:rsid w:val="00DF06F0"/>
    <w:rsid w:val="00DF0946"/>
    <w:rsid w:val="00DF0D7C"/>
    <w:rsid w:val="00DF1706"/>
    <w:rsid w:val="00DF1988"/>
    <w:rsid w:val="00DF1D82"/>
    <w:rsid w:val="00DF315E"/>
    <w:rsid w:val="00DF451D"/>
    <w:rsid w:val="00DF4F00"/>
    <w:rsid w:val="00DF563C"/>
    <w:rsid w:val="00DF6125"/>
    <w:rsid w:val="00E000C8"/>
    <w:rsid w:val="00E00197"/>
    <w:rsid w:val="00E005BA"/>
    <w:rsid w:val="00E01366"/>
    <w:rsid w:val="00E01531"/>
    <w:rsid w:val="00E0345A"/>
    <w:rsid w:val="00E039CE"/>
    <w:rsid w:val="00E03A31"/>
    <w:rsid w:val="00E03C9B"/>
    <w:rsid w:val="00E076B2"/>
    <w:rsid w:val="00E105DA"/>
    <w:rsid w:val="00E10E3A"/>
    <w:rsid w:val="00E10E63"/>
    <w:rsid w:val="00E1160D"/>
    <w:rsid w:val="00E11E66"/>
    <w:rsid w:val="00E122E1"/>
    <w:rsid w:val="00E12841"/>
    <w:rsid w:val="00E12CF1"/>
    <w:rsid w:val="00E12E96"/>
    <w:rsid w:val="00E12FB6"/>
    <w:rsid w:val="00E13392"/>
    <w:rsid w:val="00E1377E"/>
    <w:rsid w:val="00E146A6"/>
    <w:rsid w:val="00E16F0E"/>
    <w:rsid w:val="00E17C5E"/>
    <w:rsid w:val="00E20A00"/>
    <w:rsid w:val="00E21026"/>
    <w:rsid w:val="00E21800"/>
    <w:rsid w:val="00E22D90"/>
    <w:rsid w:val="00E22D91"/>
    <w:rsid w:val="00E2617C"/>
    <w:rsid w:val="00E270BE"/>
    <w:rsid w:val="00E275A9"/>
    <w:rsid w:val="00E277C6"/>
    <w:rsid w:val="00E307AE"/>
    <w:rsid w:val="00E31780"/>
    <w:rsid w:val="00E31E4B"/>
    <w:rsid w:val="00E3250E"/>
    <w:rsid w:val="00E337AF"/>
    <w:rsid w:val="00E33DE9"/>
    <w:rsid w:val="00E35318"/>
    <w:rsid w:val="00E35851"/>
    <w:rsid w:val="00E3602A"/>
    <w:rsid w:val="00E365D7"/>
    <w:rsid w:val="00E36E4E"/>
    <w:rsid w:val="00E37317"/>
    <w:rsid w:val="00E378E4"/>
    <w:rsid w:val="00E37DB1"/>
    <w:rsid w:val="00E40C95"/>
    <w:rsid w:val="00E413A2"/>
    <w:rsid w:val="00E414C5"/>
    <w:rsid w:val="00E419C6"/>
    <w:rsid w:val="00E419F4"/>
    <w:rsid w:val="00E42DCB"/>
    <w:rsid w:val="00E4397B"/>
    <w:rsid w:val="00E45769"/>
    <w:rsid w:val="00E45C7E"/>
    <w:rsid w:val="00E45D4D"/>
    <w:rsid w:val="00E4630B"/>
    <w:rsid w:val="00E46ED2"/>
    <w:rsid w:val="00E474CC"/>
    <w:rsid w:val="00E47C8A"/>
    <w:rsid w:val="00E47E32"/>
    <w:rsid w:val="00E533F3"/>
    <w:rsid w:val="00E535B6"/>
    <w:rsid w:val="00E5371E"/>
    <w:rsid w:val="00E53D2B"/>
    <w:rsid w:val="00E53DCB"/>
    <w:rsid w:val="00E564A0"/>
    <w:rsid w:val="00E56699"/>
    <w:rsid w:val="00E60254"/>
    <w:rsid w:val="00E602E7"/>
    <w:rsid w:val="00E6031C"/>
    <w:rsid w:val="00E60ABA"/>
    <w:rsid w:val="00E60EB6"/>
    <w:rsid w:val="00E619C1"/>
    <w:rsid w:val="00E642A2"/>
    <w:rsid w:val="00E6481E"/>
    <w:rsid w:val="00E64FB1"/>
    <w:rsid w:val="00E65A91"/>
    <w:rsid w:val="00E66084"/>
    <w:rsid w:val="00E70988"/>
    <w:rsid w:val="00E733BA"/>
    <w:rsid w:val="00E738D0"/>
    <w:rsid w:val="00E75505"/>
    <w:rsid w:val="00E7657D"/>
    <w:rsid w:val="00E77B79"/>
    <w:rsid w:val="00E8043C"/>
    <w:rsid w:val="00E814E4"/>
    <w:rsid w:val="00E81BFB"/>
    <w:rsid w:val="00E825C5"/>
    <w:rsid w:val="00E82FA2"/>
    <w:rsid w:val="00E830F7"/>
    <w:rsid w:val="00E8379A"/>
    <w:rsid w:val="00E84663"/>
    <w:rsid w:val="00E84B24"/>
    <w:rsid w:val="00E87D8F"/>
    <w:rsid w:val="00E87D93"/>
    <w:rsid w:val="00E87DF3"/>
    <w:rsid w:val="00E87F6C"/>
    <w:rsid w:val="00E90263"/>
    <w:rsid w:val="00E9343C"/>
    <w:rsid w:val="00E939D5"/>
    <w:rsid w:val="00E94242"/>
    <w:rsid w:val="00E954EE"/>
    <w:rsid w:val="00E9598D"/>
    <w:rsid w:val="00E95A07"/>
    <w:rsid w:val="00E973FC"/>
    <w:rsid w:val="00EA0229"/>
    <w:rsid w:val="00EA14A6"/>
    <w:rsid w:val="00EA174E"/>
    <w:rsid w:val="00EA2BC7"/>
    <w:rsid w:val="00EA3C2F"/>
    <w:rsid w:val="00EA4D3E"/>
    <w:rsid w:val="00EA5217"/>
    <w:rsid w:val="00EA73A5"/>
    <w:rsid w:val="00EA7B6E"/>
    <w:rsid w:val="00EB01CD"/>
    <w:rsid w:val="00EB11F6"/>
    <w:rsid w:val="00EB1DC7"/>
    <w:rsid w:val="00EB2500"/>
    <w:rsid w:val="00EB3309"/>
    <w:rsid w:val="00EB3F6E"/>
    <w:rsid w:val="00EB5494"/>
    <w:rsid w:val="00EB5971"/>
    <w:rsid w:val="00EB6615"/>
    <w:rsid w:val="00EB6D85"/>
    <w:rsid w:val="00EC072E"/>
    <w:rsid w:val="00EC0D89"/>
    <w:rsid w:val="00EC2672"/>
    <w:rsid w:val="00EC38B8"/>
    <w:rsid w:val="00EC39C6"/>
    <w:rsid w:val="00EC3BDD"/>
    <w:rsid w:val="00EC4C56"/>
    <w:rsid w:val="00EC54DC"/>
    <w:rsid w:val="00EC58A4"/>
    <w:rsid w:val="00EC6218"/>
    <w:rsid w:val="00EC634B"/>
    <w:rsid w:val="00EC6467"/>
    <w:rsid w:val="00EC78E4"/>
    <w:rsid w:val="00EC7B9E"/>
    <w:rsid w:val="00ED06E1"/>
    <w:rsid w:val="00ED155C"/>
    <w:rsid w:val="00ED1687"/>
    <w:rsid w:val="00ED19CB"/>
    <w:rsid w:val="00ED1B75"/>
    <w:rsid w:val="00ED1D76"/>
    <w:rsid w:val="00ED2830"/>
    <w:rsid w:val="00ED2903"/>
    <w:rsid w:val="00ED329E"/>
    <w:rsid w:val="00ED36F3"/>
    <w:rsid w:val="00ED4297"/>
    <w:rsid w:val="00ED4BD7"/>
    <w:rsid w:val="00ED51D2"/>
    <w:rsid w:val="00ED5C43"/>
    <w:rsid w:val="00ED7DFA"/>
    <w:rsid w:val="00EE0292"/>
    <w:rsid w:val="00EE1E80"/>
    <w:rsid w:val="00EE22F7"/>
    <w:rsid w:val="00EE2CE6"/>
    <w:rsid w:val="00EE2ECD"/>
    <w:rsid w:val="00EE36DE"/>
    <w:rsid w:val="00EE38D7"/>
    <w:rsid w:val="00EE3BC0"/>
    <w:rsid w:val="00EE5052"/>
    <w:rsid w:val="00EE5CB8"/>
    <w:rsid w:val="00EE73C6"/>
    <w:rsid w:val="00EF02D8"/>
    <w:rsid w:val="00EF3488"/>
    <w:rsid w:val="00EF3556"/>
    <w:rsid w:val="00EF3F3B"/>
    <w:rsid w:val="00EF5FAF"/>
    <w:rsid w:val="00EF6DDE"/>
    <w:rsid w:val="00EF71C9"/>
    <w:rsid w:val="00F0077C"/>
    <w:rsid w:val="00F01BE8"/>
    <w:rsid w:val="00F01E92"/>
    <w:rsid w:val="00F02369"/>
    <w:rsid w:val="00F0412C"/>
    <w:rsid w:val="00F048A6"/>
    <w:rsid w:val="00F056DD"/>
    <w:rsid w:val="00F05A11"/>
    <w:rsid w:val="00F05DCB"/>
    <w:rsid w:val="00F077B4"/>
    <w:rsid w:val="00F07E82"/>
    <w:rsid w:val="00F10748"/>
    <w:rsid w:val="00F1184D"/>
    <w:rsid w:val="00F130F6"/>
    <w:rsid w:val="00F14E36"/>
    <w:rsid w:val="00F150AB"/>
    <w:rsid w:val="00F157C4"/>
    <w:rsid w:val="00F16057"/>
    <w:rsid w:val="00F16E03"/>
    <w:rsid w:val="00F202B0"/>
    <w:rsid w:val="00F21CC8"/>
    <w:rsid w:val="00F22817"/>
    <w:rsid w:val="00F23E14"/>
    <w:rsid w:val="00F246BC"/>
    <w:rsid w:val="00F24C3C"/>
    <w:rsid w:val="00F24E71"/>
    <w:rsid w:val="00F25A6A"/>
    <w:rsid w:val="00F25CC6"/>
    <w:rsid w:val="00F265FE"/>
    <w:rsid w:val="00F308BD"/>
    <w:rsid w:val="00F30DB0"/>
    <w:rsid w:val="00F328A1"/>
    <w:rsid w:val="00F328CF"/>
    <w:rsid w:val="00F32B0E"/>
    <w:rsid w:val="00F32C0E"/>
    <w:rsid w:val="00F3401C"/>
    <w:rsid w:val="00F34A81"/>
    <w:rsid w:val="00F34DA9"/>
    <w:rsid w:val="00F35848"/>
    <w:rsid w:val="00F360C5"/>
    <w:rsid w:val="00F36A17"/>
    <w:rsid w:val="00F36F95"/>
    <w:rsid w:val="00F375F7"/>
    <w:rsid w:val="00F37BD3"/>
    <w:rsid w:val="00F37E08"/>
    <w:rsid w:val="00F40627"/>
    <w:rsid w:val="00F40700"/>
    <w:rsid w:val="00F40912"/>
    <w:rsid w:val="00F40BB2"/>
    <w:rsid w:val="00F4195C"/>
    <w:rsid w:val="00F419E4"/>
    <w:rsid w:val="00F41E00"/>
    <w:rsid w:val="00F41E5B"/>
    <w:rsid w:val="00F43560"/>
    <w:rsid w:val="00F43F61"/>
    <w:rsid w:val="00F448ED"/>
    <w:rsid w:val="00F44B82"/>
    <w:rsid w:val="00F44BD0"/>
    <w:rsid w:val="00F451CF"/>
    <w:rsid w:val="00F46BCB"/>
    <w:rsid w:val="00F473F4"/>
    <w:rsid w:val="00F509E4"/>
    <w:rsid w:val="00F5120E"/>
    <w:rsid w:val="00F51B6A"/>
    <w:rsid w:val="00F51EEC"/>
    <w:rsid w:val="00F52619"/>
    <w:rsid w:val="00F52966"/>
    <w:rsid w:val="00F530DA"/>
    <w:rsid w:val="00F5334D"/>
    <w:rsid w:val="00F54DC6"/>
    <w:rsid w:val="00F5551D"/>
    <w:rsid w:val="00F55725"/>
    <w:rsid w:val="00F57774"/>
    <w:rsid w:val="00F57971"/>
    <w:rsid w:val="00F60232"/>
    <w:rsid w:val="00F603CB"/>
    <w:rsid w:val="00F60C70"/>
    <w:rsid w:val="00F61F48"/>
    <w:rsid w:val="00F623E2"/>
    <w:rsid w:val="00F630F2"/>
    <w:rsid w:val="00F63E17"/>
    <w:rsid w:val="00F64205"/>
    <w:rsid w:val="00F648B8"/>
    <w:rsid w:val="00F65493"/>
    <w:rsid w:val="00F654AB"/>
    <w:rsid w:val="00F65BD0"/>
    <w:rsid w:val="00F66FA9"/>
    <w:rsid w:val="00F67020"/>
    <w:rsid w:val="00F673FD"/>
    <w:rsid w:val="00F704F6"/>
    <w:rsid w:val="00F706B2"/>
    <w:rsid w:val="00F71C93"/>
    <w:rsid w:val="00F71E08"/>
    <w:rsid w:val="00F72968"/>
    <w:rsid w:val="00F72D70"/>
    <w:rsid w:val="00F747EF"/>
    <w:rsid w:val="00F74A23"/>
    <w:rsid w:val="00F752EC"/>
    <w:rsid w:val="00F80DF1"/>
    <w:rsid w:val="00F81341"/>
    <w:rsid w:val="00F814D1"/>
    <w:rsid w:val="00F82EAD"/>
    <w:rsid w:val="00F8347B"/>
    <w:rsid w:val="00F83A77"/>
    <w:rsid w:val="00F8540D"/>
    <w:rsid w:val="00F8544B"/>
    <w:rsid w:val="00F85BF8"/>
    <w:rsid w:val="00F9083E"/>
    <w:rsid w:val="00F9091D"/>
    <w:rsid w:val="00F92B39"/>
    <w:rsid w:val="00F94643"/>
    <w:rsid w:val="00F94C68"/>
    <w:rsid w:val="00F954D0"/>
    <w:rsid w:val="00F96008"/>
    <w:rsid w:val="00F96634"/>
    <w:rsid w:val="00F97395"/>
    <w:rsid w:val="00F97940"/>
    <w:rsid w:val="00FA09FC"/>
    <w:rsid w:val="00FA0C82"/>
    <w:rsid w:val="00FA0F48"/>
    <w:rsid w:val="00FA10E9"/>
    <w:rsid w:val="00FA1111"/>
    <w:rsid w:val="00FA187F"/>
    <w:rsid w:val="00FA25AF"/>
    <w:rsid w:val="00FA2612"/>
    <w:rsid w:val="00FA26E5"/>
    <w:rsid w:val="00FA283F"/>
    <w:rsid w:val="00FA3C83"/>
    <w:rsid w:val="00FA41FF"/>
    <w:rsid w:val="00FA5D20"/>
    <w:rsid w:val="00FA73A5"/>
    <w:rsid w:val="00FB070C"/>
    <w:rsid w:val="00FB07FE"/>
    <w:rsid w:val="00FB0A9C"/>
    <w:rsid w:val="00FB185E"/>
    <w:rsid w:val="00FB24BB"/>
    <w:rsid w:val="00FB2E70"/>
    <w:rsid w:val="00FB3A38"/>
    <w:rsid w:val="00FB3AE4"/>
    <w:rsid w:val="00FB40F5"/>
    <w:rsid w:val="00FB459C"/>
    <w:rsid w:val="00FB48E4"/>
    <w:rsid w:val="00FB510E"/>
    <w:rsid w:val="00FB6C7B"/>
    <w:rsid w:val="00FB7A71"/>
    <w:rsid w:val="00FB7B2B"/>
    <w:rsid w:val="00FC0174"/>
    <w:rsid w:val="00FC0C53"/>
    <w:rsid w:val="00FC2A09"/>
    <w:rsid w:val="00FC2B4E"/>
    <w:rsid w:val="00FC3E65"/>
    <w:rsid w:val="00FC42E8"/>
    <w:rsid w:val="00FC4CC2"/>
    <w:rsid w:val="00FC71D2"/>
    <w:rsid w:val="00FC7792"/>
    <w:rsid w:val="00FC7EFC"/>
    <w:rsid w:val="00FD0078"/>
    <w:rsid w:val="00FD115F"/>
    <w:rsid w:val="00FD2113"/>
    <w:rsid w:val="00FD21BE"/>
    <w:rsid w:val="00FD2661"/>
    <w:rsid w:val="00FD3B03"/>
    <w:rsid w:val="00FD4E28"/>
    <w:rsid w:val="00FD5228"/>
    <w:rsid w:val="00FD79B9"/>
    <w:rsid w:val="00FE0258"/>
    <w:rsid w:val="00FE0311"/>
    <w:rsid w:val="00FE04ED"/>
    <w:rsid w:val="00FE0E4D"/>
    <w:rsid w:val="00FE27C2"/>
    <w:rsid w:val="00FE4841"/>
    <w:rsid w:val="00FE4E51"/>
    <w:rsid w:val="00FE5145"/>
    <w:rsid w:val="00FE54F0"/>
    <w:rsid w:val="00FE693D"/>
    <w:rsid w:val="00FE6F28"/>
    <w:rsid w:val="00FE74B5"/>
    <w:rsid w:val="00FE7E2E"/>
    <w:rsid w:val="00FF0505"/>
    <w:rsid w:val="00FF1663"/>
    <w:rsid w:val="00FF16F8"/>
    <w:rsid w:val="00FF1943"/>
    <w:rsid w:val="00FF2F77"/>
    <w:rsid w:val="00FF4515"/>
    <w:rsid w:val="00FF4FAE"/>
    <w:rsid w:val="00FF5FDE"/>
    <w:rsid w:val="00FF6581"/>
    <w:rsid w:val="00FF67F0"/>
    <w:rsid w:val="00FF6D32"/>
    <w:rsid w:val="00FF775D"/>
    <w:rsid w:val="0419E93F"/>
    <w:rsid w:val="072CABDB"/>
    <w:rsid w:val="097CD6EB"/>
    <w:rsid w:val="0E3B76CA"/>
    <w:rsid w:val="0FA91AB9"/>
    <w:rsid w:val="0FC5A6B2"/>
    <w:rsid w:val="14F3AC12"/>
    <w:rsid w:val="150B0C46"/>
    <w:rsid w:val="169FEC3B"/>
    <w:rsid w:val="1B7C4703"/>
    <w:rsid w:val="1C3ABA47"/>
    <w:rsid w:val="1E09AE4D"/>
    <w:rsid w:val="21037B5D"/>
    <w:rsid w:val="21B906BD"/>
    <w:rsid w:val="24029F39"/>
    <w:rsid w:val="26A1D9CD"/>
    <w:rsid w:val="27A93B80"/>
    <w:rsid w:val="2AA30890"/>
    <w:rsid w:val="2C0FE3F7"/>
    <w:rsid w:val="2CCEECF2"/>
    <w:rsid w:val="3666BF70"/>
    <w:rsid w:val="37EB60AD"/>
    <w:rsid w:val="3830579C"/>
    <w:rsid w:val="3B942B97"/>
    <w:rsid w:val="3F392E3E"/>
    <w:rsid w:val="427EE2A9"/>
    <w:rsid w:val="474ACBE8"/>
    <w:rsid w:val="4C90317C"/>
    <w:rsid w:val="582FB020"/>
    <w:rsid w:val="5B92AC5B"/>
    <w:rsid w:val="5C392632"/>
    <w:rsid w:val="5C6BB420"/>
    <w:rsid w:val="5F6EBF62"/>
    <w:rsid w:val="61050F71"/>
    <w:rsid w:val="64ADDA5B"/>
    <w:rsid w:val="6512856C"/>
    <w:rsid w:val="6A999CF6"/>
    <w:rsid w:val="6A9CE1EF"/>
    <w:rsid w:val="6C5704B1"/>
    <w:rsid w:val="6C7B4B5F"/>
    <w:rsid w:val="6F49170C"/>
    <w:rsid w:val="73731900"/>
    <w:rsid w:val="7B47E0D8"/>
    <w:rsid w:val="7C9929DE"/>
    <w:rsid w:val="7D6F968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7A40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2C7"/>
    <w:rPr>
      <w:rFonts w:ascii="Times New Roman" w:eastAsia="Times New Roman" w:hAnsi="Times New Roman" w:cs="Times New Roman"/>
      <w:sz w:val="24"/>
      <w:szCs w:val="24"/>
    </w:rPr>
  </w:style>
  <w:style w:type="paragraph" w:styleId="Heading1">
    <w:name w:val="heading 1"/>
    <w:next w:val="Normal"/>
    <w:link w:val="Heading1Char"/>
    <w:uiPriority w:val="1"/>
    <w:qFormat/>
    <w:rsid w:val="00020D2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FE4E51"/>
    <w:pPr>
      <w:keepLines/>
      <w:spacing w:before="160" w:after="240"/>
      <w:outlineLvl w:val="1"/>
    </w:pPr>
    <w:rPr>
      <w:rFonts w:eastAsiaTheme="majorEastAsia" w:cstheme="majorBidi"/>
      <w:b w:val="0"/>
      <w:sz w:val="24"/>
      <w:szCs w:val="26"/>
      <w:u w:val="single"/>
    </w:rPr>
  </w:style>
  <w:style w:type="paragraph" w:styleId="Heading3">
    <w:name w:val="heading 3"/>
    <w:basedOn w:val="Heading2"/>
    <w:next w:val="Normal"/>
    <w:link w:val="Heading3Char"/>
    <w:uiPriority w:val="9"/>
    <w:unhideWhenUsed/>
    <w:qFormat/>
    <w:rsid w:val="005422C7"/>
    <w:pPr>
      <w:spacing w:before="0"/>
      <w:ind w:left="720"/>
      <w:outlineLvl w:val="2"/>
    </w:pPr>
    <w:rPr>
      <w:i/>
    </w:rPr>
  </w:style>
  <w:style w:type="paragraph" w:styleId="Heading4">
    <w:name w:val="heading 4"/>
    <w:basedOn w:val="Heading3"/>
    <w:next w:val="Normal"/>
    <w:link w:val="Heading4Char"/>
    <w:uiPriority w:val="9"/>
    <w:unhideWhenUsed/>
    <w:qFormat/>
    <w:rsid w:val="00020D26"/>
    <w:pPr>
      <w:spacing w:before="40" w:after="0"/>
      <w:ind w:left="1440"/>
      <w:outlineLvl w:val="3"/>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99"/>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FE4E51"/>
    <w:rPr>
      <w:rFonts w:ascii="Times New Roman" w:hAnsi="Times New Roman" w:eastAsiaTheme="majorEastAsia" w:cstheme="majorBidi"/>
      <w:snapToGrid w:val="0"/>
      <w:sz w:val="24"/>
      <w:szCs w:val="26"/>
      <w:u w:val="single"/>
    </w:rPr>
  </w:style>
  <w:style w:type="character" w:customStyle="1" w:styleId="Heading3Char">
    <w:name w:val="Heading 3 Char"/>
    <w:basedOn w:val="DefaultParagraphFont"/>
    <w:link w:val="Heading3"/>
    <w:uiPriority w:val="9"/>
    <w:rsid w:val="005422C7"/>
    <w:rPr>
      <w:rFonts w:ascii="Times New Roman" w:hAnsi="Times New Roman" w:eastAsiaTheme="majorEastAsia" w:cstheme="majorBidi"/>
      <w:i/>
      <w:snapToGrid w:val="0"/>
      <w:sz w:val="24"/>
      <w:szCs w:val="26"/>
      <w:u w:val="single"/>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hAnsi="Times New Roman" w:eastAsiaTheme="majorEastAsia"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hAnsi="Times New Roman" w:eastAsiaTheme="majorEastAsia" w:cstheme="majorBidi"/>
      <w:b/>
      <w:spacing w:val="-10"/>
      <w:kern w:val="28"/>
      <w:sz w:val="28"/>
      <w:szCs w:val="56"/>
    </w:rPr>
  </w:style>
  <w:style w:type="numbering" w:customStyle="1" w:styleId="StyleforLevelHeadings">
    <w:name w:val="Style for Level Headings"/>
    <w:uiPriority w:val="99"/>
    <w:rsid w:val="00020D26"/>
    <w:pPr>
      <w:numPr>
        <w:numId w:val="8"/>
      </w:numPr>
    </w:pPr>
  </w:style>
  <w:style w:type="character" w:customStyle="1" w:styleId="ListParagraphChar">
    <w:name w:val="List Paragraph Char"/>
    <w:link w:val="ListParagraph"/>
    <w:uiPriority w:val="34"/>
    <w:rsid w:val="001D51A8"/>
    <w:rPr>
      <w:rFonts w:ascii="Times New Roman" w:eastAsia="Times New Roman" w:hAnsi="Times New Roman" w:cs="Times New Roman"/>
      <w:sz w:val="24"/>
      <w:szCs w:val="24"/>
    </w:rPr>
  </w:style>
  <w:style w:type="character" w:customStyle="1" w:styleId="footnotedescriptionChar">
    <w:name w:val="footnote description Char"/>
    <w:link w:val="footnotedescription"/>
    <w:locked/>
    <w:rsid w:val="001D51A8"/>
    <w:rPr>
      <w:color w:val="000000"/>
      <w:sz w:val="20"/>
    </w:rPr>
  </w:style>
  <w:style w:type="paragraph" w:customStyle="1" w:styleId="footnotedescription">
    <w:name w:val="footnote description"/>
    <w:next w:val="Normal"/>
    <w:link w:val="footnotedescriptionChar"/>
    <w:rsid w:val="001D51A8"/>
    <w:pPr>
      <w:spacing w:after="0" w:line="247" w:lineRule="auto"/>
      <w:ind w:left="274" w:hanging="274"/>
    </w:pPr>
    <w:rPr>
      <w:color w:val="000000"/>
      <w:sz w:val="20"/>
    </w:rPr>
  </w:style>
  <w:style w:type="character" w:customStyle="1" w:styleId="footnotemark">
    <w:name w:val="footnote mark"/>
    <w:rsid w:val="001D51A8"/>
    <w:rPr>
      <w:rFonts w:ascii="Times New Roman" w:eastAsia="Times New Roman" w:hAnsi="Times New Roman" w:cs="Times New Roman" w:hint="default"/>
      <w:color w:val="0000FF"/>
      <w:sz w:val="28"/>
      <w:vertAlign w:val="superscript"/>
    </w:rPr>
  </w:style>
  <w:style w:type="character" w:styleId="Mention">
    <w:name w:val="Mention"/>
    <w:basedOn w:val="DefaultParagraphFont"/>
    <w:uiPriority w:val="99"/>
    <w:unhideWhenUsed/>
    <w:rsid w:val="004F3987"/>
    <w:rPr>
      <w:color w:val="2B579A"/>
      <w:shd w:val="clear" w:color="auto" w:fill="E1DFDD"/>
    </w:rPr>
  </w:style>
  <w:style w:type="character" w:styleId="UnresolvedMention">
    <w:name w:val="Unresolved Mention"/>
    <w:basedOn w:val="DefaultParagraphFont"/>
    <w:uiPriority w:val="99"/>
    <w:unhideWhenUsed/>
    <w:rsid w:val="008F2EA7"/>
    <w:rPr>
      <w:color w:val="605E5C"/>
      <w:shd w:val="clear" w:color="auto" w:fill="E1DFDD"/>
    </w:rPr>
  </w:style>
  <w:style w:type="character" w:customStyle="1" w:styleId="normaltextrun">
    <w:name w:val="normaltextrun"/>
    <w:basedOn w:val="DefaultParagraphFont"/>
    <w:rsid w:val="000F5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84039F3F82034CAD7FBE9F6C97CAF0" ma:contentTypeVersion="0" ma:contentTypeDescription="Create a new document." ma:contentTypeScope="" ma:versionID="fc4d9d06a18e9d14b118e17f1b798c3f">
  <xsd:schema xmlns:xsd="http://www.w3.org/2001/XMLSchema" xmlns:xs="http://www.w3.org/2001/XMLSchema" xmlns:p="http://schemas.microsoft.com/office/2006/metadata/properties" targetNamespace="http://schemas.microsoft.com/office/2006/metadata/properties" ma:root="true" ma:fieldsID="d1618be233d3e29b182ccd59efb176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4DB2CD-83EE-405B-9577-0A0E7E0A8EB0}">
  <ds:schemaRefs>
    <ds:schemaRef ds:uri="http://schemas.openxmlformats.org/officeDocument/2006/bibliography"/>
  </ds:schemaRefs>
</ds:datastoreItem>
</file>

<file path=customXml/itemProps2.xml><?xml version="1.0" encoding="utf-8"?>
<ds:datastoreItem xmlns:ds="http://schemas.openxmlformats.org/officeDocument/2006/customXml" ds:itemID="{8F11ADF7-D30B-4485-94E1-45127F8B9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4.xml><?xml version="1.0" encoding="utf-8"?>
<ds:datastoreItem xmlns:ds="http://schemas.openxmlformats.org/officeDocument/2006/customXml" ds:itemID="{48E38921-E2A9-4CFB-A4EC-6C7E8C5A6B26}">
  <ds:schemaRefs>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2880</Words>
  <Characters>16420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MIPS Supporting Statement - Part B (CMS-10621, OMB 0938-1314)</vt:lpstr>
    </vt:vector>
  </TitlesOfParts>
  <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MIPS Supporting Statement - Part B (CMS-10621, OMB 0938-1314)</dc:title>
  <cp:revision>1</cp:revision>
  <dcterms:created xsi:type="dcterms:W3CDTF">2023-11-02T17:42:00Z</dcterms:created>
  <dcterms:modified xsi:type="dcterms:W3CDTF">2023-11-16T19:48:00Z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0x0101000684039F3F82034CAD7FBE9F6C97CAF0</vt:lpwstr>
  </property>
  <property fmtid="{D5CDD505-2E9C-101B-9397-08002B2CF9AE}" pid="3" name="Order">
    <vt:r8>1711800</vt:r8>
  </property>
  <property fmtid="{D5CDD505-2E9C-101B-9397-08002B2CF9AE}" pid="4" name="TemplateUrl">
    <vt:lpwstr/>
  </property>
  <property fmtid="{D5CDD505-2E9C-101B-9397-08002B2CF9AE}" pid="5" name="URL">
    <vt:lpwstr/>
  </property>
  <property fmtid="{D5CDD505-2E9C-101B-9397-08002B2CF9AE}" pid="6" name="xd_ProgID">
    <vt:lpwstr/>
  </property>
  <property fmtid="{D5CDD505-2E9C-101B-9397-08002B2CF9AE}" pid="7" name="_NewReviewCycle">
    <vt:lpwstr/>
  </property>
</Properties>
</file>