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9EC" w:rsidRPr="004D49EC" w:rsidP="004D49EC" w14:paraId="02DFB4A1" w14:textId="3EA985F1">
      <w:pPr>
        <w:keepNext/>
        <w:keepLines/>
        <w:spacing w:after="0"/>
        <w:jc w:val="center"/>
        <w:outlineLvl w:val="1"/>
        <w:rPr>
          <w:rFonts w:ascii="Arial" w:eastAsia="Times New Roman" w:hAnsi="Arial" w:cs="Times New Roman"/>
          <w:b/>
          <w:bCs/>
          <w:color w:val="046B5C"/>
          <w:sz w:val="28"/>
          <w:szCs w:val="28"/>
        </w:rPr>
        <w:sectPr>
          <w:headerReference w:type="default" r:id="rId6"/>
          <w:pgSz w:w="12240" w:h="15840"/>
          <w:pgMar w:top="1440" w:right="1440" w:bottom="1440" w:left="1440" w:header="720" w:footer="720" w:gutter="0"/>
          <w:cols w:space="720"/>
          <w:docGrid w:linePitch="360"/>
        </w:sectPr>
      </w:pPr>
      <w:bookmarkStart w:id="0" w:name="_Hlk94634329"/>
      <w:r w:rsidRPr="004D49EC">
        <w:rPr>
          <w:rFonts w:ascii="Arial" w:eastAsia="Arial" w:hAnsi="Arial" w:cs="Times New Roman"/>
          <w:b/>
          <w:bCs/>
          <w:color w:val="046B5C"/>
          <w:sz w:val="28"/>
          <w:szCs w:val="32"/>
        </w:rPr>
        <w:t xml:space="preserve">Appendix </w:t>
      </w:r>
      <w:r>
        <w:rPr>
          <w:rFonts w:ascii="Arial" w:eastAsia="Arial" w:hAnsi="Arial" w:cs="Times New Roman"/>
          <w:b/>
          <w:bCs/>
          <w:color w:val="046B5C"/>
          <w:sz w:val="28"/>
          <w:szCs w:val="32"/>
        </w:rPr>
        <w:t>F1</w:t>
      </w:r>
      <w:r w:rsidRPr="004D49EC">
        <w:rPr>
          <w:rFonts w:ascii="Arial" w:eastAsia="Arial" w:hAnsi="Arial" w:cs="Times New Roman"/>
          <w:b/>
          <w:bCs/>
          <w:color w:val="046B5C"/>
          <w:sz w:val="28"/>
          <w:szCs w:val="32"/>
        </w:rPr>
        <w:br/>
      </w:r>
      <w:r w:rsidRPr="004D49EC">
        <w:rPr>
          <w:rFonts w:ascii="Arial" w:eastAsia="Arial" w:hAnsi="Arial" w:cs="Times New Roman"/>
          <w:b/>
          <w:bCs/>
          <w:color w:val="046B5C"/>
          <w:sz w:val="28"/>
          <w:szCs w:val="32"/>
        </w:rPr>
        <w:br/>
      </w:r>
      <w:r>
        <w:rPr>
          <w:rFonts w:ascii="Arial" w:eastAsia="Times New Roman" w:hAnsi="Arial" w:cs="Times New Roman"/>
          <w:b/>
          <w:bCs/>
          <w:color w:val="046B5C"/>
          <w:sz w:val="28"/>
          <w:szCs w:val="28"/>
        </w:rPr>
        <w:t>Pre-test Findings Mem</w:t>
      </w:r>
      <w:r w:rsidR="0063544D">
        <w:rPr>
          <w:rFonts w:ascii="Arial" w:eastAsia="Times New Roman" w:hAnsi="Arial" w:cs="Times New Roman"/>
          <w:b/>
          <w:bCs/>
          <w:color w:val="046B5C"/>
          <w:sz w:val="28"/>
          <w:szCs w:val="28"/>
        </w:rPr>
        <w:t>o</w:t>
      </w:r>
    </w:p>
    <w:p w:rsidR="00B12A43" w:rsidP="00325EF3" w14:paraId="6EBB9580" w14:textId="77777777">
      <w:pPr>
        <w:spacing w:before="2640"/>
        <w:jc w:val="center"/>
        <w:rPr>
          <w:rFonts w:ascii="Arial Black" w:hAnsi="Arial Black"/>
        </w:rPr>
      </w:pPr>
    </w:p>
    <w:p w:rsidR="00B12A43" w:rsidP="00325EF3" w14:paraId="2D6348BC" w14:textId="35026A54">
      <w:pPr>
        <w:spacing w:after="360" w:line="240" w:lineRule="auto"/>
        <w:rPr>
          <w:rFonts w:ascii="Arial" w:hAnsi="Arial" w:cs="Arial"/>
          <w:sz w:val="20"/>
          <w:szCs w:val="20"/>
        </w:rPr>
      </w:pPr>
    </w:p>
    <w:p w:rsidR="00B12A43" w:rsidP="00325EF3" w14:paraId="54EA2A3D" w14:textId="77777777">
      <w:pPr>
        <w:spacing w:after="360" w:line="240" w:lineRule="auto"/>
        <w:jc w:val="center"/>
        <w:rPr>
          <w:b/>
          <w:bCs/>
        </w:rPr>
      </w:pPr>
    </w:p>
    <w:p w:rsidR="00B12A43" w:rsidP="00EE7BCC" w14:paraId="36634D1D" w14:textId="77777777">
      <w:pPr>
        <w:spacing w:after="360" w:line="240" w:lineRule="auto"/>
        <w:jc w:val="center"/>
      </w:pPr>
      <w:r w:rsidRPr="002E5A85">
        <w:rPr>
          <w:rFonts w:ascii="Times New Roman" w:hAnsi="Times New Roman" w:cs="Times New Roman"/>
          <w:b/>
          <w:bCs/>
        </w:rPr>
        <w:t>This page has been left blank for double-sided copyin</w:t>
      </w:r>
      <w:bookmarkEnd w:id="0"/>
      <w:r>
        <w:rPr>
          <w:rFonts w:ascii="Times New Roman" w:hAnsi="Times New Roman" w:cs="Times New Roman"/>
          <w:b/>
          <w:bCs/>
        </w:rPr>
        <w:t>g</w:t>
      </w:r>
    </w:p>
    <w:p w:rsidR="00B12A43" w:rsidP="00B12A43" w14:paraId="1F15A2D6" w14:textId="2DB2E0E0">
      <w:pPr>
        <w:pStyle w:val="Salutation"/>
        <w:tabs>
          <w:tab w:val="clear" w:pos="1440"/>
          <w:tab w:val="left" w:pos="2115"/>
        </w:tabs>
        <w:ind w:left="0" w:firstLine="0"/>
        <w:rPr>
          <w:b/>
        </w:rPr>
      </w:pPr>
      <w:r>
        <w:rPr>
          <w:b/>
        </w:rPr>
        <w:tab/>
      </w:r>
      <w:r>
        <w:rPr>
          <w:b/>
        </w:rPr>
        <w:tab/>
      </w:r>
    </w:p>
    <w:p w:rsidR="00B12A43" w:rsidRPr="00B12A43" w:rsidP="00B12A43" w14:paraId="78F3443F" w14:textId="1C149BC6">
      <w:pPr>
        <w:tabs>
          <w:tab w:val="left" w:pos="2115"/>
        </w:tabs>
        <w:sectPr w:rsidSect="00B12A43">
          <w:headerReference w:type="even" r:id="rId7"/>
          <w:headerReference w:type="first" r:id="rId8"/>
          <w:footerReference w:type="first" r:id="rId9"/>
          <w:endnotePr>
            <w:numFmt w:val="decimal"/>
          </w:endnotePr>
          <w:pgSz w:w="12240" w:h="15840"/>
          <w:pgMar w:top="1440" w:right="1440" w:bottom="1440" w:left="1440" w:header="720" w:footer="720" w:gutter="0"/>
          <w:cols w:space="720"/>
          <w:titlePg/>
          <w:docGrid w:linePitch="299"/>
        </w:sectPr>
      </w:pPr>
      <w:r>
        <w:tab/>
      </w:r>
    </w:p>
    <w:p w:rsidR="00257452" w:rsidP="00DB79DD" w14:paraId="7A3D4FEF" w14:textId="05AA1E2A">
      <w:pPr>
        <w:pStyle w:val="Salutation"/>
      </w:pPr>
      <w:r w:rsidRPr="00A749EE">
        <w:rPr>
          <w:b/>
        </w:rPr>
        <w:t>To</w:t>
      </w:r>
      <w:r>
        <w:t>:</w:t>
      </w:r>
      <w:r>
        <w:tab/>
      </w:r>
      <w:bookmarkStart w:id="1" w:name="ToList"/>
      <w:bookmarkEnd w:id="1"/>
      <w:r w:rsidR="00DB79DD">
        <w:t>Anita Singh</w:t>
      </w:r>
    </w:p>
    <w:p w:rsidR="00A749EE" w:rsidP="00A749EE" w14:paraId="1D3080F5" w14:textId="58AF8CB1">
      <w:pPr>
        <w:pStyle w:val="Salutation"/>
      </w:pPr>
      <w:r w:rsidRPr="00A749EE">
        <w:rPr>
          <w:b/>
        </w:rPr>
        <w:t>From</w:t>
      </w:r>
      <w:r>
        <w:t>:</w:t>
      </w:r>
      <w:r>
        <w:tab/>
      </w:r>
      <w:bookmarkStart w:id="2" w:name="From"/>
      <w:bookmarkEnd w:id="2"/>
      <w:r w:rsidR="0069772D">
        <w:t>Kim McDonald, Emma Wells, Dory Thrasher, Julie Hartnack, and Jodie Davis</w:t>
      </w:r>
    </w:p>
    <w:p w:rsidR="00A749EE" w:rsidP="00A749EE" w14:paraId="68CFF7AA" w14:textId="23D1C09A">
      <w:pPr>
        <w:pStyle w:val="Salutation"/>
      </w:pPr>
      <w:r w:rsidRPr="00A749EE">
        <w:rPr>
          <w:b/>
        </w:rPr>
        <w:t>Date</w:t>
      </w:r>
      <w:r>
        <w:t>:</w:t>
      </w:r>
      <w:r>
        <w:tab/>
      </w:r>
      <w:bookmarkStart w:id="3" w:name="DateMark"/>
      <w:bookmarkEnd w:id="3"/>
      <w:r w:rsidR="001714F6">
        <w:t>8/02</w:t>
      </w:r>
      <w:r w:rsidRPr="00DE7CA1" w:rsidR="001714F6">
        <w:t>/2023</w:t>
      </w:r>
    </w:p>
    <w:p w:rsidR="00A749EE" w:rsidP="00A749EE" w14:paraId="0D5D2B99" w14:textId="18C3D33C">
      <w:pPr>
        <w:pStyle w:val="Salutation"/>
      </w:pPr>
      <w:r w:rsidRPr="00A749EE">
        <w:rPr>
          <w:b/>
        </w:rPr>
        <w:t>Subject</w:t>
      </w:r>
      <w:r>
        <w:t>:</w:t>
      </w:r>
      <w:r>
        <w:tab/>
      </w:r>
      <w:bookmarkStart w:id="4" w:name="Subject"/>
      <w:bookmarkEnd w:id="4"/>
      <w:r w:rsidRPr="00F74BCC" w:rsidR="00F74BCC">
        <w:t>SNAP Mobile Payment Pilots Evaluation: Pre-Test Results</w:t>
      </w:r>
    </w:p>
    <w:p w:rsidR="00A749EE" w:rsidP="00A749EE" w14:paraId="4A5E4334" w14:textId="77777777">
      <w:pPr>
        <w:pStyle w:val="FootnoteSep"/>
      </w:pPr>
    </w:p>
    <w:p w:rsidR="00DD6D4D" w:rsidP="00DD6D4D" w14:paraId="6219B04A" w14:textId="77777777">
      <w:pPr>
        <w:pStyle w:val="Paragraph"/>
      </w:pPr>
      <w:bookmarkStart w:id="5" w:name="StartingPoint"/>
      <w:bookmarkEnd w:id="5"/>
      <w:r>
        <w:t>This memo summarizes our findings from pre-testing four data collection instruments for the SNAP Mobile Payment Pilots Evaluation: the client experience survey, the survey of non-adopters, the key informant interview discussion guide, and the retailer interview discussion guide. Section I presents findings from the survey pre-tests with SNAP participants, Section II describes findings from the interview discussion guide pre-tests and Section III describes next steps.</w:t>
      </w:r>
    </w:p>
    <w:p w:rsidR="00DD6D4D" w:rsidP="00DD6D4D" w14:paraId="0E8D0391" w14:textId="77777777">
      <w:pPr>
        <w:pStyle w:val="H1"/>
      </w:pPr>
      <w:r w:rsidRPr="00513C70">
        <w:rPr>
          <w:bCs/>
        </w:rPr>
        <w:t>I.</w:t>
      </w:r>
      <w:r>
        <w:t xml:space="preserve"> SNAP Participant Surveys</w:t>
      </w:r>
    </w:p>
    <w:p w:rsidR="00DD6D4D" w:rsidP="00DD6D4D" w14:paraId="52CE8EBE" w14:textId="77777777">
      <w:pPr>
        <w:pStyle w:val="Paragraph"/>
      </w:pPr>
      <w:r>
        <w:t xml:space="preserve">The goal of the survey pre-test was to assess </w:t>
      </w:r>
      <w:r w:rsidRPr="00413B1F">
        <w:t>survey length</w:t>
      </w:r>
      <w:r>
        <w:t xml:space="preserve"> and</w:t>
      </w:r>
      <w:r w:rsidRPr="00413B1F">
        <w:t xml:space="preserve"> flow, respondents’ interpretation of questions, and </w:t>
      </w:r>
      <w:r>
        <w:t xml:space="preserve">the </w:t>
      </w:r>
      <w:r w:rsidRPr="00413B1F">
        <w:t>comprehensiveness of response options.</w:t>
      </w:r>
      <w:r>
        <w:t xml:space="preserve"> We describe how we revised the Client Experience Survey and Survey of Non-Adopters based on observations from pre-tests conducted in three States (California, New York, and Oregon), two modes (self-administered and interviewer-administered), and two languages (English and Spanish). First, we describe the pre-test procedures and sample; then we review the findings and suggested modifications from the pre-test.</w:t>
      </w:r>
    </w:p>
    <w:p w:rsidR="00DD6D4D" w:rsidP="00DD6D4D" w14:paraId="5946EA49" w14:textId="77777777">
      <w:pPr>
        <w:pStyle w:val="H2"/>
        <w:spacing w:after="240"/>
      </w:pPr>
      <w:r w:rsidRPr="00094465">
        <w:t>A.</w:t>
      </w:r>
      <w:r>
        <w:t xml:space="preserve"> Pre-test procedures and sample</w:t>
      </w:r>
    </w:p>
    <w:p w:rsidR="00DD6D4D" w:rsidP="00DD6D4D" w14:paraId="1096D581" w14:textId="77777777">
      <w:pPr>
        <w:pStyle w:val="Paragraph"/>
      </w:pPr>
      <w:r>
        <w:rPr>
          <w:b/>
          <w:bCs/>
        </w:rPr>
        <w:t xml:space="preserve">Survey structure and modifications for pre-testing. </w:t>
      </w:r>
      <w:r>
        <w:t xml:space="preserve">Questions in Section A and Section E are the same for both surveys, whereas Sections B, C, and D are tailored to specific respondent populations (Exhibit 1). </w:t>
      </w:r>
    </w:p>
    <w:p w:rsidR="00DD6D4D" w:rsidP="00DD6D4D" w14:paraId="05896752" w14:textId="77777777">
      <w:pPr>
        <w:pStyle w:val="TableTitle"/>
      </w:pPr>
      <w:bookmarkStart w:id="6" w:name="_Toc34916011"/>
      <w:bookmarkStart w:id="7" w:name="_Toc34920064"/>
      <w:r>
        <w:t>Exhibit 1.</w:t>
      </w:r>
      <w:bookmarkEnd w:id="6"/>
      <w:bookmarkEnd w:id="7"/>
      <w:r>
        <w:t xml:space="preserve"> Sections by survey type</w:t>
      </w:r>
    </w:p>
    <w:tbl>
      <w:tblPr>
        <w:tblStyle w:val="BaseTable"/>
        <w:tblW w:w="0" w:type="auto"/>
        <w:tblLayout w:type="fixed"/>
        <w:tblLook w:val="04A0"/>
      </w:tblPr>
      <w:tblGrid>
        <w:gridCol w:w="2430"/>
        <w:gridCol w:w="3420"/>
        <w:gridCol w:w="3510"/>
      </w:tblGrid>
      <w:tr w14:paraId="3A4EAFC4" w14:textId="77777777" w:rsidTr="008C4849">
        <w:tblPrEx>
          <w:tblW w:w="0" w:type="auto"/>
          <w:tblLayout w:type="fixed"/>
          <w:tblLook w:val="04A0"/>
        </w:tblPrEx>
        <w:trPr>
          <w:trHeight w:val="116"/>
          <w:tblHeader/>
        </w:trPr>
        <w:tc>
          <w:tcPr>
            <w:tcW w:w="2430" w:type="dxa"/>
          </w:tcPr>
          <w:p w:rsidR="00DD6D4D" w:rsidP="008C4849" w14:paraId="034D63C6" w14:textId="77777777">
            <w:pPr>
              <w:pStyle w:val="TableHeaderLeft"/>
            </w:pPr>
            <w:r>
              <w:t>Section</w:t>
            </w:r>
          </w:p>
        </w:tc>
        <w:tc>
          <w:tcPr>
            <w:tcW w:w="3420" w:type="dxa"/>
          </w:tcPr>
          <w:p w:rsidR="00DD6D4D" w:rsidP="008C4849" w14:paraId="4AF95222" w14:textId="77777777">
            <w:pPr>
              <w:pStyle w:val="TableHeaderCenter"/>
            </w:pPr>
            <w:r w:rsidRPr="004F41D3">
              <w:t>Client Experience Survey</w:t>
            </w:r>
          </w:p>
        </w:tc>
        <w:tc>
          <w:tcPr>
            <w:tcW w:w="3510" w:type="dxa"/>
          </w:tcPr>
          <w:p w:rsidR="00DD6D4D" w:rsidP="008C4849" w14:paraId="59D0CCD3" w14:textId="77777777">
            <w:pPr>
              <w:pStyle w:val="TableHeaderCenter"/>
            </w:pPr>
            <w:r w:rsidRPr="00FF195D">
              <w:t>Survey of Non-Adopters</w:t>
            </w:r>
          </w:p>
        </w:tc>
      </w:tr>
      <w:tr w14:paraId="63AF55C0" w14:textId="77777777" w:rsidTr="008C4849">
        <w:tblPrEx>
          <w:tblW w:w="0" w:type="auto"/>
          <w:tblLayout w:type="fixed"/>
          <w:tblLook w:val="04A0"/>
        </w:tblPrEx>
        <w:trPr>
          <w:trHeight w:val="116"/>
        </w:trPr>
        <w:tc>
          <w:tcPr>
            <w:tcW w:w="2430" w:type="dxa"/>
          </w:tcPr>
          <w:p w:rsidR="00DD6D4D" w:rsidRPr="0059556A" w:rsidP="008C4849" w14:paraId="77B9C85E" w14:textId="77777777">
            <w:pPr>
              <w:pStyle w:val="TableTextLeft"/>
            </w:pPr>
            <w:r w:rsidRPr="00FF195D">
              <w:t>Section A: Screener</w:t>
            </w:r>
          </w:p>
        </w:tc>
        <w:tc>
          <w:tcPr>
            <w:tcW w:w="3420" w:type="dxa"/>
          </w:tcPr>
          <w:p w:rsidR="00DD6D4D" w:rsidRPr="0059556A" w:rsidP="008C4849" w14:paraId="2D48BA02" w14:textId="77777777">
            <w:pPr>
              <w:pStyle w:val="TableTextLeft"/>
            </w:pPr>
            <w:r>
              <w:t>Screen for survey administration</w:t>
            </w:r>
          </w:p>
        </w:tc>
        <w:tc>
          <w:tcPr>
            <w:tcW w:w="3510" w:type="dxa"/>
          </w:tcPr>
          <w:p w:rsidR="00DD6D4D" w:rsidRPr="0059556A" w:rsidP="008C4849" w14:paraId="5A149BF1" w14:textId="77777777">
            <w:pPr>
              <w:pStyle w:val="TableTextLeft"/>
            </w:pPr>
            <w:r>
              <w:t>Screen for survey administration</w:t>
            </w:r>
          </w:p>
        </w:tc>
      </w:tr>
      <w:tr w14:paraId="350B78FC" w14:textId="77777777" w:rsidTr="008C4849">
        <w:tblPrEx>
          <w:tblW w:w="0" w:type="auto"/>
          <w:tblLayout w:type="fixed"/>
          <w:tblLook w:val="04A0"/>
        </w:tblPrEx>
        <w:trPr>
          <w:trHeight w:val="116"/>
        </w:trPr>
        <w:tc>
          <w:tcPr>
            <w:tcW w:w="2430" w:type="dxa"/>
          </w:tcPr>
          <w:p w:rsidR="00DD6D4D" w:rsidRPr="0059556A" w:rsidP="008C4849" w14:paraId="5879817D" w14:textId="77777777">
            <w:pPr>
              <w:pStyle w:val="TableTextLeft"/>
            </w:pPr>
            <w:r w:rsidRPr="00FF195D">
              <w:t>Section B: Awareness and Engagement with Pilot</w:t>
            </w:r>
          </w:p>
        </w:tc>
        <w:tc>
          <w:tcPr>
            <w:tcW w:w="3420" w:type="dxa"/>
          </w:tcPr>
          <w:p w:rsidR="00DD6D4D" w:rsidRPr="0059556A" w:rsidP="008C4849" w14:paraId="486970FA" w14:textId="77777777">
            <w:pPr>
              <w:pStyle w:val="TableTextLeft"/>
            </w:pPr>
            <w:r>
              <w:t>E</w:t>
            </w:r>
            <w:r w:rsidRPr="00FF195D">
              <w:t xml:space="preserve">xperiences setting up and using SNAP </w:t>
            </w:r>
            <w:r>
              <w:t>m</w:t>
            </w:r>
            <w:r w:rsidRPr="00FF195D">
              <w:t xml:space="preserve">obile </w:t>
            </w:r>
            <w:r>
              <w:t>p</w:t>
            </w:r>
            <w:r w:rsidRPr="00FF195D">
              <w:t>ayments</w:t>
            </w:r>
          </w:p>
        </w:tc>
        <w:tc>
          <w:tcPr>
            <w:tcW w:w="3510" w:type="dxa"/>
          </w:tcPr>
          <w:p w:rsidR="00DD6D4D" w:rsidRPr="0059556A" w:rsidP="008C4849" w14:paraId="101FF520" w14:textId="77777777">
            <w:pPr>
              <w:pStyle w:val="TableTextLeft"/>
            </w:pPr>
            <w:r>
              <w:t>F</w:t>
            </w:r>
            <w:r w:rsidRPr="00FF195D">
              <w:t xml:space="preserve">amiliarity </w:t>
            </w:r>
            <w:r>
              <w:t xml:space="preserve">with </w:t>
            </w:r>
            <w:r w:rsidRPr="00FF195D">
              <w:t>and interest in</w:t>
            </w:r>
            <w:r>
              <w:t xml:space="preserve"> SNAP</w:t>
            </w:r>
            <w:r w:rsidRPr="00FF195D">
              <w:t xml:space="preserve"> </w:t>
            </w:r>
            <w:r>
              <w:t>m</w:t>
            </w:r>
            <w:r w:rsidRPr="00FF195D">
              <w:t xml:space="preserve">obile </w:t>
            </w:r>
            <w:r>
              <w:t>p</w:t>
            </w:r>
            <w:r w:rsidRPr="00FF195D">
              <w:t>ayment</w:t>
            </w:r>
            <w:r>
              <w:t>s</w:t>
            </w:r>
          </w:p>
        </w:tc>
      </w:tr>
      <w:tr w14:paraId="19D26DDF" w14:textId="77777777" w:rsidTr="008C4849">
        <w:tblPrEx>
          <w:tblW w:w="0" w:type="auto"/>
          <w:tblLayout w:type="fixed"/>
          <w:tblLook w:val="04A0"/>
        </w:tblPrEx>
        <w:trPr>
          <w:trHeight w:val="116"/>
        </w:trPr>
        <w:tc>
          <w:tcPr>
            <w:tcW w:w="2430" w:type="dxa"/>
          </w:tcPr>
          <w:p w:rsidR="00DD6D4D" w:rsidRPr="0059556A" w:rsidP="008C4849" w14:paraId="142D2368" w14:textId="77777777">
            <w:pPr>
              <w:pStyle w:val="TableTextLeft"/>
            </w:pPr>
            <w:r w:rsidRPr="00FF195D">
              <w:t>Section C: Barriers to Use and Feedback</w:t>
            </w:r>
          </w:p>
        </w:tc>
        <w:tc>
          <w:tcPr>
            <w:tcW w:w="3420" w:type="dxa"/>
          </w:tcPr>
          <w:p w:rsidR="00DD6D4D" w:rsidRPr="0059556A" w:rsidP="008C4849" w14:paraId="22B407AD" w14:textId="77777777">
            <w:pPr>
              <w:pStyle w:val="TableTextLeft"/>
            </w:pPr>
            <w:r>
              <w:t>C</w:t>
            </w:r>
            <w:r w:rsidRPr="00FF195D">
              <w:t xml:space="preserve">hallenges encountered </w:t>
            </w:r>
            <w:r>
              <w:t>using SNAP mobile payments</w:t>
            </w:r>
          </w:p>
        </w:tc>
        <w:tc>
          <w:tcPr>
            <w:tcW w:w="3510" w:type="dxa"/>
          </w:tcPr>
          <w:p w:rsidR="00DD6D4D" w:rsidRPr="0059556A" w:rsidP="008C4849" w14:paraId="6F9748D8" w14:textId="77777777">
            <w:pPr>
              <w:pStyle w:val="TableTextLeft"/>
            </w:pPr>
            <w:r>
              <w:t>H</w:t>
            </w:r>
            <w:r w:rsidRPr="00FF195D">
              <w:t xml:space="preserve">esitations, challenges, and </w:t>
            </w:r>
            <w:r>
              <w:t xml:space="preserve">other </w:t>
            </w:r>
            <w:r w:rsidRPr="00FF195D">
              <w:t xml:space="preserve">opinions about </w:t>
            </w:r>
            <w:r>
              <w:t>SNAP m</w:t>
            </w:r>
            <w:r w:rsidRPr="00FF195D">
              <w:t xml:space="preserve">obile </w:t>
            </w:r>
            <w:r>
              <w:t>p</w:t>
            </w:r>
            <w:r w:rsidRPr="00FF195D">
              <w:t>ayments</w:t>
            </w:r>
          </w:p>
        </w:tc>
      </w:tr>
      <w:tr w14:paraId="22ECFDFC" w14:textId="77777777" w:rsidTr="008C4849">
        <w:tblPrEx>
          <w:tblW w:w="0" w:type="auto"/>
          <w:tblLayout w:type="fixed"/>
          <w:tblLook w:val="04A0"/>
        </w:tblPrEx>
        <w:trPr>
          <w:trHeight w:val="116"/>
        </w:trPr>
        <w:tc>
          <w:tcPr>
            <w:tcW w:w="2430" w:type="dxa"/>
          </w:tcPr>
          <w:p w:rsidR="00DD6D4D" w:rsidRPr="00FF195D" w:rsidP="008C4849" w14:paraId="38CDD0F7" w14:textId="77777777">
            <w:pPr>
              <w:pStyle w:val="TableTextLeft"/>
            </w:pPr>
            <w:r w:rsidRPr="00FF195D">
              <w:t>Section D: Respondent Characteristics</w:t>
            </w:r>
          </w:p>
        </w:tc>
        <w:tc>
          <w:tcPr>
            <w:tcW w:w="3420" w:type="dxa"/>
          </w:tcPr>
          <w:p w:rsidR="00DD6D4D" w:rsidRPr="0059556A" w:rsidP="008C4849" w14:paraId="4AD65C1C" w14:textId="77777777">
            <w:pPr>
              <w:pStyle w:val="TableTextLeft"/>
            </w:pPr>
            <w:r>
              <w:t>Respondent characteristics</w:t>
            </w:r>
          </w:p>
        </w:tc>
        <w:tc>
          <w:tcPr>
            <w:tcW w:w="3510" w:type="dxa"/>
          </w:tcPr>
          <w:p w:rsidR="00DD6D4D" w:rsidRPr="0059556A" w:rsidP="008C4849" w14:paraId="1C9889D9" w14:textId="77777777">
            <w:pPr>
              <w:pStyle w:val="TableTextLeft"/>
            </w:pPr>
            <w:r>
              <w:t>Respondent characteristics and cell phone capability</w:t>
            </w:r>
          </w:p>
        </w:tc>
      </w:tr>
      <w:tr w14:paraId="72C73741" w14:textId="77777777" w:rsidTr="008C4849">
        <w:tblPrEx>
          <w:tblW w:w="0" w:type="auto"/>
          <w:tblLayout w:type="fixed"/>
          <w:tblLook w:val="04A0"/>
        </w:tblPrEx>
        <w:trPr>
          <w:trHeight w:val="116"/>
        </w:trPr>
        <w:tc>
          <w:tcPr>
            <w:tcW w:w="2430" w:type="dxa"/>
          </w:tcPr>
          <w:p w:rsidR="00DD6D4D" w:rsidRPr="0059556A" w:rsidP="008C4849" w14:paraId="78D87034" w14:textId="77777777">
            <w:pPr>
              <w:pStyle w:val="TableTextLeft"/>
            </w:pPr>
            <w:r w:rsidRPr="00FF195D">
              <w:t>Section E: End</w:t>
            </w:r>
          </w:p>
        </w:tc>
        <w:tc>
          <w:tcPr>
            <w:tcW w:w="3420" w:type="dxa"/>
          </w:tcPr>
          <w:p w:rsidR="00DD6D4D" w:rsidRPr="0059556A" w:rsidP="008C4849" w14:paraId="22557BEB" w14:textId="77777777">
            <w:pPr>
              <w:pStyle w:val="TableTextLeft"/>
            </w:pPr>
            <w:r>
              <w:t>Collect contact information for incentives</w:t>
            </w:r>
          </w:p>
        </w:tc>
        <w:tc>
          <w:tcPr>
            <w:tcW w:w="3510" w:type="dxa"/>
          </w:tcPr>
          <w:p w:rsidR="00DD6D4D" w:rsidRPr="0059556A" w:rsidP="008C4849" w14:paraId="447FB81E" w14:textId="77777777">
            <w:pPr>
              <w:pStyle w:val="TableTextLeft"/>
            </w:pPr>
            <w:r>
              <w:t>Collect contact information for incentives</w:t>
            </w:r>
          </w:p>
        </w:tc>
      </w:tr>
    </w:tbl>
    <w:p w:rsidR="00DD6D4D" w:rsidP="00DD6D4D" w14:paraId="5F9FA914" w14:textId="77777777">
      <w:pPr>
        <w:pStyle w:val="Paragraph"/>
        <w:spacing w:before="240" w:after="0"/>
      </w:pPr>
      <w:r>
        <w:t xml:space="preserve">The option to </w:t>
      </w:r>
      <w:r w:rsidRPr="00EB5FEB">
        <w:t xml:space="preserve">redeem SNAP benefits by using an </w:t>
      </w:r>
      <w:r>
        <w:t>e</w:t>
      </w:r>
      <w:r w:rsidRPr="00EB5FEB">
        <w:t xml:space="preserve">lectronic </w:t>
      </w:r>
      <w:r>
        <w:t>b</w:t>
      </w:r>
      <w:r w:rsidRPr="00EB5FEB">
        <w:t xml:space="preserve">enefit </w:t>
      </w:r>
      <w:r>
        <w:t>t</w:t>
      </w:r>
      <w:r w:rsidRPr="00EB5FEB">
        <w:t>ransfer (EBT) card on a mobile devi</w:t>
      </w:r>
      <w:r>
        <w:t>c</w:t>
      </w:r>
      <w:r w:rsidRPr="00EB5FEB">
        <w:t>e</w:t>
      </w:r>
      <w:r>
        <w:t xml:space="preserve"> (SNAP mobile payments)</w:t>
      </w:r>
      <w:r w:rsidRPr="00EB5FEB">
        <w:t xml:space="preserve"> is not yet available</w:t>
      </w:r>
      <w:r>
        <w:t xml:space="preserve">. However, using and setting up mobile payments with a debit or credit card is a widely used payment option that works similarly to how SNAP mobile payments would work. To make the survey clearer for pre-test participants, the study team modified the surveys in the pre-test to use the term “mobile payments” instead of “SNAP mobile payments.” The study team also removed several references to SNAP that could have confused pre-test participants responding </w:t>
      </w:r>
      <w:r>
        <w:t xml:space="preserve">to questions about mobile payments in general. Some of the survey changes that were made for pre-testing are shown in Exhibit 2. </w:t>
      </w:r>
    </w:p>
    <w:p w:rsidR="00DD6D4D" w:rsidP="00DD6D4D" w14:paraId="0B2656D6" w14:textId="77777777">
      <w:pPr>
        <w:pStyle w:val="TableTitle"/>
        <w:spacing w:before="120"/>
      </w:pPr>
      <w:r>
        <w:t>Exhibit 2. Example survey modifications for pre-test</w:t>
      </w:r>
    </w:p>
    <w:tbl>
      <w:tblPr>
        <w:tblStyle w:val="BaseTable"/>
        <w:tblW w:w="5000" w:type="pct"/>
        <w:tblLayout w:type="fixed"/>
        <w:tblLook w:val="04A0"/>
      </w:tblPr>
      <w:tblGrid>
        <w:gridCol w:w="1260"/>
        <w:gridCol w:w="8100"/>
      </w:tblGrid>
      <w:tr w14:paraId="2311ED0B" w14:textId="77777777" w:rsidTr="008C4849">
        <w:tblPrEx>
          <w:tblW w:w="5000" w:type="pct"/>
          <w:tblLayout w:type="fixed"/>
          <w:tblLook w:val="04A0"/>
        </w:tblPrEx>
        <w:trPr>
          <w:trHeight w:val="116"/>
          <w:tblHeader/>
        </w:trPr>
        <w:tc>
          <w:tcPr>
            <w:tcW w:w="673" w:type="pct"/>
          </w:tcPr>
          <w:p w:rsidR="00DD6D4D" w:rsidP="008C4849" w14:paraId="58DDF8CD" w14:textId="77777777">
            <w:pPr>
              <w:pStyle w:val="TableHeaderLeft"/>
            </w:pPr>
            <w:r>
              <w:t>Question</w:t>
            </w:r>
          </w:p>
        </w:tc>
        <w:tc>
          <w:tcPr>
            <w:tcW w:w="4327" w:type="pct"/>
          </w:tcPr>
          <w:p w:rsidR="00DD6D4D" w:rsidP="008C4849" w14:paraId="569EBEFE" w14:textId="77777777">
            <w:pPr>
              <w:pStyle w:val="TableHeaderCenter"/>
            </w:pPr>
            <w:r>
              <w:t>Revised pre-test question</w:t>
            </w:r>
          </w:p>
        </w:tc>
      </w:tr>
      <w:tr w14:paraId="6817CC19" w14:textId="77777777" w:rsidTr="008C4849">
        <w:tblPrEx>
          <w:tblW w:w="5000" w:type="pct"/>
          <w:tblLayout w:type="fixed"/>
          <w:tblLook w:val="04A0"/>
        </w:tblPrEx>
        <w:trPr>
          <w:trHeight w:val="116"/>
        </w:trPr>
        <w:tc>
          <w:tcPr>
            <w:tcW w:w="673" w:type="pct"/>
          </w:tcPr>
          <w:p w:rsidR="00DD6D4D" w:rsidP="008C4849" w14:paraId="01BF7F83" w14:textId="77777777">
            <w:pPr>
              <w:pStyle w:val="TableTextLeft"/>
            </w:pPr>
            <w:r>
              <w:t xml:space="preserve">B1 </w:t>
            </w:r>
          </w:p>
          <w:p w:rsidR="00DD6D4D" w:rsidRPr="0059556A" w:rsidP="008C4849" w14:paraId="2A8B8721" w14:textId="77777777">
            <w:pPr>
              <w:pStyle w:val="TableTextLeft"/>
            </w:pPr>
            <w:r w:rsidRPr="00935954">
              <w:rPr>
                <w:i/>
                <w:iCs/>
              </w:rPr>
              <w:t xml:space="preserve">(Client </w:t>
            </w:r>
            <w:r>
              <w:rPr>
                <w:i/>
                <w:iCs/>
              </w:rPr>
              <w:t>Experienc</w:t>
            </w:r>
            <w:r w:rsidRPr="00935954">
              <w:rPr>
                <w:i/>
                <w:iCs/>
              </w:rPr>
              <w:t>e</w:t>
            </w:r>
            <w:r>
              <w:rPr>
                <w:i/>
                <w:iCs/>
              </w:rPr>
              <w:t xml:space="preserve"> Survey</w:t>
            </w:r>
            <w:r w:rsidRPr="00935954">
              <w:rPr>
                <w:i/>
                <w:iCs/>
              </w:rPr>
              <w:t>)</w:t>
            </w:r>
          </w:p>
        </w:tc>
        <w:tc>
          <w:tcPr>
            <w:tcW w:w="4327" w:type="pct"/>
          </w:tcPr>
          <w:p w:rsidR="00DD6D4D" w:rsidRPr="003369CE" w:rsidP="008C4849" w14:paraId="45CBBBDB" w14:textId="77777777">
            <w:pPr>
              <w:pStyle w:val="ParagraphContinued"/>
              <w:spacing w:before="40" w:after="40"/>
              <w:ind w:left="360" w:hanging="360"/>
              <w:rPr>
                <w:rFonts w:ascii="Calibri" w:hAnsi="Calibri" w:cs="Calibri"/>
                <w:b/>
                <w:bCs/>
              </w:rPr>
            </w:pPr>
            <w:r w:rsidRPr="003369CE">
              <w:rPr>
                <w:rFonts w:ascii="Calibri" w:hAnsi="Calibri" w:cs="Calibri"/>
                <w:b/>
                <w:bCs/>
              </w:rPr>
              <w:t xml:space="preserve">How did you hear about </w:t>
            </w:r>
            <w:r w:rsidRPr="00935954">
              <w:rPr>
                <w:rFonts w:ascii="Calibri" w:hAnsi="Calibri" w:cs="Calibri"/>
                <w:b/>
                <w:bCs/>
                <w:strike/>
                <w:color w:val="FF0000"/>
              </w:rPr>
              <w:t>SNAP</w:t>
            </w:r>
            <w:r w:rsidRPr="00935954">
              <w:rPr>
                <w:rFonts w:ascii="Calibri" w:hAnsi="Calibri" w:cs="Calibri"/>
                <w:b/>
                <w:bCs/>
                <w:color w:val="FF0000"/>
              </w:rPr>
              <w:t xml:space="preserve"> </w:t>
            </w:r>
            <w:r w:rsidRPr="003369CE">
              <w:rPr>
                <w:rFonts w:ascii="Calibri" w:hAnsi="Calibri" w:cs="Calibri"/>
                <w:b/>
                <w:bCs/>
              </w:rPr>
              <w:t xml:space="preserve">mobile payments? </w:t>
            </w:r>
            <w:bookmarkStart w:id="8" w:name="_Hlk135060664"/>
            <w:bookmarkStart w:id="9" w:name="_Hlk132799582"/>
            <w:r w:rsidRPr="003369CE">
              <w:rPr>
                <w:rFonts w:ascii="Calibri" w:hAnsi="Calibri" w:cs="Calibri"/>
                <w:b/>
                <w:bCs/>
              </w:rPr>
              <w:t>Choose all that apply</w:t>
            </w:r>
            <w:bookmarkEnd w:id="8"/>
            <w:r w:rsidRPr="003369CE">
              <w:rPr>
                <w:rFonts w:ascii="Calibri" w:hAnsi="Calibri" w:cs="Calibri"/>
                <w:b/>
                <w:bCs/>
              </w:rPr>
              <w:t xml:space="preserve">. </w:t>
            </w:r>
          </w:p>
          <w:p w:rsidR="00DD6D4D" w:rsidRPr="003369CE" w:rsidP="008C4849" w14:paraId="33F29A40" w14:textId="77777777">
            <w:pPr>
              <w:pStyle w:val="ParagraphContinued"/>
              <w:spacing w:before="40" w:after="40"/>
              <w:rPr>
                <w:rFonts w:ascii="Calibri" w:hAnsi="Calibri" w:cs="Calibri"/>
              </w:rPr>
            </w:pPr>
            <w:r w:rsidRPr="003369CE">
              <w:rPr>
                <w:rFonts w:ascii="Calibri" w:hAnsi="Calibri" w:cs="Calibri"/>
                <w:b/>
                <w:bCs/>
              </w:rPr>
              <w:t xml:space="preserve">By </w:t>
            </w:r>
            <w:r w:rsidRPr="00935954">
              <w:rPr>
                <w:rFonts w:ascii="Calibri" w:hAnsi="Calibri" w:cs="Calibri"/>
                <w:b/>
                <w:bCs/>
                <w:i/>
                <w:iCs/>
                <w:strike/>
                <w:color w:val="FF0000"/>
              </w:rPr>
              <w:t>SNAP</w:t>
            </w:r>
            <w:r w:rsidRPr="00935954">
              <w:rPr>
                <w:rFonts w:ascii="Calibri" w:hAnsi="Calibri" w:cs="Calibri"/>
                <w:b/>
                <w:bCs/>
                <w:i/>
                <w:iCs/>
                <w:color w:val="FF0000"/>
              </w:rPr>
              <w:t xml:space="preserve"> </w:t>
            </w:r>
            <w:r w:rsidRPr="003369CE">
              <w:rPr>
                <w:rFonts w:ascii="Calibri" w:hAnsi="Calibri" w:cs="Calibri"/>
                <w:b/>
                <w:bCs/>
                <w:i/>
                <w:iCs/>
              </w:rPr>
              <w:t>mobile payments</w:t>
            </w:r>
            <w:r w:rsidRPr="003369CE">
              <w:rPr>
                <w:rFonts w:ascii="Calibri" w:hAnsi="Calibri" w:cs="Calibri"/>
                <w:b/>
                <w:bCs/>
              </w:rPr>
              <w:t xml:space="preserve">, we mean using a mobile device to pay for your </w:t>
            </w:r>
            <w:r w:rsidRPr="00935954">
              <w:rPr>
                <w:rFonts w:ascii="Calibri" w:hAnsi="Calibri" w:cs="Calibri"/>
                <w:b/>
                <w:bCs/>
                <w:strike/>
                <w:color w:val="FF0000"/>
              </w:rPr>
              <w:t>[SNAP]</w:t>
            </w:r>
            <w:r w:rsidRPr="00935954">
              <w:rPr>
                <w:rFonts w:ascii="Calibri" w:hAnsi="Calibri" w:cs="Calibri"/>
                <w:b/>
                <w:bCs/>
                <w:color w:val="FF0000"/>
              </w:rPr>
              <w:t xml:space="preserve"> </w:t>
            </w:r>
            <w:r w:rsidRPr="003369CE">
              <w:rPr>
                <w:rFonts w:ascii="Calibri" w:hAnsi="Calibri" w:cs="Calibri"/>
                <w:b/>
                <w:bCs/>
              </w:rPr>
              <w:t>purchases in</w:t>
            </w:r>
            <w:r>
              <w:rPr>
                <w:rFonts w:ascii="Calibri" w:hAnsi="Calibri" w:cs="Calibri"/>
                <w:b/>
                <w:bCs/>
              </w:rPr>
              <w:t xml:space="preserve"> </w:t>
            </w:r>
            <w:r w:rsidRPr="003369CE">
              <w:rPr>
                <w:rFonts w:ascii="Calibri" w:hAnsi="Calibri" w:cs="Calibri"/>
                <w:b/>
                <w:bCs/>
              </w:rPr>
              <w:t xml:space="preserve">person at a store. </w:t>
            </w:r>
          </w:p>
          <w:bookmarkEnd w:id="9"/>
          <w:p w:rsidR="00DD6D4D" w:rsidRPr="003369CE" w:rsidP="00DD6D4D" w14:paraId="7D144CFB" w14:textId="77777777">
            <w:pPr>
              <w:pStyle w:val="Paragraph"/>
              <w:numPr>
                <w:ilvl w:val="0"/>
                <w:numId w:val="33"/>
              </w:numPr>
              <w:spacing w:before="20" w:after="0"/>
              <w:ind w:left="490"/>
              <w:rPr>
                <w:rFonts w:ascii="Calibri" w:hAnsi="Calibri" w:cs="Calibri"/>
              </w:rPr>
            </w:pPr>
            <w:r w:rsidRPr="003369CE">
              <w:rPr>
                <w:rFonts w:ascii="Calibri" w:hAnsi="Calibri" w:cs="Calibri"/>
              </w:rPr>
              <w:t>Friends or neighbors</w:t>
            </w:r>
          </w:p>
          <w:p w:rsidR="00DD6D4D" w:rsidRPr="003369CE" w:rsidP="00DD6D4D" w14:paraId="0EDA412F" w14:textId="77777777">
            <w:pPr>
              <w:pStyle w:val="Paragraph"/>
              <w:numPr>
                <w:ilvl w:val="0"/>
                <w:numId w:val="33"/>
              </w:numPr>
              <w:spacing w:before="20" w:after="0"/>
              <w:ind w:left="490"/>
              <w:rPr>
                <w:rFonts w:ascii="Calibri" w:hAnsi="Calibri" w:cs="Calibri"/>
              </w:rPr>
            </w:pPr>
            <w:r w:rsidRPr="003369CE">
              <w:rPr>
                <w:rFonts w:ascii="Calibri" w:hAnsi="Calibri" w:cs="Calibri"/>
              </w:rPr>
              <w:t xml:space="preserve">Store outreach (for example, signs posted in the store, an information booth, a mailed flier, or a store app notification) </w:t>
            </w:r>
          </w:p>
          <w:p w:rsidR="00DD6D4D" w:rsidRPr="00935954" w:rsidP="00DD6D4D" w14:paraId="66034F42" w14:textId="77777777">
            <w:pPr>
              <w:pStyle w:val="Paragraph"/>
              <w:numPr>
                <w:ilvl w:val="0"/>
                <w:numId w:val="33"/>
              </w:numPr>
              <w:spacing w:before="20" w:after="0"/>
              <w:ind w:left="490"/>
              <w:rPr>
                <w:rFonts w:ascii="Calibri" w:hAnsi="Calibri" w:cs="Calibri"/>
                <w:strike/>
                <w:color w:val="FF0000"/>
              </w:rPr>
            </w:pPr>
            <w:r w:rsidRPr="00935954">
              <w:rPr>
                <w:rFonts w:ascii="Calibri" w:hAnsi="Calibri" w:cs="Calibri"/>
                <w:strike/>
                <w:color w:val="FF0000"/>
              </w:rPr>
              <w:t>Your local SNAP agency</w:t>
            </w:r>
          </w:p>
          <w:p w:rsidR="00DD6D4D" w:rsidRPr="003369CE" w:rsidP="00DD6D4D" w14:paraId="2804971B" w14:textId="77777777">
            <w:pPr>
              <w:pStyle w:val="Paragraph"/>
              <w:numPr>
                <w:ilvl w:val="0"/>
                <w:numId w:val="33"/>
              </w:numPr>
              <w:spacing w:before="20" w:after="0"/>
              <w:ind w:left="490"/>
              <w:rPr>
                <w:rFonts w:ascii="Calibri" w:hAnsi="Calibri" w:cs="Calibri"/>
              </w:rPr>
            </w:pPr>
            <w:r w:rsidRPr="003369CE">
              <w:rPr>
                <w:rFonts w:ascii="Calibri" w:hAnsi="Calibri" w:cs="Calibri"/>
              </w:rPr>
              <w:t>Social media</w:t>
            </w:r>
          </w:p>
          <w:p w:rsidR="00DD6D4D" w:rsidRPr="00935954" w:rsidP="00DD6D4D" w14:paraId="5325B183" w14:textId="77777777">
            <w:pPr>
              <w:pStyle w:val="Paragraph"/>
              <w:numPr>
                <w:ilvl w:val="0"/>
                <w:numId w:val="33"/>
              </w:numPr>
              <w:spacing w:before="20" w:after="0"/>
              <w:ind w:left="490"/>
              <w:rPr>
                <w:rFonts w:ascii="Calibri" w:hAnsi="Calibri" w:cs="Calibri"/>
              </w:rPr>
            </w:pPr>
            <w:r w:rsidRPr="003369CE">
              <w:rPr>
                <w:rFonts w:ascii="Calibri" w:hAnsi="Calibri" w:cs="Calibri"/>
              </w:rPr>
              <w:t>Another way (specify)</w:t>
            </w:r>
          </w:p>
        </w:tc>
      </w:tr>
      <w:tr w14:paraId="3199D890" w14:textId="77777777" w:rsidTr="008C4849">
        <w:tblPrEx>
          <w:tblW w:w="5000" w:type="pct"/>
          <w:tblLayout w:type="fixed"/>
          <w:tblLook w:val="04A0"/>
        </w:tblPrEx>
        <w:trPr>
          <w:trHeight w:val="116"/>
        </w:trPr>
        <w:tc>
          <w:tcPr>
            <w:tcW w:w="673" w:type="pct"/>
          </w:tcPr>
          <w:p w:rsidR="00DD6D4D" w:rsidP="008C4849" w14:paraId="73FDCF4B" w14:textId="77777777">
            <w:pPr>
              <w:pStyle w:val="TableTextLeft"/>
            </w:pPr>
            <w:r>
              <w:t xml:space="preserve">C5 </w:t>
            </w:r>
          </w:p>
          <w:p w:rsidR="00DD6D4D" w:rsidRPr="0059556A" w:rsidP="008C4849" w14:paraId="6B0665E2" w14:textId="77777777">
            <w:pPr>
              <w:pStyle w:val="TableTextLeft"/>
            </w:pPr>
            <w:r w:rsidRPr="000C72ED">
              <w:rPr>
                <w:i/>
                <w:iCs/>
              </w:rPr>
              <w:t xml:space="preserve">(Client </w:t>
            </w:r>
            <w:r>
              <w:rPr>
                <w:i/>
                <w:iCs/>
              </w:rPr>
              <w:t>Experienc</w:t>
            </w:r>
            <w:r w:rsidRPr="000C72ED">
              <w:rPr>
                <w:i/>
                <w:iCs/>
              </w:rPr>
              <w:t>e</w:t>
            </w:r>
            <w:r>
              <w:rPr>
                <w:i/>
                <w:iCs/>
              </w:rPr>
              <w:t xml:space="preserve"> Survey</w:t>
            </w:r>
            <w:r w:rsidRPr="000C72ED">
              <w:rPr>
                <w:i/>
                <w:iCs/>
              </w:rPr>
              <w:t>)</w:t>
            </w:r>
          </w:p>
        </w:tc>
        <w:tc>
          <w:tcPr>
            <w:tcW w:w="4327" w:type="pct"/>
          </w:tcPr>
          <w:p w:rsidR="00DD6D4D" w:rsidP="008C4849" w14:paraId="6F7F6FD5" w14:textId="77777777">
            <w:pPr>
              <w:pStyle w:val="TableTextLeft"/>
              <w:rPr>
                <w:rFonts w:ascii="Calibri" w:hAnsi="Calibri" w:cs="Calibri"/>
                <w:b/>
                <w:bCs/>
              </w:rPr>
            </w:pPr>
            <w:r w:rsidRPr="003369CE">
              <w:rPr>
                <w:rFonts w:ascii="Calibri" w:hAnsi="Calibri" w:cs="Calibri"/>
                <w:b/>
                <w:bCs/>
              </w:rPr>
              <w:t xml:space="preserve">What made it difficult to pay using </w:t>
            </w:r>
            <w:r w:rsidRPr="000C72ED">
              <w:rPr>
                <w:rFonts w:ascii="Calibri" w:hAnsi="Calibri" w:cs="Calibri"/>
                <w:b/>
                <w:bCs/>
                <w:strike/>
                <w:color w:val="FF0000"/>
              </w:rPr>
              <w:t>SNAP</w:t>
            </w:r>
            <w:r w:rsidRPr="000C72ED">
              <w:rPr>
                <w:rFonts w:ascii="Calibri" w:hAnsi="Calibri" w:cs="Calibri"/>
                <w:b/>
                <w:bCs/>
                <w:color w:val="FF0000"/>
              </w:rPr>
              <w:t xml:space="preserve"> </w:t>
            </w:r>
            <w:r w:rsidRPr="003369CE">
              <w:rPr>
                <w:rFonts w:ascii="Calibri" w:hAnsi="Calibri" w:cs="Calibri"/>
                <w:b/>
                <w:bCs/>
              </w:rPr>
              <w:t>mobile payments at checkout? Choose all that apply.</w:t>
            </w:r>
          </w:p>
          <w:p w:rsidR="00DD6D4D" w:rsidRPr="000C72ED" w:rsidP="00DD6D4D" w14:paraId="06F22B67" w14:textId="77777777">
            <w:pPr>
              <w:pStyle w:val="Paragraph"/>
              <w:numPr>
                <w:ilvl w:val="0"/>
                <w:numId w:val="35"/>
              </w:numPr>
              <w:spacing w:before="20" w:after="0"/>
              <w:ind w:left="404" w:hanging="270"/>
              <w:rPr>
                <w:rFonts w:ascii="Calibri" w:hAnsi="Calibri" w:cs="Calibri"/>
                <w:strike/>
                <w:color w:val="FF0000"/>
              </w:rPr>
            </w:pPr>
            <w:r w:rsidRPr="000C72ED">
              <w:rPr>
                <w:rFonts w:ascii="Calibri" w:hAnsi="Calibri" w:cs="Calibri"/>
                <w:strike/>
                <w:color w:val="FF0000"/>
              </w:rPr>
              <w:t>You had technical issues or difficulty logging into the [SNAP app]</w:t>
            </w:r>
          </w:p>
          <w:p w:rsidR="00DD6D4D" w:rsidRPr="003369CE" w:rsidP="00DD6D4D" w14:paraId="1377CCFC" w14:textId="77777777">
            <w:pPr>
              <w:pStyle w:val="Paragraph"/>
              <w:numPr>
                <w:ilvl w:val="0"/>
                <w:numId w:val="35"/>
              </w:numPr>
              <w:spacing w:before="20" w:after="0"/>
              <w:ind w:left="404" w:hanging="270"/>
              <w:rPr>
                <w:rFonts w:ascii="Calibri" w:hAnsi="Calibri" w:cs="Calibri"/>
              </w:rPr>
            </w:pPr>
            <w:r w:rsidRPr="003369CE">
              <w:rPr>
                <w:rFonts w:ascii="Calibri" w:hAnsi="Calibri" w:cs="Calibri"/>
              </w:rPr>
              <w:t>You had technical issues or difficulty logging into your mobile wallet or payment app (for example, Google Wallet, Apple Wallet, or Samsung Wallet)</w:t>
            </w:r>
          </w:p>
          <w:p w:rsidR="00DD6D4D" w:rsidRPr="003369CE" w:rsidP="00DD6D4D" w14:paraId="75FFACB8" w14:textId="77777777">
            <w:pPr>
              <w:pStyle w:val="Paragraph"/>
              <w:numPr>
                <w:ilvl w:val="0"/>
                <w:numId w:val="35"/>
              </w:numPr>
              <w:spacing w:before="20" w:after="0"/>
              <w:ind w:left="404" w:hanging="270"/>
              <w:rPr>
                <w:rFonts w:ascii="Calibri" w:hAnsi="Calibri" w:cs="Calibri"/>
              </w:rPr>
            </w:pPr>
            <w:r w:rsidRPr="003369CE">
              <w:rPr>
                <w:rFonts w:ascii="Calibri" w:hAnsi="Calibri" w:cs="Calibri"/>
              </w:rPr>
              <w:t>You had technical issues with your phone</w:t>
            </w:r>
          </w:p>
          <w:p w:rsidR="00DD6D4D" w:rsidP="00DD6D4D" w14:paraId="6C92127E" w14:textId="77777777">
            <w:pPr>
              <w:pStyle w:val="Paragraph"/>
              <w:numPr>
                <w:ilvl w:val="0"/>
                <w:numId w:val="35"/>
              </w:numPr>
              <w:spacing w:before="20" w:after="0"/>
              <w:ind w:left="404" w:hanging="270"/>
              <w:rPr>
                <w:rFonts w:ascii="Calibri" w:hAnsi="Calibri" w:cs="Calibri"/>
              </w:rPr>
            </w:pPr>
            <w:r w:rsidRPr="003369CE">
              <w:rPr>
                <w:rFonts w:ascii="Calibri" w:hAnsi="Calibri" w:cs="Calibri"/>
              </w:rPr>
              <w:t>You had connectivity or network issues while making the payment</w:t>
            </w:r>
          </w:p>
          <w:p w:rsidR="00DD6D4D" w:rsidRPr="000C72ED" w:rsidP="00DD6D4D" w14:paraId="3ADC4B28" w14:textId="77777777">
            <w:pPr>
              <w:pStyle w:val="Paragraph"/>
              <w:numPr>
                <w:ilvl w:val="0"/>
                <w:numId w:val="35"/>
              </w:numPr>
              <w:spacing w:before="20" w:after="0"/>
              <w:ind w:left="404" w:hanging="270"/>
              <w:rPr>
                <w:rFonts w:ascii="Calibri" w:hAnsi="Calibri" w:cs="Calibri"/>
                <w:strike/>
                <w:color w:val="FF0000"/>
              </w:rPr>
            </w:pPr>
            <w:r w:rsidRPr="000C72ED">
              <w:rPr>
                <w:rFonts w:ascii="Calibri" w:hAnsi="Calibri" w:cs="Calibri"/>
                <w:strike/>
                <w:color w:val="FF0000"/>
              </w:rPr>
              <w:t>You had trouble using a second form of payment for non-SNAP eligible items</w:t>
            </w:r>
          </w:p>
          <w:p w:rsidR="00DD6D4D" w:rsidP="00DD6D4D" w14:paraId="303C2037" w14:textId="77777777">
            <w:pPr>
              <w:pStyle w:val="Paragraph"/>
              <w:numPr>
                <w:ilvl w:val="0"/>
                <w:numId w:val="35"/>
              </w:numPr>
              <w:spacing w:before="20" w:after="0"/>
              <w:ind w:left="404" w:hanging="270"/>
              <w:rPr>
                <w:rFonts w:ascii="Calibri" w:hAnsi="Calibri" w:cs="Calibri"/>
              </w:rPr>
            </w:pPr>
            <w:r w:rsidRPr="00CA031F">
              <w:rPr>
                <w:rFonts w:ascii="Calibri" w:hAnsi="Calibri" w:cs="Calibri"/>
              </w:rPr>
              <w:t>The store register would not accept the payment</w:t>
            </w:r>
          </w:p>
          <w:p w:rsidR="00DD6D4D" w:rsidRPr="00497E01" w:rsidP="00DD6D4D" w14:paraId="0DAC99ED" w14:textId="77777777">
            <w:pPr>
              <w:pStyle w:val="Paragraph"/>
              <w:numPr>
                <w:ilvl w:val="0"/>
                <w:numId w:val="35"/>
              </w:numPr>
              <w:spacing w:before="20" w:after="0"/>
              <w:ind w:left="404" w:hanging="270"/>
              <w:rPr>
                <w:rFonts w:ascii="Calibri" w:hAnsi="Calibri" w:cs="Calibri"/>
                <w:szCs w:val="18"/>
              </w:rPr>
            </w:pPr>
            <w:r w:rsidRPr="004E174E">
              <w:rPr>
                <w:rFonts w:ascii="Calibri" w:hAnsi="Calibri" w:cs="Calibri"/>
                <w:szCs w:val="18"/>
              </w:rPr>
              <w:t>Another reason (specify)</w:t>
            </w:r>
          </w:p>
        </w:tc>
      </w:tr>
    </w:tbl>
    <w:p w:rsidR="00DD6D4D" w:rsidP="00DD6D4D" w14:paraId="7615E061" w14:textId="77777777">
      <w:pPr>
        <w:pStyle w:val="Paragraph"/>
        <w:spacing w:after="0"/>
      </w:pPr>
    </w:p>
    <w:p w:rsidR="00DD6D4D" w:rsidP="00DD6D4D" w14:paraId="404DE1CC" w14:textId="77777777">
      <w:pPr>
        <w:pStyle w:val="Paragraph"/>
      </w:pPr>
      <w:r>
        <w:rPr>
          <w:b/>
          <w:bCs/>
        </w:rPr>
        <w:t xml:space="preserve">Pre-test sample. </w:t>
      </w:r>
      <w:r>
        <w:t xml:space="preserve">Pre-test participants were recruited by study team staff in June 2023. The study team administered the pre-test in three States: California, Oregon, and New York. These States were selected to help test questions that might differ by State, including those with references to State-specific SNAP apps, and to allow for in-person administration by the study team. In the three States, study team staff reached out to organizations that serve adults similar to those in the study population for the SNAP Mobile Payment Pilots Evaluation, including two food pantries, one local farmers’ market, and a local college. In coordination with these organizations, the study team invited individuals to participate in a pre-test interview with Mathematica. All pre-test participants were screened to ensure they were receiving SNAP benefits at the time of the pre-test interview and to confirm their use or non-use of mobile payments. </w:t>
      </w:r>
    </w:p>
    <w:p w:rsidR="00DD6D4D" w:rsidP="00DD6D4D" w14:paraId="06DC32FE" w14:textId="77777777">
      <w:pPr>
        <w:pStyle w:val="Paragraph"/>
      </w:pPr>
      <w:r>
        <w:t>The Client Experience Survey was pre-tested with 9 participants who had used mobile payments in a store to buy food (8 in English and one in Spanish), and the Survey of Non-Adopters was fielded with nine pre-test participants who had not (8 in English and one in Spanish).</w:t>
      </w:r>
    </w:p>
    <w:p w:rsidR="00DD6D4D" w:rsidP="00DD6D4D" w14:paraId="489CF29F" w14:textId="77777777">
      <w:pPr>
        <w:pStyle w:val="Paragraph"/>
        <w:spacing w:before="160"/>
      </w:pPr>
      <w:r>
        <w:rPr>
          <w:b/>
          <w:bCs/>
        </w:rPr>
        <w:t xml:space="preserve">Pre-test procedures. </w:t>
      </w:r>
      <w:r>
        <w:t xml:space="preserve">Pre-test interviews were conducted in person or by telephone. To mirror self-administration of the survey by web, 11 participants filled out a printed version of the survey. These respondents self-administered the questionnaire by reading each question to themselves and circling or highlighting their answers. To replicate interviewer administration of the survey by telephone, interviewers on the study team read survey questions aloud to 7 participants and asked them to respond verbally. Exhibit 3 shows the breakdown of pre-test administration mode by survey type. </w:t>
      </w:r>
    </w:p>
    <w:p w:rsidR="00DD6D4D" w:rsidP="00DD6D4D" w14:paraId="48148804" w14:textId="77777777">
      <w:pPr>
        <w:pStyle w:val="TitleRule"/>
        <w:keepLines/>
      </w:pPr>
      <w:r w:rsidRPr="00465BF8">
        <w:rPr>
          <w:noProof/>
        </w:rPr>
        <mc:AlternateContent>
          <mc:Choice Requires="wps">
            <w:drawing>
              <wp:inline distT="0" distB="0" distL="0" distR="0">
                <wp:extent cx="2971800" cy="0"/>
                <wp:effectExtent l="0" t="38100" r="38100" b="38100"/>
                <wp:docPr id="8" name="Straight Connector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DD6D4D" w:rsidP="00DD6D4D" w14:paraId="56B2DB84" w14:textId="77777777">
      <w:pPr>
        <w:pStyle w:val="TableTitle"/>
      </w:pPr>
      <w:r>
        <w:t>Exhibit 3. Pre-test administration mode by survey type</w:t>
      </w:r>
    </w:p>
    <w:tbl>
      <w:tblPr>
        <w:tblStyle w:val="MathUBaseTable"/>
        <w:tblW w:w="7650" w:type="dxa"/>
        <w:tblLayout w:type="fixed"/>
        <w:tblLook w:val="06A0"/>
      </w:tblPr>
      <w:tblGrid>
        <w:gridCol w:w="2610"/>
        <w:gridCol w:w="1800"/>
        <w:gridCol w:w="1710"/>
        <w:gridCol w:w="1530"/>
      </w:tblGrid>
      <w:tr w14:paraId="18ACA309" w14:textId="77777777" w:rsidTr="008C4849">
        <w:tblPrEx>
          <w:tblW w:w="7650" w:type="dxa"/>
          <w:tblLayout w:type="fixed"/>
          <w:tblLook w:val="06A0"/>
        </w:tblPrEx>
        <w:trPr>
          <w:tblHeader/>
        </w:trPr>
        <w:tc>
          <w:tcPr>
            <w:tcW w:w="2610" w:type="dxa"/>
          </w:tcPr>
          <w:p w:rsidR="00DD6D4D" w:rsidP="008C4849" w14:paraId="269C3D88" w14:textId="77777777">
            <w:pPr>
              <w:pStyle w:val="TableHeaderLeft"/>
            </w:pPr>
          </w:p>
        </w:tc>
        <w:tc>
          <w:tcPr>
            <w:tcW w:w="1800" w:type="dxa"/>
          </w:tcPr>
          <w:p w:rsidR="00DD6D4D" w:rsidRPr="00465BF8" w:rsidP="008C4849" w14:paraId="52F1576F" w14:textId="77777777">
            <w:pPr>
              <w:pStyle w:val="TableHeaderCenter"/>
            </w:pPr>
            <w:r>
              <w:t>Self-administered (paper)</w:t>
            </w:r>
          </w:p>
        </w:tc>
        <w:tc>
          <w:tcPr>
            <w:tcW w:w="1710" w:type="dxa"/>
          </w:tcPr>
          <w:p w:rsidR="00DD6D4D" w:rsidRPr="00465BF8" w:rsidP="008C4849" w14:paraId="0FB40CAD" w14:textId="77777777">
            <w:pPr>
              <w:pStyle w:val="TableHeaderCenter"/>
            </w:pPr>
            <w:r>
              <w:t>Interviewer-administered (verbal)</w:t>
            </w:r>
          </w:p>
        </w:tc>
        <w:tc>
          <w:tcPr>
            <w:tcW w:w="1530" w:type="dxa"/>
          </w:tcPr>
          <w:p w:rsidR="00DD6D4D" w:rsidP="008C4849" w14:paraId="09570A0A" w14:textId="77777777">
            <w:pPr>
              <w:pStyle w:val="TableHeaderCenter"/>
              <w:rPr>
                <w:b w:val="0"/>
              </w:rPr>
            </w:pPr>
          </w:p>
          <w:p w:rsidR="00DD6D4D" w:rsidP="008C4849" w14:paraId="6B28D628" w14:textId="77777777">
            <w:pPr>
              <w:pStyle w:val="TableHeaderCenter"/>
            </w:pPr>
            <w:r>
              <w:t>Total</w:t>
            </w:r>
          </w:p>
        </w:tc>
      </w:tr>
      <w:tr w14:paraId="12A7FA04" w14:textId="77777777" w:rsidTr="008C4849">
        <w:tblPrEx>
          <w:tblW w:w="7650" w:type="dxa"/>
          <w:tblLayout w:type="fixed"/>
          <w:tblLook w:val="06A0"/>
        </w:tblPrEx>
        <w:tc>
          <w:tcPr>
            <w:tcW w:w="2610" w:type="dxa"/>
          </w:tcPr>
          <w:p w:rsidR="00DD6D4D" w:rsidP="008C4849" w14:paraId="31F75654" w14:textId="77777777">
            <w:pPr>
              <w:pStyle w:val="TableTextLeft"/>
            </w:pPr>
            <w:r>
              <w:t>Client Experience Survey</w:t>
            </w:r>
          </w:p>
        </w:tc>
        <w:tc>
          <w:tcPr>
            <w:tcW w:w="1800" w:type="dxa"/>
          </w:tcPr>
          <w:p w:rsidR="00DD6D4D" w:rsidP="008C4849" w14:paraId="78B7A7FC" w14:textId="77777777">
            <w:pPr>
              <w:pStyle w:val="TableTextLeft"/>
              <w:jc w:val="center"/>
            </w:pPr>
            <w:r>
              <w:t>7</w:t>
            </w:r>
          </w:p>
        </w:tc>
        <w:tc>
          <w:tcPr>
            <w:tcW w:w="1710" w:type="dxa"/>
          </w:tcPr>
          <w:p w:rsidR="00DD6D4D" w:rsidP="008C4849" w14:paraId="38B455B9" w14:textId="77777777">
            <w:pPr>
              <w:pStyle w:val="TableTextLeft"/>
              <w:jc w:val="center"/>
            </w:pPr>
            <w:r>
              <w:t>2</w:t>
            </w:r>
          </w:p>
        </w:tc>
        <w:tc>
          <w:tcPr>
            <w:tcW w:w="1530" w:type="dxa"/>
          </w:tcPr>
          <w:p w:rsidR="00DD6D4D" w:rsidRPr="00DD5624" w:rsidP="008C4849" w14:paraId="794978B0" w14:textId="77777777">
            <w:pPr>
              <w:pStyle w:val="TableTextLeft"/>
              <w:jc w:val="center"/>
              <w:rPr>
                <w:b/>
                <w:bCs/>
              </w:rPr>
            </w:pPr>
            <w:r>
              <w:rPr>
                <w:b/>
                <w:bCs/>
              </w:rPr>
              <w:t>9</w:t>
            </w:r>
          </w:p>
        </w:tc>
      </w:tr>
      <w:tr w14:paraId="5B8BA6FE" w14:textId="77777777" w:rsidTr="008C4849">
        <w:tblPrEx>
          <w:tblW w:w="7650" w:type="dxa"/>
          <w:tblLayout w:type="fixed"/>
          <w:tblLook w:val="06A0"/>
        </w:tblPrEx>
        <w:tc>
          <w:tcPr>
            <w:tcW w:w="2610" w:type="dxa"/>
          </w:tcPr>
          <w:p w:rsidR="00DD6D4D" w:rsidP="008C4849" w14:paraId="512F2B84" w14:textId="77777777">
            <w:pPr>
              <w:pStyle w:val="TableTextLeft"/>
            </w:pPr>
            <w:r>
              <w:t>Survey of Non-Adopters</w:t>
            </w:r>
          </w:p>
        </w:tc>
        <w:tc>
          <w:tcPr>
            <w:tcW w:w="1800" w:type="dxa"/>
          </w:tcPr>
          <w:p w:rsidR="00DD6D4D" w:rsidP="008C4849" w14:paraId="19A54C69" w14:textId="77777777">
            <w:pPr>
              <w:pStyle w:val="TableTextLeft"/>
              <w:jc w:val="center"/>
            </w:pPr>
            <w:r>
              <w:t>4</w:t>
            </w:r>
          </w:p>
        </w:tc>
        <w:tc>
          <w:tcPr>
            <w:tcW w:w="1710" w:type="dxa"/>
          </w:tcPr>
          <w:p w:rsidR="00DD6D4D" w:rsidP="008C4849" w14:paraId="7571095F" w14:textId="77777777">
            <w:pPr>
              <w:pStyle w:val="TableTextLeft"/>
              <w:jc w:val="center"/>
            </w:pPr>
            <w:r>
              <w:t>5</w:t>
            </w:r>
          </w:p>
        </w:tc>
        <w:tc>
          <w:tcPr>
            <w:tcW w:w="1530" w:type="dxa"/>
          </w:tcPr>
          <w:p w:rsidR="00DD6D4D" w:rsidRPr="00DD5624" w:rsidP="008C4849" w14:paraId="0C816851" w14:textId="77777777">
            <w:pPr>
              <w:pStyle w:val="TableTextLeft"/>
              <w:jc w:val="center"/>
              <w:rPr>
                <w:b/>
                <w:bCs/>
              </w:rPr>
            </w:pPr>
            <w:r>
              <w:rPr>
                <w:b/>
                <w:bCs/>
              </w:rPr>
              <w:t>9</w:t>
            </w:r>
          </w:p>
        </w:tc>
      </w:tr>
      <w:tr w14:paraId="5975EEC1" w14:textId="77777777" w:rsidTr="008C4849">
        <w:tblPrEx>
          <w:tblW w:w="7650" w:type="dxa"/>
          <w:tblLayout w:type="fixed"/>
          <w:tblLook w:val="06A0"/>
        </w:tblPrEx>
        <w:tc>
          <w:tcPr>
            <w:tcW w:w="2610" w:type="dxa"/>
            <w:shd w:val="clear" w:color="auto" w:fill="auto"/>
          </w:tcPr>
          <w:p w:rsidR="00DD6D4D" w:rsidRPr="00700195" w:rsidP="008C4849" w14:paraId="179247A0" w14:textId="77777777">
            <w:pPr>
              <w:pStyle w:val="TableTextLeft"/>
              <w:rPr>
                <w:b/>
                <w:bCs/>
              </w:rPr>
            </w:pPr>
            <w:r w:rsidRPr="00700195">
              <w:rPr>
                <w:b/>
                <w:bCs/>
              </w:rPr>
              <w:t>Total</w:t>
            </w:r>
          </w:p>
        </w:tc>
        <w:tc>
          <w:tcPr>
            <w:tcW w:w="1800" w:type="dxa"/>
            <w:shd w:val="clear" w:color="auto" w:fill="auto"/>
          </w:tcPr>
          <w:p w:rsidR="00DD6D4D" w:rsidRPr="00700195" w:rsidP="008C4849" w14:paraId="61D2876F" w14:textId="77777777">
            <w:pPr>
              <w:pStyle w:val="TableTextLeft"/>
              <w:jc w:val="center"/>
              <w:rPr>
                <w:b/>
                <w:bCs/>
              </w:rPr>
            </w:pPr>
            <w:r>
              <w:rPr>
                <w:b/>
                <w:bCs/>
              </w:rPr>
              <w:t>11</w:t>
            </w:r>
          </w:p>
        </w:tc>
        <w:tc>
          <w:tcPr>
            <w:tcW w:w="1710" w:type="dxa"/>
            <w:shd w:val="clear" w:color="auto" w:fill="auto"/>
          </w:tcPr>
          <w:p w:rsidR="00DD6D4D" w:rsidRPr="00700195" w:rsidP="008C4849" w14:paraId="64A2A402" w14:textId="77777777">
            <w:pPr>
              <w:pStyle w:val="TableTextLeft"/>
              <w:jc w:val="center"/>
              <w:rPr>
                <w:b/>
                <w:bCs/>
              </w:rPr>
            </w:pPr>
            <w:r>
              <w:rPr>
                <w:b/>
                <w:bCs/>
              </w:rPr>
              <w:t>7</w:t>
            </w:r>
          </w:p>
        </w:tc>
        <w:tc>
          <w:tcPr>
            <w:tcW w:w="1530" w:type="dxa"/>
          </w:tcPr>
          <w:p w:rsidR="00DD6D4D" w:rsidP="008C4849" w14:paraId="4E7AD623" w14:textId="77777777">
            <w:pPr>
              <w:pStyle w:val="TableTextLeft"/>
              <w:jc w:val="center"/>
              <w:rPr>
                <w:b/>
                <w:bCs/>
              </w:rPr>
            </w:pPr>
            <w:r>
              <w:rPr>
                <w:b/>
                <w:bCs/>
              </w:rPr>
              <w:t>18</w:t>
            </w:r>
          </w:p>
        </w:tc>
      </w:tr>
    </w:tbl>
    <w:p w:rsidR="00DD6D4D" w:rsidP="00DD6D4D" w14:paraId="1C554D7D" w14:textId="77777777">
      <w:pPr>
        <w:pStyle w:val="Paragraph"/>
        <w:spacing w:after="0"/>
      </w:pPr>
    </w:p>
    <w:p w:rsidR="00DD6D4D" w:rsidP="00DD6D4D" w14:paraId="0F8A730E" w14:textId="77777777">
      <w:pPr>
        <w:pStyle w:val="Paragraph"/>
        <w:spacing w:after="0"/>
      </w:pPr>
      <w:r>
        <w:t>Before beginning each pre-test, the interviewer explained the context of the survey to help clarify to participants why they were being asked questions about both mobile payments and SNAP. Exhibit 4 includes the introductory text that interviewers read to pre-test participants.</w:t>
      </w:r>
    </w:p>
    <w:p w:rsidR="00DD6D4D" w:rsidP="00DD6D4D" w14:paraId="4D6C8DDE" w14:textId="77777777">
      <w:pPr>
        <w:pStyle w:val="Paragraph"/>
        <w:spacing w:after="0"/>
      </w:pPr>
    </w:p>
    <w:p w:rsidR="00DD6D4D" w:rsidP="00DD6D4D" w14:paraId="588B56D0" w14:textId="77777777">
      <w:pPr>
        <w:pStyle w:val="Paragraph"/>
        <w:spacing w:after="0"/>
      </w:pPr>
      <w:r w:rsidRPr="00465BF8">
        <w:rPr>
          <w:noProof/>
        </w:rPr>
        <mc:AlternateContent>
          <mc:Choice Requires="wps">
            <w:drawing>
              <wp:inline distT="0" distB="0" distL="0" distR="0">
                <wp:extent cx="2971800" cy="0"/>
                <wp:effectExtent l="0" t="38100" r="38100" b="38100"/>
                <wp:docPr id="10" name="Straight Connector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DD6D4D" w:rsidRPr="00916BA2" w:rsidP="00DD6D4D" w14:paraId="748E493E" w14:textId="77777777">
      <w:pPr>
        <w:pStyle w:val="TableTitle"/>
        <w:spacing w:before="160"/>
      </w:pPr>
      <w:r>
        <w:t>Exhibit 4. Pre-test introduction</w:t>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50D95A" w14:textId="77777777" w:rsidTr="008C48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D6D4D" w:rsidRPr="0041279A" w:rsidP="00DD6D4D" w14:paraId="119CCE01" w14:textId="77777777">
            <w:pPr>
              <w:pStyle w:val="ListParagraph"/>
              <w:numPr>
                <w:ilvl w:val="0"/>
                <w:numId w:val="34"/>
              </w:numPr>
              <w:spacing w:before="60" w:after="120" w:line="240" w:lineRule="auto"/>
              <w:contextualSpacing w:val="0"/>
              <w:rPr>
                <w:rFonts w:eastAsia="Times New Roman" w:asciiTheme="minorHAnsi" w:hAnsiTheme="minorHAnsi" w:cstheme="minorHAnsi"/>
              </w:rPr>
            </w:pPr>
            <w:r w:rsidRPr="0041279A">
              <w:rPr>
                <w:rFonts w:eastAsia="Times New Roman" w:asciiTheme="minorHAnsi" w:hAnsiTheme="minorHAnsi" w:cstheme="minorHAnsi"/>
              </w:rPr>
              <w:t xml:space="preserve">Next year, </w:t>
            </w:r>
            <w:r>
              <w:rPr>
                <w:rFonts w:eastAsia="Times New Roman" w:asciiTheme="minorHAnsi" w:hAnsiTheme="minorHAnsi" w:cstheme="minorHAnsi"/>
                <w:b/>
                <w:bCs/>
              </w:rPr>
              <w:t>five</w:t>
            </w:r>
            <w:r w:rsidRPr="0041279A">
              <w:rPr>
                <w:rFonts w:eastAsia="Times New Roman" w:asciiTheme="minorHAnsi" w:hAnsiTheme="minorHAnsi" w:cstheme="minorHAnsi"/>
                <w:b/>
                <w:bCs/>
              </w:rPr>
              <w:t xml:space="preserve"> states</w:t>
            </w:r>
            <w:r w:rsidRPr="0041279A">
              <w:rPr>
                <w:rFonts w:eastAsia="Times New Roman" w:asciiTheme="minorHAnsi" w:hAnsiTheme="minorHAnsi" w:cstheme="minorHAnsi"/>
              </w:rPr>
              <w:t xml:space="preserve"> will let people use their </w:t>
            </w:r>
            <w:r w:rsidRPr="0041279A">
              <w:rPr>
                <w:rFonts w:eastAsia="Times New Roman" w:asciiTheme="minorHAnsi" w:hAnsiTheme="minorHAnsi" w:cstheme="minorHAnsi"/>
                <w:b/>
                <w:bCs/>
              </w:rPr>
              <w:t>phones or smartwatches to pay with SNAP</w:t>
            </w:r>
            <w:r w:rsidRPr="0041279A">
              <w:rPr>
                <w:rFonts w:eastAsia="Times New Roman" w:asciiTheme="minorHAnsi" w:hAnsiTheme="minorHAnsi" w:cstheme="minorHAnsi"/>
              </w:rPr>
              <w:t xml:space="preserve">, either by using an app to generate a QR code or by adding an EBT card to a mobile wallet like Apple Pay or Google Pay. We’re going to be calling this </w:t>
            </w:r>
            <w:r w:rsidRPr="0041279A">
              <w:rPr>
                <w:rFonts w:eastAsia="Times New Roman" w:asciiTheme="minorHAnsi" w:hAnsiTheme="minorHAnsi" w:cstheme="minorHAnsi"/>
                <w:b/>
                <w:bCs/>
              </w:rPr>
              <w:t>SNAP mobile payments</w:t>
            </w:r>
            <w:r>
              <w:rPr>
                <w:rFonts w:eastAsia="Times New Roman" w:asciiTheme="minorHAnsi" w:hAnsiTheme="minorHAnsi" w:cstheme="minorHAnsi"/>
                <w:b/>
                <w:bCs/>
              </w:rPr>
              <w:t>,</w:t>
            </w:r>
            <w:r w:rsidRPr="0041279A">
              <w:rPr>
                <w:rFonts w:eastAsia="Times New Roman" w:asciiTheme="minorHAnsi" w:hAnsiTheme="minorHAnsi" w:cstheme="minorHAnsi"/>
              </w:rPr>
              <w:t xml:space="preserve"> and we’ll be surveying people who used or didn’t use this option in those five states. </w:t>
            </w:r>
          </w:p>
          <w:p w:rsidR="00DD6D4D" w:rsidRPr="0041279A" w:rsidP="00DD6D4D" w14:paraId="4797C737" w14:textId="77777777">
            <w:pPr>
              <w:pStyle w:val="ListParagraph"/>
              <w:numPr>
                <w:ilvl w:val="0"/>
                <w:numId w:val="34"/>
              </w:numPr>
              <w:spacing w:before="60" w:after="120" w:line="240" w:lineRule="auto"/>
              <w:contextualSpacing w:val="0"/>
              <w:rPr>
                <w:rFonts w:asciiTheme="minorHAnsi" w:hAnsiTheme="minorHAnsi" w:cstheme="minorHAnsi"/>
              </w:rPr>
            </w:pPr>
            <w:r w:rsidRPr="0041279A">
              <w:rPr>
                <w:rFonts w:asciiTheme="minorHAnsi" w:hAnsiTheme="minorHAnsi" w:cstheme="minorHAnsi"/>
              </w:rPr>
              <w:t xml:space="preserve">Because SNAP mobile payments are not available yet, </w:t>
            </w:r>
            <w:r w:rsidRPr="0041279A">
              <w:rPr>
                <w:rFonts w:asciiTheme="minorHAnsi" w:hAnsiTheme="minorHAnsi" w:cstheme="minorHAnsi"/>
                <w:b/>
                <w:bCs/>
              </w:rPr>
              <w:t>this survey will ask you about mobile payments in general</w:t>
            </w:r>
            <w:r w:rsidRPr="0041279A">
              <w:rPr>
                <w:rFonts w:asciiTheme="minorHAnsi" w:hAnsiTheme="minorHAnsi" w:cstheme="minorHAnsi"/>
              </w:rPr>
              <w:t xml:space="preserve"> instead of SNAP mobile payments.</w:t>
            </w:r>
          </w:p>
          <w:p w:rsidR="00DD6D4D" w:rsidRPr="0041279A" w:rsidP="00DD6D4D" w14:paraId="24C2746E" w14:textId="77777777">
            <w:pPr>
              <w:pStyle w:val="ListParagraph"/>
              <w:numPr>
                <w:ilvl w:val="0"/>
                <w:numId w:val="34"/>
              </w:numPr>
              <w:spacing w:before="60" w:after="120" w:line="240" w:lineRule="auto"/>
              <w:contextualSpacing w:val="0"/>
              <w:rPr>
                <w:rFonts w:asciiTheme="minorHAnsi" w:hAnsiTheme="minorHAnsi" w:cstheme="minorHAnsi"/>
                <w:b/>
                <w:bCs/>
              </w:rPr>
            </w:pPr>
            <w:r w:rsidRPr="0041279A">
              <w:rPr>
                <w:rFonts w:asciiTheme="minorHAnsi" w:hAnsiTheme="minorHAnsi" w:cstheme="minorHAnsi"/>
              </w:rPr>
              <w:t xml:space="preserve">The goal of this conversation is to improve the quality of the survey, </w:t>
            </w:r>
            <w:r w:rsidRPr="0041279A">
              <w:rPr>
                <w:rFonts w:asciiTheme="minorHAnsi" w:hAnsiTheme="minorHAnsi" w:cstheme="minorHAnsi"/>
                <w:b/>
                <w:bCs/>
              </w:rPr>
              <w:t xml:space="preserve">not to collect actual answers to the questions. </w:t>
            </w:r>
          </w:p>
          <w:p w:rsidR="00DD6D4D" w:rsidRPr="0041279A" w:rsidP="00DD6D4D" w14:paraId="52F96592" w14:textId="77777777">
            <w:pPr>
              <w:pStyle w:val="ListParagraph"/>
              <w:numPr>
                <w:ilvl w:val="0"/>
                <w:numId w:val="34"/>
              </w:numPr>
              <w:spacing w:before="60" w:after="120" w:line="240" w:lineRule="auto"/>
              <w:contextualSpacing w:val="0"/>
              <w:rPr>
                <w:rFonts w:asciiTheme="minorHAnsi" w:hAnsiTheme="minorHAnsi" w:cstheme="minorHAnsi"/>
              </w:rPr>
            </w:pPr>
            <w:r w:rsidRPr="0041279A">
              <w:rPr>
                <w:rFonts w:asciiTheme="minorHAnsi" w:hAnsiTheme="minorHAnsi" w:cstheme="minorHAnsi"/>
                <w:b/>
                <w:bCs/>
              </w:rPr>
              <w:t xml:space="preserve">After you finish taking the survey, </w:t>
            </w:r>
            <w:r w:rsidRPr="00A0055D">
              <w:rPr>
                <w:rFonts w:cstheme="minorHAnsi"/>
              </w:rPr>
              <w:t>I</w:t>
            </w:r>
            <w:r w:rsidRPr="002757AF">
              <w:rPr>
                <w:rFonts w:asciiTheme="minorHAnsi" w:hAnsiTheme="minorHAnsi" w:cstheme="minorHAnsi"/>
              </w:rPr>
              <w:t xml:space="preserve"> </w:t>
            </w:r>
            <w:r w:rsidRPr="0041279A">
              <w:rPr>
                <w:rFonts w:asciiTheme="minorHAnsi" w:hAnsiTheme="minorHAnsi" w:cstheme="minorHAnsi"/>
              </w:rPr>
              <w:t>am going to go through the survey questions with you to get your feedback on how they are worded to make sure we wrote questions that are understandable and that the answers make sense.</w:t>
            </w:r>
          </w:p>
          <w:p w:rsidR="00DD6D4D" w:rsidRPr="0004784C" w:rsidP="00DD6D4D" w14:paraId="44BA6210" w14:textId="77777777">
            <w:pPr>
              <w:pStyle w:val="ListParagraph"/>
              <w:numPr>
                <w:ilvl w:val="0"/>
                <w:numId w:val="34"/>
              </w:numPr>
              <w:spacing w:before="60" w:after="120" w:line="240" w:lineRule="auto"/>
              <w:contextualSpacing w:val="0"/>
              <w:rPr>
                <w:rFonts w:asciiTheme="minorHAnsi" w:hAnsiTheme="minorHAnsi" w:cstheme="minorHAnsi"/>
                <w:sz w:val="20"/>
                <w:szCs w:val="20"/>
              </w:rPr>
            </w:pPr>
            <w:r w:rsidRPr="0004784C">
              <w:rPr>
                <w:rFonts w:asciiTheme="minorHAnsi" w:hAnsiTheme="minorHAnsi" w:cstheme="minorHAnsi"/>
                <w:b/>
                <w:bCs/>
              </w:rPr>
              <w:t xml:space="preserve">We also want to test how long the survey takes, </w:t>
            </w:r>
            <w:r w:rsidRPr="0004784C">
              <w:rPr>
                <w:rFonts w:asciiTheme="minorHAnsi" w:hAnsiTheme="minorHAnsi" w:cstheme="minorHAnsi"/>
              </w:rPr>
              <w:t>so if questions come up as you are taking the survey, please wait to ask them until the end.</w:t>
            </w:r>
          </w:p>
        </w:tc>
      </w:tr>
    </w:tbl>
    <w:p w:rsidR="00DD6D4D" w:rsidP="00DD6D4D" w14:paraId="61AF2DDB" w14:textId="77777777">
      <w:pPr>
        <w:pStyle w:val="Paragraph"/>
        <w:spacing w:before="240"/>
      </w:pPr>
      <w:r w:rsidRPr="00413B1F">
        <w:t xml:space="preserve">Following </w:t>
      </w:r>
      <w:r>
        <w:t xml:space="preserve">administration of </w:t>
      </w:r>
      <w:r w:rsidRPr="00413B1F">
        <w:t xml:space="preserve">the survey, the interviewer asked </w:t>
      </w:r>
      <w:r>
        <w:t xml:space="preserve">the respondent to go back through the survey to discuss specific questions, asking </w:t>
      </w:r>
      <w:r w:rsidRPr="00413B1F">
        <w:t xml:space="preserve">a series of </w:t>
      </w:r>
      <w:r>
        <w:t>cognitive interview</w:t>
      </w:r>
      <w:r w:rsidRPr="00413B1F">
        <w:t xml:space="preserve"> </w:t>
      </w:r>
      <w:r>
        <w:t>prompts to elicit feedback. These questions deepened our understanding of how</w:t>
      </w:r>
      <w:r w:rsidRPr="00413B1F">
        <w:t xml:space="preserve"> respondents </w:t>
      </w:r>
      <w:r>
        <w:t>answered the survey, the challenges they encountered, and any suggestions they had for improvement</w:t>
      </w:r>
      <w:r w:rsidRPr="00413B1F">
        <w:t xml:space="preserve">. </w:t>
      </w:r>
    </w:p>
    <w:p w:rsidR="00DD6D4D" w:rsidP="00DD6D4D" w14:paraId="187F146F" w14:textId="77777777">
      <w:pPr>
        <w:pStyle w:val="Paragraph"/>
      </w:pPr>
      <w:r>
        <w:t>The study team conducted two of the pre-test interviews in Spanish to obtain feedback on the Spanish translation. Interviews took between 20 to 30 minutes, and pre-test</w:t>
      </w:r>
      <w:r w:rsidRPr="00B55A5C">
        <w:t xml:space="preserve"> respondents were </w:t>
      </w:r>
      <w:r>
        <w:t>given or sent</w:t>
      </w:r>
      <w:r w:rsidRPr="00B55A5C">
        <w:t xml:space="preserve"> a $</w:t>
      </w:r>
      <w:r>
        <w:t>20</w:t>
      </w:r>
      <w:r w:rsidRPr="00B55A5C">
        <w:t xml:space="preserve"> Visa gift card </w:t>
      </w:r>
      <w:r>
        <w:t>to thank them for their participation</w:t>
      </w:r>
      <w:r w:rsidRPr="00B55A5C">
        <w:t>.</w:t>
      </w:r>
      <w:r>
        <w:t xml:space="preserve"> </w:t>
      </w:r>
    </w:p>
    <w:p w:rsidR="00DD6D4D" w:rsidP="00DD6D4D" w14:paraId="5E3FB30D" w14:textId="77777777">
      <w:pPr>
        <w:pStyle w:val="H2"/>
      </w:pPr>
      <w:r>
        <w:t>B. Pre-test findings</w:t>
      </w:r>
    </w:p>
    <w:p w:rsidR="00DD6D4D" w:rsidRPr="004E7E50" w:rsidP="00DD6D4D" w14:paraId="4CC4D390" w14:textId="77777777">
      <w:pPr>
        <w:pStyle w:val="Paragraph"/>
      </w:pPr>
      <w:r>
        <w:t xml:space="preserve">Overall, respondents thought the survey was straightforward and easy to understand. Respondents said the flow between sections made sense, and they thought the survey length was appropriate. Next, we discuss findings on respondent burden and recommendations for item-specific revisions. </w:t>
      </w:r>
    </w:p>
    <w:p w:rsidR="00DD6D4D" w:rsidRPr="004E7E50" w:rsidP="00DD6D4D" w14:paraId="35F50CFC" w14:textId="77777777">
      <w:pPr>
        <w:pStyle w:val="ParagraphContinued"/>
      </w:pPr>
      <w:r w:rsidRPr="00781401">
        <w:rPr>
          <w:b/>
          <w:bCs/>
        </w:rPr>
        <w:t xml:space="preserve">Respondent </w:t>
      </w:r>
      <w:r>
        <w:rPr>
          <w:b/>
          <w:bCs/>
        </w:rPr>
        <w:t>b</w:t>
      </w:r>
      <w:r w:rsidRPr="00781401">
        <w:rPr>
          <w:b/>
          <w:bCs/>
        </w:rPr>
        <w:t xml:space="preserve">urden. </w:t>
      </w:r>
      <w:r w:rsidRPr="004E7E50">
        <w:t xml:space="preserve">The average </w:t>
      </w:r>
      <w:r>
        <w:t xml:space="preserve">time it took to finish the </w:t>
      </w:r>
      <w:r w:rsidRPr="004E7E50">
        <w:t>survey across modes, locations, and languages was 4.</w:t>
      </w:r>
      <w:r>
        <w:t>8</w:t>
      </w:r>
      <w:r w:rsidRPr="004E7E50">
        <w:t xml:space="preserve"> minutes. However, there was a difference between the </w:t>
      </w:r>
      <w:r>
        <w:t>time it took to complete</w:t>
      </w:r>
      <w:r w:rsidRPr="004E7E50">
        <w:t xml:space="preserve"> surveys administered on paper (self-administered) and surveys administered verbally (interview-administered). Self-administered surveys averaged 3.</w:t>
      </w:r>
      <w:r>
        <w:t>5</w:t>
      </w:r>
      <w:r w:rsidRPr="004E7E50">
        <w:t xml:space="preserve"> minutes, </w:t>
      </w:r>
      <w:r>
        <w:t>and</w:t>
      </w:r>
      <w:r w:rsidRPr="004E7E50">
        <w:t xml:space="preserve"> interviewer-administered surveys averaged 6.</w:t>
      </w:r>
      <w:r>
        <w:t>6</w:t>
      </w:r>
      <w:r w:rsidRPr="004E7E50">
        <w:t xml:space="preserve"> minutes. </w:t>
      </w:r>
      <w:r>
        <w:t>A few</w:t>
      </w:r>
      <w:r w:rsidRPr="004E7E50">
        <w:t xml:space="preserve"> factors account for this difference. First, participants were more inclined to ask questions during the interviewer-administered surveys despite the study team’s instruction to hold questions until the end. </w:t>
      </w:r>
      <w:r>
        <w:t>In a</w:t>
      </w:r>
      <w:r w:rsidRPr="004E7E50">
        <w:t>ddition, one interviewer-administered survey took</w:t>
      </w:r>
      <w:r>
        <w:t xml:space="preserve"> 10 minutes and another took</w:t>
      </w:r>
      <w:r w:rsidRPr="004E7E50">
        <w:t xml:space="preserve"> eight minutes</w:t>
      </w:r>
      <w:r>
        <w:t>, whereas</w:t>
      </w:r>
      <w:r w:rsidRPr="004E7E50">
        <w:t xml:space="preserve"> none of the others </w:t>
      </w:r>
      <w:r>
        <w:t>took longer than</w:t>
      </w:r>
      <w:r w:rsidRPr="004E7E50">
        <w:t xml:space="preserve"> six</w:t>
      </w:r>
      <w:r>
        <w:t xml:space="preserve"> minutes</w:t>
      </w:r>
      <w:r w:rsidRPr="004E7E50">
        <w:t xml:space="preserve">. With </w:t>
      </w:r>
      <w:r>
        <w:t>those</w:t>
      </w:r>
      <w:r w:rsidRPr="004E7E50">
        <w:t xml:space="preserve"> outlier</w:t>
      </w:r>
      <w:r>
        <w:t>s</w:t>
      </w:r>
      <w:r w:rsidRPr="004E7E50">
        <w:t xml:space="preserve"> removed, the average interviewer-administered survey time was 5.</w:t>
      </w:r>
      <w:r>
        <w:t>7</w:t>
      </w:r>
      <w:r w:rsidRPr="004E7E50">
        <w:t xml:space="preserve"> minutes. Therefore, </w:t>
      </w:r>
      <w:r>
        <w:t>although</w:t>
      </w:r>
      <w:r w:rsidRPr="004E7E50">
        <w:t xml:space="preserve"> the tim</w:t>
      </w:r>
      <w:r>
        <w:t>e</w:t>
      </w:r>
      <w:r w:rsidRPr="004E7E50">
        <w:t xml:space="preserve"> varied by administration mode, the overall burden of the </w:t>
      </w:r>
      <w:r>
        <w:t>pre-test</w:t>
      </w:r>
      <w:r w:rsidRPr="004E7E50">
        <w:t>ed instruments was consistent with our five-minute estimate.</w:t>
      </w:r>
    </w:p>
    <w:p w:rsidR="00DD6D4D" w:rsidRPr="00781401" w:rsidP="00DD6D4D" w14:paraId="14FFF8F0" w14:textId="77777777">
      <w:pPr>
        <w:pStyle w:val="H3"/>
        <w:spacing w:after="240"/>
        <w:ind w:left="0" w:firstLine="18"/>
        <w:rPr>
          <w:b w:val="0"/>
          <w:bCs/>
        </w:rPr>
      </w:pPr>
      <w:r w:rsidRPr="008E70FA">
        <w:t>Item-specific revisions</w:t>
      </w:r>
      <w:r>
        <w:t xml:space="preserve">. </w:t>
      </w:r>
      <w:r w:rsidRPr="00781401">
        <w:rPr>
          <w:b w:val="0"/>
          <w:bCs/>
        </w:rPr>
        <w:t xml:space="preserve">Exhibit </w:t>
      </w:r>
      <w:r>
        <w:rPr>
          <w:b w:val="0"/>
          <w:bCs/>
        </w:rPr>
        <w:t>5</w:t>
      </w:r>
      <w:r w:rsidRPr="00781401">
        <w:rPr>
          <w:b w:val="0"/>
          <w:bCs/>
        </w:rPr>
        <w:t xml:space="preserve"> describes the proposed modifications based on </w:t>
      </w:r>
      <w:r>
        <w:rPr>
          <w:b w:val="0"/>
          <w:bCs/>
        </w:rPr>
        <w:t>pre-test</w:t>
      </w:r>
      <w:r w:rsidRPr="00781401">
        <w:rPr>
          <w:b w:val="0"/>
          <w:bCs/>
        </w:rPr>
        <w:t xml:space="preserve"> findings. These modifications will apply to both the English and Spanish surveys.</w:t>
      </w:r>
    </w:p>
    <w:p w:rsidR="00DD6D4D" w:rsidP="00DD6D4D" w14:paraId="3AFDDD6A" w14:textId="77777777">
      <w:pPr>
        <w:pStyle w:val="TitleRule"/>
        <w:keepLines/>
      </w:pPr>
      <w:r w:rsidRPr="00465BF8">
        <w:rPr>
          <w:noProof/>
        </w:rPr>
        <mc:AlternateContent>
          <mc:Choice Requires="wps">
            <w:drawing>
              <wp:inline distT="0" distB="0" distL="0" distR="0">
                <wp:extent cx="2971800" cy="0"/>
                <wp:effectExtent l="0" t="38100" r="38100" b="38100"/>
                <wp:docPr id="11" name="Straight Connector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DD6D4D" w:rsidP="00DD6D4D" w14:paraId="3823F743" w14:textId="77777777">
      <w:pPr>
        <w:pStyle w:val="TableTitle"/>
      </w:pPr>
      <w:r>
        <w:t>Exhibit 5. Survey modifications from pre-test (English and Spanish)</w:t>
      </w:r>
    </w:p>
    <w:tbl>
      <w:tblPr>
        <w:tblStyle w:val="MathUBaseTable"/>
        <w:tblW w:w="5000" w:type="pct"/>
        <w:tblLook w:val="06A0"/>
      </w:tblPr>
      <w:tblGrid>
        <w:gridCol w:w="1018"/>
        <w:gridCol w:w="2347"/>
        <w:gridCol w:w="3093"/>
        <w:gridCol w:w="2902"/>
      </w:tblGrid>
      <w:tr w14:paraId="5B0721FD" w14:textId="77777777" w:rsidTr="008C4849">
        <w:tblPrEx>
          <w:tblW w:w="5000" w:type="pct"/>
          <w:tblLook w:val="06A0"/>
        </w:tblPrEx>
        <w:trPr>
          <w:tblHeader/>
        </w:trPr>
        <w:tc>
          <w:tcPr>
            <w:tcW w:w="544" w:type="pct"/>
          </w:tcPr>
          <w:p w:rsidR="00DD6D4D" w:rsidP="008C4849" w14:paraId="56D19151" w14:textId="77777777">
            <w:pPr>
              <w:pStyle w:val="TableHeaderLeft"/>
            </w:pPr>
            <w:r>
              <w:t>Survey</w:t>
            </w:r>
          </w:p>
        </w:tc>
        <w:tc>
          <w:tcPr>
            <w:tcW w:w="1254" w:type="pct"/>
          </w:tcPr>
          <w:p w:rsidR="00DD6D4D" w:rsidRPr="00465BF8" w:rsidP="008C4849" w14:paraId="40C0B14F" w14:textId="77777777">
            <w:pPr>
              <w:pStyle w:val="TableHeaderCenter"/>
              <w:jc w:val="left"/>
            </w:pPr>
            <w:r>
              <w:t>Item(s)</w:t>
            </w:r>
          </w:p>
        </w:tc>
        <w:tc>
          <w:tcPr>
            <w:tcW w:w="1652" w:type="pct"/>
          </w:tcPr>
          <w:p w:rsidR="00DD6D4D" w:rsidP="008C4849" w14:paraId="3B5EF838" w14:textId="77777777">
            <w:pPr>
              <w:pStyle w:val="TableHeaderCenter"/>
            </w:pPr>
            <w:r>
              <w:t>Feedback</w:t>
            </w:r>
          </w:p>
        </w:tc>
        <w:tc>
          <w:tcPr>
            <w:tcW w:w="1550" w:type="pct"/>
          </w:tcPr>
          <w:p w:rsidR="00DD6D4D" w:rsidRPr="00465BF8" w:rsidP="008C4849" w14:paraId="456551FD" w14:textId="77777777">
            <w:pPr>
              <w:pStyle w:val="TableHeaderCenter"/>
            </w:pPr>
            <w:r>
              <w:t>Revision</w:t>
            </w:r>
          </w:p>
        </w:tc>
      </w:tr>
      <w:tr w14:paraId="60881729" w14:textId="77777777" w:rsidTr="008C4849">
        <w:tblPrEx>
          <w:tblW w:w="5000" w:type="pct"/>
          <w:tblLook w:val="06A0"/>
        </w:tblPrEx>
        <w:tc>
          <w:tcPr>
            <w:tcW w:w="5000" w:type="pct"/>
            <w:gridSpan w:val="4"/>
            <w:shd w:val="clear" w:color="auto" w:fill="FCF0D1" w:themeFill="accent4" w:themeFillTint="33"/>
          </w:tcPr>
          <w:p w:rsidR="00DD6D4D" w:rsidP="008C4849" w14:paraId="3BAFC0E6" w14:textId="77777777">
            <w:pPr>
              <w:pStyle w:val="TableTextLeft"/>
              <w:rPr>
                <w:b/>
                <w:bCs/>
              </w:rPr>
            </w:pPr>
            <w:r>
              <w:rPr>
                <w:b/>
                <w:bCs/>
              </w:rPr>
              <w:t>Introduction</w:t>
            </w:r>
          </w:p>
        </w:tc>
      </w:tr>
      <w:tr w14:paraId="66825B4D" w14:textId="77777777" w:rsidTr="008C4849">
        <w:tblPrEx>
          <w:tblW w:w="5000" w:type="pct"/>
          <w:tblLook w:val="06A0"/>
        </w:tblPrEx>
        <w:tc>
          <w:tcPr>
            <w:tcW w:w="544" w:type="pct"/>
          </w:tcPr>
          <w:p w:rsidR="00DD6D4D" w:rsidP="008C4849" w14:paraId="5FED7767" w14:textId="77777777">
            <w:pPr>
              <w:pStyle w:val="TableTextLeft"/>
            </w:pPr>
            <w:r>
              <w:t>Both (Client Experience and Non-Adopters)</w:t>
            </w:r>
          </w:p>
        </w:tc>
        <w:tc>
          <w:tcPr>
            <w:tcW w:w="1254" w:type="pct"/>
          </w:tcPr>
          <w:p w:rsidR="00DD6D4D" w:rsidRPr="00447CF7" w:rsidP="008C4849" w14:paraId="340A9FC2" w14:textId="77777777">
            <w:pPr>
              <w:pStyle w:val="TableTextLeft"/>
              <w:rPr>
                <w:i/>
                <w:iCs/>
              </w:rPr>
            </w:pPr>
            <w:r w:rsidRPr="00447CF7">
              <w:rPr>
                <w:i/>
                <w:iCs/>
              </w:rPr>
              <w:t>The U.S. Department of Agriculture, Food and Nutrition Service (FNS), is sponsoring a new study…</w:t>
            </w:r>
          </w:p>
        </w:tc>
        <w:tc>
          <w:tcPr>
            <w:tcW w:w="1652" w:type="pct"/>
          </w:tcPr>
          <w:p w:rsidR="00DD6D4D" w:rsidP="008C4849" w14:paraId="169F9A30" w14:textId="77777777">
            <w:pPr>
              <w:pStyle w:val="TableTextLeft"/>
            </w:pPr>
            <w:r>
              <w:t>One respondent said we could be clearer about what FNS does and how it is related to SNAP.</w:t>
            </w:r>
          </w:p>
        </w:tc>
        <w:tc>
          <w:tcPr>
            <w:tcW w:w="1550" w:type="pct"/>
          </w:tcPr>
          <w:p w:rsidR="00DD6D4D" w:rsidP="00DD6D4D" w14:paraId="03EAEC92" w14:textId="77777777">
            <w:pPr>
              <w:pStyle w:val="TableTextLeft"/>
              <w:numPr>
                <w:ilvl w:val="0"/>
                <w:numId w:val="32"/>
              </w:numPr>
              <w:ind w:left="299" w:hanging="270"/>
            </w:pPr>
            <w:r>
              <w:t>Added explanation that FNS is “</w:t>
            </w:r>
            <w:r w:rsidRPr="002C553E">
              <w:rPr>
                <w:i/>
                <w:iCs/>
              </w:rPr>
              <w:t>the government agency that administers SNAP</w:t>
            </w:r>
            <w:r>
              <w:rPr>
                <w:i/>
                <w:iCs/>
              </w:rPr>
              <w:t>.”</w:t>
            </w:r>
            <w:r>
              <w:t xml:space="preserve"> </w:t>
            </w:r>
          </w:p>
        </w:tc>
      </w:tr>
      <w:tr w14:paraId="35AEC8C5" w14:textId="77777777" w:rsidTr="008C4849">
        <w:tblPrEx>
          <w:tblW w:w="5000" w:type="pct"/>
          <w:tblLook w:val="06A0"/>
        </w:tblPrEx>
        <w:tc>
          <w:tcPr>
            <w:tcW w:w="5000" w:type="pct"/>
            <w:gridSpan w:val="4"/>
            <w:shd w:val="clear" w:color="auto" w:fill="FCF0D1" w:themeFill="accent4" w:themeFillTint="33"/>
          </w:tcPr>
          <w:p w:rsidR="00DD6D4D" w:rsidRPr="006836C5" w:rsidP="008C4849" w14:paraId="31F59701" w14:textId="77777777">
            <w:pPr>
              <w:pStyle w:val="TableTextLeft"/>
              <w:rPr>
                <w:b/>
                <w:bCs/>
              </w:rPr>
            </w:pPr>
            <w:r>
              <w:rPr>
                <w:b/>
                <w:bCs/>
              </w:rPr>
              <w:t>Section A</w:t>
            </w:r>
          </w:p>
        </w:tc>
      </w:tr>
      <w:tr w14:paraId="7223737A" w14:textId="77777777" w:rsidTr="008C4849">
        <w:tblPrEx>
          <w:tblW w:w="5000" w:type="pct"/>
          <w:tblLook w:val="06A0"/>
        </w:tblPrEx>
        <w:tc>
          <w:tcPr>
            <w:tcW w:w="544" w:type="pct"/>
          </w:tcPr>
          <w:p w:rsidR="00DD6D4D" w:rsidP="008C4849" w14:paraId="0D590B61" w14:textId="77777777">
            <w:pPr>
              <w:pStyle w:val="TableTextLeft"/>
            </w:pPr>
            <w:r>
              <w:t>Both</w:t>
            </w:r>
          </w:p>
        </w:tc>
        <w:tc>
          <w:tcPr>
            <w:tcW w:w="1254" w:type="pct"/>
            <w:vAlign w:val="center"/>
          </w:tcPr>
          <w:p w:rsidR="00DD6D4D" w:rsidP="008C4849" w14:paraId="2C164B9A" w14:textId="77777777">
            <w:pPr>
              <w:pStyle w:val="TableTextLeft"/>
              <w:rPr>
                <w:b/>
                <w:bCs/>
              </w:rPr>
            </w:pPr>
            <w:r>
              <w:rPr>
                <w:b/>
                <w:bCs/>
              </w:rPr>
              <w:t xml:space="preserve">A0. </w:t>
            </w:r>
          </w:p>
          <w:p w:rsidR="00DD6D4D" w:rsidP="008C4849" w14:paraId="6E5F11BC" w14:textId="77777777">
            <w:pPr>
              <w:pStyle w:val="Paragraph"/>
              <w:spacing w:after="120"/>
              <w:ind w:left="7" w:firstLine="7"/>
              <w:rPr>
                <w:b/>
                <w:bCs/>
              </w:rPr>
            </w:pPr>
            <w:bookmarkStart w:id="10" w:name="_Hlk132367979"/>
            <w:r w:rsidRPr="0084317A">
              <w:rPr>
                <w:i/>
                <w:iCs/>
              </w:rPr>
              <w:t>Some stores in your area will now let you use your mobile device (like your phone or your smartwatch) to pay for food with your [STATE SNAP] card</w:t>
            </w:r>
            <w:r>
              <w:rPr>
                <w:b/>
                <w:bCs/>
              </w:rPr>
              <w:t>.</w:t>
            </w:r>
          </w:p>
          <w:bookmarkEnd w:id="10"/>
          <w:p w:rsidR="00DD6D4D" w:rsidRPr="00935954" w:rsidP="008C4849" w14:paraId="50383B61" w14:textId="77777777">
            <w:pPr>
              <w:pStyle w:val="TableTextLeft"/>
              <w:rPr>
                <w:b/>
                <w:bCs/>
              </w:rPr>
            </w:pPr>
          </w:p>
        </w:tc>
        <w:tc>
          <w:tcPr>
            <w:tcW w:w="1652" w:type="pct"/>
          </w:tcPr>
          <w:p w:rsidR="00DD6D4D" w:rsidP="008C4849" w14:paraId="184AC93D" w14:textId="77777777">
            <w:pPr>
              <w:pStyle w:val="TableTextLeft"/>
            </w:pPr>
            <w:r>
              <w:t>Some respondents commented that we could be clearer in describing mobile payments. For example, some phones do not have the capability to run apps or make mobile payments, which could cause confusion.</w:t>
            </w:r>
          </w:p>
        </w:tc>
        <w:tc>
          <w:tcPr>
            <w:tcW w:w="1550" w:type="pct"/>
          </w:tcPr>
          <w:p w:rsidR="00DD6D4D" w:rsidP="00DD6D4D" w14:paraId="0816EA34" w14:textId="77777777">
            <w:pPr>
              <w:pStyle w:val="TableTextLeft"/>
              <w:numPr>
                <w:ilvl w:val="0"/>
                <w:numId w:val="32"/>
              </w:numPr>
              <w:ind w:left="299" w:hanging="270"/>
            </w:pPr>
            <w:r>
              <w:t>Added “</w:t>
            </w:r>
            <w:r>
              <w:rPr>
                <w:i/>
                <w:iCs/>
              </w:rPr>
              <w:t xml:space="preserve">smart” </w:t>
            </w:r>
            <w:r>
              <w:t>before “</w:t>
            </w:r>
            <w:r w:rsidRPr="00F41FEC">
              <w:rPr>
                <w:i/>
                <w:iCs/>
              </w:rPr>
              <w:t>phone</w:t>
            </w:r>
            <w:r>
              <w:rPr>
                <w:i/>
                <w:iCs/>
              </w:rPr>
              <w:t>”</w:t>
            </w:r>
            <w:r>
              <w:t xml:space="preserve"> to clarify which phones support mobile payments and state SNAP apps.</w:t>
            </w:r>
          </w:p>
        </w:tc>
      </w:tr>
      <w:tr w14:paraId="1DBD8599" w14:textId="77777777" w:rsidTr="008C4849">
        <w:tblPrEx>
          <w:tblW w:w="5000" w:type="pct"/>
          <w:tblLook w:val="06A0"/>
        </w:tblPrEx>
        <w:tc>
          <w:tcPr>
            <w:tcW w:w="544" w:type="pct"/>
          </w:tcPr>
          <w:p w:rsidR="00DD6D4D" w:rsidP="008C4849" w14:paraId="5511FE10" w14:textId="77777777">
            <w:pPr>
              <w:pStyle w:val="TableTextLeft"/>
            </w:pPr>
            <w:r>
              <w:t>Both</w:t>
            </w:r>
          </w:p>
        </w:tc>
        <w:tc>
          <w:tcPr>
            <w:tcW w:w="1254" w:type="pct"/>
            <w:vMerge w:val="restart"/>
            <w:vAlign w:val="center"/>
          </w:tcPr>
          <w:p w:rsidR="00DD6D4D" w:rsidRPr="00B21221" w:rsidP="008C4849" w14:paraId="2E4C97A3" w14:textId="77777777">
            <w:pPr>
              <w:pStyle w:val="TableTextLeft"/>
            </w:pPr>
            <w:r w:rsidRPr="00447CF7">
              <w:rPr>
                <w:b/>
                <w:bCs/>
              </w:rPr>
              <w:t>A2.</w:t>
            </w:r>
            <w:r w:rsidRPr="00B21221">
              <w:t xml:space="preserve"> </w:t>
            </w:r>
          </w:p>
          <w:p w:rsidR="00DD6D4D" w:rsidP="008C4849" w14:paraId="4B620A4D" w14:textId="77777777">
            <w:pPr>
              <w:pStyle w:val="TableTextLeft"/>
            </w:pPr>
            <w:r w:rsidRPr="00447CF7">
              <w:rPr>
                <w:i/>
                <w:iCs/>
              </w:rPr>
              <w:t>Are you the main food shopper for your household?</w:t>
            </w:r>
          </w:p>
        </w:tc>
        <w:tc>
          <w:tcPr>
            <w:tcW w:w="1652" w:type="pct"/>
          </w:tcPr>
          <w:p w:rsidR="00DD6D4D" w:rsidP="008C4849" w14:paraId="0B320DC2" w14:textId="77777777">
            <w:pPr>
              <w:pStyle w:val="TableTextLeft"/>
            </w:pPr>
            <w:r>
              <w:t>Some respondents wondered if roommates would count as part of their household or were otherwise confused about the meaning of “</w:t>
            </w:r>
            <w:r w:rsidRPr="00447CF7">
              <w:rPr>
                <w:i/>
                <w:iCs/>
              </w:rPr>
              <w:t>household</w:t>
            </w:r>
            <w:r>
              <w:rPr>
                <w:i/>
                <w:iCs/>
              </w:rPr>
              <w:t>.</w:t>
            </w:r>
            <w:r>
              <w:t>”</w:t>
            </w:r>
          </w:p>
        </w:tc>
        <w:tc>
          <w:tcPr>
            <w:tcW w:w="1550" w:type="pct"/>
          </w:tcPr>
          <w:p w:rsidR="00DD6D4D" w:rsidP="00DD6D4D" w14:paraId="1A468087" w14:textId="77777777">
            <w:pPr>
              <w:pStyle w:val="TableTextLeft"/>
              <w:numPr>
                <w:ilvl w:val="0"/>
                <w:numId w:val="32"/>
              </w:numPr>
              <w:ind w:left="299" w:hanging="270"/>
            </w:pPr>
            <w:r>
              <w:t>Revised wording to clarify that we are asking about “</w:t>
            </w:r>
            <w:r w:rsidRPr="00BA072B">
              <w:rPr>
                <w:i/>
                <w:iCs/>
              </w:rPr>
              <w:t>SNAP household</w:t>
            </w:r>
            <w:r>
              <w:t>” instead of “</w:t>
            </w:r>
            <w:r w:rsidRPr="00BA072B">
              <w:rPr>
                <w:i/>
                <w:iCs/>
              </w:rPr>
              <w:t>household</w:t>
            </w:r>
            <w:r>
              <w:rPr>
                <w:i/>
                <w:iCs/>
              </w:rPr>
              <w:t>.</w:t>
            </w:r>
            <w:r>
              <w:t xml:space="preserve">” </w:t>
            </w:r>
          </w:p>
        </w:tc>
      </w:tr>
      <w:tr w14:paraId="01537152" w14:textId="77777777" w:rsidTr="008C4849">
        <w:tblPrEx>
          <w:tblW w:w="5000" w:type="pct"/>
          <w:tblLook w:val="06A0"/>
        </w:tblPrEx>
        <w:tc>
          <w:tcPr>
            <w:tcW w:w="544" w:type="pct"/>
          </w:tcPr>
          <w:p w:rsidR="00DD6D4D" w:rsidP="008C4849" w14:paraId="0ABB0E29" w14:textId="77777777">
            <w:pPr>
              <w:pStyle w:val="TableTextLeft"/>
            </w:pPr>
            <w:r>
              <w:t>Both</w:t>
            </w:r>
          </w:p>
        </w:tc>
        <w:tc>
          <w:tcPr>
            <w:tcW w:w="1254" w:type="pct"/>
            <w:vMerge/>
          </w:tcPr>
          <w:p w:rsidR="00DD6D4D" w:rsidP="008C4849" w14:paraId="451AEAA0" w14:textId="77777777">
            <w:pPr>
              <w:pStyle w:val="TableTextLeft"/>
            </w:pPr>
          </w:p>
        </w:tc>
        <w:tc>
          <w:tcPr>
            <w:tcW w:w="1652" w:type="pct"/>
          </w:tcPr>
          <w:p w:rsidR="00DD6D4D" w:rsidP="008C4849" w14:paraId="34A7CAA7" w14:textId="77777777">
            <w:pPr>
              <w:pStyle w:val="TableTextLeft"/>
            </w:pPr>
            <w:r>
              <w:t>Many respondents were the only member of their household.</w:t>
            </w:r>
          </w:p>
        </w:tc>
        <w:tc>
          <w:tcPr>
            <w:tcW w:w="1550" w:type="pct"/>
          </w:tcPr>
          <w:p w:rsidR="00DD6D4D" w:rsidP="00DD6D4D" w14:paraId="241629EF" w14:textId="77777777">
            <w:pPr>
              <w:pStyle w:val="TableTextLeft"/>
              <w:numPr>
                <w:ilvl w:val="0"/>
                <w:numId w:val="32"/>
              </w:numPr>
              <w:ind w:left="299" w:hanging="270"/>
            </w:pPr>
            <w:r>
              <w:t>Added “</w:t>
            </w:r>
            <w:r w:rsidRPr="00447CF7">
              <w:rPr>
                <w:i/>
                <w:iCs/>
              </w:rPr>
              <w:t>or yourself</w:t>
            </w:r>
            <w:r>
              <w:t>” to account for individuals who are the only member of their household.</w:t>
            </w:r>
          </w:p>
        </w:tc>
      </w:tr>
      <w:tr w14:paraId="1DF155A3" w14:textId="77777777" w:rsidTr="008C4849">
        <w:tblPrEx>
          <w:tblW w:w="5000" w:type="pct"/>
          <w:tblLook w:val="06A0"/>
        </w:tblPrEx>
        <w:tc>
          <w:tcPr>
            <w:tcW w:w="5000" w:type="pct"/>
            <w:gridSpan w:val="4"/>
            <w:shd w:val="clear" w:color="auto" w:fill="FCF0D1" w:themeFill="accent4" w:themeFillTint="33"/>
          </w:tcPr>
          <w:p w:rsidR="00DD6D4D" w:rsidP="008C4849" w14:paraId="792F12CE" w14:textId="77777777">
            <w:pPr>
              <w:pStyle w:val="TableTextLeft"/>
              <w:pageBreakBefore/>
            </w:pPr>
            <w:r>
              <w:rPr>
                <w:b/>
                <w:bCs/>
              </w:rPr>
              <w:t>Section B</w:t>
            </w:r>
          </w:p>
        </w:tc>
      </w:tr>
      <w:tr w14:paraId="2F69CC3C" w14:textId="77777777" w:rsidTr="008C4849">
        <w:tblPrEx>
          <w:tblW w:w="5000" w:type="pct"/>
          <w:tblLook w:val="06A0"/>
        </w:tblPrEx>
        <w:tc>
          <w:tcPr>
            <w:tcW w:w="544" w:type="pct"/>
          </w:tcPr>
          <w:p w:rsidR="00DD6D4D" w:rsidP="008C4849" w14:paraId="4E6F0357" w14:textId="77777777">
            <w:pPr>
              <w:pStyle w:val="TableTextLeft"/>
            </w:pPr>
            <w:r>
              <w:t>Both</w:t>
            </w:r>
          </w:p>
        </w:tc>
        <w:tc>
          <w:tcPr>
            <w:tcW w:w="1254" w:type="pct"/>
            <w:vMerge w:val="restart"/>
            <w:vAlign w:val="center"/>
          </w:tcPr>
          <w:p w:rsidR="00DD6D4D" w:rsidRPr="00462A69" w:rsidP="008C4849" w14:paraId="13DFF221" w14:textId="77777777">
            <w:pPr>
              <w:pStyle w:val="TableTextLeft"/>
              <w:rPr>
                <w:b/>
                <w:bCs/>
              </w:rPr>
            </w:pPr>
            <w:r w:rsidRPr="00447CF7">
              <w:rPr>
                <w:b/>
                <w:bCs/>
              </w:rPr>
              <w:t xml:space="preserve">B1 (Client Experience), </w:t>
            </w:r>
          </w:p>
          <w:p w:rsidR="00DD6D4D" w:rsidRPr="00462A69" w:rsidP="008C4849" w14:paraId="1158A772" w14:textId="77777777">
            <w:pPr>
              <w:pStyle w:val="TableTextLeft"/>
              <w:rPr>
                <w:b/>
                <w:bCs/>
              </w:rPr>
            </w:pPr>
            <w:r w:rsidRPr="00447CF7">
              <w:rPr>
                <w:b/>
                <w:bCs/>
              </w:rPr>
              <w:t>B2</w:t>
            </w:r>
            <w:r>
              <w:rPr>
                <w:b/>
                <w:bCs/>
              </w:rPr>
              <w:t>, B6</w:t>
            </w:r>
            <w:r w:rsidRPr="00447CF7">
              <w:rPr>
                <w:b/>
                <w:bCs/>
              </w:rPr>
              <w:t xml:space="preserve"> (Non-Adopter)</w:t>
            </w:r>
          </w:p>
          <w:p w:rsidR="00DD6D4D" w:rsidP="008C4849" w14:paraId="111C7085" w14:textId="77777777">
            <w:pPr>
              <w:pStyle w:val="TableTextLeft"/>
            </w:pPr>
            <w:r w:rsidRPr="00447CF7">
              <w:rPr>
                <w:i/>
                <w:iCs/>
              </w:rPr>
              <w:t>How did you hear about SNAP mobile payments? Choose all that apply.</w:t>
            </w:r>
          </w:p>
        </w:tc>
        <w:tc>
          <w:tcPr>
            <w:tcW w:w="1652" w:type="pct"/>
          </w:tcPr>
          <w:p w:rsidR="00DD6D4D" w:rsidP="008C4849" w14:paraId="0B156953" w14:textId="77777777">
            <w:pPr>
              <w:pStyle w:val="TableTextLeft"/>
            </w:pPr>
            <w:r>
              <w:t>One respondent understood the question, but commented that friends, family, neighbors, SNAP agencies, and even stores could all have social media.</w:t>
            </w:r>
          </w:p>
        </w:tc>
        <w:tc>
          <w:tcPr>
            <w:tcW w:w="1550" w:type="pct"/>
          </w:tcPr>
          <w:p w:rsidR="00DD6D4D" w:rsidP="00DD6D4D" w14:paraId="4F7641CF" w14:textId="77777777">
            <w:pPr>
              <w:pStyle w:val="TableTextLeft"/>
              <w:numPr>
                <w:ilvl w:val="0"/>
                <w:numId w:val="32"/>
              </w:numPr>
              <w:ind w:left="299" w:hanging="270"/>
            </w:pPr>
            <w:r>
              <w:t>Revised wording of question to ask “</w:t>
            </w:r>
            <w:r w:rsidRPr="00BA072B">
              <w:rPr>
                <w:i/>
                <w:iCs/>
              </w:rPr>
              <w:t>where</w:t>
            </w:r>
            <w:r>
              <w:t>” participants heard about SNAP mobile payments instead of “</w:t>
            </w:r>
            <w:r w:rsidRPr="00BA072B">
              <w:rPr>
                <w:i/>
                <w:iCs/>
              </w:rPr>
              <w:t>how</w:t>
            </w:r>
            <w:r>
              <w:rPr>
                <w:i/>
                <w:iCs/>
              </w:rPr>
              <w:t>.”</w:t>
            </w:r>
          </w:p>
          <w:p w:rsidR="00DD6D4D" w:rsidP="00DD6D4D" w14:paraId="06C785EF" w14:textId="77777777">
            <w:pPr>
              <w:pStyle w:val="TableTextLeft"/>
              <w:numPr>
                <w:ilvl w:val="0"/>
                <w:numId w:val="32"/>
              </w:numPr>
              <w:ind w:left="299" w:hanging="270"/>
            </w:pPr>
            <w:r>
              <w:t>Removed “</w:t>
            </w:r>
            <w:r w:rsidRPr="00447CF7">
              <w:rPr>
                <w:i/>
                <w:iCs/>
              </w:rPr>
              <w:t>social media</w:t>
            </w:r>
            <w:r>
              <w:t xml:space="preserve">” because this option is a method of communication, whereas the other options represent entities that share information. </w:t>
            </w:r>
          </w:p>
        </w:tc>
      </w:tr>
      <w:tr w14:paraId="49FB599C" w14:textId="77777777" w:rsidTr="008C4849">
        <w:tblPrEx>
          <w:tblW w:w="5000" w:type="pct"/>
          <w:tblLook w:val="06A0"/>
        </w:tblPrEx>
        <w:tc>
          <w:tcPr>
            <w:tcW w:w="544" w:type="pct"/>
          </w:tcPr>
          <w:p w:rsidR="00DD6D4D" w:rsidP="008C4849" w14:paraId="08CCEC4C" w14:textId="77777777">
            <w:pPr>
              <w:pStyle w:val="TableTextLeft"/>
            </w:pPr>
            <w:r>
              <w:t>Both</w:t>
            </w:r>
          </w:p>
        </w:tc>
        <w:tc>
          <w:tcPr>
            <w:tcW w:w="1254" w:type="pct"/>
            <w:vMerge/>
          </w:tcPr>
          <w:p w:rsidR="00DD6D4D" w:rsidP="008C4849" w14:paraId="3891D290" w14:textId="77777777">
            <w:pPr>
              <w:pStyle w:val="TableTextLeft"/>
            </w:pPr>
          </w:p>
        </w:tc>
        <w:tc>
          <w:tcPr>
            <w:tcW w:w="1652" w:type="pct"/>
          </w:tcPr>
          <w:p w:rsidR="00DD6D4D" w:rsidP="008C4849" w14:paraId="4D47A592" w14:textId="77777777">
            <w:pPr>
              <w:pStyle w:val="TableTextLeft"/>
            </w:pPr>
            <w:r>
              <w:t>Many respondents noted that “</w:t>
            </w:r>
            <w:r w:rsidRPr="00447CF7">
              <w:rPr>
                <w:i/>
                <w:iCs/>
              </w:rPr>
              <w:t>family</w:t>
            </w:r>
            <w:r>
              <w:t>” was missing as an option.</w:t>
            </w:r>
          </w:p>
        </w:tc>
        <w:tc>
          <w:tcPr>
            <w:tcW w:w="1550" w:type="pct"/>
          </w:tcPr>
          <w:p w:rsidR="00DD6D4D" w:rsidP="00DD6D4D" w14:paraId="50A7A1E9" w14:textId="77777777">
            <w:pPr>
              <w:pStyle w:val="TableTextLeft"/>
              <w:numPr>
                <w:ilvl w:val="0"/>
                <w:numId w:val="32"/>
              </w:numPr>
              <w:ind w:left="299" w:hanging="270"/>
            </w:pPr>
            <w:r>
              <w:t>Modified Option 1 (“</w:t>
            </w:r>
            <w:r w:rsidRPr="00447CF7">
              <w:rPr>
                <w:i/>
                <w:iCs/>
              </w:rPr>
              <w:t>friends or neighbors</w:t>
            </w:r>
            <w:r>
              <w:rPr>
                <w:i/>
                <w:iCs/>
              </w:rPr>
              <w:t>”</w:t>
            </w:r>
            <w:r>
              <w:t>) to include “</w:t>
            </w:r>
            <w:r w:rsidRPr="00BA072B">
              <w:rPr>
                <w:i/>
                <w:iCs/>
              </w:rPr>
              <w:t>family</w:t>
            </w:r>
            <w:r>
              <w:rPr>
                <w:i/>
                <w:iCs/>
              </w:rPr>
              <w:t>”</w:t>
            </w:r>
          </w:p>
        </w:tc>
      </w:tr>
      <w:tr w14:paraId="3016F617" w14:textId="77777777" w:rsidTr="008C4849">
        <w:tblPrEx>
          <w:tblW w:w="5000" w:type="pct"/>
          <w:tblLook w:val="06A0"/>
        </w:tblPrEx>
        <w:tc>
          <w:tcPr>
            <w:tcW w:w="544" w:type="pct"/>
          </w:tcPr>
          <w:p w:rsidR="00DD6D4D" w:rsidP="008C4849" w14:paraId="4AA99A13" w14:textId="77777777">
            <w:pPr>
              <w:pStyle w:val="TableTextLeft"/>
            </w:pPr>
            <w:r>
              <w:t>Both</w:t>
            </w:r>
          </w:p>
        </w:tc>
        <w:tc>
          <w:tcPr>
            <w:tcW w:w="1254" w:type="pct"/>
            <w:vMerge/>
          </w:tcPr>
          <w:p w:rsidR="00DD6D4D" w:rsidP="008C4849" w14:paraId="6788B406" w14:textId="77777777">
            <w:pPr>
              <w:pStyle w:val="TableTextLeft"/>
            </w:pPr>
          </w:p>
        </w:tc>
        <w:tc>
          <w:tcPr>
            <w:tcW w:w="1652" w:type="pct"/>
          </w:tcPr>
          <w:p w:rsidR="00DD6D4D" w:rsidP="008C4849" w14:paraId="026F4451" w14:textId="77777777">
            <w:pPr>
              <w:pStyle w:val="TableTextLeft"/>
            </w:pPr>
            <w:r>
              <w:t>One respondent thought they could probably find out about SNAP mobile payments from their SNAP caseworker. Another respondent said it would be helpful to fill in specific information instead of saying “</w:t>
            </w:r>
            <w:r w:rsidRPr="00447CF7">
              <w:rPr>
                <w:i/>
                <w:iCs/>
              </w:rPr>
              <w:t>local SNAP agency</w:t>
            </w:r>
            <w:r>
              <w:rPr>
                <w:i/>
                <w:iCs/>
              </w:rPr>
              <w:t>.</w:t>
            </w:r>
            <w:r>
              <w:t>”</w:t>
            </w:r>
          </w:p>
        </w:tc>
        <w:tc>
          <w:tcPr>
            <w:tcW w:w="1550" w:type="pct"/>
          </w:tcPr>
          <w:p w:rsidR="00DD6D4D" w:rsidP="00DD6D4D" w14:paraId="019C8DC1" w14:textId="77777777">
            <w:pPr>
              <w:pStyle w:val="TableTextLeft"/>
              <w:numPr>
                <w:ilvl w:val="0"/>
                <w:numId w:val="32"/>
              </w:numPr>
              <w:ind w:left="299" w:hanging="270"/>
            </w:pPr>
            <w:r>
              <w:t>Revised wording in Option 3 to clarify that “</w:t>
            </w:r>
            <w:r w:rsidRPr="00BA072B">
              <w:rPr>
                <w:i/>
                <w:iCs/>
              </w:rPr>
              <w:t>SNAP agency</w:t>
            </w:r>
            <w:r>
              <w:t>” includes “</w:t>
            </w:r>
            <w:r w:rsidRPr="00BA072B">
              <w:rPr>
                <w:i/>
                <w:iCs/>
              </w:rPr>
              <w:t>SNAP caseworker</w:t>
            </w:r>
            <w:r>
              <w:t xml:space="preserve">”  </w:t>
            </w:r>
          </w:p>
          <w:p w:rsidR="00DD6D4D" w:rsidP="00DD6D4D" w14:paraId="6DF6CCAD" w14:textId="77777777">
            <w:pPr>
              <w:pStyle w:val="TableTextLeft"/>
              <w:numPr>
                <w:ilvl w:val="0"/>
                <w:numId w:val="32"/>
              </w:numPr>
              <w:ind w:left="299" w:hanging="270"/>
            </w:pPr>
            <w:r>
              <w:t>Replace Option 3, “</w:t>
            </w:r>
            <w:r w:rsidRPr="00447CF7">
              <w:rPr>
                <w:i/>
                <w:iCs/>
              </w:rPr>
              <w:t>local SNAP agency</w:t>
            </w:r>
            <w:r>
              <w:t>” with “</w:t>
            </w:r>
            <w:r w:rsidRPr="00447CF7">
              <w:rPr>
                <w:i/>
                <w:iCs/>
              </w:rPr>
              <w:t>SNAP agency</w:t>
            </w:r>
            <w:r>
              <w:t xml:space="preserve"> ([STATE SNAP])” to fill SNAP name by state. </w:t>
            </w:r>
          </w:p>
        </w:tc>
      </w:tr>
      <w:tr w14:paraId="3B6329D7" w14:textId="77777777" w:rsidTr="008C4849">
        <w:tblPrEx>
          <w:tblW w:w="5000" w:type="pct"/>
          <w:tblLook w:val="06A0"/>
        </w:tblPrEx>
        <w:tc>
          <w:tcPr>
            <w:tcW w:w="544" w:type="pct"/>
          </w:tcPr>
          <w:p w:rsidR="00DD6D4D" w:rsidP="008C4849" w14:paraId="7BEB90B7" w14:textId="77777777">
            <w:pPr>
              <w:pStyle w:val="TableTextLeft"/>
            </w:pPr>
            <w:r>
              <w:t>Both</w:t>
            </w:r>
          </w:p>
        </w:tc>
        <w:tc>
          <w:tcPr>
            <w:tcW w:w="1254" w:type="pct"/>
            <w:vMerge/>
          </w:tcPr>
          <w:p w:rsidR="00DD6D4D" w:rsidP="008C4849" w14:paraId="171BBDCF" w14:textId="77777777">
            <w:pPr>
              <w:pStyle w:val="TableTextLeft"/>
            </w:pPr>
          </w:p>
        </w:tc>
        <w:tc>
          <w:tcPr>
            <w:tcW w:w="1652" w:type="pct"/>
          </w:tcPr>
          <w:p w:rsidR="00DD6D4D" w:rsidP="008C4849" w14:paraId="1E4D7575" w14:textId="77777777">
            <w:pPr>
              <w:pStyle w:val="TableTextLeft"/>
            </w:pPr>
            <w:r>
              <w:t>One respondent found out about mobile payments through community outreach and thought this option would be even more applicable to SNAP Mobile Payments.</w:t>
            </w:r>
          </w:p>
        </w:tc>
        <w:tc>
          <w:tcPr>
            <w:tcW w:w="1550" w:type="pct"/>
          </w:tcPr>
          <w:p w:rsidR="00DD6D4D" w:rsidP="00DD6D4D" w14:paraId="1C9FD961" w14:textId="77777777">
            <w:pPr>
              <w:pStyle w:val="TableTextLeft"/>
              <w:numPr>
                <w:ilvl w:val="0"/>
                <w:numId w:val="32"/>
              </w:numPr>
              <w:ind w:left="299" w:hanging="270"/>
            </w:pPr>
            <w:r>
              <w:t>Added “</w:t>
            </w:r>
            <w:r w:rsidRPr="00447CF7">
              <w:rPr>
                <w:i/>
                <w:iCs/>
              </w:rPr>
              <w:t>community outreach</w:t>
            </w:r>
            <w:r>
              <w:rPr>
                <w:i/>
                <w:iCs/>
              </w:rPr>
              <w:t>.</w:t>
            </w:r>
            <w:r>
              <w:t>”</w:t>
            </w:r>
          </w:p>
        </w:tc>
      </w:tr>
      <w:tr w14:paraId="19CBC15B" w14:textId="77777777" w:rsidTr="008C4849">
        <w:tblPrEx>
          <w:tblW w:w="5000" w:type="pct"/>
          <w:tblLook w:val="06A0"/>
        </w:tblPrEx>
        <w:tc>
          <w:tcPr>
            <w:tcW w:w="5000" w:type="pct"/>
            <w:gridSpan w:val="4"/>
            <w:shd w:val="clear" w:color="auto" w:fill="FCF0D1" w:themeFill="accent4" w:themeFillTint="33"/>
          </w:tcPr>
          <w:p w:rsidR="00DD6D4D" w:rsidRPr="00A9541E" w:rsidP="008C4849" w14:paraId="66490182" w14:textId="77777777">
            <w:pPr>
              <w:pStyle w:val="TableTextLeft"/>
              <w:rPr>
                <w:b/>
                <w:bCs/>
              </w:rPr>
            </w:pPr>
            <w:r>
              <w:rPr>
                <w:b/>
                <w:bCs/>
              </w:rPr>
              <w:t>Section C</w:t>
            </w:r>
          </w:p>
        </w:tc>
      </w:tr>
      <w:tr w14:paraId="6596D41D" w14:textId="77777777" w:rsidTr="008C4849">
        <w:tblPrEx>
          <w:tblW w:w="5000" w:type="pct"/>
          <w:tblLook w:val="06A0"/>
        </w:tblPrEx>
        <w:tc>
          <w:tcPr>
            <w:tcW w:w="544" w:type="pct"/>
          </w:tcPr>
          <w:p w:rsidR="00DD6D4D" w:rsidP="008C4849" w14:paraId="38C56D77" w14:textId="77777777">
            <w:pPr>
              <w:pStyle w:val="TableTextLeft"/>
            </w:pPr>
            <w:r>
              <w:t>Both</w:t>
            </w:r>
          </w:p>
        </w:tc>
        <w:tc>
          <w:tcPr>
            <w:tcW w:w="1254" w:type="pct"/>
          </w:tcPr>
          <w:p w:rsidR="00DD6D4D" w:rsidRPr="00462A69" w:rsidP="008C4849" w14:paraId="09054AEC" w14:textId="77777777">
            <w:pPr>
              <w:pStyle w:val="TableTextLeft"/>
              <w:rPr>
                <w:b/>
                <w:bCs/>
              </w:rPr>
            </w:pPr>
            <w:r w:rsidRPr="00462A69">
              <w:rPr>
                <w:b/>
                <w:bCs/>
              </w:rPr>
              <w:t>C1</w:t>
            </w:r>
            <w:r>
              <w:rPr>
                <w:b/>
                <w:bCs/>
              </w:rPr>
              <w:t>, C1b</w:t>
            </w:r>
            <w:r w:rsidRPr="00462A69">
              <w:rPr>
                <w:b/>
                <w:bCs/>
              </w:rPr>
              <w:t xml:space="preserve"> (Client Experience), </w:t>
            </w:r>
          </w:p>
          <w:p w:rsidR="00DD6D4D" w:rsidRPr="00462A69" w:rsidP="008C4849" w14:paraId="2B17E74C" w14:textId="77777777">
            <w:pPr>
              <w:pStyle w:val="TableTextLeft"/>
              <w:rPr>
                <w:b/>
                <w:bCs/>
              </w:rPr>
            </w:pPr>
            <w:r w:rsidRPr="00462A69">
              <w:rPr>
                <w:b/>
                <w:bCs/>
              </w:rPr>
              <w:t>C2</w:t>
            </w:r>
            <w:r>
              <w:rPr>
                <w:b/>
                <w:bCs/>
              </w:rPr>
              <w:t>, C2b</w:t>
            </w:r>
            <w:r w:rsidRPr="00462A69">
              <w:rPr>
                <w:b/>
                <w:bCs/>
              </w:rPr>
              <w:t xml:space="preserve"> (Non-Adopter) </w:t>
            </w:r>
          </w:p>
          <w:p w:rsidR="00DD6D4D" w:rsidRPr="00462A69" w:rsidP="008C4849" w14:paraId="4F1124DA" w14:textId="77777777">
            <w:pPr>
              <w:pStyle w:val="TableTextLeft"/>
              <w:rPr>
                <w:i/>
                <w:iCs/>
              </w:rPr>
            </w:pPr>
            <w:r w:rsidRPr="00462A69">
              <w:rPr>
                <w:i/>
                <w:iCs/>
              </w:rPr>
              <w:t>On a scale of 1-4, how easy was it to set up SNAP mobile payments on your mobile device?</w:t>
            </w:r>
          </w:p>
        </w:tc>
        <w:tc>
          <w:tcPr>
            <w:tcW w:w="1652" w:type="pct"/>
          </w:tcPr>
          <w:p w:rsidR="00DD6D4D" w:rsidP="008C4849" w14:paraId="5FBF9BA8" w14:textId="77777777">
            <w:pPr>
              <w:pStyle w:val="TableTextLeft"/>
            </w:pPr>
            <w:r>
              <w:t>Several respondents were confused because the question mentioned a scale of 1 to 4 but did not spell out where the answer choices fall on the scale.</w:t>
            </w:r>
          </w:p>
        </w:tc>
        <w:tc>
          <w:tcPr>
            <w:tcW w:w="1550" w:type="pct"/>
          </w:tcPr>
          <w:p w:rsidR="00DD6D4D" w:rsidP="00DD6D4D" w14:paraId="54C35B6A" w14:textId="77777777">
            <w:pPr>
              <w:pStyle w:val="TableTextLeft"/>
              <w:numPr>
                <w:ilvl w:val="0"/>
                <w:numId w:val="32"/>
              </w:numPr>
              <w:ind w:left="299" w:hanging="270"/>
            </w:pPr>
            <w:r>
              <w:t>Added “</w:t>
            </w:r>
            <w:r w:rsidRPr="00462A69">
              <w:rPr>
                <w:i/>
                <w:iCs/>
              </w:rPr>
              <w:t>where 1 is very difficult</w:t>
            </w:r>
            <w:r>
              <w:rPr>
                <w:i/>
                <w:iCs/>
              </w:rPr>
              <w:t>,</w:t>
            </w:r>
            <w:r w:rsidRPr="00462A69">
              <w:rPr>
                <w:i/>
                <w:iCs/>
              </w:rPr>
              <w:t xml:space="preserve"> and 4 is very easy</w:t>
            </w:r>
            <w:r>
              <w:t>” to clarify how the response options correspond to the scale.</w:t>
            </w:r>
          </w:p>
        </w:tc>
      </w:tr>
      <w:tr w14:paraId="73B95AB5" w14:textId="77777777" w:rsidTr="008C4849">
        <w:tblPrEx>
          <w:tblW w:w="5000" w:type="pct"/>
          <w:tblLook w:val="06A0"/>
        </w:tblPrEx>
        <w:tc>
          <w:tcPr>
            <w:tcW w:w="544" w:type="pct"/>
          </w:tcPr>
          <w:p w:rsidR="00DD6D4D" w:rsidP="008C4849" w14:paraId="665437DF" w14:textId="77777777">
            <w:pPr>
              <w:pStyle w:val="TableTextLeft"/>
            </w:pPr>
            <w:r>
              <w:t>Both</w:t>
            </w:r>
          </w:p>
        </w:tc>
        <w:tc>
          <w:tcPr>
            <w:tcW w:w="1254" w:type="pct"/>
          </w:tcPr>
          <w:p w:rsidR="00DD6D4D" w:rsidRPr="00462A69" w:rsidP="008C4849" w14:paraId="47F04FF6" w14:textId="77777777">
            <w:pPr>
              <w:pStyle w:val="TableTextLeft"/>
              <w:rPr>
                <w:b/>
                <w:bCs/>
              </w:rPr>
            </w:pPr>
            <w:r w:rsidRPr="00462A69">
              <w:rPr>
                <w:b/>
                <w:bCs/>
              </w:rPr>
              <w:t xml:space="preserve">C3 (Client Experience), </w:t>
            </w:r>
          </w:p>
          <w:p w:rsidR="00DD6D4D" w:rsidRPr="00462A69" w:rsidP="008C4849" w14:paraId="6938640F" w14:textId="77777777">
            <w:pPr>
              <w:pStyle w:val="TableTextLeft"/>
              <w:rPr>
                <w:b/>
                <w:bCs/>
              </w:rPr>
            </w:pPr>
            <w:r w:rsidRPr="00462A69">
              <w:rPr>
                <w:b/>
                <w:bCs/>
              </w:rPr>
              <w:t>C4 (Non-Adopter)</w:t>
            </w:r>
          </w:p>
          <w:p w:rsidR="00DD6D4D" w:rsidRPr="00462A69" w:rsidP="008C4849" w14:paraId="33638F88" w14:textId="77777777">
            <w:pPr>
              <w:pStyle w:val="TableTextLeft"/>
              <w:rPr>
                <w:i/>
                <w:iCs/>
              </w:rPr>
            </w:pPr>
            <w:r w:rsidRPr="00462A69">
              <w:rPr>
                <w:i/>
                <w:iCs/>
              </w:rPr>
              <w:t xml:space="preserve">How long did it take you to set up for SNAP mobile payments? </w:t>
            </w:r>
          </w:p>
        </w:tc>
        <w:tc>
          <w:tcPr>
            <w:tcW w:w="1652" w:type="pct"/>
          </w:tcPr>
          <w:p w:rsidR="00DD6D4D" w:rsidP="008C4849" w14:paraId="0D862675" w14:textId="77777777">
            <w:pPr>
              <w:pStyle w:val="TableTextLeft"/>
            </w:pPr>
            <w:r>
              <w:t>Most respondents remarked that it took them less than five minutes to set up for mobile payments.</w:t>
            </w:r>
          </w:p>
        </w:tc>
        <w:tc>
          <w:tcPr>
            <w:tcW w:w="1550" w:type="pct"/>
          </w:tcPr>
          <w:p w:rsidR="00DD6D4D" w:rsidP="00DD6D4D" w14:paraId="6E7E0602" w14:textId="77777777">
            <w:pPr>
              <w:pStyle w:val="TableTextLeft"/>
              <w:numPr>
                <w:ilvl w:val="0"/>
                <w:numId w:val="32"/>
              </w:numPr>
              <w:ind w:left="299" w:hanging="270"/>
            </w:pPr>
            <w:r>
              <w:t>Changed to an open field question. Setting up for SNAP mobile payments may differ from setting up for mobile payments in general, especially because the involvement of the SNAP app may add extra steps. Because we do not know exactly what this process will involve and time ranges may vary widely, we recommend transitioning to an open field response to allow participants to share more detailed and accurate responses.</w:t>
            </w:r>
          </w:p>
        </w:tc>
      </w:tr>
      <w:tr w14:paraId="593D430E" w14:textId="77777777" w:rsidTr="008C4849">
        <w:tblPrEx>
          <w:tblW w:w="5000" w:type="pct"/>
          <w:tblLook w:val="06A0"/>
        </w:tblPrEx>
        <w:tc>
          <w:tcPr>
            <w:tcW w:w="544" w:type="pct"/>
          </w:tcPr>
          <w:p w:rsidR="00DD6D4D" w:rsidP="008C4849" w14:paraId="28D9C5D2" w14:textId="77777777">
            <w:pPr>
              <w:pStyle w:val="TableTextLeft"/>
            </w:pPr>
            <w:r>
              <w:t>Both</w:t>
            </w:r>
          </w:p>
        </w:tc>
        <w:tc>
          <w:tcPr>
            <w:tcW w:w="1254" w:type="pct"/>
          </w:tcPr>
          <w:p w:rsidR="00DD6D4D" w:rsidRPr="000B761E" w:rsidP="008C4849" w14:paraId="4586CAB4" w14:textId="77777777">
            <w:pPr>
              <w:pStyle w:val="TableTextLeft"/>
              <w:rPr>
                <w:i/>
                <w:iCs/>
              </w:rPr>
            </w:pPr>
            <w:r w:rsidRPr="00C34EB6">
              <w:rPr>
                <w:b/>
                <w:bCs/>
              </w:rPr>
              <w:t>C5 (Client Experience), C</w:t>
            </w:r>
            <w:r>
              <w:rPr>
                <w:b/>
                <w:bCs/>
              </w:rPr>
              <w:t>1, C</w:t>
            </w:r>
            <w:r w:rsidRPr="00C34EB6">
              <w:rPr>
                <w:b/>
                <w:bCs/>
              </w:rPr>
              <w:t>6 (Non-Adopter)</w:t>
            </w:r>
            <w:r>
              <w:t xml:space="preserve"> </w:t>
            </w:r>
            <w:r w:rsidRPr="002C553E">
              <w:rPr>
                <w:i/>
                <w:iCs/>
              </w:rPr>
              <w:t>What made it difficult/why were you not able to pay using SNAP mobile payments at checkout?</w:t>
            </w:r>
          </w:p>
        </w:tc>
        <w:tc>
          <w:tcPr>
            <w:tcW w:w="1652" w:type="pct"/>
          </w:tcPr>
          <w:p w:rsidR="00DD6D4D" w:rsidP="008C4849" w14:paraId="5F1B24D2" w14:textId="77777777">
            <w:pPr>
              <w:pStyle w:val="TableTextLeft"/>
            </w:pPr>
            <w:r>
              <w:t>One respondent was confused about the difference between Option 2 (“</w:t>
            </w:r>
            <w:r w:rsidRPr="00BF59C0">
              <w:rPr>
                <w:i/>
                <w:iCs/>
              </w:rPr>
              <w:t>you had technical difficulties with your phone</w:t>
            </w:r>
            <w:r>
              <w:rPr>
                <w:i/>
                <w:iCs/>
              </w:rPr>
              <w:t>”</w:t>
            </w:r>
            <w:r>
              <w:t>) and Option 3 (“</w:t>
            </w:r>
            <w:r w:rsidRPr="00BF59C0">
              <w:rPr>
                <w:i/>
                <w:iCs/>
              </w:rPr>
              <w:t>you had connectivity or network issues while making the payme</w:t>
            </w:r>
            <w:r>
              <w:rPr>
                <w:i/>
                <w:iCs/>
              </w:rPr>
              <w:t>nt</w:t>
            </w:r>
            <w:r>
              <w:t xml:space="preserve">”). </w:t>
            </w:r>
          </w:p>
          <w:p w:rsidR="00DD6D4D" w:rsidP="008C4849" w14:paraId="2F60666E" w14:textId="77777777">
            <w:pPr>
              <w:pStyle w:val="TableTextLeft"/>
            </w:pPr>
            <w:r>
              <w:t>Another respondent noted that Option 4 (“</w:t>
            </w:r>
            <w:r w:rsidRPr="00462A69">
              <w:rPr>
                <w:i/>
                <w:iCs/>
              </w:rPr>
              <w:t>connectivity or network issues</w:t>
            </w:r>
            <w:r>
              <w:rPr>
                <w:i/>
                <w:iCs/>
              </w:rPr>
              <w:t>”</w:t>
            </w:r>
            <w:r>
              <w:t>) would be clearer if it specified that this means Wi-Fi or cell service–related challenges.</w:t>
            </w:r>
          </w:p>
        </w:tc>
        <w:tc>
          <w:tcPr>
            <w:tcW w:w="1550" w:type="pct"/>
          </w:tcPr>
          <w:p w:rsidR="00DD6D4D" w:rsidP="00DD6D4D" w14:paraId="20465125" w14:textId="77777777">
            <w:pPr>
              <w:pStyle w:val="TableTextLeft"/>
              <w:numPr>
                <w:ilvl w:val="0"/>
                <w:numId w:val="32"/>
              </w:numPr>
              <w:ind w:left="299" w:hanging="270"/>
            </w:pPr>
            <w:r>
              <w:t>Removed former Option 3 (“</w:t>
            </w:r>
            <w:r>
              <w:rPr>
                <w:i/>
                <w:iCs/>
              </w:rPr>
              <w:t>Y</w:t>
            </w:r>
            <w:r w:rsidRPr="00462A69">
              <w:rPr>
                <w:i/>
                <w:iCs/>
              </w:rPr>
              <w:t>ou had technical difficulty with your phone</w:t>
            </w:r>
            <w:r w:rsidRPr="009F0581">
              <w:t>”</w:t>
            </w:r>
            <w:r>
              <w:t>). This item is redundant with the other options, and any other situations can be covered through “</w:t>
            </w:r>
            <w:r w:rsidRPr="00462A69">
              <w:rPr>
                <w:i/>
                <w:iCs/>
              </w:rPr>
              <w:t>other</w:t>
            </w:r>
            <w:r>
              <w:t xml:space="preserve">.” </w:t>
            </w:r>
          </w:p>
          <w:p w:rsidR="00DD6D4D" w:rsidP="00DD6D4D" w14:paraId="44A3C159" w14:textId="77777777">
            <w:pPr>
              <w:pStyle w:val="TableTextLeft"/>
              <w:numPr>
                <w:ilvl w:val="0"/>
                <w:numId w:val="32"/>
              </w:numPr>
              <w:ind w:left="299" w:hanging="270"/>
            </w:pPr>
            <w:r>
              <w:t>Added “</w:t>
            </w:r>
            <w:r w:rsidRPr="00462A69">
              <w:rPr>
                <w:i/>
                <w:iCs/>
              </w:rPr>
              <w:t>internet</w:t>
            </w:r>
            <w:r>
              <w:t>” and “</w:t>
            </w:r>
            <w:r w:rsidRPr="00462A69">
              <w:rPr>
                <w:i/>
                <w:iCs/>
              </w:rPr>
              <w:t>cell</w:t>
            </w:r>
            <w:r>
              <w:rPr>
                <w:i/>
                <w:iCs/>
              </w:rPr>
              <w:t>ular</w:t>
            </w:r>
            <w:r>
              <w:t>” to what is now Option 3.</w:t>
            </w:r>
          </w:p>
        </w:tc>
      </w:tr>
      <w:tr w14:paraId="71C64E3D" w14:textId="77777777" w:rsidTr="008C4849">
        <w:tblPrEx>
          <w:tblW w:w="5000" w:type="pct"/>
          <w:tblLook w:val="06A0"/>
        </w:tblPrEx>
        <w:tc>
          <w:tcPr>
            <w:tcW w:w="544" w:type="pct"/>
          </w:tcPr>
          <w:p w:rsidR="00DD6D4D" w:rsidP="008C4849" w14:paraId="1E42541E" w14:textId="77777777">
            <w:pPr>
              <w:pStyle w:val="TableTextLeft"/>
            </w:pPr>
            <w:r>
              <w:t>Non-Adopter</w:t>
            </w:r>
          </w:p>
        </w:tc>
        <w:tc>
          <w:tcPr>
            <w:tcW w:w="1254" w:type="pct"/>
          </w:tcPr>
          <w:p w:rsidR="00DD6D4D" w:rsidP="008C4849" w14:paraId="71A1C92E" w14:textId="77777777">
            <w:pPr>
              <w:pStyle w:val="TableTextLeft"/>
            </w:pPr>
            <w:r w:rsidRPr="001935C3">
              <w:rPr>
                <w:b/>
                <w:bCs/>
              </w:rPr>
              <w:t>C5.</w:t>
            </w:r>
            <w:r>
              <w:t xml:space="preserve"> </w:t>
            </w:r>
            <w:r w:rsidRPr="002C553E">
              <w:rPr>
                <w:i/>
                <w:iCs/>
              </w:rPr>
              <w:t>Why haven’t you used your mobile device to pay for your SNAP food purchases at a store?</w:t>
            </w:r>
          </w:p>
        </w:tc>
        <w:tc>
          <w:tcPr>
            <w:tcW w:w="1652" w:type="pct"/>
          </w:tcPr>
          <w:p w:rsidR="00DD6D4D" w:rsidP="008C4849" w14:paraId="66AFD216" w14:textId="77777777">
            <w:pPr>
              <w:pStyle w:val="TableTextLeft"/>
            </w:pPr>
            <w:r>
              <w:t>One respondent noted that multiple options could apply.</w:t>
            </w:r>
          </w:p>
        </w:tc>
        <w:tc>
          <w:tcPr>
            <w:tcW w:w="1550" w:type="pct"/>
          </w:tcPr>
          <w:p w:rsidR="00DD6D4D" w:rsidP="00DD6D4D" w14:paraId="021B70E2" w14:textId="77777777">
            <w:pPr>
              <w:pStyle w:val="TableTextLeft"/>
              <w:numPr>
                <w:ilvl w:val="0"/>
                <w:numId w:val="32"/>
              </w:numPr>
              <w:ind w:left="299" w:hanging="270"/>
            </w:pPr>
            <w:r>
              <w:t>Added “</w:t>
            </w:r>
            <w:r>
              <w:rPr>
                <w:i/>
                <w:iCs/>
              </w:rPr>
              <w:t>C</w:t>
            </w:r>
            <w:r w:rsidRPr="00462A69">
              <w:rPr>
                <w:i/>
                <w:iCs/>
              </w:rPr>
              <w:t>hoose all that apply</w:t>
            </w:r>
            <w:r>
              <w:rPr>
                <w:i/>
                <w:iCs/>
              </w:rPr>
              <w:t>.</w:t>
            </w:r>
            <w:r>
              <w:t>”</w:t>
            </w:r>
          </w:p>
        </w:tc>
      </w:tr>
      <w:tr w14:paraId="3B6B9ED4" w14:textId="77777777" w:rsidTr="008C4849">
        <w:tblPrEx>
          <w:tblW w:w="5000" w:type="pct"/>
          <w:tblLook w:val="06A0"/>
        </w:tblPrEx>
        <w:tc>
          <w:tcPr>
            <w:tcW w:w="544" w:type="pct"/>
          </w:tcPr>
          <w:p w:rsidR="00DD6D4D" w:rsidP="008C4849" w14:paraId="5FB46695" w14:textId="77777777">
            <w:pPr>
              <w:pStyle w:val="TableTextLeft"/>
            </w:pPr>
            <w:r>
              <w:t>Both</w:t>
            </w:r>
          </w:p>
        </w:tc>
        <w:tc>
          <w:tcPr>
            <w:tcW w:w="1254" w:type="pct"/>
          </w:tcPr>
          <w:p w:rsidR="00DD6D4D" w:rsidP="008C4849" w14:paraId="26D04C9B" w14:textId="77777777">
            <w:pPr>
              <w:pStyle w:val="TableTextLeft"/>
            </w:pPr>
            <w:r w:rsidRPr="001935C3">
              <w:rPr>
                <w:b/>
                <w:bCs/>
              </w:rPr>
              <w:t>C9 (Client Experience), C7 (Non-Adopter</w:t>
            </w:r>
            <w:r>
              <w:t>)</w:t>
            </w:r>
          </w:p>
          <w:p w:rsidR="00DD6D4D" w:rsidP="008C4849" w14:paraId="20178E0F" w14:textId="77777777">
            <w:pPr>
              <w:pStyle w:val="TableTextLeft"/>
            </w:pPr>
            <w:r>
              <w:rPr>
                <w:i/>
                <w:iCs/>
              </w:rPr>
              <w:t>Comparison between physical EBT card and SNAP mobile payments</w:t>
            </w:r>
          </w:p>
        </w:tc>
        <w:tc>
          <w:tcPr>
            <w:tcW w:w="1652" w:type="pct"/>
          </w:tcPr>
          <w:p w:rsidR="00DD6D4D" w:rsidP="008C4849" w14:paraId="42B18E52" w14:textId="77777777">
            <w:pPr>
              <w:pStyle w:val="TableTextLeft"/>
            </w:pPr>
            <w:r>
              <w:t>Several respondents commented that they neither agreed nor disagreed and wished they had a middle option. Some respondents also noted that the question structure was confusing.</w:t>
            </w:r>
          </w:p>
        </w:tc>
        <w:tc>
          <w:tcPr>
            <w:tcW w:w="1550" w:type="pct"/>
          </w:tcPr>
          <w:p w:rsidR="00DD6D4D" w:rsidP="00DD6D4D" w14:paraId="30ADB476" w14:textId="77777777">
            <w:pPr>
              <w:pStyle w:val="TableTextLeft"/>
              <w:numPr>
                <w:ilvl w:val="0"/>
                <w:numId w:val="32"/>
              </w:numPr>
              <w:ind w:left="299" w:hanging="270"/>
            </w:pPr>
            <w:r>
              <w:t>Restructured question to ask respondents to choose between a physical EBT card and SNAP mobile payment.</w:t>
            </w:r>
          </w:p>
          <w:p w:rsidR="00DD6D4D" w:rsidP="00DD6D4D" w14:paraId="12F0D016" w14:textId="77777777">
            <w:pPr>
              <w:pStyle w:val="TableTextLeft"/>
              <w:numPr>
                <w:ilvl w:val="0"/>
                <w:numId w:val="32"/>
              </w:numPr>
              <w:ind w:left="299" w:hanging="270"/>
            </w:pPr>
            <w:r>
              <w:t>Added a neutral “</w:t>
            </w:r>
            <w:r>
              <w:rPr>
                <w:i/>
                <w:iCs/>
              </w:rPr>
              <w:t>They are the same</w:t>
            </w:r>
            <w:r>
              <w:t>” option.</w:t>
            </w:r>
          </w:p>
        </w:tc>
      </w:tr>
      <w:tr w14:paraId="16DB6AA1" w14:textId="77777777" w:rsidTr="008C4849">
        <w:tblPrEx>
          <w:tblW w:w="5000" w:type="pct"/>
          <w:tblLook w:val="06A0"/>
        </w:tblPrEx>
        <w:tc>
          <w:tcPr>
            <w:tcW w:w="544" w:type="pct"/>
          </w:tcPr>
          <w:p w:rsidR="00DD6D4D" w:rsidP="008C4849" w14:paraId="2AB905C1" w14:textId="77777777">
            <w:pPr>
              <w:pStyle w:val="TableTextLeft"/>
            </w:pPr>
            <w:r>
              <w:t>Both</w:t>
            </w:r>
          </w:p>
        </w:tc>
        <w:tc>
          <w:tcPr>
            <w:tcW w:w="1254" w:type="pct"/>
          </w:tcPr>
          <w:p w:rsidR="00DD6D4D" w:rsidP="008C4849" w14:paraId="171E95AE" w14:textId="77777777">
            <w:pPr>
              <w:pStyle w:val="TableTextLeft"/>
              <w:rPr>
                <w:i/>
                <w:iCs/>
              </w:rPr>
            </w:pPr>
            <w:r w:rsidRPr="001935C3">
              <w:rPr>
                <w:b/>
                <w:bCs/>
              </w:rPr>
              <w:t>C9e (Client Experience), C7e (Non-Adopter)</w:t>
            </w:r>
            <w:r>
              <w:t xml:space="preserve">  </w:t>
            </w:r>
          </w:p>
          <w:p w:rsidR="00DD6D4D" w:rsidP="008C4849" w14:paraId="0B610284" w14:textId="77777777">
            <w:pPr>
              <w:pStyle w:val="TableTextLeft"/>
            </w:pPr>
            <w:r w:rsidRPr="001A4769">
              <w:rPr>
                <w:i/>
                <w:iCs/>
              </w:rPr>
              <w:t>Which option is more secure from theft or skimming</w:t>
            </w:r>
            <w:r>
              <w:rPr>
                <w:i/>
                <w:iCs/>
              </w:rPr>
              <w:t>…</w:t>
            </w:r>
          </w:p>
        </w:tc>
        <w:tc>
          <w:tcPr>
            <w:tcW w:w="1652" w:type="pct"/>
          </w:tcPr>
          <w:p w:rsidR="00DD6D4D" w:rsidP="008C4849" w14:paraId="23AA2E50" w14:textId="77777777">
            <w:pPr>
              <w:pStyle w:val="TableTextLeft"/>
            </w:pPr>
            <w:r>
              <w:t>Multiple respondents noted the threat of theft, which they also called skimming.</w:t>
            </w:r>
          </w:p>
        </w:tc>
        <w:tc>
          <w:tcPr>
            <w:tcW w:w="1550" w:type="pct"/>
          </w:tcPr>
          <w:p w:rsidR="00DD6D4D" w:rsidP="00DD6D4D" w14:paraId="52BF7AEB" w14:textId="77777777">
            <w:pPr>
              <w:pStyle w:val="TableTextLeft"/>
              <w:numPr>
                <w:ilvl w:val="0"/>
                <w:numId w:val="32"/>
              </w:numPr>
              <w:ind w:left="299" w:hanging="270"/>
            </w:pPr>
            <w:r>
              <w:t>Added question “</w:t>
            </w:r>
            <w:r>
              <w:rPr>
                <w:i/>
                <w:iCs/>
              </w:rPr>
              <w:t>Which is/would be more secure from theft or skimming: a physical EBT card or SNAP mobile payment?”</w:t>
            </w:r>
            <w:r>
              <w:t xml:space="preserve"> </w:t>
            </w:r>
          </w:p>
        </w:tc>
      </w:tr>
      <w:tr w14:paraId="78D94372" w14:textId="77777777" w:rsidTr="008C4849">
        <w:tblPrEx>
          <w:tblW w:w="5000" w:type="pct"/>
          <w:tblLook w:val="06A0"/>
        </w:tblPrEx>
        <w:tc>
          <w:tcPr>
            <w:tcW w:w="5000" w:type="pct"/>
            <w:gridSpan w:val="4"/>
            <w:shd w:val="clear" w:color="auto" w:fill="FCF0D1" w:themeFill="accent4" w:themeFillTint="33"/>
          </w:tcPr>
          <w:p w:rsidR="00DD6D4D" w:rsidRPr="00A9541E" w:rsidP="008C4849" w14:paraId="7A96737C" w14:textId="77777777">
            <w:pPr>
              <w:pStyle w:val="TableTextLeft"/>
              <w:rPr>
                <w:b/>
                <w:bCs/>
              </w:rPr>
            </w:pPr>
            <w:r>
              <w:rPr>
                <w:b/>
                <w:bCs/>
              </w:rPr>
              <w:t>Section D</w:t>
            </w:r>
          </w:p>
        </w:tc>
      </w:tr>
      <w:tr w14:paraId="640D6EBD" w14:textId="77777777" w:rsidTr="008C4849">
        <w:tblPrEx>
          <w:tblW w:w="5000" w:type="pct"/>
          <w:tblLook w:val="06A0"/>
        </w:tblPrEx>
        <w:tc>
          <w:tcPr>
            <w:tcW w:w="544" w:type="pct"/>
          </w:tcPr>
          <w:p w:rsidR="00DD6D4D" w:rsidP="008C4849" w14:paraId="41FD5FBB" w14:textId="77777777">
            <w:pPr>
              <w:pStyle w:val="TableTextLeft"/>
            </w:pPr>
            <w:r>
              <w:t>Both</w:t>
            </w:r>
          </w:p>
        </w:tc>
        <w:tc>
          <w:tcPr>
            <w:tcW w:w="1254" w:type="pct"/>
          </w:tcPr>
          <w:p w:rsidR="00DD6D4D" w:rsidP="008C4849" w14:paraId="304E5164" w14:textId="77777777">
            <w:pPr>
              <w:pStyle w:val="TableTextLeft"/>
              <w:rPr>
                <w:b/>
                <w:bCs/>
              </w:rPr>
            </w:pPr>
            <w:r w:rsidRPr="00593794">
              <w:rPr>
                <w:b/>
                <w:bCs/>
              </w:rPr>
              <w:t>D1 (Client Experience), D2 (Non-Adopter)</w:t>
            </w:r>
          </w:p>
          <w:p w:rsidR="00DD6D4D" w:rsidP="008C4849" w14:paraId="4795359B" w14:textId="77777777">
            <w:pPr>
              <w:pStyle w:val="TableTextLeft"/>
            </w:pPr>
            <w:r w:rsidRPr="002C553E">
              <w:rPr>
                <w:i/>
                <w:iCs/>
              </w:rPr>
              <w:t>How comfortable are you using technology in your everyday life?</w:t>
            </w:r>
          </w:p>
        </w:tc>
        <w:tc>
          <w:tcPr>
            <w:tcW w:w="1652" w:type="pct"/>
          </w:tcPr>
          <w:p w:rsidR="00DD6D4D" w:rsidP="008C4849" w14:paraId="423651B3" w14:textId="77777777">
            <w:pPr>
              <w:pStyle w:val="TableTextLeft"/>
            </w:pPr>
            <w:r>
              <w:t>Several respondents thought there should be a middle option.</w:t>
            </w:r>
          </w:p>
        </w:tc>
        <w:tc>
          <w:tcPr>
            <w:tcW w:w="1550" w:type="pct"/>
          </w:tcPr>
          <w:p w:rsidR="00DD6D4D" w:rsidP="00DD6D4D" w14:paraId="38E92A6D" w14:textId="77777777">
            <w:pPr>
              <w:pStyle w:val="TableTextLeft"/>
              <w:numPr>
                <w:ilvl w:val="0"/>
                <w:numId w:val="32"/>
              </w:numPr>
              <w:ind w:left="299" w:hanging="270"/>
            </w:pPr>
            <w:r>
              <w:t>Added “</w:t>
            </w:r>
            <w:r w:rsidRPr="00593794">
              <w:rPr>
                <w:i/>
                <w:iCs/>
              </w:rPr>
              <w:t>neither comfortable nor uncomfortable</w:t>
            </w:r>
            <w:r>
              <w:t>” as an option.</w:t>
            </w:r>
          </w:p>
        </w:tc>
      </w:tr>
    </w:tbl>
    <w:p w:rsidR="005368A9" w:rsidP="00DD6D4D" w14:paraId="51B411E1" w14:textId="77777777">
      <w:pPr>
        <w:pStyle w:val="Paragraph"/>
      </w:pPr>
    </w:p>
    <w:p w:rsidR="00DB6F04" w:rsidP="00DB6F04" w14:paraId="37BEF729" w14:textId="77777777">
      <w:pPr>
        <w:pStyle w:val="H1"/>
      </w:pPr>
      <w:r>
        <w:t>II. Key Informant Interview Discussion Guide</w:t>
      </w:r>
      <w:r w:rsidRPr="00CF0936">
        <w:t xml:space="preserve"> </w:t>
      </w:r>
    </w:p>
    <w:p w:rsidR="00DB6F04" w:rsidP="00DB6F04" w14:paraId="341CBE28" w14:textId="754EFA2E">
      <w:pPr>
        <w:pStyle w:val="Paragraph"/>
      </w:pPr>
      <w:r>
        <w:t>This section summarizes our findings from pre-testing the draft implementation interview guides for key informants and retailers. The goal of the pre-test was to assess interview guide</w:t>
      </w:r>
      <w:r w:rsidRPr="00413B1F">
        <w:t xml:space="preserve"> length</w:t>
      </w:r>
      <w:r>
        <w:t xml:space="preserve"> and</w:t>
      </w:r>
      <w:r w:rsidRPr="00413B1F">
        <w:t xml:space="preserve"> flow, </w:t>
      </w:r>
      <w:r>
        <w:t xml:space="preserve">understand </w:t>
      </w:r>
      <w:r w:rsidRPr="00413B1F">
        <w:t xml:space="preserve">respondents’ interpretation of questions, and </w:t>
      </w:r>
      <w:r>
        <w:t xml:space="preserve">gauge the </w:t>
      </w:r>
      <w:r w:rsidRPr="00413B1F">
        <w:t xml:space="preserve">comprehensiveness of </w:t>
      </w:r>
      <w:r>
        <w:t>the guide</w:t>
      </w:r>
      <w:r w:rsidRPr="00413B1F">
        <w:t>.</w:t>
      </w:r>
      <w:r>
        <w:t xml:space="preserve"> We describe how we revised the Key Informants Interview Guide and the Retailer Interview Guide based on suggestions from pre-tests with staff involved in the pilots from the Illinois Department of Human Services staff, Aldi, and Schnuck’s Markets. First, we describe the pre-test procedures; then present the findings</w:t>
      </w:r>
      <w:r w:rsidR="00A570EB">
        <w:t>.</w:t>
      </w:r>
    </w:p>
    <w:p w:rsidR="00DB6F04" w:rsidP="00DB6F04" w14:paraId="4DB7CB57" w14:textId="77777777">
      <w:pPr>
        <w:pStyle w:val="H2"/>
        <w:spacing w:after="240"/>
      </w:pPr>
      <w:r w:rsidRPr="00094465">
        <w:t>A.</w:t>
      </w:r>
      <w:r>
        <w:t xml:space="preserve"> Pre-test respondents and procedures</w:t>
      </w:r>
    </w:p>
    <w:p w:rsidR="00DB6F04" w:rsidP="00DB6F04" w14:paraId="1F009509" w14:textId="77777777">
      <w:pPr>
        <w:pStyle w:val="Paragraph"/>
      </w:pPr>
      <w:r>
        <w:rPr>
          <w:b/>
          <w:bCs/>
        </w:rPr>
        <w:t xml:space="preserve">Pre-test respondents. </w:t>
      </w:r>
      <w:r>
        <w:t xml:space="preserve">Pre-test participants were recruited by study team staff in June and July 2023. The study team administered the pre-tests with likely key informants in one pilot State—Illinois—to ensure </w:t>
      </w:r>
      <w:r>
        <w:t xml:space="preserve">the interview guides were comprehensive of activities the State Agency and their retailer partners expect to complete during the pilot planning and implementation. The study team invited staff from the Illinois Department of Human Services (IDHS) who are involved in the pilot planning to participate in the pre-test and requested their help identifying retailer partners. We the reached out to corporate-level contacts at Aldi and Schnuck’s Markets and requested their participation in a pre-test. We asked our corporate contacts to invite store managers or other key staff to join the conversation. Store managers and other corporate staff involved with payment technologies participated in the pre-test with Schnuck’s Market, and one corporate-level staff person participated from Aldi. </w:t>
      </w:r>
    </w:p>
    <w:p w:rsidR="00DB6F04" w:rsidP="00DB6F04" w14:paraId="7462383B" w14:textId="77777777">
      <w:pPr>
        <w:pStyle w:val="Paragraph"/>
        <w:rPr>
          <w:b/>
          <w:bCs/>
        </w:rPr>
      </w:pPr>
      <w:r w:rsidRPr="00B950D1">
        <w:rPr>
          <w:b/>
          <w:bCs/>
        </w:rPr>
        <w:t>Pre-test guides.</w:t>
      </w:r>
    </w:p>
    <w:p w:rsidR="00DB6F04" w:rsidP="00DB6F04" w14:paraId="771437F3" w14:textId="77777777">
      <w:pPr>
        <w:pStyle w:val="Paragraph"/>
      </w:pPr>
      <w:r>
        <w:rPr>
          <w:i/>
          <w:iCs/>
        </w:rPr>
        <w:t xml:space="preserve">Key informant interview guide. </w:t>
      </w:r>
      <w:r>
        <w:t xml:space="preserve">The key informant interview guide includes over 100 questions that cover all key informant respondents and three rounds of data collection. The guide will ultimately be tailored to ask only questions relevant for the respondent’s role in the pilot and round of data collection and will take no longer than an hour. </w:t>
      </w:r>
    </w:p>
    <w:p w:rsidR="00DB6F04" w:rsidP="00DB6F04" w14:paraId="5DB363AE" w14:textId="77777777">
      <w:pPr>
        <w:pStyle w:val="Paragraph"/>
      </w:pPr>
      <w:r>
        <w:rPr>
          <w:i/>
          <w:iCs/>
        </w:rPr>
        <w:t xml:space="preserve">Retailer interview guide. </w:t>
      </w:r>
      <w:r>
        <w:t>The retailer interview guide is designed for use with corporate or store-level staff at participating pilot retailers. The interview guide includes fewer questions than the key informant interview guide and is designed to take no longer than 30 minutes with any respondent.</w:t>
      </w:r>
    </w:p>
    <w:p w:rsidR="00DB6F04" w:rsidP="00DB6F04" w14:paraId="4603F489" w14:textId="77777777">
      <w:pPr>
        <w:spacing w:line="259" w:lineRule="auto"/>
      </w:pPr>
      <w:r>
        <w:rPr>
          <w:noProof/>
        </w:rPr>
        <mc:AlternateContent>
          <mc:Choice Requires="wps">
            <w:drawing>
              <wp:anchor distT="91440" distB="91440" distL="114300" distR="114300" simplePos="0" relativeHeight="251658240" behindDoc="0" locked="0" layoutInCell="1" allowOverlap="1">
                <wp:simplePos x="0" y="0"/>
                <wp:positionH relativeFrom="margin">
                  <wp:posOffset>3354070</wp:posOffset>
                </wp:positionH>
                <wp:positionV relativeFrom="paragraph">
                  <wp:posOffset>947362</wp:posOffset>
                </wp:positionV>
                <wp:extent cx="2589530" cy="2188845"/>
                <wp:effectExtent l="0" t="0" r="0" b="190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9530" cy="2188845"/>
                        </a:xfrm>
                        <a:prstGeom prst="rect">
                          <a:avLst/>
                        </a:prstGeom>
                        <a:noFill/>
                        <a:ln w="9525">
                          <a:noFill/>
                          <a:miter lim="800000"/>
                          <a:headEnd/>
                          <a:tailEnd/>
                        </a:ln>
                      </wps:spPr>
                      <wps:txbx>
                        <w:txbxContent>
                          <w:p w:rsidR="00DB6F04" w:rsidRPr="00B950D1" w:rsidP="00DB6F04" w14:textId="77777777">
                            <w:pPr>
                              <w:pBdr>
                                <w:top w:val="single" w:sz="24" w:space="8" w:color="0B2949" w:themeColor="accent1"/>
                                <w:bottom w:val="single" w:sz="24" w:space="8" w:color="0B2949" w:themeColor="accent1"/>
                              </w:pBdr>
                              <w:spacing w:after="0"/>
                              <w:ind w:left="720" w:hanging="360"/>
                              <w:rPr>
                                <w:b/>
                                <w:bCs/>
                                <w:sz w:val="20"/>
                                <w:szCs w:val="20"/>
                              </w:rPr>
                            </w:pPr>
                            <w:r w:rsidRPr="00B950D1">
                              <w:rPr>
                                <w:b/>
                                <w:bCs/>
                                <w:sz w:val="20"/>
                                <w:szCs w:val="20"/>
                              </w:rPr>
                              <w:t>Example pre-testing questions</w:t>
                            </w:r>
                          </w:p>
                          <w:p w:rsidR="00DB6F04" w:rsidRPr="00B950D1" w:rsidP="00DB6F04"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What feedback do you have on the questions in this section?</w:t>
                            </w:r>
                          </w:p>
                          <w:p w:rsidR="00DB6F04" w:rsidRPr="00B950D1" w:rsidP="00DB6F04"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What did you think of the organization and flow of the questions?</w:t>
                            </w:r>
                          </w:p>
                          <w:p w:rsidR="00DB6F04" w:rsidRPr="00B950D1" w:rsidP="00DB6F04"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Could any questions be eliminated due to being repetitive or unapplicable?</w:t>
                            </w:r>
                          </w:p>
                          <w:p w:rsidR="00DB6F04" w:rsidRPr="00B950D1" w:rsidP="00DB6F04"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Are there any questions or topics you found sensitive?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203.9pt;height:172.35pt;margin-top:74.6pt;margin-left:264.1pt;mso-height-percent:0;mso-height-relative:margin;mso-position-horizontal-relative:margin;mso-width-percent:0;mso-width-relative:margin;mso-wrap-distance-bottom:7.2pt;mso-wrap-distance-left:9pt;mso-wrap-distance-right:9pt;mso-wrap-distance-top:7.2pt;mso-wrap-style:square;position:absolute;visibility:visible;v-text-anchor:top;z-index:251659264" filled="f" stroked="f">
                <v:textbox>
                  <w:txbxContent>
                    <w:p w:rsidR="00DB6F04" w:rsidRPr="00B950D1" w:rsidP="00DB6F04" w14:paraId="6E3DE132" w14:textId="77777777">
                      <w:pPr>
                        <w:pBdr>
                          <w:top w:val="single" w:sz="24" w:space="8" w:color="0B2949" w:themeColor="accent1"/>
                          <w:bottom w:val="single" w:sz="24" w:space="8" w:color="0B2949" w:themeColor="accent1"/>
                        </w:pBdr>
                        <w:spacing w:after="0"/>
                        <w:ind w:left="720" w:hanging="360"/>
                        <w:rPr>
                          <w:b/>
                          <w:bCs/>
                          <w:sz w:val="20"/>
                          <w:szCs w:val="20"/>
                        </w:rPr>
                      </w:pPr>
                      <w:r w:rsidRPr="00B950D1">
                        <w:rPr>
                          <w:b/>
                          <w:bCs/>
                          <w:sz w:val="20"/>
                          <w:szCs w:val="20"/>
                        </w:rPr>
                        <w:t>Example pre-testing questions</w:t>
                      </w:r>
                    </w:p>
                    <w:p w:rsidR="00DB6F04" w:rsidRPr="00B950D1" w:rsidP="00DB6F04" w14:paraId="56F51E38"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What feedback do you have on the questions in this section?</w:t>
                      </w:r>
                    </w:p>
                    <w:p w:rsidR="00DB6F04" w:rsidRPr="00B950D1" w:rsidP="00DB6F04" w14:paraId="14952948"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What did you think of the organization and flow of the questions?</w:t>
                      </w:r>
                    </w:p>
                    <w:p w:rsidR="00DB6F04" w:rsidRPr="00B950D1" w:rsidP="00DB6F04" w14:paraId="395D67F4"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Could any questions be eliminated due to being repetitive or unapplicable?</w:t>
                      </w:r>
                    </w:p>
                    <w:p w:rsidR="00DB6F04" w:rsidRPr="00B950D1" w:rsidP="00DB6F04" w14:paraId="4F69C957" w14:textId="77777777">
                      <w:pPr>
                        <w:pStyle w:val="ListParagraph"/>
                        <w:numPr>
                          <w:ilvl w:val="0"/>
                          <w:numId w:val="38"/>
                        </w:numPr>
                        <w:pBdr>
                          <w:top w:val="single" w:sz="24" w:space="8" w:color="0B2949" w:themeColor="accent1"/>
                          <w:bottom w:val="single" w:sz="24" w:space="8" w:color="0B2949" w:themeColor="accent1"/>
                        </w:pBdr>
                        <w:spacing w:after="0"/>
                        <w:rPr>
                          <w:i/>
                          <w:iCs/>
                          <w:color w:val="0B2949" w:themeColor="accent1"/>
                          <w:sz w:val="20"/>
                          <w:szCs w:val="20"/>
                        </w:rPr>
                      </w:pPr>
                      <w:r w:rsidRPr="00B950D1">
                        <w:rPr>
                          <w:i/>
                          <w:iCs/>
                          <w:color w:val="0B2949" w:themeColor="accent1"/>
                          <w:sz w:val="20"/>
                          <w:szCs w:val="20"/>
                        </w:rPr>
                        <w:t>Are there any questions or topics you found sensitive?</w:t>
                      </w:r>
                    </w:p>
                  </w:txbxContent>
                </v:textbox>
                <w10:wrap type="square"/>
              </v:shape>
            </w:pict>
          </mc:Fallback>
        </mc:AlternateContent>
      </w:r>
      <w:r>
        <w:rPr>
          <w:b/>
          <w:bCs/>
        </w:rPr>
        <w:t xml:space="preserve">Pre-test procedures. </w:t>
      </w:r>
      <w:r>
        <w:t xml:space="preserve">We took slightly different approaches to pre-testing the key informant interview guide and the retailer interview guide. We asked IDHS staff to review the full interview guide and consider recommendations for improving content or clarity. We then held a one-hour virtual meeting to debrief and ask targeted questions. We did not ask retailer staff to review any materials ahead of a 45-minute virtual meeting to review the questions together and ask for targeted feedback.  </w:t>
      </w:r>
    </w:p>
    <w:p w:rsidR="00DB6F04" w:rsidP="00DB6F04" w14:paraId="20C8FBF2" w14:textId="77777777">
      <w:pPr>
        <w:spacing w:line="259" w:lineRule="auto"/>
      </w:pPr>
      <w:r>
        <w:t>All virtual meetings were held in June and July 2023. In each virtual meeting we began by explaining the context of the Mobile Payments Pilot Evaluation, the pre-testing process, and the structure of the interview guides. We clarified that we were seeking feedback on the structure of the interview guides, the content of the questions, and the likelihood that the ultimate respondents would be able to answer the questions. We asked questions about each section and sub-section of the interview guide during the virtual meeting (see pop-out box for examples). We took notes throughout the conversations and recorded the meetings.</w:t>
      </w:r>
    </w:p>
    <w:p w:rsidR="00DB6F04" w:rsidP="00DB6F04" w14:paraId="59763407" w14:textId="77777777">
      <w:pPr>
        <w:pStyle w:val="H2"/>
        <w:spacing w:after="240"/>
      </w:pPr>
      <w:r>
        <w:t>B. Pre-test findings</w:t>
      </w:r>
    </w:p>
    <w:p w:rsidR="00DB6F04" w:rsidP="00DB6F04" w14:paraId="26B6C477" w14:textId="77777777">
      <w:pPr>
        <w:pStyle w:val="Paragraph"/>
      </w:pPr>
      <w:r w:rsidRPr="00B950D1">
        <w:rPr>
          <w:b/>
          <w:bCs/>
        </w:rPr>
        <w:t>General acceptability:</w:t>
      </w:r>
      <w:r>
        <w:t xml:space="preserve"> Overall, participants expressed that the interview guides were comprehensive and questions were straightforward. Respondents made several suggestions for improving the comprehension of certain sections and questions. For example, IDHS suggested adding another sentence to the introduction of the key informant interview to provide more context for the type of work Mathematica typically does for FNS. In addition, IDHS suggested adding more information about the reference period for the specific interview, given the key informant interviews will occur several times over a period of </w:t>
      </w:r>
      <w:r>
        <w:t>years. D</w:t>
      </w:r>
      <w:r w:rsidRPr="00B950D1">
        <w:t xml:space="preserve">uring discussions about </w:t>
      </w:r>
      <w:r>
        <w:t>interview guide</w:t>
      </w:r>
      <w:r w:rsidRPr="00B950D1">
        <w:t xml:space="preserve"> administration, some retailers raised concerns that </w:t>
      </w:r>
      <w:r>
        <w:t>customer-facing</w:t>
      </w:r>
      <w:r w:rsidRPr="00B950D1">
        <w:t xml:space="preserve"> workers, such as cashiers and clerks, might </w:t>
      </w:r>
      <w:r>
        <w:t>not have the knowledge to answer</w:t>
      </w:r>
      <w:r w:rsidRPr="00B950D1">
        <w:t xml:space="preserve"> certain questions. </w:t>
      </w:r>
      <w:r>
        <w:t xml:space="preserve">Our respondents </w:t>
      </w:r>
      <w:r w:rsidRPr="00B950D1">
        <w:t>suggested that</w:t>
      </w:r>
      <w:r>
        <w:t xml:space="preserve"> certain</w:t>
      </w:r>
      <w:r w:rsidRPr="00B950D1">
        <w:t xml:space="preserve"> questions</w:t>
      </w:r>
      <w:r>
        <w:t>, particularly those about the retailer’s technology systems and customer shopping patterns</w:t>
      </w:r>
      <w:r w:rsidRPr="00B950D1">
        <w:t xml:space="preserve"> </w:t>
      </w:r>
      <w:r>
        <w:t>would be better answered by</w:t>
      </w:r>
      <w:r w:rsidRPr="00B950D1">
        <w:t xml:space="preserve"> managers and corporate</w:t>
      </w:r>
      <w:r>
        <w:t>-</w:t>
      </w:r>
      <w:r w:rsidRPr="00B950D1">
        <w:t>level</w:t>
      </w:r>
      <w:r>
        <w:t xml:space="preserve"> staff with access to store data</w:t>
      </w:r>
      <w:r w:rsidRPr="00B950D1">
        <w:t>.</w:t>
      </w:r>
      <w:r>
        <w:t xml:space="preserve"> </w:t>
      </w:r>
    </w:p>
    <w:p w:rsidR="00DB6F04" w:rsidP="00DB6F04" w14:paraId="4C9BCD7D" w14:textId="77777777">
      <w:pPr>
        <w:pStyle w:val="Paragraph"/>
      </w:pPr>
      <w:r>
        <w:rPr>
          <w:b/>
          <w:bCs/>
        </w:rPr>
        <w:t>Language choice</w:t>
      </w:r>
      <w:r w:rsidRPr="00B950D1">
        <w:rPr>
          <w:b/>
          <w:bCs/>
        </w:rPr>
        <w:t>:</w:t>
      </w:r>
      <w:r>
        <w:t xml:space="preserve"> During the discussion of the store environment, retailers expressed a preference for using the term "EBT" instead of "SNAP" in the text, noting that most in-store language, include point-of-sale systems, use “EBT” to refer to the payment type.</w:t>
      </w:r>
    </w:p>
    <w:p w:rsidR="00DB6F04" w:rsidRPr="00781401" w:rsidP="00DB6F04" w14:paraId="10272076" w14:textId="77777777">
      <w:pPr>
        <w:pStyle w:val="H3"/>
        <w:spacing w:after="240"/>
        <w:ind w:left="0" w:firstLine="18"/>
        <w:rPr>
          <w:b w:val="0"/>
          <w:bCs/>
        </w:rPr>
      </w:pPr>
      <w:r w:rsidRPr="008E70FA">
        <w:t>Item-specific revisions</w:t>
      </w:r>
      <w:r>
        <w:t xml:space="preserve">. </w:t>
      </w:r>
      <w:r w:rsidRPr="00B950D1">
        <w:rPr>
          <w:b w:val="0"/>
          <w:bCs/>
          <w:color w:val="auto"/>
        </w:rPr>
        <w:t xml:space="preserve">Exhibit 6 describes </w:t>
      </w:r>
      <w:r w:rsidRPr="00781401">
        <w:rPr>
          <w:b w:val="0"/>
          <w:bCs/>
        </w:rPr>
        <w:t xml:space="preserve">the proposed modifications based on </w:t>
      </w:r>
      <w:r>
        <w:rPr>
          <w:b w:val="0"/>
          <w:bCs/>
        </w:rPr>
        <w:t>pre-test</w:t>
      </w:r>
      <w:r w:rsidRPr="00781401">
        <w:rPr>
          <w:b w:val="0"/>
          <w:bCs/>
        </w:rPr>
        <w:t xml:space="preserve"> findings.</w:t>
      </w:r>
    </w:p>
    <w:p w:rsidR="00DB6F04" w:rsidP="00DB6F04" w14:paraId="4814FF7F" w14:textId="77777777">
      <w:pPr>
        <w:pStyle w:val="TitleRule"/>
        <w:keepLines/>
      </w:pPr>
      <w:r w:rsidRPr="00465BF8">
        <w:rPr>
          <w:noProof/>
        </w:rPr>
        <mc:AlternateContent>
          <mc:Choice Requires="wps">
            <w:drawing>
              <wp:inline distT="0" distB="0" distL="0" distR="0">
                <wp:extent cx="2971800" cy="0"/>
                <wp:effectExtent l="0" t="38100" r="38100" b="38100"/>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9"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DB6F04" w:rsidP="00DB6F04" w14:paraId="689A808E" w14:textId="77777777">
      <w:pPr>
        <w:pStyle w:val="TableTitle"/>
      </w:pPr>
      <w:r>
        <w:t xml:space="preserve">Exhibit 6. Questions modifications from pre-test </w:t>
      </w:r>
    </w:p>
    <w:tbl>
      <w:tblPr>
        <w:tblStyle w:val="MathUBaseTable"/>
        <w:tblW w:w="5000" w:type="pct"/>
        <w:tblLook w:val="06A0"/>
      </w:tblPr>
      <w:tblGrid>
        <w:gridCol w:w="1184"/>
        <w:gridCol w:w="2291"/>
        <w:gridCol w:w="3038"/>
        <w:gridCol w:w="2847"/>
      </w:tblGrid>
      <w:tr w14:paraId="5A6B3CF8" w14:textId="77777777" w:rsidTr="008C4849">
        <w:tblPrEx>
          <w:tblW w:w="5000" w:type="pct"/>
          <w:tblLook w:val="06A0"/>
        </w:tblPrEx>
        <w:trPr>
          <w:trHeight w:val="300"/>
          <w:tblHeader/>
        </w:trPr>
        <w:tc>
          <w:tcPr>
            <w:tcW w:w="632" w:type="pct"/>
          </w:tcPr>
          <w:p w:rsidR="00DB6F04" w:rsidP="008C4849" w14:paraId="0A42A420" w14:textId="77777777">
            <w:pPr>
              <w:pStyle w:val="TableHeaderLeft"/>
            </w:pPr>
            <w:r>
              <w:t>Discussion Guide Section</w:t>
            </w:r>
          </w:p>
        </w:tc>
        <w:tc>
          <w:tcPr>
            <w:tcW w:w="1224" w:type="pct"/>
          </w:tcPr>
          <w:p w:rsidR="00DB6F04" w:rsidRPr="00465BF8" w:rsidP="008C4849" w14:paraId="399F1F9D" w14:textId="77777777">
            <w:pPr>
              <w:pStyle w:val="TableHeaderCenter"/>
              <w:jc w:val="left"/>
            </w:pPr>
            <w:r>
              <w:t>Question(s)</w:t>
            </w:r>
          </w:p>
        </w:tc>
        <w:tc>
          <w:tcPr>
            <w:tcW w:w="1623" w:type="pct"/>
          </w:tcPr>
          <w:p w:rsidR="00DB6F04" w:rsidP="008C4849" w14:paraId="288CA886" w14:textId="77777777">
            <w:pPr>
              <w:pStyle w:val="TableHeaderCenter"/>
              <w:jc w:val="left"/>
            </w:pPr>
            <w:r>
              <w:t>Feedback</w:t>
            </w:r>
          </w:p>
        </w:tc>
        <w:tc>
          <w:tcPr>
            <w:tcW w:w="1521" w:type="pct"/>
          </w:tcPr>
          <w:p w:rsidR="00DB6F04" w:rsidRPr="00465BF8" w:rsidP="008C4849" w14:paraId="3729D208" w14:textId="77777777">
            <w:pPr>
              <w:pStyle w:val="TableHeaderCenter"/>
              <w:jc w:val="left"/>
            </w:pPr>
            <w:r>
              <w:t>Revision</w:t>
            </w:r>
          </w:p>
        </w:tc>
      </w:tr>
      <w:tr w14:paraId="58096173" w14:textId="77777777" w:rsidTr="008C4849">
        <w:tblPrEx>
          <w:tblW w:w="5000" w:type="pct"/>
          <w:tblLook w:val="06A0"/>
        </w:tblPrEx>
        <w:trPr>
          <w:trHeight w:val="300"/>
        </w:trPr>
        <w:tc>
          <w:tcPr>
            <w:tcW w:w="5000" w:type="pct"/>
            <w:gridSpan w:val="4"/>
            <w:shd w:val="clear" w:color="auto" w:fill="FCF0D1" w:themeFill="accent4" w:themeFillTint="33"/>
          </w:tcPr>
          <w:p w:rsidR="00DB6F04" w:rsidP="008C4849" w14:paraId="5F0EDB8C" w14:textId="77777777">
            <w:pPr>
              <w:pStyle w:val="TableTextLeft"/>
              <w:rPr>
                <w:b/>
                <w:bCs/>
              </w:rPr>
            </w:pPr>
            <w:r>
              <w:rPr>
                <w:b/>
                <w:bCs/>
              </w:rPr>
              <w:t>Key Informant Interview Guide</w:t>
            </w:r>
          </w:p>
        </w:tc>
      </w:tr>
      <w:tr w14:paraId="6C9C004B" w14:textId="77777777" w:rsidTr="008C4849">
        <w:tblPrEx>
          <w:tblW w:w="5000" w:type="pct"/>
          <w:tblLook w:val="06A0"/>
        </w:tblPrEx>
        <w:trPr>
          <w:trHeight w:val="300"/>
        </w:trPr>
        <w:tc>
          <w:tcPr>
            <w:tcW w:w="632" w:type="pct"/>
          </w:tcPr>
          <w:p w:rsidR="00DB6F04" w:rsidP="008C4849" w14:paraId="7AEC5F93" w14:textId="77777777">
            <w:pPr>
              <w:pStyle w:val="TableTextLeft"/>
            </w:pPr>
            <w:r>
              <w:t>Section B</w:t>
            </w:r>
          </w:p>
        </w:tc>
        <w:tc>
          <w:tcPr>
            <w:tcW w:w="1224" w:type="pct"/>
          </w:tcPr>
          <w:p w:rsidR="00DB6F04" w:rsidP="008C4849" w14:paraId="591B92B2" w14:textId="77777777">
            <w:pPr>
              <w:pStyle w:val="TableTextLeft"/>
              <w:rPr>
                <w:rFonts w:ascii="Arial" w:eastAsia="Arial" w:hAnsi="Arial" w:cs="Arial"/>
                <w:i/>
                <w:iCs/>
              </w:rPr>
            </w:pPr>
            <w:r w:rsidRPr="7317928E">
              <w:rPr>
                <w:rFonts w:ascii="Arial" w:eastAsia="Arial" w:hAnsi="Arial" w:cs="Arial"/>
                <w:i/>
                <w:iCs/>
              </w:rPr>
              <w:t>Question 7.</w:t>
            </w:r>
          </w:p>
          <w:p w:rsidR="00DB6F04" w:rsidRPr="00281EE8" w:rsidP="008C4849" w14:paraId="11D7A017" w14:textId="77777777">
            <w:pPr>
              <w:pStyle w:val="TableTextLeft"/>
              <w:rPr>
                <w:rFonts w:ascii="Arial" w:eastAsia="Arial" w:hAnsi="Arial" w:cs="Arial"/>
                <w:i/>
                <w:iCs/>
              </w:rPr>
            </w:pPr>
            <w:r w:rsidRPr="7317928E">
              <w:rPr>
                <w:rFonts w:ascii="Arial" w:eastAsia="Arial" w:hAnsi="Arial" w:cs="Arial"/>
                <w:i/>
                <w:iCs/>
              </w:rPr>
              <w:t>Are these formal or informal partnerships?</w:t>
            </w:r>
          </w:p>
        </w:tc>
        <w:tc>
          <w:tcPr>
            <w:tcW w:w="1623" w:type="pct"/>
          </w:tcPr>
          <w:p w:rsidR="00DB6F04" w:rsidP="008C4849" w14:paraId="18255BA3" w14:textId="77777777">
            <w:pPr>
              <w:pStyle w:val="TableTextLeft"/>
              <w:rPr>
                <w:rFonts w:ascii="Segoe UI" w:eastAsia="Segoe UI" w:hAnsi="Segoe UI" w:cs="Segoe UI"/>
                <w:color w:val="333333"/>
                <w:szCs w:val="18"/>
              </w:rPr>
            </w:pPr>
            <w:r w:rsidRPr="00B950D1">
              <w:t>One respondent stated that “Partners could be contracted in another way, but still be an advisor on this.”</w:t>
            </w:r>
          </w:p>
        </w:tc>
        <w:tc>
          <w:tcPr>
            <w:tcW w:w="1521" w:type="pct"/>
          </w:tcPr>
          <w:p w:rsidR="00DB6F04" w:rsidP="00DB6F04" w14:paraId="6C39486A" w14:textId="77777777">
            <w:pPr>
              <w:pStyle w:val="TableTextLeft"/>
              <w:numPr>
                <w:ilvl w:val="0"/>
                <w:numId w:val="37"/>
              </w:numPr>
              <w:ind w:left="265" w:hanging="180"/>
              <w:rPr>
                <w:i/>
                <w:iCs/>
              </w:rPr>
            </w:pPr>
            <w:r w:rsidRPr="00B950D1">
              <w:t>Revise</w:t>
            </w:r>
            <w:r>
              <w:t>d</w:t>
            </w:r>
            <w:r w:rsidRPr="00B950D1">
              <w:t xml:space="preserve"> text to include </w:t>
            </w:r>
            <w:r w:rsidRPr="7317928E">
              <w:rPr>
                <w:i/>
                <w:iCs/>
              </w:rPr>
              <w:t>“contracted or noncontracted.”</w:t>
            </w:r>
          </w:p>
        </w:tc>
      </w:tr>
      <w:tr w14:paraId="373E2992" w14:textId="77777777" w:rsidTr="008C4849">
        <w:tblPrEx>
          <w:tblW w:w="5000" w:type="pct"/>
          <w:tblLook w:val="06A0"/>
        </w:tblPrEx>
        <w:trPr>
          <w:trHeight w:val="300"/>
        </w:trPr>
        <w:tc>
          <w:tcPr>
            <w:tcW w:w="632" w:type="pct"/>
          </w:tcPr>
          <w:p w:rsidR="00DB6F04" w:rsidP="008C4849" w14:paraId="37C42BC4" w14:textId="77777777">
            <w:pPr>
              <w:pStyle w:val="TableTextLeft"/>
            </w:pPr>
            <w:r>
              <w:t>Section C</w:t>
            </w:r>
          </w:p>
        </w:tc>
        <w:tc>
          <w:tcPr>
            <w:tcW w:w="1224" w:type="pct"/>
          </w:tcPr>
          <w:p w:rsidR="00DB6F04" w:rsidP="008C4849" w14:paraId="7BCFD50B" w14:textId="77777777">
            <w:pPr>
              <w:pStyle w:val="TableTextLeft"/>
              <w:rPr>
                <w:rFonts w:ascii="Arial" w:eastAsia="Arial" w:hAnsi="Arial" w:cs="Arial"/>
                <w:i/>
                <w:iCs/>
              </w:rPr>
            </w:pPr>
            <w:r>
              <w:rPr>
                <w:rFonts w:ascii="Arial" w:eastAsia="Arial" w:hAnsi="Arial" w:cs="Arial"/>
                <w:i/>
                <w:iCs/>
              </w:rPr>
              <w:t>Question 14.</w:t>
            </w:r>
          </w:p>
          <w:p w:rsidR="00DB6F04" w:rsidRPr="7317928E" w:rsidP="008C4849" w14:paraId="6F2CF4D7" w14:textId="77777777">
            <w:pPr>
              <w:pStyle w:val="TableTextLeft"/>
              <w:rPr>
                <w:rFonts w:ascii="Arial" w:eastAsia="Arial" w:hAnsi="Arial" w:cs="Arial"/>
                <w:i/>
                <w:iCs/>
              </w:rPr>
            </w:pPr>
            <w:r>
              <w:rPr>
                <w:rFonts w:ascii="Arial" w:eastAsia="Arial" w:hAnsi="Arial" w:cs="Arial"/>
                <w:i/>
                <w:iCs/>
              </w:rPr>
              <w:t>Were new staff hired specifically for the pilot?</w:t>
            </w:r>
          </w:p>
        </w:tc>
        <w:tc>
          <w:tcPr>
            <w:tcW w:w="1623" w:type="pct"/>
          </w:tcPr>
          <w:p w:rsidR="00DB6F04" w:rsidRPr="00C145CE" w:rsidP="008C4849" w14:paraId="2AB9C109" w14:textId="77777777">
            <w:pPr>
              <w:pStyle w:val="TableTextLeft"/>
            </w:pPr>
            <w:r>
              <w:t>One respondent suggested we ask about whether any staff have been added over time or whether they felt there were additional staff needs</w:t>
            </w:r>
          </w:p>
        </w:tc>
        <w:tc>
          <w:tcPr>
            <w:tcW w:w="1521" w:type="pct"/>
          </w:tcPr>
          <w:p w:rsidR="00DB6F04" w:rsidRPr="00C145CE" w:rsidP="00DB6F04" w14:paraId="332F4386" w14:textId="77777777">
            <w:pPr>
              <w:pStyle w:val="TableTextLeft"/>
              <w:numPr>
                <w:ilvl w:val="0"/>
                <w:numId w:val="37"/>
              </w:numPr>
              <w:ind w:left="265" w:hanging="180"/>
            </w:pPr>
            <w:r>
              <w:t>Revised text to include new question text: “Have you added any new staff to the pilot [</w:t>
            </w:r>
            <w:r w:rsidRPr="00EF4464">
              <w:rPr>
                <w:i/>
                <w:iCs/>
              </w:rPr>
              <w:t>since the last interview</w:t>
            </w:r>
            <w:r>
              <w:t>]?” and an additional question “Do you feel additional staff are needed that were not hired or identified?”</w:t>
            </w:r>
          </w:p>
        </w:tc>
      </w:tr>
      <w:tr w14:paraId="5C875283" w14:textId="77777777" w:rsidTr="008C4849">
        <w:tblPrEx>
          <w:tblW w:w="5000" w:type="pct"/>
          <w:tblLook w:val="06A0"/>
        </w:tblPrEx>
        <w:trPr>
          <w:trHeight w:val="1547"/>
        </w:trPr>
        <w:tc>
          <w:tcPr>
            <w:tcW w:w="632" w:type="pct"/>
          </w:tcPr>
          <w:p w:rsidR="00DB6F04" w:rsidP="008C4849" w14:paraId="66CDA13A" w14:textId="77777777">
            <w:pPr>
              <w:pStyle w:val="TableTextLeft"/>
            </w:pPr>
            <w:r>
              <w:t>Section D</w:t>
            </w:r>
          </w:p>
        </w:tc>
        <w:tc>
          <w:tcPr>
            <w:tcW w:w="1224" w:type="pct"/>
          </w:tcPr>
          <w:p w:rsidR="00DB6F04" w:rsidRPr="00447CF7" w:rsidP="008C4849" w14:paraId="79AF0A14" w14:textId="77777777">
            <w:pPr>
              <w:rPr>
                <w:rFonts w:ascii="Arial" w:eastAsia="Arial" w:hAnsi="Arial" w:cs="Arial"/>
                <w:i/>
                <w:iCs/>
              </w:rPr>
            </w:pPr>
            <w:r w:rsidRPr="7317928E">
              <w:rPr>
                <w:rFonts w:ascii="Arial" w:eastAsia="Arial" w:hAnsi="Arial" w:cs="Arial"/>
                <w:i/>
                <w:iCs/>
              </w:rPr>
              <w:t>Question 44</w:t>
            </w:r>
            <w:r>
              <w:rPr>
                <w:rFonts w:ascii="Arial" w:eastAsia="Arial" w:hAnsi="Arial" w:cs="Arial"/>
                <w:i/>
                <w:iCs/>
              </w:rPr>
              <w:t xml:space="preserve"> and 45</w:t>
            </w:r>
            <w:r w:rsidRPr="7317928E">
              <w:rPr>
                <w:rFonts w:ascii="Arial" w:eastAsia="Arial" w:hAnsi="Arial" w:cs="Arial"/>
                <w:i/>
                <w:iCs/>
              </w:rPr>
              <w:t>.</w:t>
            </w:r>
          </w:p>
          <w:p w:rsidR="00DB6F04" w:rsidRPr="00281EE8" w:rsidP="008C4849" w14:paraId="4B22A391" w14:textId="77777777">
            <w:pPr>
              <w:rPr>
                <w:rFonts w:ascii="Arial" w:eastAsia="Arial" w:hAnsi="Arial" w:cs="Arial"/>
                <w:i/>
                <w:iCs/>
              </w:rPr>
            </w:pPr>
            <w:r w:rsidRPr="7317928E">
              <w:rPr>
                <w:rFonts w:ascii="Arial" w:eastAsia="Arial" w:hAnsi="Arial" w:cs="Arial"/>
                <w:i/>
                <w:iCs/>
              </w:rPr>
              <w:t xml:space="preserve">What steps did you take with your State’s mobile application developer to prepare to offer </w:t>
            </w:r>
            <w:r>
              <w:rPr>
                <w:rFonts w:ascii="Arial" w:eastAsia="Arial" w:hAnsi="Arial" w:cs="Arial"/>
                <w:i/>
                <w:iCs/>
              </w:rPr>
              <w:t>NFC/</w:t>
            </w:r>
            <w:r w:rsidRPr="7317928E">
              <w:rPr>
                <w:rFonts w:ascii="Arial" w:eastAsia="Arial" w:hAnsi="Arial" w:cs="Arial"/>
                <w:i/>
                <w:iCs/>
              </w:rPr>
              <w:t>QR code technology?</w:t>
            </w:r>
          </w:p>
        </w:tc>
        <w:tc>
          <w:tcPr>
            <w:tcW w:w="1623" w:type="pct"/>
          </w:tcPr>
          <w:p w:rsidR="00DB6F04" w:rsidP="008C4849" w14:paraId="0AE9C6B9" w14:textId="77777777">
            <w:pPr>
              <w:pStyle w:val="TableTextLeft"/>
            </w:pPr>
            <w:r>
              <w:t>Respondents are not planning to include QR codes in their State’s pilot.</w:t>
            </w:r>
          </w:p>
        </w:tc>
        <w:tc>
          <w:tcPr>
            <w:tcW w:w="1521" w:type="pct"/>
          </w:tcPr>
          <w:p w:rsidR="00DB6F04" w:rsidP="00DB6F04" w14:paraId="457960E7" w14:textId="77777777">
            <w:pPr>
              <w:pStyle w:val="TableTextLeft"/>
              <w:numPr>
                <w:ilvl w:val="0"/>
                <w:numId w:val="32"/>
              </w:numPr>
              <w:ind w:left="265" w:hanging="180"/>
            </w:pPr>
            <w:r>
              <w:t>Noted in parentheses for interviewer that these questions are only to be asked of States implementing this technology in their pilot program.</w:t>
            </w:r>
          </w:p>
        </w:tc>
      </w:tr>
      <w:tr w14:paraId="3475AF61" w14:textId="77777777" w:rsidTr="008C4849">
        <w:tblPrEx>
          <w:tblW w:w="5000" w:type="pct"/>
          <w:tblLook w:val="06A0"/>
        </w:tblPrEx>
        <w:trPr>
          <w:trHeight w:val="300"/>
        </w:trPr>
        <w:tc>
          <w:tcPr>
            <w:tcW w:w="632" w:type="pct"/>
          </w:tcPr>
          <w:p w:rsidR="00DB6F04" w:rsidP="008C4849" w14:paraId="4E754833" w14:textId="77777777">
            <w:pPr>
              <w:pStyle w:val="TableTextLeft"/>
            </w:pPr>
            <w:r>
              <w:t>Section F</w:t>
            </w:r>
          </w:p>
        </w:tc>
        <w:tc>
          <w:tcPr>
            <w:tcW w:w="1224" w:type="pct"/>
          </w:tcPr>
          <w:p w:rsidR="00DB6F04" w:rsidP="008C4849" w14:paraId="045FB9DA" w14:textId="77777777">
            <w:pPr>
              <w:pStyle w:val="TableTextLeft"/>
              <w:rPr>
                <w:rFonts w:ascii="Arial" w:eastAsia="Arial" w:hAnsi="Arial" w:cs="Arial"/>
                <w:i/>
                <w:iCs/>
              </w:rPr>
            </w:pPr>
            <w:r w:rsidRPr="7317928E">
              <w:rPr>
                <w:rFonts w:ascii="Arial" w:eastAsia="Arial" w:hAnsi="Arial" w:cs="Arial"/>
                <w:i/>
                <w:iCs/>
              </w:rPr>
              <w:t>Operations (Round 2 only)</w:t>
            </w:r>
          </w:p>
        </w:tc>
        <w:tc>
          <w:tcPr>
            <w:tcW w:w="1623" w:type="pct"/>
          </w:tcPr>
          <w:p w:rsidR="00DB6F04" w:rsidP="008C4849" w14:paraId="67699432" w14:textId="77777777">
            <w:pPr>
              <w:pStyle w:val="TableTextLeft"/>
              <w:rPr>
                <w:rFonts w:eastAsiaTheme="majorEastAsia" w:cstheme="majorBidi"/>
                <w:color w:val="333333"/>
                <w:szCs w:val="18"/>
              </w:rPr>
            </w:pPr>
            <w:r w:rsidRPr="00281EE8">
              <w:rPr>
                <w:rFonts w:eastAsiaTheme="majorEastAsia" w:cstheme="majorBidi"/>
              </w:rPr>
              <w:t xml:space="preserve">One respondent thought that </w:t>
            </w:r>
            <w:r>
              <w:rPr>
                <w:rFonts w:eastAsiaTheme="majorEastAsia" w:cstheme="majorBidi"/>
                <w:color w:val="333333"/>
                <w:szCs w:val="18"/>
              </w:rPr>
              <w:t>the guide does not include</w:t>
            </w:r>
            <w:r w:rsidRPr="00281EE8">
              <w:rPr>
                <w:rFonts w:eastAsiaTheme="majorEastAsia" w:cstheme="majorBidi"/>
                <w:color w:val="333333"/>
                <w:szCs w:val="18"/>
              </w:rPr>
              <w:t xml:space="preserve"> enough questions about EBT testing</w:t>
            </w:r>
            <w:r>
              <w:rPr>
                <w:rFonts w:eastAsiaTheme="majorEastAsia" w:cstheme="majorBidi"/>
                <w:color w:val="333333"/>
                <w:szCs w:val="18"/>
              </w:rPr>
              <w:t xml:space="preserve"> at the retailer level.</w:t>
            </w:r>
          </w:p>
        </w:tc>
        <w:tc>
          <w:tcPr>
            <w:tcW w:w="1521" w:type="pct"/>
          </w:tcPr>
          <w:p w:rsidR="00DB6F04" w:rsidRPr="00281EE8" w:rsidP="00DB6F04" w14:paraId="58671E40" w14:textId="77777777">
            <w:pPr>
              <w:pStyle w:val="TableTextLeft"/>
              <w:numPr>
                <w:ilvl w:val="0"/>
                <w:numId w:val="36"/>
              </w:numPr>
              <w:ind w:left="265" w:hanging="180"/>
              <w:rPr>
                <w:rFonts w:eastAsiaTheme="majorEastAsia" w:cstheme="majorBidi"/>
                <w:color w:val="333333"/>
                <w:szCs w:val="18"/>
              </w:rPr>
            </w:pPr>
            <w:r w:rsidRPr="00CE13DD">
              <w:rPr>
                <w:rFonts w:eastAsiaTheme="majorEastAsia" w:cstheme="majorBidi"/>
              </w:rPr>
              <w:t>Added</w:t>
            </w:r>
            <w:r>
              <w:rPr>
                <w:rFonts w:eastAsiaTheme="majorEastAsia" w:cstheme="majorBidi"/>
              </w:rPr>
              <w:t xml:space="preserve"> probe to question 47</w:t>
            </w:r>
            <w:r w:rsidRPr="7317928E">
              <w:rPr>
                <w:rFonts w:eastAsiaTheme="majorEastAsia" w:cstheme="majorBidi"/>
              </w:rPr>
              <w:t>,</w:t>
            </w:r>
            <w:r w:rsidRPr="00281EE8">
              <w:rPr>
                <w:rFonts w:eastAsiaTheme="majorEastAsia" w:cstheme="majorBidi"/>
              </w:rPr>
              <w:t xml:space="preserve"> </w:t>
            </w:r>
            <w:r w:rsidRPr="00281EE8">
              <w:rPr>
                <w:rFonts w:ascii="Arial" w:eastAsia="Arial" w:hAnsi="Arial" w:cs="Arial"/>
                <w:i/>
                <w:iCs/>
              </w:rPr>
              <w:t>“</w:t>
            </w:r>
            <w:r w:rsidRPr="00281EE8">
              <w:rPr>
                <w:rFonts w:ascii="Arial" w:eastAsia="Arial" w:hAnsi="Arial" w:cs="Arial"/>
                <w:i/>
                <w:iCs/>
                <w:color w:val="333333"/>
                <w:szCs w:val="18"/>
              </w:rPr>
              <w:t>Did you offer training to retailers that included walking through the app as if they were a customer?”</w:t>
            </w:r>
          </w:p>
          <w:p w:rsidR="00DB6F04" w:rsidRPr="00281EE8" w:rsidP="00DB6F04" w14:paraId="07006029" w14:textId="77777777">
            <w:pPr>
              <w:pStyle w:val="TableTextLeft"/>
              <w:numPr>
                <w:ilvl w:val="0"/>
                <w:numId w:val="36"/>
              </w:numPr>
              <w:ind w:left="265" w:hanging="180"/>
              <w:rPr>
                <w:rFonts w:eastAsiaTheme="majorEastAsia" w:cstheme="majorBidi"/>
                <w:color w:val="333333"/>
                <w:szCs w:val="18"/>
              </w:rPr>
            </w:pPr>
            <w:r w:rsidRPr="7317928E">
              <w:rPr>
                <w:rFonts w:eastAsiaTheme="majorEastAsia" w:cstheme="majorBidi"/>
                <w:szCs w:val="18"/>
              </w:rPr>
              <w:t>Add</w:t>
            </w:r>
            <w:r>
              <w:rPr>
                <w:rFonts w:eastAsiaTheme="majorEastAsia" w:cstheme="majorBidi"/>
                <w:szCs w:val="18"/>
              </w:rPr>
              <w:t>ed</w:t>
            </w:r>
            <w:r w:rsidRPr="7317928E">
              <w:rPr>
                <w:rFonts w:eastAsiaTheme="majorEastAsia" w:cstheme="majorBidi"/>
                <w:szCs w:val="18"/>
              </w:rPr>
              <w:t xml:space="preserve"> additional </w:t>
            </w:r>
            <w:r>
              <w:rPr>
                <w:rFonts w:eastAsiaTheme="majorEastAsia" w:cstheme="majorBidi"/>
                <w:szCs w:val="18"/>
              </w:rPr>
              <w:t>question</w:t>
            </w:r>
            <w:r w:rsidRPr="7317928E">
              <w:rPr>
                <w:rFonts w:eastAsiaTheme="majorEastAsia" w:cstheme="majorBidi"/>
                <w:szCs w:val="18"/>
              </w:rPr>
              <w:t xml:space="preserve"> about testing with retailers. </w:t>
            </w:r>
            <w:r w:rsidRPr="00281EE8">
              <w:rPr>
                <w:rFonts w:ascii="Arial" w:eastAsia="Arial" w:hAnsi="Arial" w:cs="Arial"/>
                <w:i/>
                <w:iCs/>
                <w:szCs w:val="18"/>
              </w:rPr>
              <w:t>“</w:t>
            </w:r>
            <w:r w:rsidRPr="00281EE8">
              <w:rPr>
                <w:rFonts w:ascii="Arial" w:eastAsia="Arial" w:hAnsi="Arial" w:cs="Arial"/>
                <w:i/>
                <w:iCs/>
                <w:color w:val="333333"/>
                <w:szCs w:val="18"/>
              </w:rPr>
              <w:t>Will retailers get to test out</w:t>
            </w:r>
            <w:r>
              <w:rPr>
                <w:rFonts w:ascii="Arial" w:eastAsia="Arial" w:hAnsi="Arial" w:cs="Arial"/>
                <w:i/>
                <w:iCs/>
                <w:color w:val="333333"/>
                <w:szCs w:val="18"/>
              </w:rPr>
              <w:t xml:space="preserve"> the payment method</w:t>
            </w:r>
            <w:r w:rsidRPr="00281EE8">
              <w:rPr>
                <w:rFonts w:ascii="Arial" w:eastAsia="Arial" w:hAnsi="Arial" w:cs="Arial"/>
                <w:i/>
                <w:iCs/>
                <w:color w:val="333333"/>
                <w:szCs w:val="18"/>
              </w:rPr>
              <w:t xml:space="preserve"> so they know how it works/what the experience is</w:t>
            </w:r>
            <w:r>
              <w:rPr>
                <w:rFonts w:ascii="Arial" w:eastAsia="Arial" w:hAnsi="Arial" w:cs="Arial"/>
                <w:i/>
                <w:iCs/>
                <w:color w:val="333333"/>
                <w:szCs w:val="18"/>
              </w:rPr>
              <w:t xml:space="preserve"> like</w:t>
            </w:r>
            <w:r w:rsidRPr="00281EE8">
              <w:rPr>
                <w:rFonts w:ascii="Arial" w:eastAsia="Arial" w:hAnsi="Arial" w:cs="Arial"/>
                <w:i/>
                <w:iCs/>
                <w:color w:val="333333"/>
                <w:szCs w:val="18"/>
              </w:rPr>
              <w:t>?”</w:t>
            </w:r>
          </w:p>
        </w:tc>
      </w:tr>
      <w:tr w14:paraId="283FCF96" w14:textId="77777777" w:rsidTr="008C4849">
        <w:tblPrEx>
          <w:tblW w:w="5000" w:type="pct"/>
          <w:tblLook w:val="06A0"/>
        </w:tblPrEx>
        <w:trPr>
          <w:trHeight w:val="300"/>
        </w:trPr>
        <w:tc>
          <w:tcPr>
            <w:tcW w:w="5000" w:type="pct"/>
            <w:gridSpan w:val="4"/>
            <w:shd w:val="clear" w:color="auto" w:fill="FCF0D1" w:themeFill="accent4" w:themeFillTint="33"/>
          </w:tcPr>
          <w:p w:rsidR="00DB6F04" w:rsidRPr="006836C5" w:rsidP="008C4849" w14:paraId="21D5F5B4" w14:textId="77777777">
            <w:pPr>
              <w:pStyle w:val="TableTextLeft"/>
              <w:rPr>
                <w:b/>
                <w:bCs/>
              </w:rPr>
            </w:pPr>
            <w:r>
              <w:rPr>
                <w:b/>
                <w:bCs/>
              </w:rPr>
              <w:t>Retailer Interview Guide</w:t>
            </w:r>
          </w:p>
        </w:tc>
      </w:tr>
      <w:tr w14:paraId="32A48F6D" w14:textId="77777777" w:rsidTr="008C4849">
        <w:tblPrEx>
          <w:tblW w:w="5000" w:type="pct"/>
          <w:tblLook w:val="06A0"/>
        </w:tblPrEx>
        <w:trPr>
          <w:trHeight w:val="755"/>
        </w:trPr>
        <w:tc>
          <w:tcPr>
            <w:tcW w:w="632" w:type="pct"/>
          </w:tcPr>
          <w:p w:rsidR="00DB6F04" w:rsidP="008C4849" w14:paraId="330B7520" w14:textId="77777777">
            <w:pPr>
              <w:pStyle w:val="TableTextLeft"/>
            </w:pPr>
            <w:r>
              <w:t>Introduction</w:t>
            </w:r>
          </w:p>
        </w:tc>
        <w:tc>
          <w:tcPr>
            <w:tcW w:w="1224" w:type="pct"/>
          </w:tcPr>
          <w:p w:rsidR="00DB6F04" w:rsidP="008C4849" w14:paraId="599918FA" w14:textId="77777777">
            <w:pPr>
              <w:pStyle w:val="TableTextLeft"/>
              <w:rPr>
                <w:rFonts w:ascii="Arial" w:eastAsia="Arial" w:hAnsi="Arial" w:cs="Arial"/>
                <w:i/>
                <w:iCs/>
              </w:rPr>
            </w:pPr>
            <w:r>
              <w:rPr>
                <w:rFonts w:ascii="Arial" w:eastAsia="Arial" w:hAnsi="Arial" w:cs="Arial"/>
                <w:i/>
                <w:iCs/>
              </w:rPr>
              <w:t>“…</w:t>
            </w:r>
            <w:r w:rsidRPr="7317928E">
              <w:rPr>
                <w:rFonts w:ascii="Arial" w:eastAsia="Arial" w:hAnsi="Arial" w:cs="Arial"/>
                <w:i/>
                <w:iCs/>
              </w:rPr>
              <w:t>what strategies were used to ensure program integrity</w:t>
            </w:r>
            <w:r>
              <w:rPr>
                <w:rFonts w:ascii="Arial" w:eastAsia="Arial" w:hAnsi="Arial" w:cs="Arial"/>
                <w:i/>
                <w:iCs/>
              </w:rPr>
              <w:t>…”</w:t>
            </w:r>
          </w:p>
        </w:tc>
        <w:tc>
          <w:tcPr>
            <w:tcW w:w="1623" w:type="pct"/>
          </w:tcPr>
          <w:p w:rsidR="00DB6F04" w:rsidP="008C4849" w14:paraId="61600C2E" w14:textId="77777777">
            <w:pPr>
              <w:pStyle w:val="TableTextLeft"/>
              <w:rPr>
                <w:i/>
                <w:iCs/>
              </w:rPr>
            </w:pPr>
            <w:r>
              <w:t xml:space="preserve">Retailers stated that the average check/clerk may not understand the term </w:t>
            </w:r>
            <w:r w:rsidRPr="7317928E">
              <w:rPr>
                <w:i/>
                <w:iCs/>
              </w:rPr>
              <w:t>“program integrity.”</w:t>
            </w:r>
          </w:p>
        </w:tc>
        <w:tc>
          <w:tcPr>
            <w:tcW w:w="1521" w:type="pct"/>
          </w:tcPr>
          <w:p w:rsidR="00DB6F04" w:rsidP="00DB6F04" w14:paraId="3CC026FD" w14:textId="77777777">
            <w:pPr>
              <w:pStyle w:val="TableTextLeft"/>
              <w:numPr>
                <w:ilvl w:val="0"/>
                <w:numId w:val="37"/>
              </w:numPr>
              <w:ind w:left="265" w:hanging="180"/>
              <w:rPr>
                <w:i/>
                <w:iCs/>
              </w:rPr>
            </w:pPr>
            <w:r>
              <w:t xml:space="preserve">Added text in parentheses that says </w:t>
            </w:r>
            <w:r w:rsidRPr="7317928E">
              <w:rPr>
                <w:i/>
                <w:iCs/>
              </w:rPr>
              <w:t>“</w:t>
            </w:r>
            <w:r>
              <w:rPr>
                <w:i/>
                <w:iCs/>
              </w:rPr>
              <w:t>or</w:t>
            </w:r>
            <w:r w:rsidRPr="7317928E">
              <w:rPr>
                <w:i/>
                <w:iCs/>
              </w:rPr>
              <w:t xml:space="preserve"> payment security.”</w:t>
            </w:r>
          </w:p>
        </w:tc>
      </w:tr>
      <w:tr w14:paraId="141B8D34" w14:textId="77777777" w:rsidTr="008C4849">
        <w:tblPrEx>
          <w:tblW w:w="5000" w:type="pct"/>
          <w:tblLook w:val="06A0"/>
        </w:tblPrEx>
        <w:trPr>
          <w:trHeight w:val="300"/>
        </w:trPr>
        <w:tc>
          <w:tcPr>
            <w:tcW w:w="632" w:type="pct"/>
            <w:vMerge w:val="restart"/>
          </w:tcPr>
          <w:p w:rsidR="00DB6F04" w:rsidP="008C4849" w14:paraId="6E1F286E" w14:textId="77777777">
            <w:pPr>
              <w:pStyle w:val="TableTextLeft"/>
            </w:pPr>
            <w:r>
              <w:t>Section B</w:t>
            </w:r>
          </w:p>
        </w:tc>
        <w:tc>
          <w:tcPr>
            <w:tcW w:w="1224" w:type="pct"/>
            <w:vMerge w:val="restart"/>
          </w:tcPr>
          <w:p w:rsidR="00DB6F04" w:rsidP="008C4849" w14:paraId="3C5EEA04" w14:textId="77777777">
            <w:pPr>
              <w:rPr>
                <w:rFonts w:ascii="Arial" w:eastAsia="Arial" w:hAnsi="Arial" w:cs="Arial"/>
                <w:i/>
                <w:iCs/>
                <w:color w:val="000000" w:themeColor="text1"/>
              </w:rPr>
            </w:pPr>
            <w:r w:rsidRPr="7317928E">
              <w:rPr>
                <w:rFonts w:ascii="Arial" w:eastAsia="Arial" w:hAnsi="Arial" w:cs="Arial"/>
                <w:i/>
                <w:iCs/>
                <w:color w:val="000000" w:themeColor="text1"/>
              </w:rPr>
              <w:t>Question 7.</w:t>
            </w:r>
          </w:p>
          <w:p w:rsidR="00DB6F04" w:rsidP="008C4849" w14:paraId="20445E37" w14:textId="77777777">
            <w:pPr>
              <w:rPr>
                <w:rFonts w:ascii="Arial" w:eastAsia="Arial" w:hAnsi="Arial" w:cs="Arial"/>
                <w:i/>
                <w:iCs/>
                <w:color w:val="000000" w:themeColor="text1"/>
              </w:rPr>
            </w:pPr>
            <w:r w:rsidRPr="7317928E">
              <w:rPr>
                <w:rFonts w:ascii="Arial" w:eastAsia="Arial" w:hAnsi="Arial" w:cs="Arial"/>
                <w:i/>
                <w:iCs/>
                <w:color w:val="000000" w:themeColor="text1"/>
              </w:rPr>
              <w:t>Did the store offer mobile payment methods (for non-SNAP purchases) prior to your involvement in</w:t>
            </w:r>
          </w:p>
          <w:p w:rsidR="00DB6F04" w:rsidP="008C4849" w14:paraId="79DF37BF" w14:textId="77777777">
            <w:pPr>
              <w:rPr>
                <w:rFonts w:ascii="Arial" w:eastAsia="Arial" w:hAnsi="Arial" w:cs="Arial"/>
                <w:i/>
                <w:iCs/>
              </w:rPr>
            </w:pPr>
            <w:r w:rsidRPr="7317928E">
              <w:rPr>
                <w:rFonts w:ascii="Arial" w:eastAsia="Arial" w:hAnsi="Arial" w:cs="Arial"/>
                <w:i/>
                <w:iCs/>
                <w:color w:val="000000" w:themeColor="text1"/>
              </w:rPr>
              <w:t>the SNAP mobile payment pilot?</w:t>
            </w:r>
          </w:p>
          <w:p w:rsidR="00DB6F04" w:rsidP="008C4849" w14:paraId="036A9D71" w14:textId="77777777">
            <w:pPr>
              <w:pStyle w:val="TableTextLeft"/>
              <w:rPr>
                <w:rFonts w:ascii="Arial" w:eastAsia="Arial" w:hAnsi="Arial" w:cs="Arial"/>
                <w:i/>
                <w:iCs/>
              </w:rPr>
            </w:pPr>
          </w:p>
        </w:tc>
        <w:tc>
          <w:tcPr>
            <w:tcW w:w="1623" w:type="pct"/>
          </w:tcPr>
          <w:p w:rsidR="00DB6F04" w:rsidP="008C4849" w14:paraId="2C269FB0" w14:textId="77777777">
            <w:pPr>
              <w:pStyle w:val="TableTextLeft"/>
            </w:pPr>
            <w:r>
              <w:t xml:space="preserve">One respondent commented that the term EBT was used by staff in-stores instead of the term SNAP. Likewise, respondents suggested asking this question of both in-store and corporate level staff. </w:t>
            </w:r>
          </w:p>
        </w:tc>
        <w:tc>
          <w:tcPr>
            <w:tcW w:w="1521" w:type="pct"/>
          </w:tcPr>
          <w:p w:rsidR="00DB6F04" w:rsidP="00DB6F04" w14:paraId="60C90026" w14:textId="77777777">
            <w:pPr>
              <w:pStyle w:val="TableTextLeft"/>
              <w:numPr>
                <w:ilvl w:val="0"/>
                <w:numId w:val="32"/>
              </w:numPr>
              <w:ind w:left="265" w:hanging="180"/>
            </w:pPr>
            <w:r>
              <w:t>Revised to reference “SNAP/EBT” throughout the discussion guide.</w:t>
            </w:r>
          </w:p>
          <w:p w:rsidR="00DB6F04" w:rsidP="00DB6F04" w14:paraId="1A178A26" w14:textId="77777777">
            <w:pPr>
              <w:pStyle w:val="TableTextLeft"/>
              <w:numPr>
                <w:ilvl w:val="0"/>
                <w:numId w:val="32"/>
              </w:numPr>
              <w:ind w:left="265" w:hanging="180"/>
            </w:pPr>
            <w:r>
              <w:t>Add interviewer notes throughout guide indicating what questions to ask of in-store and corporate staff</w:t>
            </w:r>
          </w:p>
        </w:tc>
      </w:tr>
      <w:tr w14:paraId="46C38058" w14:textId="77777777" w:rsidTr="008C4849">
        <w:tblPrEx>
          <w:tblW w:w="5000" w:type="pct"/>
          <w:tblLook w:val="06A0"/>
        </w:tblPrEx>
        <w:trPr>
          <w:trHeight w:val="300"/>
        </w:trPr>
        <w:tc>
          <w:tcPr>
            <w:tcW w:w="632" w:type="pct"/>
            <w:vMerge/>
          </w:tcPr>
          <w:p w:rsidR="00DB6F04" w:rsidP="008C4849" w14:paraId="0004BC9E" w14:textId="77777777">
            <w:pPr>
              <w:pStyle w:val="TableTextLeft"/>
            </w:pPr>
          </w:p>
        </w:tc>
        <w:tc>
          <w:tcPr>
            <w:tcW w:w="1224" w:type="pct"/>
            <w:vMerge/>
          </w:tcPr>
          <w:p w:rsidR="00DB6F04" w:rsidP="008C4849" w14:paraId="50C499C4" w14:textId="77777777">
            <w:pPr>
              <w:pStyle w:val="TableTextLeft"/>
              <w:rPr>
                <w:rFonts w:ascii="Arial" w:eastAsia="Arial" w:hAnsi="Arial" w:cs="Arial"/>
                <w:i/>
                <w:iCs/>
              </w:rPr>
            </w:pPr>
          </w:p>
        </w:tc>
        <w:tc>
          <w:tcPr>
            <w:tcW w:w="1623" w:type="pct"/>
          </w:tcPr>
          <w:p w:rsidR="00DB6F04" w:rsidP="008C4849" w14:paraId="214BE007" w14:textId="77777777">
            <w:pPr>
              <w:pStyle w:val="TableTextLeft"/>
            </w:pPr>
            <w:r>
              <w:t>Respondents stated that mobile payment needs to be defined in this question.</w:t>
            </w:r>
          </w:p>
        </w:tc>
        <w:tc>
          <w:tcPr>
            <w:tcW w:w="1521" w:type="pct"/>
          </w:tcPr>
          <w:p w:rsidR="00DB6F04" w:rsidP="00DB6F04" w14:paraId="76DE3C7D" w14:textId="77777777">
            <w:pPr>
              <w:pStyle w:val="TableTextLeft"/>
              <w:numPr>
                <w:ilvl w:val="0"/>
                <w:numId w:val="32"/>
              </w:numPr>
              <w:ind w:left="265" w:hanging="180"/>
            </w:pPr>
            <w:r>
              <w:t xml:space="preserve">Defined mobile payment in parentheses in text </w:t>
            </w:r>
            <w:r w:rsidRPr="00281EE8">
              <w:rPr>
                <w:i/>
                <w:iCs/>
              </w:rPr>
              <w:t>“</w:t>
            </w:r>
            <w:r>
              <w:rPr>
                <w:i/>
                <w:iCs/>
              </w:rPr>
              <w:t>for example,</w:t>
            </w:r>
            <w:r w:rsidRPr="00281EE8">
              <w:rPr>
                <w:i/>
                <w:iCs/>
              </w:rPr>
              <w:t xml:space="preserve"> Apple Pay, Google Pay, etc.” </w:t>
            </w:r>
            <w:r>
              <w:t>We also suggest adding this text to the introduction to define the term up-front.</w:t>
            </w:r>
          </w:p>
        </w:tc>
      </w:tr>
      <w:tr w14:paraId="778CBB0D" w14:textId="77777777" w:rsidTr="008C4849">
        <w:tblPrEx>
          <w:tblW w:w="5000" w:type="pct"/>
          <w:tblLook w:val="06A0"/>
        </w:tblPrEx>
        <w:trPr>
          <w:trHeight w:val="300"/>
        </w:trPr>
        <w:tc>
          <w:tcPr>
            <w:tcW w:w="632" w:type="pct"/>
          </w:tcPr>
          <w:p w:rsidR="00DB6F04" w:rsidP="008C4849" w14:paraId="551F9067" w14:textId="77777777">
            <w:pPr>
              <w:pStyle w:val="TableTextLeft"/>
            </w:pPr>
            <w:r>
              <w:t>Section C</w:t>
            </w:r>
          </w:p>
        </w:tc>
        <w:tc>
          <w:tcPr>
            <w:tcW w:w="1224" w:type="pct"/>
          </w:tcPr>
          <w:p w:rsidR="00DB6F04" w:rsidP="008C4849" w14:paraId="36F3907E" w14:textId="77777777">
            <w:pPr>
              <w:pStyle w:val="TableTextLeft"/>
              <w:rPr>
                <w:rFonts w:ascii="Arial" w:eastAsia="Arial" w:hAnsi="Arial" w:cs="Arial"/>
                <w:i/>
                <w:iCs/>
              </w:rPr>
            </w:pPr>
            <w:r w:rsidRPr="7317928E">
              <w:rPr>
                <w:rFonts w:ascii="Arial" w:eastAsia="Arial" w:hAnsi="Arial" w:cs="Arial"/>
                <w:i/>
                <w:iCs/>
              </w:rPr>
              <w:t>Question 12.</w:t>
            </w:r>
          </w:p>
          <w:p w:rsidR="00DB6F04" w:rsidP="008C4849" w14:paraId="38FAF9C8" w14:textId="77777777">
            <w:pPr>
              <w:pStyle w:val="TableTextLeft"/>
              <w:rPr>
                <w:rFonts w:ascii="Arial" w:eastAsia="Arial" w:hAnsi="Arial" w:cs="Arial"/>
                <w:i/>
                <w:iCs/>
              </w:rPr>
            </w:pPr>
            <w:r w:rsidRPr="7317928E">
              <w:rPr>
                <w:rFonts w:ascii="Arial" w:eastAsia="Arial" w:hAnsi="Arial" w:cs="Arial"/>
                <w:i/>
                <w:iCs/>
              </w:rPr>
              <w:t>What did your store need to do to prepare to offer SNAP mobile payments?</w:t>
            </w:r>
          </w:p>
        </w:tc>
        <w:tc>
          <w:tcPr>
            <w:tcW w:w="1623" w:type="pct"/>
          </w:tcPr>
          <w:p w:rsidR="00DB6F04" w:rsidP="008C4849" w14:paraId="0F4D367D" w14:textId="77777777">
            <w:pPr>
              <w:pStyle w:val="TableTextLeft"/>
            </w:pPr>
            <w:r>
              <w:t>Some respondents wondered if in-store cashiers or clerks would know how to answer this question.</w:t>
            </w:r>
          </w:p>
        </w:tc>
        <w:tc>
          <w:tcPr>
            <w:tcW w:w="1521" w:type="pct"/>
          </w:tcPr>
          <w:p w:rsidR="00DB6F04" w:rsidP="00DB6F04" w14:paraId="2030222B" w14:textId="77777777">
            <w:pPr>
              <w:pStyle w:val="TableTextLeft"/>
              <w:numPr>
                <w:ilvl w:val="0"/>
                <w:numId w:val="32"/>
              </w:numPr>
              <w:ind w:left="265" w:hanging="180"/>
            </w:pPr>
            <w:r>
              <w:t>If a respondent does not know the answer to a question, we will instruct interviewers to reiterate that questions may be skipped during the interview.</w:t>
            </w:r>
          </w:p>
          <w:p w:rsidR="00DB6F04" w:rsidP="00DB6F04" w14:paraId="719B8D68" w14:textId="77777777">
            <w:pPr>
              <w:pStyle w:val="TableTextLeft"/>
              <w:numPr>
                <w:ilvl w:val="0"/>
                <w:numId w:val="32"/>
              </w:numPr>
              <w:ind w:left="265" w:hanging="180"/>
            </w:pPr>
            <w:r>
              <w:t>Added an interviewer note to ask this question of in-store only if relevant.</w:t>
            </w:r>
          </w:p>
        </w:tc>
      </w:tr>
      <w:tr w14:paraId="76B62A23" w14:textId="77777777" w:rsidTr="008C4849">
        <w:tblPrEx>
          <w:tblW w:w="5000" w:type="pct"/>
          <w:tblLook w:val="06A0"/>
        </w:tblPrEx>
        <w:trPr>
          <w:trHeight w:val="300"/>
        </w:trPr>
        <w:tc>
          <w:tcPr>
            <w:tcW w:w="632" w:type="pct"/>
          </w:tcPr>
          <w:p w:rsidR="00DB6F04" w:rsidP="008C4849" w14:paraId="6CF0CDB1" w14:textId="77777777">
            <w:pPr>
              <w:pStyle w:val="TableTextLeft"/>
            </w:pPr>
            <w:r>
              <w:t>Section D</w:t>
            </w:r>
          </w:p>
        </w:tc>
        <w:tc>
          <w:tcPr>
            <w:tcW w:w="1224" w:type="pct"/>
          </w:tcPr>
          <w:p w:rsidR="00DB6F04" w:rsidP="008C4849" w14:paraId="6D0FF5C3" w14:textId="77777777">
            <w:pPr>
              <w:pStyle w:val="TableTextLeft"/>
              <w:rPr>
                <w:rFonts w:ascii="Arial" w:eastAsia="Arial" w:hAnsi="Arial" w:cs="Arial"/>
                <w:i/>
                <w:iCs/>
              </w:rPr>
            </w:pPr>
            <w:r w:rsidRPr="7317928E">
              <w:rPr>
                <w:rFonts w:ascii="Arial" w:eastAsia="Arial" w:hAnsi="Arial" w:cs="Arial"/>
                <w:i/>
                <w:iCs/>
              </w:rPr>
              <w:t>Question 23.</w:t>
            </w:r>
          </w:p>
          <w:p w:rsidR="00DB6F04" w:rsidP="008C4849" w14:paraId="18541A6D" w14:textId="77777777">
            <w:pPr>
              <w:pStyle w:val="TableTextLeft"/>
              <w:rPr>
                <w:rFonts w:ascii="Arial" w:eastAsia="Arial" w:hAnsi="Arial" w:cs="Arial"/>
                <w:i/>
                <w:iCs/>
              </w:rPr>
            </w:pPr>
            <w:r w:rsidRPr="7317928E">
              <w:rPr>
                <w:rFonts w:ascii="Arial" w:eastAsia="Arial" w:hAnsi="Arial" w:cs="Arial"/>
                <w:i/>
                <w:iCs/>
              </w:rPr>
              <w:t>Has your store experienced any challenges with mobile payments processing incorrectly?</w:t>
            </w:r>
          </w:p>
        </w:tc>
        <w:tc>
          <w:tcPr>
            <w:tcW w:w="1623" w:type="pct"/>
          </w:tcPr>
          <w:p w:rsidR="00DB6F04" w:rsidP="008C4849" w14:paraId="6D868051" w14:textId="77777777">
            <w:pPr>
              <w:pStyle w:val="TableTextLeft"/>
            </w:pPr>
            <w:r>
              <w:t>A few respondents noted that complaints could also go to the customer satisfaction department</w:t>
            </w:r>
          </w:p>
        </w:tc>
        <w:tc>
          <w:tcPr>
            <w:tcW w:w="1521" w:type="pct"/>
          </w:tcPr>
          <w:p w:rsidR="00DB6F04" w:rsidP="00DB6F04" w14:paraId="5BF59085" w14:textId="77777777">
            <w:pPr>
              <w:pStyle w:val="TableTextLeft"/>
              <w:numPr>
                <w:ilvl w:val="0"/>
                <w:numId w:val="32"/>
              </w:numPr>
              <w:ind w:left="265" w:hanging="180"/>
              <w:rPr>
                <w:i/>
                <w:iCs/>
              </w:rPr>
            </w:pPr>
            <w:r>
              <w:t xml:space="preserve">Added the question: </w:t>
            </w:r>
            <w:r w:rsidRPr="7317928E">
              <w:rPr>
                <w:i/>
                <w:iCs/>
              </w:rPr>
              <w:t>“</w:t>
            </w:r>
            <w:r>
              <w:rPr>
                <w:i/>
                <w:iCs/>
              </w:rPr>
              <w:t>Has your store</w:t>
            </w:r>
            <w:r w:rsidRPr="7317928E">
              <w:rPr>
                <w:i/>
                <w:iCs/>
              </w:rPr>
              <w:t xml:space="preserve"> you received any complaints </w:t>
            </w:r>
            <w:r>
              <w:rPr>
                <w:i/>
                <w:iCs/>
              </w:rPr>
              <w:t>about</w:t>
            </w:r>
            <w:r w:rsidRPr="7317928E">
              <w:rPr>
                <w:i/>
                <w:iCs/>
              </w:rPr>
              <w:t xml:space="preserve"> mobile payment processing?</w:t>
            </w:r>
            <w:r>
              <w:rPr>
                <w:i/>
                <w:iCs/>
              </w:rPr>
              <w:t>”</w:t>
            </w:r>
            <w:r w:rsidRPr="7317928E">
              <w:rPr>
                <w:i/>
                <w:iCs/>
              </w:rPr>
              <w:t xml:space="preserve"> </w:t>
            </w:r>
          </w:p>
        </w:tc>
      </w:tr>
      <w:tr w14:paraId="33D3241F" w14:textId="77777777" w:rsidTr="008C4849">
        <w:tblPrEx>
          <w:tblW w:w="5000" w:type="pct"/>
          <w:tblLook w:val="06A0"/>
        </w:tblPrEx>
        <w:trPr>
          <w:trHeight w:val="300"/>
        </w:trPr>
        <w:tc>
          <w:tcPr>
            <w:tcW w:w="632" w:type="pct"/>
            <w:vMerge w:val="restart"/>
          </w:tcPr>
          <w:p w:rsidR="00DB6F04" w:rsidP="008C4849" w14:paraId="457B692A" w14:textId="77777777">
            <w:pPr>
              <w:pStyle w:val="TableTextLeft"/>
            </w:pPr>
            <w:r>
              <w:t>Section E</w:t>
            </w:r>
          </w:p>
        </w:tc>
        <w:tc>
          <w:tcPr>
            <w:tcW w:w="1224" w:type="pct"/>
          </w:tcPr>
          <w:p w:rsidR="00DB6F04" w:rsidP="008C4849" w14:paraId="2A7E5231" w14:textId="77777777">
            <w:pPr>
              <w:pStyle w:val="TableTextLeft"/>
              <w:rPr>
                <w:rFonts w:ascii="Arial" w:eastAsia="Arial" w:hAnsi="Arial" w:cs="Arial"/>
                <w:i/>
                <w:iCs/>
              </w:rPr>
            </w:pPr>
            <w:r w:rsidRPr="7317928E">
              <w:rPr>
                <w:rFonts w:ascii="Arial" w:eastAsia="Arial" w:hAnsi="Arial" w:cs="Arial"/>
                <w:i/>
                <w:iCs/>
              </w:rPr>
              <w:t>Question 28.</w:t>
            </w:r>
          </w:p>
          <w:p w:rsidR="00DB6F04" w:rsidP="008C4849" w14:paraId="4B23E4C9" w14:textId="77777777">
            <w:pPr>
              <w:pStyle w:val="TableTextLeft"/>
              <w:rPr>
                <w:rFonts w:ascii="Arial" w:eastAsia="Arial" w:hAnsi="Arial" w:cs="Arial"/>
                <w:i/>
                <w:iCs/>
              </w:rPr>
            </w:pPr>
            <w:r w:rsidRPr="7317928E">
              <w:rPr>
                <w:rFonts w:ascii="Arial" w:eastAsia="Arial" w:hAnsi="Arial" w:cs="Arial"/>
                <w:i/>
                <w:iCs/>
              </w:rPr>
              <w:t>How difficult would it be to roll out mobile payments to stores in the rest of the State?</w:t>
            </w:r>
          </w:p>
        </w:tc>
        <w:tc>
          <w:tcPr>
            <w:tcW w:w="1623" w:type="pct"/>
          </w:tcPr>
          <w:p w:rsidR="00DB6F04" w:rsidP="008C4849" w14:paraId="3B0CDBB2" w14:textId="77777777">
            <w:pPr>
              <w:pStyle w:val="TableTextLeft"/>
            </w:pPr>
            <w:r>
              <w:t>Some respondents were not sure whether this question would be relevant for store clerks and managers (in their stores).</w:t>
            </w:r>
          </w:p>
        </w:tc>
        <w:tc>
          <w:tcPr>
            <w:tcW w:w="1521" w:type="pct"/>
          </w:tcPr>
          <w:p w:rsidR="00DB6F04" w:rsidP="00DB6F04" w14:paraId="77550BFC" w14:textId="77777777">
            <w:pPr>
              <w:pStyle w:val="TableTextLeft"/>
              <w:numPr>
                <w:ilvl w:val="0"/>
                <w:numId w:val="32"/>
              </w:numPr>
              <w:ind w:left="265" w:hanging="180"/>
            </w:pPr>
            <w:r>
              <w:t>If a respondent does not know the answer to a question, we will instruct interviewers to reiterate that questions may be skipped during the interview.</w:t>
            </w:r>
          </w:p>
          <w:p w:rsidR="00DB6F04" w:rsidP="00DB6F04" w14:paraId="14B9B7F6" w14:textId="77777777">
            <w:pPr>
              <w:pStyle w:val="TableTextLeft"/>
              <w:numPr>
                <w:ilvl w:val="0"/>
                <w:numId w:val="32"/>
              </w:numPr>
              <w:ind w:left="265" w:hanging="180"/>
            </w:pPr>
            <w:r>
              <w:t xml:space="preserve">Added interviewer notes throughout guide indicating what questions to ask of in-store and corporate staff. </w:t>
            </w:r>
          </w:p>
        </w:tc>
      </w:tr>
      <w:tr w14:paraId="3EBEA936" w14:textId="77777777" w:rsidTr="008C4849">
        <w:tblPrEx>
          <w:tblW w:w="5000" w:type="pct"/>
          <w:tblLook w:val="06A0"/>
        </w:tblPrEx>
        <w:trPr>
          <w:trHeight w:val="300"/>
        </w:trPr>
        <w:tc>
          <w:tcPr>
            <w:tcW w:w="632" w:type="pct"/>
            <w:vMerge/>
          </w:tcPr>
          <w:p w:rsidR="00DB6F04" w:rsidP="008C4849" w14:paraId="461D853D" w14:textId="77777777"/>
        </w:tc>
        <w:tc>
          <w:tcPr>
            <w:tcW w:w="1224" w:type="pct"/>
          </w:tcPr>
          <w:p w:rsidR="00DB6F04" w:rsidP="008C4849" w14:paraId="758D560A" w14:textId="77777777">
            <w:pPr>
              <w:pStyle w:val="TableTextLeft"/>
              <w:rPr>
                <w:rFonts w:ascii="Arial" w:eastAsia="Arial" w:hAnsi="Arial" w:cs="Arial"/>
                <w:i/>
                <w:iCs/>
              </w:rPr>
            </w:pPr>
            <w:r w:rsidRPr="7317928E">
              <w:rPr>
                <w:rFonts w:ascii="Arial" w:eastAsia="Arial" w:hAnsi="Arial" w:cs="Arial"/>
                <w:i/>
                <w:iCs/>
              </w:rPr>
              <w:t>Question 29.</w:t>
            </w:r>
          </w:p>
          <w:p w:rsidR="00DB6F04" w:rsidP="008C4849" w14:paraId="4A2AB884" w14:textId="77777777">
            <w:pPr>
              <w:pStyle w:val="TableTextLeft"/>
              <w:rPr>
                <w:rFonts w:ascii="Arial" w:eastAsia="Arial" w:hAnsi="Arial" w:cs="Arial"/>
                <w:i/>
                <w:iCs/>
              </w:rPr>
            </w:pPr>
            <w:r w:rsidRPr="7317928E">
              <w:rPr>
                <w:rFonts w:ascii="Arial" w:eastAsia="Arial" w:hAnsi="Arial" w:cs="Arial"/>
                <w:i/>
                <w:iCs/>
              </w:rPr>
              <w:t>What advice would you give other retailers that want to implement mobile payments?</w:t>
            </w:r>
          </w:p>
        </w:tc>
        <w:tc>
          <w:tcPr>
            <w:tcW w:w="1623" w:type="pct"/>
          </w:tcPr>
          <w:p w:rsidR="00DB6F04" w:rsidP="008C4849" w14:paraId="63F57598" w14:textId="77777777">
            <w:pPr>
              <w:pStyle w:val="TableTextLeft"/>
            </w:pPr>
            <w:r>
              <w:t>Some respondents were not sure whether this question would be relevant for store clerks and managers (in their stores).</w:t>
            </w:r>
          </w:p>
        </w:tc>
        <w:tc>
          <w:tcPr>
            <w:tcW w:w="1521" w:type="pct"/>
          </w:tcPr>
          <w:p w:rsidR="00DB6F04" w:rsidP="00DB6F04" w14:paraId="5AAD39A9" w14:textId="77777777">
            <w:pPr>
              <w:pStyle w:val="TableTextLeft"/>
              <w:numPr>
                <w:ilvl w:val="0"/>
                <w:numId w:val="32"/>
              </w:numPr>
              <w:ind w:left="265" w:hanging="180"/>
            </w:pPr>
            <w:r>
              <w:t>If a respondent does not know the answer to a question, we will instruct interviewers to reiterate that questions may be skipped during the interview.</w:t>
            </w:r>
          </w:p>
          <w:p w:rsidR="00DB6F04" w:rsidP="00DB6F04" w14:paraId="4289E262" w14:textId="77777777">
            <w:pPr>
              <w:pStyle w:val="TableTextLeft"/>
              <w:numPr>
                <w:ilvl w:val="0"/>
                <w:numId w:val="32"/>
              </w:numPr>
              <w:ind w:left="265" w:hanging="180"/>
            </w:pPr>
            <w:r>
              <w:t>Added interviewer notes throughout guide indicating what questions to ask of in-store and corporate staff.</w:t>
            </w:r>
          </w:p>
        </w:tc>
      </w:tr>
    </w:tbl>
    <w:p w:rsidR="00DB6F04" w:rsidP="00DB6F04" w14:paraId="336E4DC4" w14:textId="77777777">
      <w:pPr>
        <w:pStyle w:val="Paragraph"/>
      </w:pPr>
    </w:p>
    <w:p w:rsidR="00DB6F04" w:rsidP="00DB6F04" w14:paraId="29AA272E" w14:textId="77777777">
      <w:pPr>
        <w:pStyle w:val="Paragraph"/>
      </w:pPr>
      <w:r w:rsidRPr="7317928E">
        <w:rPr>
          <w:b/>
          <w:bCs/>
        </w:rPr>
        <w:t xml:space="preserve">Respondent burden. </w:t>
      </w:r>
      <w:r>
        <w:t>R</w:t>
      </w:r>
      <w:r w:rsidRPr="00105605">
        <w:t>etailer</w:t>
      </w:r>
      <w:r>
        <w:t xml:space="preserve"> </w:t>
      </w:r>
      <w:r w:rsidRPr="00105605">
        <w:t>s</w:t>
      </w:r>
      <w:r>
        <w:t>taff</w:t>
      </w:r>
      <w:r w:rsidRPr="00105605">
        <w:t xml:space="preserve"> suggested that the estimated duration of </w:t>
      </w:r>
      <w:r>
        <w:t>the</w:t>
      </w:r>
      <w:r w:rsidRPr="00105605">
        <w:t xml:space="preserve"> interview would range from 15 to 30 minutes, depending on the level of engagement from the interviewee.</w:t>
      </w:r>
      <w:r>
        <w:t xml:space="preserve"> (We did not ask IDHS staff to estimate the time for key informant interviews since the pre-test covered all questions in the guide but only selected questions will be asked in each interview round.) </w:t>
      </w:r>
    </w:p>
    <w:p w:rsidR="00DB6F04" w:rsidP="00DB6F04" w14:paraId="7FADD46B" w14:textId="77777777">
      <w:pPr>
        <w:pStyle w:val="H1"/>
      </w:pPr>
      <w:r>
        <w:t>III. Next Steps</w:t>
      </w:r>
      <w:r w:rsidRPr="00CF0936">
        <w:t xml:space="preserve"> </w:t>
      </w:r>
    </w:p>
    <w:p w:rsidR="00DB6F04" w:rsidRPr="005368A9" w:rsidP="00DB6F04" w14:paraId="6DF41127" w14:textId="7469F3BE">
      <w:pPr>
        <w:pStyle w:val="ParagraphContinued"/>
      </w:pPr>
      <w:r w:rsidRPr="00884F83">
        <w:t>The</w:t>
      </w:r>
      <w:r>
        <w:t xml:space="preserve"> study team has revised the surveys, key informant interview guide, and retailer interview guide to reflect the changes described in this memo. We have had both revised surveys translated into Spanish. Finalized surveys and interview guides will be included in the final OMB package.</w:t>
      </w:r>
    </w:p>
    <w:sectPr w:rsidSect="00A749EE">
      <w:headerReference w:type="default" r:id="rId10"/>
      <w:headerReference w:type="first" r:id="rId11"/>
      <w:footerReference w:type="first" r:id="rId12"/>
      <w:endnotePr>
        <w:numFmt w:val="decimal"/>
      </w:endnotePr>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RPr="00B12A43" w:rsidP="00B12A43" w14:paraId="3A436EF5" w14:textId="7889E2FB">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A43" w:rsidP="00A749EE" w14:paraId="2F7D4B97" w14:textId="77777777">
    <w:pPr>
      <w:pStyle w:val="FooterLetterhead"/>
    </w:pPr>
    <w:r>
      <w:t>955 Massachusetts Avenue, Suite 801, Cambridge, MA 02139  •  (617) 491-7900 phone  (617) 491-8044 fax  •  mathematica.org</w:t>
    </w:r>
  </w:p>
  <w:p w:rsidR="00B12A43" w:rsidP="00A749EE" w14:paraId="74C9B0A0" w14:textId="77777777">
    <w:pPr>
      <w:pStyle w:val="FooterLetterhead"/>
    </w:pPr>
    <w:r>
      <w:t>An Affirmative Action/Equal Opportunity Employer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9EC" w:rsidP="00CA1669" w14:paraId="5B213D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49EE" w:rsidP="005D4867" w14:paraId="11AED703"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49EE" w:rsidP="00A749EE" w14:paraId="7B7B533F"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49EE" w:rsidP="00A749EE" w14:paraId="374EA6DB" w14:textId="0417082C">
    <w:pPr>
      <w:pStyle w:val="Anchor"/>
    </w:pPr>
  </w:p>
  <w:p w:rsidR="00A749EE" w:rsidRPr="00A749EE" w:rsidP="00A749EE" w14:paraId="5F64016A" w14:textId="77777777">
    <w:pPr>
      <w:pStyle w:val="TOCHeading"/>
      <w:rPr>
        <w:color w:val="FFFFFF"/>
      </w:rPr>
    </w:pPr>
  </w:p>
  <w:p w:rsidR="00A749EE" w:rsidRPr="00A749EE" w:rsidP="00A749EE" w14:paraId="1A972D5B" w14:textId="77777777">
    <w:pPr>
      <w:pStyle w:val="Paragraph"/>
      <w:rPr>
        <w:color w:val="FFFFFF"/>
      </w:rPr>
    </w:pPr>
  </w:p>
  <w:p w:rsidR="00B12A43" w14:paraId="45E8336C" w14:textId="02A127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A43" w:rsidP="00A749EE" w14:paraId="70AD0C6D" w14:textId="15A70C9C">
    <w:pPr>
      <w:pStyle w:val="Header"/>
      <w:rPr>
        <w:rStyle w:val="PageNumber"/>
      </w:rPr>
    </w:pPr>
    <w:r w:rsidRPr="00A749EE">
      <w:rPr>
        <w:rStyle w:val="PageNumber"/>
        <w:b/>
      </w:rPr>
      <w:t>To</w:t>
    </w:r>
    <w:r>
      <w:rPr>
        <w:rStyle w:val="PageNumber"/>
      </w:rPr>
      <w:t>:</w:t>
    </w:r>
    <w:r>
      <w:rPr>
        <w:rStyle w:val="PageNumber"/>
      </w:rPr>
      <w:tab/>
    </w:r>
    <w:r w:rsidR="001B032E">
      <w:rPr>
        <w:rStyle w:val="PageNumber"/>
      </w:rPr>
      <w:t>Anita Singh</w:t>
    </w:r>
    <w:r>
      <w:rPr>
        <w:rStyle w:val="PageNumber"/>
      </w:rPr>
      <w:tab/>
      <w:t>Mathematica</w:t>
    </w:r>
    <w:r w:rsidRPr="00434D28">
      <w:rPr>
        <w:rStyle w:val="PageNumber"/>
        <w:vertAlign w:val="superscript"/>
      </w:rPr>
      <w:t>®</w:t>
    </w:r>
    <w:r>
      <w:rPr>
        <w:rStyle w:val="PageNumber"/>
      </w:rPr>
      <w:t xml:space="preserve"> Inc.</w:t>
    </w:r>
  </w:p>
  <w:p w:rsidR="00B12A43" w:rsidP="00A749EE" w14:paraId="39C2A9DC" w14:textId="4E616354">
    <w:pPr>
      <w:pStyle w:val="Header"/>
      <w:rPr>
        <w:rStyle w:val="PageNumber"/>
      </w:rPr>
    </w:pPr>
    <w:r w:rsidRPr="00A749EE">
      <w:rPr>
        <w:rStyle w:val="PageNumber"/>
        <w:b/>
      </w:rPr>
      <w:t>From</w:t>
    </w:r>
    <w:r>
      <w:rPr>
        <w:rStyle w:val="PageNumber"/>
      </w:rPr>
      <w:t>:</w:t>
    </w:r>
    <w:r>
      <w:rPr>
        <w:rStyle w:val="PageNumber"/>
      </w:rPr>
      <w:tab/>
    </w:r>
    <w:r w:rsidR="008E0ED3">
      <w:rPr>
        <w:rStyle w:val="PageNumber"/>
      </w:rPr>
      <w:t>Kim McDonald, Emma Wells, Dory Thrasher, Julie Hartnack, and Jodie Davis</w:t>
    </w:r>
  </w:p>
  <w:p w:rsidR="00B12A43" w:rsidP="00A749EE" w14:paraId="7BFB24ED" w14:textId="3A145496">
    <w:pPr>
      <w:pStyle w:val="Header"/>
      <w:rPr>
        <w:rStyle w:val="PageNumber"/>
      </w:rPr>
    </w:pPr>
    <w:r w:rsidRPr="00A749EE">
      <w:rPr>
        <w:rStyle w:val="PageNumber"/>
        <w:b/>
      </w:rPr>
      <w:t>Date</w:t>
    </w:r>
    <w:r>
      <w:rPr>
        <w:rStyle w:val="PageNumber"/>
      </w:rPr>
      <w:t>:</w:t>
    </w:r>
    <w:r>
      <w:rPr>
        <w:rStyle w:val="PageNumber"/>
      </w:rPr>
      <w:tab/>
    </w:r>
    <w:r w:rsidR="003D219E">
      <w:rPr>
        <w:rStyle w:val="PageNumber"/>
      </w:rPr>
      <w:t>8</w:t>
    </w:r>
    <w:r w:rsidRPr="00DE7CA1" w:rsidR="003D219E">
      <w:rPr>
        <w:rStyle w:val="PageNumber"/>
      </w:rPr>
      <w:t>/</w:t>
    </w:r>
    <w:r w:rsidR="003D219E">
      <w:rPr>
        <w:rStyle w:val="PageNumber"/>
      </w:rPr>
      <w:t>02</w:t>
    </w:r>
    <w:r w:rsidRPr="00DE7CA1" w:rsidR="003D219E">
      <w:rPr>
        <w:rStyle w:val="PageNumber"/>
      </w:rPr>
      <w:t>/23</w:t>
    </w:r>
  </w:p>
  <w:p w:rsidR="00B12A43" w:rsidP="00A749EE" w14:paraId="6CC4874A" w14:textId="77777777">
    <w:pPr>
      <w:pStyle w:val="Header"/>
      <w:rPr>
        <w:rStyle w:val="PageNumber"/>
      </w:rPr>
    </w:pPr>
    <w:r w:rsidRPr="00A749E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A43" w:rsidP="00A749EE" w14:paraId="5A12F552" w14:textId="77777777">
    <w:pPr>
      <w:pStyle w:val="Ancho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76</wp:posOffset>
          </wp:positionV>
          <wp:extent cx="1874520" cy="466344"/>
          <wp:effectExtent l="0" t="0" r="0" b="0"/>
          <wp:wrapSquare wrapText="bothSides"/>
          <wp:docPr id="9" name="Picture 9"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B12A43" w:rsidRPr="00A749EE" w:rsidP="00A749EE" w14:paraId="245A2D3F" w14:textId="77777777">
    <w:pPr>
      <w:pStyle w:val="TOCHeading"/>
      <w:rPr>
        <w:color w:val="FFFFFF"/>
      </w:rPr>
    </w:pPr>
  </w:p>
  <w:p w:rsidR="00B12A43" w:rsidRPr="00A749EE" w:rsidP="00A749EE" w14:paraId="3286974A" w14:textId="77777777">
    <w:pPr>
      <w:pStyle w:val="Paragraph"/>
      <w:rPr>
        <w:color w:val="FFFFFF"/>
      </w:rPr>
    </w:pPr>
  </w:p>
  <w:p w:rsidR="00B12A43" w:rsidRPr="009353D5" w14:paraId="7066BDB5" w14:textId="77777777">
    <w:pPr>
      <w:pStyle w:val="Header"/>
      <w:rPr>
        <w:b/>
        <w:bCs/>
        <w:sz w:val="28"/>
        <w:szCs w:val="32"/>
      </w:rPr>
    </w:pPr>
    <w:r w:rsidRPr="009353D5">
      <w:rPr>
        <w:b/>
        <w:bCs/>
        <w:sz w:val="28"/>
        <w:szCs w:val="32"/>
      </w:rP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C8B388"/>
    <w:multiLevelType w:val="hybridMultilevel"/>
    <w:tmpl w:val="3D0EC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BB7B88"/>
    <w:multiLevelType w:val="hybridMultilevel"/>
    <w:tmpl w:val="135AD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2E0A96"/>
    <w:multiLevelType w:val="hybridMultilevel"/>
    <w:tmpl w:val="361E7654"/>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2F8A100B"/>
    <w:multiLevelType w:val="hybridMultilevel"/>
    <w:tmpl w:val="2A22D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8177E8"/>
    <w:multiLevelType w:val="hybridMultilevel"/>
    <w:tmpl w:val="0366BC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1E1647"/>
    <w:multiLevelType w:val="hybridMultilevel"/>
    <w:tmpl w:val="0366BC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AB0B0E"/>
    <w:multiLevelType w:val="hybridMultilevel"/>
    <w:tmpl w:val="A28C4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DD2330"/>
    <w:multiLevelType w:val="hybridMultilevel"/>
    <w:tmpl w:val="A87E8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5273399">
    <w:abstractNumId w:val="10"/>
  </w:num>
  <w:num w:numId="2" w16cid:durableId="134414438">
    <w:abstractNumId w:val="35"/>
  </w:num>
  <w:num w:numId="3" w16cid:durableId="1149781982">
    <w:abstractNumId w:val="25"/>
  </w:num>
  <w:num w:numId="4" w16cid:durableId="1533422005">
    <w:abstractNumId w:val="29"/>
  </w:num>
  <w:num w:numId="5" w16cid:durableId="2061055846">
    <w:abstractNumId w:val="9"/>
  </w:num>
  <w:num w:numId="6" w16cid:durableId="1673411000">
    <w:abstractNumId w:val="8"/>
  </w:num>
  <w:num w:numId="7" w16cid:durableId="1298682517">
    <w:abstractNumId w:val="22"/>
  </w:num>
  <w:num w:numId="8" w16cid:durableId="584653600">
    <w:abstractNumId w:val="7"/>
  </w:num>
  <w:num w:numId="9" w16cid:durableId="267659082">
    <w:abstractNumId w:val="6"/>
  </w:num>
  <w:num w:numId="10" w16cid:durableId="1696342341">
    <w:abstractNumId w:val="5"/>
  </w:num>
  <w:num w:numId="11" w16cid:durableId="1571235334">
    <w:abstractNumId w:val="4"/>
  </w:num>
  <w:num w:numId="12" w16cid:durableId="1809517889">
    <w:abstractNumId w:val="3"/>
  </w:num>
  <w:num w:numId="13" w16cid:durableId="1675067356">
    <w:abstractNumId w:val="2"/>
  </w:num>
  <w:num w:numId="14" w16cid:durableId="1046222910">
    <w:abstractNumId w:val="1"/>
  </w:num>
  <w:num w:numId="15" w16cid:durableId="1967464145">
    <w:abstractNumId w:val="0"/>
  </w:num>
  <w:num w:numId="16" w16cid:durableId="602416624">
    <w:abstractNumId w:val="19"/>
  </w:num>
  <w:num w:numId="17" w16cid:durableId="1024594760">
    <w:abstractNumId w:val="32"/>
  </w:num>
  <w:num w:numId="18" w16cid:durableId="1286814169">
    <w:abstractNumId w:val="16"/>
  </w:num>
  <w:num w:numId="19" w16cid:durableId="1513570844">
    <w:abstractNumId w:val="15"/>
  </w:num>
  <w:num w:numId="20" w16cid:durableId="1253507547">
    <w:abstractNumId w:val="28"/>
  </w:num>
  <w:num w:numId="21" w16cid:durableId="1198398158">
    <w:abstractNumId w:val="26"/>
  </w:num>
  <w:num w:numId="22" w16cid:durableId="213278833">
    <w:abstractNumId w:val="11"/>
  </w:num>
  <w:num w:numId="23" w16cid:durableId="1489059533">
    <w:abstractNumId w:val="31"/>
  </w:num>
  <w:num w:numId="24" w16cid:durableId="539127625">
    <w:abstractNumId w:val="12"/>
  </w:num>
  <w:num w:numId="25" w16cid:durableId="949506411">
    <w:abstractNumId w:val="34"/>
  </w:num>
  <w:num w:numId="26" w16cid:durableId="1936014669">
    <w:abstractNumId w:val="24"/>
  </w:num>
  <w:num w:numId="27" w16cid:durableId="2039967141">
    <w:abstractNumId w:val="14"/>
  </w:num>
  <w:num w:numId="28" w16cid:durableId="718407079">
    <w:abstractNumId w:val="18"/>
  </w:num>
  <w:num w:numId="29" w16cid:durableId="608852895">
    <w:abstractNumId w:val="13"/>
  </w:num>
  <w:num w:numId="30" w16cid:durableId="738746525">
    <w:abstractNumId w:val="34"/>
    <w:lvlOverride w:ilvl="0">
      <w:startOverride w:val="1"/>
    </w:lvlOverride>
  </w:num>
  <w:num w:numId="31" w16cid:durableId="1784306026">
    <w:abstractNumId w:val="21"/>
  </w:num>
  <w:num w:numId="32" w16cid:durableId="1709253576">
    <w:abstractNumId w:val="20"/>
  </w:num>
  <w:num w:numId="33" w16cid:durableId="1771076674">
    <w:abstractNumId w:val="27"/>
  </w:num>
  <w:num w:numId="34" w16cid:durableId="1161039891">
    <w:abstractNumId w:val="36"/>
  </w:num>
  <w:num w:numId="35" w16cid:durableId="1853570778">
    <w:abstractNumId w:val="30"/>
  </w:num>
  <w:num w:numId="36" w16cid:durableId="1351184186">
    <w:abstractNumId w:val="23"/>
  </w:num>
  <w:num w:numId="37" w16cid:durableId="1502165187">
    <w:abstractNumId w:val="17"/>
  </w:num>
  <w:num w:numId="38" w16cid:durableId="1561752140">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AA"/>
    <w:rsid w:val="00003A49"/>
    <w:rsid w:val="00004128"/>
    <w:rsid w:val="00004440"/>
    <w:rsid w:val="00004AAA"/>
    <w:rsid w:val="00004DCC"/>
    <w:rsid w:val="00005CF0"/>
    <w:rsid w:val="00006171"/>
    <w:rsid w:val="00007690"/>
    <w:rsid w:val="000077E6"/>
    <w:rsid w:val="00007FE1"/>
    <w:rsid w:val="00011527"/>
    <w:rsid w:val="0001315B"/>
    <w:rsid w:val="000150BC"/>
    <w:rsid w:val="00015394"/>
    <w:rsid w:val="00015C89"/>
    <w:rsid w:val="00016C44"/>
    <w:rsid w:val="00023F49"/>
    <w:rsid w:val="000243EA"/>
    <w:rsid w:val="000258D7"/>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7EB"/>
    <w:rsid w:val="0004784C"/>
    <w:rsid w:val="00051221"/>
    <w:rsid w:val="00053204"/>
    <w:rsid w:val="00053F99"/>
    <w:rsid w:val="00055808"/>
    <w:rsid w:val="00056409"/>
    <w:rsid w:val="00056BBD"/>
    <w:rsid w:val="000579C7"/>
    <w:rsid w:val="00060D38"/>
    <w:rsid w:val="00061DB6"/>
    <w:rsid w:val="00064CFB"/>
    <w:rsid w:val="000658FB"/>
    <w:rsid w:val="00065DE1"/>
    <w:rsid w:val="00066EC1"/>
    <w:rsid w:val="000674D8"/>
    <w:rsid w:val="0006758E"/>
    <w:rsid w:val="000706B2"/>
    <w:rsid w:val="00070D5A"/>
    <w:rsid w:val="000719B9"/>
    <w:rsid w:val="000722B7"/>
    <w:rsid w:val="000743E2"/>
    <w:rsid w:val="0007481F"/>
    <w:rsid w:val="00075877"/>
    <w:rsid w:val="00076138"/>
    <w:rsid w:val="00076F23"/>
    <w:rsid w:val="00077169"/>
    <w:rsid w:val="00081C49"/>
    <w:rsid w:val="00082259"/>
    <w:rsid w:val="00082872"/>
    <w:rsid w:val="00084082"/>
    <w:rsid w:val="000840D8"/>
    <w:rsid w:val="00084318"/>
    <w:rsid w:val="00084FEF"/>
    <w:rsid w:val="0008613A"/>
    <w:rsid w:val="00090334"/>
    <w:rsid w:val="000910A5"/>
    <w:rsid w:val="000915A1"/>
    <w:rsid w:val="00091C8A"/>
    <w:rsid w:val="000933D6"/>
    <w:rsid w:val="00093614"/>
    <w:rsid w:val="000943F6"/>
    <w:rsid w:val="00094465"/>
    <w:rsid w:val="00094C49"/>
    <w:rsid w:val="00095140"/>
    <w:rsid w:val="00095620"/>
    <w:rsid w:val="00095A1E"/>
    <w:rsid w:val="00095FCF"/>
    <w:rsid w:val="00097653"/>
    <w:rsid w:val="00097BEE"/>
    <w:rsid w:val="00097CD7"/>
    <w:rsid w:val="000A1EAD"/>
    <w:rsid w:val="000A2AD2"/>
    <w:rsid w:val="000A39BA"/>
    <w:rsid w:val="000A3A29"/>
    <w:rsid w:val="000A4398"/>
    <w:rsid w:val="000A6656"/>
    <w:rsid w:val="000B1298"/>
    <w:rsid w:val="000B2065"/>
    <w:rsid w:val="000B29A2"/>
    <w:rsid w:val="000B4B97"/>
    <w:rsid w:val="000B4E8A"/>
    <w:rsid w:val="000B57E8"/>
    <w:rsid w:val="000B5F26"/>
    <w:rsid w:val="000B69B1"/>
    <w:rsid w:val="000B7351"/>
    <w:rsid w:val="000B761E"/>
    <w:rsid w:val="000B7A2E"/>
    <w:rsid w:val="000C151D"/>
    <w:rsid w:val="000C1988"/>
    <w:rsid w:val="000C2957"/>
    <w:rsid w:val="000C2D1F"/>
    <w:rsid w:val="000C614D"/>
    <w:rsid w:val="000C699A"/>
    <w:rsid w:val="000C6E87"/>
    <w:rsid w:val="000C72ED"/>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3C16"/>
    <w:rsid w:val="000F45D6"/>
    <w:rsid w:val="000F45FC"/>
    <w:rsid w:val="000F54AD"/>
    <w:rsid w:val="000F5520"/>
    <w:rsid w:val="000F5AB1"/>
    <w:rsid w:val="000F5D13"/>
    <w:rsid w:val="000F7426"/>
    <w:rsid w:val="000F79B8"/>
    <w:rsid w:val="00100A7A"/>
    <w:rsid w:val="0010223E"/>
    <w:rsid w:val="001035CC"/>
    <w:rsid w:val="0010390A"/>
    <w:rsid w:val="00105605"/>
    <w:rsid w:val="00105D76"/>
    <w:rsid w:val="00106426"/>
    <w:rsid w:val="00106E64"/>
    <w:rsid w:val="00110D5F"/>
    <w:rsid w:val="00110EE5"/>
    <w:rsid w:val="00113C3E"/>
    <w:rsid w:val="00114550"/>
    <w:rsid w:val="001150FE"/>
    <w:rsid w:val="001153CD"/>
    <w:rsid w:val="00115541"/>
    <w:rsid w:val="00116E88"/>
    <w:rsid w:val="00117869"/>
    <w:rsid w:val="0012038B"/>
    <w:rsid w:val="001204F5"/>
    <w:rsid w:val="00120D26"/>
    <w:rsid w:val="001217DE"/>
    <w:rsid w:val="0012181D"/>
    <w:rsid w:val="001231CE"/>
    <w:rsid w:val="001233EA"/>
    <w:rsid w:val="00123601"/>
    <w:rsid w:val="001239A8"/>
    <w:rsid w:val="00124FE1"/>
    <w:rsid w:val="00125DDF"/>
    <w:rsid w:val="00125FA2"/>
    <w:rsid w:val="001276A4"/>
    <w:rsid w:val="00127793"/>
    <w:rsid w:val="001302BD"/>
    <w:rsid w:val="00131893"/>
    <w:rsid w:val="00132040"/>
    <w:rsid w:val="001343B6"/>
    <w:rsid w:val="001346AE"/>
    <w:rsid w:val="00134ABF"/>
    <w:rsid w:val="001360F2"/>
    <w:rsid w:val="00136129"/>
    <w:rsid w:val="00137626"/>
    <w:rsid w:val="0014130E"/>
    <w:rsid w:val="001420E7"/>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3A8C"/>
    <w:rsid w:val="0016400A"/>
    <w:rsid w:val="001645B2"/>
    <w:rsid w:val="0016728D"/>
    <w:rsid w:val="001673B1"/>
    <w:rsid w:val="0017049A"/>
    <w:rsid w:val="001704C3"/>
    <w:rsid w:val="001714F6"/>
    <w:rsid w:val="00172C36"/>
    <w:rsid w:val="00173FB5"/>
    <w:rsid w:val="001743BC"/>
    <w:rsid w:val="00175EE8"/>
    <w:rsid w:val="00175F2E"/>
    <w:rsid w:val="00176C05"/>
    <w:rsid w:val="001776C2"/>
    <w:rsid w:val="00177CA6"/>
    <w:rsid w:val="0018145F"/>
    <w:rsid w:val="001827DF"/>
    <w:rsid w:val="00182B49"/>
    <w:rsid w:val="001836E5"/>
    <w:rsid w:val="00184240"/>
    <w:rsid w:val="00184E20"/>
    <w:rsid w:val="00185DBF"/>
    <w:rsid w:val="00185E30"/>
    <w:rsid w:val="001874BE"/>
    <w:rsid w:val="00190860"/>
    <w:rsid w:val="00190D80"/>
    <w:rsid w:val="001922D2"/>
    <w:rsid w:val="001931C2"/>
    <w:rsid w:val="001935C3"/>
    <w:rsid w:val="001958C3"/>
    <w:rsid w:val="00195F41"/>
    <w:rsid w:val="0019753A"/>
    <w:rsid w:val="00197A02"/>
    <w:rsid w:val="001A02D9"/>
    <w:rsid w:val="001A0708"/>
    <w:rsid w:val="001A074F"/>
    <w:rsid w:val="001A095C"/>
    <w:rsid w:val="001A1F0A"/>
    <w:rsid w:val="001A1FA1"/>
    <w:rsid w:val="001A3CA2"/>
    <w:rsid w:val="001A4769"/>
    <w:rsid w:val="001A4946"/>
    <w:rsid w:val="001A6889"/>
    <w:rsid w:val="001A73D4"/>
    <w:rsid w:val="001A7419"/>
    <w:rsid w:val="001A770B"/>
    <w:rsid w:val="001A7BA2"/>
    <w:rsid w:val="001A7D76"/>
    <w:rsid w:val="001B032E"/>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14F"/>
    <w:rsid w:val="001F65A8"/>
    <w:rsid w:val="001F6E51"/>
    <w:rsid w:val="001F6F61"/>
    <w:rsid w:val="0020050F"/>
    <w:rsid w:val="002020D4"/>
    <w:rsid w:val="0020434A"/>
    <w:rsid w:val="00204586"/>
    <w:rsid w:val="00205654"/>
    <w:rsid w:val="002058B8"/>
    <w:rsid w:val="0020636B"/>
    <w:rsid w:val="00207B4D"/>
    <w:rsid w:val="00207F4B"/>
    <w:rsid w:val="0021146A"/>
    <w:rsid w:val="00212B22"/>
    <w:rsid w:val="00212BAB"/>
    <w:rsid w:val="00213758"/>
    <w:rsid w:val="00213980"/>
    <w:rsid w:val="00213AED"/>
    <w:rsid w:val="00214FEA"/>
    <w:rsid w:val="00216541"/>
    <w:rsid w:val="00216757"/>
    <w:rsid w:val="00216C5F"/>
    <w:rsid w:val="00217AA4"/>
    <w:rsid w:val="00220B2A"/>
    <w:rsid w:val="002214A1"/>
    <w:rsid w:val="0022232D"/>
    <w:rsid w:val="002225E7"/>
    <w:rsid w:val="00222AA8"/>
    <w:rsid w:val="00222C00"/>
    <w:rsid w:val="0022368A"/>
    <w:rsid w:val="00223CF5"/>
    <w:rsid w:val="002243B9"/>
    <w:rsid w:val="00224EDD"/>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C7B"/>
    <w:rsid w:val="00245E02"/>
    <w:rsid w:val="00246294"/>
    <w:rsid w:val="00246C73"/>
    <w:rsid w:val="00246DD9"/>
    <w:rsid w:val="00247C4E"/>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4CE1"/>
    <w:rsid w:val="002665DA"/>
    <w:rsid w:val="00267ABA"/>
    <w:rsid w:val="00267DC4"/>
    <w:rsid w:val="00270221"/>
    <w:rsid w:val="002712F0"/>
    <w:rsid w:val="00271DDE"/>
    <w:rsid w:val="002721E8"/>
    <w:rsid w:val="0027240C"/>
    <w:rsid w:val="00272570"/>
    <w:rsid w:val="00273689"/>
    <w:rsid w:val="00273E2C"/>
    <w:rsid w:val="002748E3"/>
    <w:rsid w:val="00275207"/>
    <w:rsid w:val="002757AF"/>
    <w:rsid w:val="00275D7E"/>
    <w:rsid w:val="00275ED2"/>
    <w:rsid w:val="00280C09"/>
    <w:rsid w:val="002811E0"/>
    <w:rsid w:val="00281D1A"/>
    <w:rsid w:val="00281DE7"/>
    <w:rsid w:val="00281EE8"/>
    <w:rsid w:val="00283514"/>
    <w:rsid w:val="002838B7"/>
    <w:rsid w:val="00283A02"/>
    <w:rsid w:val="00284A6C"/>
    <w:rsid w:val="00285E1D"/>
    <w:rsid w:val="002860ED"/>
    <w:rsid w:val="002861E9"/>
    <w:rsid w:val="00286567"/>
    <w:rsid w:val="0028762D"/>
    <w:rsid w:val="002909EE"/>
    <w:rsid w:val="00290ADF"/>
    <w:rsid w:val="00290B8A"/>
    <w:rsid w:val="002917F7"/>
    <w:rsid w:val="0029358B"/>
    <w:rsid w:val="0029489C"/>
    <w:rsid w:val="00296669"/>
    <w:rsid w:val="00296C51"/>
    <w:rsid w:val="00297F46"/>
    <w:rsid w:val="002A09A7"/>
    <w:rsid w:val="002A0AC5"/>
    <w:rsid w:val="002A0C4E"/>
    <w:rsid w:val="002A0DB0"/>
    <w:rsid w:val="002A0E95"/>
    <w:rsid w:val="002A131C"/>
    <w:rsid w:val="002A1F2C"/>
    <w:rsid w:val="002A32E2"/>
    <w:rsid w:val="002A51F3"/>
    <w:rsid w:val="002A55FE"/>
    <w:rsid w:val="002A6431"/>
    <w:rsid w:val="002A652D"/>
    <w:rsid w:val="002A6954"/>
    <w:rsid w:val="002B0098"/>
    <w:rsid w:val="002B083C"/>
    <w:rsid w:val="002B0EE7"/>
    <w:rsid w:val="002B1EC4"/>
    <w:rsid w:val="002B4855"/>
    <w:rsid w:val="002B5406"/>
    <w:rsid w:val="002B551B"/>
    <w:rsid w:val="002B6D3C"/>
    <w:rsid w:val="002B6E26"/>
    <w:rsid w:val="002C090F"/>
    <w:rsid w:val="002C1CC2"/>
    <w:rsid w:val="002C3499"/>
    <w:rsid w:val="002C3557"/>
    <w:rsid w:val="002C553E"/>
    <w:rsid w:val="002C6116"/>
    <w:rsid w:val="002C637C"/>
    <w:rsid w:val="002C6DA7"/>
    <w:rsid w:val="002C7B7F"/>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5A85"/>
    <w:rsid w:val="002E6470"/>
    <w:rsid w:val="002E6ADE"/>
    <w:rsid w:val="002E6B89"/>
    <w:rsid w:val="002E6E25"/>
    <w:rsid w:val="002E72B7"/>
    <w:rsid w:val="002F1308"/>
    <w:rsid w:val="002F3BC4"/>
    <w:rsid w:val="002F472F"/>
    <w:rsid w:val="002F610F"/>
    <w:rsid w:val="002F7249"/>
    <w:rsid w:val="003004D0"/>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B8C"/>
    <w:rsid w:val="00320C52"/>
    <w:rsid w:val="00321527"/>
    <w:rsid w:val="00322357"/>
    <w:rsid w:val="00323080"/>
    <w:rsid w:val="003239AA"/>
    <w:rsid w:val="0032421B"/>
    <w:rsid w:val="00324F33"/>
    <w:rsid w:val="003253D6"/>
    <w:rsid w:val="00325C25"/>
    <w:rsid w:val="00325EF3"/>
    <w:rsid w:val="00326688"/>
    <w:rsid w:val="00326BEA"/>
    <w:rsid w:val="003304D3"/>
    <w:rsid w:val="003306A6"/>
    <w:rsid w:val="003318E2"/>
    <w:rsid w:val="003322CC"/>
    <w:rsid w:val="003351BF"/>
    <w:rsid w:val="00336603"/>
    <w:rsid w:val="003369CE"/>
    <w:rsid w:val="00337B88"/>
    <w:rsid w:val="003404AB"/>
    <w:rsid w:val="0034283B"/>
    <w:rsid w:val="00343C1D"/>
    <w:rsid w:val="00343EA2"/>
    <w:rsid w:val="00344028"/>
    <w:rsid w:val="00344463"/>
    <w:rsid w:val="00345093"/>
    <w:rsid w:val="00345FA1"/>
    <w:rsid w:val="00346544"/>
    <w:rsid w:val="003476E8"/>
    <w:rsid w:val="00350BCF"/>
    <w:rsid w:val="0035128D"/>
    <w:rsid w:val="00351630"/>
    <w:rsid w:val="00353AFF"/>
    <w:rsid w:val="003542F4"/>
    <w:rsid w:val="00354C20"/>
    <w:rsid w:val="003550E5"/>
    <w:rsid w:val="00355A67"/>
    <w:rsid w:val="00356DE9"/>
    <w:rsid w:val="0036043A"/>
    <w:rsid w:val="00360C65"/>
    <w:rsid w:val="00363132"/>
    <w:rsid w:val="00363647"/>
    <w:rsid w:val="00363AB6"/>
    <w:rsid w:val="00364B94"/>
    <w:rsid w:val="00370758"/>
    <w:rsid w:val="003708F8"/>
    <w:rsid w:val="00370AAF"/>
    <w:rsid w:val="00370E2E"/>
    <w:rsid w:val="003723B6"/>
    <w:rsid w:val="00373118"/>
    <w:rsid w:val="00374143"/>
    <w:rsid w:val="00376D12"/>
    <w:rsid w:val="003771BE"/>
    <w:rsid w:val="00382FB1"/>
    <w:rsid w:val="003842A6"/>
    <w:rsid w:val="003868C5"/>
    <w:rsid w:val="00386D28"/>
    <w:rsid w:val="00391A23"/>
    <w:rsid w:val="00391BB6"/>
    <w:rsid w:val="00391D57"/>
    <w:rsid w:val="00393366"/>
    <w:rsid w:val="003935E8"/>
    <w:rsid w:val="003937C3"/>
    <w:rsid w:val="003958E4"/>
    <w:rsid w:val="00397224"/>
    <w:rsid w:val="003975B3"/>
    <w:rsid w:val="00397B8B"/>
    <w:rsid w:val="00397DA3"/>
    <w:rsid w:val="003A1025"/>
    <w:rsid w:val="003A117A"/>
    <w:rsid w:val="003A1E42"/>
    <w:rsid w:val="003A2F0F"/>
    <w:rsid w:val="003A32F7"/>
    <w:rsid w:val="003A3D06"/>
    <w:rsid w:val="003A4E13"/>
    <w:rsid w:val="003A6B37"/>
    <w:rsid w:val="003A6F4E"/>
    <w:rsid w:val="003B0C03"/>
    <w:rsid w:val="003B12CB"/>
    <w:rsid w:val="003B2582"/>
    <w:rsid w:val="003B25C1"/>
    <w:rsid w:val="003B3B48"/>
    <w:rsid w:val="003B4BF4"/>
    <w:rsid w:val="003B733C"/>
    <w:rsid w:val="003B7B39"/>
    <w:rsid w:val="003C25A8"/>
    <w:rsid w:val="003C2863"/>
    <w:rsid w:val="003C3A5C"/>
    <w:rsid w:val="003C6169"/>
    <w:rsid w:val="003C63EF"/>
    <w:rsid w:val="003C65ED"/>
    <w:rsid w:val="003C7286"/>
    <w:rsid w:val="003D0C82"/>
    <w:rsid w:val="003D0FFC"/>
    <w:rsid w:val="003D171D"/>
    <w:rsid w:val="003D219E"/>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4C28"/>
    <w:rsid w:val="003E4D59"/>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79A"/>
    <w:rsid w:val="00412D75"/>
    <w:rsid w:val="00412E90"/>
    <w:rsid w:val="0041335E"/>
    <w:rsid w:val="00413B1F"/>
    <w:rsid w:val="00413B73"/>
    <w:rsid w:val="004146B1"/>
    <w:rsid w:val="0042057E"/>
    <w:rsid w:val="00420ECE"/>
    <w:rsid w:val="00421951"/>
    <w:rsid w:val="0042260F"/>
    <w:rsid w:val="004229F6"/>
    <w:rsid w:val="004230F5"/>
    <w:rsid w:val="00423787"/>
    <w:rsid w:val="004237F7"/>
    <w:rsid w:val="0042483F"/>
    <w:rsid w:val="00427DD0"/>
    <w:rsid w:val="00427F58"/>
    <w:rsid w:val="00430092"/>
    <w:rsid w:val="00430737"/>
    <w:rsid w:val="004334D3"/>
    <w:rsid w:val="004347B2"/>
    <w:rsid w:val="00434D28"/>
    <w:rsid w:val="00436973"/>
    <w:rsid w:val="00440445"/>
    <w:rsid w:val="00440706"/>
    <w:rsid w:val="00440A4B"/>
    <w:rsid w:val="00440E1F"/>
    <w:rsid w:val="00441B05"/>
    <w:rsid w:val="00442C45"/>
    <w:rsid w:val="00442E32"/>
    <w:rsid w:val="004439F8"/>
    <w:rsid w:val="00443A12"/>
    <w:rsid w:val="00443F45"/>
    <w:rsid w:val="00444738"/>
    <w:rsid w:val="004448DD"/>
    <w:rsid w:val="00444F5D"/>
    <w:rsid w:val="004456F4"/>
    <w:rsid w:val="00447CF7"/>
    <w:rsid w:val="00451083"/>
    <w:rsid w:val="004515D5"/>
    <w:rsid w:val="004524EB"/>
    <w:rsid w:val="00452845"/>
    <w:rsid w:val="00455CD5"/>
    <w:rsid w:val="004560AF"/>
    <w:rsid w:val="00456D48"/>
    <w:rsid w:val="0045737F"/>
    <w:rsid w:val="00457A06"/>
    <w:rsid w:val="0046198A"/>
    <w:rsid w:val="00461DE8"/>
    <w:rsid w:val="00461FA7"/>
    <w:rsid w:val="00462A69"/>
    <w:rsid w:val="0046335F"/>
    <w:rsid w:val="00463742"/>
    <w:rsid w:val="00463C62"/>
    <w:rsid w:val="00465BF8"/>
    <w:rsid w:val="0046685E"/>
    <w:rsid w:val="00470A49"/>
    <w:rsid w:val="004712BA"/>
    <w:rsid w:val="004715A1"/>
    <w:rsid w:val="004716D6"/>
    <w:rsid w:val="00471F33"/>
    <w:rsid w:val="00475973"/>
    <w:rsid w:val="00475995"/>
    <w:rsid w:val="00475F9F"/>
    <w:rsid w:val="004765E8"/>
    <w:rsid w:val="004769A6"/>
    <w:rsid w:val="00477DFA"/>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01"/>
    <w:rsid w:val="00497E37"/>
    <w:rsid w:val="004A0704"/>
    <w:rsid w:val="004A1EB3"/>
    <w:rsid w:val="004A2DBA"/>
    <w:rsid w:val="004A69DD"/>
    <w:rsid w:val="004A7130"/>
    <w:rsid w:val="004A771F"/>
    <w:rsid w:val="004B05BD"/>
    <w:rsid w:val="004B0AB8"/>
    <w:rsid w:val="004B0AD7"/>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462A"/>
    <w:rsid w:val="004C50BB"/>
    <w:rsid w:val="004C59C6"/>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9EC"/>
    <w:rsid w:val="004D4FC2"/>
    <w:rsid w:val="004D6981"/>
    <w:rsid w:val="004D6A6D"/>
    <w:rsid w:val="004D72E2"/>
    <w:rsid w:val="004D7574"/>
    <w:rsid w:val="004D7586"/>
    <w:rsid w:val="004E00D8"/>
    <w:rsid w:val="004E174E"/>
    <w:rsid w:val="004E247B"/>
    <w:rsid w:val="004E4B07"/>
    <w:rsid w:val="004E596F"/>
    <w:rsid w:val="004E694A"/>
    <w:rsid w:val="004E6EB8"/>
    <w:rsid w:val="004E6EF8"/>
    <w:rsid w:val="004E6FB2"/>
    <w:rsid w:val="004E729B"/>
    <w:rsid w:val="004E7E03"/>
    <w:rsid w:val="004E7E50"/>
    <w:rsid w:val="004F2EA4"/>
    <w:rsid w:val="004F30AB"/>
    <w:rsid w:val="004F3361"/>
    <w:rsid w:val="004F41D3"/>
    <w:rsid w:val="004F6225"/>
    <w:rsid w:val="004F6B30"/>
    <w:rsid w:val="004F6EA1"/>
    <w:rsid w:val="004F78F0"/>
    <w:rsid w:val="005000AE"/>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C70"/>
    <w:rsid w:val="00513DE1"/>
    <w:rsid w:val="00515942"/>
    <w:rsid w:val="00515D16"/>
    <w:rsid w:val="00516ADD"/>
    <w:rsid w:val="00516E57"/>
    <w:rsid w:val="0052250A"/>
    <w:rsid w:val="00524E9A"/>
    <w:rsid w:val="005268FF"/>
    <w:rsid w:val="00526C21"/>
    <w:rsid w:val="005275F2"/>
    <w:rsid w:val="00530075"/>
    <w:rsid w:val="00530138"/>
    <w:rsid w:val="005325CA"/>
    <w:rsid w:val="00533D02"/>
    <w:rsid w:val="00536353"/>
    <w:rsid w:val="005363F6"/>
    <w:rsid w:val="00536884"/>
    <w:rsid w:val="005368A9"/>
    <w:rsid w:val="0054139B"/>
    <w:rsid w:val="00542460"/>
    <w:rsid w:val="005424AB"/>
    <w:rsid w:val="00543D79"/>
    <w:rsid w:val="00545148"/>
    <w:rsid w:val="00545522"/>
    <w:rsid w:val="00545C36"/>
    <w:rsid w:val="005462E5"/>
    <w:rsid w:val="00546381"/>
    <w:rsid w:val="00546FC2"/>
    <w:rsid w:val="0054765E"/>
    <w:rsid w:val="00547A9F"/>
    <w:rsid w:val="00550184"/>
    <w:rsid w:val="005501DE"/>
    <w:rsid w:val="005504FE"/>
    <w:rsid w:val="005513E6"/>
    <w:rsid w:val="0055167D"/>
    <w:rsid w:val="005528CF"/>
    <w:rsid w:val="0055314B"/>
    <w:rsid w:val="0055389F"/>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5C90"/>
    <w:rsid w:val="00576204"/>
    <w:rsid w:val="005766D5"/>
    <w:rsid w:val="00577581"/>
    <w:rsid w:val="00577590"/>
    <w:rsid w:val="00580D9A"/>
    <w:rsid w:val="00581FCE"/>
    <w:rsid w:val="005833A4"/>
    <w:rsid w:val="00583E15"/>
    <w:rsid w:val="00584208"/>
    <w:rsid w:val="005907B1"/>
    <w:rsid w:val="00592EFE"/>
    <w:rsid w:val="00593794"/>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62E"/>
    <w:rsid w:val="005A7794"/>
    <w:rsid w:val="005A7B66"/>
    <w:rsid w:val="005B0D41"/>
    <w:rsid w:val="005B1EB6"/>
    <w:rsid w:val="005B2493"/>
    <w:rsid w:val="005B2F71"/>
    <w:rsid w:val="005B3B70"/>
    <w:rsid w:val="005B5D05"/>
    <w:rsid w:val="005B7895"/>
    <w:rsid w:val="005B7EB5"/>
    <w:rsid w:val="005C2B60"/>
    <w:rsid w:val="005C4C0A"/>
    <w:rsid w:val="005C5D22"/>
    <w:rsid w:val="005C5E05"/>
    <w:rsid w:val="005C79A2"/>
    <w:rsid w:val="005D0095"/>
    <w:rsid w:val="005D0258"/>
    <w:rsid w:val="005D1C1A"/>
    <w:rsid w:val="005D21E1"/>
    <w:rsid w:val="005D4867"/>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171"/>
    <w:rsid w:val="005F6C58"/>
    <w:rsid w:val="005F7603"/>
    <w:rsid w:val="006011A4"/>
    <w:rsid w:val="00601A45"/>
    <w:rsid w:val="00602577"/>
    <w:rsid w:val="006025BC"/>
    <w:rsid w:val="00602F66"/>
    <w:rsid w:val="00603176"/>
    <w:rsid w:val="0060468C"/>
    <w:rsid w:val="006051ED"/>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2507"/>
    <w:rsid w:val="00623B14"/>
    <w:rsid w:val="00623B71"/>
    <w:rsid w:val="006252B7"/>
    <w:rsid w:val="0062657B"/>
    <w:rsid w:val="00626B0F"/>
    <w:rsid w:val="0063001E"/>
    <w:rsid w:val="00630444"/>
    <w:rsid w:val="00630D8D"/>
    <w:rsid w:val="006325C0"/>
    <w:rsid w:val="00632C77"/>
    <w:rsid w:val="00633331"/>
    <w:rsid w:val="0063492C"/>
    <w:rsid w:val="00634C89"/>
    <w:rsid w:val="0063544D"/>
    <w:rsid w:val="00635E6D"/>
    <w:rsid w:val="0063641B"/>
    <w:rsid w:val="00637A01"/>
    <w:rsid w:val="00637BD8"/>
    <w:rsid w:val="00640AB4"/>
    <w:rsid w:val="006411BF"/>
    <w:rsid w:val="0064182F"/>
    <w:rsid w:val="00642F99"/>
    <w:rsid w:val="00644384"/>
    <w:rsid w:val="00645138"/>
    <w:rsid w:val="006472B4"/>
    <w:rsid w:val="006473FA"/>
    <w:rsid w:val="00647FD6"/>
    <w:rsid w:val="00652425"/>
    <w:rsid w:val="00652BC9"/>
    <w:rsid w:val="00652D15"/>
    <w:rsid w:val="0065313F"/>
    <w:rsid w:val="00653407"/>
    <w:rsid w:val="00653C82"/>
    <w:rsid w:val="006541D2"/>
    <w:rsid w:val="006545F4"/>
    <w:rsid w:val="00654CC2"/>
    <w:rsid w:val="006565A1"/>
    <w:rsid w:val="00656B0C"/>
    <w:rsid w:val="00656B3A"/>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1125"/>
    <w:rsid w:val="006836C5"/>
    <w:rsid w:val="00683D27"/>
    <w:rsid w:val="006847DE"/>
    <w:rsid w:val="006848DF"/>
    <w:rsid w:val="00684B1A"/>
    <w:rsid w:val="00686344"/>
    <w:rsid w:val="00690120"/>
    <w:rsid w:val="0069137B"/>
    <w:rsid w:val="006923F1"/>
    <w:rsid w:val="0069296C"/>
    <w:rsid w:val="00692A8A"/>
    <w:rsid w:val="00694548"/>
    <w:rsid w:val="006945BE"/>
    <w:rsid w:val="00696206"/>
    <w:rsid w:val="00696BF8"/>
    <w:rsid w:val="006970A0"/>
    <w:rsid w:val="0069772D"/>
    <w:rsid w:val="006A0EA1"/>
    <w:rsid w:val="006A18B7"/>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A51"/>
    <w:rsid w:val="006C6F09"/>
    <w:rsid w:val="006C7A9C"/>
    <w:rsid w:val="006C7B08"/>
    <w:rsid w:val="006D3517"/>
    <w:rsid w:val="006D4BFF"/>
    <w:rsid w:val="006D5AA1"/>
    <w:rsid w:val="006D750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6F73EE"/>
    <w:rsid w:val="00700195"/>
    <w:rsid w:val="007001D4"/>
    <w:rsid w:val="0070033A"/>
    <w:rsid w:val="00700C6A"/>
    <w:rsid w:val="00700D2C"/>
    <w:rsid w:val="00700F47"/>
    <w:rsid w:val="007010E7"/>
    <w:rsid w:val="00703CA9"/>
    <w:rsid w:val="00703EF0"/>
    <w:rsid w:val="00706AA5"/>
    <w:rsid w:val="00707EA8"/>
    <w:rsid w:val="00712665"/>
    <w:rsid w:val="00712BE5"/>
    <w:rsid w:val="00714877"/>
    <w:rsid w:val="00715CC5"/>
    <w:rsid w:val="00715E0A"/>
    <w:rsid w:val="007161BA"/>
    <w:rsid w:val="007169AB"/>
    <w:rsid w:val="007173D2"/>
    <w:rsid w:val="00717492"/>
    <w:rsid w:val="00720381"/>
    <w:rsid w:val="007208A3"/>
    <w:rsid w:val="00721EC1"/>
    <w:rsid w:val="00723DEC"/>
    <w:rsid w:val="00725416"/>
    <w:rsid w:val="007269A5"/>
    <w:rsid w:val="007269D9"/>
    <w:rsid w:val="00727A59"/>
    <w:rsid w:val="00730922"/>
    <w:rsid w:val="00730E80"/>
    <w:rsid w:val="00731702"/>
    <w:rsid w:val="00733F53"/>
    <w:rsid w:val="00734998"/>
    <w:rsid w:val="0073661E"/>
    <w:rsid w:val="00737ECE"/>
    <w:rsid w:val="007400C8"/>
    <w:rsid w:val="007409A7"/>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3C8"/>
    <w:rsid w:val="0077363F"/>
    <w:rsid w:val="0077425E"/>
    <w:rsid w:val="00775123"/>
    <w:rsid w:val="00775760"/>
    <w:rsid w:val="0077654E"/>
    <w:rsid w:val="00776A4B"/>
    <w:rsid w:val="00777A7B"/>
    <w:rsid w:val="00780EBB"/>
    <w:rsid w:val="00781401"/>
    <w:rsid w:val="00781748"/>
    <w:rsid w:val="007828CB"/>
    <w:rsid w:val="0078719B"/>
    <w:rsid w:val="00787D12"/>
    <w:rsid w:val="007904E8"/>
    <w:rsid w:val="00790B53"/>
    <w:rsid w:val="007917EA"/>
    <w:rsid w:val="007934B4"/>
    <w:rsid w:val="00793ABA"/>
    <w:rsid w:val="00797528"/>
    <w:rsid w:val="007975F9"/>
    <w:rsid w:val="00797E32"/>
    <w:rsid w:val="00797EAE"/>
    <w:rsid w:val="007A0FCC"/>
    <w:rsid w:val="007A11BD"/>
    <w:rsid w:val="007A1A76"/>
    <w:rsid w:val="007A1C89"/>
    <w:rsid w:val="007A1DCD"/>
    <w:rsid w:val="007A1F25"/>
    <w:rsid w:val="007A271C"/>
    <w:rsid w:val="007A2A1A"/>
    <w:rsid w:val="007A2BBD"/>
    <w:rsid w:val="007A3020"/>
    <w:rsid w:val="007A4A9B"/>
    <w:rsid w:val="007A5ABD"/>
    <w:rsid w:val="007A60CD"/>
    <w:rsid w:val="007A6D0A"/>
    <w:rsid w:val="007A6E47"/>
    <w:rsid w:val="007A7D15"/>
    <w:rsid w:val="007B17CC"/>
    <w:rsid w:val="007B38C4"/>
    <w:rsid w:val="007B595B"/>
    <w:rsid w:val="007B760C"/>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294"/>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631"/>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40F0"/>
    <w:rsid w:val="00804962"/>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0D3"/>
    <w:rsid w:val="00831958"/>
    <w:rsid w:val="0083285A"/>
    <w:rsid w:val="00833523"/>
    <w:rsid w:val="00833B9E"/>
    <w:rsid w:val="008359E9"/>
    <w:rsid w:val="00836B9B"/>
    <w:rsid w:val="008372CB"/>
    <w:rsid w:val="00840220"/>
    <w:rsid w:val="00841A7F"/>
    <w:rsid w:val="00842033"/>
    <w:rsid w:val="008430F5"/>
    <w:rsid w:val="0084317A"/>
    <w:rsid w:val="00844B9C"/>
    <w:rsid w:val="00844DEB"/>
    <w:rsid w:val="00845416"/>
    <w:rsid w:val="00846E70"/>
    <w:rsid w:val="008505BB"/>
    <w:rsid w:val="00850DBA"/>
    <w:rsid w:val="00850FB0"/>
    <w:rsid w:val="0085267A"/>
    <w:rsid w:val="00852CC6"/>
    <w:rsid w:val="00854E43"/>
    <w:rsid w:val="00855D22"/>
    <w:rsid w:val="00860FE5"/>
    <w:rsid w:val="0086106F"/>
    <w:rsid w:val="0086135E"/>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83"/>
    <w:rsid w:val="00884F97"/>
    <w:rsid w:val="008872B6"/>
    <w:rsid w:val="0089037B"/>
    <w:rsid w:val="00890981"/>
    <w:rsid w:val="00891A69"/>
    <w:rsid w:val="00891AE7"/>
    <w:rsid w:val="00891FD2"/>
    <w:rsid w:val="008934C7"/>
    <w:rsid w:val="008939A4"/>
    <w:rsid w:val="0089442B"/>
    <w:rsid w:val="0089515A"/>
    <w:rsid w:val="008954A9"/>
    <w:rsid w:val="008959F2"/>
    <w:rsid w:val="00896B78"/>
    <w:rsid w:val="00897485"/>
    <w:rsid w:val="008A11A5"/>
    <w:rsid w:val="008A1737"/>
    <w:rsid w:val="008A1BBB"/>
    <w:rsid w:val="008A2F05"/>
    <w:rsid w:val="008A2F81"/>
    <w:rsid w:val="008A5686"/>
    <w:rsid w:val="008A66E4"/>
    <w:rsid w:val="008B0045"/>
    <w:rsid w:val="008B183D"/>
    <w:rsid w:val="008B1DBF"/>
    <w:rsid w:val="008B261B"/>
    <w:rsid w:val="008B28FA"/>
    <w:rsid w:val="008B6172"/>
    <w:rsid w:val="008B71B8"/>
    <w:rsid w:val="008B778B"/>
    <w:rsid w:val="008B7CAD"/>
    <w:rsid w:val="008B7D5B"/>
    <w:rsid w:val="008C2359"/>
    <w:rsid w:val="008C2EC8"/>
    <w:rsid w:val="008C3F98"/>
    <w:rsid w:val="008C4027"/>
    <w:rsid w:val="008C4849"/>
    <w:rsid w:val="008C5739"/>
    <w:rsid w:val="008C70D3"/>
    <w:rsid w:val="008D088F"/>
    <w:rsid w:val="008D1899"/>
    <w:rsid w:val="008D1D14"/>
    <w:rsid w:val="008D204F"/>
    <w:rsid w:val="008D3F56"/>
    <w:rsid w:val="008D4BE1"/>
    <w:rsid w:val="008D669D"/>
    <w:rsid w:val="008D6EE4"/>
    <w:rsid w:val="008D7419"/>
    <w:rsid w:val="008E019B"/>
    <w:rsid w:val="008E0ED3"/>
    <w:rsid w:val="008E0F89"/>
    <w:rsid w:val="008E10AC"/>
    <w:rsid w:val="008E3C2C"/>
    <w:rsid w:val="008E3F85"/>
    <w:rsid w:val="008E666A"/>
    <w:rsid w:val="008E689C"/>
    <w:rsid w:val="008E6C32"/>
    <w:rsid w:val="008E6E82"/>
    <w:rsid w:val="008E70FA"/>
    <w:rsid w:val="008E732B"/>
    <w:rsid w:val="008E79C9"/>
    <w:rsid w:val="008F0056"/>
    <w:rsid w:val="008F0EAC"/>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3FBC"/>
    <w:rsid w:val="00904744"/>
    <w:rsid w:val="00904D12"/>
    <w:rsid w:val="009064D5"/>
    <w:rsid w:val="00906C4B"/>
    <w:rsid w:val="0090731C"/>
    <w:rsid w:val="00907B8D"/>
    <w:rsid w:val="00911606"/>
    <w:rsid w:val="009117C3"/>
    <w:rsid w:val="00911B5F"/>
    <w:rsid w:val="009137D6"/>
    <w:rsid w:val="009139C5"/>
    <w:rsid w:val="00914543"/>
    <w:rsid w:val="00914E50"/>
    <w:rsid w:val="009167DA"/>
    <w:rsid w:val="00916BA2"/>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3D5"/>
    <w:rsid w:val="009357D7"/>
    <w:rsid w:val="00935954"/>
    <w:rsid w:val="009365B0"/>
    <w:rsid w:val="00940B48"/>
    <w:rsid w:val="00941C9E"/>
    <w:rsid w:val="009430D9"/>
    <w:rsid w:val="0094543B"/>
    <w:rsid w:val="009460E9"/>
    <w:rsid w:val="0095021D"/>
    <w:rsid w:val="00950518"/>
    <w:rsid w:val="00950C3D"/>
    <w:rsid w:val="00953675"/>
    <w:rsid w:val="0095589A"/>
    <w:rsid w:val="00955C65"/>
    <w:rsid w:val="00955CD8"/>
    <w:rsid w:val="009618FB"/>
    <w:rsid w:val="00962D22"/>
    <w:rsid w:val="00962E94"/>
    <w:rsid w:val="009643DE"/>
    <w:rsid w:val="00965018"/>
    <w:rsid w:val="00965D8B"/>
    <w:rsid w:val="00965F6E"/>
    <w:rsid w:val="0097062A"/>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4F4B"/>
    <w:rsid w:val="0099569C"/>
    <w:rsid w:val="00996E30"/>
    <w:rsid w:val="00996EC6"/>
    <w:rsid w:val="00997597"/>
    <w:rsid w:val="009A0542"/>
    <w:rsid w:val="009A0854"/>
    <w:rsid w:val="009A1399"/>
    <w:rsid w:val="009A19A8"/>
    <w:rsid w:val="009A1C06"/>
    <w:rsid w:val="009A1EFA"/>
    <w:rsid w:val="009A354B"/>
    <w:rsid w:val="009A47EC"/>
    <w:rsid w:val="009A4E31"/>
    <w:rsid w:val="009A5010"/>
    <w:rsid w:val="009A569D"/>
    <w:rsid w:val="009A64C8"/>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CA1"/>
    <w:rsid w:val="009C2FF6"/>
    <w:rsid w:val="009C32CE"/>
    <w:rsid w:val="009C42D4"/>
    <w:rsid w:val="009C4FF4"/>
    <w:rsid w:val="009D33C1"/>
    <w:rsid w:val="009D34EC"/>
    <w:rsid w:val="009D3BF4"/>
    <w:rsid w:val="009D4702"/>
    <w:rsid w:val="009D4EE3"/>
    <w:rsid w:val="009D72EC"/>
    <w:rsid w:val="009D744D"/>
    <w:rsid w:val="009E2267"/>
    <w:rsid w:val="009E4004"/>
    <w:rsid w:val="009E44B1"/>
    <w:rsid w:val="009E4897"/>
    <w:rsid w:val="009E59FD"/>
    <w:rsid w:val="009F0581"/>
    <w:rsid w:val="009F24E1"/>
    <w:rsid w:val="009F4B44"/>
    <w:rsid w:val="009F5892"/>
    <w:rsid w:val="009F6C21"/>
    <w:rsid w:val="009F7C2B"/>
    <w:rsid w:val="00A0055D"/>
    <w:rsid w:val="00A00BE0"/>
    <w:rsid w:val="00A01536"/>
    <w:rsid w:val="00A0206A"/>
    <w:rsid w:val="00A02145"/>
    <w:rsid w:val="00A0353E"/>
    <w:rsid w:val="00A043FC"/>
    <w:rsid w:val="00A05385"/>
    <w:rsid w:val="00A05A8E"/>
    <w:rsid w:val="00A05D95"/>
    <w:rsid w:val="00A062EF"/>
    <w:rsid w:val="00A073A7"/>
    <w:rsid w:val="00A11349"/>
    <w:rsid w:val="00A1193F"/>
    <w:rsid w:val="00A1535E"/>
    <w:rsid w:val="00A1591D"/>
    <w:rsid w:val="00A16880"/>
    <w:rsid w:val="00A170CB"/>
    <w:rsid w:val="00A1717D"/>
    <w:rsid w:val="00A1753F"/>
    <w:rsid w:val="00A177D3"/>
    <w:rsid w:val="00A17CBC"/>
    <w:rsid w:val="00A2081C"/>
    <w:rsid w:val="00A21615"/>
    <w:rsid w:val="00A217A0"/>
    <w:rsid w:val="00A238F6"/>
    <w:rsid w:val="00A24BB8"/>
    <w:rsid w:val="00A26205"/>
    <w:rsid w:val="00A27274"/>
    <w:rsid w:val="00A30F7A"/>
    <w:rsid w:val="00A319BC"/>
    <w:rsid w:val="00A325E8"/>
    <w:rsid w:val="00A32F18"/>
    <w:rsid w:val="00A34014"/>
    <w:rsid w:val="00A34C8B"/>
    <w:rsid w:val="00A34F43"/>
    <w:rsid w:val="00A36554"/>
    <w:rsid w:val="00A37298"/>
    <w:rsid w:val="00A376DE"/>
    <w:rsid w:val="00A377FA"/>
    <w:rsid w:val="00A37D3E"/>
    <w:rsid w:val="00A407EB"/>
    <w:rsid w:val="00A40E39"/>
    <w:rsid w:val="00A41627"/>
    <w:rsid w:val="00A41BCE"/>
    <w:rsid w:val="00A424AE"/>
    <w:rsid w:val="00A424EB"/>
    <w:rsid w:val="00A426C8"/>
    <w:rsid w:val="00A460FE"/>
    <w:rsid w:val="00A46609"/>
    <w:rsid w:val="00A47022"/>
    <w:rsid w:val="00A47580"/>
    <w:rsid w:val="00A5138A"/>
    <w:rsid w:val="00A5247E"/>
    <w:rsid w:val="00A52A6E"/>
    <w:rsid w:val="00A52B19"/>
    <w:rsid w:val="00A5306C"/>
    <w:rsid w:val="00A541E7"/>
    <w:rsid w:val="00A541EF"/>
    <w:rsid w:val="00A54E07"/>
    <w:rsid w:val="00A557D6"/>
    <w:rsid w:val="00A562A9"/>
    <w:rsid w:val="00A570EB"/>
    <w:rsid w:val="00A57138"/>
    <w:rsid w:val="00A572EC"/>
    <w:rsid w:val="00A60543"/>
    <w:rsid w:val="00A66476"/>
    <w:rsid w:val="00A66E99"/>
    <w:rsid w:val="00A66FBD"/>
    <w:rsid w:val="00A67F0A"/>
    <w:rsid w:val="00A70235"/>
    <w:rsid w:val="00A70422"/>
    <w:rsid w:val="00A712CE"/>
    <w:rsid w:val="00A714AC"/>
    <w:rsid w:val="00A730B5"/>
    <w:rsid w:val="00A73EA8"/>
    <w:rsid w:val="00A7482F"/>
    <w:rsid w:val="00A749EE"/>
    <w:rsid w:val="00A75291"/>
    <w:rsid w:val="00A75C6C"/>
    <w:rsid w:val="00A76857"/>
    <w:rsid w:val="00A82283"/>
    <w:rsid w:val="00A823A2"/>
    <w:rsid w:val="00A82B9E"/>
    <w:rsid w:val="00A82D7A"/>
    <w:rsid w:val="00A83588"/>
    <w:rsid w:val="00A83B1F"/>
    <w:rsid w:val="00A84430"/>
    <w:rsid w:val="00A85EB8"/>
    <w:rsid w:val="00A8606A"/>
    <w:rsid w:val="00A8699B"/>
    <w:rsid w:val="00A86C00"/>
    <w:rsid w:val="00A8776F"/>
    <w:rsid w:val="00A879A3"/>
    <w:rsid w:val="00A87BAA"/>
    <w:rsid w:val="00A87E42"/>
    <w:rsid w:val="00A90859"/>
    <w:rsid w:val="00A90FCC"/>
    <w:rsid w:val="00A911AC"/>
    <w:rsid w:val="00A91E31"/>
    <w:rsid w:val="00A9212A"/>
    <w:rsid w:val="00A92F8D"/>
    <w:rsid w:val="00A94247"/>
    <w:rsid w:val="00A9541E"/>
    <w:rsid w:val="00A957B9"/>
    <w:rsid w:val="00A9672F"/>
    <w:rsid w:val="00A967A7"/>
    <w:rsid w:val="00A97708"/>
    <w:rsid w:val="00AA066A"/>
    <w:rsid w:val="00AA0FF2"/>
    <w:rsid w:val="00AA1467"/>
    <w:rsid w:val="00AA33D3"/>
    <w:rsid w:val="00AA44F8"/>
    <w:rsid w:val="00AA5410"/>
    <w:rsid w:val="00AA69BA"/>
    <w:rsid w:val="00AA6CA3"/>
    <w:rsid w:val="00AA7375"/>
    <w:rsid w:val="00AA73DA"/>
    <w:rsid w:val="00AA756C"/>
    <w:rsid w:val="00AB082A"/>
    <w:rsid w:val="00AB0A1B"/>
    <w:rsid w:val="00AB1845"/>
    <w:rsid w:val="00AB37EF"/>
    <w:rsid w:val="00AB39F7"/>
    <w:rsid w:val="00AB3E20"/>
    <w:rsid w:val="00AB47A9"/>
    <w:rsid w:val="00AB4E1F"/>
    <w:rsid w:val="00AB7A09"/>
    <w:rsid w:val="00AC16FB"/>
    <w:rsid w:val="00AC17C7"/>
    <w:rsid w:val="00AC18E1"/>
    <w:rsid w:val="00AC1B8D"/>
    <w:rsid w:val="00AC1DAE"/>
    <w:rsid w:val="00AC6489"/>
    <w:rsid w:val="00AC6C35"/>
    <w:rsid w:val="00AC6EB9"/>
    <w:rsid w:val="00AC6FDC"/>
    <w:rsid w:val="00AC730E"/>
    <w:rsid w:val="00AC75D2"/>
    <w:rsid w:val="00AD5944"/>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5927"/>
    <w:rsid w:val="00AF61C4"/>
    <w:rsid w:val="00AF694E"/>
    <w:rsid w:val="00AF717A"/>
    <w:rsid w:val="00B032E6"/>
    <w:rsid w:val="00B03920"/>
    <w:rsid w:val="00B05ED3"/>
    <w:rsid w:val="00B07456"/>
    <w:rsid w:val="00B07467"/>
    <w:rsid w:val="00B12207"/>
    <w:rsid w:val="00B1227E"/>
    <w:rsid w:val="00B12575"/>
    <w:rsid w:val="00B12A43"/>
    <w:rsid w:val="00B13DA2"/>
    <w:rsid w:val="00B13F13"/>
    <w:rsid w:val="00B141A5"/>
    <w:rsid w:val="00B14908"/>
    <w:rsid w:val="00B15871"/>
    <w:rsid w:val="00B1601E"/>
    <w:rsid w:val="00B17105"/>
    <w:rsid w:val="00B17FF5"/>
    <w:rsid w:val="00B208AD"/>
    <w:rsid w:val="00B2101A"/>
    <w:rsid w:val="00B21221"/>
    <w:rsid w:val="00B226E4"/>
    <w:rsid w:val="00B233F9"/>
    <w:rsid w:val="00B24B39"/>
    <w:rsid w:val="00B25C7C"/>
    <w:rsid w:val="00B30319"/>
    <w:rsid w:val="00B309B0"/>
    <w:rsid w:val="00B31B3A"/>
    <w:rsid w:val="00B32451"/>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59EE"/>
    <w:rsid w:val="00B55A5C"/>
    <w:rsid w:val="00B56B0D"/>
    <w:rsid w:val="00B56C79"/>
    <w:rsid w:val="00B577C8"/>
    <w:rsid w:val="00B60F87"/>
    <w:rsid w:val="00B60F8D"/>
    <w:rsid w:val="00B61FEC"/>
    <w:rsid w:val="00B621F0"/>
    <w:rsid w:val="00B62B31"/>
    <w:rsid w:val="00B63C77"/>
    <w:rsid w:val="00B64C58"/>
    <w:rsid w:val="00B64C6D"/>
    <w:rsid w:val="00B65B9C"/>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50D1"/>
    <w:rsid w:val="00B96031"/>
    <w:rsid w:val="00BA072B"/>
    <w:rsid w:val="00BA4D94"/>
    <w:rsid w:val="00BA4EBA"/>
    <w:rsid w:val="00BA66C5"/>
    <w:rsid w:val="00BA6805"/>
    <w:rsid w:val="00BB0474"/>
    <w:rsid w:val="00BB19C4"/>
    <w:rsid w:val="00BB3656"/>
    <w:rsid w:val="00BB41F1"/>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0C1F"/>
    <w:rsid w:val="00BE11BB"/>
    <w:rsid w:val="00BE1C34"/>
    <w:rsid w:val="00BE24E5"/>
    <w:rsid w:val="00BE2922"/>
    <w:rsid w:val="00BE3E5E"/>
    <w:rsid w:val="00BE4B83"/>
    <w:rsid w:val="00BE4F15"/>
    <w:rsid w:val="00BE56C1"/>
    <w:rsid w:val="00BE5744"/>
    <w:rsid w:val="00BE57EC"/>
    <w:rsid w:val="00BE6902"/>
    <w:rsid w:val="00BE7265"/>
    <w:rsid w:val="00BE799D"/>
    <w:rsid w:val="00BE7BA8"/>
    <w:rsid w:val="00BF0332"/>
    <w:rsid w:val="00BF0B08"/>
    <w:rsid w:val="00BF3987"/>
    <w:rsid w:val="00BF3CFE"/>
    <w:rsid w:val="00BF447A"/>
    <w:rsid w:val="00BF481C"/>
    <w:rsid w:val="00BF5564"/>
    <w:rsid w:val="00BF59C0"/>
    <w:rsid w:val="00BF5CEF"/>
    <w:rsid w:val="00BF6F52"/>
    <w:rsid w:val="00C012A1"/>
    <w:rsid w:val="00C01986"/>
    <w:rsid w:val="00C01A60"/>
    <w:rsid w:val="00C03B79"/>
    <w:rsid w:val="00C042A3"/>
    <w:rsid w:val="00C0451F"/>
    <w:rsid w:val="00C07438"/>
    <w:rsid w:val="00C079A6"/>
    <w:rsid w:val="00C101CE"/>
    <w:rsid w:val="00C10793"/>
    <w:rsid w:val="00C10F4D"/>
    <w:rsid w:val="00C110CA"/>
    <w:rsid w:val="00C11190"/>
    <w:rsid w:val="00C117A3"/>
    <w:rsid w:val="00C126CC"/>
    <w:rsid w:val="00C13597"/>
    <w:rsid w:val="00C145CE"/>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4EB6"/>
    <w:rsid w:val="00C35D29"/>
    <w:rsid w:val="00C37330"/>
    <w:rsid w:val="00C37A38"/>
    <w:rsid w:val="00C405F2"/>
    <w:rsid w:val="00C41F38"/>
    <w:rsid w:val="00C432BA"/>
    <w:rsid w:val="00C43D2F"/>
    <w:rsid w:val="00C441E2"/>
    <w:rsid w:val="00C44C60"/>
    <w:rsid w:val="00C451C8"/>
    <w:rsid w:val="00C45B28"/>
    <w:rsid w:val="00C45DAE"/>
    <w:rsid w:val="00C46F16"/>
    <w:rsid w:val="00C47C99"/>
    <w:rsid w:val="00C5200C"/>
    <w:rsid w:val="00C535C9"/>
    <w:rsid w:val="00C53830"/>
    <w:rsid w:val="00C540FC"/>
    <w:rsid w:val="00C54C00"/>
    <w:rsid w:val="00C55197"/>
    <w:rsid w:val="00C552B7"/>
    <w:rsid w:val="00C554C6"/>
    <w:rsid w:val="00C55736"/>
    <w:rsid w:val="00C55BC4"/>
    <w:rsid w:val="00C56592"/>
    <w:rsid w:val="00C571A3"/>
    <w:rsid w:val="00C574DD"/>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31F"/>
    <w:rsid w:val="00CA041E"/>
    <w:rsid w:val="00CA0716"/>
    <w:rsid w:val="00CA1669"/>
    <w:rsid w:val="00CA345C"/>
    <w:rsid w:val="00CA3879"/>
    <w:rsid w:val="00CA446A"/>
    <w:rsid w:val="00CA4C34"/>
    <w:rsid w:val="00CA5154"/>
    <w:rsid w:val="00CB099D"/>
    <w:rsid w:val="00CB12F8"/>
    <w:rsid w:val="00CB1BB3"/>
    <w:rsid w:val="00CB2F33"/>
    <w:rsid w:val="00CB34DD"/>
    <w:rsid w:val="00CB38BF"/>
    <w:rsid w:val="00CB38E1"/>
    <w:rsid w:val="00CB3A06"/>
    <w:rsid w:val="00CB3EB4"/>
    <w:rsid w:val="00CB4134"/>
    <w:rsid w:val="00CB4FD9"/>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810"/>
    <w:rsid w:val="00CD4E72"/>
    <w:rsid w:val="00CD6044"/>
    <w:rsid w:val="00CD6F5D"/>
    <w:rsid w:val="00CD7052"/>
    <w:rsid w:val="00CD7142"/>
    <w:rsid w:val="00CE0C5F"/>
    <w:rsid w:val="00CE13DD"/>
    <w:rsid w:val="00CE167A"/>
    <w:rsid w:val="00CE169E"/>
    <w:rsid w:val="00CE2F88"/>
    <w:rsid w:val="00CE3343"/>
    <w:rsid w:val="00CE3406"/>
    <w:rsid w:val="00CE36A6"/>
    <w:rsid w:val="00CE3E49"/>
    <w:rsid w:val="00CE4942"/>
    <w:rsid w:val="00CE567D"/>
    <w:rsid w:val="00CE5847"/>
    <w:rsid w:val="00CE65F4"/>
    <w:rsid w:val="00CE6C0A"/>
    <w:rsid w:val="00CE6CE2"/>
    <w:rsid w:val="00CE6CF3"/>
    <w:rsid w:val="00CE6D10"/>
    <w:rsid w:val="00CF06D0"/>
    <w:rsid w:val="00CF0936"/>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301E"/>
    <w:rsid w:val="00D34FA7"/>
    <w:rsid w:val="00D37375"/>
    <w:rsid w:val="00D379B5"/>
    <w:rsid w:val="00D37F5E"/>
    <w:rsid w:val="00D40378"/>
    <w:rsid w:val="00D41107"/>
    <w:rsid w:val="00D41363"/>
    <w:rsid w:val="00D430C8"/>
    <w:rsid w:val="00D462EA"/>
    <w:rsid w:val="00D46429"/>
    <w:rsid w:val="00D46690"/>
    <w:rsid w:val="00D46979"/>
    <w:rsid w:val="00D47BFD"/>
    <w:rsid w:val="00D50844"/>
    <w:rsid w:val="00D52AF3"/>
    <w:rsid w:val="00D54C67"/>
    <w:rsid w:val="00D55701"/>
    <w:rsid w:val="00D55E55"/>
    <w:rsid w:val="00D5638C"/>
    <w:rsid w:val="00D566A5"/>
    <w:rsid w:val="00D57D04"/>
    <w:rsid w:val="00D601AC"/>
    <w:rsid w:val="00D618BD"/>
    <w:rsid w:val="00D62E5C"/>
    <w:rsid w:val="00D62E77"/>
    <w:rsid w:val="00D62F84"/>
    <w:rsid w:val="00D64FF2"/>
    <w:rsid w:val="00D66207"/>
    <w:rsid w:val="00D7053E"/>
    <w:rsid w:val="00D70D88"/>
    <w:rsid w:val="00D7241A"/>
    <w:rsid w:val="00D73312"/>
    <w:rsid w:val="00D763BF"/>
    <w:rsid w:val="00D8059F"/>
    <w:rsid w:val="00D80D61"/>
    <w:rsid w:val="00D80EF2"/>
    <w:rsid w:val="00D824C4"/>
    <w:rsid w:val="00D8301A"/>
    <w:rsid w:val="00D83BD3"/>
    <w:rsid w:val="00D83CB1"/>
    <w:rsid w:val="00D8521F"/>
    <w:rsid w:val="00D85852"/>
    <w:rsid w:val="00D86275"/>
    <w:rsid w:val="00D87500"/>
    <w:rsid w:val="00D8765A"/>
    <w:rsid w:val="00D9069C"/>
    <w:rsid w:val="00D90A52"/>
    <w:rsid w:val="00D90C36"/>
    <w:rsid w:val="00D91B25"/>
    <w:rsid w:val="00D9435E"/>
    <w:rsid w:val="00D954AC"/>
    <w:rsid w:val="00D9651B"/>
    <w:rsid w:val="00DA0CEC"/>
    <w:rsid w:val="00DA15EE"/>
    <w:rsid w:val="00DA24DA"/>
    <w:rsid w:val="00DA2BF8"/>
    <w:rsid w:val="00DA2D71"/>
    <w:rsid w:val="00DA31F2"/>
    <w:rsid w:val="00DA402D"/>
    <w:rsid w:val="00DA5EE2"/>
    <w:rsid w:val="00DA5FF8"/>
    <w:rsid w:val="00DA64F8"/>
    <w:rsid w:val="00DB07B3"/>
    <w:rsid w:val="00DB10A2"/>
    <w:rsid w:val="00DB13C0"/>
    <w:rsid w:val="00DB2243"/>
    <w:rsid w:val="00DB2623"/>
    <w:rsid w:val="00DB2D86"/>
    <w:rsid w:val="00DB6A78"/>
    <w:rsid w:val="00DB6F04"/>
    <w:rsid w:val="00DB75D5"/>
    <w:rsid w:val="00DB79DD"/>
    <w:rsid w:val="00DB79E0"/>
    <w:rsid w:val="00DB7DEC"/>
    <w:rsid w:val="00DC13F1"/>
    <w:rsid w:val="00DC532D"/>
    <w:rsid w:val="00DC564A"/>
    <w:rsid w:val="00DC6036"/>
    <w:rsid w:val="00DC6E7D"/>
    <w:rsid w:val="00DC7751"/>
    <w:rsid w:val="00DD11B7"/>
    <w:rsid w:val="00DD1AC8"/>
    <w:rsid w:val="00DD2093"/>
    <w:rsid w:val="00DD279C"/>
    <w:rsid w:val="00DD2919"/>
    <w:rsid w:val="00DD3B1D"/>
    <w:rsid w:val="00DD44E7"/>
    <w:rsid w:val="00DD4F64"/>
    <w:rsid w:val="00DD5624"/>
    <w:rsid w:val="00DD67B6"/>
    <w:rsid w:val="00DD6A2C"/>
    <w:rsid w:val="00DD6BCA"/>
    <w:rsid w:val="00DD6D4D"/>
    <w:rsid w:val="00DD7E55"/>
    <w:rsid w:val="00DE0334"/>
    <w:rsid w:val="00DE0AA6"/>
    <w:rsid w:val="00DE0F87"/>
    <w:rsid w:val="00DE166D"/>
    <w:rsid w:val="00DE18F6"/>
    <w:rsid w:val="00DE36C8"/>
    <w:rsid w:val="00DE397E"/>
    <w:rsid w:val="00DE4FF3"/>
    <w:rsid w:val="00DE561B"/>
    <w:rsid w:val="00DE6F92"/>
    <w:rsid w:val="00DE71D4"/>
    <w:rsid w:val="00DE7CA1"/>
    <w:rsid w:val="00DF170F"/>
    <w:rsid w:val="00DF22E6"/>
    <w:rsid w:val="00DF636A"/>
    <w:rsid w:val="00DF67C1"/>
    <w:rsid w:val="00DF6BF9"/>
    <w:rsid w:val="00DF7737"/>
    <w:rsid w:val="00DF7FD3"/>
    <w:rsid w:val="00E00492"/>
    <w:rsid w:val="00E0098F"/>
    <w:rsid w:val="00E00CC9"/>
    <w:rsid w:val="00E012CA"/>
    <w:rsid w:val="00E0227A"/>
    <w:rsid w:val="00E02A89"/>
    <w:rsid w:val="00E032C6"/>
    <w:rsid w:val="00E052C3"/>
    <w:rsid w:val="00E07567"/>
    <w:rsid w:val="00E1014D"/>
    <w:rsid w:val="00E103A7"/>
    <w:rsid w:val="00E1162F"/>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5A2"/>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5BC"/>
    <w:rsid w:val="00E4366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34CC"/>
    <w:rsid w:val="00E63AF2"/>
    <w:rsid w:val="00E653EE"/>
    <w:rsid w:val="00E6549D"/>
    <w:rsid w:val="00E66326"/>
    <w:rsid w:val="00E6738D"/>
    <w:rsid w:val="00E6747B"/>
    <w:rsid w:val="00E71168"/>
    <w:rsid w:val="00E71F6C"/>
    <w:rsid w:val="00E720E2"/>
    <w:rsid w:val="00E72DC9"/>
    <w:rsid w:val="00E73099"/>
    <w:rsid w:val="00E76CF8"/>
    <w:rsid w:val="00E776A8"/>
    <w:rsid w:val="00E80A97"/>
    <w:rsid w:val="00E811CB"/>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3912"/>
    <w:rsid w:val="00EB5972"/>
    <w:rsid w:val="00EB5FEB"/>
    <w:rsid w:val="00EB71D1"/>
    <w:rsid w:val="00EC0B1B"/>
    <w:rsid w:val="00EC130C"/>
    <w:rsid w:val="00EC2217"/>
    <w:rsid w:val="00EC234A"/>
    <w:rsid w:val="00EC3B6F"/>
    <w:rsid w:val="00EC3EE6"/>
    <w:rsid w:val="00EC4E93"/>
    <w:rsid w:val="00EC5632"/>
    <w:rsid w:val="00EC6A5B"/>
    <w:rsid w:val="00ED0901"/>
    <w:rsid w:val="00ED113E"/>
    <w:rsid w:val="00ED12B4"/>
    <w:rsid w:val="00ED133D"/>
    <w:rsid w:val="00ED17D9"/>
    <w:rsid w:val="00ED1D72"/>
    <w:rsid w:val="00ED2193"/>
    <w:rsid w:val="00ED2D34"/>
    <w:rsid w:val="00ED5C67"/>
    <w:rsid w:val="00ED60AB"/>
    <w:rsid w:val="00ED7E40"/>
    <w:rsid w:val="00EE196B"/>
    <w:rsid w:val="00EE1C3B"/>
    <w:rsid w:val="00EE480F"/>
    <w:rsid w:val="00EE4ABA"/>
    <w:rsid w:val="00EE4EAE"/>
    <w:rsid w:val="00EE55CD"/>
    <w:rsid w:val="00EE6A34"/>
    <w:rsid w:val="00EE6AB2"/>
    <w:rsid w:val="00EE7862"/>
    <w:rsid w:val="00EE7BCC"/>
    <w:rsid w:val="00EF0D72"/>
    <w:rsid w:val="00EF0FEA"/>
    <w:rsid w:val="00EF4464"/>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4841"/>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13A6"/>
    <w:rsid w:val="00F41FEC"/>
    <w:rsid w:val="00F44CC1"/>
    <w:rsid w:val="00F458C6"/>
    <w:rsid w:val="00F4599E"/>
    <w:rsid w:val="00F468EB"/>
    <w:rsid w:val="00F50C89"/>
    <w:rsid w:val="00F53A2E"/>
    <w:rsid w:val="00F53E06"/>
    <w:rsid w:val="00F55CCA"/>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67E6C"/>
    <w:rsid w:val="00F70802"/>
    <w:rsid w:val="00F7153D"/>
    <w:rsid w:val="00F72179"/>
    <w:rsid w:val="00F73DAA"/>
    <w:rsid w:val="00F73F6D"/>
    <w:rsid w:val="00F74736"/>
    <w:rsid w:val="00F74BCC"/>
    <w:rsid w:val="00F75270"/>
    <w:rsid w:val="00F75F15"/>
    <w:rsid w:val="00F765FE"/>
    <w:rsid w:val="00F77890"/>
    <w:rsid w:val="00F80361"/>
    <w:rsid w:val="00F808BD"/>
    <w:rsid w:val="00F80BDF"/>
    <w:rsid w:val="00F8215C"/>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10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32D0"/>
    <w:rsid w:val="00FE4425"/>
    <w:rsid w:val="00FE791A"/>
    <w:rsid w:val="00FF04E8"/>
    <w:rsid w:val="00FF07F2"/>
    <w:rsid w:val="00FF172E"/>
    <w:rsid w:val="00FF195D"/>
    <w:rsid w:val="00FF1D13"/>
    <w:rsid w:val="00FF1FC3"/>
    <w:rsid w:val="00FF2EC3"/>
    <w:rsid w:val="00FF3712"/>
    <w:rsid w:val="00FF3907"/>
    <w:rsid w:val="00FF463C"/>
    <w:rsid w:val="00FF652D"/>
    <w:rsid w:val="00FF65E1"/>
    <w:rsid w:val="00FF6D51"/>
    <w:rsid w:val="00FF70CF"/>
    <w:rsid w:val="00FF7218"/>
    <w:rsid w:val="7317928E"/>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B26C023"/>
  <w15:chartTrackingRefBased/>
  <w15:docId w15:val="{9BF1E64F-C4CE-413F-B035-14246B3D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uiPriority w:val="1"/>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link w:val="NoSpacingChar"/>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table" w:customStyle="1" w:styleId="TableGrid30">
    <w:name w:val="Table Grid3"/>
    <w:basedOn w:val="TableNormal"/>
    <w:next w:val="TableGrid"/>
    <w:rsid w:val="002712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semiHidden/>
    <w:rsid w:val="002712F0"/>
    <w:pPr>
      <w:spacing w:after="0" w:line="240" w:lineRule="auto"/>
    </w:pPr>
    <w:rPr>
      <w:rFonts w:ascii="Calibri" w:hAnsi="Calibri" w:cs="Calibri"/>
    </w:rPr>
  </w:style>
  <w:style w:type="character" w:customStyle="1" w:styleId="NoSpacingChar">
    <w:name w:val="No Spacing Char"/>
    <w:basedOn w:val="DefaultParagraphFont"/>
    <w:link w:val="NoSpacing"/>
    <w:uiPriority w:val="1"/>
    <w:rsid w:val="00B12A43"/>
  </w:style>
  <w:style w:type="table" w:customStyle="1" w:styleId="BaseTable">
    <w:name w:val="Base Table"/>
    <w:basedOn w:val="TableNormal"/>
    <w:rsid w:val="00DD6D4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798C5D-0D16-435F-8857-73D3080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2</TotalTime>
  <Pages>12</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Kim McDonald</dc:creator>
  <cp:keywords>memo</cp:keywords>
  <cp:lastModifiedBy>Kim McDonald</cp:lastModifiedBy>
  <cp:revision>4</cp:revision>
  <cp:lastPrinted>2020-09-11T21:32:00Z</cp:lastPrinted>
  <dcterms:created xsi:type="dcterms:W3CDTF">2023-08-04T14:37:00Z</dcterms:created>
  <dcterms:modified xsi:type="dcterms:W3CDTF">2023-08-04T15:19:00Z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