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P="0012466B" w14:paraId="64280E56" w14:textId="6930FC04">
      <w:pPr>
        <w:tabs>
          <w:tab w:val="left" w:pos="0"/>
        </w:tabs>
        <w:suppressAutoHyphens/>
        <w:jc w:val="center"/>
        <w:rPr>
          <w:rFonts w:asciiTheme="minorHAnsi" w:hAnsiTheme="minorHAnsi" w:cstheme="minorHAnsi"/>
          <w:szCs w:val="24"/>
        </w:rPr>
      </w:pPr>
      <w:r w:rsidRPr="0012466B">
        <w:rPr>
          <w:rFonts w:asciiTheme="minorHAnsi" w:hAnsiTheme="minorHAnsi" w:cstheme="minorHAnsi"/>
          <w:szCs w:val="24"/>
        </w:rPr>
        <w:t xml:space="preserve">Approved State </w:t>
      </w:r>
      <w:r>
        <w:rPr>
          <w:rFonts w:asciiTheme="minorHAnsi" w:hAnsiTheme="minorHAnsi" w:cstheme="minorHAnsi"/>
          <w:szCs w:val="24"/>
        </w:rPr>
        <w:t>Ability to Benefit P</w:t>
      </w:r>
      <w:r w:rsidRPr="0012466B">
        <w:rPr>
          <w:rFonts w:asciiTheme="minorHAnsi" w:hAnsiTheme="minorHAnsi" w:cstheme="minorHAnsi"/>
          <w:szCs w:val="24"/>
        </w:rPr>
        <w:t>rocess</w:t>
      </w:r>
    </w:p>
    <w:p w:rsidR="0012466B" w:rsidRPr="0012466B" w:rsidP="0012466B" w14:paraId="30E3073B" w14:textId="77777777">
      <w:pPr>
        <w:tabs>
          <w:tab w:val="left" w:pos="0"/>
        </w:tabs>
        <w:suppressAutoHyphens/>
        <w:jc w:val="center"/>
        <w:rPr>
          <w:rFonts w:asciiTheme="minorHAnsi" w:hAnsiTheme="minorHAnsi" w:cstheme="minorHAnsi"/>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12466B" w:rsidP="0012466B" w14:paraId="0A12B888" w14:textId="444F1EC0">
      <w:pPr>
        <w:pStyle w:val="ListParagraph"/>
        <w:suppressAutoHyphens/>
        <w:contextualSpacing w:val="0"/>
        <w:rPr>
          <w:rFonts w:asciiTheme="minorHAnsi" w:hAnsiTheme="minorHAnsi" w:cstheme="minorHAnsi"/>
        </w:rPr>
      </w:pPr>
      <w:r w:rsidRPr="006A5BE8">
        <w:rPr>
          <w:rFonts w:asciiTheme="minorHAnsi" w:hAnsiTheme="minorHAnsi" w:cstheme="minorHAnsi"/>
          <w:szCs w:val="24"/>
        </w:rPr>
        <w:t xml:space="preserve">On </w:t>
      </w:r>
      <w:r>
        <w:rPr>
          <w:rFonts w:asciiTheme="minorHAnsi" w:hAnsiTheme="minorHAnsi" w:cstheme="minorHAnsi"/>
          <w:szCs w:val="24"/>
        </w:rPr>
        <w:t>January 18,</w:t>
      </w:r>
      <w:r w:rsidR="002D40C7">
        <w:rPr>
          <w:rFonts w:asciiTheme="minorHAnsi" w:hAnsiTheme="minorHAnsi" w:cstheme="minorHAnsi"/>
          <w:szCs w:val="24"/>
        </w:rPr>
        <w:t xml:space="preserve"> </w:t>
      </w:r>
      <w:r>
        <w:rPr>
          <w:rFonts w:asciiTheme="minorHAnsi" w:hAnsiTheme="minorHAnsi" w:cstheme="minorHAnsi"/>
          <w:szCs w:val="24"/>
        </w:rPr>
        <w:t>2022</w:t>
      </w:r>
      <w:r w:rsidRPr="006A5BE8">
        <w:rPr>
          <w:rFonts w:asciiTheme="minorHAnsi" w:hAnsiTheme="minorHAnsi" w:cstheme="minorHAnsi"/>
          <w:szCs w:val="24"/>
        </w:rPr>
        <w:t xml:space="preserve">, the Department convened a negotiated rulemaking committee, the </w:t>
      </w:r>
      <w:r>
        <w:rPr>
          <w:rFonts w:asciiTheme="minorHAnsi" w:hAnsiTheme="minorHAnsi" w:cstheme="minorHAnsi"/>
          <w:szCs w:val="24"/>
        </w:rPr>
        <w:t xml:space="preserve">Institutional and </w:t>
      </w:r>
      <w:r>
        <w:rPr>
          <w:rFonts w:asciiTheme="minorHAnsi" w:hAnsiTheme="minorHAnsi" w:cstheme="minorHAnsi"/>
          <w:szCs w:val="24"/>
        </w:rPr>
        <w:t>Programmatice</w:t>
      </w:r>
      <w:r>
        <w:rPr>
          <w:rFonts w:asciiTheme="minorHAnsi" w:hAnsiTheme="minorHAnsi" w:cstheme="minorHAnsi"/>
          <w:szCs w:val="24"/>
        </w:rPr>
        <w:t xml:space="preserve"> Eligibility </w:t>
      </w:r>
      <w:r w:rsidRPr="006A5BE8">
        <w:rPr>
          <w:rFonts w:asciiTheme="minorHAnsi" w:hAnsiTheme="minorHAnsi" w:cstheme="minorHAnsi"/>
          <w:szCs w:val="24"/>
        </w:rPr>
        <w:t xml:space="preserve"> Committee, to consider proposed </w:t>
      </w:r>
      <w:r w:rsidR="002D40C7">
        <w:rPr>
          <w:rFonts w:asciiTheme="minorHAnsi" w:hAnsiTheme="minorHAnsi" w:cstheme="minorHAnsi"/>
          <w:szCs w:val="24"/>
        </w:rPr>
        <w:t xml:space="preserve">changes to </w:t>
      </w:r>
      <w:r w:rsidRPr="006A5BE8">
        <w:rPr>
          <w:rFonts w:asciiTheme="minorHAnsi" w:hAnsiTheme="minorHAnsi" w:cstheme="minorHAnsi"/>
          <w:szCs w:val="24"/>
        </w:rPr>
        <w:t xml:space="preserve">regulations for the Federal Student Aid programs authorized under title IV of the </w:t>
      </w:r>
      <w:r>
        <w:rPr>
          <w:rFonts w:asciiTheme="minorHAnsi" w:hAnsiTheme="minorHAnsi" w:cstheme="minorHAnsi"/>
          <w:szCs w:val="24"/>
        </w:rPr>
        <w:t>Higher Education Act of 1965, as amended, (</w:t>
      </w:r>
      <w:r w:rsidRPr="005D119B">
        <w:rPr>
          <w:rFonts w:asciiTheme="minorHAnsi" w:hAnsiTheme="minorHAnsi" w:cstheme="minorHAnsi"/>
          <w:szCs w:val="24"/>
        </w:rPr>
        <w:t>HEA</w:t>
      </w:r>
      <w:r w:rsidRPr="007B69FA">
        <w:rPr>
          <w:rFonts w:asciiTheme="minorHAnsi" w:hAnsiTheme="minorHAnsi" w:cstheme="minorHAnsi"/>
          <w:szCs w:val="24"/>
        </w:rPr>
        <w:t>)</w:t>
      </w:r>
      <w:r w:rsidRPr="006A5BE8">
        <w:rPr>
          <w:rFonts w:asciiTheme="minorHAnsi" w:hAnsiTheme="minorHAnsi" w:cstheme="minorHAnsi"/>
          <w:szCs w:val="24"/>
        </w:rPr>
        <w:t xml:space="preserve">. </w:t>
      </w:r>
      <w:r w:rsidRPr="0012466B">
        <w:rPr>
          <w:rFonts w:asciiTheme="minorHAnsi" w:hAnsiTheme="minorHAnsi" w:cstheme="minorHAnsi"/>
          <w:szCs w:val="24"/>
        </w:rPr>
        <w:t xml:space="preserve"> </w:t>
      </w:r>
      <w:r w:rsidR="00564132">
        <w:rPr>
          <w:rFonts w:asciiTheme="minorHAnsi" w:hAnsiTheme="minorHAnsi" w:cstheme="minorHAnsi"/>
          <w:szCs w:val="24"/>
        </w:rPr>
        <w:t>Through the Notice of Proposed Rulemaking</w:t>
      </w:r>
      <w:r w:rsidR="00EE4EAF">
        <w:rPr>
          <w:rFonts w:asciiTheme="minorHAnsi" w:hAnsiTheme="minorHAnsi" w:cstheme="minorHAnsi"/>
          <w:szCs w:val="24"/>
        </w:rPr>
        <w:t xml:space="preserve"> (NPRM)</w:t>
      </w:r>
      <w:r w:rsidR="00564132">
        <w:rPr>
          <w:rFonts w:asciiTheme="minorHAnsi" w:hAnsiTheme="minorHAnsi" w:cstheme="minorHAnsi"/>
          <w:szCs w:val="24"/>
        </w:rPr>
        <w:t xml:space="preserve"> </w:t>
      </w:r>
      <w:r w:rsidR="00780C52">
        <w:rPr>
          <w:rFonts w:asciiTheme="minorHAnsi" w:hAnsiTheme="minorHAnsi" w:cstheme="minorHAnsi"/>
          <w:szCs w:val="24"/>
        </w:rPr>
        <w:t xml:space="preserve">published on May 19, 2023, </w:t>
      </w:r>
      <w:r w:rsidR="00564132">
        <w:rPr>
          <w:rFonts w:asciiTheme="minorHAnsi" w:hAnsiTheme="minorHAnsi" w:cstheme="minorHAnsi"/>
          <w:szCs w:val="24"/>
        </w:rPr>
        <w:t xml:space="preserve">docket number </w:t>
      </w:r>
      <w:r w:rsidRPr="00564132" w:rsidR="00564132">
        <w:rPr>
          <w:rFonts w:asciiTheme="minorHAnsi" w:hAnsiTheme="minorHAnsi" w:cstheme="minorHAnsi"/>
          <w:szCs w:val="24"/>
        </w:rPr>
        <w:t>ED-2022-OPE-0062</w:t>
      </w:r>
      <w:r w:rsidR="00564132">
        <w:rPr>
          <w:rFonts w:asciiTheme="minorHAnsi" w:hAnsiTheme="minorHAnsi" w:cstheme="minorHAnsi"/>
          <w:szCs w:val="24"/>
        </w:rPr>
        <w:t>, t</w:t>
      </w:r>
      <w:r w:rsidRPr="0012466B">
        <w:rPr>
          <w:rFonts w:asciiTheme="minorHAnsi" w:hAnsiTheme="minorHAnsi" w:cstheme="minorHAnsi"/>
          <w:szCs w:val="24"/>
        </w:rPr>
        <w:t>he Secretary</w:t>
      </w:r>
      <w:r w:rsidRPr="0012466B">
        <w:rPr>
          <w:rFonts w:asciiTheme="minorHAnsi" w:hAnsiTheme="minorHAnsi" w:cstheme="minorHAnsi"/>
        </w:rPr>
        <w:t xml:space="preserve"> </w:t>
      </w:r>
      <w:r w:rsidRPr="00510E61">
        <w:rPr>
          <w:rFonts w:asciiTheme="minorHAnsi" w:hAnsiTheme="minorHAnsi" w:cstheme="minorHAnsi"/>
        </w:rPr>
        <w:t>propos</w:t>
      </w:r>
      <w:r>
        <w:rPr>
          <w:rFonts w:asciiTheme="minorHAnsi" w:hAnsiTheme="minorHAnsi" w:cstheme="minorHAnsi"/>
        </w:rPr>
        <w:t>e</w:t>
      </w:r>
      <w:r w:rsidR="003457D7">
        <w:rPr>
          <w:rFonts w:asciiTheme="minorHAnsi" w:hAnsiTheme="minorHAnsi" w:cstheme="minorHAnsi"/>
        </w:rPr>
        <w:t>d</w:t>
      </w:r>
      <w:r w:rsidRPr="00510E61">
        <w:rPr>
          <w:rFonts w:asciiTheme="minorHAnsi" w:hAnsiTheme="minorHAnsi" w:cstheme="minorHAnsi"/>
        </w:rPr>
        <w:t xml:space="preserve"> new regulations to promote transparency, competence, stability, and effective outcomes for students in the provision of postsecondary education. </w:t>
      </w:r>
      <w:r>
        <w:rPr>
          <w:rFonts w:asciiTheme="minorHAnsi" w:hAnsiTheme="minorHAnsi" w:cstheme="minorHAnsi"/>
        </w:rPr>
        <w:t xml:space="preserve"> </w:t>
      </w:r>
    </w:p>
    <w:p w:rsidR="00780C52" w:rsidP="0012466B" w14:paraId="6B054258" w14:textId="125C0CC1">
      <w:pPr>
        <w:pStyle w:val="ListParagraph"/>
        <w:suppressAutoHyphens/>
        <w:contextualSpacing w:val="0"/>
        <w:rPr>
          <w:rFonts w:asciiTheme="minorHAnsi" w:hAnsiTheme="minorHAnsi" w:cstheme="minorHAnsi"/>
        </w:rPr>
      </w:pPr>
      <w:r>
        <w:rPr>
          <w:rFonts w:asciiTheme="minorHAnsi" w:hAnsiTheme="minorHAnsi" w:cstheme="minorHAnsi"/>
        </w:rPr>
        <w:t xml:space="preserve"> </w:t>
      </w:r>
    </w:p>
    <w:p w:rsidR="00C7076C" w:rsidRPr="00C441D2" w:rsidP="00C7076C" w14:paraId="5D44BC12" w14:textId="029ACC6B">
      <w:pPr>
        <w:pStyle w:val="ListParagraph"/>
        <w:suppressAutoHyphens/>
        <w:contextualSpacing w:val="0"/>
        <w:rPr>
          <w:rFonts w:asciiTheme="minorHAnsi" w:hAnsiTheme="minorHAnsi" w:cstheme="minorHAnsi"/>
          <w:szCs w:val="24"/>
        </w:rPr>
      </w:pPr>
      <w:bookmarkStart w:id="0" w:name="_Hlk147389321"/>
      <w:r w:rsidRPr="00C441D2">
        <w:rPr>
          <w:rFonts w:asciiTheme="minorHAnsi" w:eastAsiaTheme="minorEastAsia" w:hAnsiTheme="minorHAnsi" w:cstheme="minorHAnsi"/>
          <w:szCs w:val="24"/>
        </w:rPr>
        <w:t xml:space="preserve">The Department </w:t>
      </w:r>
      <w:r w:rsidR="00B93621">
        <w:rPr>
          <w:rFonts w:asciiTheme="minorHAnsi" w:eastAsiaTheme="minorEastAsia" w:hAnsiTheme="minorHAnsi" w:cstheme="minorHAnsi"/>
          <w:szCs w:val="24"/>
        </w:rPr>
        <w:t>amends</w:t>
      </w:r>
      <w:r w:rsidR="00EE4EAF">
        <w:rPr>
          <w:rFonts w:asciiTheme="minorHAnsi" w:eastAsiaTheme="minorEastAsia" w:hAnsiTheme="minorHAnsi" w:cstheme="minorHAnsi"/>
          <w:szCs w:val="24"/>
        </w:rPr>
        <w:t>,</w:t>
      </w:r>
      <w:r w:rsidRPr="00C441D2">
        <w:rPr>
          <w:rFonts w:asciiTheme="minorHAnsi" w:eastAsiaTheme="minorEastAsia" w:hAnsiTheme="minorHAnsi" w:cstheme="minorHAnsi"/>
          <w:szCs w:val="24"/>
        </w:rPr>
        <w:t xml:space="preserve"> under the authority of section 484 of the HEA</w:t>
      </w:r>
      <w:r w:rsidR="00EE4EAF">
        <w:rPr>
          <w:rFonts w:asciiTheme="minorHAnsi" w:eastAsiaTheme="minorEastAsia" w:hAnsiTheme="minorHAnsi" w:cstheme="minorHAnsi"/>
          <w:szCs w:val="24"/>
        </w:rPr>
        <w:t>,</w:t>
      </w:r>
      <w:r w:rsidRPr="00C441D2">
        <w:rPr>
          <w:rFonts w:asciiTheme="minorHAnsi" w:eastAsiaTheme="minorEastAsia" w:hAnsiTheme="minorHAnsi" w:cstheme="minorHAnsi"/>
          <w:szCs w:val="24"/>
        </w:rPr>
        <w:t xml:space="preserve"> regulations covering approved State processes under ATB.  </w:t>
      </w:r>
      <w:r w:rsidRPr="0012466B" w:rsidR="00EE4EAF">
        <w:rPr>
          <w:rFonts w:asciiTheme="minorHAnsi" w:hAnsiTheme="minorHAnsi" w:cstheme="minorHAnsi"/>
        </w:rPr>
        <w:t xml:space="preserve">These regulations make improvements in the areas of Ability to Benefit (ATB).  </w:t>
      </w:r>
      <w:r w:rsidRPr="00C441D2">
        <w:rPr>
          <w:rFonts w:asciiTheme="minorHAnsi" w:hAnsiTheme="minorHAnsi" w:cstheme="minorHAnsi"/>
          <w:szCs w:val="24"/>
        </w:rPr>
        <w:t xml:space="preserve">These </w:t>
      </w:r>
      <w:r w:rsidR="00B93621">
        <w:rPr>
          <w:rFonts w:asciiTheme="minorHAnsi" w:hAnsiTheme="minorHAnsi" w:cstheme="minorHAnsi"/>
          <w:szCs w:val="24"/>
        </w:rPr>
        <w:t>final</w:t>
      </w:r>
      <w:r w:rsidRPr="00C441D2">
        <w:rPr>
          <w:rFonts w:asciiTheme="minorHAnsi" w:hAnsiTheme="minorHAnsi" w:cstheme="minorHAnsi"/>
          <w:szCs w:val="24"/>
        </w:rPr>
        <w:t xml:space="preserve"> regulations are a result of negotiated rulemaking in 2022 and add new requirements to the current regulations. </w:t>
      </w:r>
    </w:p>
    <w:p w:rsidR="00C7076C" w:rsidRPr="00C7076C" w:rsidP="0012466B" w14:paraId="64459A7E" w14:textId="77777777">
      <w:pPr>
        <w:pStyle w:val="ListParagraph"/>
        <w:suppressAutoHyphens/>
        <w:contextualSpacing w:val="0"/>
        <w:rPr>
          <w:rFonts w:asciiTheme="minorHAnsi" w:hAnsiTheme="minorHAnsi" w:cstheme="minorHAnsi"/>
          <w:szCs w:val="24"/>
        </w:rPr>
      </w:pPr>
    </w:p>
    <w:p w:rsidR="00C441D2" w:rsidP="0012466B" w14:paraId="03C890C0" w14:textId="4D033121">
      <w:pPr>
        <w:pStyle w:val="ListParagraph"/>
        <w:suppressAutoHyphens/>
        <w:contextualSpacing w:val="0"/>
        <w:rPr>
          <w:rFonts w:asciiTheme="minorHAnsi" w:hAnsiTheme="minorHAnsi" w:cstheme="minorHAnsi"/>
          <w:color w:val="242424"/>
          <w:szCs w:val="24"/>
          <w:shd w:val="clear" w:color="auto" w:fill="FFFFFF"/>
        </w:rPr>
      </w:pPr>
      <w:r>
        <w:rPr>
          <w:rFonts w:asciiTheme="minorHAnsi" w:hAnsiTheme="minorHAnsi" w:cstheme="minorHAnsi"/>
          <w:color w:val="242424"/>
          <w:szCs w:val="24"/>
          <w:shd w:val="clear" w:color="auto" w:fill="FFFFFF"/>
        </w:rPr>
        <w:t>In this Final Rule, t</w:t>
      </w:r>
      <w:r w:rsidRPr="00C441D2">
        <w:rPr>
          <w:rFonts w:asciiTheme="minorHAnsi" w:hAnsiTheme="minorHAnsi" w:cstheme="minorHAnsi"/>
          <w:color w:val="242424"/>
          <w:szCs w:val="24"/>
          <w:shd w:val="clear" w:color="auto" w:fill="FFFFFF"/>
        </w:rPr>
        <w:t xml:space="preserve">he Department </w:t>
      </w:r>
      <w:r>
        <w:rPr>
          <w:rFonts w:asciiTheme="minorHAnsi" w:hAnsiTheme="minorHAnsi" w:cstheme="minorHAnsi"/>
          <w:color w:val="242424"/>
          <w:szCs w:val="24"/>
          <w:shd w:val="clear" w:color="auto" w:fill="FFFFFF"/>
        </w:rPr>
        <w:t>r</w:t>
      </w:r>
      <w:r w:rsidRPr="00C441D2">
        <w:rPr>
          <w:rFonts w:asciiTheme="minorHAnsi" w:hAnsiTheme="minorHAnsi" w:cstheme="minorHAnsi"/>
          <w:color w:val="242424"/>
          <w:szCs w:val="24"/>
          <w:shd w:val="clear" w:color="auto" w:fill="FFFFFF"/>
        </w:rPr>
        <w:t>evis</w:t>
      </w:r>
      <w:r>
        <w:rPr>
          <w:rFonts w:asciiTheme="minorHAnsi" w:hAnsiTheme="minorHAnsi" w:cstheme="minorHAnsi"/>
          <w:color w:val="242424"/>
          <w:szCs w:val="24"/>
          <w:shd w:val="clear" w:color="auto" w:fill="FFFFFF"/>
        </w:rPr>
        <w:t>es</w:t>
      </w:r>
      <w:r w:rsidRPr="00C441D2">
        <w:rPr>
          <w:rFonts w:asciiTheme="minorHAnsi" w:hAnsiTheme="minorHAnsi" w:cstheme="minorHAnsi"/>
          <w:color w:val="242424"/>
          <w:szCs w:val="24"/>
          <w:shd w:val="clear" w:color="auto" w:fill="FFFFFF"/>
        </w:rPr>
        <w:t xml:space="preserve"> current regulations for </w:t>
      </w:r>
      <w:r w:rsidR="00564132">
        <w:rPr>
          <w:rFonts w:asciiTheme="minorHAnsi" w:hAnsiTheme="minorHAnsi" w:cstheme="minorHAnsi"/>
          <w:color w:val="242424"/>
          <w:szCs w:val="24"/>
          <w:shd w:val="clear" w:color="auto" w:fill="FFFFFF"/>
        </w:rPr>
        <w:t xml:space="preserve">State </w:t>
      </w:r>
      <w:r w:rsidRPr="00C441D2">
        <w:rPr>
          <w:rFonts w:asciiTheme="minorHAnsi" w:hAnsiTheme="minorHAnsi" w:cstheme="minorHAnsi"/>
          <w:color w:val="242424"/>
          <w:szCs w:val="24"/>
          <w:shd w:val="clear" w:color="auto" w:fill="FFFFFF"/>
        </w:rPr>
        <w:t>ATB</w:t>
      </w:r>
      <w:r w:rsidR="00564132">
        <w:rPr>
          <w:rFonts w:asciiTheme="minorHAnsi" w:hAnsiTheme="minorHAnsi" w:cstheme="minorHAnsi"/>
          <w:color w:val="242424"/>
          <w:szCs w:val="24"/>
          <w:shd w:val="clear" w:color="auto" w:fill="FFFFFF"/>
        </w:rPr>
        <w:t xml:space="preserve"> processes</w:t>
      </w:r>
      <w:r w:rsidRPr="00C441D2">
        <w:rPr>
          <w:rFonts w:asciiTheme="minorHAnsi" w:hAnsiTheme="minorHAnsi" w:cstheme="minorHAnsi"/>
          <w:color w:val="242424"/>
          <w:szCs w:val="24"/>
          <w:shd w:val="clear" w:color="auto" w:fill="FFFFFF"/>
        </w:rPr>
        <w:t xml:space="preserve">.  These changes to </w:t>
      </w:r>
      <w:r w:rsidRPr="00C441D2">
        <w:rPr>
          <w:rFonts w:asciiTheme="minorHAnsi" w:eastAsiaTheme="minorEastAsia" w:hAnsiTheme="minorHAnsi" w:cstheme="minorHAnsi"/>
          <w:color w:val="000000" w:themeColor="text1"/>
          <w:szCs w:val="24"/>
        </w:rPr>
        <w:t>§</w:t>
      </w:r>
      <w:r w:rsidRPr="00C441D2">
        <w:rPr>
          <w:rFonts w:asciiTheme="minorHAnsi" w:hAnsiTheme="minorHAnsi" w:cstheme="minorHAnsi"/>
          <w:color w:val="242424"/>
          <w:szCs w:val="24"/>
          <w:shd w:val="clear" w:color="auto" w:fill="FFFFFF"/>
        </w:rPr>
        <w:t xml:space="preserve"> 668.156 clarify the requirements for the approval of a State </w:t>
      </w:r>
      <w:r w:rsidRPr="00C441D2">
        <w:rPr>
          <w:rFonts w:asciiTheme="minorHAnsi" w:hAnsiTheme="minorHAnsi" w:cstheme="minorHAnsi"/>
          <w:color w:val="242424"/>
          <w:szCs w:val="24"/>
          <w:shd w:val="clear" w:color="auto" w:fill="FFFFFF"/>
        </w:rPr>
        <w:t>process</w:t>
      </w:r>
      <w:r w:rsidR="00EE4EAF">
        <w:rPr>
          <w:rFonts w:asciiTheme="minorHAnsi" w:hAnsiTheme="minorHAnsi" w:cstheme="minorHAnsi"/>
          <w:color w:val="242424"/>
          <w:szCs w:val="24"/>
          <w:shd w:val="clear" w:color="auto" w:fill="FFFFFF"/>
        </w:rPr>
        <w:t>, and</w:t>
      </w:r>
      <w:r w:rsidR="00EE4EAF">
        <w:rPr>
          <w:rFonts w:asciiTheme="minorHAnsi" w:hAnsiTheme="minorHAnsi" w:cstheme="minorHAnsi"/>
          <w:color w:val="242424"/>
          <w:szCs w:val="24"/>
          <w:shd w:val="clear" w:color="auto" w:fill="FFFFFF"/>
        </w:rPr>
        <w:t xml:space="preserve"> add monitoring and reporting requirements</w:t>
      </w:r>
      <w:r w:rsidRPr="00C441D2">
        <w:rPr>
          <w:rFonts w:asciiTheme="minorHAnsi" w:hAnsiTheme="minorHAnsi" w:cstheme="minorHAnsi"/>
          <w:color w:val="242424"/>
          <w:szCs w:val="24"/>
          <w:shd w:val="clear" w:color="auto" w:fill="FFFFFF"/>
        </w:rPr>
        <w:t>.  The State process is one of the three ATB alternatives that an individual who is not a high school graduate could fulfill to receive title IV</w:t>
      </w:r>
      <w:r w:rsidRPr="00C441D2">
        <w:rPr>
          <w:rFonts w:asciiTheme="minorHAnsi" w:hAnsiTheme="minorHAnsi" w:cstheme="minorHAnsi"/>
          <w:szCs w:val="24"/>
        </w:rPr>
        <w:t>, HEA</w:t>
      </w:r>
      <w:r w:rsidRPr="00C441D2">
        <w:rPr>
          <w:rFonts w:asciiTheme="minorHAnsi" w:hAnsiTheme="minorHAnsi" w:cstheme="minorHAnsi"/>
          <w:color w:val="242424"/>
          <w:szCs w:val="24"/>
          <w:shd w:val="clear" w:color="auto" w:fill="FFFFFF"/>
        </w:rPr>
        <w:t xml:space="preserve">, Federal student aid for enrollment in an eligible career pathway program.  </w:t>
      </w:r>
    </w:p>
    <w:bookmarkEnd w:id="0"/>
    <w:p w:rsidR="00B93621" w:rsidP="0012466B" w14:paraId="6B69C2F8" w14:textId="5369A412">
      <w:pPr>
        <w:pStyle w:val="ListParagraph"/>
        <w:suppressAutoHyphens/>
        <w:contextualSpacing w:val="0"/>
        <w:rPr>
          <w:rFonts w:asciiTheme="minorHAnsi" w:hAnsiTheme="minorHAnsi" w:cstheme="minorHAnsi"/>
          <w:color w:val="242424"/>
          <w:szCs w:val="24"/>
          <w:shd w:val="clear" w:color="auto" w:fill="FFFFFF"/>
        </w:rPr>
      </w:pPr>
    </w:p>
    <w:p w:rsidR="00B93621" w:rsidRPr="00EE4EAF" w:rsidP="00B93621" w14:paraId="17F36AE0" w14:textId="7ED3DCFA">
      <w:pPr>
        <w:tabs>
          <w:tab w:val="left" w:pos="2709"/>
        </w:tabs>
        <w:suppressAutoHyphens/>
        <w:ind w:left="720"/>
        <w:rPr>
          <w:rFonts w:asciiTheme="minorHAnsi" w:hAnsiTheme="minorHAnsi" w:cstheme="minorHAnsi"/>
          <w:szCs w:val="24"/>
        </w:rPr>
      </w:pPr>
      <w:bookmarkStart w:id="1" w:name="_Hlk147389385"/>
      <w:r>
        <w:rPr>
          <w:rFonts w:asciiTheme="minorHAnsi" w:hAnsiTheme="minorHAnsi" w:cstheme="minorHAnsi"/>
          <w:szCs w:val="24"/>
        </w:rPr>
        <w:t>This request</w:t>
      </w:r>
      <w:r w:rsidR="00275876">
        <w:rPr>
          <w:rFonts w:asciiTheme="minorHAnsi" w:hAnsiTheme="minorHAnsi" w:cstheme="minorHAnsi"/>
          <w:szCs w:val="24"/>
        </w:rPr>
        <w:t xml:space="preserve"> is</w:t>
      </w:r>
      <w:r>
        <w:rPr>
          <w:rFonts w:asciiTheme="minorHAnsi" w:hAnsiTheme="minorHAnsi" w:cstheme="minorHAnsi"/>
          <w:szCs w:val="24"/>
        </w:rPr>
        <w:t xml:space="preserve"> </w:t>
      </w:r>
      <w:r w:rsidR="00E4408F">
        <w:rPr>
          <w:rFonts w:asciiTheme="minorHAnsi" w:hAnsiTheme="minorHAnsi" w:cstheme="minorHAnsi"/>
          <w:szCs w:val="24"/>
        </w:rPr>
        <w:t>to</w:t>
      </w:r>
      <w:r>
        <w:rPr>
          <w:rFonts w:asciiTheme="minorHAnsi" w:hAnsiTheme="minorHAnsi" w:cstheme="minorHAnsi"/>
          <w:szCs w:val="24"/>
        </w:rPr>
        <w:t xml:space="preserve"> </w:t>
      </w:r>
      <w:r w:rsidR="00F051B1">
        <w:rPr>
          <w:rFonts w:asciiTheme="minorHAnsi" w:hAnsiTheme="minorHAnsi" w:cstheme="minorHAnsi"/>
          <w:szCs w:val="24"/>
        </w:rPr>
        <w:t>co</w:t>
      </w:r>
      <w:r w:rsidR="003457D7">
        <w:rPr>
          <w:rFonts w:asciiTheme="minorHAnsi" w:hAnsiTheme="minorHAnsi" w:cstheme="minorHAnsi"/>
          <w:szCs w:val="24"/>
        </w:rPr>
        <w:t>n</w:t>
      </w:r>
      <w:r w:rsidR="00F051B1">
        <w:rPr>
          <w:rFonts w:asciiTheme="minorHAnsi" w:hAnsiTheme="minorHAnsi" w:cstheme="minorHAnsi"/>
          <w:szCs w:val="24"/>
        </w:rPr>
        <w:t>tinu</w:t>
      </w:r>
      <w:r w:rsidR="00E4408F">
        <w:rPr>
          <w:rFonts w:asciiTheme="minorHAnsi" w:hAnsiTheme="minorHAnsi" w:cstheme="minorHAnsi"/>
          <w:szCs w:val="24"/>
        </w:rPr>
        <w:t>e</w:t>
      </w:r>
      <w:r>
        <w:rPr>
          <w:rFonts w:asciiTheme="minorHAnsi" w:hAnsiTheme="minorHAnsi" w:cstheme="minorHAnsi"/>
          <w:szCs w:val="24"/>
        </w:rPr>
        <w:t xml:space="preserve"> the collection designated 1845-0176 by OMB during the NPRM stage of this information collection filing.</w:t>
      </w:r>
    </w:p>
    <w:bookmarkEnd w:id="1"/>
    <w:p w:rsidR="00EE4EAF" w:rsidP="0012466B" w14:paraId="0D5A7B53" w14:textId="6339E4D5">
      <w:pPr>
        <w:pStyle w:val="ListParagraph"/>
        <w:suppressAutoHyphens/>
        <w:contextualSpacing w:val="0"/>
        <w:rPr>
          <w:rFonts w:asciiTheme="minorHAnsi" w:hAnsiTheme="minorHAnsi" w:cstheme="minorHAnsi"/>
          <w:color w:val="242424"/>
          <w:szCs w:val="24"/>
          <w:shd w:val="clear" w:color="auto" w:fill="FFFFFF"/>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C7076C" w:rsidP="00C7076C" w14:paraId="29F0F9EE" w14:textId="77777777">
      <w:pPr>
        <w:pStyle w:val="ListParagraph"/>
        <w:shd w:val="clear" w:color="auto" w:fill="FFFFFF" w:themeFill="background1"/>
        <w:rPr>
          <w:rFonts w:ascii="Courier New" w:hAnsi="Courier New" w:cs="Courier New"/>
          <w:szCs w:val="24"/>
        </w:rPr>
      </w:pPr>
    </w:p>
    <w:p w:rsidR="00C7076C" w:rsidRPr="00FB6309" w:rsidP="00C7076C" w14:paraId="235DF34C" w14:textId="171EEE51">
      <w:pPr>
        <w:ind w:left="720"/>
        <w:rPr>
          <w:rFonts w:asciiTheme="minorHAnsi" w:hAnsiTheme="minorHAnsi" w:cstheme="minorHAnsi"/>
          <w:szCs w:val="24"/>
        </w:rPr>
      </w:pPr>
      <w:r>
        <w:rPr>
          <w:rFonts w:asciiTheme="minorHAnsi" w:hAnsiTheme="minorHAnsi" w:cstheme="minorHAnsi"/>
          <w:szCs w:val="24"/>
        </w:rPr>
        <w:t xml:space="preserve">This information </w:t>
      </w:r>
      <w:r w:rsidR="00F051B1">
        <w:rPr>
          <w:rFonts w:asciiTheme="minorHAnsi" w:hAnsiTheme="minorHAnsi" w:cstheme="minorHAnsi"/>
          <w:szCs w:val="24"/>
        </w:rPr>
        <w:t>will</w:t>
      </w:r>
      <w:r>
        <w:rPr>
          <w:rFonts w:asciiTheme="minorHAnsi" w:hAnsiTheme="minorHAnsi" w:cstheme="minorHAnsi"/>
          <w:szCs w:val="24"/>
        </w:rPr>
        <w:t xml:space="preserve"> be reviewed by the Department to ensure that the State process application meets the regulatory requirements and that the State</w:t>
      </w:r>
      <w:r w:rsidR="00EE4EAF">
        <w:rPr>
          <w:rFonts w:asciiTheme="minorHAnsi" w:hAnsiTheme="minorHAnsi" w:cstheme="minorHAnsi"/>
          <w:szCs w:val="24"/>
        </w:rPr>
        <w:t>s</w:t>
      </w:r>
      <w:r>
        <w:rPr>
          <w:rFonts w:asciiTheme="minorHAnsi" w:hAnsiTheme="minorHAnsi" w:cstheme="minorHAnsi"/>
          <w:szCs w:val="24"/>
        </w:rPr>
        <w:t xml:space="preserve"> </w:t>
      </w:r>
      <w:r w:rsidR="005F13BD">
        <w:rPr>
          <w:rFonts w:asciiTheme="minorHAnsi" w:hAnsiTheme="minorHAnsi" w:cstheme="minorHAnsi"/>
          <w:szCs w:val="24"/>
        </w:rPr>
        <w:t xml:space="preserve">monitor school participation and </w:t>
      </w:r>
      <w:r>
        <w:rPr>
          <w:rFonts w:asciiTheme="minorHAnsi" w:hAnsiTheme="minorHAnsi" w:cstheme="minorHAnsi"/>
          <w:szCs w:val="24"/>
        </w:rPr>
        <w:t xml:space="preserve">provides the required </w:t>
      </w:r>
      <w:r w:rsidR="005F13BD">
        <w:rPr>
          <w:rFonts w:asciiTheme="minorHAnsi" w:hAnsiTheme="minorHAnsi" w:cstheme="minorHAnsi"/>
          <w:szCs w:val="24"/>
        </w:rPr>
        <w:t>reporting</w:t>
      </w:r>
      <w:r>
        <w:rPr>
          <w:rFonts w:asciiTheme="minorHAnsi" w:hAnsiTheme="minorHAnsi" w:cstheme="minorHAnsi"/>
          <w:szCs w:val="24"/>
        </w:rPr>
        <w:t xml:space="preserve"> to maintain compliance to offer this alternative for student eligibility for title IV, HEA student financial aid.   </w:t>
      </w:r>
    </w:p>
    <w:p w:rsidR="00C7076C" w:rsidP="00C7076C" w14:paraId="4B0C884E" w14:textId="77777777">
      <w:pPr>
        <w:pStyle w:val="ListParagraph"/>
        <w:shd w:val="clear" w:color="auto" w:fill="FFFFFF" w:themeFill="background1"/>
        <w:rPr>
          <w:rFonts w:asciiTheme="minorHAnsi" w:hAnsiTheme="minorHAnsi" w:cstheme="minorHAnsi"/>
          <w:szCs w:val="24"/>
        </w:rPr>
      </w:pP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5F13BD" w:rsidP="00AD381B" w14:paraId="2454C614" w14:textId="18A96A20">
      <w:pPr>
        <w:pStyle w:val="ListParagraph"/>
        <w:tabs>
          <w:tab w:val="left" w:pos="-720"/>
        </w:tabs>
        <w:suppressAutoHyphens/>
        <w:contextualSpacing w:val="0"/>
        <w:rPr>
          <w:rFonts w:asciiTheme="minorHAnsi" w:hAnsiTheme="minorHAnsi" w:cstheme="minorHAnsi"/>
          <w:szCs w:val="24"/>
        </w:rPr>
      </w:pPr>
      <w:r>
        <w:rPr>
          <w:rFonts w:asciiTheme="minorHAnsi" w:hAnsiTheme="minorHAnsi" w:cstheme="minorHAnsi"/>
          <w:szCs w:val="24"/>
        </w:rPr>
        <w:t xml:space="preserve">There is nothing in the regulations that prohibit the use of technology </w:t>
      </w:r>
      <w:r w:rsidR="00EE4EAF">
        <w:rPr>
          <w:rFonts w:asciiTheme="minorHAnsi" w:hAnsiTheme="minorHAnsi" w:cstheme="minorHAnsi"/>
          <w:szCs w:val="24"/>
        </w:rPr>
        <w:t xml:space="preserve">or </w:t>
      </w:r>
      <w:r>
        <w:rPr>
          <w:rFonts w:asciiTheme="minorHAnsi" w:hAnsiTheme="minorHAnsi" w:cstheme="minorHAnsi"/>
          <w:szCs w:val="24"/>
        </w:rPr>
        <w:t>that restricts the use of electronic submission of the application or reporting required.</w:t>
      </w:r>
    </w:p>
    <w:p w:rsidR="005F13BD" w:rsidP="00AD381B" w14:paraId="1C11BEAC"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5F13BD" w:rsidRPr="00EF4C67" w:rsidP="005F13BD" w14:paraId="3DB5A5EF" w14:textId="77777777">
      <w:pPr>
        <w:pStyle w:val="ListParagraph"/>
        <w:tabs>
          <w:tab w:val="left" w:pos="0"/>
        </w:tabs>
        <w:suppressAutoHyphens/>
        <w:rPr>
          <w:rFonts w:asciiTheme="minorHAnsi" w:hAnsiTheme="minorHAnsi" w:cstheme="minorHAnsi"/>
          <w:szCs w:val="24"/>
        </w:rPr>
      </w:pPr>
      <w:r>
        <w:rPr>
          <w:rFonts w:asciiTheme="minorHAnsi" w:hAnsiTheme="minorHAnsi" w:cstheme="minorHAnsi"/>
          <w:szCs w:val="24"/>
        </w:rPr>
        <w:t>This information is not duplicated in any other information collection.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5F13BD" w:rsidRPr="00FB6309" w:rsidP="005F13BD" w14:paraId="1F94E269" w14:textId="65F13F51">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The Department does not believe the </w:t>
      </w:r>
      <w:r w:rsidR="005451CE">
        <w:rPr>
          <w:rFonts w:asciiTheme="minorHAnsi" w:hAnsiTheme="minorHAnsi" w:cstheme="minorHAnsi"/>
          <w:szCs w:val="24"/>
        </w:rPr>
        <w:t>final</w:t>
      </w:r>
      <w:r>
        <w:rPr>
          <w:rFonts w:asciiTheme="minorHAnsi" w:hAnsiTheme="minorHAnsi" w:cstheme="minorHAnsi"/>
          <w:szCs w:val="24"/>
        </w:rPr>
        <w:t xml:space="preserve"> regulations will adversely impact any small entity.</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0C0C4C" w:rsidP="005F4E11" w14:paraId="5974373F" w14:textId="6571706E">
      <w:pPr>
        <w:tabs>
          <w:tab w:val="left" w:pos="-720"/>
        </w:tabs>
        <w:suppressAutoHyphens/>
        <w:ind w:left="720"/>
        <w:rPr>
          <w:rFonts w:asciiTheme="minorHAnsi" w:hAnsiTheme="minorHAnsi" w:cstheme="minorHAnsi"/>
        </w:rPr>
      </w:pPr>
      <w:r>
        <w:rPr>
          <w:rFonts w:asciiTheme="minorHAnsi" w:hAnsiTheme="minorHAnsi" w:cstheme="minorHAnsi"/>
        </w:rPr>
        <w:t xml:space="preserve">If the requirements in these </w:t>
      </w:r>
      <w:r w:rsidR="005451CE">
        <w:rPr>
          <w:rFonts w:asciiTheme="minorHAnsi" w:hAnsiTheme="minorHAnsi" w:cstheme="minorHAnsi"/>
        </w:rPr>
        <w:t>final</w:t>
      </w:r>
      <w:r>
        <w:rPr>
          <w:rFonts w:asciiTheme="minorHAnsi" w:hAnsiTheme="minorHAnsi" w:cstheme="minorHAnsi"/>
        </w:rPr>
        <w:t xml:space="preserve"> regulations do not</w:t>
      </w:r>
      <w:r w:rsidR="002F7591">
        <w:rPr>
          <w:rFonts w:asciiTheme="minorHAnsi" w:hAnsiTheme="minorHAnsi" w:cstheme="minorHAnsi"/>
        </w:rPr>
        <w:t xml:space="preserve"> take place</w:t>
      </w:r>
      <w:r>
        <w:rPr>
          <w:rFonts w:asciiTheme="minorHAnsi" w:hAnsiTheme="minorHAnsi" w:cstheme="minorHAnsi"/>
        </w:rPr>
        <w:t xml:space="preserve">, States </w:t>
      </w:r>
      <w:r w:rsidR="00F051B1">
        <w:rPr>
          <w:rFonts w:asciiTheme="minorHAnsi" w:hAnsiTheme="minorHAnsi" w:cstheme="minorHAnsi"/>
        </w:rPr>
        <w:t>will</w:t>
      </w:r>
      <w:r>
        <w:rPr>
          <w:rFonts w:asciiTheme="minorHAnsi" w:hAnsiTheme="minorHAnsi" w:cstheme="minorHAnsi"/>
        </w:rPr>
        <w:t xml:space="preserve"> not meet the regulatory requirements</w:t>
      </w:r>
      <w:r>
        <w:rPr>
          <w:rFonts w:asciiTheme="minorHAnsi" w:hAnsiTheme="minorHAnsi" w:cstheme="minorHAnsi"/>
        </w:rPr>
        <w:t xml:space="preserve"> to offer a State process.  </w:t>
      </w:r>
      <w:r>
        <w:rPr>
          <w:rFonts w:asciiTheme="minorHAnsi" w:hAnsiTheme="minorHAnsi" w:cstheme="minorHAnsi"/>
          <w:color w:val="242424"/>
          <w:szCs w:val="24"/>
          <w:shd w:val="clear" w:color="auto" w:fill="FFFFFF"/>
        </w:rPr>
        <w:t xml:space="preserve">Without the </w:t>
      </w:r>
      <w:r w:rsidRPr="000C0C4C">
        <w:rPr>
          <w:rFonts w:asciiTheme="minorHAnsi" w:hAnsiTheme="minorHAnsi" w:cstheme="minorHAnsi"/>
          <w:color w:val="242424"/>
          <w:szCs w:val="24"/>
          <w:shd w:val="clear" w:color="auto" w:fill="FFFFFF"/>
        </w:rPr>
        <w:t>State process</w:t>
      </w:r>
      <w:r>
        <w:rPr>
          <w:rFonts w:asciiTheme="minorHAnsi" w:hAnsiTheme="minorHAnsi" w:cstheme="minorHAnsi"/>
          <w:color w:val="242424"/>
          <w:szCs w:val="24"/>
          <w:shd w:val="clear" w:color="auto" w:fill="FFFFFF"/>
        </w:rPr>
        <w:t>,</w:t>
      </w:r>
      <w:r w:rsidRPr="000C0C4C">
        <w:rPr>
          <w:rFonts w:asciiTheme="minorHAnsi" w:hAnsiTheme="minorHAnsi" w:cstheme="minorHAnsi"/>
          <w:color w:val="242424"/>
          <w:szCs w:val="24"/>
          <w:shd w:val="clear" w:color="auto" w:fill="FFFFFF"/>
        </w:rPr>
        <w:t xml:space="preserve"> an individual who is not a high school graduate could</w:t>
      </w:r>
      <w:r>
        <w:rPr>
          <w:rFonts w:asciiTheme="minorHAnsi" w:hAnsiTheme="minorHAnsi" w:cstheme="minorHAnsi"/>
          <w:color w:val="242424"/>
          <w:szCs w:val="24"/>
          <w:shd w:val="clear" w:color="auto" w:fill="FFFFFF"/>
        </w:rPr>
        <w:t xml:space="preserve"> not access </w:t>
      </w:r>
      <w:r w:rsidRPr="000C0C4C">
        <w:rPr>
          <w:rFonts w:asciiTheme="minorHAnsi" w:hAnsiTheme="minorHAnsi" w:cstheme="minorHAnsi"/>
          <w:color w:val="242424"/>
          <w:szCs w:val="24"/>
          <w:shd w:val="clear" w:color="auto" w:fill="FFFFFF"/>
        </w:rPr>
        <w:t xml:space="preserve">one of the three ability to benefit alternatives to receive title IV, HEA, Federal student aid to enroll in an eligible career pathway program. </w:t>
      </w:r>
    </w:p>
    <w:p w:rsidR="005F13BD" w:rsidRPr="005F4E11" w:rsidP="005F4E11" w14:paraId="6A9E14C2"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207800" w:rsidRPr="00FB6309" w:rsidP="00207800" w14:paraId="7A41EF79"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207800" w:rsidP="00207800" w14:paraId="00156900" w14:textId="4BF30A25">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developed these regulations after conducting negotiated rulemaking with affected entities and other interested parties.  The public comment period for this </w:t>
      </w:r>
      <w:r>
        <w:rPr>
          <w:rFonts w:asciiTheme="minorHAnsi" w:hAnsiTheme="minorHAnsi" w:cstheme="minorHAnsi"/>
          <w:szCs w:val="24"/>
        </w:rPr>
        <w:t>information collection r</w:t>
      </w:r>
      <w:r w:rsidR="00F051B1">
        <w:rPr>
          <w:rFonts w:asciiTheme="minorHAnsi" w:hAnsiTheme="minorHAnsi" w:cstheme="minorHAnsi"/>
          <w:szCs w:val="24"/>
        </w:rPr>
        <w:t>an</w:t>
      </w:r>
      <w:r>
        <w:rPr>
          <w:rFonts w:asciiTheme="minorHAnsi" w:hAnsiTheme="minorHAnsi" w:cstheme="minorHAnsi"/>
          <w:szCs w:val="24"/>
        </w:rPr>
        <w:t xml:space="preserve"> concurrently with the Notice of Proposed Rulemaking,</w:t>
      </w:r>
      <w:r w:rsidR="00F051B1">
        <w:rPr>
          <w:rFonts w:asciiTheme="minorHAnsi" w:hAnsiTheme="minorHAnsi" w:cstheme="minorHAnsi"/>
          <w:szCs w:val="24"/>
        </w:rPr>
        <w:t xml:space="preserve"> published May 19, 2023</w:t>
      </w:r>
      <w:r>
        <w:rPr>
          <w:rFonts w:asciiTheme="minorHAnsi" w:hAnsiTheme="minorHAnsi" w:cstheme="minorHAnsi"/>
          <w:szCs w:val="24"/>
        </w:rPr>
        <w:t xml:space="preserve"> </w:t>
      </w:r>
      <w:r w:rsidR="00F051B1">
        <w:rPr>
          <w:rFonts w:asciiTheme="minorHAnsi" w:hAnsiTheme="minorHAnsi" w:cstheme="minorHAnsi"/>
          <w:szCs w:val="24"/>
        </w:rPr>
        <w:t>(Vol. 88, No.97, pages32300-32511)</w:t>
      </w:r>
      <w:r>
        <w:rPr>
          <w:rFonts w:asciiTheme="minorHAnsi" w:hAnsiTheme="minorHAnsi" w:cstheme="minorHAnsi"/>
          <w:szCs w:val="24"/>
        </w:rPr>
        <w:t>.</w:t>
      </w:r>
    </w:p>
    <w:p w:rsidR="00447D14" w:rsidP="00207800" w14:paraId="0A9A89BD" w14:textId="65A2DFBD">
      <w:pPr>
        <w:tabs>
          <w:tab w:val="left" w:pos="-720"/>
        </w:tabs>
        <w:suppressAutoHyphens/>
        <w:ind w:left="720"/>
        <w:rPr>
          <w:rFonts w:asciiTheme="minorHAnsi" w:hAnsiTheme="minorHAnsi" w:cstheme="minorHAnsi"/>
          <w:szCs w:val="24"/>
        </w:rPr>
      </w:pPr>
    </w:p>
    <w:p w:rsidR="00447D14" w:rsidRPr="00FB6309" w:rsidP="00447D14" w14:paraId="1DE1B30C" w14:textId="76E528B4">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There were no specific comments related to the burden for this information collection.  No changes have been made to the estimated burden.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207800" w:rsidRPr="00FB6309" w:rsidP="00207800" w14:paraId="2B760281"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207800" w:rsidP="00207800" w14:paraId="3A488726" w14:textId="771EF1B0">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States regarding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207800" w:rsidRPr="00FB6309" w:rsidP="00207800" w14:paraId="0BF15C1F"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423D4C" w:rsidP="00423D4C" w14:paraId="755C2E08" w14:textId="0C2CC1C6">
      <w:pPr>
        <w:shd w:val="clear" w:color="auto" w:fill="FFFFFF" w:themeFill="background1"/>
        <w:ind w:left="720"/>
        <w:rPr>
          <w:rFonts w:asciiTheme="minorHAnsi" w:hAnsiTheme="minorHAnsi" w:cstheme="minorHAnsi"/>
          <w:color w:val="242424"/>
          <w:szCs w:val="24"/>
          <w:shd w:val="clear" w:color="auto" w:fill="FFFFFF"/>
        </w:rPr>
      </w:pPr>
      <w:r w:rsidRPr="00423D4C">
        <w:rPr>
          <w:rFonts w:asciiTheme="minorHAnsi" w:hAnsiTheme="minorHAnsi" w:cstheme="minorHAnsi"/>
          <w:szCs w:val="24"/>
        </w:rPr>
        <w:t>Under § 668.156</w:t>
      </w:r>
      <w:r w:rsidR="00A16A5A">
        <w:rPr>
          <w:rFonts w:asciiTheme="minorHAnsi" w:hAnsiTheme="minorHAnsi" w:cstheme="minorHAnsi"/>
          <w:szCs w:val="24"/>
        </w:rPr>
        <w:t>(a)</w:t>
      </w:r>
      <w:r w:rsidRPr="00423D4C">
        <w:rPr>
          <w:rFonts w:asciiTheme="minorHAnsi" w:hAnsiTheme="minorHAnsi" w:cstheme="minorHAnsi"/>
          <w:szCs w:val="24"/>
        </w:rPr>
        <w:t>, a</w:t>
      </w:r>
      <w:r w:rsidRPr="00423D4C">
        <w:rPr>
          <w:rFonts w:asciiTheme="minorHAnsi" w:eastAsiaTheme="minorEastAsia" w:hAnsiTheme="minorHAnsi" w:cstheme="minorHAnsi"/>
          <w:szCs w:val="24"/>
        </w:rPr>
        <w:t xml:space="preserve"> State must apply to the Secretary for approval of its State process as an alternative to achieving a passing score on an approved, independently administered test or satisfactory completion of at least six credit hours or its recognized equivalent coursework for the purpose of determining a student's eligibility for title IV, HEA program</w:t>
      </w:r>
      <w:r w:rsidR="008F1AC5">
        <w:rPr>
          <w:rFonts w:asciiTheme="minorHAnsi" w:eastAsiaTheme="minorEastAsia" w:hAnsiTheme="minorHAnsi" w:cstheme="minorHAnsi"/>
          <w:szCs w:val="24"/>
        </w:rPr>
        <w:t xml:space="preserve"> for students</w:t>
      </w:r>
      <w:r w:rsidR="00614D3B">
        <w:rPr>
          <w:rFonts w:asciiTheme="minorHAnsi" w:eastAsiaTheme="minorEastAsia" w:hAnsiTheme="minorHAnsi" w:cstheme="minorHAnsi"/>
          <w:szCs w:val="24"/>
        </w:rPr>
        <w:t xml:space="preserve"> who are</w:t>
      </w:r>
      <w:r w:rsidR="008F1AC5">
        <w:rPr>
          <w:rFonts w:asciiTheme="minorHAnsi" w:eastAsiaTheme="minorEastAsia" w:hAnsiTheme="minorHAnsi" w:cstheme="minorHAnsi"/>
          <w:szCs w:val="24"/>
        </w:rPr>
        <w:t xml:space="preserve"> without a high school</w:t>
      </w:r>
      <w:r w:rsidR="00614D3B">
        <w:rPr>
          <w:rFonts w:asciiTheme="minorHAnsi" w:eastAsiaTheme="minorEastAsia" w:hAnsiTheme="minorHAnsi" w:cstheme="minorHAnsi"/>
          <w:szCs w:val="24"/>
        </w:rPr>
        <w:t xml:space="preserve"> diploma or its recognized equivalent</w:t>
      </w:r>
      <w:r w:rsidRPr="00423D4C">
        <w:rPr>
          <w:rFonts w:asciiTheme="minorHAnsi" w:eastAsiaTheme="minorEastAsia" w:hAnsiTheme="minorHAnsi" w:cstheme="minorHAnsi"/>
          <w:szCs w:val="24"/>
        </w:rPr>
        <w:t xml:space="preserve">.  </w:t>
      </w:r>
    </w:p>
    <w:p w:rsidR="00423D4C" w:rsidRPr="00423D4C" w:rsidP="00423D4C" w14:paraId="04FC4B9B" w14:textId="77777777">
      <w:pPr>
        <w:shd w:val="clear" w:color="auto" w:fill="FFFFFF" w:themeFill="background1"/>
        <w:ind w:left="720"/>
        <w:rPr>
          <w:rFonts w:asciiTheme="minorHAnsi" w:hAnsiTheme="minorHAnsi" w:cstheme="minorHAnsi"/>
          <w:color w:val="242424"/>
          <w:szCs w:val="24"/>
          <w:shd w:val="clear" w:color="auto" w:fill="FFFFFF"/>
        </w:rPr>
      </w:pPr>
    </w:p>
    <w:p w:rsidR="00423D4C" w:rsidRPr="00423D4C" w:rsidP="00423D4C" w14:paraId="6C5EE9C8" w14:textId="0D5C464A">
      <w:pPr>
        <w:shd w:val="clear" w:color="auto" w:fill="FFFFFF" w:themeFill="background1"/>
        <w:ind w:left="720"/>
        <w:rPr>
          <w:rFonts w:asciiTheme="minorHAnsi" w:hAnsiTheme="minorHAnsi" w:cstheme="minorHAnsi"/>
          <w:szCs w:val="24"/>
        </w:rPr>
      </w:pPr>
      <w:r w:rsidRPr="00423D4C">
        <w:rPr>
          <w:rFonts w:asciiTheme="minorHAnsi" w:hAnsiTheme="minorHAnsi" w:cstheme="minorHAnsi"/>
          <w:szCs w:val="24"/>
        </w:rPr>
        <w:t xml:space="preserve">The </w:t>
      </w:r>
      <w:r w:rsidR="00447D14">
        <w:rPr>
          <w:rFonts w:asciiTheme="minorHAnsi" w:hAnsiTheme="minorHAnsi" w:cstheme="minorHAnsi"/>
          <w:szCs w:val="24"/>
        </w:rPr>
        <w:t>Final Rule will</w:t>
      </w:r>
      <w:r w:rsidRPr="00423D4C">
        <w:rPr>
          <w:rFonts w:asciiTheme="minorHAnsi" w:hAnsiTheme="minorHAnsi" w:cstheme="minorHAnsi"/>
          <w:szCs w:val="24"/>
        </w:rPr>
        <w:t xml:space="preserve"> amend the monitoring requirement in redesignated § 668.156(c) to provide a participating institution that has failed to achieve the 85 percent success rate up to three years to achieve compliance.</w:t>
      </w:r>
    </w:p>
    <w:p w:rsidR="00423D4C" w:rsidP="00423D4C" w14:paraId="70125EB9" w14:textId="77777777">
      <w:pPr>
        <w:shd w:val="clear" w:color="auto" w:fill="FFFFFF" w:themeFill="background1"/>
        <w:ind w:left="720"/>
        <w:rPr>
          <w:rFonts w:asciiTheme="minorHAnsi" w:hAnsiTheme="minorHAnsi" w:cstheme="minorHAnsi"/>
          <w:szCs w:val="24"/>
        </w:rPr>
      </w:pPr>
    </w:p>
    <w:p w:rsidR="00423D4C" w:rsidRPr="00423D4C" w:rsidP="00423D4C" w14:paraId="103B87AF" w14:textId="2A827A2D">
      <w:pPr>
        <w:shd w:val="clear" w:color="auto" w:fill="FFFFFF" w:themeFill="background1"/>
        <w:ind w:left="720"/>
        <w:rPr>
          <w:rFonts w:asciiTheme="minorHAnsi" w:eastAsiaTheme="minorEastAsia" w:hAnsiTheme="minorHAnsi" w:cstheme="minorHAnsi"/>
          <w:szCs w:val="24"/>
        </w:rPr>
      </w:pPr>
      <w:r w:rsidRPr="00423D4C">
        <w:rPr>
          <w:rFonts w:asciiTheme="minorHAnsi" w:hAnsiTheme="minorHAnsi" w:cstheme="minorHAnsi"/>
          <w:szCs w:val="24"/>
        </w:rPr>
        <w:t>The</w:t>
      </w:r>
      <w:r w:rsidR="00DB044E">
        <w:rPr>
          <w:rFonts w:asciiTheme="minorHAnsi" w:hAnsiTheme="minorHAnsi" w:cstheme="minorHAnsi"/>
          <w:szCs w:val="24"/>
        </w:rPr>
        <w:t xml:space="preserve"> Final Rule will</w:t>
      </w:r>
      <w:r w:rsidRPr="00423D4C">
        <w:rPr>
          <w:rFonts w:asciiTheme="minorHAnsi" w:hAnsiTheme="minorHAnsi" w:cstheme="minorHAnsi"/>
          <w:szCs w:val="24"/>
        </w:rPr>
        <w:t xml:space="preserve"> amend redesignated § 668.156(e) to require that States report information on race, gender, age, economic circumstances, and education attainment and permit the Secretary to publish a notice in the </w:t>
      </w:r>
      <w:r w:rsidRPr="00423D4C">
        <w:rPr>
          <w:rFonts w:asciiTheme="minorHAnsi" w:hAnsiTheme="minorHAnsi" w:cstheme="minorHAnsi"/>
          <w:i/>
          <w:szCs w:val="24"/>
        </w:rPr>
        <w:t>Federal Register</w:t>
      </w:r>
      <w:r w:rsidRPr="00423D4C">
        <w:rPr>
          <w:rFonts w:asciiTheme="minorHAnsi" w:hAnsiTheme="minorHAnsi" w:cstheme="minorHAnsi"/>
          <w:szCs w:val="24"/>
        </w:rPr>
        <w:t xml:space="preserve"> with additional information that the Department may require States to submit.</w:t>
      </w:r>
    </w:p>
    <w:p w:rsidR="00423D4C" w:rsidP="00423D4C" w14:paraId="30A8F980" w14:textId="77777777">
      <w:pPr>
        <w:ind w:left="720"/>
        <w:rPr>
          <w:rFonts w:asciiTheme="minorHAnsi" w:hAnsiTheme="minorHAnsi" w:cstheme="minorHAnsi"/>
          <w:i/>
          <w:iCs/>
          <w:szCs w:val="24"/>
        </w:rPr>
      </w:pPr>
    </w:p>
    <w:p w:rsidR="00423D4C" w:rsidP="00423D4C" w14:paraId="56D0F8F3" w14:textId="4B1CFF82">
      <w:pPr>
        <w:ind w:left="720"/>
        <w:rPr>
          <w:rFonts w:asciiTheme="minorHAnsi" w:hAnsiTheme="minorHAnsi" w:cstheme="minorHAnsi"/>
          <w:szCs w:val="24"/>
        </w:rPr>
      </w:pPr>
      <w:r w:rsidRPr="00423D4C">
        <w:rPr>
          <w:rFonts w:asciiTheme="minorHAnsi" w:hAnsiTheme="minorHAnsi" w:cstheme="minorHAnsi"/>
          <w:szCs w:val="24"/>
        </w:rPr>
        <w:t xml:space="preserve">We estimate that it </w:t>
      </w:r>
      <w:r w:rsidR="00DB044E">
        <w:rPr>
          <w:rFonts w:asciiTheme="minorHAnsi" w:hAnsiTheme="minorHAnsi" w:cstheme="minorHAnsi"/>
          <w:szCs w:val="24"/>
        </w:rPr>
        <w:t>will</w:t>
      </w:r>
      <w:r w:rsidRPr="00423D4C">
        <w:rPr>
          <w:rFonts w:asciiTheme="minorHAnsi" w:hAnsiTheme="minorHAnsi" w:cstheme="minorHAnsi"/>
          <w:szCs w:val="24"/>
        </w:rPr>
        <w:t xml:space="preserve"> take a State 160 hours to create and submit an application for a State Process to the Department under the regulations in Section 668.156(a) for a total of 1,600 hours (160 hours x 10 States).</w:t>
      </w:r>
    </w:p>
    <w:p w:rsidR="00423D4C" w:rsidRPr="00423D4C" w:rsidP="00423D4C" w14:paraId="09DD71FD" w14:textId="77777777">
      <w:pPr>
        <w:ind w:left="720"/>
        <w:rPr>
          <w:rFonts w:asciiTheme="minorHAnsi" w:hAnsiTheme="minorHAnsi" w:cstheme="minorHAnsi"/>
          <w:szCs w:val="24"/>
        </w:rPr>
      </w:pPr>
    </w:p>
    <w:p w:rsidR="00423D4C" w:rsidRPr="00423D4C" w:rsidP="00423D4C" w14:paraId="29EB5AD8" w14:textId="5077060D">
      <w:pPr>
        <w:ind w:left="720"/>
        <w:rPr>
          <w:rFonts w:asciiTheme="minorHAnsi" w:hAnsiTheme="minorHAnsi" w:cstheme="minorHAnsi"/>
          <w:szCs w:val="24"/>
        </w:rPr>
      </w:pPr>
      <w:r>
        <w:rPr>
          <w:rFonts w:asciiTheme="minorHAnsi" w:hAnsiTheme="minorHAnsi" w:cstheme="minorHAnsi"/>
          <w:szCs w:val="24"/>
        </w:rPr>
        <w:t>W</w:t>
      </w:r>
      <w:r w:rsidRPr="00423D4C">
        <w:rPr>
          <w:rFonts w:asciiTheme="minorHAnsi" w:hAnsiTheme="minorHAnsi" w:cstheme="minorHAnsi"/>
          <w:szCs w:val="24"/>
        </w:rPr>
        <w:t xml:space="preserve">e estimate that it </w:t>
      </w:r>
      <w:r w:rsidR="00DB044E">
        <w:rPr>
          <w:rFonts w:asciiTheme="minorHAnsi" w:hAnsiTheme="minorHAnsi" w:cstheme="minorHAnsi"/>
          <w:szCs w:val="24"/>
        </w:rPr>
        <w:t>will</w:t>
      </w:r>
      <w:r w:rsidRPr="00423D4C">
        <w:rPr>
          <w:rFonts w:asciiTheme="minorHAnsi" w:hAnsiTheme="minorHAnsi" w:cstheme="minorHAnsi"/>
          <w:szCs w:val="24"/>
        </w:rPr>
        <w:t xml:space="preserve"> take a State an additional 40 hours annually to monitor the compliance of the institution’s use of the State Process under Section 668.156(c) for a total of 400 hours (40 hours x 10 States).  This time includes the development of any Corrective Action Plan for any institution the State finds not be complying with the State Process. </w:t>
      </w:r>
    </w:p>
    <w:p w:rsidR="00423D4C" w:rsidP="00423D4C" w14:paraId="70031D33" w14:textId="77777777">
      <w:pPr>
        <w:ind w:left="720"/>
        <w:rPr>
          <w:rFonts w:asciiTheme="minorHAnsi" w:hAnsiTheme="minorHAnsi" w:cstheme="minorHAnsi"/>
          <w:szCs w:val="24"/>
        </w:rPr>
      </w:pPr>
    </w:p>
    <w:p w:rsidR="00423D4C" w:rsidRPr="00423D4C" w:rsidP="00423D4C" w14:paraId="4508DEC5" w14:textId="2DEE1E9A">
      <w:pPr>
        <w:ind w:left="720"/>
        <w:rPr>
          <w:rFonts w:asciiTheme="minorHAnsi" w:hAnsiTheme="minorHAnsi" w:cstheme="minorHAnsi"/>
          <w:szCs w:val="24"/>
        </w:rPr>
      </w:pPr>
      <w:r w:rsidRPr="00423D4C">
        <w:rPr>
          <w:rFonts w:asciiTheme="minorHAnsi" w:hAnsiTheme="minorHAnsi" w:cstheme="minorHAnsi"/>
          <w:szCs w:val="24"/>
        </w:rPr>
        <w:t xml:space="preserve">We estimate that it </w:t>
      </w:r>
      <w:r w:rsidR="00DB044E">
        <w:rPr>
          <w:rFonts w:asciiTheme="minorHAnsi" w:hAnsiTheme="minorHAnsi" w:cstheme="minorHAnsi"/>
          <w:szCs w:val="24"/>
        </w:rPr>
        <w:t>will</w:t>
      </w:r>
      <w:r w:rsidRPr="00423D4C">
        <w:rPr>
          <w:rFonts w:asciiTheme="minorHAnsi" w:hAnsiTheme="minorHAnsi" w:cstheme="minorHAnsi"/>
          <w:szCs w:val="24"/>
        </w:rPr>
        <w:t xml:space="preserve"> take a State 120 hours to meet the reapplication requirements in Section 668.156(e) for a total of 1,200 hours (120 hours x 10 States). </w:t>
      </w:r>
    </w:p>
    <w:p w:rsidR="00423D4C" w:rsidP="00423D4C" w14:paraId="63CFB132" w14:textId="77777777">
      <w:pPr>
        <w:ind w:left="720"/>
        <w:rPr>
          <w:rFonts w:asciiTheme="minorHAnsi" w:hAnsiTheme="minorHAnsi" w:cstheme="minorHAnsi"/>
          <w:color w:val="000000"/>
          <w:szCs w:val="24"/>
          <w:shd w:val="clear" w:color="auto" w:fill="FFFFFF"/>
        </w:rPr>
      </w:pPr>
    </w:p>
    <w:p w:rsidR="00423D4C" w:rsidP="00423D4C" w14:paraId="3CB26155" w14:textId="27F13563">
      <w:pPr>
        <w:ind w:left="720"/>
        <w:rPr>
          <w:rFonts w:asciiTheme="minorHAnsi" w:hAnsiTheme="minorHAnsi" w:cstheme="minorHAnsi"/>
          <w:szCs w:val="24"/>
        </w:rPr>
      </w:pPr>
      <w:r w:rsidRPr="00423D4C">
        <w:rPr>
          <w:rFonts w:asciiTheme="minorHAnsi" w:hAnsiTheme="minorHAnsi" w:cstheme="minorHAnsi"/>
          <w:color w:val="000000"/>
          <w:szCs w:val="24"/>
          <w:shd w:val="clear" w:color="auto" w:fill="FFFFFF"/>
        </w:rPr>
        <w:t xml:space="preserve">The total hours associated with the change in the regulations as of the effective date of the regulations are </w:t>
      </w:r>
      <w:r w:rsidRPr="00423D4C">
        <w:rPr>
          <w:rFonts w:asciiTheme="minorHAnsi" w:hAnsiTheme="minorHAnsi" w:cstheme="minorHAnsi"/>
          <w:szCs w:val="24"/>
        </w:rPr>
        <w:t>estimated at a total of 3,200 hours of burden (320 hours x 10 States) with a total estimated cost of $</w:t>
      </w:r>
      <w:r w:rsidR="003829D8">
        <w:rPr>
          <w:rFonts w:asciiTheme="minorHAnsi" w:hAnsiTheme="minorHAnsi" w:cstheme="minorHAnsi"/>
          <w:szCs w:val="24"/>
        </w:rPr>
        <w:t>153</w:t>
      </w:r>
      <w:r w:rsidRPr="00423D4C">
        <w:rPr>
          <w:rFonts w:asciiTheme="minorHAnsi" w:hAnsiTheme="minorHAnsi" w:cstheme="minorHAnsi"/>
          <w:szCs w:val="24"/>
        </w:rPr>
        <w:t>,</w:t>
      </w:r>
      <w:r w:rsidR="003829D8">
        <w:rPr>
          <w:rFonts w:asciiTheme="minorHAnsi" w:hAnsiTheme="minorHAnsi" w:cstheme="minorHAnsi"/>
          <w:szCs w:val="24"/>
        </w:rPr>
        <w:t>760</w:t>
      </w:r>
      <w:r w:rsidRPr="00423D4C">
        <w:rPr>
          <w:rFonts w:asciiTheme="minorHAnsi" w:hAnsiTheme="minorHAnsi" w:cstheme="minorHAnsi"/>
          <w:szCs w:val="24"/>
        </w:rPr>
        <w:t>.00 in OMB Control Number 1845-</w:t>
      </w:r>
      <w:r w:rsidR="003829D8">
        <w:rPr>
          <w:rFonts w:asciiTheme="minorHAnsi" w:hAnsiTheme="minorHAnsi" w:cstheme="minorHAnsi"/>
          <w:szCs w:val="24"/>
        </w:rPr>
        <w:t>0176</w:t>
      </w:r>
      <w:r w:rsidRPr="00423D4C">
        <w:rPr>
          <w:rFonts w:asciiTheme="minorHAnsi" w:hAnsiTheme="minorHAnsi" w:cstheme="minorHAnsi"/>
          <w:szCs w:val="24"/>
        </w:rPr>
        <w:t>.</w:t>
      </w:r>
    </w:p>
    <w:p w:rsidR="00A16A5A" w:rsidP="00423D4C" w14:paraId="34630D22" w14:textId="56FB9982">
      <w:pPr>
        <w:ind w:left="720"/>
        <w:rPr>
          <w:rFonts w:asciiTheme="minorHAnsi" w:hAnsiTheme="minorHAnsi" w:cstheme="minorHAnsi"/>
          <w:szCs w:val="24"/>
        </w:rPr>
      </w:pPr>
    </w:p>
    <w:p w:rsidR="00DB044E" w:rsidP="00DB044E" w14:paraId="71BBAFDB" w14:textId="7434BD0F">
      <w:pPr>
        <w:pStyle w:val="ListParagraph"/>
        <w:tabs>
          <w:tab w:val="left" w:pos="-720"/>
        </w:tabs>
        <w:suppressAutoHyphens/>
        <w:rPr>
          <w:rFonts w:asciiTheme="minorHAnsi" w:hAnsiTheme="minorHAnsi" w:cstheme="minorHAnsi"/>
        </w:rPr>
      </w:pPr>
      <w:bookmarkStart w:id="2" w:name="_Hlk109719052"/>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For </w:t>
      </w:r>
      <w:r>
        <w:rPr>
          <w:rFonts w:asciiTheme="minorHAnsi" w:hAnsiTheme="minorHAnsi" w:cstheme="minorHAnsi"/>
          <w:color w:val="000000" w:themeColor="text1"/>
          <w:szCs w:val="24"/>
        </w:rPr>
        <w:t>Sates</w:t>
      </w:r>
      <w:r w:rsidRPr="00FA48B5">
        <w:rPr>
          <w:rFonts w:asciiTheme="minorHAnsi" w:hAnsiTheme="minorHAnsi" w:cstheme="minorHAnsi"/>
          <w:color w:val="000000" w:themeColor="text1"/>
          <w:szCs w:val="24"/>
        </w:rPr>
        <w:t xml:space="preserve"> </w:t>
      </w:r>
      <w:bookmarkEnd w:id="2"/>
      <w:r>
        <w:rPr>
          <w:rFonts w:asciiTheme="minorHAnsi" w:hAnsiTheme="minorHAnsi" w:cstheme="minorHAnsi"/>
        </w:rPr>
        <w:t xml:space="preserve">we have used the median hourly wage for Education Administrators, Postsecondary, $48.05 per hour according to BLS. </w:t>
      </w:r>
      <w:hyperlink r:id="rId10" w:history="1">
        <w:r w:rsidRPr="00656C0C">
          <w:rPr>
            <w:rStyle w:val="Hyperlink"/>
            <w:rFonts w:asciiTheme="minorHAnsi" w:hAnsiTheme="minorHAnsi" w:cstheme="minorHAnsi"/>
          </w:rPr>
          <w:t>https://www.bls.gov/oes/current/oes119033.htm</w:t>
        </w:r>
      </w:hyperlink>
      <w:r>
        <w:rPr>
          <w:rFonts w:asciiTheme="minorHAnsi" w:hAnsiTheme="minorHAnsi" w:cstheme="minorHAnsi"/>
        </w:rPr>
        <w:t>.</w:t>
      </w:r>
    </w:p>
    <w:p w:rsidR="00A16A5A" w:rsidP="00423D4C" w14:paraId="0D3CE6FF" w14:textId="485665E2">
      <w:pPr>
        <w:ind w:left="720"/>
        <w:rPr>
          <w:rFonts w:asciiTheme="minorHAnsi" w:hAnsiTheme="minorHAnsi" w:cstheme="minorHAnsi"/>
          <w:szCs w:val="24"/>
        </w:rPr>
      </w:pPr>
    </w:p>
    <w:p w:rsidR="00423D4C" w:rsidRPr="00946BDA" w:rsidP="00423D4C" w14:paraId="0056FE4B" w14:textId="31CDBC02">
      <w:pPr>
        <w:ind w:left="720"/>
        <w:rPr>
          <w:rFonts w:ascii="Courier New" w:hAnsi="Courier New" w:cs="Courier New"/>
          <w:szCs w:val="24"/>
        </w:rPr>
      </w:pPr>
      <w:r w:rsidRPr="00946BDA">
        <w:rPr>
          <w:rFonts w:ascii="Courier New" w:hAnsi="Courier New" w:cs="Courier New"/>
          <w:szCs w:val="24"/>
        </w:rPr>
        <w:t xml:space="preserve"> </w:t>
      </w: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30194A75" w14:textId="77777777" w:rsidTr="009C37AF">
        <w:tblPrEx>
          <w:tblW w:w="8815" w:type="dxa"/>
          <w:tblLayout w:type="fixed"/>
          <w:tblLook w:val="0020"/>
        </w:tblPrEx>
        <w:trPr>
          <w:tblHeader/>
        </w:trPr>
        <w:tc>
          <w:tcPr>
            <w:tcW w:w="134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9C37AF">
        <w:tblPrEx>
          <w:tblW w:w="8815" w:type="dxa"/>
          <w:tblLayout w:type="fixed"/>
          <w:tblLook w:val="0020"/>
        </w:tblPrEx>
        <w:tc>
          <w:tcPr>
            <w:tcW w:w="1345" w:type="dxa"/>
          </w:tcPr>
          <w:p w:rsidR="002B18A5" w:rsidRPr="009C37AF" w:rsidP="002B18A5"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2B18A5" w:rsidRPr="002B18A5" w:rsidP="00592B98" w14:paraId="55A5A72E" w14:textId="5183D282">
            <w:pPr>
              <w:jc w:val="right"/>
              <w:rPr>
                <w:rFonts w:asciiTheme="minorHAnsi" w:hAnsiTheme="minorHAnsi" w:cstheme="minorHAnsi"/>
                <w:szCs w:val="24"/>
              </w:rPr>
            </w:pPr>
            <w:r w:rsidRPr="002B18A5">
              <w:rPr>
                <w:rFonts w:asciiTheme="minorHAnsi" w:hAnsiTheme="minorHAnsi" w:cstheme="minorHAnsi"/>
                <w:szCs w:val="24"/>
              </w:rPr>
              <w:t>N/A</w:t>
            </w:r>
          </w:p>
        </w:tc>
        <w:tc>
          <w:tcPr>
            <w:tcW w:w="1080" w:type="dxa"/>
          </w:tcPr>
          <w:p w:rsidR="002B18A5" w:rsidRPr="00442E07" w:rsidP="00592B98" w14:paraId="4F0B7217" w14:textId="5E1D4EF8">
            <w:pPr>
              <w:jc w:val="right"/>
              <w:rPr>
                <w:rFonts w:ascii="Times New Roman" w:hAnsi="Times New Roman"/>
                <w:szCs w:val="24"/>
              </w:rPr>
            </w:pPr>
            <w:r w:rsidRPr="002B18A5">
              <w:rPr>
                <w:rFonts w:asciiTheme="minorHAnsi" w:hAnsiTheme="minorHAnsi" w:cstheme="minorHAnsi"/>
                <w:szCs w:val="24"/>
              </w:rPr>
              <w:t>N/A</w:t>
            </w:r>
          </w:p>
        </w:tc>
        <w:tc>
          <w:tcPr>
            <w:tcW w:w="1335" w:type="dxa"/>
          </w:tcPr>
          <w:p w:rsidR="002B18A5" w:rsidRPr="00442E07" w:rsidP="00592B98" w14:paraId="0524C928" w14:textId="110B316A">
            <w:pPr>
              <w:jc w:val="right"/>
              <w:rPr>
                <w:rFonts w:ascii="Times New Roman" w:hAnsi="Times New Roman"/>
                <w:szCs w:val="24"/>
              </w:rPr>
            </w:pPr>
            <w:r w:rsidRPr="002B18A5">
              <w:rPr>
                <w:rFonts w:asciiTheme="minorHAnsi" w:hAnsiTheme="minorHAnsi" w:cstheme="minorHAnsi"/>
                <w:szCs w:val="24"/>
              </w:rPr>
              <w:t>N/A</w:t>
            </w:r>
          </w:p>
        </w:tc>
        <w:tc>
          <w:tcPr>
            <w:tcW w:w="900" w:type="dxa"/>
          </w:tcPr>
          <w:p w:rsidR="002B18A5" w:rsidRPr="00442E07" w:rsidP="00592B98" w14:paraId="6F45AD1D" w14:textId="4A4C8C23">
            <w:pPr>
              <w:jc w:val="right"/>
              <w:rPr>
                <w:rFonts w:ascii="Times New Roman" w:hAnsi="Times New Roman"/>
                <w:szCs w:val="24"/>
              </w:rPr>
            </w:pPr>
            <w:r w:rsidRPr="002B18A5">
              <w:rPr>
                <w:rFonts w:asciiTheme="minorHAnsi" w:hAnsiTheme="minorHAnsi" w:cstheme="minorHAnsi"/>
                <w:szCs w:val="24"/>
              </w:rPr>
              <w:t>N/A</w:t>
            </w:r>
          </w:p>
        </w:tc>
        <w:tc>
          <w:tcPr>
            <w:tcW w:w="1530" w:type="dxa"/>
          </w:tcPr>
          <w:p w:rsidR="002B18A5" w:rsidRPr="00442E07" w:rsidP="00592B98" w14:paraId="5F0F2A78" w14:textId="5CD1E9DF">
            <w:pPr>
              <w:jc w:val="right"/>
              <w:rPr>
                <w:rFonts w:ascii="Times New Roman" w:hAnsi="Times New Roman"/>
                <w:szCs w:val="24"/>
              </w:rPr>
            </w:pPr>
            <w:r w:rsidRPr="002B18A5">
              <w:rPr>
                <w:rFonts w:asciiTheme="minorHAnsi" w:hAnsiTheme="minorHAnsi" w:cstheme="minorHAnsi"/>
                <w:szCs w:val="24"/>
              </w:rPr>
              <w:t>N/A</w:t>
            </w:r>
          </w:p>
        </w:tc>
        <w:tc>
          <w:tcPr>
            <w:tcW w:w="1350" w:type="dxa"/>
          </w:tcPr>
          <w:p w:rsidR="002B18A5" w:rsidRPr="00442E07" w:rsidP="00592B98" w14:paraId="63DD1E06" w14:textId="4F86E0D3">
            <w:pPr>
              <w:jc w:val="right"/>
              <w:rPr>
                <w:rFonts w:ascii="Times New Roman" w:hAnsi="Times New Roman"/>
                <w:szCs w:val="24"/>
              </w:rPr>
            </w:pPr>
            <w:r w:rsidRPr="002B18A5">
              <w:rPr>
                <w:rFonts w:asciiTheme="minorHAnsi" w:hAnsiTheme="minorHAnsi" w:cstheme="minorHAnsi"/>
                <w:szCs w:val="24"/>
              </w:rPr>
              <w:t>N/A</w:t>
            </w:r>
          </w:p>
        </w:tc>
      </w:tr>
      <w:tr w14:paraId="0E729D89" w14:textId="77777777" w:rsidTr="009C37AF">
        <w:tblPrEx>
          <w:tblW w:w="8815" w:type="dxa"/>
          <w:tblLayout w:type="fixed"/>
          <w:tblLook w:val="0020"/>
        </w:tblPrEx>
        <w:tc>
          <w:tcPr>
            <w:tcW w:w="1345" w:type="dxa"/>
          </w:tcPr>
          <w:p w:rsidR="002B18A5" w:rsidRPr="009C37AF" w:rsidP="002B18A5"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2B18A5" w:rsidRPr="00442E07" w:rsidP="00592B98" w14:paraId="2DD92A89" w14:textId="0B42EFEF">
            <w:pPr>
              <w:jc w:val="right"/>
              <w:rPr>
                <w:rFonts w:ascii="Times New Roman" w:hAnsi="Times New Roman"/>
                <w:szCs w:val="24"/>
              </w:rPr>
            </w:pPr>
            <w:r w:rsidRPr="002B18A5">
              <w:rPr>
                <w:rFonts w:asciiTheme="minorHAnsi" w:hAnsiTheme="minorHAnsi" w:cstheme="minorHAnsi"/>
                <w:szCs w:val="24"/>
              </w:rPr>
              <w:t>N/A</w:t>
            </w:r>
          </w:p>
        </w:tc>
        <w:tc>
          <w:tcPr>
            <w:tcW w:w="1080" w:type="dxa"/>
          </w:tcPr>
          <w:p w:rsidR="002B18A5" w:rsidRPr="00442E07" w:rsidP="00592B98" w14:paraId="7F418FD3" w14:textId="256B6C84">
            <w:pPr>
              <w:jc w:val="right"/>
              <w:rPr>
                <w:rFonts w:ascii="Times New Roman" w:hAnsi="Times New Roman"/>
                <w:szCs w:val="24"/>
              </w:rPr>
            </w:pPr>
            <w:r w:rsidRPr="002B18A5">
              <w:rPr>
                <w:rFonts w:asciiTheme="minorHAnsi" w:hAnsiTheme="minorHAnsi" w:cstheme="minorHAnsi"/>
                <w:szCs w:val="24"/>
              </w:rPr>
              <w:t>N/A</w:t>
            </w:r>
          </w:p>
        </w:tc>
        <w:tc>
          <w:tcPr>
            <w:tcW w:w="1335" w:type="dxa"/>
          </w:tcPr>
          <w:p w:rsidR="002B18A5" w:rsidRPr="00442E07" w:rsidP="00592B98" w14:paraId="11378B7D" w14:textId="7573678D">
            <w:pPr>
              <w:jc w:val="right"/>
              <w:rPr>
                <w:rFonts w:ascii="Times New Roman" w:hAnsi="Times New Roman"/>
                <w:szCs w:val="24"/>
              </w:rPr>
            </w:pPr>
            <w:r w:rsidRPr="002B18A5">
              <w:rPr>
                <w:rFonts w:asciiTheme="minorHAnsi" w:hAnsiTheme="minorHAnsi" w:cstheme="minorHAnsi"/>
                <w:szCs w:val="24"/>
              </w:rPr>
              <w:t>N/A</w:t>
            </w:r>
          </w:p>
        </w:tc>
        <w:tc>
          <w:tcPr>
            <w:tcW w:w="900" w:type="dxa"/>
          </w:tcPr>
          <w:p w:rsidR="002B18A5" w:rsidRPr="00442E07" w:rsidP="00592B98" w14:paraId="1AEEFB60" w14:textId="75A906C2">
            <w:pPr>
              <w:pStyle w:val="EndnoteText"/>
              <w:tabs>
                <w:tab w:val="clear" w:pos="-720"/>
              </w:tabs>
              <w:suppressAutoHyphens w:val="0"/>
              <w:jc w:val="right"/>
              <w:rPr>
                <w:rFonts w:ascii="Times New Roman" w:hAnsi="Times New Roman"/>
                <w:szCs w:val="24"/>
              </w:rPr>
            </w:pPr>
            <w:r w:rsidRPr="002B18A5">
              <w:rPr>
                <w:rFonts w:asciiTheme="minorHAnsi" w:hAnsiTheme="minorHAnsi" w:cstheme="minorHAnsi"/>
                <w:szCs w:val="24"/>
              </w:rPr>
              <w:t>N/A</w:t>
            </w:r>
          </w:p>
        </w:tc>
        <w:tc>
          <w:tcPr>
            <w:tcW w:w="1530" w:type="dxa"/>
          </w:tcPr>
          <w:p w:rsidR="002B18A5" w:rsidRPr="00442E07" w:rsidP="00592B98" w14:paraId="5D2E57DB" w14:textId="7C05F397">
            <w:pPr>
              <w:jc w:val="right"/>
              <w:rPr>
                <w:rFonts w:ascii="Times New Roman" w:hAnsi="Times New Roman"/>
                <w:szCs w:val="24"/>
              </w:rPr>
            </w:pPr>
            <w:r w:rsidRPr="002B18A5">
              <w:rPr>
                <w:rFonts w:asciiTheme="minorHAnsi" w:hAnsiTheme="minorHAnsi" w:cstheme="minorHAnsi"/>
                <w:szCs w:val="24"/>
              </w:rPr>
              <w:t>N/A</w:t>
            </w:r>
          </w:p>
        </w:tc>
        <w:tc>
          <w:tcPr>
            <w:tcW w:w="1350" w:type="dxa"/>
          </w:tcPr>
          <w:p w:rsidR="002B18A5" w:rsidRPr="00442E07" w:rsidP="00592B98" w14:paraId="55ED5F6C" w14:textId="046BD739">
            <w:pPr>
              <w:jc w:val="right"/>
              <w:rPr>
                <w:rFonts w:ascii="Times New Roman" w:hAnsi="Times New Roman"/>
                <w:szCs w:val="24"/>
              </w:rPr>
            </w:pPr>
            <w:r w:rsidRPr="002B18A5">
              <w:rPr>
                <w:rFonts w:asciiTheme="minorHAnsi" w:hAnsiTheme="minorHAnsi" w:cstheme="minorHAnsi"/>
                <w:szCs w:val="24"/>
              </w:rPr>
              <w:t>N/A</w:t>
            </w:r>
          </w:p>
        </w:tc>
      </w:tr>
      <w:tr w14:paraId="3613CD1F" w14:textId="77777777" w:rsidTr="009C37AF">
        <w:tblPrEx>
          <w:tblW w:w="8815" w:type="dxa"/>
          <w:tblLayout w:type="fixed"/>
          <w:tblLook w:val="0020"/>
        </w:tblPrEx>
        <w:tc>
          <w:tcPr>
            <w:tcW w:w="1345" w:type="dxa"/>
          </w:tcPr>
          <w:p w:rsidR="002B18A5" w:rsidRPr="009C37AF" w:rsidP="002B18A5"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2B18A5" w:rsidRPr="00442E07" w:rsidP="00592B98" w14:paraId="5E785442" w14:textId="21FB5AAD">
            <w:pPr>
              <w:jc w:val="right"/>
              <w:rPr>
                <w:rFonts w:ascii="Times New Roman" w:hAnsi="Times New Roman"/>
                <w:szCs w:val="24"/>
              </w:rPr>
            </w:pPr>
            <w:r w:rsidRPr="002B18A5">
              <w:rPr>
                <w:rFonts w:asciiTheme="minorHAnsi" w:hAnsiTheme="minorHAnsi" w:cstheme="minorHAnsi"/>
                <w:szCs w:val="24"/>
              </w:rPr>
              <w:t>N/A</w:t>
            </w:r>
          </w:p>
        </w:tc>
        <w:tc>
          <w:tcPr>
            <w:tcW w:w="1080" w:type="dxa"/>
          </w:tcPr>
          <w:p w:rsidR="002B18A5" w:rsidRPr="00442E07" w:rsidP="00592B98" w14:paraId="49455BBE" w14:textId="252ED76D">
            <w:pPr>
              <w:jc w:val="right"/>
              <w:rPr>
                <w:rFonts w:ascii="Times New Roman" w:hAnsi="Times New Roman"/>
                <w:szCs w:val="24"/>
              </w:rPr>
            </w:pPr>
            <w:r w:rsidRPr="002B18A5">
              <w:rPr>
                <w:rFonts w:asciiTheme="minorHAnsi" w:hAnsiTheme="minorHAnsi" w:cstheme="minorHAnsi"/>
                <w:szCs w:val="24"/>
              </w:rPr>
              <w:t>N/A</w:t>
            </w:r>
          </w:p>
        </w:tc>
        <w:tc>
          <w:tcPr>
            <w:tcW w:w="1335" w:type="dxa"/>
          </w:tcPr>
          <w:p w:rsidR="002B18A5" w:rsidRPr="00442E07" w:rsidP="00592B98" w14:paraId="04DD53DB" w14:textId="67588754">
            <w:pPr>
              <w:jc w:val="right"/>
              <w:rPr>
                <w:rFonts w:ascii="Times New Roman" w:hAnsi="Times New Roman"/>
                <w:szCs w:val="24"/>
              </w:rPr>
            </w:pPr>
            <w:r w:rsidRPr="002B18A5">
              <w:rPr>
                <w:rFonts w:asciiTheme="minorHAnsi" w:hAnsiTheme="minorHAnsi" w:cstheme="minorHAnsi"/>
                <w:szCs w:val="24"/>
              </w:rPr>
              <w:t>N/A</w:t>
            </w:r>
          </w:p>
        </w:tc>
        <w:tc>
          <w:tcPr>
            <w:tcW w:w="900" w:type="dxa"/>
          </w:tcPr>
          <w:p w:rsidR="002B18A5" w:rsidRPr="00442E07" w:rsidP="00592B98" w14:paraId="39E6A524" w14:textId="70753DD4">
            <w:pPr>
              <w:pStyle w:val="EndnoteText"/>
              <w:tabs>
                <w:tab w:val="clear" w:pos="-720"/>
              </w:tabs>
              <w:suppressAutoHyphens w:val="0"/>
              <w:jc w:val="right"/>
              <w:rPr>
                <w:rFonts w:ascii="Times New Roman" w:hAnsi="Times New Roman"/>
                <w:szCs w:val="24"/>
              </w:rPr>
            </w:pPr>
            <w:r w:rsidRPr="002B18A5">
              <w:rPr>
                <w:rFonts w:asciiTheme="minorHAnsi" w:hAnsiTheme="minorHAnsi" w:cstheme="minorHAnsi"/>
                <w:szCs w:val="24"/>
              </w:rPr>
              <w:t>N/A</w:t>
            </w:r>
          </w:p>
        </w:tc>
        <w:tc>
          <w:tcPr>
            <w:tcW w:w="1530" w:type="dxa"/>
          </w:tcPr>
          <w:p w:rsidR="002B18A5" w:rsidRPr="00442E07" w:rsidP="00592B98" w14:paraId="605A32D6" w14:textId="0B5ED10F">
            <w:pPr>
              <w:jc w:val="right"/>
              <w:rPr>
                <w:rFonts w:ascii="Times New Roman" w:hAnsi="Times New Roman"/>
                <w:szCs w:val="24"/>
              </w:rPr>
            </w:pPr>
            <w:r w:rsidRPr="002B18A5">
              <w:rPr>
                <w:rFonts w:asciiTheme="minorHAnsi" w:hAnsiTheme="minorHAnsi" w:cstheme="minorHAnsi"/>
                <w:szCs w:val="24"/>
              </w:rPr>
              <w:t>N/A</w:t>
            </w:r>
          </w:p>
        </w:tc>
        <w:tc>
          <w:tcPr>
            <w:tcW w:w="1350" w:type="dxa"/>
          </w:tcPr>
          <w:p w:rsidR="002B18A5" w:rsidRPr="00442E07" w:rsidP="00592B98" w14:paraId="7F5D36FF" w14:textId="382C4DA5">
            <w:pPr>
              <w:jc w:val="right"/>
              <w:rPr>
                <w:rFonts w:ascii="Times New Roman" w:hAnsi="Times New Roman"/>
                <w:szCs w:val="24"/>
              </w:rPr>
            </w:pPr>
            <w:r w:rsidRPr="002B18A5">
              <w:rPr>
                <w:rFonts w:asciiTheme="minorHAnsi" w:hAnsiTheme="minorHAnsi" w:cstheme="minorHAnsi"/>
                <w:szCs w:val="24"/>
              </w:rPr>
              <w:t>N/A</w:t>
            </w:r>
          </w:p>
        </w:tc>
      </w:tr>
      <w:tr w14:paraId="17134648" w14:textId="77777777" w:rsidTr="009C37AF">
        <w:tblPrEx>
          <w:tblW w:w="8815" w:type="dxa"/>
          <w:tblLayout w:type="fixed"/>
          <w:tblLook w:val="0020"/>
        </w:tblPrEx>
        <w:tc>
          <w:tcPr>
            <w:tcW w:w="1345" w:type="dxa"/>
          </w:tcPr>
          <w:p w:rsidR="009C37AF" w:rsidRPr="009C37AF" w:rsidP="005D28E6"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5A522F" w:rsidP="00423D4C" w14:paraId="44D0EC38" w14:textId="78716ADE">
            <w:pPr>
              <w:jc w:val="right"/>
              <w:rPr>
                <w:rFonts w:asciiTheme="minorHAnsi" w:hAnsiTheme="minorHAnsi" w:cstheme="minorHAnsi"/>
                <w:szCs w:val="24"/>
              </w:rPr>
            </w:pPr>
            <w:r w:rsidRPr="005A522F">
              <w:rPr>
                <w:rFonts w:asciiTheme="minorHAnsi" w:hAnsiTheme="minorHAnsi" w:cstheme="minorHAnsi"/>
                <w:szCs w:val="24"/>
              </w:rPr>
              <w:t>10</w:t>
            </w:r>
          </w:p>
        </w:tc>
        <w:tc>
          <w:tcPr>
            <w:tcW w:w="1080" w:type="dxa"/>
          </w:tcPr>
          <w:p w:rsidR="009C37AF" w:rsidRPr="005A522F" w:rsidP="00423D4C" w14:paraId="1E02F8B0" w14:textId="383AAF5C">
            <w:pPr>
              <w:jc w:val="right"/>
              <w:rPr>
                <w:rFonts w:asciiTheme="minorHAnsi" w:hAnsiTheme="minorHAnsi" w:cstheme="minorHAnsi"/>
                <w:szCs w:val="24"/>
              </w:rPr>
            </w:pPr>
            <w:r w:rsidRPr="005A522F">
              <w:rPr>
                <w:rFonts w:asciiTheme="minorHAnsi" w:hAnsiTheme="minorHAnsi" w:cstheme="minorHAnsi"/>
                <w:szCs w:val="24"/>
              </w:rPr>
              <w:t>30</w:t>
            </w:r>
          </w:p>
        </w:tc>
        <w:tc>
          <w:tcPr>
            <w:tcW w:w="1335" w:type="dxa"/>
          </w:tcPr>
          <w:p w:rsidR="009C37AF" w:rsidRPr="005A522F" w:rsidP="00423D4C" w14:paraId="730B3154" w14:textId="44E75783">
            <w:pPr>
              <w:jc w:val="right"/>
              <w:rPr>
                <w:rFonts w:asciiTheme="minorHAnsi" w:hAnsiTheme="minorHAnsi" w:cstheme="minorHAnsi"/>
                <w:szCs w:val="24"/>
              </w:rPr>
            </w:pPr>
            <w:r w:rsidRPr="005A522F">
              <w:rPr>
                <w:rFonts w:asciiTheme="minorHAnsi" w:hAnsiTheme="minorHAnsi" w:cstheme="minorHAnsi"/>
                <w:szCs w:val="24"/>
              </w:rPr>
              <w:t>See above</w:t>
            </w:r>
          </w:p>
        </w:tc>
        <w:tc>
          <w:tcPr>
            <w:tcW w:w="900" w:type="dxa"/>
          </w:tcPr>
          <w:p w:rsidR="009C37AF" w:rsidRPr="005A522F" w:rsidP="00423D4C" w14:paraId="0F7068F7" w14:textId="40942E05">
            <w:pPr>
              <w:jc w:val="right"/>
              <w:rPr>
                <w:rFonts w:asciiTheme="minorHAnsi" w:hAnsiTheme="minorHAnsi" w:cstheme="minorHAnsi"/>
                <w:szCs w:val="24"/>
              </w:rPr>
            </w:pPr>
            <w:r w:rsidRPr="005A522F">
              <w:rPr>
                <w:rFonts w:asciiTheme="minorHAnsi" w:hAnsiTheme="minorHAnsi" w:cstheme="minorHAnsi"/>
                <w:szCs w:val="24"/>
              </w:rPr>
              <w:t>3,200</w:t>
            </w:r>
          </w:p>
        </w:tc>
        <w:tc>
          <w:tcPr>
            <w:tcW w:w="1530" w:type="dxa"/>
          </w:tcPr>
          <w:p w:rsidR="009C37AF" w:rsidRPr="005A522F" w:rsidP="00423D4C" w14:paraId="66779289" w14:textId="4D79B239">
            <w:pPr>
              <w:jc w:val="right"/>
              <w:rPr>
                <w:rFonts w:asciiTheme="minorHAnsi" w:hAnsiTheme="minorHAnsi" w:cstheme="minorHAnsi"/>
                <w:szCs w:val="24"/>
              </w:rPr>
            </w:pPr>
            <w:r w:rsidRPr="005A522F">
              <w:rPr>
                <w:rFonts w:asciiTheme="minorHAnsi" w:hAnsiTheme="minorHAnsi" w:cstheme="minorHAnsi"/>
                <w:szCs w:val="24"/>
              </w:rPr>
              <w:t>$</w:t>
            </w:r>
            <w:r w:rsidR="002F7591">
              <w:rPr>
                <w:rFonts w:asciiTheme="minorHAnsi" w:hAnsiTheme="minorHAnsi" w:cstheme="minorHAnsi"/>
                <w:szCs w:val="24"/>
              </w:rPr>
              <w:t>48.05</w:t>
            </w:r>
          </w:p>
        </w:tc>
        <w:tc>
          <w:tcPr>
            <w:tcW w:w="1350" w:type="dxa"/>
          </w:tcPr>
          <w:p w:rsidR="009C37AF" w:rsidRPr="005A522F" w:rsidP="00423D4C" w14:paraId="143D8490" w14:textId="68006B17">
            <w:pPr>
              <w:jc w:val="right"/>
              <w:rPr>
                <w:rFonts w:asciiTheme="minorHAnsi" w:hAnsiTheme="minorHAnsi" w:cstheme="minorHAnsi"/>
                <w:szCs w:val="24"/>
              </w:rPr>
            </w:pPr>
            <w:r w:rsidRPr="005A522F">
              <w:rPr>
                <w:rFonts w:asciiTheme="minorHAnsi" w:hAnsiTheme="minorHAnsi" w:cstheme="minorHAnsi"/>
                <w:szCs w:val="24"/>
              </w:rPr>
              <w:t>$</w:t>
            </w:r>
            <w:r w:rsidR="002F7591">
              <w:rPr>
                <w:rFonts w:asciiTheme="minorHAnsi" w:hAnsiTheme="minorHAnsi" w:cstheme="minorHAnsi"/>
                <w:szCs w:val="24"/>
              </w:rPr>
              <w:t>153,760</w:t>
            </w:r>
          </w:p>
        </w:tc>
      </w:tr>
      <w:tr w14:paraId="3DEE77D3" w14:textId="77777777" w:rsidTr="009C37AF">
        <w:tblPrEx>
          <w:tblW w:w="8815" w:type="dxa"/>
          <w:tblLayout w:type="fixed"/>
          <w:tblLook w:val="0020"/>
        </w:tblPrEx>
        <w:tc>
          <w:tcPr>
            <w:tcW w:w="1345" w:type="dxa"/>
          </w:tcPr>
          <w:p w:rsidR="00423D4C" w:rsidRPr="00442E07" w:rsidP="00423D4C"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423D4C" w:rsidRPr="005A522F" w:rsidP="00423D4C" w14:paraId="224C2C47" w14:textId="45DD1F1B">
            <w:pPr>
              <w:jc w:val="right"/>
              <w:rPr>
                <w:rFonts w:asciiTheme="minorHAnsi" w:hAnsiTheme="minorHAnsi" w:cstheme="minorHAnsi"/>
                <w:szCs w:val="24"/>
              </w:rPr>
            </w:pPr>
            <w:r w:rsidRPr="005A522F">
              <w:rPr>
                <w:rFonts w:asciiTheme="minorHAnsi" w:hAnsiTheme="minorHAnsi" w:cstheme="minorHAnsi"/>
                <w:szCs w:val="24"/>
              </w:rPr>
              <w:t>10</w:t>
            </w:r>
          </w:p>
        </w:tc>
        <w:tc>
          <w:tcPr>
            <w:tcW w:w="1080" w:type="dxa"/>
          </w:tcPr>
          <w:p w:rsidR="00423D4C" w:rsidRPr="005A522F" w:rsidP="00423D4C" w14:paraId="5F4B54EA" w14:textId="30147F77">
            <w:pPr>
              <w:jc w:val="right"/>
              <w:rPr>
                <w:rFonts w:asciiTheme="minorHAnsi" w:hAnsiTheme="minorHAnsi" w:cstheme="minorHAnsi"/>
                <w:szCs w:val="24"/>
              </w:rPr>
            </w:pPr>
            <w:r w:rsidRPr="005A522F">
              <w:rPr>
                <w:rFonts w:asciiTheme="minorHAnsi" w:hAnsiTheme="minorHAnsi" w:cstheme="minorHAnsi"/>
                <w:szCs w:val="24"/>
              </w:rPr>
              <w:t>30</w:t>
            </w:r>
          </w:p>
        </w:tc>
        <w:tc>
          <w:tcPr>
            <w:tcW w:w="1335" w:type="dxa"/>
          </w:tcPr>
          <w:p w:rsidR="00423D4C" w:rsidRPr="005A522F" w:rsidP="00423D4C" w14:paraId="68058CE4" w14:textId="1E789E93">
            <w:pPr>
              <w:jc w:val="right"/>
              <w:rPr>
                <w:rFonts w:asciiTheme="minorHAnsi" w:hAnsiTheme="minorHAnsi" w:cstheme="minorHAnsi"/>
                <w:szCs w:val="24"/>
              </w:rPr>
            </w:pPr>
            <w:r w:rsidRPr="005A522F">
              <w:rPr>
                <w:rFonts w:asciiTheme="minorHAnsi" w:hAnsiTheme="minorHAnsi" w:cstheme="minorHAnsi"/>
                <w:szCs w:val="24"/>
              </w:rPr>
              <w:t>See above</w:t>
            </w:r>
          </w:p>
        </w:tc>
        <w:tc>
          <w:tcPr>
            <w:tcW w:w="900" w:type="dxa"/>
          </w:tcPr>
          <w:p w:rsidR="00423D4C" w:rsidRPr="005A522F" w:rsidP="00423D4C" w14:paraId="37FAF8A5" w14:textId="0E8BBEDE">
            <w:pPr>
              <w:jc w:val="right"/>
              <w:rPr>
                <w:rFonts w:asciiTheme="minorHAnsi" w:hAnsiTheme="minorHAnsi" w:cstheme="minorHAnsi"/>
                <w:szCs w:val="24"/>
              </w:rPr>
            </w:pPr>
            <w:r w:rsidRPr="005A522F">
              <w:rPr>
                <w:rFonts w:asciiTheme="minorHAnsi" w:hAnsiTheme="minorHAnsi" w:cstheme="minorHAnsi"/>
                <w:szCs w:val="24"/>
              </w:rPr>
              <w:t>3,200</w:t>
            </w:r>
          </w:p>
        </w:tc>
        <w:tc>
          <w:tcPr>
            <w:tcW w:w="1530" w:type="dxa"/>
          </w:tcPr>
          <w:p w:rsidR="00423D4C" w:rsidRPr="005A522F" w:rsidP="00423D4C" w14:paraId="3221A869" w14:textId="3DD041FA">
            <w:pPr>
              <w:jc w:val="right"/>
              <w:rPr>
                <w:rFonts w:asciiTheme="minorHAnsi" w:hAnsiTheme="minorHAnsi" w:cstheme="minorHAnsi"/>
                <w:szCs w:val="24"/>
              </w:rPr>
            </w:pPr>
            <w:r w:rsidRPr="005A522F">
              <w:rPr>
                <w:rFonts w:asciiTheme="minorHAnsi" w:hAnsiTheme="minorHAnsi" w:cstheme="minorHAnsi"/>
                <w:szCs w:val="24"/>
              </w:rPr>
              <w:t>$</w:t>
            </w:r>
            <w:r w:rsidR="002F7591">
              <w:rPr>
                <w:rFonts w:asciiTheme="minorHAnsi" w:hAnsiTheme="minorHAnsi" w:cstheme="minorHAnsi"/>
                <w:szCs w:val="24"/>
              </w:rPr>
              <w:t>48.05</w:t>
            </w:r>
          </w:p>
        </w:tc>
        <w:tc>
          <w:tcPr>
            <w:tcW w:w="1350" w:type="dxa"/>
          </w:tcPr>
          <w:p w:rsidR="00423D4C" w:rsidRPr="005A522F" w:rsidP="00423D4C" w14:paraId="50468F26" w14:textId="6B39E3BF">
            <w:pPr>
              <w:jc w:val="right"/>
              <w:rPr>
                <w:rFonts w:asciiTheme="minorHAnsi" w:hAnsiTheme="minorHAnsi" w:cstheme="minorHAnsi"/>
                <w:szCs w:val="24"/>
              </w:rPr>
            </w:pPr>
            <w:r w:rsidRPr="005A522F">
              <w:rPr>
                <w:rFonts w:asciiTheme="minorHAnsi" w:hAnsiTheme="minorHAnsi" w:cstheme="minorHAnsi"/>
                <w:szCs w:val="24"/>
              </w:rPr>
              <w:t>$</w:t>
            </w:r>
            <w:r w:rsidR="002F7591">
              <w:rPr>
                <w:rFonts w:asciiTheme="minorHAnsi" w:hAnsiTheme="minorHAnsi" w:cstheme="minorHAnsi"/>
                <w:szCs w:val="24"/>
              </w:rPr>
              <w:t>153,760</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w:t>
      </w:r>
      <w:r w:rsidRPr="00ED7195">
        <w:rPr>
          <w:rFonts w:ascii="Times New Roman" w:hAnsi="Times New Roman"/>
          <w:b/>
          <w:szCs w:val="24"/>
        </w:rPr>
        <w:t>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A16A5A" w:rsidRPr="00FB6309" w:rsidP="00A16A5A" w14:paraId="70D56276"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A16A5A" w:rsidRPr="00FB6309" w:rsidP="00A16A5A" w14:paraId="77AD48A3" w14:textId="77777777">
      <w:pPr>
        <w:ind w:left="720"/>
        <w:rPr>
          <w:rFonts w:asciiTheme="minorHAnsi" w:hAnsiTheme="minorHAnsi" w:cstheme="minorHAnsi"/>
          <w:szCs w:val="24"/>
        </w:rPr>
      </w:pPr>
      <w:r>
        <w:rPr>
          <w:rFonts w:asciiTheme="minorHAnsi" w:hAnsiTheme="minorHAnsi" w:cstheme="minorHAnsi"/>
          <w:szCs w:val="24"/>
        </w:rPr>
        <w:t>There is no additional cost to the Federal government.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w:t>
      </w:r>
      <w:r w:rsidRPr="00800D30">
        <w:rPr>
          <w:rFonts w:ascii="Times New Roman" w:hAnsi="Times New Roman"/>
          <w:b/>
          <w:szCs w:val="24"/>
        </w:rPr>
        <w:t>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71AFF76F">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+3,200</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26CC7B7B">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+30</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7041D1" w:rsidRPr="007041D1" w:rsidP="007041D1" w14:paraId="005C139B" w14:textId="77777777">
      <w:pPr>
        <w:tabs>
          <w:tab w:val="left" w:pos="2709"/>
        </w:tabs>
        <w:suppressAutoHyphens/>
        <w:ind w:left="720"/>
        <w:rPr>
          <w:rFonts w:asciiTheme="minorHAnsi" w:hAnsiTheme="minorHAnsi" w:cstheme="minorHAnsi"/>
          <w:szCs w:val="24"/>
        </w:rPr>
      </w:pPr>
      <w:r w:rsidRPr="007041D1">
        <w:rPr>
          <w:rFonts w:asciiTheme="minorHAnsi" w:hAnsiTheme="minorHAnsi" w:cstheme="minorHAnsi"/>
          <w:szCs w:val="24"/>
        </w:rPr>
        <w:t>This request is for a continuation to the collection designated 1845-0176 by OMB, during the NPRM stage of this information collection filing, maintaining the burden due to the final regulation for State Ability-to-Benefit process.  The Department is requesting 3,200 hours for 10 States (10 States X 320 hours = 3,200 hours).</w:t>
      </w:r>
    </w:p>
    <w:p w:rsidR="007041D1" w:rsidP="00A16A5A" w14:paraId="25E5EA59" w14:textId="77777777">
      <w:pPr>
        <w:tabs>
          <w:tab w:val="left" w:pos="-720"/>
        </w:tabs>
        <w:suppressAutoHyphens/>
        <w:ind w:left="720"/>
        <w:rPr>
          <w:rFonts w:asciiTheme="minorHAnsi" w:hAnsiTheme="minorHAnsi" w:cstheme="minorHAnsi"/>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A16A5A" w:rsidRPr="00FB6309" w:rsidP="00A16A5A" w14:paraId="475E9BDF"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A16A5A" w:rsidRPr="00FB6309" w:rsidP="00A16A5A" w14:paraId="601B6769"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16A5A" w:rsidRPr="00AA5138" w:rsidP="00A16A5A" w14:paraId="7A75FF6C"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00AA5138" w:rsidRPr="00AA5138" w:rsidP="00A16A5A" w14:paraId="1D395179" w14:textId="2AF0FF11">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221395C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F0717C">
      <w:rPr>
        <w:rFonts w:ascii="Times New Roman" w:hAnsi="Times New Roman"/>
        <w:szCs w:val="24"/>
      </w:rPr>
      <w:t>1845</w:t>
    </w:r>
    <w:r w:rsidR="007C700A">
      <w:rPr>
        <w:rFonts w:ascii="Times New Roman" w:hAnsi="Times New Roman"/>
        <w:szCs w:val="24"/>
      </w:rPr>
      <w:t>-</w:t>
    </w:r>
    <w:r w:rsidR="00B93621">
      <w:rPr>
        <w:rFonts w:ascii="Times New Roman" w:hAnsi="Times New Roman"/>
        <w:szCs w:val="24"/>
      </w:rPr>
      <w:t>0176</w:t>
    </w:r>
    <w:r w:rsidR="00E22FD3">
      <w:rPr>
        <w:rFonts w:ascii="Times New Roman" w:hAnsi="Times New Roman"/>
        <w:szCs w:val="24"/>
      </w:rPr>
      <w:tab/>
    </w:r>
    <w:r w:rsidRPr="00C875E8">
      <w:rPr>
        <w:rFonts w:ascii="Times New Roman" w:hAnsi="Times New Roman"/>
        <w:szCs w:val="24"/>
      </w:rPr>
      <w:t xml:space="preserve">Revised: </w:t>
    </w:r>
    <w:r w:rsidR="00B93621">
      <w:rPr>
        <w:rFonts w:ascii="Times New Roman" w:hAnsi="Times New Roman"/>
        <w:szCs w:val="24"/>
      </w:rPr>
      <w:t>10/10</w:t>
    </w:r>
    <w:r w:rsidR="007C700A">
      <w:rPr>
        <w:rFonts w:ascii="Times New Roman" w:hAnsi="Times New Roman"/>
        <w:szCs w:val="24"/>
      </w:rPr>
      <w:t>/</w:t>
    </w:r>
    <w:r w:rsidR="00F0717C">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0C0C4C"/>
    <w:rsid w:val="0012466B"/>
    <w:rsid w:val="001824F3"/>
    <w:rsid w:val="001A6AE0"/>
    <w:rsid w:val="001C73C0"/>
    <w:rsid w:val="001E79BD"/>
    <w:rsid w:val="00207800"/>
    <w:rsid w:val="002225CC"/>
    <w:rsid w:val="00224A3B"/>
    <w:rsid w:val="00240A39"/>
    <w:rsid w:val="00246FE9"/>
    <w:rsid w:val="00250100"/>
    <w:rsid w:val="00262A69"/>
    <w:rsid w:val="00270AF7"/>
    <w:rsid w:val="00275876"/>
    <w:rsid w:val="002A3221"/>
    <w:rsid w:val="002A7FDB"/>
    <w:rsid w:val="002B18A5"/>
    <w:rsid w:val="002C3520"/>
    <w:rsid w:val="002D40C7"/>
    <w:rsid w:val="002E14E0"/>
    <w:rsid w:val="002F55E5"/>
    <w:rsid w:val="002F7591"/>
    <w:rsid w:val="0032078A"/>
    <w:rsid w:val="0032539E"/>
    <w:rsid w:val="003457D7"/>
    <w:rsid w:val="003772A6"/>
    <w:rsid w:val="003829D8"/>
    <w:rsid w:val="00386054"/>
    <w:rsid w:val="003860E4"/>
    <w:rsid w:val="003B1545"/>
    <w:rsid w:val="00412915"/>
    <w:rsid w:val="00423D4C"/>
    <w:rsid w:val="0042561F"/>
    <w:rsid w:val="00442E07"/>
    <w:rsid w:val="00447D14"/>
    <w:rsid w:val="00510E61"/>
    <w:rsid w:val="0052073E"/>
    <w:rsid w:val="00534B4A"/>
    <w:rsid w:val="005451CE"/>
    <w:rsid w:val="005552E6"/>
    <w:rsid w:val="00564132"/>
    <w:rsid w:val="00575DDA"/>
    <w:rsid w:val="00581C11"/>
    <w:rsid w:val="00592B98"/>
    <w:rsid w:val="005A522F"/>
    <w:rsid w:val="005D119B"/>
    <w:rsid w:val="005D28E6"/>
    <w:rsid w:val="005F13BD"/>
    <w:rsid w:val="005F4E11"/>
    <w:rsid w:val="00614D3B"/>
    <w:rsid w:val="00616E9C"/>
    <w:rsid w:val="00656C0C"/>
    <w:rsid w:val="0068567A"/>
    <w:rsid w:val="006A292A"/>
    <w:rsid w:val="006A38F7"/>
    <w:rsid w:val="006A4EBB"/>
    <w:rsid w:val="006A5BE8"/>
    <w:rsid w:val="006B4172"/>
    <w:rsid w:val="007041D1"/>
    <w:rsid w:val="00713B69"/>
    <w:rsid w:val="00755D99"/>
    <w:rsid w:val="00756FD3"/>
    <w:rsid w:val="00765392"/>
    <w:rsid w:val="00780C52"/>
    <w:rsid w:val="00790E3E"/>
    <w:rsid w:val="007A5F49"/>
    <w:rsid w:val="007B69FA"/>
    <w:rsid w:val="007C0A4C"/>
    <w:rsid w:val="007C700A"/>
    <w:rsid w:val="007F6104"/>
    <w:rsid w:val="00800D30"/>
    <w:rsid w:val="00807D1A"/>
    <w:rsid w:val="00834A62"/>
    <w:rsid w:val="00861EBD"/>
    <w:rsid w:val="00874EFE"/>
    <w:rsid w:val="00882126"/>
    <w:rsid w:val="008933F1"/>
    <w:rsid w:val="008D0601"/>
    <w:rsid w:val="008D1F11"/>
    <w:rsid w:val="008E5919"/>
    <w:rsid w:val="008F1AC5"/>
    <w:rsid w:val="00900566"/>
    <w:rsid w:val="00905951"/>
    <w:rsid w:val="00912D2C"/>
    <w:rsid w:val="00916EE4"/>
    <w:rsid w:val="00920F63"/>
    <w:rsid w:val="009243F3"/>
    <w:rsid w:val="0093366B"/>
    <w:rsid w:val="00934185"/>
    <w:rsid w:val="00946126"/>
    <w:rsid w:val="00946BDA"/>
    <w:rsid w:val="00952DF9"/>
    <w:rsid w:val="0095421D"/>
    <w:rsid w:val="00960C86"/>
    <w:rsid w:val="009767AF"/>
    <w:rsid w:val="00981F58"/>
    <w:rsid w:val="00986D0A"/>
    <w:rsid w:val="009C37AF"/>
    <w:rsid w:val="009E3E86"/>
    <w:rsid w:val="009F4ADA"/>
    <w:rsid w:val="00A118A2"/>
    <w:rsid w:val="00A16A5A"/>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32BF"/>
    <w:rsid w:val="00B64B1D"/>
    <w:rsid w:val="00B6729C"/>
    <w:rsid w:val="00B93621"/>
    <w:rsid w:val="00B9671B"/>
    <w:rsid w:val="00BA1D31"/>
    <w:rsid w:val="00BB03CE"/>
    <w:rsid w:val="00BC1A67"/>
    <w:rsid w:val="00C164D3"/>
    <w:rsid w:val="00C20670"/>
    <w:rsid w:val="00C20D44"/>
    <w:rsid w:val="00C224FD"/>
    <w:rsid w:val="00C441D2"/>
    <w:rsid w:val="00C7076C"/>
    <w:rsid w:val="00C86713"/>
    <w:rsid w:val="00C875E8"/>
    <w:rsid w:val="00C92035"/>
    <w:rsid w:val="00CC2A72"/>
    <w:rsid w:val="00CC3FB5"/>
    <w:rsid w:val="00CD2067"/>
    <w:rsid w:val="00CD47BC"/>
    <w:rsid w:val="00D34984"/>
    <w:rsid w:val="00D36C35"/>
    <w:rsid w:val="00D75313"/>
    <w:rsid w:val="00DB044E"/>
    <w:rsid w:val="00DC7830"/>
    <w:rsid w:val="00E16ACD"/>
    <w:rsid w:val="00E17134"/>
    <w:rsid w:val="00E22FD3"/>
    <w:rsid w:val="00E25EBC"/>
    <w:rsid w:val="00E4408F"/>
    <w:rsid w:val="00E66550"/>
    <w:rsid w:val="00E877BF"/>
    <w:rsid w:val="00EA1767"/>
    <w:rsid w:val="00EB0929"/>
    <w:rsid w:val="00EB0FA5"/>
    <w:rsid w:val="00EC01DD"/>
    <w:rsid w:val="00EC35E3"/>
    <w:rsid w:val="00ED7195"/>
    <w:rsid w:val="00EE4EAF"/>
    <w:rsid w:val="00EF4C67"/>
    <w:rsid w:val="00F0414F"/>
    <w:rsid w:val="00F051B1"/>
    <w:rsid w:val="00F070F3"/>
    <w:rsid w:val="00F0717C"/>
    <w:rsid w:val="00F27AAF"/>
    <w:rsid w:val="00F31BEC"/>
    <w:rsid w:val="00F5782B"/>
    <w:rsid w:val="00F73131"/>
    <w:rsid w:val="00F74288"/>
    <w:rsid w:val="00F94179"/>
    <w:rsid w:val="00FA48B5"/>
    <w:rsid w:val="00FB6309"/>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BodyText0">
    <w:name w:val="Body Text"/>
    <w:basedOn w:val="Normal"/>
    <w:link w:val="BodyTextChar0"/>
    <w:uiPriority w:val="99"/>
    <w:semiHidden/>
    <w:unhideWhenUsed/>
    <w:rsid w:val="0012466B"/>
    <w:pPr>
      <w:spacing w:after="120"/>
    </w:pPr>
  </w:style>
  <w:style w:type="character" w:customStyle="1" w:styleId="BodyTextChar0">
    <w:name w:val="Body Text Char"/>
    <w:basedOn w:val="DefaultParagraphFont"/>
    <w:link w:val="BodyText0"/>
    <w:uiPriority w:val="99"/>
    <w:semiHidden/>
    <w:rsid w:val="0012466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033.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2023-10-18T13:31:00Z</dcterms:created>
  <dcterms:modified xsi:type="dcterms:W3CDTF">2023-10-18T13:31:00Z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