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0785" w:rsidRPr="005D3A4E" w:rsidP="00130785" w14:paraId="57C1ECB0" w14:textId="33064C28">
      <w:pPr>
        <w:pStyle w:val="Title"/>
        <w:ind w:right="-480"/>
        <w:rPr>
          <w:szCs w:val="24"/>
        </w:rPr>
      </w:pPr>
      <w:r w:rsidRPr="00540FDD">
        <w:rPr>
          <w:szCs w:val="24"/>
        </w:rPr>
        <w:t xml:space="preserve">Supporting Statement </w:t>
      </w:r>
    </w:p>
    <w:p w:rsidR="00130785" w:rsidP="00130785" w14:paraId="181AC7DD" w14:textId="2F1DD337">
      <w:pPr>
        <w:ind w:right="-480"/>
        <w:jc w:val="center"/>
        <w:rPr>
          <w:b/>
          <w:bCs/>
        </w:rPr>
      </w:pPr>
      <w:r w:rsidRPr="005D3A4E">
        <w:rPr>
          <w:b/>
          <w:bCs/>
        </w:rPr>
        <w:t>Regulatory Capital</w:t>
      </w:r>
      <w:r w:rsidRPr="005D3A4E">
        <w:rPr>
          <w:b/>
          <w:bCs/>
        </w:rPr>
        <w:t xml:space="preserve"> </w:t>
      </w:r>
      <w:r w:rsidRPr="005D3A4E">
        <w:rPr>
          <w:b/>
          <w:bCs/>
        </w:rPr>
        <w:t>Reporting for</w:t>
      </w:r>
      <w:r>
        <w:rPr>
          <w:b/>
          <w:bCs/>
        </w:rPr>
        <w:t xml:space="preserve"> Institutions Subject to the </w:t>
      </w:r>
    </w:p>
    <w:p w:rsidR="00130785" w:rsidP="00130785" w14:paraId="56723051" w14:textId="77777777">
      <w:pPr>
        <w:ind w:right="-480"/>
        <w:jc w:val="center"/>
        <w:rPr>
          <w:b/>
          <w:bCs/>
        </w:rPr>
      </w:pPr>
      <w:r>
        <w:rPr>
          <w:b/>
          <w:bCs/>
        </w:rPr>
        <w:t>Advanced Capital Adequacy Framework (FFIEC 101)</w:t>
      </w:r>
    </w:p>
    <w:p w:rsidR="00130785" w:rsidP="00130785" w14:paraId="75B474C1" w14:textId="77777777">
      <w:pPr>
        <w:ind w:right="-480"/>
        <w:jc w:val="center"/>
        <w:rPr>
          <w:b/>
          <w:bCs/>
        </w:rPr>
      </w:pPr>
      <w:r>
        <w:rPr>
          <w:b/>
          <w:bCs/>
        </w:rPr>
        <w:t>OMB Control No. 1557-0239</w:t>
      </w:r>
    </w:p>
    <w:p w:rsidR="00130785" w:rsidP="00130785" w14:paraId="26F00E72" w14:textId="77777777">
      <w:pPr>
        <w:rPr>
          <w:color w:val="000000"/>
        </w:rPr>
      </w:pPr>
    </w:p>
    <w:p w:rsidR="00911758" w:rsidP="00911758" w14:paraId="6266E87B" w14:textId="77777777">
      <w:pPr>
        <w:rPr>
          <w:b/>
          <w:color w:val="000000"/>
        </w:rPr>
      </w:pPr>
      <w:r>
        <w:rPr>
          <w:b/>
          <w:color w:val="000000"/>
        </w:rPr>
        <w:t>Background</w:t>
      </w:r>
    </w:p>
    <w:p w:rsidR="00911758" w:rsidP="00911758" w14:paraId="20F191F3" w14:textId="77777777">
      <w:pPr>
        <w:rPr>
          <w:color w:val="000000"/>
        </w:rPr>
      </w:pPr>
    </w:p>
    <w:p w:rsidR="00911758" w:rsidP="00911758" w14:paraId="58E9B212" w14:textId="7B997492">
      <w:pPr>
        <w:rPr>
          <w:color w:val="000000"/>
        </w:rPr>
      </w:pPr>
      <w:r>
        <w:rPr>
          <w:color w:val="000000"/>
        </w:rPr>
        <w:tab/>
      </w:r>
      <w:r>
        <w:rPr>
          <w:color w:val="000000"/>
        </w:rPr>
        <w:t>The Office of the Comptroller of the Currency (OCC), in coordination with the Federal Deposit Insurance Corporation (FDIC) and the Board of Governors of the Federal Reserve System (Board) (collectively, the agencies)</w:t>
      </w:r>
      <w:r w:rsidR="00433D57">
        <w:rPr>
          <w:color w:val="000000"/>
        </w:rPr>
        <w:t xml:space="preserve"> is proposing to extend for three years, without revision, </w:t>
      </w:r>
      <w:r w:rsidRPr="00A9325E" w:rsidR="00433D57">
        <w:t>the</w:t>
      </w:r>
      <w:r w:rsidRPr="002D3F8D" w:rsidR="00433D57">
        <w:t xml:space="preserve"> Regulatory Capital Reporting for Institutions Subject to the Advanced Capital Adequacy Framework (FFIEC 101)</w:t>
      </w:r>
      <w:r w:rsidR="00433D57">
        <w:t>, which is currently an approved collection of information for each agency</w:t>
      </w:r>
      <w:r w:rsidRPr="002D3F8D" w:rsidR="00433D57">
        <w:t>.</w:t>
      </w:r>
      <w:bookmarkStart w:id="0" w:name="_Hlk36566347"/>
    </w:p>
    <w:bookmarkEnd w:id="0"/>
    <w:p w:rsidR="00911758" w:rsidP="00911758" w14:paraId="1861321C" w14:textId="77777777">
      <w:pPr>
        <w:rPr>
          <w:color w:val="000000"/>
        </w:rPr>
      </w:pPr>
    </w:p>
    <w:p w:rsidR="00525CE0" w:rsidRPr="00AE2AB7" w:rsidP="00254A4A" w14:paraId="3A3DD213" w14:textId="77777777">
      <w:pPr>
        <w:rPr>
          <w:b/>
          <w:bCs/>
          <w:caps/>
        </w:rPr>
      </w:pPr>
      <w:r w:rsidRPr="00AE2AB7">
        <w:rPr>
          <w:b/>
          <w:bCs/>
          <w:caps/>
        </w:rPr>
        <w:t>A.  Justification.</w:t>
      </w:r>
    </w:p>
    <w:p w:rsidR="00525CE0" w:rsidP="00254A4A" w14:paraId="70B10428" w14:textId="77777777"/>
    <w:p w:rsidR="00525CE0" w:rsidRPr="00AE2AB7" w:rsidP="00254A4A" w14:paraId="51F969E4" w14:textId="77777777">
      <w:pPr>
        <w:rPr>
          <w:b/>
          <w:bCs/>
          <w:i/>
          <w:iCs/>
          <w:u w:val="single"/>
        </w:rPr>
      </w:pPr>
      <w:r w:rsidRPr="00AE2AB7">
        <w:rPr>
          <w:b/>
          <w:bCs/>
          <w:i/>
          <w:iCs/>
        </w:rPr>
        <w:t xml:space="preserve">1.  </w:t>
      </w:r>
      <w:r w:rsidRPr="00AE2AB7">
        <w:rPr>
          <w:b/>
          <w:bCs/>
          <w:i/>
          <w:iCs/>
          <w:u w:val="single"/>
        </w:rPr>
        <w:t>Circumstances that make the collection necessary:</w:t>
      </w:r>
    </w:p>
    <w:p w:rsidR="006239ED" w:rsidRPr="006239ED" w:rsidP="00254A4A" w14:paraId="6860374D" w14:textId="77777777"/>
    <w:p w:rsidR="00142550" w:rsidRPr="005D3A4E" w:rsidP="00254A4A" w14:paraId="4E367F41" w14:textId="77777777">
      <w:pPr>
        <w:rPr>
          <w:snapToGrid w:val="0"/>
          <w:szCs w:val="24"/>
        </w:rPr>
      </w:pPr>
      <w:r>
        <w:rPr>
          <w:snapToGrid w:val="0"/>
        </w:rPr>
        <w:tab/>
      </w:r>
      <w:r w:rsidRPr="005D3A4E" w:rsidR="00F02598">
        <w:rPr>
          <w:snapToGrid w:val="0"/>
        </w:rPr>
        <w:t xml:space="preserve">The OCC is charged with assuring the safety and soundness of national banks and Federal savings associations. (12 U.S.C. 1). </w:t>
      </w:r>
      <w:r w:rsidRPr="005D3A4E" w:rsidR="004500A9">
        <w:rPr>
          <w:snapToGrid w:val="0"/>
        </w:rPr>
        <w:t xml:space="preserve"> In carrying out those duties, banks must submit information to the OCC: </w:t>
      </w:r>
      <w:r w:rsidRPr="005D3A4E">
        <w:rPr>
          <w:snapToGrid w:val="0"/>
          <w:szCs w:val="24"/>
        </w:rPr>
        <w:t xml:space="preserve">12 U.S.C. 161 (national banks) and 12 U.S.C. 1464 (savings associations). </w:t>
      </w:r>
      <w:r w:rsidRPr="005D3A4E" w:rsidR="004500A9">
        <w:rPr>
          <w:snapToGrid w:val="0"/>
          <w:szCs w:val="24"/>
        </w:rPr>
        <w:t xml:space="preserve">The OCC uses this information to </w:t>
      </w:r>
      <w:r w:rsidRPr="005D3A4E" w:rsidR="004500A9">
        <w:t>assess and monitor the levels and components of each bank’s risk-based capital requirements and the adequacy of the entity’s capital under the Advanced Capital Adequacy Framework, which is a significant component of a bank’s safety and soundness.</w:t>
      </w:r>
    </w:p>
    <w:p w:rsidR="00525CE0" w:rsidRPr="005D3A4E" w:rsidP="00254A4A" w14:paraId="1BBCCB3D" w14:textId="77777777"/>
    <w:p w:rsidR="00525CE0" w:rsidRPr="005D3A4E" w:rsidP="00254A4A" w14:paraId="34CDA8D8" w14:textId="77777777">
      <w:pPr>
        <w:pStyle w:val="BodyText"/>
        <w:rPr>
          <w:b/>
          <w:bCs/>
          <w:u w:val="single"/>
        </w:rPr>
      </w:pPr>
      <w:r w:rsidRPr="005D3A4E">
        <w:rPr>
          <w:b/>
          <w:bCs/>
        </w:rPr>
        <w:t xml:space="preserve">2.  </w:t>
      </w:r>
      <w:r w:rsidRPr="005D3A4E">
        <w:rPr>
          <w:b/>
          <w:bCs/>
          <w:u w:val="single"/>
        </w:rPr>
        <w:t>Use of the information:</w:t>
      </w:r>
    </w:p>
    <w:p w:rsidR="00525CE0" w:rsidRPr="005D3A4E" w:rsidP="00254A4A" w14:paraId="50D33D76" w14:textId="77777777">
      <w:pPr>
        <w:pStyle w:val="Footer"/>
        <w:tabs>
          <w:tab w:val="clear" w:pos="4320"/>
          <w:tab w:val="clear" w:pos="8640"/>
        </w:tabs>
      </w:pPr>
    </w:p>
    <w:p w:rsidR="006215F5" w:rsidRPr="005D3A4E" w:rsidP="00254A4A" w14:paraId="52E9AD49" w14:textId="77777777">
      <w:pPr>
        <w:pStyle w:val="Footer"/>
        <w:tabs>
          <w:tab w:val="clear" w:pos="4320"/>
          <w:tab w:val="clear" w:pos="8640"/>
        </w:tabs>
      </w:pPr>
      <w:r w:rsidRPr="005D3A4E">
        <w:tab/>
        <w:t>The OCC use</w:t>
      </w:r>
      <w:r w:rsidRPr="005D3A4E" w:rsidR="001E6D66">
        <w:t>s</w:t>
      </w:r>
      <w:r w:rsidRPr="005D3A4E">
        <w:t xml:space="preserve"> the information to </w:t>
      </w:r>
      <w:r w:rsidRPr="005D3A4E" w:rsidR="006166D8">
        <w:t xml:space="preserve">assess and </w:t>
      </w:r>
      <w:r w:rsidRPr="005D3A4E">
        <w:t xml:space="preserve">monitor </w:t>
      </w:r>
      <w:r w:rsidRPr="005D3A4E" w:rsidR="006166D8">
        <w:t xml:space="preserve">the levels and components of each bank’s risk-based capital requirements and the adequacy of the entity’s capital under the </w:t>
      </w:r>
      <w:r w:rsidRPr="005D3A4E" w:rsidR="008A1E17">
        <w:t>Advanced Capital Adequacy Framework</w:t>
      </w:r>
      <w:r w:rsidRPr="005D3A4E" w:rsidR="006166D8">
        <w:t>.  The data allow</w:t>
      </w:r>
      <w:r w:rsidRPr="005D3A4E" w:rsidR="001E6D66">
        <w:t>s</w:t>
      </w:r>
      <w:r w:rsidRPr="005D3A4E" w:rsidR="006166D8">
        <w:t xml:space="preserve"> the OCC to evaluate the quantitative impact and competitive implications of the framework on individual respondents and on the industry.</w:t>
      </w:r>
      <w:r w:rsidRPr="005D3A4E" w:rsidR="0020767E">
        <w:t xml:space="preserve">  The reporting schedules assist banks in understanding expectations surrounding the system development necessary for implementation and validation of the framework.  The data also </w:t>
      </w:r>
      <w:r w:rsidRPr="005D3A4E" w:rsidR="008A1E17">
        <w:t xml:space="preserve">improves the OCC’s ability to monitor bank activities </w:t>
      </w:r>
      <w:r w:rsidRPr="005D3A4E" w:rsidR="009E5A9D">
        <w:t>through the</w:t>
      </w:r>
      <w:r w:rsidRPr="005D3A4E" w:rsidR="0020767E">
        <w:t xml:space="preserve"> examination processes.</w:t>
      </w:r>
    </w:p>
    <w:p w:rsidR="00E5003C" w:rsidRPr="005D3A4E" w:rsidP="00254A4A" w14:paraId="69A9A60E" w14:textId="77777777">
      <w:pPr>
        <w:pStyle w:val="Footer"/>
        <w:tabs>
          <w:tab w:val="clear" w:pos="4320"/>
          <w:tab w:val="clear" w:pos="8640"/>
        </w:tabs>
      </w:pPr>
    </w:p>
    <w:p w:rsidR="009E5A9D" w:rsidRPr="005D3A4E" w:rsidP="00254A4A" w14:paraId="2C544D71" w14:textId="77777777">
      <w:pPr>
        <w:pStyle w:val="Footer"/>
        <w:tabs>
          <w:tab w:val="clear" w:pos="4320"/>
          <w:tab w:val="clear" w:pos="8640"/>
        </w:tabs>
      </w:pPr>
      <w:r w:rsidRPr="005D3A4E">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RPr="005D3A4E" w:rsidP="00254A4A" w14:paraId="392BA02C" w14:textId="77777777">
      <w:pPr>
        <w:pStyle w:val="Footer"/>
        <w:tabs>
          <w:tab w:val="clear" w:pos="4320"/>
          <w:tab w:val="clear" w:pos="8640"/>
        </w:tabs>
      </w:pPr>
    </w:p>
    <w:p w:rsidR="00E5003C" w:rsidRPr="005D3A4E" w:rsidP="00254A4A" w14:paraId="59AC93B2" w14:textId="77777777">
      <w:pPr>
        <w:pStyle w:val="Footer"/>
        <w:tabs>
          <w:tab w:val="clear" w:pos="4320"/>
          <w:tab w:val="clear" w:pos="8640"/>
        </w:tabs>
      </w:pPr>
      <w:r w:rsidRPr="005D3A4E">
        <w:t xml:space="preserve">  </w:t>
      </w:r>
      <w:r w:rsidRPr="005D3A4E">
        <w:tab/>
        <w:t xml:space="preserve">The information </w:t>
      </w:r>
      <w:r w:rsidRPr="005D3A4E" w:rsidR="001E6D66">
        <w:t>is</w:t>
      </w:r>
      <w:r w:rsidRPr="005D3A4E">
        <w:t xml:space="preserve"> collected using the form “FFIEC 101.”  </w:t>
      </w:r>
      <w:r w:rsidRPr="005D3A4E" w:rsidR="001E6D66">
        <w:t xml:space="preserve">The </w:t>
      </w:r>
      <w:r w:rsidRPr="005D3A4E">
        <w:t xml:space="preserve">FFIEC </w:t>
      </w:r>
      <w:r w:rsidRPr="005D3A4E" w:rsidR="00F21241">
        <w:t xml:space="preserve">101 </w:t>
      </w:r>
      <w:r w:rsidRPr="005D3A4E">
        <w:t xml:space="preserve">contains </w:t>
      </w:r>
      <w:r w:rsidRPr="005D3A4E" w:rsidR="00F21241">
        <w:t>nineteen</w:t>
      </w:r>
      <w:r w:rsidRPr="005D3A4E">
        <w:t xml:space="preserve"> schedules, A through </w:t>
      </w:r>
      <w:r w:rsidRPr="005D3A4E" w:rsidR="00F21241">
        <w:t>S</w:t>
      </w:r>
      <w:r w:rsidRPr="005D3A4E">
        <w:t xml:space="preserve">, for banks to submit detailed data on the components of their capital and risk-weighted assets.  </w:t>
      </w:r>
    </w:p>
    <w:p w:rsidR="00E7290F" w:rsidRPr="005D3A4E" w:rsidP="00254A4A" w14:paraId="4CAAFA17" w14:textId="77777777">
      <w:pPr>
        <w:pStyle w:val="Footer"/>
        <w:tabs>
          <w:tab w:val="clear" w:pos="4320"/>
          <w:tab w:val="clear" w:pos="8640"/>
        </w:tabs>
      </w:pPr>
    </w:p>
    <w:p w:rsidR="005D36B1" w:rsidRPr="005D3A4E" w:rsidP="00254A4A" w14:paraId="564929CF" w14:textId="77777777">
      <w:pPr>
        <w:pStyle w:val="Footer"/>
        <w:tabs>
          <w:tab w:val="clear" w:pos="4320"/>
          <w:tab w:val="clear" w:pos="8640"/>
        </w:tabs>
      </w:pPr>
      <w:r w:rsidRPr="005D3A4E">
        <w:tab/>
        <w:t>Schedule A includes information about the components of Tier 1 capital, Tier 2 capital, and adjustments to regulatory capital.</w:t>
      </w:r>
      <w:r w:rsidRPr="005D3A4E">
        <w:t xml:space="preserve"> It also includes Tables 1 and 2 for the Supplementary Leverage Ratio.</w:t>
      </w:r>
    </w:p>
    <w:p w:rsidR="005D36B1" w:rsidRPr="005D3A4E" w:rsidP="005D36B1" w14:paraId="4FD5C1CA" w14:textId="77777777">
      <w:pPr>
        <w:pStyle w:val="Footer"/>
        <w:tabs>
          <w:tab w:val="clear" w:pos="4320"/>
          <w:tab w:val="clear" w:pos="8640"/>
        </w:tabs>
        <w:ind w:firstLine="720"/>
      </w:pPr>
    </w:p>
    <w:p w:rsidR="00F72F97" w:rsidRPr="005D3A4E" w:rsidP="005D36B1" w14:paraId="5678492F" w14:textId="712BE983">
      <w:pPr>
        <w:pStyle w:val="Footer"/>
        <w:tabs>
          <w:tab w:val="clear" w:pos="4320"/>
          <w:tab w:val="clear" w:pos="8640"/>
        </w:tabs>
        <w:ind w:firstLine="720"/>
      </w:pPr>
      <w:r w:rsidRPr="005D3A4E">
        <w:t xml:space="preserve">Schedule B </w:t>
      </w:r>
      <w:r w:rsidRPr="005D3A4E">
        <w:t>contains:</w:t>
      </w:r>
      <w:r w:rsidRPr="005D3A4E">
        <w:t xml:space="preserve">  summary information about risk-weighted assets by risk type and, for credit risk exposures, outstanding balances and aggregated information about the drivers and estimates on which the calculation of risk-weighted assets are based.</w:t>
      </w:r>
      <w:r w:rsidRPr="005D3A4E" w:rsidR="008A1E17">
        <w:t xml:space="preserve"> </w:t>
      </w:r>
    </w:p>
    <w:p w:rsidR="00CF2A4E" w:rsidRPr="005D3A4E" w:rsidP="00254A4A" w14:paraId="5F9C7201" w14:textId="77777777">
      <w:pPr>
        <w:pStyle w:val="Footer"/>
        <w:tabs>
          <w:tab w:val="clear" w:pos="4320"/>
          <w:tab w:val="clear" w:pos="8640"/>
        </w:tabs>
      </w:pPr>
    </w:p>
    <w:p w:rsidR="00F72F97" w:rsidRPr="005D3A4E" w:rsidP="00254A4A" w14:paraId="0FCE79B7" w14:textId="77777777">
      <w:pPr>
        <w:pStyle w:val="Footer"/>
        <w:tabs>
          <w:tab w:val="clear" w:pos="4320"/>
          <w:tab w:val="clear" w:pos="8640"/>
        </w:tabs>
      </w:pPr>
      <w:r w:rsidRPr="005D3A4E">
        <w:tab/>
      </w:r>
      <w:r w:rsidRPr="005D3A4E">
        <w:t>Schedules C</w:t>
      </w:r>
      <w:r w:rsidRPr="005D3A4E" w:rsidR="000126E1">
        <w:t>-</w:t>
      </w:r>
      <w:r w:rsidRPr="005D3A4E" w:rsidR="00F21241">
        <w:t>J</w:t>
      </w:r>
      <w:r w:rsidRPr="005D3A4E">
        <w:t xml:space="preserve"> include data items within the wholesale exposure c</w:t>
      </w:r>
      <w:r w:rsidRPr="005D3A4E" w:rsidR="000126E1">
        <w:t>ategory</w:t>
      </w:r>
      <w:r w:rsidRPr="005D3A4E" w:rsidR="009E5A9D">
        <w:t xml:space="preserve"> for banks’ risk-weighted assets</w:t>
      </w:r>
      <w:r w:rsidRPr="005D3A4E" w:rsidR="000126E1">
        <w:t xml:space="preserve">.  </w:t>
      </w:r>
    </w:p>
    <w:p w:rsidR="000126E1" w:rsidRPr="005D3A4E" w:rsidP="00254A4A" w14:paraId="7F2023CA" w14:textId="77777777">
      <w:pPr>
        <w:pStyle w:val="Footer"/>
        <w:tabs>
          <w:tab w:val="clear" w:pos="4320"/>
          <w:tab w:val="clear" w:pos="8640"/>
        </w:tabs>
      </w:pPr>
    </w:p>
    <w:p w:rsidR="000126E1" w:rsidRPr="005D3A4E" w:rsidP="00254A4A" w14:paraId="0F09F313" w14:textId="77777777">
      <w:pPr>
        <w:pStyle w:val="Footer"/>
        <w:tabs>
          <w:tab w:val="clear" w:pos="4320"/>
          <w:tab w:val="clear" w:pos="8640"/>
        </w:tabs>
      </w:pPr>
      <w:r w:rsidRPr="005D3A4E">
        <w:tab/>
        <w:t xml:space="preserve">Schedules </w:t>
      </w:r>
      <w:r w:rsidRPr="005D3A4E" w:rsidR="00F21241">
        <w:t>K-O</w:t>
      </w:r>
      <w:r w:rsidRPr="005D3A4E">
        <w:t xml:space="preserve"> are data items within the retail exposure category and each schedule represents a sub-portfolio of the retail exposure category </w:t>
      </w:r>
      <w:r w:rsidRPr="005D3A4E" w:rsidR="009E5A9D">
        <w:t>for banks’ risk-weighted assets</w:t>
      </w:r>
      <w:r w:rsidRPr="005D3A4E">
        <w:t xml:space="preserve">.  </w:t>
      </w:r>
    </w:p>
    <w:p w:rsidR="000126E1" w:rsidRPr="005D3A4E" w:rsidP="00254A4A" w14:paraId="0BBEC898" w14:textId="77777777">
      <w:pPr>
        <w:pStyle w:val="Footer"/>
        <w:tabs>
          <w:tab w:val="clear" w:pos="4320"/>
          <w:tab w:val="clear" w:pos="8640"/>
        </w:tabs>
      </w:pPr>
    </w:p>
    <w:p w:rsidR="000126E1" w:rsidRPr="005D3A4E" w:rsidP="00254A4A" w14:paraId="31221489" w14:textId="77777777">
      <w:pPr>
        <w:pStyle w:val="Footer"/>
        <w:tabs>
          <w:tab w:val="clear" w:pos="4320"/>
          <w:tab w:val="clear" w:pos="8640"/>
        </w:tabs>
      </w:pPr>
      <w:r w:rsidRPr="005D3A4E">
        <w:tab/>
        <w:t xml:space="preserve">Schedules </w:t>
      </w:r>
      <w:r w:rsidRPr="005D3A4E" w:rsidR="00F21241">
        <w:t>P and Q</w:t>
      </w:r>
      <w:r w:rsidRPr="005D3A4E">
        <w:t xml:space="preserve"> are data items within the securitization exposure class</w:t>
      </w:r>
      <w:r w:rsidRPr="005D3A4E" w:rsidR="009E5A9D">
        <w:t xml:space="preserve"> for banks’ risk-weighted assets</w:t>
      </w:r>
      <w:r w:rsidRPr="005D3A4E">
        <w:t xml:space="preserve">.  </w:t>
      </w:r>
    </w:p>
    <w:p w:rsidR="000126E1" w:rsidRPr="005D3A4E" w:rsidP="00254A4A" w14:paraId="037A90C8" w14:textId="77777777">
      <w:pPr>
        <w:pStyle w:val="Footer"/>
        <w:tabs>
          <w:tab w:val="clear" w:pos="4320"/>
          <w:tab w:val="clear" w:pos="8640"/>
        </w:tabs>
      </w:pPr>
    </w:p>
    <w:p w:rsidR="000126E1" w:rsidRPr="005D3A4E" w:rsidP="00254A4A" w14:paraId="1011074D" w14:textId="3CAA399B">
      <w:pPr>
        <w:pStyle w:val="Footer"/>
        <w:tabs>
          <w:tab w:val="clear" w:pos="4320"/>
          <w:tab w:val="clear" w:pos="8640"/>
        </w:tabs>
      </w:pPr>
      <w:r w:rsidRPr="005D3A4E">
        <w:tab/>
        <w:t xml:space="preserve">Schedule </w:t>
      </w:r>
      <w:r w:rsidRPr="005D3A4E" w:rsidR="00F21241">
        <w:t>R</w:t>
      </w:r>
      <w:r w:rsidRPr="005D3A4E">
        <w:t xml:space="preserve"> </w:t>
      </w:r>
      <w:r w:rsidRPr="005D3A4E">
        <w:t>provides:</w:t>
      </w:r>
      <w:r w:rsidRPr="005D3A4E">
        <w:t xml:space="preserve">  information about a bank’s equity exposures by type of exposure and by approach to measuring required capital and information on equity exposures subject to specific weights and equity exposures to investment funds.  </w:t>
      </w:r>
    </w:p>
    <w:p w:rsidR="000126E1" w:rsidRPr="005D3A4E" w:rsidP="00254A4A" w14:paraId="7851C2C0" w14:textId="77777777">
      <w:pPr>
        <w:pStyle w:val="Footer"/>
        <w:tabs>
          <w:tab w:val="clear" w:pos="4320"/>
          <w:tab w:val="clear" w:pos="8640"/>
        </w:tabs>
      </w:pPr>
    </w:p>
    <w:p w:rsidR="00727A07" w:rsidRPr="005D3A4E" w:rsidP="00254A4A" w14:paraId="73A93F46" w14:textId="77777777">
      <w:pPr>
        <w:pStyle w:val="Footer"/>
        <w:tabs>
          <w:tab w:val="clear" w:pos="4320"/>
          <w:tab w:val="clear" w:pos="8640"/>
        </w:tabs>
      </w:pPr>
      <w:r w:rsidRPr="005D3A4E">
        <w:tab/>
        <w:t xml:space="preserve">Schedule </w:t>
      </w:r>
      <w:r w:rsidRPr="005D3A4E" w:rsidR="00F21241">
        <w:t>S</w:t>
      </w:r>
      <w:r w:rsidRPr="005D3A4E">
        <w:t xml:space="preserve"> provides data within the operational risk exposure class.  The data items include details</w:t>
      </w:r>
      <w:r w:rsidRPr="005D3A4E">
        <w:t xml:space="preserve"> about historical operational losses for the reporting period and those used to model operational risk capital.  </w:t>
      </w:r>
    </w:p>
    <w:p w:rsidR="00715714" w:rsidRPr="005D3A4E" w:rsidP="00254A4A" w14:paraId="3EED66A0" w14:textId="77777777">
      <w:pPr>
        <w:pStyle w:val="Footer"/>
        <w:tabs>
          <w:tab w:val="clear" w:pos="4320"/>
          <w:tab w:val="clear" w:pos="8640"/>
        </w:tabs>
      </w:pPr>
    </w:p>
    <w:p w:rsidR="00525CE0" w:rsidRPr="00AE2AB7" w:rsidP="00254A4A" w14:paraId="3486EE41" w14:textId="77777777">
      <w:pPr>
        <w:rPr>
          <w:b/>
          <w:bCs/>
          <w:i/>
          <w:iCs/>
          <w:u w:val="single"/>
        </w:rPr>
      </w:pPr>
      <w:r w:rsidRPr="005D3A4E">
        <w:rPr>
          <w:b/>
          <w:bCs/>
          <w:i/>
          <w:iCs/>
        </w:rPr>
        <w:t xml:space="preserve">3.  </w:t>
      </w:r>
      <w:r w:rsidRPr="005D3A4E">
        <w:rPr>
          <w:b/>
          <w:bCs/>
          <w:i/>
          <w:iCs/>
          <w:u w:val="single"/>
        </w:rPr>
        <w:t>Consideration of the use of impr</w:t>
      </w:r>
      <w:r w:rsidRPr="00AE2AB7">
        <w:rPr>
          <w:b/>
          <w:bCs/>
          <w:i/>
          <w:iCs/>
          <w:u w:val="single"/>
        </w:rPr>
        <w:t>oved information technology:</w:t>
      </w:r>
    </w:p>
    <w:p w:rsidR="00525CE0" w:rsidP="00254A4A" w14:paraId="376EFD32" w14:textId="77777777"/>
    <w:p w:rsidR="00525CE0" w:rsidP="00254A4A" w14:paraId="37F428E1" w14:textId="77777777">
      <w:pPr>
        <w:pStyle w:val="BodyText"/>
        <w:rPr>
          <w:i w:val="0"/>
          <w:iCs w:val="0"/>
        </w:rPr>
      </w:pPr>
      <w:r>
        <w:rPr>
          <w:i w:val="0"/>
          <w:iCs w:val="0"/>
        </w:rPr>
        <w:tab/>
      </w:r>
      <w:r w:rsidR="009E5A9D">
        <w:rPr>
          <w:i w:val="0"/>
          <w:iCs w:val="0"/>
        </w:rPr>
        <w:t xml:space="preserve">Banks must file the information required under this collection electronically. </w:t>
      </w:r>
      <w:r w:rsidR="00D3467E">
        <w:rPr>
          <w:i w:val="0"/>
          <w:iCs w:val="0"/>
        </w:rPr>
        <w:t>A</w:t>
      </w:r>
      <w:r>
        <w:rPr>
          <w:i w:val="0"/>
          <w:iCs w:val="0"/>
        </w:rPr>
        <w:t>ny information technology that permits review by OCC examiners</w:t>
      </w:r>
      <w:r w:rsidR="00D3467E">
        <w:rPr>
          <w:i w:val="0"/>
          <w:iCs w:val="0"/>
        </w:rPr>
        <w:t xml:space="preserve"> may be used</w:t>
      </w:r>
      <w:r>
        <w:rPr>
          <w:i w:val="0"/>
          <w:iCs w:val="0"/>
        </w:rPr>
        <w:t>.</w:t>
      </w:r>
    </w:p>
    <w:p w:rsidR="00525CE0" w:rsidP="00254A4A" w14:paraId="2CD0FEAE" w14:textId="77777777"/>
    <w:p w:rsidR="00525CE0" w:rsidRPr="00AE2AB7" w:rsidP="00254A4A" w14:paraId="68C722DD" w14:textId="77777777">
      <w:pPr>
        <w:rPr>
          <w:b/>
          <w:bCs/>
          <w:i/>
          <w:iCs/>
          <w:u w:val="single"/>
        </w:rPr>
      </w:pPr>
      <w:r w:rsidRPr="00AE2AB7">
        <w:rPr>
          <w:b/>
          <w:bCs/>
          <w:i/>
          <w:iCs/>
        </w:rPr>
        <w:t xml:space="preserve">4.  </w:t>
      </w:r>
      <w:r w:rsidRPr="00AE2AB7">
        <w:rPr>
          <w:b/>
          <w:bCs/>
          <w:i/>
          <w:iCs/>
          <w:u w:val="single"/>
        </w:rPr>
        <w:t>Efforts to identify duplication:</w:t>
      </w:r>
    </w:p>
    <w:p w:rsidR="00525CE0" w:rsidP="00254A4A" w14:paraId="3A916754" w14:textId="77777777"/>
    <w:p w:rsidR="00525CE0" w:rsidP="00254A4A" w14:paraId="7735E2B2" w14:textId="77777777">
      <w:r>
        <w:tab/>
      </w:r>
      <w:r>
        <w:t>The required information is unique and is not duplicative of any other information already collected.</w:t>
      </w:r>
    </w:p>
    <w:p w:rsidR="00F21241" w:rsidRPr="004A0424" w:rsidP="00254A4A" w14:paraId="6946B70E" w14:textId="77777777"/>
    <w:p w:rsidR="00525CE0" w:rsidRPr="00AE2AB7" w:rsidP="00254A4A" w14:paraId="58E97F9B" w14:textId="4C38D7EE">
      <w:pPr>
        <w:pStyle w:val="BodyText"/>
        <w:rPr>
          <w:b/>
          <w:bCs/>
          <w:u w:val="single"/>
        </w:rPr>
      </w:pPr>
      <w:r w:rsidRPr="00AE2AB7">
        <w:rPr>
          <w:b/>
          <w:bCs/>
        </w:rPr>
        <w:t xml:space="preserve">5.  </w:t>
      </w:r>
      <w:r w:rsidRPr="00AE2AB7" w:rsidR="00CF2A4E">
        <w:rPr>
          <w:rFonts w:ascii="Times New Roman TUR" w:hAnsi="Times New Roman TUR" w:cs="Times New Roman TUR"/>
          <w:b/>
          <w:bCs/>
          <w:u w:val="single"/>
        </w:rPr>
        <w:t>If the collection of information impacts small businesses or other small entities, describe any methods used to minimize burden</w:t>
      </w:r>
      <w:r w:rsidR="00E81B5E">
        <w:rPr>
          <w:rFonts w:ascii="Times New Roman TUR" w:hAnsi="Times New Roman TUR" w:cs="Times New Roman TUR"/>
          <w:b/>
          <w:bCs/>
          <w:u w:val="single"/>
        </w:rPr>
        <w:t>:</w:t>
      </w:r>
    </w:p>
    <w:p w:rsidR="00525CE0" w:rsidP="00254A4A" w14:paraId="10D15040" w14:textId="77777777"/>
    <w:p w:rsidR="00525CE0" w:rsidP="00254A4A" w14:paraId="49007327" w14:textId="77777777">
      <w:r>
        <w:tab/>
      </w:r>
      <w:r w:rsidR="009E5A9D">
        <w:t xml:space="preserve">Small </w:t>
      </w:r>
      <w:r w:rsidR="00E734D9">
        <w:t>banks</w:t>
      </w:r>
      <w:r w:rsidR="009E5A9D">
        <w:t xml:space="preserve"> are not impacted by this collection</w:t>
      </w:r>
      <w:r w:rsidR="002C51C4">
        <w:t xml:space="preserve">. The FFIEC 101 is only required for </w:t>
      </w:r>
      <w:r w:rsidR="005D36B1">
        <w:t>Category I and II institutions, and Category III top-tier holding companies, all of which have consolidated total assets of $250 billion or more</w:t>
      </w:r>
      <w:r w:rsidR="00E734D9">
        <w:t>.</w:t>
      </w:r>
    </w:p>
    <w:p w:rsidR="00525CE0" w:rsidP="00254A4A" w14:paraId="314E7915" w14:textId="77777777"/>
    <w:p w:rsidR="00525CE0" w:rsidRPr="00AE2AB7" w:rsidP="00254A4A" w14:paraId="2A87F345" w14:textId="77777777">
      <w:pPr>
        <w:pStyle w:val="BodyText"/>
        <w:rPr>
          <w:b/>
          <w:bCs/>
          <w:u w:val="single"/>
        </w:rPr>
      </w:pPr>
      <w:r w:rsidRPr="00AE2AB7">
        <w:rPr>
          <w:b/>
          <w:bCs/>
        </w:rPr>
        <w:t xml:space="preserve">6.  </w:t>
      </w:r>
      <w:r w:rsidRPr="00AE2AB7">
        <w:rPr>
          <w:b/>
          <w:bCs/>
          <w:u w:val="single"/>
        </w:rPr>
        <w:t>Consequences if the collection were conducted less frequently:</w:t>
      </w:r>
    </w:p>
    <w:p w:rsidR="00525CE0" w:rsidP="00254A4A" w14:paraId="3C8C7356" w14:textId="77777777"/>
    <w:p w:rsidR="00525CE0" w:rsidP="00254A4A" w14:paraId="733178D7" w14:textId="55F285A3">
      <w:r>
        <w:tab/>
      </w:r>
      <w:r>
        <w:t xml:space="preserve">The OCC </w:t>
      </w:r>
      <w:r w:rsidR="00C50979">
        <w:t>would</w:t>
      </w:r>
      <w:r>
        <w:t xml:space="preserve"> not be able to adequately monitor capital levels and ensure </w:t>
      </w:r>
      <w:r w:rsidR="00170F69">
        <w:t xml:space="preserve">the </w:t>
      </w:r>
      <w:r>
        <w:t>safety and soundness</w:t>
      </w:r>
      <w:r w:rsidR="00E734D9">
        <w:t xml:space="preserve"> of </w:t>
      </w:r>
      <w:r w:rsidR="004500A9">
        <w:t>national banks and Federal savings associations in a timely manner</w:t>
      </w:r>
      <w:r>
        <w:t>.</w:t>
      </w:r>
    </w:p>
    <w:p w:rsidR="00525CE0" w:rsidP="00254A4A" w14:paraId="4BF5BEB3" w14:textId="77777777"/>
    <w:p w:rsidR="00525CE0" w:rsidRPr="00AE2AB7" w:rsidP="00254A4A" w14:paraId="2DA1B6C4" w14:textId="77777777">
      <w:pPr>
        <w:pStyle w:val="BodyText"/>
        <w:rPr>
          <w:b/>
          <w:bCs/>
          <w:u w:val="single"/>
        </w:rPr>
      </w:pPr>
      <w:r w:rsidRPr="00AE2AB7">
        <w:rPr>
          <w:b/>
          <w:bCs/>
        </w:rPr>
        <w:t xml:space="preserve">7.  </w:t>
      </w:r>
      <w:r w:rsidRPr="00AE2AB7">
        <w:rPr>
          <w:b/>
          <w:bCs/>
          <w:u w:val="single"/>
        </w:rPr>
        <w:t>Special circumstances:</w:t>
      </w:r>
    </w:p>
    <w:p w:rsidR="00525CE0" w:rsidP="00254A4A" w14:paraId="2FED3999" w14:textId="77777777"/>
    <w:p w:rsidR="00525CE0" w:rsidP="00254A4A" w14:paraId="3AC7657E" w14:textId="77777777">
      <w:r>
        <w:tab/>
      </w:r>
      <w:r w:rsidR="00E734D9">
        <w:t>There are no special circumstances in this collection</w:t>
      </w:r>
      <w:r>
        <w:t>.</w:t>
      </w:r>
    </w:p>
    <w:p w:rsidR="00525CE0" w:rsidP="00254A4A" w14:paraId="0E8D747C" w14:textId="77777777">
      <w:pPr>
        <w:pStyle w:val="BodyText"/>
        <w:rPr>
          <w:b/>
          <w:bCs/>
        </w:rPr>
      </w:pPr>
    </w:p>
    <w:p w:rsidR="00525CE0" w:rsidRPr="00AE2AB7" w:rsidP="00254A4A" w14:paraId="63BA6720" w14:textId="77777777">
      <w:pPr>
        <w:pStyle w:val="BodyText"/>
        <w:rPr>
          <w:iCs w:val="0"/>
          <w:u w:val="single"/>
        </w:rPr>
      </w:pPr>
      <w:r w:rsidRPr="00AE2AB7">
        <w:rPr>
          <w:b/>
          <w:bCs/>
        </w:rPr>
        <w:t xml:space="preserve">8.  </w:t>
      </w:r>
      <w:r w:rsidRPr="00AE2AB7">
        <w:rPr>
          <w:b/>
          <w:bCs/>
          <w:u w:val="single"/>
        </w:rPr>
        <w:t>Efforts to consult with persons outside the agency:</w:t>
      </w:r>
      <w:r w:rsidRPr="00AE2AB7">
        <w:rPr>
          <w:iCs w:val="0"/>
          <w:u w:val="single"/>
        </w:rPr>
        <w:t xml:space="preserve">  </w:t>
      </w:r>
    </w:p>
    <w:p w:rsidR="001434A3" w:rsidP="00254A4A" w14:paraId="01132BAB" w14:textId="77777777">
      <w:pPr>
        <w:pStyle w:val="BodyText"/>
        <w:rPr>
          <w:i w:val="0"/>
          <w:iCs w:val="0"/>
        </w:rPr>
      </w:pPr>
    </w:p>
    <w:p w:rsidR="00C5545B" w:rsidRPr="00E90749" w:rsidP="00540FDD" w14:paraId="7E507714" w14:textId="70E3542D">
      <w:pPr>
        <w:rPr>
          <w:rFonts w:eastAsia="Calibri"/>
          <w:sz w:val="22"/>
          <w:szCs w:val="22"/>
        </w:rPr>
      </w:pPr>
      <w:r>
        <w:rPr>
          <w:rFonts w:eastAsiaTheme="minorHAnsi"/>
          <w:szCs w:val="22"/>
        </w:rPr>
        <w:tab/>
      </w:r>
      <w:r w:rsidRPr="00E90749">
        <w:t xml:space="preserve">The agencies issued a Federal Register notice on </w:t>
      </w:r>
      <w:r w:rsidRPr="00C3638C" w:rsidR="00E90749">
        <w:t>June 29</w:t>
      </w:r>
      <w:r w:rsidRPr="00E90749">
        <w:t>, 202</w:t>
      </w:r>
      <w:r w:rsidRPr="00E90749" w:rsidR="00433D57">
        <w:t>3</w:t>
      </w:r>
      <w:r w:rsidR="00E90749">
        <w:t>,</w:t>
      </w:r>
      <w:r w:rsidRPr="00E90749">
        <w:t xml:space="preserve"> and</w:t>
      </w:r>
      <w:r w:rsidRPr="00E90749">
        <w:t xml:space="preserve"> requested comment for 60 days on the FFIEC 101. See </w:t>
      </w:r>
      <w:r w:rsidRPr="00E90749" w:rsidR="00433D57">
        <w:t xml:space="preserve">88 </w:t>
      </w:r>
      <w:r w:rsidRPr="00E90749">
        <w:t xml:space="preserve">FR </w:t>
      </w:r>
      <w:r w:rsidRPr="00C3638C" w:rsidR="00E90749">
        <w:t>42131</w:t>
      </w:r>
      <w:r w:rsidRPr="00E90749">
        <w:t xml:space="preserve">. </w:t>
      </w:r>
      <w:r w:rsidRPr="00E90749" w:rsidR="00E90749">
        <w:t>No comments were</w:t>
      </w:r>
      <w:r w:rsidRPr="00E90749">
        <w:t xml:space="preserve"> received</w:t>
      </w:r>
      <w:r w:rsidRPr="00E90749" w:rsidR="00E90749">
        <w:t>.</w:t>
      </w:r>
      <w:r w:rsidRPr="00E90749">
        <w:t xml:space="preserve"> </w:t>
      </w:r>
    </w:p>
    <w:p w:rsidR="00A25BE5" w:rsidRPr="00E90749" w:rsidP="005945DE" w14:paraId="6FF54495" w14:textId="77777777">
      <w:pPr>
        <w:rPr>
          <w:i/>
        </w:rPr>
      </w:pPr>
    </w:p>
    <w:p w:rsidR="00525CE0" w:rsidRPr="00AE2AB7" w:rsidP="00254A4A" w14:paraId="2F54EDF5" w14:textId="77777777">
      <w:pPr>
        <w:pStyle w:val="BodyText"/>
        <w:rPr>
          <w:b/>
          <w:bCs/>
          <w:u w:val="single"/>
        </w:rPr>
      </w:pPr>
      <w:r w:rsidRPr="00AE2AB7">
        <w:rPr>
          <w:b/>
          <w:bCs/>
        </w:rPr>
        <w:t xml:space="preserve">9.  </w:t>
      </w:r>
      <w:r w:rsidRPr="00AE2AB7">
        <w:rPr>
          <w:b/>
          <w:bCs/>
          <w:u w:val="single"/>
        </w:rPr>
        <w:t>Payment or gift to respondents:</w:t>
      </w:r>
    </w:p>
    <w:p w:rsidR="00525CE0" w:rsidP="00254A4A" w14:paraId="6839A425" w14:textId="77777777"/>
    <w:p w:rsidR="00525CE0" w:rsidP="00254A4A" w14:paraId="065B1EF9" w14:textId="77777777">
      <w:r>
        <w:tab/>
      </w:r>
      <w:r>
        <w:t>None.</w:t>
      </w:r>
    </w:p>
    <w:p w:rsidR="00525CE0" w:rsidP="00254A4A" w14:paraId="70BFEFC6" w14:textId="77777777"/>
    <w:p w:rsidR="00525CE0" w:rsidRPr="00AE2AB7" w:rsidP="00254A4A" w14:paraId="0E5E7D69" w14:textId="77777777">
      <w:pPr>
        <w:pStyle w:val="BodyText"/>
        <w:rPr>
          <w:b/>
          <w:bCs/>
        </w:rPr>
      </w:pPr>
      <w:r w:rsidRPr="00AE2AB7">
        <w:rPr>
          <w:b/>
          <w:bCs/>
        </w:rPr>
        <w:t xml:space="preserve">10.  </w:t>
      </w:r>
      <w:r w:rsidRPr="00AE2AB7">
        <w:rPr>
          <w:b/>
          <w:bCs/>
          <w:u w:val="single"/>
        </w:rPr>
        <w:t>Any assurance of confidentiality:</w:t>
      </w:r>
    </w:p>
    <w:p w:rsidR="00525CE0" w:rsidP="00254A4A" w14:paraId="59FDEFFF" w14:textId="77777777"/>
    <w:p w:rsidR="00265763" w:rsidP="00254A4A" w14:paraId="7DECF515" w14:textId="77777777">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552(b)(4))</w:t>
      </w:r>
      <w:r w:rsidR="00F02598">
        <w:rPr>
          <w:szCs w:val="24"/>
        </w:rPr>
        <w:t xml:space="preserve">. </w:t>
      </w:r>
      <w:r w:rsidRPr="00142550">
        <w:rPr>
          <w:szCs w:val="24"/>
        </w:rPr>
        <w:t xml:space="preserve"> </w:t>
      </w:r>
      <w:r w:rsidR="00F02598">
        <w:rPr>
          <w:szCs w:val="24"/>
        </w:rPr>
        <w:t>However, t</w:t>
      </w:r>
      <w:r w:rsidRPr="00142550" w:rsidR="00F02598">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Pr="00142550" w:rsidR="00F02598">
        <w:rPr>
          <w:szCs w:val="24"/>
        </w:rPr>
        <w:t xml:space="preserve">or </w:t>
      </w:r>
      <w:r w:rsidRPr="00142550">
        <w:rPr>
          <w:szCs w:val="24"/>
        </w:rPr>
        <w:t xml:space="preserve">report dates after the reporting institution conducts a satisfactory parallel run Schedules A and B, as well as line items 1 and 2 of Schedule S, of the institution’s FFIEC 101 are no longer given confidential treatment.  </w:t>
      </w:r>
    </w:p>
    <w:p w:rsidR="00525CE0" w:rsidP="00254A4A" w14:paraId="0683129B" w14:textId="77777777"/>
    <w:p w:rsidR="00525CE0" w:rsidRPr="00AE2AB7" w:rsidP="00254A4A" w14:paraId="6D6D6E0B" w14:textId="77777777">
      <w:pPr>
        <w:pStyle w:val="BodyText"/>
        <w:rPr>
          <w:b/>
          <w:bCs/>
          <w:u w:val="single"/>
        </w:rPr>
      </w:pPr>
      <w:r w:rsidRPr="00AE2AB7">
        <w:rPr>
          <w:b/>
          <w:bCs/>
        </w:rPr>
        <w:t xml:space="preserve">11.  </w:t>
      </w:r>
      <w:r w:rsidRPr="00AE2AB7">
        <w:rPr>
          <w:b/>
          <w:bCs/>
          <w:u w:val="single"/>
        </w:rPr>
        <w:t>Justification for questions of a sensitive nature:</w:t>
      </w:r>
    </w:p>
    <w:p w:rsidR="00525CE0" w:rsidP="00254A4A" w14:paraId="1A237C82" w14:textId="77777777"/>
    <w:p w:rsidR="00525CE0" w:rsidP="00254A4A" w14:paraId="5E6C38E7" w14:textId="77777777">
      <w:r>
        <w:tab/>
      </w:r>
      <w:r>
        <w:t>There are no questions of a sensitive nature.</w:t>
      </w:r>
    </w:p>
    <w:p w:rsidR="00525CE0" w:rsidRPr="00821384" w:rsidP="00254A4A" w14:paraId="78CFE02A" w14:textId="77777777">
      <w:pPr>
        <w:pStyle w:val="BodyText"/>
        <w:rPr>
          <w:b/>
          <w:bCs/>
          <w:i w:val="0"/>
        </w:rPr>
      </w:pPr>
    </w:p>
    <w:p w:rsidR="00525CE0" w:rsidRPr="00AE2AB7" w:rsidP="00254A4A" w14:paraId="59D79AD3" w14:textId="77777777">
      <w:pPr>
        <w:pStyle w:val="BodyText"/>
        <w:rPr>
          <w:b/>
          <w:bCs/>
          <w:u w:val="single"/>
        </w:rPr>
      </w:pPr>
      <w:r w:rsidRPr="00AE2AB7">
        <w:rPr>
          <w:b/>
          <w:bCs/>
        </w:rPr>
        <w:t xml:space="preserve">12.  </w:t>
      </w:r>
      <w:r w:rsidRPr="00AE2AB7">
        <w:rPr>
          <w:b/>
          <w:bCs/>
          <w:u w:val="single"/>
        </w:rPr>
        <w:t>Burden estimate:</w:t>
      </w:r>
    </w:p>
    <w:p w:rsidR="00266047" w:rsidP="00254A4A" w14:paraId="3F5B7C53" w14:textId="77777777">
      <w:pPr>
        <w:rPr>
          <w:snapToGrid w:val="0"/>
        </w:rPr>
      </w:pPr>
    </w:p>
    <w:p w:rsidR="00C74A52" w:rsidRPr="005D3A4E" w:rsidP="00254A4A" w14:paraId="33BD56AB" w14:textId="1B98D2FD">
      <w:pPr>
        <w:rPr>
          <w:snapToGrid w:val="0"/>
        </w:rPr>
      </w:pPr>
      <w:bookmarkStart w:id="1" w:name="OLE_LINK1"/>
      <w:r>
        <w:rPr>
          <w:i/>
          <w:snapToGrid w:val="0"/>
        </w:rPr>
        <w:tab/>
      </w:r>
      <w:r w:rsidRPr="005D3A4E">
        <w:rPr>
          <w:snapToGrid w:val="0"/>
        </w:rPr>
        <w:t xml:space="preserve">Estimated Number of Respondents: </w:t>
      </w:r>
      <w:r w:rsidR="005D3A4E">
        <w:rPr>
          <w:snapToGrid w:val="0"/>
        </w:rPr>
        <w:t>10</w:t>
      </w:r>
      <w:r w:rsidRPr="005D3A4E" w:rsidR="005D3A4E">
        <w:rPr>
          <w:snapToGrid w:val="0"/>
        </w:rPr>
        <w:t xml:space="preserve"> </w:t>
      </w:r>
      <w:r w:rsidRPr="005D3A4E">
        <w:rPr>
          <w:snapToGrid w:val="0"/>
        </w:rPr>
        <w:t xml:space="preserve">national banks and </w:t>
      </w:r>
      <w:r w:rsidR="00E81B5E">
        <w:rPr>
          <w:snapToGrid w:val="0"/>
        </w:rPr>
        <w:t xml:space="preserve">federal </w:t>
      </w:r>
      <w:r w:rsidRPr="005D3A4E">
        <w:rPr>
          <w:snapToGrid w:val="0"/>
        </w:rPr>
        <w:t>savings associations.</w:t>
      </w:r>
    </w:p>
    <w:p w:rsidR="00C74A52" w:rsidRPr="005D3A4E" w:rsidP="00254A4A" w14:paraId="01B2A1C9" w14:textId="77777777">
      <w:pPr>
        <w:rPr>
          <w:snapToGrid w:val="0"/>
        </w:rPr>
      </w:pPr>
    </w:p>
    <w:p w:rsidR="00E81B5E" w:rsidP="00254A4A" w14:paraId="3A58948D" w14:textId="77777777">
      <w:pPr>
        <w:rPr>
          <w:snapToGrid w:val="0"/>
        </w:rPr>
      </w:pPr>
      <w:r w:rsidRPr="005D3A4E">
        <w:rPr>
          <w:snapToGrid w:val="0"/>
        </w:rPr>
        <w:tab/>
        <w:t>Estimated Time per Response:  67</w:t>
      </w:r>
      <w:r w:rsidRPr="005D3A4E" w:rsidR="00945009">
        <w:rPr>
          <w:snapToGrid w:val="0"/>
        </w:rPr>
        <w:t>4</w:t>
      </w:r>
      <w:r w:rsidRPr="005D3A4E">
        <w:rPr>
          <w:snapToGrid w:val="0"/>
        </w:rPr>
        <w:t xml:space="preserve"> burden hours per quarter to file</w:t>
      </w:r>
      <w:r>
        <w:rPr>
          <w:snapToGrid w:val="0"/>
        </w:rPr>
        <w:t xml:space="preserve"> for banks and federal </w:t>
      </w:r>
    </w:p>
    <w:p w:rsidR="00E81B5E" w:rsidP="00254A4A" w14:paraId="4BF2923F" w14:textId="77777777">
      <w:pPr>
        <w:rPr>
          <w:snapToGrid w:val="0"/>
        </w:rPr>
      </w:pPr>
    </w:p>
    <w:p w:rsidR="00C74A52" w:rsidRPr="005D3A4E" w:rsidP="00C3638C" w14:paraId="3CF55052" w14:textId="117A4F17">
      <w:pPr>
        <w:ind w:left="3600"/>
        <w:rPr>
          <w:snapToGrid w:val="0"/>
        </w:rPr>
      </w:pPr>
      <w:r>
        <w:rPr>
          <w:snapToGrid w:val="0"/>
        </w:rPr>
        <w:t xml:space="preserve">   savings associations</w:t>
      </w:r>
      <w:r w:rsidRPr="005D3A4E">
        <w:rPr>
          <w:snapToGrid w:val="0"/>
        </w:rPr>
        <w:t>.</w:t>
      </w:r>
    </w:p>
    <w:p w:rsidR="00C74A52" w:rsidRPr="005D3A4E" w:rsidP="00254A4A" w14:paraId="2A172B64" w14:textId="77777777">
      <w:pPr>
        <w:rPr>
          <w:snapToGrid w:val="0"/>
        </w:rPr>
      </w:pPr>
    </w:p>
    <w:p w:rsidR="00C74A52" w:rsidP="00254A4A" w14:paraId="55E85E63" w14:textId="359AA2BE">
      <w:pPr>
        <w:autoSpaceDE w:val="0"/>
        <w:autoSpaceDN w:val="0"/>
        <w:adjustRightInd w:val="0"/>
        <w:rPr>
          <w:snapToGrid w:val="0"/>
        </w:rPr>
      </w:pPr>
      <w:r w:rsidRPr="005D3A4E">
        <w:rPr>
          <w:snapToGrid w:val="0"/>
        </w:rPr>
        <w:tab/>
        <w:t xml:space="preserve">Estimated Total Annual Burden: </w:t>
      </w:r>
      <w:r w:rsidR="005D3A4E">
        <w:rPr>
          <w:snapToGrid w:val="0"/>
        </w:rPr>
        <w:t>26,960</w:t>
      </w:r>
      <w:r w:rsidRPr="005D3A4E">
        <w:rPr>
          <w:snapToGrid w:val="0"/>
        </w:rPr>
        <w:t xml:space="preserve"> </w:t>
      </w:r>
      <w:r w:rsidR="00E81B5E">
        <w:rPr>
          <w:snapToGrid w:val="0"/>
        </w:rPr>
        <w:t xml:space="preserve">burden </w:t>
      </w:r>
      <w:r w:rsidRPr="005D3A4E">
        <w:rPr>
          <w:snapToGrid w:val="0"/>
        </w:rPr>
        <w:t>hours</w:t>
      </w:r>
      <w:r w:rsidR="00E81B5E">
        <w:rPr>
          <w:snapToGrid w:val="0"/>
        </w:rPr>
        <w:t xml:space="preserve"> to file</w:t>
      </w:r>
      <w:r w:rsidRPr="005D3A4E">
        <w:rPr>
          <w:snapToGrid w:val="0"/>
        </w:rPr>
        <w:t>.</w:t>
      </w:r>
    </w:p>
    <w:bookmarkEnd w:id="1"/>
    <w:p w:rsidR="00C74A52" w:rsidP="00254A4A" w14:paraId="4E79EB9C" w14:textId="77777777">
      <w:pPr>
        <w:pStyle w:val="Footer"/>
        <w:tabs>
          <w:tab w:val="left" w:pos="720"/>
        </w:tabs>
        <w:rPr>
          <w:rStyle w:val="a"/>
          <w:rFonts w:ascii="Arial Narrow" w:hAnsi="Arial Narrow"/>
        </w:rPr>
      </w:pPr>
    </w:p>
    <w:p w:rsidR="00C74A52" w:rsidP="00254A4A" w14:paraId="36508BE0" w14:textId="77777777">
      <w:pPr>
        <w:rPr>
          <w:b/>
          <w:bCs/>
          <w:i/>
          <w:iCs/>
        </w:rPr>
      </w:pPr>
    </w:p>
    <w:p w:rsidR="00C74A52" w:rsidRPr="005D3A4E" w:rsidP="00254A4A" w14:paraId="4B12DFCC" w14:textId="77777777">
      <w:pPr>
        <w:rPr>
          <w:b/>
          <w:bCs/>
          <w:iCs/>
        </w:rPr>
      </w:pPr>
      <w:r w:rsidRPr="005D3A4E">
        <w:rPr>
          <w:b/>
          <w:bCs/>
          <w:iCs/>
        </w:rPr>
        <w:t>Cost of Hour Burden to Respondents:</w:t>
      </w:r>
    </w:p>
    <w:p w:rsidR="0061526C" w:rsidRPr="005D3A4E" w:rsidP="00254A4A" w14:paraId="2E2083A1" w14:textId="77777777">
      <w:pPr>
        <w:rPr>
          <w:bCs/>
          <w:iCs/>
        </w:rPr>
      </w:pPr>
    </w:p>
    <w:p w:rsidR="0061526C" w:rsidRPr="0061526C" w:rsidP="00254A4A" w14:paraId="30668E42" w14:textId="45B01D61">
      <w:pPr>
        <w:rPr>
          <w:bCs/>
          <w:iCs/>
        </w:rPr>
      </w:pPr>
      <w:r>
        <w:rPr>
          <w:bCs/>
          <w:iCs/>
        </w:rPr>
        <w:t>26,960</w:t>
      </w:r>
      <w:r w:rsidRPr="005D3A4E">
        <w:rPr>
          <w:bCs/>
          <w:iCs/>
        </w:rPr>
        <w:t xml:space="preserve"> hours x $</w:t>
      </w:r>
      <w:r w:rsidRPr="005D3A4E">
        <w:rPr>
          <w:bCs/>
          <w:iCs/>
        </w:rPr>
        <w:t>128.05</w:t>
      </w:r>
      <w:r w:rsidRPr="005D3A4E">
        <w:rPr>
          <w:bCs/>
          <w:iCs/>
        </w:rPr>
        <w:t xml:space="preserve"> = $</w:t>
      </w:r>
      <w:r>
        <w:rPr>
          <w:bCs/>
          <w:iCs/>
        </w:rPr>
        <w:t>3,452,228</w:t>
      </w:r>
    </w:p>
    <w:p w:rsidR="00C74A52" w:rsidP="00254A4A" w14:paraId="696C3A7D" w14:textId="77777777">
      <w:pPr>
        <w:rPr>
          <w:b/>
          <w:bCs/>
        </w:rPr>
      </w:pPr>
    </w:p>
    <w:p w:rsidR="00C5545B" w:rsidRPr="0064167F" w:rsidP="00C5545B" w14:paraId="780CB64F" w14:textId="3C41076C">
      <w:pPr>
        <w:rPr>
          <w:szCs w:val="24"/>
        </w:rPr>
      </w:pPr>
      <w:r w:rsidRPr="005D3A4E">
        <w:rPr>
          <w:color w:val="000000"/>
          <w:szCs w:val="24"/>
        </w:rPr>
        <w:t xml:space="preserve">To estimate wages the OCC reviewed May 2022 data for wages (by industry and occupation) from the U.S. Bureau of Labor Statistics (BLS) for credit intermediation and related activities (NAICS 5220A1).  To estimate compensation costs associated with the rule, the OCC uses </w:t>
      </w:r>
      <w:r w:rsidRPr="005D3A4E">
        <w:rPr>
          <w:color w:val="000000"/>
          <w:szCs w:val="24"/>
        </w:rPr>
        <w:t>$128.05 per hour, which is based on the average of the 90th percentile for six occupations adjusted for inflation (5.1 percent as of Q1 2023), plus an additional 34.3 percent for benefits (based on the percent of total compensation allocated to benefits as of Q4 2022 for NAICS 522: credit intermediation and related activities).</w:t>
      </w:r>
    </w:p>
    <w:p w:rsidR="00C74A52" w:rsidP="00254A4A" w14:paraId="1ABAD9EE" w14:textId="77777777"/>
    <w:p w:rsidR="00C74A52" w:rsidRPr="001437FE" w:rsidP="00254A4A" w14:paraId="0D47423A" w14:textId="77777777">
      <w:pPr>
        <w:pStyle w:val="BodyText"/>
        <w:rPr>
          <w:b/>
          <w:bCs/>
        </w:rPr>
      </w:pPr>
      <w:r w:rsidRPr="001437FE">
        <w:rPr>
          <w:b/>
          <w:bCs/>
        </w:rPr>
        <w:t xml:space="preserve">13.  </w:t>
      </w:r>
      <w:r w:rsidRPr="001437FE">
        <w:rPr>
          <w:b/>
          <w:bCs/>
          <w:u w:val="single"/>
        </w:rPr>
        <w:t>Estimate of total annual costs to respondents (excluding cost of hour burden in Item #12):</w:t>
      </w:r>
    </w:p>
    <w:p w:rsidR="00C74A52" w:rsidP="00254A4A" w14:paraId="01C4587B" w14:textId="77777777"/>
    <w:p w:rsidR="00C74A52" w:rsidP="00254A4A" w14:paraId="64831D01" w14:textId="77777777">
      <w:r>
        <w:tab/>
      </w:r>
      <w:r>
        <w:t>Not applicable.</w:t>
      </w:r>
    </w:p>
    <w:p w:rsidR="00C74A52" w:rsidP="00254A4A" w14:paraId="14FCA3A8" w14:textId="77777777"/>
    <w:p w:rsidR="00C74A52" w:rsidRPr="0061526C" w:rsidP="00254A4A" w14:paraId="3B1F2AEA" w14:textId="77777777">
      <w:pPr>
        <w:pStyle w:val="BodyText"/>
        <w:rPr>
          <w:b/>
          <w:bCs/>
          <w:u w:val="single"/>
        </w:rPr>
      </w:pPr>
      <w:r w:rsidRPr="0061526C">
        <w:rPr>
          <w:b/>
          <w:bCs/>
        </w:rPr>
        <w:t xml:space="preserve">14.  </w:t>
      </w:r>
      <w:r w:rsidRPr="0061526C">
        <w:rPr>
          <w:b/>
          <w:bCs/>
          <w:u w:val="single"/>
        </w:rPr>
        <w:t>Estimate of annualized costs to the Federal government:</w:t>
      </w:r>
    </w:p>
    <w:p w:rsidR="00C74A52" w:rsidP="00254A4A" w14:paraId="35BE2667" w14:textId="77777777">
      <w:pPr>
        <w:pStyle w:val="Footer"/>
        <w:tabs>
          <w:tab w:val="left" w:pos="720"/>
        </w:tabs>
      </w:pPr>
    </w:p>
    <w:p w:rsidR="00C74A52" w:rsidP="00254A4A" w14:paraId="5AD41DA0" w14:textId="77777777">
      <w:r>
        <w:tab/>
      </w:r>
      <w:r>
        <w:t>Not applicable.</w:t>
      </w:r>
    </w:p>
    <w:p w:rsidR="00C74A52" w:rsidP="00254A4A" w14:paraId="168165A9" w14:textId="77777777">
      <w:pPr>
        <w:pStyle w:val="BodyText"/>
        <w:rPr>
          <w:b/>
          <w:bCs/>
        </w:rPr>
      </w:pPr>
    </w:p>
    <w:p w:rsidR="00C74A52" w:rsidRPr="0061526C" w:rsidP="00254A4A" w14:paraId="7D25B266" w14:textId="77777777">
      <w:pPr>
        <w:pStyle w:val="BodyText"/>
        <w:rPr>
          <w:b/>
          <w:bCs/>
        </w:rPr>
      </w:pPr>
      <w:r w:rsidRPr="0061526C">
        <w:rPr>
          <w:b/>
          <w:bCs/>
        </w:rPr>
        <w:t xml:space="preserve">15.  </w:t>
      </w:r>
      <w:r w:rsidRPr="0061526C">
        <w:rPr>
          <w:b/>
          <w:bCs/>
          <w:u w:val="single"/>
        </w:rPr>
        <w:t>Change in burden:</w:t>
      </w:r>
    </w:p>
    <w:p w:rsidR="00C74A52" w:rsidRPr="00247A1D" w:rsidP="00254A4A" w14:paraId="2A39E120" w14:textId="77777777"/>
    <w:p w:rsidR="00C74A52" w:rsidRPr="00247A1D" w:rsidP="00254A4A" w14:paraId="097E5C06" w14:textId="35BB43D2">
      <w:r w:rsidRPr="00247A1D">
        <w:rPr>
          <w:snapToGrid w:val="0"/>
        </w:rPr>
        <w:tab/>
      </w:r>
      <w:r w:rsidRPr="00247A1D" w:rsidR="003A1325">
        <w:rPr>
          <w:snapToGrid w:val="0"/>
        </w:rPr>
        <w:t>The change in burden increased due to 5 national banks being scoped into the reporting requirements, generally due to becoming subsidiaries of larger banking organizations. This increase in respondents increased the total burden by 13,480 hours compared to the prior submission.</w:t>
      </w:r>
    </w:p>
    <w:p w:rsidR="00525CE0" w:rsidP="00254A4A" w14:paraId="4F9D0C06" w14:textId="77777777"/>
    <w:p w:rsidR="00525CE0" w:rsidRPr="0061526C" w:rsidP="00254A4A" w14:paraId="56E324B6" w14:textId="77777777">
      <w:pPr>
        <w:pStyle w:val="BodyText"/>
        <w:rPr>
          <w:b/>
          <w:bCs/>
        </w:rPr>
      </w:pPr>
      <w:r w:rsidRPr="0061526C">
        <w:rPr>
          <w:b/>
          <w:bCs/>
        </w:rPr>
        <w:t xml:space="preserve">16.  </w:t>
      </w:r>
      <w:r w:rsidRPr="0061526C" w:rsidR="004A0424">
        <w:rPr>
          <w:b/>
          <w:bCs/>
          <w:u w:val="single"/>
        </w:rPr>
        <w:t>Publication of information for statistical purposes</w:t>
      </w:r>
      <w:r w:rsidRPr="0061526C">
        <w:rPr>
          <w:b/>
          <w:bCs/>
          <w:u w:val="single"/>
        </w:rPr>
        <w:t>:</w:t>
      </w:r>
    </w:p>
    <w:p w:rsidR="00525CE0" w:rsidP="00254A4A" w14:paraId="63042E7C" w14:textId="77777777"/>
    <w:p w:rsidR="00525CE0" w:rsidP="00254A4A" w14:paraId="3278391E" w14:textId="77777777">
      <w:r>
        <w:tab/>
      </w:r>
      <w:r>
        <w:t xml:space="preserve">The OCC </w:t>
      </w:r>
      <w:r w:rsidR="004A0424">
        <w:t>is not</w:t>
      </w:r>
      <w:r>
        <w:t xml:space="preserve"> publish</w:t>
      </w:r>
      <w:r w:rsidR="004A0424">
        <w:t>ing</w:t>
      </w:r>
      <w:r>
        <w:t xml:space="preserve"> the information for statistical purposes.</w:t>
      </w:r>
    </w:p>
    <w:p w:rsidR="00525CE0" w:rsidP="00254A4A" w14:paraId="49340738" w14:textId="77777777"/>
    <w:p w:rsidR="00525CE0" w:rsidRPr="0061526C" w:rsidP="00254A4A" w14:paraId="6C05C895" w14:textId="77777777">
      <w:pPr>
        <w:pStyle w:val="BodyText"/>
        <w:rPr>
          <w:b/>
          <w:bCs/>
        </w:rPr>
      </w:pPr>
      <w:r w:rsidRPr="0061526C">
        <w:rPr>
          <w:b/>
          <w:bCs/>
        </w:rPr>
        <w:t xml:space="preserve">17.  </w:t>
      </w:r>
      <w:r w:rsidRPr="0061526C">
        <w:rPr>
          <w:b/>
          <w:bCs/>
          <w:u w:val="single"/>
        </w:rPr>
        <w:t>Reasons for not displaying OMB approval expiration date:</w:t>
      </w:r>
    </w:p>
    <w:p w:rsidR="00525CE0" w:rsidP="00254A4A" w14:paraId="34ECE2C8" w14:textId="77777777"/>
    <w:p w:rsidR="00525CE0" w:rsidP="00254A4A" w14:paraId="7EC4E6CC" w14:textId="77777777">
      <w:r>
        <w:tab/>
      </w:r>
      <w:r w:rsidR="00002DDD">
        <w:t>Not applicable</w:t>
      </w:r>
      <w:r>
        <w:t>.</w:t>
      </w:r>
    </w:p>
    <w:p w:rsidR="00525CE0" w:rsidP="00254A4A" w14:paraId="62D71FA3" w14:textId="77777777"/>
    <w:p w:rsidR="00525CE0" w:rsidRPr="00AD2102" w:rsidP="00254A4A" w14:paraId="71E5900C" w14:textId="77777777">
      <w:pPr>
        <w:pStyle w:val="BodyText"/>
        <w:rPr>
          <w:b/>
          <w:bCs/>
          <w:u w:val="single"/>
        </w:rPr>
      </w:pPr>
      <w:r w:rsidRPr="00AD2102">
        <w:rPr>
          <w:b/>
          <w:bCs/>
        </w:rPr>
        <w:t xml:space="preserve">18.  </w:t>
      </w:r>
      <w:r w:rsidRPr="00AD2102">
        <w:rPr>
          <w:b/>
          <w:bCs/>
          <w:u w:val="single"/>
        </w:rPr>
        <w:t>Exceptions to the certification statement in Item 19 of OMB Form 83-I:</w:t>
      </w:r>
    </w:p>
    <w:p w:rsidR="00525CE0" w:rsidP="00254A4A" w14:paraId="0ED4026A" w14:textId="77777777"/>
    <w:p w:rsidR="00525CE0" w:rsidP="00254A4A" w14:paraId="766D5F44" w14:textId="77777777">
      <w:r>
        <w:tab/>
      </w:r>
      <w:r>
        <w:t>None.</w:t>
      </w:r>
    </w:p>
    <w:p w:rsidR="00525CE0" w:rsidP="00254A4A" w14:paraId="5CECADD6" w14:textId="77777777">
      <w:pPr>
        <w:rPr>
          <w:b/>
          <w:bCs/>
        </w:rPr>
      </w:pPr>
    </w:p>
    <w:p w:rsidR="00525CE0" w:rsidP="00254A4A" w14:paraId="7ED5C793" w14:textId="77777777">
      <w:r>
        <w:rPr>
          <w:b/>
          <w:bCs/>
        </w:rPr>
        <w:t xml:space="preserve">B.  </w:t>
      </w:r>
      <w:r w:rsidRPr="00AD2102">
        <w:rPr>
          <w:b/>
          <w:bCs/>
          <w:caps/>
        </w:rPr>
        <w:t>Collections of Information Employing Statistical Methods.</w:t>
      </w:r>
    </w:p>
    <w:p w:rsidR="00525CE0" w:rsidP="00254A4A" w14:paraId="6A5654A0" w14:textId="77777777"/>
    <w:p w:rsidR="00525CE0" w:rsidP="00254A4A" w14:paraId="0CF972A4" w14:textId="77777777">
      <w:r>
        <w:t>Not applicable.</w:t>
      </w:r>
    </w:p>
    <w:p w:rsidR="00525CE0" w:rsidP="003F75BC" w14:paraId="58AFC25C" w14:textId="77777777">
      <w:pPr>
        <w:ind w:right="1253"/>
        <w:jc w:val="center"/>
      </w:pPr>
    </w:p>
    <w:sectPr w:rsidSect="00254A4A">
      <w:footerReference w:type="even" r:id="rId4"/>
      <w:footerReference w:type="default" r:id="rId5"/>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CD8" w14:paraId="2C779A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4CD8" w14:paraId="036884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CD8" w14:paraId="25CBAE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87E">
      <w:rPr>
        <w:rStyle w:val="PageNumber"/>
        <w:noProof/>
      </w:rPr>
      <w:t>2</w:t>
    </w:r>
    <w:r>
      <w:rPr>
        <w:rStyle w:val="PageNumber"/>
      </w:rPr>
      <w:fldChar w:fldCharType="end"/>
    </w:r>
  </w:p>
  <w:p w:rsidR="00444CD8" w14:paraId="11E7EA6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935DF"/>
    <w:multiLevelType w:val="hybridMultilevel"/>
    <w:tmpl w:val="D45EA96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5E06C07"/>
    <w:multiLevelType w:val="hybridMultilevel"/>
    <w:tmpl w:val="48820EEC"/>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2250"/>
        </w:tabs>
        <w:ind w:left="2250" w:hanging="360"/>
      </w:pPr>
      <w:rPr>
        <w:rFonts w:ascii="Courier New" w:hAnsi="Courier New" w:cs="Courier New" w:hint="default"/>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cs="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cs="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4">
    <w:nsid w:val="26426020"/>
    <w:multiLevelType w:val="hybridMultilevel"/>
    <w:tmpl w:val="D05E2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3C5247"/>
    <w:multiLevelType w:val="hybridMultilevel"/>
    <w:tmpl w:val="5DB443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AD2622"/>
    <w:multiLevelType w:val="hybridMultilevel"/>
    <w:tmpl w:val="F5E03F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3BB95D6D"/>
    <w:multiLevelType w:val="hybridMultilevel"/>
    <w:tmpl w:val="F2DA3740"/>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45B61AA0"/>
    <w:multiLevelType w:val="hybridMultilevel"/>
    <w:tmpl w:val="68D2BE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5EC45F93"/>
    <w:multiLevelType w:val="hybridMultilevel"/>
    <w:tmpl w:val="1F545AC8"/>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26758C2"/>
    <w:multiLevelType w:val="hybridMultilevel"/>
    <w:tmpl w:val="984E8D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2FA38AF"/>
    <w:multiLevelType w:val="hybridMultilevel"/>
    <w:tmpl w:val="9E549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4970B9F"/>
    <w:multiLevelType w:val="hybridMultilevel"/>
    <w:tmpl w:val="667E6928"/>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AF83C54"/>
    <w:multiLevelType w:val="hybridMultilevel"/>
    <w:tmpl w:val="64D0DC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669063558">
    <w:abstractNumId w:val="1"/>
  </w:num>
  <w:num w:numId="2" w16cid:durableId="505873528">
    <w:abstractNumId w:val="15"/>
  </w:num>
  <w:num w:numId="3" w16cid:durableId="1093550039">
    <w:abstractNumId w:val="7"/>
  </w:num>
  <w:num w:numId="4" w16cid:durableId="333387142">
    <w:abstractNumId w:val="7"/>
  </w:num>
  <w:num w:numId="5" w16cid:durableId="1618870899">
    <w:abstractNumId w:val="2"/>
  </w:num>
  <w:num w:numId="6" w16cid:durableId="120272877">
    <w:abstractNumId w:val="2"/>
  </w:num>
  <w:num w:numId="7" w16cid:durableId="1746956492">
    <w:abstractNumId w:val="2"/>
  </w:num>
  <w:num w:numId="8" w16cid:durableId="2101632212">
    <w:abstractNumId w:val="2"/>
  </w:num>
  <w:num w:numId="9" w16cid:durableId="1788238599">
    <w:abstractNumId w:val="2"/>
  </w:num>
  <w:num w:numId="10" w16cid:durableId="26834841">
    <w:abstractNumId w:val="2"/>
  </w:num>
  <w:num w:numId="11" w16cid:durableId="1993023158">
    <w:abstractNumId w:val="2"/>
  </w:num>
  <w:num w:numId="12" w16cid:durableId="1530147087">
    <w:abstractNumId w:val="2"/>
  </w:num>
  <w:num w:numId="13" w16cid:durableId="822937016">
    <w:abstractNumId w:val="7"/>
  </w:num>
  <w:num w:numId="14" w16cid:durableId="1779980632">
    <w:abstractNumId w:val="7"/>
  </w:num>
  <w:num w:numId="15" w16cid:durableId="278101220">
    <w:abstractNumId w:val="7"/>
  </w:num>
  <w:num w:numId="16" w16cid:durableId="347947045">
    <w:abstractNumId w:val="7"/>
  </w:num>
  <w:num w:numId="17" w16cid:durableId="807629633">
    <w:abstractNumId w:val="8"/>
  </w:num>
  <w:num w:numId="18" w16cid:durableId="658850685">
    <w:abstractNumId w:val="13"/>
  </w:num>
  <w:num w:numId="19" w16cid:durableId="412943861">
    <w:abstractNumId w:val="10"/>
  </w:num>
  <w:num w:numId="20" w16cid:durableId="164430650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32557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30994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6944191">
    <w:abstractNumId w:val="12"/>
  </w:num>
  <w:num w:numId="24" w16cid:durableId="1507358423">
    <w:abstractNumId w:val="5"/>
  </w:num>
  <w:num w:numId="25" w16cid:durableId="370690664">
    <w:abstractNumId w:val="4"/>
  </w:num>
  <w:num w:numId="26" w16cid:durableId="2136436826">
    <w:abstractNumId w:val="6"/>
  </w:num>
  <w:num w:numId="27" w16cid:durableId="1085807618">
    <w:abstractNumId w:val="0"/>
  </w:num>
  <w:num w:numId="28" w16cid:durableId="1737975674">
    <w:abstractNumId w:val="9"/>
  </w:num>
  <w:num w:numId="29" w16cid:durableId="93220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1"/>
    <w:rsid w:val="00002DDD"/>
    <w:rsid w:val="000126E1"/>
    <w:rsid w:val="00020CC9"/>
    <w:rsid w:val="000252E7"/>
    <w:rsid w:val="00034E78"/>
    <w:rsid w:val="0004061E"/>
    <w:rsid w:val="000610BC"/>
    <w:rsid w:val="00076A4F"/>
    <w:rsid w:val="00087A62"/>
    <w:rsid w:val="000A2276"/>
    <w:rsid w:val="000B52E6"/>
    <w:rsid w:val="000D523A"/>
    <w:rsid w:val="000F6886"/>
    <w:rsid w:val="00120FA7"/>
    <w:rsid w:val="00130785"/>
    <w:rsid w:val="00142550"/>
    <w:rsid w:val="001434A3"/>
    <w:rsid w:val="001437FE"/>
    <w:rsid w:val="001553AF"/>
    <w:rsid w:val="0017096F"/>
    <w:rsid w:val="00170F69"/>
    <w:rsid w:val="00171BC6"/>
    <w:rsid w:val="00176FF6"/>
    <w:rsid w:val="0018566D"/>
    <w:rsid w:val="0019765E"/>
    <w:rsid w:val="001B4507"/>
    <w:rsid w:val="001D39E5"/>
    <w:rsid w:val="001D78B6"/>
    <w:rsid w:val="001E20FE"/>
    <w:rsid w:val="001E6342"/>
    <w:rsid w:val="001E6D66"/>
    <w:rsid w:val="001E6DBC"/>
    <w:rsid w:val="001F614F"/>
    <w:rsid w:val="00205237"/>
    <w:rsid w:val="0020767E"/>
    <w:rsid w:val="002117DC"/>
    <w:rsid w:val="00217CA1"/>
    <w:rsid w:val="0022275F"/>
    <w:rsid w:val="002278DF"/>
    <w:rsid w:val="002452FF"/>
    <w:rsid w:val="00247A1D"/>
    <w:rsid w:val="00254A4A"/>
    <w:rsid w:val="00265763"/>
    <w:rsid w:val="002658C1"/>
    <w:rsid w:val="00266047"/>
    <w:rsid w:val="002662D2"/>
    <w:rsid w:val="002728B9"/>
    <w:rsid w:val="002969E3"/>
    <w:rsid w:val="00296FAF"/>
    <w:rsid w:val="002A5E7F"/>
    <w:rsid w:val="002C39C5"/>
    <w:rsid w:val="002C51C4"/>
    <w:rsid w:val="002D3F8D"/>
    <w:rsid w:val="002F2CA0"/>
    <w:rsid w:val="00315033"/>
    <w:rsid w:val="0031533A"/>
    <w:rsid w:val="00315EDB"/>
    <w:rsid w:val="0032129B"/>
    <w:rsid w:val="00327BD0"/>
    <w:rsid w:val="00333150"/>
    <w:rsid w:val="00363400"/>
    <w:rsid w:val="00374F9B"/>
    <w:rsid w:val="00384C6F"/>
    <w:rsid w:val="0038784C"/>
    <w:rsid w:val="003A1325"/>
    <w:rsid w:val="003B0041"/>
    <w:rsid w:val="003B11EF"/>
    <w:rsid w:val="003C1330"/>
    <w:rsid w:val="003E061B"/>
    <w:rsid w:val="003F2F1E"/>
    <w:rsid w:val="003F75BC"/>
    <w:rsid w:val="00416C1C"/>
    <w:rsid w:val="00433D57"/>
    <w:rsid w:val="00444CD8"/>
    <w:rsid w:val="004500A9"/>
    <w:rsid w:val="0048535C"/>
    <w:rsid w:val="00487DF0"/>
    <w:rsid w:val="00490142"/>
    <w:rsid w:val="00492571"/>
    <w:rsid w:val="004936FB"/>
    <w:rsid w:val="004A0424"/>
    <w:rsid w:val="004A6D5D"/>
    <w:rsid w:val="004C0373"/>
    <w:rsid w:val="004C6CDC"/>
    <w:rsid w:val="004C74DC"/>
    <w:rsid w:val="004D0219"/>
    <w:rsid w:val="004E01C9"/>
    <w:rsid w:val="004E0E4D"/>
    <w:rsid w:val="004E6E4E"/>
    <w:rsid w:val="004F2597"/>
    <w:rsid w:val="004F2940"/>
    <w:rsid w:val="00517588"/>
    <w:rsid w:val="00522578"/>
    <w:rsid w:val="00525CE0"/>
    <w:rsid w:val="0053479D"/>
    <w:rsid w:val="00540FDD"/>
    <w:rsid w:val="00560C79"/>
    <w:rsid w:val="00561A8D"/>
    <w:rsid w:val="005945DE"/>
    <w:rsid w:val="005D36B1"/>
    <w:rsid w:val="005D3A1C"/>
    <w:rsid w:val="005D3A4E"/>
    <w:rsid w:val="005F2558"/>
    <w:rsid w:val="00600083"/>
    <w:rsid w:val="00604121"/>
    <w:rsid w:val="0060764D"/>
    <w:rsid w:val="006123EE"/>
    <w:rsid w:val="0061526C"/>
    <w:rsid w:val="006166D8"/>
    <w:rsid w:val="006215F5"/>
    <w:rsid w:val="006239ED"/>
    <w:rsid w:val="0064167F"/>
    <w:rsid w:val="0064769A"/>
    <w:rsid w:val="00661B56"/>
    <w:rsid w:val="00667C24"/>
    <w:rsid w:val="006765C9"/>
    <w:rsid w:val="00681065"/>
    <w:rsid w:val="00684270"/>
    <w:rsid w:val="00684677"/>
    <w:rsid w:val="006A1289"/>
    <w:rsid w:val="006D6FF2"/>
    <w:rsid w:val="006F25D8"/>
    <w:rsid w:val="00715714"/>
    <w:rsid w:val="00717685"/>
    <w:rsid w:val="00717CDA"/>
    <w:rsid w:val="00727A07"/>
    <w:rsid w:val="007405C7"/>
    <w:rsid w:val="00767123"/>
    <w:rsid w:val="00776E63"/>
    <w:rsid w:val="007816AF"/>
    <w:rsid w:val="00793CE9"/>
    <w:rsid w:val="00793ED6"/>
    <w:rsid w:val="007A4D70"/>
    <w:rsid w:val="007C13C0"/>
    <w:rsid w:val="007C2E19"/>
    <w:rsid w:val="007C5C75"/>
    <w:rsid w:val="007D2317"/>
    <w:rsid w:val="007F3D36"/>
    <w:rsid w:val="007F6302"/>
    <w:rsid w:val="008029AF"/>
    <w:rsid w:val="00805BF1"/>
    <w:rsid w:val="00821384"/>
    <w:rsid w:val="0084143D"/>
    <w:rsid w:val="00853621"/>
    <w:rsid w:val="00880915"/>
    <w:rsid w:val="008A1E17"/>
    <w:rsid w:val="008A64C8"/>
    <w:rsid w:val="008B5E16"/>
    <w:rsid w:val="008C1328"/>
    <w:rsid w:val="008C3E6F"/>
    <w:rsid w:val="008E37AF"/>
    <w:rsid w:val="008E6897"/>
    <w:rsid w:val="008F5525"/>
    <w:rsid w:val="00900A4C"/>
    <w:rsid w:val="00911758"/>
    <w:rsid w:val="00912DB2"/>
    <w:rsid w:val="00915BFB"/>
    <w:rsid w:val="0092414B"/>
    <w:rsid w:val="00930DE3"/>
    <w:rsid w:val="00941CBE"/>
    <w:rsid w:val="009422B6"/>
    <w:rsid w:val="00945009"/>
    <w:rsid w:val="009A3521"/>
    <w:rsid w:val="009A487E"/>
    <w:rsid w:val="009B42C2"/>
    <w:rsid w:val="009D76EF"/>
    <w:rsid w:val="009E1878"/>
    <w:rsid w:val="009E292D"/>
    <w:rsid w:val="009E5A9D"/>
    <w:rsid w:val="009F17B6"/>
    <w:rsid w:val="009F61E0"/>
    <w:rsid w:val="00A052F7"/>
    <w:rsid w:val="00A135D7"/>
    <w:rsid w:val="00A205A4"/>
    <w:rsid w:val="00A25BE5"/>
    <w:rsid w:val="00A266B4"/>
    <w:rsid w:val="00A26A6A"/>
    <w:rsid w:val="00A54C28"/>
    <w:rsid w:val="00A735A6"/>
    <w:rsid w:val="00A76C07"/>
    <w:rsid w:val="00A86594"/>
    <w:rsid w:val="00A9325E"/>
    <w:rsid w:val="00AA7198"/>
    <w:rsid w:val="00AB306F"/>
    <w:rsid w:val="00AD0192"/>
    <w:rsid w:val="00AD2102"/>
    <w:rsid w:val="00AE2AB7"/>
    <w:rsid w:val="00AE7411"/>
    <w:rsid w:val="00AF6EEE"/>
    <w:rsid w:val="00B00B16"/>
    <w:rsid w:val="00B013E6"/>
    <w:rsid w:val="00B02779"/>
    <w:rsid w:val="00B15AC7"/>
    <w:rsid w:val="00B15F98"/>
    <w:rsid w:val="00B35FBE"/>
    <w:rsid w:val="00B63C3F"/>
    <w:rsid w:val="00B64A60"/>
    <w:rsid w:val="00B94116"/>
    <w:rsid w:val="00BA1290"/>
    <w:rsid w:val="00BA6A9C"/>
    <w:rsid w:val="00BB1E61"/>
    <w:rsid w:val="00BF6F8E"/>
    <w:rsid w:val="00C143AD"/>
    <w:rsid w:val="00C16873"/>
    <w:rsid w:val="00C27FC9"/>
    <w:rsid w:val="00C31627"/>
    <w:rsid w:val="00C32B69"/>
    <w:rsid w:val="00C3638C"/>
    <w:rsid w:val="00C50979"/>
    <w:rsid w:val="00C5545B"/>
    <w:rsid w:val="00C74A52"/>
    <w:rsid w:val="00C7539D"/>
    <w:rsid w:val="00C84765"/>
    <w:rsid w:val="00CC4EE2"/>
    <w:rsid w:val="00CE3B34"/>
    <w:rsid w:val="00CF2A4E"/>
    <w:rsid w:val="00D03898"/>
    <w:rsid w:val="00D06F8C"/>
    <w:rsid w:val="00D27EE6"/>
    <w:rsid w:val="00D342FE"/>
    <w:rsid w:val="00D3467E"/>
    <w:rsid w:val="00D3782D"/>
    <w:rsid w:val="00D42166"/>
    <w:rsid w:val="00D560B2"/>
    <w:rsid w:val="00D77BC1"/>
    <w:rsid w:val="00D86C94"/>
    <w:rsid w:val="00DA223B"/>
    <w:rsid w:val="00DC58F3"/>
    <w:rsid w:val="00DD32CD"/>
    <w:rsid w:val="00DD5A4D"/>
    <w:rsid w:val="00DF7F45"/>
    <w:rsid w:val="00E02055"/>
    <w:rsid w:val="00E42987"/>
    <w:rsid w:val="00E5003C"/>
    <w:rsid w:val="00E512F9"/>
    <w:rsid w:val="00E6726C"/>
    <w:rsid w:val="00E723FE"/>
    <w:rsid w:val="00E7290F"/>
    <w:rsid w:val="00E734D9"/>
    <w:rsid w:val="00E76C5C"/>
    <w:rsid w:val="00E81B5E"/>
    <w:rsid w:val="00E90749"/>
    <w:rsid w:val="00E93F80"/>
    <w:rsid w:val="00EA1167"/>
    <w:rsid w:val="00EB0904"/>
    <w:rsid w:val="00EC244F"/>
    <w:rsid w:val="00EE70C3"/>
    <w:rsid w:val="00EF6F81"/>
    <w:rsid w:val="00F02598"/>
    <w:rsid w:val="00F06406"/>
    <w:rsid w:val="00F1103A"/>
    <w:rsid w:val="00F21241"/>
    <w:rsid w:val="00F44E82"/>
    <w:rsid w:val="00F72F97"/>
    <w:rsid w:val="00FD429B"/>
    <w:rsid w:val="00FD7BB6"/>
    <w:rsid w:val="00FF01AC"/>
    <w:rsid w:val="00FF41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36D591"/>
  <w15:docId w15:val="{11F3F18B-4C66-4322-B312-76A8EBA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rPr>
      <w:vertAlign w:val="superscript"/>
    </w:rPr>
  </w:style>
  <w:style w:type="paragraph" w:styleId="FootnoteText">
    <w:name w:val="footnote text"/>
    <w:aliases w:val=" Char,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qFormat/>
    <w:rPr>
      <w:sz w:val="20"/>
    </w:rPr>
  </w:style>
  <w:style w:type="paragraph" w:customStyle="1" w:styleId="ArticleNumber">
    <w:name w:val="Article Number"/>
    <w:basedOn w:val="Normal"/>
    <w:pPr>
      <w:numPr>
        <w:numId w:val="16"/>
      </w:numPr>
      <w:tabs>
        <w:tab w:val="num" w:pos="360"/>
      </w:tabs>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num" w:pos="360"/>
        <w:tab w:val="clear" w:pos="1440"/>
      </w:tabs>
      <w:spacing w:line="480" w:lineRule="auto"/>
      <w:ind w:left="2160" w:firstLine="0"/>
    </w:pPr>
  </w:style>
  <w:style w:type="paragraph" w:customStyle="1" w:styleId="ArticleLeveli">
    <w:name w:val="Article Level (i)"/>
    <w:basedOn w:val="Normal"/>
    <w:pPr>
      <w:numPr>
        <w:ilvl w:val="3"/>
        <w:numId w:val="15"/>
      </w:numPr>
      <w:tabs>
        <w:tab w:val="num" w:pos="360"/>
        <w:tab w:val="clear" w:pos="2160"/>
      </w:tabs>
      <w:spacing w:line="480" w:lineRule="auto"/>
      <w:ind w:left="2880" w:firstLine="0"/>
    </w:pPr>
  </w:style>
  <w:style w:type="paragraph" w:styleId="Title">
    <w:name w:val="Title"/>
    <w:basedOn w:val="Normal"/>
    <w:link w:val="TitleChar"/>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aliases w:val="Footnote Text Char Char Char,Footnote Text Char Char Char Char Char,Footnote Text Char Char Char Char Char Char Char Char Char Char Char Char Char Char Char Char Char Char,Footnote Text Char1 Char Char Char,Style 15 Char,fn Char"/>
    <w:link w:val="FootnoteText"/>
    <w:uiPriority w:val="99"/>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 w:type="character" w:customStyle="1" w:styleId="TitleChar">
    <w:name w:val="Title Char"/>
    <w:basedOn w:val="DefaultParagraphFont"/>
    <w:link w:val="Title"/>
    <w:rsid w:val="00034E78"/>
    <w:rPr>
      <w:b/>
      <w:bCs/>
      <w:sz w:val="24"/>
    </w:rPr>
  </w:style>
  <w:style w:type="paragraph" w:styleId="NoSpacing">
    <w:name w:val="No Spacing"/>
    <w:uiPriority w:val="99"/>
    <w:qFormat/>
    <w:rsid w:val="00776E63"/>
    <w:rPr>
      <w:rFonts w:ascii="Calibri" w:eastAsia="Calibri" w:hAnsi="Calibri"/>
      <w:sz w:val="22"/>
      <w:szCs w:val="22"/>
    </w:rPr>
  </w:style>
  <w:style w:type="paragraph" w:styleId="Revision">
    <w:name w:val="Revision"/>
    <w:hidden/>
    <w:uiPriority w:val="99"/>
    <w:semiHidden/>
    <w:rsid w:val="00433D57"/>
    <w:rPr>
      <w:sz w:val="24"/>
    </w:rPr>
  </w:style>
  <w:style w:type="character" w:styleId="CommentReference">
    <w:name w:val="annotation reference"/>
    <w:basedOn w:val="DefaultParagraphFont"/>
    <w:semiHidden/>
    <w:unhideWhenUsed/>
    <w:rsid w:val="005D3A4E"/>
    <w:rPr>
      <w:sz w:val="16"/>
      <w:szCs w:val="16"/>
    </w:rPr>
  </w:style>
  <w:style w:type="paragraph" w:styleId="CommentText">
    <w:name w:val="annotation text"/>
    <w:basedOn w:val="Normal"/>
    <w:link w:val="CommentTextChar"/>
    <w:semiHidden/>
    <w:unhideWhenUsed/>
    <w:rsid w:val="005D3A4E"/>
    <w:rPr>
      <w:sz w:val="20"/>
    </w:rPr>
  </w:style>
  <w:style w:type="character" w:customStyle="1" w:styleId="CommentTextChar">
    <w:name w:val="Comment Text Char"/>
    <w:basedOn w:val="DefaultParagraphFont"/>
    <w:link w:val="CommentText"/>
    <w:semiHidden/>
    <w:rsid w:val="005D3A4E"/>
  </w:style>
  <w:style w:type="paragraph" w:styleId="CommentSubject">
    <w:name w:val="annotation subject"/>
    <w:basedOn w:val="CommentText"/>
    <w:next w:val="CommentText"/>
    <w:link w:val="CommentSubjectChar"/>
    <w:semiHidden/>
    <w:unhideWhenUsed/>
    <w:rsid w:val="005D3A4E"/>
    <w:rPr>
      <w:b/>
      <w:bCs/>
    </w:rPr>
  </w:style>
  <w:style w:type="character" w:customStyle="1" w:styleId="CommentSubjectChar">
    <w:name w:val="Comment Subject Char"/>
    <w:basedOn w:val="CommentTextChar"/>
    <w:link w:val="CommentSubject"/>
    <w:semiHidden/>
    <w:rsid w:val="005D3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McLean, Calpurnia</cp:lastModifiedBy>
  <cp:revision>2</cp:revision>
  <cp:lastPrinted>2020-01-22T16:22:00Z</cp:lastPrinted>
  <dcterms:created xsi:type="dcterms:W3CDTF">2023-10-13T13:10:00Z</dcterms:created>
  <dcterms:modified xsi:type="dcterms:W3CDTF">2023-10-13T13:10:00Z</dcterms:modified>
</cp:coreProperties>
</file>