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C69" w:rsidRPr="008569BE" w:rsidP="008865EF" w14:paraId="75B38EB4" w14:textId="77777777">
      <w:pPr>
        <w:tabs>
          <w:tab w:val="center" w:pos="4680"/>
        </w:tabs>
        <w:jc w:val="center"/>
        <w:rPr>
          <w:rFonts w:asciiTheme="minorHAnsi" w:hAnsiTheme="minorHAnsi" w:cstheme="minorHAnsi"/>
        </w:rPr>
      </w:pPr>
      <w:r w:rsidRPr="008569BE">
        <w:rPr>
          <w:rFonts w:asciiTheme="minorHAnsi" w:hAnsiTheme="minorHAnsi" w:cstheme="minorHAnsi"/>
        </w:rPr>
        <w:t>SUPPORTING STATEMENT</w:t>
      </w:r>
    </w:p>
    <w:p w:rsidR="00E826F2" w:rsidRPr="008569BE" w:rsidP="00321C69" w14:paraId="04767B71" w14:textId="660F002C">
      <w:pPr>
        <w:jc w:val="center"/>
        <w:rPr>
          <w:rFonts w:asciiTheme="minorHAnsi" w:hAnsiTheme="minorHAnsi" w:cstheme="minorHAnsi"/>
        </w:rPr>
      </w:pPr>
      <w:r w:rsidRPr="008569BE">
        <w:rPr>
          <w:rFonts w:asciiTheme="minorHAnsi" w:hAnsiTheme="minorHAnsi" w:cstheme="minorHAnsi"/>
        </w:rPr>
        <w:t>Internal Revenue Service</w:t>
      </w:r>
      <w:r w:rsidRPr="008569BE" w:rsidR="0022419C">
        <w:rPr>
          <w:rFonts w:asciiTheme="minorHAnsi" w:hAnsiTheme="minorHAnsi" w:cstheme="minorHAnsi"/>
        </w:rPr>
        <w:t xml:space="preserve"> (IRS)</w:t>
      </w:r>
    </w:p>
    <w:p w:rsidR="004F6ECA" w:rsidRPr="008569BE" w:rsidP="00632436" w14:paraId="7124E40E" w14:textId="4A5F323B">
      <w:pPr>
        <w:widowControl/>
        <w:rPr>
          <w:rFonts w:asciiTheme="minorHAnsi" w:hAnsiTheme="minorHAnsi" w:cstheme="minorHAnsi"/>
          <w:bCs/>
        </w:rPr>
      </w:pPr>
      <w:r>
        <w:rPr>
          <w:rFonts w:asciiTheme="minorHAnsi" w:hAnsiTheme="minorHAnsi" w:cstheme="minorHAnsi"/>
          <w:bCs/>
        </w:rPr>
        <w:t xml:space="preserve">                                 </w:t>
      </w:r>
      <w:r w:rsidRPr="008569BE">
        <w:rPr>
          <w:rFonts w:asciiTheme="minorHAnsi" w:hAnsiTheme="minorHAnsi" w:cstheme="minorHAnsi"/>
          <w:bCs/>
        </w:rPr>
        <w:t>Regulations Providing Guidance Under Section 1446(f)</w:t>
      </w:r>
    </w:p>
    <w:p w:rsidR="0022419C" w:rsidP="00321C69" w14:paraId="5D5FD9A2" w14:textId="228A66B1">
      <w:pPr>
        <w:jc w:val="center"/>
        <w:rPr>
          <w:rFonts w:asciiTheme="minorHAnsi" w:hAnsiTheme="minorHAnsi" w:cstheme="minorHAnsi"/>
          <w:bCs/>
        </w:rPr>
      </w:pPr>
      <w:r w:rsidRPr="008569BE">
        <w:rPr>
          <w:rFonts w:asciiTheme="minorHAnsi" w:hAnsiTheme="minorHAnsi" w:cstheme="minorHAnsi"/>
          <w:bCs/>
        </w:rPr>
        <w:t>TD 9926</w:t>
      </w:r>
    </w:p>
    <w:p w:rsidR="00721EB2" w:rsidRPr="008569BE" w:rsidP="00321C69" w14:paraId="195EFE60" w14:textId="50A1C82F">
      <w:pPr>
        <w:jc w:val="center"/>
        <w:rPr>
          <w:rFonts w:asciiTheme="minorHAnsi" w:hAnsiTheme="minorHAnsi" w:cstheme="minorHAnsi"/>
          <w:bCs/>
        </w:rPr>
      </w:pPr>
      <w:r w:rsidRPr="008569BE">
        <w:rPr>
          <w:rFonts w:asciiTheme="minorHAnsi" w:hAnsiTheme="minorHAnsi" w:cstheme="minorHAnsi"/>
          <w:bCs/>
        </w:rPr>
        <w:t xml:space="preserve">OMB </w:t>
      </w:r>
      <w:r w:rsidRPr="008569BE" w:rsidR="0022419C">
        <w:rPr>
          <w:rFonts w:asciiTheme="minorHAnsi" w:hAnsiTheme="minorHAnsi" w:cstheme="minorHAnsi"/>
          <w:bCs/>
        </w:rPr>
        <w:t>Control Number</w:t>
      </w:r>
      <w:r w:rsidRPr="008569BE">
        <w:rPr>
          <w:rFonts w:asciiTheme="minorHAnsi" w:hAnsiTheme="minorHAnsi" w:cstheme="minorHAnsi"/>
          <w:bCs/>
        </w:rPr>
        <w:t xml:space="preserve"> 1545-</w:t>
      </w:r>
      <w:r w:rsidRPr="008569BE" w:rsidR="0022419C">
        <w:rPr>
          <w:rFonts w:asciiTheme="minorHAnsi" w:hAnsiTheme="minorHAnsi" w:cstheme="minorHAnsi"/>
          <w:bCs/>
        </w:rPr>
        <w:t>2292</w:t>
      </w:r>
    </w:p>
    <w:p w:rsidR="00721EB2" w:rsidRPr="008569BE" w14:paraId="6C5156CE" w14:textId="77777777">
      <w:pPr>
        <w:rPr>
          <w:rFonts w:asciiTheme="minorHAnsi" w:hAnsiTheme="minorHAnsi" w:cstheme="minorHAnsi"/>
          <w:bCs/>
        </w:rPr>
      </w:pPr>
    </w:p>
    <w:p w:rsidR="00721EB2" w:rsidRPr="008569BE" w14:paraId="077C03F1"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CIRCUMSTANCES NECESSITATING COLLECTION OF INFORMATION</w:t>
      </w:r>
    </w:p>
    <w:p w:rsidR="00721EB2" w:rsidRPr="008569BE" w14:paraId="3BAFE5A1" w14:textId="77777777">
      <w:pPr>
        <w:rPr>
          <w:rFonts w:asciiTheme="minorHAnsi" w:hAnsiTheme="minorHAnsi" w:cstheme="minorHAnsi"/>
          <w:bCs/>
        </w:rPr>
      </w:pPr>
    </w:p>
    <w:p w:rsidR="00A87EC0" w:rsidRPr="008569BE" w:rsidP="00A87EC0" w14:paraId="6C6507B8" w14:textId="65AF363A">
      <w:pPr>
        <w:ind w:left="720"/>
        <w:rPr>
          <w:rFonts w:asciiTheme="minorHAnsi" w:hAnsiTheme="minorHAnsi" w:cstheme="minorHAnsi"/>
        </w:rPr>
      </w:pPr>
      <w:r w:rsidRPr="008569BE">
        <w:rPr>
          <w:rFonts w:asciiTheme="minorHAnsi" w:hAnsiTheme="minorHAnsi" w:cstheme="minorHAnsi"/>
        </w:rPr>
        <w:t>Section 1446(f), which was added to the Internal Revenue Code (the ‘‘Code’’)</w:t>
      </w:r>
    </w:p>
    <w:p w:rsidR="00A87EC0" w:rsidRPr="008569BE" w:rsidP="00A87EC0" w14:paraId="67527898" w14:textId="21ABD046">
      <w:pPr>
        <w:ind w:left="720"/>
        <w:rPr>
          <w:rFonts w:asciiTheme="minorHAnsi" w:hAnsiTheme="minorHAnsi" w:cstheme="minorHAnsi"/>
        </w:rPr>
      </w:pPr>
      <w:r w:rsidRPr="008569BE">
        <w:rPr>
          <w:rFonts w:asciiTheme="minorHAnsi" w:hAnsiTheme="minorHAnsi" w:cstheme="minorHAnsi"/>
        </w:rPr>
        <w:t>by section 13501 of the Tax Cuts and Jobs Act, Public Law 115–97 (2017) (the</w:t>
      </w:r>
    </w:p>
    <w:p w:rsidR="00A87EC0" w:rsidRPr="008569BE" w:rsidP="00A87EC0" w14:paraId="4BA64177" w14:textId="5E239F94">
      <w:pPr>
        <w:ind w:left="720"/>
        <w:rPr>
          <w:rFonts w:asciiTheme="minorHAnsi" w:hAnsiTheme="minorHAnsi" w:cstheme="minorHAnsi"/>
        </w:rPr>
      </w:pPr>
      <w:r w:rsidRPr="008569BE">
        <w:rPr>
          <w:rFonts w:asciiTheme="minorHAnsi" w:hAnsiTheme="minorHAnsi" w:cstheme="minorHAnsi"/>
        </w:rPr>
        <w:t>‘‘Act’’), provides rules for withholding on the transfer of a partnership interest</w:t>
      </w:r>
    </w:p>
    <w:p w:rsidR="00A87EC0" w:rsidRPr="008569BE" w:rsidP="00A87EC0" w14:paraId="03957337" w14:textId="46C9400D">
      <w:pPr>
        <w:ind w:left="720"/>
        <w:rPr>
          <w:rFonts w:asciiTheme="minorHAnsi" w:hAnsiTheme="minorHAnsi" w:cstheme="minorHAnsi"/>
        </w:rPr>
      </w:pPr>
      <w:r w:rsidRPr="008569BE">
        <w:rPr>
          <w:rFonts w:asciiTheme="minorHAnsi" w:hAnsiTheme="minorHAnsi" w:cstheme="minorHAnsi"/>
        </w:rPr>
        <w:t>described in section 864(c)(8).</w:t>
      </w:r>
      <w:r w:rsidRPr="008569BE" w:rsidR="00CD0DF1">
        <w:rPr>
          <w:rFonts w:asciiTheme="minorHAnsi" w:hAnsiTheme="minorHAnsi" w:cstheme="minorHAnsi"/>
        </w:rPr>
        <w:t xml:space="preserve">  </w:t>
      </w:r>
      <w:r w:rsidR="00CA0F9B">
        <w:rPr>
          <w:rFonts w:asciiTheme="minorHAnsi" w:hAnsiTheme="minorHAnsi" w:cstheme="minorHAnsi"/>
        </w:rPr>
        <w:t xml:space="preserve">The final regulations affect certain foreign persons that recognize gain or loss from the sale or exchange of an interest in a partnership that is engaged in the conduct of a trade or business within the </w:t>
      </w:r>
      <w:r w:rsidRPr="008569BE" w:rsidR="00CD0DF1">
        <w:rPr>
          <w:rFonts w:asciiTheme="minorHAnsi" w:hAnsiTheme="minorHAnsi" w:cstheme="minorHAnsi"/>
        </w:rPr>
        <w:t>United States</w:t>
      </w:r>
      <w:r w:rsidR="00CA0F9B">
        <w:rPr>
          <w:rFonts w:asciiTheme="minorHAnsi" w:hAnsiTheme="minorHAnsi" w:cstheme="minorHAnsi"/>
        </w:rPr>
        <w:t xml:space="preserve">, and persons that acquire those interests. The final regulations also affect partnerships that, directly or indirectly, have foreign persons as partners. </w:t>
      </w:r>
    </w:p>
    <w:p w:rsidR="00A87EC0" w:rsidRPr="008569BE" w:rsidP="00A87EC0" w14:paraId="433C0593" w14:textId="77777777">
      <w:pPr>
        <w:ind w:left="720"/>
        <w:rPr>
          <w:rFonts w:asciiTheme="minorHAnsi" w:hAnsiTheme="minorHAnsi" w:cstheme="minorHAnsi"/>
          <w:color w:val="FF0000"/>
        </w:rPr>
      </w:pPr>
    </w:p>
    <w:p w:rsidR="00721EB2" w:rsidRPr="008569BE" w14:paraId="5C72D949"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USE OF DATA</w:t>
      </w:r>
      <w:r w:rsidRPr="008569BE">
        <w:rPr>
          <w:rFonts w:asciiTheme="minorHAnsi" w:hAnsiTheme="minorHAnsi" w:cstheme="minorHAnsi"/>
          <w:bCs/>
        </w:rPr>
        <w:t xml:space="preserve">              </w:t>
      </w:r>
    </w:p>
    <w:p w:rsidR="00721EB2" w:rsidRPr="008569BE" w14:paraId="3D06A940" w14:textId="1E42AD17">
      <w:pPr>
        <w:rPr>
          <w:rFonts w:asciiTheme="minorHAnsi" w:hAnsiTheme="minorHAnsi" w:cstheme="minorHAnsi"/>
        </w:rPr>
      </w:pPr>
      <w:r w:rsidRPr="008569BE">
        <w:rPr>
          <w:rFonts w:asciiTheme="minorHAnsi" w:hAnsiTheme="minorHAnsi" w:cstheme="minorHAnsi"/>
        </w:rPr>
        <w:t xml:space="preserve"> </w:t>
      </w:r>
    </w:p>
    <w:p w:rsidR="001862B8" w:rsidP="00622CF5" w14:paraId="5BA36F04" w14:textId="3EC17731">
      <w:pPr>
        <w:ind w:left="720"/>
        <w:rPr>
          <w:rFonts w:asciiTheme="minorHAnsi" w:hAnsiTheme="minorHAnsi" w:cstheme="minorHAnsi"/>
        </w:rPr>
      </w:pPr>
      <w:r w:rsidRPr="004A7B5D">
        <w:rPr>
          <w:rFonts w:asciiTheme="minorHAnsi" w:hAnsiTheme="minorHAnsi" w:cstheme="minorHAnsi"/>
        </w:rPr>
        <w:t>The</w:t>
      </w:r>
      <w:r w:rsidRPr="004A7B5D" w:rsidR="004A7B5D">
        <w:rPr>
          <w:rFonts w:asciiTheme="minorHAnsi" w:hAnsiTheme="minorHAnsi" w:cstheme="minorHAnsi"/>
        </w:rPr>
        <w:t xml:space="preserve"> final </w:t>
      </w:r>
      <w:r w:rsidRPr="004A7B5D">
        <w:rPr>
          <w:rFonts w:asciiTheme="minorHAnsi" w:hAnsiTheme="minorHAnsi" w:cstheme="minorHAnsi"/>
        </w:rPr>
        <w:t xml:space="preserve">regulations </w:t>
      </w:r>
      <w:r w:rsidRPr="004A7B5D" w:rsidR="00A734BA">
        <w:rPr>
          <w:rFonts w:asciiTheme="minorHAnsi" w:hAnsiTheme="minorHAnsi" w:cstheme="minorHAnsi"/>
        </w:rPr>
        <w:t>provide</w:t>
      </w:r>
      <w:r w:rsidR="004A7B5D">
        <w:rPr>
          <w:rFonts w:asciiTheme="minorHAnsi" w:hAnsiTheme="minorHAnsi" w:cstheme="minorHAnsi"/>
        </w:rPr>
        <w:t xml:space="preserve"> guidance </w:t>
      </w:r>
      <w:r w:rsidRPr="004A7B5D">
        <w:rPr>
          <w:rFonts w:asciiTheme="minorHAnsi" w:hAnsiTheme="minorHAnsi" w:cstheme="minorHAnsi"/>
        </w:rPr>
        <w:t>for withholding, reporting, and paying tax under section 1446(f) upon the sale, exchange, or other disposition of an interest in a partnership described in section 864(c)(8)</w:t>
      </w:r>
      <w:r w:rsidR="00A734BA">
        <w:rPr>
          <w:rFonts w:asciiTheme="minorHAnsi" w:hAnsiTheme="minorHAnsi" w:cstheme="minorHAnsi"/>
        </w:rPr>
        <w:t>.</w:t>
      </w:r>
      <w:r w:rsidRPr="004A7B5D">
        <w:rPr>
          <w:rFonts w:asciiTheme="minorHAnsi" w:hAnsiTheme="minorHAnsi" w:cstheme="minorHAnsi"/>
        </w:rPr>
        <w:t xml:space="preserve"> </w:t>
      </w:r>
      <w:r w:rsidR="00622CF5">
        <w:rPr>
          <w:rFonts w:asciiTheme="minorHAnsi" w:hAnsiTheme="minorHAnsi" w:cstheme="minorHAnsi"/>
        </w:rPr>
        <w:t xml:space="preserve"> </w:t>
      </w:r>
    </w:p>
    <w:p w:rsidR="001862B8" w:rsidP="00622CF5" w14:paraId="028E0D7E" w14:textId="77777777">
      <w:pPr>
        <w:ind w:left="720"/>
        <w:rPr>
          <w:rFonts w:asciiTheme="minorHAnsi" w:hAnsiTheme="minorHAnsi" w:cstheme="minorHAnsi"/>
        </w:rPr>
      </w:pPr>
    </w:p>
    <w:p w:rsidR="00622CF5" w:rsidP="00622CF5" w14:paraId="28799CD0" w14:textId="641B216B">
      <w:pPr>
        <w:ind w:left="720"/>
        <w:rPr>
          <w:rFonts w:asciiTheme="minorHAnsi" w:hAnsiTheme="minorHAnsi" w:cstheme="minorHAnsi"/>
        </w:rPr>
      </w:pPr>
      <w:r>
        <w:rPr>
          <w:rFonts w:asciiTheme="minorHAnsi" w:hAnsiTheme="minorHAnsi" w:cstheme="minorHAnsi"/>
        </w:rPr>
        <w:t>Section</w:t>
      </w:r>
      <w:r w:rsidR="00A27A62">
        <w:rPr>
          <w:rFonts w:asciiTheme="minorHAnsi" w:hAnsiTheme="minorHAnsi" w:cstheme="minorHAnsi"/>
        </w:rPr>
        <w:t>s 1.446(f)-</w:t>
      </w:r>
      <w:r w:rsidR="00994215">
        <w:rPr>
          <w:rFonts w:asciiTheme="minorHAnsi" w:hAnsiTheme="minorHAnsi" w:cstheme="minorHAnsi"/>
        </w:rPr>
        <w:t>2, -3, -4 and</w:t>
      </w:r>
      <w:r>
        <w:rPr>
          <w:rFonts w:asciiTheme="minorHAnsi" w:hAnsiTheme="minorHAnsi" w:cstheme="minorHAnsi"/>
        </w:rPr>
        <w:t xml:space="preserve"> </w:t>
      </w:r>
      <w:r w:rsidRPr="008569BE">
        <w:rPr>
          <w:rFonts w:asciiTheme="minorHAnsi" w:hAnsiTheme="minorHAnsi" w:cstheme="minorHAnsi"/>
        </w:rPr>
        <w:t>1.864(c)(8)–</w:t>
      </w:r>
      <w:r>
        <w:rPr>
          <w:rFonts w:asciiTheme="minorHAnsi" w:hAnsiTheme="minorHAnsi" w:cstheme="minorHAnsi"/>
        </w:rPr>
        <w:t xml:space="preserve">2 </w:t>
      </w:r>
      <w:r>
        <w:rPr>
          <w:rFonts w:asciiTheme="minorHAnsi" w:hAnsiTheme="minorHAnsi" w:cstheme="minorHAnsi"/>
        </w:rPr>
        <w:t>provide</w:t>
      </w:r>
      <w:r>
        <w:rPr>
          <w:rFonts w:asciiTheme="minorHAnsi" w:hAnsiTheme="minorHAnsi" w:cstheme="minorHAnsi"/>
        </w:rPr>
        <w:t>s</w:t>
      </w:r>
      <w:r>
        <w:rPr>
          <w:rFonts w:asciiTheme="minorHAnsi" w:hAnsiTheme="minorHAnsi" w:cstheme="minorHAnsi"/>
        </w:rPr>
        <w:t xml:space="preserve"> rules regarding</w:t>
      </w:r>
      <w:r w:rsidR="00994215">
        <w:rPr>
          <w:rFonts w:asciiTheme="minorHAnsi" w:hAnsiTheme="minorHAnsi" w:cstheme="minorHAnsi"/>
        </w:rPr>
        <w:t xml:space="preserve"> certifications,</w:t>
      </w:r>
      <w:r>
        <w:rPr>
          <w:rFonts w:asciiTheme="minorHAnsi" w:hAnsiTheme="minorHAnsi" w:cstheme="minorHAnsi"/>
        </w:rPr>
        <w:t xml:space="preserve"> notifications</w:t>
      </w:r>
      <w:r w:rsidR="00994215">
        <w:rPr>
          <w:rFonts w:asciiTheme="minorHAnsi" w:hAnsiTheme="minorHAnsi" w:cstheme="minorHAnsi"/>
        </w:rPr>
        <w:t>,</w:t>
      </w:r>
      <w:r>
        <w:rPr>
          <w:rFonts w:asciiTheme="minorHAnsi" w:hAnsiTheme="minorHAnsi" w:cstheme="minorHAnsi"/>
        </w:rPr>
        <w:t xml:space="preserve"> and statements being </w:t>
      </w:r>
      <w:r>
        <w:rPr>
          <w:rFonts w:asciiTheme="minorHAnsi" w:hAnsiTheme="minorHAnsi" w:cstheme="minorHAnsi"/>
        </w:rPr>
        <w:t>reported</w:t>
      </w:r>
      <w:r>
        <w:rPr>
          <w:rFonts w:asciiTheme="minorHAnsi" w:hAnsiTheme="minorHAnsi" w:cstheme="minorHAnsi"/>
        </w:rPr>
        <w:t xml:space="preserve"> between, and maintained by, a partnership and</w:t>
      </w:r>
      <w:r>
        <w:rPr>
          <w:rFonts w:asciiTheme="minorHAnsi" w:hAnsiTheme="minorHAnsi" w:cstheme="minorHAnsi"/>
        </w:rPr>
        <w:t xml:space="preserve"> a</w:t>
      </w:r>
      <w:r>
        <w:rPr>
          <w:rFonts w:asciiTheme="minorHAnsi" w:hAnsiTheme="minorHAnsi" w:cstheme="minorHAnsi"/>
        </w:rPr>
        <w:t xml:space="preserve"> transferor.</w:t>
      </w:r>
      <w:r>
        <w:rPr>
          <w:rFonts w:asciiTheme="minorHAnsi" w:hAnsiTheme="minorHAnsi" w:cstheme="minorHAnsi"/>
        </w:rPr>
        <w:t xml:space="preserve">  These are third-party disclosures and recordkeeping requirements.</w:t>
      </w:r>
    </w:p>
    <w:p w:rsidR="00215660" w:rsidRPr="008569BE" w:rsidP="00A87EC0" w14:paraId="76CFF256" w14:textId="77777777">
      <w:pPr>
        <w:ind w:left="720"/>
        <w:rPr>
          <w:rFonts w:asciiTheme="minorHAnsi" w:hAnsiTheme="minorHAnsi" w:cstheme="minorHAnsi"/>
        </w:rPr>
      </w:pPr>
    </w:p>
    <w:p w:rsidR="001F4C31" w:rsidRPr="008569BE" w:rsidP="00A87EC0" w14:paraId="4397CD06" w14:textId="230FBA0B">
      <w:pPr>
        <w:ind w:left="720"/>
        <w:rPr>
          <w:rFonts w:asciiTheme="minorHAnsi" w:hAnsiTheme="minorHAnsi" w:cstheme="minorHAnsi"/>
        </w:rPr>
      </w:pPr>
      <w:r>
        <w:rPr>
          <w:rFonts w:asciiTheme="minorHAnsi" w:hAnsiTheme="minorHAnsi" w:cstheme="minorHAnsi"/>
        </w:rPr>
        <w:t>Also, t</w:t>
      </w:r>
      <w:r w:rsidRPr="008569BE" w:rsidR="00A87EC0">
        <w:rPr>
          <w:rFonts w:asciiTheme="minorHAnsi" w:hAnsiTheme="minorHAnsi" w:cstheme="minorHAnsi"/>
        </w:rPr>
        <w:t>he</w:t>
      </w:r>
      <w:r>
        <w:rPr>
          <w:rFonts w:asciiTheme="minorHAnsi" w:hAnsiTheme="minorHAnsi" w:cstheme="minorHAnsi"/>
        </w:rPr>
        <w:t xml:space="preserve"> regulations </w:t>
      </w:r>
      <w:r w:rsidRPr="008569BE" w:rsidR="00A87EC0">
        <w:rPr>
          <w:rFonts w:asciiTheme="minorHAnsi" w:hAnsiTheme="minorHAnsi" w:cstheme="minorHAnsi"/>
        </w:rPr>
        <w:t>make</w:t>
      </w:r>
      <w:r w:rsidRPr="008569BE" w:rsidR="00215660">
        <w:rPr>
          <w:rFonts w:asciiTheme="minorHAnsi" w:hAnsiTheme="minorHAnsi" w:cstheme="minorHAnsi"/>
        </w:rPr>
        <w:t xml:space="preserve"> </w:t>
      </w:r>
      <w:r w:rsidRPr="008569BE" w:rsidR="00A87EC0">
        <w:rPr>
          <w:rFonts w:asciiTheme="minorHAnsi" w:hAnsiTheme="minorHAnsi" w:cstheme="minorHAnsi"/>
        </w:rPr>
        <w:t>changes to the rules regarding</w:t>
      </w:r>
      <w:r w:rsidRPr="008569BE" w:rsidR="00215660">
        <w:rPr>
          <w:rFonts w:asciiTheme="minorHAnsi" w:hAnsiTheme="minorHAnsi" w:cstheme="minorHAnsi"/>
        </w:rPr>
        <w:t xml:space="preserve"> </w:t>
      </w:r>
      <w:r w:rsidRPr="008569BE" w:rsidR="00A87EC0">
        <w:rPr>
          <w:rFonts w:asciiTheme="minorHAnsi" w:hAnsiTheme="minorHAnsi" w:cstheme="minorHAnsi"/>
        </w:rPr>
        <w:t>withholding on distributions by</w:t>
      </w:r>
      <w:r>
        <w:rPr>
          <w:rFonts w:asciiTheme="minorHAnsi" w:hAnsiTheme="minorHAnsi" w:cstheme="minorHAnsi"/>
        </w:rPr>
        <w:t xml:space="preserve"> </w:t>
      </w:r>
      <w:r w:rsidRPr="008569BE" w:rsidR="00A87EC0">
        <w:rPr>
          <w:rFonts w:asciiTheme="minorHAnsi" w:hAnsiTheme="minorHAnsi" w:cstheme="minorHAnsi"/>
        </w:rPr>
        <w:t>publicly traded partnerships under</w:t>
      </w:r>
      <w:r w:rsidRPr="008569BE" w:rsidR="00215660">
        <w:rPr>
          <w:rFonts w:asciiTheme="minorHAnsi" w:hAnsiTheme="minorHAnsi" w:cstheme="minorHAnsi"/>
        </w:rPr>
        <w:t xml:space="preserve"> section</w:t>
      </w:r>
      <w:r w:rsidRPr="008569BE" w:rsidR="00A87EC0">
        <w:rPr>
          <w:rFonts w:asciiTheme="minorHAnsi" w:hAnsiTheme="minorHAnsi" w:cstheme="minorHAnsi"/>
        </w:rPr>
        <w:t xml:space="preserve"> 1.1446–4, including the rules that</w:t>
      </w:r>
      <w:r w:rsidRPr="008569BE" w:rsidR="00215660">
        <w:rPr>
          <w:rFonts w:asciiTheme="minorHAnsi" w:hAnsiTheme="minorHAnsi" w:cstheme="minorHAnsi"/>
        </w:rPr>
        <w:t xml:space="preserve"> </w:t>
      </w:r>
      <w:r w:rsidRPr="008569BE" w:rsidR="00A87EC0">
        <w:rPr>
          <w:rFonts w:asciiTheme="minorHAnsi" w:hAnsiTheme="minorHAnsi" w:cstheme="minorHAnsi"/>
        </w:rPr>
        <w:t>apply to qualified notices and</w:t>
      </w:r>
      <w:r w:rsidRPr="008569BE" w:rsidR="00215660">
        <w:rPr>
          <w:rFonts w:asciiTheme="minorHAnsi" w:hAnsiTheme="minorHAnsi" w:cstheme="minorHAnsi"/>
        </w:rPr>
        <w:t xml:space="preserve"> </w:t>
      </w:r>
      <w:r w:rsidRPr="008569BE" w:rsidR="00A87EC0">
        <w:rPr>
          <w:rFonts w:asciiTheme="minorHAnsi" w:hAnsiTheme="minorHAnsi" w:cstheme="minorHAnsi"/>
        </w:rPr>
        <w:t>nominees. Finally, the regulations provide rules coordinating</w:t>
      </w:r>
      <w:r w:rsidRPr="008569BE" w:rsidR="00215660">
        <w:rPr>
          <w:rFonts w:asciiTheme="minorHAnsi" w:hAnsiTheme="minorHAnsi" w:cstheme="minorHAnsi"/>
        </w:rPr>
        <w:t xml:space="preserve"> </w:t>
      </w:r>
      <w:r w:rsidRPr="008569BE" w:rsidR="00A87EC0">
        <w:rPr>
          <w:rFonts w:asciiTheme="minorHAnsi" w:hAnsiTheme="minorHAnsi" w:cstheme="minorHAnsi"/>
        </w:rPr>
        <w:t>withholding under section 1446(f) with</w:t>
      </w:r>
      <w:r w:rsidRPr="008569BE" w:rsidR="00215660">
        <w:rPr>
          <w:rFonts w:asciiTheme="minorHAnsi" w:hAnsiTheme="minorHAnsi" w:cstheme="minorHAnsi"/>
        </w:rPr>
        <w:t xml:space="preserve"> </w:t>
      </w:r>
      <w:r w:rsidRPr="008569BE" w:rsidR="00A87EC0">
        <w:rPr>
          <w:rFonts w:asciiTheme="minorHAnsi" w:hAnsiTheme="minorHAnsi" w:cstheme="minorHAnsi"/>
        </w:rPr>
        <w:t>other withholding regimes to prevent</w:t>
      </w:r>
      <w:r w:rsidRPr="008569BE" w:rsidR="00215660">
        <w:rPr>
          <w:rFonts w:asciiTheme="minorHAnsi" w:hAnsiTheme="minorHAnsi" w:cstheme="minorHAnsi"/>
        </w:rPr>
        <w:t xml:space="preserve"> </w:t>
      </w:r>
      <w:r w:rsidRPr="008569BE" w:rsidR="00CD0DF1">
        <w:rPr>
          <w:rFonts w:asciiTheme="minorHAnsi" w:hAnsiTheme="minorHAnsi" w:cstheme="minorHAnsi"/>
        </w:rPr>
        <w:t>over withholding</w:t>
      </w:r>
      <w:r w:rsidRPr="008569BE" w:rsidR="00A87EC0">
        <w:rPr>
          <w:rFonts w:asciiTheme="minorHAnsi" w:hAnsiTheme="minorHAnsi" w:cstheme="minorHAnsi"/>
        </w:rPr>
        <w:t xml:space="preserve"> of tax</w:t>
      </w:r>
      <w:r w:rsidRPr="008569BE" w:rsidR="00721EB2">
        <w:rPr>
          <w:rFonts w:asciiTheme="minorHAnsi" w:hAnsiTheme="minorHAnsi" w:cstheme="minorHAnsi"/>
        </w:rPr>
        <w:t xml:space="preserve">.  </w:t>
      </w:r>
    </w:p>
    <w:p w:rsidR="0026031B" w:rsidRPr="008569BE" w:rsidP="0026031B" w14:paraId="0FFB932A" w14:textId="77777777">
      <w:pPr>
        <w:pStyle w:val="Level1"/>
        <w:numPr>
          <w:ilvl w:val="0"/>
          <w:numId w:val="0"/>
        </w:numPr>
        <w:tabs>
          <w:tab w:val="left" w:pos="-1440"/>
        </w:tabs>
        <w:rPr>
          <w:rFonts w:asciiTheme="minorHAnsi" w:hAnsiTheme="minorHAnsi" w:cstheme="minorHAnsi"/>
          <w:bCs/>
          <w:u w:val="single"/>
        </w:rPr>
      </w:pPr>
    </w:p>
    <w:p w:rsidR="00721EB2" w:rsidRPr="008569BE" w:rsidP="0026031B" w14:paraId="41497984" w14:textId="77777777">
      <w:pPr>
        <w:pStyle w:val="Level1"/>
        <w:tabs>
          <w:tab w:val="left" w:pos="-1440"/>
        </w:tabs>
        <w:rPr>
          <w:rFonts w:asciiTheme="minorHAnsi" w:hAnsiTheme="minorHAnsi" w:cstheme="minorHAnsi"/>
          <w:bCs/>
        </w:rPr>
      </w:pPr>
      <w:r w:rsidRPr="008569BE">
        <w:rPr>
          <w:rFonts w:asciiTheme="minorHAnsi" w:hAnsiTheme="minorHAnsi" w:cstheme="minorHAnsi"/>
          <w:bCs/>
          <w:u w:val="single"/>
        </w:rPr>
        <w:t>USE OF IMPROVED INFORMATION TECHNOLOGY TO REDUCE BURDEN</w:t>
      </w:r>
    </w:p>
    <w:p w:rsidR="00721EB2" w:rsidRPr="008569BE" w14:paraId="3AC78CD4" w14:textId="77777777">
      <w:pPr>
        <w:rPr>
          <w:rFonts w:asciiTheme="minorHAnsi" w:hAnsiTheme="minorHAnsi" w:cstheme="minorHAnsi"/>
          <w:b/>
        </w:rPr>
      </w:pPr>
    </w:p>
    <w:p w:rsidR="00721EB2" w:rsidRPr="008569BE" w14:paraId="14726C9F" w14:textId="063F243F">
      <w:pPr>
        <w:ind w:left="720"/>
        <w:rPr>
          <w:rFonts w:asciiTheme="minorHAnsi" w:hAnsiTheme="minorHAnsi" w:cstheme="minorHAnsi"/>
          <w:color w:val="FF0000"/>
        </w:rPr>
      </w:pPr>
      <w:r w:rsidRPr="008569BE">
        <w:rPr>
          <w:rFonts w:asciiTheme="minorHAnsi" w:hAnsiTheme="minorHAnsi" w:cstheme="minorHAnsi"/>
        </w:rPr>
        <w:t>The</w:t>
      </w:r>
      <w:r w:rsidR="00A97E61">
        <w:rPr>
          <w:rFonts w:asciiTheme="minorHAnsi" w:hAnsiTheme="minorHAnsi" w:cstheme="minorHAnsi"/>
        </w:rPr>
        <w:t xml:space="preserve"> section</w:t>
      </w:r>
      <w:r w:rsidRPr="008569BE">
        <w:rPr>
          <w:rFonts w:asciiTheme="minorHAnsi" w:hAnsiTheme="minorHAnsi" w:cstheme="minorHAnsi"/>
        </w:rPr>
        <w:t xml:space="preserve"> 1446(f) regulations provide a streamlined method for providing certifications, allowing them to be sent electronically, including as text in an email, an image embedded in an email, or a Portable Document Format (.pdf) attached to an email.  </w:t>
      </w:r>
      <w:r w:rsidRPr="008569BE">
        <w:rPr>
          <w:rFonts w:asciiTheme="minorHAnsi" w:hAnsiTheme="minorHAnsi" w:cstheme="minorHAnsi"/>
          <w:i/>
        </w:rPr>
        <w:t>See</w:t>
      </w:r>
      <w:r w:rsidRPr="008569BE">
        <w:rPr>
          <w:rFonts w:asciiTheme="minorHAnsi" w:hAnsiTheme="minorHAnsi" w:cstheme="minorHAnsi"/>
        </w:rPr>
        <w:t xml:space="preserve"> §1.1446-1(c)(2)(iv).  </w:t>
      </w:r>
      <w:r w:rsidRPr="008569BE" w:rsidR="00CD0DF1">
        <w:rPr>
          <w:rFonts w:asciiTheme="minorHAnsi" w:hAnsiTheme="minorHAnsi" w:cstheme="minorHAnsi"/>
          <w:color w:val="FF0000"/>
        </w:rPr>
        <w:t xml:space="preserve">  </w:t>
      </w:r>
    </w:p>
    <w:p w:rsidR="00321C69" w:rsidRPr="008569BE" w14:paraId="04BDCDCE" w14:textId="77777777">
      <w:pPr>
        <w:rPr>
          <w:rFonts w:asciiTheme="minorHAnsi" w:hAnsiTheme="minorHAnsi" w:cstheme="minorHAnsi"/>
          <w:color w:val="FF0000"/>
        </w:rPr>
      </w:pPr>
    </w:p>
    <w:p w:rsidR="00721EB2" w:rsidRPr="008569BE" w14:paraId="008D1A9A"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EFFORTS TO IDENTIFY DUPLICATION</w:t>
      </w:r>
    </w:p>
    <w:p w:rsidR="00721EB2" w:rsidRPr="008569BE" w14:paraId="4042335A" w14:textId="77777777">
      <w:pPr>
        <w:rPr>
          <w:rFonts w:asciiTheme="minorHAnsi" w:hAnsiTheme="minorHAnsi" w:cstheme="minorHAnsi"/>
        </w:rPr>
      </w:pPr>
    </w:p>
    <w:p w:rsidR="00721EB2" w:rsidRPr="008569BE" w14:paraId="46B8E062" w14:textId="77777777">
      <w:pPr>
        <w:ind w:left="720"/>
        <w:rPr>
          <w:rFonts w:asciiTheme="minorHAnsi" w:hAnsiTheme="minorHAnsi" w:cstheme="minorHAnsi"/>
        </w:rPr>
      </w:pPr>
      <w:r w:rsidRPr="008569BE">
        <w:rPr>
          <w:rFonts w:asciiTheme="minorHAnsi" w:hAnsiTheme="minorHAnsi" w:cstheme="minorHAnsi"/>
        </w:rPr>
        <w:t xml:space="preserve">The information obtained through this collection is unique and is not already available for use or adaptation from another source.  </w:t>
      </w:r>
    </w:p>
    <w:p w:rsidR="00721EB2" w:rsidRPr="008569BE" w14:paraId="3D84E8FE" w14:textId="151ABA18">
      <w:pPr>
        <w:rPr>
          <w:rFonts w:asciiTheme="minorHAnsi" w:hAnsiTheme="minorHAnsi" w:cstheme="minorHAnsi"/>
        </w:rPr>
      </w:pPr>
    </w:p>
    <w:p w:rsidR="00DA0570" w:rsidRPr="008569BE" w14:paraId="3D61F69F" w14:textId="77777777">
      <w:pPr>
        <w:rPr>
          <w:rFonts w:asciiTheme="minorHAnsi" w:hAnsiTheme="minorHAnsi" w:cstheme="minorHAnsi"/>
        </w:rPr>
      </w:pPr>
    </w:p>
    <w:p w:rsidR="00721EB2" w:rsidRPr="008569BE" w14:paraId="2EEB2680"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METHODS TO MINIMIZE BURDEN ON SMALL BUSINESSES OR OTHER</w:t>
      </w:r>
      <w:r w:rsidRPr="008569BE">
        <w:rPr>
          <w:rFonts w:asciiTheme="minorHAnsi" w:hAnsiTheme="minorHAnsi" w:cstheme="minorHAnsi"/>
          <w:bCs/>
        </w:rPr>
        <w:t xml:space="preserve"> </w:t>
      </w:r>
      <w:r w:rsidRPr="008569BE">
        <w:rPr>
          <w:rFonts w:asciiTheme="minorHAnsi" w:hAnsiTheme="minorHAnsi" w:cstheme="minorHAnsi"/>
          <w:bCs/>
          <w:u w:val="single"/>
        </w:rPr>
        <w:t>SMALL ENTITIES</w:t>
      </w:r>
    </w:p>
    <w:p w:rsidR="00721EB2" w:rsidRPr="008569BE" w14:paraId="0E30C842" w14:textId="77777777">
      <w:pPr>
        <w:rPr>
          <w:rFonts w:asciiTheme="minorHAnsi" w:hAnsiTheme="minorHAnsi" w:cstheme="minorHAnsi"/>
          <w:b/>
        </w:rPr>
      </w:pPr>
    </w:p>
    <w:p w:rsidR="004B2B1F" w:rsidRPr="000A6E95" w:rsidP="004B2B1F" w14:paraId="560A2ACE" w14:textId="45E9E54D">
      <w:pPr>
        <w:ind w:left="720"/>
        <w:rPr>
          <w:rFonts w:asciiTheme="minorHAnsi" w:hAnsiTheme="minorHAnsi" w:cstheme="minorHAnsi"/>
          <w:color w:val="000000" w:themeColor="text1"/>
        </w:rPr>
      </w:pPr>
      <w:r w:rsidRPr="000A6E95">
        <w:rPr>
          <w:rFonts w:asciiTheme="minorHAnsi" w:hAnsiTheme="minorHAnsi" w:cstheme="minorHAnsi"/>
          <w:color w:val="000000" w:themeColor="text1"/>
        </w:rPr>
        <w:t>Th</w:t>
      </w:r>
      <w:r w:rsidRPr="000A6E95" w:rsidR="000A6E95">
        <w:rPr>
          <w:rFonts w:asciiTheme="minorHAnsi" w:hAnsiTheme="minorHAnsi" w:cstheme="minorHAnsi"/>
          <w:color w:val="000000" w:themeColor="text1"/>
        </w:rPr>
        <w:t xml:space="preserve">ese final regulations </w:t>
      </w:r>
      <w:r w:rsidRPr="000A6E95">
        <w:rPr>
          <w:rFonts w:asciiTheme="minorHAnsi" w:hAnsiTheme="minorHAnsi" w:cstheme="minorHAnsi"/>
          <w:color w:val="000000" w:themeColor="text1"/>
        </w:rPr>
        <w:t>will not have a significant economic impact on a substantial number of small entities within the meaning of section 601(6) of the Regulatory Flexibility Act (5 U.S.C. chapter 6).  The regulations affect (i) foreign persons that recognize gain or loss from the sale or exchange of an interest in a partnership that is engaged in the conduct of a trade or business within the United States, and who are not subject to the Regulatory Flexibility Act, (ii) U.S. persons that are transferors providing Forms W–9 to transferees to certify that they are not foreign persons, (iii) persons who acquire those interests, (iv) partnerships that, directly or indirectly, have foreign persons as partners, and (v) brokers that effect transfers of interests in publicly traded partnerships.</w:t>
      </w:r>
    </w:p>
    <w:p w:rsidR="004B2B1F" w:rsidRPr="00B15D86" w:rsidP="004B2B1F" w14:paraId="1AF46C2F" w14:textId="4EC623F8">
      <w:pPr>
        <w:ind w:left="720"/>
        <w:rPr>
          <w:rFonts w:asciiTheme="minorHAnsi" w:hAnsiTheme="minorHAnsi" w:cstheme="minorHAnsi"/>
          <w:color w:val="4F81BD" w:themeColor="accent1"/>
        </w:rPr>
      </w:pPr>
    </w:p>
    <w:p w:rsidR="004B2B1F" w:rsidRPr="008569BE" w:rsidP="004B2B1F" w14:paraId="3E66CCC5" w14:textId="77777777">
      <w:pPr>
        <w:rPr>
          <w:rFonts w:asciiTheme="minorHAnsi" w:hAnsiTheme="minorHAnsi" w:cstheme="minorHAnsi"/>
        </w:rPr>
      </w:pPr>
    </w:p>
    <w:p w:rsidR="00721EB2" w:rsidRPr="008569BE" w14:paraId="163F7D2F"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CONSEQUENCES OF LESS FREQUENT COLLECTION ON FEDERAL PROGRAMS OR POLICY ACTIVITIES</w:t>
      </w:r>
    </w:p>
    <w:p w:rsidR="00721EB2" w:rsidRPr="008569BE" w14:paraId="1CB22EDC" w14:textId="77777777">
      <w:pPr>
        <w:rPr>
          <w:rFonts w:asciiTheme="minorHAnsi" w:hAnsiTheme="minorHAnsi" w:cstheme="minorHAnsi"/>
        </w:rPr>
      </w:pPr>
    </w:p>
    <w:p w:rsidR="00721EB2" w:rsidRPr="008569BE" w14:paraId="7ABC6148" w14:textId="23A438F3">
      <w:pPr>
        <w:ind w:left="720"/>
        <w:rPr>
          <w:rFonts w:asciiTheme="minorHAnsi" w:hAnsiTheme="minorHAnsi" w:cstheme="minorHAnsi"/>
        </w:rPr>
      </w:pPr>
      <w:r w:rsidRPr="008569BE">
        <w:rPr>
          <w:rFonts w:asciiTheme="minorHAnsi" w:hAnsiTheme="minorHAnsi" w:cstheme="minorHAnsi"/>
        </w:rPr>
        <w:t>A less frequent collection of</w:t>
      </w:r>
      <w:r w:rsidRPr="008569BE" w:rsidR="0065166D">
        <w:rPr>
          <w:rFonts w:asciiTheme="minorHAnsi" w:hAnsiTheme="minorHAnsi" w:cstheme="minorHAnsi"/>
        </w:rPr>
        <w:t xml:space="preserve"> the information will prevent </w:t>
      </w:r>
      <w:r w:rsidRPr="008569BE">
        <w:rPr>
          <w:rFonts w:asciiTheme="minorHAnsi" w:hAnsiTheme="minorHAnsi" w:cstheme="minorHAnsi"/>
        </w:rPr>
        <w:t xml:space="preserve">the IRS from being able to determine the </w:t>
      </w:r>
      <w:r w:rsidRPr="008569BE" w:rsidR="0065166D">
        <w:rPr>
          <w:rFonts w:asciiTheme="minorHAnsi" w:hAnsiTheme="minorHAnsi" w:cstheme="minorHAnsi"/>
        </w:rPr>
        <w:t>taxpayer</w:t>
      </w:r>
      <w:r w:rsidRPr="008569BE">
        <w:rPr>
          <w:rFonts w:asciiTheme="minorHAnsi" w:hAnsiTheme="minorHAnsi" w:cstheme="minorHAnsi"/>
        </w:rPr>
        <w:t>’</w:t>
      </w:r>
      <w:r w:rsidRPr="008569BE" w:rsidR="0065166D">
        <w:rPr>
          <w:rFonts w:asciiTheme="minorHAnsi" w:hAnsiTheme="minorHAnsi" w:cstheme="minorHAnsi"/>
        </w:rPr>
        <w:t>s compl</w:t>
      </w:r>
      <w:r w:rsidRPr="008569BE">
        <w:rPr>
          <w:rFonts w:asciiTheme="minorHAnsi" w:hAnsiTheme="minorHAnsi" w:cstheme="minorHAnsi"/>
        </w:rPr>
        <w:t>iance</w:t>
      </w:r>
      <w:r w:rsidRPr="008569BE" w:rsidR="0065166D">
        <w:rPr>
          <w:rFonts w:asciiTheme="minorHAnsi" w:hAnsiTheme="minorHAnsi" w:cstheme="minorHAnsi"/>
        </w:rPr>
        <w:t xml:space="preserve"> and</w:t>
      </w:r>
      <w:r w:rsidR="0033287F">
        <w:rPr>
          <w:rFonts w:asciiTheme="minorHAnsi" w:hAnsiTheme="minorHAnsi" w:cstheme="minorHAnsi"/>
        </w:rPr>
        <w:t xml:space="preserve"> </w:t>
      </w:r>
      <w:r w:rsidRPr="008569BE" w:rsidR="0065166D">
        <w:rPr>
          <w:rFonts w:asciiTheme="minorHAnsi" w:hAnsiTheme="minorHAnsi" w:cstheme="minorHAnsi"/>
        </w:rPr>
        <w:t xml:space="preserve">or reporting with the requirements outlined in section </w:t>
      </w:r>
      <w:r w:rsidRPr="008569BE" w:rsidR="00872382">
        <w:rPr>
          <w:rFonts w:asciiTheme="minorHAnsi" w:hAnsiTheme="minorHAnsi" w:cstheme="minorHAnsi"/>
        </w:rPr>
        <w:t>1446(f)</w:t>
      </w:r>
      <w:r w:rsidRPr="008569BE" w:rsidR="0065166D">
        <w:rPr>
          <w:rFonts w:asciiTheme="minorHAnsi" w:hAnsiTheme="minorHAnsi" w:cstheme="minorHAnsi"/>
        </w:rPr>
        <w:t xml:space="preserve"> of the Code</w:t>
      </w:r>
      <w:r w:rsidRPr="008569BE">
        <w:rPr>
          <w:rFonts w:asciiTheme="minorHAnsi" w:hAnsiTheme="minorHAnsi" w:cstheme="minorHAnsi"/>
        </w:rPr>
        <w:t xml:space="preserve"> thereby engendering the inability of the IRS to meet its mission.</w:t>
      </w:r>
    </w:p>
    <w:p w:rsidR="00721EB2" w:rsidRPr="008569BE" w14:paraId="27ED07EC" w14:textId="77777777">
      <w:pPr>
        <w:rPr>
          <w:rFonts w:asciiTheme="minorHAnsi" w:hAnsiTheme="minorHAnsi" w:cstheme="minorHAnsi"/>
        </w:rPr>
      </w:pPr>
    </w:p>
    <w:p w:rsidR="00721EB2" w:rsidRPr="008569BE" w14:paraId="4B55B53C" w14:textId="2EDB8435">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 xml:space="preserve">SPECIAL CIRCUMSTANCES REQUIRING DATA COLLECTION TO </w:t>
      </w:r>
      <w:r w:rsidRPr="008569BE" w:rsidR="001862B8">
        <w:rPr>
          <w:rFonts w:asciiTheme="minorHAnsi" w:hAnsiTheme="minorHAnsi" w:cstheme="minorHAnsi"/>
          <w:bCs/>
          <w:u w:val="single"/>
        </w:rPr>
        <w:t>BE</w:t>
      </w:r>
      <w:r w:rsidRPr="001862B8" w:rsidR="001862B8">
        <w:rPr>
          <w:rFonts w:asciiTheme="minorHAnsi" w:hAnsiTheme="minorHAnsi" w:cstheme="minorHAnsi"/>
          <w:bCs/>
          <w:u w:val="single"/>
        </w:rPr>
        <w:t xml:space="preserve"> </w:t>
      </w:r>
      <w:r w:rsidRPr="008569BE">
        <w:rPr>
          <w:rFonts w:asciiTheme="minorHAnsi" w:hAnsiTheme="minorHAnsi" w:cstheme="minorHAnsi"/>
          <w:bCs/>
          <w:u w:val="single"/>
        </w:rPr>
        <w:t>INCONSISTENT WITH GUIDELINES IN 5 CFR 1320.5(d)(2)</w:t>
      </w:r>
    </w:p>
    <w:p w:rsidR="00721EB2" w:rsidRPr="008569BE" w14:paraId="3216AA18" w14:textId="77777777">
      <w:pPr>
        <w:rPr>
          <w:rFonts w:asciiTheme="minorHAnsi" w:hAnsiTheme="minorHAnsi" w:cstheme="minorHAnsi"/>
        </w:rPr>
      </w:pPr>
    </w:p>
    <w:p w:rsidR="00721EB2" w:rsidRPr="008569BE" w14:paraId="2A8838C1" w14:textId="77777777">
      <w:pPr>
        <w:ind w:left="720"/>
        <w:rPr>
          <w:rFonts w:asciiTheme="minorHAnsi" w:hAnsiTheme="minorHAnsi" w:cstheme="minorHAnsi"/>
        </w:rPr>
      </w:pPr>
      <w:r w:rsidRPr="008569BE">
        <w:rPr>
          <w:rFonts w:asciiTheme="minorHAnsi" w:hAnsiTheme="minorHAnsi" w:cstheme="minorHAnsi"/>
        </w:rPr>
        <w:t>There are no special circumstances requiring data collection to be inconsistent with Guidelines in 5 CFR 1320.5(d)(2).</w:t>
      </w:r>
    </w:p>
    <w:p w:rsidR="00721EB2" w:rsidRPr="008569BE" w14:paraId="46F61C61" w14:textId="77777777">
      <w:pPr>
        <w:rPr>
          <w:rFonts w:asciiTheme="minorHAnsi" w:hAnsiTheme="minorHAnsi" w:cstheme="minorHAnsi"/>
        </w:rPr>
      </w:pPr>
    </w:p>
    <w:p w:rsidR="00721EB2" w:rsidRPr="008569BE" w14:paraId="6AAB8E07" w14:textId="2A80D8D8">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CONSULTATION WITH INDIVIDUALS OUTSIDE OF THE AGENCY ON</w:t>
      </w:r>
      <w:r w:rsidR="00096E1A">
        <w:rPr>
          <w:rFonts w:asciiTheme="minorHAnsi" w:hAnsiTheme="minorHAnsi" w:cstheme="minorHAnsi"/>
          <w:bCs/>
          <w:u w:val="single"/>
        </w:rPr>
        <w:t xml:space="preserve"> </w:t>
      </w:r>
      <w:r w:rsidRPr="008569BE">
        <w:rPr>
          <w:rFonts w:asciiTheme="minorHAnsi" w:hAnsiTheme="minorHAnsi" w:cstheme="minorHAnsi"/>
          <w:bCs/>
          <w:u w:val="single"/>
        </w:rPr>
        <w:t>AVAILABILITY OF DATA, FREQUENCY OF COLLECTION, CLARITY OF INSTRUCTIONS AND FORMS, AND DATA ELEMENTS</w:t>
      </w:r>
    </w:p>
    <w:p w:rsidR="00721EB2" w:rsidRPr="008569BE" w14:paraId="527485BF" w14:textId="77777777">
      <w:pPr>
        <w:rPr>
          <w:rFonts w:asciiTheme="minorHAnsi" w:hAnsiTheme="minorHAnsi" w:cstheme="minorHAnsi"/>
        </w:rPr>
      </w:pPr>
    </w:p>
    <w:p w:rsidR="00C67134" w:rsidP="00AF00F5" w14:paraId="6BA8F60A" w14:textId="77777777">
      <w:pPr>
        <w:ind w:left="720"/>
        <w:rPr>
          <w:rFonts w:asciiTheme="minorHAnsi" w:hAnsiTheme="minorHAnsi" w:cstheme="minorHAnsi"/>
        </w:rPr>
      </w:pPr>
      <w:r w:rsidRPr="008569BE">
        <w:rPr>
          <w:rFonts w:asciiTheme="minorHAnsi" w:hAnsiTheme="minorHAnsi" w:cstheme="minorHAnsi"/>
        </w:rPr>
        <w:t xml:space="preserve">In response to the </w:t>
      </w:r>
      <w:r w:rsidRPr="0033287F">
        <w:rPr>
          <w:rFonts w:asciiTheme="minorHAnsi" w:hAnsiTheme="minorHAnsi" w:cstheme="minorHAnsi"/>
          <w:i/>
          <w:iCs/>
        </w:rPr>
        <w:t>Federal Register</w:t>
      </w:r>
      <w:r w:rsidRPr="008569BE">
        <w:rPr>
          <w:rFonts w:asciiTheme="minorHAnsi" w:hAnsiTheme="minorHAnsi" w:cstheme="minorHAnsi"/>
        </w:rPr>
        <w:t xml:space="preserve"> notice (88 FR 54709), dated August 11, 2023, regarding TD 9926, Withholding of Tax and Information Reporting With Respect to Interests in Partnerships Engaged in a U.S. Trade or Business, </w:t>
      </w:r>
      <w:r w:rsidRPr="008569BE" w:rsidR="00B62556">
        <w:rPr>
          <w:rFonts w:asciiTheme="minorHAnsi" w:hAnsiTheme="minorHAnsi" w:cstheme="minorHAnsi"/>
        </w:rPr>
        <w:t>IRS received comments from the Law Office of Kimberly S. Blanchard</w:t>
      </w:r>
      <w:r w:rsidRPr="008569BE" w:rsidR="00531E60">
        <w:rPr>
          <w:rFonts w:asciiTheme="minorHAnsi" w:hAnsiTheme="minorHAnsi" w:cstheme="minorHAnsi"/>
        </w:rPr>
        <w:t xml:space="preserve">. </w:t>
      </w:r>
      <w:r w:rsidRPr="008569BE" w:rsidR="00B62556">
        <w:rPr>
          <w:rFonts w:asciiTheme="minorHAnsi" w:hAnsiTheme="minorHAnsi" w:cstheme="minorHAnsi"/>
        </w:rPr>
        <w:t xml:space="preserve"> </w:t>
      </w:r>
    </w:p>
    <w:p w:rsidR="00C67134" w:rsidP="00AF00F5" w14:paraId="6192DA87" w14:textId="77777777">
      <w:pPr>
        <w:ind w:left="720"/>
        <w:rPr>
          <w:rFonts w:asciiTheme="minorHAnsi" w:hAnsiTheme="minorHAnsi" w:cstheme="minorHAnsi"/>
        </w:rPr>
      </w:pPr>
    </w:p>
    <w:p w:rsidR="00715860" w:rsidP="00367EB9" w14:paraId="4507A480" w14:textId="77777777">
      <w:pPr>
        <w:ind w:left="720"/>
        <w:rPr>
          <w:rFonts w:asciiTheme="minorHAnsi" w:hAnsiTheme="minorHAnsi" w:cstheme="minorHAnsi"/>
        </w:rPr>
      </w:pPr>
      <w:r w:rsidRPr="008569BE">
        <w:rPr>
          <w:rFonts w:asciiTheme="minorHAnsi" w:hAnsiTheme="minorHAnsi" w:cstheme="minorHAnsi"/>
        </w:rPr>
        <w:t xml:space="preserve">The commenter requested that the IRS and Treasury amend the section 1446(f) </w:t>
      </w:r>
      <w:r w:rsidRPr="008569BE">
        <w:rPr>
          <w:rFonts w:asciiTheme="minorHAnsi" w:hAnsiTheme="minorHAnsi" w:cstheme="minorHAnsi"/>
        </w:rPr>
        <w:t>regulations to eliminate withholding tax and reporting in cases explicitly not covered by the relevant statutory language.</w:t>
      </w:r>
      <w:r>
        <w:rPr>
          <w:rFonts w:asciiTheme="minorHAnsi" w:hAnsiTheme="minorHAnsi" w:cstheme="minorHAnsi"/>
        </w:rPr>
        <w:t xml:space="preserve"> </w:t>
      </w:r>
    </w:p>
    <w:p w:rsidR="00715860" w:rsidP="00367EB9" w14:paraId="6B64F73D" w14:textId="77777777">
      <w:pPr>
        <w:ind w:left="720"/>
        <w:rPr>
          <w:rFonts w:asciiTheme="minorHAnsi" w:hAnsiTheme="minorHAnsi" w:cstheme="minorHAnsi"/>
        </w:rPr>
      </w:pPr>
    </w:p>
    <w:p w:rsidR="00600138" w:rsidP="00367EB9" w14:paraId="5D5D7CD6" w14:textId="5D9B3348">
      <w:pPr>
        <w:ind w:left="720"/>
        <w:rPr>
          <w:rFonts w:asciiTheme="minorHAnsi" w:hAnsiTheme="minorHAnsi" w:cstheme="minorHAnsi"/>
        </w:rPr>
      </w:pPr>
      <w:r w:rsidRPr="00715860">
        <w:rPr>
          <w:rFonts w:asciiTheme="minorHAnsi" w:hAnsiTheme="minorHAnsi" w:cstheme="minorHAnsi"/>
          <w:i/>
          <w:iCs/>
        </w:rPr>
        <w:t>I</w:t>
      </w:r>
      <w:r w:rsidR="00715860">
        <w:rPr>
          <w:rFonts w:asciiTheme="minorHAnsi" w:hAnsiTheme="minorHAnsi" w:cstheme="minorHAnsi"/>
          <w:i/>
          <w:iCs/>
        </w:rPr>
        <w:t>RS R</w:t>
      </w:r>
      <w:r w:rsidRPr="00715860">
        <w:rPr>
          <w:rFonts w:asciiTheme="minorHAnsi" w:hAnsiTheme="minorHAnsi" w:cstheme="minorHAnsi"/>
          <w:i/>
          <w:iCs/>
        </w:rPr>
        <w:t>esponse</w:t>
      </w:r>
      <w:r w:rsidR="00715860">
        <w:rPr>
          <w:rFonts w:asciiTheme="minorHAnsi" w:hAnsiTheme="minorHAnsi" w:cstheme="minorHAnsi"/>
          <w:i/>
          <w:iCs/>
        </w:rPr>
        <w:t xml:space="preserve">:  </w:t>
      </w:r>
      <w:r w:rsidRPr="008569BE">
        <w:rPr>
          <w:rFonts w:asciiTheme="minorHAnsi" w:hAnsiTheme="minorHAnsi" w:cstheme="minorHAnsi"/>
        </w:rPr>
        <w:t xml:space="preserve">A transferee partner will generally not know whether a transfer results in tax on gain under section 864(c)(8) without information from either the transferor partner or the partnership.  Thus, §1.1446(f)-2(a) requires the transferee to withhold on the transfer of a partnership interest unless it can rely on a certification claiming an exception to withholding.  The </w:t>
      </w:r>
      <w:r>
        <w:rPr>
          <w:rFonts w:asciiTheme="minorHAnsi" w:hAnsiTheme="minorHAnsi" w:cstheme="minorHAnsi"/>
        </w:rPr>
        <w:t xml:space="preserve">section </w:t>
      </w:r>
      <w:r w:rsidRPr="008569BE">
        <w:rPr>
          <w:rFonts w:asciiTheme="minorHAnsi" w:hAnsiTheme="minorHAnsi" w:cstheme="minorHAnsi"/>
        </w:rPr>
        <w:t xml:space="preserve">1446(f) regulations provide a streamlined method for providing certifications, allowing them to be sent electronically, including as text in an email, an image embedded in an email, or a Portable Document Format (.pdf) attached to an email.  </w:t>
      </w:r>
      <w:r w:rsidRPr="008569BE">
        <w:rPr>
          <w:rFonts w:asciiTheme="minorHAnsi" w:hAnsiTheme="minorHAnsi" w:cstheme="minorHAnsi"/>
          <w:i/>
        </w:rPr>
        <w:t>See</w:t>
      </w:r>
      <w:r w:rsidRPr="008569BE">
        <w:rPr>
          <w:rFonts w:asciiTheme="minorHAnsi" w:hAnsiTheme="minorHAnsi" w:cstheme="minorHAnsi"/>
        </w:rPr>
        <w:t xml:space="preserve"> §1.1446-1(c)(2)(iv).  The regulations also generally allow the transferor to self-certify to the transferee, without any need to also file the certification with the IRS.  A transferee that obtains and properly relies on this certification will generally not be subject to any withholding tax liability, even if the transfer results in gain under section 864(c)(8).  </w:t>
      </w:r>
    </w:p>
    <w:p w:rsidR="00600138" w:rsidRPr="008569BE" w:rsidP="00367EB9" w14:paraId="5C632CE7" w14:textId="77777777">
      <w:pPr>
        <w:ind w:left="720"/>
        <w:rPr>
          <w:rFonts w:asciiTheme="minorHAnsi" w:hAnsiTheme="minorHAnsi" w:cstheme="minorHAnsi"/>
        </w:rPr>
      </w:pPr>
    </w:p>
    <w:p w:rsidR="00600138" w:rsidP="00367EB9" w14:paraId="17053539" w14:textId="77777777">
      <w:pPr>
        <w:ind w:left="720"/>
        <w:rPr>
          <w:rFonts w:asciiTheme="minorHAnsi" w:hAnsiTheme="minorHAnsi" w:cstheme="minorHAnsi"/>
        </w:rPr>
      </w:pPr>
      <w:r w:rsidRPr="008569BE">
        <w:rPr>
          <w:rFonts w:asciiTheme="minorHAnsi" w:hAnsiTheme="minorHAnsi" w:cstheme="minorHAnsi"/>
        </w:rPr>
        <w:t xml:space="preserve">Further, under §1.1446(f)-5(b), any person required to withhold under section 1446(f) is not liable for failure to withhold, or any interest, penalties, or additions to tax, if it establishes to the satisfaction of the Commissioner that the transferor had no gain under section 864(c)(8) subject to tax on the transfer.  Thus, in cases in which the transferee knows that a transfer will not result in gain under section 864(c)(8), it may choose to not withhold rather than obtain a certification from the transferor partner.  </w:t>
      </w:r>
    </w:p>
    <w:p w:rsidR="00600138" w:rsidP="00367EB9" w14:paraId="11142A48" w14:textId="77777777">
      <w:pPr>
        <w:ind w:left="720"/>
        <w:rPr>
          <w:rFonts w:asciiTheme="minorHAnsi" w:hAnsiTheme="minorHAnsi" w:cstheme="minorHAnsi"/>
        </w:rPr>
      </w:pPr>
    </w:p>
    <w:p w:rsidR="00600138" w:rsidP="00367EB9" w14:paraId="668B152D" w14:textId="18E722FF">
      <w:pPr>
        <w:ind w:left="720"/>
        <w:rPr>
          <w:rFonts w:asciiTheme="minorHAnsi" w:hAnsiTheme="minorHAnsi" w:cstheme="minorHAnsi"/>
        </w:rPr>
      </w:pPr>
      <w:r w:rsidRPr="008569BE">
        <w:rPr>
          <w:rFonts w:asciiTheme="minorHAnsi" w:hAnsiTheme="minorHAnsi" w:cstheme="minorHAnsi"/>
        </w:rPr>
        <w:t>The comment</w:t>
      </w:r>
      <w:r w:rsidR="00715860">
        <w:rPr>
          <w:rFonts w:asciiTheme="minorHAnsi" w:hAnsiTheme="minorHAnsi" w:cstheme="minorHAnsi"/>
        </w:rPr>
        <w:t>er</w:t>
      </w:r>
      <w:r w:rsidRPr="008569BE">
        <w:rPr>
          <w:rFonts w:asciiTheme="minorHAnsi" w:hAnsiTheme="minorHAnsi" w:cstheme="minorHAnsi"/>
        </w:rPr>
        <w:t xml:space="preserve"> states that it is unclear what the transferee must do to meet this “satisfaction of the Commissioner” standard.  A transferee would only be required to make this showing to the IRS upon an </w:t>
      </w:r>
      <w:r w:rsidRPr="008569BE" w:rsidR="004F00FB">
        <w:rPr>
          <w:rFonts w:asciiTheme="minorHAnsi" w:hAnsiTheme="minorHAnsi" w:cstheme="minorHAnsi"/>
        </w:rPr>
        <w:t>audit and</w:t>
      </w:r>
      <w:r w:rsidRPr="008569BE">
        <w:rPr>
          <w:rFonts w:asciiTheme="minorHAnsi" w:hAnsiTheme="minorHAnsi" w:cstheme="minorHAnsi"/>
        </w:rPr>
        <w:t xml:space="preserve"> would be expected to do so in a manner consistent with long-standing procedures that apply to each of the other withholding regimes under chapter 3.  </w:t>
      </w:r>
      <w:r w:rsidRPr="008569BE">
        <w:rPr>
          <w:rFonts w:asciiTheme="minorHAnsi" w:hAnsiTheme="minorHAnsi" w:cstheme="minorHAnsi"/>
          <w:i/>
        </w:rPr>
        <w:t>See, e.g.</w:t>
      </w:r>
      <w:r w:rsidRPr="008569BE">
        <w:rPr>
          <w:rFonts w:asciiTheme="minorHAnsi" w:hAnsiTheme="minorHAnsi" w:cstheme="minorHAnsi"/>
        </w:rPr>
        <w:t>, §1.1441-1(b)(7)(ii); §1.1445-1(e)(3).</w:t>
      </w:r>
    </w:p>
    <w:p w:rsidR="004F00FB" w:rsidP="00367EB9" w14:paraId="5F55DB6D" w14:textId="7BCFBCA3">
      <w:pPr>
        <w:ind w:left="720"/>
        <w:rPr>
          <w:rFonts w:asciiTheme="minorHAnsi" w:hAnsiTheme="minorHAnsi" w:cstheme="minorHAnsi"/>
        </w:rPr>
      </w:pPr>
    </w:p>
    <w:p w:rsidR="004F00FB" w:rsidRPr="008569BE" w:rsidP="00367EB9" w14:paraId="0E095AEF" w14:textId="77777777">
      <w:pPr>
        <w:ind w:left="720"/>
        <w:rPr>
          <w:rFonts w:asciiTheme="minorHAnsi" w:hAnsiTheme="minorHAnsi" w:cstheme="minorHAnsi"/>
        </w:rPr>
      </w:pPr>
      <w:r w:rsidRPr="008569BE">
        <w:rPr>
          <w:rFonts w:asciiTheme="minorHAnsi" w:hAnsiTheme="minorHAnsi" w:cstheme="minorHAnsi"/>
        </w:rPr>
        <w:t>The commenter also requested that the IRS and Treasury amend the regulations to allow a transferor partner to certify that it invests in any ECI-generating activities of the partnership only through one or more domestic blockers and, thus, can never be allocated ECI.</w:t>
      </w:r>
    </w:p>
    <w:p w:rsidR="004F00FB" w:rsidP="00367EB9" w14:paraId="17F24763" w14:textId="58E25CF5">
      <w:pPr>
        <w:ind w:left="720"/>
        <w:rPr>
          <w:rFonts w:asciiTheme="minorHAnsi" w:hAnsiTheme="minorHAnsi" w:cstheme="minorHAnsi"/>
        </w:rPr>
      </w:pPr>
    </w:p>
    <w:p w:rsidR="004F00FB" w:rsidRPr="008569BE" w:rsidP="00367EB9" w14:paraId="7F1508FA" w14:textId="39BB84F4">
      <w:pPr>
        <w:ind w:left="720"/>
        <w:rPr>
          <w:rFonts w:asciiTheme="minorHAnsi" w:hAnsiTheme="minorHAnsi" w:cstheme="minorHAnsi"/>
        </w:rPr>
      </w:pPr>
      <w:r w:rsidRPr="002C2E03">
        <w:rPr>
          <w:rFonts w:asciiTheme="minorHAnsi" w:hAnsiTheme="minorHAnsi" w:cstheme="minorHAnsi"/>
          <w:i/>
          <w:iCs/>
        </w:rPr>
        <w:t>I</w:t>
      </w:r>
      <w:r w:rsidRPr="002C2E03" w:rsidR="002C2E03">
        <w:rPr>
          <w:rFonts w:asciiTheme="minorHAnsi" w:hAnsiTheme="minorHAnsi" w:cstheme="minorHAnsi"/>
          <w:i/>
          <w:iCs/>
        </w:rPr>
        <w:t>RS</w:t>
      </w:r>
      <w:r w:rsidRPr="002C2E03">
        <w:rPr>
          <w:rFonts w:asciiTheme="minorHAnsi" w:hAnsiTheme="minorHAnsi" w:cstheme="minorHAnsi"/>
          <w:i/>
          <w:iCs/>
        </w:rPr>
        <w:t xml:space="preserve"> </w:t>
      </w:r>
      <w:r w:rsidRPr="002C2E03" w:rsidR="002C2E03">
        <w:rPr>
          <w:rFonts w:asciiTheme="minorHAnsi" w:hAnsiTheme="minorHAnsi" w:cstheme="minorHAnsi"/>
          <w:i/>
          <w:iCs/>
        </w:rPr>
        <w:t>R</w:t>
      </w:r>
      <w:r w:rsidRPr="002C2E03" w:rsidR="002259BC">
        <w:rPr>
          <w:rFonts w:asciiTheme="minorHAnsi" w:hAnsiTheme="minorHAnsi" w:cstheme="minorHAnsi"/>
          <w:i/>
          <w:iCs/>
        </w:rPr>
        <w:t>esponse</w:t>
      </w:r>
      <w:r w:rsidR="002C2E03">
        <w:rPr>
          <w:rFonts w:asciiTheme="minorHAnsi" w:hAnsiTheme="minorHAnsi" w:cstheme="minorHAnsi"/>
        </w:rPr>
        <w:t>:</w:t>
      </w:r>
      <w:r w:rsidRPr="008569BE">
        <w:rPr>
          <w:rFonts w:asciiTheme="minorHAnsi" w:hAnsiTheme="minorHAnsi" w:cstheme="minorHAnsi"/>
        </w:rPr>
        <w:t xml:space="preserve"> </w:t>
      </w:r>
      <w:r w:rsidR="002C2E03">
        <w:rPr>
          <w:rFonts w:asciiTheme="minorHAnsi" w:hAnsiTheme="minorHAnsi" w:cstheme="minorHAnsi"/>
        </w:rPr>
        <w:t>T</w:t>
      </w:r>
      <w:r w:rsidRPr="008569BE">
        <w:rPr>
          <w:rFonts w:asciiTheme="minorHAnsi" w:hAnsiTheme="minorHAnsi" w:cstheme="minorHAnsi"/>
        </w:rPr>
        <w:t xml:space="preserve">he commenter acknowledges that the regulations provide that the partnership may provide a certification that addresses her concern.  </w:t>
      </w:r>
      <w:r w:rsidRPr="008569BE">
        <w:rPr>
          <w:rFonts w:asciiTheme="minorHAnsi" w:hAnsiTheme="minorHAnsi" w:cstheme="minorHAnsi"/>
          <w:i/>
        </w:rPr>
        <w:t>See</w:t>
      </w:r>
      <w:r w:rsidRPr="008569BE">
        <w:rPr>
          <w:rFonts w:asciiTheme="minorHAnsi" w:hAnsiTheme="minorHAnsi" w:cstheme="minorHAnsi"/>
        </w:rPr>
        <w:t xml:space="preserve"> §1.1446(f)-2(b)(4).  The partnership, and not the transferor partner, has the best knowledge as to the transferor partner’s distributive share of gain, if any, on a deemed sale of the partnership’s assets.  Thus, it is appropriate to collect the relevant certification from the partnership</w:t>
      </w:r>
      <w:r>
        <w:rPr>
          <w:rFonts w:asciiTheme="minorHAnsi" w:hAnsiTheme="minorHAnsi" w:cstheme="minorHAnsi"/>
        </w:rPr>
        <w:t xml:space="preserve">. </w:t>
      </w:r>
    </w:p>
    <w:p w:rsidR="00721EB2" w:rsidRPr="008569BE" w:rsidP="00AF00F5" w14:paraId="229E4427" w14:textId="15DE27C9">
      <w:pPr>
        <w:ind w:left="720"/>
        <w:rPr>
          <w:rFonts w:asciiTheme="minorHAnsi" w:hAnsiTheme="minorHAnsi" w:cstheme="minorHAnsi"/>
        </w:rPr>
      </w:pPr>
      <w:r w:rsidRPr="008569BE">
        <w:rPr>
          <w:rFonts w:asciiTheme="minorHAnsi" w:hAnsiTheme="minorHAnsi" w:cstheme="minorHAnsi"/>
        </w:rPr>
        <w:t xml:space="preserve"> </w:t>
      </w:r>
      <w:r w:rsidRPr="008569BE" w:rsidR="00AF00F5">
        <w:rPr>
          <w:rFonts w:asciiTheme="minorHAnsi" w:hAnsiTheme="minorHAnsi" w:cstheme="minorHAnsi"/>
        </w:rPr>
        <w:t xml:space="preserve">  </w:t>
      </w:r>
    </w:p>
    <w:p w:rsidR="00C71D1B" w:rsidRPr="008569BE" w14:paraId="2CA962DD" w14:textId="44C61D8E">
      <w:pPr>
        <w:rPr>
          <w:rFonts w:asciiTheme="minorHAnsi" w:hAnsiTheme="minorHAnsi" w:cstheme="minorHAnsi"/>
          <w:bCs/>
        </w:rPr>
        <w:sectPr w:rsidSect="00F847BC">
          <w:headerReference w:type="default" r:id="rId4"/>
          <w:type w:val="continuous"/>
          <w:pgSz w:w="12240" w:h="15840"/>
          <w:pgMar w:top="1440" w:right="1440" w:bottom="1260" w:left="1440" w:header="1440" w:footer="1440" w:gutter="0"/>
          <w:cols w:space="720"/>
          <w:noEndnote/>
        </w:sectPr>
      </w:pPr>
    </w:p>
    <w:p w:rsidR="00721EB2" w:rsidRPr="008569BE" w14:paraId="794271D4" w14:textId="692CFE71">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EXPLANATION OF DECISION TO PROVIDE ANY PAYMENT OR GIFT TO</w:t>
      </w:r>
      <w:r w:rsidR="00096E1A">
        <w:rPr>
          <w:rFonts w:asciiTheme="minorHAnsi" w:hAnsiTheme="minorHAnsi" w:cstheme="minorHAnsi"/>
          <w:bCs/>
          <w:u w:val="single"/>
        </w:rPr>
        <w:t xml:space="preserve"> </w:t>
      </w:r>
      <w:r w:rsidRPr="008569BE">
        <w:rPr>
          <w:rFonts w:asciiTheme="minorHAnsi" w:hAnsiTheme="minorHAnsi" w:cstheme="minorHAnsi"/>
          <w:bCs/>
          <w:u w:val="single"/>
        </w:rPr>
        <w:t>RESPONDENTS</w:t>
      </w:r>
    </w:p>
    <w:p w:rsidR="00721EB2" w:rsidRPr="008569BE" w14:paraId="0515BF0A" w14:textId="77777777">
      <w:pPr>
        <w:rPr>
          <w:rFonts w:asciiTheme="minorHAnsi" w:hAnsiTheme="minorHAnsi" w:cstheme="minorHAnsi"/>
          <w:b/>
        </w:rPr>
      </w:pPr>
    </w:p>
    <w:p w:rsidR="002D1FE5" w:rsidRPr="008569BE" w:rsidP="00266ABE" w14:paraId="1EBEA7FD" w14:textId="6ED08655">
      <w:pPr>
        <w:ind w:left="720"/>
        <w:rPr>
          <w:rFonts w:asciiTheme="minorHAnsi" w:hAnsiTheme="minorHAnsi" w:cstheme="minorHAnsi"/>
        </w:rPr>
      </w:pPr>
      <w:r w:rsidRPr="008569BE">
        <w:rPr>
          <w:rFonts w:asciiTheme="minorHAnsi" w:hAnsiTheme="minorHAnsi" w:cstheme="minorHAnsi"/>
        </w:rPr>
        <w:t>No payment or gift has been provided to any respondents</w:t>
      </w:r>
      <w:r w:rsidRPr="008569BE" w:rsidR="00721EB2">
        <w:rPr>
          <w:rFonts w:asciiTheme="minorHAnsi" w:hAnsiTheme="minorHAnsi" w:cstheme="minorHAnsi"/>
        </w:rPr>
        <w:t>.</w:t>
      </w:r>
    </w:p>
    <w:p w:rsidR="00321C69" w:rsidRPr="008569BE" w14:paraId="198AEEB5" w14:textId="77777777">
      <w:pPr>
        <w:rPr>
          <w:rFonts w:asciiTheme="minorHAnsi" w:hAnsiTheme="minorHAnsi" w:cstheme="minorHAnsi"/>
        </w:rPr>
      </w:pPr>
    </w:p>
    <w:p w:rsidR="00721EB2" w:rsidRPr="008569BE" w14:paraId="01F44CAE"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ASSURANCE OF CONFIDENTIALITY OF RESPONSES</w:t>
      </w:r>
    </w:p>
    <w:p w:rsidR="00721EB2" w:rsidRPr="008569BE" w14:paraId="142E6829" w14:textId="77777777">
      <w:pPr>
        <w:rPr>
          <w:rFonts w:asciiTheme="minorHAnsi" w:hAnsiTheme="minorHAnsi" w:cstheme="minorHAnsi"/>
          <w:b/>
        </w:rPr>
      </w:pPr>
    </w:p>
    <w:p w:rsidR="00721EB2" w:rsidRPr="008569BE" w14:paraId="535EA22C" w14:textId="77777777">
      <w:pPr>
        <w:ind w:left="720"/>
        <w:rPr>
          <w:rFonts w:asciiTheme="minorHAnsi" w:hAnsiTheme="minorHAnsi" w:cstheme="minorHAnsi"/>
        </w:rPr>
      </w:pPr>
      <w:r w:rsidRPr="008569BE">
        <w:rPr>
          <w:rFonts w:asciiTheme="minorHAnsi" w:hAnsiTheme="minorHAnsi" w:cstheme="minorHAnsi"/>
        </w:rPr>
        <w:t>Generally, tax returns and tax return information are confidential as required by 26 USC 6103.</w:t>
      </w:r>
    </w:p>
    <w:p w:rsidR="00721EB2" w:rsidRPr="008569BE" w14:paraId="70804215" w14:textId="77777777">
      <w:pPr>
        <w:rPr>
          <w:rFonts w:asciiTheme="minorHAnsi" w:hAnsiTheme="minorHAnsi" w:cstheme="minorHAnsi"/>
        </w:rPr>
      </w:pPr>
    </w:p>
    <w:p w:rsidR="00721EB2" w:rsidRPr="008569BE" w14:paraId="03740024" w14:textId="77777777">
      <w:pPr>
        <w:pStyle w:val="Level1"/>
        <w:tabs>
          <w:tab w:val="left" w:pos="-1440"/>
          <w:tab w:val="num" w:pos="720"/>
        </w:tabs>
        <w:rPr>
          <w:rFonts w:asciiTheme="minorHAnsi" w:hAnsiTheme="minorHAnsi" w:cstheme="minorHAnsi"/>
          <w:bCs/>
          <w:u w:val="single"/>
        </w:rPr>
      </w:pPr>
      <w:r w:rsidRPr="008569BE">
        <w:rPr>
          <w:rFonts w:asciiTheme="minorHAnsi" w:hAnsiTheme="minorHAnsi" w:cstheme="minorHAnsi"/>
          <w:bCs/>
          <w:u w:val="single"/>
        </w:rPr>
        <w:t>JUSTIFICATION OF SENSITIVE QUESTIONS</w:t>
      </w:r>
    </w:p>
    <w:p w:rsidR="00721EB2" w:rsidRPr="008569BE" w14:paraId="143616C2" w14:textId="77777777">
      <w:pPr>
        <w:rPr>
          <w:rFonts w:asciiTheme="minorHAnsi" w:hAnsiTheme="minorHAnsi" w:cstheme="minorHAnsi"/>
          <w:b/>
          <w:u w:val="single"/>
        </w:rPr>
      </w:pPr>
    </w:p>
    <w:p w:rsidR="008B0691" w:rsidRPr="008569BE" w:rsidP="008B0691" w14:paraId="5F21A760" w14:textId="1F38C56C">
      <w:pPr>
        <w:ind w:left="720"/>
        <w:rPr>
          <w:rFonts w:asciiTheme="minorHAnsi" w:hAnsiTheme="minorHAnsi" w:cstheme="minorHAnsi"/>
          <w:u w:val="single"/>
        </w:rPr>
      </w:pPr>
      <w:r w:rsidRPr="008569BE">
        <w:rPr>
          <w:rFonts w:asciiTheme="minorHAnsi" w:hAnsiTheme="minorHAnsi" w:cstheme="minorHAnsi"/>
        </w:rPr>
        <w:t xml:space="preserve">For the affiliated forms, 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r:id="rId5" w:history="1">
        <w:r w:rsidRPr="00694D96" w:rsidR="00D251AA">
          <w:rPr>
            <w:rStyle w:val="Hyperlink"/>
            <w:rFonts w:asciiTheme="minorHAnsi" w:hAnsiTheme="minorHAnsi" w:cstheme="minorHAnsi"/>
          </w:rPr>
          <w:t>https://www.irs.gov/uac/privacy-impact-assessments-pia</w:t>
        </w:r>
      </w:hyperlink>
      <w:r w:rsidRPr="008569BE">
        <w:rPr>
          <w:rFonts w:asciiTheme="minorHAnsi" w:hAnsiTheme="minorHAnsi" w:cstheme="minorHAnsi"/>
        </w:rPr>
        <w:t>.</w:t>
      </w:r>
      <w:r w:rsidR="00D251AA">
        <w:rPr>
          <w:rFonts w:asciiTheme="minorHAnsi" w:hAnsiTheme="minorHAnsi" w:cstheme="minorHAnsi"/>
        </w:rPr>
        <w:t xml:space="preserve"> </w:t>
      </w:r>
    </w:p>
    <w:p w:rsidR="008B0691" w:rsidRPr="008569BE" w:rsidP="008B0691" w14:paraId="291EE4CB" w14:textId="77777777">
      <w:pPr>
        <w:ind w:left="720"/>
        <w:rPr>
          <w:rFonts w:asciiTheme="minorHAnsi" w:hAnsiTheme="minorHAnsi" w:cstheme="minorHAnsi"/>
          <w:u w:val="single"/>
        </w:rPr>
      </w:pPr>
    </w:p>
    <w:p w:rsidR="008B0691" w:rsidRPr="008569BE" w:rsidP="008B0691" w14:paraId="213C0E33" w14:textId="77777777">
      <w:pPr>
        <w:ind w:left="720"/>
        <w:rPr>
          <w:rFonts w:asciiTheme="minorHAnsi" w:hAnsiTheme="minorHAnsi" w:cstheme="minorHAnsi"/>
          <w:u w:val="single"/>
        </w:rPr>
      </w:pPr>
      <w:r w:rsidRPr="008569BE">
        <w:rPr>
          <w:rFonts w:asciiTheme="minorHAnsi" w:hAnsiTheme="minorHAnsi" w:cstheme="minorHAns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21EB2" w:rsidRPr="008569BE" w14:paraId="65C6BCFD" w14:textId="77777777">
      <w:pPr>
        <w:rPr>
          <w:rFonts w:asciiTheme="minorHAnsi" w:hAnsiTheme="minorHAnsi" w:cstheme="minorHAnsi"/>
          <w:bCs/>
        </w:rPr>
      </w:pPr>
    </w:p>
    <w:p w:rsidR="00721EB2" w:rsidRPr="008569BE" w14:paraId="144D2196" w14:textId="77777777">
      <w:pPr>
        <w:pStyle w:val="Level1"/>
        <w:tabs>
          <w:tab w:val="left" w:pos="-1440"/>
          <w:tab w:val="num" w:pos="720"/>
        </w:tabs>
        <w:rPr>
          <w:rFonts w:asciiTheme="minorHAnsi" w:hAnsiTheme="minorHAnsi" w:cstheme="minorHAnsi"/>
          <w:bCs/>
          <w:u w:val="single"/>
        </w:rPr>
      </w:pPr>
      <w:r w:rsidRPr="008569BE">
        <w:rPr>
          <w:rFonts w:asciiTheme="minorHAnsi" w:hAnsiTheme="minorHAnsi" w:cstheme="minorHAnsi"/>
          <w:bCs/>
          <w:u w:val="single"/>
        </w:rPr>
        <w:t>ESTIMATED BURDEN OF INFORMATION COLLECTION</w:t>
      </w:r>
    </w:p>
    <w:p w:rsidR="00F9091F" w:rsidP="0019020E" w14:paraId="37D3C550" w14:textId="58EDCF05">
      <w:pPr>
        <w:rPr>
          <w:rFonts w:asciiTheme="minorHAnsi" w:hAnsiTheme="minorHAnsi" w:cstheme="minorHAnsi"/>
        </w:rPr>
      </w:pPr>
      <w:r>
        <w:rPr>
          <w:rFonts w:asciiTheme="minorHAnsi" w:hAnsiTheme="minorHAnsi" w:cstheme="minorHAnsi"/>
          <w:u w:val="single"/>
        </w:rPr>
        <w:t xml:space="preserve">             </w:t>
      </w:r>
      <w:r>
        <w:rPr>
          <w:rFonts w:asciiTheme="minorHAnsi" w:hAnsiTheme="minorHAnsi" w:cstheme="minorHAnsi"/>
        </w:rPr>
        <w:t xml:space="preserve">                               </w:t>
      </w:r>
    </w:p>
    <w:p w:rsidR="0019020E" w:rsidRPr="0019020E" w:rsidP="0019020E" w14:paraId="25A165E4" w14:textId="0AED7F49">
      <w:pPr>
        <w:ind w:left="720"/>
        <w:rPr>
          <w:rFonts w:ascii="Calibri" w:hAnsi="Calibri" w:cs="Calibri"/>
        </w:rPr>
      </w:pPr>
      <w:r w:rsidRPr="0019020E">
        <w:rPr>
          <w:rFonts w:ascii="Calibri" w:hAnsi="Calibri" w:cs="Calibri"/>
        </w:rPr>
        <w:t>Section 1446(f) requires withholding “if any portion of the gain (if any) on any disposition of an interest in a partnership would be treated under section 864(c)(8) as effectively connected with the conduct of a trade or business within the United States.”</w:t>
      </w:r>
    </w:p>
    <w:p w:rsidR="0065166D" w:rsidP="00142482" w14:paraId="3B128875" w14:textId="18ED7EBD">
      <w:pPr>
        <w:pStyle w:val="SupportingStatementSTANDARD"/>
        <w:ind w:left="0" w:firstLine="0"/>
        <w:rPr>
          <w:rFonts w:asciiTheme="minorHAnsi" w:hAnsiTheme="minorHAnsi" w:cstheme="minorHAnsi"/>
        </w:rPr>
      </w:pPr>
      <w:r>
        <w:rPr>
          <w:rFonts w:asciiTheme="minorHAnsi" w:hAnsiTheme="minorHAnsi" w:cstheme="minorHAnsi"/>
        </w:rPr>
        <w:tab/>
      </w:r>
    </w:p>
    <w:p w:rsidR="00D251AA" w:rsidP="00F23540" w14:paraId="6A23D5F3" w14:textId="2191BEC8">
      <w:pPr>
        <w:pStyle w:val="SupportingStatementSTANDARD"/>
        <w:ind w:firstLine="0"/>
        <w:rPr>
          <w:rFonts w:asciiTheme="minorHAnsi" w:hAnsiTheme="minorHAnsi" w:cstheme="minorHAnsi"/>
        </w:rPr>
      </w:pPr>
      <w:r>
        <w:rPr>
          <w:rFonts w:asciiTheme="minorHAnsi" w:hAnsiTheme="minorHAnsi" w:cstheme="minorHAnsi"/>
        </w:rPr>
        <w:t>The third-party disclosure and recordkeeping b</w:t>
      </w:r>
      <w:r w:rsidR="00CE32AA">
        <w:rPr>
          <w:rFonts w:asciiTheme="minorHAnsi" w:hAnsiTheme="minorHAnsi" w:cstheme="minorHAnsi"/>
        </w:rPr>
        <w:t xml:space="preserve">urden </w:t>
      </w:r>
      <w:r>
        <w:rPr>
          <w:rFonts w:asciiTheme="minorHAnsi" w:hAnsiTheme="minorHAnsi" w:cstheme="minorHAnsi"/>
        </w:rPr>
        <w:t xml:space="preserve">estimates are </w:t>
      </w:r>
      <w:r w:rsidR="00CE32AA">
        <w:rPr>
          <w:rFonts w:asciiTheme="minorHAnsi" w:hAnsiTheme="minorHAnsi" w:cstheme="minorHAnsi"/>
        </w:rPr>
        <w:t xml:space="preserve">as follows: </w:t>
      </w:r>
    </w:p>
    <w:p w:rsidR="00D251AA" w:rsidRPr="008569BE" w:rsidP="00142482" w14:paraId="5FCCC87C" w14:textId="77777777">
      <w:pPr>
        <w:pStyle w:val="SupportingStatementSTANDARD"/>
        <w:ind w:left="0" w:firstLine="0"/>
        <w:rPr>
          <w:rFonts w:asciiTheme="minorHAnsi" w:hAnsiTheme="minorHAnsi"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524"/>
        <w:gridCol w:w="1433"/>
        <w:gridCol w:w="1414"/>
        <w:gridCol w:w="1324"/>
        <w:gridCol w:w="1231"/>
      </w:tblGrid>
      <w:tr w14:paraId="30576779" w14:textId="77777777" w:rsidTr="00302691">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4" w:type="dxa"/>
            <w:shd w:val="clear" w:color="auto" w:fill="auto"/>
            <w:vAlign w:val="center"/>
          </w:tcPr>
          <w:p w:rsidR="0065166D" w:rsidRPr="0032053E" w:rsidP="00606FDF" w14:paraId="5109B92F" w14:textId="77777777">
            <w:pPr>
              <w:pStyle w:val="SupportingStatementSTANDARD"/>
              <w:ind w:left="0" w:firstLine="0"/>
              <w:jc w:val="center"/>
              <w:rPr>
                <w:rFonts w:ascii="Calibri" w:hAnsi="Calibri" w:cs="Calibri"/>
              </w:rPr>
            </w:pPr>
            <w:r w:rsidRPr="0032053E">
              <w:rPr>
                <w:rFonts w:ascii="Calibri" w:hAnsi="Calibri" w:cs="Calibri"/>
              </w:rPr>
              <w:t>Section</w:t>
            </w:r>
          </w:p>
        </w:tc>
        <w:tc>
          <w:tcPr>
            <w:tcW w:w="1524" w:type="dxa"/>
            <w:shd w:val="clear" w:color="auto" w:fill="auto"/>
            <w:vAlign w:val="center"/>
          </w:tcPr>
          <w:p w:rsidR="0065166D" w:rsidRPr="0032053E" w:rsidP="00606FDF" w14:paraId="7D122141" w14:textId="77777777">
            <w:pPr>
              <w:pStyle w:val="SupportingStatementSTANDARD"/>
              <w:ind w:left="0" w:firstLine="0"/>
              <w:jc w:val="center"/>
              <w:rPr>
                <w:rFonts w:ascii="Calibri" w:hAnsi="Calibri" w:cs="Calibri"/>
              </w:rPr>
            </w:pPr>
            <w:r w:rsidRPr="0032053E">
              <w:rPr>
                <w:rFonts w:ascii="Calibri" w:hAnsi="Calibri" w:cs="Calibri"/>
              </w:rPr>
              <w:t># Respondents</w:t>
            </w:r>
          </w:p>
        </w:tc>
        <w:tc>
          <w:tcPr>
            <w:tcW w:w="1433" w:type="dxa"/>
            <w:shd w:val="clear" w:color="auto" w:fill="auto"/>
            <w:vAlign w:val="center"/>
          </w:tcPr>
          <w:p w:rsidR="0065166D" w:rsidRPr="0032053E" w:rsidP="00606FDF" w14:paraId="3B92AB02" w14:textId="77777777">
            <w:pPr>
              <w:pStyle w:val="SupportingStatementSTANDARD"/>
              <w:ind w:left="0" w:firstLine="0"/>
              <w:jc w:val="center"/>
              <w:rPr>
                <w:rFonts w:ascii="Calibri" w:hAnsi="Calibri" w:cs="Calibri"/>
              </w:rPr>
            </w:pPr>
            <w:r w:rsidRPr="0032053E">
              <w:rPr>
                <w:rFonts w:ascii="Calibri" w:hAnsi="Calibri" w:cs="Calibri"/>
              </w:rPr>
              <w:t># Responses Per Respondent</w:t>
            </w:r>
          </w:p>
        </w:tc>
        <w:tc>
          <w:tcPr>
            <w:tcW w:w="1414" w:type="dxa"/>
            <w:shd w:val="clear" w:color="auto" w:fill="auto"/>
            <w:vAlign w:val="center"/>
          </w:tcPr>
          <w:p w:rsidR="0065166D" w:rsidRPr="0032053E" w:rsidP="00606FDF" w14:paraId="04B730E4" w14:textId="77777777">
            <w:pPr>
              <w:pStyle w:val="SupportingStatementSTANDARD"/>
              <w:ind w:left="0" w:firstLine="0"/>
              <w:jc w:val="center"/>
              <w:rPr>
                <w:rFonts w:ascii="Calibri" w:hAnsi="Calibri" w:cs="Calibri"/>
              </w:rPr>
            </w:pPr>
            <w:r w:rsidRPr="0032053E">
              <w:rPr>
                <w:rFonts w:ascii="Calibri" w:hAnsi="Calibri" w:cs="Calibri"/>
              </w:rPr>
              <w:t># Annual Responses</w:t>
            </w:r>
          </w:p>
        </w:tc>
        <w:tc>
          <w:tcPr>
            <w:tcW w:w="1324" w:type="dxa"/>
            <w:shd w:val="clear" w:color="auto" w:fill="auto"/>
            <w:vAlign w:val="center"/>
          </w:tcPr>
          <w:p w:rsidR="0065166D" w:rsidRPr="0032053E" w:rsidP="00606FDF" w14:paraId="02DB410C" w14:textId="77777777">
            <w:pPr>
              <w:pStyle w:val="SupportingStatementSTANDARD"/>
              <w:ind w:left="0" w:firstLine="0"/>
              <w:jc w:val="center"/>
              <w:rPr>
                <w:rFonts w:ascii="Calibri" w:hAnsi="Calibri" w:cs="Calibri"/>
              </w:rPr>
            </w:pPr>
            <w:r w:rsidRPr="0032053E">
              <w:rPr>
                <w:rFonts w:ascii="Calibri" w:hAnsi="Calibri" w:cs="Calibri"/>
              </w:rPr>
              <w:t>Hours Per Response</w:t>
            </w:r>
          </w:p>
        </w:tc>
        <w:tc>
          <w:tcPr>
            <w:tcW w:w="1231" w:type="dxa"/>
            <w:shd w:val="clear" w:color="auto" w:fill="auto"/>
            <w:vAlign w:val="center"/>
          </w:tcPr>
          <w:p w:rsidR="0065166D" w:rsidRPr="0032053E" w:rsidP="00606FDF" w14:paraId="305B0EE6" w14:textId="77777777">
            <w:pPr>
              <w:pStyle w:val="SupportingStatementSTANDARD"/>
              <w:ind w:left="0" w:firstLine="0"/>
              <w:jc w:val="center"/>
              <w:rPr>
                <w:rFonts w:ascii="Calibri" w:hAnsi="Calibri" w:cs="Calibri"/>
              </w:rPr>
            </w:pPr>
            <w:r w:rsidRPr="0032053E">
              <w:rPr>
                <w:rFonts w:ascii="Calibri" w:hAnsi="Calibri" w:cs="Calibri"/>
              </w:rPr>
              <w:t>Total Annual Burden</w:t>
            </w:r>
          </w:p>
        </w:tc>
      </w:tr>
      <w:tr w14:paraId="0E75F01C" w14:textId="77777777" w:rsidTr="00302691">
        <w:tblPrEx>
          <w:tblW w:w="0" w:type="auto"/>
          <w:tblInd w:w="720" w:type="dxa"/>
          <w:tblLook w:val="04A0"/>
        </w:tblPrEx>
        <w:tc>
          <w:tcPr>
            <w:tcW w:w="1704" w:type="dxa"/>
            <w:shd w:val="clear" w:color="auto" w:fill="auto"/>
            <w:vAlign w:val="center"/>
          </w:tcPr>
          <w:p w:rsidR="0065166D" w:rsidRPr="0032053E" w:rsidP="0065166D" w14:paraId="2429563D" w14:textId="52379E48">
            <w:pPr>
              <w:pStyle w:val="SupportingStatementSTANDARD"/>
              <w:ind w:left="0" w:firstLine="0"/>
              <w:rPr>
                <w:rFonts w:ascii="Calibri" w:hAnsi="Calibri" w:cs="Calibri"/>
              </w:rPr>
            </w:pPr>
            <w:r w:rsidRPr="0032053E">
              <w:rPr>
                <w:rFonts w:ascii="Calibri" w:hAnsi="Calibri" w:cs="Calibri"/>
              </w:rPr>
              <w:t>IRC 1446(f)</w:t>
            </w:r>
          </w:p>
        </w:tc>
        <w:tc>
          <w:tcPr>
            <w:tcW w:w="1524" w:type="dxa"/>
            <w:shd w:val="clear" w:color="auto" w:fill="auto"/>
            <w:vAlign w:val="center"/>
          </w:tcPr>
          <w:p w:rsidR="0065166D" w:rsidRPr="0032053E" w:rsidP="00606FDF" w14:paraId="60DE2E5C" w14:textId="1E057425">
            <w:pPr>
              <w:pStyle w:val="SupportingStatementSTANDARD"/>
              <w:ind w:left="0" w:firstLine="0"/>
              <w:jc w:val="center"/>
              <w:rPr>
                <w:rFonts w:ascii="Calibri" w:hAnsi="Calibri" w:cs="Calibri"/>
              </w:rPr>
            </w:pPr>
            <w:r w:rsidRPr="0032053E">
              <w:rPr>
                <w:rFonts w:ascii="Calibri" w:hAnsi="Calibri" w:cs="Calibri"/>
              </w:rPr>
              <w:t>76,000</w:t>
            </w:r>
          </w:p>
        </w:tc>
        <w:tc>
          <w:tcPr>
            <w:tcW w:w="1433" w:type="dxa"/>
            <w:shd w:val="clear" w:color="auto" w:fill="auto"/>
            <w:vAlign w:val="center"/>
          </w:tcPr>
          <w:p w:rsidR="0065166D" w:rsidRPr="0032053E" w:rsidP="00606FDF" w14:paraId="46A57536" w14:textId="77777777">
            <w:pPr>
              <w:pStyle w:val="SupportingStatementSTANDARD"/>
              <w:ind w:left="0" w:firstLine="0"/>
              <w:jc w:val="center"/>
              <w:rPr>
                <w:rFonts w:ascii="Calibri" w:hAnsi="Calibri" w:cs="Calibri"/>
              </w:rPr>
            </w:pPr>
            <w:r w:rsidRPr="0032053E">
              <w:rPr>
                <w:rFonts w:ascii="Calibri" w:hAnsi="Calibri" w:cs="Calibri"/>
              </w:rPr>
              <w:t>1</w:t>
            </w:r>
          </w:p>
        </w:tc>
        <w:tc>
          <w:tcPr>
            <w:tcW w:w="1414" w:type="dxa"/>
            <w:shd w:val="clear" w:color="auto" w:fill="auto"/>
            <w:vAlign w:val="center"/>
          </w:tcPr>
          <w:p w:rsidR="0065166D" w:rsidRPr="0032053E" w:rsidP="00606FDF" w14:paraId="548E60C6" w14:textId="3397D265">
            <w:pPr>
              <w:pStyle w:val="SupportingStatementSTANDARD"/>
              <w:ind w:left="0" w:firstLine="0"/>
              <w:jc w:val="center"/>
              <w:rPr>
                <w:rFonts w:ascii="Calibri" w:hAnsi="Calibri" w:cs="Calibri"/>
              </w:rPr>
            </w:pPr>
            <w:r w:rsidRPr="0032053E">
              <w:rPr>
                <w:rFonts w:ascii="Calibri" w:hAnsi="Calibri" w:cs="Calibri"/>
              </w:rPr>
              <w:t>76,000</w:t>
            </w:r>
          </w:p>
        </w:tc>
        <w:tc>
          <w:tcPr>
            <w:tcW w:w="1324" w:type="dxa"/>
            <w:shd w:val="clear" w:color="auto" w:fill="auto"/>
            <w:vAlign w:val="center"/>
          </w:tcPr>
          <w:p w:rsidR="0065166D" w:rsidRPr="0032053E" w:rsidP="00606FDF" w14:paraId="752362B2" w14:textId="3255C14F">
            <w:pPr>
              <w:pStyle w:val="SupportingStatementSTANDARD"/>
              <w:ind w:left="0" w:firstLine="0"/>
              <w:jc w:val="center"/>
              <w:rPr>
                <w:rFonts w:ascii="Calibri" w:hAnsi="Calibri" w:cs="Calibri"/>
              </w:rPr>
            </w:pPr>
            <w:r w:rsidRPr="0032053E">
              <w:rPr>
                <w:rFonts w:ascii="Calibri" w:hAnsi="Calibri" w:cs="Calibri"/>
              </w:rPr>
              <w:t>.67</w:t>
            </w:r>
          </w:p>
        </w:tc>
        <w:tc>
          <w:tcPr>
            <w:tcW w:w="1231" w:type="dxa"/>
            <w:shd w:val="clear" w:color="auto" w:fill="auto"/>
            <w:vAlign w:val="center"/>
          </w:tcPr>
          <w:p w:rsidR="0065166D" w:rsidRPr="0032053E" w:rsidP="00606FDF" w14:paraId="698E2D8A" w14:textId="189A5860">
            <w:pPr>
              <w:pStyle w:val="SupportingStatementSTANDARD"/>
              <w:ind w:left="0" w:firstLine="0"/>
              <w:jc w:val="center"/>
              <w:rPr>
                <w:rFonts w:ascii="Calibri" w:hAnsi="Calibri" w:cs="Calibri"/>
              </w:rPr>
            </w:pPr>
            <w:r w:rsidRPr="0032053E">
              <w:rPr>
                <w:rFonts w:ascii="Calibri" w:hAnsi="Calibri" w:cs="Calibri"/>
              </w:rPr>
              <w:t>50,920</w:t>
            </w:r>
          </w:p>
        </w:tc>
      </w:tr>
      <w:tr w14:paraId="67F49491" w14:textId="77777777" w:rsidTr="00302691">
        <w:tblPrEx>
          <w:tblW w:w="0" w:type="auto"/>
          <w:tblInd w:w="720" w:type="dxa"/>
          <w:tblLook w:val="04A0"/>
        </w:tblPrEx>
        <w:trPr>
          <w:trHeight w:val="557"/>
        </w:trPr>
        <w:tc>
          <w:tcPr>
            <w:tcW w:w="1704" w:type="dxa"/>
            <w:shd w:val="clear" w:color="auto" w:fill="auto"/>
            <w:vAlign w:val="center"/>
          </w:tcPr>
          <w:p w:rsidR="008739D6" w:rsidRPr="0032053E" w:rsidP="00606FDF" w14:paraId="411D53B2" w14:textId="77777777">
            <w:pPr>
              <w:pStyle w:val="SupportingStatementSTANDARD"/>
              <w:ind w:left="0" w:firstLine="0"/>
              <w:rPr>
                <w:rFonts w:ascii="Calibri" w:hAnsi="Calibri" w:cs="Calibri"/>
              </w:rPr>
            </w:pPr>
            <w:r w:rsidRPr="0032053E">
              <w:rPr>
                <w:rFonts w:ascii="Calibri" w:hAnsi="Calibri" w:cs="Calibri"/>
              </w:rPr>
              <w:t>TOTALS</w:t>
            </w:r>
          </w:p>
        </w:tc>
        <w:tc>
          <w:tcPr>
            <w:tcW w:w="1524" w:type="dxa"/>
            <w:shd w:val="clear" w:color="auto" w:fill="auto"/>
            <w:vAlign w:val="center"/>
          </w:tcPr>
          <w:p w:rsidR="008739D6" w:rsidRPr="0032053E" w:rsidP="00606FDF" w14:paraId="1D20A6FD" w14:textId="6E744AD6">
            <w:pPr>
              <w:pStyle w:val="SupportingStatementSTANDARD"/>
              <w:ind w:left="0" w:firstLine="0"/>
              <w:jc w:val="center"/>
              <w:rPr>
                <w:rFonts w:ascii="Calibri" w:hAnsi="Calibri" w:cs="Calibri"/>
              </w:rPr>
            </w:pPr>
            <w:r w:rsidRPr="0032053E">
              <w:rPr>
                <w:rFonts w:ascii="Calibri" w:hAnsi="Calibri" w:cs="Calibri"/>
              </w:rPr>
              <w:t>76,000</w:t>
            </w:r>
          </w:p>
        </w:tc>
        <w:tc>
          <w:tcPr>
            <w:tcW w:w="1433" w:type="dxa"/>
            <w:shd w:val="clear" w:color="auto" w:fill="auto"/>
            <w:vAlign w:val="center"/>
          </w:tcPr>
          <w:p w:rsidR="008739D6" w:rsidRPr="0032053E" w:rsidP="00606FDF" w14:paraId="08B2EACA" w14:textId="77777777">
            <w:pPr>
              <w:pStyle w:val="SupportingStatementSTANDARD"/>
              <w:ind w:left="0" w:firstLine="0"/>
              <w:jc w:val="center"/>
              <w:rPr>
                <w:rFonts w:ascii="Calibri" w:hAnsi="Calibri" w:cs="Calibri"/>
              </w:rPr>
            </w:pPr>
          </w:p>
        </w:tc>
        <w:tc>
          <w:tcPr>
            <w:tcW w:w="1414" w:type="dxa"/>
            <w:shd w:val="clear" w:color="auto" w:fill="auto"/>
            <w:vAlign w:val="center"/>
          </w:tcPr>
          <w:p w:rsidR="008739D6" w:rsidRPr="0032053E" w:rsidP="00606FDF" w14:paraId="52E607AC" w14:textId="5924AFB9">
            <w:pPr>
              <w:pStyle w:val="SupportingStatementSTANDARD"/>
              <w:ind w:left="0" w:firstLine="0"/>
              <w:jc w:val="center"/>
              <w:rPr>
                <w:rFonts w:ascii="Calibri" w:hAnsi="Calibri" w:cs="Calibri"/>
              </w:rPr>
            </w:pPr>
            <w:r w:rsidRPr="0032053E">
              <w:rPr>
                <w:rFonts w:ascii="Calibri" w:hAnsi="Calibri" w:cs="Calibri"/>
              </w:rPr>
              <w:t>76,000</w:t>
            </w:r>
          </w:p>
        </w:tc>
        <w:tc>
          <w:tcPr>
            <w:tcW w:w="1324" w:type="dxa"/>
            <w:shd w:val="clear" w:color="auto" w:fill="auto"/>
            <w:vAlign w:val="center"/>
          </w:tcPr>
          <w:p w:rsidR="008739D6" w:rsidRPr="0032053E" w:rsidP="00606FDF" w14:paraId="5DC1257A" w14:textId="77777777">
            <w:pPr>
              <w:pStyle w:val="SupportingStatementSTANDARD"/>
              <w:ind w:left="0" w:firstLine="0"/>
              <w:jc w:val="center"/>
              <w:rPr>
                <w:rFonts w:ascii="Calibri" w:hAnsi="Calibri" w:cs="Calibri"/>
              </w:rPr>
            </w:pPr>
          </w:p>
        </w:tc>
        <w:tc>
          <w:tcPr>
            <w:tcW w:w="1231" w:type="dxa"/>
            <w:shd w:val="clear" w:color="auto" w:fill="auto"/>
            <w:vAlign w:val="center"/>
          </w:tcPr>
          <w:p w:rsidR="008739D6" w:rsidRPr="0032053E" w:rsidP="00606FDF" w14:paraId="55C7AAE9" w14:textId="56260F0D">
            <w:pPr>
              <w:pStyle w:val="SupportingStatementSTANDARD"/>
              <w:ind w:left="0" w:firstLine="0"/>
              <w:jc w:val="center"/>
              <w:rPr>
                <w:rFonts w:ascii="Calibri" w:hAnsi="Calibri" w:cs="Calibri"/>
              </w:rPr>
            </w:pPr>
            <w:r w:rsidRPr="0032053E">
              <w:rPr>
                <w:rFonts w:ascii="Calibri" w:hAnsi="Calibri" w:cs="Calibri"/>
              </w:rPr>
              <w:t>50,920</w:t>
            </w:r>
          </w:p>
        </w:tc>
      </w:tr>
    </w:tbl>
    <w:p w:rsidR="0065166D" w:rsidRPr="008569BE" w:rsidP="0065166D" w14:paraId="2CF47C68" w14:textId="77777777">
      <w:pPr>
        <w:pStyle w:val="SupportingStatementSTANDARD"/>
        <w:rPr>
          <w:rFonts w:asciiTheme="minorHAnsi" w:hAnsiTheme="minorHAnsi" w:cstheme="minorHAnsi"/>
        </w:rPr>
      </w:pPr>
    </w:p>
    <w:p w:rsidR="0065166D" w:rsidRPr="008569BE" w:rsidP="0065166D" w14:paraId="3A5573AE" w14:textId="08EB6598">
      <w:pPr>
        <w:pStyle w:val="SupportingStatementSTANDARD"/>
        <w:tabs>
          <w:tab w:val="clear" w:pos="720"/>
        </w:tabs>
        <w:ind w:firstLine="0"/>
        <w:rPr>
          <w:rFonts w:asciiTheme="minorHAnsi" w:hAnsiTheme="minorHAnsi" w:cstheme="minorHAnsi"/>
        </w:rPr>
      </w:pPr>
      <w:r w:rsidRPr="008569BE">
        <w:rPr>
          <w:rFonts w:asciiTheme="minorHAnsi" w:hAnsiTheme="minorHAnsi" w:cstheme="minorHAnsi"/>
        </w:rPr>
        <w:t>Please continue to assign OMB number 1545-</w:t>
      </w:r>
      <w:r w:rsidR="005F2D11">
        <w:rPr>
          <w:rFonts w:asciiTheme="minorHAnsi" w:hAnsiTheme="minorHAnsi" w:cstheme="minorHAnsi"/>
        </w:rPr>
        <w:t>2292</w:t>
      </w:r>
      <w:r w:rsidRPr="008569BE">
        <w:rPr>
          <w:rFonts w:asciiTheme="minorHAnsi" w:hAnsiTheme="minorHAnsi" w:cstheme="minorHAnsi"/>
        </w:rPr>
        <w:t xml:space="preserve"> to these regulations.</w:t>
      </w:r>
    </w:p>
    <w:p w:rsidR="00AF00F5" w:rsidRPr="008569BE" w:rsidP="0065166D" w14:paraId="6DA0DF19" w14:textId="77777777">
      <w:pPr>
        <w:pStyle w:val="SupportingStatementSTANDARD"/>
        <w:tabs>
          <w:tab w:val="clear" w:pos="720"/>
        </w:tabs>
        <w:ind w:firstLine="0"/>
        <w:rPr>
          <w:rFonts w:asciiTheme="minorHAnsi" w:hAnsiTheme="minorHAnsi" w:cstheme="minorHAnsi"/>
        </w:rPr>
      </w:pPr>
    </w:p>
    <w:p w:rsidR="0065166D" w:rsidRPr="008569BE" w:rsidP="0065166D" w14:paraId="7B43A224" w14:textId="0E57DF50">
      <w:pPr>
        <w:pStyle w:val="SupportingStatementSTANDARD"/>
        <w:tabs>
          <w:tab w:val="clear" w:pos="720"/>
        </w:tabs>
        <w:ind w:firstLine="0"/>
        <w:rPr>
          <w:rFonts w:asciiTheme="minorHAnsi" w:hAnsiTheme="minorHAnsi" w:cstheme="minorHAnsi"/>
        </w:rPr>
      </w:pPr>
      <w:r w:rsidRPr="008569BE">
        <w:rPr>
          <w:rFonts w:asciiTheme="minorHAnsi" w:hAnsiTheme="minorHAnsi" w:cstheme="minorHAnsi"/>
        </w:rPr>
        <w:t>1.864(c)(8)–2</w:t>
      </w:r>
      <w:r w:rsidRPr="008569BE">
        <w:rPr>
          <w:rFonts w:asciiTheme="minorHAnsi" w:hAnsiTheme="minorHAnsi" w:cstheme="minorHAnsi"/>
        </w:rPr>
        <w:tab/>
      </w:r>
      <w:r w:rsidRPr="008569BE">
        <w:rPr>
          <w:rFonts w:asciiTheme="minorHAnsi" w:hAnsiTheme="minorHAnsi" w:cstheme="minorHAnsi"/>
        </w:rPr>
        <w:tab/>
      </w:r>
      <w:r w:rsidRPr="008569BE">
        <w:rPr>
          <w:rFonts w:asciiTheme="minorHAnsi" w:hAnsiTheme="minorHAnsi" w:cstheme="minorHAnsi"/>
        </w:rPr>
        <w:tab/>
        <w:t>1.1446(f)–2 through -4</w:t>
      </w:r>
    </w:p>
    <w:p w:rsidR="0065166D" w:rsidRPr="008569BE" w:rsidP="00D5785F" w14:paraId="6CB0274D" w14:textId="77777777">
      <w:pPr>
        <w:pStyle w:val="Level1"/>
        <w:numPr>
          <w:ilvl w:val="0"/>
          <w:numId w:val="0"/>
        </w:numPr>
        <w:tabs>
          <w:tab w:val="left" w:pos="-1440"/>
        </w:tabs>
        <w:rPr>
          <w:rFonts w:asciiTheme="minorHAnsi" w:hAnsiTheme="minorHAnsi" w:cstheme="minorHAnsi"/>
          <w:b/>
          <w:u w:val="single"/>
        </w:rPr>
      </w:pPr>
    </w:p>
    <w:p w:rsidR="00721EB2" w:rsidRPr="008569BE" w:rsidP="00D5785F" w14:paraId="3CE0A84A" w14:textId="77777777">
      <w:pPr>
        <w:pStyle w:val="Level1"/>
        <w:tabs>
          <w:tab w:val="left" w:pos="-1440"/>
        </w:tabs>
        <w:rPr>
          <w:rFonts w:asciiTheme="minorHAnsi" w:hAnsiTheme="minorHAnsi" w:cstheme="minorHAnsi"/>
          <w:bCs/>
        </w:rPr>
      </w:pPr>
      <w:r w:rsidRPr="008569BE">
        <w:rPr>
          <w:rFonts w:asciiTheme="minorHAnsi" w:hAnsiTheme="minorHAnsi" w:cstheme="minorHAnsi"/>
          <w:bCs/>
          <w:u w:val="single"/>
        </w:rPr>
        <w:t>ESTIMATED TOTAL ANNUAL COST BURDEN TO RESPONDENTS</w:t>
      </w:r>
    </w:p>
    <w:p w:rsidR="00721EB2" w:rsidRPr="008569BE" w14:paraId="11A4E757" w14:textId="77777777">
      <w:pPr>
        <w:rPr>
          <w:rFonts w:asciiTheme="minorHAnsi" w:hAnsiTheme="minorHAnsi" w:cstheme="minorHAnsi"/>
        </w:rPr>
      </w:pPr>
    </w:p>
    <w:p w:rsidR="00CE6A35" w:rsidP="00CE6A35" w14:paraId="0BC2ADE8" w14:textId="03368B49">
      <w:pPr>
        <w:ind w:left="720"/>
        <w:rPr>
          <w:rFonts w:ascii="Calibri" w:hAnsi="Calibri"/>
          <w:sz w:val="22"/>
          <w:szCs w:val="22"/>
        </w:rPr>
      </w:pPr>
      <w:r>
        <w:rPr>
          <w:rFonts w:ascii="Calibri" w:hAnsi="Calibri"/>
          <w:sz w:val="22"/>
          <w:szCs w:val="22"/>
        </w:rPr>
        <w:t xml:space="preserve">From our Federal Register notice, dated August </w:t>
      </w:r>
      <w:r w:rsidR="00E01D88">
        <w:rPr>
          <w:rFonts w:ascii="Calibri" w:hAnsi="Calibri"/>
          <w:sz w:val="22"/>
          <w:szCs w:val="22"/>
        </w:rPr>
        <w:t>11</w:t>
      </w:r>
      <w:r>
        <w:rPr>
          <w:rFonts w:ascii="Calibri" w:hAnsi="Calibri"/>
          <w:sz w:val="22"/>
          <w:szCs w:val="22"/>
        </w:rPr>
        <w:t xml:space="preserve">, </w:t>
      </w:r>
      <w:r w:rsidRPr="00DB44B8">
        <w:rPr>
          <w:rFonts w:ascii="Calibri" w:hAnsi="Calibri"/>
          <w:sz w:val="22"/>
          <w:szCs w:val="22"/>
        </w:rPr>
        <w:t>2023,</w:t>
      </w:r>
      <w:r>
        <w:rPr>
          <w:rFonts w:ascii="Calibri" w:hAnsi="Calibri"/>
          <w:sz w:val="22"/>
          <w:szCs w:val="22"/>
        </w:rPr>
        <w:t xml:space="preserve">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costs. </w:t>
      </w:r>
    </w:p>
    <w:p w:rsidR="00142482" w:rsidRPr="008569BE" w:rsidP="00AF00F5" w14:paraId="5D613843" w14:textId="11FF573E">
      <w:pPr>
        <w:ind w:left="720"/>
        <w:rPr>
          <w:rFonts w:asciiTheme="minorHAnsi" w:hAnsiTheme="minorHAnsi" w:cstheme="minorHAnsi"/>
        </w:rPr>
      </w:pPr>
    </w:p>
    <w:p w:rsidR="00721EB2" w:rsidRPr="008569BE" w14:paraId="3B33747F" w14:textId="77777777">
      <w:pPr>
        <w:rPr>
          <w:rFonts w:asciiTheme="minorHAnsi" w:hAnsiTheme="minorHAnsi" w:cstheme="minorHAnsi"/>
        </w:rPr>
      </w:pPr>
    </w:p>
    <w:p w:rsidR="00721EB2" w:rsidRPr="008569BE" w14:paraId="4008F03F"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ESTIMATED ANNUALIZED COST TO THE FEDERAL GOVERNMENT</w:t>
      </w:r>
    </w:p>
    <w:p w:rsidR="00721EB2" w:rsidRPr="008569BE" w14:paraId="31F57EFF" w14:textId="77777777">
      <w:pPr>
        <w:rPr>
          <w:rFonts w:asciiTheme="minorHAnsi" w:hAnsiTheme="minorHAnsi" w:cstheme="minorHAnsi"/>
          <w:b/>
        </w:rPr>
      </w:pPr>
    </w:p>
    <w:p w:rsidR="00225AB7" w:rsidP="0023406D" w14:paraId="7999AE4C" w14:textId="09398453">
      <w:pPr>
        <w:ind w:left="720"/>
        <w:rPr>
          <w:rFonts w:ascii="Calibri" w:hAnsi="Calibri"/>
          <w:sz w:val="22"/>
          <w:szCs w:val="22"/>
        </w:rPr>
      </w:pPr>
      <w:r>
        <w:rPr>
          <w:rFonts w:ascii="Calibri" w:hAnsi="Calibri"/>
          <w:sz w:val="22"/>
          <w:szCs w:val="22"/>
        </w:rPr>
        <w:t>Th</w:t>
      </w:r>
      <w:r>
        <w:rPr>
          <w:rFonts w:ascii="Calibri" w:hAnsi="Calibri"/>
          <w:sz w:val="22"/>
          <w:szCs w:val="22"/>
        </w:rPr>
        <w:t xml:space="preserve">ere is no cost to the government for these third-party disclosures and recordkeeping requirements. </w:t>
      </w:r>
    </w:p>
    <w:p w:rsidR="0023406D" w:rsidRPr="008569BE" w:rsidP="0023406D" w14:paraId="3215DBDF" w14:textId="136F3EC8">
      <w:pPr>
        <w:ind w:left="720"/>
        <w:rPr>
          <w:rFonts w:asciiTheme="minorHAnsi" w:hAnsiTheme="minorHAnsi" w:cstheme="minorHAnsi"/>
        </w:rPr>
      </w:pPr>
    </w:p>
    <w:p w:rsidR="0023406D" w:rsidRPr="008569BE" w:rsidP="0023406D" w14:paraId="0BA0CEAF" w14:textId="77777777">
      <w:pPr>
        <w:rPr>
          <w:rFonts w:asciiTheme="minorHAnsi" w:hAnsiTheme="minorHAnsi" w:cstheme="minorHAnsi"/>
          <w:bCs/>
        </w:rPr>
      </w:pPr>
    </w:p>
    <w:p w:rsidR="00721EB2" w:rsidRPr="008569BE" w14:paraId="3325CCCB"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REASONS FOR CHANGE IN BURDEN</w:t>
      </w:r>
    </w:p>
    <w:p w:rsidR="00721EB2" w:rsidRPr="008569BE" w14:paraId="4C2E4A95" w14:textId="77777777">
      <w:pPr>
        <w:rPr>
          <w:rFonts w:asciiTheme="minorHAnsi" w:hAnsiTheme="minorHAnsi" w:cstheme="minorHAnsi"/>
          <w:b/>
        </w:rPr>
      </w:pPr>
    </w:p>
    <w:p w:rsidR="003A58B2" w:rsidRPr="003A58B2" w:rsidP="003A58B2" w14:paraId="7CAB96F8" w14:textId="77777777">
      <w:pPr>
        <w:ind w:left="720"/>
        <w:rPr>
          <w:rFonts w:ascii="Calibri" w:hAnsi="Calibri" w:cs="Calibri"/>
        </w:rPr>
      </w:pPr>
      <w:r w:rsidRPr="003A58B2">
        <w:rPr>
          <w:rFonts w:ascii="Calibri" w:hAnsi="Calibri" w:cs="Calibri"/>
        </w:rPr>
        <w:t xml:space="preserve">There is no change in the paperwork burden previously approved by OMB. We are making this submission to renew the OMB approval. </w:t>
      </w:r>
    </w:p>
    <w:p w:rsidR="006874A7" w:rsidRPr="008569BE" w14:paraId="4A431B37" w14:textId="77777777">
      <w:pPr>
        <w:rPr>
          <w:rFonts w:asciiTheme="minorHAnsi" w:hAnsiTheme="minorHAnsi" w:cstheme="minorHAnsi"/>
        </w:rPr>
      </w:pPr>
    </w:p>
    <w:p w:rsidR="00721EB2" w:rsidRPr="008569BE" w14:paraId="7A3BA781"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PLANS FOR TABULATION, STATISTICAL ANALYSIS AND PUBLICATION</w:t>
      </w:r>
    </w:p>
    <w:p w:rsidR="00721EB2" w:rsidRPr="008569BE" w14:paraId="5D95FF04" w14:textId="77777777">
      <w:pPr>
        <w:rPr>
          <w:rFonts w:asciiTheme="minorHAnsi" w:hAnsiTheme="minorHAnsi" w:cstheme="minorHAnsi"/>
          <w:bCs/>
        </w:rPr>
      </w:pPr>
    </w:p>
    <w:p w:rsidR="00721EB2" w:rsidRPr="008569BE" w14:paraId="5E651FBB" w14:textId="77777777">
      <w:pPr>
        <w:ind w:left="720"/>
        <w:rPr>
          <w:rFonts w:asciiTheme="minorHAnsi" w:hAnsiTheme="minorHAnsi" w:cstheme="minorHAnsi"/>
          <w:bCs/>
        </w:rPr>
      </w:pPr>
      <w:r w:rsidRPr="008569BE">
        <w:rPr>
          <w:rFonts w:asciiTheme="minorHAnsi" w:hAnsiTheme="minorHAnsi" w:cstheme="minorHAnsi"/>
          <w:bCs/>
        </w:rPr>
        <w:t>There are no plans for tabulation, statistical analysis and publication.</w:t>
      </w:r>
    </w:p>
    <w:p w:rsidR="00721EB2" w:rsidRPr="008569BE" w14:paraId="687F3C9F" w14:textId="77777777">
      <w:pPr>
        <w:rPr>
          <w:rFonts w:asciiTheme="minorHAnsi" w:hAnsiTheme="minorHAnsi" w:cstheme="minorHAnsi"/>
          <w:bCs/>
        </w:rPr>
      </w:pPr>
    </w:p>
    <w:p w:rsidR="00721EB2" w:rsidRPr="008569BE" w14:paraId="74458AFB" w14:textId="05FBFAD3">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REASONS WHY DISPLAYING THE OMB EXPIRATION DATE IS</w:t>
      </w:r>
      <w:r w:rsidR="000A6E95">
        <w:rPr>
          <w:rFonts w:asciiTheme="minorHAnsi" w:hAnsiTheme="minorHAnsi" w:cstheme="minorHAnsi"/>
          <w:bCs/>
          <w:u w:val="single"/>
        </w:rPr>
        <w:t xml:space="preserve"> </w:t>
      </w:r>
      <w:r w:rsidRPr="008569BE">
        <w:rPr>
          <w:rFonts w:asciiTheme="minorHAnsi" w:hAnsiTheme="minorHAnsi" w:cstheme="minorHAnsi"/>
          <w:bCs/>
          <w:u w:val="single"/>
        </w:rPr>
        <w:t>INAPPROPRIATE</w:t>
      </w:r>
    </w:p>
    <w:p w:rsidR="00721EB2" w:rsidRPr="008569BE" w14:paraId="2AF1BC9D" w14:textId="77777777">
      <w:pPr>
        <w:rPr>
          <w:rFonts w:asciiTheme="minorHAnsi" w:hAnsiTheme="minorHAnsi" w:cstheme="minorHAnsi"/>
          <w:bCs/>
        </w:rPr>
      </w:pPr>
    </w:p>
    <w:p w:rsidR="00721EB2" w:rsidRPr="008569BE" w14:paraId="16DDAF93" w14:textId="554A5C9F">
      <w:pPr>
        <w:ind w:left="720"/>
        <w:rPr>
          <w:rFonts w:asciiTheme="minorHAnsi" w:hAnsiTheme="minorHAnsi" w:cstheme="minorHAnsi"/>
          <w:bCs/>
        </w:rPr>
      </w:pPr>
      <w:r w:rsidRPr="008569BE">
        <w:rPr>
          <w:rFonts w:asciiTheme="minorHAnsi" w:hAnsiTheme="minorHAnsi" w:cstheme="minorHAnsi"/>
          <w:bCs/>
        </w:rPr>
        <w:t xml:space="preserve">We believe that displaying the OMB expiration date is inappropriate because it could cause confusion by leading taxpayers to believe that the regulation sunsets as of the expiration date.  Taxpayers are not likely to be aware that the </w:t>
      </w:r>
      <w:r w:rsidR="00F64593">
        <w:rPr>
          <w:rFonts w:asciiTheme="minorHAnsi" w:hAnsiTheme="minorHAnsi" w:cstheme="minorHAnsi"/>
          <w:bCs/>
        </w:rPr>
        <w:t>IRS</w:t>
      </w:r>
      <w:r w:rsidRPr="008569BE">
        <w:rPr>
          <w:rFonts w:asciiTheme="minorHAnsi" w:hAnsiTheme="minorHAnsi" w:cstheme="minorHAnsi"/>
          <w:bCs/>
        </w:rPr>
        <w:t xml:space="preserve"> intends to request renewal of the OMB approval and obtain a new expiration date before the old one expires.</w:t>
      </w:r>
    </w:p>
    <w:p w:rsidR="00721EB2" w:rsidRPr="008569BE" w14:paraId="51A55A64" w14:textId="77777777">
      <w:pPr>
        <w:rPr>
          <w:rFonts w:asciiTheme="minorHAnsi" w:hAnsiTheme="minorHAnsi" w:cstheme="minorHAnsi"/>
          <w:bCs/>
        </w:rPr>
      </w:pPr>
    </w:p>
    <w:p w:rsidR="00721EB2" w:rsidRPr="008569BE" w14:paraId="4F898CD0" w14:textId="77777777">
      <w:pPr>
        <w:pStyle w:val="Level1"/>
        <w:tabs>
          <w:tab w:val="left" w:pos="-1440"/>
          <w:tab w:val="num" w:pos="720"/>
        </w:tabs>
        <w:rPr>
          <w:rFonts w:asciiTheme="minorHAnsi" w:hAnsiTheme="minorHAnsi" w:cstheme="minorHAnsi"/>
          <w:bCs/>
        </w:rPr>
      </w:pPr>
      <w:r w:rsidRPr="008569BE">
        <w:rPr>
          <w:rFonts w:asciiTheme="minorHAnsi" w:hAnsiTheme="minorHAnsi" w:cstheme="minorHAnsi"/>
          <w:bCs/>
          <w:u w:val="single"/>
        </w:rPr>
        <w:t>EXCEPTIONS TO THE CERTIFICATION STATEMENT</w:t>
      </w:r>
    </w:p>
    <w:p w:rsidR="00721EB2" w:rsidRPr="008569BE" w14:paraId="6AEBE346" w14:textId="77777777">
      <w:pPr>
        <w:rPr>
          <w:rFonts w:asciiTheme="minorHAnsi" w:hAnsiTheme="minorHAnsi" w:cstheme="minorHAnsi"/>
        </w:rPr>
      </w:pPr>
    </w:p>
    <w:p w:rsidR="00721EB2" w:rsidRPr="008569BE" w14:paraId="767ADADB" w14:textId="77777777">
      <w:pPr>
        <w:ind w:left="720"/>
        <w:rPr>
          <w:rFonts w:asciiTheme="minorHAnsi" w:hAnsiTheme="minorHAnsi" w:cstheme="minorHAnsi"/>
        </w:rPr>
      </w:pPr>
      <w:r w:rsidRPr="008569BE">
        <w:rPr>
          <w:rFonts w:asciiTheme="minorHAnsi" w:hAnsiTheme="minorHAnsi" w:cstheme="minorHAnsi"/>
        </w:rPr>
        <w:t>There are no exceptions to the certification statement.</w:t>
      </w:r>
    </w:p>
    <w:p w:rsidR="00721EB2" w:rsidRPr="008569BE" w14:paraId="622AE916" w14:textId="77777777">
      <w:pPr>
        <w:rPr>
          <w:rFonts w:asciiTheme="minorHAnsi" w:hAnsiTheme="minorHAnsi" w:cstheme="minorHAnsi"/>
        </w:rPr>
      </w:pPr>
    </w:p>
    <w:p w:rsidR="00721EB2" w:rsidRPr="008569BE" w:rsidP="0093328D" w14:paraId="233CCFA1" w14:textId="1365C660">
      <w:pPr>
        <w:ind w:left="720"/>
        <w:rPr>
          <w:rFonts w:asciiTheme="minorHAnsi" w:hAnsiTheme="minorHAnsi" w:cstheme="minorHAnsi"/>
        </w:rPr>
      </w:pPr>
      <w:r w:rsidRPr="008569BE">
        <w:rPr>
          <w:rFonts w:asciiTheme="minorHAnsi" w:hAnsiTheme="minorHAnsi" w:cstheme="minorHAnsi"/>
          <w:bCs/>
          <w:u w:val="single"/>
        </w:rPr>
        <w:t>Note</w:t>
      </w:r>
      <w:r w:rsidRPr="008569BE">
        <w:rPr>
          <w:rFonts w:asciiTheme="minorHAnsi" w:hAnsiTheme="minorHAnsi" w:cstheme="minorHAnsi"/>
          <w:u w:val="single"/>
        </w:rPr>
        <w:t>:</w:t>
      </w:r>
      <w:r w:rsidRPr="008569BE">
        <w:rPr>
          <w:rFonts w:asciiTheme="minorHAnsi" w:hAnsiTheme="minorHAnsi" w:cstheme="minorHAnsi"/>
        </w:rPr>
        <w:t xml:space="preserve">   The following paragraph applies to </w:t>
      </w:r>
      <w:r w:rsidRPr="008569BE" w:rsidR="006874A7">
        <w:rPr>
          <w:rFonts w:asciiTheme="minorHAnsi" w:hAnsiTheme="minorHAnsi" w:cstheme="minorHAnsi"/>
        </w:rPr>
        <w:t>all</w:t>
      </w:r>
      <w:r w:rsidRPr="008569BE">
        <w:rPr>
          <w:rFonts w:asciiTheme="minorHAnsi" w:hAnsiTheme="minorHAnsi" w:cstheme="minorHAnsi"/>
        </w:rPr>
        <w:t xml:space="preserve"> the collections of information in this submission:</w:t>
      </w:r>
    </w:p>
    <w:p w:rsidR="00721EB2" w:rsidRPr="008569BE" w14:paraId="6EF616C5" w14:textId="77777777">
      <w:pPr>
        <w:rPr>
          <w:rFonts w:asciiTheme="minorHAnsi" w:hAnsiTheme="minorHAnsi" w:cstheme="minorHAnsi"/>
        </w:rPr>
      </w:pPr>
    </w:p>
    <w:p w:rsidR="00721EB2" w:rsidRPr="008569BE" w:rsidP="0093328D" w14:paraId="71D4881D" w14:textId="13796948">
      <w:pPr>
        <w:ind w:left="720"/>
        <w:rPr>
          <w:rFonts w:asciiTheme="minorHAnsi" w:hAnsiTheme="minorHAnsi" w:cstheme="minorHAnsi"/>
        </w:rPr>
      </w:pPr>
      <w:r w:rsidRPr="008569BE">
        <w:rPr>
          <w:rFonts w:asciiTheme="minorHAnsi" w:hAnsiTheme="minorHAnsi" w:cstheme="min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8569BE" w:rsidR="006874A7">
        <w:rPr>
          <w:rFonts w:asciiTheme="minorHAnsi" w:hAnsiTheme="minorHAnsi" w:cstheme="minorHAnsi"/>
        </w:rPr>
        <w:t>if</w:t>
      </w:r>
      <w:r w:rsidRPr="008569BE">
        <w:rPr>
          <w:rFonts w:asciiTheme="minorHAnsi" w:hAnsiTheme="minorHAnsi" w:cstheme="minorHAnsi"/>
        </w:rPr>
        <w:t xml:space="preserve"> their contents may become material in the administration of any internal revenue law.  Generally, tax returns and tax return information are confidential, as required by 26 U.S.C. 6103.</w:t>
      </w:r>
    </w:p>
    <w:sectPr w:rsidSect="00721EB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A2A" w14:paraId="58056A81" w14:textId="185DA495">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rsidR="00646A2A" w14:paraId="62D3C8C1" w14:textId="77777777"/>
  <w:p w:rsidR="00646A2A" w14:paraId="71C9718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9297C68"/>
    <w:multiLevelType w:val="hybridMultilevel"/>
    <w:tmpl w:val="34EA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37357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59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009A0"/>
    <w:rsid w:val="000166A1"/>
    <w:rsid w:val="00026908"/>
    <w:rsid w:val="00033DE3"/>
    <w:rsid w:val="00034D63"/>
    <w:rsid w:val="0005053F"/>
    <w:rsid w:val="000650AF"/>
    <w:rsid w:val="00093FAA"/>
    <w:rsid w:val="00096E1A"/>
    <w:rsid w:val="000A6E95"/>
    <w:rsid w:val="000E1DF1"/>
    <w:rsid w:val="00142482"/>
    <w:rsid w:val="001862B8"/>
    <w:rsid w:val="0019020E"/>
    <w:rsid w:val="001A1400"/>
    <w:rsid w:val="001F4C31"/>
    <w:rsid w:val="002063B0"/>
    <w:rsid w:val="00213D26"/>
    <w:rsid w:val="00215660"/>
    <w:rsid w:val="0022419C"/>
    <w:rsid w:val="002259BC"/>
    <w:rsid w:val="00225AB7"/>
    <w:rsid w:val="0023406D"/>
    <w:rsid w:val="0026031B"/>
    <w:rsid w:val="00266ABE"/>
    <w:rsid w:val="002B70CA"/>
    <w:rsid w:val="002C2E03"/>
    <w:rsid w:val="002D1FE5"/>
    <w:rsid w:val="002D5BEC"/>
    <w:rsid w:val="002F6EF3"/>
    <w:rsid w:val="00302691"/>
    <w:rsid w:val="00311BA0"/>
    <w:rsid w:val="0032053E"/>
    <w:rsid w:val="00321C69"/>
    <w:rsid w:val="003248B3"/>
    <w:rsid w:val="0033287F"/>
    <w:rsid w:val="00352ED3"/>
    <w:rsid w:val="003531A4"/>
    <w:rsid w:val="00367EB9"/>
    <w:rsid w:val="00375697"/>
    <w:rsid w:val="00395DBD"/>
    <w:rsid w:val="003A58B2"/>
    <w:rsid w:val="003B188E"/>
    <w:rsid w:val="003C772C"/>
    <w:rsid w:val="003E7F8E"/>
    <w:rsid w:val="004150D2"/>
    <w:rsid w:val="00434173"/>
    <w:rsid w:val="00437DDC"/>
    <w:rsid w:val="004A26E0"/>
    <w:rsid w:val="004A7933"/>
    <w:rsid w:val="004A7B5D"/>
    <w:rsid w:val="004B2B1F"/>
    <w:rsid w:val="004D6CA1"/>
    <w:rsid w:val="004F00FB"/>
    <w:rsid w:val="004F18E9"/>
    <w:rsid w:val="004F6B01"/>
    <w:rsid w:val="004F6ECA"/>
    <w:rsid w:val="00531E60"/>
    <w:rsid w:val="0053304B"/>
    <w:rsid w:val="00554225"/>
    <w:rsid w:val="00556102"/>
    <w:rsid w:val="00557814"/>
    <w:rsid w:val="0057048C"/>
    <w:rsid w:val="0058773A"/>
    <w:rsid w:val="005B7A20"/>
    <w:rsid w:val="005C1E39"/>
    <w:rsid w:val="005C642C"/>
    <w:rsid w:val="005D2ED7"/>
    <w:rsid w:val="005D79B9"/>
    <w:rsid w:val="005F2D11"/>
    <w:rsid w:val="00600138"/>
    <w:rsid w:val="00606FDF"/>
    <w:rsid w:val="00622CF5"/>
    <w:rsid w:val="00632436"/>
    <w:rsid w:val="00646A2A"/>
    <w:rsid w:val="0065166D"/>
    <w:rsid w:val="00686ACC"/>
    <w:rsid w:val="006874A7"/>
    <w:rsid w:val="00694D96"/>
    <w:rsid w:val="00715860"/>
    <w:rsid w:val="00721EB2"/>
    <w:rsid w:val="007952A8"/>
    <w:rsid w:val="007D0E0A"/>
    <w:rsid w:val="007D4484"/>
    <w:rsid w:val="007F2A0B"/>
    <w:rsid w:val="008569BE"/>
    <w:rsid w:val="00872382"/>
    <w:rsid w:val="008739D6"/>
    <w:rsid w:val="008865EF"/>
    <w:rsid w:val="00892B37"/>
    <w:rsid w:val="008979C3"/>
    <w:rsid w:val="008B0691"/>
    <w:rsid w:val="008B07F5"/>
    <w:rsid w:val="008D5CE7"/>
    <w:rsid w:val="008E0DBB"/>
    <w:rsid w:val="008E4370"/>
    <w:rsid w:val="0091714D"/>
    <w:rsid w:val="00932936"/>
    <w:rsid w:val="0093328D"/>
    <w:rsid w:val="009557E7"/>
    <w:rsid w:val="00963358"/>
    <w:rsid w:val="00994215"/>
    <w:rsid w:val="009A0AA3"/>
    <w:rsid w:val="009A127C"/>
    <w:rsid w:val="009E3755"/>
    <w:rsid w:val="009F1C89"/>
    <w:rsid w:val="00A04792"/>
    <w:rsid w:val="00A27A62"/>
    <w:rsid w:val="00A57DBE"/>
    <w:rsid w:val="00A734BA"/>
    <w:rsid w:val="00A8115C"/>
    <w:rsid w:val="00A821BA"/>
    <w:rsid w:val="00A87EC0"/>
    <w:rsid w:val="00A9081B"/>
    <w:rsid w:val="00A97E61"/>
    <w:rsid w:val="00AA316B"/>
    <w:rsid w:val="00AD023C"/>
    <w:rsid w:val="00AF00F5"/>
    <w:rsid w:val="00AF79CF"/>
    <w:rsid w:val="00B15D86"/>
    <w:rsid w:val="00B33FB6"/>
    <w:rsid w:val="00B3575D"/>
    <w:rsid w:val="00B52522"/>
    <w:rsid w:val="00B62556"/>
    <w:rsid w:val="00B645EA"/>
    <w:rsid w:val="00BA15C0"/>
    <w:rsid w:val="00BA67A2"/>
    <w:rsid w:val="00BB16B6"/>
    <w:rsid w:val="00BE396A"/>
    <w:rsid w:val="00C31CD1"/>
    <w:rsid w:val="00C67134"/>
    <w:rsid w:val="00C71D1B"/>
    <w:rsid w:val="00CA0F9B"/>
    <w:rsid w:val="00CB63F4"/>
    <w:rsid w:val="00CD0DF1"/>
    <w:rsid w:val="00CD6722"/>
    <w:rsid w:val="00CE32AA"/>
    <w:rsid w:val="00CE6A35"/>
    <w:rsid w:val="00D251AA"/>
    <w:rsid w:val="00D417E0"/>
    <w:rsid w:val="00D5785F"/>
    <w:rsid w:val="00D857B6"/>
    <w:rsid w:val="00D96EFD"/>
    <w:rsid w:val="00DA0570"/>
    <w:rsid w:val="00DB44B8"/>
    <w:rsid w:val="00DF10D1"/>
    <w:rsid w:val="00E01D88"/>
    <w:rsid w:val="00E148AF"/>
    <w:rsid w:val="00E278D9"/>
    <w:rsid w:val="00E70582"/>
    <w:rsid w:val="00E826F2"/>
    <w:rsid w:val="00E82807"/>
    <w:rsid w:val="00EB5452"/>
    <w:rsid w:val="00EE00BC"/>
    <w:rsid w:val="00EF4C4B"/>
    <w:rsid w:val="00F10D7C"/>
    <w:rsid w:val="00F23540"/>
    <w:rsid w:val="00F41AFD"/>
    <w:rsid w:val="00F436F6"/>
    <w:rsid w:val="00F55BF1"/>
    <w:rsid w:val="00F64593"/>
    <w:rsid w:val="00F7678B"/>
    <w:rsid w:val="00F81AC2"/>
    <w:rsid w:val="00F847BC"/>
    <w:rsid w:val="00F9091F"/>
    <w:rsid w:val="00F92157"/>
    <w:rsid w:val="00FD0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 w:type="character" w:styleId="UnresolvedMention">
    <w:name w:val="Unresolved Mention"/>
    <w:basedOn w:val="DefaultParagraphFont"/>
    <w:uiPriority w:val="99"/>
    <w:semiHidden/>
    <w:unhideWhenUsed/>
    <w:rsid w:val="00D251AA"/>
    <w:rPr>
      <w:color w:val="605E5C"/>
      <w:shd w:val="clear" w:color="auto" w:fill="E1DFDD"/>
    </w:rPr>
  </w:style>
  <w:style w:type="character" w:styleId="FollowedHyperlink">
    <w:name w:val="FollowedHyperlink"/>
    <w:basedOn w:val="DefaultParagraphFont"/>
    <w:semiHidden/>
    <w:unhideWhenUsed/>
    <w:rsid w:val="00D251AA"/>
    <w:rPr>
      <w:color w:val="800080" w:themeColor="followedHyperlink"/>
      <w:u w:val="single"/>
    </w:rPr>
  </w:style>
  <w:style w:type="paragraph" w:styleId="Revision">
    <w:name w:val="Revision"/>
    <w:hidden/>
    <w:uiPriority w:val="99"/>
    <w:semiHidden/>
    <w:rsid w:val="00622CF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s://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2023-11-21T21:52:00Z</dcterms:created>
  <dcterms:modified xsi:type="dcterms:W3CDTF">2023-11-21T21:52:00Z</dcterms:modified>
</cp:coreProperties>
</file>