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427ED1" w14:paraId="7BE3EB3D" w14:textId="262E4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27ED1">
        <w:rPr>
          <w:sz w:val="24"/>
          <w:szCs w:val="24"/>
          <w:lang w:val="en-CA"/>
        </w:rPr>
        <w:fldChar w:fldCharType="begin"/>
      </w:r>
      <w:r w:rsidRPr="00427ED1">
        <w:rPr>
          <w:sz w:val="24"/>
          <w:szCs w:val="24"/>
          <w:lang w:val="en-CA"/>
        </w:rPr>
        <w:instrText xml:space="preserve"> SEQ CHAPTER \h \r 1</w:instrText>
      </w:r>
      <w:r w:rsidRPr="00427ED1">
        <w:rPr>
          <w:sz w:val="24"/>
          <w:szCs w:val="24"/>
          <w:lang w:val="en-CA"/>
        </w:rPr>
        <w:fldChar w:fldCharType="separate"/>
      </w:r>
      <w:r w:rsidRPr="00427ED1">
        <w:rPr>
          <w:sz w:val="24"/>
          <w:szCs w:val="24"/>
          <w:lang w:val="en-CA"/>
        </w:rPr>
        <w:fldChar w:fldCharType="end"/>
      </w:r>
      <w:r w:rsidRPr="00427ED1">
        <w:rPr>
          <w:b/>
          <w:bCs/>
          <w:sz w:val="32"/>
          <w:szCs w:val="32"/>
        </w:rPr>
        <w:t xml:space="preserve">Supporting </w:t>
      </w:r>
      <w:r w:rsidRPr="00427ED1">
        <w:rPr>
          <w:b/>
          <w:bCs/>
          <w:sz w:val="32"/>
          <w:szCs w:val="32"/>
        </w:rPr>
        <w:t>Statement</w:t>
      </w:r>
      <w:r w:rsidRPr="00427ED1">
        <w:rPr>
          <w:b/>
          <w:bCs/>
          <w:sz w:val="32"/>
          <w:szCs w:val="32"/>
        </w:rPr>
        <w:t xml:space="preserve"> </w:t>
      </w:r>
      <w:r w:rsidRPr="00427ED1" w:rsidR="007851E9">
        <w:rPr>
          <w:b/>
          <w:bCs/>
          <w:sz w:val="32"/>
          <w:szCs w:val="32"/>
        </w:rPr>
        <w:t>A</w:t>
      </w:r>
    </w:p>
    <w:p w:rsidR="009B359F" w:rsidRPr="00427ED1" w14:paraId="71C48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4E71E5" w:rsidRPr="00427ED1" w:rsidP="004E71E5" w14:paraId="514FC7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27ED1">
        <w:rPr>
          <w:b/>
          <w:bCs/>
          <w:sz w:val="32"/>
          <w:szCs w:val="32"/>
        </w:rPr>
        <w:t>USA National Phenology Network – The Nature’s Notebook Plant and Animal Observing Program</w:t>
      </w:r>
    </w:p>
    <w:p w:rsidR="00295103" w:rsidRPr="00427ED1"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427ED1" w:rsidP="009B359F" w14:paraId="105F347C" w14:textId="5D7F3E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427ED1">
        <w:rPr>
          <w:b/>
          <w:bCs/>
          <w:sz w:val="32"/>
          <w:szCs w:val="32"/>
        </w:rPr>
        <w:t>OMB Control Number 10</w:t>
      </w:r>
      <w:r w:rsidRPr="00427ED1" w:rsidR="00ED16B4">
        <w:rPr>
          <w:b/>
          <w:bCs/>
          <w:sz w:val="32"/>
          <w:szCs w:val="32"/>
        </w:rPr>
        <w:t>28</w:t>
      </w:r>
      <w:r w:rsidRPr="00427ED1">
        <w:rPr>
          <w:b/>
          <w:bCs/>
          <w:sz w:val="32"/>
          <w:szCs w:val="32"/>
        </w:rPr>
        <w:t>-</w:t>
      </w:r>
      <w:r w:rsidRPr="00427ED1" w:rsidR="004E71E5">
        <w:rPr>
          <w:b/>
          <w:bCs/>
          <w:sz w:val="32"/>
          <w:szCs w:val="32"/>
        </w:rPr>
        <w:t>0103</w:t>
      </w:r>
    </w:p>
    <w:p w:rsidR="009B359F" w:rsidRPr="00427ED1" w:rsidP="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427ED1" w:rsidP="000F3AF1" w14:paraId="0CD5C563" w14:textId="651B07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7ED1">
        <w:rPr>
          <w:b/>
          <w:sz w:val="24"/>
          <w:szCs w:val="24"/>
        </w:rPr>
        <w:t>Terms of Clearance:</w:t>
      </w:r>
      <w:r w:rsidRPr="00427ED1">
        <w:rPr>
          <w:sz w:val="24"/>
          <w:szCs w:val="24"/>
        </w:rPr>
        <w:t xml:space="preserve"> </w:t>
      </w:r>
      <w:r w:rsidRPr="00427ED1" w:rsidR="004E71E5">
        <w:rPr>
          <w:sz w:val="24"/>
          <w:szCs w:val="24"/>
        </w:rPr>
        <w:t>None</w:t>
      </w:r>
      <w:r w:rsidRPr="00427ED1" w:rsidR="00097475">
        <w:rPr>
          <w:sz w:val="24"/>
          <w:szCs w:val="24"/>
        </w:rPr>
        <w:t xml:space="preserve">  </w:t>
      </w:r>
    </w:p>
    <w:p w:rsidR="009B359F" w:rsidRPr="00427ED1" w:rsidP="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4E71E5" w:rsidRPr="00082C1C" w14:paraId="787FD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E71E5" w:rsidRPr="006D154C" w:rsidP="004E71E5" w14:paraId="7A8214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 mission of DOI includes the mandate to protect and manage the Nation’s natural resources and provide scientific and other information about those resources. To meet its stewardship responsibilities, as conveyed by numerous legislative authorities, the DOI is mandated to estimate the availability and abundance of fish and wildlife resources, determine the distribution and abundance of migratory and resident birds, conduct inventories of all public lands and their resources, and implement programs for endangered and threatened wildlife and plants, among other responsibilities.  DOI relies upon biological monitoring information to achieve its mission, measure its success in responding to these legislative mandates, and determine its progress toward meeting DOI resource protection goals.  In turn, the USGS mission includes requirements to collect natural resource information and conduct systematic analyses and investigations to i</w:t>
      </w:r>
      <w:r>
        <w:rPr>
          <w:sz w:val="24"/>
          <w:szCs w:val="24"/>
        </w:rPr>
        <w:t>nform natural resource decision-</w:t>
      </w:r>
      <w:r w:rsidRPr="006D154C">
        <w:rPr>
          <w:sz w:val="24"/>
          <w:szCs w:val="24"/>
        </w:rPr>
        <w:t>making.  USGS continues to improve the quality and usefulness of its long-term data sets, and where appropriate work</w:t>
      </w:r>
      <w:r>
        <w:rPr>
          <w:sz w:val="24"/>
          <w:szCs w:val="24"/>
        </w:rPr>
        <w:t>s</w:t>
      </w:r>
      <w:r w:rsidRPr="006D154C">
        <w:rPr>
          <w:sz w:val="24"/>
          <w:szCs w:val="24"/>
        </w:rPr>
        <w:t xml:space="preserve"> with partners (other federal, state, tribal, and local governments; academic and research institutions; and private organizations) to acquire the necessary data.</w:t>
      </w:r>
    </w:p>
    <w:p w:rsidR="004E71E5" w:rsidRPr="006D154C" w:rsidP="004E71E5" w14:paraId="6B580B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E71E5" w:rsidRPr="006D154C" w:rsidP="004E71E5" w14:paraId="2BB54197" w14:textId="5B7343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The USA National Phenology Network (USA-NPN), established in 2007 by USGS in collaboration with other governmental and non-governmental organizations, is a national-scale science and monitoring initiative focused on phenology (i.e., the study of seasonal life-cycle events such as leafing, flowering, </w:t>
      </w:r>
      <w:r w:rsidRPr="006D154C">
        <w:rPr>
          <w:sz w:val="24"/>
          <w:szCs w:val="24"/>
        </w:rPr>
        <w:t>reproduction</w:t>
      </w:r>
      <w:r w:rsidRPr="006D154C">
        <w:rPr>
          <w:sz w:val="24"/>
          <w:szCs w:val="24"/>
        </w:rPr>
        <w:t xml:space="preserve"> and migration) as a tool to understand how plants, animals and landscapes respond to environmental variation and change.  Information coll</w:t>
      </w:r>
      <w:r>
        <w:rPr>
          <w:sz w:val="24"/>
          <w:szCs w:val="24"/>
        </w:rPr>
        <w:t>ected by the USA-NPN through it</w:t>
      </w:r>
      <w:r w:rsidRPr="006D154C">
        <w:rPr>
          <w:sz w:val="24"/>
          <w:szCs w:val="24"/>
        </w:rPr>
        <w:t xml:space="preserve">s national observing system, </w:t>
      </w:r>
      <w:r w:rsidRPr="006D154C">
        <w:rPr>
          <w:i/>
          <w:sz w:val="24"/>
          <w:szCs w:val="24"/>
        </w:rPr>
        <w:t>Nature’s Notebook</w:t>
      </w:r>
      <w:r w:rsidRPr="006D154C">
        <w:rPr>
          <w:sz w:val="24"/>
          <w:szCs w:val="24"/>
        </w:rPr>
        <w:t>, is used by researchers and federal, state and local agencies and resource managers to: inform management and assessment of habitats and plant and animal species; identify, assess, and forecast change in e</w:t>
      </w:r>
      <w:r w:rsidR="00D27BCA">
        <w:rPr>
          <w:sz w:val="24"/>
          <w:szCs w:val="24"/>
        </w:rPr>
        <w:t>cosystems and effects of climatic variation and</w:t>
      </w:r>
      <w:r w:rsidRPr="006D154C">
        <w:rPr>
          <w:sz w:val="24"/>
          <w:szCs w:val="24"/>
        </w:rPr>
        <w:t xml:space="preserve"> change; identify relationships between environments and wildlife and human health; integrate data and products for science-based stewardship of nat</w:t>
      </w:r>
      <w:r>
        <w:rPr>
          <w:sz w:val="24"/>
          <w:szCs w:val="24"/>
        </w:rPr>
        <w:t>ural resources; and provide opportunities for</w:t>
      </w:r>
      <w:r w:rsidRPr="006D154C">
        <w:rPr>
          <w:sz w:val="24"/>
          <w:szCs w:val="24"/>
        </w:rPr>
        <w:t xml:space="preserve"> public stewardship and engagement.</w:t>
      </w:r>
    </w:p>
    <w:p w:rsidR="004E71E5" w:rsidRPr="006D154C" w:rsidP="004E71E5" w14:paraId="63A20A81" w14:textId="73AE0A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 </w:t>
      </w:r>
    </w:p>
    <w:p w:rsidR="004E71E5" w:rsidRPr="006D154C" w:rsidP="004E71E5" w14:paraId="5A79F019" w14:textId="7792B1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Relevant acts include the </w:t>
      </w:r>
      <w:r w:rsidRPr="00F1514A">
        <w:rPr>
          <w:sz w:val="24"/>
          <w:szCs w:val="24"/>
        </w:rPr>
        <w:t>Fish and Wildlife Act, 1956</w:t>
      </w:r>
      <w:r w:rsidR="00B7277B">
        <w:rPr>
          <w:sz w:val="24"/>
          <w:szCs w:val="24"/>
        </w:rPr>
        <w:t xml:space="preserve"> (USC 16-661-667e)</w:t>
      </w:r>
      <w:r w:rsidRPr="00F1514A">
        <w:rPr>
          <w:sz w:val="24"/>
          <w:szCs w:val="24"/>
        </w:rPr>
        <w:t>; Migratory Bird Conservation Act, 1900</w:t>
      </w:r>
      <w:r w:rsidR="00B7277B">
        <w:rPr>
          <w:sz w:val="24"/>
          <w:szCs w:val="24"/>
        </w:rPr>
        <w:t xml:space="preserve"> (</w:t>
      </w:r>
      <w:r w:rsidR="00F11042">
        <w:rPr>
          <w:sz w:val="24"/>
          <w:szCs w:val="24"/>
        </w:rPr>
        <w:t>USC 16-715-715d, 715e, 715f-715r)</w:t>
      </w:r>
      <w:r w:rsidRPr="00F1514A">
        <w:rPr>
          <w:sz w:val="24"/>
          <w:szCs w:val="24"/>
        </w:rPr>
        <w:t>; Federal Land P</w:t>
      </w:r>
      <w:r w:rsidR="00D473C2">
        <w:rPr>
          <w:sz w:val="24"/>
          <w:szCs w:val="24"/>
        </w:rPr>
        <w:t>olicy and Management Act, 1976</w:t>
      </w:r>
      <w:r w:rsidR="00F11042">
        <w:rPr>
          <w:sz w:val="24"/>
          <w:szCs w:val="24"/>
        </w:rPr>
        <w:t xml:space="preserve"> (Public Law 94-579 Sec 43)</w:t>
      </w:r>
      <w:r w:rsidR="00D473C2">
        <w:rPr>
          <w:sz w:val="24"/>
          <w:szCs w:val="24"/>
        </w:rPr>
        <w:t>.</w:t>
      </w:r>
    </w:p>
    <w:p w:rsidR="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E71E5" w:rsidP="004E71E5" w14:paraId="20BE62B7" w14:textId="699613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Information collected through </w:t>
      </w:r>
      <w:r w:rsidRPr="006D154C">
        <w:rPr>
          <w:i/>
          <w:sz w:val="24"/>
          <w:szCs w:val="24"/>
        </w:rPr>
        <w:t>Nature’s Notebook</w:t>
      </w:r>
      <w:r w:rsidRPr="006D154C">
        <w:rPr>
          <w:sz w:val="24"/>
          <w:szCs w:val="24"/>
        </w:rPr>
        <w:t xml:space="preserve"> is used by scientists, resource managers, educators, communication specialists, non-profit organizations, human health organizations, science networks and the public to make science-based decisions about resource management and to adapt to variable and changing climates and environments. </w:t>
      </w:r>
      <w:r>
        <w:rPr>
          <w:sz w:val="24"/>
          <w:szCs w:val="24"/>
        </w:rPr>
        <w:t>I</w:t>
      </w:r>
      <w:r w:rsidRPr="006D154C">
        <w:rPr>
          <w:sz w:val="24"/>
          <w:szCs w:val="24"/>
        </w:rPr>
        <w:t>nformation on the timing of phenological events is important for human health (allergens and infectious diseases), human recreation (wildflower displays and fall colors), agriculture (planting and harvest times, pest control), management of natural resources (water and timber), understanding hazards (monitoring and prediction of drought and fire risk), and conservation (abundance and diversity of plants and animals).</w:t>
      </w:r>
    </w:p>
    <w:p w:rsidR="004E71E5" w:rsidP="004E71E5" w14:paraId="42DDBD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E71E5" w:rsidRPr="006D154C" w:rsidP="004E71E5" w14:paraId="4FCC16D2" w14:textId="2370A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For all species, we collect data on the onset, duration, peak and end of </w:t>
      </w:r>
      <w:r>
        <w:rPr>
          <w:sz w:val="24"/>
          <w:szCs w:val="24"/>
        </w:rPr>
        <w:t>phenophases</w:t>
      </w:r>
      <w:r>
        <w:rPr>
          <w:sz w:val="24"/>
          <w:szCs w:val="24"/>
        </w:rPr>
        <w:t xml:space="preserve">.  For plants, the primary </w:t>
      </w:r>
      <w:r>
        <w:rPr>
          <w:sz w:val="24"/>
          <w:szCs w:val="24"/>
        </w:rPr>
        <w:t>phenophases</w:t>
      </w:r>
      <w:r>
        <w:rPr>
          <w:sz w:val="24"/>
          <w:szCs w:val="24"/>
        </w:rPr>
        <w:t xml:space="preserve"> are</w:t>
      </w:r>
      <w:r w:rsidR="004345CF">
        <w:rPr>
          <w:sz w:val="24"/>
          <w:szCs w:val="24"/>
        </w:rPr>
        <w:t xml:space="preserve"> as follows</w:t>
      </w:r>
      <w:r>
        <w:rPr>
          <w:sz w:val="24"/>
          <w:szCs w:val="24"/>
        </w:rPr>
        <w:t xml:space="preserve">: leaves (which </w:t>
      </w:r>
      <w:r w:rsidR="00BF6C19">
        <w:rPr>
          <w:sz w:val="24"/>
          <w:szCs w:val="24"/>
        </w:rPr>
        <w:t>informs understanding of</w:t>
      </w:r>
      <w:r>
        <w:rPr>
          <w:sz w:val="24"/>
          <w:szCs w:val="24"/>
        </w:rPr>
        <w:t xml:space="preserve"> plant physiology, carbon cycling and feedbacks to climate change), flowers (which sheds light on pollination, resource availability, and reproduction), and fruits (which </w:t>
      </w:r>
      <w:r w:rsidR="00BF6C19">
        <w:rPr>
          <w:sz w:val="24"/>
          <w:szCs w:val="24"/>
        </w:rPr>
        <w:t xml:space="preserve">elucidates </w:t>
      </w:r>
      <w:r>
        <w:rPr>
          <w:sz w:val="24"/>
          <w:szCs w:val="24"/>
        </w:rPr>
        <w:t xml:space="preserve">reproductive success and food availability for animals, including humans). For animals, the primary </w:t>
      </w:r>
      <w:r>
        <w:rPr>
          <w:sz w:val="24"/>
          <w:szCs w:val="24"/>
        </w:rPr>
        <w:t>phenophases</w:t>
      </w:r>
      <w:r>
        <w:rPr>
          <w:sz w:val="24"/>
          <w:szCs w:val="24"/>
        </w:rPr>
        <w:t xml:space="preserve"> are</w:t>
      </w:r>
      <w:r w:rsidR="004345CF">
        <w:rPr>
          <w:sz w:val="24"/>
          <w:szCs w:val="24"/>
        </w:rPr>
        <w:t xml:space="preserve"> as follows</w:t>
      </w:r>
      <w:r>
        <w:rPr>
          <w:sz w:val="24"/>
          <w:szCs w:val="24"/>
        </w:rPr>
        <w:t xml:space="preserve">: activity (which </w:t>
      </w:r>
      <w:r w:rsidR="00BF6C19">
        <w:rPr>
          <w:sz w:val="24"/>
          <w:szCs w:val="24"/>
        </w:rPr>
        <w:t>contributes to understanding</w:t>
      </w:r>
      <w:r>
        <w:rPr>
          <w:sz w:val="24"/>
          <w:szCs w:val="24"/>
        </w:rPr>
        <w:t xml:space="preserve"> distribution and migration), feeding (which sheds light on trophic interactions) and reproduction (which </w:t>
      </w:r>
      <w:r w:rsidR="00BF6C19">
        <w:rPr>
          <w:sz w:val="24"/>
          <w:szCs w:val="24"/>
        </w:rPr>
        <w:t>clarifies</w:t>
      </w:r>
      <w:r>
        <w:rPr>
          <w:sz w:val="24"/>
          <w:szCs w:val="24"/>
        </w:rPr>
        <w:t xml:space="preserve"> timing and success of reproduction). </w:t>
      </w:r>
    </w:p>
    <w:p w:rsidR="004E71E5" w:rsidP="004E71E5" w14:paraId="63945B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E71E5" w:rsidRPr="008F5D37" w:rsidP="004E71E5" w14:paraId="4D84E022" w14:textId="7D636082">
      <w:p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Nearly 200</w:t>
      </w:r>
      <w:r>
        <w:rPr>
          <w:sz w:val="24"/>
          <w:szCs w:val="24"/>
        </w:rPr>
        <w:t xml:space="preserve"> publications leveraging</w:t>
      </w:r>
      <w:r w:rsidR="00F71A25">
        <w:rPr>
          <w:sz w:val="24"/>
          <w:szCs w:val="24"/>
        </w:rPr>
        <w:t xml:space="preserve"> contemporary or</w:t>
      </w:r>
      <w:r>
        <w:rPr>
          <w:sz w:val="24"/>
          <w:szCs w:val="24"/>
        </w:rPr>
        <w:t xml:space="preserve"> legacy lilac and honeysuckle data, have been published. Data from </w:t>
      </w:r>
      <w:r w:rsidRPr="00E043C6">
        <w:rPr>
          <w:i/>
          <w:sz w:val="24"/>
          <w:szCs w:val="24"/>
        </w:rPr>
        <w:t>Nature’s Notebook</w:t>
      </w:r>
      <w:r>
        <w:rPr>
          <w:sz w:val="24"/>
          <w:szCs w:val="24"/>
        </w:rPr>
        <w:t xml:space="preserve"> has supported advances in understanding changes in the timing of spring, plant physiology, plant-bird interactions, as well as </w:t>
      </w:r>
      <w:r w:rsidR="00F71A25">
        <w:rPr>
          <w:sz w:val="24"/>
          <w:szCs w:val="24"/>
        </w:rPr>
        <w:t>contributed to the development of models to predict phenology from climate and weather data.</w:t>
      </w:r>
      <w:r>
        <w:rPr>
          <w:sz w:val="24"/>
          <w:szCs w:val="24"/>
        </w:rPr>
        <w:t xml:space="preserve"> Natural resource management agencies use data collected and stored in </w:t>
      </w:r>
      <w:r w:rsidRPr="00D37884">
        <w:rPr>
          <w:i/>
          <w:sz w:val="24"/>
          <w:szCs w:val="24"/>
        </w:rPr>
        <w:t>Nature’s Notebook</w:t>
      </w:r>
      <w:r>
        <w:rPr>
          <w:sz w:val="24"/>
          <w:szCs w:val="24"/>
        </w:rPr>
        <w:t xml:space="preserve"> to schedule field seasons, time flooding to favor target species and slow the spread of invasives </w:t>
      </w:r>
      <w:r w:rsidR="00F71A25">
        <w:rPr>
          <w:sz w:val="24"/>
          <w:szCs w:val="24"/>
        </w:rPr>
        <w:t xml:space="preserve">as well as to understand historic and </w:t>
      </w:r>
      <w:r>
        <w:rPr>
          <w:sz w:val="24"/>
          <w:szCs w:val="24"/>
        </w:rPr>
        <w:t>project</w:t>
      </w:r>
      <w:r w:rsidR="00F71A25">
        <w:rPr>
          <w:sz w:val="24"/>
          <w:szCs w:val="24"/>
        </w:rPr>
        <w:t xml:space="preserve">ed </w:t>
      </w:r>
      <w:r>
        <w:rPr>
          <w:sz w:val="24"/>
          <w:szCs w:val="24"/>
        </w:rPr>
        <w:t xml:space="preserve">changes in </w:t>
      </w:r>
      <w:r w:rsidR="00F71A25">
        <w:rPr>
          <w:sz w:val="24"/>
          <w:szCs w:val="24"/>
        </w:rPr>
        <w:t xml:space="preserve">leaf out and </w:t>
      </w:r>
      <w:r>
        <w:rPr>
          <w:sz w:val="24"/>
          <w:szCs w:val="24"/>
        </w:rPr>
        <w:t xml:space="preserve">flowering </w:t>
      </w:r>
      <w:r w:rsidR="007F23AF">
        <w:rPr>
          <w:sz w:val="24"/>
          <w:szCs w:val="24"/>
        </w:rPr>
        <w:t>dates</w:t>
      </w:r>
      <w:r>
        <w:rPr>
          <w:sz w:val="24"/>
          <w:szCs w:val="24"/>
        </w:rPr>
        <w:t>.  City managers rely on data on the timing of leaf fall to schedule street sweeping, thereby preventing eutrophication of local lakes.</w:t>
      </w:r>
    </w:p>
    <w:p w:rsidR="004E71E5" w:rsidP="004E71E5" w14:paraId="7D9749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E71E5" w:rsidP="004E71E5" w14:paraId="2FE2E2DD"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While we have made observation of many species possible through our system, we focus observer effort on the most useful species at the national scale, through a series of campaigns, described on the project website.</w:t>
      </w:r>
    </w:p>
    <w:p w:rsidR="00082C1C" w14:paraId="50513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6ACA5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E71E5" w:rsidRPr="004E71E5" w:rsidP="004E71E5" w14:paraId="666655BA" w14:textId="4CA22F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E71E5">
        <w:rPr>
          <w:sz w:val="24"/>
          <w:szCs w:val="24"/>
        </w:rPr>
        <w:t xml:space="preserve">USA-NPN developed and maintains the program Nature’s Notebook by which observers participate in this national phenology observation and reporting system for both plants and animals.  Participants may contribute phenology information to Nature’s Notebook through a browser-based web application or via mobile applications for iPhone and Android operating systems, meeting GPEA requirements.  The web application interface consists </w:t>
      </w:r>
      <w:r w:rsidR="00451428">
        <w:rPr>
          <w:sz w:val="24"/>
          <w:szCs w:val="24"/>
        </w:rPr>
        <w:t xml:space="preserve">of </w:t>
      </w:r>
      <w:r w:rsidRPr="004E71E5">
        <w:rPr>
          <w:sz w:val="24"/>
          <w:szCs w:val="24"/>
        </w:rPr>
        <w:t>several components:  user registration, a searchable list of 1,</w:t>
      </w:r>
      <w:r w:rsidR="002D0494">
        <w:rPr>
          <w:sz w:val="24"/>
          <w:szCs w:val="24"/>
        </w:rPr>
        <w:t xml:space="preserve">756 </w:t>
      </w:r>
      <w:r w:rsidRPr="004E71E5">
        <w:rPr>
          <w:sz w:val="24"/>
          <w:szCs w:val="24"/>
        </w:rPr>
        <w:t xml:space="preserve">plant and animal species which can be observed; a “profile” for each species that contains detailed information about the species including its description and the appropriate monitoring protocols; a series of interfaces for registering as an observer, registering a site, registering plants and animals at a site, generating datasheets to take to the field, and a data entry page that mimics the datasheets.  Datasheets and species profiles are generated automatically from a database for efficiency and accuracy.  Participants can choose to collect information using data sheets on a day-by-day basis for one </w:t>
      </w:r>
      <w:r w:rsidRPr="004E71E5" w:rsidR="004345CF">
        <w:rPr>
          <w:sz w:val="24"/>
          <w:szCs w:val="24"/>
        </w:rPr>
        <w:t>species,</w:t>
      </w:r>
      <w:r w:rsidRPr="004E71E5">
        <w:rPr>
          <w:sz w:val="24"/>
          <w:szCs w:val="24"/>
        </w:rPr>
        <w:t xml:space="preserve"> or they may collect information species-by-species for one day. Regardless of which method respondents </w:t>
      </w:r>
      <w:r w:rsidRPr="004E71E5">
        <w:rPr>
          <w:sz w:val="24"/>
          <w:szCs w:val="24"/>
        </w:rPr>
        <w:t>choose,</w:t>
      </w:r>
      <w:r w:rsidRPr="004E71E5">
        <w:rPr>
          <w:sz w:val="24"/>
          <w:szCs w:val="24"/>
        </w:rPr>
        <w:t xml:space="preserve"> questions on both datasheets are identical. The mobile interfaces have the same functionality, though they do not generate datasheets (because they are not needed</w:t>
      </w:r>
      <w:r w:rsidR="00451428">
        <w:rPr>
          <w:sz w:val="24"/>
          <w:szCs w:val="24"/>
        </w:rPr>
        <w:t xml:space="preserve"> </w:t>
      </w:r>
      <w:r w:rsidR="00BF6C19">
        <w:rPr>
          <w:sz w:val="24"/>
          <w:szCs w:val="24"/>
        </w:rPr>
        <w:t>as</w:t>
      </w:r>
      <w:r w:rsidR="00451428">
        <w:rPr>
          <w:sz w:val="24"/>
          <w:szCs w:val="24"/>
        </w:rPr>
        <w:t xml:space="preserve"> data are entered directly into the application</w:t>
      </w:r>
      <w:r w:rsidRPr="004E71E5">
        <w:rPr>
          <w:sz w:val="24"/>
          <w:szCs w:val="24"/>
        </w:rPr>
        <w:t xml:space="preserve">).  In all aspects of developing our program and associated infrastructure we have endeavored to maximize use of online and mobile technologies to facilitate efficient data entry and dissemination. We do not accept paper data submissions. </w:t>
      </w:r>
    </w:p>
    <w:p w:rsidR="004E71E5" w:rsidRPr="004E71E5" w:rsidP="004E71E5" w14:paraId="7EF3AF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E71E5" w:rsidRPr="004E71E5" w:rsidP="004E71E5" w14:paraId="65A4FB37" w14:textId="0D0183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E71E5">
        <w:rPr>
          <w:sz w:val="24"/>
          <w:szCs w:val="24"/>
        </w:rPr>
        <w:t xml:space="preserve">Our user interfaces are dynamic and growing, as is the underlying database, because we are continuously enhancing </w:t>
      </w:r>
      <w:r w:rsidR="00451428">
        <w:rPr>
          <w:sz w:val="24"/>
          <w:szCs w:val="24"/>
        </w:rPr>
        <w:t>them</w:t>
      </w:r>
      <w:r w:rsidRPr="004E71E5">
        <w:rPr>
          <w:sz w:val="24"/>
          <w:szCs w:val="24"/>
        </w:rPr>
        <w:t xml:space="preserve"> for efficiency, simplicity and in response to stakeholder needs.  For example, we receive requests to develop profiles and monitoring protocols for new species each year, so the number of unique datasheets is growing on a </w:t>
      </w:r>
      <w:r w:rsidRPr="004E71E5" w:rsidR="004345CF">
        <w:rPr>
          <w:sz w:val="24"/>
          <w:szCs w:val="24"/>
        </w:rPr>
        <w:t>species-by-species</w:t>
      </w:r>
      <w:r w:rsidRPr="004E71E5">
        <w:rPr>
          <w:sz w:val="24"/>
          <w:szCs w:val="24"/>
        </w:rPr>
        <w:t xml:space="preserve"> basis.  This said, we ask a standard set of questions on all forms, and there are redundancies across forms depending on the type of organism (to enable phenological comparisons across similar taxa).  For example, most deciduous trees (such as red maple and sugar maple) have the same observation protocols.  To simplify OMB review, we have appended a spreadsheet naming the </w:t>
      </w:r>
      <w:r w:rsidRPr="0002454B" w:rsidR="00300103">
        <w:rPr>
          <w:bCs/>
          <w:sz w:val="24"/>
          <w:szCs w:val="24"/>
        </w:rPr>
        <w:t>1</w:t>
      </w:r>
      <w:r w:rsidRPr="0002454B" w:rsidR="0002454B">
        <w:rPr>
          <w:bCs/>
          <w:sz w:val="24"/>
          <w:szCs w:val="24"/>
        </w:rPr>
        <w:t>29</w:t>
      </w:r>
      <w:r w:rsidRPr="0002454B">
        <w:rPr>
          <w:bCs/>
          <w:sz w:val="24"/>
          <w:szCs w:val="24"/>
        </w:rPr>
        <w:t xml:space="preserve"> unique observation</w:t>
      </w:r>
      <w:r w:rsidRPr="0088732F">
        <w:rPr>
          <w:b/>
          <w:sz w:val="24"/>
          <w:szCs w:val="24"/>
        </w:rPr>
        <w:t xml:space="preserve"> </w:t>
      </w:r>
      <w:r w:rsidRPr="0002454B">
        <w:rPr>
          <w:bCs/>
          <w:sz w:val="24"/>
          <w:szCs w:val="24"/>
        </w:rPr>
        <w:t>protocols</w:t>
      </w:r>
      <w:r w:rsidRPr="004E71E5">
        <w:rPr>
          <w:sz w:val="24"/>
          <w:szCs w:val="24"/>
        </w:rPr>
        <w:t xml:space="preserve"> across all taxa. </w:t>
      </w:r>
    </w:p>
    <w:p w:rsidR="00082C1C" w14:paraId="55B537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14:paraId="2E9CB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200B" w:rsidRPr="006D154C" w:rsidP="00F2200B" w14:paraId="061612E3" w14:textId="56AE2E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No other organization gathers phenolog</w:t>
      </w:r>
      <w:r w:rsidR="00451428">
        <w:rPr>
          <w:sz w:val="24"/>
          <w:szCs w:val="24"/>
        </w:rPr>
        <w:t>ical</w:t>
      </w:r>
      <w:r w:rsidRPr="006D154C">
        <w:rPr>
          <w:sz w:val="24"/>
          <w:szCs w:val="24"/>
        </w:rPr>
        <w:t xml:space="preserve"> information across taxa </w:t>
      </w:r>
      <w:r>
        <w:rPr>
          <w:sz w:val="24"/>
          <w:szCs w:val="24"/>
        </w:rPr>
        <w:t>with</w:t>
      </w:r>
      <w:r w:rsidRPr="006D154C">
        <w:rPr>
          <w:sz w:val="24"/>
          <w:szCs w:val="24"/>
        </w:rPr>
        <w:t xml:space="preserve"> </w:t>
      </w:r>
      <w:r w:rsidR="00451428">
        <w:rPr>
          <w:sz w:val="24"/>
          <w:szCs w:val="24"/>
        </w:rPr>
        <w:t xml:space="preserve">the </w:t>
      </w:r>
      <w:r w:rsidRPr="006D154C">
        <w:rPr>
          <w:sz w:val="24"/>
          <w:szCs w:val="24"/>
        </w:rPr>
        <w:t xml:space="preserve">scientifically rigorous </w:t>
      </w:r>
      <w:r>
        <w:rPr>
          <w:sz w:val="24"/>
          <w:szCs w:val="24"/>
        </w:rPr>
        <w:t>approach</w:t>
      </w:r>
      <w:r w:rsidRPr="006D154C">
        <w:rPr>
          <w:sz w:val="24"/>
          <w:szCs w:val="24"/>
        </w:rPr>
        <w:t xml:space="preserve"> and scale of the USA National Phenology Network. There are numerous other phenology monitoring efforts that capitalize on volunteers or “citizen scientists,” or that </w:t>
      </w:r>
      <w:r w:rsidRPr="006D154C">
        <w:rPr>
          <w:sz w:val="24"/>
          <w:szCs w:val="24"/>
        </w:rPr>
        <w:t xml:space="preserve">integrate professional and volunteer monitoring as does </w:t>
      </w:r>
      <w:r w:rsidRPr="006D154C">
        <w:rPr>
          <w:i/>
          <w:sz w:val="24"/>
          <w:szCs w:val="24"/>
        </w:rPr>
        <w:t>Nature’s Notebook</w:t>
      </w:r>
      <w:r w:rsidRPr="006D154C">
        <w:rPr>
          <w:sz w:val="24"/>
          <w:szCs w:val="24"/>
        </w:rPr>
        <w:t xml:space="preserve">.  However, these efforts focus on specific taxa (e.g., eBird and the Bird Banding Lab focus on birds; </w:t>
      </w:r>
      <w:r w:rsidRPr="006D154C">
        <w:rPr>
          <w:sz w:val="24"/>
          <w:szCs w:val="24"/>
        </w:rPr>
        <w:t>Frogwatch</w:t>
      </w:r>
      <w:r w:rsidRPr="006D154C">
        <w:rPr>
          <w:sz w:val="24"/>
          <w:szCs w:val="24"/>
        </w:rPr>
        <w:t xml:space="preserve"> USA and the North American Amphibian Monitoring Program focus on amphibians), </w:t>
      </w:r>
      <w:r w:rsidRPr="006D154C">
        <w:rPr>
          <w:sz w:val="24"/>
          <w:szCs w:val="24"/>
        </w:rPr>
        <w:t>particular life</w:t>
      </w:r>
      <w:r w:rsidRPr="006D154C">
        <w:rPr>
          <w:sz w:val="24"/>
          <w:szCs w:val="24"/>
        </w:rPr>
        <w:t xml:space="preserve"> stages (e.g., Journey North focus</w:t>
      </w:r>
      <w:r>
        <w:rPr>
          <w:sz w:val="24"/>
          <w:szCs w:val="24"/>
        </w:rPr>
        <w:t>es</w:t>
      </w:r>
      <w:r w:rsidRPr="006D154C">
        <w:rPr>
          <w:sz w:val="24"/>
          <w:szCs w:val="24"/>
        </w:rPr>
        <w:t xml:space="preserve"> on migration; </w:t>
      </w:r>
      <w:r w:rsidRPr="006D154C">
        <w:rPr>
          <w:sz w:val="24"/>
          <w:szCs w:val="24"/>
        </w:rPr>
        <w:t>Nestwatch</w:t>
      </w:r>
      <w:r w:rsidRPr="006D154C">
        <w:rPr>
          <w:sz w:val="24"/>
          <w:szCs w:val="24"/>
        </w:rPr>
        <w:t xml:space="preserve"> focuses on reproduction) or particular geographic regions (e.g., Western Hummingbird Partnership).  Broadly, phenological responses to environmental variation occur across taxa and life </w:t>
      </w:r>
      <w:r w:rsidRPr="006D154C" w:rsidR="004345CF">
        <w:rPr>
          <w:sz w:val="24"/>
          <w:szCs w:val="24"/>
        </w:rPr>
        <w:t>stages and</w:t>
      </w:r>
      <w:r w:rsidRPr="006D154C">
        <w:rPr>
          <w:sz w:val="24"/>
          <w:szCs w:val="24"/>
        </w:rPr>
        <w:t xml:space="preserve"> vary through time and across space. The USA-NPN was established to complement existing efforts (with a </w:t>
      </w:r>
      <w:r w:rsidRPr="006D154C">
        <w:rPr>
          <w:sz w:val="24"/>
          <w:szCs w:val="24"/>
        </w:rPr>
        <w:t>unique multi-taxa</w:t>
      </w:r>
      <w:r w:rsidRPr="006D154C">
        <w:rPr>
          <w:sz w:val="24"/>
          <w:szCs w:val="24"/>
        </w:rPr>
        <w:t>, continental-scale approach) and to fill gaps in available information, to support our understanding of biological response to environmental variation and change.</w:t>
      </w:r>
    </w:p>
    <w:p w:rsidR="00082C1C" w14:paraId="4E5971D8" w14:textId="37064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200B" w:rsidP="00F2200B" w14:paraId="6C8C99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This information does not affect small businesses or other small entities.</w:t>
      </w:r>
    </w:p>
    <w:p w:rsidR="00082C1C" w14:paraId="0C45F0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200B" w:rsidRPr="006D154C" w:rsidP="00F2200B" w14:paraId="36519A4E" w14:textId="7CA5CA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Not collecting this information would leave the Federal Government unable to characterize the status, trends and phenological </w:t>
      </w:r>
      <w:r>
        <w:rPr>
          <w:sz w:val="24"/>
          <w:szCs w:val="24"/>
        </w:rPr>
        <w:t>processes for</w:t>
      </w:r>
      <w:r w:rsidRPr="006D154C">
        <w:rPr>
          <w:sz w:val="24"/>
          <w:szCs w:val="24"/>
        </w:rPr>
        <w:t xml:space="preserve"> many native organisms, including migratory and resident birds, mammals, reptiles and amphibians, and fishes and their food resources and habitats, which would constrain its ability to explore the causes of changes in species abundance and/or distribution.  </w:t>
      </w:r>
      <w:r w:rsidRPr="006D154C" w:rsidR="004345CF">
        <w:rPr>
          <w:sz w:val="24"/>
          <w:szCs w:val="24"/>
        </w:rPr>
        <w:t>Th</w:t>
      </w:r>
      <w:r w:rsidR="004345CF">
        <w:rPr>
          <w:sz w:val="24"/>
          <w:szCs w:val="24"/>
        </w:rPr>
        <w:t>erefore,</w:t>
      </w:r>
      <w:r w:rsidRPr="006D154C">
        <w:rPr>
          <w:sz w:val="24"/>
          <w:szCs w:val="24"/>
        </w:rPr>
        <w:t xml:space="preserve"> the Secretary of the Interior would be </w:t>
      </w:r>
      <w:r>
        <w:rPr>
          <w:sz w:val="24"/>
          <w:szCs w:val="24"/>
        </w:rPr>
        <w:t>unable</w:t>
      </w:r>
      <w:r w:rsidRPr="006D154C">
        <w:rPr>
          <w:sz w:val="24"/>
          <w:szCs w:val="24"/>
        </w:rPr>
        <w:t xml:space="preserve"> to fulfill </w:t>
      </w:r>
      <w:r>
        <w:rPr>
          <w:sz w:val="24"/>
          <w:szCs w:val="24"/>
        </w:rPr>
        <w:t>the</w:t>
      </w:r>
      <w:r w:rsidRPr="006D154C">
        <w:rPr>
          <w:sz w:val="24"/>
          <w:szCs w:val="24"/>
        </w:rPr>
        <w:t xml:space="preserve"> legal requirements under the Acts listed in Question 1.</w:t>
      </w:r>
    </w:p>
    <w:p w:rsidR="00082C1C" w14:paraId="4F2635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00295103" w:rsidRPr="00082C1C"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report information to the agency more often than quarterly;</w:t>
      </w:r>
    </w:p>
    <w:p w:rsidR="00295103" w:rsidRPr="00082C1C"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prepare a written response to a collection of information in fewer than 30 days after receipt of it;</w:t>
      </w:r>
    </w:p>
    <w:p w:rsidR="00295103" w:rsidRPr="00082C1C"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more than an original and two copies of any document;</w:t>
      </w:r>
    </w:p>
    <w:p w:rsidR="00295103" w:rsidRPr="00082C1C"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retain records, other than health, medical, government contract, grant-in-aid, or tax records, for more than three years;</w:t>
      </w:r>
    </w:p>
    <w:p w:rsidR="00295103" w:rsidRPr="00082C1C"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in</w:t>
      </w:r>
      <w:r w:rsidRPr="00082C1C">
        <w:rPr>
          <w:b/>
          <w:sz w:val="24"/>
          <w:szCs w:val="24"/>
        </w:rPr>
        <w:t xml:space="preserve">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00295103" w:rsidRPr="00082C1C"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the use of a statistical data classification that has not been reviewed and approved by OMB;</w:t>
      </w:r>
    </w:p>
    <w:p w:rsidR="00295103" w:rsidRPr="00082C1C"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that</w:t>
      </w:r>
      <w:r w:rsidRPr="00082C1C">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82C1C"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F2200B" w14:paraId="6B875B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45C2900F" w14:textId="3EB39B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collection is consistent </w:t>
      </w:r>
      <w:r w:rsidRPr="00F2200B">
        <w:rPr>
          <w:sz w:val="24"/>
          <w:szCs w:val="24"/>
        </w:rPr>
        <w:t>with</w:t>
      </w:r>
      <w:r>
        <w:rPr>
          <w:sz w:val="24"/>
          <w:szCs w:val="24"/>
        </w:rPr>
        <w:t xml:space="preserve"> all</w:t>
      </w:r>
      <w:r w:rsidRPr="00F2200B">
        <w:rPr>
          <w:sz w:val="24"/>
          <w:szCs w:val="24"/>
        </w:rPr>
        <w:t xml:space="preserve"> OMB guidelines. While observers tend to provide information more often than quarterly, ongoing submission burden is low, and participation is not required at any specified interval.</w:t>
      </w:r>
    </w:p>
    <w:p w:rsidR="00E80C09" w14:paraId="70E95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41D5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324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w:t>
      </w:r>
      <w:r w:rsidRPr="00082C1C">
        <w:rPr>
          <w:b/>
          <w:sz w:val="24"/>
          <w:szCs w:val="24"/>
        </w:rPr>
        <w:t>publication</w:t>
      </w:r>
      <w:r w:rsidRPr="00082C1C">
        <w:rPr>
          <w:b/>
          <w:sz w:val="24"/>
          <w:szCs w:val="24"/>
        </w:rPr>
        <w:t xml:space="preserve">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and in response to the PRA 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00295103" w:rsidRPr="00082C1C"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00295103" w:rsidRPr="00082C1C"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453654" w:rsidP="0060425F" w14:paraId="0560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25F" w:rsidP="00453654" w14:paraId="033DD435" w14:textId="40C427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2D0494">
        <w:rPr>
          <w:sz w:val="24"/>
          <w:szCs w:val="24"/>
        </w:rPr>
        <w:t>08/04/2023</w:t>
      </w:r>
      <w:r>
        <w:rPr>
          <w:sz w:val="24"/>
          <w:szCs w:val="24"/>
        </w:rPr>
        <w:t xml:space="preserve"> at </w:t>
      </w:r>
      <w:r w:rsidRPr="002D0494" w:rsidR="002D0494">
        <w:rPr>
          <w:sz w:val="24"/>
          <w:szCs w:val="24"/>
        </w:rPr>
        <w:t>88 FR 51851</w:t>
      </w:r>
      <w:r>
        <w:rPr>
          <w:sz w:val="24"/>
          <w:szCs w:val="24"/>
        </w:rPr>
        <w:t>.</w:t>
      </w:r>
      <w:r w:rsidR="007506FF">
        <w:rPr>
          <w:sz w:val="24"/>
          <w:szCs w:val="24"/>
        </w:rPr>
        <w:t xml:space="preserve"> No comments were received. </w:t>
      </w:r>
    </w:p>
    <w:p w:rsidR="0060425F" w:rsidP="00453654" w14:paraId="6F19EC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53654" w:rsidP="0060425F" w14:paraId="59504F87" w14:textId="7B9AB7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w:t>
      </w:r>
      <w:r w:rsidR="0060425F">
        <w:rPr>
          <w:sz w:val="24"/>
          <w:szCs w:val="24"/>
        </w:rPr>
        <w:t xml:space="preserve">Several modifications to the format and design of the instrument were suggested during the pilot period and these have been incorporated.  For example, we modified protocols to accommodate drought-deciduous trees (allowing multiple instances </w:t>
      </w:r>
      <w:r w:rsidR="00451428">
        <w:rPr>
          <w:sz w:val="24"/>
          <w:szCs w:val="24"/>
        </w:rPr>
        <w:t xml:space="preserve">of </w:t>
      </w:r>
      <w:r w:rsidR="0060425F">
        <w:rPr>
          <w:sz w:val="24"/>
          <w:szCs w:val="24"/>
        </w:rPr>
        <w:t xml:space="preserve">peak leaf out during the year), based on pilot work in California.  Several usability studies, one led by Suzanne Allard, resulted in major changes to the interfaces, including changes to website language, </w:t>
      </w:r>
      <w:r w:rsidR="0060425F">
        <w:rPr>
          <w:sz w:val="24"/>
          <w:szCs w:val="24"/>
        </w:rPr>
        <w:t>workflow</w:t>
      </w:r>
      <w:r w:rsidR="0060425F">
        <w:rPr>
          <w:sz w:val="24"/>
          <w:szCs w:val="24"/>
        </w:rPr>
        <w:t xml:space="preserve"> and page layout.</w:t>
      </w:r>
    </w:p>
    <w:p w:rsidR="00453654" w:rsidP="00453654" w14:paraId="7907C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2454B" w14:paraId="77797F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454B" w14:paraId="3E898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B7DCF" w14:paraId="3D6727D3" w14:textId="41AA54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p w:rsidR="0060425F" w14:paraId="12B103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tblPr>
      <w:tblGrid>
        <w:gridCol w:w="4675"/>
        <w:gridCol w:w="4675"/>
      </w:tblGrid>
      <w:tr w14:paraId="38F00ED3" w14:textId="77777777" w:rsidTr="0060425F">
        <w:tblPrEx>
          <w:tblW w:w="0" w:type="auto"/>
          <w:tblLook w:val="04A0"/>
        </w:tblPrEx>
        <w:tc>
          <w:tcPr>
            <w:tcW w:w="4675" w:type="dxa"/>
          </w:tcPr>
          <w:p w:rsidR="0002454B" w:rsidP="0060425F" w14:paraId="7AC8871D" w14:textId="726FED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Pr>
                <w:rFonts w:ascii="Times" w:hAnsi="Times"/>
              </w:rPr>
              <w:t>Dr. Susan Mazer</w:t>
            </w:r>
          </w:p>
          <w:p w:rsidR="0060425F" w:rsidRPr="00B662F0" w:rsidP="0060425F" w14:paraId="6C08A433" w14:textId="5FCDF1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B662F0">
              <w:rPr>
                <w:rFonts w:ascii="Times" w:hAnsi="Times"/>
              </w:rPr>
              <w:t>Professor of Ecology and Evolutionary Biology</w:t>
            </w:r>
          </w:p>
          <w:p w:rsidR="0060425F" w:rsidRPr="00B662F0" w:rsidP="0060425F" w14:paraId="229033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B662F0">
              <w:rPr>
                <w:rFonts w:ascii="Times" w:hAnsi="Times"/>
              </w:rPr>
              <w:t>University of California, Santa Barbara</w:t>
            </w:r>
          </w:p>
          <w:p w:rsidR="0060425F" w:rsidRPr="00B662F0" w:rsidP="0060425F" w14:paraId="112537F6" w14:textId="77777777">
            <w:pPr>
              <w:rPr>
                <w:rFonts w:ascii="Times" w:hAnsi="Times"/>
              </w:rPr>
            </w:pPr>
            <w:r w:rsidRPr="00B662F0">
              <w:rPr>
                <w:rFonts w:ascii="Times" w:hAnsi="Times"/>
              </w:rPr>
              <w:t>mazer@lifesci.ucsb.edu</w:t>
            </w:r>
          </w:p>
          <w:p w:rsidR="0060425F" w:rsidRPr="00B662F0" w:rsidP="0060425F" w14:paraId="5BE08D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p>
        </w:tc>
        <w:tc>
          <w:tcPr>
            <w:tcW w:w="4675" w:type="dxa"/>
          </w:tcPr>
          <w:p w:rsidR="0002454B" w:rsidP="0060425F" w14:paraId="76E1C4D4" w14:textId="540D81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Pr>
                <w:rFonts w:ascii="Times" w:hAnsi="Times" w:cs="Calibri"/>
              </w:rPr>
              <w:t>Dr. Mark Schwartz</w:t>
            </w:r>
          </w:p>
          <w:p w:rsidR="0060425F" w:rsidRPr="00B662F0" w:rsidP="0060425F" w14:paraId="36DC54F4" w14:textId="0964B0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Distinguished Professor of Geography</w:t>
            </w:r>
          </w:p>
          <w:p w:rsidR="0060425F" w:rsidRPr="00B662F0" w:rsidP="0060425F" w14:paraId="3DB3EB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University of Wisconsin-Milwaukee</w:t>
            </w:r>
          </w:p>
          <w:p w:rsidR="0060425F" w:rsidRPr="00B662F0" w:rsidP="0060425F" w14:paraId="3A5DBB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rPr>
            </w:pPr>
            <w:r w:rsidRPr="00B662F0">
              <w:rPr>
                <w:rFonts w:ascii="Times" w:hAnsi="Times" w:cs="Calibri"/>
              </w:rPr>
              <w:t>mds@uwm.edu</w:t>
            </w:r>
          </w:p>
        </w:tc>
      </w:tr>
      <w:tr w14:paraId="7E3D59F5" w14:textId="77777777" w:rsidTr="0060425F">
        <w:tblPrEx>
          <w:tblW w:w="0" w:type="auto"/>
          <w:tblLook w:val="04A0"/>
        </w:tblPrEx>
        <w:tc>
          <w:tcPr>
            <w:tcW w:w="4675" w:type="dxa"/>
          </w:tcPr>
          <w:p w:rsidR="0002454B" w:rsidP="0060425F" w14:paraId="76A87A57" w14:textId="70A775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Pr>
                <w:rFonts w:ascii="Times" w:hAnsi="Times" w:cs="Calibri"/>
              </w:rPr>
              <w:t>Dr. Suzie Allard</w:t>
            </w:r>
          </w:p>
          <w:p w:rsidR="0060425F" w:rsidRPr="00B662F0" w:rsidP="0060425F" w14:paraId="70EBD75A" w14:textId="252E27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Professor of Information Science</w:t>
            </w:r>
          </w:p>
          <w:p w:rsidR="0060425F" w:rsidRPr="00B662F0" w:rsidP="0060425F" w14:paraId="22B19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University of Tennessee</w:t>
            </w:r>
          </w:p>
          <w:p w:rsidR="0060425F" w:rsidRPr="00B662F0" w:rsidP="0060425F" w14:paraId="12D51C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rPr>
            </w:pPr>
            <w:r w:rsidRPr="00B662F0">
              <w:rPr>
                <w:rFonts w:ascii="Times" w:hAnsi="Times"/>
                <w:sz w:val="24"/>
                <w:szCs w:val="24"/>
              </w:rPr>
              <w:t>sallard@utk.edu</w:t>
            </w:r>
          </w:p>
        </w:tc>
        <w:tc>
          <w:tcPr>
            <w:tcW w:w="4675" w:type="dxa"/>
          </w:tcPr>
          <w:p w:rsidR="0060425F" w:rsidRPr="00B662F0" w:rsidP="0060425F" w14:paraId="14A0F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rPr>
            </w:pPr>
          </w:p>
        </w:tc>
      </w:tr>
    </w:tbl>
    <w:p w:rsidR="007B7DCF" w14:paraId="396F94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EB20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6E5DC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rsidR="00295103" w14:paraId="1EF35E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25F" w:rsidP="0060425F" w14:paraId="35EBF70B" w14:textId="67EE57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Non-monetary awards (valued less than $15.00) and thank-you cards are occasionally provided to participa</w:t>
      </w:r>
      <w:r>
        <w:rPr>
          <w:sz w:val="24"/>
          <w:szCs w:val="24"/>
        </w:rPr>
        <w:t>nts in acknowledgement of their efforts. These tokens of appreciation are provided in accordance with best practices for citizen science, to support retention of observers.</w:t>
      </w:r>
    </w:p>
    <w:p w:rsidR="00082C1C" w14:paraId="79700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9E883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082C1C"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4A6DFA" w14:paraId="6FF3E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82C1C" w:rsidP="0060425F" w14:paraId="7AA533BF" w14:textId="5ABD1F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 xml:space="preserve">No assurance of confidentiality is given to </w:t>
      </w:r>
      <w:r w:rsidRPr="006D154C" w:rsidR="002D0494">
        <w:rPr>
          <w:sz w:val="24"/>
          <w:szCs w:val="24"/>
        </w:rPr>
        <w:t>respondents.</w:t>
      </w:r>
    </w:p>
    <w:p w:rsidR="00082C1C" w14:paraId="2EBF25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082C1C"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25F" w:rsidP="0060425F" w14:paraId="6450DD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 collection does not include sensitive or private questions.</w:t>
      </w:r>
    </w:p>
    <w:p w:rsidR="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00295103" w:rsidRPr="00082C1C"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082C1C">
        <w:rPr>
          <w:b/>
          <w:sz w:val="24"/>
          <w:szCs w:val="24"/>
        </w:rPr>
        <w:t>estimates should not include burden hours for customary and usual business practices.</w:t>
      </w:r>
    </w:p>
    <w:p w:rsidR="00295103" w:rsidRPr="00082C1C"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00295103" w:rsidRPr="00082C1C"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E0810" w:rsidRPr="006B6FD6" w:rsidP="0088732F" w14:paraId="7DB44005" w14:textId="586F3B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B3A68">
        <w:rPr>
          <w:sz w:val="24"/>
          <w:szCs w:val="24"/>
        </w:rPr>
        <w:t xml:space="preserve">We anticipate </w:t>
      </w:r>
      <w:r w:rsidRPr="006B6FD6">
        <w:rPr>
          <w:sz w:val="24"/>
          <w:szCs w:val="24"/>
        </w:rPr>
        <w:t xml:space="preserve">approximately </w:t>
      </w:r>
      <w:r w:rsidR="002D0494">
        <w:rPr>
          <w:sz w:val="24"/>
          <w:szCs w:val="24"/>
        </w:rPr>
        <w:t>6,</w:t>
      </w:r>
      <w:r w:rsidR="0002454B">
        <w:rPr>
          <w:sz w:val="24"/>
          <w:szCs w:val="24"/>
        </w:rPr>
        <w:t>598</w:t>
      </w:r>
      <w:r>
        <w:rPr>
          <w:sz w:val="24"/>
          <w:szCs w:val="24"/>
        </w:rPr>
        <w:t xml:space="preserve"> </w:t>
      </w:r>
      <w:r w:rsidRPr="006B6FD6">
        <w:rPr>
          <w:sz w:val="24"/>
          <w:szCs w:val="24"/>
        </w:rPr>
        <w:t xml:space="preserve">users will register each year and estimate that it takes 3 minutes to complete the registration form. We anticipate </w:t>
      </w:r>
      <w:r w:rsidR="002D0494">
        <w:rPr>
          <w:sz w:val="24"/>
          <w:szCs w:val="24"/>
        </w:rPr>
        <w:t>6,</w:t>
      </w:r>
      <w:r w:rsidR="0002454B">
        <w:rPr>
          <w:sz w:val="24"/>
          <w:szCs w:val="24"/>
        </w:rPr>
        <w:t>598</w:t>
      </w:r>
      <w:r w:rsidR="0088732F">
        <w:rPr>
          <w:sz w:val="24"/>
          <w:szCs w:val="24"/>
        </w:rPr>
        <w:t xml:space="preserve"> </w:t>
      </w:r>
      <w:r w:rsidRPr="006B6FD6">
        <w:rPr>
          <w:sz w:val="24"/>
          <w:szCs w:val="24"/>
        </w:rPr>
        <w:t>users will read the guidelines for observing, which takes an estimated 10 minutes to complete. We estimate that 1</w:t>
      </w:r>
      <w:r w:rsidR="002D0494">
        <w:rPr>
          <w:sz w:val="24"/>
          <w:szCs w:val="24"/>
        </w:rPr>
        <w:t>5</w:t>
      </w:r>
      <w:r w:rsidRPr="006B6FD6">
        <w:rPr>
          <w:sz w:val="24"/>
          <w:szCs w:val="24"/>
        </w:rPr>
        <w:t xml:space="preserve">% of users </w:t>
      </w:r>
      <w:r w:rsidR="002D0494">
        <w:rPr>
          <w:sz w:val="24"/>
          <w:szCs w:val="24"/>
        </w:rPr>
        <w:t>complete the Observer Certification Course</w:t>
      </w:r>
      <w:r w:rsidRPr="006B6FD6">
        <w:rPr>
          <w:sz w:val="24"/>
          <w:szCs w:val="24"/>
        </w:rPr>
        <w:t xml:space="preserve"> (</w:t>
      </w:r>
      <w:r w:rsidR="002D0494">
        <w:rPr>
          <w:sz w:val="24"/>
          <w:szCs w:val="24"/>
        </w:rPr>
        <w:t>996</w:t>
      </w:r>
      <w:r w:rsidRPr="006B6FD6" w:rsidR="00195787">
        <w:rPr>
          <w:sz w:val="24"/>
          <w:szCs w:val="24"/>
        </w:rPr>
        <w:t xml:space="preserve"> </w:t>
      </w:r>
      <w:r w:rsidRPr="006B6FD6">
        <w:rPr>
          <w:sz w:val="24"/>
          <w:szCs w:val="24"/>
        </w:rPr>
        <w:t>users</w:t>
      </w:r>
      <w:r w:rsidR="002D0494">
        <w:rPr>
          <w:sz w:val="24"/>
          <w:szCs w:val="24"/>
        </w:rPr>
        <w:t xml:space="preserve"> completing the modules in 210 minutes</w:t>
      </w:r>
      <w:r w:rsidRPr="006B6FD6">
        <w:rPr>
          <w:sz w:val="24"/>
          <w:szCs w:val="24"/>
        </w:rPr>
        <w:t xml:space="preserve">).  </w:t>
      </w:r>
      <w:r w:rsidR="004458BA">
        <w:rPr>
          <w:sz w:val="24"/>
          <w:szCs w:val="24"/>
        </w:rPr>
        <w:t xml:space="preserve">We expect to </w:t>
      </w:r>
      <w:r w:rsidRPr="008E4884" w:rsidR="004458BA">
        <w:rPr>
          <w:sz w:val="24"/>
          <w:szCs w:val="24"/>
        </w:rPr>
        <w:t>receive 3,</w:t>
      </w:r>
      <w:r w:rsidRPr="008E4884" w:rsidR="008E4884">
        <w:rPr>
          <w:sz w:val="24"/>
          <w:szCs w:val="24"/>
        </w:rPr>
        <w:t xml:space="preserve">692,149 </w:t>
      </w:r>
      <w:r w:rsidRPr="008E4884" w:rsidR="004458BA">
        <w:rPr>
          <w:sz w:val="24"/>
          <w:szCs w:val="24"/>
        </w:rPr>
        <w:t>o</w:t>
      </w:r>
      <w:r w:rsidR="004458BA">
        <w:rPr>
          <w:sz w:val="24"/>
          <w:szCs w:val="24"/>
        </w:rPr>
        <w:t xml:space="preserve">bservation records from members of the public and </w:t>
      </w:r>
      <w:r w:rsidRPr="008E4884" w:rsidR="008E4884">
        <w:rPr>
          <w:sz w:val="24"/>
          <w:szCs w:val="24"/>
        </w:rPr>
        <w:t>410,206</w:t>
      </w:r>
      <w:r w:rsidR="008E4884">
        <w:rPr>
          <w:b/>
          <w:bCs/>
          <w:sz w:val="24"/>
          <w:szCs w:val="24"/>
        </w:rPr>
        <w:t xml:space="preserve"> </w:t>
      </w:r>
      <w:r w:rsidR="004458BA">
        <w:rPr>
          <w:sz w:val="24"/>
          <w:szCs w:val="24"/>
        </w:rPr>
        <w:t xml:space="preserve">records from state and local government workers, with </w:t>
      </w:r>
      <w:r w:rsidRPr="006B6FD6" w:rsidR="004458BA">
        <w:rPr>
          <w:sz w:val="24"/>
          <w:szCs w:val="24"/>
        </w:rPr>
        <w:t>obse</w:t>
      </w:r>
      <w:r w:rsidR="004458BA">
        <w:rPr>
          <w:sz w:val="24"/>
          <w:szCs w:val="24"/>
        </w:rPr>
        <w:t xml:space="preserve">rvation and reporting time averaging </w:t>
      </w:r>
      <w:r w:rsidRPr="006B6FD6" w:rsidR="004458BA">
        <w:rPr>
          <w:sz w:val="24"/>
          <w:szCs w:val="24"/>
        </w:rPr>
        <w:t>2 minutes</w:t>
      </w:r>
      <w:r w:rsidR="004458BA">
        <w:rPr>
          <w:sz w:val="24"/>
          <w:szCs w:val="24"/>
        </w:rPr>
        <w:t xml:space="preserve"> for each data record.</w:t>
      </w:r>
      <w:r w:rsidRPr="006B6FD6" w:rsidR="004458BA">
        <w:rPr>
          <w:sz w:val="24"/>
          <w:szCs w:val="24"/>
        </w:rPr>
        <w:t xml:space="preserve"> </w:t>
      </w:r>
      <w:r w:rsidR="004458BA">
        <w:rPr>
          <w:sz w:val="24"/>
          <w:szCs w:val="24"/>
        </w:rPr>
        <w:t xml:space="preserve">In total, we expect to receive </w:t>
      </w:r>
      <w:r w:rsidR="008E4884">
        <w:rPr>
          <w:sz w:val="24"/>
          <w:szCs w:val="24"/>
        </w:rPr>
        <w:t>4,102,388</w:t>
      </w:r>
      <w:r w:rsidR="002D0494">
        <w:rPr>
          <w:sz w:val="24"/>
          <w:szCs w:val="24"/>
        </w:rPr>
        <w:t xml:space="preserve"> </w:t>
      </w:r>
      <w:r w:rsidR="004458BA">
        <w:rPr>
          <w:sz w:val="24"/>
          <w:szCs w:val="24"/>
        </w:rPr>
        <w:t xml:space="preserve">responses. </w:t>
      </w:r>
      <w:r w:rsidRPr="006B6FD6">
        <w:rPr>
          <w:sz w:val="24"/>
          <w:szCs w:val="24"/>
        </w:rPr>
        <w:t xml:space="preserve">Time estimates in each case are based on informal trials of new users and/or staff; </w:t>
      </w:r>
      <w:r w:rsidR="003071C6">
        <w:rPr>
          <w:sz w:val="24"/>
          <w:szCs w:val="24"/>
        </w:rPr>
        <w:t xml:space="preserve">user and </w:t>
      </w:r>
      <w:r w:rsidRPr="006B6FD6">
        <w:rPr>
          <w:sz w:val="24"/>
          <w:szCs w:val="24"/>
        </w:rPr>
        <w:t>response numbers are estimated future 3-year averages, based on linear projections of data submitted since 201</w:t>
      </w:r>
      <w:r w:rsidR="007D7144">
        <w:rPr>
          <w:sz w:val="24"/>
          <w:szCs w:val="24"/>
        </w:rPr>
        <w:t>2</w:t>
      </w:r>
      <w:r w:rsidRPr="006B6FD6">
        <w:rPr>
          <w:sz w:val="24"/>
          <w:szCs w:val="24"/>
        </w:rPr>
        <w:t>.</w:t>
      </w:r>
    </w:p>
    <w:p w:rsidR="005E0810" w:rsidRPr="006B6FD6" w:rsidP="005E0810" w14:paraId="0708F45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4FB6" w:rsidRPr="00817A29" w:rsidP="0088732F" w14:paraId="747029F5" w14:textId="76E280E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6FD6">
        <w:rPr>
          <w:sz w:val="24"/>
          <w:szCs w:val="24"/>
        </w:rPr>
        <w:t xml:space="preserve">We estimate the dollar value of the annual </w:t>
      </w:r>
      <w:r w:rsidR="00817A29">
        <w:rPr>
          <w:sz w:val="24"/>
          <w:szCs w:val="24"/>
        </w:rPr>
        <w:t xml:space="preserve">responder </w:t>
      </w:r>
      <w:r w:rsidRPr="006B6FD6">
        <w:rPr>
          <w:sz w:val="24"/>
          <w:szCs w:val="24"/>
        </w:rPr>
        <w:t xml:space="preserve">burden hours to be </w:t>
      </w:r>
      <w:r w:rsidRPr="008E4884" w:rsidR="004458BA">
        <w:rPr>
          <w:sz w:val="24"/>
          <w:szCs w:val="24"/>
          <w:lang w:val="en-CA"/>
        </w:rPr>
        <w:t>$</w:t>
      </w:r>
      <w:r w:rsidRPr="008E4884" w:rsidR="008E4884">
        <w:rPr>
          <w:sz w:val="24"/>
          <w:szCs w:val="24"/>
          <w:lang w:val="en-CA"/>
        </w:rPr>
        <w:t>6,213,263</w:t>
      </w:r>
      <w:r w:rsidRPr="008E4884" w:rsidR="00817A29">
        <w:rPr>
          <w:sz w:val="24"/>
          <w:szCs w:val="24"/>
          <w:lang w:val="en-CA"/>
        </w:rPr>
        <w:t xml:space="preserve">, as </w:t>
      </w:r>
      <w:r w:rsidR="00817A29">
        <w:rPr>
          <w:sz w:val="24"/>
          <w:szCs w:val="24"/>
          <w:lang w:val="en-CA"/>
        </w:rPr>
        <w:t>calculated</w:t>
      </w:r>
      <w:r w:rsidR="0088732F">
        <w:rPr>
          <w:sz w:val="24"/>
          <w:szCs w:val="24"/>
        </w:rPr>
        <w:t xml:space="preserve"> </w:t>
      </w:r>
      <w:r w:rsidRPr="00817A29">
        <w:rPr>
          <w:sz w:val="24"/>
          <w:szCs w:val="24"/>
        </w:rPr>
        <w:t>using information from Bu</w:t>
      </w:r>
      <w:r w:rsidRPr="00817A29" w:rsidR="00817A29">
        <w:rPr>
          <w:sz w:val="24"/>
          <w:szCs w:val="24"/>
        </w:rPr>
        <w:t xml:space="preserve">reau of Labor Statistics </w:t>
      </w:r>
      <w:r w:rsidRPr="0054202A" w:rsidR="0054202A">
        <w:rPr>
          <w:sz w:val="24"/>
          <w:szCs w:val="24"/>
        </w:rPr>
        <w:t>USDL-23-0488</w:t>
      </w:r>
      <w:r w:rsidRPr="00817A29">
        <w:rPr>
          <w:sz w:val="24"/>
          <w:szCs w:val="24"/>
        </w:rPr>
        <w:t xml:space="preserve">, Employer Cost for Employee Compensation, published </w:t>
      </w:r>
      <w:r w:rsidR="0054202A">
        <w:rPr>
          <w:sz w:val="24"/>
          <w:szCs w:val="24"/>
        </w:rPr>
        <w:t>March</w:t>
      </w:r>
      <w:r w:rsidRPr="00817A29">
        <w:rPr>
          <w:sz w:val="24"/>
          <w:szCs w:val="24"/>
        </w:rPr>
        <w:t xml:space="preserve"> </w:t>
      </w:r>
      <w:r w:rsidRPr="00817A29" w:rsidR="00817A29">
        <w:rPr>
          <w:sz w:val="24"/>
          <w:szCs w:val="24"/>
        </w:rPr>
        <w:t>1</w:t>
      </w:r>
      <w:r w:rsidR="0054202A">
        <w:rPr>
          <w:sz w:val="24"/>
          <w:szCs w:val="24"/>
        </w:rPr>
        <w:t>7</w:t>
      </w:r>
      <w:r w:rsidRPr="00817A29" w:rsidR="00817A29">
        <w:rPr>
          <w:sz w:val="24"/>
          <w:szCs w:val="24"/>
        </w:rPr>
        <w:t>, 20</w:t>
      </w:r>
      <w:r w:rsidR="0054202A">
        <w:rPr>
          <w:sz w:val="24"/>
          <w:szCs w:val="24"/>
        </w:rPr>
        <w:t>23</w:t>
      </w:r>
      <w:r w:rsidRPr="00817A29">
        <w:rPr>
          <w:sz w:val="24"/>
          <w:szCs w:val="24"/>
        </w:rPr>
        <w:t>. BLS reported employee compensation f</w:t>
      </w:r>
      <w:r w:rsidRPr="00817A29" w:rsidR="00817A29">
        <w:rPr>
          <w:sz w:val="24"/>
          <w:szCs w:val="24"/>
        </w:rPr>
        <w:t>or Private Industry averaged $</w:t>
      </w:r>
      <w:r w:rsidR="004A5DC7">
        <w:rPr>
          <w:sz w:val="24"/>
          <w:szCs w:val="24"/>
        </w:rPr>
        <w:t>42.48</w:t>
      </w:r>
      <w:r w:rsidRPr="00817A29">
        <w:rPr>
          <w:sz w:val="24"/>
          <w:szCs w:val="24"/>
        </w:rPr>
        <w:t xml:space="preserve"> per hour and for state and local gove</w:t>
      </w:r>
      <w:r w:rsidRPr="00817A29" w:rsidR="00817A29">
        <w:rPr>
          <w:sz w:val="24"/>
          <w:szCs w:val="24"/>
        </w:rPr>
        <w:t>rnment employees averaged $</w:t>
      </w:r>
      <w:r w:rsidR="0054202A">
        <w:rPr>
          <w:sz w:val="24"/>
          <w:szCs w:val="24"/>
        </w:rPr>
        <w:t>57.60</w:t>
      </w:r>
      <w:r w:rsidRPr="00817A29">
        <w:rPr>
          <w:sz w:val="24"/>
          <w:szCs w:val="24"/>
        </w:rPr>
        <w:t xml:space="preserve"> per hour. These values include benefits and overtime. </w:t>
      </w:r>
    </w:p>
    <w:p w:rsidR="00740AF4" w14:paraId="45E0A9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Pr="00FD2B4E" w14:paraId="1D2C4D79" w14:textId="4D6242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FD2B4E">
        <w:rPr>
          <w:i/>
          <w:iCs/>
          <w:sz w:val="24"/>
          <w:szCs w:val="24"/>
        </w:rPr>
        <w:t>Table 2: Responder Burden</w:t>
      </w:r>
    </w:p>
    <w:p w:rsidR="00FD2B4E" w14:paraId="6B0CB1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480" w:type="dxa"/>
        <w:tblInd w:w="-38" w:type="dxa"/>
        <w:tblLayout w:type="fixed"/>
        <w:tblLook w:val="0000"/>
      </w:tblPr>
      <w:tblGrid>
        <w:gridCol w:w="2420"/>
        <w:gridCol w:w="2100"/>
        <w:gridCol w:w="1740"/>
        <w:gridCol w:w="1580"/>
        <w:gridCol w:w="1640"/>
      </w:tblGrid>
      <w:tr w14:paraId="7E02820E" w14:textId="77777777" w:rsidTr="008E4884">
        <w:tblPrEx>
          <w:tblW w:w="9480" w:type="dxa"/>
          <w:tblInd w:w="-38" w:type="dxa"/>
          <w:tblLayout w:type="fixed"/>
          <w:tblLook w:val="0000"/>
        </w:tblPrEx>
        <w:trPr>
          <w:trHeight w:val="640"/>
        </w:trPr>
        <w:tc>
          <w:tcPr>
            <w:tcW w:w="2420" w:type="dxa"/>
            <w:tcBorders>
              <w:top w:val="single" w:sz="6" w:space="0" w:color="auto"/>
              <w:left w:val="single" w:sz="6" w:space="0" w:color="auto"/>
              <w:bottom w:val="single" w:sz="6" w:space="0" w:color="auto"/>
              <w:right w:val="single" w:sz="6" w:space="0" w:color="auto"/>
            </w:tcBorders>
          </w:tcPr>
          <w:p w:rsidR="008E4884" w14:paraId="5124F233" w14:textId="77777777">
            <w:pPr>
              <w:widowControl/>
              <w:jc w:val="right"/>
              <w:rPr>
                <w:color w:val="000000"/>
                <w:sz w:val="24"/>
                <w:szCs w:val="24"/>
              </w:rPr>
            </w:pPr>
          </w:p>
        </w:tc>
        <w:tc>
          <w:tcPr>
            <w:tcW w:w="2100" w:type="dxa"/>
            <w:tcBorders>
              <w:top w:val="single" w:sz="6" w:space="0" w:color="auto"/>
              <w:left w:val="single" w:sz="6" w:space="0" w:color="auto"/>
              <w:bottom w:val="single" w:sz="6" w:space="0" w:color="auto"/>
              <w:right w:val="single" w:sz="6" w:space="0" w:color="auto"/>
            </w:tcBorders>
          </w:tcPr>
          <w:p w:rsidR="008E4884" w14:paraId="116C66DF" w14:textId="77777777">
            <w:pPr>
              <w:widowControl/>
              <w:rPr>
                <w:b/>
                <w:bCs/>
                <w:color w:val="000000"/>
                <w:sz w:val="24"/>
                <w:szCs w:val="24"/>
              </w:rPr>
            </w:pPr>
            <w:r>
              <w:rPr>
                <w:b/>
                <w:bCs/>
                <w:color w:val="000000"/>
                <w:sz w:val="24"/>
                <w:szCs w:val="24"/>
              </w:rPr>
              <w:t>Number of Responses</w:t>
            </w:r>
          </w:p>
        </w:tc>
        <w:tc>
          <w:tcPr>
            <w:tcW w:w="1740" w:type="dxa"/>
            <w:tcBorders>
              <w:top w:val="single" w:sz="6" w:space="0" w:color="auto"/>
              <w:left w:val="single" w:sz="6" w:space="0" w:color="auto"/>
              <w:bottom w:val="single" w:sz="6" w:space="0" w:color="auto"/>
              <w:right w:val="single" w:sz="6" w:space="0" w:color="auto"/>
            </w:tcBorders>
          </w:tcPr>
          <w:p w:rsidR="008E4884" w14:paraId="06B33269" w14:textId="77777777">
            <w:pPr>
              <w:widowControl/>
              <w:rPr>
                <w:b/>
                <w:bCs/>
                <w:color w:val="000000"/>
                <w:sz w:val="24"/>
                <w:szCs w:val="24"/>
              </w:rPr>
            </w:pPr>
            <w:r>
              <w:rPr>
                <w:b/>
                <w:bCs/>
                <w:color w:val="000000"/>
                <w:sz w:val="24"/>
                <w:szCs w:val="24"/>
              </w:rPr>
              <w:t>Minutes per response</w:t>
            </w:r>
          </w:p>
        </w:tc>
        <w:tc>
          <w:tcPr>
            <w:tcW w:w="1580" w:type="dxa"/>
            <w:tcBorders>
              <w:top w:val="single" w:sz="6" w:space="0" w:color="auto"/>
              <w:left w:val="single" w:sz="6" w:space="0" w:color="auto"/>
              <w:bottom w:val="single" w:sz="6" w:space="0" w:color="auto"/>
              <w:right w:val="single" w:sz="6" w:space="0" w:color="auto"/>
            </w:tcBorders>
          </w:tcPr>
          <w:p w:rsidR="008E4884" w14:paraId="23A19EDE" w14:textId="77777777">
            <w:pPr>
              <w:widowControl/>
              <w:rPr>
                <w:b/>
                <w:bCs/>
                <w:color w:val="000000"/>
                <w:sz w:val="24"/>
                <w:szCs w:val="24"/>
              </w:rPr>
            </w:pPr>
            <w:r>
              <w:rPr>
                <w:b/>
                <w:bCs/>
                <w:color w:val="000000"/>
                <w:sz w:val="24"/>
                <w:szCs w:val="24"/>
              </w:rPr>
              <w:t>Burden Hours</w:t>
            </w:r>
          </w:p>
        </w:tc>
        <w:tc>
          <w:tcPr>
            <w:tcW w:w="1640" w:type="dxa"/>
            <w:tcBorders>
              <w:top w:val="single" w:sz="6" w:space="0" w:color="auto"/>
              <w:left w:val="single" w:sz="6" w:space="0" w:color="auto"/>
              <w:bottom w:val="single" w:sz="6" w:space="0" w:color="auto"/>
              <w:right w:val="single" w:sz="6" w:space="0" w:color="auto"/>
            </w:tcBorders>
          </w:tcPr>
          <w:p w:rsidR="008E4884" w14:paraId="0A587162" w14:textId="77777777">
            <w:pPr>
              <w:widowControl/>
              <w:rPr>
                <w:b/>
                <w:bCs/>
                <w:color w:val="000000"/>
                <w:sz w:val="24"/>
                <w:szCs w:val="24"/>
              </w:rPr>
            </w:pPr>
            <w:r>
              <w:rPr>
                <w:b/>
                <w:bCs/>
                <w:color w:val="000000"/>
                <w:sz w:val="24"/>
                <w:szCs w:val="24"/>
              </w:rPr>
              <w:t>Burden Cost</w:t>
            </w:r>
          </w:p>
        </w:tc>
      </w:tr>
      <w:tr w14:paraId="02F85F46" w14:textId="77777777" w:rsidTr="008E4884">
        <w:tblPrEx>
          <w:tblW w:w="9480" w:type="dxa"/>
          <w:tblInd w:w="-38" w:type="dxa"/>
          <w:tblLayout w:type="fixed"/>
          <w:tblLook w:val="0000"/>
        </w:tblPrEx>
        <w:trPr>
          <w:trHeight w:val="300"/>
        </w:trPr>
        <w:tc>
          <w:tcPr>
            <w:tcW w:w="2420" w:type="dxa"/>
            <w:tcBorders>
              <w:top w:val="single" w:sz="6" w:space="0" w:color="auto"/>
              <w:left w:val="single" w:sz="6" w:space="0" w:color="auto"/>
              <w:bottom w:val="single" w:sz="6" w:space="0" w:color="auto"/>
              <w:right w:val="single" w:sz="6" w:space="0" w:color="auto"/>
            </w:tcBorders>
            <w:shd w:val="solid" w:color="CCCCFF" w:fill="auto"/>
          </w:tcPr>
          <w:p w:rsidR="008E4884" w14:paraId="414461E6" w14:textId="77777777">
            <w:pPr>
              <w:widowControl/>
              <w:rPr>
                <w:b/>
                <w:bCs/>
                <w:color w:val="000000"/>
                <w:sz w:val="24"/>
                <w:szCs w:val="24"/>
              </w:rPr>
            </w:pPr>
            <w:r>
              <w:rPr>
                <w:b/>
                <w:bCs/>
                <w:color w:val="000000"/>
                <w:sz w:val="24"/>
                <w:szCs w:val="24"/>
              </w:rPr>
              <w:t>All Users</w:t>
            </w:r>
          </w:p>
        </w:tc>
        <w:tc>
          <w:tcPr>
            <w:tcW w:w="2100" w:type="dxa"/>
            <w:tcBorders>
              <w:top w:val="single" w:sz="6" w:space="0" w:color="auto"/>
              <w:left w:val="single" w:sz="6" w:space="0" w:color="auto"/>
              <w:bottom w:val="single" w:sz="6" w:space="0" w:color="auto"/>
              <w:right w:val="single" w:sz="6" w:space="0" w:color="auto"/>
            </w:tcBorders>
            <w:shd w:val="solid" w:color="CCCCFF" w:fill="auto"/>
          </w:tcPr>
          <w:p w:rsidR="008E4884" w14:paraId="776C9655" w14:textId="77777777">
            <w:pPr>
              <w:widowControl/>
              <w:jc w:val="right"/>
              <w:rPr>
                <w:b/>
                <w:bCs/>
                <w:color w:val="000000"/>
                <w:sz w:val="24"/>
                <w:szCs w:val="24"/>
              </w:rPr>
            </w:pPr>
            <w:r>
              <w:rPr>
                <w:b/>
                <w:bCs/>
                <w:color w:val="000000"/>
                <w:sz w:val="24"/>
                <w:szCs w:val="24"/>
              </w:rPr>
              <w:t xml:space="preserve">                       6,598 </w:t>
            </w:r>
          </w:p>
        </w:tc>
        <w:tc>
          <w:tcPr>
            <w:tcW w:w="1740" w:type="dxa"/>
            <w:tcBorders>
              <w:top w:val="single" w:sz="6" w:space="0" w:color="auto"/>
              <w:left w:val="single" w:sz="6" w:space="0" w:color="auto"/>
              <w:bottom w:val="single" w:sz="6" w:space="0" w:color="auto"/>
              <w:right w:val="single" w:sz="6" w:space="0" w:color="auto"/>
            </w:tcBorders>
            <w:shd w:val="solid" w:color="CCCCFF" w:fill="auto"/>
          </w:tcPr>
          <w:p w:rsidR="008E4884" w14:paraId="1BD03CA8" w14:textId="77777777">
            <w:pPr>
              <w:widowControl/>
              <w:jc w:val="right"/>
              <w:rPr>
                <w:b/>
                <w:bCs/>
                <w:color w:val="000000"/>
                <w:sz w:val="24"/>
                <w:szCs w:val="24"/>
              </w:rPr>
            </w:pPr>
          </w:p>
        </w:tc>
        <w:tc>
          <w:tcPr>
            <w:tcW w:w="1580" w:type="dxa"/>
            <w:tcBorders>
              <w:top w:val="single" w:sz="6" w:space="0" w:color="auto"/>
              <w:left w:val="single" w:sz="6" w:space="0" w:color="auto"/>
              <w:bottom w:val="single" w:sz="6" w:space="0" w:color="auto"/>
              <w:right w:val="single" w:sz="6" w:space="0" w:color="auto"/>
            </w:tcBorders>
            <w:shd w:val="solid" w:color="CCCCFF" w:fill="auto"/>
          </w:tcPr>
          <w:p w:rsidR="008E4884" w14:paraId="1EB3C396" w14:textId="77777777">
            <w:pPr>
              <w:widowControl/>
              <w:jc w:val="right"/>
              <w:rPr>
                <w:b/>
                <w:bCs/>
                <w:color w:val="000000"/>
                <w:sz w:val="24"/>
                <w:szCs w:val="24"/>
              </w:rPr>
            </w:pPr>
          </w:p>
        </w:tc>
        <w:tc>
          <w:tcPr>
            <w:tcW w:w="1640" w:type="dxa"/>
            <w:tcBorders>
              <w:top w:val="single" w:sz="6" w:space="0" w:color="auto"/>
              <w:left w:val="single" w:sz="6" w:space="0" w:color="auto"/>
              <w:bottom w:val="single" w:sz="6" w:space="0" w:color="auto"/>
              <w:right w:val="single" w:sz="6" w:space="0" w:color="auto"/>
            </w:tcBorders>
            <w:shd w:val="solid" w:color="CCCCFF" w:fill="auto"/>
          </w:tcPr>
          <w:p w:rsidR="008E4884" w14:paraId="71632110" w14:textId="77777777">
            <w:pPr>
              <w:widowControl/>
              <w:jc w:val="right"/>
              <w:rPr>
                <w:b/>
                <w:bCs/>
                <w:color w:val="000000"/>
                <w:sz w:val="24"/>
                <w:szCs w:val="24"/>
              </w:rPr>
            </w:pPr>
          </w:p>
        </w:tc>
      </w:tr>
      <w:tr w14:paraId="1A78DD12" w14:textId="77777777" w:rsidTr="008E4884">
        <w:tblPrEx>
          <w:tblW w:w="9480" w:type="dxa"/>
          <w:tblInd w:w="-38" w:type="dxa"/>
          <w:tblLayout w:type="fixed"/>
          <w:tblLook w:val="0000"/>
        </w:tblPrEx>
        <w:trPr>
          <w:trHeight w:val="320"/>
        </w:trPr>
        <w:tc>
          <w:tcPr>
            <w:tcW w:w="2420" w:type="dxa"/>
            <w:tcBorders>
              <w:top w:val="single" w:sz="6" w:space="0" w:color="auto"/>
              <w:left w:val="single" w:sz="6" w:space="0" w:color="auto"/>
              <w:bottom w:val="single" w:sz="6" w:space="0" w:color="auto"/>
              <w:right w:val="single" w:sz="6" w:space="0" w:color="auto"/>
            </w:tcBorders>
          </w:tcPr>
          <w:p w:rsidR="004113FC" w:rsidP="004113FC" w14:paraId="0D6BA8AB" w14:textId="77777777">
            <w:pPr>
              <w:widowControl/>
              <w:rPr>
                <w:b/>
                <w:bCs/>
                <w:color w:val="000000"/>
                <w:sz w:val="24"/>
                <w:szCs w:val="24"/>
              </w:rPr>
            </w:pPr>
            <w:r>
              <w:rPr>
                <w:b/>
                <w:bCs/>
                <w:color w:val="000000"/>
                <w:sz w:val="24"/>
                <w:szCs w:val="24"/>
              </w:rPr>
              <w:t>Members of the Public</w:t>
            </w:r>
          </w:p>
        </w:tc>
        <w:tc>
          <w:tcPr>
            <w:tcW w:w="2100" w:type="dxa"/>
            <w:tcBorders>
              <w:top w:val="single" w:sz="6" w:space="0" w:color="auto"/>
              <w:left w:val="single" w:sz="6" w:space="0" w:color="auto"/>
              <w:bottom w:val="single" w:sz="6" w:space="0" w:color="auto"/>
              <w:right w:val="single" w:sz="6" w:space="0" w:color="auto"/>
            </w:tcBorders>
          </w:tcPr>
          <w:p w:rsidR="004113FC" w:rsidP="004113FC" w14:paraId="7632705A" w14:textId="3665A909">
            <w:pPr>
              <w:widowControl/>
              <w:jc w:val="right"/>
              <w:rPr>
                <w:b/>
                <w:bCs/>
                <w:color w:val="000000"/>
                <w:sz w:val="24"/>
                <w:szCs w:val="24"/>
              </w:rPr>
            </w:pPr>
            <w:r>
              <w:rPr>
                <w:b/>
                <w:bCs/>
                <w:color w:val="000000"/>
                <w:sz w:val="24"/>
                <w:szCs w:val="24"/>
              </w:rPr>
              <w:t>6598</w:t>
            </w:r>
          </w:p>
        </w:tc>
        <w:tc>
          <w:tcPr>
            <w:tcW w:w="1740" w:type="dxa"/>
            <w:tcBorders>
              <w:top w:val="single" w:sz="6" w:space="0" w:color="auto"/>
              <w:left w:val="single" w:sz="6" w:space="0" w:color="auto"/>
              <w:bottom w:val="single" w:sz="6" w:space="0" w:color="auto"/>
              <w:right w:val="single" w:sz="6" w:space="0" w:color="auto"/>
            </w:tcBorders>
          </w:tcPr>
          <w:p w:rsidR="004113FC" w:rsidP="004113FC" w14:paraId="080D2170" w14:textId="77777777">
            <w:pPr>
              <w:widowControl/>
              <w:jc w:val="right"/>
              <w:rPr>
                <w:color w:val="000000"/>
                <w:sz w:val="24"/>
                <w:szCs w:val="24"/>
              </w:rPr>
            </w:pPr>
          </w:p>
        </w:tc>
        <w:tc>
          <w:tcPr>
            <w:tcW w:w="1580" w:type="dxa"/>
            <w:tcBorders>
              <w:top w:val="single" w:sz="6" w:space="0" w:color="auto"/>
              <w:left w:val="single" w:sz="6" w:space="0" w:color="auto"/>
              <w:bottom w:val="single" w:sz="6" w:space="0" w:color="auto"/>
              <w:right w:val="single" w:sz="6" w:space="0" w:color="auto"/>
            </w:tcBorders>
          </w:tcPr>
          <w:p w:rsidR="004113FC" w:rsidP="004113FC" w14:paraId="7AC87903" w14:textId="77777777">
            <w:pPr>
              <w:widowControl/>
              <w:jc w:val="right"/>
              <w:rPr>
                <w:color w:val="000000"/>
                <w:sz w:val="24"/>
                <w:szCs w:val="24"/>
              </w:rPr>
            </w:pPr>
          </w:p>
        </w:tc>
        <w:tc>
          <w:tcPr>
            <w:tcW w:w="1640" w:type="dxa"/>
            <w:tcBorders>
              <w:top w:val="single" w:sz="6" w:space="0" w:color="auto"/>
              <w:left w:val="single" w:sz="6" w:space="0" w:color="auto"/>
              <w:bottom w:val="single" w:sz="6" w:space="0" w:color="auto"/>
              <w:right w:val="single" w:sz="6" w:space="0" w:color="auto"/>
            </w:tcBorders>
          </w:tcPr>
          <w:p w:rsidR="004113FC" w:rsidP="004113FC" w14:paraId="77D7522F" w14:textId="77777777">
            <w:pPr>
              <w:widowControl/>
              <w:jc w:val="right"/>
              <w:rPr>
                <w:color w:val="000000"/>
                <w:sz w:val="24"/>
                <w:szCs w:val="24"/>
              </w:rPr>
            </w:pPr>
          </w:p>
        </w:tc>
      </w:tr>
      <w:tr w14:paraId="19A0DF27" w14:textId="77777777" w:rsidTr="008E4884">
        <w:tblPrEx>
          <w:tblW w:w="9480" w:type="dxa"/>
          <w:tblInd w:w="-38" w:type="dxa"/>
          <w:tblLayout w:type="fixed"/>
          <w:tblLook w:val="0000"/>
        </w:tblPrEx>
        <w:trPr>
          <w:trHeight w:val="320"/>
        </w:trPr>
        <w:tc>
          <w:tcPr>
            <w:tcW w:w="2420" w:type="dxa"/>
            <w:tcBorders>
              <w:top w:val="single" w:sz="6" w:space="0" w:color="auto"/>
              <w:left w:val="single" w:sz="6" w:space="0" w:color="auto"/>
              <w:bottom w:val="single" w:sz="6" w:space="0" w:color="auto"/>
              <w:right w:val="single" w:sz="6" w:space="0" w:color="auto"/>
            </w:tcBorders>
          </w:tcPr>
          <w:p w:rsidR="004113FC" w:rsidP="004113FC" w14:paraId="29C5C917" w14:textId="77777777">
            <w:pPr>
              <w:widowControl/>
              <w:rPr>
                <w:color w:val="000000"/>
                <w:sz w:val="24"/>
                <w:szCs w:val="24"/>
              </w:rPr>
            </w:pPr>
            <w:r>
              <w:rPr>
                <w:color w:val="000000"/>
                <w:sz w:val="24"/>
                <w:szCs w:val="24"/>
              </w:rPr>
              <w:t>Register</w:t>
            </w:r>
          </w:p>
        </w:tc>
        <w:tc>
          <w:tcPr>
            <w:tcW w:w="2100" w:type="dxa"/>
            <w:tcBorders>
              <w:top w:val="single" w:sz="6" w:space="0" w:color="auto"/>
              <w:left w:val="single" w:sz="6" w:space="0" w:color="auto"/>
              <w:bottom w:val="single" w:sz="6" w:space="0" w:color="auto"/>
              <w:right w:val="single" w:sz="6" w:space="0" w:color="auto"/>
            </w:tcBorders>
          </w:tcPr>
          <w:p w:rsidR="004113FC" w:rsidP="004113FC" w14:paraId="23C0511F" w14:textId="02FDF445">
            <w:pPr>
              <w:widowControl/>
              <w:jc w:val="right"/>
              <w:rPr>
                <w:color w:val="000000"/>
                <w:sz w:val="24"/>
                <w:szCs w:val="24"/>
              </w:rPr>
            </w:pPr>
            <w:r>
              <w:rPr>
                <w:color w:val="000000"/>
                <w:sz w:val="24"/>
                <w:szCs w:val="24"/>
              </w:rPr>
              <w:t xml:space="preserve">                       5,938 </w:t>
            </w:r>
          </w:p>
        </w:tc>
        <w:tc>
          <w:tcPr>
            <w:tcW w:w="1740" w:type="dxa"/>
            <w:tcBorders>
              <w:top w:val="single" w:sz="6" w:space="0" w:color="auto"/>
              <w:left w:val="single" w:sz="6" w:space="0" w:color="auto"/>
              <w:bottom w:val="single" w:sz="6" w:space="0" w:color="auto"/>
              <w:right w:val="single" w:sz="6" w:space="0" w:color="auto"/>
            </w:tcBorders>
          </w:tcPr>
          <w:p w:rsidR="004113FC" w:rsidP="004113FC" w14:paraId="23F4DCF8" w14:textId="77777777">
            <w:pPr>
              <w:widowControl/>
              <w:jc w:val="right"/>
              <w:rPr>
                <w:color w:val="000000"/>
                <w:sz w:val="24"/>
                <w:szCs w:val="24"/>
              </w:rPr>
            </w:pPr>
            <w:r>
              <w:rPr>
                <w:color w:val="000000"/>
                <w:sz w:val="24"/>
                <w:szCs w:val="24"/>
              </w:rPr>
              <w:t xml:space="preserve">                      13 </w:t>
            </w:r>
          </w:p>
        </w:tc>
        <w:tc>
          <w:tcPr>
            <w:tcW w:w="1580" w:type="dxa"/>
            <w:tcBorders>
              <w:top w:val="single" w:sz="6" w:space="0" w:color="auto"/>
              <w:left w:val="single" w:sz="6" w:space="0" w:color="auto"/>
              <w:bottom w:val="single" w:sz="6" w:space="0" w:color="auto"/>
              <w:right w:val="single" w:sz="6" w:space="0" w:color="auto"/>
            </w:tcBorders>
          </w:tcPr>
          <w:p w:rsidR="004113FC" w:rsidP="004113FC" w14:paraId="03CDCD3F" w14:textId="77777777">
            <w:pPr>
              <w:widowControl/>
              <w:jc w:val="right"/>
              <w:rPr>
                <w:color w:val="000000"/>
                <w:sz w:val="24"/>
                <w:szCs w:val="24"/>
              </w:rPr>
            </w:pPr>
            <w:r>
              <w:rPr>
                <w:color w:val="000000"/>
                <w:sz w:val="24"/>
                <w:szCs w:val="24"/>
              </w:rPr>
              <w:t xml:space="preserve">              1,287 </w:t>
            </w:r>
          </w:p>
        </w:tc>
        <w:tc>
          <w:tcPr>
            <w:tcW w:w="1640" w:type="dxa"/>
            <w:tcBorders>
              <w:top w:val="single" w:sz="6" w:space="0" w:color="auto"/>
              <w:left w:val="single" w:sz="6" w:space="0" w:color="auto"/>
              <w:bottom w:val="single" w:sz="6" w:space="0" w:color="auto"/>
              <w:right w:val="single" w:sz="6" w:space="0" w:color="auto"/>
            </w:tcBorders>
          </w:tcPr>
          <w:p w:rsidR="004113FC" w:rsidP="004113FC" w14:paraId="09479161" w14:textId="77777777">
            <w:pPr>
              <w:widowControl/>
              <w:jc w:val="right"/>
              <w:rPr>
                <w:color w:val="000000"/>
                <w:sz w:val="24"/>
                <w:szCs w:val="24"/>
              </w:rPr>
            </w:pPr>
            <w:r>
              <w:rPr>
                <w:color w:val="000000"/>
                <w:sz w:val="24"/>
                <w:szCs w:val="24"/>
              </w:rPr>
              <w:t>$54,672</w:t>
            </w:r>
          </w:p>
        </w:tc>
      </w:tr>
      <w:tr w14:paraId="4E5CFF19" w14:textId="77777777" w:rsidTr="008E4884">
        <w:tblPrEx>
          <w:tblW w:w="9480" w:type="dxa"/>
          <w:tblInd w:w="-38" w:type="dxa"/>
          <w:tblLayout w:type="fixed"/>
          <w:tblLook w:val="0000"/>
        </w:tblPrEx>
        <w:trPr>
          <w:trHeight w:val="300"/>
        </w:trPr>
        <w:tc>
          <w:tcPr>
            <w:tcW w:w="2420" w:type="dxa"/>
            <w:tcBorders>
              <w:top w:val="single" w:sz="6" w:space="0" w:color="auto"/>
              <w:left w:val="single" w:sz="6" w:space="0" w:color="auto"/>
              <w:bottom w:val="single" w:sz="6" w:space="0" w:color="auto"/>
              <w:right w:val="single" w:sz="6" w:space="0" w:color="auto"/>
            </w:tcBorders>
          </w:tcPr>
          <w:p w:rsidR="004113FC" w:rsidP="004113FC" w14:paraId="4B9D9563" w14:textId="77777777">
            <w:pPr>
              <w:widowControl/>
              <w:rPr>
                <w:color w:val="000000"/>
                <w:sz w:val="24"/>
                <w:szCs w:val="24"/>
              </w:rPr>
            </w:pPr>
            <w:r>
              <w:rPr>
                <w:color w:val="000000"/>
                <w:sz w:val="24"/>
                <w:szCs w:val="24"/>
              </w:rPr>
              <w:t>Complete Course</w:t>
            </w:r>
          </w:p>
        </w:tc>
        <w:tc>
          <w:tcPr>
            <w:tcW w:w="2100" w:type="dxa"/>
            <w:tcBorders>
              <w:top w:val="single" w:sz="6" w:space="0" w:color="auto"/>
              <w:left w:val="single" w:sz="6" w:space="0" w:color="auto"/>
              <w:bottom w:val="single" w:sz="6" w:space="0" w:color="auto"/>
              <w:right w:val="single" w:sz="6" w:space="0" w:color="auto"/>
            </w:tcBorders>
          </w:tcPr>
          <w:p w:rsidR="004113FC" w:rsidP="004113FC" w14:paraId="7778D5F9" w14:textId="3FC724B5">
            <w:pPr>
              <w:widowControl/>
              <w:jc w:val="right"/>
              <w:rPr>
                <w:color w:val="000000"/>
                <w:sz w:val="24"/>
                <w:szCs w:val="24"/>
              </w:rPr>
            </w:pPr>
            <w:r>
              <w:rPr>
                <w:color w:val="000000"/>
                <w:sz w:val="24"/>
                <w:szCs w:val="24"/>
              </w:rPr>
              <w:t xml:space="preserve">                          891 </w:t>
            </w:r>
          </w:p>
        </w:tc>
        <w:tc>
          <w:tcPr>
            <w:tcW w:w="1740" w:type="dxa"/>
            <w:tcBorders>
              <w:top w:val="single" w:sz="6" w:space="0" w:color="auto"/>
              <w:left w:val="single" w:sz="6" w:space="0" w:color="auto"/>
              <w:bottom w:val="single" w:sz="6" w:space="0" w:color="auto"/>
              <w:right w:val="single" w:sz="6" w:space="0" w:color="auto"/>
            </w:tcBorders>
          </w:tcPr>
          <w:p w:rsidR="004113FC" w:rsidP="004113FC" w14:paraId="71B59795" w14:textId="77777777">
            <w:pPr>
              <w:widowControl/>
              <w:jc w:val="right"/>
              <w:rPr>
                <w:color w:val="000000"/>
                <w:sz w:val="24"/>
                <w:szCs w:val="24"/>
              </w:rPr>
            </w:pPr>
            <w:r>
              <w:rPr>
                <w:color w:val="000000"/>
                <w:sz w:val="24"/>
                <w:szCs w:val="24"/>
              </w:rPr>
              <w:t xml:space="preserve">                    210 </w:t>
            </w:r>
          </w:p>
        </w:tc>
        <w:tc>
          <w:tcPr>
            <w:tcW w:w="1580" w:type="dxa"/>
            <w:tcBorders>
              <w:top w:val="single" w:sz="6" w:space="0" w:color="auto"/>
              <w:left w:val="single" w:sz="6" w:space="0" w:color="auto"/>
              <w:bottom w:val="single" w:sz="6" w:space="0" w:color="auto"/>
              <w:right w:val="single" w:sz="6" w:space="0" w:color="auto"/>
            </w:tcBorders>
          </w:tcPr>
          <w:p w:rsidR="004113FC" w:rsidP="004113FC" w14:paraId="5E851F25" w14:textId="4C53820D">
            <w:pPr>
              <w:widowControl/>
              <w:jc w:val="right"/>
              <w:rPr>
                <w:color w:val="000000"/>
                <w:sz w:val="24"/>
                <w:szCs w:val="24"/>
              </w:rPr>
            </w:pPr>
            <w:r>
              <w:rPr>
                <w:color w:val="000000"/>
                <w:sz w:val="24"/>
                <w:szCs w:val="24"/>
              </w:rPr>
              <w:t xml:space="preserve">              3,119 </w:t>
            </w:r>
          </w:p>
        </w:tc>
        <w:tc>
          <w:tcPr>
            <w:tcW w:w="1640" w:type="dxa"/>
            <w:tcBorders>
              <w:top w:val="single" w:sz="6" w:space="0" w:color="auto"/>
              <w:left w:val="single" w:sz="6" w:space="0" w:color="auto"/>
              <w:bottom w:val="single" w:sz="6" w:space="0" w:color="auto"/>
              <w:right w:val="single" w:sz="6" w:space="0" w:color="auto"/>
            </w:tcBorders>
          </w:tcPr>
          <w:p w:rsidR="004113FC" w:rsidP="004113FC" w14:paraId="3408BD90" w14:textId="2A18B560">
            <w:pPr>
              <w:widowControl/>
              <w:jc w:val="right"/>
              <w:rPr>
                <w:color w:val="000000"/>
                <w:sz w:val="24"/>
                <w:szCs w:val="24"/>
              </w:rPr>
            </w:pPr>
            <w:r>
              <w:rPr>
                <w:color w:val="000000"/>
                <w:sz w:val="24"/>
                <w:szCs w:val="24"/>
              </w:rPr>
              <w:t>$132,4</w:t>
            </w:r>
            <w:r w:rsidR="00AA7C74">
              <w:rPr>
                <w:color w:val="000000"/>
                <w:sz w:val="24"/>
                <w:szCs w:val="24"/>
              </w:rPr>
              <w:t>95</w:t>
            </w:r>
          </w:p>
        </w:tc>
      </w:tr>
      <w:tr w14:paraId="3BF80979" w14:textId="77777777" w:rsidTr="008E4884">
        <w:tblPrEx>
          <w:tblW w:w="9480" w:type="dxa"/>
          <w:tblInd w:w="-38" w:type="dxa"/>
          <w:tblLayout w:type="fixed"/>
          <w:tblLook w:val="0000"/>
        </w:tblPrEx>
        <w:trPr>
          <w:trHeight w:val="300"/>
        </w:trPr>
        <w:tc>
          <w:tcPr>
            <w:tcW w:w="2420" w:type="dxa"/>
            <w:tcBorders>
              <w:top w:val="single" w:sz="6" w:space="0" w:color="auto"/>
              <w:left w:val="single" w:sz="6" w:space="0" w:color="auto"/>
              <w:bottom w:val="single" w:sz="6" w:space="0" w:color="auto"/>
              <w:right w:val="single" w:sz="6" w:space="0" w:color="auto"/>
            </w:tcBorders>
          </w:tcPr>
          <w:p w:rsidR="004113FC" w:rsidP="004113FC" w14:paraId="60B34E5A" w14:textId="77777777">
            <w:pPr>
              <w:widowControl/>
              <w:rPr>
                <w:color w:val="000000"/>
                <w:sz w:val="24"/>
                <w:szCs w:val="24"/>
              </w:rPr>
            </w:pPr>
            <w:r>
              <w:rPr>
                <w:color w:val="000000"/>
                <w:sz w:val="24"/>
                <w:szCs w:val="24"/>
              </w:rPr>
              <w:t>Report data</w:t>
            </w:r>
          </w:p>
        </w:tc>
        <w:tc>
          <w:tcPr>
            <w:tcW w:w="2100" w:type="dxa"/>
            <w:tcBorders>
              <w:top w:val="single" w:sz="6" w:space="0" w:color="auto"/>
              <w:left w:val="single" w:sz="6" w:space="0" w:color="auto"/>
              <w:bottom w:val="single" w:sz="6" w:space="0" w:color="auto"/>
              <w:right w:val="single" w:sz="6" w:space="0" w:color="auto"/>
            </w:tcBorders>
          </w:tcPr>
          <w:p w:rsidR="004113FC" w:rsidP="004113FC" w14:paraId="59D1BE97" w14:textId="5AB4073A">
            <w:pPr>
              <w:widowControl/>
              <w:jc w:val="right"/>
              <w:rPr>
                <w:color w:val="000000"/>
                <w:sz w:val="24"/>
                <w:szCs w:val="24"/>
              </w:rPr>
            </w:pPr>
            <w:r>
              <w:rPr>
                <w:color w:val="000000"/>
                <w:sz w:val="24"/>
                <w:szCs w:val="24"/>
              </w:rPr>
              <w:t xml:space="preserve">                3,685,301 </w:t>
            </w:r>
          </w:p>
        </w:tc>
        <w:tc>
          <w:tcPr>
            <w:tcW w:w="1740" w:type="dxa"/>
            <w:tcBorders>
              <w:top w:val="single" w:sz="6" w:space="0" w:color="auto"/>
              <w:left w:val="single" w:sz="6" w:space="0" w:color="auto"/>
              <w:bottom w:val="single" w:sz="6" w:space="0" w:color="auto"/>
              <w:right w:val="single" w:sz="6" w:space="0" w:color="auto"/>
            </w:tcBorders>
          </w:tcPr>
          <w:p w:rsidR="004113FC" w:rsidP="004113FC" w14:paraId="5E899646" w14:textId="77777777">
            <w:pPr>
              <w:widowControl/>
              <w:jc w:val="right"/>
              <w:rPr>
                <w:color w:val="000000"/>
                <w:sz w:val="24"/>
                <w:szCs w:val="24"/>
              </w:rPr>
            </w:pPr>
            <w:r>
              <w:rPr>
                <w:color w:val="000000"/>
                <w:sz w:val="24"/>
                <w:szCs w:val="24"/>
              </w:rPr>
              <w:t xml:space="preserve">                        2 </w:t>
            </w:r>
          </w:p>
        </w:tc>
        <w:tc>
          <w:tcPr>
            <w:tcW w:w="1580" w:type="dxa"/>
            <w:tcBorders>
              <w:top w:val="single" w:sz="6" w:space="0" w:color="auto"/>
              <w:left w:val="single" w:sz="6" w:space="0" w:color="auto"/>
              <w:bottom w:val="single" w:sz="6" w:space="0" w:color="auto"/>
              <w:right w:val="single" w:sz="6" w:space="0" w:color="auto"/>
            </w:tcBorders>
          </w:tcPr>
          <w:p w:rsidR="004113FC" w:rsidP="004113FC" w14:paraId="5F56D917" w14:textId="6FECE1E4">
            <w:pPr>
              <w:widowControl/>
              <w:jc w:val="right"/>
              <w:rPr>
                <w:color w:val="000000"/>
                <w:sz w:val="24"/>
                <w:szCs w:val="24"/>
              </w:rPr>
            </w:pPr>
            <w:r>
              <w:rPr>
                <w:color w:val="000000"/>
                <w:sz w:val="24"/>
                <w:szCs w:val="24"/>
              </w:rPr>
              <w:t xml:space="preserve">          122,843 </w:t>
            </w:r>
          </w:p>
        </w:tc>
        <w:tc>
          <w:tcPr>
            <w:tcW w:w="1640" w:type="dxa"/>
            <w:tcBorders>
              <w:top w:val="single" w:sz="6" w:space="0" w:color="auto"/>
              <w:left w:val="single" w:sz="6" w:space="0" w:color="auto"/>
              <w:bottom w:val="single" w:sz="6" w:space="0" w:color="auto"/>
              <w:right w:val="single" w:sz="6" w:space="0" w:color="auto"/>
            </w:tcBorders>
          </w:tcPr>
          <w:p w:rsidR="004113FC" w:rsidP="004113FC" w14:paraId="21D32325" w14:textId="62FA1F5F">
            <w:pPr>
              <w:widowControl/>
              <w:jc w:val="right"/>
              <w:rPr>
                <w:color w:val="000000"/>
                <w:sz w:val="24"/>
                <w:szCs w:val="24"/>
              </w:rPr>
            </w:pPr>
            <w:r>
              <w:rPr>
                <w:color w:val="000000"/>
                <w:sz w:val="24"/>
                <w:szCs w:val="24"/>
              </w:rPr>
              <w:t>$5,218,</w:t>
            </w:r>
            <w:r w:rsidR="007247FA">
              <w:rPr>
                <w:color w:val="000000"/>
                <w:sz w:val="24"/>
                <w:szCs w:val="24"/>
              </w:rPr>
              <w:t>371</w:t>
            </w:r>
          </w:p>
        </w:tc>
      </w:tr>
      <w:tr w14:paraId="705E4E65" w14:textId="77777777" w:rsidTr="008E4884">
        <w:tblPrEx>
          <w:tblW w:w="9480" w:type="dxa"/>
          <w:tblInd w:w="-38" w:type="dxa"/>
          <w:tblLayout w:type="fixed"/>
          <w:tblLook w:val="0000"/>
        </w:tblPrEx>
        <w:trPr>
          <w:trHeight w:val="300"/>
        </w:trPr>
        <w:tc>
          <w:tcPr>
            <w:tcW w:w="2420" w:type="dxa"/>
            <w:tcBorders>
              <w:top w:val="single" w:sz="6" w:space="0" w:color="auto"/>
              <w:left w:val="single" w:sz="6" w:space="0" w:color="auto"/>
              <w:bottom w:val="single" w:sz="6" w:space="0" w:color="auto"/>
              <w:right w:val="single" w:sz="6" w:space="0" w:color="auto"/>
            </w:tcBorders>
            <w:shd w:val="solid" w:color="969696" w:fill="auto"/>
          </w:tcPr>
          <w:p w:rsidR="008E4884" w14:paraId="3590484A" w14:textId="77777777">
            <w:pPr>
              <w:widowControl/>
              <w:rPr>
                <w:b/>
                <w:bCs/>
                <w:color w:val="000000"/>
                <w:sz w:val="24"/>
                <w:szCs w:val="24"/>
              </w:rPr>
            </w:pPr>
            <w:r>
              <w:rPr>
                <w:b/>
                <w:bCs/>
                <w:color w:val="000000"/>
                <w:sz w:val="24"/>
                <w:szCs w:val="24"/>
              </w:rPr>
              <w:t>Subtotal</w:t>
            </w:r>
          </w:p>
        </w:tc>
        <w:tc>
          <w:tcPr>
            <w:tcW w:w="2100" w:type="dxa"/>
            <w:tcBorders>
              <w:top w:val="single" w:sz="6" w:space="0" w:color="auto"/>
              <w:left w:val="single" w:sz="6" w:space="0" w:color="auto"/>
              <w:bottom w:val="single" w:sz="6" w:space="0" w:color="auto"/>
              <w:right w:val="single" w:sz="6" w:space="0" w:color="auto"/>
            </w:tcBorders>
            <w:shd w:val="solid" w:color="969696" w:fill="auto"/>
          </w:tcPr>
          <w:p w:rsidR="008E4884" w14:paraId="7B3216D8" w14:textId="266404C6">
            <w:pPr>
              <w:widowControl/>
              <w:jc w:val="right"/>
              <w:rPr>
                <w:b/>
                <w:bCs/>
                <w:color w:val="000000"/>
                <w:sz w:val="24"/>
                <w:szCs w:val="24"/>
              </w:rPr>
            </w:pPr>
            <w:r>
              <w:rPr>
                <w:b/>
                <w:bCs/>
                <w:color w:val="000000"/>
                <w:sz w:val="24"/>
                <w:szCs w:val="24"/>
              </w:rPr>
              <w:t xml:space="preserve">                3,69</w:t>
            </w:r>
            <w:r w:rsidR="005A602E">
              <w:rPr>
                <w:b/>
                <w:bCs/>
                <w:color w:val="000000"/>
                <w:sz w:val="24"/>
                <w:szCs w:val="24"/>
              </w:rPr>
              <w:t>8</w:t>
            </w:r>
            <w:r>
              <w:rPr>
                <w:b/>
                <w:bCs/>
                <w:color w:val="000000"/>
                <w:sz w:val="24"/>
                <w:szCs w:val="24"/>
              </w:rPr>
              <w:t>,</w:t>
            </w:r>
            <w:r w:rsidR="00D44D5D">
              <w:rPr>
                <w:b/>
                <w:bCs/>
                <w:color w:val="000000"/>
                <w:sz w:val="24"/>
                <w:szCs w:val="24"/>
              </w:rPr>
              <w:t>728</w:t>
            </w:r>
            <w:r>
              <w:rPr>
                <w:b/>
                <w:bCs/>
                <w:color w:val="000000"/>
                <w:sz w:val="24"/>
                <w:szCs w:val="24"/>
              </w:rPr>
              <w:t xml:space="preserve"> </w:t>
            </w:r>
          </w:p>
        </w:tc>
        <w:tc>
          <w:tcPr>
            <w:tcW w:w="1740" w:type="dxa"/>
            <w:tcBorders>
              <w:top w:val="single" w:sz="6" w:space="0" w:color="auto"/>
              <w:left w:val="single" w:sz="6" w:space="0" w:color="auto"/>
              <w:bottom w:val="single" w:sz="6" w:space="0" w:color="auto"/>
              <w:right w:val="single" w:sz="6" w:space="0" w:color="auto"/>
            </w:tcBorders>
            <w:shd w:val="solid" w:color="969696" w:fill="auto"/>
          </w:tcPr>
          <w:p w:rsidR="008E4884" w14:paraId="4BA3661D" w14:textId="77777777">
            <w:pPr>
              <w:widowControl/>
              <w:jc w:val="right"/>
              <w:rPr>
                <w:b/>
                <w:bCs/>
                <w:color w:val="000000"/>
                <w:sz w:val="24"/>
                <w:szCs w:val="24"/>
              </w:rPr>
            </w:pPr>
          </w:p>
        </w:tc>
        <w:tc>
          <w:tcPr>
            <w:tcW w:w="1580" w:type="dxa"/>
            <w:tcBorders>
              <w:top w:val="single" w:sz="6" w:space="0" w:color="auto"/>
              <w:left w:val="single" w:sz="6" w:space="0" w:color="auto"/>
              <w:bottom w:val="single" w:sz="6" w:space="0" w:color="auto"/>
              <w:right w:val="single" w:sz="6" w:space="0" w:color="auto"/>
            </w:tcBorders>
            <w:shd w:val="solid" w:color="969696" w:fill="auto"/>
          </w:tcPr>
          <w:p w:rsidR="008E4884" w14:paraId="569133EF" w14:textId="77777777">
            <w:pPr>
              <w:widowControl/>
              <w:jc w:val="right"/>
              <w:rPr>
                <w:b/>
                <w:bCs/>
                <w:color w:val="000000"/>
                <w:sz w:val="24"/>
                <w:szCs w:val="24"/>
              </w:rPr>
            </w:pPr>
            <w:r>
              <w:rPr>
                <w:b/>
                <w:bCs/>
                <w:color w:val="000000"/>
                <w:sz w:val="24"/>
                <w:szCs w:val="24"/>
              </w:rPr>
              <w:t xml:space="preserve">          127,249 </w:t>
            </w:r>
          </w:p>
        </w:tc>
        <w:tc>
          <w:tcPr>
            <w:tcW w:w="1640" w:type="dxa"/>
            <w:tcBorders>
              <w:top w:val="single" w:sz="6" w:space="0" w:color="auto"/>
              <w:left w:val="single" w:sz="6" w:space="0" w:color="auto"/>
              <w:bottom w:val="single" w:sz="6" w:space="0" w:color="auto"/>
              <w:right w:val="single" w:sz="6" w:space="0" w:color="auto"/>
            </w:tcBorders>
            <w:shd w:val="solid" w:color="969696" w:fill="auto"/>
          </w:tcPr>
          <w:p w:rsidR="008E4884" w14:paraId="1B824A04" w14:textId="77777777">
            <w:pPr>
              <w:widowControl/>
              <w:jc w:val="right"/>
              <w:rPr>
                <w:b/>
                <w:bCs/>
                <w:color w:val="000000"/>
                <w:sz w:val="24"/>
                <w:szCs w:val="24"/>
              </w:rPr>
            </w:pPr>
            <w:r>
              <w:rPr>
                <w:b/>
                <w:bCs/>
                <w:color w:val="000000"/>
                <w:sz w:val="24"/>
                <w:szCs w:val="24"/>
              </w:rPr>
              <w:t>$5,405,538</w:t>
            </w:r>
          </w:p>
        </w:tc>
      </w:tr>
      <w:tr w14:paraId="26248E90" w14:textId="77777777" w:rsidTr="008E4884">
        <w:tblPrEx>
          <w:tblW w:w="9480" w:type="dxa"/>
          <w:tblInd w:w="-38" w:type="dxa"/>
          <w:tblLayout w:type="fixed"/>
          <w:tblLook w:val="0000"/>
        </w:tblPrEx>
        <w:trPr>
          <w:trHeight w:val="300"/>
        </w:trPr>
        <w:tc>
          <w:tcPr>
            <w:tcW w:w="2420" w:type="dxa"/>
            <w:tcBorders>
              <w:top w:val="single" w:sz="6" w:space="0" w:color="auto"/>
              <w:left w:val="single" w:sz="6" w:space="0" w:color="auto"/>
              <w:bottom w:val="single" w:sz="6" w:space="0" w:color="auto"/>
              <w:right w:val="single" w:sz="6" w:space="0" w:color="auto"/>
            </w:tcBorders>
          </w:tcPr>
          <w:p w:rsidR="008E4884" w14:paraId="6CF27BD0" w14:textId="77777777">
            <w:pPr>
              <w:widowControl/>
              <w:rPr>
                <w:b/>
                <w:bCs/>
                <w:color w:val="000000"/>
                <w:sz w:val="24"/>
                <w:szCs w:val="24"/>
              </w:rPr>
            </w:pPr>
            <w:r>
              <w:rPr>
                <w:b/>
                <w:bCs/>
                <w:color w:val="000000"/>
                <w:sz w:val="24"/>
                <w:szCs w:val="24"/>
              </w:rPr>
              <w:t>State and local government workers (10% of all users)</w:t>
            </w:r>
          </w:p>
        </w:tc>
        <w:tc>
          <w:tcPr>
            <w:tcW w:w="2100" w:type="dxa"/>
            <w:tcBorders>
              <w:top w:val="single" w:sz="6" w:space="0" w:color="auto"/>
              <w:left w:val="single" w:sz="6" w:space="0" w:color="auto"/>
              <w:bottom w:val="single" w:sz="6" w:space="0" w:color="auto"/>
              <w:right w:val="single" w:sz="6" w:space="0" w:color="auto"/>
            </w:tcBorders>
          </w:tcPr>
          <w:p w:rsidR="008E4884" w14:paraId="2D84D5D2" w14:textId="77777777">
            <w:pPr>
              <w:widowControl/>
              <w:jc w:val="right"/>
              <w:rPr>
                <w:b/>
                <w:bCs/>
                <w:color w:val="000000"/>
                <w:sz w:val="24"/>
                <w:szCs w:val="24"/>
              </w:rPr>
            </w:pPr>
            <w:r>
              <w:rPr>
                <w:b/>
                <w:bCs/>
                <w:color w:val="000000"/>
                <w:sz w:val="24"/>
                <w:szCs w:val="24"/>
              </w:rPr>
              <w:t xml:space="preserve">                          660 </w:t>
            </w:r>
          </w:p>
        </w:tc>
        <w:tc>
          <w:tcPr>
            <w:tcW w:w="1740" w:type="dxa"/>
            <w:tcBorders>
              <w:top w:val="single" w:sz="6" w:space="0" w:color="auto"/>
              <w:left w:val="single" w:sz="6" w:space="0" w:color="auto"/>
              <w:bottom w:val="single" w:sz="6" w:space="0" w:color="auto"/>
              <w:right w:val="single" w:sz="6" w:space="0" w:color="auto"/>
            </w:tcBorders>
          </w:tcPr>
          <w:p w:rsidR="008E4884" w14:paraId="5C0BAB7C" w14:textId="77777777">
            <w:pPr>
              <w:widowControl/>
              <w:jc w:val="right"/>
              <w:rPr>
                <w:color w:val="000000"/>
                <w:sz w:val="24"/>
                <w:szCs w:val="24"/>
              </w:rPr>
            </w:pPr>
          </w:p>
        </w:tc>
        <w:tc>
          <w:tcPr>
            <w:tcW w:w="1580" w:type="dxa"/>
            <w:tcBorders>
              <w:top w:val="single" w:sz="6" w:space="0" w:color="auto"/>
              <w:left w:val="single" w:sz="6" w:space="0" w:color="auto"/>
              <w:bottom w:val="single" w:sz="6" w:space="0" w:color="auto"/>
              <w:right w:val="single" w:sz="6" w:space="0" w:color="auto"/>
            </w:tcBorders>
          </w:tcPr>
          <w:p w:rsidR="008E4884" w14:paraId="46BE97DA" w14:textId="77777777">
            <w:pPr>
              <w:widowControl/>
              <w:jc w:val="right"/>
              <w:rPr>
                <w:color w:val="000000"/>
                <w:sz w:val="24"/>
                <w:szCs w:val="24"/>
              </w:rPr>
            </w:pPr>
          </w:p>
        </w:tc>
        <w:tc>
          <w:tcPr>
            <w:tcW w:w="1640" w:type="dxa"/>
            <w:tcBorders>
              <w:top w:val="single" w:sz="6" w:space="0" w:color="auto"/>
              <w:left w:val="single" w:sz="6" w:space="0" w:color="auto"/>
              <w:bottom w:val="single" w:sz="6" w:space="0" w:color="auto"/>
              <w:right w:val="single" w:sz="6" w:space="0" w:color="auto"/>
            </w:tcBorders>
          </w:tcPr>
          <w:p w:rsidR="008E4884" w14:paraId="18D45DF0" w14:textId="77777777">
            <w:pPr>
              <w:widowControl/>
              <w:jc w:val="right"/>
              <w:rPr>
                <w:color w:val="000000"/>
                <w:sz w:val="24"/>
                <w:szCs w:val="24"/>
              </w:rPr>
            </w:pPr>
          </w:p>
        </w:tc>
      </w:tr>
      <w:tr w14:paraId="1B113523" w14:textId="77777777" w:rsidTr="008E4884">
        <w:tblPrEx>
          <w:tblW w:w="9480" w:type="dxa"/>
          <w:tblInd w:w="-38" w:type="dxa"/>
          <w:tblLayout w:type="fixed"/>
          <w:tblLook w:val="0000"/>
        </w:tblPrEx>
        <w:trPr>
          <w:trHeight w:val="300"/>
        </w:trPr>
        <w:tc>
          <w:tcPr>
            <w:tcW w:w="2420" w:type="dxa"/>
            <w:tcBorders>
              <w:top w:val="single" w:sz="6" w:space="0" w:color="auto"/>
              <w:left w:val="single" w:sz="6" w:space="0" w:color="auto"/>
              <w:bottom w:val="single" w:sz="6" w:space="0" w:color="auto"/>
              <w:right w:val="single" w:sz="6" w:space="0" w:color="auto"/>
            </w:tcBorders>
          </w:tcPr>
          <w:p w:rsidR="008E4884" w14:paraId="637E0400" w14:textId="77777777">
            <w:pPr>
              <w:widowControl/>
              <w:rPr>
                <w:color w:val="000000"/>
                <w:sz w:val="24"/>
                <w:szCs w:val="24"/>
              </w:rPr>
            </w:pPr>
            <w:r>
              <w:rPr>
                <w:color w:val="000000"/>
                <w:sz w:val="24"/>
                <w:szCs w:val="24"/>
              </w:rPr>
              <w:t>Register</w:t>
            </w:r>
          </w:p>
        </w:tc>
        <w:tc>
          <w:tcPr>
            <w:tcW w:w="2100" w:type="dxa"/>
            <w:tcBorders>
              <w:top w:val="single" w:sz="6" w:space="0" w:color="auto"/>
              <w:left w:val="single" w:sz="6" w:space="0" w:color="auto"/>
              <w:bottom w:val="single" w:sz="6" w:space="0" w:color="auto"/>
              <w:right w:val="single" w:sz="6" w:space="0" w:color="auto"/>
            </w:tcBorders>
          </w:tcPr>
          <w:p w:rsidR="008E4884" w14:paraId="746C5E18" w14:textId="77777777">
            <w:pPr>
              <w:widowControl/>
              <w:jc w:val="right"/>
              <w:rPr>
                <w:color w:val="000000"/>
                <w:sz w:val="24"/>
                <w:szCs w:val="24"/>
              </w:rPr>
            </w:pPr>
            <w:r>
              <w:rPr>
                <w:color w:val="000000"/>
                <w:sz w:val="24"/>
                <w:szCs w:val="24"/>
              </w:rPr>
              <w:t xml:space="preserve">                          660 </w:t>
            </w:r>
          </w:p>
        </w:tc>
        <w:tc>
          <w:tcPr>
            <w:tcW w:w="1740" w:type="dxa"/>
            <w:tcBorders>
              <w:top w:val="single" w:sz="6" w:space="0" w:color="auto"/>
              <w:left w:val="single" w:sz="6" w:space="0" w:color="auto"/>
              <w:bottom w:val="single" w:sz="6" w:space="0" w:color="auto"/>
              <w:right w:val="single" w:sz="6" w:space="0" w:color="auto"/>
            </w:tcBorders>
          </w:tcPr>
          <w:p w:rsidR="008E4884" w14:paraId="7C62C6B6" w14:textId="77777777">
            <w:pPr>
              <w:widowControl/>
              <w:jc w:val="right"/>
              <w:rPr>
                <w:color w:val="000000"/>
                <w:sz w:val="24"/>
                <w:szCs w:val="24"/>
              </w:rPr>
            </w:pPr>
            <w:r>
              <w:rPr>
                <w:color w:val="000000"/>
                <w:sz w:val="24"/>
                <w:szCs w:val="24"/>
              </w:rPr>
              <w:t xml:space="preserve">                      13 </w:t>
            </w:r>
          </w:p>
        </w:tc>
        <w:tc>
          <w:tcPr>
            <w:tcW w:w="1580" w:type="dxa"/>
            <w:tcBorders>
              <w:top w:val="single" w:sz="6" w:space="0" w:color="auto"/>
              <w:left w:val="single" w:sz="6" w:space="0" w:color="auto"/>
              <w:bottom w:val="single" w:sz="6" w:space="0" w:color="auto"/>
              <w:right w:val="single" w:sz="6" w:space="0" w:color="auto"/>
            </w:tcBorders>
          </w:tcPr>
          <w:p w:rsidR="008E4884" w14:paraId="746E2807" w14:textId="77777777">
            <w:pPr>
              <w:widowControl/>
              <w:jc w:val="right"/>
              <w:rPr>
                <w:color w:val="000000"/>
                <w:sz w:val="24"/>
                <w:szCs w:val="24"/>
              </w:rPr>
            </w:pPr>
            <w:r>
              <w:rPr>
                <w:color w:val="000000"/>
                <w:sz w:val="24"/>
                <w:szCs w:val="24"/>
              </w:rPr>
              <w:t xml:space="preserve">                 143 </w:t>
            </w:r>
          </w:p>
        </w:tc>
        <w:tc>
          <w:tcPr>
            <w:tcW w:w="1640" w:type="dxa"/>
            <w:tcBorders>
              <w:top w:val="single" w:sz="6" w:space="0" w:color="auto"/>
              <w:left w:val="single" w:sz="6" w:space="0" w:color="auto"/>
              <w:bottom w:val="single" w:sz="6" w:space="0" w:color="auto"/>
              <w:right w:val="single" w:sz="6" w:space="0" w:color="auto"/>
            </w:tcBorders>
          </w:tcPr>
          <w:p w:rsidR="008E4884" w14:paraId="410294BF" w14:textId="77777777">
            <w:pPr>
              <w:widowControl/>
              <w:jc w:val="right"/>
              <w:rPr>
                <w:color w:val="000000"/>
                <w:sz w:val="24"/>
                <w:szCs w:val="24"/>
              </w:rPr>
            </w:pPr>
            <w:r>
              <w:rPr>
                <w:color w:val="000000"/>
                <w:sz w:val="24"/>
                <w:szCs w:val="24"/>
              </w:rPr>
              <w:t>$8,237</w:t>
            </w:r>
          </w:p>
        </w:tc>
      </w:tr>
      <w:tr w14:paraId="6FEE626E" w14:textId="77777777" w:rsidTr="008E4884">
        <w:tblPrEx>
          <w:tblW w:w="9480" w:type="dxa"/>
          <w:tblInd w:w="-38" w:type="dxa"/>
          <w:tblLayout w:type="fixed"/>
          <w:tblLook w:val="0000"/>
        </w:tblPrEx>
        <w:trPr>
          <w:trHeight w:val="300"/>
        </w:trPr>
        <w:tc>
          <w:tcPr>
            <w:tcW w:w="2420" w:type="dxa"/>
            <w:tcBorders>
              <w:top w:val="single" w:sz="6" w:space="0" w:color="auto"/>
              <w:left w:val="single" w:sz="6" w:space="0" w:color="auto"/>
              <w:bottom w:val="single" w:sz="6" w:space="0" w:color="auto"/>
              <w:right w:val="single" w:sz="6" w:space="0" w:color="auto"/>
            </w:tcBorders>
          </w:tcPr>
          <w:p w:rsidR="008E4884" w14:paraId="7E3039B5" w14:textId="77777777">
            <w:pPr>
              <w:widowControl/>
              <w:rPr>
                <w:color w:val="000000"/>
                <w:sz w:val="24"/>
                <w:szCs w:val="24"/>
              </w:rPr>
            </w:pPr>
            <w:r>
              <w:rPr>
                <w:color w:val="000000"/>
                <w:sz w:val="24"/>
                <w:szCs w:val="24"/>
              </w:rPr>
              <w:t>Complete Course</w:t>
            </w:r>
          </w:p>
        </w:tc>
        <w:tc>
          <w:tcPr>
            <w:tcW w:w="2100" w:type="dxa"/>
            <w:tcBorders>
              <w:top w:val="single" w:sz="6" w:space="0" w:color="auto"/>
              <w:left w:val="single" w:sz="6" w:space="0" w:color="auto"/>
              <w:bottom w:val="single" w:sz="6" w:space="0" w:color="auto"/>
              <w:right w:val="single" w:sz="6" w:space="0" w:color="auto"/>
            </w:tcBorders>
          </w:tcPr>
          <w:p w:rsidR="008E4884" w14:paraId="1B22C539" w14:textId="77777777">
            <w:pPr>
              <w:widowControl/>
              <w:jc w:val="right"/>
              <w:rPr>
                <w:color w:val="000000"/>
                <w:sz w:val="24"/>
                <w:szCs w:val="24"/>
              </w:rPr>
            </w:pPr>
            <w:r>
              <w:rPr>
                <w:color w:val="000000"/>
                <w:sz w:val="24"/>
                <w:szCs w:val="24"/>
              </w:rPr>
              <w:t xml:space="preserve">                            66 </w:t>
            </w:r>
          </w:p>
        </w:tc>
        <w:tc>
          <w:tcPr>
            <w:tcW w:w="1740" w:type="dxa"/>
            <w:tcBorders>
              <w:top w:val="single" w:sz="6" w:space="0" w:color="auto"/>
              <w:left w:val="single" w:sz="6" w:space="0" w:color="auto"/>
              <w:bottom w:val="single" w:sz="6" w:space="0" w:color="auto"/>
              <w:right w:val="single" w:sz="6" w:space="0" w:color="auto"/>
            </w:tcBorders>
          </w:tcPr>
          <w:p w:rsidR="008E4884" w14:paraId="1FF4E7E9" w14:textId="77777777">
            <w:pPr>
              <w:widowControl/>
              <w:jc w:val="right"/>
              <w:rPr>
                <w:color w:val="000000"/>
                <w:sz w:val="24"/>
                <w:szCs w:val="24"/>
              </w:rPr>
            </w:pPr>
            <w:r>
              <w:rPr>
                <w:color w:val="000000"/>
                <w:sz w:val="24"/>
                <w:szCs w:val="24"/>
              </w:rPr>
              <w:t xml:space="preserve">                    210 </w:t>
            </w:r>
          </w:p>
        </w:tc>
        <w:tc>
          <w:tcPr>
            <w:tcW w:w="1580" w:type="dxa"/>
            <w:tcBorders>
              <w:top w:val="single" w:sz="6" w:space="0" w:color="auto"/>
              <w:left w:val="single" w:sz="6" w:space="0" w:color="auto"/>
              <w:bottom w:val="single" w:sz="6" w:space="0" w:color="auto"/>
              <w:right w:val="single" w:sz="6" w:space="0" w:color="auto"/>
            </w:tcBorders>
          </w:tcPr>
          <w:p w:rsidR="008E4884" w14:paraId="1171A512" w14:textId="77777777">
            <w:pPr>
              <w:widowControl/>
              <w:jc w:val="right"/>
              <w:rPr>
                <w:color w:val="000000"/>
                <w:sz w:val="24"/>
                <w:szCs w:val="24"/>
              </w:rPr>
            </w:pPr>
            <w:r>
              <w:rPr>
                <w:color w:val="000000"/>
                <w:sz w:val="24"/>
                <w:szCs w:val="24"/>
              </w:rPr>
              <w:t xml:space="preserve">                 231 </w:t>
            </w:r>
          </w:p>
        </w:tc>
        <w:tc>
          <w:tcPr>
            <w:tcW w:w="1640" w:type="dxa"/>
            <w:tcBorders>
              <w:top w:val="single" w:sz="6" w:space="0" w:color="auto"/>
              <w:left w:val="single" w:sz="6" w:space="0" w:color="auto"/>
              <w:bottom w:val="single" w:sz="6" w:space="0" w:color="auto"/>
              <w:right w:val="single" w:sz="6" w:space="0" w:color="auto"/>
            </w:tcBorders>
          </w:tcPr>
          <w:p w:rsidR="008E4884" w14:paraId="4FD66BB2" w14:textId="77777777">
            <w:pPr>
              <w:widowControl/>
              <w:jc w:val="right"/>
              <w:rPr>
                <w:color w:val="000000"/>
                <w:sz w:val="24"/>
                <w:szCs w:val="24"/>
              </w:rPr>
            </w:pPr>
            <w:r>
              <w:rPr>
                <w:color w:val="000000"/>
                <w:sz w:val="24"/>
                <w:szCs w:val="24"/>
              </w:rPr>
              <w:t>$13,306</w:t>
            </w:r>
          </w:p>
        </w:tc>
      </w:tr>
      <w:tr w14:paraId="24E9B2C1" w14:textId="77777777" w:rsidTr="008E4884">
        <w:tblPrEx>
          <w:tblW w:w="9480" w:type="dxa"/>
          <w:tblInd w:w="-38" w:type="dxa"/>
          <w:tblLayout w:type="fixed"/>
          <w:tblLook w:val="0000"/>
        </w:tblPrEx>
        <w:trPr>
          <w:trHeight w:val="300"/>
        </w:trPr>
        <w:tc>
          <w:tcPr>
            <w:tcW w:w="2420" w:type="dxa"/>
            <w:tcBorders>
              <w:top w:val="single" w:sz="6" w:space="0" w:color="auto"/>
              <w:left w:val="single" w:sz="6" w:space="0" w:color="auto"/>
              <w:bottom w:val="single" w:sz="6" w:space="0" w:color="auto"/>
              <w:right w:val="single" w:sz="6" w:space="0" w:color="auto"/>
            </w:tcBorders>
          </w:tcPr>
          <w:p w:rsidR="008E4884" w14:paraId="2742FCD7" w14:textId="77777777">
            <w:pPr>
              <w:widowControl/>
              <w:rPr>
                <w:color w:val="000000"/>
                <w:sz w:val="24"/>
                <w:szCs w:val="24"/>
              </w:rPr>
            </w:pPr>
            <w:r>
              <w:rPr>
                <w:color w:val="000000"/>
                <w:sz w:val="24"/>
                <w:szCs w:val="24"/>
              </w:rPr>
              <w:t>Report data</w:t>
            </w:r>
          </w:p>
        </w:tc>
        <w:tc>
          <w:tcPr>
            <w:tcW w:w="2100" w:type="dxa"/>
            <w:tcBorders>
              <w:top w:val="single" w:sz="6" w:space="0" w:color="auto"/>
              <w:left w:val="single" w:sz="6" w:space="0" w:color="auto"/>
              <w:bottom w:val="single" w:sz="6" w:space="0" w:color="auto"/>
              <w:right w:val="single" w:sz="6" w:space="0" w:color="auto"/>
            </w:tcBorders>
          </w:tcPr>
          <w:p w:rsidR="008E4884" w14:paraId="4FEA86B7" w14:textId="47D791B2">
            <w:pPr>
              <w:widowControl/>
              <w:jc w:val="right"/>
              <w:rPr>
                <w:color w:val="000000"/>
                <w:sz w:val="24"/>
                <w:szCs w:val="24"/>
              </w:rPr>
            </w:pPr>
            <w:r>
              <w:rPr>
                <w:color w:val="000000"/>
                <w:sz w:val="24"/>
                <w:szCs w:val="24"/>
              </w:rPr>
              <w:t xml:space="preserve">                   409,4</w:t>
            </w:r>
            <w:r w:rsidR="00D21DA2">
              <w:rPr>
                <w:color w:val="000000"/>
                <w:sz w:val="24"/>
                <w:szCs w:val="24"/>
              </w:rPr>
              <w:t>77</w:t>
            </w:r>
            <w:r>
              <w:rPr>
                <w:color w:val="000000"/>
                <w:sz w:val="24"/>
                <w:szCs w:val="24"/>
              </w:rPr>
              <w:t xml:space="preserve"> </w:t>
            </w:r>
          </w:p>
        </w:tc>
        <w:tc>
          <w:tcPr>
            <w:tcW w:w="1740" w:type="dxa"/>
            <w:tcBorders>
              <w:top w:val="single" w:sz="6" w:space="0" w:color="auto"/>
              <w:left w:val="single" w:sz="6" w:space="0" w:color="auto"/>
              <w:bottom w:val="single" w:sz="6" w:space="0" w:color="auto"/>
              <w:right w:val="single" w:sz="6" w:space="0" w:color="auto"/>
            </w:tcBorders>
          </w:tcPr>
          <w:p w:rsidR="008E4884" w14:paraId="733F06AD" w14:textId="77777777">
            <w:pPr>
              <w:widowControl/>
              <w:jc w:val="right"/>
              <w:rPr>
                <w:color w:val="000000"/>
                <w:sz w:val="24"/>
                <w:szCs w:val="24"/>
              </w:rPr>
            </w:pPr>
            <w:r>
              <w:rPr>
                <w:color w:val="000000"/>
                <w:sz w:val="24"/>
                <w:szCs w:val="24"/>
              </w:rPr>
              <w:t xml:space="preserve">                        2 </w:t>
            </w:r>
          </w:p>
        </w:tc>
        <w:tc>
          <w:tcPr>
            <w:tcW w:w="1580" w:type="dxa"/>
            <w:tcBorders>
              <w:top w:val="single" w:sz="6" w:space="0" w:color="auto"/>
              <w:left w:val="single" w:sz="6" w:space="0" w:color="auto"/>
              <w:bottom w:val="single" w:sz="6" w:space="0" w:color="auto"/>
              <w:right w:val="single" w:sz="6" w:space="0" w:color="auto"/>
            </w:tcBorders>
          </w:tcPr>
          <w:p w:rsidR="008E4884" w14:paraId="53EFFFC6" w14:textId="77777777">
            <w:pPr>
              <w:widowControl/>
              <w:jc w:val="right"/>
              <w:rPr>
                <w:color w:val="000000"/>
                <w:sz w:val="24"/>
                <w:szCs w:val="24"/>
              </w:rPr>
            </w:pPr>
            <w:r>
              <w:rPr>
                <w:color w:val="000000"/>
                <w:sz w:val="24"/>
                <w:szCs w:val="24"/>
              </w:rPr>
              <w:t xml:space="preserve">            13,649 </w:t>
            </w:r>
          </w:p>
        </w:tc>
        <w:tc>
          <w:tcPr>
            <w:tcW w:w="1640" w:type="dxa"/>
            <w:tcBorders>
              <w:top w:val="single" w:sz="6" w:space="0" w:color="auto"/>
              <w:left w:val="single" w:sz="6" w:space="0" w:color="auto"/>
              <w:bottom w:val="single" w:sz="6" w:space="0" w:color="auto"/>
              <w:right w:val="single" w:sz="6" w:space="0" w:color="auto"/>
            </w:tcBorders>
          </w:tcPr>
          <w:p w:rsidR="008E4884" w14:paraId="3934428B" w14:textId="77777777">
            <w:pPr>
              <w:widowControl/>
              <w:jc w:val="right"/>
              <w:rPr>
                <w:color w:val="000000"/>
                <w:sz w:val="24"/>
                <w:szCs w:val="24"/>
              </w:rPr>
            </w:pPr>
            <w:r>
              <w:rPr>
                <w:color w:val="000000"/>
                <w:sz w:val="24"/>
                <w:szCs w:val="24"/>
              </w:rPr>
              <w:t>$786,182</w:t>
            </w:r>
          </w:p>
        </w:tc>
      </w:tr>
      <w:tr w14:paraId="5EA31801" w14:textId="77777777" w:rsidTr="008E4884">
        <w:tblPrEx>
          <w:tblW w:w="9480" w:type="dxa"/>
          <w:tblInd w:w="-38" w:type="dxa"/>
          <w:tblLayout w:type="fixed"/>
          <w:tblLook w:val="0000"/>
        </w:tblPrEx>
        <w:trPr>
          <w:trHeight w:val="300"/>
        </w:trPr>
        <w:tc>
          <w:tcPr>
            <w:tcW w:w="2420" w:type="dxa"/>
            <w:tcBorders>
              <w:top w:val="single" w:sz="6" w:space="0" w:color="auto"/>
              <w:left w:val="single" w:sz="6" w:space="0" w:color="auto"/>
              <w:bottom w:val="single" w:sz="6" w:space="0" w:color="auto"/>
              <w:right w:val="single" w:sz="6" w:space="0" w:color="auto"/>
            </w:tcBorders>
            <w:shd w:val="solid" w:color="969696" w:fill="auto"/>
          </w:tcPr>
          <w:p w:rsidR="008E4884" w14:paraId="347B4AF0" w14:textId="77777777">
            <w:pPr>
              <w:widowControl/>
              <w:rPr>
                <w:b/>
                <w:bCs/>
                <w:color w:val="000000"/>
                <w:sz w:val="24"/>
                <w:szCs w:val="24"/>
              </w:rPr>
            </w:pPr>
            <w:r>
              <w:rPr>
                <w:b/>
                <w:bCs/>
                <w:color w:val="000000"/>
                <w:sz w:val="24"/>
                <w:szCs w:val="24"/>
              </w:rPr>
              <w:t>Subtotal</w:t>
            </w:r>
          </w:p>
        </w:tc>
        <w:tc>
          <w:tcPr>
            <w:tcW w:w="2100" w:type="dxa"/>
            <w:tcBorders>
              <w:top w:val="single" w:sz="6" w:space="0" w:color="auto"/>
              <w:left w:val="single" w:sz="6" w:space="0" w:color="auto"/>
              <w:bottom w:val="single" w:sz="6" w:space="0" w:color="auto"/>
              <w:right w:val="single" w:sz="6" w:space="0" w:color="auto"/>
            </w:tcBorders>
            <w:shd w:val="solid" w:color="969696" w:fill="auto"/>
          </w:tcPr>
          <w:p w:rsidR="008E4884" w14:paraId="78F6B532" w14:textId="67985D82">
            <w:pPr>
              <w:widowControl/>
              <w:jc w:val="right"/>
              <w:rPr>
                <w:b/>
                <w:bCs/>
                <w:color w:val="000000"/>
                <w:sz w:val="24"/>
                <w:szCs w:val="24"/>
              </w:rPr>
            </w:pPr>
            <w:r>
              <w:rPr>
                <w:b/>
                <w:bCs/>
                <w:color w:val="000000"/>
                <w:sz w:val="24"/>
                <w:szCs w:val="24"/>
              </w:rPr>
              <w:t xml:space="preserve">                   410,20</w:t>
            </w:r>
            <w:r w:rsidR="004A6D4A">
              <w:rPr>
                <w:b/>
                <w:bCs/>
                <w:color w:val="000000"/>
                <w:sz w:val="24"/>
                <w:szCs w:val="24"/>
              </w:rPr>
              <w:t>3</w:t>
            </w:r>
            <w:r>
              <w:rPr>
                <w:b/>
                <w:bCs/>
                <w:color w:val="000000"/>
                <w:sz w:val="24"/>
                <w:szCs w:val="24"/>
              </w:rPr>
              <w:t xml:space="preserve"> </w:t>
            </w:r>
          </w:p>
        </w:tc>
        <w:tc>
          <w:tcPr>
            <w:tcW w:w="1740" w:type="dxa"/>
            <w:tcBorders>
              <w:top w:val="single" w:sz="6" w:space="0" w:color="auto"/>
              <w:left w:val="single" w:sz="6" w:space="0" w:color="auto"/>
              <w:bottom w:val="single" w:sz="6" w:space="0" w:color="auto"/>
              <w:right w:val="single" w:sz="6" w:space="0" w:color="auto"/>
            </w:tcBorders>
            <w:shd w:val="solid" w:color="969696" w:fill="auto"/>
          </w:tcPr>
          <w:p w:rsidR="008E4884" w14:paraId="2B924177" w14:textId="77777777">
            <w:pPr>
              <w:widowControl/>
              <w:jc w:val="right"/>
              <w:rPr>
                <w:b/>
                <w:bCs/>
                <w:color w:val="000000"/>
                <w:sz w:val="24"/>
                <w:szCs w:val="24"/>
              </w:rPr>
            </w:pPr>
          </w:p>
        </w:tc>
        <w:tc>
          <w:tcPr>
            <w:tcW w:w="1580" w:type="dxa"/>
            <w:tcBorders>
              <w:top w:val="single" w:sz="6" w:space="0" w:color="auto"/>
              <w:left w:val="single" w:sz="6" w:space="0" w:color="auto"/>
              <w:bottom w:val="single" w:sz="6" w:space="0" w:color="auto"/>
              <w:right w:val="single" w:sz="6" w:space="0" w:color="auto"/>
            </w:tcBorders>
            <w:shd w:val="solid" w:color="969696" w:fill="auto"/>
          </w:tcPr>
          <w:p w:rsidR="008E4884" w14:paraId="24E64747" w14:textId="77777777">
            <w:pPr>
              <w:widowControl/>
              <w:jc w:val="right"/>
              <w:rPr>
                <w:b/>
                <w:bCs/>
                <w:color w:val="000000"/>
                <w:sz w:val="24"/>
                <w:szCs w:val="24"/>
              </w:rPr>
            </w:pPr>
            <w:r>
              <w:rPr>
                <w:b/>
                <w:bCs/>
                <w:color w:val="000000"/>
                <w:sz w:val="24"/>
                <w:szCs w:val="24"/>
              </w:rPr>
              <w:t xml:space="preserve">            14,023 </w:t>
            </w:r>
          </w:p>
        </w:tc>
        <w:tc>
          <w:tcPr>
            <w:tcW w:w="1640" w:type="dxa"/>
            <w:tcBorders>
              <w:top w:val="single" w:sz="6" w:space="0" w:color="auto"/>
              <w:left w:val="single" w:sz="6" w:space="0" w:color="auto"/>
              <w:bottom w:val="single" w:sz="6" w:space="0" w:color="auto"/>
              <w:right w:val="single" w:sz="6" w:space="0" w:color="auto"/>
            </w:tcBorders>
            <w:shd w:val="solid" w:color="969696" w:fill="auto"/>
          </w:tcPr>
          <w:p w:rsidR="008E4884" w14:paraId="3149287D" w14:textId="77777777">
            <w:pPr>
              <w:widowControl/>
              <w:jc w:val="right"/>
              <w:rPr>
                <w:b/>
                <w:bCs/>
                <w:color w:val="000000"/>
                <w:sz w:val="24"/>
                <w:szCs w:val="24"/>
              </w:rPr>
            </w:pPr>
            <w:r>
              <w:rPr>
                <w:b/>
                <w:bCs/>
                <w:color w:val="000000"/>
                <w:sz w:val="24"/>
                <w:szCs w:val="24"/>
              </w:rPr>
              <w:t>$807,725</w:t>
            </w:r>
          </w:p>
        </w:tc>
      </w:tr>
      <w:tr w14:paraId="7C1858AE" w14:textId="77777777" w:rsidTr="008E4884">
        <w:tblPrEx>
          <w:tblW w:w="9480" w:type="dxa"/>
          <w:tblInd w:w="-38" w:type="dxa"/>
          <w:tblLayout w:type="fixed"/>
          <w:tblLook w:val="0000"/>
        </w:tblPrEx>
        <w:trPr>
          <w:trHeight w:val="340"/>
        </w:trPr>
        <w:tc>
          <w:tcPr>
            <w:tcW w:w="2420" w:type="dxa"/>
            <w:tcBorders>
              <w:top w:val="single" w:sz="6" w:space="0" w:color="auto"/>
              <w:left w:val="single" w:sz="6" w:space="0" w:color="auto"/>
              <w:bottom w:val="single" w:sz="6" w:space="0" w:color="auto"/>
              <w:right w:val="single" w:sz="6" w:space="0" w:color="auto"/>
            </w:tcBorders>
          </w:tcPr>
          <w:p w:rsidR="008E4884" w14:paraId="31DCBAFA" w14:textId="77777777">
            <w:pPr>
              <w:widowControl/>
              <w:rPr>
                <w:b/>
                <w:bCs/>
                <w:color w:val="000000"/>
                <w:sz w:val="28"/>
                <w:szCs w:val="28"/>
              </w:rPr>
            </w:pPr>
            <w:r>
              <w:rPr>
                <w:b/>
                <w:bCs/>
                <w:color w:val="000000"/>
                <w:sz w:val="28"/>
                <w:szCs w:val="28"/>
              </w:rPr>
              <w:t>Total</w:t>
            </w:r>
          </w:p>
        </w:tc>
        <w:tc>
          <w:tcPr>
            <w:tcW w:w="2100" w:type="dxa"/>
            <w:tcBorders>
              <w:top w:val="single" w:sz="6" w:space="0" w:color="auto"/>
              <w:left w:val="single" w:sz="6" w:space="0" w:color="auto"/>
              <w:bottom w:val="single" w:sz="6" w:space="0" w:color="auto"/>
              <w:right w:val="single" w:sz="6" w:space="0" w:color="auto"/>
            </w:tcBorders>
          </w:tcPr>
          <w:p w:rsidR="008E4884" w14:paraId="7BFDCFC6" w14:textId="1FB0F147">
            <w:pPr>
              <w:widowControl/>
              <w:jc w:val="right"/>
              <w:rPr>
                <w:b/>
                <w:bCs/>
                <w:color w:val="000000"/>
                <w:sz w:val="28"/>
                <w:szCs w:val="28"/>
              </w:rPr>
            </w:pPr>
            <w:r>
              <w:rPr>
                <w:b/>
                <w:bCs/>
                <w:color w:val="000000"/>
                <w:sz w:val="28"/>
                <w:szCs w:val="28"/>
              </w:rPr>
              <w:t xml:space="preserve">         4,102,3</w:t>
            </w:r>
            <w:r w:rsidR="005D399C">
              <w:rPr>
                <w:b/>
                <w:bCs/>
                <w:color w:val="000000"/>
                <w:sz w:val="28"/>
                <w:szCs w:val="28"/>
              </w:rPr>
              <w:t>3</w:t>
            </w:r>
            <w:r w:rsidR="003819CD">
              <w:rPr>
                <w:b/>
                <w:bCs/>
                <w:color w:val="000000"/>
                <w:sz w:val="28"/>
                <w:szCs w:val="28"/>
              </w:rPr>
              <w:t>3</w:t>
            </w:r>
            <w:r>
              <w:rPr>
                <w:b/>
                <w:bCs/>
                <w:color w:val="000000"/>
                <w:sz w:val="28"/>
                <w:szCs w:val="28"/>
              </w:rPr>
              <w:t xml:space="preserve"> </w:t>
            </w:r>
          </w:p>
        </w:tc>
        <w:tc>
          <w:tcPr>
            <w:tcW w:w="1740" w:type="dxa"/>
            <w:tcBorders>
              <w:top w:val="single" w:sz="6" w:space="0" w:color="auto"/>
              <w:left w:val="single" w:sz="6" w:space="0" w:color="auto"/>
              <w:bottom w:val="single" w:sz="6" w:space="0" w:color="auto"/>
              <w:right w:val="single" w:sz="6" w:space="0" w:color="auto"/>
            </w:tcBorders>
          </w:tcPr>
          <w:p w:rsidR="008E4884" w14:paraId="5318DFA8" w14:textId="77777777">
            <w:pPr>
              <w:widowControl/>
              <w:jc w:val="right"/>
              <w:rPr>
                <w:color w:val="000000"/>
                <w:sz w:val="28"/>
                <w:szCs w:val="28"/>
              </w:rPr>
            </w:pPr>
          </w:p>
        </w:tc>
        <w:tc>
          <w:tcPr>
            <w:tcW w:w="1580" w:type="dxa"/>
            <w:tcBorders>
              <w:top w:val="single" w:sz="6" w:space="0" w:color="auto"/>
              <w:left w:val="single" w:sz="6" w:space="0" w:color="auto"/>
              <w:bottom w:val="single" w:sz="6" w:space="0" w:color="auto"/>
              <w:right w:val="single" w:sz="6" w:space="0" w:color="auto"/>
            </w:tcBorders>
          </w:tcPr>
          <w:p w:rsidR="008E4884" w14:paraId="7C490C1D" w14:textId="77777777">
            <w:pPr>
              <w:widowControl/>
              <w:jc w:val="right"/>
              <w:rPr>
                <w:b/>
                <w:bCs/>
                <w:color w:val="000000"/>
                <w:sz w:val="28"/>
                <w:szCs w:val="28"/>
              </w:rPr>
            </w:pPr>
            <w:r>
              <w:rPr>
                <w:b/>
                <w:bCs/>
                <w:color w:val="000000"/>
                <w:sz w:val="28"/>
                <w:szCs w:val="28"/>
              </w:rPr>
              <w:t xml:space="preserve">      141,272 </w:t>
            </w:r>
          </w:p>
        </w:tc>
        <w:tc>
          <w:tcPr>
            <w:tcW w:w="1640" w:type="dxa"/>
            <w:tcBorders>
              <w:top w:val="single" w:sz="6" w:space="0" w:color="auto"/>
              <w:left w:val="single" w:sz="6" w:space="0" w:color="auto"/>
              <w:bottom w:val="single" w:sz="6" w:space="0" w:color="auto"/>
              <w:right w:val="single" w:sz="6" w:space="0" w:color="auto"/>
            </w:tcBorders>
          </w:tcPr>
          <w:p w:rsidR="008E4884" w14:paraId="1962BDCE" w14:textId="77777777">
            <w:pPr>
              <w:widowControl/>
              <w:jc w:val="right"/>
              <w:rPr>
                <w:b/>
                <w:bCs/>
                <w:color w:val="000000"/>
                <w:sz w:val="28"/>
                <w:szCs w:val="28"/>
              </w:rPr>
            </w:pPr>
            <w:r>
              <w:rPr>
                <w:b/>
                <w:bCs/>
                <w:color w:val="000000"/>
                <w:sz w:val="28"/>
                <w:szCs w:val="28"/>
              </w:rPr>
              <w:t>$6,213,263</w:t>
            </w:r>
          </w:p>
        </w:tc>
      </w:tr>
    </w:tbl>
    <w:p w:rsidR="00FD2B4E" w14:paraId="0CCD39EF" w14:textId="42E414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2B4E" w14:paraId="15B8C6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2B4E" w14:paraId="00E1D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00295103" w:rsidRPr="00082C1C"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082C1C">
        <w:rPr>
          <w:b/>
          <w:sz w:val="24"/>
          <w:szCs w:val="24"/>
        </w:rPr>
        <w:t>take into account</w:t>
      </w:r>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w:t>
      </w:r>
      <w:r w:rsidRPr="00082C1C">
        <w:rPr>
          <w:b/>
          <w:sz w:val="24"/>
          <w:szCs w:val="24"/>
        </w:rPr>
        <w:t>time period</w:t>
      </w:r>
      <w:r w:rsidRPr="00082C1C">
        <w:rPr>
          <w:b/>
          <w:sz w:val="24"/>
          <w:szCs w:val="24"/>
        </w:rPr>
        <w:t xml:space="preserve"> over which costs will be incurred.  Capital and start-up costs include, among other items, preparations for collecting information such as purchasing computers and software; monitoring, sampling, </w:t>
      </w:r>
      <w:r w:rsidRPr="00082C1C">
        <w:rPr>
          <w:b/>
          <w:sz w:val="24"/>
          <w:szCs w:val="24"/>
        </w:rPr>
        <w:t>drilling</w:t>
      </w:r>
      <w:r w:rsidRPr="00082C1C">
        <w:rPr>
          <w:b/>
          <w:sz w:val="24"/>
          <w:szCs w:val="24"/>
        </w:rPr>
        <w:t xml:space="preserve"> and testing equipment; and record storage facilities.</w:t>
      </w:r>
    </w:p>
    <w:p w:rsidR="00295103" w:rsidRPr="00082C1C"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082C1C">
        <w:rPr>
          <w:b/>
          <w:sz w:val="24"/>
          <w:szCs w:val="24"/>
        </w:rPr>
        <w:t>process</w:t>
      </w:r>
      <w:r w:rsidRPr="00082C1C">
        <w:rPr>
          <w:b/>
          <w:sz w:val="24"/>
          <w:szCs w:val="24"/>
        </w:rPr>
        <w:t xml:space="preserve"> and use existing economic or regulatory impact analysis associated with the rulemaking containing the information collection, as appropriate.</w:t>
      </w:r>
    </w:p>
    <w:p w:rsidR="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9775F" w:rsidP="00E9775F" w14:paraId="5B77321B" w14:textId="7FB92C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 xml:space="preserve">We estimate the total annual non-hour burden cost to be </w:t>
      </w:r>
      <w:r w:rsidRPr="00E9775F">
        <w:rPr>
          <w:bCs/>
          <w:color w:val="000000"/>
          <w:sz w:val="24"/>
          <w:szCs w:val="24"/>
        </w:rPr>
        <w:t>$</w:t>
      </w:r>
      <w:r w:rsidR="008E4884">
        <w:rPr>
          <w:bCs/>
          <w:color w:val="000000"/>
          <w:sz w:val="24"/>
          <w:szCs w:val="24"/>
        </w:rPr>
        <w:t>4,460</w:t>
      </w:r>
      <w:r w:rsidR="004345CF">
        <w:rPr>
          <w:bCs/>
          <w:color w:val="000000"/>
          <w:sz w:val="24"/>
          <w:szCs w:val="24"/>
        </w:rPr>
        <w:t>.</w:t>
      </w:r>
    </w:p>
    <w:p w:rsidR="00E9775F" w:rsidP="00E9775F" w14:paraId="06CA27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9775F" w:rsidP="00E9775F" w14:paraId="14565BFC" w14:textId="6E5895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Although most o</w:t>
      </w:r>
      <w:r w:rsidRPr="006D154C">
        <w:rPr>
          <w:sz w:val="24"/>
          <w:szCs w:val="24"/>
        </w:rPr>
        <w:t>bservers participating in Nature’s Notebook typically already possess skills and materials necessary</w:t>
      </w:r>
      <w:r>
        <w:rPr>
          <w:sz w:val="24"/>
          <w:szCs w:val="24"/>
        </w:rPr>
        <w:t xml:space="preserve"> </w:t>
      </w:r>
      <w:r w:rsidRPr="006D154C">
        <w:rPr>
          <w:sz w:val="24"/>
          <w:szCs w:val="24"/>
        </w:rPr>
        <w:t>for participation</w:t>
      </w:r>
      <w:r>
        <w:rPr>
          <w:sz w:val="24"/>
          <w:szCs w:val="24"/>
        </w:rPr>
        <w:t>, respondents are encouraged to “mark” the items they are observing to ensure consistency</w:t>
      </w:r>
      <w:r w:rsidR="00451428">
        <w:rPr>
          <w:sz w:val="24"/>
          <w:szCs w:val="24"/>
        </w:rPr>
        <w:t xml:space="preserve"> over time</w:t>
      </w:r>
      <w:r>
        <w:rPr>
          <w:sz w:val="24"/>
          <w:szCs w:val="24"/>
        </w:rPr>
        <w:t>. The items below are suggested for observers to use to mark their sites or plants</w:t>
      </w:r>
      <w:r w:rsidR="0002684E">
        <w:rPr>
          <w:sz w:val="24"/>
          <w:szCs w:val="24"/>
        </w:rPr>
        <w:t xml:space="preserve">, as well as other materials they may </w:t>
      </w:r>
      <w:r w:rsidR="0054202A">
        <w:rPr>
          <w:sz w:val="24"/>
          <w:szCs w:val="24"/>
        </w:rPr>
        <w:t>choose</w:t>
      </w:r>
      <w:r w:rsidR="0002684E">
        <w:rPr>
          <w:sz w:val="24"/>
          <w:szCs w:val="24"/>
        </w:rPr>
        <w:t xml:space="preserve"> to use to facilitate data collection.</w:t>
      </w:r>
      <w:r w:rsidR="0054202A">
        <w:rPr>
          <w:sz w:val="24"/>
          <w:szCs w:val="24"/>
        </w:rPr>
        <w:br/>
      </w:r>
    </w:p>
    <w:p w:rsidR="0054202A" w:rsidRPr="0054202A" w:rsidP="00E9775F" w14:paraId="62BB8505" w14:textId="1BC063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54202A">
        <w:rPr>
          <w:i/>
          <w:iCs/>
          <w:sz w:val="24"/>
          <w:szCs w:val="24"/>
        </w:rPr>
        <w:t>Table: Non-hour Cost Burden</w:t>
      </w:r>
      <w:r>
        <w:rPr>
          <w:i/>
          <w:iCs/>
          <w:noProof/>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300.6pt;mso-height-percent:0;mso-width-percent:0" o:oleicon="f" o:ole="">
            <v:imagedata r:id="rId5" o:title=""/>
          </v:shape>
          <o:OLEObject Type="Embed" ProgID="Excel.Sheet.12" ShapeID="_x0000_i1025" DrawAspect="Content" ObjectID="_1757845869" r:id="rId6"/>
        </w:object>
      </w:r>
    </w:p>
    <w:tbl>
      <w:tblPr>
        <w:tblW w:w="8670" w:type="dxa"/>
        <w:tblInd w:w="103" w:type="dxa"/>
        <w:tblLook w:val="04A0"/>
      </w:tblPr>
      <w:tblGrid>
        <w:gridCol w:w="7089"/>
        <w:gridCol w:w="1581"/>
      </w:tblGrid>
      <w:tr w14:paraId="3B39E9B6" w14:textId="77777777" w:rsidTr="0054202A">
        <w:tblPrEx>
          <w:tblW w:w="8670" w:type="dxa"/>
          <w:tblInd w:w="103" w:type="dxa"/>
          <w:tblLook w:val="04A0"/>
        </w:tblPrEx>
        <w:trPr>
          <w:trHeight w:val="300"/>
        </w:trPr>
        <w:tc>
          <w:tcPr>
            <w:tcW w:w="7089" w:type="dxa"/>
            <w:tcBorders>
              <w:top w:val="nil"/>
              <w:left w:val="nil"/>
              <w:bottom w:val="nil"/>
              <w:right w:val="nil"/>
            </w:tcBorders>
            <w:shd w:val="clear" w:color="auto" w:fill="auto"/>
            <w:noWrap/>
            <w:vAlign w:val="center"/>
            <w:hideMark/>
          </w:tcPr>
          <w:p w:rsidR="0054202A" w:rsidRPr="00E9775F" w:rsidP="0054202A" w14:paraId="64F26324" w14:textId="19B24552">
            <w:pPr>
              <w:widowControl/>
              <w:autoSpaceDE/>
              <w:autoSpaceDN/>
              <w:adjustRightInd/>
              <w:rPr>
                <w:color w:val="000000"/>
                <w:sz w:val="24"/>
                <w:szCs w:val="24"/>
              </w:rPr>
            </w:pPr>
            <w:r>
              <w:rPr>
                <w:color w:val="000000"/>
              </w:rPr>
              <w:t>*Unit costs estimated from target.com</w:t>
            </w:r>
          </w:p>
        </w:tc>
        <w:tc>
          <w:tcPr>
            <w:tcW w:w="1581" w:type="dxa"/>
            <w:tcBorders>
              <w:top w:val="nil"/>
              <w:left w:val="nil"/>
              <w:bottom w:val="nil"/>
              <w:right w:val="nil"/>
            </w:tcBorders>
            <w:shd w:val="clear" w:color="auto" w:fill="auto"/>
            <w:noWrap/>
            <w:vAlign w:val="center"/>
            <w:hideMark/>
          </w:tcPr>
          <w:p w:rsidR="0054202A" w:rsidRPr="00E9775F" w:rsidP="0054202A" w14:paraId="41D248A6" w14:textId="5F79E068">
            <w:pPr>
              <w:widowControl/>
              <w:autoSpaceDE/>
              <w:autoSpaceDN/>
              <w:adjustRightInd/>
              <w:rPr>
                <w:rFonts w:ascii="Calibri" w:hAnsi="Calibri"/>
                <w:color w:val="000000"/>
                <w:sz w:val="24"/>
                <w:szCs w:val="24"/>
              </w:rPr>
            </w:pPr>
          </w:p>
        </w:tc>
      </w:tr>
      <w:tr w14:paraId="069F33E3" w14:textId="77777777" w:rsidTr="0054202A">
        <w:tblPrEx>
          <w:tblW w:w="8670" w:type="dxa"/>
          <w:tblInd w:w="103" w:type="dxa"/>
          <w:tblLook w:val="04A0"/>
        </w:tblPrEx>
        <w:trPr>
          <w:trHeight w:val="300"/>
        </w:trPr>
        <w:tc>
          <w:tcPr>
            <w:tcW w:w="8670" w:type="dxa"/>
            <w:gridSpan w:val="2"/>
            <w:tcBorders>
              <w:top w:val="nil"/>
              <w:left w:val="nil"/>
              <w:bottom w:val="nil"/>
              <w:right w:val="nil"/>
            </w:tcBorders>
            <w:shd w:val="clear" w:color="auto" w:fill="auto"/>
            <w:noWrap/>
            <w:vAlign w:val="center"/>
            <w:hideMark/>
          </w:tcPr>
          <w:p w:rsidR="0054202A" w:rsidRPr="00E9775F" w:rsidP="0054202A" w14:paraId="37C7CA0D" w14:textId="75C6EA98">
            <w:pPr>
              <w:widowControl/>
              <w:autoSpaceDE/>
              <w:autoSpaceDN/>
              <w:adjustRightInd/>
              <w:rPr>
                <w:color w:val="000000"/>
                <w:sz w:val="24"/>
                <w:szCs w:val="24"/>
              </w:rPr>
            </w:pPr>
            <w:r>
              <w:rPr>
                <w:color w:val="000000"/>
              </w:rPr>
              <w:t>*We estimate that 20% of our users will collect data using pencil and paper, whereas the remaining 80% will use the mobile application, based on the 3-year average from 2024-26 projections</w:t>
            </w:r>
          </w:p>
        </w:tc>
      </w:tr>
      <w:tr w14:paraId="3127CA2D" w14:textId="77777777" w:rsidTr="0054202A">
        <w:tblPrEx>
          <w:tblW w:w="8670" w:type="dxa"/>
          <w:tblInd w:w="103" w:type="dxa"/>
          <w:tblLook w:val="04A0"/>
        </w:tblPrEx>
        <w:trPr>
          <w:trHeight w:val="300"/>
        </w:trPr>
        <w:tc>
          <w:tcPr>
            <w:tcW w:w="8670" w:type="dxa"/>
            <w:gridSpan w:val="2"/>
            <w:tcBorders>
              <w:top w:val="nil"/>
              <w:left w:val="nil"/>
              <w:bottom w:val="nil"/>
              <w:right w:val="nil"/>
            </w:tcBorders>
            <w:shd w:val="clear" w:color="auto" w:fill="auto"/>
            <w:noWrap/>
            <w:vAlign w:val="center"/>
            <w:hideMark/>
          </w:tcPr>
          <w:p w:rsidR="0054202A" w:rsidRPr="00E9775F" w:rsidP="0054202A" w14:paraId="249632CE" w14:textId="2F8D91E1">
            <w:pPr>
              <w:widowControl/>
              <w:autoSpaceDE/>
              <w:autoSpaceDN/>
              <w:adjustRightInd/>
              <w:rPr>
                <w:color w:val="000000"/>
                <w:sz w:val="24"/>
                <w:szCs w:val="24"/>
              </w:rPr>
            </w:pPr>
            <w:r>
              <w:rPr>
                <w:color w:val="000000"/>
              </w:rPr>
              <w:t>*We estimate one-fifth of our observers will use either flags, markers, stakes, tags, or popsicle sticks.</w:t>
            </w:r>
          </w:p>
        </w:tc>
      </w:tr>
    </w:tbl>
    <w:p w:rsidR="00082C1C" w14:paraId="3B4680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1ACBB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14:paraId="155B61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Pr>
          <w:b/>
          <w:sz w:val="24"/>
          <w:szCs w:val="24"/>
        </w:rPr>
        <w:t xml:space="preserve">his collection of information. </w:t>
      </w:r>
    </w:p>
    <w:p w:rsidR="00CA378C" w14:paraId="424B54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A378C" w14:paraId="4D3C7513" w14:textId="561F93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75414">
        <w:rPr>
          <w:sz w:val="24"/>
          <w:szCs w:val="24"/>
        </w:rPr>
        <w:t>The total annual cost to the Federal Government</w:t>
      </w:r>
      <w:r w:rsidR="0002684E">
        <w:rPr>
          <w:sz w:val="24"/>
          <w:szCs w:val="24"/>
        </w:rPr>
        <w:t xml:space="preserve"> is</w:t>
      </w:r>
      <w:r w:rsidRPr="00075414">
        <w:rPr>
          <w:sz w:val="24"/>
          <w:szCs w:val="24"/>
        </w:rPr>
        <w:t xml:space="preserve"> </w:t>
      </w:r>
      <w:r w:rsidRPr="00BF6C19" w:rsidR="00BF6C19">
        <w:rPr>
          <w:sz w:val="24"/>
          <w:szCs w:val="24"/>
        </w:rPr>
        <w:t>$</w:t>
      </w:r>
      <w:r w:rsidR="003D5EF4">
        <w:rPr>
          <w:sz w:val="24"/>
          <w:szCs w:val="24"/>
        </w:rPr>
        <w:t>230,000</w:t>
      </w:r>
      <w:r w:rsidR="00BF6C19">
        <w:rPr>
          <w:b/>
          <w:sz w:val="24"/>
          <w:szCs w:val="24"/>
        </w:rPr>
        <w:t xml:space="preserve">. </w:t>
      </w:r>
    </w:p>
    <w:p w:rsidR="00814FB6" w:rsidP="00814FB6" w14:paraId="11A017E6" w14:textId="4579DB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4FB6" w:rsidRPr="00732896" w:rsidP="00814FB6" w14:paraId="45C18F65" w14:textId="4EDEB0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Table </w:t>
      </w:r>
      <w:r w:rsidR="003D5EF4">
        <w:rPr>
          <w:sz w:val="24"/>
          <w:szCs w:val="24"/>
        </w:rPr>
        <w:t>3</w:t>
      </w:r>
      <w:r>
        <w:rPr>
          <w:sz w:val="24"/>
          <w:szCs w:val="24"/>
        </w:rPr>
        <w:t>: Other Federal Government Expenses</w:t>
      </w:r>
    </w:p>
    <w:tbl>
      <w:tblPr>
        <w:tblStyle w:val="TableGrid"/>
        <w:tblW w:w="0" w:type="auto"/>
        <w:tblInd w:w="360" w:type="dxa"/>
        <w:tblLook w:val="04A0"/>
      </w:tblPr>
      <w:tblGrid>
        <w:gridCol w:w="5395"/>
        <w:gridCol w:w="1116"/>
      </w:tblGrid>
      <w:tr w14:paraId="422FDC3A" w14:textId="77777777" w:rsidTr="003D5EF4">
        <w:tblPrEx>
          <w:tblW w:w="0" w:type="auto"/>
          <w:tblInd w:w="360" w:type="dxa"/>
          <w:tblLook w:val="04A0"/>
        </w:tblPrEx>
        <w:tc>
          <w:tcPr>
            <w:tcW w:w="5395" w:type="dxa"/>
          </w:tcPr>
          <w:p w:rsidR="00814FB6" w:rsidP="004E71E5" w14:paraId="31C91C6E" w14:textId="6E909F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Cooperative agreement with University of Arizona</w:t>
            </w:r>
            <w:r w:rsidR="003D5EF4">
              <w:rPr>
                <w:sz w:val="24"/>
                <w:szCs w:val="24"/>
              </w:rPr>
              <w:t xml:space="preserve"> (portion for support of Nature’s Notebook)</w:t>
            </w:r>
          </w:p>
        </w:tc>
        <w:tc>
          <w:tcPr>
            <w:tcW w:w="759" w:type="dxa"/>
          </w:tcPr>
          <w:p w:rsidR="00814FB6" w:rsidP="007C0807" w14:paraId="0B547597" w14:textId="2836F7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00E37B87">
              <w:rPr>
                <w:sz w:val="24"/>
                <w:szCs w:val="24"/>
              </w:rPr>
              <w:t>230,000</w:t>
            </w:r>
          </w:p>
        </w:tc>
      </w:tr>
    </w:tbl>
    <w:p w:rsidR="00814FB6" w:rsidP="00814FB6" w14:paraId="172412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B37A9" w:rsidRPr="003D5EF4" w:rsidP="003D5EF4" w14:paraId="6F3E2A91" w14:textId="207B75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Nature’s Notebook program </w:t>
      </w:r>
      <w:r w:rsidRPr="006D154C">
        <w:rPr>
          <w:sz w:val="24"/>
          <w:szCs w:val="24"/>
        </w:rPr>
        <w:t>infrastructure and de</w:t>
      </w:r>
      <w:r>
        <w:rPr>
          <w:sz w:val="24"/>
          <w:szCs w:val="24"/>
        </w:rPr>
        <w:t>velopment are conducted via a 4-</w:t>
      </w:r>
      <w:r w:rsidRPr="006D154C">
        <w:rPr>
          <w:sz w:val="24"/>
          <w:szCs w:val="24"/>
        </w:rPr>
        <w:t xml:space="preserve">year Cooperative Agreement with the University of Arizona. The annual estimated expense for implementation and maintenance of </w:t>
      </w:r>
      <w:r w:rsidRPr="006D154C">
        <w:rPr>
          <w:i/>
          <w:sz w:val="24"/>
          <w:szCs w:val="24"/>
        </w:rPr>
        <w:t>Nature’s Notebook</w:t>
      </w:r>
      <w:r w:rsidRPr="006D154C">
        <w:rPr>
          <w:sz w:val="24"/>
          <w:szCs w:val="24"/>
        </w:rPr>
        <w:t xml:space="preserve"> via</w:t>
      </w:r>
      <w:r>
        <w:rPr>
          <w:sz w:val="24"/>
          <w:szCs w:val="24"/>
        </w:rPr>
        <w:t xml:space="preserve"> the Cooperative Agreement is $</w:t>
      </w:r>
      <w:r w:rsidR="003D5EF4">
        <w:rPr>
          <w:sz w:val="24"/>
          <w:szCs w:val="24"/>
        </w:rPr>
        <w:t>230</w:t>
      </w:r>
      <w:r w:rsidR="007C0807">
        <w:rPr>
          <w:sz w:val="24"/>
          <w:szCs w:val="24"/>
        </w:rPr>
        <w:t>,000</w:t>
      </w:r>
      <w:r w:rsidRPr="006D154C">
        <w:rPr>
          <w:sz w:val="24"/>
          <w:szCs w:val="24"/>
        </w:rPr>
        <w:t xml:space="preserve">. Cooperator salaries and operational expenses include planning and management, development of IT infrastructure (programming, database management, server maintenance), partnership development, as well as recruitment, </w:t>
      </w:r>
      <w:r w:rsidRPr="006D154C">
        <w:rPr>
          <w:sz w:val="24"/>
          <w:szCs w:val="24"/>
        </w:rPr>
        <w:t>training</w:t>
      </w:r>
      <w:r w:rsidRPr="006D154C">
        <w:rPr>
          <w:sz w:val="24"/>
          <w:szCs w:val="24"/>
        </w:rPr>
        <w:t xml:space="preserve"> and retention of observers.</w:t>
      </w:r>
    </w:p>
    <w:p w:rsidR="00082C1C" w:rsidP="007C0807" w14:paraId="5966BB9C" w14:textId="12CB9F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rsidR="00295103" w:rsidRPr="00082C1C"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90196" w:rsidP="00E90196" w14:paraId="7DBE06D6" w14:textId="222DB42B">
      <w:pPr>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4"/>
          <w:szCs w:val="24"/>
        </w:rPr>
      </w:pPr>
      <w:r>
        <w:rPr>
          <w:sz w:val="24"/>
          <w:szCs w:val="24"/>
        </w:rPr>
        <w:t xml:space="preserve">We have updated estimates of participation in terms of number of participants and number of records submitted, based on activity during the </w:t>
      </w:r>
      <w:r w:rsidR="00C13EB4">
        <w:rPr>
          <w:sz w:val="24"/>
          <w:szCs w:val="24"/>
        </w:rPr>
        <w:t>2019-2022</w:t>
      </w:r>
      <w:r>
        <w:rPr>
          <w:sz w:val="24"/>
          <w:szCs w:val="24"/>
        </w:rPr>
        <w:t xml:space="preserve"> period. We adjusted hourly costs based on u</w:t>
      </w:r>
      <w:r w:rsidR="00BF6C19">
        <w:rPr>
          <w:sz w:val="24"/>
          <w:szCs w:val="24"/>
        </w:rPr>
        <w:t>pdated compensation information.</w:t>
      </w:r>
      <w:r w:rsidR="00C13EB4">
        <w:rPr>
          <w:sz w:val="24"/>
          <w:szCs w:val="24"/>
        </w:rPr>
        <w:t xml:space="preserve"> We also updated the cost of materials to reflect increased usage of mobile apps for data collection. </w:t>
      </w:r>
    </w:p>
    <w:p w:rsidR="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0196" w:rsidP="00E90196" w14:paraId="7DF691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90196" w:rsidRPr="006D154C" w:rsidP="00E90196" w14:paraId="3E662187" w14:textId="562E42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Organismal phenology data are available since 2008, though historical datasets integrated into the database include data from </w:t>
      </w:r>
      <w:r>
        <w:rPr>
          <w:sz w:val="24"/>
          <w:szCs w:val="24"/>
        </w:rPr>
        <w:t>as early as 1956.  All raw, summarized and quality control flagged</w:t>
      </w:r>
      <w:r w:rsidRPr="006D154C">
        <w:rPr>
          <w:sz w:val="24"/>
          <w:szCs w:val="24"/>
        </w:rPr>
        <w:t xml:space="preserve"> data are</w:t>
      </w:r>
      <w:r>
        <w:rPr>
          <w:sz w:val="24"/>
          <w:szCs w:val="24"/>
        </w:rPr>
        <w:t xml:space="preserve"> readily and publicly</w:t>
      </w:r>
      <w:r w:rsidRPr="006D154C">
        <w:rPr>
          <w:sz w:val="24"/>
          <w:szCs w:val="24"/>
        </w:rPr>
        <w:t xml:space="preserve"> available</w:t>
      </w:r>
      <w:r>
        <w:rPr>
          <w:sz w:val="24"/>
          <w:szCs w:val="24"/>
        </w:rPr>
        <w:t xml:space="preserve">, </w:t>
      </w:r>
      <w:r w:rsidRPr="006D154C">
        <w:rPr>
          <w:sz w:val="24"/>
          <w:szCs w:val="24"/>
        </w:rPr>
        <w:t xml:space="preserve">and are presented in an electronic format on the project web site.  </w:t>
      </w:r>
      <w:r>
        <w:rPr>
          <w:sz w:val="24"/>
          <w:szCs w:val="24"/>
        </w:rPr>
        <w:t xml:space="preserve">Peer-reviewed publications created by project staff and collaborators are described above. </w:t>
      </w:r>
      <w:r w:rsidRPr="006D154C">
        <w:rPr>
          <w:sz w:val="24"/>
          <w:szCs w:val="24"/>
        </w:rPr>
        <w:t>Summary reports are published in scientific journals or other USGS outlets (e.g., open-file reports); published reports are compliant with USGS Fundamental Science Practice; reports are produced at periodic intervals, every 1 to 5 years.  Presentations are made at scientific conferences as appropriate.</w:t>
      </w:r>
    </w:p>
    <w:p w:rsidR="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P="00E90196" w14:paraId="35AC80EF" w14:textId="04BAE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6D154C">
        <w:rPr>
          <w:sz w:val="24"/>
          <w:szCs w:val="24"/>
        </w:rPr>
        <w:t>Not applicable for this request.</w:t>
      </w:r>
    </w:p>
    <w:p w:rsidR="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295103" w14:paraId="45DBC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1ACBA7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90196" w:rsidP="00E90196" w14:paraId="5596B4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There are no exceptions to the certification statement.</w:t>
      </w:r>
    </w:p>
    <w:p w:rsidR="00082C1C" w14:paraId="11E012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footerReference w:type="even" r:id="rId7"/>
      <w:footerReference w:type="default" r:id="rId8"/>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71C6" w:rsidP="00F45D4E" w14:paraId="4255DD20" w14:textId="410B48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71C6" w14:paraId="7310D9EE" w14:textId="77777777">
    <w:pPr>
      <w:pStyle w:val="Footer"/>
    </w:pPr>
  </w:p>
  <w:p w:rsidR="003071C6" w14:paraId="39AA7ED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tblBorders>
      <w:tblLayout w:type="fixed"/>
      <w:tblLook w:val="04A0"/>
    </w:tblPr>
    <w:tblGrid>
      <w:gridCol w:w="7650"/>
      <w:gridCol w:w="1710"/>
    </w:tblGrid>
    <w:tr w14:paraId="015A4A27" w14:textId="77777777" w:rsidTr="00D27BCA">
      <w:tblPrEx>
        <w:tblW w:w="0" w:type="auto"/>
        <w:tblBorders>
          <w:left w:val="none" w:sz="0" w:space="0" w:color="auto"/>
          <w:bottom w:val="none" w:sz="0" w:space="0" w:color="auto"/>
          <w:right w:val="none" w:sz="0" w:space="0" w:color="auto"/>
        </w:tblBorders>
        <w:tblLayout w:type="fixed"/>
        <w:tblLook w:val="04A0"/>
      </w:tblPrEx>
      <w:tc>
        <w:tcPr>
          <w:tcW w:w="7650" w:type="dxa"/>
        </w:tcPr>
        <w:p w:rsidR="003071C6" w:rsidRPr="004513E4" w:rsidP="004E71E5" w14:paraId="6E8F3B04" w14:textId="2A1F99F6">
          <w:pPr>
            <w:pStyle w:val="Footer"/>
          </w:pPr>
          <w:r>
            <w:fldChar w:fldCharType="begin"/>
          </w:r>
          <w:r>
            <w:instrText xml:space="preserve"> FILENAME   \* MERGEFORMAT </w:instrText>
          </w:r>
          <w:r>
            <w:fldChar w:fldCharType="separate"/>
          </w:r>
          <w:r>
            <w:rPr>
              <w:noProof/>
            </w:rPr>
            <w:t xml:space="preserve">1028-0103 SS-A Nature Notebook </w:t>
          </w:r>
          <w:r w:rsidR="004345CF">
            <w:rPr>
              <w:noProof/>
            </w:rPr>
            <w:t>8-28-2023</w:t>
          </w:r>
          <w:r>
            <w:rPr>
              <w:noProof/>
            </w:rPr>
            <w:t>.docx</w:t>
          </w:r>
          <w:r>
            <w:rPr>
              <w:noProof/>
            </w:rPr>
            <w:fldChar w:fldCharType="end"/>
          </w:r>
        </w:p>
      </w:tc>
      <w:tc>
        <w:tcPr>
          <w:tcW w:w="1710" w:type="dxa"/>
        </w:tcPr>
        <w:p w:rsidR="003071C6" w:rsidRPr="004513E4" w:rsidP="004E71E5" w14:paraId="07D7EAE0" w14:textId="47D18D1B">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3C558D">
            <w:rPr>
              <w:rFonts w:cs="Arial"/>
              <w:noProof/>
            </w:rPr>
            <w:t>11</w:t>
          </w:r>
          <w:r w:rsidRPr="004513E4">
            <w:rPr>
              <w:rFonts w:cs="Arial"/>
            </w:rPr>
            <w:fldChar w:fldCharType="end"/>
          </w:r>
        </w:p>
      </w:tc>
    </w:tr>
  </w:tbl>
  <w:p w:rsidR="003071C6" w:rsidRPr="004513E4" w14:paraId="7FDB652C" w14:textId="77777777">
    <w:pPr>
      <w:pStyle w:val="Footer"/>
    </w:pPr>
  </w:p>
  <w:p w:rsidR="003071C6" w14:paraId="6836045D" w14:textId="2388D78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35EDD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A3772E"/>
    <w:multiLevelType w:val="hybridMultilevel"/>
    <w:tmpl w:val="2DF6C5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721803">
    <w:abstractNumId w:val="0"/>
  </w:num>
  <w:num w:numId="2" w16cid:durableId="947473262">
    <w:abstractNumId w:val="1"/>
  </w:num>
  <w:num w:numId="3" w16cid:durableId="55662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387A"/>
    <w:rsid w:val="00010D37"/>
    <w:rsid w:val="0002454B"/>
    <w:rsid w:val="000257C8"/>
    <w:rsid w:val="00026233"/>
    <w:rsid w:val="0002684E"/>
    <w:rsid w:val="000306D2"/>
    <w:rsid w:val="00075414"/>
    <w:rsid w:val="00082C1C"/>
    <w:rsid w:val="000972FC"/>
    <w:rsid w:val="00097475"/>
    <w:rsid w:val="000E2F63"/>
    <w:rsid w:val="000F1C17"/>
    <w:rsid w:val="000F3AF1"/>
    <w:rsid w:val="00162B02"/>
    <w:rsid w:val="001630EE"/>
    <w:rsid w:val="00195787"/>
    <w:rsid w:val="001B036C"/>
    <w:rsid w:val="002372C1"/>
    <w:rsid w:val="00265C98"/>
    <w:rsid w:val="00283C70"/>
    <w:rsid w:val="00292329"/>
    <w:rsid w:val="00295103"/>
    <w:rsid w:val="002D0494"/>
    <w:rsid w:val="002D136B"/>
    <w:rsid w:val="002F0215"/>
    <w:rsid w:val="00300103"/>
    <w:rsid w:val="003071C6"/>
    <w:rsid w:val="00352210"/>
    <w:rsid w:val="003819CD"/>
    <w:rsid w:val="003A2E47"/>
    <w:rsid w:val="003C3292"/>
    <w:rsid w:val="003C558D"/>
    <w:rsid w:val="003D21B6"/>
    <w:rsid w:val="003D5EF4"/>
    <w:rsid w:val="003E6C37"/>
    <w:rsid w:val="004113FC"/>
    <w:rsid w:val="0042092C"/>
    <w:rsid w:val="00427ED1"/>
    <w:rsid w:val="004345CF"/>
    <w:rsid w:val="004458BA"/>
    <w:rsid w:val="004513E4"/>
    <w:rsid w:val="00451428"/>
    <w:rsid w:val="00453654"/>
    <w:rsid w:val="00477A7A"/>
    <w:rsid w:val="004A5DC7"/>
    <w:rsid w:val="004A6D4A"/>
    <w:rsid w:val="004A6DFA"/>
    <w:rsid w:val="004C5EAF"/>
    <w:rsid w:val="004E71E5"/>
    <w:rsid w:val="00525467"/>
    <w:rsid w:val="0054202A"/>
    <w:rsid w:val="005809EC"/>
    <w:rsid w:val="005A602E"/>
    <w:rsid w:val="005D2401"/>
    <w:rsid w:val="005D399C"/>
    <w:rsid w:val="005D39A7"/>
    <w:rsid w:val="005E0031"/>
    <w:rsid w:val="005E0810"/>
    <w:rsid w:val="0060425F"/>
    <w:rsid w:val="0060758B"/>
    <w:rsid w:val="00607D3F"/>
    <w:rsid w:val="00634AA9"/>
    <w:rsid w:val="006431F3"/>
    <w:rsid w:val="00661045"/>
    <w:rsid w:val="0067158A"/>
    <w:rsid w:val="00685D6D"/>
    <w:rsid w:val="0069546D"/>
    <w:rsid w:val="006B6FD6"/>
    <w:rsid w:val="006D154C"/>
    <w:rsid w:val="006E339F"/>
    <w:rsid w:val="006F4039"/>
    <w:rsid w:val="00701C0C"/>
    <w:rsid w:val="0071762B"/>
    <w:rsid w:val="007247FA"/>
    <w:rsid w:val="00732896"/>
    <w:rsid w:val="00737046"/>
    <w:rsid w:val="00737CB7"/>
    <w:rsid w:val="00740AF4"/>
    <w:rsid w:val="007506FF"/>
    <w:rsid w:val="007851E9"/>
    <w:rsid w:val="007B1709"/>
    <w:rsid w:val="007B7DCF"/>
    <w:rsid w:val="007C0807"/>
    <w:rsid w:val="007D38CA"/>
    <w:rsid w:val="007D7144"/>
    <w:rsid w:val="007E21B5"/>
    <w:rsid w:val="007E64AE"/>
    <w:rsid w:val="007E78EE"/>
    <w:rsid w:val="007F23AF"/>
    <w:rsid w:val="0081259F"/>
    <w:rsid w:val="008139D5"/>
    <w:rsid w:val="00814FB6"/>
    <w:rsid w:val="00817A29"/>
    <w:rsid w:val="008239C3"/>
    <w:rsid w:val="00845AF1"/>
    <w:rsid w:val="0088732F"/>
    <w:rsid w:val="008C53A8"/>
    <w:rsid w:val="008D1902"/>
    <w:rsid w:val="008D6497"/>
    <w:rsid w:val="008E4884"/>
    <w:rsid w:val="008F5D37"/>
    <w:rsid w:val="00901CDF"/>
    <w:rsid w:val="00933006"/>
    <w:rsid w:val="00944C21"/>
    <w:rsid w:val="009B359F"/>
    <w:rsid w:val="009C046B"/>
    <w:rsid w:val="009D2194"/>
    <w:rsid w:val="00A05A3C"/>
    <w:rsid w:val="00A11128"/>
    <w:rsid w:val="00A9089C"/>
    <w:rsid w:val="00A94C72"/>
    <w:rsid w:val="00AA1AC7"/>
    <w:rsid w:val="00AA7C74"/>
    <w:rsid w:val="00B554C3"/>
    <w:rsid w:val="00B662F0"/>
    <w:rsid w:val="00B7277B"/>
    <w:rsid w:val="00B9052C"/>
    <w:rsid w:val="00B9425D"/>
    <w:rsid w:val="00BE0F05"/>
    <w:rsid w:val="00BF6C19"/>
    <w:rsid w:val="00C06B0E"/>
    <w:rsid w:val="00C13EB4"/>
    <w:rsid w:val="00CA0DE6"/>
    <w:rsid w:val="00CA378C"/>
    <w:rsid w:val="00CB3A68"/>
    <w:rsid w:val="00CD6020"/>
    <w:rsid w:val="00D21DA2"/>
    <w:rsid w:val="00D27BCA"/>
    <w:rsid w:val="00D37884"/>
    <w:rsid w:val="00D44D5D"/>
    <w:rsid w:val="00D473C2"/>
    <w:rsid w:val="00D55D8F"/>
    <w:rsid w:val="00DE1FFE"/>
    <w:rsid w:val="00DE7630"/>
    <w:rsid w:val="00E043C6"/>
    <w:rsid w:val="00E23D4A"/>
    <w:rsid w:val="00E37B87"/>
    <w:rsid w:val="00E6013B"/>
    <w:rsid w:val="00E80C09"/>
    <w:rsid w:val="00E90196"/>
    <w:rsid w:val="00E90DD8"/>
    <w:rsid w:val="00E9775F"/>
    <w:rsid w:val="00ED16B4"/>
    <w:rsid w:val="00EE28A1"/>
    <w:rsid w:val="00F11042"/>
    <w:rsid w:val="00F1514A"/>
    <w:rsid w:val="00F2200B"/>
    <w:rsid w:val="00F31455"/>
    <w:rsid w:val="00F45D4E"/>
    <w:rsid w:val="00F71A25"/>
    <w:rsid w:val="00F726F6"/>
    <w:rsid w:val="00F73931"/>
    <w:rsid w:val="00F9203A"/>
    <w:rsid w:val="00FB37A9"/>
    <w:rsid w:val="00FD2B4E"/>
    <w:rsid w:val="00FD32C8"/>
    <w:rsid w:val="00FE7CD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0D855A4A"/>
  <w15:docId w15:val="{E9A05138-6776-1F4A-BA7D-B34B2349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4E71E5"/>
    <w:pPr>
      <w:ind w:left="720"/>
      <w:contextualSpacing/>
    </w:pPr>
  </w:style>
  <w:style w:type="paragraph" w:styleId="Revision">
    <w:name w:val="Revision"/>
    <w:hidden/>
    <w:uiPriority w:val="99"/>
    <w:semiHidden/>
    <w:rsid w:val="00FB37A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package" Target="embeddings/ooxmlPackage1.xlsx"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DC239-D712-1845-9ED7-2491F4CF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3755</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Martin, Kristine M</cp:lastModifiedBy>
  <cp:revision>20</cp:revision>
  <cp:lastPrinted>2010-09-28T22:50:00Z</cp:lastPrinted>
  <dcterms:created xsi:type="dcterms:W3CDTF">2023-10-03T18:48:00Z</dcterms:created>
  <dcterms:modified xsi:type="dcterms:W3CDTF">2023-10-03T19:45:00Z</dcterms:modified>
</cp:coreProperties>
</file>