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638AE141">
      <w:pPr>
        <w:pStyle w:val="ReportCover-Title"/>
        <w:jc w:val="center"/>
        <w:rPr>
          <w:rFonts w:ascii="Arial" w:hAnsi="Arial" w:cs="Arial"/>
          <w:color w:val="auto"/>
        </w:rPr>
      </w:pPr>
      <w:r>
        <w:rPr>
          <w:rFonts w:ascii="Arial" w:eastAsia="Arial Unicode MS" w:hAnsi="Arial" w:cs="Arial"/>
          <w:noProof/>
          <w:color w:val="auto"/>
        </w:rPr>
        <w:t xml:space="preserve">Survey </w:t>
      </w:r>
      <w:r w:rsidR="00667462">
        <w:rPr>
          <w:rFonts w:ascii="Arial" w:eastAsia="Arial Unicode MS" w:hAnsi="Arial" w:cs="Arial"/>
          <w:noProof/>
          <w:color w:val="auto"/>
        </w:rPr>
        <w:t>of Child Care and Early Education Supply-Building and Sustainability Efforts</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69B5A54E">
      <w:pPr>
        <w:pStyle w:val="ReportCover-Date"/>
        <w:jc w:val="center"/>
        <w:rPr>
          <w:rFonts w:ascii="Arial" w:hAnsi="Arial" w:cs="Arial"/>
          <w:color w:val="auto"/>
        </w:rPr>
      </w:pPr>
      <w:r>
        <w:rPr>
          <w:rFonts w:ascii="Arial" w:hAnsi="Arial" w:cs="Arial"/>
          <w:color w:val="auto"/>
        </w:rPr>
        <w:t xml:space="preserve">DECEMBER </w:t>
      </w:r>
      <w:r w:rsidR="00667462">
        <w:rPr>
          <w:rFonts w:ascii="Arial" w:hAnsi="Arial" w:cs="Arial"/>
          <w:color w:val="auto"/>
        </w:rPr>
        <w:t>2022</w:t>
      </w:r>
      <w:r w:rsidRPr="00B13297">
        <w:rPr>
          <w:rFonts w:ascii="Arial" w:hAnsi="Arial" w:cs="Arial"/>
          <w:color w:val="auto"/>
        </w:rPr>
        <w:t xml:space="preserve"> </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615B8B9">
      <w:pPr>
        <w:spacing w:after="0" w:line="240" w:lineRule="auto"/>
        <w:jc w:val="center"/>
        <w:rPr>
          <w:rFonts w:ascii="Arial" w:hAnsi="Arial" w:cs="Arial"/>
        </w:rPr>
      </w:pPr>
      <w:r w:rsidRPr="00B13297">
        <w:rPr>
          <w:rFonts w:ascii="Arial" w:hAnsi="Arial" w:cs="Arial"/>
        </w:rPr>
        <w:t>Project Officers:</w:t>
      </w:r>
      <w:r w:rsidR="00667462">
        <w:rPr>
          <w:rFonts w:ascii="Arial" w:hAnsi="Arial" w:cs="Arial"/>
        </w:rPr>
        <w:t xml:space="preserve"> Amanda </w:t>
      </w:r>
      <w:r w:rsidR="00291DEB">
        <w:rPr>
          <w:rFonts w:ascii="Arial" w:hAnsi="Arial" w:cs="Arial"/>
        </w:rPr>
        <w:t xml:space="preserve">Coleman and </w:t>
      </w:r>
      <w:r w:rsidR="00667462">
        <w:rPr>
          <w:rFonts w:ascii="Arial" w:hAnsi="Arial" w:cs="Arial"/>
        </w:rPr>
        <w:t>Bonnie Mackintosh</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906F6A" w:rsidP="00291DEB" w14:paraId="1807DC5A" w14:textId="3D2AB32A">
      <w:pPr>
        <w:pStyle w:val="ListParagraph"/>
        <w:numPr>
          <w:ilvl w:val="0"/>
          <w:numId w:val="29"/>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r w:rsidRPr="00291DEB">
        <w:rPr>
          <w:b/>
        </w:rPr>
        <w:t xml:space="preserve"> </w:t>
      </w:r>
    </w:p>
    <w:p w:rsidR="00906F6A" w:rsidRPr="00BD7963" w:rsidP="00B3652D" w14:paraId="51CAFB20" w14:textId="5981B6B3">
      <w:pPr>
        <w:spacing w:after="0" w:line="240" w:lineRule="auto"/>
      </w:pPr>
    </w:p>
    <w:p w:rsidR="00B3652D" w:rsidP="00EB5BDC" w14:paraId="6D04E0B1" w14:textId="70013B77">
      <w:pPr>
        <w:pStyle w:val="ListParagraph"/>
        <w:numPr>
          <w:ilvl w:val="0"/>
          <w:numId w:val="29"/>
        </w:numPr>
        <w:spacing w:after="0" w:line="240" w:lineRule="auto"/>
        <w:rPr>
          <w:rFonts w:cs="Calibri"/>
        </w:rPr>
      </w:pPr>
      <w:r w:rsidRPr="00906F6A">
        <w:rPr>
          <w:b/>
        </w:rPr>
        <w:t xml:space="preserve">Description of Request: </w:t>
      </w:r>
      <w:r w:rsidR="00291DEB">
        <w:rPr>
          <w:bCs/>
        </w:rPr>
        <w:t xml:space="preserve">This is a new information collection request to collect </w:t>
      </w:r>
      <w:r w:rsidR="00C538EC">
        <w:rPr>
          <w:bCs/>
        </w:rPr>
        <w:t xml:space="preserve">web-survey </w:t>
      </w:r>
      <w:r w:rsidR="00291DEB">
        <w:rPr>
          <w:bCs/>
        </w:rPr>
        <w:t xml:space="preserve">data from Child Care and Development Fund (CCDF) administrators across 50 states, </w:t>
      </w:r>
      <w:r w:rsidR="001A167B">
        <w:rPr>
          <w:bCs/>
        </w:rPr>
        <w:t>the District of Columbia</w:t>
      </w:r>
      <w:r w:rsidR="00291DEB">
        <w:rPr>
          <w:bCs/>
        </w:rPr>
        <w:t xml:space="preserve">, and </w:t>
      </w:r>
      <w:r w:rsidR="00C538EC">
        <w:rPr>
          <w:bCs/>
        </w:rPr>
        <w:t>5 U.S. territories.</w:t>
      </w:r>
      <w:r w:rsidR="00EB5BDC">
        <w:rPr>
          <w:bCs/>
        </w:rPr>
        <w:t xml:space="preserve"> The survey is designed to identify CCDF Lead Agencies’ current efforts to build and sustain child care and early education (CCEE) supply, such as expanding the number of CCEE programs or slots for children within those programs.</w:t>
      </w:r>
      <w:r w:rsidR="00EB5BDC">
        <w:rPr>
          <w:rFonts w:cs="Calibri"/>
        </w:rPr>
        <w:t xml:space="preserve"> </w:t>
      </w:r>
      <w:r w:rsidRPr="0082699E" w:rsidR="0082699E">
        <w:rPr>
          <w:rFonts w:cs="Calibri"/>
        </w:rPr>
        <w:t xml:space="preserve">The primary use of the information from this generic clearance is to inform site selection for </w:t>
      </w:r>
      <w:r w:rsidR="0082699E">
        <w:rPr>
          <w:rFonts w:cs="Calibri"/>
        </w:rPr>
        <w:t>future</w:t>
      </w:r>
      <w:r w:rsidRPr="0082699E" w:rsidR="0082699E">
        <w:rPr>
          <w:rFonts w:cs="Calibri"/>
        </w:rPr>
        <w:t xml:space="preserve"> case studies and evaluation design</w:t>
      </w:r>
      <w:r w:rsidR="0082699E">
        <w:rPr>
          <w:rFonts w:cs="Calibri"/>
        </w:rPr>
        <w:t>.</w:t>
      </w:r>
      <w:r w:rsidRPr="0082699E" w:rsidR="0082699E">
        <w:rPr>
          <w:rFonts w:cs="Calibri"/>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906F6A" w14:paraId="579C578E" w14:textId="16139702">
      <w:pPr>
        <w:pStyle w:val="ListParagraph"/>
        <w:numPr>
          <w:ilvl w:val="0"/>
          <w:numId w:val="29"/>
        </w:numPr>
        <w:spacing w:after="0" w:line="240" w:lineRule="auto"/>
        <w:rPr>
          <w:b/>
        </w:rPr>
      </w:pPr>
      <w:r w:rsidRPr="00906F6A">
        <w:rPr>
          <w:b/>
        </w:rPr>
        <w:t xml:space="preserve">Time Sensitivity: </w:t>
      </w:r>
      <w:r w:rsidRPr="00974329" w:rsidR="008260B2">
        <w:rPr>
          <w:bCs/>
        </w:rPr>
        <w:t xml:space="preserve">The information collected by the survey will be used to inform the </w:t>
      </w:r>
      <w:r w:rsidR="008260B2">
        <w:rPr>
          <w:bCs/>
        </w:rPr>
        <w:t>selection of case study sites and future evaluation design options</w:t>
      </w:r>
      <w:r w:rsidRPr="00974329" w:rsidR="008260B2">
        <w:rPr>
          <w:bCs/>
        </w:rPr>
        <w:t xml:space="preserve"> in a currently active project.</w:t>
      </w:r>
      <w:r w:rsidR="008260B2">
        <w:rPr>
          <w:bCs/>
        </w:rPr>
        <w:t xml:space="preserve"> </w:t>
      </w:r>
      <w:r w:rsidR="003468C7">
        <w:rPr>
          <w:bCs/>
        </w:rPr>
        <w:t>T</w:t>
      </w:r>
      <w:r w:rsidR="008260B2">
        <w:rPr>
          <w:bCs/>
        </w:rPr>
        <w:t>o stay on track with our project timeline</w:t>
      </w:r>
      <w:r w:rsidR="003468C7">
        <w:rPr>
          <w:bCs/>
        </w:rPr>
        <w:t xml:space="preserve">, our goal is to begin data collection no later than </w:t>
      </w:r>
      <w:r w:rsidR="005D4AAF">
        <w:rPr>
          <w:bCs/>
        </w:rPr>
        <w:t>February</w:t>
      </w:r>
      <w:r w:rsidR="008260B2">
        <w:rPr>
          <w:bCs/>
        </w:rPr>
        <w:t xml:space="preserve"> 202</w:t>
      </w:r>
      <w:r w:rsidR="001A167B">
        <w:rPr>
          <w:bCs/>
        </w:rPr>
        <w:t>3</w:t>
      </w:r>
      <w:r w:rsidR="008260B2">
        <w:rPr>
          <w:bCs/>
        </w:rPr>
        <w:t>.</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EF254B" w:rsidP="008260B2" w14:paraId="7C595B78" w14:textId="4D54BE6C">
      <w:pPr>
        <w:spacing w:after="0" w:line="240" w:lineRule="auto"/>
      </w:pPr>
      <w:r>
        <w:t xml:space="preserve">States and territories are developing and implementing various strategies to build and sustain the supply of </w:t>
      </w:r>
      <w:r w:rsidR="003468C7">
        <w:rPr>
          <w:bCs/>
        </w:rPr>
        <w:t>child care and early education (</w:t>
      </w:r>
      <w:r>
        <w:t>CCEE</w:t>
      </w:r>
      <w:r w:rsidR="003468C7">
        <w:t>)</w:t>
      </w:r>
      <w:r>
        <w:t xml:space="preserve"> programs. </w:t>
      </w:r>
      <w:r w:rsidRPr="00671856" w:rsidR="00671856">
        <w:t xml:space="preserve">To learn more ongoing CCEE supply-building and sustainability efforts, the Administration for Children and Families (ACF) Office of Planning, Research, and Evaluation (OPRE) has funded the CCEE Supply-Building project. As part of this project, the study team </w:t>
      </w:r>
      <w:r w:rsidR="00877C77">
        <w:t xml:space="preserve">conducted a web scan </w:t>
      </w:r>
      <w:r w:rsidRPr="00671856" w:rsidR="00671856">
        <w:t xml:space="preserve">of publicly available information </w:t>
      </w:r>
      <w:r w:rsidR="00877C77">
        <w:t xml:space="preserve">and a review of policy documents </w:t>
      </w:r>
      <w:r w:rsidRPr="00671856" w:rsidR="00671856">
        <w:t>on these initiatives that uncovered more than 500 initiatives across states and territories, but little information on each. To address this gap in information, OPRE is planning to conduct future case studies and potentially a future evaluation on a subset of initiatives</w:t>
      </w:r>
      <w:r>
        <w:rPr>
          <w:rStyle w:val="FootnoteReference"/>
        </w:rPr>
        <w:footnoteReference w:id="3"/>
      </w:r>
      <w:r w:rsidRPr="00671856" w:rsidR="00671856">
        <w:t xml:space="preserve">. To inform these future </w:t>
      </w:r>
      <w:r w:rsidR="006A3034">
        <w:t>research activities</w:t>
      </w:r>
      <w:r w:rsidR="00877C77">
        <w:t xml:space="preserve"> and to obtain more detailed information on ongoing </w:t>
      </w:r>
      <w:r w:rsidR="006A3034">
        <w:t>initiatives</w:t>
      </w:r>
      <w:r w:rsidRPr="00671856" w:rsidR="00671856">
        <w:t xml:space="preserve">, the survey proposed in this request </w:t>
      </w:r>
      <w:r w:rsidR="006A3034">
        <w:t>will</w:t>
      </w:r>
      <w:r w:rsidRPr="00671856" w:rsidR="00671856">
        <w:t xml:space="preserve"> invite states and territories to identify and share details about two</w:t>
      </w:r>
      <w:r w:rsidR="006A3034">
        <w:t xml:space="preserve"> ongoing efforts</w:t>
      </w:r>
      <w:r w:rsidRPr="00671856" w:rsidR="00671856">
        <w:t xml:space="preserve"> to support building and sustaining CCEE supply. The success of </w:t>
      </w:r>
      <w:r w:rsidR="006A3034">
        <w:t>future study components</w:t>
      </w:r>
      <w:r w:rsidRPr="00671856" w:rsidR="00671856">
        <w:t xml:space="preserve"> is dependent on this survey data collection.</w:t>
      </w:r>
    </w:p>
    <w:p w:rsidR="006A057B" w:rsidP="008260B2" w14:paraId="6B388EA4" w14:textId="77777777">
      <w:pPr>
        <w:spacing w:after="0" w:line="240" w:lineRule="auto"/>
      </w:pPr>
    </w:p>
    <w:p w:rsidR="006A057B" w:rsidRPr="006A057B" w:rsidP="006A057B" w14:paraId="6720D7A0" w14:textId="77777777">
      <w:pPr>
        <w:spacing w:after="0" w:line="240" w:lineRule="auto"/>
      </w:pPr>
      <w:r w:rsidRPr="006A057B">
        <w:t>There are no legal or administrative requirements that necessitate this collection. ACF is undertaking the collection at the discretion of the agency.</w:t>
      </w:r>
    </w:p>
    <w:p w:rsidR="004328A4" w:rsidP="006A057B" w14:paraId="778B15CC" w14:textId="69DBDE6B">
      <w:pPr>
        <w:spacing w:after="0" w:line="240" w:lineRule="auto"/>
      </w:pPr>
    </w:p>
    <w:p w:rsidR="00D32D53" w:rsidP="006A057B" w14:paraId="32F0AC74"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304409" w14:paraId="6DDDCEC8" w14:textId="2DD3EE30">
      <w:pPr>
        <w:spacing w:after="60" w:line="240" w:lineRule="auto"/>
        <w:rPr>
          <w:i/>
        </w:rPr>
      </w:pPr>
      <w:r w:rsidRPr="004328A4">
        <w:rPr>
          <w:i/>
        </w:rPr>
        <w:t xml:space="preserve">Purpose and Use </w:t>
      </w:r>
    </w:p>
    <w:p w:rsidR="001C03FA" w:rsidP="001C03FA" w14:paraId="7C9FAA43" w14:textId="5D661E64">
      <w:pPr>
        <w:spacing w:after="0" w:line="240" w:lineRule="auto"/>
        <w:rPr>
          <w:rFonts w:cstheme="minorHAnsi"/>
        </w:rPr>
      </w:pPr>
      <w:r>
        <w:t>The survey</w:t>
      </w:r>
      <w:r w:rsidR="00EA788A">
        <w:t xml:space="preserve"> proposed in this request is an integral part to the </w:t>
      </w:r>
      <w:r w:rsidRPr="00444FB6" w:rsidR="00EA788A">
        <w:rPr>
          <w:rFonts w:ascii="Calibri" w:hAnsi="Calibri" w:cs="Calibri"/>
        </w:rPr>
        <w:t>CCEE Supply</w:t>
      </w:r>
      <w:r w:rsidR="00EA788A">
        <w:rPr>
          <w:rFonts w:ascii="Calibri" w:hAnsi="Calibri" w:cs="Calibri"/>
        </w:rPr>
        <w:t>-</w:t>
      </w:r>
      <w:r w:rsidRPr="00444FB6" w:rsidR="00EA788A">
        <w:rPr>
          <w:rFonts w:ascii="Calibri" w:hAnsi="Calibri" w:cs="Calibri"/>
        </w:rPr>
        <w:t xml:space="preserve">Building Project’s </w:t>
      </w:r>
      <w:r w:rsidR="006A3034">
        <w:rPr>
          <w:rFonts w:ascii="Calibri" w:hAnsi="Calibri" w:cs="Calibri"/>
        </w:rPr>
        <w:t xml:space="preserve">broader </w:t>
      </w:r>
      <w:r w:rsidRPr="00444FB6" w:rsidR="00EA788A">
        <w:rPr>
          <w:rFonts w:ascii="Calibri" w:hAnsi="Calibri" w:cs="Calibri"/>
        </w:rPr>
        <w:t>environmental scan</w:t>
      </w:r>
      <w:r w:rsidR="00EA788A">
        <w:rPr>
          <w:rFonts w:ascii="Calibri" w:hAnsi="Calibri" w:cs="Calibri"/>
        </w:rPr>
        <w:t>, which</w:t>
      </w:r>
      <w:r>
        <w:t xml:space="preserve"> is being conducted to</w:t>
      </w:r>
      <w:r w:rsidR="006C2BD7">
        <w:t xml:space="preserve"> </w:t>
      </w:r>
      <w:r w:rsidR="009F1A73">
        <w:t>inform ACF of</w:t>
      </w:r>
      <w:r w:rsidR="006C2BD7">
        <w:t xml:space="preserve"> </w:t>
      </w:r>
      <w:r w:rsidR="009F1A73">
        <w:t>ongoing</w:t>
      </w:r>
      <w:r w:rsidR="006C2BD7">
        <w:t xml:space="preserve"> CCEE supply-building and sustainability efforts that states</w:t>
      </w:r>
      <w:r w:rsidR="009F1A73">
        <w:t xml:space="preserve"> and</w:t>
      </w:r>
      <w:r w:rsidR="006C2BD7">
        <w:t xml:space="preserve"> territories</w:t>
      </w:r>
      <w:r w:rsidR="009F1A73">
        <w:t xml:space="preserve"> </w:t>
      </w:r>
      <w:r w:rsidR="00D52A31">
        <w:t xml:space="preserve">have been </w:t>
      </w:r>
      <w:r w:rsidR="006C2BD7">
        <w:t xml:space="preserve">undertaking. </w:t>
      </w:r>
      <w:r w:rsidRPr="00444FB6" w:rsidR="00405BB3">
        <w:rPr>
          <w:rFonts w:ascii="Calibri" w:hAnsi="Calibri" w:cs="Calibri"/>
        </w:rPr>
        <w:t xml:space="preserve">As part of </w:t>
      </w:r>
      <w:r w:rsidR="00405BB3">
        <w:rPr>
          <w:rFonts w:ascii="Calibri" w:hAnsi="Calibri" w:cs="Calibri"/>
        </w:rPr>
        <w:t>the</w:t>
      </w:r>
      <w:r w:rsidRPr="00444FB6" w:rsidR="00405BB3">
        <w:rPr>
          <w:rFonts w:ascii="Calibri" w:hAnsi="Calibri" w:cs="Calibri"/>
        </w:rPr>
        <w:t xml:space="preserve"> environmental scan, the research team is </w:t>
      </w:r>
      <w:r w:rsidR="00405BB3">
        <w:rPr>
          <w:rFonts w:ascii="Calibri" w:hAnsi="Calibri" w:cs="Calibri"/>
        </w:rPr>
        <w:t>collecting</w:t>
      </w:r>
      <w:r w:rsidRPr="00444FB6" w:rsidR="00405BB3">
        <w:rPr>
          <w:rFonts w:ascii="Calibri" w:hAnsi="Calibri" w:cs="Calibri"/>
        </w:rPr>
        <w:t xml:space="preserve"> </w:t>
      </w:r>
      <w:r w:rsidR="006A3034">
        <w:rPr>
          <w:rFonts w:ascii="Calibri" w:hAnsi="Calibri" w:cs="Calibri"/>
        </w:rPr>
        <w:t xml:space="preserve">and analyzing </w:t>
      </w:r>
      <w:r w:rsidRPr="00444FB6" w:rsidR="00405BB3">
        <w:rPr>
          <w:rFonts w:ascii="Calibri" w:hAnsi="Calibri" w:cs="Calibri"/>
        </w:rPr>
        <w:t>information about CCEE supply-building and sustaining strategies</w:t>
      </w:r>
      <w:r w:rsidR="00405BB3">
        <w:rPr>
          <w:rFonts w:ascii="Calibri" w:hAnsi="Calibri" w:cs="Calibri"/>
        </w:rPr>
        <w:t xml:space="preserve"> in 56 states and territories</w:t>
      </w:r>
      <w:r w:rsidRPr="00444FB6" w:rsidR="00405BB3">
        <w:rPr>
          <w:rFonts w:ascii="Calibri" w:hAnsi="Calibri" w:cs="Calibri"/>
        </w:rPr>
        <w:t xml:space="preserve">. </w:t>
      </w:r>
      <w:r w:rsidR="002A7A2D">
        <w:rPr>
          <w:rFonts w:ascii="Calibri" w:hAnsi="Calibri" w:cs="Calibri"/>
        </w:rPr>
        <w:t xml:space="preserve">To date, the environmental scan has scanned CCDF Lead Agencies’ websites and CCDF State Plans for documented information on </w:t>
      </w:r>
      <w:r w:rsidR="00AA4542">
        <w:rPr>
          <w:rFonts w:ascii="Calibri" w:hAnsi="Calibri" w:cs="Calibri"/>
        </w:rPr>
        <w:t xml:space="preserve">recent and ongoing </w:t>
      </w:r>
      <w:r w:rsidR="002A7A2D">
        <w:rPr>
          <w:rFonts w:ascii="Calibri" w:hAnsi="Calibri" w:cs="Calibri"/>
        </w:rPr>
        <w:t xml:space="preserve">supply-building and supply-sustaining efforts. </w:t>
      </w:r>
      <w:r w:rsidR="00405BB3">
        <w:rPr>
          <w:rFonts w:ascii="Calibri" w:hAnsi="Calibri" w:cs="Calibri"/>
        </w:rPr>
        <w:t>A</w:t>
      </w:r>
      <w:r w:rsidR="002A7A2D">
        <w:rPr>
          <w:rFonts w:ascii="Calibri" w:hAnsi="Calibri" w:cs="Calibri"/>
        </w:rPr>
        <w:t>n</w:t>
      </w:r>
      <w:r w:rsidR="00405BB3">
        <w:rPr>
          <w:rFonts w:ascii="Calibri" w:hAnsi="Calibri" w:cs="Calibri"/>
        </w:rPr>
        <w:t xml:space="preserve"> </w:t>
      </w:r>
      <w:r w:rsidR="002A7A2D">
        <w:rPr>
          <w:rFonts w:ascii="Calibri" w:hAnsi="Calibri" w:cs="Calibri"/>
        </w:rPr>
        <w:t xml:space="preserve">additional proposed </w:t>
      </w:r>
      <w:r w:rsidR="00405BB3">
        <w:rPr>
          <w:rFonts w:ascii="Calibri" w:hAnsi="Calibri" w:cs="Calibri"/>
        </w:rPr>
        <w:t xml:space="preserve">method for collecting </w:t>
      </w:r>
      <w:r w:rsidR="002A7A2D">
        <w:rPr>
          <w:rFonts w:ascii="Calibri" w:hAnsi="Calibri" w:cs="Calibri"/>
        </w:rPr>
        <w:t xml:space="preserve">detailed and consistent </w:t>
      </w:r>
      <w:r w:rsidR="00405BB3">
        <w:rPr>
          <w:rFonts w:ascii="Calibri" w:hAnsi="Calibri" w:cs="Calibri"/>
        </w:rPr>
        <w:t xml:space="preserve">information </w:t>
      </w:r>
      <w:r w:rsidR="002A7A2D">
        <w:rPr>
          <w:rFonts w:ascii="Calibri" w:hAnsi="Calibri" w:cs="Calibri"/>
        </w:rPr>
        <w:t xml:space="preserve">on a </w:t>
      </w:r>
      <w:r w:rsidR="008F7D09">
        <w:rPr>
          <w:rFonts w:ascii="Calibri" w:hAnsi="Calibri" w:cs="Calibri"/>
        </w:rPr>
        <w:t>narrower</w:t>
      </w:r>
      <w:r w:rsidR="002A7A2D">
        <w:rPr>
          <w:rFonts w:ascii="Calibri" w:hAnsi="Calibri" w:cs="Calibri"/>
        </w:rPr>
        <w:t xml:space="preserve"> set of </w:t>
      </w:r>
      <w:r w:rsidR="00AA4542">
        <w:rPr>
          <w:rFonts w:ascii="Calibri" w:hAnsi="Calibri" w:cs="Calibri"/>
        </w:rPr>
        <w:t xml:space="preserve">current </w:t>
      </w:r>
      <w:r w:rsidR="002A7A2D">
        <w:rPr>
          <w:rFonts w:ascii="Calibri" w:hAnsi="Calibri" w:cs="Calibri"/>
        </w:rPr>
        <w:t xml:space="preserve">strategies </w:t>
      </w:r>
      <w:r w:rsidR="00405BB3">
        <w:rPr>
          <w:rFonts w:ascii="Calibri" w:hAnsi="Calibri" w:cs="Calibri"/>
        </w:rPr>
        <w:t xml:space="preserve">is </w:t>
      </w:r>
      <w:r w:rsidR="00405BB3">
        <w:rPr>
          <w:iCs/>
        </w:rPr>
        <w:t xml:space="preserve">a self-administered web survey of CCDF </w:t>
      </w:r>
      <w:r w:rsidRPr="007702CD" w:rsidR="00405BB3">
        <w:rPr>
          <w:iCs/>
        </w:rPr>
        <w:t xml:space="preserve">Lead Agency Staff (i.e., the CCDF Administrator or Co-Administrator). </w:t>
      </w:r>
      <w:r w:rsidRPr="78D972D2" w:rsidR="009F1A73">
        <w:t xml:space="preserve">Respondents will be asked to select and describe two strategies they are implementing that </w:t>
      </w:r>
      <w:r w:rsidRPr="78D972D2" w:rsidR="00645270">
        <w:t xml:space="preserve">meet the </w:t>
      </w:r>
      <w:r w:rsidRPr="78D972D2" w:rsidR="009F1A73">
        <w:t>goals of building and sustaining CCEE supply</w:t>
      </w:r>
      <w:r w:rsidR="00534A57">
        <w:t xml:space="preserve"> (see supporting statement B, section B3 for information about the criteria for the strategies to describe)</w:t>
      </w:r>
      <w:r w:rsidRPr="78D972D2" w:rsidR="009F1A73">
        <w:t xml:space="preserve">. They will </w:t>
      </w:r>
      <w:r w:rsidRPr="78D972D2" w:rsidR="00667839">
        <w:t>be asked to</w:t>
      </w:r>
      <w:r w:rsidRPr="78D972D2" w:rsidR="009F1A73">
        <w:t xml:space="preserve"> describe the scope and focus populations, funding sources, timing of implementation, data used to track progress, and evaluation plans. </w:t>
      </w:r>
    </w:p>
    <w:p w:rsidR="001C03FA" w:rsidP="001C03FA" w14:paraId="6B459FFC" w14:textId="77777777">
      <w:pPr>
        <w:spacing w:after="0" w:line="240" w:lineRule="auto"/>
        <w:rPr>
          <w:rFonts w:cstheme="minorHAnsi"/>
        </w:rPr>
      </w:pPr>
    </w:p>
    <w:p w:rsidR="004E19C1" w:rsidP="006C2BD7" w14:paraId="66542E24" w14:textId="3AF60E84">
      <w:pPr>
        <w:spacing w:after="0" w:line="240" w:lineRule="auto"/>
      </w:pPr>
      <w:r>
        <w:t xml:space="preserve">Survey findings will inform the selection of potential case study sites for </w:t>
      </w:r>
      <w:r w:rsidR="00256D0B">
        <w:t>the</w:t>
      </w:r>
      <w:r>
        <w:t xml:space="preserve"> larger research project. The strategies that survey respondents identify will be the focus of the case studies and future evaluation design options</w:t>
      </w:r>
      <w:r w:rsidR="00256D0B">
        <w:t xml:space="preserve"> for a subset of efforts ready for evaluation</w:t>
      </w:r>
      <w:r>
        <w:t>.</w:t>
      </w:r>
      <w:r w:rsidR="00405BB3">
        <w:t xml:space="preserve"> As appropriate, futur</w:t>
      </w:r>
      <w:r w:rsidR="00877C77">
        <w:t xml:space="preserve">e </w:t>
      </w:r>
      <w:r w:rsidR="00405BB3">
        <w:t>information collection requests will be submitted related to these case studies and evaluation.</w:t>
      </w:r>
      <w:r>
        <w:t xml:space="preserve"> </w:t>
      </w:r>
    </w:p>
    <w:p w:rsidR="004E19C1" w:rsidP="006C2BD7" w14:paraId="791DA9FE" w14:textId="77777777">
      <w:pPr>
        <w:spacing w:after="0" w:line="240" w:lineRule="auto"/>
      </w:pPr>
    </w:p>
    <w:p w:rsidR="006C2BD7" w:rsidP="006C2BD7" w14:paraId="220AA874" w14:textId="063B7936">
      <w:pPr>
        <w:spacing w:after="0" w:line="240" w:lineRule="auto"/>
      </w:pPr>
      <w:r w:rsidRPr="006C2868">
        <w:t xml:space="preserve">Findings are </w:t>
      </w:r>
      <w:r w:rsidR="004E19C1">
        <w:t xml:space="preserve">also </w:t>
      </w:r>
      <w:r w:rsidRPr="006C2868">
        <w:t>meant to inform ACF</w:t>
      </w:r>
      <w:r w:rsidR="004E19C1">
        <w:t>’s</w:t>
      </w:r>
      <w:r w:rsidRPr="006C2868">
        <w:t xml:space="preserve"> activities</w:t>
      </w:r>
      <w:r w:rsidR="004E19C1">
        <w:t xml:space="preserve"> </w:t>
      </w:r>
      <w:r w:rsidR="00EA788A">
        <w:t xml:space="preserve">more broadly </w:t>
      </w:r>
      <w:r w:rsidR="004E19C1">
        <w:t xml:space="preserve">and </w:t>
      </w:r>
      <w:r w:rsidRPr="006C2868">
        <w:t xml:space="preserve">may be incorporated into </w:t>
      </w:r>
      <w:r>
        <w:t>study reports</w:t>
      </w:r>
      <w:r w:rsidRPr="006C2868">
        <w:t xml:space="preserve"> or presentations that are</w:t>
      </w:r>
      <w:r w:rsidR="004E19C1">
        <w:t xml:space="preserve"> shared internally within ACF’s offices or</w:t>
      </w:r>
      <w:r w:rsidRPr="006C2868">
        <w:t xml:space="preserve"> made public</w:t>
      </w:r>
      <w:r w:rsidR="004756CF">
        <w:t xml:space="preserve"> without</w:t>
      </w:r>
      <w:r>
        <w:t xml:space="preserve"> identify</w:t>
      </w:r>
      <w:r w:rsidR="004756CF">
        <w:t>ing</w:t>
      </w:r>
      <w:r>
        <w:t xml:space="preserve"> any specific state or territory. The Office of Child Care may use the findings as they continue to guide supports for CCDF Lead Agencies through a national technical assistance network. </w:t>
      </w:r>
    </w:p>
    <w:p w:rsidR="006C2BD7" w:rsidP="006C2BD7" w14:paraId="6202699B" w14:textId="77777777">
      <w:pPr>
        <w:spacing w:after="0" w:line="240" w:lineRule="auto"/>
      </w:pPr>
    </w:p>
    <w:p w:rsidR="00F4136D" w:rsidRPr="00FA5B1A" w:rsidP="00F4136D" w14:paraId="57EDDB67" w14:textId="77777777">
      <w:pPr>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F4136D" w:rsidRPr="00FA5B1A" w:rsidP="00F4136D" w14:paraId="5B06F434" w14:textId="77777777">
      <w:pPr>
        <w:numPr>
          <w:ilvl w:val="0"/>
          <w:numId w:val="44"/>
        </w:numPr>
        <w:spacing w:after="0" w:line="240" w:lineRule="auto"/>
        <w:rPr>
          <w:rFonts w:cstheme="minorHAnsi"/>
        </w:rPr>
      </w:pPr>
      <w:r w:rsidRPr="00FA5B1A">
        <w:rPr>
          <w:rFonts w:cstheme="minorHAnsi"/>
        </w:rPr>
        <w:t>inform the development of ACF research</w:t>
      </w:r>
    </w:p>
    <w:p w:rsidR="00F4136D" w:rsidRPr="00FA5B1A" w:rsidP="00F4136D" w14:paraId="34D35D69" w14:textId="77777777">
      <w:pPr>
        <w:numPr>
          <w:ilvl w:val="0"/>
          <w:numId w:val="44"/>
        </w:numPr>
        <w:spacing w:after="0" w:line="240" w:lineRule="auto"/>
        <w:rPr>
          <w:rFonts w:cstheme="minorHAnsi"/>
        </w:rPr>
      </w:pPr>
      <w:r w:rsidRPr="00FA5B1A">
        <w:rPr>
          <w:rFonts w:cstheme="minorHAnsi"/>
        </w:rPr>
        <w:t>maintain a research agenda that is rigorous and relevant</w:t>
      </w:r>
    </w:p>
    <w:p w:rsidR="00F4136D" w:rsidRPr="00FA5B1A" w:rsidP="00F4136D" w14:paraId="2BB35BEA" w14:textId="77777777">
      <w:pPr>
        <w:numPr>
          <w:ilvl w:val="0"/>
          <w:numId w:val="44"/>
        </w:numPr>
        <w:spacing w:after="0" w:line="240" w:lineRule="auto"/>
        <w:rPr>
          <w:rFonts w:cstheme="minorHAnsi"/>
        </w:rPr>
      </w:pPr>
      <w:r w:rsidRPr="00FA5B1A">
        <w:rPr>
          <w:rFonts w:cstheme="minorHAnsi"/>
        </w:rPr>
        <w:t xml:space="preserve">ensure that research products are as current as possible </w:t>
      </w:r>
    </w:p>
    <w:p w:rsidR="00EA788A" w:rsidP="00A36134" w14:paraId="1BE3E91A" w14:textId="77777777">
      <w:pPr>
        <w:spacing w:after="0" w:line="240" w:lineRule="auto"/>
        <w:rPr>
          <w:rFonts w:cstheme="minorHAnsi"/>
        </w:rPr>
      </w:pPr>
    </w:p>
    <w:p w:rsidR="00A36134" w:rsidRPr="00014EDC" w:rsidP="00A36134" w14:paraId="12840CC4" w14:textId="32A5C0D8">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4756CF" w:rsidP="00304409" w14:paraId="602361E8" w14:textId="77777777">
      <w:pPr>
        <w:spacing w:after="0" w:line="240" w:lineRule="auto"/>
        <w:rPr>
          <w:i/>
        </w:rPr>
      </w:pPr>
    </w:p>
    <w:p w:rsidR="004328A4" w:rsidP="00304409" w14:paraId="57EB8C37" w14:textId="45B23AE6">
      <w:pPr>
        <w:spacing w:after="60" w:line="240" w:lineRule="auto"/>
        <w:rPr>
          <w:i/>
        </w:rPr>
      </w:pPr>
      <w:r>
        <w:rPr>
          <w:i/>
        </w:rPr>
        <w:t>Guiding</w:t>
      </w:r>
      <w:r w:rsidRPr="004328A4">
        <w:rPr>
          <w:i/>
        </w:rPr>
        <w:t xml:space="preserve"> Questions </w:t>
      </w:r>
    </w:p>
    <w:p w:rsidR="004328A4" w:rsidP="00DF1291" w14:paraId="5B5CEC90" w14:textId="45039ECE">
      <w:pPr>
        <w:spacing w:after="0" w:line="240" w:lineRule="auto"/>
        <w:rPr>
          <w:iCs/>
        </w:rPr>
      </w:pPr>
      <w:r>
        <w:rPr>
          <w:iCs/>
        </w:rPr>
        <w:t>The guiding research question</w:t>
      </w:r>
      <w:r w:rsidR="00844907">
        <w:rPr>
          <w:iCs/>
        </w:rPr>
        <w:t>s</w:t>
      </w:r>
      <w:r>
        <w:rPr>
          <w:iCs/>
        </w:rPr>
        <w:t xml:space="preserve"> </w:t>
      </w:r>
      <w:r w:rsidR="00844907">
        <w:rPr>
          <w:iCs/>
        </w:rPr>
        <w:t>are</w:t>
      </w:r>
      <w:r>
        <w:rPr>
          <w:iCs/>
        </w:rPr>
        <w:t>:</w:t>
      </w:r>
    </w:p>
    <w:p w:rsidR="00844907" w:rsidP="00DF1291" w14:paraId="4483E932" w14:textId="69464501">
      <w:pPr>
        <w:pStyle w:val="ListParagraph"/>
        <w:numPr>
          <w:ilvl w:val="0"/>
          <w:numId w:val="48"/>
        </w:numPr>
        <w:spacing w:after="0" w:line="240" w:lineRule="auto"/>
        <w:rPr>
          <w:iCs/>
        </w:rPr>
      </w:pPr>
      <w:r>
        <w:rPr>
          <w:iCs/>
        </w:rPr>
        <w:t xml:space="preserve">What </w:t>
      </w:r>
      <w:r w:rsidR="00660E6C">
        <w:rPr>
          <w:iCs/>
        </w:rPr>
        <w:t>efforts</w:t>
      </w:r>
      <w:r>
        <w:rPr>
          <w:iCs/>
        </w:rPr>
        <w:t xml:space="preserve"> </w:t>
      </w:r>
      <w:r w:rsidR="00660E6C">
        <w:rPr>
          <w:iCs/>
        </w:rPr>
        <w:t xml:space="preserve">to build and/or sustain CCEE supply </w:t>
      </w:r>
      <w:r>
        <w:rPr>
          <w:iCs/>
        </w:rPr>
        <w:t>are CCDF Lead Agencies</w:t>
      </w:r>
      <w:r w:rsidR="00B75B8E">
        <w:rPr>
          <w:iCs/>
        </w:rPr>
        <w:t xml:space="preserve"> administering </w:t>
      </w:r>
      <w:r w:rsidR="00C05806">
        <w:rPr>
          <w:iCs/>
        </w:rPr>
        <w:t>or funding</w:t>
      </w:r>
      <w:r>
        <w:rPr>
          <w:iCs/>
        </w:rPr>
        <w:t xml:space="preserve">? </w:t>
      </w:r>
    </w:p>
    <w:p w:rsidR="00256D0B" w:rsidP="00DF1291" w14:paraId="1063C495" w14:textId="5EF4B16D">
      <w:pPr>
        <w:pStyle w:val="ListParagraph"/>
        <w:numPr>
          <w:ilvl w:val="0"/>
          <w:numId w:val="48"/>
        </w:numPr>
        <w:spacing w:after="0" w:line="240" w:lineRule="auto"/>
        <w:rPr>
          <w:iCs/>
        </w:rPr>
      </w:pPr>
      <w:r w:rsidRPr="00844907">
        <w:rPr>
          <w:iCs/>
        </w:rPr>
        <w:t xml:space="preserve">What are the </w:t>
      </w:r>
      <w:r w:rsidR="00660E6C">
        <w:rPr>
          <w:iCs/>
        </w:rPr>
        <w:t xml:space="preserve">key </w:t>
      </w:r>
      <w:r w:rsidRPr="00844907">
        <w:rPr>
          <w:iCs/>
        </w:rPr>
        <w:t>characteristics of those efforts</w:t>
      </w:r>
      <w:r>
        <w:rPr>
          <w:iCs/>
        </w:rPr>
        <w:t>?</w:t>
      </w:r>
    </w:p>
    <w:p w:rsidR="00857A16" w:rsidRPr="00660E6C" w:rsidP="00857A16" w14:paraId="78D60EEB" w14:textId="77777777">
      <w:pPr>
        <w:pStyle w:val="ListParagraph"/>
        <w:numPr>
          <w:ilvl w:val="0"/>
          <w:numId w:val="48"/>
        </w:numPr>
        <w:spacing w:after="0" w:line="240" w:lineRule="auto"/>
        <w:rPr>
          <w:i/>
        </w:rPr>
      </w:pPr>
      <w:r w:rsidRPr="00844907">
        <w:rPr>
          <w:iCs/>
        </w:rPr>
        <w:t xml:space="preserve">In what ways are Lead Agencies monitoring implementation </w:t>
      </w:r>
      <w:r>
        <w:rPr>
          <w:iCs/>
        </w:rPr>
        <w:t xml:space="preserve">of CCEE supply-building and supply-sustaining strategies </w:t>
      </w:r>
      <w:r w:rsidRPr="00844907">
        <w:rPr>
          <w:iCs/>
        </w:rPr>
        <w:t xml:space="preserve">and tracking progress toward </w:t>
      </w:r>
      <w:r>
        <w:rPr>
          <w:iCs/>
        </w:rPr>
        <w:t xml:space="preserve">their </w:t>
      </w:r>
      <w:r w:rsidRPr="00844907">
        <w:rPr>
          <w:iCs/>
        </w:rPr>
        <w:t xml:space="preserve">goals? </w:t>
      </w:r>
    </w:p>
    <w:p w:rsidR="00660E6C" w:rsidRPr="00844907" w:rsidP="001C2F88" w14:paraId="0D1ECAA1" w14:textId="47D2377E">
      <w:pPr>
        <w:pStyle w:val="ListParagraph"/>
        <w:numPr>
          <w:ilvl w:val="0"/>
          <w:numId w:val="48"/>
        </w:numPr>
        <w:spacing w:after="0" w:line="240" w:lineRule="auto"/>
        <w:rPr>
          <w:i/>
        </w:rPr>
      </w:pPr>
      <w:r>
        <w:rPr>
          <w:iCs/>
        </w:rPr>
        <w:t>To what degree do the strategies reported by CCDF Lead Agencies show promise as either potential case study si</w:t>
      </w:r>
      <w:r w:rsidR="00D329A3">
        <w:rPr>
          <w:iCs/>
        </w:rPr>
        <w:t>t</w:t>
      </w:r>
      <w:r>
        <w:rPr>
          <w:iCs/>
        </w:rPr>
        <w:t>es or sites for future evaluation?</w:t>
      </w:r>
    </w:p>
    <w:p w:rsidR="00844907" w:rsidRPr="00844907" w:rsidP="00844907" w14:paraId="61524871" w14:textId="77777777">
      <w:pPr>
        <w:pStyle w:val="ListParagraph"/>
        <w:spacing w:after="0" w:line="240" w:lineRule="auto"/>
        <w:rPr>
          <w:i/>
        </w:rPr>
      </w:pPr>
    </w:p>
    <w:p w:rsidR="00405BB3" w:rsidP="00304409" w14:paraId="509899F2" w14:textId="115FE509">
      <w:pPr>
        <w:spacing w:after="60" w:line="240" w:lineRule="auto"/>
        <w:rPr>
          <w:iCs/>
        </w:rPr>
      </w:pPr>
      <w:r w:rsidRPr="78D972D2">
        <w:rPr>
          <w:i/>
          <w:iCs/>
        </w:rPr>
        <w:t>Study Design</w:t>
      </w:r>
    </w:p>
    <w:p w:rsidR="00405BB3" w:rsidP="00444FB6" w14:paraId="602D9820" w14:textId="75D6DF46">
      <w:pPr>
        <w:spacing w:line="240" w:lineRule="auto"/>
        <w:rPr>
          <w:iCs/>
        </w:rPr>
      </w:pPr>
      <w:r>
        <w:rPr>
          <w:iCs/>
        </w:rPr>
        <w:t xml:space="preserve">As noted previously, this survey is one part of a larger environmental scan, that includes the following: </w:t>
      </w:r>
    </w:p>
    <w:p w:rsidR="00AA4542" w:rsidP="00AA4542" w14:paraId="149067B5" w14:textId="66A7A77A">
      <w:pPr>
        <w:pStyle w:val="ListParagraph"/>
        <w:numPr>
          <w:ilvl w:val="0"/>
          <w:numId w:val="50"/>
        </w:numPr>
        <w:spacing w:line="240" w:lineRule="auto"/>
        <w:rPr>
          <w:rFonts w:ascii="Calibri" w:hAnsi="Calibri" w:cs="Calibri"/>
          <w:iCs/>
        </w:rPr>
      </w:pPr>
      <w:r>
        <w:rPr>
          <w:rFonts w:ascii="Calibri" w:hAnsi="Calibri" w:cs="Calibri"/>
          <w:iCs/>
        </w:rPr>
        <w:t>A</w:t>
      </w:r>
      <w:r w:rsidRPr="00AA4542">
        <w:rPr>
          <w:rFonts w:ascii="Calibri" w:hAnsi="Calibri" w:cs="Calibri"/>
          <w:iCs/>
        </w:rPr>
        <w:t xml:space="preserve"> web scan</w:t>
      </w:r>
      <w:r>
        <w:rPr>
          <w:rFonts w:ascii="Calibri" w:hAnsi="Calibri" w:cs="Calibri"/>
          <w:iCs/>
        </w:rPr>
        <w:t>,</w:t>
      </w:r>
      <w:r w:rsidRPr="00AA4542">
        <w:rPr>
          <w:rFonts w:ascii="Calibri" w:hAnsi="Calibri" w:cs="Calibri"/>
          <w:iCs/>
        </w:rPr>
        <w:t xml:space="preserve"> </w:t>
      </w:r>
    </w:p>
    <w:p w:rsidR="00405BB3" w:rsidP="00405BB3" w14:paraId="2F9B977B" w14:textId="48D0D0D5">
      <w:pPr>
        <w:pStyle w:val="ListParagraph"/>
        <w:numPr>
          <w:ilvl w:val="0"/>
          <w:numId w:val="50"/>
        </w:numPr>
        <w:spacing w:line="240" w:lineRule="auto"/>
        <w:rPr>
          <w:rFonts w:ascii="Calibri" w:hAnsi="Calibri" w:cs="Calibri"/>
          <w:iCs/>
        </w:rPr>
      </w:pPr>
      <w:r>
        <w:rPr>
          <w:rFonts w:ascii="Calibri" w:hAnsi="Calibri" w:cs="Calibri"/>
          <w:iCs/>
        </w:rPr>
        <w:t>A</w:t>
      </w:r>
      <w:r w:rsidRPr="00405BB3" w:rsidR="007E0E65">
        <w:rPr>
          <w:rFonts w:ascii="Calibri" w:hAnsi="Calibri" w:cs="Calibri"/>
          <w:iCs/>
        </w:rPr>
        <w:t xml:space="preserve"> review of policy documents (</w:t>
      </w:r>
      <w:r w:rsidR="00AA4542">
        <w:rPr>
          <w:rFonts w:ascii="Calibri" w:hAnsi="Calibri" w:cs="Calibri"/>
          <w:iCs/>
        </w:rPr>
        <w:t>i.e.,</w:t>
      </w:r>
      <w:r w:rsidRPr="00405BB3" w:rsidR="007E0E65">
        <w:rPr>
          <w:rFonts w:ascii="Calibri" w:hAnsi="Calibri" w:cs="Calibri"/>
          <w:iCs/>
        </w:rPr>
        <w:t xml:space="preserve"> </w:t>
      </w:r>
      <w:r w:rsidR="00AA4542">
        <w:rPr>
          <w:rFonts w:ascii="Calibri" w:hAnsi="Calibri" w:cs="Calibri"/>
          <w:iCs/>
        </w:rPr>
        <w:t xml:space="preserve">FY 2022-24 </w:t>
      </w:r>
      <w:r w:rsidRPr="00405BB3" w:rsidR="007E0E65">
        <w:rPr>
          <w:rFonts w:ascii="Calibri" w:hAnsi="Calibri" w:cs="Calibri"/>
          <w:iCs/>
        </w:rPr>
        <w:t>CCDF State Plans</w:t>
      </w:r>
      <w:r w:rsidR="00AA4542">
        <w:rPr>
          <w:rFonts w:ascii="Calibri" w:hAnsi="Calibri" w:cs="Calibri"/>
          <w:iCs/>
        </w:rPr>
        <w:t xml:space="preserve"> obtained with permission from the federal Office of Child Care</w:t>
      </w:r>
      <w:r w:rsidRPr="00405BB3" w:rsidR="007E0E65">
        <w:rPr>
          <w:rFonts w:ascii="Calibri" w:hAnsi="Calibri" w:cs="Calibri"/>
          <w:iCs/>
        </w:rPr>
        <w:t xml:space="preserve">), </w:t>
      </w:r>
    </w:p>
    <w:p w:rsidR="00405BB3" w:rsidP="00405BB3" w14:paraId="6EB54092" w14:textId="393BD349">
      <w:pPr>
        <w:pStyle w:val="ListParagraph"/>
        <w:numPr>
          <w:ilvl w:val="0"/>
          <w:numId w:val="50"/>
        </w:numPr>
        <w:spacing w:line="240" w:lineRule="auto"/>
        <w:rPr>
          <w:rFonts w:ascii="Calibri" w:hAnsi="Calibri" w:cs="Calibri"/>
          <w:iCs/>
        </w:rPr>
      </w:pPr>
      <w:r>
        <w:rPr>
          <w:rFonts w:ascii="Calibri" w:hAnsi="Calibri" w:cs="Calibri"/>
          <w:iCs/>
        </w:rPr>
        <w:t>A</w:t>
      </w:r>
      <w:r w:rsidRPr="00AA4542" w:rsidR="007E0E65">
        <w:rPr>
          <w:rFonts w:ascii="Calibri" w:hAnsi="Calibri" w:cs="Calibri"/>
          <w:iCs/>
        </w:rPr>
        <w:t xml:space="preserve"> literature review, </w:t>
      </w:r>
    </w:p>
    <w:p w:rsidR="00AA4542" w:rsidRPr="00D76BFA" w:rsidP="00405BB3" w14:paraId="682491E4" w14:textId="5CB29EED">
      <w:pPr>
        <w:pStyle w:val="ListParagraph"/>
        <w:numPr>
          <w:ilvl w:val="0"/>
          <w:numId w:val="50"/>
        </w:numPr>
        <w:spacing w:line="240" w:lineRule="auto"/>
        <w:rPr>
          <w:rFonts w:ascii="Calibri" w:hAnsi="Calibri" w:cs="Calibri"/>
          <w:iCs/>
        </w:rPr>
      </w:pPr>
      <w:r>
        <w:rPr>
          <w:rFonts w:ascii="Calibri" w:hAnsi="Calibri" w:cs="Calibri"/>
          <w:iCs/>
        </w:rPr>
        <w:t>E</w:t>
      </w:r>
      <w:r w:rsidRPr="00AA4542">
        <w:rPr>
          <w:rFonts w:ascii="Calibri" w:hAnsi="Calibri" w:cs="Calibri"/>
          <w:iCs/>
        </w:rPr>
        <w:t>xpert interviews</w:t>
      </w:r>
      <w:r>
        <w:rPr>
          <w:rFonts w:ascii="Calibri" w:hAnsi="Calibri" w:cs="Calibri"/>
          <w:iCs/>
        </w:rPr>
        <w:t xml:space="preserve"> with fewer than 10 respondents</w:t>
      </w:r>
      <w:r>
        <w:rPr>
          <w:rFonts w:cstheme="minorHAnsi"/>
        </w:rPr>
        <w:t>, and</w:t>
      </w:r>
    </w:p>
    <w:p w:rsidR="00405BB3" w:rsidP="00405BB3" w14:paraId="42EB915D" w14:textId="649F5304">
      <w:pPr>
        <w:pStyle w:val="ListParagraph"/>
        <w:numPr>
          <w:ilvl w:val="0"/>
          <w:numId w:val="50"/>
        </w:numPr>
        <w:spacing w:line="240" w:lineRule="auto"/>
        <w:rPr>
          <w:rFonts w:ascii="Calibri" w:hAnsi="Calibri" w:cs="Calibri"/>
          <w:iCs/>
        </w:rPr>
      </w:pPr>
      <w:r>
        <w:rPr>
          <w:rFonts w:cstheme="minorHAnsi"/>
        </w:rPr>
        <w:t xml:space="preserve">This </w:t>
      </w:r>
      <w:r w:rsidRPr="00A33138">
        <w:rPr>
          <w:rFonts w:cstheme="minorHAnsi"/>
        </w:rPr>
        <w:t xml:space="preserve">Survey </w:t>
      </w:r>
      <w:r>
        <w:rPr>
          <w:rFonts w:cstheme="minorHAnsi"/>
        </w:rPr>
        <w:t>for</w:t>
      </w:r>
      <w:r w:rsidRPr="00A33138">
        <w:rPr>
          <w:rFonts w:cstheme="minorHAnsi"/>
        </w:rPr>
        <w:t xml:space="preserve"> CCDF Lead Agencies</w:t>
      </w:r>
      <w:r>
        <w:rPr>
          <w:rFonts w:cstheme="minorHAnsi"/>
        </w:rPr>
        <w:t xml:space="preserve"> on Child Care and Early Education Supply-Building and Sustainability Efforts</w:t>
      </w:r>
      <w:r w:rsidR="00AA4542">
        <w:rPr>
          <w:rFonts w:cstheme="minorHAnsi"/>
        </w:rPr>
        <w:t>.</w:t>
      </w:r>
    </w:p>
    <w:p w:rsidR="007E0E65" w:rsidP="00405BB3" w14:paraId="0971583F" w14:textId="09AEE5E7">
      <w:pPr>
        <w:spacing w:after="0" w:line="240" w:lineRule="auto"/>
        <w:rPr>
          <w:rFonts w:ascii="Calibri" w:hAnsi="Calibri" w:cs="Calibri"/>
          <w:iCs/>
        </w:rPr>
      </w:pPr>
      <w:r w:rsidRPr="00405BB3">
        <w:rPr>
          <w:iCs/>
        </w:rPr>
        <w:t xml:space="preserve">The survey will be administered as a census of Lead Agencies across 50 states, </w:t>
      </w:r>
      <w:r w:rsidRPr="00405BB3" w:rsidR="00171951">
        <w:rPr>
          <w:iCs/>
        </w:rPr>
        <w:t>DC</w:t>
      </w:r>
      <w:r w:rsidRPr="00405BB3">
        <w:rPr>
          <w:iCs/>
        </w:rPr>
        <w:t xml:space="preserve">, and </w:t>
      </w:r>
      <w:r w:rsidRPr="00AA4542">
        <w:rPr>
          <w:rFonts w:ascii="Calibri" w:hAnsi="Calibri" w:cs="Calibri"/>
          <w:iCs/>
        </w:rPr>
        <w:t xml:space="preserve">5 U.S territories, so that information can be collected and documented systematically across all Lead Agencies as part of the project’s environmental scan. </w:t>
      </w:r>
      <w:r w:rsidRPr="00AA4542">
        <w:rPr>
          <w:rFonts w:ascii="Calibri" w:hAnsi="Calibri" w:cs="Calibri"/>
          <w:iCs/>
        </w:rPr>
        <w:t xml:space="preserve">We propose this </w:t>
      </w:r>
      <w:r w:rsidRPr="00AA4542" w:rsidR="00D46AC8">
        <w:rPr>
          <w:rFonts w:ascii="Calibri" w:hAnsi="Calibri" w:cs="Calibri"/>
          <w:iCs/>
        </w:rPr>
        <w:t xml:space="preserve">census </w:t>
      </w:r>
      <w:r w:rsidRPr="00AA4542">
        <w:rPr>
          <w:rFonts w:ascii="Calibri" w:hAnsi="Calibri" w:cs="Calibri"/>
          <w:iCs/>
        </w:rPr>
        <w:t>survey design</w:t>
      </w:r>
      <w:r w:rsidRPr="00AA4542" w:rsidR="00D46AC8">
        <w:rPr>
          <w:rFonts w:ascii="Calibri" w:hAnsi="Calibri" w:cs="Calibri"/>
          <w:iCs/>
        </w:rPr>
        <w:t>,</w:t>
      </w:r>
      <w:r w:rsidRPr="00AA4542">
        <w:rPr>
          <w:rFonts w:ascii="Calibri" w:hAnsi="Calibri" w:cs="Calibri"/>
          <w:iCs/>
        </w:rPr>
        <w:t xml:space="preserve"> instead of a sample of Lead Agencies, because we want to give each Lead Agency an equal opportunity to be considered for a future case study. Sampling would</w:t>
      </w:r>
      <w:r w:rsidRPr="00AA4542" w:rsidR="002048B0">
        <w:rPr>
          <w:rFonts w:ascii="Calibri" w:hAnsi="Calibri" w:cs="Calibri"/>
          <w:iCs/>
        </w:rPr>
        <w:t>, by design,</w:t>
      </w:r>
      <w:r w:rsidRPr="00AA4542">
        <w:rPr>
          <w:rFonts w:ascii="Calibri" w:hAnsi="Calibri" w:cs="Calibri"/>
          <w:iCs/>
        </w:rPr>
        <w:t xml:space="preserve"> exclude </w:t>
      </w:r>
      <w:r w:rsidRPr="00AA4542" w:rsidR="002048B0">
        <w:rPr>
          <w:rFonts w:ascii="Calibri" w:hAnsi="Calibri" w:cs="Calibri"/>
          <w:iCs/>
        </w:rPr>
        <w:t>some</w:t>
      </w:r>
      <w:r w:rsidRPr="00AA4542">
        <w:rPr>
          <w:rFonts w:ascii="Calibri" w:hAnsi="Calibri" w:cs="Calibri"/>
          <w:iCs/>
        </w:rPr>
        <w:t xml:space="preserve"> Lead Agencies from participating that </w:t>
      </w:r>
      <w:r w:rsidRPr="00AA4542" w:rsidR="00174195">
        <w:rPr>
          <w:rFonts w:ascii="Calibri" w:hAnsi="Calibri" w:cs="Calibri"/>
          <w:iCs/>
        </w:rPr>
        <w:t>are</w:t>
      </w:r>
      <w:r w:rsidRPr="00AA4542">
        <w:rPr>
          <w:rFonts w:ascii="Calibri" w:hAnsi="Calibri" w:cs="Calibri"/>
          <w:iCs/>
        </w:rPr>
        <w:t xml:space="preserve"> implementing initiatives </w:t>
      </w:r>
      <w:r w:rsidRPr="00AA4542" w:rsidR="00174195">
        <w:rPr>
          <w:rFonts w:ascii="Calibri" w:hAnsi="Calibri" w:cs="Calibri"/>
          <w:iCs/>
        </w:rPr>
        <w:t>that could inform</w:t>
      </w:r>
      <w:r w:rsidRPr="00AA4542">
        <w:rPr>
          <w:rFonts w:ascii="Calibri" w:hAnsi="Calibri" w:cs="Calibri"/>
          <w:iCs/>
        </w:rPr>
        <w:t xml:space="preserve"> our case study site selection. </w:t>
      </w:r>
    </w:p>
    <w:p w:rsidR="00405BB3" w:rsidRPr="00AA4542" w:rsidP="00AA4542" w14:paraId="79235991" w14:textId="77777777">
      <w:pPr>
        <w:spacing w:after="0" w:line="240" w:lineRule="auto"/>
        <w:rPr>
          <w:rFonts w:ascii="Calibri" w:hAnsi="Calibri" w:cs="Calibri"/>
          <w:iCs/>
        </w:rPr>
      </w:pPr>
    </w:p>
    <w:p w:rsidR="000E7419" w:rsidP="00444FB6" w14:paraId="55A21388" w14:textId="4D1EC9B0">
      <w:pPr>
        <w:spacing w:line="240" w:lineRule="auto"/>
        <w:rPr>
          <w:rFonts w:ascii="Calibri" w:hAnsi="Calibri" w:cs="Calibri"/>
        </w:rPr>
      </w:pPr>
      <w:r>
        <w:rPr>
          <w:rFonts w:ascii="Calibri" w:hAnsi="Calibri" w:cs="Calibri"/>
          <w:iCs/>
        </w:rPr>
        <w:t xml:space="preserve">Survey results are not intended to be generalizable but rather identify ongoing efforts unique to each state and territory.  </w:t>
      </w:r>
    </w:p>
    <w:p w:rsidR="00F344C2" w14:paraId="1D0EEF61" w14:textId="77777777">
      <w:pPr>
        <w:rPr>
          <w:rFonts w:cstheme="minorHAnsi"/>
          <w:b/>
          <w:sz w:val="20"/>
          <w:szCs w:val="20"/>
        </w:rPr>
      </w:pPr>
      <w:r>
        <w:rPr>
          <w:rFonts w:cstheme="minorHAnsi"/>
          <w:b/>
          <w:sz w:val="20"/>
          <w:szCs w:val="20"/>
        </w:rPr>
        <w:br w:type="page"/>
      </w:r>
    </w:p>
    <w:p w:rsidR="00224B79" w:rsidRPr="00224B79" w:rsidP="00304409" w14:paraId="4769DFCA" w14:textId="2FA30BF8">
      <w:pPr>
        <w:spacing w:after="120"/>
        <w:jc w:val="both"/>
        <w:rPr>
          <w:rFonts w:cstheme="minorHAnsi"/>
          <w:b/>
          <w:sz w:val="20"/>
          <w:szCs w:val="20"/>
        </w:rPr>
      </w:pPr>
      <w:r w:rsidRPr="00254008">
        <w:rPr>
          <w:rFonts w:cstheme="minorHAnsi"/>
          <w:b/>
          <w:sz w:val="20"/>
          <w:szCs w:val="20"/>
        </w:rPr>
        <w:t>Exhibit A1. Study Design Overview</w:t>
      </w:r>
    </w:p>
    <w:tbl>
      <w:tblPr>
        <w:tblStyle w:val="TableGrid"/>
        <w:tblW w:w="5000" w:type="pct"/>
        <w:tblInd w:w="0" w:type="dxa"/>
        <w:tblLook w:val="04A0"/>
      </w:tblPr>
      <w:tblGrid>
        <w:gridCol w:w="2083"/>
        <w:gridCol w:w="5141"/>
        <w:gridCol w:w="2126"/>
      </w:tblGrid>
      <w:tr w14:paraId="51FF2E50" w14:textId="77777777" w:rsidTr="00D76BFA">
        <w:tblPrEx>
          <w:tblW w:w="5000" w:type="pct"/>
          <w:tblInd w:w="0" w:type="dxa"/>
          <w:tblLook w:val="04A0"/>
        </w:tblPrEx>
        <w:tc>
          <w:tcPr>
            <w:tcW w:w="1114" w:type="pct"/>
            <w:shd w:val="clear" w:color="auto" w:fill="D9D9D9" w:themeFill="background1" w:themeFillShade="D9"/>
          </w:tcPr>
          <w:p w:rsidR="00F344C2" w:rsidRPr="00BC3401" w:rsidP="001C2F88" w14:paraId="750C64CA" w14:textId="05E7BD9F">
            <w:pPr>
              <w:rPr>
                <w:rFonts w:asciiTheme="minorHAnsi" w:hAnsiTheme="minorHAnsi" w:cstheme="minorHAnsi"/>
                <w:i/>
              </w:rPr>
            </w:pPr>
            <w:r w:rsidRPr="00BC3401">
              <w:rPr>
                <w:rFonts w:asciiTheme="minorHAnsi" w:hAnsiTheme="minorHAnsi" w:cstheme="minorHAnsi"/>
                <w:i/>
              </w:rPr>
              <w:t>Instrument</w:t>
            </w:r>
          </w:p>
        </w:tc>
        <w:tc>
          <w:tcPr>
            <w:tcW w:w="2749" w:type="pct"/>
            <w:shd w:val="clear" w:color="auto" w:fill="D9D9D9" w:themeFill="background1" w:themeFillShade="D9"/>
          </w:tcPr>
          <w:p w:rsidR="00F344C2" w:rsidRPr="00BC3401" w:rsidP="001C2F88"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137" w:type="pct"/>
            <w:shd w:val="clear" w:color="auto" w:fill="D9D9D9" w:themeFill="background1" w:themeFillShade="D9"/>
          </w:tcPr>
          <w:p w:rsidR="00F344C2" w:rsidRPr="00BC3401" w:rsidP="001C2F88"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D76BFA">
        <w:tblPrEx>
          <w:tblW w:w="5000" w:type="pct"/>
          <w:tblInd w:w="0" w:type="dxa"/>
          <w:tblLook w:val="04A0"/>
        </w:tblPrEx>
        <w:tc>
          <w:tcPr>
            <w:tcW w:w="1114" w:type="pct"/>
          </w:tcPr>
          <w:p w:rsidR="00F344C2" w:rsidRPr="00BC3401" w:rsidP="001C2F88" w14:paraId="3EDF4256" w14:textId="725D897F">
            <w:pPr>
              <w:rPr>
                <w:rFonts w:asciiTheme="minorHAnsi" w:hAnsiTheme="minorHAnsi" w:cstheme="minorHAnsi"/>
              </w:rPr>
            </w:pPr>
            <w:r>
              <w:rPr>
                <w:rFonts w:asciiTheme="minorHAnsi" w:hAnsiTheme="minorHAnsi" w:cstheme="minorHAnsi"/>
              </w:rPr>
              <w:t>Survey Questionnaire for</w:t>
            </w:r>
            <w:r w:rsidRPr="00A33138">
              <w:rPr>
                <w:rFonts w:asciiTheme="minorHAnsi" w:hAnsiTheme="minorHAnsi" w:cstheme="minorHAnsi"/>
              </w:rPr>
              <w:t xml:space="preserve"> CCDF Lead Agencies</w:t>
            </w:r>
            <w:r>
              <w:rPr>
                <w:rFonts w:asciiTheme="minorHAnsi" w:hAnsiTheme="minorHAnsi" w:cstheme="minorHAnsi"/>
              </w:rPr>
              <w:t xml:space="preserve"> on Child Care and Early Education Supply-Building and Sustainability Efforts</w:t>
            </w:r>
          </w:p>
        </w:tc>
        <w:tc>
          <w:tcPr>
            <w:tcW w:w="2749" w:type="pct"/>
          </w:tcPr>
          <w:p w:rsidR="00F344C2" w:rsidRPr="00BC3401" w:rsidP="001C2F88" w14:paraId="1600AC5F" w14:textId="3E3E12DE">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State and Territory agency staff</w:t>
            </w:r>
          </w:p>
          <w:p w:rsidR="00F344C2" w:rsidRPr="00BC3401" w:rsidP="001C2F88" w14:paraId="32E164CC" w14:textId="77777777">
            <w:pPr>
              <w:rPr>
                <w:rFonts w:asciiTheme="minorHAnsi" w:hAnsiTheme="minorHAnsi" w:cstheme="minorHAnsi"/>
              </w:rPr>
            </w:pPr>
          </w:p>
          <w:p w:rsidR="00F344C2" w:rsidRPr="00BC3401" w:rsidP="001C2F88" w14:paraId="0BE4A700" w14:textId="5A6F64EE">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Identifying strategies; scope and goals of strategies; funding sources; groups involved in planning; data used to help plan; methods to track implementation of strategy; ways agencies are tracking progress and results</w:t>
            </w:r>
          </w:p>
          <w:p w:rsidR="00F344C2" w:rsidRPr="00BC3401" w:rsidP="001C2F88" w14:paraId="5DE76A03" w14:textId="77777777">
            <w:pPr>
              <w:rPr>
                <w:rFonts w:asciiTheme="minorHAnsi" w:hAnsiTheme="minorHAnsi" w:cstheme="minorHAnsi"/>
              </w:rPr>
            </w:pPr>
          </w:p>
          <w:p w:rsidR="00F344C2" w:rsidRPr="00BC3401" w:rsidP="001C2F88" w14:paraId="11DAEC14" w14:textId="42E48A9A">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Collect information on select CCEE supply-building and supply-sustaining efforts that states and territories are implementing </w:t>
            </w:r>
          </w:p>
        </w:tc>
        <w:tc>
          <w:tcPr>
            <w:tcW w:w="1137" w:type="pct"/>
          </w:tcPr>
          <w:p w:rsidR="00F344C2" w:rsidRPr="00BC3401" w:rsidP="001C2F88" w14:paraId="169F7FD4" w14:textId="13E44BF2">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w:t>
            </w:r>
          </w:p>
          <w:p w:rsidR="00F344C2" w:rsidRPr="00BC3401" w:rsidP="001C2F88" w14:paraId="7FF7A335" w14:textId="77777777">
            <w:pPr>
              <w:rPr>
                <w:rFonts w:asciiTheme="minorHAnsi" w:hAnsiTheme="minorHAnsi" w:cstheme="minorHAnsi"/>
              </w:rPr>
            </w:pPr>
          </w:p>
          <w:p w:rsidR="00F344C2" w:rsidRPr="00BC3401" w:rsidP="001C2F88" w14:paraId="5A3D1520" w14:textId="50F2D73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30 minutes</w:t>
            </w:r>
          </w:p>
        </w:tc>
      </w:tr>
    </w:tbl>
    <w:p w:rsidR="007D0F6E" w:rsidP="00DF1291" w14:paraId="276E8AA7" w14:textId="77777777">
      <w:pPr>
        <w:spacing w:after="0" w:line="240" w:lineRule="auto"/>
        <w:rPr>
          <w:i/>
        </w:rPr>
      </w:pPr>
    </w:p>
    <w:p w:rsidR="004328A4" w:rsidRPr="004328A4" w:rsidP="00304409" w14:paraId="6B7E22CE" w14:textId="14554C6B">
      <w:pPr>
        <w:spacing w:after="60" w:line="240" w:lineRule="auto"/>
        <w:rPr>
          <w:i/>
        </w:rPr>
      </w:pPr>
      <w:r>
        <w:rPr>
          <w:i/>
        </w:rPr>
        <w:t>Other Data Sources and Uses of Information</w:t>
      </w:r>
    </w:p>
    <w:p w:rsidR="00AD7C2B" w:rsidP="00D32D53" w14:paraId="3CB11846" w14:textId="5B98FA39">
      <w:pPr>
        <w:spacing w:after="0" w:line="240" w:lineRule="auto"/>
        <w:rPr>
          <w:rFonts w:ascii="Calibri" w:hAnsi="Calibri" w:cs="Calibri"/>
        </w:rPr>
      </w:pPr>
      <w:r>
        <w:t xml:space="preserve">Information from the survey will be used in conjunction with other information gathering through the project’s </w:t>
      </w:r>
      <w:r w:rsidR="00F344C2">
        <w:t xml:space="preserve">broader </w:t>
      </w:r>
      <w:r>
        <w:t>environmental scan. This includes</w:t>
      </w:r>
      <w:r>
        <w:t xml:space="preserve"> expert interviews, a review of policy documents, and a web scan, specifically, a review of announcements and relevant publications on each Lead Agency’s website. The research team catalogued and coded information about relevant strategies in each state and territory. </w:t>
      </w:r>
      <w:r w:rsidRPr="78D972D2">
        <w:rPr>
          <w:rFonts w:ascii="Calibri" w:hAnsi="Calibri" w:cs="Calibri"/>
        </w:rPr>
        <w:t xml:space="preserve">The web-based survey is designed to extend our understanding of strategies identified in policy documents and online resources. First, it gives CCDF Administrators the opportunity to clarify and shed new light on strategies that may now be more developed, relative to descriptions from publicly available information sources or </w:t>
      </w:r>
      <w:r w:rsidRPr="78D972D2" w:rsidR="00AB2347">
        <w:rPr>
          <w:rFonts w:ascii="Calibri" w:hAnsi="Calibri" w:cs="Calibri"/>
        </w:rPr>
        <w:t xml:space="preserve">their </w:t>
      </w:r>
      <w:r w:rsidRPr="78D972D2">
        <w:rPr>
          <w:rFonts w:ascii="Calibri" w:hAnsi="Calibri" w:cs="Calibri"/>
        </w:rPr>
        <w:t>CCDF State Plans</w:t>
      </w:r>
      <w:r w:rsidRPr="78D972D2" w:rsidR="00AB2347">
        <w:rPr>
          <w:rFonts w:ascii="Calibri" w:hAnsi="Calibri" w:cs="Calibri"/>
        </w:rPr>
        <w:t>—the state or territory’s approved application for CCDF funds that provides a description of planned child care services and use of funds</w:t>
      </w:r>
      <w:r w:rsidRPr="78D972D2">
        <w:rPr>
          <w:rFonts w:ascii="Calibri" w:hAnsi="Calibri" w:cs="Calibri"/>
        </w:rPr>
        <w:t>. Second, it gives CCDF Administrators the opportunity to share, in their words,</w:t>
      </w:r>
      <w:r w:rsidRPr="78D972D2" w:rsidR="00673571">
        <w:rPr>
          <w:rFonts w:ascii="Calibri" w:hAnsi="Calibri" w:cs="Calibri"/>
        </w:rPr>
        <w:t xml:space="preserve"> about</w:t>
      </w:r>
      <w:r w:rsidRPr="78D972D2">
        <w:rPr>
          <w:rFonts w:ascii="Calibri" w:hAnsi="Calibri" w:cs="Calibri"/>
        </w:rPr>
        <w:t xml:space="preserve"> particular strategies. Additionally, the web-based survey aims to inform future research activities as part of this project, including the potential selection of CCDF Lead Agencies for case studies and a future evaluation design. </w:t>
      </w:r>
    </w:p>
    <w:p w:rsidR="00D32D53" w:rsidP="00D32D53" w14:paraId="0A24D17A" w14:textId="4184EA98">
      <w:pPr>
        <w:spacing w:after="0" w:line="240" w:lineRule="auto"/>
        <w:rPr>
          <w:rFonts w:ascii="Calibri" w:hAnsi="Calibri" w:cs="Calibri"/>
        </w:rPr>
      </w:pPr>
    </w:p>
    <w:p w:rsidR="00D32D53" w:rsidP="00F344C2" w14:paraId="2328A8AE" w14:textId="77777777">
      <w:pPr>
        <w:spacing w:after="0" w:line="240" w:lineRule="auto"/>
        <w:rPr>
          <w:rFonts w:ascii="Calibri" w:hAnsi="Calibri" w:cs="Calibri"/>
        </w:rPr>
      </w:pPr>
    </w:p>
    <w:p w:rsidR="007D0F6E" w:rsidP="007D0F6E" w14:paraId="14276DBE" w14:textId="517D48DC">
      <w:pPr>
        <w:spacing w:after="120" w:line="240" w:lineRule="auto"/>
        <w:rPr>
          <w:b/>
        </w:rPr>
      </w:pPr>
      <w:r w:rsidRPr="622393EB">
        <w:rPr>
          <w:b/>
          <w:bCs/>
        </w:rPr>
        <w:t>A3</w:t>
      </w:r>
      <w:r>
        <w:t>.</w:t>
      </w:r>
      <w:r w:rsidR="00BD702B">
        <w:tab/>
      </w:r>
      <w:r w:rsidRPr="622393EB">
        <w:rPr>
          <w:b/>
          <w:bCs/>
        </w:rPr>
        <w:t>Use of Information Technology to Reduce Burden</w:t>
      </w:r>
    </w:p>
    <w:p w:rsidR="00CB1F9B" w:rsidP="00F344C2" w14:paraId="0D4EC89E" w14:textId="1DC9BE54">
      <w:pPr>
        <w:spacing w:after="0" w:line="240" w:lineRule="auto"/>
        <w:rPr>
          <w:rFonts w:ascii="Calibri" w:eastAsia="Calibri" w:hAnsi="Calibri" w:cs="Calibri"/>
          <w:color w:val="000000" w:themeColor="text1"/>
        </w:rPr>
      </w:pPr>
      <w:r w:rsidRPr="118E41F3">
        <w:rPr>
          <w:rFonts w:ascii="Calibri" w:eastAsia="Calibri" w:hAnsi="Calibri" w:cs="Calibri"/>
          <w:color w:val="000000" w:themeColor="text1"/>
        </w:rPr>
        <w:t xml:space="preserve">We will program and field the survey through Qualtrics, a web-based survey software platform that includes many features to minimize burden. Qualtrics allows surveys to be programmed with skip logic to avoid irrelevant questions. Information from previous responses is filled into subsequent question stems to reduce the need to recall prior responses. Responses are saved each time participants move forwards or backwards in a questionnaire, allowing participants to complete the questionnaire in stages without losing information. </w:t>
      </w:r>
      <w:r w:rsidR="002F0915">
        <w:rPr>
          <w:rFonts w:ascii="Calibri" w:eastAsia="Calibri" w:hAnsi="Calibri" w:cs="Calibri"/>
          <w:color w:val="000000" w:themeColor="text1"/>
        </w:rPr>
        <w:t xml:space="preserve">Respondents can save their work, close the survey, and return to complete </w:t>
      </w:r>
      <w:r w:rsidR="00D32D53">
        <w:rPr>
          <w:rFonts w:ascii="Calibri" w:eastAsia="Calibri" w:hAnsi="Calibri" w:cs="Calibri"/>
          <w:color w:val="000000" w:themeColor="text1"/>
        </w:rPr>
        <w:t xml:space="preserve">the </w:t>
      </w:r>
      <w:r w:rsidR="002F0915">
        <w:rPr>
          <w:rFonts w:ascii="Calibri" w:eastAsia="Calibri" w:hAnsi="Calibri" w:cs="Calibri"/>
          <w:color w:val="000000" w:themeColor="text1"/>
        </w:rPr>
        <w:t xml:space="preserve">survey later if they are unable to complete it in one session. </w:t>
      </w:r>
    </w:p>
    <w:p w:rsidR="00F344C2" w:rsidP="00F344C2" w14:paraId="0BBECB4B" w14:textId="77777777">
      <w:pPr>
        <w:spacing w:after="0" w:line="240" w:lineRule="auto"/>
        <w:rPr>
          <w:rFonts w:ascii="Calibri" w:eastAsia="Calibri" w:hAnsi="Calibri" w:cs="Calibri"/>
          <w:color w:val="000000" w:themeColor="text1"/>
        </w:rPr>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143687E2">
        <w:rPr>
          <w:b/>
          <w:bCs/>
        </w:rPr>
        <w:t>A4</w:t>
      </w:r>
      <w:r>
        <w:t>.</w:t>
      </w:r>
      <w:r w:rsidR="00BD702B">
        <w:tab/>
      </w:r>
      <w:r w:rsidRPr="143687E2">
        <w:rPr>
          <w:b/>
          <w:bCs/>
        </w:rPr>
        <w:t>Use of Existing Data: Efforts to reduce duplication, minimize burden, and increase utility and government efficiency</w:t>
      </w:r>
    </w:p>
    <w:p w:rsidR="007D0F6E" w:rsidP="1A3C58F8" w14:paraId="5C447CDF" w14:textId="5F9759CE">
      <w:pPr>
        <w:spacing w:after="0" w:line="240" w:lineRule="auto"/>
        <w:rPr>
          <w:rFonts w:ascii="Calibri" w:eastAsia="Calibri" w:hAnsi="Calibri" w:cs="Calibri"/>
          <w:sz w:val="27"/>
          <w:szCs w:val="27"/>
        </w:rPr>
      </w:pPr>
      <w:r w:rsidRPr="1A3C58F8">
        <w:rPr>
          <w:rFonts w:ascii="Calibri" w:eastAsia="Calibri" w:hAnsi="Calibri" w:cs="Calibri"/>
          <w:color w:val="000000" w:themeColor="text1"/>
        </w:rPr>
        <w:t xml:space="preserve">Through our work on the environmental scan task, we have not identified other current or planned efforts to collect systematic, detailed information about CCDF Lead Agencies' </w:t>
      </w:r>
      <w:r w:rsidR="001448D8">
        <w:rPr>
          <w:rFonts w:ascii="Calibri" w:eastAsia="Calibri" w:hAnsi="Calibri" w:cs="Calibri"/>
          <w:color w:val="000000" w:themeColor="text1"/>
        </w:rPr>
        <w:t xml:space="preserve">ongoing </w:t>
      </w:r>
      <w:r w:rsidRPr="1A3C58F8">
        <w:rPr>
          <w:rFonts w:ascii="Calibri" w:eastAsia="Calibri" w:hAnsi="Calibri" w:cs="Calibri"/>
          <w:color w:val="000000" w:themeColor="text1"/>
        </w:rPr>
        <w:t>supply</w:t>
      </w:r>
      <w:r w:rsidR="001448D8">
        <w:rPr>
          <w:rFonts w:ascii="Calibri" w:eastAsia="Calibri" w:hAnsi="Calibri" w:cs="Calibri"/>
          <w:color w:val="000000" w:themeColor="text1"/>
        </w:rPr>
        <w:t>-</w:t>
      </w:r>
      <w:r w:rsidRPr="1A3C58F8">
        <w:rPr>
          <w:rFonts w:ascii="Calibri" w:eastAsia="Calibri" w:hAnsi="Calibri" w:cs="Calibri"/>
          <w:color w:val="000000" w:themeColor="text1"/>
        </w:rPr>
        <w:t xml:space="preserve">building </w:t>
      </w:r>
      <w:r w:rsidR="001448D8">
        <w:rPr>
          <w:rFonts w:ascii="Calibri" w:eastAsia="Calibri" w:hAnsi="Calibri" w:cs="Calibri"/>
          <w:color w:val="000000" w:themeColor="text1"/>
        </w:rPr>
        <w:t xml:space="preserve">or supply-sustaining </w:t>
      </w:r>
      <w:r w:rsidRPr="1A3C58F8">
        <w:rPr>
          <w:rFonts w:ascii="Calibri" w:eastAsia="Calibri" w:hAnsi="Calibri" w:cs="Calibri"/>
          <w:color w:val="000000" w:themeColor="text1"/>
        </w:rPr>
        <w:t xml:space="preserve">strategies. </w:t>
      </w:r>
      <w:r>
        <w:t xml:space="preserve">This survey was designed to extend, but not duplicate, information gathered through </w:t>
      </w:r>
      <w:r w:rsidR="001448D8">
        <w:t>available policy documents and public announcements and reports on CCDF Lead Agencies’ websites</w:t>
      </w:r>
      <w:r>
        <w:t xml:space="preserve"> as part of the environmental scan. </w:t>
      </w:r>
      <w:r w:rsidR="001448D8">
        <w:t xml:space="preserve">The information available in these secondary sources is limited, particularly </w:t>
      </w:r>
      <w:r w:rsidR="00EB27BE">
        <w:t>regarding</w:t>
      </w:r>
      <w:r w:rsidR="001448D8">
        <w:t xml:space="preserve"> questions about timing of implementation, data used for </w:t>
      </w:r>
      <w:r w:rsidR="001448D8">
        <w:t>tracking progress, and evaluation plans.</w:t>
      </w:r>
      <w:r>
        <w:t xml:space="preserve"> This survey was designed to </w:t>
      </w:r>
      <w:r w:rsidR="001448D8">
        <w:t>g</w:t>
      </w:r>
      <w:r w:rsidR="0013481A">
        <w:t>ather more detailed information</w:t>
      </w:r>
      <w:r w:rsidR="001448D8">
        <w:t xml:space="preserve"> on a narrow set of efforts underway</w:t>
      </w:r>
      <w:r>
        <w:t xml:space="preserve"> </w:t>
      </w:r>
      <w:r w:rsidR="001448D8">
        <w:t>to provide</w:t>
      </w:r>
      <w:r>
        <w:t xml:space="preserve"> a more in-depth understanding of each </w:t>
      </w:r>
      <w:r w:rsidRPr="1A3C58F8">
        <w:rPr>
          <w:rFonts w:ascii="Calibri" w:eastAsia="Calibri" w:hAnsi="Calibri" w:cs="Calibri"/>
        </w:rPr>
        <w:t>strategy’s scope and focus, funding sources, administrative and implementation features, data used to track progress, and evaluation plans.</w:t>
      </w:r>
    </w:p>
    <w:p w:rsidR="005B5FCC" w:rsidP="00DF1291" w14:paraId="4F2D0E37" w14:textId="473AA606">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1A3C58F8">
        <w:rPr>
          <w:b/>
          <w:bCs/>
        </w:rPr>
        <w:t>A5</w:t>
      </w:r>
      <w:r>
        <w:t>.</w:t>
      </w:r>
      <w:r w:rsidR="00BD702B">
        <w:tab/>
      </w:r>
      <w:r w:rsidRPr="1A3C58F8">
        <w:rPr>
          <w:b/>
          <w:bCs/>
        </w:rPr>
        <w:t>Impact on Small Businesses</w:t>
      </w:r>
      <w:r>
        <w:t xml:space="preserve"> </w:t>
      </w:r>
    </w:p>
    <w:p w:rsidR="00060B30" w:rsidP="1A3C58F8" w14:paraId="3BEE9C0E" w14:textId="6091B950">
      <w:pPr>
        <w:spacing w:line="240" w:lineRule="auto"/>
        <w:rPr>
          <w:rFonts w:ascii="Calibri" w:eastAsia="Calibri" w:hAnsi="Calibri" w:cs="Calibri"/>
          <w:color w:val="000000" w:themeColor="text1"/>
        </w:rPr>
      </w:pPr>
      <w:r w:rsidRPr="1A3C58F8">
        <w:rPr>
          <w:rFonts w:ascii="Calibri" w:eastAsia="Calibri" w:hAnsi="Calibri" w:cs="Calibri"/>
          <w:color w:val="000000" w:themeColor="text1"/>
        </w:rPr>
        <w:t xml:space="preserve">No small </w:t>
      </w:r>
      <w:r w:rsidR="00083038">
        <w:rPr>
          <w:rFonts w:ascii="Calibri" w:eastAsia="Calibri" w:hAnsi="Calibri" w:cs="Calibri"/>
          <w:color w:val="000000" w:themeColor="text1"/>
        </w:rPr>
        <w:t>businesses</w:t>
      </w:r>
      <w:r w:rsidRPr="1A3C58F8" w:rsidR="00083038">
        <w:rPr>
          <w:rFonts w:ascii="Calibri" w:eastAsia="Calibri" w:hAnsi="Calibri" w:cs="Calibri"/>
          <w:color w:val="000000" w:themeColor="text1"/>
        </w:rPr>
        <w:t xml:space="preserve"> </w:t>
      </w:r>
      <w:r w:rsidRPr="1A3C58F8">
        <w:rPr>
          <w:rFonts w:ascii="Calibri" w:eastAsia="Calibri" w:hAnsi="Calibri" w:cs="Calibri"/>
          <w:color w:val="000000" w:themeColor="text1"/>
        </w:rPr>
        <w:t>are affected by the information collection.</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1A3C58F8">
        <w:rPr>
          <w:b/>
          <w:bCs/>
        </w:rPr>
        <w:t>A6</w:t>
      </w:r>
      <w:r>
        <w:t>.</w:t>
      </w:r>
      <w:r w:rsidR="00BD702B">
        <w:tab/>
      </w:r>
      <w:r w:rsidRPr="1A3C58F8">
        <w:rPr>
          <w:b/>
          <w:bCs/>
        </w:rPr>
        <w:t>Consequences of Less Frequent Collection</w:t>
      </w:r>
      <w:r>
        <w:t xml:space="preserve">  </w:t>
      </w:r>
    </w:p>
    <w:p w:rsidR="005B5FCC" w:rsidRPr="005A6F33" w:rsidP="00F344C2" w14:paraId="70B0C11F" w14:textId="4960ACF0">
      <w:pPr>
        <w:pStyle w:val="CommentText"/>
        <w:spacing w:after="0"/>
        <w:rPr>
          <w:rFonts w:ascii="Calibri" w:eastAsia="Calibri" w:hAnsi="Calibri" w:cs="Calibri"/>
          <w:color w:val="000000" w:themeColor="text1"/>
          <w:sz w:val="22"/>
          <w:szCs w:val="22"/>
        </w:rPr>
      </w:pPr>
      <w:r w:rsidRPr="1A3C58F8">
        <w:rPr>
          <w:rFonts w:ascii="Calibri" w:eastAsia="Calibri" w:hAnsi="Calibri" w:cs="Calibri"/>
          <w:color w:val="000000" w:themeColor="text1"/>
          <w:sz w:val="22"/>
          <w:szCs w:val="22"/>
        </w:rPr>
        <w:t>This is a one-time data collection.</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304409" w14:paraId="2F3836D2" w14:textId="77777777">
      <w:pPr>
        <w:spacing w:after="60"/>
        <w:rPr>
          <w:i/>
        </w:rPr>
      </w:pPr>
      <w:r w:rsidRPr="00060B30">
        <w:rPr>
          <w:i/>
        </w:rPr>
        <w:t>Federal Register Notice and Comments</w:t>
      </w:r>
    </w:p>
    <w:p w:rsidR="00014EDC" w:rsidP="00D76BFA" w14:paraId="59ED9214" w14:textId="24C8A2A9">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D32D53" w:rsidP="00304409" w14:paraId="678F3F3E" w14:textId="77777777">
      <w:pPr>
        <w:pStyle w:val="Heading4"/>
        <w:spacing w:before="0"/>
        <w:rPr>
          <w:rFonts w:asciiTheme="minorHAnsi" w:hAnsiTheme="minorHAnsi" w:cstheme="minorHAnsi"/>
          <w:b w:val="0"/>
          <w:i/>
          <w:sz w:val="22"/>
          <w:szCs w:val="22"/>
        </w:rPr>
      </w:pPr>
      <w:r w:rsidRPr="00D32D53">
        <w:rPr>
          <w:rFonts w:asciiTheme="minorHAnsi" w:hAnsiTheme="minorHAnsi" w:cstheme="minorHAnsi"/>
          <w:b w:val="0"/>
          <w:i/>
          <w:sz w:val="22"/>
          <w:szCs w:val="22"/>
        </w:rPr>
        <w:t>Consultation with Experts Outside of the Study</w:t>
      </w:r>
    </w:p>
    <w:p w:rsidR="00060B30" w:rsidP="00D76BFA" w14:paraId="4E901FE9" w14:textId="4C5D2401">
      <w:pPr>
        <w:spacing w:after="0" w:line="240" w:lineRule="auto"/>
        <w:rPr>
          <w:highlight w:val="yellow"/>
        </w:rPr>
      </w:pPr>
      <w:r>
        <w:t xml:space="preserve">We consulted </w:t>
      </w:r>
      <w:r w:rsidRPr="005A6F33">
        <w:t xml:space="preserve">with </w:t>
      </w:r>
      <w:r w:rsidRPr="005A6F33" w:rsidR="005A6F33">
        <w:t xml:space="preserve">several outside </w:t>
      </w:r>
      <w:r w:rsidRPr="005A6F33">
        <w:t xml:space="preserve">experts </w:t>
      </w:r>
      <w:r w:rsidR="005A6F33">
        <w:t>(</w:t>
      </w:r>
      <w:r w:rsidR="00D32D53">
        <w:t xml:space="preserve">fewer </w:t>
      </w:r>
      <w:r w:rsidR="005A6F33">
        <w:t xml:space="preserve">than 9) </w:t>
      </w:r>
      <w:r w:rsidRPr="005A6F33">
        <w:t xml:space="preserve">to </w:t>
      </w:r>
      <w:r w:rsidR="005A6F33">
        <w:t xml:space="preserve">better understand the range and types of efforts CCDF Lead Agencies are implementing and how we </w:t>
      </w:r>
      <w:r w:rsidR="00141A16">
        <w:t>c</w:t>
      </w:r>
      <w:r w:rsidR="005A6F33">
        <w:t xml:space="preserve">ould </w:t>
      </w:r>
      <w:r w:rsidR="00141A16">
        <w:t>more clearly</w:t>
      </w:r>
      <w:r w:rsidR="005A6F33">
        <w:t xml:space="preserve"> define “supply-building and supply-sustaining strategies.” These expert engagements helped inform the phrasing of survey questions and response options. </w:t>
      </w:r>
      <w:r>
        <w:t xml:space="preserve">We also shared the </w:t>
      </w:r>
      <w:r w:rsidR="005A6F33">
        <w:t xml:space="preserve">draft </w:t>
      </w:r>
      <w:r>
        <w:t>survey instrument with two expert</w:t>
      </w:r>
      <w:r w:rsidR="005A6F33">
        <w:t>s</w:t>
      </w:r>
      <w:r>
        <w:t xml:space="preserve"> to review survey</w:t>
      </w:r>
      <w:r w:rsidR="00C47994">
        <w:t xml:space="preserve"> </w:t>
      </w:r>
      <w:r>
        <w:t>items for clarity</w:t>
      </w:r>
      <w:r w:rsidR="00C47994">
        <w:t xml:space="preserve"> and to test the survey length</w:t>
      </w:r>
      <w:r>
        <w:t>. The consultants provided us with clarifications</w:t>
      </w:r>
      <w:r w:rsidR="008F7D09">
        <w:t>,</w:t>
      </w:r>
      <w:r>
        <w:t xml:space="preserve"> which we have </w:t>
      </w:r>
      <w:r w:rsidR="008F7D09">
        <w:t>considered,</w:t>
      </w:r>
      <w:r>
        <w:t xml:space="preserve"> and confirmed that the survey time commitment of 30 minutes was appropriate.</w:t>
      </w:r>
    </w:p>
    <w:p w:rsidR="00EA0D4F" w:rsidP="002560D7" w14:paraId="42BF95B5" w14:textId="225C6FFF">
      <w:pPr>
        <w:spacing w:after="0" w:line="240" w:lineRule="auto"/>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6235B2DF">
      <w:pPr>
        <w:spacing w:after="0"/>
      </w:pPr>
      <w:r>
        <w:t xml:space="preserve">No tokens of appreciation will be offered. </w:t>
      </w:r>
    </w:p>
    <w:p w:rsidR="005A6F33" w:rsidP="002560D7" w14:paraId="52C46EDF" w14:textId="77777777">
      <w:pPr>
        <w:spacing w:after="0"/>
      </w:pPr>
    </w:p>
    <w:p w:rsidR="002560D7" w:rsidP="002560D7" w14:paraId="081C54E2" w14:textId="77777777">
      <w:pPr>
        <w:spacing w:after="0"/>
      </w:pPr>
    </w:p>
    <w:p w:rsidR="009E01E9" w:rsidP="00CB57CE" w14:paraId="53184467" w14:textId="77777777">
      <w:pPr>
        <w:spacing w:after="120" w:line="240" w:lineRule="auto"/>
        <w:rPr>
          <w:b/>
        </w:rPr>
      </w:pPr>
    </w:p>
    <w:p w:rsidR="009E01E9" w:rsidP="00CB57CE" w14:paraId="0E7E2BA2" w14:textId="77777777">
      <w:pPr>
        <w:spacing w:after="120" w:line="240" w:lineRule="auto"/>
        <w:rPr>
          <w:b/>
        </w:rPr>
      </w:pPr>
    </w:p>
    <w:p w:rsidR="007C7B4B" w:rsidP="00CB57CE" w14:paraId="50697237" w14:textId="6505118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304409" w14:paraId="6433E3BC" w14:textId="584A6F56">
      <w:pPr>
        <w:spacing w:after="60" w:line="240" w:lineRule="auto"/>
        <w:rPr>
          <w:i/>
        </w:rPr>
      </w:pPr>
      <w:r w:rsidRPr="78D972D2">
        <w:rPr>
          <w:i/>
          <w:iCs/>
        </w:rPr>
        <w:t>Personally Identifiable Information</w:t>
      </w:r>
    </w:p>
    <w:p w:rsidR="00603BBD" w:rsidP="00304409" w14:paraId="609AAFC9" w14:textId="1824BA63">
      <w:pPr>
        <w:spacing w:after="0" w:line="240" w:lineRule="auto"/>
      </w:pPr>
      <w:r>
        <w:t xml:space="preserve">Individuals (e.g., CCDF Administrator or another Lead Agency representative) will participate in data collection activities on behalf of the Agency they represent. </w:t>
      </w:r>
      <w:r w:rsidR="00D64F33">
        <w:t>We will not request any personally identifiable information from individual respondents</w:t>
      </w:r>
      <w:r w:rsidR="0009348A">
        <w:t xml:space="preserve"> on the survey, with the exception of one question about the respondent’s position (i.e., CCDF Administrator, Co-Administrator, or other staff member)</w:t>
      </w:r>
      <w:r w:rsidR="00D64F33">
        <w:t>.</w:t>
      </w:r>
      <w:r w:rsidR="0009348A">
        <w:t xml:space="preserve"> The responses to this one survey question will be analyzed internally as a data check, to confirm who respondents are. However, this information will not be reported out individually for each responding state/territory. </w:t>
      </w:r>
      <w:r w:rsidR="00D64F33">
        <w:t xml:space="preserve"> </w:t>
      </w:r>
    </w:p>
    <w:p w:rsidR="002560D7" w:rsidP="002560D7" w14:paraId="18EED10A" w14:textId="77777777">
      <w:pPr>
        <w:spacing w:after="0" w:line="240" w:lineRule="auto"/>
        <w:rPr>
          <w:i/>
        </w:rPr>
      </w:pPr>
    </w:p>
    <w:p w:rsidR="002560D7" w:rsidP="00304409" w14:paraId="28D37A40" w14:textId="7557B9D2">
      <w:pPr>
        <w:spacing w:after="60" w:line="240" w:lineRule="auto"/>
        <w:rPr>
          <w:i/>
        </w:rPr>
      </w:pPr>
      <w:r>
        <w:rPr>
          <w:i/>
        </w:rPr>
        <w:t>Assurances of Privacy</w:t>
      </w:r>
    </w:p>
    <w:p w:rsidR="6FDE07B7" w:rsidP="00D76BFA" w14:paraId="523B5554" w14:textId="28249DEC">
      <w:pPr>
        <w:spacing w:after="0" w:line="240" w:lineRule="auto"/>
      </w:pPr>
      <w:r>
        <w:t xml:space="preserve">Information collected will be kept private to the extent permitted by law. Respondents will be informed of all planned uses of data, that their participation is voluntary, and that their </w:t>
      </w:r>
      <w:r w:rsidR="007A5F49">
        <w:t xml:space="preserve">responses </w:t>
      </w:r>
      <w:r>
        <w:t xml:space="preserve">will be </w:t>
      </w:r>
      <w:r w:rsidR="007A5F49">
        <w:t xml:space="preserve">shared </w:t>
      </w:r>
      <w:r w:rsidRPr="1C155063" w:rsidR="007A5F49">
        <w:rPr>
          <w:rFonts w:eastAsiaTheme="minorEastAsia"/>
          <w:color w:val="000000" w:themeColor="text1"/>
        </w:rPr>
        <w:t>internally with ACF</w:t>
      </w:r>
      <w:r w:rsidR="007A5F49">
        <w:rPr>
          <w:rFonts w:eastAsiaTheme="minorEastAsia"/>
          <w:color w:val="000000" w:themeColor="text1"/>
        </w:rPr>
        <w:t xml:space="preserve">. </w:t>
      </w:r>
      <w:r w:rsidR="00AF4A60">
        <w:t xml:space="preserve">The survey team will link the resulting Qualtrics survey data file to the names of the responding states and territories, </w:t>
      </w:r>
      <w:r w:rsidRPr="1C155063" w:rsidR="007A5F49">
        <w:rPr>
          <w:rFonts w:eastAsiaTheme="minorEastAsia"/>
          <w:color w:val="000000" w:themeColor="text1"/>
        </w:rPr>
        <w:t>such that responses</w:t>
      </w:r>
      <w:r w:rsidR="009215E2">
        <w:rPr>
          <w:rFonts w:eastAsiaTheme="minorEastAsia"/>
          <w:color w:val="000000" w:themeColor="text1"/>
        </w:rPr>
        <w:t xml:space="preserve"> </w:t>
      </w:r>
      <w:r w:rsidRPr="1C155063" w:rsidR="007A5F49">
        <w:rPr>
          <w:rFonts w:eastAsiaTheme="minorEastAsia"/>
          <w:color w:val="000000" w:themeColor="text1"/>
        </w:rPr>
        <w:t>can be connected to a responding state/territory</w:t>
      </w:r>
      <w:r w:rsidR="009215E2">
        <w:rPr>
          <w:rFonts w:eastAsiaTheme="minorEastAsia"/>
          <w:color w:val="000000" w:themeColor="text1"/>
        </w:rPr>
        <w:t xml:space="preserve"> (with the exception of respondent’s work position, as described above)</w:t>
      </w:r>
      <w:r w:rsidRPr="1C155063" w:rsidR="007A5F49">
        <w:rPr>
          <w:rFonts w:eastAsiaTheme="minorEastAsia"/>
          <w:color w:val="000000" w:themeColor="text1"/>
        </w:rPr>
        <w:t>.</w:t>
      </w:r>
      <w:r w:rsidR="007A5F49">
        <w:t xml:space="preserve"> </w:t>
      </w:r>
      <w:r w:rsidR="00AF4A60">
        <w:t xml:space="preserve">Write-in responses may also contain the name of the responding state or territory or the name of a specific initiative that could be traced to that state or territory. </w:t>
      </w:r>
      <w:r w:rsidRPr="1C155063">
        <w:rPr>
          <w:rFonts w:ascii="Calibri" w:eastAsia="Calibri" w:hAnsi="Calibri" w:cs="Calibri"/>
          <w:color w:val="000000" w:themeColor="text1"/>
        </w:rPr>
        <w:t>Entity-level identities (e.g.</w:t>
      </w:r>
      <w:r w:rsidR="00303B78">
        <w:rPr>
          <w:rFonts w:ascii="Calibri" w:eastAsia="Calibri" w:hAnsi="Calibri" w:cs="Calibri"/>
          <w:color w:val="000000" w:themeColor="text1"/>
        </w:rPr>
        <w:t>,</w:t>
      </w:r>
      <w:r w:rsidRPr="1C155063">
        <w:rPr>
          <w:rFonts w:ascii="Calibri" w:eastAsia="Calibri" w:hAnsi="Calibri" w:cs="Calibri"/>
          <w:color w:val="000000" w:themeColor="text1"/>
        </w:rPr>
        <w:t xml:space="preserve"> the State, Territory) with which the data are associated will be maintained throughout the study process and provided to ACF. </w:t>
      </w:r>
      <w:r w:rsidRPr="1C155063">
        <w:rPr>
          <w:rFonts w:eastAsiaTheme="minorEastAsia"/>
          <w:color w:val="000000" w:themeColor="text1"/>
        </w:rPr>
        <w:t>Although respondents’ individual identities (i.e., names) will not be disclosed, ACF does know the identities of the Administrator of each CCDF Lead Agency</w:t>
      </w:r>
      <w:r w:rsidR="00C47994">
        <w:rPr>
          <w:rFonts w:eastAsiaTheme="minorEastAsia"/>
          <w:color w:val="000000" w:themeColor="text1"/>
        </w:rPr>
        <w:t xml:space="preserve">. </w:t>
      </w:r>
      <w:r w:rsidRPr="00C47994">
        <w:t xml:space="preserve">Further, since the participating Agencies will be identified, ACF will be able to deduce those who did not choose to participate. We believe such risks to be minimal because the subject matter of the survey does not represent a funding requirement. </w:t>
      </w:r>
      <w:r w:rsidR="009E01E9">
        <w:t xml:space="preserve">Respondents will be informed of the potential for Agency identification. </w:t>
      </w:r>
      <w:r w:rsidRPr="00C47994">
        <w:t xml:space="preserve">Information that we </w:t>
      </w:r>
      <w:r w:rsidR="00C47994">
        <w:t>use</w:t>
      </w:r>
      <w:r w:rsidRPr="00C47994">
        <w:t xml:space="preserve"> to recruit participants (e.g., contact information </w:t>
      </w:r>
      <w:r w:rsidR="00C47994">
        <w:t>for</w:t>
      </w:r>
      <w:r w:rsidRPr="00C47994">
        <w:t xml:space="preserve"> CCDF Administrators</w:t>
      </w:r>
      <w:r w:rsidR="002178EF">
        <w:t xml:space="preserve"> obtained from the federal Office of Child Care</w:t>
      </w:r>
      <w:r w:rsidRPr="00C47994">
        <w:t xml:space="preserve">) will be stored separately from their survey </w:t>
      </w:r>
      <w:r w:rsidRPr="00C47994" w:rsidR="00141A16">
        <w:t>respon</w:t>
      </w:r>
      <w:r w:rsidR="00141A16">
        <w:t>se</w:t>
      </w:r>
      <w:r w:rsidRPr="00C47994" w:rsidR="00141A16">
        <w:t>s</w:t>
      </w:r>
      <w:r w:rsidRPr="00C47994">
        <w:t>.</w:t>
      </w:r>
    </w:p>
    <w:p w:rsidR="6FDE07B7" w:rsidP="00304409" w14:paraId="015E4C74" w14:textId="209F9C8D">
      <w:pPr>
        <w:spacing w:after="0" w:line="240" w:lineRule="auto"/>
        <w:rPr>
          <w:rFonts w:ascii="Calibri" w:eastAsia="Calibri" w:hAnsi="Calibri" w:cs="Calibri"/>
          <w:color w:val="000000" w:themeColor="text1"/>
        </w:rPr>
      </w:pPr>
      <w:r w:rsidRPr="100B7E3C">
        <w:rPr>
          <w:rFonts w:eastAsiaTheme="minorEastAsia"/>
        </w:rPr>
        <w:t xml:space="preserve"> </w:t>
      </w:r>
    </w:p>
    <w:p w:rsidR="6FDE07B7" w:rsidP="00304409" w14:paraId="0D6E51CE" w14:textId="451A6A6D">
      <w:pPr>
        <w:spacing w:after="0" w:line="240" w:lineRule="auto"/>
        <w:rPr>
          <w:rFonts w:ascii="Calibri" w:eastAsia="Calibri" w:hAnsi="Calibri" w:cs="Calibri"/>
          <w:color w:val="000000" w:themeColor="text1"/>
        </w:rPr>
      </w:pPr>
      <w:r>
        <w:t xml:space="preserve">As specified in the contract, the Contractor will comply with all Federal and Departmental regulations for private information. </w:t>
      </w:r>
      <w:r w:rsidRPr="1C155063" w:rsidR="009C26EF">
        <w:rPr>
          <w:rFonts w:eastAsiaTheme="minorEastAsia"/>
          <w:color w:val="000000" w:themeColor="text1"/>
        </w:rPr>
        <w:t xml:space="preserve">Information that may be considered personally sensitive will be handled carefully and either </w:t>
      </w:r>
      <w:r w:rsidR="009C26EF">
        <w:rPr>
          <w:rFonts w:eastAsiaTheme="minorEastAsia"/>
          <w:color w:val="000000" w:themeColor="text1"/>
        </w:rPr>
        <w:t>will not</w:t>
      </w:r>
      <w:r w:rsidRPr="1C155063" w:rsidR="009C26EF">
        <w:rPr>
          <w:rFonts w:eastAsiaTheme="minorEastAsia"/>
          <w:color w:val="000000" w:themeColor="text1"/>
        </w:rPr>
        <w:t xml:space="preserve"> be reported </w:t>
      </w:r>
      <w:r w:rsidR="009C26EF">
        <w:rPr>
          <w:rFonts w:eastAsiaTheme="minorEastAsia"/>
          <w:color w:val="000000" w:themeColor="text1"/>
        </w:rPr>
        <w:t xml:space="preserve">to ACF </w:t>
      </w:r>
      <w:r w:rsidRPr="1C155063" w:rsidR="009C26EF">
        <w:rPr>
          <w:rFonts w:eastAsiaTheme="minorEastAsia"/>
          <w:color w:val="000000" w:themeColor="text1"/>
        </w:rPr>
        <w:t xml:space="preserve">or will be reported with caution to avoid any reputational harm. </w:t>
      </w:r>
      <w:r w:rsidR="002178EF">
        <w:rPr>
          <w:rFonts w:eastAsiaTheme="minorEastAsia"/>
          <w:color w:val="000000" w:themeColor="text1"/>
        </w:rPr>
        <w:t xml:space="preserve">For example, potentially sensitive information will not be connected </w:t>
      </w:r>
      <w:r w:rsidR="00EB27BE">
        <w:rPr>
          <w:rFonts w:eastAsiaTheme="minorEastAsia"/>
          <w:color w:val="000000" w:themeColor="text1"/>
        </w:rPr>
        <w:t>to</w:t>
      </w:r>
      <w:r w:rsidR="002178EF">
        <w:rPr>
          <w:rFonts w:eastAsiaTheme="minorEastAsia"/>
          <w:color w:val="000000" w:themeColor="text1"/>
        </w:rPr>
        <w:t xml:space="preserve"> PII, such as CCDF administrators’ names and contact information used for survey recruitment. </w:t>
      </w:r>
      <w:r w:rsidRPr="1C155063" w:rsidR="009C26EF">
        <w:rPr>
          <w:rFonts w:eastAsiaTheme="minorEastAsia"/>
          <w:color w:val="000000" w:themeColor="text1"/>
        </w:rPr>
        <w:t xml:space="preserve">No public-facing documents will report survey responses identifiable at the respondent or Agency level, though survey responses may be summarized to provide context. </w:t>
      </w:r>
    </w:p>
    <w:p w:rsidR="002560D7" w:rsidP="00036BED" w14:paraId="6E979ED9" w14:textId="06763008">
      <w:pPr>
        <w:spacing w:after="0" w:line="240" w:lineRule="auto"/>
      </w:pPr>
    </w:p>
    <w:p w:rsidR="002560D7" w:rsidP="00304409" w14:paraId="2490F478" w14:textId="5F5A7DDA">
      <w:pPr>
        <w:spacing w:after="60" w:line="240" w:lineRule="auto"/>
        <w:rPr>
          <w:i/>
          <w:iCs/>
        </w:rPr>
      </w:pPr>
      <w:r w:rsidRPr="4AFA6BBA">
        <w:rPr>
          <w:i/>
          <w:iCs/>
        </w:rPr>
        <w:t>Data Security and Monitoring</w:t>
      </w:r>
    </w:p>
    <w:p w:rsidR="002560D7" w:rsidP="009E01E9" w14:paraId="0F387F41" w14:textId="1FCB1C89">
      <w:pPr>
        <w:spacing w:after="0" w:line="240" w:lineRule="auto"/>
        <w:rPr>
          <w:rFonts w:ascii="Calibri" w:eastAsia="Calibri" w:hAnsi="Calibri" w:cs="Calibri"/>
          <w:color w:val="000000" w:themeColor="text1"/>
        </w:rPr>
      </w:pPr>
      <w:r w:rsidRPr="4AFA6BBA">
        <w:rPr>
          <w:rFonts w:ascii="Calibri" w:eastAsia="Calibri" w:hAnsi="Calibri" w:cs="Calibri"/>
          <w:color w:val="000000" w:themeColor="text1"/>
        </w:rPr>
        <w:t>The study team has developed a data security and monitoring plan. Urban will ensure that all its employees and consultants who perform work under this contract are trained on data privacy issues and comply with the requirements. All project staff will sign the Urban Institute’s staff confidentiality pledge agreeing to follow the Urban Institute’s guidelines for data security.</w:t>
      </w:r>
    </w:p>
    <w:p w:rsidR="009E01E9" w:rsidP="00304409" w14:paraId="4E127748" w14:textId="77777777">
      <w:pPr>
        <w:spacing w:after="0" w:line="240" w:lineRule="auto"/>
        <w:rPr>
          <w:rFonts w:ascii="Calibri" w:eastAsia="Calibri" w:hAnsi="Calibri" w:cs="Calibri"/>
          <w:color w:val="000000" w:themeColor="text1"/>
        </w:rPr>
      </w:pPr>
    </w:p>
    <w:p w:rsidR="002560D7" w:rsidP="00304409" w14:paraId="5EC512F1" w14:textId="63B5C1A3">
      <w:pPr>
        <w:pStyle w:val="Answer"/>
        <w:spacing w:after="0" w:line="240" w:lineRule="auto"/>
        <w:ind w:left="0"/>
        <w:rPr>
          <w:rFonts w:ascii="Calibri" w:eastAsia="Calibri" w:hAnsi="Calibri" w:cs="Calibri"/>
          <w:color w:val="000000" w:themeColor="text1"/>
          <w:sz w:val="22"/>
          <w:szCs w:val="22"/>
        </w:rPr>
      </w:pPr>
      <w:r w:rsidRPr="4AFA6BBA">
        <w:rPr>
          <w:rFonts w:ascii="Calibri" w:eastAsia="Calibri" w:hAnsi="Calibri" w:cs="Calibri"/>
          <w:color w:val="000000" w:themeColor="text1"/>
          <w:sz w:val="22"/>
          <w:szCs w:val="22"/>
        </w:rPr>
        <w:t xml:space="preserve">As specified in OPRE’s contract, Urban will use Federal Information Processing Standard (currently, FIPS 140-2) compliant encryption (Security Requirements for Cryptographic Module, as amended) to protect all instances of sensitive information during storage and transmission. Urban will securely generate and manage encryption keys to prevent unauthorized decryption of information, in accordance with the Federal Processing Standard. Urban will (1) ensure that this standard is incorporated into the company’s property management and control system; and (2) establish a procedure to account for all laptop </w:t>
      </w:r>
      <w:r w:rsidRPr="4AFA6BBA">
        <w:rPr>
          <w:rFonts w:ascii="Calibri" w:eastAsia="Calibri" w:hAnsi="Calibri" w:cs="Calibri"/>
          <w:color w:val="000000" w:themeColor="text1"/>
          <w:sz w:val="22"/>
          <w:szCs w:val="22"/>
        </w:rPr>
        <w:t>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Urban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w:t>
      </w:r>
    </w:p>
    <w:p w:rsidR="002560D7" w:rsidP="002560D7" w14:paraId="249BE1A4" w14:textId="3576D1E2">
      <w:pPr>
        <w:spacing w:after="0" w:line="240" w:lineRule="auto"/>
      </w:pPr>
    </w:p>
    <w:p w:rsidR="009E01E9" w:rsidP="002560D7" w14:paraId="2A5EA4F1" w14:textId="77777777">
      <w:pPr>
        <w:spacing w:after="0" w:line="240" w:lineRule="auto"/>
      </w:pPr>
    </w:p>
    <w:p w:rsidR="00717BDC" w:rsidP="00D32E6D" w14:paraId="38C28436" w14:textId="4298E7E3">
      <w:pPr>
        <w:spacing w:after="120" w:line="240" w:lineRule="auto"/>
      </w:pPr>
      <w:r w:rsidRPr="3C36C0AC">
        <w:rPr>
          <w:b/>
          <w:bCs/>
        </w:rPr>
        <w:t>A11</w:t>
      </w:r>
      <w:r>
        <w:t>.</w:t>
      </w:r>
      <w:r>
        <w:tab/>
      </w:r>
      <w:r w:rsidRPr="3C36C0AC" w:rsidR="002A41C6">
        <w:rPr>
          <w:b/>
          <w:bCs/>
        </w:rPr>
        <w:t>Sensitive Information</w:t>
      </w:r>
      <w:r w:rsidRPr="002560D7" w:rsidR="002560D7">
        <w:rPr>
          <w:rStyle w:val="FootnoteReference"/>
        </w:rPr>
        <w:t xml:space="preserve"> </w:t>
      </w:r>
      <w:r>
        <w:rPr>
          <w:rStyle w:val="FootnoteReference"/>
        </w:rPr>
        <w:footnoteReference w:id="4"/>
      </w:r>
    </w:p>
    <w:p w:rsidR="007A0DA5" w:rsidRPr="005A27E4" w:rsidP="00304409" w14:paraId="72D0146F" w14:textId="3FB58ACC">
      <w:pPr>
        <w:spacing w:after="0" w:line="240" w:lineRule="auto"/>
        <w:rPr>
          <w:highlight w:val="yellow"/>
        </w:rPr>
      </w:pPr>
      <w:r w:rsidRPr="56671CEE">
        <w:rPr>
          <w:rFonts w:ascii="Calibri" w:eastAsia="Calibri" w:hAnsi="Calibri" w:cs="Calibri"/>
          <w:color w:val="000000" w:themeColor="text1"/>
        </w:rPr>
        <w:t xml:space="preserve">We do not anticipate collection of any sensitive information. </w:t>
      </w:r>
      <w:r w:rsidRPr="56671CEE">
        <w:t xml:space="preserve">However, </w:t>
      </w:r>
      <w:r w:rsidR="002F6D07">
        <w:t>in open-ended</w:t>
      </w:r>
      <w:r w:rsidRPr="56671CEE" w:rsidR="002F6D07">
        <w:t xml:space="preserve"> </w:t>
      </w:r>
      <w:r w:rsidRPr="56671CEE">
        <w:t>survey</w:t>
      </w:r>
      <w:r w:rsidR="002F6D07">
        <w:t xml:space="preserve"> questions</w:t>
      </w:r>
      <w:r w:rsidR="00D91DFC">
        <w:t>,</w:t>
      </w:r>
      <w:r w:rsidRPr="56671CEE">
        <w:t xml:space="preserve"> participants could reveal personal challenges and concerns. Possible risks to providing sensitive information could include a risk to professional reputation </w:t>
      </w:r>
      <w:r w:rsidR="00AB0107">
        <w:t xml:space="preserve">or employment </w:t>
      </w:r>
      <w:r w:rsidRPr="56671CEE">
        <w:t>should they indicate anything that could be interpreted as critical of their organization</w:t>
      </w:r>
      <w:r w:rsidR="00AB0107">
        <w:t xml:space="preserve"> and such information is shared beyond the research team</w:t>
      </w:r>
      <w:r w:rsidRPr="56671CEE">
        <w:t xml:space="preserve">. </w:t>
      </w:r>
      <w:r w:rsidR="00AB0107">
        <w:t>Specifically, r</w:t>
      </w:r>
      <w:r w:rsidRPr="56671CEE">
        <w:t>eputational harm could result if certain details (such as poor performance of contractors or difficulties with local partners) were shared and attributed to them. However, this is highly unlikely</w:t>
      </w:r>
      <w:r w:rsidR="003839A4">
        <w:t xml:space="preserve">. Although any information shared </w:t>
      </w:r>
      <w:r w:rsidR="006E62D6">
        <w:t>with the research team</w:t>
      </w:r>
      <w:r w:rsidR="003839A4">
        <w:t xml:space="preserve"> could be shared with ACF, sensitive information</w:t>
      </w:r>
      <w:r w:rsidRPr="56671CEE" w:rsidR="003839A4">
        <w:t xml:space="preserve"> </w:t>
      </w:r>
      <w:r w:rsidR="003839A4">
        <w:t>will</w:t>
      </w:r>
      <w:r w:rsidRPr="56671CEE" w:rsidR="003839A4">
        <w:t xml:space="preserve"> </w:t>
      </w:r>
      <w:r w:rsidRPr="56671CEE">
        <w:t xml:space="preserve">not be </w:t>
      </w:r>
      <w:r w:rsidR="002F6D07">
        <w:t xml:space="preserve">published in any public documents or </w:t>
      </w:r>
      <w:r w:rsidRPr="56671CEE">
        <w:t>shared</w:t>
      </w:r>
      <w:r w:rsidRPr="56671CEE" w:rsidR="003A0EE3">
        <w:t xml:space="preserve"> </w:t>
      </w:r>
      <w:r w:rsidR="003839A4">
        <w:t xml:space="preserve">widely </w:t>
      </w:r>
      <w:r w:rsidR="00AB0107">
        <w:t>beyond the contractor’s research team</w:t>
      </w:r>
      <w:r w:rsidR="003A0EE3">
        <w:t>.</w:t>
      </w:r>
      <w:r w:rsidR="00AB0107">
        <w:t xml:space="preserve"> </w:t>
      </w:r>
    </w:p>
    <w:p w:rsidR="00AB0107" w:rsidP="009E01E9" w14:paraId="52B01F4C" w14:textId="0BEA833A">
      <w:pPr>
        <w:spacing w:after="0" w:line="240" w:lineRule="auto"/>
      </w:pPr>
    </w:p>
    <w:p w:rsidR="009E01E9" w:rsidP="00304409" w14:paraId="3EB8FB19" w14:textId="77777777">
      <w:pPr>
        <w:spacing w:after="0" w:line="240" w:lineRule="auto"/>
      </w:pPr>
    </w:p>
    <w:p w:rsidR="00230CAA" w:rsidRPr="001F0446" w:rsidP="001F0446" w14:paraId="1316A99D" w14:textId="05CCC784">
      <w:pPr>
        <w:spacing w:after="120" w:line="240" w:lineRule="auto"/>
        <w:rPr>
          <w:b/>
        </w:rPr>
      </w:pPr>
      <w:r>
        <w:rPr>
          <w:b/>
        </w:rPr>
        <w:t>A</w:t>
      </w:r>
      <w:r w:rsidRPr="00624DDC" w:rsidR="00B23277">
        <w:rPr>
          <w:b/>
        </w:rPr>
        <w:t>12</w:t>
      </w:r>
      <w:r w:rsidR="00B23277">
        <w:t>.</w:t>
      </w:r>
      <w:r w:rsidR="00B23277">
        <w:tab/>
      </w:r>
      <w:r w:rsidRPr="00D32E6D" w:rsidR="005D4A40">
        <w:rPr>
          <w:b/>
        </w:rPr>
        <w:t>Burden</w:t>
      </w:r>
    </w:p>
    <w:p w:rsidR="00230CAA" w:rsidP="00CA3CC6" w14:paraId="5972B4E8" w14:textId="19743EC4">
      <w:pPr>
        <w:spacing w:after="60" w:line="240" w:lineRule="auto"/>
        <w:rPr>
          <w:i/>
        </w:rPr>
      </w:pPr>
      <w:r>
        <w:rPr>
          <w:i/>
        </w:rPr>
        <w:t>Explanation of Burden Estimates</w:t>
      </w:r>
    </w:p>
    <w:p w:rsidR="001F0446" w:rsidP="56671CEE" w14:paraId="788CBAD8" w14:textId="390F7C11">
      <w:pPr>
        <w:pStyle w:val="Answer"/>
        <w:spacing w:after="0" w:line="240" w:lineRule="auto"/>
        <w:ind w:left="0"/>
        <w:rPr>
          <w:rFonts w:ascii="Calibri" w:eastAsia="Calibri" w:hAnsi="Calibri" w:cs="Calibri"/>
          <w:color w:val="000000" w:themeColor="text1"/>
          <w:sz w:val="22"/>
          <w:szCs w:val="22"/>
        </w:rPr>
      </w:pPr>
      <w:r w:rsidRPr="56671CEE">
        <w:rPr>
          <w:rFonts w:ascii="Calibri" w:eastAsia="Calibri" w:hAnsi="Calibri" w:cs="Calibri"/>
          <w:color w:val="000000" w:themeColor="text1"/>
          <w:sz w:val="22"/>
          <w:szCs w:val="22"/>
        </w:rPr>
        <w:t xml:space="preserve">Exhibit A2 summarizes the estimated reporting burden and costs for this information collection request.  The estimates include time for respondents to review instructions, complete and review their responses, and transmit information.  </w:t>
      </w:r>
    </w:p>
    <w:p w:rsidR="001F0446" w:rsidP="3C36C0AC" w14:paraId="0F1F0637" w14:textId="637DA210">
      <w:pPr>
        <w:spacing w:after="0" w:line="240" w:lineRule="auto"/>
        <w:rPr>
          <w:i/>
          <w:iCs/>
        </w:rPr>
      </w:pPr>
    </w:p>
    <w:p w:rsidR="001F0446" w:rsidP="00CA3CC6" w14:paraId="25684753" w14:textId="0256C7C4">
      <w:pPr>
        <w:spacing w:after="0" w:line="240" w:lineRule="auto"/>
        <w:rPr>
          <w:rFonts w:ascii="Calibri" w:eastAsia="Calibri" w:hAnsi="Calibri" w:cs="Calibri"/>
          <w:color w:val="000000" w:themeColor="text1"/>
        </w:rPr>
      </w:pPr>
      <w:r w:rsidRPr="3CB26810">
        <w:rPr>
          <w:rFonts w:ascii="Calibri" w:eastAsia="Calibri" w:hAnsi="Calibri" w:cs="Calibri"/>
          <w:color w:val="000000" w:themeColor="text1"/>
        </w:rPr>
        <w:t>The study team expects to reach out to all 56 State and Territory CCDF Lead Agencies for this study. We anticipate the survey will take about 30 minutes to complete. This burden estimate is based on a pretest conducted with two expert consultants</w:t>
      </w:r>
      <w:r w:rsidR="006E62D6">
        <w:rPr>
          <w:rFonts w:ascii="Calibri" w:eastAsia="Calibri" w:hAnsi="Calibri" w:cs="Calibri"/>
          <w:color w:val="000000" w:themeColor="text1"/>
        </w:rPr>
        <w:t xml:space="preserve"> (see Supporting Statement B, section B3)</w:t>
      </w:r>
      <w:r w:rsidRPr="3CB26810">
        <w:rPr>
          <w:rFonts w:ascii="Calibri" w:eastAsia="Calibri" w:hAnsi="Calibri" w:cs="Calibri"/>
          <w:color w:val="000000" w:themeColor="text1"/>
        </w:rPr>
        <w:t xml:space="preserve">. </w:t>
      </w:r>
    </w:p>
    <w:p w:rsidR="001F0446" w:rsidP="00230CAA" w14:paraId="24B69DBB" w14:textId="77777777">
      <w:pPr>
        <w:spacing w:after="0" w:line="240" w:lineRule="auto"/>
        <w:rPr>
          <w:i/>
        </w:rPr>
      </w:pPr>
    </w:p>
    <w:p w:rsidR="001F0446" w:rsidRPr="00230CAA" w:rsidP="00CA3CC6" w14:paraId="2DFBEA9F" w14:textId="1258D740">
      <w:pPr>
        <w:spacing w:after="60" w:line="240" w:lineRule="auto"/>
        <w:rPr>
          <w:i/>
        </w:rPr>
      </w:pPr>
      <w:r w:rsidRPr="12F1752C">
        <w:rPr>
          <w:i/>
          <w:iCs/>
        </w:rPr>
        <w:t>Estimated Annualized Cost to Respondents</w:t>
      </w:r>
    </w:p>
    <w:p w:rsidR="001F0446" w:rsidP="00D76BFA" w14:paraId="3C2DAC04" w14:textId="6548B946">
      <w:pPr>
        <w:spacing w:line="240" w:lineRule="auto"/>
      </w:pPr>
      <w:r w:rsidRPr="5F1A6E17">
        <w:rPr>
          <w:rFonts w:ascii="Calibri" w:eastAsia="Calibri" w:hAnsi="Calibri" w:cs="Calibri"/>
          <w:color w:val="000000" w:themeColor="text1"/>
        </w:rPr>
        <w:t xml:space="preserve">All respondents are members of state or territory government. Estimates for these respondents are based on the Department of Labor (DOL) May 2021 estimates for the mean hourly wage of </w:t>
      </w:r>
      <w:r w:rsidR="005E4FF6">
        <w:rPr>
          <w:rFonts w:ascii="Calibri" w:eastAsia="Calibri" w:hAnsi="Calibri" w:cs="Calibri"/>
          <w:color w:val="000000" w:themeColor="text1"/>
        </w:rPr>
        <w:t xml:space="preserve">Administrative </w:t>
      </w:r>
      <w:r w:rsidRPr="5F1A6E17">
        <w:rPr>
          <w:rFonts w:ascii="Calibri" w:eastAsia="Calibri" w:hAnsi="Calibri" w:cs="Calibri"/>
          <w:color w:val="000000" w:themeColor="text1"/>
        </w:rPr>
        <w:t>Service</w:t>
      </w:r>
      <w:r w:rsidR="005E4FF6">
        <w:rPr>
          <w:rFonts w:ascii="Calibri" w:eastAsia="Calibri" w:hAnsi="Calibri" w:cs="Calibri"/>
          <w:color w:val="000000" w:themeColor="text1"/>
        </w:rPr>
        <w:t>s</w:t>
      </w:r>
      <w:r w:rsidRPr="5F1A6E17">
        <w:rPr>
          <w:rFonts w:ascii="Calibri" w:eastAsia="Calibri" w:hAnsi="Calibri" w:cs="Calibri"/>
          <w:color w:val="000000" w:themeColor="text1"/>
        </w:rPr>
        <w:t xml:space="preserve"> Managers</w:t>
      </w:r>
      <w:r w:rsidR="005E4FF6">
        <w:rPr>
          <w:rFonts w:ascii="Calibri" w:eastAsia="Calibri" w:hAnsi="Calibri" w:cs="Calibri"/>
          <w:color w:val="000000" w:themeColor="text1"/>
        </w:rPr>
        <w:t xml:space="preserve"> in state government</w:t>
      </w:r>
      <w:r w:rsidRPr="5F1A6E17">
        <w:rPr>
          <w:rFonts w:ascii="Calibri" w:eastAsia="Calibri" w:hAnsi="Calibri" w:cs="Calibri"/>
          <w:color w:val="000000" w:themeColor="text1"/>
        </w:rPr>
        <w:t>:  $</w:t>
      </w:r>
      <w:r w:rsidR="005E4FF6">
        <w:rPr>
          <w:rFonts w:ascii="Calibri" w:eastAsia="Calibri" w:hAnsi="Calibri" w:cs="Calibri"/>
          <w:color w:val="000000" w:themeColor="text1"/>
        </w:rPr>
        <w:t>49.50 (</w:t>
      </w:r>
      <w:r w:rsidRPr="00C53583" w:rsidR="005E4FF6">
        <w:t>occupational code 11-301</w:t>
      </w:r>
      <w:r w:rsidR="005E4FF6">
        <w:t>2</w:t>
      </w:r>
      <w:r w:rsidRPr="00C53583" w:rsidR="005E4FF6">
        <w:t>)</w:t>
      </w:r>
      <w:r w:rsidR="005E4FF6">
        <w:rPr>
          <w:rFonts w:ascii="Calibri" w:eastAsia="Calibri" w:hAnsi="Calibri" w:cs="Calibri"/>
          <w:color w:val="000000" w:themeColor="text1"/>
        </w:rPr>
        <w:t xml:space="preserve"> </w:t>
      </w:r>
      <w:hyperlink r:id="rId9" w:history="1">
        <w:r w:rsidRPr="00894E9D" w:rsidR="005E4FF6">
          <w:rPr>
            <w:rStyle w:val="Hyperlink"/>
          </w:rPr>
          <w:t>https://www.bls.gov/oes/current/oes113012.htm</w:t>
        </w:r>
      </w:hyperlink>
      <w:r w:rsidR="005E4FF6">
        <w:t xml:space="preserve"> </w:t>
      </w:r>
    </w:p>
    <w:p w:rsidR="00036BED" w14:paraId="48F9E128" w14:textId="77777777">
      <w:pPr>
        <w:rPr>
          <w:rFonts w:cstheme="minorHAnsi"/>
          <w:b/>
          <w:sz w:val="20"/>
          <w:szCs w:val="20"/>
        </w:rPr>
      </w:pPr>
      <w:r>
        <w:rPr>
          <w:rFonts w:cstheme="minorHAnsi"/>
          <w:b/>
          <w:sz w:val="20"/>
          <w:szCs w:val="20"/>
        </w:rPr>
        <w:br w:type="page"/>
      </w:r>
    </w:p>
    <w:p w:rsidR="001F0446" w:rsidRPr="005F2F6A" w:rsidP="005F2F6A" w14:paraId="380BFA12" w14:textId="04E464C1">
      <w:pPr>
        <w:jc w:val="both"/>
        <w:rPr>
          <w:rFonts w:cstheme="minorHAnsi"/>
          <w:b/>
          <w:sz w:val="20"/>
          <w:szCs w:val="20"/>
        </w:rPr>
      </w:pPr>
      <w:r w:rsidRPr="00254008">
        <w:rPr>
          <w:rFonts w:cstheme="minorHAnsi"/>
          <w:b/>
          <w:sz w:val="20"/>
          <w:szCs w:val="20"/>
        </w:rPr>
        <w:t>Exhibit A</w:t>
      </w:r>
      <w:r>
        <w:rPr>
          <w:rFonts w:cstheme="minorHAnsi"/>
          <w:b/>
          <w:sz w:val="20"/>
          <w:szCs w:val="20"/>
        </w:rPr>
        <w:t>2</w:t>
      </w:r>
      <w:r w:rsidRPr="00254008">
        <w:rPr>
          <w:rFonts w:cstheme="minorHAnsi"/>
          <w:b/>
          <w:sz w:val="20"/>
          <w:szCs w:val="20"/>
        </w:rPr>
        <w:t xml:space="preserve">. </w:t>
      </w:r>
      <w:r>
        <w:rPr>
          <w:rFonts w:cstheme="minorHAnsi"/>
          <w:b/>
          <w:sz w:val="20"/>
          <w:szCs w:val="20"/>
        </w:rPr>
        <w:t>Estimated Respondent Burden</w:t>
      </w:r>
    </w:p>
    <w:tbl>
      <w:tblPr>
        <w:tblStyle w:val="TableGrid"/>
        <w:tblW w:w="8753" w:type="dxa"/>
        <w:tblInd w:w="108" w:type="dxa"/>
        <w:tblLayout w:type="fixed"/>
        <w:tblLook w:val="01E0"/>
      </w:tblPr>
      <w:tblGrid>
        <w:gridCol w:w="1147"/>
        <w:gridCol w:w="1361"/>
        <w:gridCol w:w="1249"/>
        <w:gridCol w:w="1249"/>
        <w:gridCol w:w="1361"/>
        <w:gridCol w:w="1137"/>
        <w:gridCol w:w="1249"/>
      </w:tblGrid>
      <w:tr w14:paraId="10E15412" w14:textId="77777777" w:rsidTr="00BC31A7">
        <w:tblPrEx>
          <w:tblW w:w="8753" w:type="dxa"/>
          <w:tblInd w:w="108" w:type="dxa"/>
          <w:tblLayout w:type="fixed"/>
          <w:tblLook w:val="01E0"/>
        </w:tblPrEx>
        <w:tc>
          <w:tcPr>
            <w:tcW w:w="1147" w:type="dxa"/>
            <w:tcBorders>
              <w:top w:val="single" w:sz="4" w:space="0" w:color="auto"/>
              <w:left w:val="single" w:sz="4" w:space="0" w:color="auto"/>
              <w:bottom w:val="single" w:sz="4" w:space="0" w:color="auto"/>
              <w:right w:val="single" w:sz="4" w:space="0" w:color="auto"/>
            </w:tcBorders>
            <w:hideMark/>
          </w:tcPr>
          <w:p w:rsidR="00BC31A7"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61" w:type="dxa"/>
            <w:tcBorders>
              <w:top w:val="single" w:sz="4" w:space="0" w:color="auto"/>
              <w:left w:val="single" w:sz="4" w:space="0" w:color="auto"/>
              <w:bottom w:val="single" w:sz="4" w:space="0" w:color="auto"/>
              <w:right w:val="single" w:sz="4" w:space="0" w:color="auto"/>
            </w:tcBorders>
            <w:hideMark/>
          </w:tcPr>
          <w:p w:rsidR="00BC31A7"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49" w:type="dxa"/>
            <w:tcBorders>
              <w:top w:val="single" w:sz="4" w:space="0" w:color="auto"/>
              <w:left w:val="single" w:sz="4" w:space="0" w:color="auto"/>
              <w:bottom w:val="single" w:sz="4" w:space="0" w:color="auto"/>
              <w:right w:val="single" w:sz="4" w:space="0" w:color="auto"/>
            </w:tcBorders>
            <w:hideMark/>
          </w:tcPr>
          <w:p w:rsidR="00BC31A7"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249" w:type="dxa"/>
            <w:tcBorders>
              <w:top w:val="single" w:sz="4" w:space="0" w:color="auto"/>
              <w:left w:val="single" w:sz="4" w:space="0" w:color="auto"/>
              <w:bottom w:val="single" w:sz="4" w:space="0" w:color="auto"/>
              <w:right w:val="single" w:sz="4" w:space="0" w:color="auto"/>
            </w:tcBorders>
            <w:hideMark/>
          </w:tcPr>
          <w:p w:rsidR="00BC31A7"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361" w:type="dxa"/>
            <w:tcBorders>
              <w:top w:val="single" w:sz="4" w:space="0" w:color="auto"/>
              <w:left w:val="single" w:sz="4" w:space="0" w:color="auto"/>
              <w:bottom w:val="single" w:sz="4" w:space="0" w:color="auto"/>
              <w:right w:val="single" w:sz="4" w:space="0" w:color="auto"/>
            </w:tcBorders>
          </w:tcPr>
          <w:p w:rsidR="00BC31A7" w:rsidRPr="001F0446" w:rsidP="00373D2F" w14:paraId="63E93F96" w14:textId="29F12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/Annual</w:t>
            </w:r>
            <w:r w:rsidRPr="001F0446">
              <w:rPr>
                <w:rFonts w:asciiTheme="minorHAnsi" w:hAnsiTheme="minorHAnsi" w:cstheme="minorHAnsi"/>
                <w:bCs/>
              </w:rPr>
              <w:t xml:space="preserve"> Burden (in hours)</w:t>
            </w:r>
          </w:p>
        </w:tc>
        <w:tc>
          <w:tcPr>
            <w:tcW w:w="1137" w:type="dxa"/>
            <w:tcBorders>
              <w:top w:val="single" w:sz="4" w:space="0" w:color="auto"/>
              <w:left w:val="single" w:sz="4" w:space="0" w:color="auto"/>
              <w:bottom w:val="single" w:sz="4" w:space="0" w:color="auto"/>
              <w:right w:val="single" w:sz="4" w:space="0" w:color="auto"/>
            </w:tcBorders>
            <w:hideMark/>
          </w:tcPr>
          <w:p w:rsidR="00BC31A7"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49" w:type="dxa"/>
            <w:tcBorders>
              <w:top w:val="single" w:sz="4" w:space="0" w:color="auto"/>
              <w:left w:val="single" w:sz="4" w:space="0" w:color="auto"/>
              <w:bottom w:val="single" w:sz="4" w:space="0" w:color="auto"/>
              <w:right w:val="single" w:sz="4" w:space="0" w:color="auto"/>
            </w:tcBorders>
            <w:hideMark/>
          </w:tcPr>
          <w:p w:rsidR="00BC31A7"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BC31A7">
        <w:tblPrEx>
          <w:tblW w:w="8753" w:type="dxa"/>
          <w:tblInd w:w="108" w:type="dxa"/>
          <w:tblLayout w:type="fixed"/>
          <w:tblLook w:val="01E0"/>
        </w:tblPrEx>
        <w:tc>
          <w:tcPr>
            <w:tcW w:w="1147" w:type="dxa"/>
            <w:tcBorders>
              <w:top w:val="single" w:sz="4" w:space="0" w:color="auto"/>
              <w:left w:val="single" w:sz="4" w:space="0" w:color="auto"/>
              <w:bottom w:val="single" w:sz="4" w:space="0" w:color="auto"/>
              <w:right w:val="single" w:sz="4" w:space="0" w:color="auto"/>
            </w:tcBorders>
          </w:tcPr>
          <w:p w:rsidR="00BC31A7" w:rsidRPr="001F0446" w:rsidP="3CB26810" w14:paraId="2F62EEA9" w14:textId="6EC29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3CB26810">
              <w:rPr>
                <w:rFonts w:asciiTheme="minorHAnsi" w:hAnsiTheme="minorHAnsi" w:cstheme="minorBidi"/>
              </w:rPr>
              <w:t>Survey</w:t>
            </w:r>
          </w:p>
        </w:tc>
        <w:tc>
          <w:tcPr>
            <w:tcW w:w="1361" w:type="dxa"/>
            <w:tcBorders>
              <w:top w:val="single" w:sz="4" w:space="0" w:color="auto"/>
              <w:left w:val="single" w:sz="4" w:space="0" w:color="auto"/>
              <w:bottom w:val="single" w:sz="4" w:space="0" w:color="auto"/>
              <w:right w:val="single" w:sz="4" w:space="0" w:color="auto"/>
            </w:tcBorders>
            <w:vAlign w:val="center"/>
          </w:tcPr>
          <w:p w:rsidR="00BC31A7" w:rsidRPr="001F0446" w:rsidP="3CB26810" w14:paraId="734CE33C" w14:textId="2495F2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3CB26810">
              <w:rPr>
                <w:rFonts w:asciiTheme="minorHAnsi" w:hAnsiTheme="minorHAnsi" w:cstheme="minorBidi"/>
              </w:rPr>
              <w:t>56</w:t>
            </w:r>
          </w:p>
        </w:tc>
        <w:tc>
          <w:tcPr>
            <w:tcW w:w="1249" w:type="dxa"/>
            <w:tcBorders>
              <w:top w:val="single" w:sz="4" w:space="0" w:color="auto"/>
              <w:left w:val="single" w:sz="4" w:space="0" w:color="auto"/>
              <w:bottom w:val="single" w:sz="4" w:space="0" w:color="auto"/>
              <w:right w:val="single" w:sz="4" w:space="0" w:color="auto"/>
            </w:tcBorders>
            <w:vAlign w:val="center"/>
          </w:tcPr>
          <w:p w:rsidR="00BC31A7" w:rsidRPr="001F0446" w:rsidP="12F1752C" w14:paraId="67B65A40" w14:textId="26264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2F1752C">
              <w:rPr>
                <w:rFonts w:asciiTheme="minorHAnsi" w:hAnsiTheme="minorHAnsi" w:cstheme="minorBidi"/>
              </w:rPr>
              <w:t>1</w:t>
            </w:r>
          </w:p>
        </w:tc>
        <w:tc>
          <w:tcPr>
            <w:tcW w:w="1249" w:type="dxa"/>
            <w:tcBorders>
              <w:top w:val="single" w:sz="4" w:space="0" w:color="auto"/>
              <w:left w:val="single" w:sz="4" w:space="0" w:color="auto"/>
              <w:bottom w:val="single" w:sz="4" w:space="0" w:color="auto"/>
              <w:right w:val="single" w:sz="4" w:space="0" w:color="auto"/>
            </w:tcBorders>
            <w:vAlign w:val="center"/>
          </w:tcPr>
          <w:p w:rsidR="00BC31A7" w:rsidRPr="001F0446" w:rsidP="12F1752C" w14:paraId="59B12C61" w14:textId="5E5F7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2F1752C">
              <w:rPr>
                <w:rFonts w:asciiTheme="minorHAnsi" w:hAnsiTheme="minorHAnsi" w:cstheme="minorBidi"/>
              </w:rPr>
              <w:t>0.50</w:t>
            </w:r>
          </w:p>
        </w:tc>
        <w:tc>
          <w:tcPr>
            <w:tcW w:w="1361" w:type="dxa"/>
            <w:tcBorders>
              <w:top w:val="single" w:sz="4" w:space="0" w:color="auto"/>
              <w:left w:val="single" w:sz="4" w:space="0" w:color="auto"/>
              <w:bottom w:val="single" w:sz="4" w:space="0" w:color="auto"/>
              <w:right w:val="single" w:sz="4" w:space="0" w:color="auto"/>
            </w:tcBorders>
          </w:tcPr>
          <w:p w:rsidR="00BC31A7" w:rsidRPr="001F0446" w:rsidP="12F1752C" w14:paraId="5DF8136F" w14:textId="21EDA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12F1752C">
              <w:rPr>
                <w:rFonts w:asciiTheme="minorHAnsi" w:hAnsiTheme="minorHAnsi" w:cstheme="minorBidi"/>
              </w:rPr>
              <w:t>28</w:t>
            </w:r>
          </w:p>
        </w:tc>
        <w:tc>
          <w:tcPr>
            <w:tcW w:w="1137" w:type="dxa"/>
            <w:tcBorders>
              <w:top w:val="single" w:sz="4" w:space="0" w:color="auto"/>
              <w:left w:val="single" w:sz="4" w:space="0" w:color="auto"/>
              <w:bottom w:val="single" w:sz="4" w:space="0" w:color="auto"/>
              <w:right w:val="single" w:sz="4" w:space="0" w:color="auto"/>
            </w:tcBorders>
            <w:vAlign w:val="center"/>
            <w:hideMark/>
          </w:tcPr>
          <w:p w:rsidR="00BC31A7" w:rsidRPr="001F0446" w:rsidP="5F1A6E17" w14:paraId="14155F61" w14:textId="31F8A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F1A6E17">
              <w:rPr>
                <w:rFonts w:asciiTheme="minorHAnsi" w:hAnsiTheme="minorHAnsi" w:cstheme="minorBidi"/>
              </w:rPr>
              <w:t>$</w:t>
            </w:r>
            <w:r w:rsidR="005E4FF6">
              <w:rPr>
                <w:rFonts w:asciiTheme="minorHAnsi" w:hAnsiTheme="minorHAnsi" w:cstheme="minorBidi"/>
              </w:rPr>
              <w:t>49.50</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1A7" w:rsidRPr="001F0446" w:rsidP="5F1A6E17" w14:paraId="12F8BC45" w14:textId="2C208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678AC285">
              <w:rPr>
                <w:rFonts w:asciiTheme="minorHAnsi" w:hAnsiTheme="minorHAnsi" w:cstheme="minorBidi"/>
              </w:rPr>
              <w:t>$1,</w:t>
            </w:r>
            <w:r w:rsidR="005E4FF6">
              <w:rPr>
                <w:rFonts w:asciiTheme="minorHAnsi" w:hAnsiTheme="minorHAnsi" w:cstheme="minorBidi"/>
              </w:rPr>
              <w:t>386</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678AC285">
        <w:rPr>
          <w:b/>
          <w:bCs/>
        </w:rPr>
        <w:t>A13</w:t>
      </w:r>
      <w:r w:rsidRPr="678AC285">
        <w:t>.</w:t>
      </w:r>
      <w:r w:rsidR="00B23277">
        <w:tab/>
      </w:r>
      <w:r w:rsidRPr="678AC285">
        <w:rPr>
          <w:b/>
          <w:bCs/>
        </w:rPr>
        <w:t>Costs</w:t>
      </w:r>
    </w:p>
    <w:p w:rsidR="00577243" w:rsidRPr="00827D01" w:rsidP="00304409" w14:paraId="262B006D" w14:textId="7B1F8F02">
      <w:pPr>
        <w:spacing w:after="0" w:line="240" w:lineRule="auto"/>
        <w:rPr>
          <w:rFonts w:ascii="Calibri" w:eastAsia="Calibri" w:hAnsi="Calibri" w:cs="Calibri"/>
          <w:color w:val="000000" w:themeColor="text1"/>
        </w:rPr>
      </w:pPr>
      <w:r w:rsidRPr="678AC285">
        <w:rPr>
          <w:rFonts w:ascii="Calibri" w:eastAsia="Calibri" w:hAnsi="Calibri" w:cs="Calibri"/>
          <w:color w:val="000000" w:themeColor="text1"/>
        </w:rPr>
        <w:t>There are no additional costs to respondents.</w:t>
      </w:r>
    </w:p>
    <w:p w:rsidR="00577243" w:rsidP="00577243" w14:paraId="456CA4E3" w14:textId="7A95EE73">
      <w:pPr>
        <w:autoSpaceDE w:val="0"/>
        <w:autoSpaceDN w:val="0"/>
        <w:adjustRightInd w:val="0"/>
        <w:spacing w:after="0" w:line="240" w:lineRule="auto"/>
        <w:rPr>
          <w:rFonts w:cstheme="minorHAnsi"/>
        </w:rPr>
      </w:pPr>
    </w:p>
    <w:p w:rsidR="009E01E9" w:rsidRPr="000D4E9A" w:rsidP="00577243" w14:paraId="64E9A41E" w14:textId="77777777">
      <w:pPr>
        <w:autoSpaceDE w:val="0"/>
        <w:autoSpaceDN w:val="0"/>
        <w:adjustRightInd w:val="0"/>
        <w:spacing w:after="0" w:line="240" w:lineRule="auto"/>
        <w:rPr>
          <w:rFonts w:cstheme="minorHAnsi"/>
        </w:rPr>
      </w:pPr>
    </w:p>
    <w:p w:rsidR="00373D2F" w:rsidRPr="00682E37" w:rsidP="5F750740" w14:paraId="6D7CE77A" w14:textId="01F078C4">
      <w:pPr>
        <w:spacing w:after="120" w:line="240" w:lineRule="auto"/>
      </w:pPr>
      <w:r w:rsidRPr="00682E37">
        <w:rPr>
          <w:b/>
          <w:bCs/>
        </w:rPr>
        <w:t>A14</w:t>
      </w:r>
      <w:r w:rsidRPr="00682E37">
        <w:t>.</w:t>
      </w:r>
      <w:r w:rsidRPr="00682E37" w:rsidR="00B23277">
        <w:tab/>
      </w:r>
      <w:r w:rsidRPr="00682E37">
        <w:rPr>
          <w:b/>
          <w:bCs/>
        </w:rPr>
        <w:t>Estimated Annualized Costs to the Federal Government</w:t>
      </w:r>
      <w:r w:rsidRPr="00682E37">
        <w:t xml:space="preserve"> </w:t>
      </w:r>
    </w:p>
    <w:p w:rsidR="00827D01" w:rsidRPr="00827D01" w:rsidP="00827D01" w14:paraId="03B29BEA" w14:textId="5568F966">
      <w:pPr>
        <w:spacing w:after="0" w:line="240" w:lineRule="auto"/>
        <w:rPr>
          <w:rFonts w:ascii="Calibri" w:eastAsia="Times New Roman" w:hAnsi="Calibri" w:cs="Calibri"/>
        </w:rPr>
      </w:pPr>
      <w:r>
        <w:rPr>
          <w:rFonts w:ascii="Calibri" w:eastAsia="Times New Roman" w:hAnsi="Calibri" w:cs="Calibri"/>
          <w:shd w:val="clear" w:color="auto" w:fill="FFFFFF"/>
        </w:rPr>
        <w:t xml:space="preserve">The cost of </w:t>
      </w:r>
      <w:r w:rsidR="00AF4A60">
        <w:rPr>
          <w:rFonts w:ascii="Calibri" w:eastAsia="Times New Roman" w:hAnsi="Calibri" w:cs="Calibri"/>
          <w:shd w:val="clear" w:color="auto" w:fill="FFFFFF"/>
        </w:rPr>
        <w:t xml:space="preserve">the </w:t>
      </w:r>
      <w:r>
        <w:rPr>
          <w:rFonts w:ascii="Calibri" w:eastAsia="Times New Roman" w:hAnsi="Calibri" w:cs="Calibri"/>
          <w:shd w:val="clear" w:color="auto" w:fill="FFFFFF"/>
        </w:rPr>
        <w:t>data collection under this request total</w:t>
      </w:r>
      <w:r w:rsidR="00AF4A60">
        <w:rPr>
          <w:rFonts w:ascii="Calibri" w:eastAsia="Times New Roman" w:hAnsi="Calibri" w:cs="Calibri"/>
          <w:shd w:val="clear" w:color="auto" w:fill="FFFFFF"/>
        </w:rPr>
        <w:t>s</w:t>
      </w:r>
      <w:r>
        <w:rPr>
          <w:rFonts w:ascii="Calibri" w:eastAsia="Times New Roman" w:hAnsi="Calibri" w:cs="Calibri"/>
          <w:shd w:val="clear" w:color="auto" w:fill="FFFFFF"/>
        </w:rPr>
        <w:t xml:space="preserve"> $</w:t>
      </w:r>
      <w:r w:rsidR="00AF4A60">
        <w:rPr>
          <w:rFonts w:ascii="Calibri" w:eastAsia="Times New Roman" w:hAnsi="Calibri" w:cs="Calibri"/>
          <w:shd w:val="clear" w:color="auto" w:fill="FFFFFF"/>
        </w:rPr>
        <w:t>135,300</w:t>
      </w:r>
      <w:r>
        <w:rPr>
          <w:rFonts w:ascii="Calibri" w:eastAsia="Times New Roman" w:hAnsi="Calibri" w:cs="Calibri"/>
          <w:shd w:val="clear" w:color="auto" w:fill="FFFFFF"/>
        </w:rPr>
        <w:t xml:space="preserve">. </w:t>
      </w:r>
      <w:r w:rsidR="00AF4A60">
        <w:rPr>
          <w:rFonts w:ascii="Calibri" w:eastAsia="Times New Roman" w:hAnsi="Calibri" w:cs="Calibri"/>
          <w:shd w:val="clear" w:color="auto" w:fill="FFFFFF"/>
        </w:rPr>
        <w:t>This</w:t>
      </w:r>
      <w:r w:rsidRPr="00827D01" w:rsidR="00AF4A60">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includes direct and indirect costs</w:t>
      </w:r>
      <w:r>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for recruiting participants</w:t>
      </w:r>
      <w:r w:rsidR="00A127AD">
        <w:rPr>
          <w:rFonts w:ascii="Calibri" w:eastAsia="Times New Roman" w:hAnsi="Calibri" w:cs="Calibri"/>
          <w:shd w:val="clear" w:color="auto" w:fill="FFFFFF"/>
        </w:rPr>
        <w:t>,</w:t>
      </w:r>
      <w:r w:rsidRPr="00827D01">
        <w:rPr>
          <w:rFonts w:ascii="Calibri" w:eastAsia="Times New Roman" w:hAnsi="Calibri" w:cs="Calibri"/>
          <w:shd w:val="clear" w:color="auto" w:fill="FFFFFF"/>
        </w:rPr>
        <w:t xml:space="preserve"> </w:t>
      </w:r>
      <w:r w:rsidR="00303B78">
        <w:rPr>
          <w:rFonts w:ascii="Calibri" w:eastAsia="Times New Roman" w:hAnsi="Calibri" w:cs="Calibri"/>
          <w:shd w:val="clear" w:color="auto" w:fill="FFFFFF"/>
        </w:rPr>
        <w:t>administering the survey,</w:t>
      </w:r>
      <w:r w:rsidRPr="00827D01" w:rsidR="00303B78">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 xml:space="preserve">analyzing the </w:t>
      </w:r>
      <w:r w:rsidR="00303B78">
        <w:rPr>
          <w:rFonts w:ascii="Calibri" w:eastAsia="Times New Roman" w:hAnsi="Calibri" w:cs="Calibri"/>
          <w:shd w:val="clear" w:color="auto" w:fill="FFFFFF"/>
        </w:rPr>
        <w:t xml:space="preserve">survey </w:t>
      </w:r>
      <w:r w:rsidRPr="00827D01">
        <w:rPr>
          <w:rFonts w:ascii="Calibri" w:eastAsia="Times New Roman" w:hAnsi="Calibri" w:cs="Calibri"/>
          <w:shd w:val="clear" w:color="auto" w:fill="FFFFFF"/>
        </w:rPr>
        <w:t>data</w:t>
      </w:r>
      <w:r w:rsidR="00A127AD">
        <w:rPr>
          <w:rFonts w:ascii="Calibri" w:eastAsia="Times New Roman" w:hAnsi="Calibri" w:cs="Calibri"/>
          <w:shd w:val="clear" w:color="auto" w:fill="FFFFFF"/>
        </w:rPr>
        <w:t>,</w:t>
      </w:r>
      <w:r>
        <w:rPr>
          <w:rFonts w:ascii="Calibri" w:eastAsia="Times New Roman" w:hAnsi="Calibri" w:cs="Calibri"/>
          <w:shd w:val="clear" w:color="auto" w:fill="FFFFFF"/>
        </w:rPr>
        <w:t xml:space="preserve"> </w:t>
      </w:r>
      <w:r w:rsidRPr="00827D01">
        <w:rPr>
          <w:rFonts w:ascii="Calibri" w:eastAsia="Times New Roman" w:hAnsi="Calibri" w:cs="Calibri"/>
          <w:shd w:val="clear" w:color="auto" w:fill="FFFFFF"/>
        </w:rPr>
        <w:t xml:space="preserve">writing </w:t>
      </w:r>
      <w:r>
        <w:rPr>
          <w:rFonts w:ascii="Calibri" w:eastAsia="Times New Roman" w:hAnsi="Calibri" w:cs="Calibri"/>
          <w:shd w:val="clear" w:color="auto" w:fill="FFFFFF"/>
        </w:rPr>
        <w:t>an internal memo to ACF with survey findings</w:t>
      </w:r>
      <w:r w:rsidR="00AF4A60">
        <w:rPr>
          <w:rFonts w:ascii="Calibri" w:eastAsia="Times New Roman" w:hAnsi="Calibri" w:cs="Calibri"/>
          <w:shd w:val="clear" w:color="auto" w:fill="FFFFFF"/>
        </w:rPr>
        <w:t xml:space="preserve">, </w:t>
      </w:r>
      <w:r w:rsidR="00304409">
        <w:rPr>
          <w:rFonts w:ascii="Calibri" w:eastAsia="Times New Roman" w:hAnsi="Calibri" w:cs="Calibri"/>
          <w:shd w:val="clear" w:color="auto" w:fill="FFFFFF"/>
        </w:rPr>
        <w:t xml:space="preserve">outlining </w:t>
      </w:r>
      <w:r w:rsidR="00AF4A60">
        <w:rPr>
          <w:rFonts w:ascii="Calibri" w:eastAsia="Times New Roman" w:hAnsi="Calibri" w:cs="Calibri"/>
          <w:shd w:val="clear" w:color="auto" w:fill="FFFFFF"/>
        </w:rPr>
        <w:t xml:space="preserve">and writing </w:t>
      </w:r>
      <w:r w:rsidR="00304409">
        <w:rPr>
          <w:rFonts w:ascii="Calibri" w:eastAsia="Times New Roman" w:hAnsi="Calibri" w:cs="Calibri"/>
          <w:shd w:val="clear" w:color="auto" w:fill="FFFFFF"/>
        </w:rPr>
        <w:t xml:space="preserve">an internal-facing report, </w:t>
      </w:r>
      <w:r w:rsidR="006D4D9F">
        <w:rPr>
          <w:rFonts w:ascii="Calibri" w:eastAsia="Times New Roman" w:hAnsi="Calibri" w:cs="Calibri"/>
          <w:shd w:val="clear" w:color="auto" w:fill="FFFFFF"/>
        </w:rPr>
        <w:t xml:space="preserve">summarizing de-identified survey findings as background for a public-facing report for the larger environmental scan, </w:t>
      </w:r>
      <w:r w:rsidR="00AF4A60">
        <w:rPr>
          <w:rFonts w:ascii="Calibri" w:eastAsia="Times New Roman" w:hAnsi="Calibri" w:cs="Calibri"/>
          <w:shd w:val="clear" w:color="auto" w:fill="FFFFFF"/>
        </w:rPr>
        <w:t xml:space="preserve">and </w:t>
      </w:r>
      <w:r w:rsidR="00304409">
        <w:rPr>
          <w:rFonts w:ascii="Calibri" w:eastAsia="Times New Roman" w:hAnsi="Calibri" w:cs="Calibri"/>
          <w:shd w:val="clear" w:color="auto" w:fill="FFFFFF"/>
        </w:rPr>
        <w:t>briefing ACF on survey results</w:t>
      </w:r>
      <w:r w:rsidRPr="00827D01">
        <w:rPr>
          <w:rFonts w:ascii="Calibri" w:eastAsia="Times New Roman" w:hAnsi="Calibri" w:cs="Calibri"/>
          <w:shd w:val="clear" w:color="auto" w:fill="FFFFFF"/>
        </w:rPr>
        <w:t xml:space="preserve">. </w:t>
      </w:r>
    </w:p>
    <w:p w:rsidR="00B13DC4" w:rsidRPr="00682E37" w:rsidP="00304409" w14:paraId="7ED67F4E" w14:textId="77777777">
      <w:pPr>
        <w:spacing w:after="0"/>
      </w:pPr>
    </w:p>
    <w:tbl>
      <w:tblPr>
        <w:tblW w:w="0" w:type="auto"/>
        <w:tblCellMar>
          <w:left w:w="0" w:type="dxa"/>
          <w:right w:w="0" w:type="dxa"/>
        </w:tblCellMar>
        <w:tblLook w:val="04A0"/>
      </w:tblPr>
      <w:tblGrid>
        <w:gridCol w:w="4878"/>
        <w:gridCol w:w="2250"/>
      </w:tblGrid>
      <w:tr w14:paraId="799745E2" w14:textId="77777777" w:rsidTr="5F750740">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682E37" w:rsidP="5F750740" w14:paraId="4E01E280" w14:textId="77777777">
            <w:pPr>
              <w:rPr>
                <w:b/>
                <w:bCs/>
                <w:sz w:val="20"/>
                <w:szCs w:val="20"/>
              </w:rPr>
            </w:pPr>
            <w:r w:rsidRPr="00682E37">
              <w:rPr>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682E37" w:rsidP="5F750740" w14:paraId="395B2B42" w14:textId="77777777">
            <w:pPr>
              <w:jc w:val="center"/>
              <w:rPr>
                <w:b/>
                <w:bCs/>
                <w:sz w:val="20"/>
                <w:szCs w:val="20"/>
              </w:rPr>
            </w:pPr>
            <w:r w:rsidRPr="00682E37">
              <w:rPr>
                <w:b/>
                <w:bCs/>
                <w:sz w:val="20"/>
                <w:szCs w:val="20"/>
              </w:rPr>
              <w:t>Estimated Costs</w:t>
            </w:r>
          </w:p>
        </w:tc>
      </w:tr>
      <w:tr w14:paraId="2CCC3965" w14:textId="77777777" w:rsidTr="5F75074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682E37" w:rsidP="5F750740" w14:paraId="799DBD69" w14:textId="77777777">
            <w:pPr>
              <w:spacing w:after="0"/>
              <w:rPr>
                <w:rFonts w:ascii="Calibri" w:eastAsia="Calibri" w:hAnsi="Calibri" w:cs="Calibri"/>
                <w:sz w:val="20"/>
                <w:szCs w:val="20"/>
              </w:rPr>
            </w:pPr>
            <w:r w:rsidRPr="00682E37">
              <w:rPr>
                <w:sz w:val="20"/>
                <w:szCs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682E37" w:rsidP="5F750740" w14:paraId="33786520" w14:textId="0E69ADBF">
            <w:pPr>
              <w:spacing w:after="0"/>
              <w:jc w:val="center"/>
              <w:rPr>
                <w:sz w:val="20"/>
                <w:szCs w:val="20"/>
              </w:rPr>
            </w:pPr>
            <w:r w:rsidRPr="00682E37">
              <w:rPr>
                <w:sz w:val="20"/>
                <w:szCs w:val="20"/>
              </w:rPr>
              <w:t>$</w:t>
            </w:r>
            <w:r w:rsidR="00183F88">
              <w:rPr>
                <w:sz w:val="20"/>
                <w:szCs w:val="20"/>
              </w:rPr>
              <w:t>63,046</w:t>
            </w:r>
          </w:p>
        </w:tc>
      </w:tr>
      <w:tr w14:paraId="32235541" w14:textId="77777777" w:rsidTr="5F75074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682E37" w:rsidP="5F750740" w14:paraId="31C29715" w14:textId="3734A468">
            <w:pPr>
              <w:spacing w:after="0"/>
              <w:rPr>
                <w:rFonts w:ascii="Calibri" w:eastAsia="Calibri" w:hAnsi="Calibri" w:cs="Calibri"/>
                <w:sz w:val="20"/>
                <w:szCs w:val="20"/>
              </w:rPr>
            </w:pPr>
            <w:r>
              <w:rPr>
                <w:sz w:val="20"/>
                <w:szCs w:val="20"/>
              </w:rPr>
              <w:t xml:space="preserve">Analysis, Product Development, and Federal Briefing </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682E37" w:rsidP="5F750740" w14:paraId="112ACDBC" w14:textId="7379074E">
            <w:pPr>
              <w:spacing w:after="0"/>
              <w:jc w:val="center"/>
              <w:rPr>
                <w:sz w:val="20"/>
                <w:szCs w:val="20"/>
              </w:rPr>
            </w:pPr>
            <w:r w:rsidRPr="00682E37">
              <w:rPr>
                <w:sz w:val="20"/>
                <w:szCs w:val="20"/>
              </w:rPr>
              <w:t>$</w:t>
            </w:r>
            <w:r w:rsidR="00E60378">
              <w:rPr>
                <w:sz w:val="20"/>
                <w:szCs w:val="20"/>
              </w:rPr>
              <w:t>72,</w:t>
            </w:r>
            <w:r w:rsidR="00183F88">
              <w:rPr>
                <w:sz w:val="20"/>
                <w:szCs w:val="20"/>
              </w:rPr>
              <w:t>254</w:t>
            </w:r>
          </w:p>
        </w:tc>
      </w:tr>
      <w:tr w14:paraId="4667EDF0" w14:textId="77777777" w:rsidTr="5F750740">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682E37" w:rsidP="5F750740" w14:paraId="108A5BAF" w14:textId="355635D6">
            <w:pPr>
              <w:spacing w:after="0"/>
              <w:jc w:val="right"/>
              <w:rPr>
                <w:rFonts w:ascii="Calibri" w:eastAsia="Calibri" w:hAnsi="Calibri" w:cs="Calibri"/>
                <w:b/>
                <w:bCs/>
                <w:sz w:val="20"/>
                <w:szCs w:val="20"/>
              </w:rPr>
            </w:pPr>
            <w:r w:rsidRPr="00682E37">
              <w:rPr>
                <w:b/>
                <w:bCs/>
                <w:color w:val="000000" w:themeColor="text1"/>
                <w:sz w:val="20"/>
                <w:szCs w:val="20"/>
              </w:rPr>
              <w:t>Total</w:t>
            </w:r>
            <w:r w:rsidRPr="00682E37" w:rsidR="00682E37">
              <w:rPr>
                <w:b/>
                <w:bCs/>
                <w:color w:val="000000" w:themeColor="text1"/>
                <w:sz w:val="20"/>
                <w:szCs w:val="20"/>
              </w:rPr>
              <w:t>/annual</w:t>
            </w:r>
            <w:r w:rsidRPr="00682E37">
              <w:rPr>
                <w:b/>
                <w:bCs/>
                <w:color w:val="000000" w:themeColor="text1"/>
                <w:sz w:val="20"/>
                <w:szCs w:val="20"/>
              </w:rPr>
              <w:t xml:space="preserve">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682E37" w:rsidP="5F750740" w14:paraId="26EBFD7A" w14:textId="42A73E3C">
            <w:pPr>
              <w:spacing w:after="0"/>
              <w:jc w:val="center"/>
              <w:rPr>
                <w:b/>
                <w:bCs/>
                <w:sz w:val="20"/>
                <w:szCs w:val="20"/>
              </w:rPr>
            </w:pPr>
            <w:r w:rsidRPr="00682E37">
              <w:rPr>
                <w:sz w:val="20"/>
                <w:szCs w:val="20"/>
              </w:rPr>
              <w:t>$</w:t>
            </w:r>
            <w:r w:rsidR="00183F88">
              <w:rPr>
                <w:sz w:val="20"/>
                <w:szCs w:val="20"/>
              </w:rPr>
              <w:t>135,30</w:t>
            </w:r>
            <w:r w:rsidR="00267226">
              <w:rPr>
                <w:sz w:val="20"/>
                <w:szCs w:val="20"/>
              </w:rPr>
              <w:t>0</w:t>
            </w:r>
          </w:p>
        </w:tc>
      </w:tr>
    </w:tbl>
    <w:p w:rsidR="00B13DC4" w:rsidRPr="00682E37" w:rsidP="00B13DC4" w14:paraId="16602EA3" w14:textId="77777777">
      <w:pPr>
        <w:rPr>
          <w:rFonts w:ascii="Calibri" w:eastAsia="Calibri" w:hAnsi="Calibri" w:cs="Calibri"/>
          <w:color w:val="1F497D"/>
        </w:rPr>
      </w:pPr>
    </w:p>
    <w:p w:rsidR="0068383E" w:rsidP="00CB4358" w14:paraId="3C111F63" w14:textId="03C1A042">
      <w:pPr>
        <w:spacing w:after="120" w:line="240" w:lineRule="auto"/>
        <w:rPr>
          <w:rFonts w:cstheme="minorHAnsi"/>
        </w:rPr>
      </w:pPr>
      <w:r w:rsidRPr="00682E37">
        <w:rPr>
          <w:rFonts w:cstheme="minorHAnsi"/>
          <w:b/>
        </w:rPr>
        <w:t>A15</w:t>
      </w:r>
      <w:r w:rsidRPr="00682E37">
        <w:rPr>
          <w:rFonts w:cstheme="minorHAnsi"/>
        </w:rPr>
        <w:t>.</w:t>
      </w:r>
      <w:r w:rsidRPr="00682E37">
        <w:rPr>
          <w:rFonts w:cstheme="minorHAnsi"/>
        </w:rPr>
        <w:tab/>
      </w:r>
      <w:r w:rsidRPr="00682E37" w:rsidR="007C7B4B">
        <w:rPr>
          <w:rFonts w:cstheme="minorHAnsi"/>
          <w:b/>
        </w:rPr>
        <w:t>Reasons for changes in burden</w:t>
      </w:r>
      <w:r w:rsidRPr="00B23277" w:rsidR="007C7B4B">
        <w:rPr>
          <w:rFonts w:cstheme="minorHAnsi"/>
        </w:rPr>
        <w:t xml:space="preserve"> </w:t>
      </w:r>
    </w:p>
    <w:p w:rsidR="006E62D6" w:rsidP="006E62D6" w14:paraId="5E234B68" w14:textId="3C78B191">
      <w:pPr>
        <w:spacing w:after="0"/>
      </w:pPr>
      <w:r>
        <w:t>This is for an individual information collection under the umbrella formative generic clearance for ACF research (</w:t>
      </w:r>
      <w:r w:rsidR="00971948">
        <w:t xml:space="preserve">OMB # </w:t>
      </w:r>
      <w:r>
        <w:t>0970-0356</w:t>
      </w:r>
      <w:r w:rsidR="00971948">
        <w:t xml:space="preserve">; </w:t>
      </w:r>
      <w:r w:rsidR="00971948">
        <w:rPr>
          <w:rFonts w:ascii="Calibri" w:hAnsi="Calibri" w:cs="Calibri"/>
          <w:color w:val="242424"/>
          <w:shd w:val="clear" w:color="auto" w:fill="FFFFFF"/>
        </w:rPr>
        <w:t>expiration date is 2/29/2024</w:t>
      </w:r>
      <w:r>
        <w:t>).</w:t>
      </w:r>
    </w:p>
    <w:p w:rsidR="00CB4358" w:rsidRPr="00CB4358" w:rsidP="00CB4358" w14:paraId="08700A1E" w14:textId="77777777">
      <w:pPr>
        <w:spacing w:after="0" w:line="240" w:lineRule="auto"/>
        <w:rPr>
          <w:rFonts w:cstheme="minorHAnsi"/>
        </w:rPr>
      </w:pPr>
    </w:p>
    <w:p w:rsidR="000D4E9A" w:rsidRPr="00AA2E8E" w:rsidP="5F750740" w14:paraId="2FB760D1" w14:textId="50337F9C">
      <w:pPr>
        <w:spacing w:after="120" w:line="240" w:lineRule="auto"/>
      </w:pPr>
      <w:r w:rsidRPr="78D972D2">
        <w:rPr>
          <w:b/>
          <w:bCs/>
        </w:rPr>
        <w:t>A16</w:t>
      </w:r>
      <w:r>
        <w:t>.</w:t>
      </w:r>
      <w:r>
        <w:tab/>
      </w:r>
      <w:r w:rsidRPr="78D972D2">
        <w:rPr>
          <w:b/>
          <w:bCs/>
        </w:rPr>
        <w:t>Timeline</w:t>
      </w:r>
    </w:p>
    <w:p w:rsidR="000D4E9A" w:rsidP="5F750740" w14:paraId="715CFF0C" w14:textId="14B5922C">
      <w:pPr>
        <w:spacing w:after="120" w:line="240" w:lineRule="auto"/>
        <w:rPr>
          <w:rFonts w:ascii="Calibri" w:eastAsia="Calibri" w:hAnsi="Calibri" w:cs="Calibri"/>
          <w:color w:val="000000" w:themeColor="text1"/>
        </w:rPr>
      </w:pPr>
      <w:r w:rsidRPr="00AA2E8E">
        <w:rPr>
          <w:rFonts w:ascii="Calibri" w:eastAsia="Calibri" w:hAnsi="Calibri" w:cs="Calibri"/>
          <w:color w:val="000000" w:themeColor="text1"/>
        </w:rPr>
        <w:t xml:space="preserve">Exhibit A3 shows the timeline for the study. </w:t>
      </w:r>
      <w:r w:rsidR="00EC246D">
        <w:rPr>
          <w:rFonts w:ascii="Calibri" w:eastAsia="Calibri" w:hAnsi="Calibri" w:cs="Calibri"/>
          <w:color w:val="000000" w:themeColor="text1"/>
        </w:rPr>
        <w:t xml:space="preserve">The data collected will not be made available on ACF’s website or in a restricted-access environment. The information will be shared internally with ACF to inform case study site selection and future agency planning. </w:t>
      </w:r>
      <w:r w:rsidR="00FE22DD">
        <w:rPr>
          <w:rFonts w:ascii="Calibri" w:eastAsia="Calibri" w:hAnsi="Calibri" w:cs="Calibri"/>
          <w:color w:val="000000" w:themeColor="text1"/>
        </w:rPr>
        <w:t>A public-facing report will summarize findings from the broader environmental scan and include high-level survey findings as context without identifying specific states and territories that responded to the survey.</w:t>
      </w:r>
    </w:p>
    <w:p w:rsidR="00036BED" w:rsidP="5F750740" w14:paraId="3086EADC" w14:textId="77777777">
      <w:pPr>
        <w:spacing w:after="120" w:line="240" w:lineRule="auto"/>
        <w:rPr>
          <w:rFonts w:ascii="Calibri" w:eastAsia="Calibri" w:hAnsi="Calibri" w:cs="Calibri"/>
          <w:b/>
          <w:bCs/>
          <w:color w:val="000000" w:themeColor="text1"/>
        </w:rPr>
      </w:pPr>
    </w:p>
    <w:p w:rsidR="00036BED" w14:paraId="72FD4118"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000D4E9A" w:rsidRPr="005F2F6A" w:rsidP="5F750740" w14:paraId="75401695" w14:textId="03B5DD73">
      <w:pPr>
        <w:spacing w:after="120" w:line="240" w:lineRule="auto"/>
        <w:rPr>
          <w:rFonts w:ascii="Calibri" w:eastAsia="Calibri" w:hAnsi="Calibri" w:cs="Calibri"/>
          <w:b/>
          <w:bCs/>
          <w:color w:val="000000" w:themeColor="text1"/>
        </w:rPr>
      </w:pPr>
      <w:r w:rsidRPr="005F2F6A">
        <w:rPr>
          <w:rFonts w:ascii="Calibri" w:eastAsia="Calibri" w:hAnsi="Calibri" w:cs="Calibri"/>
          <w:b/>
          <w:bCs/>
          <w:color w:val="000000" w:themeColor="text1"/>
        </w:rPr>
        <w:t xml:space="preserve">Exhibit A3. Study </w:t>
      </w:r>
      <w:r w:rsidR="005F2F6A">
        <w:rPr>
          <w:rFonts w:ascii="Calibri" w:eastAsia="Calibri" w:hAnsi="Calibri" w:cs="Calibri"/>
          <w:b/>
          <w:bCs/>
          <w:color w:val="000000" w:themeColor="text1"/>
        </w:rPr>
        <w:t>T</w:t>
      </w:r>
      <w:r w:rsidRPr="005F2F6A">
        <w:rPr>
          <w:rFonts w:ascii="Calibri" w:eastAsia="Calibri" w:hAnsi="Calibri" w:cs="Calibri"/>
          <w:b/>
          <w:bCs/>
          <w:color w:val="000000" w:themeColor="text1"/>
        </w:rPr>
        <w:t>imeline</w:t>
      </w:r>
    </w:p>
    <w:tbl>
      <w:tblPr>
        <w:tblStyle w:val="TableGrid"/>
        <w:tblW w:w="0" w:type="auto"/>
        <w:tblInd w:w="0" w:type="dxa"/>
        <w:tblLayout w:type="fixed"/>
        <w:tblLook w:val="04A0"/>
      </w:tblPr>
      <w:tblGrid>
        <w:gridCol w:w="4665"/>
        <w:gridCol w:w="4665"/>
      </w:tblGrid>
      <w:tr w14:paraId="6F271DB3" w14:textId="77777777" w:rsidTr="5F750740">
        <w:tblPrEx>
          <w:tblW w:w="0" w:type="auto"/>
          <w:tblInd w:w="0" w:type="dxa"/>
          <w:tblLayout w:type="fixed"/>
          <w:tblLook w:val="04A0"/>
        </w:tblPrEx>
        <w:tc>
          <w:tcPr>
            <w:tcW w:w="4665" w:type="dxa"/>
          </w:tcPr>
          <w:p w:rsidR="45A8E023" w:rsidRPr="00AA2E8E" w:rsidP="5F750740" w14:paraId="004D0807" w14:textId="6CFBD702">
            <w:pPr>
              <w:spacing w:after="200" w:line="276" w:lineRule="auto"/>
              <w:rPr>
                <w:rFonts w:ascii="Calibri" w:eastAsia="Calibri" w:hAnsi="Calibri" w:cs="Calibri"/>
              </w:rPr>
            </w:pPr>
            <w:r w:rsidRPr="00AA2E8E">
              <w:rPr>
                <w:rFonts w:ascii="Calibri" w:eastAsia="Calibri" w:hAnsi="Calibri" w:cs="Calibri"/>
                <w:b/>
                <w:bCs/>
              </w:rPr>
              <w:t>Tasks</w:t>
            </w:r>
          </w:p>
        </w:tc>
        <w:tc>
          <w:tcPr>
            <w:tcW w:w="4665" w:type="dxa"/>
          </w:tcPr>
          <w:p w:rsidR="45A8E023" w:rsidRPr="00AA2E8E" w:rsidP="5F750740" w14:paraId="164ACCA5" w14:textId="58C32017">
            <w:pPr>
              <w:spacing w:after="200" w:line="276" w:lineRule="auto"/>
              <w:rPr>
                <w:rFonts w:ascii="Calibri" w:eastAsia="Calibri" w:hAnsi="Calibri" w:cs="Calibri"/>
              </w:rPr>
            </w:pPr>
            <w:r w:rsidRPr="00AA2E8E">
              <w:rPr>
                <w:rFonts w:ascii="Calibri" w:eastAsia="Calibri" w:hAnsi="Calibri" w:cs="Calibri"/>
                <w:b/>
                <w:bCs/>
              </w:rPr>
              <w:t>Date</w:t>
            </w:r>
          </w:p>
        </w:tc>
      </w:tr>
      <w:tr w14:paraId="2CAAA0B2" w14:textId="77777777" w:rsidTr="5F750740">
        <w:tblPrEx>
          <w:tblW w:w="0" w:type="auto"/>
          <w:tblInd w:w="0" w:type="dxa"/>
          <w:tblLayout w:type="fixed"/>
          <w:tblLook w:val="04A0"/>
        </w:tblPrEx>
        <w:tc>
          <w:tcPr>
            <w:tcW w:w="4665" w:type="dxa"/>
          </w:tcPr>
          <w:p w:rsidR="45A8E023" w:rsidRPr="00AA2E8E" w:rsidP="5F750740" w14:paraId="6220654E" w14:textId="00305B44">
            <w:pPr>
              <w:spacing w:after="200" w:line="276" w:lineRule="auto"/>
              <w:rPr>
                <w:rFonts w:ascii="Calibri" w:eastAsia="Calibri" w:hAnsi="Calibri" w:cs="Calibri"/>
              </w:rPr>
            </w:pPr>
            <w:r w:rsidRPr="00AA2E8E">
              <w:rPr>
                <w:rFonts w:ascii="Calibri" w:eastAsia="Calibri" w:hAnsi="Calibri" w:cs="Calibri"/>
              </w:rPr>
              <w:t xml:space="preserve">Survey recruitment </w:t>
            </w:r>
            <w:r w:rsidR="00AA2E8E">
              <w:rPr>
                <w:rFonts w:ascii="Calibri" w:eastAsia="Calibri" w:hAnsi="Calibri" w:cs="Calibri"/>
              </w:rPr>
              <w:t>begins</w:t>
            </w:r>
          </w:p>
        </w:tc>
        <w:tc>
          <w:tcPr>
            <w:tcW w:w="4665" w:type="dxa"/>
          </w:tcPr>
          <w:p w:rsidR="45A8E023" w:rsidRPr="00AA2E8E" w:rsidP="5F750740" w14:paraId="70B66CCE" w14:textId="5D7D0975">
            <w:pPr>
              <w:spacing w:after="200" w:line="276" w:lineRule="auto"/>
              <w:rPr>
                <w:rFonts w:ascii="Calibri" w:eastAsia="Calibri" w:hAnsi="Calibri" w:cs="Calibri"/>
              </w:rPr>
            </w:pPr>
            <w:r>
              <w:rPr>
                <w:rFonts w:ascii="Calibri" w:eastAsia="Calibri" w:hAnsi="Calibri" w:cs="Calibri"/>
              </w:rPr>
              <w:t xml:space="preserve">Within one </w:t>
            </w:r>
            <w:r w:rsidR="00E07078">
              <w:rPr>
                <w:rFonts w:ascii="Calibri" w:eastAsia="Calibri" w:hAnsi="Calibri" w:cs="Calibri"/>
              </w:rPr>
              <w:t>week</w:t>
            </w:r>
            <w:r>
              <w:rPr>
                <w:rFonts w:ascii="Calibri" w:eastAsia="Calibri" w:hAnsi="Calibri" w:cs="Calibri"/>
              </w:rPr>
              <w:t xml:space="preserve"> of OMB approval</w:t>
            </w:r>
          </w:p>
        </w:tc>
      </w:tr>
      <w:tr w14:paraId="2A08A6F6" w14:textId="77777777" w:rsidTr="00AA2E8E">
        <w:tblPrEx>
          <w:tblW w:w="0" w:type="auto"/>
          <w:tblInd w:w="0" w:type="dxa"/>
          <w:tblLayout w:type="fixed"/>
          <w:tblLook w:val="04A0"/>
        </w:tblPrEx>
        <w:trPr>
          <w:trHeight w:val="467"/>
        </w:trPr>
        <w:tc>
          <w:tcPr>
            <w:tcW w:w="4665" w:type="dxa"/>
          </w:tcPr>
          <w:p w:rsidR="00AA2E8E" w:rsidRPr="00AA2E8E" w:rsidP="5F750740" w14:paraId="7A5B33D8" w14:textId="0F8A2D4B">
            <w:pPr>
              <w:rPr>
                <w:rFonts w:ascii="Calibri" w:eastAsia="Calibri" w:hAnsi="Calibri" w:cs="Calibri"/>
              </w:rPr>
            </w:pPr>
            <w:r>
              <w:rPr>
                <w:rFonts w:ascii="Calibri" w:eastAsia="Calibri" w:hAnsi="Calibri" w:cs="Calibri"/>
              </w:rPr>
              <w:t>Survey administration (10</w:t>
            </w:r>
            <w:r w:rsidR="004F541C">
              <w:rPr>
                <w:rFonts w:ascii="Calibri" w:eastAsia="Calibri" w:hAnsi="Calibri" w:cs="Calibri"/>
              </w:rPr>
              <w:t>-</w:t>
            </w:r>
            <w:r>
              <w:rPr>
                <w:rFonts w:ascii="Calibri" w:eastAsia="Calibri" w:hAnsi="Calibri" w:cs="Calibri"/>
              </w:rPr>
              <w:t>week</w:t>
            </w:r>
            <w:r w:rsidR="004F541C">
              <w:rPr>
                <w:rFonts w:ascii="Calibri" w:eastAsia="Calibri" w:hAnsi="Calibri" w:cs="Calibri"/>
              </w:rPr>
              <w:t xml:space="preserve"> window</w:t>
            </w:r>
            <w:r>
              <w:rPr>
                <w:rFonts w:ascii="Calibri" w:eastAsia="Calibri" w:hAnsi="Calibri" w:cs="Calibri"/>
              </w:rPr>
              <w:t>)</w:t>
            </w:r>
          </w:p>
        </w:tc>
        <w:tc>
          <w:tcPr>
            <w:tcW w:w="4665" w:type="dxa"/>
          </w:tcPr>
          <w:p w:rsidR="00AA2E8E" w:rsidRPr="00AA2E8E" w:rsidP="5F750740" w14:paraId="17E0E6F3" w14:textId="74D148D0">
            <w:pPr>
              <w:rPr>
                <w:rFonts w:ascii="Calibri" w:eastAsia="Calibri" w:hAnsi="Calibri" w:cs="Calibri"/>
              </w:rPr>
            </w:pPr>
            <w:r>
              <w:rPr>
                <w:rFonts w:ascii="Calibri" w:eastAsia="Calibri" w:hAnsi="Calibri" w:cs="Calibri"/>
              </w:rPr>
              <w:t>1–10 weeks</w:t>
            </w:r>
            <w:r>
              <w:rPr>
                <w:rFonts w:ascii="Calibri" w:eastAsia="Calibri" w:hAnsi="Calibri" w:cs="Calibri"/>
              </w:rPr>
              <w:t xml:space="preserve"> </w:t>
            </w:r>
            <w:r w:rsidR="00EB24DA">
              <w:rPr>
                <w:rFonts w:ascii="Calibri" w:eastAsia="Calibri" w:hAnsi="Calibri" w:cs="Calibri"/>
              </w:rPr>
              <w:t>after</w:t>
            </w:r>
            <w:r>
              <w:rPr>
                <w:rFonts w:ascii="Calibri" w:eastAsia="Calibri" w:hAnsi="Calibri" w:cs="Calibri"/>
              </w:rPr>
              <w:t xml:space="preserve"> OMB approval</w:t>
            </w:r>
          </w:p>
        </w:tc>
      </w:tr>
      <w:tr w14:paraId="50FD9D27" w14:textId="77777777" w:rsidTr="5F750740">
        <w:tblPrEx>
          <w:tblW w:w="0" w:type="auto"/>
          <w:tblInd w:w="0" w:type="dxa"/>
          <w:tblLayout w:type="fixed"/>
          <w:tblLook w:val="04A0"/>
        </w:tblPrEx>
        <w:tc>
          <w:tcPr>
            <w:tcW w:w="4665" w:type="dxa"/>
          </w:tcPr>
          <w:p w:rsidR="45A8E023" w:rsidRPr="00AA2E8E" w:rsidP="5F750740" w14:paraId="6BCE455B" w14:textId="5BB0B9CA">
            <w:pPr>
              <w:spacing w:after="200" w:line="276" w:lineRule="auto"/>
              <w:rPr>
                <w:rFonts w:ascii="Calibri" w:eastAsia="Calibri" w:hAnsi="Calibri" w:cs="Calibri"/>
              </w:rPr>
            </w:pPr>
            <w:r w:rsidRPr="00AA2E8E">
              <w:rPr>
                <w:rFonts w:ascii="Calibri" w:eastAsia="Calibri" w:hAnsi="Calibri" w:cs="Calibri"/>
              </w:rPr>
              <w:t>Data analysis</w:t>
            </w:r>
          </w:p>
        </w:tc>
        <w:tc>
          <w:tcPr>
            <w:tcW w:w="4665" w:type="dxa"/>
          </w:tcPr>
          <w:p w:rsidR="45A8E023" w:rsidRPr="00AA2E8E" w:rsidP="5F750740" w14:paraId="74A0E111" w14:textId="6AEF6007">
            <w:pPr>
              <w:spacing w:after="200" w:line="276" w:lineRule="auto"/>
              <w:rPr>
                <w:rFonts w:ascii="Calibri" w:eastAsia="Calibri" w:hAnsi="Calibri" w:cs="Calibri"/>
              </w:rPr>
            </w:pPr>
            <w:r>
              <w:rPr>
                <w:rFonts w:ascii="Calibri" w:eastAsia="Calibri" w:hAnsi="Calibri" w:cs="Calibri"/>
              </w:rPr>
              <w:t>11-15 weeks</w:t>
            </w:r>
            <w:r w:rsidR="00AA2E8E">
              <w:rPr>
                <w:rFonts w:ascii="Calibri" w:eastAsia="Calibri" w:hAnsi="Calibri" w:cs="Calibri"/>
              </w:rPr>
              <w:t xml:space="preserve"> </w:t>
            </w:r>
            <w:r w:rsidR="00EB24DA">
              <w:rPr>
                <w:rFonts w:ascii="Calibri" w:eastAsia="Calibri" w:hAnsi="Calibri" w:cs="Calibri"/>
              </w:rPr>
              <w:t>after</w:t>
            </w:r>
            <w:r w:rsidR="00AA2E8E">
              <w:rPr>
                <w:rFonts w:ascii="Calibri" w:eastAsia="Calibri" w:hAnsi="Calibri" w:cs="Calibri"/>
              </w:rPr>
              <w:t xml:space="preserve"> OMB approval</w:t>
            </w:r>
          </w:p>
        </w:tc>
      </w:tr>
      <w:tr w14:paraId="5C96B79B" w14:textId="77777777" w:rsidTr="00AA2E8E">
        <w:tblPrEx>
          <w:tblW w:w="0" w:type="auto"/>
          <w:tblInd w:w="0" w:type="dxa"/>
          <w:tblLayout w:type="fixed"/>
          <w:tblLook w:val="04A0"/>
        </w:tblPrEx>
        <w:trPr>
          <w:trHeight w:val="494"/>
        </w:trPr>
        <w:tc>
          <w:tcPr>
            <w:tcW w:w="4665" w:type="dxa"/>
          </w:tcPr>
          <w:p w:rsidR="00AA2E8E" w:rsidRPr="00AA2E8E" w:rsidP="5F750740" w14:paraId="36362127" w14:textId="0FD2C867">
            <w:pPr>
              <w:rPr>
                <w:rFonts w:ascii="Calibri" w:eastAsia="Calibri" w:hAnsi="Calibri" w:cs="Calibri"/>
              </w:rPr>
            </w:pPr>
            <w:r>
              <w:rPr>
                <w:rFonts w:ascii="Calibri" w:eastAsia="Calibri" w:hAnsi="Calibri" w:cs="Calibri"/>
              </w:rPr>
              <w:t>Submit m</w:t>
            </w:r>
            <w:r>
              <w:rPr>
                <w:rFonts w:ascii="Calibri" w:eastAsia="Calibri" w:hAnsi="Calibri" w:cs="Calibri"/>
              </w:rPr>
              <w:t>emo of survey findings</w:t>
            </w:r>
          </w:p>
        </w:tc>
        <w:tc>
          <w:tcPr>
            <w:tcW w:w="4665" w:type="dxa"/>
          </w:tcPr>
          <w:p w:rsidR="00AA2E8E" w:rsidP="5F750740" w14:paraId="55A2AB69" w14:textId="499B969B">
            <w:pPr>
              <w:rPr>
                <w:rFonts w:ascii="Calibri" w:eastAsia="Calibri" w:hAnsi="Calibri" w:cs="Calibri"/>
              </w:rPr>
            </w:pPr>
            <w:r>
              <w:rPr>
                <w:rFonts w:ascii="Calibri" w:eastAsia="Calibri" w:hAnsi="Calibri" w:cs="Calibri"/>
              </w:rPr>
              <w:t xml:space="preserve">8 weeks after survey closing date; </w:t>
            </w:r>
            <w:r w:rsidR="00131850">
              <w:rPr>
                <w:rFonts w:ascii="Calibri" w:eastAsia="Calibri" w:hAnsi="Calibri" w:cs="Calibri"/>
              </w:rPr>
              <w:t>1</w:t>
            </w:r>
            <w:r w:rsidR="004F541C">
              <w:rPr>
                <w:rFonts w:ascii="Calibri" w:eastAsia="Calibri" w:hAnsi="Calibri" w:cs="Calibri"/>
              </w:rPr>
              <w:t>8</w:t>
            </w:r>
            <w:r>
              <w:rPr>
                <w:rFonts w:ascii="Calibri" w:eastAsia="Calibri" w:hAnsi="Calibri" w:cs="Calibri"/>
              </w:rPr>
              <w:t xml:space="preserve"> </w:t>
            </w:r>
            <w:r>
              <w:rPr>
                <w:rFonts w:ascii="Calibri" w:eastAsia="Calibri" w:hAnsi="Calibri" w:cs="Calibri"/>
              </w:rPr>
              <w:t>after</w:t>
            </w:r>
            <w:r>
              <w:rPr>
                <w:rFonts w:ascii="Calibri" w:eastAsia="Calibri" w:hAnsi="Calibri" w:cs="Calibri"/>
              </w:rPr>
              <w:t xml:space="preserve"> OMB approval</w:t>
            </w:r>
          </w:p>
        </w:tc>
      </w:tr>
    </w:tbl>
    <w:p w:rsidR="000D4E9A" w:rsidRPr="00AA2E8E" w:rsidP="5F750740" w14:paraId="0021B8DD" w14:textId="73E3EABC">
      <w:pPr>
        <w:spacing w:after="120" w:line="240" w:lineRule="auto"/>
        <w:rPr>
          <w:rFonts w:ascii="Calibri" w:eastAsia="Calibri" w:hAnsi="Calibri" w:cs="Calibri"/>
          <w:color w:val="000000" w:themeColor="text1"/>
        </w:rPr>
      </w:pPr>
    </w:p>
    <w:p w:rsidR="000D4E9A" w:rsidP="45A8E023" w14:paraId="48FD0E51" w14:textId="67210DE2">
      <w:pPr>
        <w:spacing w:after="0" w:line="240" w:lineRule="auto"/>
      </w:pP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sidRPr="61D302DE">
        <w:rPr>
          <w:b/>
          <w:bCs/>
        </w:rPr>
        <w:t>Attachments</w:t>
      </w:r>
    </w:p>
    <w:p w:rsidR="006E62D6" w:rsidRPr="006B53F1" w:rsidP="006E62D6" w14:paraId="0E372CE5" w14:textId="77777777">
      <w:pPr>
        <w:spacing w:after="0"/>
        <w:rPr>
          <w:rFonts w:ascii="Arial" w:hAnsi="Arial" w:cs="Arial"/>
        </w:rPr>
      </w:pPr>
      <w:r w:rsidRPr="61D302DE">
        <w:rPr>
          <w:rFonts w:ascii="Calibri" w:eastAsia="Calibri" w:hAnsi="Calibri" w:cs="Calibri"/>
          <w:color w:val="000000" w:themeColor="text1"/>
        </w:rPr>
        <w:t>Instrument 1</w:t>
      </w:r>
      <w:r>
        <w:rPr>
          <w:rFonts w:ascii="Calibri" w:eastAsia="Calibri" w:hAnsi="Calibri" w:cs="Calibri"/>
          <w:color w:val="000000" w:themeColor="text1"/>
        </w:rPr>
        <w:t xml:space="preserve">. </w:t>
      </w:r>
      <w:r w:rsidRPr="61D302DE">
        <w:rPr>
          <w:rFonts w:eastAsiaTheme="minorEastAsia"/>
          <w:noProof/>
        </w:rPr>
        <w:t xml:space="preserve">Survey </w:t>
      </w:r>
      <w:r>
        <w:rPr>
          <w:rFonts w:eastAsiaTheme="minorEastAsia"/>
          <w:noProof/>
        </w:rPr>
        <w:t>Questionnaire for CCDF Lead Agencies on</w:t>
      </w:r>
      <w:r w:rsidRPr="61D302DE">
        <w:rPr>
          <w:rFonts w:eastAsiaTheme="minorEastAsia"/>
          <w:noProof/>
        </w:rPr>
        <w:t xml:space="preserve"> Child Care and Early Education Supply-Building and Sustainability Efforts</w:t>
      </w:r>
    </w:p>
    <w:p w:rsidR="006E62D6" w:rsidP="005D4AAF" w14:paraId="32270930" w14:textId="77777777">
      <w:pPr>
        <w:spacing w:after="0"/>
        <w:rPr>
          <w:rFonts w:ascii="Calibri" w:eastAsia="Calibri" w:hAnsi="Calibri" w:cs="Calibri"/>
          <w:color w:val="000000" w:themeColor="text1"/>
        </w:rPr>
      </w:pPr>
    </w:p>
    <w:p w:rsidR="00306028" w:rsidRPr="005D4AAF" w:rsidP="005D4AAF" w14:paraId="1960474D" w14:textId="75C21831">
      <w:pPr>
        <w:spacing w:after="0"/>
        <w:rPr>
          <w:rFonts w:ascii="Calibri" w:eastAsia="Calibri" w:hAnsi="Calibri" w:cs="Calibri"/>
          <w:color w:val="000000" w:themeColor="text1"/>
        </w:rPr>
      </w:pPr>
      <w:r>
        <w:rPr>
          <w:rFonts w:ascii="Calibri" w:eastAsia="Calibri" w:hAnsi="Calibri" w:cs="Calibri"/>
          <w:color w:val="000000" w:themeColor="text1"/>
        </w:rPr>
        <w:t>Appendix</w:t>
      </w:r>
      <w:r w:rsidRPr="61D302DE" w:rsidR="61D302DE">
        <w:rPr>
          <w:rFonts w:ascii="Calibri" w:eastAsia="Calibri" w:hAnsi="Calibri" w:cs="Calibri"/>
          <w:color w:val="000000" w:themeColor="text1"/>
        </w:rPr>
        <w:t xml:space="preserve"> A</w:t>
      </w:r>
      <w:r>
        <w:rPr>
          <w:rFonts w:ascii="Calibri" w:eastAsia="Calibri" w:hAnsi="Calibri" w:cs="Calibri"/>
          <w:color w:val="000000" w:themeColor="text1"/>
        </w:rPr>
        <w:t>.</w:t>
      </w:r>
      <w:r w:rsidRPr="61D302DE" w:rsidR="61D302DE">
        <w:rPr>
          <w:rFonts w:eastAsiaTheme="minorEastAsia"/>
          <w:color w:val="000000" w:themeColor="text1"/>
        </w:rPr>
        <w:t xml:space="preserve"> Advanced </w:t>
      </w:r>
      <w:r>
        <w:rPr>
          <w:rFonts w:eastAsiaTheme="minorEastAsia"/>
          <w:color w:val="000000" w:themeColor="text1"/>
        </w:rPr>
        <w:t>E</w:t>
      </w:r>
      <w:r w:rsidRPr="61D302DE" w:rsidR="61D302DE">
        <w:rPr>
          <w:rFonts w:eastAsiaTheme="minorEastAsia"/>
          <w:color w:val="000000" w:themeColor="text1"/>
        </w:rPr>
        <w:t xml:space="preserve">mail </w:t>
      </w:r>
      <w:r>
        <w:rPr>
          <w:rFonts w:eastAsiaTheme="minorEastAsia"/>
          <w:color w:val="000000" w:themeColor="text1"/>
        </w:rPr>
        <w:t>R</w:t>
      </w:r>
      <w:r w:rsidRPr="61D302DE" w:rsidR="61D302DE">
        <w:rPr>
          <w:rFonts w:eastAsiaTheme="minorEastAsia"/>
          <w:color w:val="000000" w:themeColor="text1"/>
        </w:rPr>
        <w:t xml:space="preserve">ecruitment </w:t>
      </w:r>
      <w:r>
        <w:rPr>
          <w:rFonts w:eastAsiaTheme="minorEastAsia"/>
          <w:color w:val="000000" w:themeColor="text1"/>
        </w:rPr>
        <w:t>M</w:t>
      </w:r>
      <w:r w:rsidRPr="61D302DE" w:rsidR="61D302DE">
        <w:rPr>
          <w:rFonts w:eastAsiaTheme="minorEastAsia"/>
          <w:color w:val="000000" w:themeColor="text1"/>
        </w:rPr>
        <w:t>essage</w:t>
      </w:r>
      <w:r>
        <w:rPr>
          <w:rFonts w:eastAsiaTheme="minorEastAsia"/>
          <w:color w:val="000000" w:themeColor="text1"/>
        </w:rPr>
        <w:t xml:space="preserve"> to CCDF Lead Agencies</w:t>
      </w:r>
    </w:p>
    <w:p w:rsidR="005D4AAF" w:rsidP="005D4AAF" w14:paraId="6901AEC6" w14:textId="62379015">
      <w:pPr>
        <w:spacing w:after="0"/>
        <w:rPr>
          <w:rFonts w:eastAsiaTheme="minorEastAsia"/>
          <w:color w:val="000000" w:themeColor="text1"/>
        </w:rPr>
      </w:pPr>
      <w:r>
        <w:rPr>
          <w:rFonts w:eastAsiaTheme="minorEastAsia"/>
          <w:color w:val="000000" w:themeColor="text1"/>
        </w:rPr>
        <w:t xml:space="preserve">Appendix </w:t>
      </w:r>
      <w:r w:rsidR="00303B78">
        <w:rPr>
          <w:rFonts w:eastAsiaTheme="minorEastAsia"/>
          <w:color w:val="000000" w:themeColor="text1"/>
        </w:rPr>
        <w:t>B</w:t>
      </w:r>
      <w:r>
        <w:rPr>
          <w:rFonts w:eastAsiaTheme="minorEastAsia"/>
          <w:color w:val="000000" w:themeColor="text1"/>
        </w:rPr>
        <w:t xml:space="preserve">. </w:t>
      </w:r>
      <w:r w:rsidRPr="005D4AAF" w:rsidR="61D302DE">
        <w:rPr>
          <w:rFonts w:eastAsiaTheme="minorEastAsia"/>
          <w:color w:val="000000" w:themeColor="text1"/>
        </w:rPr>
        <w:t xml:space="preserve">Letter of </w:t>
      </w:r>
      <w:r>
        <w:rPr>
          <w:rFonts w:eastAsiaTheme="minorEastAsia"/>
          <w:color w:val="000000" w:themeColor="text1"/>
        </w:rPr>
        <w:t>S</w:t>
      </w:r>
      <w:r w:rsidRPr="005D4AAF" w:rsidR="61D302DE">
        <w:rPr>
          <w:rFonts w:eastAsiaTheme="minorEastAsia"/>
          <w:color w:val="000000" w:themeColor="text1"/>
        </w:rPr>
        <w:t>upport from the Office of Child Care</w:t>
      </w:r>
    </w:p>
    <w:p w:rsidR="005D4AAF" w:rsidP="005D4AAF" w14:paraId="698E3CD0" w14:textId="089F6666">
      <w:pPr>
        <w:spacing w:after="0"/>
        <w:rPr>
          <w:rFonts w:eastAsiaTheme="minorEastAsia"/>
          <w:color w:val="000000" w:themeColor="text1"/>
        </w:rPr>
      </w:pPr>
      <w:r>
        <w:rPr>
          <w:rFonts w:eastAsiaTheme="minorEastAsia"/>
          <w:color w:val="000000" w:themeColor="text1"/>
        </w:rPr>
        <w:t xml:space="preserve">Appendix </w:t>
      </w:r>
      <w:r w:rsidR="00303B78">
        <w:rPr>
          <w:rFonts w:eastAsiaTheme="minorEastAsia"/>
          <w:color w:val="000000" w:themeColor="text1"/>
        </w:rPr>
        <w:t>C</w:t>
      </w:r>
      <w:r>
        <w:rPr>
          <w:rFonts w:eastAsiaTheme="minorEastAsia"/>
          <w:color w:val="000000" w:themeColor="text1"/>
        </w:rPr>
        <w:t xml:space="preserve">. </w:t>
      </w:r>
      <w:r w:rsidRPr="005D4AAF" w:rsidR="61D302DE">
        <w:rPr>
          <w:rFonts w:eastAsiaTheme="minorEastAsia"/>
          <w:color w:val="000000" w:themeColor="text1"/>
        </w:rPr>
        <w:t xml:space="preserve">Survey </w:t>
      </w:r>
      <w:r>
        <w:rPr>
          <w:rFonts w:eastAsiaTheme="minorEastAsia"/>
          <w:color w:val="000000" w:themeColor="text1"/>
        </w:rPr>
        <w:t>I</w:t>
      </w:r>
      <w:r w:rsidRPr="005D4AAF" w:rsidR="61D302DE">
        <w:rPr>
          <w:rFonts w:eastAsiaTheme="minorEastAsia"/>
          <w:color w:val="000000" w:themeColor="text1"/>
        </w:rPr>
        <w:t xml:space="preserve">nvitation </w:t>
      </w:r>
      <w:r>
        <w:rPr>
          <w:rFonts w:eastAsiaTheme="minorEastAsia"/>
          <w:color w:val="000000" w:themeColor="text1"/>
        </w:rPr>
        <w:t>E</w:t>
      </w:r>
      <w:r w:rsidRPr="005D4AAF" w:rsidR="61D302DE">
        <w:rPr>
          <w:rFonts w:eastAsiaTheme="minorEastAsia"/>
          <w:color w:val="000000" w:themeColor="text1"/>
        </w:rPr>
        <w:t>mail</w:t>
      </w:r>
      <w:r>
        <w:rPr>
          <w:rFonts w:eastAsiaTheme="minorEastAsia"/>
          <w:color w:val="000000" w:themeColor="text1"/>
        </w:rPr>
        <w:t xml:space="preserve"> to CCDF Lead Agencies</w:t>
      </w:r>
    </w:p>
    <w:p w:rsidR="005D4AAF" w:rsidP="005D4AAF" w14:paraId="0BCC14F3" w14:textId="662818B1">
      <w:pPr>
        <w:spacing w:after="0"/>
        <w:rPr>
          <w:rFonts w:eastAsiaTheme="minorEastAsia"/>
          <w:color w:val="000000" w:themeColor="text1"/>
        </w:rPr>
      </w:pPr>
      <w:r>
        <w:rPr>
          <w:rFonts w:eastAsiaTheme="minorEastAsia"/>
          <w:color w:val="000000" w:themeColor="text1"/>
        </w:rPr>
        <w:t xml:space="preserve">Appendix </w:t>
      </w:r>
      <w:r w:rsidR="00303B78">
        <w:rPr>
          <w:rFonts w:eastAsiaTheme="minorEastAsia"/>
          <w:color w:val="000000" w:themeColor="text1"/>
        </w:rPr>
        <w:t>D</w:t>
      </w:r>
      <w:r>
        <w:rPr>
          <w:rFonts w:eastAsiaTheme="minorEastAsia"/>
          <w:color w:val="000000" w:themeColor="text1"/>
        </w:rPr>
        <w:t xml:space="preserve">. </w:t>
      </w:r>
      <w:r w:rsidRPr="005D4AAF" w:rsidR="61D302DE">
        <w:rPr>
          <w:rFonts w:eastAsiaTheme="minorEastAsia"/>
          <w:color w:val="000000" w:themeColor="text1"/>
        </w:rPr>
        <w:t xml:space="preserve">Survey </w:t>
      </w:r>
      <w:r>
        <w:rPr>
          <w:rFonts w:eastAsiaTheme="minorEastAsia"/>
          <w:color w:val="000000" w:themeColor="text1"/>
        </w:rPr>
        <w:t>R</w:t>
      </w:r>
      <w:r w:rsidRPr="005D4AAF" w:rsidR="61D302DE">
        <w:rPr>
          <w:rFonts w:eastAsiaTheme="minorEastAsia"/>
          <w:color w:val="000000" w:themeColor="text1"/>
        </w:rPr>
        <w:t xml:space="preserve">eminder </w:t>
      </w:r>
      <w:r>
        <w:rPr>
          <w:rFonts w:eastAsiaTheme="minorEastAsia"/>
          <w:color w:val="000000" w:themeColor="text1"/>
        </w:rPr>
        <w:t>E</w:t>
      </w:r>
      <w:r w:rsidRPr="005D4AAF" w:rsidR="61D302DE">
        <w:rPr>
          <w:rFonts w:eastAsiaTheme="minorEastAsia"/>
          <w:color w:val="000000" w:themeColor="text1"/>
        </w:rPr>
        <w:t>mail</w:t>
      </w:r>
      <w:r>
        <w:rPr>
          <w:rFonts w:eastAsiaTheme="minorEastAsia"/>
          <w:color w:val="000000" w:themeColor="text1"/>
        </w:rPr>
        <w:t xml:space="preserve"> to CCDF Lead Agencies</w:t>
      </w:r>
    </w:p>
    <w:p w:rsidR="00306028" w:rsidRPr="005D4AAF" w:rsidP="005D4AAF" w14:paraId="2CE51ACE" w14:textId="2B481CA3">
      <w:pPr>
        <w:spacing w:after="0"/>
        <w:rPr>
          <w:rFonts w:eastAsiaTheme="minorEastAsia"/>
          <w:color w:val="000000" w:themeColor="text1"/>
        </w:rPr>
      </w:pPr>
      <w:r>
        <w:rPr>
          <w:rFonts w:eastAsiaTheme="minorEastAsia"/>
          <w:color w:val="000000" w:themeColor="text1"/>
        </w:rPr>
        <w:t xml:space="preserve">Appendix </w:t>
      </w:r>
      <w:r w:rsidR="00303B78">
        <w:rPr>
          <w:rFonts w:eastAsiaTheme="minorEastAsia"/>
          <w:color w:val="000000" w:themeColor="text1"/>
        </w:rPr>
        <w:t>E.</w:t>
      </w:r>
      <w:r>
        <w:rPr>
          <w:rFonts w:eastAsiaTheme="minorEastAsia"/>
          <w:color w:val="000000" w:themeColor="text1"/>
        </w:rPr>
        <w:t xml:space="preserve"> </w:t>
      </w:r>
      <w:r w:rsidRPr="005D4AAF" w:rsidR="61D302DE">
        <w:rPr>
          <w:rFonts w:eastAsiaTheme="minorEastAsia"/>
          <w:color w:val="000000" w:themeColor="text1"/>
        </w:rPr>
        <w:t xml:space="preserve">Follow-up </w:t>
      </w:r>
      <w:r>
        <w:rPr>
          <w:rFonts w:eastAsiaTheme="minorEastAsia"/>
          <w:color w:val="000000" w:themeColor="text1"/>
        </w:rPr>
        <w:t>P</w:t>
      </w:r>
      <w:r w:rsidRPr="005D4AAF" w:rsidR="61D302DE">
        <w:rPr>
          <w:rFonts w:eastAsiaTheme="minorEastAsia"/>
          <w:color w:val="000000" w:themeColor="text1"/>
        </w:rPr>
        <w:t xml:space="preserve">hone </w:t>
      </w:r>
      <w:r>
        <w:rPr>
          <w:rFonts w:eastAsiaTheme="minorEastAsia"/>
          <w:color w:val="000000" w:themeColor="text1"/>
        </w:rPr>
        <w:t>S</w:t>
      </w:r>
      <w:r w:rsidRPr="005D4AAF" w:rsidR="61D302DE">
        <w:rPr>
          <w:rFonts w:eastAsiaTheme="minorEastAsia"/>
          <w:color w:val="000000" w:themeColor="text1"/>
        </w:rPr>
        <w:t xml:space="preserve">cript for </w:t>
      </w:r>
      <w:r>
        <w:rPr>
          <w:rFonts w:eastAsiaTheme="minorEastAsia"/>
          <w:color w:val="000000" w:themeColor="text1"/>
        </w:rPr>
        <w:t>S</w:t>
      </w:r>
      <w:r w:rsidRPr="005D4AAF" w:rsidR="61D302DE">
        <w:rPr>
          <w:rFonts w:eastAsiaTheme="minorEastAsia"/>
          <w:color w:val="000000" w:themeColor="text1"/>
        </w:rPr>
        <w:t xml:space="preserve">urvey </w:t>
      </w:r>
      <w:r>
        <w:rPr>
          <w:rFonts w:eastAsiaTheme="minorEastAsia"/>
          <w:color w:val="000000" w:themeColor="text1"/>
        </w:rPr>
        <w:t>R</w:t>
      </w:r>
      <w:r w:rsidRPr="005D4AAF" w:rsidR="61D302DE">
        <w:rPr>
          <w:rFonts w:eastAsiaTheme="minorEastAsia"/>
          <w:color w:val="000000" w:themeColor="text1"/>
        </w:rPr>
        <w:t>ecruitment</w:t>
      </w:r>
    </w:p>
    <w:p w:rsidR="006E62D6" w:rsidP="005D4AAF" w14:paraId="4F11DE4E" w14:textId="77777777">
      <w:pPr>
        <w:spacing w:after="0"/>
        <w:rPr>
          <w:rFonts w:ascii="Calibri" w:eastAsia="Calibri" w:hAnsi="Calibri" w:cs="Calibri"/>
          <w:color w:val="000000" w:themeColor="text1"/>
        </w:rPr>
      </w:pPr>
    </w:p>
    <w:p w:rsidR="00306028" w:rsidRPr="006B53F1" w:rsidP="61D302DE" w14:paraId="08BDA7B5" w14:textId="5674A091"/>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315B" w:rsidP="0004063C" w14:paraId="30D54B3B" w14:textId="77777777">
      <w:pPr>
        <w:spacing w:after="0" w:line="240" w:lineRule="auto"/>
      </w:pPr>
      <w:r>
        <w:separator/>
      </w:r>
    </w:p>
  </w:footnote>
  <w:footnote w:type="continuationSeparator" w:id="1">
    <w:p w:rsidR="0027315B" w:rsidP="0004063C" w14:paraId="6EEEB0D8" w14:textId="77777777">
      <w:pPr>
        <w:spacing w:after="0" w:line="240" w:lineRule="auto"/>
      </w:pPr>
      <w:r>
        <w:continuationSeparator/>
      </w:r>
    </w:p>
  </w:footnote>
  <w:footnote w:type="continuationNotice" w:id="2">
    <w:p w:rsidR="0027315B" w14:paraId="57937958" w14:textId="77777777">
      <w:pPr>
        <w:spacing w:after="0" w:line="240" w:lineRule="auto"/>
      </w:pPr>
    </w:p>
  </w:footnote>
  <w:footnote w:id="3">
    <w:p w:rsidR="00C606ED" w14:paraId="471A0D0D" w14:textId="7A6B6884">
      <w:pPr>
        <w:pStyle w:val="FootnoteText"/>
      </w:pPr>
      <w:r>
        <w:rPr>
          <w:rStyle w:val="FootnoteReference"/>
        </w:rPr>
        <w:footnoteRef/>
      </w:r>
      <w:r>
        <w:t xml:space="preserve"> Information collection requests related to future information collection activities that are subject to the Paperwork Reduction Act will be submitted as appropriate. </w:t>
      </w:r>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w:t>
      </w:r>
      <w:r w:rsidRPr="00BA0818">
        <w:rPr>
          <w:rFonts w:cstheme="minorHAnsi"/>
        </w:rPr>
        <w:t>social security number</w:t>
      </w:r>
      <w:r w:rsidRPr="00D30B6F">
        <w:rPr>
          <w:rFonts w:cstheme="minorHAnsi"/>
        </w:rPr>
        <w:t>;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702C58"/>
    <w:multiLevelType w:val="hybridMultilevel"/>
    <w:tmpl w:val="D00CDA24"/>
    <w:lvl w:ilvl="0">
      <w:start w:val="202"/>
      <w:numFmt w:val="bullet"/>
      <w:lvlText w:val=""/>
      <w:lvlJc w:val="left"/>
      <w:pPr>
        <w:ind w:left="770" w:hanging="360"/>
      </w:pPr>
      <w:rPr>
        <w:rFonts w:ascii="Symbol" w:hAnsi="Symbol" w:eastAsiaTheme="majorEastAsia" w:cstheme="majorBidi"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A1DF34"/>
    <w:multiLevelType w:val="hybridMultilevel"/>
    <w:tmpl w:val="F36E7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312665"/>
    <w:multiLevelType w:val="hybridMultilevel"/>
    <w:tmpl w:val="440E5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5060316"/>
    <w:multiLevelType w:val="hybridMultilevel"/>
    <w:tmpl w:val="3C8E9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D73BBA"/>
    <w:multiLevelType w:val="hybridMultilevel"/>
    <w:tmpl w:val="DFB811C0"/>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5">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8376563">
    <w:abstractNumId w:val="20"/>
  </w:num>
  <w:num w:numId="2" w16cid:durableId="581376228">
    <w:abstractNumId w:val="6"/>
  </w:num>
  <w:num w:numId="3" w16cid:durableId="219949357">
    <w:abstractNumId w:val="29"/>
  </w:num>
  <w:num w:numId="4" w16cid:durableId="71321209">
    <w:abstractNumId w:val="5"/>
  </w:num>
  <w:num w:numId="5" w16cid:durableId="2053116894">
    <w:abstractNumId w:val="35"/>
  </w:num>
  <w:num w:numId="6" w16cid:durableId="741178588">
    <w:abstractNumId w:val="23"/>
  </w:num>
  <w:num w:numId="7" w16cid:durableId="185755585">
    <w:abstractNumId w:val="47"/>
  </w:num>
  <w:num w:numId="8" w16cid:durableId="386728114">
    <w:abstractNumId w:val="4"/>
  </w:num>
  <w:num w:numId="9" w16cid:durableId="876817870">
    <w:abstractNumId w:val="13"/>
  </w:num>
  <w:num w:numId="10" w16cid:durableId="1011640536">
    <w:abstractNumId w:val="22"/>
  </w:num>
  <w:num w:numId="11" w16cid:durableId="1070269276">
    <w:abstractNumId w:val="45"/>
  </w:num>
  <w:num w:numId="12" w16cid:durableId="632488133">
    <w:abstractNumId w:val="50"/>
  </w:num>
  <w:num w:numId="13" w16cid:durableId="2070839121">
    <w:abstractNumId w:val="41"/>
  </w:num>
  <w:num w:numId="14" w16cid:durableId="1162818084">
    <w:abstractNumId w:val="34"/>
  </w:num>
  <w:num w:numId="15" w16cid:durableId="878393699">
    <w:abstractNumId w:val="43"/>
  </w:num>
  <w:num w:numId="16" w16cid:durableId="741409144">
    <w:abstractNumId w:val="25"/>
  </w:num>
  <w:num w:numId="17" w16cid:durableId="1237545199">
    <w:abstractNumId w:val="33"/>
  </w:num>
  <w:num w:numId="18" w16cid:durableId="1415931012">
    <w:abstractNumId w:val="21"/>
  </w:num>
  <w:num w:numId="19" w16cid:durableId="841356514">
    <w:abstractNumId w:val="10"/>
  </w:num>
  <w:num w:numId="20" w16cid:durableId="143087442">
    <w:abstractNumId w:val="9"/>
  </w:num>
  <w:num w:numId="21" w16cid:durableId="732512236">
    <w:abstractNumId w:val="31"/>
  </w:num>
  <w:num w:numId="22" w16cid:durableId="372265517">
    <w:abstractNumId w:val="0"/>
  </w:num>
  <w:num w:numId="23" w16cid:durableId="2020309687">
    <w:abstractNumId w:val="1"/>
  </w:num>
  <w:num w:numId="24" w16cid:durableId="1824392727">
    <w:abstractNumId w:val="26"/>
  </w:num>
  <w:num w:numId="25" w16cid:durableId="1024868120">
    <w:abstractNumId w:val="2"/>
  </w:num>
  <w:num w:numId="26" w16cid:durableId="764182287">
    <w:abstractNumId w:val="15"/>
  </w:num>
  <w:num w:numId="27" w16cid:durableId="682897415">
    <w:abstractNumId w:val="49"/>
  </w:num>
  <w:num w:numId="28" w16cid:durableId="926498009">
    <w:abstractNumId w:val="42"/>
  </w:num>
  <w:num w:numId="29" w16cid:durableId="331955611">
    <w:abstractNumId w:val="18"/>
  </w:num>
  <w:num w:numId="30" w16cid:durableId="1915314518">
    <w:abstractNumId w:val="17"/>
  </w:num>
  <w:num w:numId="31" w16cid:durableId="368920019">
    <w:abstractNumId w:val="3"/>
  </w:num>
  <w:num w:numId="32" w16cid:durableId="1841121795">
    <w:abstractNumId w:val="11"/>
  </w:num>
  <w:num w:numId="33" w16cid:durableId="1861042713">
    <w:abstractNumId w:val="27"/>
  </w:num>
  <w:num w:numId="34" w16cid:durableId="130096773">
    <w:abstractNumId w:val="36"/>
  </w:num>
  <w:num w:numId="35" w16cid:durableId="326057062">
    <w:abstractNumId w:val="14"/>
  </w:num>
  <w:num w:numId="36" w16cid:durableId="1456022214">
    <w:abstractNumId w:val="24"/>
  </w:num>
  <w:num w:numId="37" w16cid:durableId="201064544">
    <w:abstractNumId w:val="19"/>
  </w:num>
  <w:num w:numId="38" w16cid:durableId="738871551">
    <w:abstractNumId w:val="37"/>
  </w:num>
  <w:num w:numId="39" w16cid:durableId="1175848832">
    <w:abstractNumId w:val="28"/>
  </w:num>
  <w:num w:numId="40" w16cid:durableId="419453370">
    <w:abstractNumId w:val="8"/>
  </w:num>
  <w:num w:numId="41" w16cid:durableId="163059968">
    <w:abstractNumId w:val="46"/>
  </w:num>
  <w:num w:numId="42" w16cid:durableId="346758499">
    <w:abstractNumId w:val="39"/>
  </w:num>
  <w:num w:numId="43" w16cid:durableId="1112286956">
    <w:abstractNumId w:val="7"/>
  </w:num>
  <w:num w:numId="44" w16cid:durableId="1345664768">
    <w:abstractNumId w:val="48"/>
  </w:num>
  <w:num w:numId="45" w16cid:durableId="2017223043">
    <w:abstractNumId w:val="40"/>
  </w:num>
  <w:num w:numId="46" w16cid:durableId="1739131746">
    <w:abstractNumId w:val="12"/>
  </w:num>
  <w:num w:numId="47" w16cid:durableId="330984931">
    <w:abstractNumId w:val="44"/>
  </w:num>
  <w:num w:numId="48" w16cid:durableId="1824275747">
    <w:abstractNumId w:val="32"/>
  </w:num>
  <w:num w:numId="49" w16cid:durableId="1778871824">
    <w:abstractNumId w:val="38"/>
  </w:num>
  <w:num w:numId="50" w16cid:durableId="202985384">
    <w:abstractNumId w:val="30"/>
  </w:num>
  <w:num w:numId="51" w16cid:durableId="213039001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DC8"/>
    <w:rsid w:val="0001255D"/>
    <w:rsid w:val="00014EDC"/>
    <w:rsid w:val="00026192"/>
    <w:rsid w:val="00027E79"/>
    <w:rsid w:val="00036BED"/>
    <w:rsid w:val="0004063C"/>
    <w:rsid w:val="0004247F"/>
    <w:rsid w:val="000461D0"/>
    <w:rsid w:val="0005644E"/>
    <w:rsid w:val="00060B30"/>
    <w:rsid w:val="00060C59"/>
    <w:rsid w:val="00062AFB"/>
    <w:rsid w:val="00062F93"/>
    <w:rsid w:val="000655DD"/>
    <w:rsid w:val="00066E3B"/>
    <w:rsid w:val="00070361"/>
    <w:rsid w:val="00071F79"/>
    <w:rsid w:val="0007251B"/>
    <w:rsid w:val="000733A5"/>
    <w:rsid w:val="00082C5B"/>
    <w:rsid w:val="00083038"/>
    <w:rsid w:val="00083227"/>
    <w:rsid w:val="000834DB"/>
    <w:rsid w:val="000850D5"/>
    <w:rsid w:val="00086CBE"/>
    <w:rsid w:val="00090812"/>
    <w:rsid w:val="000921F0"/>
    <w:rsid w:val="0009348A"/>
    <w:rsid w:val="000A012A"/>
    <w:rsid w:val="000C3C4C"/>
    <w:rsid w:val="000D4E9A"/>
    <w:rsid w:val="000D7D44"/>
    <w:rsid w:val="000E7419"/>
    <w:rsid w:val="000F1E4A"/>
    <w:rsid w:val="00100D34"/>
    <w:rsid w:val="00103EFD"/>
    <w:rsid w:val="00107D87"/>
    <w:rsid w:val="00115818"/>
    <w:rsid w:val="00120BC6"/>
    <w:rsid w:val="001253F4"/>
    <w:rsid w:val="00131850"/>
    <w:rsid w:val="0013481A"/>
    <w:rsid w:val="00141A16"/>
    <w:rsid w:val="001448D8"/>
    <w:rsid w:val="001523A2"/>
    <w:rsid w:val="00157482"/>
    <w:rsid w:val="00170623"/>
    <w:rsid w:val="001707D8"/>
    <w:rsid w:val="00171951"/>
    <w:rsid w:val="00174195"/>
    <w:rsid w:val="00175AEF"/>
    <w:rsid w:val="00183F88"/>
    <w:rsid w:val="00186CB4"/>
    <w:rsid w:val="00192941"/>
    <w:rsid w:val="00195410"/>
    <w:rsid w:val="001A167B"/>
    <w:rsid w:val="001A343A"/>
    <w:rsid w:val="001A38FD"/>
    <w:rsid w:val="001B0A76"/>
    <w:rsid w:val="001B6E1A"/>
    <w:rsid w:val="001C03FA"/>
    <w:rsid w:val="001C2F88"/>
    <w:rsid w:val="001C6AAF"/>
    <w:rsid w:val="001D48A8"/>
    <w:rsid w:val="001D7761"/>
    <w:rsid w:val="001E1086"/>
    <w:rsid w:val="001E5EA2"/>
    <w:rsid w:val="001E6E1F"/>
    <w:rsid w:val="001E75D6"/>
    <w:rsid w:val="001F0446"/>
    <w:rsid w:val="001F57F5"/>
    <w:rsid w:val="0020401C"/>
    <w:rsid w:val="002048B0"/>
    <w:rsid w:val="0020629A"/>
    <w:rsid w:val="00206E11"/>
    <w:rsid w:val="00206FE3"/>
    <w:rsid w:val="00207554"/>
    <w:rsid w:val="00211261"/>
    <w:rsid w:val="00212DA4"/>
    <w:rsid w:val="002178EF"/>
    <w:rsid w:val="00224B79"/>
    <w:rsid w:val="00230AB0"/>
    <w:rsid w:val="00230CAA"/>
    <w:rsid w:val="00247A1E"/>
    <w:rsid w:val="00250681"/>
    <w:rsid w:val="002517BB"/>
    <w:rsid w:val="00254008"/>
    <w:rsid w:val="002559B5"/>
    <w:rsid w:val="002560D7"/>
    <w:rsid w:val="00256D0B"/>
    <w:rsid w:val="00256E24"/>
    <w:rsid w:val="00257E00"/>
    <w:rsid w:val="00265491"/>
    <w:rsid w:val="002659DA"/>
    <w:rsid w:val="00266AD6"/>
    <w:rsid w:val="00267226"/>
    <w:rsid w:val="0027315B"/>
    <w:rsid w:val="00275AE8"/>
    <w:rsid w:val="00276CE2"/>
    <w:rsid w:val="00287AF1"/>
    <w:rsid w:val="00291DEB"/>
    <w:rsid w:val="002A41C6"/>
    <w:rsid w:val="002A5539"/>
    <w:rsid w:val="002A7A2D"/>
    <w:rsid w:val="002B105A"/>
    <w:rsid w:val="002B5DBE"/>
    <w:rsid w:val="002B785B"/>
    <w:rsid w:val="002C2497"/>
    <w:rsid w:val="002C4F75"/>
    <w:rsid w:val="002E0F7C"/>
    <w:rsid w:val="002E69D0"/>
    <w:rsid w:val="002E6CCF"/>
    <w:rsid w:val="002F0915"/>
    <w:rsid w:val="002F33D0"/>
    <w:rsid w:val="002F3A53"/>
    <w:rsid w:val="002F6D07"/>
    <w:rsid w:val="00300722"/>
    <w:rsid w:val="0030316D"/>
    <w:rsid w:val="00303B78"/>
    <w:rsid w:val="00304409"/>
    <w:rsid w:val="003052B9"/>
    <w:rsid w:val="00305E0E"/>
    <w:rsid w:val="00306028"/>
    <w:rsid w:val="00314990"/>
    <w:rsid w:val="0031507A"/>
    <w:rsid w:val="00316B76"/>
    <w:rsid w:val="00323850"/>
    <w:rsid w:val="00325D31"/>
    <w:rsid w:val="003350AA"/>
    <w:rsid w:val="003468C7"/>
    <w:rsid w:val="0035462A"/>
    <w:rsid w:val="00361267"/>
    <w:rsid w:val="003664F6"/>
    <w:rsid w:val="00371D0B"/>
    <w:rsid w:val="00373D2F"/>
    <w:rsid w:val="00381ACF"/>
    <w:rsid w:val="00383508"/>
    <w:rsid w:val="003839A4"/>
    <w:rsid w:val="003854AA"/>
    <w:rsid w:val="00391BB8"/>
    <w:rsid w:val="003A0EE3"/>
    <w:rsid w:val="003A185D"/>
    <w:rsid w:val="003A1C3E"/>
    <w:rsid w:val="003A25BE"/>
    <w:rsid w:val="003A2C23"/>
    <w:rsid w:val="003A7774"/>
    <w:rsid w:val="003C7358"/>
    <w:rsid w:val="003D0858"/>
    <w:rsid w:val="003E61F6"/>
    <w:rsid w:val="003F4104"/>
    <w:rsid w:val="003F6BF5"/>
    <w:rsid w:val="00401D0C"/>
    <w:rsid w:val="00405075"/>
    <w:rsid w:val="00405BB3"/>
    <w:rsid w:val="004061D4"/>
    <w:rsid w:val="00406AD8"/>
    <w:rsid w:val="00407537"/>
    <w:rsid w:val="00410CEC"/>
    <w:rsid w:val="00415910"/>
    <w:rsid w:val="004165BD"/>
    <w:rsid w:val="00420F0F"/>
    <w:rsid w:val="0042220D"/>
    <w:rsid w:val="00425037"/>
    <w:rsid w:val="004328A4"/>
    <w:rsid w:val="0043377A"/>
    <w:rsid w:val="00435135"/>
    <w:rsid w:val="004379B6"/>
    <w:rsid w:val="0044428E"/>
    <w:rsid w:val="00444FB6"/>
    <w:rsid w:val="00446465"/>
    <w:rsid w:val="00447911"/>
    <w:rsid w:val="00453A86"/>
    <w:rsid w:val="0045487E"/>
    <w:rsid w:val="0045510B"/>
    <w:rsid w:val="00456764"/>
    <w:rsid w:val="00460D54"/>
    <w:rsid w:val="004613A2"/>
    <w:rsid w:val="00461C39"/>
    <w:rsid w:val="00461D3E"/>
    <w:rsid w:val="00464086"/>
    <w:rsid w:val="004706CC"/>
    <w:rsid w:val="004731BA"/>
    <w:rsid w:val="004743B2"/>
    <w:rsid w:val="004756CF"/>
    <w:rsid w:val="00484058"/>
    <w:rsid w:val="00495AED"/>
    <w:rsid w:val="004A0E90"/>
    <w:rsid w:val="004A7880"/>
    <w:rsid w:val="004B4839"/>
    <w:rsid w:val="004B75AC"/>
    <w:rsid w:val="004C3644"/>
    <w:rsid w:val="004C5BE0"/>
    <w:rsid w:val="004D12DD"/>
    <w:rsid w:val="004E19C1"/>
    <w:rsid w:val="004E3CCA"/>
    <w:rsid w:val="004E5778"/>
    <w:rsid w:val="004E7ED8"/>
    <w:rsid w:val="004F541C"/>
    <w:rsid w:val="004F59BC"/>
    <w:rsid w:val="00500661"/>
    <w:rsid w:val="0050376D"/>
    <w:rsid w:val="00512C25"/>
    <w:rsid w:val="00513FA9"/>
    <w:rsid w:val="00515BBF"/>
    <w:rsid w:val="0052329F"/>
    <w:rsid w:val="00524ECA"/>
    <w:rsid w:val="005302CB"/>
    <w:rsid w:val="00534A57"/>
    <w:rsid w:val="0054255A"/>
    <w:rsid w:val="00542ACB"/>
    <w:rsid w:val="00542B2E"/>
    <w:rsid w:val="0055434C"/>
    <w:rsid w:val="00562038"/>
    <w:rsid w:val="00563F48"/>
    <w:rsid w:val="00571B2A"/>
    <w:rsid w:val="00577243"/>
    <w:rsid w:val="0059006F"/>
    <w:rsid w:val="00591283"/>
    <w:rsid w:val="005A27E4"/>
    <w:rsid w:val="005A61CE"/>
    <w:rsid w:val="005A6F33"/>
    <w:rsid w:val="005A7E5A"/>
    <w:rsid w:val="005B1285"/>
    <w:rsid w:val="005B1410"/>
    <w:rsid w:val="005B5FCC"/>
    <w:rsid w:val="005C63DC"/>
    <w:rsid w:val="005D04EA"/>
    <w:rsid w:val="005D4A40"/>
    <w:rsid w:val="005D4AAF"/>
    <w:rsid w:val="005E3F36"/>
    <w:rsid w:val="005E493B"/>
    <w:rsid w:val="005E4FF6"/>
    <w:rsid w:val="005F2951"/>
    <w:rsid w:val="005F2F6A"/>
    <w:rsid w:val="005F5EFC"/>
    <w:rsid w:val="00601723"/>
    <w:rsid w:val="00603BBD"/>
    <w:rsid w:val="00610D88"/>
    <w:rsid w:val="00624DDC"/>
    <w:rsid w:val="006253B6"/>
    <w:rsid w:val="006257ED"/>
    <w:rsid w:val="0062686E"/>
    <w:rsid w:val="00630B30"/>
    <w:rsid w:val="00632EBA"/>
    <w:rsid w:val="0063445D"/>
    <w:rsid w:val="00645270"/>
    <w:rsid w:val="00650EB6"/>
    <w:rsid w:val="00651FF6"/>
    <w:rsid w:val="00653139"/>
    <w:rsid w:val="00653FDA"/>
    <w:rsid w:val="00660E6C"/>
    <w:rsid w:val="00663C53"/>
    <w:rsid w:val="00664466"/>
    <w:rsid w:val="00667462"/>
    <w:rsid w:val="006676FE"/>
    <w:rsid w:val="00667839"/>
    <w:rsid w:val="006708A1"/>
    <w:rsid w:val="00671856"/>
    <w:rsid w:val="00673571"/>
    <w:rsid w:val="00682E37"/>
    <w:rsid w:val="0068303E"/>
    <w:rsid w:val="0068383E"/>
    <w:rsid w:val="00683D42"/>
    <w:rsid w:val="006974AE"/>
    <w:rsid w:val="006A057B"/>
    <w:rsid w:val="006A2B00"/>
    <w:rsid w:val="006A3034"/>
    <w:rsid w:val="006A4D02"/>
    <w:rsid w:val="006B1BF9"/>
    <w:rsid w:val="006B31DA"/>
    <w:rsid w:val="006B3A73"/>
    <w:rsid w:val="006B53F1"/>
    <w:rsid w:val="006B6037"/>
    <w:rsid w:val="006C0E56"/>
    <w:rsid w:val="006C2868"/>
    <w:rsid w:val="006C2BD7"/>
    <w:rsid w:val="006D4D9F"/>
    <w:rsid w:val="006E2BB8"/>
    <w:rsid w:val="006E2F43"/>
    <w:rsid w:val="006E4F82"/>
    <w:rsid w:val="006E62D6"/>
    <w:rsid w:val="006E65E7"/>
    <w:rsid w:val="00717BDC"/>
    <w:rsid w:val="00721395"/>
    <w:rsid w:val="00723A28"/>
    <w:rsid w:val="00733769"/>
    <w:rsid w:val="0073485F"/>
    <w:rsid w:val="00736B62"/>
    <w:rsid w:val="00744ED8"/>
    <w:rsid w:val="007604D4"/>
    <w:rsid w:val="00764C85"/>
    <w:rsid w:val="007702CD"/>
    <w:rsid w:val="00775ABA"/>
    <w:rsid w:val="0078046E"/>
    <w:rsid w:val="00782D0D"/>
    <w:rsid w:val="00793E3E"/>
    <w:rsid w:val="007A0DA5"/>
    <w:rsid w:val="007A2455"/>
    <w:rsid w:val="007A29C5"/>
    <w:rsid w:val="007A5F49"/>
    <w:rsid w:val="007C7B4B"/>
    <w:rsid w:val="007C7FB0"/>
    <w:rsid w:val="007D0F6E"/>
    <w:rsid w:val="007D4AEE"/>
    <w:rsid w:val="007E0E65"/>
    <w:rsid w:val="00806171"/>
    <w:rsid w:val="00817EEF"/>
    <w:rsid w:val="008221D3"/>
    <w:rsid w:val="00823428"/>
    <w:rsid w:val="00825F19"/>
    <w:rsid w:val="008260B2"/>
    <w:rsid w:val="008267B4"/>
    <w:rsid w:val="0082699E"/>
    <w:rsid w:val="00827D01"/>
    <w:rsid w:val="00830992"/>
    <w:rsid w:val="00834C54"/>
    <w:rsid w:val="008369BA"/>
    <w:rsid w:val="00840D32"/>
    <w:rsid w:val="00843933"/>
    <w:rsid w:val="00844907"/>
    <w:rsid w:val="008502D9"/>
    <w:rsid w:val="00850F4C"/>
    <w:rsid w:val="00855DB9"/>
    <w:rsid w:val="00857A16"/>
    <w:rsid w:val="0086136B"/>
    <w:rsid w:val="00864C1F"/>
    <w:rsid w:val="00870FA1"/>
    <w:rsid w:val="00875220"/>
    <w:rsid w:val="00877C77"/>
    <w:rsid w:val="00883BE7"/>
    <w:rsid w:val="00891CD9"/>
    <w:rsid w:val="00894E9D"/>
    <w:rsid w:val="008A36D4"/>
    <w:rsid w:val="008A6205"/>
    <w:rsid w:val="008C3A8F"/>
    <w:rsid w:val="008C7CA9"/>
    <w:rsid w:val="008D6154"/>
    <w:rsid w:val="008D6CBA"/>
    <w:rsid w:val="008E0239"/>
    <w:rsid w:val="008E0E9F"/>
    <w:rsid w:val="008E2291"/>
    <w:rsid w:val="008E4718"/>
    <w:rsid w:val="008F2446"/>
    <w:rsid w:val="008F4193"/>
    <w:rsid w:val="008F7D09"/>
    <w:rsid w:val="00901040"/>
    <w:rsid w:val="009055B8"/>
    <w:rsid w:val="00906F6A"/>
    <w:rsid w:val="009215E2"/>
    <w:rsid w:val="00923F25"/>
    <w:rsid w:val="00942798"/>
    <w:rsid w:val="00944253"/>
    <w:rsid w:val="00963503"/>
    <w:rsid w:val="00965DBD"/>
    <w:rsid w:val="00971944"/>
    <w:rsid w:val="00971948"/>
    <w:rsid w:val="00974270"/>
    <w:rsid w:val="00974329"/>
    <w:rsid w:val="00975317"/>
    <w:rsid w:val="009815C6"/>
    <w:rsid w:val="009817E9"/>
    <w:rsid w:val="009928E4"/>
    <w:rsid w:val="00996201"/>
    <w:rsid w:val="009A39E1"/>
    <w:rsid w:val="009A3AD8"/>
    <w:rsid w:val="009A6EE8"/>
    <w:rsid w:val="009B0F58"/>
    <w:rsid w:val="009B4FB2"/>
    <w:rsid w:val="009C26EF"/>
    <w:rsid w:val="009C3380"/>
    <w:rsid w:val="009E01E9"/>
    <w:rsid w:val="009E7E38"/>
    <w:rsid w:val="009F0C4C"/>
    <w:rsid w:val="009F17FA"/>
    <w:rsid w:val="009F1A73"/>
    <w:rsid w:val="009F265B"/>
    <w:rsid w:val="009F482C"/>
    <w:rsid w:val="009F68DB"/>
    <w:rsid w:val="00A03E3F"/>
    <w:rsid w:val="00A041A8"/>
    <w:rsid w:val="00A1108E"/>
    <w:rsid w:val="00A127AD"/>
    <w:rsid w:val="00A13E18"/>
    <w:rsid w:val="00A27CD0"/>
    <w:rsid w:val="00A30CAD"/>
    <w:rsid w:val="00A33138"/>
    <w:rsid w:val="00A36134"/>
    <w:rsid w:val="00A362B6"/>
    <w:rsid w:val="00A37D40"/>
    <w:rsid w:val="00A41950"/>
    <w:rsid w:val="00A56685"/>
    <w:rsid w:val="00A67DFF"/>
    <w:rsid w:val="00A71475"/>
    <w:rsid w:val="00A714DC"/>
    <w:rsid w:val="00A7179C"/>
    <w:rsid w:val="00A71D77"/>
    <w:rsid w:val="00A72658"/>
    <w:rsid w:val="00A761CB"/>
    <w:rsid w:val="00A803FD"/>
    <w:rsid w:val="00A85701"/>
    <w:rsid w:val="00AA2E8E"/>
    <w:rsid w:val="00AA4542"/>
    <w:rsid w:val="00AB0107"/>
    <w:rsid w:val="00AB0E99"/>
    <w:rsid w:val="00AB2347"/>
    <w:rsid w:val="00AC55FD"/>
    <w:rsid w:val="00AC5F22"/>
    <w:rsid w:val="00AD0344"/>
    <w:rsid w:val="00AD3261"/>
    <w:rsid w:val="00AD4355"/>
    <w:rsid w:val="00AD7C2B"/>
    <w:rsid w:val="00AE0A37"/>
    <w:rsid w:val="00AE3F5F"/>
    <w:rsid w:val="00AF4A60"/>
    <w:rsid w:val="00B026D1"/>
    <w:rsid w:val="00B04785"/>
    <w:rsid w:val="00B056FB"/>
    <w:rsid w:val="00B074AA"/>
    <w:rsid w:val="00B13297"/>
    <w:rsid w:val="00B13DC4"/>
    <w:rsid w:val="00B17B7C"/>
    <w:rsid w:val="00B23277"/>
    <w:rsid w:val="00B24268"/>
    <w:rsid w:val="00B244C5"/>
    <w:rsid w:val="00B245AD"/>
    <w:rsid w:val="00B3652D"/>
    <w:rsid w:val="00B4182B"/>
    <w:rsid w:val="00B45449"/>
    <w:rsid w:val="00B46F25"/>
    <w:rsid w:val="00B55E54"/>
    <w:rsid w:val="00B56589"/>
    <w:rsid w:val="00B64D05"/>
    <w:rsid w:val="00B700BF"/>
    <w:rsid w:val="00B70460"/>
    <w:rsid w:val="00B75B8E"/>
    <w:rsid w:val="00B8244D"/>
    <w:rsid w:val="00B83464"/>
    <w:rsid w:val="00B92009"/>
    <w:rsid w:val="00B93751"/>
    <w:rsid w:val="00B9441B"/>
    <w:rsid w:val="00B94B8D"/>
    <w:rsid w:val="00B95A30"/>
    <w:rsid w:val="00BA0818"/>
    <w:rsid w:val="00BA13BE"/>
    <w:rsid w:val="00BA7143"/>
    <w:rsid w:val="00BB15C9"/>
    <w:rsid w:val="00BB3005"/>
    <w:rsid w:val="00BB4BF8"/>
    <w:rsid w:val="00BC31A7"/>
    <w:rsid w:val="00BC3401"/>
    <w:rsid w:val="00BD6412"/>
    <w:rsid w:val="00BD702B"/>
    <w:rsid w:val="00BD7963"/>
    <w:rsid w:val="00BD7B78"/>
    <w:rsid w:val="00BE371B"/>
    <w:rsid w:val="00BE3D0A"/>
    <w:rsid w:val="00BE773B"/>
    <w:rsid w:val="00BF2AFD"/>
    <w:rsid w:val="00C03509"/>
    <w:rsid w:val="00C05352"/>
    <w:rsid w:val="00C05806"/>
    <w:rsid w:val="00C07D35"/>
    <w:rsid w:val="00C10850"/>
    <w:rsid w:val="00C32404"/>
    <w:rsid w:val="00C45EB8"/>
    <w:rsid w:val="00C47994"/>
    <w:rsid w:val="00C532D0"/>
    <w:rsid w:val="00C53583"/>
    <w:rsid w:val="00C538EC"/>
    <w:rsid w:val="00C53AEC"/>
    <w:rsid w:val="00C606ED"/>
    <w:rsid w:val="00C624AA"/>
    <w:rsid w:val="00C7152E"/>
    <w:rsid w:val="00C73360"/>
    <w:rsid w:val="00C75118"/>
    <w:rsid w:val="00C75510"/>
    <w:rsid w:val="00C86CB2"/>
    <w:rsid w:val="00C91C71"/>
    <w:rsid w:val="00C95126"/>
    <w:rsid w:val="00CA3CC6"/>
    <w:rsid w:val="00CA72A5"/>
    <w:rsid w:val="00CB1F9B"/>
    <w:rsid w:val="00CB4358"/>
    <w:rsid w:val="00CB57CE"/>
    <w:rsid w:val="00CB6458"/>
    <w:rsid w:val="00CC07BF"/>
    <w:rsid w:val="00CC2B6B"/>
    <w:rsid w:val="00CC3A0A"/>
    <w:rsid w:val="00CC4651"/>
    <w:rsid w:val="00CD5813"/>
    <w:rsid w:val="00CE018E"/>
    <w:rsid w:val="00CE09CB"/>
    <w:rsid w:val="00CE7A4A"/>
    <w:rsid w:val="00CF1590"/>
    <w:rsid w:val="00CF315D"/>
    <w:rsid w:val="00D1343F"/>
    <w:rsid w:val="00D13AA8"/>
    <w:rsid w:val="00D17B68"/>
    <w:rsid w:val="00D239B5"/>
    <w:rsid w:val="00D30B6F"/>
    <w:rsid w:val="00D329A3"/>
    <w:rsid w:val="00D32B72"/>
    <w:rsid w:val="00D32D53"/>
    <w:rsid w:val="00D32E6D"/>
    <w:rsid w:val="00D3426D"/>
    <w:rsid w:val="00D4033C"/>
    <w:rsid w:val="00D44EA5"/>
    <w:rsid w:val="00D45504"/>
    <w:rsid w:val="00D46AC8"/>
    <w:rsid w:val="00D52A31"/>
    <w:rsid w:val="00D5346A"/>
    <w:rsid w:val="00D55767"/>
    <w:rsid w:val="00D56667"/>
    <w:rsid w:val="00D64F33"/>
    <w:rsid w:val="00D70A12"/>
    <w:rsid w:val="00D71BA0"/>
    <w:rsid w:val="00D749DF"/>
    <w:rsid w:val="00D76BFA"/>
    <w:rsid w:val="00D82755"/>
    <w:rsid w:val="00D82E67"/>
    <w:rsid w:val="00D83148"/>
    <w:rsid w:val="00D831AC"/>
    <w:rsid w:val="00D848F0"/>
    <w:rsid w:val="00D84DA8"/>
    <w:rsid w:val="00D87B09"/>
    <w:rsid w:val="00D91DFC"/>
    <w:rsid w:val="00D97926"/>
    <w:rsid w:val="00DA3557"/>
    <w:rsid w:val="00DA4701"/>
    <w:rsid w:val="00DB1008"/>
    <w:rsid w:val="00DB168F"/>
    <w:rsid w:val="00DB1A79"/>
    <w:rsid w:val="00DB37B5"/>
    <w:rsid w:val="00DB5E28"/>
    <w:rsid w:val="00DC65F2"/>
    <w:rsid w:val="00DC7876"/>
    <w:rsid w:val="00DC7DD5"/>
    <w:rsid w:val="00DE17B2"/>
    <w:rsid w:val="00DE3E83"/>
    <w:rsid w:val="00DE3ED7"/>
    <w:rsid w:val="00DE53F2"/>
    <w:rsid w:val="00DF1291"/>
    <w:rsid w:val="00DF24DE"/>
    <w:rsid w:val="00E07078"/>
    <w:rsid w:val="00E1392C"/>
    <w:rsid w:val="00E218C4"/>
    <w:rsid w:val="00E22AC6"/>
    <w:rsid w:val="00E24830"/>
    <w:rsid w:val="00E271B3"/>
    <w:rsid w:val="00E27B56"/>
    <w:rsid w:val="00E318A6"/>
    <w:rsid w:val="00E41C62"/>
    <w:rsid w:val="00E41EE9"/>
    <w:rsid w:val="00E44AB6"/>
    <w:rsid w:val="00E461D4"/>
    <w:rsid w:val="00E60378"/>
    <w:rsid w:val="00E6122E"/>
    <w:rsid w:val="00E62285"/>
    <w:rsid w:val="00E62819"/>
    <w:rsid w:val="00E71E25"/>
    <w:rsid w:val="00E84761"/>
    <w:rsid w:val="00E876AD"/>
    <w:rsid w:val="00E9045F"/>
    <w:rsid w:val="00EA0D4F"/>
    <w:rsid w:val="00EA405B"/>
    <w:rsid w:val="00EA5987"/>
    <w:rsid w:val="00EA72A3"/>
    <w:rsid w:val="00EA788A"/>
    <w:rsid w:val="00EB24DA"/>
    <w:rsid w:val="00EB27BE"/>
    <w:rsid w:val="00EB4C26"/>
    <w:rsid w:val="00EB5BDC"/>
    <w:rsid w:val="00EB6134"/>
    <w:rsid w:val="00EB7F43"/>
    <w:rsid w:val="00EC1A6C"/>
    <w:rsid w:val="00EC246D"/>
    <w:rsid w:val="00EC282C"/>
    <w:rsid w:val="00EC46E1"/>
    <w:rsid w:val="00EC53C9"/>
    <w:rsid w:val="00ED1915"/>
    <w:rsid w:val="00ED4FC6"/>
    <w:rsid w:val="00ED5E11"/>
    <w:rsid w:val="00ED7509"/>
    <w:rsid w:val="00EE1C15"/>
    <w:rsid w:val="00EE38AF"/>
    <w:rsid w:val="00EE4D5A"/>
    <w:rsid w:val="00EE7D3B"/>
    <w:rsid w:val="00EF254B"/>
    <w:rsid w:val="00EF4FF2"/>
    <w:rsid w:val="00F04A06"/>
    <w:rsid w:val="00F06E78"/>
    <w:rsid w:val="00F071DE"/>
    <w:rsid w:val="00F16F9C"/>
    <w:rsid w:val="00F3447F"/>
    <w:rsid w:val="00F344C2"/>
    <w:rsid w:val="00F4057A"/>
    <w:rsid w:val="00F4136D"/>
    <w:rsid w:val="00F42246"/>
    <w:rsid w:val="00F4788E"/>
    <w:rsid w:val="00F509B1"/>
    <w:rsid w:val="00F56E16"/>
    <w:rsid w:val="00F62687"/>
    <w:rsid w:val="00F74630"/>
    <w:rsid w:val="00F75061"/>
    <w:rsid w:val="00F77927"/>
    <w:rsid w:val="00F87CA1"/>
    <w:rsid w:val="00F9122A"/>
    <w:rsid w:val="00F927C8"/>
    <w:rsid w:val="00FA5B1A"/>
    <w:rsid w:val="00FA6D2C"/>
    <w:rsid w:val="00FB5BF6"/>
    <w:rsid w:val="00FC3911"/>
    <w:rsid w:val="00FC779A"/>
    <w:rsid w:val="00FD604C"/>
    <w:rsid w:val="00FE0D1E"/>
    <w:rsid w:val="00FE171F"/>
    <w:rsid w:val="00FE22DD"/>
    <w:rsid w:val="00FF0255"/>
    <w:rsid w:val="00FF160E"/>
    <w:rsid w:val="00FF5C51"/>
    <w:rsid w:val="00FF5E34"/>
    <w:rsid w:val="0149BEE6"/>
    <w:rsid w:val="08F3DC85"/>
    <w:rsid w:val="100B7E3C"/>
    <w:rsid w:val="118E41F3"/>
    <w:rsid w:val="12F1752C"/>
    <w:rsid w:val="143687E2"/>
    <w:rsid w:val="1861F2E1"/>
    <w:rsid w:val="1A3C58F8"/>
    <w:rsid w:val="1B8904A5"/>
    <w:rsid w:val="1C155063"/>
    <w:rsid w:val="20A86295"/>
    <w:rsid w:val="3735B569"/>
    <w:rsid w:val="3C36C0AC"/>
    <w:rsid w:val="3C4C34FB"/>
    <w:rsid w:val="3CB26810"/>
    <w:rsid w:val="42B8768F"/>
    <w:rsid w:val="43F2F6D9"/>
    <w:rsid w:val="45A8E023"/>
    <w:rsid w:val="4AFA6BBA"/>
    <w:rsid w:val="5444B7B3"/>
    <w:rsid w:val="54E7E31E"/>
    <w:rsid w:val="56671CEE"/>
    <w:rsid w:val="5BC5C00F"/>
    <w:rsid w:val="5F1A6E17"/>
    <w:rsid w:val="5F750740"/>
    <w:rsid w:val="5FAA2904"/>
    <w:rsid w:val="61D302DE"/>
    <w:rsid w:val="622393EB"/>
    <w:rsid w:val="678AC285"/>
    <w:rsid w:val="6BD2C85E"/>
    <w:rsid w:val="6FDE07B7"/>
    <w:rsid w:val="701319FD"/>
    <w:rsid w:val="76384526"/>
    <w:rsid w:val="78D97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14236B3-1E71-420E-B20B-95282A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Answer">
    <w:name w:val="Answer"/>
    <w:basedOn w:val="Normal"/>
    <w:rsid w:val="4AFA6BBA"/>
    <w:pPr>
      <w:spacing w:after="240"/>
      <w:ind w:left="475"/>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75ABA"/>
    <w:rPr>
      <w:color w:val="605E5C"/>
      <w:shd w:val="clear" w:color="auto" w:fill="E1DFDD"/>
    </w:rPr>
  </w:style>
  <w:style w:type="character" w:styleId="Mention">
    <w:name w:val="Mention"/>
    <w:basedOn w:val="DefaultParagraphFont"/>
    <w:uiPriority w:val="99"/>
    <w:unhideWhenUsed/>
    <w:rsid w:val="00775ABA"/>
    <w:rPr>
      <w:color w:val="2B579A"/>
      <w:shd w:val="clear" w:color="auto" w:fill="E1DFDD"/>
    </w:rPr>
  </w:style>
  <w:style w:type="character" w:styleId="FollowedHyperlink">
    <w:name w:val="FollowedHyperlink"/>
    <w:basedOn w:val="DefaultParagraphFont"/>
    <w:uiPriority w:val="99"/>
    <w:semiHidden/>
    <w:unhideWhenUsed/>
    <w:rsid w:val="005E4F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3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2" ma:contentTypeDescription="Create a new document." ma:contentTypeScope="" ma:versionID="ab02cd2fd0d5b6db14ab1f0685fd8489">
  <xsd:schema xmlns:xsd="http://www.w3.org/2001/XMLSchema" xmlns:xs="http://www.w3.org/2001/XMLSchema" xmlns:p="http://schemas.microsoft.com/office/2006/metadata/properties" xmlns:ns2="68ad1d10-45b6-40a4-ad5f-909c77b0fc6e" targetNamespace="http://schemas.microsoft.com/office/2006/metadata/properties" ma:root="true" ma:fieldsID="1704e60ed8aa0079233ec1a690519273" ns2:_="">
    <xsd:import namespace="68ad1d10-45b6-40a4-ad5f-909c77b0f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A03D1-E98C-4961-B4AE-A790F4AEE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Heather Sandstrom</cp:lastModifiedBy>
  <cp:revision>4</cp:revision>
  <dcterms:created xsi:type="dcterms:W3CDTF">2022-12-20T19:10:00Z</dcterms:created>
  <dcterms:modified xsi:type="dcterms:W3CDTF">2022-12-20T19:11:00Z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ies>
</file>