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1677E243" w14:textId="77777777">
      <w:pPr>
        <w:rPr>
          <w:b/>
        </w:rPr>
      </w:pPr>
    </w:p>
    <w:p w:rsidR="0054255A" w:rsidRPr="00B13297" w:rsidP="00B13297" w14:paraId="102FF50A" w14:textId="67C94440">
      <w:pPr>
        <w:pStyle w:val="ReportCover-Title"/>
        <w:jc w:val="center"/>
        <w:rPr>
          <w:rFonts w:ascii="Arial" w:hAnsi="Arial" w:cs="Arial"/>
          <w:color w:val="auto"/>
        </w:rPr>
      </w:pPr>
      <w:r>
        <w:rPr>
          <w:rFonts w:ascii="Arial" w:eastAsia="Arial Unicode MS" w:hAnsi="Arial" w:cs="Arial"/>
          <w:noProof/>
          <w:color w:val="auto"/>
        </w:rPr>
        <w:t xml:space="preserve">GenIC: </w:t>
      </w:r>
      <w:r w:rsidR="00C21BE1">
        <w:rPr>
          <w:rFonts w:ascii="Arial" w:eastAsia="Arial Unicode MS" w:hAnsi="Arial" w:cs="Arial"/>
          <w:noProof/>
          <w:color w:val="auto"/>
        </w:rPr>
        <w:t xml:space="preserve">Supporting Family Economic Well-Being </w:t>
      </w:r>
      <w:r w:rsidR="008C7245">
        <w:rPr>
          <w:rFonts w:ascii="Arial" w:eastAsia="Arial Unicode MS" w:hAnsi="Arial" w:cs="Arial"/>
          <w:noProof/>
          <w:color w:val="auto"/>
        </w:rPr>
        <w:t>t</w:t>
      </w:r>
      <w:r w:rsidR="00C21BE1">
        <w:rPr>
          <w:rFonts w:ascii="Arial" w:eastAsia="Arial Unicode MS" w:hAnsi="Arial" w:cs="Arial"/>
          <w:noProof/>
          <w:color w:val="auto"/>
        </w:rPr>
        <w:t>hrough Home Visiting</w:t>
      </w:r>
      <w:r w:rsidR="00FC2C93">
        <w:rPr>
          <w:rFonts w:ascii="Arial" w:eastAsia="Arial Unicode MS" w:hAnsi="Arial" w:cs="Arial"/>
          <w:noProof/>
          <w:color w:val="auto"/>
        </w:rPr>
        <w:t xml:space="preserve"> (HomeEc)</w:t>
      </w:r>
    </w:p>
    <w:p w:rsidR="0054255A" w:rsidRPr="00B13297" w:rsidP="00B13297" w14:paraId="1AD84C2A" w14:textId="77777777">
      <w:pPr>
        <w:pStyle w:val="ReportCover-Title"/>
        <w:rPr>
          <w:rFonts w:ascii="Arial" w:hAnsi="Arial" w:cs="Arial"/>
          <w:color w:val="auto"/>
        </w:rPr>
      </w:pPr>
    </w:p>
    <w:p w:rsidR="000B6DEC" w:rsidRPr="00B13297" w:rsidP="000B6DEC" w14:paraId="44B9E0EA" w14:textId="77777777">
      <w:pPr>
        <w:pStyle w:val="ReportCover-Title"/>
        <w:jc w:val="center"/>
        <w:rPr>
          <w:rFonts w:ascii="Arial" w:hAnsi="Arial" w:cs="Arial"/>
          <w:color w:val="auto"/>
        </w:rPr>
      </w:pPr>
      <w:r>
        <w:rPr>
          <w:rFonts w:ascii="Arial" w:hAnsi="Arial" w:cs="Arial"/>
          <w:color w:val="auto"/>
        </w:rPr>
        <w:t>Under</w:t>
      </w:r>
    </w:p>
    <w:p w:rsidR="000B6DEC" w:rsidP="00B3652D" w14:paraId="67D44D66" w14:textId="7E5627C4">
      <w:pPr>
        <w:pStyle w:val="ReportCover-Title"/>
        <w:jc w:val="center"/>
        <w:rPr>
          <w:rFonts w:ascii="Arial" w:hAnsi="Arial" w:cs="Arial"/>
          <w:color w:val="auto"/>
          <w:sz w:val="32"/>
          <w:szCs w:val="32"/>
        </w:rPr>
      </w:pPr>
      <w:r>
        <w:rPr>
          <w:rFonts w:ascii="Arial" w:hAnsi="Arial" w:cs="Arial"/>
          <w:color w:val="auto"/>
          <w:sz w:val="32"/>
          <w:szCs w:val="32"/>
        </w:rPr>
        <w:t xml:space="preserve">Umbrella Generic Clearance:  </w:t>
      </w:r>
    </w:p>
    <w:p w:rsidR="00B3652D" w:rsidRPr="00FA5B1A" w:rsidP="00B3652D" w14:paraId="2AE0B163" w14:textId="20D0081F">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0901EAC0" w14:textId="77777777">
      <w:pPr>
        <w:pStyle w:val="ReportCover-Title"/>
        <w:jc w:val="center"/>
        <w:rPr>
          <w:rFonts w:ascii="Arial" w:hAnsi="Arial" w:cs="Arial"/>
          <w:color w:val="auto"/>
          <w:sz w:val="32"/>
          <w:szCs w:val="32"/>
        </w:rPr>
      </w:pPr>
    </w:p>
    <w:p w:rsidR="00B3652D" w:rsidRPr="002C4F75" w:rsidP="00B3652D" w14:paraId="29977BAD" w14:textId="2B835CB3">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337070F8" w14:textId="77777777">
      <w:pPr>
        <w:rPr>
          <w:rFonts w:ascii="Arial" w:hAnsi="Arial" w:cs="Arial"/>
        </w:rPr>
      </w:pPr>
    </w:p>
    <w:p w:rsidR="0054255A" w:rsidRPr="00B13297" w:rsidP="00B13297" w14:paraId="7BAA9AC1" w14:textId="77777777">
      <w:pPr>
        <w:pStyle w:val="ReportCover-Date"/>
        <w:jc w:val="center"/>
        <w:rPr>
          <w:rFonts w:ascii="Arial" w:hAnsi="Arial" w:cs="Arial"/>
          <w:color w:val="auto"/>
        </w:rPr>
      </w:pPr>
    </w:p>
    <w:p w:rsidR="0054255A" w:rsidRPr="00B13297" w:rsidP="00B13297" w14:paraId="5AFFD4F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23994B6A"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4AEEF2E1" w14:textId="77777777">
      <w:pPr>
        <w:pStyle w:val="ReportCover-Date"/>
        <w:jc w:val="center"/>
        <w:rPr>
          <w:rFonts w:ascii="Arial" w:hAnsi="Arial" w:cs="Arial"/>
          <w:color w:val="auto"/>
        </w:rPr>
      </w:pPr>
      <w:r>
        <w:rPr>
          <w:rFonts w:ascii="Arial" w:hAnsi="Arial" w:cs="Arial"/>
          <w:color w:val="auto"/>
        </w:rPr>
        <w:t>November 2022</w:t>
      </w:r>
    </w:p>
    <w:p w:rsidR="0054255A" w:rsidRPr="00B13297" w:rsidP="00B13297" w14:paraId="4BE8859E"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325ADD1C" w14:textId="77777777">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62E1456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773140A9"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378A79F9" w14:textId="77777777">
      <w:pPr>
        <w:spacing w:after="0" w:line="240" w:lineRule="auto"/>
        <w:jc w:val="center"/>
        <w:rPr>
          <w:rFonts w:ascii="Arial" w:hAnsi="Arial" w:cs="Arial"/>
        </w:rPr>
      </w:pPr>
    </w:p>
    <w:p w:rsidR="0054255A" w:rsidRPr="00B13297" w:rsidP="00B13297" w14:paraId="5676128F"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0AB2CE45"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89FEA23"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79E5F59C" w14:textId="77777777">
      <w:pPr>
        <w:spacing w:after="0" w:line="240" w:lineRule="auto"/>
        <w:jc w:val="center"/>
        <w:rPr>
          <w:rFonts w:ascii="Arial" w:hAnsi="Arial" w:cs="Arial"/>
        </w:rPr>
      </w:pPr>
    </w:p>
    <w:p w:rsidR="0054255A" w:rsidP="00B13297" w14:paraId="060C6B05" w14:textId="77777777">
      <w:pPr>
        <w:spacing w:after="0" w:line="240" w:lineRule="auto"/>
        <w:jc w:val="center"/>
        <w:rPr>
          <w:rFonts w:ascii="Arial" w:hAnsi="Arial" w:cs="Arial"/>
        </w:rPr>
      </w:pPr>
      <w:r w:rsidRPr="00B13297">
        <w:rPr>
          <w:rFonts w:ascii="Arial" w:hAnsi="Arial" w:cs="Arial"/>
        </w:rPr>
        <w:t>Project Officer:</w:t>
      </w:r>
    </w:p>
    <w:p w:rsidR="00190227" w:rsidRPr="002C4F75" w:rsidP="00B13297" w14:paraId="25725059" w14:textId="77777777">
      <w:pPr>
        <w:spacing w:after="0" w:line="240" w:lineRule="auto"/>
        <w:jc w:val="center"/>
        <w:rPr>
          <w:rFonts w:ascii="Arial" w:hAnsi="Arial" w:cs="Arial"/>
        </w:rPr>
      </w:pPr>
      <w:r>
        <w:rPr>
          <w:rFonts w:ascii="Arial" w:hAnsi="Arial" w:cs="Arial"/>
        </w:rPr>
        <w:t>Pooja Gupta Curtin</w:t>
      </w:r>
    </w:p>
    <w:p w:rsidR="0054255A" w:rsidP="00B13297" w14:paraId="2D811C48" w14:textId="77777777">
      <w:pPr>
        <w:spacing w:after="0" w:line="240" w:lineRule="auto"/>
        <w:jc w:val="center"/>
        <w:rPr>
          <w:b/>
        </w:rPr>
      </w:pPr>
    </w:p>
    <w:p w:rsidR="0054255A" w:rsidP="00B13297" w14:paraId="4D26C79A" w14:textId="77777777">
      <w:pPr>
        <w:spacing w:after="0" w:line="240" w:lineRule="auto"/>
        <w:jc w:val="center"/>
        <w:rPr>
          <w:b/>
        </w:rPr>
      </w:pPr>
    </w:p>
    <w:p w:rsidR="0054255A" w:rsidP="00B13297" w14:paraId="63C449CB" w14:textId="77777777">
      <w:pPr>
        <w:jc w:val="center"/>
        <w:rPr>
          <w:b/>
        </w:rPr>
      </w:pPr>
    </w:p>
    <w:p w:rsidR="00C9112E" w:rsidP="00B13297" w14:paraId="7C4FCB55" w14:textId="77777777">
      <w:pPr>
        <w:rPr>
          <w:b/>
        </w:rPr>
        <w:sectPr w:rsidSect="00C91C71">
          <w:headerReference w:type="default" r:id="rId6"/>
          <w:footerReference w:type="default" r:id="rId7"/>
          <w:pgSz w:w="12240" w:h="15840"/>
          <w:pgMar w:top="1440" w:right="1440" w:bottom="1440" w:left="1440" w:header="720" w:footer="720" w:gutter="0"/>
          <w:cols w:space="720"/>
          <w:docGrid w:linePitch="360"/>
        </w:sectPr>
      </w:pPr>
    </w:p>
    <w:p w:rsidR="00624DDC" w:rsidRPr="00AE0B67" w:rsidP="00AE0B67" w14:paraId="1C386CE0" w14:textId="77777777">
      <w:pPr>
        <w:spacing w:before="240" w:after="240" w:line="240" w:lineRule="auto"/>
        <w:jc w:val="center"/>
        <w:rPr>
          <w:b/>
          <w:sz w:val="32"/>
          <w:szCs w:val="32"/>
        </w:rPr>
      </w:pPr>
      <w:r w:rsidRPr="00624DDC">
        <w:rPr>
          <w:b/>
          <w:sz w:val="32"/>
          <w:szCs w:val="32"/>
        </w:rPr>
        <w:t>Part A</w:t>
      </w:r>
    </w:p>
    <w:p w:rsidR="00840D32" w:rsidRPr="00026192" w:rsidP="00AE0B67" w14:paraId="3BB57D8E" w14:textId="77777777">
      <w:pPr>
        <w:spacing w:before="240" w:line="240" w:lineRule="auto"/>
        <w:rPr>
          <w:b/>
          <w:sz w:val="28"/>
        </w:rPr>
      </w:pPr>
      <w:r w:rsidRPr="00026192">
        <w:rPr>
          <w:b/>
          <w:sz w:val="28"/>
          <w:u w:val="single"/>
        </w:rPr>
        <w:t>Executive Summary</w:t>
      </w:r>
    </w:p>
    <w:p w:rsidR="00EA405B" w:rsidP="00AE0B67" w14:paraId="3C9E828F" w14:textId="782326FD">
      <w:pPr>
        <w:pStyle w:val="ListParagraph"/>
        <w:numPr>
          <w:ilvl w:val="0"/>
          <w:numId w:val="3"/>
        </w:numPr>
        <w:spacing w:before="120" w:after="120" w:line="240" w:lineRule="auto"/>
        <w:contextualSpacing w:val="0"/>
      </w:pPr>
      <w:r w:rsidRPr="00FC2C93">
        <w:rPr>
          <w:b/>
        </w:rPr>
        <w:t xml:space="preserve">Type of Request: </w:t>
      </w:r>
      <w:r w:rsidRPr="00906F6A">
        <w:t>This Information Collection Request is for a</w:t>
      </w:r>
      <w:r w:rsidR="00B3652D">
        <w:t xml:space="preserve"> generic information collection </w:t>
      </w:r>
      <w:r w:rsidR="000B6DEC">
        <w:t xml:space="preserve">(GenIC) </w:t>
      </w:r>
      <w:r w:rsidR="00B3652D">
        <w:t xml:space="preserve">under the umbrella generic, </w:t>
      </w:r>
      <w:r w:rsidRPr="00B3652D" w:rsidR="00FA5B1A">
        <w:t>Formative Data Collections for ACF Research</w:t>
      </w:r>
      <w:r w:rsidR="00FA5B1A">
        <w:t xml:space="preserve"> (0970-0356).</w:t>
      </w:r>
    </w:p>
    <w:p w:rsidR="00BD7963" w:rsidRPr="00BD7963" w:rsidP="00AE0B67" w14:paraId="280376DA" w14:textId="77777777">
      <w:pPr>
        <w:pStyle w:val="ListParagraph"/>
        <w:numPr>
          <w:ilvl w:val="0"/>
          <w:numId w:val="3"/>
        </w:numPr>
        <w:spacing w:before="120" w:after="120" w:line="240" w:lineRule="auto"/>
        <w:contextualSpacing w:val="0"/>
      </w:pPr>
      <w:r w:rsidRPr="00906F6A">
        <w:rPr>
          <w:b/>
        </w:rPr>
        <w:t xml:space="preserve">Description of Request: </w:t>
      </w:r>
    </w:p>
    <w:p w:rsidR="006D4B73" w:rsidP="67A67057" w14:paraId="27F346F0" w14:textId="05EE04F1">
      <w:pPr>
        <w:pStyle w:val="ListParagraph"/>
        <w:spacing w:before="120" w:after="120" w:line="240" w:lineRule="auto"/>
        <w:rPr>
          <w:rFonts w:cs="Calibri"/>
        </w:rPr>
      </w:pPr>
      <w:r w:rsidRPr="08FE1522">
        <w:rPr>
          <w:rFonts w:cs="Calibri"/>
        </w:rPr>
        <w:t xml:space="preserve">The Administration for Children and Families (ACF) at the U.S. Department of Health and Human Services (HHS) seeks approval for a one-time </w:t>
      </w:r>
      <w:r w:rsidRPr="08FE1522" w:rsidR="00311475">
        <w:rPr>
          <w:rFonts w:cs="Calibri"/>
        </w:rPr>
        <w:t>information collection</w:t>
      </w:r>
      <w:r w:rsidRPr="08FE1522">
        <w:rPr>
          <w:rFonts w:cs="Calibri"/>
        </w:rPr>
        <w:t xml:space="preserve"> to </w:t>
      </w:r>
      <w:r w:rsidRPr="08FE1522" w:rsidR="000B1F2A">
        <w:rPr>
          <w:rFonts w:cs="Calibri"/>
        </w:rPr>
        <w:t>better understand</w:t>
      </w:r>
      <w:r w:rsidRPr="08FE1522" w:rsidR="009B7259">
        <w:rPr>
          <w:rFonts w:cs="Calibri"/>
        </w:rPr>
        <w:t xml:space="preserve">, </w:t>
      </w:r>
      <w:r w:rsidRPr="08FE1522" w:rsidR="000B1F2A">
        <w:rPr>
          <w:rFonts w:cs="Calibri"/>
        </w:rPr>
        <w:t>measure</w:t>
      </w:r>
      <w:r w:rsidRPr="08FE1522" w:rsidR="009B7259">
        <w:rPr>
          <w:rFonts w:cs="Calibri"/>
        </w:rPr>
        <w:t>, and</w:t>
      </w:r>
      <w:r w:rsidR="00020863">
        <w:rPr>
          <w:rFonts w:cs="Calibri"/>
        </w:rPr>
        <w:t xml:space="preserve"> inform</w:t>
      </w:r>
      <w:r w:rsidRPr="08FE1522" w:rsidR="009B7259">
        <w:rPr>
          <w:rFonts w:cs="Calibri"/>
        </w:rPr>
        <w:t xml:space="preserve"> improve</w:t>
      </w:r>
      <w:r w:rsidR="00020863">
        <w:rPr>
          <w:rFonts w:cs="Calibri"/>
        </w:rPr>
        <w:t>ments to</w:t>
      </w:r>
      <w:r w:rsidRPr="08FE1522" w:rsidR="000B1F2A">
        <w:rPr>
          <w:rFonts w:cs="Calibri"/>
        </w:rPr>
        <w:t xml:space="preserve"> </w:t>
      </w:r>
      <w:r w:rsidRPr="08FE1522" w:rsidR="00396248">
        <w:rPr>
          <w:rFonts w:cs="Calibri"/>
        </w:rPr>
        <w:t xml:space="preserve">the </w:t>
      </w:r>
      <w:r w:rsidRPr="08FE1522" w:rsidR="000B1F2A">
        <w:rPr>
          <w:rFonts w:cs="Calibri"/>
        </w:rPr>
        <w:t xml:space="preserve">economic well-being of families enrolled in </w:t>
      </w:r>
      <w:r w:rsidR="004E5AFF">
        <w:rPr>
          <w:rFonts w:cs="Calibri"/>
        </w:rPr>
        <w:t xml:space="preserve">early childhood </w:t>
      </w:r>
      <w:r w:rsidRPr="08FE1522" w:rsidR="000B1F2A">
        <w:rPr>
          <w:rFonts w:cs="Calibri"/>
        </w:rPr>
        <w:t>home visiting</w:t>
      </w:r>
      <w:r w:rsidR="003D0EC7">
        <w:rPr>
          <w:rFonts w:cs="Calibri"/>
        </w:rPr>
        <w:t xml:space="preserve"> (ECHV)</w:t>
      </w:r>
      <w:r w:rsidRPr="08FE1522" w:rsidR="000B1F2A">
        <w:rPr>
          <w:rFonts w:cs="Calibri"/>
        </w:rPr>
        <w:t xml:space="preserve"> programs. </w:t>
      </w:r>
      <w:r w:rsidRPr="08FE1522">
        <w:rPr>
          <w:rFonts w:cs="Calibri"/>
        </w:rPr>
        <w:t>The</w:t>
      </w:r>
      <w:r w:rsidRPr="08FE1522" w:rsidR="00311475">
        <w:rPr>
          <w:rFonts w:cs="Calibri"/>
        </w:rPr>
        <w:t xml:space="preserve"> information collection is part of the</w:t>
      </w:r>
      <w:r w:rsidRPr="08FE1522">
        <w:rPr>
          <w:rFonts w:cs="Calibri"/>
        </w:rPr>
        <w:t xml:space="preserve"> study, Supporting Family Economic Well-Being through Home Visiting (HomeEc), </w:t>
      </w:r>
      <w:r w:rsidRPr="08FE1522" w:rsidR="00311475">
        <w:rPr>
          <w:rFonts w:cs="Calibri"/>
        </w:rPr>
        <w:t xml:space="preserve">which </w:t>
      </w:r>
      <w:r w:rsidRPr="08FE1522" w:rsidR="00090A2A">
        <w:rPr>
          <w:rFonts w:cs="Calibri"/>
        </w:rPr>
        <w:t>will</w:t>
      </w:r>
      <w:r w:rsidRPr="08FE1522" w:rsidR="006460CB">
        <w:rPr>
          <w:rFonts w:cs="Calibri"/>
        </w:rPr>
        <w:t xml:space="preserve"> explore </w:t>
      </w:r>
      <w:r w:rsidRPr="08FE1522" w:rsidR="00AF0CF7">
        <w:rPr>
          <w:rFonts w:cs="Calibri"/>
        </w:rPr>
        <w:t>definitions of</w:t>
      </w:r>
      <w:r w:rsidRPr="08FE1522" w:rsidR="006460CB">
        <w:rPr>
          <w:rFonts w:cs="Calibri"/>
        </w:rPr>
        <w:t xml:space="preserve"> </w:t>
      </w:r>
      <w:r w:rsidRPr="08FE1522" w:rsidR="00654D65">
        <w:rPr>
          <w:rFonts w:cs="Calibri"/>
        </w:rPr>
        <w:t xml:space="preserve">family </w:t>
      </w:r>
      <w:r w:rsidRPr="08FE1522" w:rsidR="006460CB">
        <w:rPr>
          <w:rFonts w:cs="Calibri"/>
        </w:rPr>
        <w:t xml:space="preserve">economic well-being, </w:t>
      </w:r>
      <w:r w:rsidRPr="08FE1522" w:rsidR="000B2FAB">
        <w:rPr>
          <w:rFonts w:cs="Calibri"/>
        </w:rPr>
        <w:t xml:space="preserve">identify </w:t>
      </w:r>
      <w:r w:rsidRPr="08FE1522" w:rsidR="006460CB">
        <w:rPr>
          <w:rFonts w:cs="Calibri"/>
        </w:rPr>
        <w:t xml:space="preserve">home visiting </w:t>
      </w:r>
      <w:r w:rsidRPr="08FE1522" w:rsidR="00362AF8">
        <w:rPr>
          <w:rFonts w:cs="Calibri"/>
        </w:rPr>
        <w:t>practices</w:t>
      </w:r>
      <w:r w:rsidRPr="08FE1522" w:rsidR="006460CB">
        <w:rPr>
          <w:rFonts w:cs="Calibri"/>
        </w:rPr>
        <w:t xml:space="preserve"> to support </w:t>
      </w:r>
      <w:r w:rsidRPr="08FE1522" w:rsidR="004E1C21">
        <w:rPr>
          <w:rFonts w:cs="Calibri"/>
        </w:rPr>
        <w:t xml:space="preserve">such </w:t>
      </w:r>
      <w:r w:rsidRPr="08FE1522" w:rsidR="006460CB">
        <w:rPr>
          <w:rFonts w:cs="Calibri"/>
        </w:rPr>
        <w:t xml:space="preserve">well-being, and </w:t>
      </w:r>
      <w:r w:rsidRPr="08FE1522" w:rsidR="000E0A75">
        <w:rPr>
          <w:rFonts w:cs="Calibri"/>
        </w:rPr>
        <w:t>describe</w:t>
      </w:r>
      <w:r w:rsidRPr="08FE1522" w:rsidR="00AF0CF7">
        <w:rPr>
          <w:rFonts w:cs="Calibri"/>
        </w:rPr>
        <w:t xml:space="preserve"> how programs measure </w:t>
      </w:r>
      <w:r w:rsidRPr="08FE1522" w:rsidR="004E1C21">
        <w:rPr>
          <w:rFonts w:cs="Calibri"/>
        </w:rPr>
        <w:t>it</w:t>
      </w:r>
      <w:r w:rsidRPr="08FE1522" w:rsidR="0083606E">
        <w:rPr>
          <w:rFonts w:cs="Calibri"/>
        </w:rPr>
        <w:t>.</w:t>
      </w:r>
      <w:r w:rsidRPr="08FE1522">
        <w:rPr>
          <w:rFonts w:cs="Calibri"/>
        </w:rPr>
        <w:t xml:space="preserve"> </w:t>
      </w:r>
    </w:p>
    <w:p w:rsidR="00020863" w:rsidP="67A67057" w14:paraId="3AF53270" w14:textId="77777777">
      <w:pPr>
        <w:pStyle w:val="ListParagraph"/>
        <w:spacing w:before="120" w:after="120" w:line="240" w:lineRule="auto"/>
        <w:rPr>
          <w:rFonts w:cs="Calibri"/>
        </w:rPr>
      </w:pPr>
    </w:p>
    <w:p w:rsidR="00B3652D" w:rsidP="08FE1522" w14:paraId="6B9CD6F0" w14:textId="048BC052">
      <w:pPr>
        <w:pStyle w:val="ListParagraph"/>
        <w:spacing w:before="120" w:after="120" w:line="240" w:lineRule="auto"/>
        <w:rPr>
          <w:rFonts w:cs="Calibri"/>
        </w:rPr>
      </w:pPr>
      <w:r w:rsidRPr="00016386">
        <w:rPr>
          <w:rFonts w:cs="Calibri"/>
        </w:rPr>
        <w:t xml:space="preserve">The </w:t>
      </w:r>
      <w:r w:rsidRPr="00016386" w:rsidR="00311475">
        <w:rPr>
          <w:rFonts w:cs="Calibri"/>
        </w:rPr>
        <w:t xml:space="preserve">information collection </w:t>
      </w:r>
      <w:r w:rsidRPr="00016386">
        <w:rPr>
          <w:rFonts w:cs="Calibri"/>
        </w:rPr>
        <w:t>will include</w:t>
      </w:r>
      <w:r w:rsidRPr="00016386" w:rsidR="000E0A75">
        <w:rPr>
          <w:rFonts w:cs="Calibri"/>
        </w:rPr>
        <w:t xml:space="preserve"> interviews and focus groups with program staff and</w:t>
      </w:r>
      <w:r w:rsidRPr="00016386" w:rsidR="00A37036">
        <w:rPr>
          <w:rFonts w:cs="Calibri"/>
        </w:rPr>
        <w:t xml:space="preserve"> parent</w:t>
      </w:r>
      <w:r w:rsidRPr="00016386" w:rsidR="000E0A75">
        <w:rPr>
          <w:rFonts w:cs="Calibri"/>
        </w:rPr>
        <w:t xml:space="preserve"> participants in</w:t>
      </w:r>
      <w:r w:rsidRPr="00016386" w:rsidR="002A575D">
        <w:rPr>
          <w:rFonts w:cs="Calibri"/>
        </w:rPr>
        <w:t xml:space="preserve"> six purposively selected sites</w:t>
      </w:r>
      <w:r w:rsidR="00940D6E">
        <w:rPr>
          <w:rFonts w:cs="Calibri"/>
        </w:rPr>
        <w:t xml:space="preserve"> to understand how the </w:t>
      </w:r>
      <w:r w:rsidR="003D0EC7">
        <w:rPr>
          <w:rFonts w:cs="Calibri"/>
        </w:rPr>
        <w:t>ECHV</w:t>
      </w:r>
      <w:r w:rsidR="00940D6E">
        <w:rPr>
          <w:rFonts w:cs="Calibri"/>
        </w:rPr>
        <w:t xml:space="preserve"> practitioners and families define family economic well-being and its components, how </w:t>
      </w:r>
      <w:r w:rsidR="00F23D67">
        <w:rPr>
          <w:rFonts w:cs="Calibri"/>
        </w:rPr>
        <w:t xml:space="preserve">local </w:t>
      </w:r>
      <w:r w:rsidR="003D0EC7">
        <w:rPr>
          <w:rFonts w:cs="Calibri"/>
        </w:rPr>
        <w:t>ECHV</w:t>
      </w:r>
      <w:r w:rsidR="00940D6E">
        <w:rPr>
          <w:rFonts w:cs="Calibri"/>
        </w:rPr>
        <w:t xml:space="preserve"> programs support family economic well-being, and how these programs measure family economic well-being. </w:t>
      </w:r>
      <w:r w:rsidR="00F23D67">
        <w:rPr>
          <w:rFonts w:cs="Calibri"/>
        </w:rPr>
        <w:t>The collected information will</w:t>
      </w:r>
      <w:r w:rsidRPr="00016386" w:rsidR="007E7EB0">
        <w:rPr>
          <w:rFonts w:cs="Calibri"/>
        </w:rPr>
        <w:t xml:space="preserve"> inform</w:t>
      </w:r>
      <w:r w:rsidR="00891481">
        <w:rPr>
          <w:rFonts w:cs="Calibri"/>
        </w:rPr>
        <w:t xml:space="preserve"> </w:t>
      </w:r>
      <w:r w:rsidRPr="00016386" w:rsidR="007E7EB0">
        <w:t>development of measures of economic well-being of the families that programs such as th</w:t>
      </w:r>
      <w:r w:rsidR="00F23D67">
        <w:t>ese</w:t>
      </w:r>
      <w:r w:rsidRPr="00016386" w:rsidR="007E7EB0">
        <w:t xml:space="preserve"> serve</w:t>
      </w:r>
      <w:r w:rsidR="00F23D67">
        <w:t xml:space="preserve"> and </w:t>
      </w:r>
      <w:r w:rsidR="00362BF1">
        <w:t xml:space="preserve">a </w:t>
      </w:r>
      <w:r w:rsidR="00F23D67">
        <w:t xml:space="preserve">formative </w:t>
      </w:r>
      <w:r w:rsidR="00362BF1">
        <w:t>rapid-cycle evaluation</w:t>
      </w:r>
      <w:r w:rsidR="004E5AFF">
        <w:t xml:space="preserve"> of identified supports and practices in other similar </w:t>
      </w:r>
      <w:r w:rsidR="00646196">
        <w:t xml:space="preserve">ECHV </w:t>
      </w:r>
      <w:r w:rsidR="004E5AFF">
        <w:t>programs</w:t>
      </w:r>
      <w:r w:rsidRPr="00016386" w:rsidR="007E7EB0">
        <w:t>.</w:t>
      </w:r>
      <w:r w:rsidR="000B6DEC">
        <w:t xml:space="preserve"> </w:t>
      </w:r>
      <w:r w:rsidRPr="00016386">
        <w:rPr>
          <w:rFonts w:cs="Calibri"/>
        </w:rPr>
        <w:t>We do not intend for this information to be used</w:t>
      </w:r>
      <w:r w:rsidRPr="00016386" w:rsidR="007E7EB0">
        <w:rPr>
          <w:rFonts w:cs="Calibri"/>
        </w:rPr>
        <w:t xml:space="preserve"> </w:t>
      </w:r>
      <w:r w:rsidRPr="00016386" w:rsidR="000B6DEC">
        <w:rPr>
          <w:rFonts w:cs="Calibri"/>
        </w:rPr>
        <w:t xml:space="preserve">directly </w:t>
      </w:r>
      <w:r w:rsidRPr="00016386">
        <w:rPr>
          <w:rFonts w:cs="Calibri"/>
        </w:rPr>
        <w:t>as the principal basis for public policy decisions.</w:t>
      </w:r>
    </w:p>
    <w:p w:rsidR="00624DDC" w:rsidP="00AE0B67" w14:paraId="7AEEB6BC" w14:textId="77777777">
      <w:pPr>
        <w:spacing w:before="120" w:after="120" w:line="240" w:lineRule="auto"/>
        <w:rPr>
          <w:b/>
        </w:rPr>
      </w:pPr>
    </w:p>
    <w:p w:rsidR="001A38FD" w14:paraId="32E54CC0" w14:textId="77777777">
      <w:r>
        <w:br w:type="page"/>
      </w:r>
    </w:p>
    <w:p w:rsidR="004328A4" w:rsidRPr="00AE0B67" w:rsidP="00757F50" w14:paraId="21BE1E5F" w14:textId="77777777">
      <w:pPr>
        <w:keepNext/>
        <w:spacing w:after="120" w:line="240" w:lineRule="auto"/>
        <w:ind w:left="720" w:hanging="720"/>
        <w:rPr>
          <w:b/>
        </w:rPr>
      </w:pPr>
      <w:r w:rsidRPr="00624DDC">
        <w:rPr>
          <w:b/>
        </w:rPr>
        <w:t>A1</w:t>
      </w:r>
      <w:r w:rsidRPr="00AE0B67">
        <w:rPr>
          <w:b/>
        </w:rPr>
        <w:t>.</w:t>
      </w:r>
      <w:r w:rsidRPr="00AE0B67">
        <w:rPr>
          <w:b/>
        </w:rPr>
        <w:tab/>
      </w:r>
      <w:r w:rsidRPr="004328A4" w:rsidR="004E5778">
        <w:rPr>
          <w:b/>
        </w:rPr>
        <w:t>Necessity for Collection</w:t>
      </w:r>
      <w:r w:rsidRPr="00AE0B67" w:rsidR="004E5778">
        <w:rPr>
          <w:b/>
        </w:rPr>
        <w:t xml:space="preserve"> </w:t>
      </w:r>
    </w:p>
    <w:p w:rsidR="004328A4" w:rsidP="00757F50" w14:paraId="159FD3F8" w14:textId="3ED79444">
      <w:pPr>
        <w:spacing w:after="0" w:line="240" w:lineRule="auto"/>
      </w:pPr>
      <w:r w:rsidRPr="00D82D70">
        <w:t>Family economic well-being—including financial, material, and socio-emotional resources—can be an important support for families’ long-term stability</w:t>
      </w:r>
      <w:r>
        <w:t>,</w:t>
      </w:r>
      <w:r w:rsidRPr="00D82D70">
        <w:t xml:space="preserve"> family functioning</w:t>
      </w:r>
      <w:r>
        <w:t>,</w:t>
      </w:r>
      <w:r w:rsidRPr="00D82D70">
        <w:t xml:space="preserve"> and children’s healthy development. </w:t>
      </w:r>
      <w:r w:rsidRPr="773A7E94">
        <w:rPr>
          <w:rFonts w:eastAsiaTheme="minorEastAsia"/>
        </w:rPr>
        <w:t xml:space="preserve">The evidence </w:t>
      </w:r>
      <w:r>
        <w:rPr>
          <w:rFonts w:eastAsiaTheme="minorEastAsia"/>
        </w:rPr>
        <w:t>that</w:t>
      </w:r>
      <w:r w:rsidRPr="773A7E94">
        <w:rPr>
          <w:rFonts w:eastAsiaTheme="minorEastAsia"/>
        </w:rPr>
        <w:t xml:space="preserve"> </w:t>
      </w:r>
      <w:r>
        <w:rPr>
          <w:rFonts w:eastAsiaTheme="minorEastAsia"/>
        </w:rPr>
        <w:t>home visiting</w:t>
      </w:r>
      <w:r w:rsidRPr="773A7E94">
        <w:rPr>
          <w:rFonts w:eastAsiaTheme="minorEastAsia"/>
        </w:rPr>
        <w:t xml:space="preserve"> </w:t>
      </w:r>
      <w:r>
        <w:rPr>
          <w:rFonts w:eastAsiaTheme="minorEastAsia"/>
        </w:rPr>
        <w:t xml:space="preserve">has favorable </w:t>
      </w:r>
      <w:r w:rsidRPr="773A7E94">
        <w:rPr>
          <w:rFonts w:eastAsiaTheme="minorEastAsia"/>
        </w:rPr>
        <w:t xml:space="preserve">effects on family economic well-being </w:t>
      </w:r>
      <w:r>
        <w:rPr>
          <w:rFonts w:eastAsiaTheme="minorEastAsia"/>
        </w:rPr>
        <w:t>is</w:t>
      </w:r>
      <w:r w:rsidRPr="773A7E94">
        <w:rPr>
          <w:rFonts w:eastAsiaTheme="minorEastAsia"/>
        </w:rPr>
        <w:t xml:space="preserve"> promising but limited</w:t>
      </w:r>
      <w:r w:rsidR="005010AD">
        <w:rPr>
          <w:rFonts w:eastAsiaTheme="minorEastAsia"/>
        </w:rPr>
        <w:t>.</w:t>
      </w:r>
      <w:r w:rsidRPr="00D82D70">
        <w:t xml:space="preserve"> Given the connections between economic stability, parenting, and caregiver well-being, a stronger focus on family economic well-being in home visiting could benefit families in many ways</w:t>
      </w:r>
      <w:r w:rsidR="00AB69FC">
        <w:t xml:space="preserve">. </w:t>
      </w:r>
      <w:r w:rsidR="00E06869">
        <w:t xml:space="preserve">The </w:t>
      </w:r>
      <w:r w:rsidRPr="08FE1522" w:rsidR="00E06869">
        <w:rPr>
          <w:rFonts w:cs="Calibri"/>
        </w:rPr>
        <w:t>Supporting Family Economic Well-Being through Home Visiting</w:t>
      </w:r>
      <w:r w:rsidR="00E06869">
        <w:rPr>
          <w:rFonts w:cs="Calibri"/>
        </w:rPr>
        <w:t xml:space="preserve"> (HomeEc)</w:t>
      </w:r>
      <w:r w:rsidR="00AB69FC">
        <w:t xml:space="preserve"> study aims to better understand the ways in which</w:t>
      </w:r>
      <w:r w:rsidR="006D2DE3">
        <w:t xml:space="preserve"> ECHV </w:t>
      </w:r>
      <w:r w:rsidR="00AB69FC">
        <w:t xml:space="preserve">programs can </w:t>
      </w:r>
      <w:r w:rsidR="005010AD">
        <w:t xml:space="preserve">and do </w:t>
      </w:r>
      <w:r w:rsidR="00AB69FC">
        <w:t>support family economic well-being.</w:t>
      </w:r>
      <w:r w:rsidR="00DA56A2">
        <w:t xml:space="preserve"> The HomeEc study is focused on local </w:t>
      </w:r>
      <w:r w:rsidR="006D2DE3">
        <w:t>ECHV</w:t>
      </w:r>
      <w:r w:rsidR="00DA56A2">
        <w:t xml:space="preserve"> programs, meaning programs that employ home visitors directly and who provide home visiting services to</w:t>
      </w:r>
      <w:r w:rsidR="00457BE3">
        <w:t xml:space="preserve"> expectant parents or</w:t>
      </w:r>
      <w:r w:rsidR="00DA56A2">
        <w:t xml:space="preserve"> families </w:t>
      </w:r>
      <w:r w:rsidR="00457BE3">
        <w:t xml:space="preserve">with young children </w:t>
      </w:r>
      <w:r w:rsidR="00DA56A2">
        <w:t xml:space="preserve">within </w:t>
      </w:r>
      <w:r w:rsidR="00457BE3">
        <w:t>their</w:t>
      </w:r>
      <w:r w:rsidR="00DA56A2">
        <w:t xml:space="preserve"> local area.</w:t>
      </w:r>
      <w:r w:rsidR="00AB69FC">
        <w:t xml:space="preserve"> </w:t>
      </w:r>
      <w:r w:rsidR="008751EA">
        <w:t xml:space="preserve">There are no legal or </w:t>
      </w:r>
      <w:r w:rsidRPr="00AE0B67" w:rsidR="008751EA">
        <w:rPr>
          <w:rFonts w:cstheme="minorHAnsi"/>
        </w:rPr>
        <w:t>administrative</w:t>
      </w:r>
      <w:r w:rsidR="008751EA">
        <w:t xml:space="preserve"> requirements that necessitate this collection. ACF is </w:t>
      </w:r>
      <w:r w:rsidR="00EF13C5">
        <w:t xml:space="preserve">funding the HomeEc study and </w:t>
      </w:r>
      <w:r w:rsidR="008751EA">
        <w:t>undertaking the collection at the discretion of the agency.</w:t>
      </w:r>
      <w:r w:rsidR="00020863">
        <w:t xml:space="preserve"> ACF has contracted with Mathematica to complete this study.</w:t>
      </w:r>
    </w:p>
    <w:p w:rsidR="00757F50" w:rsidP="00757F50" w14:paraId="2F938013" w14:textId="77777777">
      <w:pPr>
        <w:spacing w:after="0" w:line="240" w:lineRule="auto"/>
      </w:pPr>
    </w:p>
    <w:p w:rsidR="004328A4" w:rsidP="00757F50" w14:paraId="48A52E78" w14:textId="77777777">
      <w:pPr>
        <w:keepNext/>
        <w:spacing w:after="120" w:line="240" w:lineRule="auto"/>
        <w:ind w:left="720" w:hanging="720"/>
        <w:rPr>
          <w:b/>
        </w:rPr>
      </w:pPr>
      <w:r w:rsidRPr="00624DDC">
        <w:rPr>
          <w:b/>
        </w:rPr>
        <w:t>A2</w:t>
      </w:r>
      <w:r w:rsidRPr="00AE0B67">
        <w:rPr>
          <w:b/>
        </w:rPr>
        <w:t>.</w:t>
      </w:r>
      <w:r w:rsidRPr="00AE0B67">
        <w:rPr>
          <w:b/>
        </w:rPr>
        <w:tab/>
      </w:r>
      <w:r w:rsidRPr="004328A4" w:rsidR="00107D87">
        <w:rPr>
          <w:b/>
        </w:rPr>
        <w:t>Purpose</w:t>
      </w:r>
    </w:p>
    <w:p w:rsidR="004328A4" w:rsidRPr="004328A4" w:rsidP="00757F50" w14:paraId="03F49C12" w14:textId="77777777">
      <w:pPr>
        <w:spacing w:after="60" w:line="240" w:lineRule="auto"/>
        <w:rPr>
          <w:i/>
        </w:rPr>
      </w:pPr>
      <w:r w:rsidRPr="004328A4">
        <w:rPr>
          <w:i/>
        </w:rPr>
        <w:t xml:space="preserve">Purpose and Use </w:t>
      </w:r>
    </w:p>
    <w:p w:rsidR="001F6473" w:rsidP="00757F50" w14:paraId="73C5970C" w14:textId="6F5FC819">
      <w:pPr>
        <w:spacing w:line="240" w:lineRule="auto"/>
      </w:pPr>
      <w:r>
        <w:t>ECHV</w:t>
      </w:r>
      <w:r w:rsidR="005C4FDF">
        <w:t xml:space="preserve"> </w:t>
      </w:r>
      <w:r w:rsidR="00EF13C5">
        <w:t xml:space="preserve">programs provide </w:t>
      </w:r>
      <w:r w:rsidR="008D228C">
        <w:t>individualized support</w:t>
      </w:r>
      <w:r w:rsidR="00EF13C5">
        <w:t xml:space="preserve"> services to families</w:t>
      </w:r>
      <w:r w:rsidR="008D228C">
        <w:t xml:space="preserve"> </w:t>
      </w:r>
      <w:r w:rsidR="004D269A">
        <w:t xml:space="preserve">with expectant parents or young children </w:t>
      </w:r>
      <w:r w:rsidR="008D228C">
        <w:t xml:space="preserve">by pairing families up with a home visitor, who is typically a trained nurse, social worker, or early childhood </w:t>
      </w:r>
      <w:r w:rsidR="002E5764">
        <w:t>educator</w:t>
      </w:r>
      <w:r w:rsidR="008D228C">
        <w:t>. These home visitors provide support to parents and their children</w:t>
      </w:r>
      <w:r w:rsidR="002E5764">
        <w:t xml:space="preserve"> by assessing their needs</w:t>
      </w:r>
      <w:r w:rsidR="00275C3A">
        <w:t>;</w:t>
      </w:r>
      <w:r w:rsidR="002E5764">
        <w:t xml:space="preserve"> screen</w:t>
      </w:r>
      <w:r w:rsidR="000A2C09">
        <w:t>ing</w:t>
      </w:r>
      <w:r w:rsidR="002E5764">
        <w:t xml:space="preserve"> for areas of risk</w:t>
      </w:r>
      <w:r w:rsidR="00275C3A">
        <w:t>;</w:t>
      </w:r>
      <w:r w:rsidR="002E5764">
        <w:t xml:space="preserve"> </w:t>
      </w:r>
      <w:r w:rsidR="004D269A">
        <w:t xml:space="preserve">providing supportive services </w:t>
      </w:r>
      <w:r w:rsidR="004D269A">
        <w:rPr>
          <w:rFonts w:eastAsiaTheme="minorEastAsia"/>
        </w:rPr>
        <w:t>related to maternal, child, and family health and development</w:t>
      </w:r>
      <w:r w:rsidR="00275C3A">
        <w:rPr>
          <w:rFonts w:eastAsiaTheme="minorEastAsia"/>
        </w:rPr>
        <w:t>;</w:t>
      </w:r>
      <w:r w:rsidR="004D269A">
        <w:rPr>
          <w:rFonts w:eastAsiaTheme="minorEastAsia"/>
        </w:rPr>
        <w:t xml:space="preserve"> </w:t>
      </w:r>
      <w:r w:rsidR="002E5764">
        <w:t>and connect</w:t>
      </w:r>
      <w:r w:rsidR="000A2C09">
        <w:t>ing</w:t>
      </w:r>
      <w:r w:rsidR="002E5764">
        <w:t xml:space="preserve"> these families with services in the local communi</w:t>
      </w:r>
      <w:r w:rsidR="000A2C09">
        <w:t>ty</w:t>
      </w:r>
      <w:r w:rsidR="002E5764">
        <w:t xml:space="preserve">. </w:t>
      </w:r>
    </w:p>
    <w:p w:rsidR="00304978" w:rsidP="00757F50" w14:paraId="4EFCA692" w14:textId="2AA64B44">
      <w:pPr>
        <w:spacing w:line="240" w:lineRule="auto"/>
      </w:pPr>
      <w:r>
        <w:t>Local</w:t>
      </w:r>
      <w:r w:rsidR="002E5764">
        <w:t xml:space="preserve"> </w:t>
      </w:r>
      <w:r>
        <w:t>ECHV</w:t>
      </w:r>
      <w:r w:rsidR="002E5764">
        <w:t xml:space="preserve"> </w:t>
      </w:r>
      <w:r w:rsidR="00EF13C5">
        <w:t xml:space="preserve">programs </w:t>
      </w:r>
      <w:r w:rsidR="00EB709B">
        <w:t xml:space="preserve">often </w:t>
      </w:r>
      <w:r w:rsidR="00EF13C5">
        <w:t>receive their funding from a variety of sources</w:t>
      </w:r>
      <w:r w:rsidR="0066513E">
        <w:t xml:space="preserve"> at the local, state, </w:t>
      </w:r>
      <w:r w:rsidR="00242CCE">
        <w:t>or</w:t>
      </w:r>
      <w:r w:rsidR="0066513E">
        <w:t xml:space="preserve"> federal levels</w:t>
      </w:r>
      <w:r w:rsidR="00EF13C5">
        <w:t>.</w:t>
      </w:r>
      <w:r w:rsidR="0066513E">
        <w:t xml:space="preserve"> </w:t>
      </w:r>
      <w:r>
        <w:t>For example:</w:t>
      </w:r>
    </w:p>
    <w:p w:rsidR="00304978" w:rsidP="00757F50" w14:paraId="31ED4960" w14:textId="76DAD334">
      <w:pPr>
        <w:pStyle w:val="ListParagraph"/>
        <w:numPr>
          <w:ilvl w:val="0"/>
          <w:numId w:val="25"/>
        </w:numPr>
        <w:spacing w:line="240" w:lineRule="auto"/>
      </w:pPr>
      <w:r>
        <w:t xml:space="preserve">The Maternal, Infant and Early Childhood Home Visiting program (MIECHV) is the largest source of federal funding for </w:t>
      </w:r>
      <w:r w:rsidR="005C4FDF">
        <w:t>ECHV</w:t>
      </w:r>
      <w:r>
        <w:t xml:space="preserve"> programs. These funds are awarded to </w:t>
      </w:r>
      <w:r w:rsidR="00F40446">
        <w:t>states</w:t>
      </w:r>
      <w:r w:rsidR="001E022F">
        <w:t>, territories, or nonprofit organizations, which</w:t>
      </w:r>
      <w:r w:rsidR="00F40446">
        <w:t xml:space="preserve"> then </w:t>
      </w:r>
      <w:r w:rsidR="006428B9">
        <w:t>disburse the</w:t>
      </w:r>
      <w:r w:rsidR="00F40446">
        <w:t xml:space="preserve"> funds </w:t>
      </w:r>
      <w:r w:rsidR="006428B9">
        <w:t>to</w:t>
      </w:r>
      <w:r w:rsidR="00F40446">
        <w:t xml:space="preserve"> local </w:t>
      </w:r>
      <w:r w:rsidR="005C4FDF">
        <w:t>ECHV</w:t>
      </w:r>
      <w:r w:rsidR="00F40446">
        <w:t xml:space="preserve"> programs.</w:t>
      </w:r>
      <w:r w:rsidR="00C9658A">
        <w:t xml:space="preserve"> </w:t>
      </w:r>
    </w:p>
    <w:p w:rsidR="00304978" w:rsidP="00304978" w14:paraId="30E4624D" w14:textId="613A5F45">
      <w:pPr>
        <w:pStyle w:val="ListParagraph"/>
        <w:numPr>
          <w:ilvl w:val="0"/>
          <w:numId w:val="25"/>
        </w:numPr>
        <w:spacing w:line="240" w:lineRule="auto"/>
      </w:pPr>
      <w:r>
        <w:t xml:space="preserve">The Tribal MIECHV program provides federal funding for </w:t>
      </w:r>
      <w:r w:rsidR="00242CCE">
        <w:t>ECHV</w:t>
      </w:r>
      <w:r>
        <w:t xml:space="preserve"> to federally recognized Indian tribes, tribal organizations and urban Indian organizations; these funds are then disbursed to local </w:t>
      </w:r>
      <w:r w:rsidR="005C4FDF">
        <w:t>ECHV</w:t>
      </w:r>
      <w:r>
        <w:t xml:space="preserve"> programs serving American Indian and Alaska Native families. </w:t>
      </w:r>
    </w:p>
    <w:p w:rsidR="00304978" w:rsidP="00757F50" w14:paraId="02C62FE0" w14:textId="5860C3EC">
      <w:pPr>
        <w:pStyle w:val="ListParagraph"/>
        <w:numPr>
          <w:ilvl w:val="0"/>
          <w:numId w:val="25"/>
        </w:numPr>
        <w:spacing w:line="240" w:lineRule="auto"/>
      </w:pPr>
      <w:r>
        <w:t>Other federal funding sources may include Temporary Assistance to Needy Families, Social Services Block Grant, Community-Based Child Abuse Prevention Grants, Title IV-B (Social Security Act) and Title IV-E (Family First Prevention Services Act), the Title V Maternal and Child Health Block Grant Program, Medicaid, and the Child Care and Development Block Grant</w:t>
      </w:r>
      <w:r w:rsidR="005D32CE">
        <w:t>.</w:t>
      </w:r>
    </w:p>
    <w:p w:rsidR="00C9658A" w:rsidP="00757F50" w14:paraId="7AF146D4" w14:textId="48346876">
      <w:pPr>
        <w:pStyle w:val="ListParagraph"/>
        <w:numPr>
          <w:ilvl w:val="0"/>
          <w:numId w:val="25"/>
        </w:numPr>
        <w:spacing w:line="240" w:lineRule="auto"/>
      </w:pPr>
      <w:r>
        <w:t>L</w:t>
      </w:r>
      <w:r w:rsidR="006428B9">
        <w:t xml:space="preserve">ocal </w:t>
      </w:r>
      <w:r w:rsidR="005C4FDF">
        <w:t xml:space="preserve">ECHV </w:t>
      </w:r>
      <w:r w:rsidR="006428B9">
        <w:t xml:space="preserve">programs may receive funding </w:t>
      </w:r>
      <w:r>
        <w:t xml:space="preserve">at the state and local level from sources such as </w:t>
      </w:r>
      <w:r w:rsidR="00FB7E3A">
        <w:t>state tax revenue or private philanthropic entities.</w:t>
      </w:r>
      <w:r w:rsidR="00646196">
        <w:t xml:space="preserve"> This funding may supplement federal funding sources or be the primary funding source for some local ECHV programs</w:t>
      </w:r>
      <w:r w:rsidR="005D32CE">
        <w:t xml:space="preserve"> (Healthy Families America, 2020)</w:t>
      </w:r>
      <w:r w:rsidR="00646196">
        <w:t xml:space="preserve">. </w:t>
      </w:r>
    </w:p>
    <w:p w:rsidR="006D2DE3" w:rsidP="006D2DE3" w14:paraId="4088B4D1" w14:textId="72D47C2D">
      <w:pPr>
        <w:spacing w:line="240" w:lineRule="auto"/>
      </w:pPr>
      <w:r>
        <w:t>E</w:t>
      </w:r>
      <w:r w:rsidR="005C4FDF">
        <w:t>CHV</w:t>
      </w:r>
      <w:r>
        <w:t xml:space="preserve"> programs typically </w:t>
      </w:r>
      <w:r w:rsidR="005C4FDF">
        <w:t xml:space="preserve">serve </w:t>
      </w:r>
      <w:r>
        <w:t xml:space="preserve">families with children five years or younger or pregnant people. Some </w:t>
      </w:r>
      <w:r w:rsidR="005C4FDF">
        <w:t>ECHV</w:t>
      </w:r>
      <w:r>
        <w:t xml:space="preserve"> programs have additional eligibility criteria or focal characteristics. For example, programs that receive MIECHV funding aim to serve pregnant women and parents with children up to kindergarten entry who are living in at-risk communities. These at-risk communities could have concentrations of premature birth, low-birth weight infants, infant mortality or other indicators of at-risk pre-natal, maternal, newborn or child health; poverty; crime; domestic violence; high rates of high-school </w:t>
      </w:r>
      <w:r>
        <w:t>drop-outs</w:t>
      </w:r>
      <w:r>
        <w:t>; substance misuse; unemployment; or child maltreatment.</w:t>
      </w:r>
      <w:r w:rsidRPr="004C3859" w:rsidR="004C3859">
        <w:t xml:space="preserve"> </w:t>
      </w:r>
      <w:bookmarkStart w:id="0" w:name="_Hlk130393766"/>
      <w:r w:rsidR="004C3859">
        <w:t xml:space="preserve">Families who receive ECHV services vary </w:t>
      </w:r>
      <w:r w:rsidR="004C3859">
        <w:t>in their racial and ethnic background, their levels of family economic well-being, and their family structure</w:t>
      </w:r>
      <w:r w:rsidR="00802D72">
        <w:t xml:space="preserve"> (National Home Visiting Resource Center 2022)</w:t>
      </w:r>
      <w:r w:rsidR="004C3859">
        <w:t>.</w:t>
      </w:r>
      <w:bookmarkEnd w:id="0"/>
    </w:p>
    <w:p w:rsidR="00D55093" w:rsidP="00757F50" w14:paraId="5A141649" w14:textId="6E6D4416">
      <w:pPr>
        <w:spacing w:line="240" w:lineRule="auto"/>
      </w:pPr>
      <w:r w:rsidRPr="08FE1522">
        <w:t xml:space="preserve">The </w:t>
      </w:r>
      <w:r w:rsidRPr="08FE1522" w:rsidR="006858AC">
        <w:t>information collection</w:t>
      </w:r>
      <w:r w:rsidRPr="08FE1522">
        <w:t xml:space="preserve"> conducted as part of th</w:t>
      </w:r>
      <w:r w:rsidRPr="08FE1522" w:rsidR="00B00142">
        <w:t>e HomeEc</w:t>
      </w:r>
      <w:r w:rsidRPr="08FE1522">
        <w:t xml:space="preserve"> study </w:t>
      </w:r>
      <w:r w:rsidRPr="08FE1522" w:rsidR="000B2FAB">
        <w:t xml:space="preserve">has three complementary purposes. </w:t>
      </w:r>
      <w:r w:rsidRPr="08FE1522" w:rsidR="00865E39">
        <w:t xml:space="preserve">The first </w:t>
      </w:r>
      <w:r w:rsidRPr="08FE1522">
        <w:t>is to understand</w:t>
      </w:r>
      <w:r w:rsidRPr="08FE1522" w:rsidR="000B2FAB">
        <w:t xml:space="preserve"> </w:t>
      </w:r>
      <w:r w:rsidRPr="08FE1522" w:rsidR="008E060B">
        <w:t>how</w:t>
      </w:r>
      <w:r w:rsidRPr="08FE1522" w:rsidR="000B2FAB">
        <w:t xml:space="preserve"> </w:t>
      </w:r>
      <w:r w:rsidR="00E81136">
        <w:t>ECHV</w:t>
      </w:r>
      <w:r w:rsidRPr="08FE1522" w:rsidR="007B2F53">
        <w:t xml:space="preserve"> practitioners and </w:t>
      </w:r>
      <w:r w:rsidRPr="08FE1522" w:rsidR="000B2FAB">
        <w:t xml:space="preserve">families served by </w:t>
      </w:r>
      <w:r w:rsidR="00DA56A2">
        <w:t xml:space="preserve">local </w:t>
      </w:r>
      <w:r w:rsidR="00E81136">
        <w:t>ECHV</w:t>
      </w:r>
      <w:r w:rsidRPr="08FE1522" w:rsidR="000B2FAB">
        <w:t xml:space="preserve"> program</w:t>
      </w:r>
      <w:r w:rsidRPr="08FE1522" w:rsidR="008E060B">
        <w:t xml:space="preserve">s define </w:t>
      </w:r>
      <w:r w:rsidRPr="08FE1522" w:rsidR="00654D65">
        <w:t xml:space="preserve">family </w:t>
      </w:r>
      <w:r w:rsidRPr="08FE1522" w:rsidR="008E060B">
        <w:t>economic well-being</w:t>
      </w:r>
      <w:r w:rsidRPr="08FE1522" w:rsidR="000E0A75">
        <w:t xml:space="preserve"> and its key components</w:t>
      </w:r>
      <w:r w:rsidRPr="08FE1522" w:rsidR="008E060B">
        <w:t xml:space="preserve">. </w:t>
      </w:r>
      <w:r w:rsidRPr="08FE1522" w:rsidR="00DF5E21">
        <w:t xml:space="preserve">The second </w:t>
      </w:r>
      <w:r w:rsidRPr="08FE1522" w:rsidR="008E060B">
        <w:t xml:space="preserve">is </w:t>
      </w:r>
      <w:r w:rsidRPr="08FE1522" w:rsidR="000E0A75">
        <w:t xml:space="preserve">to </w:t>
      </w:r>
      <w:r w:rsidRPr="08FE1522" w:rsidR="008E060B">
        <w:t xml:space="preserve">describe </w:t>
      </w:r>
      <w:r w:rsidRPr="08FE1522" w:rsidR="008E6B5E">
        <w:t xml:space="preserve">how </w:t>
      </w:r>
      <w:r w:rsidRPr="08FE1522" w:rsidR="008E060B">
        <w:t xml:space="preserve">selected </w:t>
      </w:r>
      <w:r w:rsidR="00DA56A2">
        <w:t xml:space="preserve">local </w:t>
      </w:r>
      <w:r w:rsidR="00E81136">
        <w:t>ECHV</w:t>
      </w:r>
      <w:r w:rsidRPr="08FE1522" w:rsidR="008E6B5E">
        <w:t xml:space="preserve"> programs</w:t>
      </w:r>
      <w:r w:rsidRPr="08FE1522" w:rsidR="00AF0CF7">
        <w:t xml:space="preserve"> </w:t>
      </w:r>
      <w:r w:rsidRPr="08FE1522" w:rsidR="008E6B5E">
        <w:t xml:space="preserve">support family economic well-being in areas </w:t>
      </w:r>
      <w:r w:rsidRPr="08FE1522" w:rsidR="00444795">
        <w:t xml:space="preserve">such as </w:t>
      </w:r>
      <w:r w:rsidRPr="08FE1522" w:rsidR="008E6B5E">
        <w:t xml:space="preserve">stable employment, adequate income to meet short- and long-term needs, and coping with financial stress. </w:t>
      </w:r>
      <w:r w:rsidRPr="08FE1522" w:rsidR="008E060B">
        <w:t xml:space="preserve">These practices are often not captured in </w:t>
      </w:r>
      <w:r w:rsidRPr="08FE1522" w:rsidR="007B2F53">
        <w:t xml:space="preserve">the </w:t>
      </w:r>
      <w:r w:rsidRPr="08FE1522" w:rsidR="008E060B">
        <w:t>existing literature</w:t>
      </w:r>
      <w:r w:rsidRPr="08FE1522" w:rsidR="00AA3FEB">
        <w:t>.</w:t>
      </w:r>
      <w:r w:rsidRPr="08FE1522" w:rsidR="008E060B">
        <w:t xml:space="preserve"> Th</w:t>
      </w:r>
      <w:r w:rsidRPr="08FE1522" w:rsidR="00A828A6">
        <w:t>e th</w:t>
      </w:r>
      <w:r w:rsidRPr="08FE1522" w:rsidR="008E060B">
        <w:t>ird</w:t>
      </w:r>
      <w:r w:rsidRPr="08FE1522" w:rsidR="00A828A6">
        <w:t xml:space="preserve"> purpose of</w:t>
      </w:r>
      <w:r w:rsidRPr="08FE1522" w:rsidR="008E060B">
        <w:t xml:space="preserve"> </w:t>
      </w:r>
      <w:r w:rsidRPr="08FE1522" w:rsidR="007B2F53">
        <w:t>t</w:t>
      </w:r>
      <w:r w:rsidRPr="08FE1522" w:rsidR="008E6B5E">
        <w:t xml:space="preserve">he HomeEc study </w:t>
      </w:r>
      <w:r w:rsidRPr="08FE1522" w:rsidR="00A828A6">
        <w:t xml:space="preserve">is </w:t>
      </w:r>
      <w:r w:rsidRPr="00016386" w:rsidR="008E6B5E">
        <w:t xml:space="preserve">to understand how these </w:t>
      </w:r>
      <w:bookmarkStart w:id="1" w:name="_Hlk128495197"/>
      <w:r w:rsidR="00DA56A2">
        <w:t xml:space="preserve">local </w:t>
      </w:r>
      <w:r w:rsidR="00E81136">
        <w:t xml:space="preserve">ECHV </w:t>
      </w:r>
      <w:r w:rsidRPr="00016386" w:rsidR="008E6B5E">
        <w:t>programs</w:t>
      </w:r>
      <w:r w:rsidRPr="00016386">
        <w:t xml:space="preserve"> measure the economic well-being of the families they serve</w:t>
      </w:r>
      <w:r w:rsidRPr="00016386" w:rsidR="00105CF6">
        <w:t xml:space="preserve"> </w:t>
      </w:r>
      <w:bookmarkEnd w:id="1"/>
      <w:r w:rsidRPr="00016386" w:rsidR="00FC1D9C">
        <w:t xml:space="preserve">and </w:t>
      </w:r>
      <w:r w:rsidRPr="00016386" w:rsidR="00105CF6">
        <w:t xml:space="preserve">to understand how </w:t>
      </w:r>
      <w:r w:rsidRPr="00016386" w:rsidR="005A2CA0">
        <w:t xml:space="preserve">comfortable </w:t>
      </w:r>
      <w:r w:rsidRPr="00016386" w:rsidR="00105CF6">
        <w:t xml:space="preserve">families </w:t>
      </w:r>
      <w:r w:rsidRPr="00016386" w:rsidR="005A2CA0">
        <w:t>are</w:t>
      </w:r>
      <w:r w:rsidRPr="00016386" w:rsidR="00105CF6">
        <w:t xml:space="preserve"> providing information about their economic well-being to program staff</w:t>
      </w:r>
      <w:r w:rsidRPr="00016386" w:rsidR="008E6B5E">
        <w:t>.</w:t>
      </w:r>
      <w:r w:rsidRPr="08FE1522" w:rsidR="008E6B5E">
        <w:t xml:space="preserve"> </w:t>
      </w:r>
      <w:r w:rsidRPr="08FE1522" w:rsidR="00B845FF">
        <w:t xml:space="preserve">Given the relationship between economic stability, </w:t>
      </w:r>
      <w:r w:rsidRPr="08FE1522" w:rsidR="001A4ABA">
        <w:t>parental w</w:t>
      </w:r>
      <w:r w:rsidRPr="08FE1522" w:rsidR="00B845FF">
        <w:t>ell-being</w:t>
      </w:r>
      <w:r w:rsidRPr="08FE1522" w:rsidR="001D322A">
        <w:t>,</w:t>
      </w:r>
      <w:r w:rsidRPr="08FE1522" w:rsidR="001A4ABA">
        <w:t xml:space="preserve"> and parenting</w:t>
      </w:r>
      <w:r w:rsidRPr="08FE1522" w:rsidR="00B14622">
        <w:t xml:space="preserve"> (</w:t>
      </w:r>
      <w:r w:rsidRPr="08FE1522" w:rsidR="00104F68">
        <w:t>Evans and Garthwaite 2014; Gershoff et al. 2007</w:t>
      </w:r>
      <w:r w:rsidRPr="08FE1522" w:rsidR="00B14622">
        <w:t xml:space="preserve">; </w:t>
      </w:r>
      <w:r w:rsidRPr="08FE1522" w:rsidR="00104F68">
        <w:t>Lugo-Gil and Tamis-</w:t>
      </w:r>
      <w:r w:rsidRPr="08FE1522" w:rsidR="00104F68">
        <w:t>LeMonda</w:t>
      </w:r>
      <w:r w:rsidRPr="08FE1522" w:rsidR="00104F68">
        <w:t xml:space="preserve"> 2008)</w:t>
      </w:r>
      <w:r w:rsidRPr="08FE1522" w:rsidR="00B845FF">
        <w:t xml:space="preserve">, a stronger focus on family economic well-being in home visiting </w:t>
      </w:r>
      <w:r w:rsidR="00E81136">
        <w:t>might</w:t>
      </w:r>
      <w:r w:rsidRPr="08FE1522" w:rsidR="00E81136">
        <w:t xml:space="preserve"> </w:t>
      </w:r>
      <w:r w:rsidRPr="08FE1522" w:rsidR="00B845FF">
        <w:t xml:space="preserve">benefit families in </w:t>
      </w:r>
      <w:r w:rsidRPr="08FE1522" w:rsidR="00B845FF">
        <w:t>a number of</w:t>
      </w:r>
      <w:r w:rsidRPr="08FE1522" w:rsidR="00B845FF">
        <w:t xml:space="preserve"> ways.</w:t>
      </w:r>
    </w:p>
    <w:p w:rsidR="00826C1B" w:rsidRPr="0002282E" w:rsidP="00757F50" w14:paraId="4FA7CDC1" w14:textId="77777777">
      <w:pPr>
        <w:spacing w:after="120" w:line="240" w:lineRule="auto"/>
      </w:pPr>
      <w:r w:rsidRPr="008C27B0">
        <w:rPr>
          <w:rFonts w:cstheme="minorHAnsi"/>
        </w:rPr>
        <w:t>Mathematica will summarize the findings in a memo for ACF.</w:t>
      </w:r>
      <w:r>
        <w:rPr>
          <w:rFonts w:cstheme="minorHAnsi"/>
        </w:rPr>
        <w:t xml:space="preserve"> </w:t>
      </w:r>
      <w:r w:rsidR="00D55093">
        <w:rPr>
          <w:rFonts w:cstheme="minorHAnsi"/>
        </w:rPr>
        <w:t xml:space="preserve">The results will be used by the project to inform other </w:t>
      </w:r>
      <w:r w:rsidR="00020863">
        <w:rPr>
          <w:rFonts w:cstheme="minorHAnsi"/>
        </w:rPr>
        <w:t>activities</w:t>
      </w:r>
      <w:r>
        <w:rPr>
          <w:rFonts w:cstheme="minorHAnsi"/>
        </w:rPr>
        <w:t xml:space="preserve"> such as</w:t>
      </w:r>
      <w:r>
        <w:t>:</w:t>
      </w:r>
    </w:p>
    <w:p w:rsidR="00DA3973" w:rsidP="00826C1B" w14:paraId="738D39C8" w14:textId="77777777">
      <w:pPr>
        <w:pStyle w:val="ListParagraph"/>
        <w:numPr>
          <w:ilvl w:val="0"/>
          <w:numId w:val="19"/>
        </w:numPr>
        <w:spacing w:before="120" w:after="120" w:line="240" w:lineRule="auto"/>
        <w:contextualSpacing w:val="0"/>
        <w:rPr>
          <w:iCs/>
        </w:rPr>
      </w:pPr>
      <w:r>
        <w:rPr>
          <w:rFonts w:cstheme="minorHAnsi"/>
        </w:rPr>
        <w:t>Developing and revising a conceptual model, which ACF can use to illustrate the pathways for home visiting to support family economic well-being</w:t>
      </w:r>
      <w:r w:rsidRPr="0002282E">
        <w:rPr>
          <w:iCs/>
        </w:rPr>
        <w:t xml:space="preserve"> </w:t>
      </w:r>
    </w:p>
    <w:p w:rsidR="00826C1B" w:rsidRPr="00016386" w:rsidP="00826C1B" w14:paraId="0BEE913D" w14:textId="70D9F4BA">
      <w:pPr>
        <w:pStyle w:val="ListParagraph"/>
        <w:numPr>
          <w:ilvl w:val="0"/>
          <w:numId w:val="19"/>
        </w:numPr>
        <w:spacing w:before="120" w:after="120" w:line="240" w:lineRule="auto"/>
        <w:contextualSpacing w:val="0"/>
        <w:rPr>
          <w:iCs/>
        </w:rPr>
      </w:pPr>
      <w:r w:rsidRPr="0002282E">
        <w:rPr>
          <w:iCs/>
        </w:rPr>
        <w:t>Using rapid-</w:t>
      </w:r>
      <w:r w:rsidRPr="00016386">
        <w:rPr>
          <w:iCs/>
        </w:rPr>
        <w:t xml:space="preserve">cycle formative evaluation to assess the fit and feasibility of practices designed to improve family economic well-being in existing </w:t>
      </w:r>
      <w:r w:rsidR="00FF28C3">
        <w:rPr>
          <w:iCs/>
        </w:rPr>
        <w:t>ECHV</w:t>
      </w:r>
      <w:r w:rsidRPr="00016386">
        <w:rPr>
          <w:iCs/>
        </w:rPr>
        <w:t xml:space="preserve"> programs</w:t>
      </w:r>
    </w:p>
    <w:p w:rsidR="00826C1B" w:rsidRPr="00016386" w:rsidP="00826C1B" w14:paraId="5A469412" w14:textId="77777777">
      <w:pPr>
        <w:pStyle w:val="ListParagraph"/>
        <w:numPr>
          <w:ilvl w:val="0"/>
          <w:numId w:val="20"/>
        </w:numPr>
        <w:spacing w:before="120" w:after="120" w:line="240" w:lineRule="auto"/>
        <w:contextualSpacing w:val="0"/>
        <w:rPr>
          <w:iCs/>
        </w:rPr>
      </w:pPr>
      <w:r w:rsidRPr="00016386">
        <w:rPr>
          <w:iCs/>
        </w:rPr>
        <w:t>Identifying, adapting, or developing multifaceted measures of family economic well-being that can be used in home visiting research and/or practice</w:t>
      </w:r>
      <w:r w:rsidRPr="00016386" w:rsidR="006F1849">
        <w:rPr>
          <w:iCs/>
        </w:rPr>
        <w:t xml:space="preserve"> in the field</w:t>
      </w:r>
    </w:p>
    <w:p w:rsidR="00826C1B" w:rsidP="00826C1B" w14:paraId="60AB583E" w14:textId="77777777">
      <w:pPr>
        <w:pStyle w:val="ListParagraph"/>
        <w:numPr>
          <w:ilvl w:val="0"/>
          <w:numId w:val="20"/>
        </w:numPr>
        <w:spacing w:before="120" w:after="120" w:line="240" w:lineRule="auto"/>
        <w:contextualSpacing w:val="0"/>
        <w:rPr>
          <w:iCs/>
        </w:rPr>
      </w:pPr>
      <w:r w:rsidRPr="00016386">
        <w:rPr>
          <w:iCs/>
        </w:rPr>
        <w:t>Testing the reliability and validity of the measures with</w:t>
      </w:r>
      <w:r w:rsidRPr="0002282E">
        <w:rPr>
          <w:iCs/>
        </w:rPr>
        <w:t xml:space="preserve"> </w:t>
      </w:r>
      <w:r>
        <w:rPr>
          <w:iCs/>
        </w:rPr>
        <w:t xml:space="preserve">a </w:t>
      </w:r>
      <w:r w:rsidRPr="0002282E">
        <w:rPr>
          <w:iCs/>
        </w:rPr>
        <w:t>diverse</w:t>
      </w:r>
      <w:r>
        <w:rPr>
          <w:iCs/>
        </w:rPr>
        <w:t xml:space="preserve"> set of participants</w:t>
      </w:r>
    </w:p>
    <w:p w:rsidR="00826C1B" w:rsidRPr="0002282E" w:rsidP="00826C1B" w14:paraId="28653D55" w14:textId="38738ADC">
      <w:pPr>
        <w:pStyle w:val="ListParagraph"/>
        <w:numPr>
          <w:ilvl w:val="0"/>
          <w:numId w:val="20"/>
        </w:numPr>
        <w:spacing w:before="120" w:after="120" w:line="240" w:lineRule="auto"/>
        <w:contextualSpacing w:val="0"/>
        <w:rPr>
          <w:iCs/>
        </w:rPr>
      </w:pPr>
      <w:r w:rsidRPr="0002282E">
        <w:rPr>
          <w:iCs/>
        </w:rPr>
        <w:t xml:space="preserve">Conducting activities on special topics to </w:t>
      </w:r>
      <w:r w:rsidR="00021A79">
        <w:rPr>
          <w:iCs/>
        </w:rPr>
        <w:t>be determined</w:t>
      </w:r>
      <w:r w:rsidR="00EC2FF3">
        <w:rPr>
          <w:iCs/>
        </w:rPr>
        <w:t xml:space="preserve">, such as </w:t>
      </w:r>
      <w:r w:rsidR="00021A79">
        <w:rPr>
          <w:iCs/>
        </w:rPr>
        <w:t>further exploring</w:t>
      </w:r>
      <w:r w:rsidRPr="0002282E">
        <w:rPr>
          <w:iCs/>
        </w:rPr>
        <w:t xml:space="preserve"> work done in other tasks or pursu</w:t>
      </w:r>
      <w:r w:rsidR="00EC2FF3">
        <w:rPr>
          <w:iCs/>
        </w:rPr>
        <w:t>ing</w:t>
      </w:r>
      <w:r w:rsidRPr="0002282E">
        <w:rPr>
          <w:iCs/>
        </w:rPr>
        <w:t xml:space="preserve"> related topics</w:t>
      </w:r>
      <w:r w:rsidR="004E7FD3">
        <w:rPr>
          <w:iCs/>
        </w:rPr>
        <w:t xml:space="preserve"> that emerge as priorities for HHS and ACF.</w:t>
      </w:r>
    </w:p>
    <w:p w:rsidR="008C27B0" w:rsidP="00020863" w14:paraId="4EEEB48E" w14:textId="584F814D">
      <w:pPr>
        <w:spacing w:before="200" w:line="240" w:lineRule="auto"/>
        <w:rPr>
          <w:rFonts w:cstheme="minorHAnsi"/>
        </w:rPr>
      </w:pPr>
      <w:bookmarkStart w:id="2" w:name="_Hlk117166255"/>
      <w:r>
        <w:rPr>
          <w:rFonts w:cstheme="minorHAnsi"/>
        </w:rPr>
        <w:t xml:space="preserve">Note that any resulting activities that include information collection that is subject to the Paperwork Reduction Act will be submitted to the Office of Management and Budget (OMB) for review and approval. </w:t>
      </w:r>
    </w:p>
    <w:bookmarkEnd w:id="2"/>
    <w:p w:rsidR="00020863" w:rsidRPr="00FA5B1A" w:rsidP="00020863" w14:paraId="36917AC9" w14:textId="748E83C5">
      <w:pPr>
        <w:spacing w:before="200" w:line="240" w:lineRule="auto"/>
        <w:rPr>
          <w:rFonts w:cstheme="minorHAnsi"/>
          <w:b/>
        </w:rPr>
      </w:pPr>
      <w:r w:rsidRPr="00FA5B1A">
        <w:rPr>
          <w:rFonts w:cstheme="minorHAnsi"/>
        </w:rPr>
        <w:t xml:space="preserve">This proposed information collection </w:t>
      </w:r>
      <w:r w:rsidR="00625CE0">
        <w:rPr>
          <w:rFonts w:cstheme="minorHAnsi"/>
        </w:rPr>
        <w:t>is consistent with</w:t>
      </w:r>
      <w:r w:rsidRPr="00FA5B1A" w:rsidR="00625CE0">
        <w:rPr>
          <w:rFonts w:cstheme="minorHAnsi"/>
        </w:rPr>
        <w:t xml:space="preserve"> </w:t>
      </w:r>
      <w:r w:rsidRPr="00FA5B1A">
        <w:rPr>
          <w:rFonts w:cstheme="minorHAnsi"/>
        </w:rPr>
        <w:t>the following goals of ACF’s generic clearance for formative data collections for research and evaluation (0970-0356):</w:t>
      </w:r>
    </w:p>
    <w:p w:rsidR="00020863" w:rsidRPr="00FA5B1A" w:rsidP="00020863" w14:paraId="06204AA3" w14:textId="77777777">
      <w:pPr>
        <w:numPr>
          <w:ilvl w:val="0"/>
          <w:numId w:val="14"/>
        </w:numPr>
        <w:spacing w:after="0" w:line="240" w:lineRule="auto"/>
        <w:rPr>
          <w:rFonts w:cstheme="minorHAnsi"/>
        </w:rPr>
      </w:pPr>
      <w:r>
        <w:rPr>
          <w:rFonts w:cstheme="minorHAnsi"/>
        </w:rPr>
        <w:t>I</w:t>
      </w:r>
      <w:r w:rsidRPr="00FA5B1A">
        <w:rPr>
          <w:rFonts w:cstheme="minorHAnsi"/>
        </w:rPr>
        <w:t>nform the development of ACF research</w:t>
      </w:r>
    </w:p>
    <w:p w:rsidR="00020863" w:rsidRPr="00FA5B1A" w:rsidP="00020863" w14:paraId="1FDC0BFC" w14:textId="77777777">
      <w:pPr>
        <w:numPr>
          <w:ilvl w:val="0"/>
          <w:numId w:val="14"/>
        </w:numPr>
        <w:spacing w:after="0" w:line="240" w:lineRule="auto"/>
        <w:rPr>
          <w:rFonts w:cstheme="minorHAnsi"/>
        </w:rPr>
      </w:pPr>
      <w:r>
        <w:rPr>
          <w:rFonts w:cstheme="minorHAnsi"/>
        </w:rPr>
        <w:t>M</w:t>
      </w:r>
      <w:r w:rsidRPr="00FA5B1A">
        <w:rPr>
          <w:rFonts w:cstheme="minorHAnsi"/>
        </w:rPr>
        <w:t>aintain a research agenda that is rigorous and relevant</w:t>
      </w:r>
    </w:p>
    <w:p w:rsidR="00020863" w:rsidRPr="00FA5B1A" w:rsidP="00020863" w14:paraId="57C481EF" w14:textId="77777777">
      <w:pPr>
        <w:numPr>
          <w:ilvl w:val="0"/>
          <w:numId w:val="14"/>
        </w:numPr>
        <w:spacing w:after="0" w:line="240" w:lineRule="auto"/>
        <w:rPr>
          <w:rFonts w:cstheme="minorHAnsi"/>
        </w:rPr>
      </w:pPr>
      <w:r>
        <w:rPr>
          <w:rFonts w:cstheme="minorHAnsi"/>
        </w:rPr>
        <w:t>E</w:t>
      </w:r>
      <w:r w:rsidRPr="00FA5B1A">
        <w:rPr>
          <w:rFonts w:cstheme="minorHAnsi"/>
        </w:rPr>
        <w:t xml:space="preserve">nsure that research products are as current as possible </w:t>
      </w:r>
    </w:p>
    <w:p w:rsidR="00A36134" w:rsidP="00AE0B67" w14:paraId="28B9A14A" w14:textId="3CDF0A65">
      <w:pPr>
        <w:spacing w:before="200" w:line="240" w:lineRule="auto"/>
        <w:rPr>
          <w:rFonts w:cstheme="minorHAnsi"/>
        </w:rPr>
      </w:pPr>
      <w:r w:rsidRPr="00014EDC">
        <w:rPr>
          <w:rFonts w:cstheme="minorHAnsi"/>
        </w:rPr>
        <w:t>The information collected</w:t>
      </w:r>
      <w:r w:rsidR="0056375C">
        <w:rPr>
          <w:rFonts w:cstheme="minorHAnsi"/>
        </w:rPr>
        <w:t xml:space="preserve"> </w:t>
      </w:r>
      <w:r w:rsidR="00625CE0">
        <w:rPr>
          <w:rFonts w:cstheme="minorHAnsi"/>
        </w:rPr>
        <w:t xml:space="preserve">during this GenIC </w:t>
      </w:r>
      <w:r w:rsidRPr="00014EDC">
        <w:rPr>
          <w:rFonts w:cstheme="minorHAnsi"/>
        </w:rPr>
        <w:t xml:space="preserve">is meant to contribute to the body of knowledge on ACF programs. It is not intended to be used </w:t>
      </w:r>
      <w:r w:rsidR="00625CE0">
        <w:rPr>
          <w:rFonts w:cstheme="minorHAnsi"/>
        </w:rPr>
        <w:t xml:space="preserve">directly </w:t>
      </w:r>
      <w:r w:rsidRPr="00014EDC">
        <w:rPr>
          <w:rFonts w:cstheme="minorHAnsi"/>
        </w:rPr>
        <w:t>as the principal basis for a decision by a federal decision</w:t>
      </w:r>
      <w:r w:rsidR="004A4099">
        <w:rPr>
          <w:rFonts w:cstheme="minorHAnsi"/>
        </w:rPr>
        <w:t xml:space="preserve"> </w:t>
      </w:r>
      <w:r w:rsidRPr="00014EDC">
        <w:rPr>
          <w:rFonts w:cstheme="minorHAnsi"/>
        </w:rPr>
        <w:t>maker and</w:t>
      </w:r>
      <w:r w:rsidR="0056375C">
        <w:rPr>
          <w:rFonts w:cstheme="minorHAnsi"/>
        </w:rPr>
        <w:t xml:space="preserve"> </w:t>
      </w:r>
      <w:r w:rsidRPr="00014EDC">
        <w:rPr>
          <w:rFonts w:cstheme="minorHAnsi"/>
        </w:rPr>
        <w:t>is not expected to meet the threshold of influential or highly influential scientific information</w:t>
      </w:r>
      <w:r w:rsidRPr="00625CE0" w:rsidR="00625CE0">
        <w:rPr>
          <w:rFonts w:cstheme="minorHAnsi"/>
        </w:rPr>
        <w:t xml:space="preserve"> </w:t>
      </w:r>
      <w:r w:rsidR="00625CE0">
        <w:rPr>
          <w:rFonts w:cstheme="minorHAnsi"/>
        </w:rPr>
        <w:t>in its current form</w:t>
      </w:r>
      <w:r w:rsidRPr="00014EDC">
        <w:rPr>
          <w:rFonts w:cstheme="minorHAnsi"/>
        </w:rPr>
        <w:t xml:space="preserve">.  </w:t>
      </w:r>
    </w:p>
    <w:p w:rsidR="005F5D36" w:rsidRPr="00AE0B67" w:rsidP="00703626" w14:paraId="249009F6" w14:textId="6B2A5BFF">
      <w:pPr>
        <w:keepNext/>
        <w:spacing w:before="240" w:after="0" w:line="240" w:lineRule="auto"/>
        <w:ind w:left="720" w:hanging="720"/>
        <w:rPr>
          <w:b/>
        </w:rPr>
      </w:pPr>
      <w:r w:rsidRPr="00AE0B67">
        <w:rPr>
          <w:b/>
        </w:rPr>
        <w:t>Exhibit 1</w:t>
      </w:r>
      <w:r w:rsidRPr="00AE0B67" w:rsidR="00625CE0">
        <w:rPr>
          <w:b/>
        </w:rPr>
        <w:t xml:space="preserve">. </w:t>
      </w:r>
      <w:r w:rsidR="00625CE0">
        <w:rPr>
          <w:b/>
        </w:rPr>
        <w:t>This GenIC will contribute to, but not alone answer, these</w:t>
      </w:r>
      <w:r w:rsidR="0056375C">
        <w:rPr>
          <w:b/>
        </w:rPr>
        <w:t xml:space="preserve"> </w:t>
      </w:r>
      <w:r w:rsidR="00625CE0">
        <w:rPr>
          <w:b/>
        </w:rPr>
        <w:t>HomeEc</w:t>
      </w:r>
      <w:r w:rsidR="00625CE0">
        <w:rPr>
          <w:b/>
        </w:rPr>
        <w:t xml:space="preserve"> </w:t>
      </w:r>
      <w:r w:rsidRPr="00AE0B67" w:rsidR="00C20787">
        <w:rPr>
          <w:b/>
        </w:rPr>
        <w:t>research</w:t>
      </w:r>
      <w:r w:rsidR="0056375C">
        <w:rPr>
          <w:b/>
        </w:rPr>
        <w:t xml:space="preserve"> </w:t>
      </w:r>
      <w:r w:rsidRPr="00AE0B67">
        <w:rPr>
          <w:b/>
        </w:rPr>
        <w:t>questions</w:t>
      </w:r>
      <w:r w:rsidR="0056375C">
        <w:rPr>
          <w:b/>
        </w:rPr>
        <w:t xml:space="preserve">  </w:t>
      </w:r>
    </w:p>
    <w:p w:rsidR="003B6BB5" w:rsidP="00DF1291" w14:paraId="44DAD757" w14:textId="77777777">
      <w:pPr>
        <w:spacing w:after="0" w:line="240" w:lineRule="auto"/>
        <w:rPr>
          <w:iCs/>
        </w:rPr>
      </w:pPr>
    </w:p>
    <w:tbl>
      <w:tblPr>
        <w:tblStyle w:val="MathUBaseTable"/>
        <w:tblpPr w:leftFromText="187" w:rightFromText="187" w:topFromText="115" w:bottomFromText="144" w:vertAnchor="text" w:horzAnchor="margin" w:tblpY="54"/>
        <w:tblOverlap w:val="never"/>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
      <w:tblGrid>
        <w:gridCol w:w="9350"/>
      </w:tblGrid>
      <w:tr w14:paraId="222EFDD4" w14:textId="77777777" w:rsidTr="00021584">
        <w:tblPrEx>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Ex>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BB5" w:rsidRPr="008D5D37" w:rsidP="00F07E4D" w14:paraId="1A840E8F" w14:textId="77777777">
            <w:pPr>
              <w:pStyle w:val="SidebarListNumber"/>
              <w:numPr>
                <w:ilvl w:val="0"/>
                <w:numId w:val="17"/>
              </w:numPr>
              <w:rPr>
                <w:rFonts w:ascii="Calibri" w:hAnsi="Calibri"/>
                <w:color w:val="auto"/>
              </w:rPr>
            </w:pPr>
            <w:r>
              <w:rPr>
                <w:rFonts w:ascii="Calibri" w:hAnsi="Calibri"/>
                <w:color w:val="auto"/>
              </w:rPr>
              <w:t>What are the components of economic well-being</w:t>
            </w:r>
            <w:r w:rsidRPr="008D5D37">
              <w:rPr>
                <w:rFonts w:ascii="Calibri" w:hAnsi="Calibri"/>
                <w:color w:val="auto"/>
              </w:rPr>
              <w:t xml:space="preserve">? </w:t>
            </w:r>
          </w:p>
          <w:p w:rsidR="003B6BB5" w:rsidRPr="008D5D37" w:rsidP="00F07E4D" w14:paraId="572F3148" w14:textId="77777777">
            <w:pPr>
              <w:pStyle w:val="SidebarListNumber"/>
              <w:numPr>
                <w:ilvl w:val="1"/>
                <w:numId w:val="17"/>
              </w:numPr>
              <w:ind w:left="1067"/>
              <w:rPr>
                <w:rFonts w:ascii="Calibri" w:hAnsi="Calibri"/>
                <w:color w:val="auto"/>
              </w:rPr>
            </w:pPr>
            <w:r>
              <w:rPr>
                <w:rFonts w:ascii="Calibri" w:hAnsi="Calibri"/>
                <w:color w:val="auto"/>
              </w:rPr>
              <w:t>What does family economic well-being look like</w:t>
            </w:r>
            <w:r w:rsidRPr="008D5D37">
              <w:rPr>
                <w:rFonts w:ascii="Calibri" w:hAnsi="Calibri"/>
                <w:color w:val="auto"/>
              </w:rPr>
              <w:t xml:space="preserve">? </w:t>
            </w:r>
          </w:p>
          <w:p w:rsidR="003B6BB5" w:rsidP="00F07E4D" w14:paraId="48826CE0" w14:textId="3FC01148">
            <w:pPr>
              <w:pStyle w:val="SidebarListNumber"/>
              <w:numPr>
                <w:ilvl w:val="1"/>
                <w:numId w:val="17"/>
              </w:numPr>
              <w:ind w:left="1067"/>
              <w:rPr>
                <w:rFonts w:ascii="Calibri" w:hAnsi="Calibri"/>
                <w:color w:val="auto"/>
              </w:rPr>
            </w:pPr>
            <w:r>
              <w:rPr>
                <w:rFonts w:ascii="Calibri" w:hAnsi="Calibri"/>
                <w:color w:val="auto"/>
              </w:rPr>
              <w:t>What economic strengths and challenges do the families served</w:t>
            </w:r>
            <w:r w:rsidR="00661B07">
              <w:rPr>
                <w:rFonts w:ascii="Calibri" w:hAnsi="Calibri"/>
                <w:color w:val="auto"/>
              </w:rPr>
              <w:t xml:space="preserve"> by </w:t>
            </w:r>
            <w:r w:rsidR="00362BF1">
              <w:rPr>
                <w:rFonts w:ascii="Calibri" w:hAnsi="Calibri"/>
                <w:color w:val="auto"/>
              </w:rPr>
              <w:t>local ECHV</w:t>
            </w:r>
            <w:r w:rsidR="00661B07">
              <w:rPr>
                <w:rFonts w:ascii="Calibri" w:hAnsi="Calibri"/>
                <w:color w:val="auto"/>
              </w:rPr>
              <w:t xml:space="preserve"> programs</w:t>
            </w:r>
            <w:r>
              <w:rPr>
                <w:rFonts w:ascii="Calibri" w:hAnsi="Calibri"/>
                <w:color w:val="auto"/>
              </w:rPr>
              <w:t xml:space="preserve"> often face</w:t>
            </w:r>
            <w:r w:rsidRPr="008D5D37">
              <w:rPr>
                <w:rFonts w:ascii="Calibri" w:hAnsi="Calibri"/>
                <w:color w:val="auto"/>
              </w:rPr>
              <w:t>?</w:t>
            </w:r>
          </w:p>
          <w:p w:rsidR="003B6BB5" w:rsidP="00F07E4D" w14:paraId="4E979F6C" w14:textId="77777777">
            <w:pPr>
              <w:pStyle w:val="SidebarListNumber"/>
              <w:numPr>
                <w:ilvl w:val="1"/>
                <w:numId w:val="17"/>
              </w:numPr>
              <w:ind w:left="1067"/>
              <w:rPr>
                <w:rFonts w:ascii="Calibri" w:hAnsi="Calibri"/>
                <w:color w:val="auto"/>
              </w:rPr>
            </w:pPr>
            <w:r>
              <w:rPr>
                <w:rFonts w:ascii="Calibri" w:hAnsi="Calibri"/>
                <w:color w:val="auto"/>
              </w:rPr>
              <w:t>What economic well-being goals do families often have?</w:t>
            </w:r>
          </w:p>
          <w:p w:rsidR="003B6BB5" w:rsidRPr="008D5D37" w:rsidP="00F07E4D" w14:paraId="29CBC81B" w14:textId="77777777">
            <w:pPr>
              <w:pStyle w:val="SidebarListNumber"/>
              <w:numPr>
                <w:ilvl w:val="1"/>
                <w:numId w:val="17"/>
              </w:numPr>
              <w:ind w:left="1067"/>
              <w:rPr>
                <w:rFonts w:ascii="Calibri" w:hAnsi="Calibri"/>
                <w:color w:val="auto"/>
              </w:rPr>
            </w:pPr>
            <w:r>
              <w:rPr>
                <w:rFonts w:ascii="Calibri" w:hAnsi="Calibri"/>
                <w:color w:val="auto"/>
              </w:rPr>
              <w:t>How does a family’s economic well-being influence their parenting behaviors and health?</w:t>
            </w:r>
          </w:p>
          <w:p w:rsidR="003B6BB5" w:rsidRPr="008D5D37" w:rsidP="00F07E4D" w14:paraId="09C86D6F" w14:textId="3A75FF9C">
            <w:pPr>
              <w:pStyle w:val="SidebarListNumber"/>
              <w:numPr>
                <w:ilvl w:val="0"/>
                <w:numId w:val="17"/>
              </w:numPr>
              <w:rPr>
                <w:rFonts w:ascii="Calibri" w:hAnsi="Calibri"/>
                <w:color w:val="auto"/>
              </w:rPr>
            </w:pPr>
            <w:r>
              <w:rPr>
                <w:rFonts w:ascii="Calibri" w:hAnsi="Calibri"/>
                <w:color w:val="auto"/>
              </w:rPr>
              <w:t>What supports can a</w:t>
            </w:r>
            <w:r w:rsidR="00362BF1">
              <w:rPr>
                <w:rFonts w:ascii="Calibri" w:hAnsi="Calibri"/>
                <w:color w:val="auto"/>
              </w:rPr>
              <w:t xml:space="preserve"> local ECHV</w:t>
            </w:r>
            <w:r>
              <w:rPr>
                <w:rFonts w:ascii="Calibri" w:hAnsi="Calibri"/>
                <w:color w:val="auto"/>
              </w:rPr>
              <w:t xml:space="preserve"> program provide to help families achieve economic well-being</w:t>
            </w:r>
            <w:r w:rsidRPr="008D5D37">
              <w:rPr>
                <w:rFonts w:ascii="Calibri" w:hAnsi="Calibri"/>
                <w:color w:val="auto"/>
              </w:rPr>
              <w:t>?</w:t>
            </w:r>
          </w:p>
          <w:p w:rsidR="003B6BB5" w:rsidRPr="008D5D37" w:rsidP="00F07E4D" w14:paraId="691AE296" w14:textId="4663C83B">
            <w:pPr>
              <w:pStyle w:val="SidebarListNumber"/>
              <w:numPr>
                <w:ilvl w:val="1"/>
                <w:numId w:val="17"/>
              </w:numPr>
              <w:ind w:left="1067"/>
              <w:rPr>
                <w:rFonts w:ascii="Calibri" w:hAnsi="Calibri"/>
                <w:color w:val="auto"/>
              </w:rPr>
            </w:pPr>
            <w:r>
              <w:rPr>
                <w:rFonts w:ascii="Calibri" w:hAnsi="Calibri"/>
                <w:color w:val="auto"/>
              </w:rPr>
              <w:t xml:space="preserve">What role does a </w:t>
            </w:r>
            <w:r w:rsidR="00362BF1">
              <w:rPr>
                <w:rFonts w:ascii="Calibri" w:hAnsi="Calibri"/>
                <w:color w:val="auto"/>
              </w:rPr>
              <w:t xml:space="preserve">local ECHV </w:t>
            </w:r>
            <w:r>
              <w:rPr>
                <w:rFonts w:ascii="Calibri" w:hAnsi="Calibri"/>
                <w:color w:val="auto"/>
              </w:rPr>
              <w:t>program play in supporting a family’s economic well-being</w:t>
            </w:r>
            <w:r w:rsidRPr="008D5D37">
              <w:rPr>
                <w:rFonts w:ascii="Calibri" w:hAnsi="Calibri"/>
                <w:color w:val="auto"/>
              </w:rPr>
              <w:t>?</w:t>
            </w:r>
          </w:p>
          <w:p w:rsidR="003B6BB5" w:rsidP="00F07E4D" w14:paraId="47737539" w14:textId="77777777">
            <w:pPr>
              <w:pStyle w:val="SidebarListNumber"/>
              <w:numPr>
                <w:ilvl w:val="1"/>
                <w:numId w:val="17"/>
              </w:numPr>
              <w:ind w:left="1067"/>
              <w:rPr>
                <w:rFonts w:ascii="Calibri" w:hAnsi="Calibri"/>
                <w:color w:val="auto"/>
              </w:rPr>
            </w:pPr>
            <w:r>
              <w:rPr>
                <w:rFonts w:ascii="Calibri" w:hAnsi="Calibri"/>
                <w:color w:val="auto"/>
              </w:rPr>
              <w:t>To what resources do home visitors connect families to support their economic well-being? What barriers do families encounter</w:t>
            </w:r>
            <w:r w:rsidRPr="008D5D37">
              <w:rPr>
                <w:rFonts w:ascii="Calibri" w:hAnsi="Calibri"/>
                <w:color w:val="auto"/>
              </w:rPr>
              <w:t>?</w:t>
            </w:r>
          </w:p>
          <w:p w:rsidR="003B6BB5" w:rsidP="00F07E4D" w14:paraId="3364F8A7" w14:textId="77777777">
            <w:pPr>
              <w:pStyle w:val="SidebarListNumber"/>
              <w:numPr>
                <w:ilvl w:val="1"/>
                <w:numId w:val="17"/>
              </w:numPr>
              <w:ind w:left="1067"/>
              <w:rPr>
                <w:rFonts w:ascii="Calibri" w:hAnsi="Calibri"/>
                <w:color w:val="auto"/>
              </w:rPr>
            </w:pPr>
            <w:r>
              <w:rPr>
                <w:rFonts w:ascii="Calibri" w:hAnsi="Calibri"/>
                <w:color w:val="auto"/>
              </w:rPr>
              <w:t xml:space="preserve">What types of training and </w:t>
            </w:r>
            <w:r w:rsidRPr="004B2387">
              <w:rPr>
                <w:rFonts w:ascii="Calibri" w:hAnsi="Calibri"/>
                <w:color w:val="auto"/>
              </w:rPr>
              <w:t>supports</w:t>
            </w:r>
            <w:r>
              <w:rPr>
                <w:rFonts w:ascii="Calibri" w:hAnsi="Calibri"/>
                <w:color w:val="auto"/>
              </w:rPr>
              <w:t xml:space="preserve"> are available to </w:t>
            </w:r>
            <w:r w:rsidRPr="004B2387">
              <w:rPr>
                <w:rFonts w:ascii="Calibri" w:hAnsi="Calibri"/>
                <w:color w:val="auto"/>
              </w:rPr>
              <w:t>support</w:t>
            </w:r>
            <w:r>
              <w:rPr>
                <w:rFonts w:ascii="Calibri" w:hAnsi="Calibri"/>
                <w:color w:val="auto"/>
              </w:rPr>
              <w:t xml:space="preserve"> program staff as they help families achieve economic well-being?</w:t>
            </w:r>
          </w:p>
          <w:p w:rsidR="003B6BB5" w:rsidP="00F07E4D" w14:paraId="43A3FC8E" w14:textId="77777777">
            <w:pPr>
              <w:pStyle w:val="SidebarListNumber"/>
              <w:numPr>
                <w:ilvl w:val="1"/>
                <w:numId w:val="17"/>
              </w:numPr>
              <w:ind w:left="1067"/>
              <w:rPr>
                <w:rFonts w:ascii="Calibri" w:hAnsi="Calibri"/>
                <w:color w:val="auto"/>
              </w:rPr>
            </w:pPr>
            <w:r>
              <w:rPr>
                <w:rFonts w:ascii="Calibri" w:hAnsi="Calibri"/>
                <w:color w:val="auto"/>
              </w:rPr>
              <w:t>What facilitators and challenges do home visitors encounter in supporting a family’s economic well-being?</w:t>
            </w:r>
          </w:p>
          <w:p w:rsidR="003B6BB5" w:rsidP="00F07E4D" w14:paraId="051C9DEB" w14:textId="77777777">
            <w:pPr>
              <w:pStyle w:val="SidebarListNumber"/>
              <w:numPr>
                <w:ilvl w:val="1"/>
                <w:numId w:val="17"/>
              </w:numPr>
              <w:ind w:left="1067"/>
              <w:rPr>
                <w:rFonts w:ascii="Calibri" w:hAnsi="Calibri"/>
                <w:color w:val="auto"/>
              </w:rPr>
            </w:pPr>
            <w:r>
              <w:rPr>
                <w:rFonts w:ascii="Calibri" w:hAnsi="Calibri"/>
                <w:color w:val="auto"/>
              </w:rPr>
              <w:t>What are the most important supports and activities a program can provide to support a family’s economic well-being? What are the challenges to providing those supports?</w:t>
            </w:r>
          </w:p>
          <w:p w:rsidR="003B6BB5" w:rsidP="00F07E4D" w14:paraId="35E2FB0A" w14:textId="7D054770">
            <w:pPr>
              <w:pStyle w:val="SidebarListNumber"/>
              <w:numPr>
                <w:ilvl w:val="1"/>
                <w:numId w:val="17"/>
              </w:numPr>
              <w:ind w:left="1067"/>
              <w:rPr>
                <w:rFonts w:ascii="Calibri" w:hAnsi="Calibri"/>
                <w:color w:val="auto"/>
              </w:rPr>
            </w:pPr>
            <w:r>
              <w:rPr>
                <w:rFonts w:ascii="Calibri" w:hAnsi="Calibri"/>
                <w:color w:val="auto"/>
              </w:rPr>
              <w:t xml:space="preserve">How often do families drop out from </w:t>
            </w:r>
            <w:r w:rsidR="00362BF1">
              <w:rPr>
                <w:rFonts w:ascii="Calibri" w:hAnsi="Calibri"/>
                <w:color w:val="auto"/>
              </w:rPr>
              <w:t xml:space="preserve">local ECHV </w:t>
            </w:r>
            <w:r>
              <w:rPr>
                <w:rFonts w:ascii="Calibri" w:hAnsi="Calibri"/>
                <w:color w:val="auto"/>
              </w:rPr>
              <w:t>programs after achieving their economic well-being goals?</w:t>
            </w:r>
          </w:p>
          <w:p w:rsidR="003B6BB5" w:rsidRPr="008D5D37" w:rsidP="00A743AD" w14:paraId="5FC59116" w14:textId="77777777">
            <w:pPr>
              <w:pStyle w:val="SidebarListNumber"/>
              <w:numPr>
                <w:ilvl w:val="1"/>
                <w:numId w:val="17"/>
              </w:numPr>
              <w:ind w:left="1066"/>
              <w:rPr>
                <w:rFonts w:ascii="Calibri" w:hAnsi="Calibri"/>
                <w:color w:val="auto"/>
              </w:rPr>
            </w:pPr>
            <w:r>
              <w:rPr>
                <w:rFonts w:ascii="Calibri" w:hAnsi="Calibri"/>
                <w:color w:val="auto"/>
              </w:rPr>
              <w:t>What strategies have worked to retain families after achieving their economic well-being goals?</w:t>
            </w:r>
          </w:p>
          <w:p w:rsidR="003B6BB5" w:rsidRPr="00D653AC" w:rsidP="00F07E4D" w14:paraId="395BECC2" w14:textId="77777777">
            <w:pPr>
              <w:pStyle w:val="SidebarListNumber"/>
              <w:numPr>
                <w:ilvl w:val="0"/>
                <w:numId w:val="17"/>
              </w:numPr>
              <w:rPr>
                <w:color w:val="auto"/>
              </w:rPr>
            </w:pPr>
            <w:r>
              <w:rPr>
                <w:rFonts w:ascii="Calibri" w:hAnsi="Calibri"/>
                <w:color w:val="auto"/>
              </w:rPr>
              <w:t>How is economic well-being measured</w:t>
            </w:r>
            <w:r w:rsidRPr="008D5D37">
              <w:rPr>
                <w:rFonts w:ascii="Calibri" w:hAnsi="Calibri"/>
                <w:color w:val="auto"/>
              </w:rPr>
              <w:t>?</w:t>
            </w:r>
          </w:p>
          <w:p w:rsidR="003B6BB5" w:rsidRPr="009F144B" w:rsidP="00A743AD" w14:paraId="16969A4F" w14:textId="4E9282E1">
            <w:pPr>
              <w:pStyle w:val="SidebarListNumber"/>
              <w:numPr>
                <w:ilvl w:val="1"/>
                <w:numId w:val="17"/>
              </w:numPr>
              <w:ind w:left="1066"/>
              <w:rPr>
                <w:rFonts w:asciiTheme="minorHAnsi" w:hAnsiTheme="minorHAnsi" w:cstheme="minorHAnsi"/>
                <w:color w:val="auto"/>
              </w:rPr>
            </w:pPr>
            <w:r>
              <w:rPr>
                <w:rFonts w:ascii="Calibri" w:hAnsi="Calibri"/>
                <w:color w:val="auto"/>
              </w:rPr>
              <w:t xml:space="preserve">What measures of family economic well-being do </w:t>
            </w:r>
            <w:r w:rsidR="00362BF1">
              <w:rPr>
                <w:rFonts w:ascii="Calibri" w:hAnsi="Calibri"/>
                <w:color w:val="auto"/>
              </w:rPr>
              <w:t xml:space="preserve">local ECHV </w:t>
            </w:r>
            <w:r>
              <w:rPr>
                <w:rFonts w:ascii="Calibri" w:hAnsi="Calibri"/>
                <w:color w:val="auto"/>
              </w:rPr>
              <w:t>programs collect?</w:t>
            </w:r>
          </w:p>
          <w:p w:rsidR="003B6BB5" w:rsidRPr="009F144B" w:rsidP="00A743AD" w14:paraId="2AAA7548" w14:textId="65B3E0DB">
            <w:pPr>
              <w:pStyle w:val="SidebarListNumber"/>
              <w:numPr>
                <w:ilvl w:val="1"/>
                <w:numId w:val="17"/>
              </w:numPr>
              <w:ind w:left="1066"/>
              <w:rPr>
                <w:rFonts w:asciiTheme="minorHAnsi" w:hAnsiTheme="minorHAnsi" w:cstheme="minorHAnsi"/>
                <w:color w:val="auto"/>
              </w:rPr>
            </w:pPr>
            <w:r w:rsidRPr="009F144B">
              <w:rPr>
                <w:rFonts w:asciiTheme="minorHAnsi" w:hAnsiTheme="minorHAnsi" w:cstheme="minorHAnsi"/>
                <w:color w:val="auto"/>
              </w:rPr>
              <w:t xml:space="preserve">How do </w:t>
            </w:r>
            <w:r w:rsidR="00362BF1">
              <w:rPr>
                <w:rFonts w:ascii="Calibri" w:hAnsi="Calibri"/>
                <w:color w:val="auto"/>
              </w:rPr>
              <w:t xml:space="preserve">local ECHV </w:t>
            </w:r>
            <w:r w:rsidRPr="009F144B">
              <w:rPr>
                <w:rFonts w:asciiTheme="minorHAnsi" w:hAnsiTheme="minorHAnsi" w:cstheme="minorHAnsi"/>
                <w:color w:val="auto"/>
              </w:rPr>
              <w:t>programs use data from those measures?</w:t>
            </w:r>
          </w:p>
          <w:p w:rsidR="003B6BB5" w:rsidP="00A743AD" w14:paraId="686227EA" w14:textId="77777777">
            <w:pPr>
              <w:pStyle w:val="SidebarListNumber"/>
              <w:numPr>
                <w:ilvl w:val="1"/>
                <w:numId w:val="17"/>
              </w:numPr>
              <w:ind w:left="1066"/>
              <w:rPr>
                <w:rFonts w:asciiTheme="minorHAnsi" w:hAnsiTheme="minorHAnsi" w:cstheme="minorHAnsi"/>
                <w:color w:val="auto"/>
              </w:rPr>
            </w:pPr>
            <w:r w:rsidRPr="009F144B">
              <w:rPr>
                <w:rFonts w:asciiTheme="minorHAnsi" w:hAnsiTheme="minorHAnsi" w:cstheme="minorHAnsi"/>
                <w:color w:val="auto"/>
              </w:rPr>
              <w:t>What else would programs</w:t>
            </w:r>
            <w:r>
              <w:rPr>
                <w:rFonts w:asciiTheme="minorHAnsi" w:hAnsiTheme="minorHAnsi" w:cstheme="minorHAnsi"/>
                <w:color w:val="auto"/>
              </w:rPr>
              <w:t xml:space="preserve"> like to know about families’ economic well-being? How, if at all, would programs use information from such a measure?</w:t>
            </w:r>
            <w:r w:rsidRPr="009F144B">
              <w:rPr>
                <w:rFonts w:asciiTheme="minorHAnsi" w:hAnsiTheme="minorHAnsi" w:cstheme="minorHAnsi"/>
                <w:color w:val="auto"/>
              </w:rPr>
              <w:t xml:space="preserve"> </w:t>
            </w:r>
          </w:p>
          <w:p w:rsidR="00570D62" w:rsidRPr="009F144B" w:rsidP="00A743AD" w14:paraId="18A23744" w14:textId="40C619B6">
            <w:pPr>
              <w:pStyle w:val="SidebarListNumber"/>
              <w:numPr>
                <w:ilvl w:val="1"/>
                <w:numId w:val="17"/>
              </w:numPr>
              <w:ind w:left="1066"/>
              <w:rPr>
                <w:rFonts w:asciiTheme="minorHAnsi" w:hAnsiTheme="minorHAnsi" w:cstheme="minorHAnsi"/>
                <w:color w:val="auto"/>
              </w:rPr>
            </w:pPr>
            <w:r>
              <w:rPr>
                <w:rFonts w:asciiTheme="minorHAnsi" w:hAnsiTheme="minorHAnsi" w:cstheme="minorHAnsi"/>
                <w:color w:val="auto"/>
              </w:rPr>
              <w:t xml:space="preserve">How comfortable are families </w:t>
            </w:r>
            <w:r w:rsidR="00407694">
              <w:rPr>
                <w:rFonts w:asciiTheme="minorHAnsi" w:hAnsiTheme="minorHAnsi" w:cstheme="minorHAnsi"/>
                <w:color w:val="auto"/>
              </w:rPr>
              <w:t>providing information about their</w:t>
            </w:r>
            <w:r w:rsidRPr="00407694" w:rsidR="00407694">
              <w:rPr>
                <w:rFonts w:asciiTheme="minorHAnsi" w:hAnsiTheme="minorHAnsi" w:cstheme="minorHAnsi"/>
                <w:color w:val="auto"/>
              </w:rPr>
              <w:t xml:space="preserve"> family economic well-being</w:t>
            </w:r>
            <w:r w:rsidR="00407694">
              <w:rPr>
                <w:rFonts w:asciiTheme="minorHAnsi" w:hAnsiTheme="minorHAnsi" w:cstheme="minorHAnsi"/>
                <w:color w:val="auto"/>
              </w:rPr>
              <w:t xml:space="preserve"> </w:t>
            </w:r>
            <w:r w:rsidR="00407694">
              <w:rPr>
                <w:rFonts w:asciiTheme="minorHAnsi" w:hAnsiTheme="minorHAnsi" w:cstheme="minorHAnsi"/>
                <w:color w:val="auto"/>
              </w:rPr>
              <w:t xml:space="preserve">to </w:t>
            </w:r>
            <w:r w:rsidR="001948C0">
              <w:rPr>
                <w:rFonts w:ascii="Calibri" w:hAnsi="Calibri"/>
                <w:color w:val="auto"/>
              </w:rPr>
              <w:t xml:space="preserve"> local</w:t>
            </w:r>
            <w:r w:rsidR="001948C0">
              <w:rPr>
                <w:rFonts w:ascii="Calibri" w:hAnsi="Calibri"/>
                <w:color w:val="auto"/>
              </w:rPr>
              <w:t xml:space="preserve"> ECHV </w:t>
            </w:r>
            <w:r w:rsidR="00C5643B">
              <w:rPr>
                <w:rFonts w:asciiTheme="minorHAnsi" w:hAnsiTheme="minorHAnsi" w:cstheme="minorHAnsi"/>
                <w:color w:val="auto"/>
              </w:rPr>
              <w:t xml:space="preserve">programs? </w:t>
            </w:r>
          </w:p>
        </w:tc>
      </w:tr>
    </w:tbl>
    <w:p w:rsidR="00413316" w:rsidP="007D0F6E" w14:paraId="7FCC647C" w14:textId="77777777">
      <w:pPr>
        <w:spacing w:after="120" w:line="240" w:lineRule="auto"/>
        <w:rPr>
          <w:i/>
        </w:rPr>
      </w:pPr>
    </w:p>
    <w:p w:rsidR="00413316" w:rsidP="007D0F6E" w14:paraId="5F37EB45" w14:textId="77777777">
      <w:pPr>
        <w:spacing w:after="120" w:line="240" w:lineRule="auto"/>
        <w:rPr>
          <w:i/>
        </w:rPr>
      </w:pPr>
    </w:p>
    <w:p w:rsidR="004328A4" w:rsidP="007D0F6E" w14:paraId="7F49AA94" w14:textId="77777777">
      <w:pPr>
        <w:spacing w:after="120" w:line="240" w:lineRule="auto"/>
        <w:rPr>
          <w:i/>
        </w:rPr>
      </w:pPr>
      <w:r>
        <w:rPr>
          <w:i/>
        </w:rPr>
        <w:t>Study Design</w:t>
      </w:r>
    </w:p>
    <w:p w:rsidR="00F71382" w:rsidRPr="00111DB9" w:rsidP="00973939" w14:paraId="4821DAEA" w14:textId="75F4FB51">
      <w:pPr>
        <w:spacing w:before="120" w:after="120" w:line="240" w:lineRule="auto"/>
        <w:rPr>
          <w:iCs/>
        </w:rPr>
      </w:pPr>
      <w:r>
        <w:rPr>
          <w:iCs/>
        </w:rPr>
        <w:t>The activities proposed in this</w:t>
      </w:r>
      <w:r w:rsidR="00C0748E">
        <w:rPr>
          <w:iCs/>
        </w:rPr>
        <w:t xml:space="preserve"> </w:t>
      </w:r>
      <w:r w:rsidR="00625CE0">
        <w:rPr>
          <w:iCs/>
        </w:rPr>
        <w:t>GenIC</w:t>
      </w:r>
      <w:r w:rsidR="00625CE0">
        <w:rPr>
          <w:iCs/>
        </w:rPr>
        <w:t xml:space="preserve"> </w:t>
      </w:r>
      <w:r>
        <w:rPr>
          <w:iCs/>
        </w:rPr>
        <w:t>include c</w:t>
      </w:r>
      <w:r w:rsidRPr="00111DB9">
        <w:rPr>
          <w:iCs/>
        </w:rPr>
        <w:t xml:space="preserve">ollecting </w:t>
      </w:r>
      <w:r w:rsidRPr="00111DB9" w:rsidR="00B97AE0">
        <w:rPr>
          <w:iCs/>
        </w:rPr>
        <w:t xml:space="preserve">data from </w:t>
      </w:r>
      <w:r w:rsidR="00C660C8">
        <w:rPr>
          <w:iCs/>
        </w:rPr>
        <w:t xml:space="preserve">local </w:t>
      </w:r>
      <w:r w:rsidR="004A6DFA">
        <w:rPr>
          <w:iCs/>
        </w:rPr>
        <w:t>ECHV</w:t>
      </w:r>
      <w:r w:rsidRPr="00111DB9" w:rsidR="00B97AE0">
        <w:rPr>
          <w:iCs/>
        </w:rPr>
        <w:t xml:space="preserve"> program staff and participating parents</w:t>
      </w:r>
      <w:r w:rsidRPr="00111DB9" w:rsidR="00994F0D">
        <w:rPr>
          <w:iCs/>
        </w:rPr>
        <w:t xml:space="preserve"> through </w:t>
      </w:r>
      <w:r w:rsidRPr="00111DB9" w:rsidR="00946794">
        <w:rPr>
          <w:iCs/>
        </w:rPr>
        <w:t>in-depth, semi</w:t>
      </w:r>
      <w:r w:rsidRPr="00AB5982" w:rsidR="00BE2CB8">
        <w:rPr>
          <w:iCs/>
        </w:rPr>
        <w:t>-</w:t>
      </w:r>
      <w:r w:rsidRPr="009C373F" w:rsidR="00946794">
        <w:rPr>
          <w:iCs/>
        </w:rPr>
        <w:t xml:space="preserve">structured </w:t>
      </w:r>
      <w:r w:rsidRPr="009C373F" w:rsidR="00994F0D">
        <w:rPr>
          <w:iCs/>
        </w:rPr>
        <w:t>interviews and focus groups</w:t>
      </w:r>
      <w:r w:rsidRPr="009C373F" w:rsidR="00B97AE0">
        <w:rPr>
          <w:iCs/>
        </w:rPr>
        <w:t xml:space="preserve"> to </w:t>
      </w:r>
      <w:r w:rsidR="00625CE0">
        <w:rPr>
          <w:iCs/>
        </w:rPr>
        <w:t xml:space="preserve">contribute to our </w:t>
      </w:r>
      <w:r w:rsidRPr="009C373F" w:rsidR="00B97AE0">
        <w:rPr>
          <w:iCs/>
        </w:rPr>
        <w:t>understand</w:t>
      </w:r>
      <w:r w:rsidR="00625CE0">
        <w:rPr>
          <w:iCs/>
        </w:rPr>
        <w:t>ing about</w:t>
      </w:r>
      <w:r w:rsidR="00C0748E">
        <w:rPr>
          <w:iCs/>
        </w:rPr>
        <w:t xml:space="preserve"> </w:t>
      </w:r>
      <w:r w:rsidRPr="008C27B0" w:rsidR="002F2AEE">
        <w:rPr>
          <w:iCs/>
        </w:rPr>
        <w:t xml:space="preserve">how staff and parents understand family economic well-being, </w:t>
      </w:r>
      <w:r w:rsidRPr="008C27B0" w:rsidR="00B97AE0">
        <w:rPr>
          <w:iCs/>
        </w:rPr>
        <w:t xml:space="preserve">the range of practices </w:t>
      </w:r>
      <w:r w:rsidR="00C660C8">
        <w:rPr>
          <w:iCs/>
        </w:rPr>
        <w:t xml:space="preserve">local </w:t>
      </w:r>
      <w:r w:rsidR="004A6DFA">
        <w:rPr>
          <w:iCs/>
        </w:rPr>
        <w:t xml:space="preserve">ECHV </w:t>
      </w:r>
      <w:r w:rsidRPr="008C27B0" w:rsidR="00B97AE0">
        <w:rPr>
          <w:iCs/>
        </w:rPr>
        <w:t>programs u</w:t>
      </w:r>
      <w:r w:rsidRPr="009057E2" w:rsidR="00B97AE0">
        <w:rPr>
          <w:iCs/>
        </w:rPr>
        <w:t>se to support family economic well-being</w:t>
      </w:r>
      <w:r w:rsidRPr="009057E2" w:rsidR="002F2AEE">
        <w:rPr>
          <w:iCs/>
        </w:rPr>
        <w:t>,</w:t>
      </w:r>
      <w:r w:rsidRPr="009057E2" w:rsidR="00994F0D">
        <w:rPr>
          <w:iCs/>
        </w:rPr>
        <w:t xml:space="preserve"> and</w:t>
      </w:r>
      <w:r w:rsidRPr="009057E2" w:rsidR="00B97AE0">
        <w:rPr>
          <w:iCs/>
        </w:rPr>
        <w:t xml:space="preserve"> how </w:t>
      </w:r>
      <w:r w:rsidR="00C660C8">
        <w:rPr>
          <w:iCs/>
        </w:rPr>
        <w:t xml:space="preserve">local </w:t>
      </w:r>
      <w:r w:rsidR="009F2372">
        <w:rPr>
          <w:iCs/>
        </w:rPr>
        <w:t xml:space="preserve">ECHV </w:t>
      </w:r>
      <w:r w:rsidRPr="009057E2" w:rsidR="00B97AE0">
        <w:rPr>
          <w:iCs/>
        </w:rPr>
        <w:t xml:space="preserve">programs measure </w:t>
      </w:r>
      <w:r w:rsidRPr="009F0FB3" w:rsidR="00BE2CB8">
        <w:rPr>
          <w:iCs/>
        </w:rPr>
        <w:t>such</w:t>
      </w:r>
      <w:r w:rsidRPr="007D7AEA" w:rsidR="00994F0D">
        <w:rPr>
          <w:iCs/>
        </w:rPr>
        <w:t xml:space="preserve"> well-being.</w:t>
      </w:r>
      <w:r>
        <w:rPr>
          <w:iCs/>
        </w:rPr>
        <w:t xml:space="preserve"> </w:t>
      </w:r>
    </w:p>
    <w:p w:rsidR="00F07E4D" w:rsidP="08FE1522" w14:paraId="55D81341" w14:textId="6EB355B6">
      <w:pPr>
        <w:spacing w:before="200" w:line="240" w:lineRule="auto"/>
      </w:pPr>
      <w:r>
        <w:t xml:space="preserve">We will </w:t>
      </w:r>
      <w:r w:rsidR="00CB7B05">
        <w:t>engage</w:t>
      </w:r>
      <w:r>
        <w:t xml:space="preserve"> members of our </w:t>
      </w:r>
      <w:r w:rsidR="002F2AEE">
        <w:t>technical work group (</w:t>
      </w:r>
      <w:r>
        <w:t>TWG</w:t>
      </w:r>
      <w:r w:rsidR="002F2AEE">
        <w:t>)</w:t>
      </w:r>
      <w:r>
        <w:t xml:space="preserve"> and federal partners to nominate </w:t>
      </w:r>
      <w:r w:rsidR="00010CA0">
        <w:t xml:space="preserve">up to </w:t>
      </w:r>
      <w:r w:rsidR="00BD39C9">
        <w:t xml:space="preserve">10 </w:t>
      </w:r>
      <w:r w:rsidR="00C660C8">
        <w:t xml:space="preserve">local </w:t>
      </w:r>
      <w:r w:rsidR="004A6DFA">
        <w:t>ECHV</w:t>
      </w:r>
      <w:r>
        <w:t xml:space="preserve"> programs</w:t>
      </w:r>
      <w:r w:rsidR="00661B07">
        <w:t xml:space="preserve"> from which</w:t>
      </w:r>
      <w:r>
        <w:t xml:space="preserve"> to recruit </w:t>
      </w:r>
      <w:r w:rsidR="00BD39C9">
        <w:t xml:space="preserve">6 </w:t>
      </w:r>
      <w:r>
        <w:t xml:space="preserve">for the </w:t>
      </w:r>
      <w:r w:rsidR="005D51BD">
        <w:t>information</w:t>
      </w:r>
      <w:r>
        <w:t xml:space="preserve"> collection. We will also draw on information from other project </w:t>
      </w:r>
      <w:r w:rsidR="00D42159">
        <w:t xml:space="preserve">activities </w:t>
      </w:r>
      <w:r>
        <w:t>to inform the nomination decisions, including</w:t>
      </w:r>
      <w:r w:rsidR="00CF32C8">
        <w:t xml:space="preserve"> the following</w:t>
      </w:r>
      <w:r>
        <w:t xml:space="preserve">: </w:t>
      </w:r>
    </w:p>
    <w:p w:rsidR="00F07E4D" w:rsidRPr="00B26713" w:rsidP="00703626" w14:paraId="5D67930E" w14:textId="77777777">
      <w:pPr>
        <w:pStyle w:val="ListParagraph"/>
        <w:numPr>
          <w:ilvl w:val="0"/>
          <w:numId w:val="19"/>
        </w:numPr>
        <w:spacing w:before="120" w:after="120" w:line="240" w:lineRule="auto"/>
        <w:contextualSpacing w:val="0"/>
        <w:rPr>
          <w:iCs/>
        </w:rPr>
      </w:pPr>
      <w:r>
        <w:t xml:space="preserve">The </w:t>
      </w:r>
      <w:r w:rsidRPr="00F94977" w:rsidR="007D312C">
        <w:rPr>
          <w:iCs/>
        </w:rPr>
        <w:t>project’s</w:t>
      </w:r>
      <w:r w:rsidR="007D312C">
        <w:t xml:space="preserve"> literature review</w:t>
      </w:r>
      <w:r>
        <w:t>,</w:t>
      </w:r>
      <w:r w:rsidR="007D312C">
        <w:t xml:space="preserve"> to identify measures and practices related to family economic well-being</w:t>
      </w:r>
    </w:p>
    <w:p w:rsidR="00F07E4D" w:rsidRPr="00B26713" w:rsidP="00703626" w14:paraId="6981763F" w14:textId="70EC2272">
      <w:pPr>
        <w:pStyle w:val="ListParagraph"/>
        <w:numPr>
          <w:ilvl w:val="0"/>
          <w:numId w:val="19"/>
        </w:numPr>
        <w:spacing w:before="120" w:after="120" w:line="240" w:lineRule="auto"/>
        <w:contextualSpacing w:val="0"/>
        <w:rPr>
          <w:iCs/>
        </w:rPr>
      </w:pPr>
      <w:r>
        <w:t xml:space="preserve">The </w:t>
      </w:r>
      <w:r w:rsidR="00C72A6D">
        <w:t>project’s</w:t>
      </w:r>
      <w:r w:rsidR="00D42159">
        <w:t xml:space="preserve"> review of available</w:t>
      </w:r>
      <w:r w:rsidR="00C72A6D">
        <w:t xml:space="preserve"> </w:t>
      </w:r>
      <w:r w:rsidR="007D312C">
        <w:t>document</w:t>
      </w:r>
      <w:r w:rsidR="00D42159">
        <w:t>s</w:t>
      </w:r>
      <w:r w:rsidR="007D312C">
        <w:t xml:space="preserve"> about programs that support family economic well-being, to identify up to eight promising practices to support family economic well-being that could be tested in </w:t>
      </w:r>
      <w:r w:rsidR="00704682">
        <w:t>ECHV</w:t>
      </w:r>
      <w:r w:rsidR="007D312C">
        <w:t xml:space="preserve"> agencies </w:t>
      </w:r>
    </w:p>
    <w:p w:rsidR="007D312C" w:rsidRPr="00B26713" w:rsidP="00703626" w14:paraId="26A239E3" w14:textId="2DF26F05">
      <w:pPr>
        <w:pStyle w:val="ListParagraph"/>
        <w:numPr>
          <w:ilvl w:val="0"/>
          <w:numId w:val="19"/>
        </w:numPr>
        <w:spacing w:before="120" w:after="120" w:line="240" w:lineRule="auto"/>
        <w:contextualSpacing w:val="0"/>
        <w:rPr>
          <w:iCs/>
        </w:rPr>
      </w:pPr>
      <w:r>
        <w:t xml:space="preserve">The conceptual model that identifies key elements of family economic well-being and the </w:t>
      </w:r>
      <w:r w:rsidRPr="00F94977">
        <w:rPr>
          <w:iCs/>
        </w:rPr>
        <w:t>mechanisms</w:t>
      </w:r>
      <w:r>
        <w:t xml:space="preserve"> by which </w:t>
      </w:r>
      <w:r w:rsidR="00704682">
        <w:t>ECHV</w:t>
      </w:r>
      <w:r>
        <w:t xml:space="preserve"> programs can support </w:t>
      </w:r>
      <w:r w:rsidR="0048497C">
        <w:t>it</w:t>
      </w:r>
      <w:r w:rsidRPr="00B26713">
        <w:rPr>
          <w:iCs/>
        </w:rPr>
        <w:t xml:space="preserve"> </w:t>
      </w:r>
    </w:p>
    <w:p w:rsidR="007D312C" w:rsidP="00AE0B67" w14:paraId="38937BA1" w14:textId="4899D32E">
      <w:pPr>
        <w:spacing w:before="200" w:line="240" w:lineRule="auto"/>
        <w:rPr>
          <w:iCs/>
        </w:rPr>
      </w:pPr>
      <w:bookmarkStart w:id="3" w:name="_Hlk118102726"/>
      <w:r w:rsidRPr="00B42499">
        <w:rPr>
          <w:iCs/>
        </w:rPr>
        <w:t>We will prioritize</w:t>
      </w:r>
      <w:r w:rsidR="004E333C">
        <w:rPr>
          <w:iCs/>
        </w:rPr>
        <w:t xml:space="preserve"> the recruitment and selection of</w:t>
      </w:r>
      <w:r w:rsidRPr="00B42499">
        <w:rPr>
          <w:iCs/>
        </w:rPr>
        <w:t xml:space="preserve"> </w:t>
      </w:r>
      <w:r w:rsidR="00C660C8">
        <w:rPr>
          <w:iCs/>
        </w:rPr>
        <w:t xml:space="preserve">local </w:t>
      </w:r>
      <w:r w:rsidR="00704682">
        <w:rPr>
          <w:iCs/>
        </w:rPr>
        <w:t>ECHV</w:t>
      </w:r>
      <w:r w:rsidR="00C660C8">
        <w:rPr>
          <w:iCs/>
        </w:rPr>
        <w:t xml:space="preserve"> </w:t>
      </w:r>
      <w:r w:rsidRPr="00B42499">
        <w:rPr>
          <w:iCs/>
        </w:rPr>
        <w:t xml:space="preserve">programs that are implementing clearly defined strategies to support </w:t>
      </w:r>
      <w:r w:rsidR="001331BB">
        <w:rPr>
          <w:rFonts w:cstheme="minorHAnsi"/>
        </w:rPr>
        <w:t xml:space="preserve">family </w:t>
      </w:r>
      <w:r w:rsidRPr="00B42499">
        <w:rPr>
          <w:iCs/>
        </w:rPr>
        <w:t>economic well-being</w:t>
      </w:r>
      <w:r w:rsidR="002C31AA">
        <w:rPr>
          <w:iCs/>
        </w:rPr>
        <w:t xml:space="preserve">, particularly if those strategies </w:t>
      </w:r>
      <w:r w:rsidR="0048497C">
        <w:rPr>
          <w:iCs/>
        </w:rPr>
        <w:t xml:space="preserve">show </w:t>
      </w:r>
      <w:r w:rsidR="002C31AA">
        <w:rPr>
          <w:iCs/>
        </w:rPr>
        <w:t xml:space="preserve">evidence of effectiveness. </w:t>
      </w:r>
      <w:bookmarkEnd w:id="3"/>
      <w:r w:rsidR="002C31AA">
        <w:rPr>
          <w:iCs/>
        </w:rPr>
        <w:t>More details about the purposive program selection criteria are in Section B2 of Part B under “</w:t>
      </w:r>
      <w:r w:rsidR="002C31AA">
        <w:rPr>
          <w:i/>
        </w:rPr>
        <w:t>Site Selection and Respondent Recruitment.”</w:t>
      </w:r>
      <w:r>
        <w:rPr>
          <w:iCs/>
        </w:rPr>
        <w:t xml:space="preserve"> </w:t>
      </w:r>
    </w:p>
    <w:p w:rsidR="007D312C" w:rsidRPr="00FB58A2" w:rsidP="00AE0B67" w14:paraId="0CFA91E1" w14:textId="399006B1">
      <w:pPr>
        <w:spacing w:before="200" w:line="240" w:lineRule="auto"/>
        <w:rPr>
          <w:iCs/>
        </w:rPr>
      </w:pPr>
      <w:r>
        <w:rPr>
          <w:iCs/>
        </w:rPr>
        <w:t xml:space="preserve">Following OMB approval, we will conduct calls </w:t>
      </w:r>
      <w:r w:rsidR="006467B1">
        <w:rPr>
          <w:iCs/>
        </w:rPr>
        <w:t>to screen and</w:t>
      </w:r>
      <w:r>
        <w:rPr>
          <w:iCs/>
        </w:rPr>
        <w:t xml:space="preserve"> recruit </w:t>
      </w:r>
      <w:r w:rsidR="00E72FCA">
        <w:rPr>
          <w:iCs/>
        </w:rPr>
        <w:t xml:space="preserve">6 </w:t>
      </w:r>
      <w:r w:rsidR="00C660C8">
        <w:rPr>
          <w:iCs/>
        </w:rPr>
        <w:t xml:space="preserve">local </w:t>
      </w:r>
      <w:r w:rsidR="00704682">
        <w:rPr>
          <w:iCs/>
        </w:rPr>
        <w:t>ECHV</w:t>
      </w:r>
      <w:r w:rsidR="00C660C8">
        <w:rPr>
          <w:iCs/>
        </w:rPr>
        <w:t xml:space="preserve"> </w:t>
      </w:r>
      <w:r>
        <w:rPr>
          <w:iCs/>
        </w:rPr>
        <w:t xml:space="preserve">programs for data collection; we will cease recruitment when 6 </w:t>
      </w:r>
      <w:r w:rsidR="006467B1">
        <w:rPr>
          <w:iCs/>
        </w:rPr>
        <w:t xml:space="preserve">eligible </w:t>
      </w:r>
      <w:r>
        <w:rPr>
          <w:iCs/>
        </w:rPr>
        <w:t xml:space="preserve">programs have agreed to participate. We will work </w:t>
      </w:r>
      <w:r w:rsidRPr="00AE0B67">
        <w:rPr>
          <w:rFonts w:cstheme="minorHAnsi"/>
        </w:rPr>
        <w:t>with</w:t>
      </w:r>
      <w:r>
        <w:rPr>
          <w:iCs/>
        </w:rPr>
        <w:t xml:space="preserve"> program leadership to identify and recruit supervisors for interviews and home visitors for </w:t>
      </w:r>
      <w:r w:rsidR="00E414D5">
        <w:rPr>
          <w:iCs/>
        </w:rPr>
        <w:t>group interviews</w:t>
      </w:r>
      <w:r>
        <w:rPr>
          <w:iCs/>
        </w:rPr>
        <w:t xml:space="preserve">. We will work with program staff to identify and recruit parent participants for the interviews and focus groups. More information about how we will conduct the preliminary selection of </w:t>
      </w:r>
      <w:r w:rsidR="00010CA0">
        <w:rPr>
          <w:iCs/>
        </w:rPr>
        <w:t xml:space="preserve">up to </w:t>
      </w:r>
      <w:r w:rsidR="00E72FCA">
        <w:rPr>
          <w:iCs/>
        </w:rPr>
        <w:t xml:space="preserve">10 </w:t>
      </w:r>
      <w:r w:rsidR="00C660C8">
        <w:rPr>
          <w:iCs/>
        </w:rPr>
        <w:t xml:space="preserve">local </w:t>
      </w:r>
      <w:r w:rsidR="00704682">
        <w:rPr>
          <w:iCs/>
        </w:rPr>
        <w:t>ECHV</w:t>
      </w:r>
      <w:r w:rsidR="00C660C8">
        <w:rPr>
          <w:iCs/>
        </w:rPr>
        <w:t xml:space="preserve"> </w:t>
      </w:r>
      <w:r>
        <w:rPr>
          <w:iCs/>
        </w:rPr>
        <w:t xml:space="preserve">programs, the recruitment of </w:t>
      </w:r>
      <w:r w:rsidR="00F21B7F">
        <w:rPr>
          <w:iCs/>
        </w:rPr>
        <w:t xml:space="preserve">6 </w:t>
      </w:r>
      <w:r>
        <w:rPr>
          <w:iCs/>
        </w:rPr>
        <w:t>of those</w:t>
      </w:r>
      <w:r w:rsidR="00C660C8">
        <w:rPr>
          <w:iCs/>
        </w:rPr>
        <w:t xml:space="preserve"> local</w:t>
      </w:r>
      <w:r>
        <w:rPr>
          <w:iCs/>
        </w:rPr>
        <w:t xml:space="preserve"> </w:t>
      </w:r>
      <w:r w:rsidR="00704682">
        <w:rPr>
          <w:iCs/>
        </w:rPr>
        <w:t xml:space="preserve">ECHV </w:t>
      </w:r>
      <w:r>
        <w:rPr>
          <w:iCs/>
        </w:rPr>
        <w:t xml:space="preserve">programs, and their staff and parent participants is in Section B2 of Part B under </w:t>
      </w:r>
      <w:r w:rsidRPr="00FB58A2">
        <w:rPr>
          <w:iCs/>
        </w:rPr>
        <w:t>“</w:t>
      </w:r>
      <w:r w:rsidRPr="007D4CB3" w:rsidR="008B0C66">
        <w:rPr>
          <w:i/>
        </w:rPr>
        <w:t>Site Selection and Respondent Recruitment</w:t>
      </w:r>
      <w:r w:rsidRPr="007D4CB3">
        <w:rPr>
          <w:i/>
        </w:rPr>
        <w:t>.”</w:t>
      </w:r>
    </w:p>
    <w:p w:rsidR="00F44812" w:rsidP="00AE0B67" w14:paraId="03BB15AC" w14:textId="4390145C">
      <w:pPr>
        <w:spacing w:before="200" w:line="240" w:lineRule="auto"/>
        <w:rPr>
          <w:iCs/>
        </w:rPr>
      </w:pPr>
      <w:r>
        <w:rPr>
          <w:iCs/>
        </w:rPr>
        <w:t xml:space="preserve">We will conduct a document review of program materials related to family economic well-being practices. </w:t>
      </w:r>
      <w:r w:rsidR="00082542">
        <w:rPr>
          <w:iCs/>
        </w:rPr>
        <w:t>We will conduct</w:t>
      </w:r>
      <w:r w:rsidR="008A6AF1">
        <w:rPr>
          <w:iCs/>
        </w:rPr>
        <w:t xml:space="preserve"> virtual</w:t>
      </w:r>
      <w:r w:rsidR="00082542">
        <w:rPr>
          <w:iCs/>
        </w:rPr>
        <w:t xml:space="preserve"> </w:t>
      </w:r>
      <w:r w:rsidR="001260B3">
        <w:rPr>
          <w:iCs/>
        </w:rPr>
        <w:t>semi</w:t>
      </w:r>
      <w:r w:rsidR="00F21B7F">
        <w:rPr>
          <w:iCs/>
        </w:rPr>
        <w:t>-</w:t>
      </w:r>
      <w:r w:rsidR="001260B3">
        <w:rPr>
          <w:iCs/>
        </w:rPr>
        <w:t xml:space="preserve">structured </w:t>
      </w:r>
      <w:r w:rsidR="001331BB">
        <w:rPr>
          <w:iCs/>
        </w:rPr>
        <w:t xml:space="preserve">individual </w:t>
      </w:r>
      <w:r w:rsidR="00896DBD">
        <w:rPr>
          <w:iCs/>
        </w:rPr>
        <w:t xml:space="preserve">interviews </w:t>
      </w:r>
      <w:r>
        <w:rPr>
          <w:iCs/>
        </w:rPr>
        <w:t xml:space="preserve">with up to </w:t>
      </w:r>
      <w:r w:rsidR="0000181E">
        <w:rPr>
          <w:iCs/>
        </w:rPr>
        <w:t>12</w:t>
      </w:r>
      <w:r>
        <w:rPr>
          <w:iCs/>
        </w:rPr>
        <w:t xml:space="preserve"> </w:t>
      </w:r>
      <w:r w:rsidR="00704682">
        <w:rPr>
          <w:iCs/>
        </w:rPr>
        <w:t>ECHV</w:t>
      </w:r>
      <w:r>
        <w:rPr>
          <w:iCs/>
        </w:rPr>
        <w:t xml:space="preserve"> </w:t>
      </w:r>
      <w:r w:rsidR="00E8153E">
        <w:rPr>
          <w:iCs/>
        </w:rPr>
        <w:t xml:space="preserve">program directors and </w:t>
      </w:r>
      <w:r w:rsidR="0000181E">
        <w:rPr>
          <w:iCs/>
        </w:rPr>
        <w:t xml:space="preserve">up to 12 </w:t>
      </w:r>
      <w:r w:rsidR="00E8153E">
        <w:rPr>
          <w:iCs/>
        </w:rPr>
        <w:t>supervisors</w:t>
      </w:r>
      <w:r w:rsidR="00377E0E">
        <w:rPr>
          <w:iCs/>
        </w:rPr>
        <w:t xml:space="preserve"> across six programs</w:t>
      </w:r>
      <w:r w:rsidR="00E63BD1">
        <w:rPr>
          <w:iCs/>
        </w:rPr>
        <w:t>,</w:t>
      </w:r>
      <w:r>
        <w:rPr>
          <w:iCs/>
        </w:rPr>
        <w:t xml:space="preserve"> </w:t>
      </w:r>
      <w:r w:rsidR="00082542">
        <w:rPr>
          <w:iCs/>
        </w:rPr>
        <w:t xml:space="preserve">and up to </w:t>
      </w:r>
      <w:r w:rsidR="001A7084">
        <w:rPr>
          <w:iCs/>
        </w:rPr>
        <w:t>14</w:t>
      </w:r>
      <w:r w:rsidR="002F56D3">
        <w:rPr>
          <w:iCs/>
        </w:rPr>
        <w:t xml:space="preserve"> </w:t>
      </w:r>
      <w:r w:rsidRPr="00B80B10" w:rsidR="00082542">
        <w:rPr>
          <w:iCs/>
        </w:rPr>
        <w:t xml:space="preserve">parent </w:t>
      </w:r>
      <w:r w:rsidR="00FB536C">
        <w:rPr>
          <w:iCs/>
        </w:rPr>
        <w:t>participants</w:t>
      </w:r>
      <w:r w:rsidR="00082542">
        <w:rPr>
          <w:iCs/>
        </w:rPr>
        <w:t xml:space="preserve"> </w:t>
      </w:r>
      <w:r>
        <w:rPr>
          <w:iCs/>
        </w:rPr>
        <w:t>across</w:t>
      </w:r>
      <w:r w:rsidR="00E8153E">
        <w:rPr>
          <w:iCs/>
        </w:rPr>
        <w:t xml:space="preserve"> </w:t>
      </w:r>
      <w:r w:rsidR="00265674">
        <w:rPr>
          <w:iCs/>
        </w:rPr>
        <w:t>up to</w:t>
      </w:r>
      <w:r>
        <w:rPr>
          <w:iCs/>
        </w:rPr>
        <w:t xml:space="preserve"> </w:t>
      </w:r>
      <w:r w:rsidR="00E8153E">
        <w:rPr>
          <w:iCs/>
        </w:rPr>
        <w:t xml:space="preserve">six </w:t>
      </w:r>
      <w:r w:rsidR="00C660C8">
        <w:rPr>
          <w:iCs/>
        </w:rPr>
        <w:t xml:space="preserve">local </w:t>
      </w:r>
      <w:r w:rsidR="00704682">
        <w:rPr>
          <w:iCs/>
        </w:rPr>
        <w:t>ECHV</w:t>
      </w:r>
      <w:r w:rsidR="00C660C8">
        <w:rPr>
          <w:iCs/>
        </w:rPr>
        <w:t xml:space="preserve"> </w:t>
      </w:r>
      <w:r w:rsidR="00377E0E">
        <w:rPr>
          <w:iCs/>
        </w:rPr>
        <w:t>programs</w:t>
      </w:r>
      <w:r>
        <w:rPr>
          <w:iCs/>
        </w:rPr>
        <w:t>. We will conduct</w:t>
      </w:r>
      <w:r w:rsidR="008A6AF1">
        <w:rPr>
          <w:iCs/>
        </w:rPr>
        <w:t xml:space="preserve"> </w:t>
      </w:r>
      <w:r w:rsidRPr="00AE0B67" w:rsidR="008A6AF1">
        <w:rPr>
          <w:rFonts w:cstheme="minorHAnsi"/>
        </w:rPr>
        <w:t>virtual</w:t>
      </w:r>
      <w:r>
        <w:rPr>
          <w:iCs/>
        </w:rPr>
        <w:t xml:space="preserve"> </w:t>
      </w:r>
      <w:r w:rsidR="0000181E">
        <w:rPr>
          <w:iCs/>
        </w:rPr>
        <w:t>semi</w:t>
      </w:r>
      <w:r w:rsidR="00F21B7F">
        <w:rPr>
          <w:iCs/>
        </w:rPr>
        <w:t>-</w:t>
      </w:r>
      <w:r w:rsidR="0000181E">
        <w:rPr>
          <w:iCs/>
        </w:rPr>
        <w:t xml:space="preserve">structured </w:t>
      </w:r>
      <w:r w:rsidR="00E414D5">
        <w:rPr>
          <w:iCs/>
        </w:rPr>
        <w:t>group interviews</w:t>
      </w:r>
      <w:r w:rsidR="00377E0E">
        <w:rPr>
          <w:iCs/>
        </w:rPr>
        <w:t xml:space="preserve"> with up to </w:t>
      </w:r>
      <w:r w:rsidR="0000181E">
        <w:rPr>
          <w:iCs/>
        </w:rPr>
        <w:t>36</w:t>
      </w:r>
      <w:r w:rsidR="00377E0E">
        <w:rPr>
          <w:iCs/>
        </w:rPr>
        <w:t xml:space="preserve"> home visitors</w:t>
      </w:r>
      <w:r w:rsidR="00265674">
        <w:rPr>
          <w:iCs/>
        </w:rPr>
        <w:t xml:space="preserve"> across six </w:t>
      </w:r>
      <w:r w:rsidR="00C660C8">
        <w:rPr>
          <w:iCs/>
        </w:rPr>
        <w:t xml:space="preserve">local </w:t>
      </w:r>
      <w:r w:rsidR="00704682">
        <w:rPr>
          <w:iCs/>
        </w:rPr>
        <w:t>ECHV</w:t>
      </w:r>
      <w:r w:rsidR="00546855">
        <w:rPr>
          <w:iCs/>
        </w:rPr>
        <w:t xml:space="preserve"> </w:t>
      </w:r>
      <w:r w:rsidR="00265674">
        <w:rPr>
          <w:iCs/>
        </w:rPr>
        <w:t>programs and virtual focus groups</w:t>
      </w:r>
      <w:r w:rsidR="00377E0E">
        <w:rPr>
          <w:iCs/>
        </w:rPr>
        <w:t xml:space="preserve"> </w:t>
      </w:r>
      <w:r>
        <w:rPr>
          <w:iCs/>
        </w:rPr>
        <w:t xml:space="preserve">with up to </w:t>
      </w:r>
      <w:r w:rsidR="00096D28">
        <w:rPr>
          <w:iCs/>
        </w:rPr>
        <w:t>36</w:t>
      </w:r>
      <w:r w:rsidR="00082542">
        <w:rPr>
          <w:iCs/>
        </w:rPr>
        <w:t xml:space="preserve"> </w:t>
      </w:r>
      <w:r w:rsidRPr="00B80B10" w:rsidR="00082542">
        <w:rPr>
          <w:iCs/>
        </w:rPr>
        <w:t>parent</w:t>
      </w:r>
      <w:r w:rsidRPr="00B80B10" w:rsidR="00377E0E">
        <w:rPr>
          <w:iCs/>
        </w:rPr>
        <w:t xml:space="preserve"> participants</w:t>
      </w:r>
      <w:r w:rsidR="00377E0E">
        <w:rPr>
          <w:iCs/>
        </w:rPr>
        <w:t xml:space="preserve"> across the six </w:t>
      </w:r>
      <w:r w:rsidR="00C660C8">
        <w:rPr>
          <w:iCs/>
        </w:rPr>
        <w:t xml:space="preserve">local </w:t>
      </w:r>
      <w:r w:rsidR="00704682">
        <w:rPr>
          <w:iCs/>
        </w:rPr>
        <w:t>ECHV</w:t>
      </w:r>
      <w:r w:rsidR="00546855">
        <w:rPr>
          <w:iCs/>
        </w:rPr>
        <w:t xml:space="preserve"> </w:t>
      </w:r>
      <w:r w:rsidR="00377E0E">
        <w:rPr>
          <w:iCs/>
        </w:rPr>
        <w:t>programs.</w:t>
      </w:r>
      <w:r w:rsidR="00252DC9">
        <w:rPr>
          <w:iCs/>
        </w:rPr>
        <w:t xml:space="preserve"> </w:t>
      </w:r>
      <w:r w:rsidR="00F94511">
        <w:rPr>
          <w:iCs/>
        </w:rPr>
        <w:t>Using both focus groups and interviews with parent participants will allow us to collect complementary data. The focus groups facilitate collecting information from more families about less personal topics</w:t>
      </w:r>
      <w:r w:rsidR="001E14E8">
        <w:rPr>
          <w:iCs/>
        </w:rPr>
        <w:t>,</w:t>
      </w:r>
      <w:r w:rsidR="00F94511">
        <w:rPr>
          <w:iCs/>
        </w:rPr>
        <w:t xml:space="preserve"> </w:t>
      </w:r>
      <w:r w:rsidR="00A725A2">
        <w:rPr>
          <w:iCs/>
        </w:rPr>
        <w:t>such as how they define family economic well-being and how it impacts family relationships and dynamics.</w:t>
      </w:r>
      <w:r w:rsidR="00F94511">
        <w:rPr>
          <w:iCs/>
        </w:rPr>
        <w:t xml:space="preserve"> </w:t>
      </w:r>
      <w:r w:rsidR="00A725A2">
        <w:rPr>
          <w:iCs/>
        </w:rPr>
        <w:t>T</w:t>
      </w:r>
      <w:r w:rsidR="00F94511">
        <w:rPr>
          <w:iCs/>
        </w:rPr>
        <w:t xml:space="preserve">he </w:t>
      </w:r>
      <w:r w:rsidR="00E23372">
        <w:rPr>
          <w:iCs/>
        </w:rPr>
        <w:t>interviews facilitate</w:t>
      </w:r>
      <w:r w:rsidR="00D977B7">
        <w:rPr>
          <w:iCs/>
        </w:rPr>
        <w:t xml:space="preserve"> </w:t>
      </w:r>
      <w:r w:rsidR="002D03FC">
        <w:rPr>
          <w:iCs/>
        </w:rPr>
        <w:t>more in-depth conversation about each topic</w:t>
      </w:r>
      <w:r w:rsidR="00A725A2">
        <w:rPr>
          <w:iCs/>
        </w:rPr>
        <w:t xml:space="preserve">, such as </w:t>
      </w:r>
      <w:r w:rsidR="002D03FC">
        <w:rPr>
          <w:iCs/>
        </w:rPr>
        <w:t xml:space="preserve">more detailed information </w:t>
      </w:r>
      <w:r w:rsidR="008F7F2F">
        <w:rPr>
          <w:iCs/>
        </w:rPr>
        <w:t xml:space="preserve">on a family’s economic well-being and experience with the </w:t>
      </w:r>
      <w:r w:rsidR="00B94EDA">
        <w:rPr>
          <w:iCs/>
        </w:rPr>
        <w:t>local ECHV</w:t>
      </w:r>
      <w:r w:rsidR="008F7F2F">
        <w:rPr>
          <w:iCs/>
        </w:rPr>
        <w:t xml:space="preserve"> program.</w:t>
      </w:r>
      <w:r w:rsidR="005F5D36">
        <w:rPr>
          <w:iCs/>
        </w:rPr>
        <w:t xml:space="preserve"> </w:t>
      </w:r>
      <w:r w:rsidR="002C31AA">
        <w:rPr>
          <w:iCs/>
        </w:rPr>
        <w:t xml:space="preserve">Please see </w:t>
      </w:r>
      <w:r w:rsidR="002F56D3">
        <w:rPr>
          <w:iCs/>
        </w:rPr>
        <w:t xml:space="preserve">Table </w:t>
      </w:r>
      <w:r w:rsidR="002C31AA">
        <w:rPr>
          <w:iCs/>
        </w:rPr>
        <w:t>A</w:t>
      </w:r>
      <w:r w:rsidR="00C41787">
        <w:rPr>
          <w:iCs/>
        </w:rPr>
        <w:t>.1</w:t>
      </w:r>
      <w:r w:rsidR="002C31AA">
        <w:rPr>
          <w:iCs/>
        </w:rPr>
        <w:t xml:space="preserve"> for a description of the contents and purpose of each data collection instrument.</w:t>
      </w:r>
      <w:r w:rsidR="00167414">
        <w:rPr>
          <w:iCs/>
        </w:rPr>
        <w:t xml:space="preserve"> </w:t>
      </w:r>
      <w:r w:rsidR="00A5268B">
        <w:rPr>
          <w:iCs/>
        </w:rPr>
        <w:t>Additional information about the proposed respondents is in Section B2 of Part B under “</w:t>
      </w:r>
      <w:r w:rsidR="00F5682E">
        <w:rPr>
          <w:i/>
        </w:rPr>
        <w:t>Site Selection and Respondent Recruitment</w:t>
      </w:r>
      <w:r w:rsidR="00A5268B">
        <w:rPr>
          <w:i/>
        </w:rPr>
        <w:t>.”</w:t>
      </w:r>
      <w:r w:rsidR="00A5268B">
        <w:rPr>
          <w:iCs/>
        </w:rPr>
        <w:t xml:space="preserve"> </w:t>
      </w:r>
    </w:p>
    <w:p w:rsidR="00026D7E" w:rsidRPr="00462053" w:rsidP="00AE0B67" w14:paraId="3B3B0C0D" w14:textId="3E136FF0">
      <w:pPr>
        <w:spacing w:before="200" w:line="240" w:lineRule="auto"/>
      </w:pPr>
      <w:r>
        <w:t xml:space="preserve">We have proposed a purposive sample and qualitative approaches to collecting data, as these methods provide the flexibility needed to fully understand </w:t>
      </w:r>
      <w:r w:rsidR="004136D8">
        <w:t>how</w:t>
      </w:r>
      <w:r>
        <w:t xml:space="preserve"> home visiting programs </w:t>
      </w:r>
      <w:r w:rsidR="00882651">
        <w:t xml:space="preserve">select and </w:t>
      </w:r>
      <w:r>
        <w:t xml:space="preserve">implement </w:t>
      </w:r>
      <w:r w:rsidR="000665B5">
        <w:t xml:space="preserve">strategies </w:t>
      </w:r>
      <w:r>
        <w:t>to support family economic well-being</w:t>
      </w:r>
      <w:r w:rsidR="009306BA">
        <w:t xml:space="preserve">. </w:t>
      </w:r>
      <w:r w:rsidR="00462053">
        <w:t xml:space="preserve">The study’s key potential limitation is </w:t>
      </w:r>
      <w:r w:rsidRPr="08FE1522" w:rsidR="00462053">
        <w:t>that</w:t>
      </w:r>
      <w:r w:rsidR="00462053">
        <w:t xml:space="preserve">, despite purposive selection, the </w:t>
      </w:r>
      <w:r w:rsidR="00C660C8">
        <w:t xml:space="preserve">local </w:t>
      </w:r>
      <w:r w:rsidR="00B94EDA">
        <w:t>ECHV</w:t>
      </w:r>
      <w:r w:rsidR="00462053">
        <w:t xml:space="preserve"> programs included in the </w:t>
      </w:r>
      <w:r w:rsidR="00AB274D">
        <w:t>data collection</w:t>
      </w:r>
      <w:r w:rsidR="00462053">
        <w:t xml:space="preserve"> might not ultimately include the full range of family economic well-being components or the ways </w:t>
      </w:r>
      <w:r w:rsidR="005412A3">
        <w:t xml:space="preserve">home visiting </w:t>
      </w:r>
      <w:r w:rsidR="00462053">
        <w:t xml:space="preserve">programs measure </w:t>
      </w:r>
      <w:r w:rsidR="00F918A6">
        <w:t>it</w:t>
      </w:r>
      <w:r w:rsidR="00462053">
        <w:t xml:space="preserve">. </w:t>
      </w:r>
      <w:r w:rsidR="00840D0B">
        <w:t xml:space="preserve">The home </w:t>
      </w:r>
      <w:r w:rsidR="00083C81">
        <w:t xml:space="preserve">visiting participants included in the data collection </w:t>
      </w:r>
      <w:r w:rsidR="00CB5055">
        <w:t xml:space="preserve">might not include the full range of </w:t>
      </w:r>
      <w:r w:rsidR="00892DEE">
        <w:t xml:space="preserve">experiences in </w:t>
      </w:r>
      <w:r w:rsidR="009B1D93">
        <w:t xml:space="preserve">local </w:t>
      </w:r>
      <w:r w:rsidR="00B94EDA">
        <w:t>ECHV</w:t>
      </w:r>
      <w:r w:rsidR="001948C0">
        <w:t xml:space="preserve"> </w:t>
      </w:r>
      <w:r w:rsidR="00892DEE">
        <w:t>programs</w:t>
      </w:r>
      <w:r w:rsidR="008C7245">
        <w:t>;</w:t>
      </w:r>
      <w:r w:rsidR="00892DEE">
        <w:t xml:space="preserve"> </w:t>
      </w:r>
      <w:r w:rsidR="00C51FEC">
        <w:t xml:space="preserve">participants included in the data collection might be more likely to be comfortable discussing their family economic well-being than the average home visiting participant. </w:t>
      </w:r>
      <w:r w:rsidR="00B47365">
        <w:t>We will acknowledge t</w:t>
      </w:r>
      <w:r w:rsidR="00462053">
        <w:t>his limitation when sharing findings from the study. More details about the rationale of our study design are available in Section B1 of Part B under “</w:t>
      </w:r>
      <w:r w:rsidRPr="08FE1522" w:rsidR="00462053">
        <w:rPr>
          <w:i/>
          <w:iCs/>
        </w:rPr>
        <w:t>Appropriateness of Study</w:t>
      </w:r>
      <w:r w:rsidRPr="08FE1522" w:rsidR="00CE3EBC">
        <w:rPr>
          <w:i/>
          <w:iCs/>
        </w:rPr>
        <w:t xml:space="preserve"> Design and Methods for Planned Uses</w:t>
      </w:r>
      <w:r w:rsidRPr="08FE1522" w:rsidR="00462053">
        <w:rPr>
          <w:i/>
          <w:iCs/>
        </w:rPr>
        <w:t>.”</w:t>
      </w:r>
    </w:p>
    <w:p w:rsidR="007D312C" w:rsidRPr="00AE0B67" w:rsidP="00AE0B67" w14:paraId="634A1AC6" w14:textId="77777777">
      <w:pPr>
        <w:keepNext/>
        <w:spacing w:before="240" w:after="120" w:line="240" w:lineRule="auto"/>
        <w:ind w:left="720" w:hanging="720"/>
        <w:rPr>
          <w:b/>
        </w:rPr>
      </w:pPr>
      <w:r w:rsidRPr="00AE0B67">
        <w:rPr>
          <w:b/>
        </w:rPr>
        <w:t>Table A.</w:t>
      </w:r>
      <w:r w:rsidRPr="00AE0B67" w:rsidR="005F5D36">
        <w:rPr>
          <w:b/>
        </w:rPr>
        <w:t xml:space="preserve">1. </w:t>
      </w:r>
      <w:r w:rsidRPr="00AE0B67" w:rsidR="00B84A9D">
        <w:rPr>
          <w:b/>
        </w:rPr>
        <w:t>Data collection activities</w:t>
      </w:r>
    </w:p>
    <w:tbl>
      <w:tblPr>
        <w:tblStyle w:val="TableGrid"/>
        <w:tblW w:w="5000" w:type="pct"/>
        <w:tblLook w:val="04A0"/>
      </w:tblPr>
      <w:tblGrid>
        <w:gridCol w:w="1689"/>
        <w:gridCol w:w="1659"/>
        <w:gridCol w:w="4310"/>
        <w:gridCol w:w="1692"/>
      </w:tblGrid>
      <w:tr w14:paraId="572D2B88" w14:textId="77777777" w:rsidTr="00CD4B99">
        <w:tblPrEx>
          <w:tblW w:w="5000" w:type="pct"/>
          <w:tblLook w:val="04A0"/>
        </w:tblPrEx>
        <w:trPr>
          <w:tblHeader/>
        </w:trPr>
        <w:tc>
          <w:tcPr>
            <w:tcW w:w="903" w:type="pct"/>
            <w:shd w:val="clear" w:color="auto" w:fill="D9D9D9" w:themeFill="background1" w:themeFillShade="D9"/>
            <w:vAlign w:val="bottom"/>
          </w:tcPr>
          <w:p w:rsidR="00A36134" w:rsidRPr="001657F4" w:rsidP="00CD4B99" w14:paraId="2CF205C8" w14:textId="77777777">
            <w:pPr>
              <w:spacing w:before="60" w:after="60"/>
              <w:jc w:val="center"/>
              <w:rPr>
                <w:rFonts w:asciiTheme="minorHAnsi" w:hAnsiTheme="minorHAnsi" w:cstheme="minorHAnsi"/>
                <w:b/>
                <w:bCs/>
                <w:iCs/>
              </w:rPr>
            </w:pPr>
            <w:r w:rsidRPr="001657F4">
              <w:rPr>
                <w:rFonts w:asciiTheme="minorHAnsi" w:hAnsiTheme="minorHAnsi" w:cstheme="minorHAnsi"/>
                <w:b/>
                <w:bCs/>
                <w:iCs/>
              </w:rPr>
              <w:t xml:space="preserve">Data </w:t>
            </w:r>
            <w:r w:rsidRPr="001657F4" w:rsidR="00EB16F3">
              <w:rPr>
                <w:rFonts w:asciiTheme="minorHAnsi" w:hAnsiTheme="minorHAnsi" w:cstheme="minorHAnsi"/>
                <w:b/>
                <w:bCs/>
                <w:iCs/>
              </w:rPr>
              <w:t>collection activity</w:t>
            </w:r>
          </w:p>
        </w:tc>
        <w:tc>
          <w:tcPr>
            <w:tcW w:w="887" w:type="pct"/>
            <w:shd w:val="clear" w:color="auto" w:fill="D9D9D9" w:themeFill="background1" w:themeFillShade="D9"/>
            <w:vAlign w:val="bottom"/>
          </w:tcPr>
          <w:p w:rsidR="00A36134" w:rsidRPr="001657F4" w:rsidP="00CD4B99" w14:paraId="5BD49A0E" w14:textId="77777777">
            <w:pPr>
              <w:spacing w:before="60" w:after="60"/>
              <w:jc w:val="center"/>
              <w:rPr>
                <w:rFonts w:asciiTheme="minorHAnsi" w:hAnsiTheme="minorHAnsi" w:cstheme="minorHAnsi"/>
                <w:b/>
                <w:bCs/>
                <w:iCs/>
              </w:rPr>
            </w:pPr>
            <w:r w:rsidRPr="001657F4">
              <w:rPr>
                <w:rFonts w:asciiTheme="minorHAnsi" w:hAnsiTheme="minorHAnsi" w:cstheme="minorHAnsi"/>
                <w:b/>
                <w:bCs/>
                <w:iCs/>
              </w:rPr>
              <w:t>Instruments</w:t>
            </w:r>
          </w:p>
        </w:tc>
        <w:tc>
          <w:tcPr>
            <w:tcW w:w="2305" w:type="pct"/>
            <w:shd w:val="clear" w:color="auto" w:fill="D9D9D9" w:themeFill="background1" w:themeFillShade="D9"/>
            <w:vAlign w:val="bottom"/>
          </w:tcPr>
          <w:p w:rsidR="00A36134" w:rsidRPr="001657F4" w:rsidP="00CD4B99" w14:paraId="0626E11C" w14:textId="77777777">
            <w:pPr>
              <w:spacing w:before="60" w:after="60"/>
              <w:jc w:val="center"/>
              <w:rPr>
                <w:rFonts w:asciiTheme="minorHAnsi" w:hAnsiTheme="minorHAnsi" w:cstheme="minorHAnsi"/>
                <w:b/>
                <w:bCs/>
                <w:iCs/>
              </w:rPr>
            </w:pPr>
            <w:r w:rsidRPr="001657F4">
              <w:rPr>
                <w:rFonts w:asciiTheme="minorHAnsi" w:hAnsiTheme="minorHAnsi" w:cstheme="minorHAnsi"/>
                <w:b/>
                <w:bCs/>
                <w:iCs/>
              </w:rPr>
              <w:t xml:space="preserve">Respondent, </w:t>
            </w:r>
            <w:r w:rsidRPr="001657F4" w:rsidR="00EB16F3">
              <w:rPr>
                <w:rFonts w:asciiTheme="minorHAnsi" w:hAnsiTheme="minorHAnsi" w:cstheme="minorHAnsi"/>
                <w:b/>
                <w:bCs/>
                <w:iCs/>
              </w:rPr>
              <w:t>content</w:t>
            </w:r>
            <w:r w:rsidRPr="001657F4">
              <w:rPr>
                <w:rFonts w:asciiTheme="minorHAnsi" w:hAnsiTheme="minorHAnsi" w:cstheme="minorHAnsi"/>
                <w:b/>
                <w:bCs/>
                <w:iCs/>
              </w:rPr>
              <w:t xml:space="preserve">, </w:t>
            </w:r>
            <w:r w:rsidRPr="001657F4" w:rsidR="00EB16F3">
              <w:rPr>
                <w:rFonts w:asciiTheme="minorHAnsi" w:hAnsiTheme="minorHAnsi" w:cstheme="minorHAnsi"/>
                <w:b/>
                <w:bCs/>
                <w:iCs/>
              </w:rPr>
              <w:t xml:space="preserve">purpose </w:t>
            </w:r>
            <w:r w:rsidRPr="001657F4">
              <w:rPr>
                <w:rFonts w:asciiTheme="minorHAnsi" w:hAnsiTheme="minorHAnsi" w:cstheme="minorHAnsi"/>
                <w:b/>
                <w:bCs/>
                <w:iCs/>
              </w:rPr>
              <w:t xml:space="preserve">of </w:t>
            </w:r>
            <w:r w:rsidRPr="001657F4" w:rsidR="00EB16F3">
              <w:rPr>
                <w:rFonts w:asciiTheme="minorHAnsi" w:hAnsiTheme="minorHAnsi" w:cstheme="minorHAnsi"/>
                <w:b/>
                <w:bCs/>
                <w:iCs/>
              </w:rPr>
              <w:t>collection</w:t>
            </w:r>
          </w:p>
        </w:tc>
        <w:tc>
          <w:tcPr>
            <w:tcW w:w="905" w:type="pct"/>
            <w:shd w:val="clear" w:color="auto" w:fill="D9D9D9" w:themeFill="background1" w:themeFillShade="D9"/>
            <w:vAlign w:val="bottom"/>
          </w:tcPr>
          <w:p w:rsidR="00A36134" w:rsidRPr="001657F4" w:rsidP="00CD4B99" w14:paraId="1C96905E" w14:textId="77777777">
            <w:pPr>
              <w:spacing w:before="60" w:after="60"/>
              <w:jc w:val="center"/>
              <w:rPr>
                <w:rFonts w:asciiTheme="minorHAnsi" w:hAnsiTheme="minorHAnsi" w:cstheme="minorHAnsi"/>
                <w:b/>
                <w:bCs/>
                <w:iCs/>
              </w:rPr>
            </w:pPr>
            <w:r w:rsidRPr="001657F4">
              <w:rPr>
                <w:rFonts w:asciiTheme="minorHAnsi" w:hAnsiTheme="minorHAnsi" w:cstheme="minorHAnsi"/>
                <w:b/>
                <w:bCs/>
                <w:iCs/>
              </w:rPr>
              <w:t xml:space="preserve">Mode and </w:t>
            </w:r>
            <w:r w:rsidRPr="001657F4" w:rsidR="00EB16F3">
              <w:rPr>
                <w:rFonts w:asciiTheme="minorHAnsi" w:hAnsiTheme="minorHAnsi" w:cstheme="minorHAnsi"/>
                <w:b/>
                <w:bCs/>
                <w:iCs/>
              </w:rPr>
              <w:t>duration</w:t>
            </w:r>
          </w:p>
        </w:tc>
      </w:tr>
      <w:tr w14:paraId="5CFA0C22" w14:textId="77777777" w:rsidTr="00B877DB">
        <w:tblPrEx>
          <w:tblW w:w="5000" w:type="pct"/>
          <w:tblLook w:val="04A0"/>
        </w:tblPrEx>
        <w:tc>
          <w:tcPr>
            <w:tcW w:w="903" w:type="pct"/>
          </w:tcPr>
          <w:p w:rsidR="007172B1" w:rsidRPr="007172B1" w:rsidP="00703626" w14:paraId="7AEBE1E2" w14:textId="77777777">
            <w:pPr>
              <w:spacing w:before="40" w:after="40"/>
              <w:rPr>
                <w:rFonts w:asciiTheme="minorHAnsi" w:hAnsiTheme="minorHAnsi" w:cstheme="minorHAnsi"/>
              </w:rPr>
            </w:pPr>
            <w:r>
              <w:rPr>
                <w:rFonts w:asciiTheme="minorHAnsi" w:hAnsiTheme="minorHAnsi" w:cstheme="minorHAnsi"/>
              </w:rPr>
              <w:t>Program r</w:t>
            </w:r>
            <w:r w:rsidR="00AC71F9">
              <w:rPr>
                <w:rFonts w:asciiTheme="minorHAnsi" w:hAnsiTheme="minorHAnsi" w:cstheme="minorHAnsi"/>
              </w:rPr>
              <w:t>ecruitment script and e</w:t>
            </w:r>
            <w:r w:rsidRPr="007172B1">
              <w:rPr>
                <w:rFonts w:asciiTheme="minorHAnsi" w:hAnsiTheme="minorHAnsi" w:cstheme="minorHAnsi"/>
              </w:rPr>
              <w:t>ligibility screening</w:t>
            </w:r>
          </w:p>
        </w:tc>
        <w:tc>
          <w:tcPr>
            <w:tcW w:w="887" w:type="pct"/>
          </w:tcPr>
          <w:p w:rsidR="007172B1" w:rsidRPr="007172B1" w:rsidP="00703626" w14:paraId="4645A75E" w14:textId="77777777">
            <w:pPr>
              <w:spacing w:before="40" w:after="40"/>
              <w:rPr>
                <w:rFonts w:asciiTheme="minorHAnsi" w:hAnsiTheme="minorHAnsi" w:cstheme="minorHAnsi"/>
              </w:rPr>
            </w:pPr>
            <w:r w:rsidRPr="007172B1">
              <w:rPr>
                <w:rFonts w:asciiTheme="minorHAnsi" w:hAnsiTheme="minorHAnsi" w:cstheme="minorHAnsi"/>
              </w:rPr>
              <w:t xml:space="preserve">Instrument 1: Program </w:t>
            </w:r>
            <w:r w:rsidR="00AC71F9">
              <w:rPr>
                <w:rFonts w:asciiTheme="minorHAnsi" w:hAnsiTheme="minorHAnsi" w:cstheme="minorHAnsi"/>
              </w:rPr>
              <w:t xml:space="preserve">recruitment and </w:t>
            </w:r>
            <w:r w:rsidRPr="007172B1">
              <w:rPr>
                <w:rFonts w:asciiTheme="minorHAnsi" w:hAnsiTheme="minorHAnsi" w:cstheme="minorHAnsi"/>
              </w:rPr>
              <w:t>eligibility screener</w:t>
            </w:r>
          </w:p>
        </w:tc>
        <w:tc>
          <w:tcPr>
            <w:tcW w:w="2305" w:type="pct"/>
          </w:tcPr>
          <w:p w:rsidR="007172B1" w:rsidP="00703626" w14:paraId="79329C2F" w14:textId="77777777">
            <w:pPr>
              <w:spacing w:before="40" w:after="40"/>
              <w:rPr>
                <w:rFonts w:asciiTheme="minorHAnsi" w:hAnsiTheme="minorHAnsi" w:cstheme="minorHAnsi"/>
                <w:bCs/>
              </w:rPr>
            </w:pPr>
            <w:r>
              <w:rPr>
                <w:rFonts w:asciiTheme="minorHAnsi" w:hAnsiTheme="minorHAnsi" w:cstheme="minorHAnsi"/>
                <w:b/>
              </w:rPr>
              <w:t xml:space="preserve">Respondents: </w:t>
            </w:r>
            <w:r>
              <w:rPr>
                <w:rFonts w:asciiTheme="minorHAnsi" w:hAnsiTheme="minorHAnsi" w:cstheme="minorHAnsi"/>
                <w:bCs/>
              </w:rPr>
              <w:t>Program directors</w:t>
            </w:r>
          </w:p>
          <w:p w:rsidR="0072246E" w:rsidP="00703626" w14:paraId="259EAB84" w14:textId="77777777">
            <w:pPr>
              <w:spacing w:before="40" w:after="40"/>
              <w:rPr>
                <w:rFonts w:asciiTheme="minorHAnsi" w:hAnsiTheme="minorHAnsi" w:cstheme="minorHAnsi"/>
                <w:bCs/>
              </w:rPr>
            </w:pPr>
            <w:r>
              <w:rPr>
                <w:rFonts w:asciiTheme="minorHAnsi" w:hAnsiTheme="minorHAnsi" w:cstheme="minorHAnsi"/>
                <w:b/>
              </w:rPr>
              <w:t xml:space="preserve">Content: </w:t>
            </w:r>
            <w:r w:rsidR="00AC71F9">
              <w:rPr>
                <w:rFonts w:asciiTheme="minorHAnsi" w:hAnsiTheme="minorHAnsi" w:cstheme="minorHAnsi"/>
                <w:bCs/>
              </w:rPr>
              <w:t xml:space="preserve">Information about the overall study and planned data collection activities. </w:t>
            </w:r>
            <w:r>
              <w:rPr>
                <w:rFonts w:asciiTheme="minorHAnsi" w:hAnsiTheme="minorHAnsi" w:cstheme="minorHAnsi"/>
                <w:bCs/>
              </w:rPr>
              <w:t>Questions related to eligibility criteria and interest in study participation</w:t>
            </w:r>
          </w:p>
          <w:p w:rsidR="0072246E" w:rsidRPr="0072246E" w:rsidP="00703626" w14:paraId="5326A4EB" w14:textId="77777777">
            <w:pPr>
              <w:spacing w:before="40" w:after="40"/>
              <w:rPr>
                <w:rFonts w:asciiTheme="minorHAnsi" w:hAnsiTheme="minorHAnsi" w:cstheme="minorHAnsi"/>
                <w:bCs/>
              </w:rPr>
            </w:pPr>
            <w:r>
              <w:rPr>
                <w:rFonts w:asciiTheme="minorHAnsi" w:hAnsiTheme="minorHAnsi" w:cstheme="minorHAnsi"/>
                <w:b/>
              </w:rPr>
              <w:t xml:space="preserve">Purpose: </w:t>
            </w:r>
            <w:r>
              <w:rPr>
                <w:rFonts w:asciiTheme="minorHAnsi" w:hAnsiTheme="minorHAnsi" w:cstheme="minorHAnsi"/>
                <w:bCs/>
              </w:rPr>
              <w:t>Collect information about program eligibility based on a set of established eligibility criteria</w:t>
            </w:r>
            <w:r w:rsidR="00A4048E">
              <w:rPr>
                <w:rFonts w:asciiTheme="minorHAnsi" w:hAnsiTheme="minorHAnsi" w:cstheme="minorHAnsi"/>
                <w:bCs/>
              </w:rPr>
              <w:t>;</w:t>
            </w:r>
            <w:r>
              <w:rPr>
                <w:rFonts w:asciiTheme="minorHAnsi" w:hAnsiTheme="minorHAnsi" w:cstheme="minorHAnsi"/>
                <w:bCs/>
              </w:rPr>
              <w:t xml:space="preserve"> </w:t>
            </w:r>
            <w:r w:rsidR="00A4048E">
              <w:rPr>
                <w:rFonts w:asciiTheme="minorHAnsi" w:hAnsiTheme="minorHAnsi" w:cstheme="minorHAnsi"/>
                <w:bCs/>
              </w:rPr>
              <w:t>g</w:t>
            </w:r>
            <w:r>
              <w:rPr>
                <w:rFonts w:asciiTheme="minorHAnsi" w:hAnsiTheme="minorHAnsi" w:cstheme="minorHAnsi"/>
                <w:bCs/>
              </w:rPr>
              <w:t xml:space="preserve">auge the program’s interest and capacity to participate in </w:t>
            </w:r>
            <w:r w:rsidR="000719B3">
              <w:rPr>
                <w:rFonts w:asciiTheme="minorHAnsi" w:hAnsiTheme="minorHAnsi" w:cstheme="minorHAnsi"/>
                <w:bCs/>
              </w:rPr>
              <w:t xml:space="preserve">the </w:t>
            </w:r>
            <w:r>
              <w:rPr>
                <w:rFonts w:asciiTheme="minorHAnsi" w:hAnsiTheme="minorHAnsi" w:cstheme="minorHAnsi"/>
                <w:bCs/>
              </w:rPr>
              <w:t xml:space="preserve">current study as well as </w:t>
            </w:r>
            <w:r w:rsidR="000719B3">
              <w:rPr>
                <w:rFonts w:asciiTheme="minorHAnsi" w:hAnsiTheme="minorHAnsi" w:cstheme="minorHAnsi"/>
                <w:bCs/>
              </w:rPr>
              <w:t xml:space="preserve">a </w:t>
            </w:r>
            <w:r>
              <w:rPr>
                <w:rFonts w:asciiTheme="minorHAnsi" w:hAnsiTheme="minorHAnsi" w:cstheme="minorHAnsi"/>
                <w:bCs/>
              </w:rPr>
              <w:t>possible future study</w:t>
            </w:r>
          </w:p>
        </w:tc>
        <w:tc>
          <w:tcPr>
            <w:tcW w:w="905" w:type="pct"/>
          </w:tcPr>
          <w:p w:rsidR="007172B1" w:rsidRPr="0072246E" w:rsidP="00703626" w14:paraId="0C91AD88" w14:textId="77777777">
            <w:pPr>
              <w:spacing w:before="40" w:after="40"/>
              <w:rPr>
                <w:rFonts w:asciiTheme="minorHAnsi" w:hAnsiTheme="minorHAnsi" w:cstheme="minorHAnsi"/>
                <w:bCs/>
              </w:rPr>
            </w:pPr>
            <w:r>
              <w:rPr>
                <w:rFonts w:asciiTheme="minorHAnsi" w:hAnsiTheme="minorHAnsi" w:cstheme="minorHAnsi"/>
                <w:b/>
              </w:rPr>
              <w:t>Mode:</w:t>
            </w:r>
            <w:r>
              <w:rPr>
                <w:rFonts w:asciiTheme="minorHAnsi" w:hAnsiTheme="minorHAnsi" w:cstheme="minorHAnsi"/>
                <w:bCs/>
              </w:rPr>
              <w:t xml:space="preserve"> Telephone</w:t>
            </w:r>
          </w:p>
          <w:p w:rsidR="0072246E" w:rsidRPr="0072246E" w:rsidP="00703626" w14:paraId="4BBAEBEF" w14:textId="77777777">
            <w:pPr>
              <w:spacing w:before="40" w:after="40"/>
              <w:rPr>
                <w:rFonts w:asciiTheme="minorHAnsi" w:hAnsiTheme="minorHAnsi" w:cstheme="minorHAnsi"/>
                <w:bCs/>
              </w:rPr>
            </w:pPr>
            <w:r>
              <w:rPr>
                <w:rFonts w:asciiTheme="minorHAnsi" w:hAnsiTheme="minorHAnsi" w:cstheme="minorHAnsi"/>
                <w:b/>
              </w:rPr>
              <w:t>Duration:</w:t>
            </w:r>
            <w:r>
              <w:rPr>
                <w:rFonts w:asciiTheme="minorHAnsi" w:hAnsiTheme="minorHAnsi" w:cstheme="minorHAnsi"/>
                <w:bCs/>
              </w:rPr>
              <w:t xml:space="preserve"> </w:t>
            </w:r>
            <w:r w:rsidR="00AC71F9">
              <w:rPr>
                <w:rFonts w:asciiTheme="minorHAnsi" w:hAnsiTheme="minorHAnsi" w:cstheme="minorHAnsi"/>
                <w:bCs/>
              </w:rPr>
              <w:t>4</w:t>
            </w:r>
            <w:r>
              <w:rPr>
                <w:rFonts w:asciiTheme="minorHAnsi" w:hAnsiTheme="minorHAnsi" w:cstheme="minorHAnsi"/>
                <w:bCs/>
              </w:rPr>
              <w:t>5 minutes</w:t>
            </w:r>
          </w:p>
        </w:tc>
      </w:tr>
      <w:tr w14:paraId="749BB73D" w14:textId="77777777" w:rsidTr="00757F50">
        <w:tblPrEx>
          <w:tblW w:w="5000" w:type="pct"/>
          <w:tblLook w:val="04A0"/>
        </w:tblPrEx>
        <w:tc>
          <w:tcPr>
            <w:tcW w:w="903" w:type="pct"/>
            <w:vMerge w:val="restart"/>
            <w:vAlign w:val="center"/>
          </w:tcPr>
          <w:p w:rsidR="007B0C0E" w:rsidRPr="00BC3401" w:rsidP="00757F50" w14:paraId="7FB06C29" w14:textId="77777777">
            <w:pPr>
              <w:keepNext/>
              <w:spacing w:before="40" w:after="40"/>
              <w:jc w:val="center"/>
              <w:rPr>
                <w:rFonts w:asciiTheme="minorHAnsi" w:hAnsiTheme="minorHAnsi" w:cstheme="minorHAnsi"/>
              </w:rPr>
            </w:pPr>
            <w:r>
              <w:rPr>
                <w:rFonts w:asciiTheme="minorHAnsi" w:hAnsiTheme="minorHAnsi" w:cstheme="minorHAnsi"/>
              </w:rPr>
              <w:t>Semi-structured interviews</w:t>
            </w:r>
          </w:p>
        </w:tc>
        <w:tc>
          <w:tcPr>
            <w:tcW w:w="887" w:type="pct"/>
          </w:tcPr>
          <w:p w:rsidR="00565158" w:rsidRPr="003B6BB5" w:rsidP="00703626" w14:paraId="2E324BBE" w14:textId="77777777">
            <w:pPr>
              <w:keepNext/>
              <w:spacing w:before="40" w:after="40"/>
              <w:rPr>
                <w:rFonts w:asciiTheme="minorHAnsi" w:hAnsiTheme="minorHAnsi" w:cstheme="minorHAnsi"/>
              </w:rPr>
            </w:pPr>
            <w:r>
              <w:rPr>
                <w:rFonts w:asciiTheme="minorHAnsi" w:hAnsiTheme="minorHAnsi" w:cstheme="minorHAnsi"/>
              </w:rPr>
              <w:t xml:space="preserve">Instrument 2: </w:t>
            </w:r>
            <w:r w:rsidRPr="002163E1">
              <w:rPr>
                <w:rFonts w:asciiTheme="minorHAnsi" w:hAnsiTheme="minorHAnsi" w:cstheme="minorHAnsi"/>
                <w:b/>
                <w:bCs/>
              </w:rPr>
              <w:t>Program director</w:t>
            </w:r>
            <w:r>
              <w:rPr>
                <w:rFonts w:asciiTheme="minorHAnsi" w:hAnsiTheme="minorHAnsi" w:cstheme="minorHAnsi"/>
              </w:rPr>
              <w:t xml:space="preserve"> interview protocol</w:t>
            </w:r>
          </w:p>
        </w:tc>
        <w:tc>
          <w:tcPr>
            <w:tcW w:w="2305" w:type="pct"/>
          </w:tcPr>
          <w:p w:rsidR="00565158" w:rsidRPr="00BC3401" w:rsidP="00703626" w14:paraId="5A9092C3" w14:textId="77777777">
            <w:pPr>
              <w:keepNext/>
              <w:spacing w:before="40" w:after="40"/>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Program directors</w:t>
            </w:r>
          </w:p>
          <w:p w:rsidR="00565158" w:rsidRPr="00BC3401" w:rsidP="00703626" w14:paraId="775B1B67" w14:textId="77777777">
            <w:pPr>
              <w:keepNext/>
              <w:spacing w:before="40" w:after="40"/>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Program and participant characteristics; components of family economic well-being; strategies for supporting family economic well-being; community partner and service provider collaboration; program improvement recommendations</w:t>
            </w:r>
          </w:p>
          <w:p w:rsidR="00565158" w:rsidRPr="000C4437" w:rsidP="00703626" w14:paraId="7D373314" w14:textId="77777777">
            <w:pPr>
              <w:keepNext/>
              <w:spacing w:before="40" w:after="40"/>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Understand the program director’s perspective on the different components of family economic well-being and how programs are measuring it; understand the different strategies programs use to support family economic well-being and opportunities for service improvement</w:t>
            </w:r>
          </w:p>
        </w:tc>
        <w:tc>
          <w:tcPr>
            <w:tcW w:w="905" w:type="pct"/>
          </w:tcPr>
          <w:p w:rsidR="00565158" w:rsidRPr="00BC3401" w:rsidP="00703626" w14:paraId="49AF7F6D" w14:textId="77777777">
            <w:pPr>
              <w:keepNext/>
              <w:spacing w:before="40" w:after="40"/>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Video or telephone conference</w:t>
            </w:r>
          </w:p>
          <w:p w:rsidR="00565158" w:rsidRPr="00BC3401" w:rsidP="00703626" w14:paraId="6CB8477F" w14:textId="77777777">
            <w:pPr>
              <w:keepNext/>
              <w:spacing w:before="40" w:after="40"/>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60 minutes</w:t>
            </w:r>
          </w:p>
        </w:tc>
      </w:tr>
      <w:tr w14:paraId="0B9E17FB" w14:textId="77777777" w:rsidTr="00B877DB">
        <w:tblPrEx>
          <w:tblW w:w="5000" w:type="pct"/>
          <w:tblLook w:val="04A0"/>
        </w:tblPrEx>
        <w:tc>
          <w:tcPr>
            <w:tcW w:w="903" w:type="pct"/>
            <w:vMerge/>
          </w:tcPr>
          <w:p w:rsidR="00565158" w:rsidRPr="003B6BB5" w:rsidP="00703626" w14:paraId="14D192C7" w14:textId="77777777">
            <w:pPr>
              <w:keepNext/>
              <w:spacing w:before="40" w:after="40"/>
              <w:rPr>
                <w:rFonts w:asciiTheme="minorHAnsi" w:hAnsiTheme="minorHAnsi" w:cstheme="minorHAnsi"/>
              </w:rPr>
            </w:pPr>
          </w:p>
        </w:tc>
        <w:tc>
          <w:tcPr>
            <w:tcW w:w="887" w:type="pct"/>
          </w:tcPr>
          <w:p w:rsidR="00565158" w:rsidRPr="003B6BB5" w:rsidP="00703626" w14:paraId="46F89A42" w14:textId="77777777">
            <w:pPr>
              <w:spacing w:before="40" w:after="40"/>
              <w:rPr>
                <w:rFonts w:asciiTheme="minorHAnsi" w:hAnsiTheme="minorHAnsi" w:cstheme="minorHAnsi"/>
              </w:rPr>
            </w:pPr>
            <w:r>
              <w:rPr>
                <w:rFonts w:asciiTheme="minorHAnsi" w:hAnsiTheme="minorHAnsi" w:cstheme="minorHAnsi"/>
              </w:rPr>
              <w:t xml:space="preserve">Instrument 3: </w:t>
            </w:r>
            <w:r w:rsidRPr="002D1A90">
              <w:rPr>
                <w:rFonts w:asciiTheme="minorHAnsi" w:hAnsiTheme="minorHAnsi" w:cstheme="minorHAnsi"/>
                <w:b/>
                <w:bCs/>
              </w:rPr>
              <w:t>Program supervisor</w:t>
            </w:r>
            <w:r>
              <w:rPr>
                <w:rFonts w:asciiTheme="minorHAnsi" w:hAnsiTheme="minorHAnsi" w:cstheme="minorHAnsi"/>
              </w:rPr>
              <w:t xml:space="preserve"> </w:t>
            </w:r>
            <w:r w:rsidRPr="003B6BB5">
              <w:rPr>
                <w:rFonts w:asciiTheme="minorHAnsi" w:hAnsiTheme="minorHAnsi" w:cstheme="minorHAnsi"/>
              </w:rPr>
              <w:t xml:space="preserve">interview </w:t>
            </w:r>
            <w:r w:rsidRPr="00E21B02">
              <w:rPr>
                <w:rFonts w:asciiTheme="minorHAnsi" w:hAnsiTheme="minorHAnsi" w:cstheme="minorHAnsi"/>
              </w:rPr>
              <w:t>protocol</w:t>
            </w:r>
          </w:p>
        </w:tc>
        <w:tc>
          <w:tcPr>
            <w:tcW w:w="2305" w:type="pct"/>
          </w:tcPr>
          <w:p w:rsidR="00565158" w:rsidRPr="00BC3401" w:rsidP="00703626" w14:paraId="4A42B822" w14:textId="77777777">
            <w:pPr>
              <w:spacing w:before="40" w:after="40"/>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Program supervisors</w:t>
            </w:r>
          </w:p>
          <w:p w:rsidR="00565158" w:rsidRPr="00BC3401" w:rsidP="00703626" w14:paraId="7C9EC83D" w14:textId="77777777">
            <w:pPr>
              <w:spacing w:before="40" w:after="40"/>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Program, staff, community, and participant characteristics; components of family economic well-being; strategies for supporting family economic well-being; professional and community resources; program improvement recommendations</w:t>
            </w:r>
          </w:p>
          <w:p w:rsidR="00565158" w:rsidRPr="00BC3401" w:rsidP="00703626" w14:paraId="7274CED5" w14:textId="77777777">
            <w:pPr>
              <w:spacing w:before="40" w:after="40"/>
              <w:rPr>
                <w:rFonts w:cstheme="minorHAnsi"/>
                <w:b/>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Understand the program supervisor’s perspective on the different components of family economic well-being and how programs are measuring it; understand the different strategies programs use to support family economic well-being and opportunities for service improvement (for example, the need to address additional components or adapt for families served) </w:t>
            </w:r>
          </w:p>
        </w:tc>
        <w:tc>
          <w:tcPr>
            <w:tcW w:w="905" w:type="pct"/>
          </w:tcPr>
          <w:p w:rsidR="00565158" w:rsidRPr="00BC3401" w:rsidP="00703626" w14:paraId="062FB931" w14:textId="77777777">
            <w:pPr>
              <w:spacing w:before="40" w:after="40"/>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Video or telephone conference</w:t>
            </w:r>
          </w:p>
          <w:p w:rsidR="00565158" w:rsidRPr="00BC3401" w:rsidP="00703626" w14:paraId="6FE0515C" w14:textId="77777777">
            <w:pPr>
              <w:spacing w:before="40" w:after="40"/>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60 minutes</w:t>
            </w:r>
          </w:p>
        </w:tc>
      </w:tr>
      <w:tr w14:paraId="489A0CD3" w14:textId="77777777" w:rsidTr="00B877DB">
        <w:tblPrEx>
          <w:tblW w:w="5000" w:type="pct"/>
          <w:tblLook w:val="04A0"/>
        </w:tblPrEx>
        <w:tc>
          <w:tcPr>
            <w:tcW w:w="903" w:type="pct"/>
            <w:vMerge/>
          </w:tcPr>
          <w:p w:rsidR="00565158" w:rsidRPr="000144F7" w:rsidP="00703626" w14:paraId="4B0ABED7" w14:textId="77777777">
            <w:pPr>
              <w:keepNext/>
              <w:spacing w:before="40" w:after="40"/>
              <w:rPr>
                <w:rFonts w:asciiTheme="minorHAnsi" w:hAnsiTheme="minorHAnsi" w:cstheme="minorHAnsi"/>
              </w:rPr>
            </w:pPr>
          </w:p>
        </w:tc>
        <w:tc>
          <w:tcPr>
            <w:tcW w:w="887" w:type="pct"/>
          </w:tcPr>
          <w:p w:rsidR="00565158" w:rsidRPr="000144F7" w:rsidP="00703626" w14:paraId="764822F5" w14:textId="77777777">
            <w:pPr>
              <w:spacing w:before="40" w:after="40"/>
              <w:rPr>
                <w:rFonts w:asciiTheme="minorHAnsi" w:hAnsiTheme="minorHAnsi" w:cstheme="minorHAnsi"/>
              </w:rPr>
            </w:pPr>
            <w:r>
              <w:rPr>
                <w:rFonts w:asciiTheme="minorHAnsi" w:hAnsiTheme="minorHAnsi" w:cstheme="minorHAnsi"/>
              </w:rPr>
              <w:t xml:space="preserve">Instrument 4: </w:t>
            </w:r>
            <w:r w:rsidRPr="002D1A90">
              <w:rPr>
                <w:rFonts w:asciiTheme="minorHAnsi" w:hAnsiTheme="minorHAnsi" w:cstheme="minorHAnsi"/>
                <w:b/>
                <w:bCs/>
              </w:rPr>
              <w:t>Parent participant</w:t>
            </w:r>
            <w:r w:rsidRPr="000144F7">
              <w:rPr>
                <w:rFonts w:asciiTheme="minorHAnsi" w:hAnsiTheme="minorHAnsi" w:cstheme="minorHAnsi"/>
              </w:rPr>
              <w:t xml:space="preserve"> interview protocol</w:t>
            </w:r>
          </w:p>
        </w:tc>
        <w:tc>
          <w:tcPr>
            <w:tcW w:w="2305" w:type="pct"/>
          </w:tcPr>
          <w:p w:rsidR="00565158" w:rsidRPr="00C52AD8" w:rsidP="00703626" w14:paraId="4871FD93" w14:textId="77777777">
            <w:pPr>
              <w:spacing w:before="40" w:after="40"/>
              <w:rPr>
                <w:rFonts w:asciiTheme="minorHAnsi" w:hAnsiTheme="minorHAnsi" w:cstheme="minorHAnsi"/>
                <w:bCs/>
              </w:rPr>
            </w:pPr>
            <w:r>
              <w:rPr>
                <w:rFonts w:asciiTheme="minorHAnsi" w:hAnsiTheme="minorHAnsi" w:cstheme="minorHAnsi"/>
                <w:b/>
              </w:rPr>
              <w:t xml:space="preserve">Respondents: </w:t>
            </w:r>
            <w:r>
              <w:rPr>
                <w:rFonts w:asciiTheme="minorHAnsi" w:hAnsiTheme="minorHAnsi" w:cstheme="minorHAnsi"/>
                <w:bCs/>
              </w:rPr>
              <w:t>Home visiting program parent participants (</w:t>
            </w:r>
            <w:r w:rsidRPr="006B5ECE">
              <w:rPr>
                <w:rFonts w:asciiTheme="minorHAnsi" w:hAnsiTheme="minorHAnsi" w:cstheme="minorHAnsi"/>
                <w:bCs/>
                <w:i/>
                <w:iCs/>
              </w:rPr>
              <w:t>who d</w:t>
            </w:r>
            <w:r>
              <w:rPr>
                <w:rFonts w:asciiTheme="minorHAnsi" w:hAnsiTheme="minorHAnsi" w:cstheme="minorHAnsi"/>
                <w:bCs/>
                <w:i/>
                <w:iCs/>
              </w:rPr>
              <w:t>o</w:t>
            </w:r>
            <w:r w:rsidRPr="006B5ECE">
              <w:rPr>
                <w:rFonts w:asciiTheme="minorHAnsi" w:hAnsiTheme="minorHAnsi" w:cstheme="minorHAnsi"/>
                <w:bCs/>
                <w:i/>
                <w:iCs/>
              </w:rPr>
              <w:t xml:space="preserve"> not participate in a parent participant focus group</w:t>
            </w:r>
            <w:r>
              <w:rPr>
                <w:rFonts w:asciiTheme="minorHAnsi" w:hAnsiTheme="minorHAnsi" w:cstheme="minorHAnsi"/>
                <w:bCs/>
              </w:rPr>
              <w:t>); could be current or recent participants</w:t>
            </w:r>
          </w:p>
          <w:p w:rsidR="00565158" w:rsidRPr="001B5135" w:rsidP="00703626" w14:paraId="5819D1E2" w14:textId="77777777">
            <w:pPr>
              <w:spacing w:before="40" w:after="40"/>
              <w:rPr>
                <w:rFonts w:asciiTheme="minorHAnsi" w:hAnsiTheme="minorHAnsi" w:cstheme="minorHAnsi"/>
                <w:bCs/>
              </w:rPr>
            </w:pPr>
            <w:r>
              <w:rPr>
                <w:rFonts w:asciiTheme="minorHAnsi" w:hAnsiTheme="minorHAnsi" w:cstheme="minorHAnsi"/>
                <w:b/>
              </w:rPr>
              <w:t>Content:</w:t>
            </w:r>
            <w:r>
              <w:rPr>
                <w:rFonts w:asciiTheme="minorHAnsi" w:hAnsiTheme="minorHAnsi" w:cstheme="minorHAnsi"/>
                <w:bCs/>
              </w:rPr>
              <w:t xml:space="preserve"> Home visiting program usage; community characteristics; family goals, strengths, and challenges; family economic well-being; services for supporting family economic well-being; recommendations for program improvement</w:t>
            </w:r>
          </w:p>
          <w:p w:rsidR="00565158" w:rsidRPr="00E22B48" w:rsidP="00703626" w14:paraId="7195B100" w14:textId="77777777">
            <w:pPr>
              <w:spacing w:before="40" w:after="40"/>
              <w:rPr>
                <w:rFonts w:asciiTheme="minorHAnsi" w:hAnsiTheme="minorHAnsi" w:cstheme="minorHAnsi"/>
                <w:bCs/>
              </w:rPr>
            </w:pPr>
            <w:r>
              <w:rPr>
                <w:rFonts w:asciiTheme="minorHAnsi" w:hAnsiTheme="minorHAnsi" w:cstheme="minorHAnsi"/>
                <w:b/>
              </w:rPr>
              <w:t xml:space="preserve">Purpose: </w:t>
            </w:r>
            <w:r>
              <w:rPr>
                <w:rFonts w:asciiTheme="minorHAnsi" w:hAnsiTheme="minorHAnsi" w:cstheme="minorHAnsi"/>
                <w:bCs/>
              </w:rPr>
              <w:t xml:space="preserve">Gain an in-depth understanding of families’ economic and community context, their economic well-being goals and achievements, their interactions with the program; </w:t>
            </w:r>
            <w:r>
              <w:rPr>
                <w:rFonts w:asciiTheme="minorHAnsi" w:hAnsiTheme="minorHAnsi" w:cstheme="minorHAnsi"/>
              </w:rPr>
              <w:t>the components of family economic well-being considered most important by different families; the different strategies programs use to support it; opportunities for service improvement</w:t>
            </w:r>
          </w:p>
        </w:tc>
        <w:tc>
          <w:tcPr>
            <w:tcW w:w="905" w:type="pct"/>
          </w:tcPr>
          <w:p w:rsidR="00565158" w:rsidRPr="008E190D" w:rsidP="00703626" w14:paraId="16B44E67" w14:textId="77777777">
            <w:pPr>
              <w:spacing w:before="40" w:after="40"/>
              <w:rPr>
                <w:rFonts w:asciiTheme="minorHAnsi" w:hAnsiTheme="minorHAnsi" w:cstheme="minorHAnsi"/>
                <w:bCs/>
              </w:rPr>
            </w:pPr>
            <w:r>
              <w:rPr>
                <w:rFonts w:asciiTheme="minorHAnsi" w:hAnsiTheme="minorHAnsi" w:cstheme="minorHAnsi"/>
                <w:b/>
              </w:rPr>
              <w:t xml:space="preserve">Mode: </w:t>
            </w:r>
            <w:r>
              <w:rPr>
                <w:rFonts w:asciiTheme="minorHAnsi" w:hAnsiTheme="minorHAnsi" w:cstheme="minorHAnsi"/>
                <w:bCs/>
              </w:rPr>
              <w:t>Video or telephone conference</w:t>
            </w:r>
          </w:p>
          <w:p w:rsidR="00565158" w:rsidRPr="00B6356B" w:rsidP="00703626" w14:paraId="1E309392" w14:textId="77777777">
            <w:pPr>
              <w:spacing w:before="40" w:after="40"/>
              <w:rPr>
                <w:rFonts w:asciiTheme="minorHAnsi" w:hAnsiTheme="minorHAnsi" w:cstheme="minorHAnsi"/>
                <w:bCs/>
              </w:rPr>
            </w:pPr>
            <w:r>
              <w:rPr>
                <w:rFonts w:asciiTheme="minorHAnsi" w:hAnsiTheme="minorHAnsi" w:cstheme="minorHAnsi"/>
                <w:b/>
              </w:rPr>
              <w:t>Duration:</w:t>
            </w:r>
            <w:r>
              <w:rPr>
                <w:rFonts w:asciiTheme="minorHAnsi" w:hAnsiTheme="minorHAnsi" w:cstheme="minorHAnsi"/>
                <w:bCs/>
              </w:rPr>
              <w:t xml:space="preserve"> 60 minutes</w:t>
            </w:r>
          </w:p>
        </w:tc>
      </w:tr>
      <w:tr w14:paraId="6BD0ADBC" w14:textId="77777777" w:rsidTr="00B877DB">
        <w:tblPrEx>
          <w:tblW w:w="5000" w:type="pct"/>
          <w:tblLook w:val="04A0"/>
        </w:tblPrEx>
        <w:tc>
          <w:tcPr>
            <w:tcW w:w="903" w:type="pct"/>
            <w:vMerge/>
          </w:tcPr>
          <w:p w:rsidR="00565158" w:rsidRPr="00BF4959" w:rsidP="00703626" w14:paraId="58EACAC0" w14:textId="77777777">
            <w:pPr>
              <w:keepNext/>
              <w:spacing w:before="40" w:after="40"/>
              <w:rPr>
                <w:rFonts w:asciiTheme="minorHAnsi" w:hAnsiTheme="minorHAnsi" w:cstheme="minorHAnsi"/>
              </w:rPr>
            </w:pPr>
          </w:p>
        </w:tc>
        <w:tc>
          <w:tcPr>
            <w:tcW w:w="887" w:type="pct"/>
          </w:tcPr>
          <w:p w:rsidR="00565158" w:rsidRPr="00BF4959" w:rsidP="00703626" w14:paraId="42710842" w14:textId="77777777">
            <w:pPr>
              <w:keepNext/>
              <w:spacing w:before="40" w:after="40"/>
              <w:rPr>
                <w:rFonts w:asciiTheme="minorHAnsi" w:hAnsiTheme="minorHAnsi" w:cstheme="minorHAnsi"/>
              </w:rPr>
            </w:pPr>
            <w:r>
              <w:rPr>
                <w:rFonts w:asciiTheme="minorHAnsi" w:hAnsiTheme="minorHAnsi" w:cstheme="minorHAnsi"/>
              </w:rPr>
              <w:t xml:space="preserve">Instrument 5: </w:t>
            </w:r>
            <w:r w:rsidRPr="002D1A90">
              <w:rPr>
                <w:rFonts w:asciiTheme="minorHAnsi" w:hAnsiTheme="minorHAnsi" w:cstheme="minorHAnsi"/>
                <w:b/>
                <w:bCs/>
              </w:rPr>
              <w:t>Home visitor</w:t>
            </w:r>
            <w:r>
              <w:rPr>
                <w:rFonts w:asciiTheme="minorHAnsi" w:hAnsiTheme="minorHAnsi" w:cstheme="minorHAnsi"/>
              </w:rPr>
              <w:t xml:space="preserve"> group interview protocol </w:t>
            </w:r>
          </w:p>
        </w:tc>
        <w:tc>
          <w:tcPr>
            <w:tcW w:w="2305" w:type="pct"/>
          </w:tcPr>
          <w:p w:rsidR="00565158" w:rsidRPr="000C4437" w:rsidP="00703626" w14:paraId="0556A405" w14:textId="77777777">
            <w:pPr>
              <w:keepNext/>
              <w:spacing w:before="40" w:after="40"/>
              <w:rPr>
                <w:rFonts w:asciiTheme="minorHAnsi" w:hAnsiTheme="minorHAnsi" w:cstheme="minorHAnsi"/>
                <w:bCs/>
              </w:rPr>
            </w:pPr>
            <w:r>
              <w:rPr>
                <w:rFonts w:asciiTheme="minorHAnsi" w:hAnsiTheme="minorHAnsi" w:cstheme="minorHAnsi"/>
                <w:b/>
              </w:rPr>
              <w:t>Respondents:</w:t>
            </w:r>
            <w:r>
              <w:rPr>
                <w:rFonts w:asciiTheme="minorHAnsi" w:hAnsiTheme="minorHAnsi" w:cstheme="minorHAnsi"/>
                <w:bCs/>
              </w:rPr>
              <w:t xml:space="preserve"> Home visitors</w:t>
            </w:r>
          </w:p>
          <w:p w:rsidR="00565158" w:rsidRPr="00C52AD8" w:rsidP="00703626" w14:paraId="67DF17B3" w14:textId="77777777">
            <w:pPr>
              <w:keepNext/>
              <w:spacing w:before="40" w:after="40"/>
              <w:rPr>
                <w:rFonts w:asciiTheme="minorHAnsi" w:hAnsiTheme="minorHAnsi" w:cstheme="minorHAnsi"/>
                <w:bCs/>
              </w:rPr>
            </w:pPr>
            <w:r>
              <w:rPr>
                <w:rFonts w:asciiTheme="minorHAnsi" w:hAnsiTheme="minorHAnsi" w:cstheme="minorHAnsi"/>
                <w:b/>
              </w:rPr>
              <w:t xml:space="preserve">Content: </w:t>
            </w:r>
            <w:r>
              <w:rPr>
                <w:rFonts w:asciiTheme="minorHAnsi" w:hAnsiTheme="minorHAnsi" w:cstheme="minorHAnsi"/>
              </w:rPr>
              <w:t>Program, staff, community, and client characteristics; components of family economic well-being; strategies for supporting family economic well-being; professional and community resources; program improvement recommendations</w:t>
            </w:r>
          </w:p>
          <w:p w:rsidR="00565158" w:rsidRPr="00BF4959" w:rsidP="00703626" w14:paraId="749D1D98" w14:textId="77777777">
            <w:pPr>
              <w:keepNext/>
              <w:spacing w:before="40" w:after="40"/>
              <w:rPr>
                <w:rFonts w:asciiTheme="minorHAnsi" w:hAnsiTheme="minorHAnsi" w:cstheme="minorHAnsi"/>
                <w:b/>
              </w:rPr>
            </w:pPr>
            <w:r>
              <w:rPr>
                <w:rFonts w:asciiTheme="minorHAnsi" w:hAnsiTheme="minorHAnsi" w:cstheme="minorHAnsi"/>
                <w:b/>
              </w:rPr>
              <w:t xml:space="preserve">Purpose: </w:t>
            </w:r>
            <w:r>
              <w:rPr>
                <w:rFonts w:asciiTheme="minorHAnsi" w:hAnsiTheme="minorHAnsi" w:cstheme="minorHAnsi"/>
              </w:rPr>
              <w:t>Understand the home visitors’ perspectives on the different components of family economic well-being and how programs are measuring it; understand how they use the different strategies to support family economic well-being and opportunities for service improvement. The group interview format (of 2-3 home visitors) will allow for a more in-depth conversation about each topic compared to a focus group.</w:t>
            </w:r>
          </w:p>
        </w:tc>
        <w:tc>
          <w:tcPr>
            <w:tcW w:w="905" w:type="pct"/>
          </w:tcPr>
          <w:p w:rsidR="00565158" w:rsidRPr="008E190D" w:rsidP="00703626" w14:paraId="4A853BD1" w14:textId="77777777">
            <w:pPr>
              <w:keepNext/>
              <w:spacing w:before="40" w:after="40"/>
              <w:rPr>
                <w:rFonts w:asciiTheme="minorHAnsi" w:hAnsiTheme="minorHAnsi" w:cstheme="minorHAnsi"/>
                <w:bCs/>
              </w:rPr>
            </w:pPr>
            <w:r>
              <w:rPr>
                <w:rFonts w:asciiTheme="minorHAnsi" w:hAnsiTheme="minorHAnsi" w:cstheme="minorHAnsi"/>
                <w:b/>
              </w:rPr>
              <w:t xml:space="preserve">Mode: </w:t>
            </w:r>
            <w:r>
              <w:rPr>
                <w:rFonts w:asciiTheme="minorHAnsi" w:hAnsiTheme="minorHAnsi" w:cstheme="minorHAnsi"/>
                <w:bCs/>
              </w:rPr>
              <w:t>Video or telephone conference</w:t>
            </w:r>
          </w:p>
          <w:p w:rsidR="00565158" w:rsidRPr="00BF4959" w:rsidP="00703626" w14:paraId="74549478" w14:textId="77777777">
            <w:pPr>
              <w:keepNext/>
              <w:spacing w:before="40" w:after="40"/>
              <w:rPr>
                <w:rFonts w:asciiTheme="minorHAnsi" w:hAnsiTheme="minorHAnsi" w:cstheme="minorHAnsi"/>
                <w:b/>
              </w:rPr>
            </w:pPr>
            <w:r>
              <w:rPr>
                <w:rFonts w:asciiTheme="minorHAnsi" w:hAnsiTheme="minorHAnsi" w:cstheme="minorHAnsi"/>
                <w:b/>
              </w:rPr>
              <w:t xml:space="preserve">Duration: </w:t>
            </w:r>
            <w:r>
              <w:rPr>
                <w:rFonts w:asciiTheme="minorHAnsi" w:hAnsiTheme="minorHAnsi" w:cstheme="minorHAnsi"/>
                <w:bCs/>
              </w:rPr>
              <w:t>9</w:t>
            </w:r>
            <w:r w:rsidRPr="00B6356B">
              <w:rPr>
                <w:rFonts w:asciiTheme="minorHAnsi" w:hAnsiTheme="minorHAnsi" w:cstheme="minorHAnsi"/>
                <w:bCs/>
              </w:rPr>
              <w:t>0 minutes</w:t>
            </w:r>
          </w:p>
        </w:tc>
      </w:tr>
      <w:tr w14:paraId="651F98A5" w14:textId="77777777" w:rsidTr="00B877DB">
        <w:tblPrEx>
          <w:tblW w:w="5000" w:type="pct"/>
          <w:tblLook w:val="04A0"/>
        </w:tblPrEx>
        <w:tc>
          <w:tcPr>
            <w:tcW w:w="903" w:type="pct"/>
          </w:tcPr>
          <w:p w:rsidR="00832BFD" w:rsidRPr="00832BFD" w:rsidP="00703626" w14:paraId="3FA60619" w14:textId="77777777">
            <w:pPr>
              <w:spacing w:before="40" w:after="40"/>
              <w:rPr>
                <w:rFonts w:asciiTheme="minorHAnsi" w:hAnsiTheme="minorHAnsi" w:cstheme="minorHAnsi"/>
              </w:rPr>
            </w:pPr>
            <w:r w:rsidRPr="00832BFD">
              <w:rPr>
                <w:rFonts w:asciiTheme="minorHAnsi" w:hAnsiTheme="minorHAnsi" w:cstheme="minorHAnsi"/>
              </w:rPr>
              <w:t>Focus groups</w:t>
            </w:r>
          </w:p>
        </w:tc>
        <w:tc>
          <w:tcPr>
            <w:tcW w:w="887" w:type="pct"/>
          </w:tcPr>
          <w:p w:rsidR="00832BFD" w:rsidRPr="00077E46" w:rsidP="00703626" w14:paraId="5F44D036" w14:textId="77777777">
            <w:pPr>
              <w:spacing w:before="40" w:after="40"/>
              <w:rPr>
                <w:rFonts w:asciiTheme="minorHAnsi" w:hAnsiTheme="minorHAnsi" w:cstheme="minorHAnsi"/>
                <w:lang w:val="fr-FR"/>
              </w:rPr>
            </w:pPr>
            <w:r w:rsidRPr="00077E46">
              <w:rPr>
                <w:rFonts w:asciiTheme="minorHAnsi" w:hAnsiTheme="minorHAnsi" w:cstheme="minorHAnsi"/>
                <w:lang w:val="fr-FR"/>
              </w:rPr>
              <w:t xml:space="preserve">Instrument </w:t>
            </w:r>
            <w:r w:rsidR="00AC71F9">
              <w:rPr>
                <w:rFonts w:asciiTheme="minorHAnsi" w:hAnsiTheme="minorHAnsi" w:cstheme="minorHAnsi"/>
                <w:lang w:val="fr-FR"/>
              </w:rPr>
              <w:t>6</w:t>
            </w:r>
            <w:r w:rsidRPr="00077E46">
              <w:rPr>
                <w:rFonts w:asciiTheme="minorHAnsi" w:hAnsiTheme="minorHAnsi" w:cstheme="minorHAnsi"/>
                <w:lang w:val="fr-FR"/>
              </w:rPr>
              <w:t>:</w:t>
            </w:r>
            <w:r w:rsidRPr="00077E46">
              <w:rPr>
                <w:rFonts w:asciiTheme="minorHAnsi" w:hAnsiTheme="minorHAnsi" w:cstheme="minorHAnsi"/>
                <w:lang w:val="fr-FR"/>
              </w:rPr>
              <w:t xml:space="preserve"> </w:t>
            </w:r>
            <w:r w:rsidRPr="00077E46" w:rsidR="002D1A90">
              <w:rPr>
                <w:rFonts w:asciiTheme="minorHAnsi" w:hAnsiTheme="minorHAnsi" w:cstheme="minorHAnsi"/>
                <w:b/>
                <w:bCs/>
                <w:lang w:val="fr-FR"/>
              </w:rPr>
              <w:t>Parent participant</w:t>
            </w:r>
            <w:r w:rsidRPr="00077E46" w:rsidR="002D1A90">
              <w:rPr>
                <w:rFonts w:asciiTheme="minorHAnsi" w:hAnsiTheme="minorHAnsi" w:cstheme="minorHAnsi"/>
                <w:lang w:val="fr-FR"/>
              </w:rPr>
              <w:t xml:space="preserve"> focus group guide</w:t>
            </w:r>
            <w:r w:rsidRPr="00077E46">
              <w:rPr>
                <w:rFonts w:asciiTheme="minorHAnsi" w:hAnsiTheme="minorHAnsi" w:cstheme="minorHAnsi"/>
                <w:b/>
                <w:bCs/>
                <w:lang w:val="fr-FR"/>
              </w:rPr>
              <w:t xml:space="preserve"> </w:t>
            </w:r>
          </w:p>
        </w:tc>
        <w:tc>
          <w:tcPr>
            <w:tcW w:w="2305" w:type="pct"/>
          </w:tcPr>
          <w:p w:rsidR="00832BFD" w:rsidRPr="00C52AD8" w:rsidP="00703626" w14:paraId="6DF48D5E" w14:textId="77777777">
            <w:pPr>
              <w:spacing w:before="40" w:after="40"/>
              <w:rPr>
                <w:rFonts w:asciiTheme="minorHAnsi" w:hAnsiTheme="minorHAnsi" w:cstheme="minorHAnsi"/>
                <w:bCs/>
              </w:rPr>
            </w:pPr>
            <w:r>
              <w:rPr>
                <w:rFonts w:asciiTheme="minorHAnsi" w:hAnsiTheme="minorHAnsi" w:cstheme="minorHAnsi"/>
                <w:b/>
              </w:rPr>
              <w:t>Respondents:</w:t>
            </w:r>
            <w:r w:rsidR="00C52AD8">
              <w:rPr>
                <w:rFonts w:asciiTheme="minorHAnsi" w:hAnsiTheme="minorHAnsi" w:cstheme="minorHAnsi"/>
                <w:bCs/>
              </w:rPr>
              <w:t xml:space="preserve"> Home visiting program </w:t>
            </w:r>
            <w:r w:rsidR="002F623C">
              <w:rPr>
                <w:rFonts w:asciiTheme="minorHAnsi" w:hAnsiTheme="minorHAnsi" w:cstheme="minorHAnsi"/>
                <w:bCs/>
              </w:rPr>
              <w:t xml:space="preserve">parent </w:t>
            </w:r>
            <w:r w:rsidR="00BF4959">
              <w:rPr>
                <w:rFonts w:asciiTheme="minorHAnsi" w:hAnsiTheme="minorHAnsi" w:cstheme="minorHAnsi"/>
                <w:bCs/>
              </w:rPr>
              <w:t>participant</w:t>
            </w:r>
            <w:r w:rsidR="00C52AD8">
              <w:rPr>
                <w:rFonts w:asciiTheme="minorHAnsi" w:hAnsiTheme="minorHAnsi" w:cstheme="minorHAnsi"/>
                <w:bCs/>
              </w:rPr>
              <w:t>s</w:t>
            </w:r>
            <w:r w:rsidR="006B5ECE">
              <w:rPr>
                <w:rFonts w:asciiTheme="minorHAnsi" w:hAnsiTheme="minorHAnsi" w:cstheme="minorHAnsi"/>
                <w:bCs/>
              </w:rPr>
              <w:t xml:space="preserve"> (</w:t>
            </w:r>
            <w:r w:rsidRPr="006B5ECE" w:rsidR="006B5ECE">
              <w:rPr>
                <w:rFonts w:asciiTheme="minorHAnsi" w:hAnsiTheme="minorHAnsi" w:cstheme="minorHAnsi"/>
                <w:bCs/>
                <w:i/>
                <w:iCs/>
              </w:rPr>
              <w:t>who did not participate in a parent participant interview</w:t>
            </w:r>
            <w:r w:rsidR="006B5ECE">
              <w:rPr>
                <w:rFonts w:asciiTheme="minorHAnsi" w:hAnsiTheme="minorHAnsi" w:cstheme="minorHAnsi"/>
                <w:bCs/>
              </w:rPr>
              <w:t>)</w:t>
            </w:r>
            <w:r w:rsidR="00651ACA">
              <w:rPr>
                <w:rFonts w:asciiTheme="minorHAnsi" w:hAnsiTheme="minorHAnsi" w:cstheme="minorHAnsi"/>
                <w:bCs/>
              </w:rPr>
              <w:t>;</w:t>
            </w:r>
            <w:r w:rsidR="00CE0559">
              <w:rPr>
                <w:rFonts w:asciiTheme="minorHAnsi" w:hAnsiTheme="minorHAnsi" w:cstheme="minorHAnsi"/>
                <w:bCs/>
              </w:rPr>
              <w:t xml:space="preserve"> </w:t>
            </w:r>
            <w:r w:rsidR="00651ACA">
              <w:rPr>
                <w:rFonts w:asciiTheme="minorHAnsi" w:hAnsiTheme="minorHAnsi" w:cstheme="minorHAnsi"/>
                <w:bCs/>
              </w:rPr>
              <w:t xml:space="preserve">could </w:t>
            </w:r>
            <w:r w:rsidR="00CE0559">
              <w:rPr>
                <w:rFonts w:asciiTheme="minorHAnsi" w:hAnsiTheme="minorHAnsi" w:cstheme="minorHAnsi"/>
                <w:bCs/>
              </w:rPr>
              <w:t>be current or recent participants</w:t>
            </w:r>
          </w:p>
          <w:p w:rsidR="00832BFD" w:rsidRPr="001B5135" w:rsidP="00703626" w14:paraId="59E0429D" w14:textId="77777777">
            <w:pPr>
              <w:spacing w:before="40" w:after="40"/>
              <w:rPr>
                <w:rFonts w:asciiTheme="minorHAnsi" w:hAnsiTheme="minorHAnsi" w:cstheme="minorHAnsi"/>
                <w:bCs/>
              </w:rPr>
            </w:pPr>
            <w:r>
              <w:rPr>
                <w:rFonts w:asciiTheme="minorHAnsi" w:hAnsiTheme="minorHAnsi" w:cstheme="minorHAnsi"/>
                <w:b/>
              </w:rPr>
              <w:t>Content:</w:t>
            </w:r>
            <w:r w:rsidR="001B5135">
              <w:rPr>
                <w:rFonts w:asciiTheme="minorHAnsi" w:hAnsiTheme="minorHAnsi" w:cstheme="minorHAnsi"/>
                <w:bCs/>
              </w:rPr>
              <w:t xml:space="preserve"> Home visiting program usage; family goals, strengths</w:t>
            </w:r>
            <w:r w:rsidR="00651ACA">
              <w:rPr>
                <w:rFonts w:asciiTheme="minorHAnsi" w:hAnsiTheme="minorHAnsi" w:cstheme="minorHAnsi"/>
                <w:bCs/>
              </w:rPr>
              <w:t>,</w:t>
            </w:r>
            <w:r w:rsidR="001B5135">
              <w:rPr>
                <w:rFonts w:asciiTheme="minorHAnsi" w:hAnsiTheme="minorHAnsi" w:cstheme="minorHAnsi"/>
                <w:bCs/>
              </w:rPr>
              <w:t xml:space="preserve"> and challenges; family economic well-being; </w:t>
            </w:r>
            <w:r w:rsidR="00402017">
              <w:rPr>
                <w:rFonts w:asciiTheme="minorHAnsi" w:hAnsiTheme="minorHAnsi" w:cstheme="minorHAnsi"/>
                <w:bCs/>
              </w:rPr>
              <w:t>services</w:t>
            </w:r>
            <w:r w:rsidR="001B5135">
              <w:rPr>
                <w:rFonts w:asciiTheme="minorHAnsi" w:hAnsiTheme="minorHAnsi" w:cstheme="minorHAnsi"/>
                <w:bCs/>
              </w:rPr>
              <w:t xml:space="preserve"> for supporting family economic well-being; recommendations for program improvement</w:t>
            </w:r>
          </w:p>
          <w:p w:rsidR="00832BFD" w:rsidRPr="00E22B48" w:rsidP="00703626" w14:paraId="0B68576E" w14:textId="77777777">
            <w:pPr>
              <w:spacing w:before="40" w:after="40"/>
              <w:rPr>
                <w:rFonts w:asciiTheme="minorHAnsi" w:hAnsiTheme="minorHAnsi" w:cstheme="minorHAnsi"/>
                <w:bCs/>
              </w:rPr>
            </w:pPr>
            <w:r>
              <w:rPr>
                <w:rFonts w:asciiTheme="minorHAnsi" w:hAnsiTheme="minorHAnsi" w:cstheme="minorHAnsi"/>
                <w:b/>
              </w:rPr>
              <w:t>Purpose:</w:t>
            </w:r>
            <w:r w:rsidR="00E22B48">
              <w:rPr>
                <w:rFonts w:asciiTheme="minorHAnsi" w:hAnsiTheme="minorHAnsi" w:cstheme="minorHAnsi"/>
                <w:bCs/>
              </w:rPr>
              <w:t xml:space="preserve"> </w:t>
            </w:r>
            <w:r w:rsidR="00E80AFF">
              <w:rPr>
                <w:rFonts w:asciiTheme="minorHAnsi" w:hAnsiTheme="minorHAnsi" w:cstheme="minorHAnsi"/>
              </w:rPr>
              <w:t>Gain a general u</w:t>
            </w:r>
            <w:r w:rsidRPr="00560DF4" w:rsidR="00E22B48">
              <w:rPr>
                <w:rFonts w:asciiTheme="minorHAnsi" w:hAnsiTheme="minorHAnsi" w:cstheme="minorHAnsi"/>
              </w:rPr>
              <w:t>nderstand</w:t>
            </w:r>
            <w:r w:rsidR="00E80AFF">
              <w:rPr>
                <w:rFonts w:asciiTheme="minorHAnsi" w:hAnsiTheme="minorHAnsi" w:cstheme="minorHAnsi"/>
              </w:rPr>
              <w:t>ing of</w:t>
            </w:r>
            <w:r w:rsidRPr="00560DF4" w:rsidR="00E22B48">
              <w:rPr>
                <w:rFonts w:asciiTheme="minorHAnsi" w:hAnsiTheme="minorHAnsi" w:cstheme="minorHAnsi"/>
              </w:rPr>
              <w:t xml:space="preserve"> </w:t>
            </w:r>
            <w:r w:rsidRPr="00560DF4" w:rsidR="0082758D">
              <w:rPr>
                <w:rFonts w:asciiTheme="minorHAnsi" w:hAnsiTheme="minorHAnsi" w:cstheme="minorHAnsi"/>
              </w:rPr>
              <w:t>which strategies families find most acceptable and consider most helpful</w:t>
            </w:r>
            <w:r w:rsidR="00966892">
              <w:rPr>
                <w:rFonts w:asciiTheme="minorHAnsi" w:hAnsiTheme="minorHAnsi" w:cstheme="minorHAnsi"/>
              </w:rPr>
              <w:t>;</w:t>
            </w:r>
            <w:r w:rsidRPr="00560DF4" w:rsidR="0082758D">
              <w:rPr>
                <w:rFonts w:asciiTheme="minorHAnsi" w:hAnsiTheme="minorHAnsi" w:cstheme="minorHAnsi"/>
              </w:rPr>
              <w:t xml:space="preserve"> learn family perceptions of how these strategies “fit” within the other goals for their home visiting programs</w:t>
            </w:r>
            <w:r w:rsidR="00966892">
              <w:rPr>
                <w:rFonts w:asciiTheme="minorHAnsi" w:hAnsiTheme="minorHAnsi" w:cstheme="minorHAnsi"/>
              </w:rPr>
              <w:t>;</w:t>
            </w:r>
            <w:r w:rsidRPr="00560DF4" w:rsidR="0082758D">
              <w:rPr>
                <w:rFonts w:asciiTheme="minorHAnsi" w:hAnsiTheme="minorHAnsi" w:cstheme="minorHAnsi"/>
              </w:rPr>
              <w:t xml:space="preserve"> </w:t>
            </w:r>
            <w:r w:rsidRPr="00560DF4" w:rsidR="00E22B48">
              <w:rPr>
                <w:rFonts w:asciiTheme="minorHAnsi" w:hAnsiTheme="minorHAnsi" w:cstheme="minorHAnsi"/>
              </w:rPr>
              <w:t>opportunities for service improvement</w:t>
            </w:r>
          </w:p>
        </w:tc>
        <w:tc>
          <w:tcPr>
            <w:tcW w:w="905" w:type="pct"/>
          </w:tcPr>
          <w:p w:rsidR="007646E9" w:rsidRPr="008E190D" w:rsidP="00703626" w14:paraId="3CEEDAFF" w14:textId="77777777">
            <w:pPr>
              <w:spacing w:before="40" w:after="40"/>
              <w:rPr>
                <w:rFonts w:asciiTheme="minorHAnsi" w:hAnsiTheme="minorHAnsi" w:cstheme="minorHAnsi"/>
                <w:bCs/>
              </w:rPr>
            </w:pPr>
            <w:r>
              <w:rPr>
                <w:rFonts w:asciiTheme="minorHAnsi" w:hAnsiTheme="minorHAnsi" w:cstheme="minorHAnsi"/>
                <w:b/>
              </w:rPr>
              <w:t>Mode:</w:t>
            </w:r>
            <w:r w:rsidR="008E190D">
              <w:rPr>
                <w:rFonts w:asciiTheme="minorHAnsi" w:hAnsiTheme="minorHAnsi" w:cstheme="minorHAnsi"/>
                <w:bCs/>
              </w:rPr>
              <w:t xml:space="preserve"> Video </w:t>
            </w:r>
            <w:r w:rsidR="00F8344A">
              <w:rPr>
                <w:rFonts w:asciiTheme="minorHAnsi" w:hAnsiTheme="minorHAnsi" w:cstheme="minorHAnsi"/>
                <w:bCs/>
              </w:rPr>
              <w:t xml:space="preserve">or telephone </w:t>
            </w:r>
            <w:r w:rsidR="008E190D">
              <w:rPr>
                <w:rFonts w:asciiTheme="minorHAnsi" w:hAnsiTheme="minorHAnsi" w:cstheme="minorHAnsi"/>
                <w:bCs/>
              </w:rPr>
              <w:t>conference</w:t>
            </w:r>
          </w:p>
          <w:p w:rsidR="00832BFD" w:rsidRPr="00B6356B" w:rsidP="00703626" w14:paraId="32543FC8" w14:textId="77777777">
            <w:pPr>
              <w:spacing w:before="40" w:after="40"/>
              <w:rPr>
                <w:rFonts w:asciiTheme="minorHAnsi" w:hAnsiTheme="minorHAnsi" w:cstheme="minorHAnsi"/>
                <w:bCs/>
              </w:rPr>
            </w:pPr>
            <w:r>
              <w:rPr>
                <w:rFonts w:asciiTheme="minorHAnsi" w:hAnsiTheme="minorHAnsi" w:cstheme="minorHAnsi"/>
                <w:b/>
              </w:rPr>
              <w:t>Duration:</w:t>
            </w:r>
            <w:r w:rsidR="00B6356B">
              <w:rPr>
                <w:rFonts w:asciiTheme="minorHAnsi" w:hAnsiTheme="minorHAnsi" w:cstheme="minorHAnsi"/>
                <w:bCs/>
              </w:rPr>
              <w:t xml:space="preserve"> 60 minutes</w:t>
            </w:r>
          </w:p>
        </w:tc>
      </w:tr>
    </w:tbl>
    <w:p w:rsidR="004328A4" w:rsidP="00DF1291" w14:paraId="082FEC9A" w14:textId="77777777">
      <w:pPr>
        <w:spacing w:after="0" w:line="240" w:lineRule="auto"/>
        <w:rPr>
          <w:i/>
        </w:rPr>
      </w:pPr>
    </w:p>
    <w:p w:rsidR="004328A4" w:rsidRPr="004328A4" w:rsidP="007D0F6E" w14:paraId="319490AF" w14:textId="77777777">
      <w:pPr>
        <w:spacing w:after="120" w:line="240" w:lineRule="auto"/>
        <w:rPr>
          <w:i/>
        </w:rPr>
      </w:pPr>
      <w:r>
        <w:rPr>
          <w:i/>
        </w:rPr>
        <w:t>Other Data Sources and Uses of Information</w:t>
      </w:r>
    </w:p>
    <w:p w:rsidR="00111DB9" w:rsidRPr="0002282E" w:rsidP="00111DB9" w14:paraId="2B7F6104" w14:textId="77777777">
      <w:pPr>
        <w:spacing w:before="120" w:after="120" w:line="240" w:lineRule="auto"/>
        <w:rPr>
          <w:iCs/>
        </w:rPr>
      </w:pPr>
      <w:r>
        <w:rPr>
          <w:iCs/>
        </w:rPr>
        <w:t xml:space="preserve">This proposed data collection will be used in conjunction with other project activities to achieve the goals of the project. </w:t>
      </w:r>
      <w:r w:rsidRPr="0002282E">
        <w:rPr>
          <w:iCs/>
        </w:rPr>
        <w:t>Project activities include</w:t>
      </w:r>
      <w:r>
        <w:rPr>
          <w:iCs/>
        </w:rPr>
        <w:t xml:space="preserve"> </w:t>
      </w:r>
      <w:r w:rsidRPr="00AE0B67">
        <w:rPr>
          <w:rFonts w:cstheme="minorHAnsi"/>
        </w:rPr>
        <w:t>the</w:t>
      </w:r>
      <w:r>
        <w:rPr>
          <w:iCs/>
        </w:rPr>
        <w:t xml:space="preserve"> following</w:t>
      </w:r>
      <w:r w:rsidRPr="0002282E">
        <w:rPr>
          <w:iCs/>
        </w:rPr>
        <w:t>:</w:t>
      </w:r>
    </w:p>
    <w:p w:rsidR="00111DB9" w:rsidP="00111DB9" w14:paraId="50B9AF51" w14:textId="77777777">
      <w:pPr>
        <w:pStyle w:val="ListParagraph"/>
        <w:numPr>
          <w:ilvl w:val="0"/>
          <w:numId w:val="19"/>
        </w:numPr>
        <w:spacing w:before="120" w:after="120" w:line="240" w:lineRule="auto"/>
        <w:contextualSpacing w:val="0"/>
        <w:rPr>
          <w:iCs/>
        </w:rPr>
      </w:pPr>
      <w:r w:rsidRPr="0002282E">
        <w:rPr>
          <w:iCs/>
        </w:rPr>
        <w:t>Conducting literature and document reviews to identify</w:t>
      </w:r>
      <w:r>
        <w:rPr>
          <w:iCs/>
        </w:rPr>
        <w:t xml:space="preserve"> components of family economic well-being; </w:t>
      </w:r>
      <w:r w:rsidRPr="0002282E">
        <w:rPr>
          <w:iCs/>
        </w:rPr>
        <w:t>practices t</w:t>
      </w:r>
      <w:r>
        <w:rPr>
          <w:iCs/>
        </w:rPr>
        <w:t xml:space="preserve">hat </w:t>
      </w:r>
      <w:r w:rsidRPr="0002282E">
        <w:rPr>
          <w:iCs/>
        </w:rPr>
        <w:t>support family economic well-being through home visiting</w:t>
      </w:r>
      <w:r>
        <w:rPr>
          <w:iCs/>
        </w:rPr>
        <w:t>;</w:t>
      </w:r>
      <w:r w:rsidRPr="0002282E">
        <w:rPr>
          <w:iCs/>
        </w:rPr>
        <w:t xml:space="preserve"> and existing measures of family economic well-being</w:t>
      </w:r>
    </w:p>
    <w:p w:rsidR="00111DB9" w:rsidP="00111DB9" w14:paraId="7E87A098" w14:textId="77777777">
      <w:pPr>
        <w:pStyle w:val="ListParagraph"/>
        <w:numPr>
          <w:ilvl w:val="0"/>
          <w:numId w:val="19"/>
        </w:numPr>
        <w:spacing w:before="120" w:after="120" w:line="240" w:lineRule="auto"/>
        <w:contextualSpacing w:val="0"/>
        <w:rPr>
          <w:iCs/>
        </w:rPr>
      </w:pPr>
      <w:r w:rsidRPr="0002282E">
        <w:rPr>
          <w:iCs/>
        </w:rPr>
        <w:t>Developing a conceptual model of how home visiting services can improve family economic well-being</w:t>
      </w:r>
    </w:p>
    <w:p w:rsidR="00CA3025" w:rsidP="007D0F6E" w14:paraId="3428F62F" w14:textId="77777777">
      <w:pPr>
        <w:spacing w:after="0" w:line="240" w:lineRule="auto"/>
      </w:pPr>
    </w:p>
    <w:p w:rsidR="007D0F6E" w:rsidP="00AE0B67" w14:paraId="2279326E" w14:textId="77777777">
      <w:pPr>
        <w:keepNext/>
        <w:spacing w:before="240" w:after="120" w:line="240" w:lineRule="auto"/>
        <w:ind w:left="720" w:hanging="720"/>
        <w:rPr>
          <w:b/>
        </w:rPr>
      </w:pPr>
      <w:r w:rsidRPr="00624DDC">
        <w:rPr>
          <w:b/>
        </w:rPr>
        <w:t>A3</w:t>
      </w:r>
      <w:r>
        <w:t>.</w:t>
      </w:r>
      <w:r>
        <w:tab/>
      </w:r>
      <w:r w:rsidRPr="007D0F6E" w:rsidR="004E5778">
        <w:rPr>
          <w:b/>
        </w:rPr>
        <w:t>Use of Information Technology to Reduce Burden</w:t>
      </w:r>
    </w:p>
    <w:p w:rsidR="007646E9" w:rsidRPr="009139B3" w:rsidP="00AE0B67" w14:paraId="1E907922" w14:textId="0ABA0D07">
      <w:pPr>
        <w:spacing w:before="200" w:line="240" w:lineRule="auto"/>
      </w:pPr>
      <w:r>
        <w:t>We will conduct all data collection remotely via telephone</w:t>
      </w:r>
      <w:r w:rsidR="00560DF4">
        <w:t xml:space="preserve"> or </w:t>
      </w:r>
      <w:r>
        <w:t xml:space="preserve">video conferencing software. After obtaining permission </w:t>
      </w:r>
      <w:r w:rsidRPr="00AE0B67">
        <w:rPr>
          <w:rFonts w:cstheme="minorHAnsi"/>
        </w:rPr>
        <w:t>from</w:t>
      </w:r>
      <w:r>
        <w:t xml:space="preserve"> each participant, we will audio-record all interviews and focus groups to capture information accurately without requiring participant</w:t>
      </w:r>
      <w:r w:rsidR="00DB357C">
        <w:t>s</w:t>
      </w:r>
      <w:r>
        <w:t xml:space="preserve"> to repeat </w:t>
      </w:r>
      <w:r w:rsidR="00DB357C">
        <w:t>themselves</w:t>
      </w:r>
      <w:r>
        <w:t>.</w:t>
      </w:r>
      <w:r w:rsidR="00AB1762">
        <w:t xml:space="preserve"> We will use the recording to supplement the notes we take during the </w:t>
      </w:r>
      <w:r w:rsidR="004F2F65">
        <w:t xml:space="preserve">staff </w:t>
      </w:r>
      <w:r w:rsidR="00AB1762">
        <w:t>interviews and focus groups</w:t>
      </w:r>
      <w:r w:rsidR="004F2F65">
        <w:t xml:space="preserve">; we will transcribe the parent participant interviews, as </w:t>
      </w:r>
      <w:r w:rsidR="00733C32">
        <w:t>there won’t be a notetaker present in those interviews</w:t>
      </w:r>
      <w:r w:rsidR="00AB1762">
        <w:t>.</w:t>
      </w:r>
    </w:p>
    <w:p w:rsidR="00891CD9" w:rsidP="00AE0B67" w14:paraId="2783D8A8" w14:textId="77777777">
      <w:pPr>
        <w:keepNext/>
        <w:spacing w:before="240"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w:t>
      </w:r>
      <w:r w:rsidRPr="007D0F6E" w:rsidR="00C44EFE">
        <w:rPr>
          <w:b/>
        </w:rPr>
        <w:t>Reduce Duplication, Minimize Burden</w:t>
      </w:r>
      <w:r w:rsidRPr="007D0F6E" w:rsidR="009A3AD8">
        <w:rPr>
          <w:b/>
        </w:rPr>
        <w:t>,</w:t>
      </w:r>
      <w:r w:rsidRPr="007D0F6E" w:rsidR="00A03E3F">
        <w:rPr>
          <w:b/>
        </w:rPr>
        <w:t xml:space="preserve"> and</w:t>
      </w:r>
      <w:r w:rsidRPr="007D0F6E" w:rsidR="00EA0D4F">
        <w:rPr>
          <w:b/>
        </w:rPr>
        <w:t xml:space="preserve"> </w:t>
      </w:r>
      <w:r w:rsidRPr="007D0F6E" w:rsidR="00C44EFE">
        <w:rPr>
          <w:b/>
        </w:rPr>
        <w:t xml:space="preserve">Increase Utility </w:t>
      </w:r>
      <w:r w:rsidRPr="007D0F6E" w:rsidR="00D55767">
        <w:rPr>
          <w:b/>
        </w:rPr>
        <w:t>and</w:t>
      </w:r>
      <w:r w:rsidRPr="007D0F6E" w:rsidR="00EA0D4F">
        <w:rPr>
          <w:b/>
        </w:rPr>
        <w:t xml:space="preserve"> </w:t>
      </w:r>
      <w:r w:rsidRPr="007D0F6E" w:rsidR="00C44EFE">
        <w:rPr>
          <w:b/>
        </w:rPr>
        <w:t>Government Efficiency</w:t>
      </w:r>
    </w:p>
    <w:p w:rsidR="007646E9" w:rsidP="00AE0B67" w14:paraId="081B6D91" w14:textId="1E9279EC">
      <w:pPr>
        <w:spacing w:before="200" w:line="240" w:lineRule="auto"/>
      </w:pPr>
      <w:r>
        <w:t>Our examination of work in this area has not identified other current or planned efforts to collect information to understand</w:t>
      </w:r>
      <w:r w:rsidR="003003F2">
        <w:t xml:space="preserve"> definitions of family economic well-being,</w:t>
      </w:r>
      <w:r>
        <w:t xml:space="preserve"> home visiting strategies used to support </w:t>
      </w:r>
      <w:r w:rsidR="002A3103">
        <w:t>such</w:t>
      </w:r>
      <w:r>
        <w:t xml:space="preserve"> well-being</w:t>
      </w:r>
      <w:r w:rsidR="003003F2">
        <w:t>, or measures of family economic well-being</w:t>
      </w:r>
      <w:r w:rsidR="003A61CF">
        <w:t xml:space="preserve"> </w:t>
      </w:r>
      <w:r w:rsidR="00B7273B">
        <w:t>that</w:t>
      </w:r>
      <w:r w:rsidR="009B1D93">
        <w:t xml:space="preserve"> local</w:t>
      </w:r>
      <w:r w:rsidR="00B7273B">
        <w:t xml:space="preserve"> </w:t>
      </w:r>
      <w:r w:rsidR="00B94EDA">
        <w:t>ECHV</w:t>
      </w:r>
      <w:r w:rsidR="00B7273B">
        <w:t xml:space="preserve"> programs </w:t>
      </w:r>
      <w:r w:rsidR="003A61CF">
        <w:t>use</w:t>
      </w:r>
      <w:r>
        <w:t xml:space="preserve">. </w:t>
      </w:r>
    </w:p>
    <w:p w:rsidR="007646E9" w:rsidRPr="009139B3" w:rsidP="00AE0B67" w14:paraId="1F47008F" w14:textId="745C04EF">
      <w:pPr>
        <w:spacing w:before="200" w:line="240" w:lineRule="auto"/>
      </w:pPr>
      <w:r>
        <w:t xml:space="preserve">The data collection plan is designed to obtain information </w:t>
      </w:r>
      <w:r w:rsidR="002A3103">
        <w:t xml:space="preserve">efficiently </w:t>
      </w:r>
      <w:r>
        <w:t>and minimize respondent burden.</w:t>
      </w:r>
      <w:r w:rsidR="0063493B">
        <w:t xml:space="preserve"> </w:t>
      </w:r>
      <w:r w:rsidR="002A3103">
        <w:t xml:space="preserve">Although </w:t>
      </w:r>
      <w:r w:rsidR="0063493B">
        <w:t xml:space="preserve">there is overlap in the overarching topics </w:t>
      </w:r>
      <w:r w:rsidR="007A1373">
        <w:t xml:space="preserve">found in the interview protocols and focus group guides, we will ask specific respondent groups </w:t>
      </w:r>
      <w:r w:rsidR="00810939">
        <w:t xml:space="preserve">different </w:t>
      </w:r>
      <w:r w:rsidR="007A1373">
        <w:t xml:space="preserve">subsets of questions within each topic. We will ask similar questions across respondent groups </w:t>
      </w:r>
      <w:r w:rsidR="00757FA5">
        <w:t xml:space="preserve">only </w:t>
      </w:r>
      <w:r w:rsidR="007A1373">
        <w:t>when it is valuable to obtain a variety of perspectives</w:t>
      </w:r>
      <w:r w:rsidR="009802F2">
        <w:t xml:space="preserve"> on a subtopic</w:t>
      </w:r>
      <w:r w:rsidR="007A1373">
        <w:t>.</w:t>
      </w:r>
      <w:r>
        <w:t xml:space="preserve"> When feasible, we will gather information from existing data sources</w:t>
      </w:r>
      <w:r w:rsidR="0082758D">
        <w:t xml:space="preserve"> (for example, </w:t>
      </w:r>
      <w:r w:rsidR="001F753C">
        <w:t xml:space="preserve">using </w:t>
      </w:r>
      <w:r w:rsidR="0082758D">
        <w:t>census data to identify potential client</w:t>
      </w:r>
      <w:r w:rsidRPr="001F753C" w:rsidR="001F753C">
        <w:t xml:space="preserve"> </w:t>
      </w:r>
      <w:r w:rsidR="001F753C">
        <w:t>characteristics</w:t>
      </w:r>
      <w:r w:rsidR="0082758D">
        <w:t>)</w:t>
      </w:r>
      <w:r>
        <w:t xml:space="preserve">. None of the study instruments ask for information that can be obtained from alternative data sources (including administrative data). We will use publicly available information and </w:t>
      </w:r>
      <w:r w:rsidR="00661E55">
        <w:t xml:space="preserve">that </w:t>
      </w:r>
      <w:r w:rsidR="00AB5982">
        <w:t>provided by</w:t>
      </w:r>
      <w:r>
        <w:t xml:space="preserve"> </w:t>
      </w:r>
      <w:r w:rsidR="00E24ACA">
        <w:t>TWG members and federal partners</w:t>
      </w:r>
      <w:r>
        <w:t xml:space="preserve"> to identify and select</w:t>
      </w:r>
      <w:r w:rsidR="00B94EDA">
        <w:t xml:space="preserve"> local</w:t>
      </w:r>
      <w:r>
        <w:t xml:space="preserve"> </w:t>
      </w:r>
      <w:r w:rsidR="00B94EDA">
        <w:t>ECHV</w:t>
      </w:r>
      <w:r w:rsidR="00C96F31">
        <w:t xml:space="preserve"> programs</w:t>
      </w:r>
      <w:r w:rsidR="009802F2">
        <w:t>.</w:t>
      </w:r>
      <w:r>
        <w:t xml:space="preserve"> The design of the study instruments </w:t>
      </w:r>
      <w:r w:rsidR="003A61CF">
        <w:t>minimizes</w:t>
      </w:r>
      <w:r>
        <w:t xml:space="preserve"> duplication of data collected across instruments; such duplication </w:t>
      </w:r>
      <w:r w:rsidR="00E266F6">
        <w:t xml:space="preserve">will be </w:t>
      </w:r>
      <w:r>
        <w:t>necessary only when we need the perspective of more than one type of respondent</w:t>
      </w:r>
      <w:r w:rsidR="00D46FC4">
        <w:t>, or when we need to go in-depth on topics with a subset of respondents (such as the parent participant interviews),</w:t>
      </w:r>
      <w:r>
        <w:t xml:space="preserve"> to answer specific research questions.</w:t>
      </w:r>
    </w:p>
    <w:p w:rsidR="00B9441B" w:rsidRPr="00AE0B67" w:rsidP="00AE0B67" w14:paraId="01ED4039" w14:textId="77777777">
      <w:pPr>
        <w:keepNext/>
        <w:spacing w:before="240" w:after="120" w:line="240" w:lineRule="auto"/>
        <w:rPr>
          <w:b/>
        </w:rPr>
      </w:pPr>
      <w:r w:rsidRPr="00624DDC">
        <w:rPr>
          <w:b/>
        </w:rPr>
        <w:t>A5</w:t>
      </w:r>
      <w:r w:rsidRPr="00AE0B67">
        <w:rPr>
          <w:b/>
        </w:rPr>
        <w:t>.</w:t>
      </w:r>
      <w:r w:rsidRPr="00AE0B67">
        <w:rPr>
          <w:b/>
        </w:rPr>
        <w:tab/>
      </w:r>
      <w:r w:rsidRPr="00721395" w:rsidR="004E5778">
        <w:rPr>
          <w:b/>
        </w:rPr>
        <w:t>Impact on Small Businesses</w:t>
      </w:r>
      <w:r w:rsidRPr="00AE0B67" w:rsidR="004E5778">
        <w:rPr>
          <w:b/>
        </w:rPr>
        <w:t xml:space="preserve"> </w:t>
      </w:r>
    </w:p>
    <w:p w:rsidR="007646E9" w:rsidRPr="009139B3" w:rsidP="00AE0B67" w14:paraId="05C58F1F" w14:textId="5794CD97">
      <w:pPr>
        <w:spacing w:before="200" w:line="240" w:lineRule="auto"/>
      </w:pPr>
      <w:r>
        <w:t xml:space="preserve">Most </w:t>
      </w:r>
      <w:r w:rsidR="009B1D93">
        <w:t xml:space="preserve">local </w:t>
      </w:r>
      <w:r w:rsidR="00B94EDA">
        <w:t>ECHV</w:t>
      </w:r>
      <w:r>
        <w:t xml:space="preserve"> programs will be small organizations.</w:t>
      </w:r>
      <w:r w:rsidR="00320176">
        <w:t xml:space="preserve"> These are programs</w:t>
      </w:r>
      <w:r w:rsidR="009E7258">
        <w:t xml:space="preserve"> that employ home visitors and </w:t>
      </w:r>
      <w:r w:rsidR="00320176">
        <w:t xml:space="preserve">provide direct services to </w:t>
      </w:r>
      <w:r w:rsidR="009E7258">
        <w:t>families</w:t>
      </w:r>
      <w:r w:rsidR="00320176">
        <w:t xml:space="preserve"> in the</w:t>
      </w:r>
      <w:r w:rsidR="009E7258">
        <w:t>ir</w:t>
      </w:r>
      <w:r w:rsidR="00320176">
        <w:t xml:space="preserve"> local communit</w:t>
      </w:r>
      <w:r w:rsidR="009E7258">
        <w:t>ies</w:t>
      </w:r>
      <w:r w:rsidR="00320176">
        <w:t>.</w:t>
      </w:r>
      <w:r>
        <w:t xml:space="preserve"> We are sensitive to the burden that </w:t>
      </w:r>
      <w:r w:rsidR="00AF0133">
        <w:t>qualitative</w:t>
      </w:r>
      <w:r>
        <w:t xml:space="preserve"> data collection can impose; we will work flexibly around staff </w:t>
      </w:r>
      <w:r w:rsidR="00621004">
        <w:t>availability in scheduling interviews and focus groups</w:t>
      </w:r>
      <w:r w:rsidR="00320176">
        <w:t xml:space="preserve"> to minimize the impact of participation on these programs</w:t>
      </w:r>
      <w:r w:rsidR="00621004">
        <w:t>.</w:t>
      </w:r>
      <w:r>
        <w:t xml:space="preserve"> </w:t>
      </w:r>
    </w:p>
    <w:p w:rsidR="00CC4651" w:rsidRPr="00AE0B67" w:rsidP="00AE0B67" w14:paraId="07104586" w14:textId="77777777">
      <w:pPr>
        <w:keepNext/>
        <w:spacing w:before="240" w:after="120" w:line="240" w:lineRule="auto"/>
        <w:rPr>
          <w:b/>
        </w:rPr>
      </w:pPr>
      <w:r w:rsidRPr="00624DDC">
        <w:rPr>
          <w:b/>
        </w:rPr>
        <w:t>A6</w:t>
      </w:r>
      <w:r w:rsidRPr="00AE0B67">
        <w:rPr>
          <w:b/>
        </w:rPr>
        <w:t>.</w:t>
      </w:r>
      <w:r w:rsidRPr="00AE0B67">
        <w:rPr>
          <w:b/>
        </w:rPr>
        <w:tab/>
      </w:r>
      <w:r w:rsidRPr="005E3F36" w:rsidR="004E5778">
        <w:rPr>
          <w:b/>
        </w:rPr>
        <w:t>Consequences of Less Frequent Collection</w:t>
      </w:r>
      <w:r w:rsidRPr="00AE0B67" w:rsidR="004E5778">
        <w:rPr>
          <w:b/>
        </w:rPr>
        <w:t xml:space="preserve"> </w:t>
      </w:r>
      <w:r w:rsidRPr="00AE0B67" w:rsidR="001253F4">
        <w:rPr>
          <w:b/>
        </w:rPr>
        <w:t xml:space="preserve"> </w:t>
      </w:r>
    </w:p>
    <w:p w:rsidR="007646E9" w:rsidP="00757F50" w14:paraId="1647E510" w14:textId="77777777">
      <w:pPr>
        <w:spacing w:before="200" w:after="0" w:line="240" w:lineRule="auto"/>
      </w:pPr>
      <w:r>
        <w:t>This is a one-time data collection.</w:t>
      </w:r>
    </w:p>
    <w:p w:rsidR="00757F50" w:rsidP="00757F50" w14:paraId="5F2B54A8" w14:textId="77777777">
      <w:pPr>
        <w:keepNext/>
        <w:spacing w:after="0" w:line="240" w:lineRule="auto"/>
        <w:rPr>
          <w:b/>
        </w:rPr>
      </w:pPr>
    </w:p>
    <w:p w:rsidR="00B9441B" w:rsidP="00757F50" w14:paraId="1C5B8CAC" w14:textId="77777777">
      <w:pPr>
        <w:keepNext/>
        <w:spacing w:before="120" w:after="120" w:line="240" w:lineRule="auto"/>
        <w:rPr>
          <w:b/>
        </w:rPr>
      </w:pPr>
      <w:r w:rsidRPr="00624DDC">
        <w:rPr>
          <w:b/>
        </w:rPr>
        <w:t>A7</w:t>
      </w:r>
      <w:r w:rsidRPr="00AE0B67">
        <w:rPr>
          <w:b/>
        </w:rPr>
        <w:t>.</w:t>
      </w:r>
      <w:r w:rsidRPr="00AE0B67">
        <w:rPr>
          <w:b/>
        </w:rPr>
        <w:tab/>
      </w:r>
      <w:r w:rsidRPr="00834C54">
        <w:rPr>
          <w:b/>
        </w:rPr>
        <w:t>Now subsumed under 2(b) above and 10 (below)</w:t>
      </w:r>
    </w:p>
    <w:p w:rsidR="00757F50" w:rsidP="00757F50" w14:paraId="7F305B94" w14:textId="77777777">
      <w:pPr>
        <w:keepNext/>
        <w:spacing w:after="120" w:line="240" w:lineRule="auto"/>
        <w:rPr>
          <w:b/>
        </w:rPr>
      </w:pPr>
    </w:p>
    <w:p w:rsidR="00B9441B" w:rsidP="00757F50" w14:paraId="7D362656" w14:textId="77777777">
      <w:pPr>
        <w:keepNext/>
        <w:spacing w:after="120" w:line="240" w:lineRule="auto"/>
        <w:rPr>
          <w:b/>
        </w:rPr>
      </w:pPr>
      <w:r w:rsidRPr="00624DDC">
        <w:rPr>
          <w:b/>
        </w:rPr>
        <w:t>A8</w:t>
      </w:r>
      <w:r w:rsidRPr="00AE0B67">
        <w:rPr>
          <w:b/>
        </w:rPr>
        <w:t>.</w:t>
      </w:r>
      <w:r w:rsidRPr="00AE0B67">
        <w:rPr>
          <w:b/>
        </w:rPr>
        <w:tab/>
      </w:r>
      <w:r w:rsidRPr="00834C54">
        <w:rPr>
          <w:b/>
        </w:rPr>
        <w:t>Consultation</w:t>
      </w:r>
    </w:p>
    <w:p w:rsidR="00060B30" w:rsidRPr="00060B30" w:rsidP="00060B30" w14:paraId="2169AEE6" w14:textId="77777777">
      <w:pPr>
        <w:spacing w:after="120"/>
        <w:rPr>
          <w:i/>
        </w:rPr>
      </w:pPr>
      <w:r w:rsidRPr="00060B30">
        <w:rPr>
          <w:i/>
        </w:rPr>
        <w:t>Federal Register Notice and Comments</w:t>
      </w:r>
    </w:p>
    <w:p w:rsidR="00014EDC" w:rsidP="00CD4B99" w14:paraId="6E67788E" w14:textId="77777777">
      <w:pPr>
        <w:spacing w:before="12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w:t>
      </w:r>
      <w:r w:rsidRPr="00840C0B">
        <w:t>Federal Register</w:t>
      </w:r>
      <w:r w:rsidRPr="00F4788E">
        <w:t xml:space="preserve">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Pr="00453A86" w:rsidR="00E271B3">
        <w:t>November 3, 2020, Volume 85</w:t>
      </w:r>
      <w:r w:rsidRPr="00453A86">
        <w:t xml:space="preserve">, Number </w:t>
      </w:r>
      <w:r w:rsidRPr="00453A86" w:rsidR="00E271B3">
        <w:t>2</w:t>
      </w:r>
      <w:r w:rsidRPr="00453A86">
        <w:t>1</w:t>
      </w:r>
      <w:r w:rsidRPr="00453A86" w:rsidR="00E271B3">
        <w:t>3</w:t>
      </w:r>
      <w:r w:rsidRPr="00453A86">
        <w:t xml:space="preserve">, page </w:t>
      </w:r>
      <w:r w:rsidRPr="00453A86" w:rsidR="00E271B3">
        <w:t>69627</w:t>
      </w:r>
      <w:r w:rsidRPr="00453A86">
        <w:t xml:space="preserve">, and provided a sixty-day period for public comment. </w:t>
      </w:r>
      <w:r w:rsidRPr="00453A86" w:rsidR="00405075">
        <w:t>The second notice published on January 11, 2021, Volume 86, Number 6, page 1978, and provided a thirty-day period for public comment. ACF did not receive any substantive comments</w:t>
      </w:r>
      <w:r w:rsidRPr="00453A86">
        <w:t>.</w:t>
      </w:r>
      <w:r>
        <w:t xml:space="preserve"> </w:t>
      </w:r>
    </w:p>
    <w:p w:rsidR="00060B30" w:rsidRPr="00CD4B99" w:rsidP="00CD4B99" w14:paraId="1288D8F9" w14:textId="77777777">
      <w:pPr>
        <w:spacing w:after="120"/>
        <w:rPr>
          <w:i/>
        </w:rPr>
      </w:pPr>
      <w:r w:rsidRPr="00CD4B99">
        <w:rPr>
          <w:i/>
        </w:rPr>
        <w:t>Consultation with Experts Outside of the Study</w:t>
      </w:r>
    </w:p>
    <w:p w:rsidR="00060B30" w:rsidP="00B877DB" w14:paraId="26F885D3" w14:textId="77777777">
      <w:pPr>
        <w:spacing w:before="120" w:line="240" w:lineRule="auto"/>
      </w:pPr>
      <w:r>
        <w:t xml:space="preserve">To complement the knowledge and experience of the study team, we </w:t>
      </w:r>
      <w:r w:rsidR="00AB5982">
        <w:t xml:space="preserve">have and/or </w:t>
      </w:r>
      <w:r w:rsidR="00C3348B">
        <w:t>will consult with</w:t>
      </w:r>
      <w:r w:rsidR="006146D5">
        <w:t xml:space="preserve"> the</w:t>
      </w:r>
      <w:r w:rsidR="00C3348B">
        <w:t xml:space="preserve"> </w:t>
      </w:r>
      <w:r w:rsidR="004535C9">
        <w:t xml:space="preserve">expert advisors </w:t>
      </w:r>
      <w:r w:rsidR="00656A57">
        <w:t>listed below</w:t>
      </w:r>
      <w:r w:rsidR="005E4278">
        <w:t>:</w:t>
      </w:r>
    </w:p>
    <w:p w:rsidR="00B84A9D" w:rsidRPr="00AE0B67" w:rsidP="00AE0B67" w14:paraId="2732C06D" w14:textId="77777777">
      <w:pPr>
        <w:keepNext/>
        <w:spacing w:before="240" w:after="120" w:line="240" w:lineRule="auto"/>
        <w:rPr>
          <w:b/>
        </w:rPr>
      </w:pPr>
      <w:r w:rsidRPr="00AE0B67">
        <w:rPr>
          <w:b/>
        </w:rPr>
        <w:t xml:space="preserve">Table A.2. </w:t>
      </w:r>
      <w:r w:rsidRPr="00AE0B67">
        <w:rPr>
          <w:b/>
        </w:rPr>
        <w:t>HomeEc</w:t>
      </w:r>
      <w:r w:rsidRPr="00AE0B67">
        <w:rPr>
          <w:b/>
        </w:rPr>
        <w:t xml:space="preserve"> expert advisors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4"/>
        <w:gridCol w:w="3961"/>
        <w:gridCol w:w="3235"/>
      </w:tblGrid>
      <w:tr w14:paraId="2C96B4EB" w14:textId="77777777" w:rsidTr="00CD4B9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152" w:type="pct"/>
            <w:shd w:val="clear" w:color="auto" w:fill="D9D9D9" w:themeFill="background1" w:themeFillShade="D9"/>
            <w:vAlign w:val="bottom"/>
          </w:tcPr>
          <w:p w:rsidR="00656A57" w:rsidRPr="00DB5F95" w:rsidP="00CD4B99" w14:paraId="610CE818" w14:textId="77777777">
            <w:pPr>
              <w:pStyle w:val="TableHeaderLeft"/>
              <w:spacing w:before="60" w:after="60"/>
              <w:jc w:val="center"/>
              <w:rPr>
                <w:rFonts w:asciiTheme="minorHAnsi" w:hAnsiTheme="minorHAnsi" w:cstheme="minorHAnsi"/>
                <w:color w:val="000000" w:themeColor="text1"/>
              </w:rPr>
            </w:pPr>
            <w:r w:rsidRPr="00DB5F95">
              <w:rPr>
                <w:rFonts w:asciiTheme="minorHAnsi" w:hAnsiTheme="minorHAnsi" w:cstheme="minorHAnsi"/>
                <w:color w:val="000000" w:themeColor="text1"/>
              </w:rPr>
              <w:t>Name</w:t>
            </w:r>
          </w:p>
        </w:tc>
        <w:tc>
          <w:tcPr>
            <w:tcW w:w="2118" w:type="pct"/>
            <w:shd w:val="clear" w:color="auto" w:fill="D9D9D9"/>
            <w:vAlign w:val="bottom"/>
          </w:tcPr>
          <w:p w:rsidR="00656A57" w:rsidRPr="00DB5F95" w:rsidP="00CD4B99" w14:paraId="4730BA08" w14:textId="77777777">
            <w:pPr>
              <w:pStyle w:val="TableHeaderLeft"/>
              <w:spacing w:before="60" w:after="60"/>
              <w:jc w:val="center"/>
              <w:rPr>
                <w:rFonts w:asciiTheme="minorHAnsi" w:hAnsiTheme="minorHAnsi" w:cstheme="minorHAnsi"/>
                <w:color w:val="000000" w:themeColor="text1"/>
              </w:rPr>
            </w:pPr>
            <w:r>
              <w:rPr>
                <w:rFonts w:asciiTheme="minorHAnsi" w:hAnsiTheme="minorHAnsi" w:cstheme="minorHAnsi"/>
                <w:color w:val="000000" w:themeColor="text1"/>
              </w:rPr>
              <w:t xml:space="preserve">Position and </w:t>
            </w:r>
            <w:r w:rsidR="00CC6A6A">
              <w:rPr>
                <w:rFonts w:asciiTheme="minorHAnsi" w:hAnsiTheme="minorHAnsi" w:cstheme="minorHAnsi"/>
                <w:color w:val="000000" w:themeColor="text1"/>
              </w:rPr>
              <w:t>a</w:t>
            </w:r>
            <w:r w:rsidRPr="00DB5F95" w:rsidR="00CC6A6A">
              <w:rPr>
                <w:rFonts w:asciiTheme="minorHAnsi" w:hAnsiTheme="minorHAnsi" w:cstheme="minorHAnsi"/>
                <w:color w:val="000000" w:themeColor="text1"/>
              </w:rPr>
              <w:t>ffiliation</w:t>
            </w:r>
          </w:p>
        </w:tc>
        <w:tc>
          <w:tcPr>
            <w:tcW w:w="1730" w:type="pct"/>
            <w:shd w:val="clear" w:color="auto" w:fill="D9D9D9"/>
            <w:vAlign w:val="bottom"/>
          </w:tcPr>
          <w:p w:rsidR="00656A57" w:rsidRPr="00DB5F95" w:rsidP="00CD4B99" w14:paraId="335DB287" w14:textId="77777777">
            <w:pPr>
              <w:pStyle w:val="TableHeaderLeft"/>
              <w:spacing w:before="60" w:after="60"/>
              <w:jc w:val="center"/>
              <w:rPr>
                <w:rFonts w:asciiTheme="minorHAnsi" w:hAnsiTheme="minorHAnsi" w:cstheme="minorHAnsi"/>
                <w:color w:val="000000" w:themeColor="text1"/>
              </w:rPr>
            </w:pPr>
            <w:r>
              <w:rPr>
                <w:rFonts w:asciiTheme="minorHAnsi" w:hAnsiTheme="minorHAnsi" w:cstheme="minorHAnsi"/>
                <w:color w:val="000000" w:themeColor="text1"/>
              </w:rPr>
              <w:t>Expertise</w:t>
            </w:r>
          </w:p>
        </w:tc>
      </w:tr>
      <w:tr w14:paraId="39E32F21" w14:textId="77777777" w:rsidTr="00656A57">
        <w:tblPrEx>
          <w:tblW w:w="5000" w:type="pct"/>
          <w:tblLook w:val="04A0"/>
        </w:tblPrEx>
        <w:tc>
          <w:tcPr>
            <w:tcW w:w="1152" w:type="pct"/>
            <w:shd w:val="clear" w:color="auto" w:fill="auto"/>
          </w:tcPr>
          <w:p w:rsidR="00656A57" w:rsidRPr="00A417FB" w:rsidP="00876EFD" w14:paraId="2CA766FA" w14:textId="77777777">
            <w:pPr>
              <w:pStyle w:val="TableText"/>
            </w:pPr>
            <w:r w:rsidRPr="00A417FB">
              <w:t xml:space="preserve">Teresa </w:t>
            </w:r>
            <w:r w:rsidRPr="00A417FB">
              <w:t>Eckrich</w:t>
            </w:r>
            <w:r w:rsidRPr="00A417FB">
              <w:t xml:space="preserve"> Sommer</w:t>
            </w:r>
          </w:p>
        </w:tc>
        <w:tc>
          <w:tcPr>
            <w:tcW w:w="2118" w:type="pct"/>
            <w:shd w:val="clear" w:color="auto" w:fill="auto"/>
          </w:tcPr>
          <w:p w:rsidR="00656A57" w:rsidRPr="00575028" w:rsidP="00876EFD" w14:paraId="2D2642DD" w14:textId="77777777">
            <w:pPr>
              <w:pStyle w:val="TableText"/>
            </w:pPr>
            <w:r>
              <w:t>Research professor, Institute for Policy Research, Northwestern University</w:t>
            </w:r>
          </w:p>
        </w:tc>
        <w:tc>
          <w:tcPr>
            <w:tcW w:w="1730" w:type="pct"/>
          </w:tcPr>
          <w:p w:rsidR="00656A57" w:rsidP="00876EFD" w14:paraId="2FDFDB0C" w14:textId="77777777">
            <w:pPr>
              <w:pStyle w:val="TableText"/>
            </w:pPr>
            <w:r>
              <w:t>Economic well-being; early childhood</w:t>
            </w:r>
          </w:p>
        </w:tc>
      </w:tr>
      <w:tr w14:paraId="3C361D72" w14:textId="77777777" w:rsidTr="00656A57">
        <w:tblPrEx>
          <w:tblW w:w="5000" w:type="pct"/>
          <w:tblLook w:val="04A0"/>
        </w:tblPrEx>
        <w:tc>
          <w:tcPr>
            <w:tcW w:w="1152" w:type="pct"/>
            <w:shd w:val="clear" w:color="auto" w:fill="auto"/>
          </w:tcPr>
          <w:p w:rsidR="00656A57" w:rsidRPr="00A417FB" w:rsidP="00876EFD" w14:paraId="5B93E1AC" w14:textId="77777777">
            <w:pPr>
              <w:pStyle w:val="TableText"/>
            </w:pPr>
            <w:r w:rsidRPr="00A417FB">
              <w:t>Lisa A. Gennetian</w:t>
            </w:r>
          </w:p>
        </w:tc>
        <w:tc>
          <w:tcPr>
            <w:tcW w:w="2118" w:type="pct"/>
            <w:shd w:val="clear" w:color="auto" w:fill="auto"/>
          </w:tcPr>
          <w:p w:rsidR="00656A57" w:rsidRPr="00575028" w:rsidP="00876EFD" w14:paraId="534577C6" w14:textId="77777777">
            <w:pPr>
              <w:pStyle w:val="TableText"/>
            </w:pPr>
            <w:r>
              <w:t>Co-investigator, The National Research Center on Hispanic Children and Families, Professor at Duke University</w:t>
            </w:r>
          </w:p>
        </w:tc>
        <w:tc>
          <w:tcPr>
            <w:tcW w:w="1730" w:type="pct"/>
          </w:tcPr>
          <w:p w:rsidR="00656A57" w:rsidP="00876EFD" w14:paraId="2B10BD2C" w14:textId="77777777">
            <w:pPr>
              <w:pStyle w:val="TableText"/>
            </w:pPr>
            <w:r>
              <w:t>Economic well-being; behavioral economics; early childhood</w:t>
            </w:r>
          </w:p>
        </w:tc>
      </w:tr>
      <w:tr w14:paraId="0128A2E2" w14:textId="77777777" w:rsidTr="00656A57">
        <w:tblPrEx>
          <w:tblW w:w="5000" w:type="pct"/>
          <w:tblLook w:val="04A0"/>
        </w:tblPrEx>
        <w:tc>
          <w:tcPr>
            <w:tcW w:w="1152" w:type="pct"/>
            <w:shd w:val="clear" w:color="auto" w:fill="auto"/>
          </w:tcPr>
          <w:p w:rsidR="00656A57" w:rsidRPr="00A417FB" w:rsidP="00876EFD" w14:paraId="03147DCD" w14:textId="77777777">
            <w:pPr>
              <w:pStyle w:val="TableText"/>
            </w:pPr>
            <w:r w:rsidRPr="00A417FB">
              <w:t>Chelsea Wesner</w:t>
            </w:r>
          </w:p>
        </w:tc>
        <w:tc>
          <w:tcPr>
            <w:tcW w:w="2118" w:type="pct"/>
            <w:shd w:val="clear" w:color="auto" w:fill="auto"/>
          </w:tcPr>
          <w:p w:rsidR="00656A57" w:rsidRPr="00575028" w:rsidP="00876EFD" w14:paraId="442ADDB7" w14:textId="77777777">
            <w:pPr>
              <w:pStyle w:val="TableText"/>
            </w:pPr>
            <w:r>
              <w:t>Family Economic Well-Being Lead, Tribal Research Center on Early Childhood Development and Systems</w:t>
            </w:r>
          </w:p>
        </w:tc>
        <w:tc>
          <w:tcPr>
            <w:tcW w:w="1730" w:type="pct"/>
          </w:tcPr>
          <w:p w:rsidR="00656A57" w:rsidP="00876EFD" w14:paraId="3B8890D2" w14:textId="77777777">
            <w:pPr>
              <w:pStyle w:val="TableText"/>
            </w:pPr>
            <w:r>
              <w:t>Tribal communities; early childhood; maternal and child health; nutrition</w:t>
            </w:r>
          </w:p>
        </w:tc>
      </w:tr>
      <w:tr w14:paraId="1C5D987B" w14:textId="77777777" w:rsidTr="00656A57">
        <w:tblPrEx>
          <w:tblW w:w="5000" w:type="pct"/>
          <w:tblLook w:val="04A0"/>
        </w:tblPrEx>
        <w:tc>
          <w:tcPr>
            <w:tcW w:w="1152" w:type="pct"/>
            <w:shd w:val="clear" w:color="auto" w:fill="auto"/>
          </w:tcPr>
          <w:p w:rsidR="00656A57" w:rsidRPr="00FD01A0" w:rsidP="00876EFD" w14:paraId="0EFD5C5F" w14:textId="02A00C80">
            <w:pPr>
              <w:pStyle w:val="TableText"/>
            </w:pPr>
            <w:r>
              <w:t>Deana Around Him</w:t>
            </w:r>
          </w:p>
        </w:tc>
        <w:tc>
          <w:tcPr>
            <w:tcW w:w="2118" w:type="pct"/>
            <w:shd w:val="clear" w:color="auto" w:fill="auto"/>
          </w:tcPr>
          <w:p w:rsidR="00656A57" w:rsidRPr="00575028" w:rsidP="00876EFD" w14:paraId="28CD58B2" w14:textId="510C3A87">
            <w:pPr>
              <w:pStyle w:val="TableText"/>
            </w:pPr>
            <w:r w:rsidRPr="00543D5F">
              <w:t>Senior Research Scientist, Child Trends</w:t>
            </w:r>
          </w:p>
        </w:tc>
        <w:tc>
          <w:tcPr>
            <w:tcW w:w="1730" w:type="pct"/>
          </w:tcPr>
          <w:p w:rsidR="00656A57" w:rsidP="00876EFD" w14:paraId="68D05BC6" w14:textId="5D2E3771">
            <w:pPr>
              <w:pStyle w:val="TableText"/>
            </w:pPr>
            <w:r>
              <w:t xml:space="preserve">Tribal communities; early childhood; home visiting; service delivery </w:t>
            </w:r>
          </w:p>
        </w:tc>
      </w:tr>
      <w:tr w14:paraId="6C75D365" w14:textId="77777777" w:rsidTr="00656A57">
        <w:tblPrEx>
          <w:tblW w:w="5000" w:type="pct"/>
          <w:tblLook w:val="04A0"/>
        </w:tblPrEx>
        <w:tc>
          <w:tcPr>
            <w:tcW w:w="1152" w:type="pct"/>
            <w:shd w:val="clear" w:color="auto" w:fill="auto"/>
          </w:tcPr>
          <w:p w:rsidR="00656A57" w:rsidRPr="00FD01A0" w:rsidP="00876EFD" w14:paraId="4DAF64E0" w14:textId="5111D832">
            <w:pPr>
              <w:pStyle w:val="TableText"/>
            </w:pPr>
            <w:r w:rsidRPr="00543D5F">
              <w:t>Jeanna Capito</w:t>
            </w:r>
          </w:p>
        </w:tc>
        <w:tc>
          <w:tcPr>
            <w:tcW w:w="2118" w:type="pct"/>
            <w:shd w:val="clear" w:color="auto" w:fill="auto"/>
          </w:tcPr>
          <w:p w:rsidR="00656A57" w:rsidRPr="00575028" w:rsidP="00876EFD" w14:paraId="5CBDB612" w14:textId="349FD074">
            <w:pPr>
              <w:pStyle w:val="TableText"/>
            </w:pPr>
            <w:r w:rsidRPr="009B6EB3">
              <w:t>Co-lead of Rapid Response Virtual Home Visiting Project, Facilitator of</w:t>
            </w:r>
            <w:r>
              <w:t xml:space="preserve"> the </w:t>
            </w:r>
            <w:r w:rsidRPr="009B6EB3">
              <w:t>National Alliance of Home Visiting Models</w:t>
            </w:r>
          </w:p>
        </w:tc>
        <w:tc>
          <w:tcPr>
            <w:tcW w:w="1730" w:type="pct"/>
          </w:tcPr>
          <w:p w:rsidR="00656A57" w:rsidP="00876EFD" w14:paraId="74FEC26D" w14:textId="720CC742">
            <w:pPr>
              <w:pStyle w:val="TableText"/>
            </w:pPr>
            <w:r>
              <w:t>Home visiting; service delivery; early childhood</w:t>
            </w:r>
          </w:p>
        </w:tc>
      </w:tr>
      <w:tr w14:paraId="5AFC6BBC" w14:textId="77777777" w:rsidTr="00656A57">
        <w:tblPrEx>
          <w:tblW w:w="5000" w:type="pct"/>
          <w:tblLook w:val="04A0"/>
        </w:tblPrEx>
        <w:tc>
          <w:tcPr>
            <w:tcW w:w="1152" w:type="pct"/>
            <w:shd w:val="clear" w:color="auto" w:fill="auto"/>
          </w:tcPr>
          <w:p w:rsidR="00656A57" w:rsidRPr="00FD01A0" w:rsidP="00876EFD" w14:paraId="7F3BB702" w14:textId="6F451600">
            <w:pPr>
              <w:pStyle w:val="TableText"/>
            </w:pPr>
            <w:r w:rsidRPr="009B6EB3">
              <w:t xml:space="preserve">Karen </w:t>
            </w:r>
            <w:r w:rsidRPr="009B6EB3">
              <w:t>Guskin</w:t>
            </w:r>
          </w:p>
        </w:tc>
        <w:tc>
          <w:tcPr>
            <w:tcW w:w="2118" w:type="pct"/>
            <w:shd w:val="clear" w:color="auto" w:fill="auto"/>
          </w:tcPr>
          <w:p w:rsidR="00656A57" w:rsidRPr="00575028" w:rsidP="00876EFD" w14:paraId="30E8C888" w14:textId="23E572AD">
            <w:pPr>
              <w:pStyle w:val="TableText"/>
            </w:pPr>
            <w:r>
              <w:t>Managing Director of Health Families America Research, Health Families America</w:t>
            </w:r>
          </w:p>
        </w:tc>
        <w:tc>
          <w:tcPr>
            <w:tcW w:w="1730" w:type="pct"/>
          </w:tcPr>
          <w:p w:rsidR="00656A57" w:rsidP="00876EFD" w14:paraId="6D61C62C" w14:textId="346D1D22">
            <w:pPr>
              <w:pStyle w:val="TableText"/>
            </w:pPr>
            <w:r>
              <w:t>Home visiting; service delivery; early childhood</w:t>
            </w:r>
          </w:p>
        </w:tc>
      </w:tr>
      <w:tr w14:paraId="434AD309" w14:textId="77777777" w:rsidTr="00656A57">
        <w:tblPrEx>
          <w:tblW w:w="5000" w:type="pct"/>
          <w:tblLook w:val="04A0"/>
        </w:tblPrEx>
        <w:tc>
          <w:tcPr>
            <w:tcW w:w="1152" w:type="pct"/>
            <w:shd w:val="clear" w:color="auto" w:fill="auto"/>
          </w:tcPr>
          <w:p w:rsidR="00656A57" w:rsidRPr="00FD01A0" w:rsidP="00876EFD" w14:paraId="20BDFEEA" w14:textId="5903635D">
            <w:pPr>
              <w:pStyle w:val="TableText"/>
            </w:pPr>
            <w:r w:rsidRPr="009B6EB3">
              <w:t xml:space="preserve">Daphne </w:t>
            </w:r>
            <w:r w:rsidRPr="009B6EB3">
              <w:t>Colacion</w:t>
            </w:r>
          </w:p>
        </w:tc>
        <w:tc>
          <w:tcPr>
            <w:tcW w:w="2118" w:type="pct"/>
            <w:shd w:val="clear" w:color="auto" w:fill="auto"/>
          </w:tcPr>
          <w:p w:rsidR="00656A57" w:rsidRPr="00575028" w:rsidP="00876EFD" w14:paraId="33E914E6" w14:textId="2E9AEA1E">
            <w:pPr>
              <w:pStyle w:val="TableText"/>
            </w:pPr>
            <w:r>
              <w:t>Program</w:t>
            </w:r>
            <w:r w:rsidR="00B27539">
              <w:t xml:space="preserve"> Coordinator,</w:t>
            </w:r>
            <w:r>
              <w:t xml:space="preserve"> </w:t>
            </w:r>
            <w:r w:rsidRPr="00B27539" w:rsidR="00B27539">
              <w:t>Lake County Tribal Health Consortium</w:t>
            </w:r>
          </w:p>
        </w:tc>
        <w:tc>
          <w:tcPr>
            <w:tcW w:w="1730" w:type="pct"/>
          </w:tcPr>
          <w:p w:rsidR="00656A57" w:rsidP="00876EFD" w14:paraId="0FD396BF" w14:textId="47B9EB6D">
            <w:pPr>
              <w:pStyle w:val="TableText"/>
            </w:pPr>
            <w:r>
              <w:t>Home visiting; economic well-being; service delivery</w:t>
            </w:r>
            <w:r w:rsidR="00B27539">
              <w:t>; early childhood; tribal communities</w:t>
            </w:r>
          </w:p>
        </w:tc>
      </w:tr>
      <w:tr w14:paraId="2CCA23D3" w14:textId="77777777" w:rsidTr="00656A57">
        <w:tblPrEx>
          <w:tblW w:w="5000" w:type="pct"/>
          <w:tblLook w:val="04A0"/>
        </w:tblPrEx>
        <w:tc>
          <w:tcPr>
            <w:tcW w:w="1152" w:type="pct"/>
            <w:shd w:val="clear" w:color="auto" w:fill="auto"/>
          </w:tcPr>
          <w:p w:rsidR="00643FFF" w:rsidRPr="00A417FB" w:rsidP="00876EFD" w14:paraId="288EDC35" w14:textId="08144B28">
            <w:pPr>
              <w:pStyle w:val="TableText"/>
            </w:pPr>
            <w:r w:rsidRPr="00B27539">
              <w:t>Sarita Rogers</w:t>
            </w:r>
          </w:p>
        </w:tc>
        <w:tc>
          <w:tcPr>
            <w:tcW w:w="2118" w:type="pct"/>
            <w:shd w:val="clear" w:color="auto" w:fill="auto"/>
          </w:tcPr>
          <w:p w:rsidR="00643FFF" w:rsidRPr="00575028" w:rsidP="00B27539" w14:paraId="0BA2B23A" w14:textId="0D93F13C">
            <w:pPr>
              <w:pStyle w:val="TableText"/>
            </w:pPr>
            <w:r>
              <w:t>Deputy Director of Programs, The Children's Trust</w:t>
            </w:r>
          </w:p>
        </w:tc>
        <w:tc>
          <w:tcPr>
            <w:tcW w:w="1730" w:type="pct"/>
          </w:tcPr>
          <w:p w:rsidR="00643FFF" w:rsidP="00876EFD" w14:paraId="7B9C0DCB" w14:textId="7F9A4B02">
            <w:pPr>
              <w:pStyle w:val="TableText"/>
            </w:pPr>
            <w:r>
              <w:t xml:space="preserve">Home visiting; economic well-being; </w:t>
            </w:r>
            <w:r w:rsidR="00B27539">
              <w:t>service delivery; early childhood</w:t>
            </w:r>
          </w:p>
        </w:tc>
      </w:tr>
      <w:tr w14:paraId="02AD9F8E" w14:textId="77777777" w:rsidTr="00656A57">
        <w:tblPrEx>
          <w:tblW w:w="5000" w:type="pct"/>
          <w:tblLook w:val="04A0"/>
        </w:tblPrEx>
        <w:tc>
          <w:tcPr>
            <w:tcW w:w="1152" w:type="pct"/>
            <w:shd w:val="clear" w:color="auto" w:fill="auto"/>
          </w:tcPr>
          <w:p w:rsidR="00643FFF" w:rsidRPr="00A417FB" w:rsidP="00876EFD" w14:paraId="61CD31E3" w14:textId="74E5713F">
            <w:pPr>
              <w:pStyle w:val="TableText"/>
            </w:pPr>
            <w:r w:rsidRPr="00B27539">
              <w:t>April Winters</w:t>
            </w:r>
          </w:p>
        </w:tc>
        <w:tc>
          <w:tcPr>
            <w:tcW w:w="2118" w:type="pct"/>
            <w:shd w:val="clear" w:color="auto" w:fill="auto"/>
          </w:tcPr>
          <w:p w:rsidR="00643FFF" w:rsidRPr="00575028" w:rsidP="00876EFD" w14:paraId="17FFC24F" w14:textId="21366571">
            <w:pPr>
              <w:pStyle w:val="TableText"/>
            </w:pPr>
            <w:r w:rsidRPr="00B27539">
              <w:t>Family Support Specialist, Tiwa Babies</w:t>
            </w:r>
            <w:r>
              <w:t xml:space="preserve">, </w:t>
            </w:r>
            <w:r w:rsidRPr="00B27539">
              <w:t>Division of Health &amp; Community Services Taos Pueblo</w:t>
            </w:r>
            <w:r w:rsidRPr="00B27539">
              <w:t xml:space="preserve"> </w:t>
            </w:r>
          </w:p>
        </w:tc>
        <w:tc>
          <w:tcPr>
            <w:tcW w:w="1730" w:type="pct"/>
          </w:tcPr>
          <w:p w:rsidR="00643FFF" w:rsidP="00876EFD" w14:paraId="49CE194E" w14:textId="726531A5">
            <w:pPr>
              <w:pStyle w:val="TableText"/>
            </w:pPr>
            <w:r>
              <w:t xml:space="preserve">Home visiting; tribal communities; </w:t>
            </w:r>
            <w:r w:rsidR="00B27539">
              <w:t>service delivery; early childhood</w:t>
            </w:r>
          </w:p>
        </w:tc>
      </w:tr>
      <w:tr w14:paraId="03D50A95" w14:textId="77777777" w:rsidTr="00656A57">
        <w:tblPrEx>
          <w:tblW w:w="5000" w:type="pct"/>
          <w:tblLook w:val="04A0"/>
        </w:tblPrEx>
        <w:tc>
          <w:tcPr>
            <w:tcW w:w="1152" w:type="pct"/>
            <w:shd w:val="clear" w:color="auto" w:fill="auto"/>
          </w:tcPr>
          <w:p w:rsidR="006D0953" w:rsidRPr="00A417FB" w:rsidP="00876EFD" w14:paraId="59CEB25F" w14:textId="77777777">
            <w:pPr>
              <w:pStyle w:val="TableText"/>
            </w:pPr>
            <w:r w:rsidRPr="00A417FB">
              <w:t>Allison Parish</w:t>
            </w:r>
          </w:p>
        </w:tc>
        <w:tc>
          <w:tcPr>
            <w:tcW w:w="2118" w:type="pct"/>
            <w:shd w:val="clear" w:color="auto" w:fill="auto"/>
          </w:tcPr>
          <w:p w:rsidR="006D0953" w:rsidRPr="00575028" w:rsidP="00876EFD" w14:paraId="699DD1A9" w14:textId="77777777">
            <w:pPr>
              <w:pStyle w:val="TableText"/>
            </w:pPr>
            <w:r>
              <w:t xml:space="preserve">Maternal, Infant, and Early Childhood Home Visiting TA Resource Center </w:t>
            </w:r>
            <w:r w:rsidR="00562004">
              <w:t>director</w:t>
            </w:r>
            <w:r>
              <w:t>, Education Development Center</w:t>
            </w:r>
          </w:p>
        </w:tc>
        <w:tc>
          <w:tcPr>
            <w:tcW w:w="1730" w:type="pct"/>
          </w:tcPr>
          <w:p w:rsidR="006D0953" w:rsidP="00876EFD" w14:paraId="6681277E" w14:textId="77777777">
            <w:pPr>
              <w:pStyle w:val="TableText"/>
            </w:pPr>
            <w:r>
              <w:t>Home visiting; infant mental health; technical assistance</w:t>
            </w:r>
          </w:p>
        </w:tc>
      </w:tr>
      <w:tr w14:paraId="31A190FE" w14:textId="77777777" w:rsidTr="00656A57">
        <w:tblPrEx>
          <w:tblW w:w="5000" w:type="pct"/>
          <w:tblLook w:val="04A0"/>
        </w:tblPrEx>
        <w:tc>
          <w:tcPr>
            <w:tcW w:w="1152" w:type="pct"/>
            <w:shd w:val="clear" w:color="auto" w:fill="auto"/>
          </w:tcPr>
          <w:p w:rsidR="006D0953" w:rsidRPr="00A417FB" w:rsidP="00876EFD" w14:paraId="1F03A8A2" w14:textId="77777777">
            <w:pPr>
              <w:pStyle w:val="TableText"/>
            </w:pPr>
            <w:r w:rsidRPr="00A417FB">
              <w:t>Sophia Taula-Lieras</w:t>
            </w:r>
          </w:p>
        </w:tc>
        <w:tc>
          <w:tcPr>
            <w:tcW w:w="2118" w:type="pct"/>
            <w:shd w:val="clear" w:color="auto" w:fill="auto"/>
          </w:tcPr>
          <w:p w:rsidR="006D0953" w:rsidP="00876EFD" w14:paraId="6A6912A9" w14:textId="77777777">
            <w:pPr>
              <w:pStyle w:val="TableText"/>
            </w:pPr>
            <w:r>
              <w:t>Project director, ZERO TO THREE</w:t>
            </w:r>
          </w:p>
        </w:tc>
        <w:tc>
          <w:tcPr>
            <w:tcW w:w="1730" w:type="pct"/>
          </w:tcPr>
          <w:p w:rsidR="006D0953" w:rsidP="00876EFD" w14:paraId="5BFDC5FE" w14:textId="77777777">
            <w:pPr>
              <w:pStyle w:val="TableText"/>
            </w:pPr>
            <w:r>
              <w:t>Home visiting; economic well-being; tribal communities; mental health</w:t>
            </w:r>
          </w:p>
        </w:tc>
      </w:tr>
    </w:tbl>
    <w:p w:rsidR="00060B30" w:rsidP="002560D7" w14:paraId="059E8B89" w14:textId="77777777">
      <w:pPr>
        <w:spacing w:after="0"/>
        <w:rPr>
          <w:highlight w:val="yellow"/>
        </w:rPr>
      </w:pPr>
    </w:p>
    <w:p w:rsidR="009A39E1" w:rsidRPr="00AE0B67" w:rsidP="00AE0B67" w14:paraId="2E5BCB2E" w14:textId="77777777">
      <w:pPr>
        <w:keepNext/>
        <w:spacing w:before="240" w:after="120" w:line="240" w:lineRule="auto"/>
        <w:rPr>
          <w:b/>
        </w:rPr>
      </w:pPr>
      <w:r w:rsidRPr="00624DDC">
        <w:rPr>
          <w:b/>
        </w:rPr>
        <w:t>A9</w:t>
      </w:r>
      <w:r w:rsidRPr="00AE0B67">
        <w:rPr>
          <w:b/>
        </w:rPr>
        <w:t>.</w:t>
      </w:r>
      <w:r w:rsidRPr="00AE0B67">
        <w:rPr>
          <w:b/>
        </w:rPr>
        <w:tab/>
      </w:r>
      <w:r w:rsidRPr="005B5FCC">
        <w:rPr>
          <w:b/>
        </w:rPr>
        <w:t>Tokens of App</w:t>
      </w:r>
      <w:r w:rsidRPr="005B5FCC" w:rsidR="005B5FCC">
        <w:rPr>
          <w:b/>
        </w:rPr>
        <w:t>reciation</w:t>
      </w:r>
    </w:p>
    <w:p w:rsidR="006A639D" w:rsidP="00AE0B67" w14:paraId="29D333BD" w14:textId="74AB75BC">
      <w:pPr>
        <w:spacing w:before="200" w:line="240" w:lineRule="auto"/>
      </w:pPr>
      <w:r>
        <w:t>Participation in the HomeEc study data collection will place some</w:t>
      </w:r>
      <w:r w:rsidR="009D1A60">
        <w:t xml:space="preserve"> </w:t>
      </w:r>
      <w:r w:rsidR="006D0276">
        <w:t>additiona</w:t>
      </w:r>
      <w:r w:rsidR="009D1A60">
        <w:t>l</w:t>
      </w:r>
      <w:r>
        <w:t xml:space="preserve"> burden</w:t>
      </w:r>
      <w:r w:rsidR="00EC5EFB">
        <w:t>s or barriers</w:t>
      </w:r>
      <w:r>
        <w:t xml:space="preserve"> on parents who attend the virtual interviews or focus groups, such as possibly needing to secure </w:t>
      </w:r>
      <w:r>
        <w:t>child</w:t>
      </w:r>
      <w:r w:rsidR="00402A1D">
        <w:t xml:space="preserve"> </w:t>
      </w:r>
      <w:r>
        <w:t>care</w:t>
      </w:r>
      <w:r>
        <w:t xml:space="preserve"> to participate. To offset this burden and related incidental costs, and to acknowledge respondents’ efforts in a respectful way, the study team proposes to offer</w:t>
      </w:r>
      <w:r w:rsidR="00654D42">
        <w:t xml:space="preserve"> parents participating </w:t>
      </w:r>
      <w:r w:rsidRPr="00016386" w:rsidR="00654D42">
        <w:t>in a</w:t>
      </w:r>
      <w:r w:rsidRPr="00016386" w:rsidR="00757F50">
        <w:t xml:space="preserve"> one-hour</w:t>
      </w:r>
      <w:r w:rsidRPr="00016386" w:rsidR="00654D42">
        <w:t xml:space="preserve"> </w:t>
      </w:r>
      <w:r w:rsidRPr="00016386" w:rsidR="00654D42">
        <w:t>interview or focus group a $35 gift card as a token of appreciation for their participati</w:t>
      </w:r>
      <w:r w:rsidR="00654D42">
        <w:t>on.</w:t>
      </w:r>
      <w:r w:rsidR="005305B4">
        <w:t xml:space="preserve"> </w:t>
      </w:r>
      <w:r w:rsidR="002B68ED">
        <w:t xml:space="preserve">Parents who are receiving </w:t>
      </w:r>
      <w:r w:rsidR="00284703">
        <w:t>ECHV</w:t>
      </w:r>
      <w:r w:rsidR="002B68ED">
        <w:t xml:space="preserve"> services are not obligated to participate in research studies </w:t>
      </w:r>
      <w:r w:rsidR="009956E1">
        <w:t>such as</w:t>
      </w:r>
      <w:r w:rsidR="002B68ED">
        <w:t xml:space="preserve"> HomeEc.</w:t>
      </w:r>
    </w:p>
    <w:p w:rsidR="00DD060D" w:rsidP="00DD060D" w14:paraId="4A1A1960" w14:textId="52EA4913">
      <w:pPr>
        <w:spacing w:after="0"/>
      </w:pPr>
      <w:r w:rsidRPr="000F261E">
        <w:t xml:space="preserve">Although these data are not intended to be representative of the larger population of </w:t>
      </w:r>
      <w:r>
        <w:t>participants</w:t>
      </w:r>
      <w:r w:rsidRPr="000F261E">
        <w:t xml:space="preserve">, it is critical to secure participation to understand </w:t>
      </w:r>
      <w:r>
        <w:t xml:space="preserve">the perspectives of the people who are the intended recipients of </w:t>
      </w:r>
      <w:r w:rsidR="00170045">
        <w:t>ECHV</w:t>
      </w:r>
      <w:r>
        <w:t xml:space="preserve"> services.</w:t>
      </w:r>
      <w:r w:rsidR="00F27A2D">
        <w:t xml:space="preserve"> This study seeks to collect information from families who vary in their racial and ethnic background, their levels of family economic well-being, family structure, and experiences in the local ECHV programs.</w:t>
      </w:r>
      <w:r>
        <w:t xml:space="preserve"> </w:t>
      </w:r>
      <w:r w:rsidRPr="000F261E">
        <w:t>Without offering the proposed tokens of appreciation, the</w:t>
      </w:r>
      <w:r>
        <w:t>re is</w:t>
      </w:r>
      <w:r w:rsidRPr="000F261E">
        <w:t xml:space="preserve"> risk of securing information only from </w:t>
      </w:r>
      <w:r>
        <w:t>participants</w:t>
      </w:r>
      <w:r w:rsidRPr="000F261E">
        <w:t xml:space="preserve"> most able to overcome barriers to participation</w:t>
      </w:r>
      <w:r w:rsidR="004C3859">
        <w:t xml:space="preserve"> or have the highest levels of family economic well-being</w:t>
      </w:r>
      <w:r w:rsidRPr="000F261E">
        <w:t>.</w:t>
      </w:r>
      <w:r w:rsidRPr="002D1B35">
        <w:t xml:space="preserve"> This token is intended to offset costs of participation, such as t</w:t>
      </w:r>
      <w:r>
        <w:t>echnology costs (</w:t>
      </w:r>
      <w:r>
        <w:t>e.g.</w:t>
      </w:r>
      <w:r>
        <w:t xml:space="preserve"> phone minutes, data plan, etc.)</w:t>
      </w:r>
      <w:r w:rsidRPr="002D1B35">
        <w:t xml:space="preserve">, childcare, </w:t>
      </w:r>
      <w:r w:rsidR="00284703">
        <w:t xml:space="preserve">transportation to the program office or other location with stable internet access, </w:t>
      </w:r>
      <w:r w:rsidRPr="002D1B35">
        <w:t>or other expenses</w:t>
      </w:r>
      <w:r>
        <w:t>,</w:t>
      </w:r>
      <w:r w:rsidRPr="002D1B35">
        <w:t xml:space="preserve"> and to help ensure that individuals with more constraints on their ability to participate may take part.</w:t>
      </w:r>
      <w:r>
        <w:t xml:space="preserve"> </w:t>
      </w:r>
      <w:r w:rsidR="00170045">
        <w:t xml:space="preserve">Offering in-kind incentives, such as childcare, is not feasible or practical because the data collection is </w:t>
      </w:r>
      <w:r w:rsidR="00170045">
        <w:t>virtual</w:t>
      </w:r>
      <w:r w:rsidR="00170045">
        <w:t xml:space="preserve"> and we cannot anticipate all barriers to participation each family might face. </w:t>
      </w:r>
      <w:r>
        <w:t>In addition, offering these tokens of appreciation is consistent with Section 8 of the Executive Order on Advancing Racial Equity and Support for Underserved Communities Through the Federal Government.</w:t>
      </w:r>
      <w:r>
        <w:rPr>
          <w:rStyle w:val="FootnoteReference"/>
        </w:rPr>
        <w:footnoteReference w:id="2"/>
      </w:r>
      <w:r>
        <w:t xml:space="preserve">Previous research has shown that tokens of appreciation improve survey response rates regardless of modality (i.e., web, mail, phone) and can help mitigate nonresponse bias, particularly from minority and low-income respondents (Singer &amp; Ye, 2013). </w:t>
      </w:r>
    </w:p>
    <w:p w:rsidR="009519BB" w:rsidP="00F27A2D" w14:paraId="128E7756" w14:textId="01023E6A">
      <w:pPr>
        <w:spacing w:after="0"/>
      </w:pPr>
      <w:r>
        <w:t>We will work with</w:t>
      </w:r>
      <w:r w:rsidR="009B1D93">
        <w:t xml:space="preserve"> the </w:t>
      </w:r>
      <w:r w:rsidR="00170045">
        <w:t>ECHV</w:t>
      </w:r>
      <w:r>
        <w:t xml:space="preserve"> programs to schedule the parent interviews and focus groups on dates and times that work best for the parents.</w:t>
      </w:r>
    </w:p>
    <w:p w:rsidR="007C7B4B" w:rsidP="00AE0B67" w14:paraId="7E84C6A0" w14:textId="77777777">
      <w:pPr>
        <w:keepNext/>
        <w:spacing w:before="240" w:after="120" w:line="240" w:lineRule="auto"/>
      </w:pPr>
      <w:r w:rsidRPr="00624DDC">
        <w:rPr>
          <w:b/>
        </w:rPr>
        <w:t>A10</w:t>
      </w:r>
      <w:r>
        <w:t>.</w:t>
      </w:r>
      <w:r>
        <w:tab/>
      </w:r>
      <w:r w:rsidRPr="005B5FCC" w:rsidR="002A41C6">
        <w:rPr>
          <w:b/>
        </w:rPr>
        <w:t xml:space="preserve">Privacy: </w:t>
      </w:r>
      <w:r w:rsidRPr="005B5FCC" w:rsidR="00FB5BF6">
        <w:rPr>
          <w:b/>
        </w:rPr>
        <w:t xml:space="preserve">Procedures to </w:t>
      </w:r>
      <w:r w:rsidRPr="005B5FCC" w:rsidR="00307468">
        <w:rPr>
          <w:b/>
        </w:rPr>
        <w:t xml:space="preserve">Protect Privacy </w:t>
      </w:r>
      <w:r w:rsidRPr="005B5FCC" w:rsidR="004B75AC">
        <w:rPr>
          <w:b/>
        </w:rPr>
        <w:t xml:space="preserve">of </w:t>
      </w:r>
      <w:r w:rsidRPr="005B5FCC" w:rsidR="00307468">
        <w:rPr>
          <w:b/>
        </w:rPr>
        <w:t>Information</w:t>
      </w:r>
      <w:r w:rsidRPr="005B5FCC" w:rsidR="00FB5BF6">
        <w:rPr>
          <w:b/>
        </w:rPr>
        <w:t>,</w:t>
      </w:r>
      <w:r w:rsidRPr="005B5FCC" w:rsidR="00307468">
        <w:rPr>
          <w:b/>
        </w:rPr>
        <w:t xml:space="preserve"> While Maximizing Data Sharing</w:t>
      </w:r>
    </w:p>
    <w:p w:rsidR="00CB57CE" w:rsidP="00B877DB" w14:paraId="46C4E4A8" w14:textId="77777777">
      <w:pPr>
        <w:spacing w:before="200" w:after="120" w:line="240" w:lineRule="auto"/>
        <w:rPr>
          <w:i/>
        </w:rPr>
      </w:pPr>
      <w:r>
        <w:rPr>
          <w:i/>
        </w:rPr>
        <w:t>Personally Identifiable Information</w:t>
      </w:r>
    </w:p>
    <w:p w:rsidR="008267B4" w:rsidRPr="009139B3" w:rsidP="009B2AFC" w14:paraId="0A84D6AE" w14:textId="4DF3EEDE">
      <w:pPr>
        <w:spacing w:line="240" w:lineRule="auto"/>
        <w:rPr>
          <w:i/>
        </w:rPr>
      </w:pPr>
      <w:r>
        <w:rPr>
          <w:rFonts w:cstheme="minorHAnsi"/>
        </w:rPr>
        <w:t>We will be collecting individual contact information to send</w:t>
      </w:r>
      <w:r w:rsidR="00A06281">
        <w:rPr>
          <w:rFonts w:cstheme="minorHAnsi"/>
        </w:rPr>
        <w:t xml:space="preserve"> </w:t>
      </w:r>
      <w:r>
        <w:rPr>
          <w:rFonts w:cstheme="minorHAnsi"/>
        </w:rPr>
        <w:t>tokens of appreciation to par</w:t>
      </w:r>
      <w:r w:rsidR="00A06281">
        <w:rPr>
          <w:rFonts w:cstheme="minorHAnsi"/>
        </w:rPr>
        <w:t>ents</w:t>
      </w:r>
      <w:r>
        <w:rPr>
          <w:rFonts w:cstheme="minorHAnsi"/>
        </w:rPr>
        <w:t xml:space="preserve"> who complete </w:t>
      </w:r>
      <w:r w:rsidR="00A06281">
        <w:rPr>
          <w:rFonts w:cstheme="minorHAnsi"/>
        </w:rPr>
        <w:t xml:space="preserve">the </w:t>
      </w:r>
      <w:r w:rsidR="00F44281">
        <w:rPr>
          <w:rFonts w:cstheme="minorHAnsi"/>
        </w:rPr>
        <w:t xml:space="preserve">parent </w:t>
      </w:r>
      <w:r w:rsidRPr="00AE0B67" w:rsidR="00A06281">
        <w:t>participant</w:t>
      </w:r>
      <w:r w:rsidR="00A06281">
        <w:rPr>
          <w:rFonts w:cstheme="minorHAnsi"/>
        </w:rPr>
        <w:t xml:space="preserve"> </w:t>
      </w:r>
      <w:r>
        <w:rPr>
          <w:rFonts w:cstheme="minorHAnsi"/>
        </w:rPr>
        <w:t>interview</w:t>
      </w:r>
      <w:r w:rsidR="00A06281">
        <w:rPr>
          <w:rFonts w:cstheme="minorHAnsi"/>
        </w:rPr>
        <w:t>s</w:t>
      </w:r>
      <w:r w:rsidR="000968D9">
        <w:rPr>
          <w:rFonts w:cstheme="minorHAnsi"/>
        </w:rPr>
        <w:t xml:space="preserve"> or focus group</w:t>
      </w:r>
      <w:r w:rsidR="00A06281">
        <w:rPr>
          <w:rFonts w:cstheme="minorHAnsi"/>
        </w:rPr>
        <w:t>s</w:t>
      </w:r>
      <w:r w:rsidR="000968D9">
        <w:rPr>
          <w:rFonts w:cstheme="minorHAnsi"/>
        </w:rPr>
        <w:t>.</w:t>
      </w:r>
      <w:r w:rsidR="00A06281">
        <w:rPr>
          <w:rFonts w:cstheme="minorHAnsi"/>
        </w:rPr>
        <w:t xml:space="preserve"> We will also work with each </w:t>
      </w:r>
      <w:r w:rsidR="005A4CCF">
        <w:rPr>
          <w:rFonts w:cstheme="minorHAnsi"/>
        </w:rPr>
        <w:t>local ECHV</w:t>
      </w:r>
      <w:r w:rsidR="000D00EB">
        <w:rPr>
          <w:rFonts w:cstheme="minorHAnsi"/>
        </w:rPr>
        <w:t xml:space="preserve"> program </w:t>
      </w:r>
      <w:r w:rsidR="00A06281">
        <w:rPr>
          <w:rFonts w:cstheme="minorHAnsi"/>
        </w:rPr>
        <w:t>to collect individual contact information for the program directors, supervisors</w:t>
      </w:r>
      <w:r w:rsidR="00E64727">
        <w:rPr>
          <w:rFonts w:cstheme="minorHAnsi"/>
        </w:rPr>
        <w:t>,</w:t>
      </w:r>
      <w:r w:rsidR="00A06281">
        <w:rPr>
          <w:rFonts w:cstheme="minorHAnsi"/>
        </w:rPr>
        <w:t xml:space="preserve"> and home visitors</w:t>
      </w:r>
      <w:r w:rsidR="008F0A13">
        <w:rPr>
          <w:rFonts w:cstheme="minorHAnsi"/>
        </w:rPr>
        <w:t xml:space="preserve"> so we can schedule interviews.</w:t>
      </w:r>
      <w:r w:rsidR="000968D9">
        <w:rPr>
          <w:rFonts w:cstheme="minorHAnsi"/>
        </w:rPr>
        <w:t xml:space="preserve"> </w:t>
      </w:r>
      <w:r w:rsidR="009F549F">
        <w:rPr>
          <w:rFonts w:cstheme="minorHAnsi"/>
        </w:rPr>
        <w:t>We will not maintain i</w:t>
      </w:r>
      <w:r w:rsidRPr="009139B3">
        <w:rPr>
          <w:rFonts w:cstheme="minorHAnsi"/>
        </w:rPr>
        <w:t xml:space="preserve">nformation in a paper or electronic system from which data </w:t>
      </w:r>
      <w:r w:rsidR="00E742A6">
        <w:rPr>
          <w:rFonts w:cstheme="minorHAnsi"/>
        </w:rPr>
        <w:t>can</w:t>
      </w:r>
      <w:r w:rsidRPr="009139B3" w:rsidR="00E742A6">
        <w:rPr>
          <w:rFonts w:cstheme="minorHAnsi"/>
        </w:rPr>
        <w:t xml:space="preserve"> </w:t>
      </w:r>
      <w:r w:rsidR="009F549F">
        <w:rPr>
          <w:rFonts w:cstheme="minorHAnsi"/>
        </w:rPr>
        <w:t xml:space="preserve">be </w:t>
      </w:r>
      <w:r w:rsidRPr="009139B3">
        <w:rPr>
          <w:rFonts w:cstheme="minorHAnsi"/>
        </w:rPr>
        <w:t>actually or directly retrieved by an individual</w:t>
      </w:r>
      <w:r w:rsidR="009F549F">
        <w:rPr>
          <w:rFonts w:cstheme="minorHAnsi"/>
        </w:rPr>
        <w:t>’</w:t>
      </w:r>
      <w:r w:rsidRPr="009139B3">
        <w:rPr>
          <w:rFonts w:cstheme="minorHAnsi"/>
        </w:rPr>
        <w:t>s personal identifier.</w:t>
      </w:r>
    </w:p>
    <w:p w:rsidR="002560D7" w:rsidP="00B877DB" w14:paraId="252C75EE" w14:textId="77777777">
      <w:pPr>
        <w:spacing w:before="240" w:after="120" w:line="240" w:lineRule="auto"/>
        <w:rPr>
          <w:i/>
        </w:rPr>
      </w:pPr>
      <w:r>
        <w:rPr>
          <w:i/>
        </w:rPr>
        <w:t>Assurances of Privacy</w:t>
      </w:r>
    </w:p>
    <w:p w:rsidR="002560D7" w:rsidP="009B2AFC" w14:paraId="35B4DF16" w14:textId="77777777">
      <w:pPr>
        <w:spacing w:line="240" w:lineRule="auto"/>
      </w:pPr>
      <w:bookmarkStart w:id="4" w:name="_Hlk104383089"/>
      <w:r>
        <w:t>Prior to conducting the staff interviews</w:t>
      </w:r>
      <w:r w:rsidR="000B1A4E">
        <w:t xml:space="preserve"> and parent participant interviews and focus groups</w:t>
      </w:r>
      <w:r>
        <w:t xml:space="preserve">, we will distribute consent forms to all participants, which includes language informing respondents about the planned uses of the data we collect, that their </w:t>
      </w:r>
      <w:r w:rsidR="000B1A4E">
        <w:t>participation is voluntary, that they may withdraw their consent to participate at any time without any negative consequences, and that their information will be kept private to the extent permitted by law. We will collect respondents’ verbal consent at the start of the interviews and focus groups.</w:t>
      </w:r>
      <w:r>
        <w:t xml:space="preserve"> </w:t>
      </w:r>
    </w:p>
    <w:p w:rsidR="006564F9" w:rsidP="00AE0B67" w14:paraId="76DF2E99" w14:textId="77777777">
      <w:pPr>
        <w:spacing w:before="200" w:line="240" w:lineRule="auto"/>
      </w:pPr>
      <w:r>
        <w:t>Interviews and focus groups for all respondents will be recorded with the</w:t>
      </w:r>
      <w:r w:rsidR="006F1129">
        <w:t>ir</w:t>
      </w:r>
      <w:r>
        <w:t xml:space="preserve"> permission</w:t>
      </w:r>
      <w:r w:rsidR="006F1129">
        <w:t>;</w:t>
      </w:r>
      <w:r>
        <w:t xml:space="preserve"> no one other than the research team will listen to the recording</w:t>
      </w:r>
      <w:r w:rsidR="000B1A4E">
        <w:t xml:space="preserve">; the transcription team will listen to the parent </w:t>
      </w:r>
      <w:r w:rsidR="000B1A4E">
        <w:t>participant interviews so they can transcribe them</w:t>
      </w:r>
      <w:r>
        <w:t xml:space="preserve">. If respondents want to say anything that they would prefer not to </w:t>
      </w:r>
      <w:r w:rsidR="00D540C6">
        <w:t xml:space="preserve">have </w:t>
      </w:r>
      <w:r>
        <w:t xml:space="preserve">recorded, they can ask the interviewer to pause the recorder. We will transcribe all focus groups and </w:t>
      </w:r>
      <w:r w:rsidR="00DB1BB3">
        <w:t xml:space="preserve">take notes during the </w:t>
      </w:r>
      <w:r>
        <w:t>interviews; the recordings and interview notes will be saved on a secure server and destroyed after the study.</w:t>
      </w:r>
    </w:p>
    <w:p w:rsidR="004D4E54" w:rsidP="00AE0B67" w14:paraId="6B0B9B17" w14:textId="32DD9692">
      <w:pPr>
        <w:spacing w:before="200" w:line="240" w:lineRule="auto"/>
      </w:pPr>
      <w:r>
        <w:t>Although we will not ask for any sensitive information, respondents may reveal information about themselves and challenges they are facing; hence, we obtain</w:t>
      </w:r>
      <w:r w:rsidR="00A96990">
        <w:t>ed</w:t>
      </w:r>
      <w:r>
        <w:t xml:space="preserve"> a Certificate of Confidentiality, which helps to assure </w:t>
      </w:r>
      <w:r w:rsidR="00F44281">
        <w:t xml:space="preserve">all interview and focus group </w:t>
      </w:r>
      <w:r>
        <w:t xml:space="preserve">participants that their information will be kept private to the fullest extent permitted by law. Further, all materials to be used with respondents as part of this information collection, including consent statements and instruments, have been submitted to </w:t>
      </w:r>
      <w:r w:rsidR="00126B88">
        <w:t xml:space="preserve">and approved by </w:t>
      </w:r>
      <w:r>
        <w:t>the Health Media Lab Institutional Review Board (Contractor’s IRB).</w:t>
      </w:r>
    </w:p>
    <w:bookmarkEnd w:id="4"/>
    <w:p w:rsidR="002560D7" w:rsidP="00703626" w14:paraId="3749B6C5" w14:textId="77777777">
      <w:pPr>
        <w:spacing w:before="120" w:after="120" w:line="240" w:lineRule="auto"/>
        <w:rPr>
          <w:i/>
        </w:rPr>
      </w:pPr>
      <w:r>
        <w:rPr>
          <w:i/>
        </w:rPr>
        <w:t>Data Security and Monitoring</w:t>
      </w:r>
    </w:p>
    <w:p w:rsidR="007646E9" w:rsidRPr="009139B3" w:rsidP="00703626" w14:paraId="21F56F52" w14:textId="77777777">
      <w:pPr>
        <w:spacing w:before="120" w:line="240" w:lineRule="auto"/>
        <w:rPr>
          <w:rFonts w:eastAsia="Times New Roman" w:cstheme="minorHAnsi"/>
        </w:rPr>
      </w:pPr>
      <w:r w:rsidRPr="009139B3">
        <w:rPr>
          <w:rFonts w:eastAsia="Times New Roman" w:cstheme="minorHAnsi"/>
        </w:rPr>
        <w:t xml:space="preserve">As specified in </w:t>
      </w:r>
      <w:r w:rsidRPr="00743F81">
        <w:rPr>
          <w:rFonts w:eastAsia="Times New Roman" w:cstheme="minorHAnsi"/>
        </w:rPr>
        <w:t>the contract</w:t>
      </w:r>
      <w:r w:rsidRPr="009139B3">
        <w:rPr>
          <w:rFonts w:eastAsia="Times New Roman" w:cstheme="minorHAnsi"/>
        </w:rPr>
        <w:t xml:space="preserve">, the Contractor shall protect respondent privacy to the extent permitted by law and will comply with all </w:t>
      </w:r>
      <w:r w:rsidR="005E193D">
        <w:rPr>
          <w:rFonts w:eastAsia="Times New Roman" w:cstheme="minorHAnsi"/>
        </w:rPr>
        <w:t>f</w:t>
      </w:r>
      <w:r w:rsidRPr="009139B3" w:rsidR="005E193D">
        <w:rPr>
          <w:rFonts w:eastAsia="Times New Roman" w:cstheme="minorHAnsi"/>
        </w:rPr>
        <w:t xml:space="preserve">ederal </w:t>
      </w:r>
      <w:r w:rsidRPr="009139B3">
        <w:rPr>
          <w:rFonts w:eastAsia="Times New Roman" w:cstheme="minorHAnsi"/>
        </w:rPr>
        <w:t xml:space="preserve">and </w:t>
      </w:r>
      <w:r w:rsidR="005E193D">
        <w:rPr>
          <w:rFonts w:eastAsia="Times New Roman" w:cstheme="minorHAnsi"/>
        </w:rPr>
        <w:t>d</w:t>
      </w:r>
      <w:r w:rsidRPr="009139B3" w:rsidR="005E193D">
        <w:rPr>
          <w:rFonts w:eastAsia="Times New Roman" w:cstheme="minorHAnsi"/>
        </w:rPr>
        <w:t xml:space="preserve">epartmental </w:t>
      </w:r>
      <w:r w:rsidRPr="009139B3">
        <w:rPr>
          <w:rFonts w:eastAsia="Times New Roman" w:cstheme="minorHAnsi"/>
        </w:rPr>
        <w:t xml:space="preserve">regulations for private information. The Contractor has </w:t>
      </w:r>
      <w:r w:rsidRPr="00AE0B67">
        <w:t>developed</w:t>
      </w:r>
      <w:r w:rsidRPr="009139B3">
        <w:rPr>
          <w:rFonts w:eastAsia="Times New Roman" w:cstheme="minorHAnsi"/>
        </w:rPr>
        <w:t xml:space="preserve"> a Data Safety and Monitoring Plan that assesses all protections of respondents’ </w:t>
      </w:r>
      <w:r w:rsidR="00BD7000">
        <w:rPr>
          <w:rFonts w:eastAsia="Times New Roman" w:cstheme="minorHAnsi"/>
        </w:rPr>
        <w:t>personally identifiable information (</w:t>
      </w:r>
      <w:r w:rsidRPr="009139B3">
        <w:rPr>
          <w:rFonts w:eastAsia="Times New Roman" w:cstheme="minorHAnsi"/>
        </w:rPr>
        <w:t>PII</w:t>
      </w:r>
      <w:r w:rsidR="00BD7000">
        <w:rPr>
          <w:rFonts w:eastAsia="Times New Roman" w:cstheme="minorHAnsi"/>
        </w:rPr>
        <w:t>)</w:t>
      </w:r>
      <w:r w:rsidRPr="009139B3">
        <w:rPr>
          <w:rFonts w:eastAsia="Times New Roman" w:cstheme="minorHAnsi"/>
        </w:rPr>
        <w:t xml:space="preserve">. The Contractor shall ensure that all of its employees, subcontractors (at all tiers), and employees of each subcontractor who perform work under this contract/subcontract, are trained on data privacy issues and comply with the above requirements.  </w:t>
      </w:r>
    </w:p>
    <w:p w:rsidR="002560D7" w:rsidRPr="002560D7" w:rsidP="00AE0B67" w14:paraId="5FBC68C4" w14:textId="77777777">
      <w:pPr>
        <w:spacing w:before="200" w:line="240" w:lineRule="auto"/>
        <w:rPr>
          <w:i/>
        </w:rPr>
      </w:pPr>
      <w:r w:rsidRPr="009139B3">
        <w:rPr>
          <w:rFonts w:eastAsia="Times New Roman" w:cstheme="minorHAnsi"/>
        </w:rPr>
        <w:t xml:space="preserve">As specified </w:t>
      </w:r>
      <w:r w:rsidRPr="004069E0">
        <w:rPr>
          <w:rFonts w:eastAsia="Times New Roman" w:cstheme="minorHAnsi"/>
        </w:rPr>
        <w:t>in the contract, the Contractor</w:t>
      </w:r>
      <w:r w:rsidRPr="009139B3">
        <w:rPr>
          <w:rFonts w:eastAsia="Times New Roman" w:cstheme="minorHAnsi"/>
        </w:rPr>
        <w:t xml:space="preserve"> shall use </w:t>
      </w:r>
      <w:r w:rsidRPr="009139B3" w:rsidR="000A0666">
        <w:rPr>
          <w:rFonts w:eastAsia="Times New Roman" w:cstheme="minorHAnsi"/>
        </w:rPr>
        <w:t xml:space="preserve">encryption </w:t>
      </w:r>
      <w:r w:rsidR="000A0666">
        <w:rPr>
          <w:rFonts w:eastAsia="Times New Roman" w:cstheme="minorHAnsi"/>
        </w:rPr>
        <w:t xml:space="preserve">compliant with </w:t>
      </w:r>
      <w:r w:rsidR="00E75822">
        <w:rPr>
          <w:rFonts w:eastAsia="Times New Roman" w:cstheme="minorHAnsi"/>
        </w:rPr>
        <w:t xml:space="preserve">the </w:t>
      </w:r>
      <w:r w:rsidRPr="009139B3">
        <w:rPr>
          <w:rFonts w:eastAsia="Times New Roman" w:cstheme="minorHAnsi"/>
        </w:rPr>
        <w:t>Federal Information Processing Standard</w:t>
      </w:r>
      <w:r w:rsidR="000A0666">
        <w:rPr>
          <w:rFonts w:eastAsia="Times New Roman" w:cstheme="minorHAnsi"/>
        </w:rPr>
        <w:t xml:space="preserve"> </w:t>
      </w:r>
      <w:r w:rsidRPr="009139B3">
        <w:rPr>
          <w:rFonts w:eastAsia="Times New Roman" w:cstheme="minorHAnsi"/>
        </w:rPr>
        <w:t>(Security Requirements for Cryptographic Module, as amended) to protect all information during storage and transmission. The Contractor shall securely generate and manage encryption keys to prevent unauthorized decryption of information, in accordance with the Federal Processing Standard.</w:t>
      </w:r>
      <w:r w:rsidR="00B877DB">
        <w:rPr>
          <w:rFonts w:eastAsia="Times New Roman" w:cstheme="minorHAnsi"/>
        </w:rPr>
        <w:t xml:space="preserve"> </w:t>
      </w:r>
      <w:r w:rsidRPr="009139B3">
        <w:rPr>
          <w:rFonts w:eastAsia="Times New Roman" w:cstheme="minorHAnsi"/>
        </w:rPr>
        <w:t xml:space="preserve">The Contractor shall ensure that this standard is incorporated into the Contractor’s property management/control system </w:t>
      </w:r>
      <w:r w:rsidR="00281405">
        <w:rPr>
          <w:rFonts w:eastAsia="Times New Roman" w:cstheme="minorHAnsi"/>
        </w:rPr>
        <w:t xml:space="preserve">and </w:t>
      </w:r>
      <w:r w:rsidRPr="009139B3">
        <w:rPr>
          <w:rFonts w:eastAsia="Times New Roman" w:cstheme="minorHAnsi"/>
        </w:rPr>
        <w:t xml:space="preserve">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w:t>
      </w:r>
      <w:r w:rsidR="0031575F">
        <w:rPr>
          <w:rFonts w:eastAsia="Times New Roman" w:cstheme="minorHAnsi"/>
        </w:rPr>
        <w:t>f</w:t>
      </w:r>
      <w:r w:rsidRPr="009139B3" w:rsidR="0031575F">
        <w:rPr>
          <w:rFonts w:eastAsia="Times New Roman" w:cstheme="minorHAnsi"/>
        </w:rPr>
        <w:t xml:space="preserve">ederal </w:t>
      </w:r>
      <w:r w:rsidRPr="009139B3">
        <w:rPr>
          <w:rFonts w:eastAsia="Times New Roman" w:cstheme="minorHAnsi"/>
        </w:rPr>
        <w:t xml:space="preserve">and </w:t>
      </w:r>
      <w:r w:rsidRPr="00AE0B67" w:rsidR="0031575F">
        <w:t>departmental</w:t>
      </w:r>
      <w:r w:rsidRPr="009139B3" w:rsidR="0031575F">
        <w:rPr>
          <w:rFonts w:eastAsia="Times New Roman" w:cstheme="minorHAnsi"/>
        </w:rPr>
        <w:t xml:space="preserve"> </w:t>
      </w:r>
      <w:r w:rsidRPr="009139B3">
        <w:rPr>
          <w:rFonts w:eastAsia="Times New Roman" w:cstheme="minorHAnsi"/>
        </w:rPr>
        <w:t xml:space="preserve">regulations. In addition, the Contractor must submit a plan for </w:t>
      </w:r>
      <w:r w:rsidR="00C17213">
        <w:rPr>
          <w:rFonts w:eastAsia="Times New Roman" w:cstheme="minorHAnsi"/>
        </w:rPr>
        <w:t>help</w:t>
      </w:r>
      <w:r w:rsidR="00EF5FAC">
        <w:rPr>
          <w:rFonts w:eastAsia="Times New Roman" w:cstheme="minorHAnsi"/>
        </w:rPr>
        <w:t>ing</w:t>
      </w:r>
      <w:r w:rsidRPr="009139B3">
        <w:rPr>
          <w:rFonts w:eastAsia="Times New Roman" w:cstheme="minorHAnsi"/>
        </w:rPr>
        <w:t xml:space="preserve"> ensure secure storage and limits on access.</w:t>
      </w:r>
    </w:p>
    <w:p w:rsidR="00717BDC" w:rsidRPr="00AE0B67" w:rsidP="00AE0B67" w14:paraId="5A0C0816" w14:textId="77777777">
      <w:pPr>
        <w:keepNext/>
        <w:spacing w:before="240" w:after="120" w:line="240" w:lineRule="auto"/>
        <w:rPr>
          <w:b/>
        </w:rPr>
      </w:pPr>
      <w:r w:rsidRPr="00624DDC">
        <w:rPr>
          <w:b/>
        </w:rPr>
        <w:t>A11</w:t>
      </w:r>
      <w:r w:rsidRPr="00AE0B67">
        <w:rPr>
          <w:b/>
        </w:rPr>
        <w:t>.</w:t>
      </w:r>
      <w:r w:rsidRPr="00AE0B67">
        <w:rPr>
          <w:b/>
        </w:rPr>
        <w:tab/>
      </w:r>
      <w:r w:rsidRPr="002560D7" w:rsidR="002A41C6">
        <w:rPr>
          <w:b/>
        </w:rPr>
        <w:t>Sensitive Information</w:t>
      </w:r>
      <w:r>
        <w:rPr>
          <w:rStyle w:val="FootnoteReference"/>
          <w:b/>
        </w:rPr>
        <w:footnoteReference w:id="3"/>
      </w:r>
      <w:r w:rsidRPr="00AE0B67" w:rsidR="002560D7">
        <w:rPr>
          <w:b/>
        </w:rPr>
        <w:t xml:space="preserve"> </w:t>
      </w:r>
    </w:p>
    <w:p w:rsidR="0042220D" w:rsidP="00AE0B67" w14:paraId="1A9F0884" w14:textId="77777777">
      <w:pPr>
        <w:spacing w:before="200" w:line="240" w:lineRule="auto"/>
        <w:rPr>
          <w:rFonts w:cstheme="minorHAnsi"/>
        </w:rPr>
      </w:pPr>
      <w:r>
        <w:rPr>
          <w:rFonts w:cstheme="minorHAnsi"/>
        </w:rPr>
        <w:t xml:space="preserve">No sensitive </w:t>
      </w:r>
      <w:r w:rsidRPr="00AE0B67">
        <w:t>information</w:t>
      </w:r>
      <w:r>
        <w:rPr>
          <w:rFonts w:cstheme="minorHAnsi"/>
        </w:rPr>
        <w:t xml:space="preserve"> is requested through this information collection.</w:t>
      </w:r>
    </w:p>
    <w:p w:rsidR="00230CAA" w:rsidRPr="001F0446" w:rsidP="00AE0B67" w14:paraId="62165F3B" w14:textId="77777777">
      <w:pPr>
        <w:keepNext/>
        <w:spacing w:before="240" w:after="120" w:line="240" w:lineRule="auto"/>
        <w:rPr>
          <w:b/>
        </w:rPr>
      </w:pPr>
      <w:r w:rsidRPr="00624DDC">
        <w:rPr>
          <w:b/>
        </w:rPr>
        <w:t>A12</w:t>
      </w:r>
      <w:r w:rsidRPr="00AE0B67">
        <w:rPr>
          <w:b/>
        </w:rPr>
        <w:t>.</w:t>
      </w:r>
      <w:r w:rsidRPr="00AE0B67">
        <w:rPr>
          <w:b/>
        </w:rPr>
        <w:tab/>
      </w:r>
      <w:r w:rsidRPr="00D32E6D" w:rsidR="005D4A40">
        <w:rPr>
          <w:b/>
        </w:rPr>
        <w:t>Burden</w:t>
      </w:r>
    </w:p>
    <w:p w:rsidR="00230CAA" w:rsidP="00B877DB" w14:paraId="0F504BE1" w14:textId="77777777">
      <w:pPr>
        <w:spacing w:before="200" w:after="120" w:line="240" w:lineRule="auto"/>
        <w:rPr>
          <w:i/>
        </w:rPr>
      </w:pPr>
      <w:r>
        <w:rPr>
          <w:i/>
        </w:rPr>
        <w:t>Explanation of Burden Estimates</w:t>
      </w:r>
    </w:p>
    <w:p w:rsidR="00394FA8" w:rsidP="00703626" w14:paraId="167BAA5E" w14:textId="77777777">
      <w:pPr>
        <w:spacing w:before="120" w:line="240" w:lineRule="auto"/>
        <w:rPr>
          <w:iCs/>
        </w:rPr>
      </w:pPr>
      <w:r w:rsidRPr="009069F8">
        <w:rPr>
          <w:iCs/>
        </w:rPr>
        <w:t>Table</w:t>
      </w:r>
      <w:r w:rsidRPr="0042472B">
        <w:rPr>
          <w:iCs/>
        </w:rPr>
        <w:t xml:space="preserve"> A.</w:t>
      </w:r>
      <w:r w:rsidRPr="0042472B" w:rsidR="0042472B">
        <w:rPr>
          <w:iCs/>
        </w:rPr>
        <w:t>3</w:t>
      </w:r>
      <w:r>
        <w:rPr>
          <w:iCs/>
        </w:rPr>
        <w:t xml:space="preserve"> presents an estimate of time burden for the data collections, broken down by instrument and respondent. These </w:t>
      </w:r>
      <w:r w:rsidRPr="00AE0B67">
        <w:t>estimates</w:t>
      </w:r>
      <w:r>
        <w:rPr>
          <w:iCs/>
        </w:rPr>
        <w:t xml:space="preserve"> are based on our experience with collecting information, interviewing professional staff, and conducting focus groups. </w:t>
      </w:r>
    </w:p>
    <w:p w:rsidR="002B0EE3" w:rsidRPr="00230CAA" w:rsidP="002B0EE3" w14:paraId="21439165" w14:textId="77777777">
      <w:pPr>
        <w:spacing w:after="120" w:line="240" w:lineRule="auto"/>
        <w:rPr>
          <w:i/>
        </w:rPr>
      </w:pPr>
      <w:r>
        <w:rPr>
          <w:i/>
        </w:rPr>
        <w:t>Estimated Annualized Cost to Respondents</w:t>
      </w:r>
    </w:p>
    <w:p w:rsidR="001F0446" w:rsidP="00703626" w14:paraId="382DA0D7" w14:textId="77777777">
      <w:pPr>
        <w:spacing w:before="120" w:line="240" w:lineRule="auto"/>
        <w:rPr>
          <w:iCs/>
        </w:rPr>
      </w:pPr>
      <w:r>
        <w:rPr>
          <w:iCs/>
        </w:rPr>
        <w:t xml:space="preserve">The study team based the average hourly wage estimates for deriving total annual costs on data from the Bureau of Labor Statistics, </w:t>
      </w:r>
      <w:r>
        <w:rPr>
          <w:i/>
        </w:rPr>
        <w:t>Usual Weekly Earnings of Wage and Salary Workers</w:t>
      </w:r>
      <w:r>
        <w:rPr>
          <w:iCs/>
        </w:rPr>
        <w:t xml:space="preserve"> (</w:t>
      </w:r>
      <w:r w:rsidRPr="0042472B">
        <w:rPr>
          <w:iCs/>
        </w:rPr>
        <w:t xml:space="preserve">2022 </w:t>
      </w:r>
      <w:r w:rsidRPr="0042472B" w:rsidR="006A588C">
        <w:rPr>
          <w:iCs/>
        </w:rPr>
        <w:t>first</w:t>
      </w:r>
      <w:r w:rsidRPr="0042472B">
        <w:rPr>
          <w:iCs/>
        </w:rPr>
        <w:t xml:space="preserve"> quarter</w:t>
      </w:r>
      <w:r>
        <w:rPr>
          <w:iCs/>
        </w:rPr>
        <w:t xml:space="preserve">). For each instrument in Table </w:t>
      </w:r>
      <w:r w:rsidRPr="0042472B">
        <w:rPr>
          <w:iCs/>
        </w:rPr>
        <w:t>A.</w:t>
      </w:r>
      <w:r w:rsidRPr="0042472B" w:rsidR="0042472B">
        <w:rPr>
          <w:iCs/>
        </w:rPr>
        <w:t>3</w:t>
      </w:r>
      <w:r>
        <w:rPr>
          <w:iCs/>
        </w:rPr>
        <w:t>, the team calculated the total annual cost by multiplying the annual burden hours by the average hourly wage.</w:t>
      </w:r>
    </w:p>
    <w:p w:rsidR="006E1C9F" w:rsidP="00AE0B67" w14:paraId="49802714" w14:textId="77777777">
      <w:pPr>
        <w:spacing w:before="200" w:line="240" w:lineRule="auto"/>
        <w:rPr>
          <w:iCs/>
        </w:rPr>
      </w:pPr>
      <w:r>
        <w:rPr>
          <w:iCs/>
        </w:rPr>
        <w:t>We use</w:t>
      </w:r>
      <w:r w:rsidR="007451E8">
        <w:rPr>
          <w:iCs/>
        </w:rPr>
        <w:t>d</w:t>
      </w:r>
      <w:r>
        <w:rPr>
          <w:iCs/>
        </w:rPr>
        <w:t xml:space="preserve"> the mean </w:t>
      </w:r>
      <w:r w:rsidRPr="00AE0B67">
        <w:t>hourly</w:t>
      </w:r>
      <w:r>
        <w:rPr>
          <w:iCs/>
        </w:rPr>
        <w:t xml:space="preserve"> wage of $</w:t>
      </w:r>
      <w:r w:rsidR="00F9397D">
        <w:rPr>
          <w:iCs/>
        </w:rPr>
        <w:t>30.68</w:t>
      </w:r>
      <w:r w:rsidR="006A588C">
        <w:rPr>
          <w:iCs/>
        </w:rPr>
        <w:t xml:space="preserve"> for women in professional and related occupations for program staff, as we expect many of the staff working in these positions to be women. </w:t>
      </w:r>
      <w:r w:rsidR="000F63D7">
        <w:rPr>
          <w:iCs/>
        </w:rPr>
        <w:t>We used t</w:t>
      </w:r>
      <w:r w:rsidR="006A588C">
        <w:rPr>
          <w:iCs/>
        </w:rPr>
        <w:t>he mean hourly wage of $</w:t>
      </w:r>
      <w:r w:rsidR="00AA03E4">
        <w:rPr>
          <w:iCs/>
        </w:rPr>
        <w:t>17.78</w:t>
      </w:r>
      <w:r w:rsidR="006A588C">
        <w:rPr>
          <w:iCs/>
        </w:rPr>
        <w:t xml:space="preserve"> for women high school graduates with no college for parent</w:t>
      </w:r>
      <w:r w:rsidR="000F5A36">
        <w:rPr>
          <w:iCs/>
        </w:rPr>
        <w:t xml:space="preserve"> participants</w:t>
      </w:r>
      <w:r w:rsidR="006A588C">
        <w:rPr>
          <w:iCs/>
        </w:rPr>
        <w:t xml:space="preserve"> participating in the interviews and focus groups. Tables from which these wages were drawn are available at the following links:</w:t>
      </w:r>
    </w:p>
    <w:p w:rsidR="006A588C" w:rsidRPr="00F90CC3" w:rsidP="00703626" w14:paraId="54681556" w14:textId="77777777">
      <w:pPr>
        <w:pStyle w:val="ListParagraph"/>
        <w:numPr>
          <w:ilvl w:val="0"/>
          <w:numId w:val="19"/>
        </w:numPr>
        <w:spacing w:before="120" w:after="120" w:line="240" w:lineRule="auto"/>
        <w:contextualSpacing w:val="0"/>
        <w:rPr>
          <w:iCs/>
        </w:rPr>
      </w:pPr>
      <w:r w:rsidRPr="00F90CC3">
        <w:rPr>
          <w:iCs/>
        </w:rPr>
        <w:t>Program staff (program directors, supervisors</w:t>
      </w:r>
      <w:r w:rsidRPr="00F90CC3" w:rsidR="008252A7">
        <w:rPr>
          <w:iCs/>
        </w:rPr>
        <w:t>,</w:t>
      </w:r>
      <w:r w:rsidRPr="00F90CC3">
        <w:rPr>
          <w:iCs/>
        </w:rPr>
        <w:t xml:space="preserve"> and home visitors): </w:t>
      </w:r>
      <w:hyperlink r:id="rId8" w:history="1">
        <w:r w:rsidRPr="00F90CC3" w:rsidR="00F9397D">
          <w:rPr>
            <w:rStyle w:val="Hyperlink"/>
            <w:iCs/>
          </w:rPr>
          <w:t>USUAL WEEKLY</w:t>
        </w:r>
        <w:r w:rsidRPr="00F90CC3" w:rsidR="00AA03E4">
          <w:rPr>
            <w:rStyle w:val="Hyperlink"/>
            <w:iCs/>
          </w:rPr>
          <w:t xml:space="preserve"> </w:t>
        </w:r>
        <w:r w:rsidRPr="00F90CC3" w:rsidR="00F9397D">
          <w:rPr>
            <w:rStyle w:val="Hyperlink"/>
            <w:iCs/>
          </w:rPr>
          <w:t>EARNINGS OF WAGE AND SALARY WORKERS FIRST QUARTER 2022 (bls.gov)</w:t>
        </w:r>
      </w:hyperlink>
      <w:r w:rsidRPr="00F90CC3" w:rsidR="00F9397D">
        <w:rPr>
          <w:iCs/>
        </w:rPr>
        <w:t xml:space="preserve"> (Table 4)</w:t>
      </w:r>
    </w:p>
    <w:p w:rsidR="00703626" w:rsidRPr="00FC4F02" w:rsidP="00C10674" w14:paraId="380773BC" w14:textId="77777777">
      <w:pPr>
        <w:pStyle w:val="ListParagraph"/>
        <w:numPr>
          <w:ilvl w:val="0"/>
          <w:numId w:val="19"/>
        </w:numPr>
        <w:spacing w:before="120" w:after="120" w:line="240" w:lineRule="auto"/>
        <w:contextualSpacing w:val="0"/>
        <w:rPr>
          <w:i/>
        </w:rPr>
      </w:pPr>
      <w:r w:rsidRPr="00FC4F02">
        <w:rPr>
          <w:iCs/>
        </w:rPr>
        <w:t xml:space="preserve">Parents participating in focus groups: </w:t>
      </w:r>
      <w:hyperlink r:id="rId8" w:history="1">
        <w:r w:rsidRPr="00FC4F02" w:rsidR="00AA03E4">
          <w:rPr>
            <w:rStyle w:val="Hyperlink"/>
            <w:iCs/>
          </w:rPr>
          <w:t>USUAL WEEKLY EARNINGS OF WAGE AND SALARY WORKERS FIRST QUARTER 2022 (bls.gov)</w:t>
        </w:r>
      </w:hyperlink>
      <w:r w:rsidRPr="00FC4F02" w:rsidR="00AA03E4">
        <w:rPr>
          <w:iCs/>
        </w:rPr>
        <w:t xml:space="preserve"> (Table 5)</w:t>
      </w:r>
    </w:p>
    <w:p w:rsidR="00FC4F02" w:rsidRPr="00FC4F02" w:rsidP="00FC4F02" w14:paraId="10EFD7EE" w14:textId="77777777">
      <w:pPr>
        <w:spacing w:before="120" w:after="120" w:line="240" w:lineRule="auto"/>
        <w:ind w:left="360"/>
        <w:rPr>
          <w:i/>
        </w:rPr>
      </w:pPr>
    </w:p>
    <w:p w:rsidR="001F0446" w:rsidRPr="00460AD6" w:rsidP="001F0446" w14:paraId="5C3B76C3" w14:textId="77777777">
      <w:pPr>
        <w:spacing w:after="0" w:line="240" w:lineRule="auto"/>
        <w:rPr>
          <w:b/>
          <w:bCs/>
        </w:rPr>
      </w:pPr>
      <w:r>
        <w:rPr>
          <w:b/>
          <w:bCs/>
        </w:rPr>
        <w:t>Table A.</w:t>
      </w:r>
      <w:r w:rsidR="00B84A9D">
        <w:rPr>
          <w:b/>
          <w:bCs/>
        </w:rPr>
        <w:t>3.</w:t>
      </w:r>
      <w:r>
        <w:rPr>
          <w:b/>
          <w:bCs/>
        </w:rPr>
        <w:t xml:space="preserve"> Estimated annualized cost to respondents</w:t>
      </w:r>
    </w:p>
    <w:tbl>
      <w:tblPr>
        <w:tblStyle w:val="TableGrid"/>
        <w:tblW w:w="5000" w:type="pct"/>
        <w:tblLook w:val="01E0"/>
      </w:tblPr>
      <w:tblGrid>
        <w:gridCol w:w="1832"/>
        <w:gridCol w:w="1255"/>
        <w:gridCol w:w="1500"/>
        <w:gridCol w:w="1322"/>
        <w:gridCol w:w="1057"/>
        <w:gridCol w:w="1148"/>
        <w:gridCol w:w="1236"/>
      </w:tblGrid>
      <w:tr w14:paraId="76664B39" w14:textId="77777777" w:rsidTr="00CD4B99">
        <w:tblPrEx>
          <w:tblW w:w="5000" w:type="pct"/>
          <w:tblLook w:val="01E0"/>
        </w:tblPrEx>
        <w:tc>
          <w:tcPr>
            <w:tcW w:w="9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A47AF" w:rsidRPr="00703626" w:rsidP="00CD4B99" w14:paraId="7048049B" w14:textId="77777777">
            <w:pPr>
              <w:pStyle w:val="TableHeaderLeft"/>
              <w:spacing w:before="60" w:after="60"/>
              <w:jc w:val="center"/>
              <w:rPr>
                <w:rFonts w:asciiTheme="minorHAnsi" w:hAnsiTheme="minorHAnsi" w:cstheme="minorHAnsi"/>
                <w:color w:val="000000" w:themeColor="text1"/>
              </w:rPr>
            </w:pPr>
            <w:r w:rsidRPr="00703626">
              <w:rPr>
                <w:rFonts w:asciiTheme="minorHAnsi" w:hAnsiTheme="minorHAnsi" w:cstheme="minorHAnsi"/>
                <w:color w:val="000000" w:themeColor="text1"/>
              </w:rPr>
              <w:t>Instrument</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A47AF" w:rsidRPr="00703626" w:rsidP="00CD4B99" w14:paraId="15E5B27C" w14:textId="77777777">
            <w:pPr>
              <w:pStyle w:val="TableHeaderLeft"/>
              <w:spacing w:before="60" w:after="60"/>
              <w:jc w:val="center"/>
              <w:rPr>
                <w:rFonts w:asciiTheme="minorHAnsi" w:hAnsiTheme="minorHAnsi" w:cstheme="minorHAnsi"/>
                <w:color w:val="000000" w:themeColor="text1"/>
              </w:rPr>
            </w:pPr>
            <w:r w:rsidRPr="00703626">
              <w:rPr>
                <w:rFonts w:asciiTheme="minorHAnsi" w:hAnsiTheme="minorHAnsi" w:cstheme="minorHAnsi"/>
                <w:color w:val="000000" w:themeColor="text1"/>
              </w:rPr>
              <w:t xml:space="preserve">No. of </w:t>
            </w:r>
            <w:r w:rsidRPr="00703626" w:rsidR="00F90CC3">
              <w:rPr>
                <w:rFonts w:asciiTheme="minorHAnsi" w:hAnsiTheme="minorHAnsi" w:cstheme="minorHAnsi"/>
                <w:color w:val="000000" w:themeColor="text1"/>
              </w:rPr>
              <w:t xml:space="preserve">respondents </w:t>
            </w:r>
            <w:r w:rsidRPr="00703626">
              <w:rPr>
                <w:rFonts w:asciiTheme="minorHAnsi" w:hAnsiTheme="minorHAnsi" w:cstheme="minorHAnsi"/>
                <w:color w:val="000000" w:themeColor="text1"/>
              </w:rPr>
              <w:t>(total over request period)</w:t>
            </w:r>
          </w:p>
        </w:tc>
        <w:tc>
          <w:tcPr>
            <w:tcW w:w="8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A47AF" w:rsidRPr="00703626" w:rsidP="00CD4B99" w14:paraId="27FD0269" w14:textId="77777777">
            <w:pPr>
              <w:pStyle w:val="TableHeaderLeft"/>
              <w:spacing w:before="60" w:after="60"/>
              <w:jc w:val="center"/>
              <w:rPr>
                <w:rFonts w:asciiTheme="minorHAnsi" w:hAnsiTheme="minorHAnsi" w:cstheme="minorHAnsi"/>
                <w:color w:val="000000" w:themeColor="text1"/>
              </w:rPr>
            </w:pPr>
            <w:r w:rsidRPr="00703626">
              <w:rPr>
                <w:rFonts w:asciiTheme="minorHAnsi" w:hAnsiTheme="minorHAnsi" w:cstheme="minorHAnsi"/>
                <w:color w:val="000000" w:themeColor="text1"/>
              </w:rPr>
              <w:t xml:space="preserve">No. of </w:t>
            </w:r>
            <w:r w:rsidRPr="00703626" w:rsidR="00F90CC3">
              <w:rPr>
                <w:rFonts w:asciiTheme="minorHAnsi" w:hAnsiTheme="minorHAnsi" w:cstheme="minorHAnsi"/>
                <w:color w:val="000000" w:themeColor="text1"/>
              </w:rPr>
              <w:t xml:space="preserve">responses </w:t>
            </w:r>
            <w:r w:rsidRPr="00703626">
              <w:rPr>
                <w:rFonts w:asciiTheme="minorHAnsi" w:hAnsiTheme="minorHAnsi" w:cstheme="minorHAnsi"/>
                <w:color w:val="000000" w:themeColor="text1"/>
              </w:rPr>
              <w:t xml:space="preserve">per </w:t>
            </w:r>
            <w:r w:rsidRPr="00703626" w:rsidR="00F90CC3">
              <w:rPr>
                <w:rFonts w:asciiTheme="minorHAnsi" w:hAnsiTheme="minorHAnsi" w:cstheme="minorHAnsi"/>
                <w:color w:val="000000" w:themeColor="text1"/>
              </w:rPr>
              <w:t xml:space="preserve">respondent </w:t>
            </w:r>
            <w:r w:rsidRPr="00703626">
              <w:rPr>
                <w:rFonts w:asciiTheme="minorHAnsi" w:hAnsiTheme="minorHAnsi" w:cstheme="minorHAnsi"/>
                <w:color w:val="000000" w:themeColor="text1"/>
              </w:rPr>
              <w:t>(total over request period)</w:t>
            </w:r>
          </w:p>
        </w:tc>
        <w:tc>
          <w:tcPr>
            <w:tcW w:w="7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A47AF" w:rsidRPr="00703626" w:rsidP="00CD4B99" w14:paraId="305234F0" w14:textId="77777777">
            <w:pPr>
              <w:pStyle w:val="TableHeaderLeft"/>
              <w:spacing w:before="60" w:after="60"/>
              <w:jc w:val="center"/>
              <w:rPr>
                <w:rFonts w:asciiTheme="minorHAnsi" w:hAnsiTheme="minorHAnsi" w:cstheme="minorHAnsi"/>
                <w:color w:val="000000" w:themeColor="text1"/>
              </w:rPr>
            </w:pPr>
            <w:r w:rsidRPr="00703626">
              <w:rPr>
                <w:rFonts w:asciiTheme="minorHAnsi" w:hAnsiTheme="minorHAnsi" w:cstheme="minorHAnsi"/>
                <w:color w:val="000000" w:themeColor="text1"/>
              </w:rPr>
              <w:t xml:space="preserve">Avg. </w:t>
            </w:r>
            <w:r w:rsidRPr="00703626" w:rsidR="00F90CC3">
              <w:rPr>
                <w:rFonts w:asciiTheme="minorHAnsi" w:hAnsiTheme="minorHAnsi" w:cstheme="minorHAnsi"/>
                <w:color w:val="000000" w:themeColor="text1"/>
              </w:rPr>
              <w:t xml:space="preserve">burden </w:t>
            </w:r>
            <w:r w:rsidRPr="00703626">
              <w:rPr>
                <w:rFonts w:asciiTheme="minorHAnsi" w:hAnsiTheme="minorHAnsi" w:cstheme="minorHAnsi"/>
                <w:color w:val="000000" w:themeColor="text1"/>
              </w:rPr>
              <w:t xml:space="preserve">per </w:t>
            </w:r>
            <w:r w:rsidRPr="00703626" w:rsidR="00F90CC3">
              <w:rPr>
                <w:rFonts w:asciiTheme="minorHAnsi" w:hAnsiTheme="minorHAnsi" w:cstheme="minorHAnsi"/>
                <w:color w:val="000000" w:themeColor="text1"/>
              </w:rPr>
              <w:t xml:space="preserve">response </w:t>
            </w:r>
            <w:r w:rsidRPr="00703626">
              <w:rPr>
                <w:rFonts w:asciiTheme="minorHAnsi" w:hAnsiTheme="minorHAnsi" w:cstheme="minorHAnsi"/>
                <w:color w:val="000000" w:themeColor="text1"/>
              </w:rPr>
              <w:t>(in hours)</w:t>
            </w:r>
          </w:p>
        </w:tc>
        <w:tc>
          <w:tcPr>
            <w:tcW w:w="5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A47AF" w:rsidRPr="00703626" w:rsidP="00CD4B99" w14:paraId="5CC596E7" w14:textId="77777777">
            <w:pPr>
              <w:pStyle w:val="TableHeaderLeft"/>
              <w:spacing w:before="60" w:after="60"/>
              <w:jc w:val="center"/>
              <w:rPr>
                <w:rFonts w:asciiTheme="minorHAnsi" w:hAnsiTheme="minorHAnsi" w:cstheme="minorHAnsi"/>
                <w:color w:val="000000" w:themeColor="text1"/>
              </w:rPr>
            </w:pPr>
            <w:r w:rsidRPr="00703626">
              <w:rPr>
                <w:rFonts w:asciiTheme="minorHAnsi" w:hAnsiTheme="minorHAnsi" w:cstheme="minorHAnsi"/>
                <w:color w:val="000000" w:themeColor="text1"/>
              </w:rPr>
              <w:t xml:space="preserve">Total/ </w:t>
            </w:r>
            <w:r w:rsidRPr="00703626" w:rsidR="00F90CC3">
              <w:rPr>
                <w:rFonts w:asciiTheme="minorHAnsi" w:hAnsiTheme="minorHAnsi" w:cstheme="minorHAnsi"/>
                <w:color w:val="000000" w:themeColor="text1"/>
              </w:rPr>
              <w:t xml:space="preserve">annual burden </w:t>
            </w:r>
            <w:r w:rsidRPr="00703626">
              <w:rPr>
                <w:rFonts w:asciiTheme="minorHAnsi" w:hAnsiTheme="minorHAnsi" w:cstheme="minorHAnsi"/>
                <w:color w:val="000000" w:themeColor="text1"/>
              </w:rPr>
              <w:t>(in hours)</w:t>
            </w:r>
          </w:p>
        </w:tc>
        <w:tc>
          <w:tcPr>
            <w:tcW w:w="6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A47AF" w:rsidRPr="00703626" w:rsidP="00CD4B99" w14:paraId="233B1335" w14:textId="77777777">
            <w:pPr>
              <w:pStyle w:val="TableHeaderLeft"/>
              <w:spacing w:before="60" w:after="60"/>
              <w:jc w:val="center"/>
              <w:rPr>
                <w:rFonts w:asciiTheme="minorHAnsi" w:hAnsiTheme="minorHAnsi" w:cstheme="minorHAnsi"/>
                <w:color w:val="000000" w:themeColor="text1"/>
              </w:rPr>
            </w:pPr>
            <w:r w:rsidRPr="00703626">
              <w:rPr>
                <w:rFonts w:asciiTheme="minorHAnsi" w:hAnsiTheme="minorHAnsi" w:cstheme="minorHAnsi"/>
                <w:color w:val="000000" w:themeColor="text1"/>
              </w:rPr>
              <w:t xml:space="preserve">Average </w:t>
            </w:r>
            <w:r w:rsidRPr="00703626" w:rsidR="00F90CC3">
              <w:rPr>
                <w:rFonts w:asciiTheme="minorHAnsi" w:hAnsiTheme="minorHAnsi" w:cstheme="minorHAnsi"/>
                <w:color w:val="000000" w:themeColor="text1"/>
              </w:rPr>
              <w:t>hourly wage rate</w:t>
            </w:r>
          </w:p>
        </w:tc>
        <w:tc>
          <w:tcPr>
            <w:tcW w:w="6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A47AF" w:rsidRPr="00703626" w:rsidP="00CD4B99" w14:paraId="2C5C9253" w14:textId="77777777">
            <w:pPr>
              <w:pStyle w:val="TableHeaderLeft"/>
              <w:spacing w:before="60" w:after="60"/>
              <w:jc w:val="center"/>
              <w:rPr>
                <w:rFonts w:asciiTheme="minorHAnsi" w:hAnsiTheme="minorHAnsi" w:cstheme="minorHAnsi"/>
                <w:color w:val="000000" w:themeColor="text1"/>
              </w:rPr>
            </w:pPr>
            <w:r w:rsidRPr="00703626">
              <w:rPr>
                <w:rFonts w:asciiTheme="minorHAnsi" w:hAnsiTheme="minorHAnsi" w:cstheme="minorHAnsi"/>
                <w:color w:val="000000" w:themeColor="text1"/>
              </w:rPr>
              <w:t xml:space="preserve">Total </w:t>
            </w:r>
            <w:r w:rsidRPr="00703626" w:rsidR="00FE2BAE">
              <w:rPr>
                <w:rFonts w:asciiTheme="minorHAnsi" w:hAnsiTheme="minorHAnsi" w:cstheme="minorHAnsi"/>
                <w:color w:val="000000" w:themeColor="text1"/>
              </w:rPr>
              <w:t>a</w:t>
            </w:r>
            <w:r w:rsidRPr="00703626" w:rsidR="00F90CC3">
              <w:rPr>
                <w:rFonts w:asciiTheme="minorHAnsi" w:hAnsiTheme="minorHAnsi" w:cstheme="minorHAnsi"/>
                <w:color w:val="000000" w:themeColor="text1"/>
              </w:rPr>
              <w:t xml:space="preserve">nnual </w:t>
            </w:r>
            <w:r w:rsidRPr="00703626" w:rsidR="00FE2BAE">
              <w:rPr>
                <w:rFonts w:asciiTheme="minorHAnsi" w:hAnsiTheme="minorHAnsi" w:cstheme="minorHAnsi"/>
                <w:color w:val="000000" w:themeColor="text1"/>
              </w:rPr>
              <w:t>respondent cost</w:t>
            </w:r>
          </w:p>
        </w:tc>
      </w:tr>
      <w:tr w14:paraId="0931A0FB" w14:textId="77777777" w:rsidTr="00B877DB">
        <w:tblPrEx>
          <w:tblW w:w="5000" w:type="pct"/>
          <w:tblLook w:val="01E0"/>
        </w:tblPrEx>
        <w:tc>
          <w:tcPr>
            <w:tcW w:w="979" w:type="pct"/>
            <w:tcBorders>
              <w:top w:val="single" w:sz="4" w:space="0" w:color="auto"/>
              <w:left w:val="single" w:sz="4" w:space="0" w:color="auto"/>
              <w:bottom w:val="single" w:sz="4" w:space="0" w:color="auto"/>
              <w:right w:val="single" w:sz="4" w:space="0" w:color="auto"/>
            </w:tcBorders>
          </w:tcPr>
          <w:p w:rsidR="001916D3" w:rsidRPr="001916D3" w:rsidP="001657F4" w14:paraId="4D60B8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sidRPr="001916D3">
              <w:rPr>
                <w:rFonts w:asciiTheme="minorHAnsi" w:hAnsiTheme="minorHAnsi" w:cstheme="minorHAnsi"/>
                <w:bCs/>
              </w:rPr>
              <w:t>Program</w:t>
            </w:r>
            <w:r w:rsidR="00D03CDF">
              <w:rPr>
                <w:rFonts w:asciiTheme="minorHAnsi" w:hAnsiTheme="minorHAnsi" w:cstheme="minorHAnsi"/>
                <w:bCs/>
              </w:rPr>
              <w:t xml:space="preserve"> recruitment script and</w:t>
            </w:r>
            <w:r w:rsidRPr="001916D3">
              <w:rPr>
                <w:rFonts w:asciiTheme="minorHAnsi" w:hAnsiTheme="minorHAnsi" w:cstheme="minorHAnsi"/>
                <w:bCs/>
              </w:rPr>
              <w:t xml:space="preserve"> </w:t>
            </w:r>
            <w:r>
              <w:rPr>
                <w:rFonts w:asciiTheme="minorHAnsi" w:hAnsiTheme="minorHAnsi" w:cstheme="minorHAnsi"/>
                <w:bCs/>
              </w:rPr>
              <w:t>eligibility screener (Instrument 1)</w:t>
            </w:r>
          </w:p>
        </w:tc>
        <w:tc>
          <w:tcPr>
            <w:tcW w:w="671" w:type="pct"/>
            <w:tcBorders>
              <w:top w:val="single" w:sz="4" w:space="0" w:color="auto"/>
              <w:left w:val="single" w:sz="4" w:space="0" w:color="auto"/>
              <w:bottom w:val="single" w:sz="4" w:space="0" w:color="auto"/>
              <w:right w:val="single" w:sz="4" w:space="0" w:color="auto"/>
            </w:tcBorders>
            <w:vAlign w:val="center"/>
          </w:tcPr>
          <w:p w:rsidR="001916D3" w:rsidRPr="001916D3" w:rsidP="001657F4" w14:paraId="1282A0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10</w:t>
            </w:r>
          </w:p>
        </w:tc>
        <w:tc>
          <w:tcPr>
            <w:tcW w:w="802" w:type="pct"/>
            <w:tcBorders>
              <w:top w:val="single" w:sz="4" w:space="0" w:color="auto"/>
              <w:left w:val="single" w:sz="4" w:space="0" w:color="auto"/>
              <w:bottom w:val="single" w:sz="4" w:space="0" w:color="auto"/>
              <w:right w:val="single" w:sz="4" w:space="0" w:color="auto"/>
            </w:tcBorders>
            <w:vAlign w:val="center"/>
          </w:tcPr>
          <w:p w:rsidR="001916D3" w:rsidRPr="001916D3" w:rsidP="001657F4" w14:paraId="384787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w:t>
            </w:r>
          </w:p>
        </w:tc>
        <w:tc>
          <w:tcPr>
            <w:tcW w:w="707" w:type="pct"/>
            <w:tcBorders>
              <w:top w:val="single" w:sz="4" w:space="0" w:color="auto"/>
              <w:left w:val="single" w:sz="4" w:space="0" w:color="auto"/>
              <w:bottom w:val="single" w:sz="4" w:space="0" w:color="auto"/>
              <w:right w:val="single" w:sz="4" w:space="0" w:color="auto"/>
            </w:tcBorders>
            <w:vAlign w:val="center"/>
          </w:tcPr>
          <w:p w:rsidR="001916D3" w:rsidRPr="001916D3" w:rsidP="001657F4" w14:paraId="2B2E0E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0.</w:t>
            </w:r>
            <w:r w:rsidR="00D03CDF">
              <w:rPr>
                <w:rFonts w:asciiTheme="minorHAnsi" w:hAnsiTheme="minorHAnsi" w:cstheme="minorHAnsi"/>
                <w:bCs/>
              </w:rPr>
              <w:t>75</w:t>
            </w:r>
          </w:p>
        </w:tc>
        <w:tc>
          <w:tcPr>
            <w:tcW w:w="565" w:type="pct"/>
            <w:tcBorders>
              <w:top w:val="single" w:sz="4" w:space="0" w:color="auto"/>
              <w:left w:val="single" w:sz="4" w:space="0" w:color="auto"/>
              <w:bottom w:val="single" w:sz="4" w:space="0" w:color="auto"/>
              <w:right w:val="single" w:sz="4" w:space="0" w:color="auto"/>
            </w:tcBorders>
            <w:vAlign w:val="center"/>
          </w:tcPr>
          <w:p w:rsidR="001916D3" w:rsidRPr="001916D3" w:rsidP="001657F4" w14:paraId="20F9F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8</w:t>
            </w:r>
          </w:p>
        </w:tc>
        <w:tc>
          <w:tcPr>
            <w:tcW w:w="614" w:type="pct"/>
            <w:tcBorders>
              <w:top w:val="single" w:sz="4" w:space="0" w:color="auto"/>
              <w:left w:val="single" w:sz="4" w:space="0" w:color="auto"/>
              <w:bottom w:val="single" w:sz="4" w:space="0" w:color="auto"/>
              <w:right w:val="single" w:sz="4" w:space="0" w:color="auto"/>
            </w:tcBorders>
            <w:vAlign w:val="center"/>
          </w:tcPr>
          <w:p w:rsidR="001916D3" w:rsidRPr="001916D3" w:rsidP="001657F4" w14:paraId="312AA1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$30.68</w:t>
            </w:r>
          </w:p>
        </w:tc>
        <w:tc>
          <w:tcPr>
            <w:tcW w:w="661" w:type="pct"/>
            <w:tcBorders>
              <w:top w:val="single" w:sz="4" w:space="0" w:color="auto"/>
              <w:left w:val="single" w:sz="4" w:space="0" w:color="auto"/>
              <w:bottom w:val="single" w:sz="4" w:space="0" w:color="auto"/>
              <w:right w:val="single" w:sz="4" w:space="0" w:color="auto"/>
            </w:tcBorders>
            <w:vAlign w:val="center"/>
          </w:tcPr>
          <w:p w:rsidR="001916D3" w:rsidRPr="001916D3" w:rsidP="001657F4" w14:paraId="4B7CAE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w:t>
            </w:r>
            <w:r w:rsidR="00715ED4">
              <w:rPr>
                <w:rFonts w:asciiTheme="minorHAnsi" w:hAnsiTheme="minorHAnsi" w:cstheme="minorHAnsi"/>
                <w:bCs/>
              </w:rPr>
              <w:t>245</w:t>
            </w:r>
            <w:r w:rsidR="00F9291E">
              <w:rPr>
                <w:rFonts w:asciiTheme="minorHAnsi" w:hAnsiTheme="minorHAnsi" w:cstheme="minorHAnsi"/>
                <w:bCs/>
              </w:rPr>
              <w:t>.</w:t>
            </w:r>
            <w:r w:rsidR="00715ED4">
              <w:rPr>
                <w:rFonts w:asciiTheme="minorHAnsi" w:hAnsiTheme="minorHAnsi" w:cstheme="minorHAnsi"/>
                <w:bCs/>
              </w:rPr>
              <w:t>44</w:t>
            </w:r>
          </w:p>
        </w:tc>
      </w:tr>
      <w:tr w14:paraId="00DE6558" w14:textId="77777777" w:rsidTr="00B877DB">
        <w:tblPrEx>
          <w:tblW w:w="5000" w:type="pct"/>
          <w:tblLook w:val="01E0"/>
        </w:tblPrEx>
        <w:tc>
          <w:tcPr>
            <w:tcW w:w="979" w:type="pct"/>
            <w:tcBorders>
              <w:top w:val="single" w:sz="4" w:space="0" w:color="auto"/>
              <w:left w:val="single" w:sz="4" w:space="0" w:color="auto"/>
              <w:bottom w:val="single" w:sz="4" w:space="0" w:color="auto"/>
              <w:right w:val="single" w:sz="4" w:space="0" w:color="auto"/>
            </w:tcBorders>
          </w:tcPr>
          <w:p w:rsidR="009A47AF" w:rsidRPr="009532F6" w:rsidP="001657F4" w14:paraId="4FF961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sidRPr="009532F6">
              <w:rPr>
                <w:rFonts w:asciiTheme="minorHAnsi" w:hAnsiTheme="minorHAnsi" w:cstheme="minorHAnsi"/>
                <w:bCs/>
              </w:rPr>
              <w:t>Program director interview protocol</w:t>
            </w:r>
            <w:r>
              <w:rPr>
                <w:rFonts w:asciiTheme="minorHAnsi" w:hAnsiTheme="minorHAnsi" w:cstheme="minorHAnsi"/>
                <w:bCs/>
              </w:rPr>
              <w:t xml:space="preserve"> (Instrument </w:t>
            </w:r>
            <w:r w:rsidR="00F9291E">
              <w:rPr>
                <w:rFonts w:asciiTheme="minorHAnsi" w:hAnsiTheme="minorHAnsi" w:cstheme="minorHAnsi"/>
                <w:bCs/>
              </w:rPr>
              <w:t>2</w:t>
            </w:r>
            <w:r>
              <w:rPr>
                <w:rFonts w:asciiTheme="minorHAnsi" w:hAnsiTheme="minorHAnsi" w:cstheme="minorHAnsi"/>
                <w:bCs/>
              </w:rPr>
              <w:t>)</w:t>
            </w:r>
          </w:p>
        </w:tc>
        <w:tc>
          <w:tcPr>
            <w:tcW w:w="671"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2D0B10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12</w:t>
            </w:r>
          </w:p>
        </w:tc>
        <w:tc>
          <w:tcPr>
            <w:tcW w:w="802"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1C7553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w:t>
            </w:r>
          </w:p>
        </w:tc>
        <w:tc>
          <w:tcPr>
            <w:tcW w:w="707"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5C0DFC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w:t>
            </w:r>
          </w:p>
        </w:tc>
        <w:tc>
          <w:tcPr>
            <w:tcW w:w="565"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1F9D73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12</w:t>
            </w:r>
          </w:p>
        </w:tc>
        <w:tc>
          <w:tcPr>
            <w:tcW w:w="614"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7666BE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$30.68</w:t>
            </w:r>
          </w:p>
        </w:tc>
        <w:tc>
          <w:tcPr>
            <w:tcW w:w="661"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5E9478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$368.16</w:t>
            </w:r>
          </w:p>
        </w:tc>
      </w:tr>
      <w:tr w14:paraId="3193CF91" w14:textId="77777777" w:rsidTr="00B877DB">
        <w:tblPrEx>
          <w:tblW w:w="5000" w:type="pct"/>
          <w:tblLook w:val="01E0"/>
        </w:tblPrEx>
        <w:tc>
          <w:tcPr>
            <w:tcW w:w="979" w:type="pct"/>
            <w:tcBorders>
              <w:top w:val="single" w:sz="4" w:space="0" w:color="auto"/>
              <w:left w:val="single" w:sz="4" w:space="0" w:color="auto"/>
              <w:bottom w:val="single" w:sz="4" w:space="0" w:color="auto"/>
              <w:right w:val="single" w:sz="4" w:space="0" w:color="auto"/>
            </w:tcBorders>
          </w:tcPr>
          <w:p w:rsidR="009A47AF" w:rsidRPr="009532F6" w:rsidP="001657F4" w14:paraId="6EE29A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Pr>
                <w:rFonts w:asciiTheme="minorHAnsi" w:hAnsiTheme="minorHAnsi" w:cstheme="minorHAnsi"/>
                <w:bCs/>
              </w:rPr>
              <w:t xml:space="preserve">Program supervisor </w:t>
            </w:r>
            <w:r w:rsidR="00432CE9">
              <w:rPr>
                <w:rFonts w:asciiTheme="minorHAnsi" w:hAnsiTheme="minorHAnsi" w:cstheme="minorHAnsi"/>
                <w:bCs/>
              </w:rPr>
              <w:t>i</w:t>
            </w:r>
            <w:r>
              <w:rPr>
                <w:rFonts w:asciiTheme="minorHAnsi" w:hAnsiTheme="minorHAnsi" w:cstheme="minorHAnsi"/>
                <w:bCs/>
              </w:rPr>
              <w:t xml:space="preserve">nterview </w:t>
            </w:r>
            <w:r w:rsidR="00432CE9">
              <w:rPr>
                <w:rFonts w:asciiTheme="minorHAnsi" w:hAnsiTheme="minorHAnsi" w:cstheme="minorHAnsi"/>
                <w:bCs/>
              </w:rPr>
              <w:t>p</w:t>
            </w:r>
            <w:r>
              <w:rPr>
                <w:rFonts w:asciiTheme="minorHAnsi" w:hAnsiTheme="minorHAnsi" w:cstheme="minorHAnsi"/>
                <w:bCs/>
              </w:rPr>
              <w:t>rotocol (Instrument 3)</w:t>
            </w:r>
          </w:p>
        </w:tc>
        <w:tc>
          <w:tcPr>
            <w:tcW w:w="671"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065FBF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12</w:t>
            </w:r>
          </w:p>
        </w:tc>
        <w:tc>
          <w:tcPr>
            <w:tcW w:w="802"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224F4C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w:t>
            </w:r>
          </w:p>
        </w:tc>
        <w:tc>
          <w:tcPr>
            <w:tcW w:w="707"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5735FF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w:t>
            </w:r>
          </w:p>
        </w:tc>
        <w:tc>
          <w:tcPr>
            <w:tcW w:w="565"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4D94AB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12</w:t>
            </w:r>
          </w:p>
        </w:tc>
        <w:tc>
          <w:tcPr>
            <w:tcW w:w="614"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5B946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$30.68</w:t>
            </w:r>
          </w:p>
        </w:tc>
        <w:tc>
          <w:tcPr>
            <w:tcW w:w="661"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6739DB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$368.16</w:t>
            </w:r>
          </w:p>
        </w:tc>
      </w:tr>
      <w:tr w14:paraId="7176C876" w14:textId="77777777" w:rsidTr="00B877DB">
        <w:tblPrEx>
          <w:tblW w:w="5000" w:type="pct"/>
          <w:tblLook w:val="01E0"/>
        </w:tblPrEx>
        <w:tc>
          <w:tcPr>
            <w:tcW w:w="979" w:type="pct"/>
            <w:tcBorders>
              <w:top w:val="single" w:sz="4" w:space="0" w:color="auto"/>
              <w:left w:val="single" w:sz="4" w:space="0" w:color="auto"/>
              <w:bottom w:val="single" w:sz="4" w:space="0" w:color="auto"/>
              <w:right w:val="single" w:sz="4" w:space="0" w:color="auto"/>
            </w:tcBorders>
          </w:tcPr>
          <w:p w:rsidR="009A47AF" w:rsidP="001657F4" w14:paraId="0E8E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cstheme="minorHAnsi"/>
                <w:bCs/>
              </w:rPr>
            </w:pPr>
            <w:r>
              <w:rPr>
                <w:rFonts w:asciiTheme="minorHAnsi" w:hAnsiTheme="minorHAnsi" w:cstheme="minorHAnsi"/>
                <w:bCs/>
              </w:rPr>
              <w:t xml:space="preserve">Parent participant interview protocol (Instrument </w:t>
            </w:r>
            <w:r w:rsidR="00F9291E">
              <w:rPr>
                <w:rFonts w:asciiTheme="minorHAnsi" w:hAnsiTheme="minorHAnsi" w:cstheme="minorHAnsi"/>
                <w:bCs/>
              </w:rPr>
              <w:t>4</w:t>
            </w:r>
            <w:r>
              <w:rPr>
                <w:rFonts w:asciiTheme="minorHAnsi" w:hAnsiTheme="minorHAnsi" w:cstheme="minorHAnsi"/>
                <w:bCs/>
              </w:rPr>
              <w:t>)</w:t>
            </w:r>
          </w:p>
        </w:tc>
        <w:tc>
          <w:tcPr>
            <w:tcW w:w="671" w:type="pct"/>
            <w:tcBorders>
              <w:top w:val="single" w:sz="4" w:space="0" w:color="auto"/>
              <w:left w:val="single" w:sz="4" w:space="0" w:color="auto"/>
              <w:bottom w:val="single" w:sz="4" w:space="0" w:color="auto"/>
              <w:right w:val="single" w:sz="4" w:space="0" w:color="auto"/>
            </w:tcBorders>
            <w:vAlign w:val="center"/>
          </w:tcPr>
          <w:p w:rsidR="009A47AF" w:rsidP="001657F4" w14:paraId="157AB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cstheme="minorHAnsi"/>
                <w:bCs/>
              </w:rPr>
            </w:pPr>
            <w:r>
              <w:rPr>
                <w:rFonts w:asciiTheme="minorHAnsi" w:hAnsiTheme="minorHAnsi" w:cstheme="minorHAnsi"/>
                <w:bCs/>
              </w:rPr>
              <w:t>14</w:t>
            </w:r>
          </w:p>
        </w:tc>
        <w:tc>
          <w:tcPr>
            <w:tcW w:w="802" w:type="pct"/>
            <w:tcBorders>
              <w:top w:val="single" w:sz="4" w:space="0" w:color="auto"/>
              <w:left w:val="single" w:sz="4" w:space="0" w:color="auto"/>
              <w:bottom w:val="single" w:sz="4" w:space="0" w:color="auto"/>
              <w:right w:val="single" w:sz="4" w:space="0" w:color="auto"/>
            </w:tcBorders>
            <w:vAlign w:val="center"/>
          </w:tcPr>
          <w:p w:rsidR="009A47AF" w:rsidP="001657F4" w14:paraId="1EDCC5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cstheme="minorHAnsi"/>
                <w:bCs/>
              </w:rPr>
            </w:pPr>
            <w:r>
              <w:rPr>
                <w:rFonts w:asciiTheme="minorHAnsi" w:hAnsiTheme="minorHAnsi" w:cstheme="minorHAnsi"/>
                <w:bCs/>
              </w:rPr>
              <w:t>1</w:t>
            </w:r>
          </w:p>
        </w:tc>
        <w:tc>
          <w:tcPr>
            <w:tcW w:w="707" w:type="pct"/>
            <w:tcBorders>
              <w:top w:val="single" w:sz="4" w:space="0" w:color="auto"/>
              <w:left w:val="single" w:sz="4" w:space="0" w:color="auto"/>
              <w:bottom w:val="single" w:sz="4" w:space="0" w:color="auto"/>
              <w:right w:val="single" w:sz="4" w:space="0" w:color="auto"/>
            </w:tcBorders>
            <w:vAlign w:val="center"/>
          </w:tcPr>
          <w:p w:rsidR="009A47AF" w:rsidP="001657F4" w14:paraId="169CCE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cstheme="minorHAnsi"/>
                <w:bCs/>
              </w:rPr>
            </w:pPr>
            <w:r>
              <w:rPr>
                <w:rFonts w:asciiTheme="minorHAnsi" w:hAnsiTheme="minorHAnsi" w:cstheme="minorHAnsi"/>
                <w:bCs/>
              </w:rPr>
              <w:t>1</w:t>
            </w:r>
          </w:p>
        </w:tc>
        <w:tc>
          <w:tcPr>
            <w:tcW w:w="565" w:type="pct"/>
            <w:tcBorders>
              <w:top w:val="single" w:sz="4" w:space="0" w:color="auto"/>
              <w:left w:val="single" w:sz="4" w:space="0" w:color="auto"/>
              <w:bottom w:val="single" w:sz="4" w:space="0" w:color="auto"/>
              <w:right w:val="single" w:sz="4" w:space="0" w:color="auto"/>
            </w:tcBorders>
            <w:vAlign w:val="center"/>
          </w:tcPr>
          <w:p w:rsidR="009A47AF" w:rsidP="001657F4" w14:paraId="189C38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cstheme="minorHAnsi"/>
                <w:bCs/>
              </w:rPr>
            </w:pPr>
            <w:r>
              <w:rPr>
                <w:rFonts w:asciiTheme="minorHAnsi" w:hAnsiTheme="minorHAnsi" w:cstheme="minorHAnsi"/>
                <w:bCs/>
              </w:rPr>
              <w:t>14</w:t>
            </w:r>
          </w:p>
        </w:tc>
        <w:tc>
          <w:tcPr>
            <w:tcW w:w="614" w:type="pct"/>
            <w:tcBorders>
              <w:top w:val="single" w:sz="4" w:space="0" w:color="auto"/>
              <w:left w:val="single" w:sz="4" w:space="0" w:color="auto"/>
              <w:bottom w:val="single" w:sz="4" w:space="0" w:color="auto"/>
              <w:right w:val="single" w:sz="4" w:space="0" w:color="auto"/>
            </w:tcBorders>
            <w:vAlign w:val="center"/>
          </w:tcPr>
          <w:p w:rsidR="009A47AF" w:rsidP="001657F4" w14:paraId="3C3B09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cstheme="minorHAnsi"/>
                <w:bCs/>
              </w:rPr>
            </w:pPr>
            <w:r>
              <w:rPr>
                <w:rFonts w:asciiTheme="minorHAnsi" w:hAnsiTheme="minorHAnsi" w:cstheme="minorHAnsi"/>
                <w:bCs/>
              </w:rPr>
              <w:t>$17.78</w:t>
            </w:r>
          </w:p>
        </w:tc>
        <w:tc>
          <w:tcPr>
            <w:tcW w:w="661" w:type="pct"/>
            <w:tcBorders>
              <w:top w:val="single" w:sz="4" w:space="0" w:color="auto"/>
              <w:left w:val="single" w:sz="4" w:space="0" w:color="auto"/>
              <w:bottom w:val="single" w:sz="4" w:space="0" w:color="auto"/>
              <w:right w:val="single" w:sz="4" w:space="0" w:color="auto"/>
            </w:tcBorders>
            <w:vAlign w:val="center"/>
          </w:tcPr>
          <w:p w:rsidR="009A47AF" w:rsidP="001657F4" w14:paraId="3FD535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cstheme="minorHAnsi"/>
                <w:bCs/>
              </w:rPr>
            </w:pPr>
            <w:r>
              <w:rPr>
                <w:rFonts w:asciiTheme="minorHAnsi" w:hAnsiTheme="minorHAnsi" w:cstheme="minorHAnsi"/>
                <w:bCs/>
              </w:rPr>
              <w:t>$</w:t>
            </w:r>
            <w:r w:rsidR="00605714">
              <w:rPr>
                <w:rFonts w:asciiTheme="minorHAnsi" w:hAnsiTheme="minorHAnsi" w:cstheme="minorHAnsi"/>
                <w:bCs/>
              </w:rPr>
              <w:t>248.92</w:t>
            </w:r>
          </w:p>
        </w:tc>
      </w:tr>
      <w:tr w14:paraId="1619B69D" w14:textId="77777777" w:rsidTr="00B877DB">
        <w:tblPrEx>
          <w:tblW w:w="5000" w:type="pct"/>
          <w:tblLook w:val="01E0"/>
        </w:tblPrEx>
        <w:tc>
          <w:tcPr>
            <w:tcW w:w="979" w:type="pct"/>
            <w:tcBorders>
              <w:top w:val="single" w:sz="4" w:space="0" w:color="auto"/>
              <w:left w:val="single" w:sz="4" w:space="0" w:color="auto"/>
              <w:bottom w:val="single" w:sz="4" w:space="0" w:color="auto"/>
              <w:right w:val="single" w:sz="4" w:space="0" w:color="auto"/>
            </w:tcBorders>
          </w:tcPr>
          <w:p w:rsidR="009A47AF" w:rsidRPr="009532F6" w:rsidP="001657F4" w14:paraId="74F53D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Pr>
                <w:rFonts w:asciiTheme="minorHAnsi" w:hAnsiTheme="minorHAnsi" w:cstheme="minorHAnsi"/>
                <w:bCs/>
              </w:rPr>
              <w:t xml:space="preserve">Home visitor </w:t>
            </w:r>
            <w:r w:rsidR="00DB63C9">
              <w:rPr>
                <w:rFonts w:asciiTheme="minorHAnsi" w:hAnsiTheme="minorHAnsi" w:cstheme="minorHAnsi"/>
                <w:bCs/>
              </w:rPr>
              <w:t>group interview protocol</w:t>
            </w:r>
            <w:r>
              <w:rPr>
                <w:rFonts w:asciiTheme="minorHAnsi" w:hAnsiTheme="minorHAnsi" w:cstheme="minorHAnsi"/>
                <w:bCs/>
              </w:rPr>
              <w:t xml:space="preserve"> (Instrument </w:t>
            </w:r>
            <w:r w:rsidR="00F9291E">
              <w:rPr>
                <w:rFonts w:asciiTheme="minorHAnsi" w:hAnsiTheme="minorHAnsi" w:cstheme="minorHAnsi"/>
                <w:bCs/>
              </w:rPr>
              <w:t>5</w:t>
            </w:r>
            <w:r>
              <w:rPr>
                <w:rFonts w:asciiTheme="minorHAnsi" w:hAnsiTheme="minorHAnsi" w:cstheme="minorHAnsi"/>
                <w:bCs/>
              </w:rPr>
              <w:t>)</w:t>
            </w:r>
          </w:p>
        </w:tc>
        <w:tc>
          <w:tcPr>
            <w:tcW w:w="671"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7F430B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36</w:t>
            </w:r>
          </w:p>
        </w:tc>
        <w:tc>
          <w:tcPr>
            <w:tcW w:w="802"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4A1D9D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w:t>
            </w:r>
          </w:p>
        </w:tc>
        <w:tc>
          <w:tcPr>
            <w:tcW w:w="707"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6D2A23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1.5</w:t>
            </w:r>
          </w:p>
        </w:tc>
        <w:tc>
          <w:tcPr>
            <w:tcW w:w="565"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049E84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54</w:t>
            </w:r>
          </w:p>
        </w:tc>
        <w:tc>
          <w:tcPr>
            <w:tcW w:w="614"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5040F8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$30.68</w:t>
            </w:r>
          </w:p>
        </w:tc>
        <w:tc>
          <w:tcPr>
            <w:tcW w:w="661"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677BDE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w:t>
            </w:r>
            <w:r w:rsidR="0000181E">
              <w:rPr>
                <w:rFonts w:asciiTheme="minorHAnsi" w:hAnsiTheme="minorHAnsi" w:cstheme="minorHAnsi"/>
                <w:bCs/>
              </w:rPr>
              <w:t>1,656.72</w:t>
            </w:r>
          </w:p>
        </w:tc>
      </w:tr>
      <w:tr w14:paraId="4A19809B" w14:textId="77777777" w:rsidTr="00B877DB">
        <w:tblPrEx>
          <w:tblW w:w="5000" w:type="pct"/>
          <w:tblLook w:val="01E0"/>
        </w:tblPrEx>
        <w:tc>
          <w:tcPr>
            <w:tcW w:w="979" w:type="pct"/>
            <w:tcBorders>
              <w:top w:val="single" w:sz="4" w:space="0" w:color="auto"/>
              <w:left w:val="single" w:sz="4" w:space="0" w:color="auto"/>
              <w:bottom w:val="single" w:sz="4" w:space="0" w:color="auto"/>
              <w:right w:val="single" w:sz="4" w:space="0" w:color="auto"/>
            </w:tcBorders>
          </w:tcPr>
          <w:p w:rsidR="009A47AF" w:rsidRPr="009532F6" w:rsidP="001657F4" w14:paraId="737F67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Pr>
                <w:rFonts w:asciiTheme="minorHAnsi" w:hAnsiTheme="minorHAnsi" w:cstheme="minorHAnsi"/>
                <w:bCs/>
              </w:rPr>
              <w:t xml:space="preserve">Parent participant focus group guide (Instrument </w:t>
            </w:r>
            <w:r w:rsidR="00F9291E">
              <w:rPr>
                <w:rFonts w:asciiTheme="minorHAnsi" w:hAnsiTheme="minorHAnsi" w:cstheme="minorHAnsi"/>
                <w:bCs/>
              </w:rPr>
              <w:t>6</w:t>
            </w:r>
            <w:r>
              <w:rPr>
                <w:rFonts w:asciiTheme="minorHAnsi" w:hAnsiTheme="minorHAnsi" w:cstheme="minorHAnsi"/>
                <w:bCs/>
              </w:rPr>
              <w:t>)</w:t>
            </w:r>
          </w:p>
        </w:tc>
        <w:tc>
          <w:tcPr>
            <w:tcW w:w="671"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79C0B0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36</w:t>
            </w:r>
          </w:p>
        </w:tc>
        <w:tc>
          <w:tcPr>
            <w:tcW w:w="802"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70498E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w:t>
            </w:r>
          </w:p>
        </w:tc>
        <w:tc>
          <w:tcPr>
            <w:tcW w:w="707"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50E867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w:t>
            </w:r>
          </w:p>
        </w:tc>
        <w:tc>
          <w:tcPr>
            <w:tcW w:w="565"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7EDE07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36</w:t>
            </w:r>
          </w:p>
        </w:tc>
        <w:tc>
          <w:tcPr>
            <w:tcW w:w="614"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26C448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$17.78</w:t>
            </w:r>
          </w:p>
        </w:tc>
        <w:tc>
          <w:tcPr>
            <w:tcW w:w="661"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530D8E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$640.08</w:t>
            </w:r>
          </w:p>
        </w:tc>
      </w:tr>
      <w:tr w14:paraId="58AA3E88" w14:textId="77777777" w:rsidTr="00B877DB">
        <w:tblPrEx>
          <w:tblW w:w="5000" w:type="pct"/>
          <w:tblLook w:val="01E0"/>
        </w:tblPrEx>
        <w:tc>
          <w:tcPr>
            <w:tcW w:w="979" w:type="pct"/>
            <w:tcBorders>
              <w:top w:val="single" w:sz="4" w:space="0" w:color="auto"/>
              <w:left w:val="single" w:sz="4" w:space="0" w:color="auto"/>
              <w:bottom w:val="single" w:sz="4" w:space="0" w:color="auto"/>
              <w:right w:val="single" w:sz="4" w:space="0" w:color="auto"/>
            </w:tcBorders>
            <w:hideMark/>
          </w:tcPr>
          <w:p w:rsidR="009A47AF" w:rsidRPr="009532F6" w:rsidP="001657F4" w14:paraId="4F67A9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Theme="minorHAnsi" w:hAnsiTheme="minorHAnsi" w:cstheme="minorHAnsi"/>
                <w:bCs/>
              </w:rPr>
            </w:pPr>
            <w:r w:rsidRPr="009532F6">
              <w:rPr>
                <w:rFonts w:asciiTheme="minorHAnsi" w:hAnsiTheme="minorHAnsi" w:cstheme="minorHAnsi"/>
                <w:bCs/>
              </w:rPr>
              <w:t>Total</w:t>
            </w:r>
          </w:p>
        </w:tc>
        <w:tc>
          <w:tcPr>
            <w:tcW w:w="671"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56E162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w:t>
            </w:r>
          </w:p>
        </w:tc>
        <w:tc>
          <w:tcPr>
            <w:tcW w:w="802"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1F8C39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w:t>
            </w:r>
          </w:p>
        </w:tc>
        <w:tc>
          <w:tcPr>
            <w:tcW w:w="707" w:type="pct"/>
            <w:tcBorders>
              <w:top w:val="single" w:sz="4" w:space="0" w:color="auto"/>
              <w:left w:val="single" w:sz="4" w:space="0" w:color="auto"/>
              <w:bottom w:val="single" w:sz="4" w:space="0" w:color="auto"/>
              <w:right w:val="single" w:sz="4" w:space="0" w:color="auto"/>
            </w:tcBorders>
            <w:vAlign w:val="center"/>
          </w:tcPr>
          <w:p w:rsidR="009A47AF" w:rsidRPr="009532F6" w:rsidP="001657F4" w14:paraId="61846A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Pr>
                <w:rFonts w:asciiTheme="minorHAnsi" w:hAnsiTheme="minorHAnsi" w:cstheme="minorHAnsi"/>
                <w:bCs/>
              </w:rPr>
              <w:t>-</w:t>
            </w:r>
          </w:p>
        </w:tc>
        <w:tc>
          <w:tcPr>
            <w:tcW w:w="565" w:type="pct"/>
            <w:tcBorders>
              <w:top w:val="single" w:sz="4" w:space="0" w:color="auto"/>
              <w:left w:val="single" w:sz="4" w:space="0" w:color="auto"/>
              <w:bottom w:val="single" w:sz="4" w:space="0" w:color="auto"/>
              <w:right w:val="single" w:sz="4" w:space="0" w:color="auto"/>
            </w:tcBorders>
            <w:vAlign w:val="center"/>
          </w:tcPr>
          <w:p w:rsidR="009A47AF" w:rsidRPr="00447AE4" w:rsidP="001657F4" w14:paraId="2FF027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sidRPr="00447AE4">
              <w:rPr>
                <w:rFonts w:asciiTheme="minorHAnsi" w:hAnsiTheme="minorHAnsi" w:cstheme="minorHAnsi"/>
                <w:bCs/>
              </w:rPr>
              <w:t>1</w:t>
            </w:r>
            <w:r w:rsidR="006B26F0">
              <w:rPr>
                <w:rFonts w:asciiTheme="minorHAnsi" w:hAnsiTheme="minorHAnsi" w:cstheme="minorHAnsi"/>
                <w:bCs/>
              </w:rPr>
              <w:t>3</w:t>
            </w:r>
            <w:r w:rsidR="00394FA8">
              <w:rPr>
                <w:rFonts w:asciiTheme="minorHAnsi" w:hAnsiTheme="minorHAnsi" w:cstheme="minorHAnsi"/>
                <w:bCs/>
              </w:rPr>
              <w:t>6</w:t>
            </w:r>
          </w:p>
        </w:tc>
        <w:tc>
          <w:tcPr>
            <w:tcW w:w="614" w:type="pct"/>
            <w:tcBorders>
              <w:top w:val="single" w:sz="4" w:space="0" w:color="auto"/>
              <w:left w:val="single" w:sz="4" w:space="0" w:color="auto"/>
              <w:bottom w:val="single" w:sz="4" w:space="0" w:color="auto"/>
              <w:right w:val="single" w:sz="4" w:space="0" w:color="auto"/>
            </w:tcBorders>
            <w:vAlign w:val="center"/>
            <w:hideMark/>
          </w:tcPr>
          <w:p w:rsidR="009A47AF" w:rsidRPr="00447AE4" w:rsidP="001657F4" w14:paraId="2B1EC3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sidRPr="00447AE4">
              <w:rPr>
                <w:rFonts w:asciiTheme="minorHAnsi" w:hAnsiTheme="minorHAnsi" w:cstheme="minorHAnsi"/>
                <w:bCs/>
              </w:rPr>
              <w:t>-</w:t>
            </w:r>
          </w:p>
        </w:tc>
        <w:tc>
          <w:tcPr>
            <w:tcW w:w="661" w:type="pct"/>
            <w:tcBorders>
              <w:top w:val="single" w:sz="4" w:space="0" w:color="auto"/>
              <w:left w:val="single" w:sz="4" w:space="0" w:color="auto"/>
              <w:bottom w:val="single" w:sz="4" w:space="0" w:color="auto"/>
              <w:right w:val="single" w:sz="4" w:space="0" w:color="auto"/>
            </w:tcBorders>
            <w:vAlign w:val="center"/>
            <w:hideMark/>
          </w:tcPr>
          <w:p w:rsidR="009A47AF" w:rsidRPr="00447AE4" w:rsidP="001C2812" w14:paraId="563C0C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Theme="minorHAnsi" w:hAnsiTheme="minorHAnsi" w:cstheme="minorHAnsi"/>
                <w:bCs/>
              </w:rPr>
            </w:pPr>
            <w:r w:rsidRPr="00447AE4">
              <w:rPr>
                <w:rFonts w:asciiTheme="minorHAnsi" w:hAnsiTheme="minorHAnsi" w:cstheme="minorHAnsi"/>
                <w:bCs/>
              </w:rPr>
              <w:t>$</w:t>
            </w:r>
            <w:r w:rsidR="00605714">
              <w:rPr>
                <w:rFonts w:asciiTheme="minorHAnsi" w:hAnsiTheme="minorHAnsi" w:cstheme="minorHAnsi"/>
                <w:bCs/>
              </w:rPr>
              <w:t>3,5</w:t>
            </w:r>
            <w:r w:rsidR="001C2812">
              <w:rPr>
                <w:rFonts w:asciiTheme="minorHAnsi" w:hAnsiTheme="minorHAnsi" w:cstheme="minorHAnsi"/>
                <w:bCs/>
              </w:rPr>
              <w:t>27</w:t>
            </w:r>
            <w:r w:rsidR="00605714">
              <w:rPr>
                <w:rFonts w:asciiTheme="minorHAnsi" w:hAnsiTheme="minorHAnsi" w:cstheme="minorHAnsi"/>
                <w:bCs/>
              </w:rPr>
              <w:t>.1</w:t>
            </w:r>
            <w:r w:rsidR="001C2812">
              <w:rPr>
                <w:rFonts w:asciiTheme="minorHAnsi" w:hAnsiTheme="minorHAnsi" w:cstheme="minorHAnsi"/>
                <w:bCs/>
              </w:rPr>
              <w:t>48</w:t>
            </w:r>
          </w:p>
        </w:tc>
      </w:tr>
    </w:tbl>
    <w:p w:rsidR="001F0446" w:rsidP="00373D2F" w14:paraId="162DBA81" w14:textId="77777777">
      <w:pPr>
        <w:spacing w:after="0" w:line="240" w:lineRule="auto"/>
      </w:pPr>
    </w:p>
    <w:p w:rsidR="00373D2F" w:rsidRPr="00AE0B67" w:rsidP="00AE0B67" w14:paraId="7358AB32" w14:textId="77777777">
      <w:pPr>
        <w:keepNext/>
        <w:spacing w:before="240" w:after="120" w:line="240" w:lineRule="auto"/>
        <w:rPr>
          <w:b/>
        </w:rPr>
      </w:pPr>
      <w:r w:rsidRPr="00AE0B67">
        <w:rPr>
          <w:b/>
        </w:rPr>
        <w:t>A13.</w:t>
      </w:r>
      <w:r w:rsidRPr="00AE0B67">
        <w:rPr>
          <w:b/>
        </w:rPr>
        <w:tab/>
      </w:r>
      <w:r w:rsidRPr="00AE0B67" w:rsidR="00083227">
        <w:rPr>
          <w:b/>
        </w:rPr>
        <w:t>Costs</w:t>
      </w:r>
    </w:p>
    <w:p w:rsidR="007C52B2" w:rsidP="00577243" w14:paraId="1EE0840C" w14:textId="014E5AC3">
      <w:pPr>
        <w:autoSpaceDE w:val="0"/>
        <w:autoSpaceDN w:val="0"/>
        <w:adjustRightInd w:val="0"/>
        <w:spacing w:after="0" w:line="240" w:lineRule="auto"/>
      </w:pPr>
      <w:r>
        <w:t>We propose to offer each participating</w:t>
      </w:r>
      <w:r w:rsidR="004C11EE">
        <w:t xml:space="preserve"> local </w:t>
      </w:r>
      <w:r w:rsidR="00A96990">
        <w:t>ECHV</w:t>
      </w:r>
      <w:r>
        <w:t xml:space="preserve"> program an honorarium to acknowledge their contribution to timely and complete data collection, and in recognition that their efforts in helping to coordinate study activities and recruit parent participants for focus groups and interviews</w:t>
      </w:r>
      <w:r w:rsidRPr="00016386">
        <w:t>.</w:t>
      </w:r>
      <w:r w:rsidR="004C11EE">
        <w:t xml:space="preserve"> </w:t>
      </w:r>
      <w:r w:rsidR="00A96990">
        <w:t>Although</w:t>
      </w:r>
      <w:r w:rsidR="004C11EE">
        <w:t xml:space="preserve"> these local </w:t>
      </w:r>
      <w:r w:rsidR="00A96990">
        <w:t>ECHV</w:t>
      </w:r>
      <w:r w:rsidR="004C11EE">
        <w:t xml:space="preserve"> programs may receive funding from federal </w:t>
      </w:r>
      <w:r>
        <w:t xml:space="preserve">or state </w:t>
      </w:r>
      <w:r w:rsidR="004C11EE">
        <w:t xml:space="preserve">sources, </w:t>
      </w:r>
      <w:r>
        <w:t xml:space="preserve">they are </w:t>
      </w:r>
      <w:r w:rsidR="004C3859">
        <w:t xml:space="preserve">typically </w:t>
      </w:r>
      <w:r>
        <w:t xml:space="preserve">not the grantees for </w:t>
      </w:r>
      <w:r w:rsidR="00635B87">
        <w:t>federal</w:t>
      </w:r>
      <w:r>
        <w:t xml:space="preserve"> funds. These local </w:t>
      </w:r>
      <w:r w:rsidR="0028551A">
        <w:t>ECHV</w:t>
      </w:r>
      <w:r>
        <w:t xml:space="preserve"> programs are not obligated to participate in research studies, regardless of their funding sources. An honorarium would help increase the likelihood of their participation</w:t>
      </w:r>
      <w:r w:rsidR="0028551A">
        <w:t xml:space="preserve"> by defraying the cost of participating, such as using staff time for interviews, rather than their regular job responsibilities</w:t>
      </w:r>
      <w:r>
        <w:t>.</w:t>
      </w:r>
      <w:r>
        <w:rPr>
          <w:rStyle w:val="FootnoteReference"/>
        </w:rPr>
        <w:footnoteReference w:id="4"/>
      </w:r>
      <w:r>
        <w:t xml:space="preserve"> </w:t>
      </w:r>
    </w:p>
    <w:p w:rsidR="007C52B2" w:rsidP="00577243" w14:paraId="2FC647D1" w14:textId="77777777">
      <w:pPr>
        <w:autoSpaceDE w:val="0"/>
        <w:autoSpaceDN w:val="0"/>
        <w:adjustRightInd w:val="0"/>
        <w:spacing w:after="0" w:line="240" w:lineRule="auto"/>
      </w:pPr>
    </w:p>
    <w:p w:rsidR="00577243" w:rsidP="00577243" w14:paraId="2BAC902E" w14:textId="35FC89DC">
      <w:pPr>
        <w:autoSpaceDE w:val="0"/>
        <w:autoSpaceDN w:val="0"/>
        <w:adjustRightInd w:val="0"/>
        <w:spacing w:after="0" w:line="240" w:lineRule="auto"/>
      </w:pPr>
      <w:r w:rsidRPr="00016386">
        <w:t>We will offer each</w:t>
      </w:r>
      <w:r w:rsidR="008456BB">
        <w:t xml:space="preserve"> </w:t>
      </w:r>
      <w:r w:rsidR="00567E0D">
        <w:t xml:space="preserve">participating </w:t>
      </w:r>
      <w:r w:rsidR="008456BB">
        <w:t>local home visiting</w:t>
      </w:r>
      <w:r w:rsidRPr="00016386">
        <w:t xml:space="preserve"> program a $</w:t>
      </w:r>
      <w:r w:rsidR="005A28A7">
        <w:t>300</w:t>
      </w:r>
      <w:r w:rsidRPr="00016386" w:rsidR="005A28A7">
        <w:t xml:space="preserve"> </w:t>
      </w:r>
      <w:r w:rsidRPr="00016386">
        <w:t>honorarium to be used by the program at their discretion for their assistance with a range of study activities</w:t>
      </w:r>
      <w:r w:rsidR="00567E0D">
        <w:t xml:space="preserve"> as well as recognition of the staff’s contribution to this important research effort</w:t>
      </w:r>
      <w:r w:rsidRPr="00016386">
        <w:t>. We will requ</w:t>
      </w:r>
      <w:r w:rsidRPr="00016386" w:rsidR="00BB01FB">
        <w:t>est</w:t>
      </w:r>
      <w:r w:rsidRPr="00016386">
        <w:t xml:space="preserve"> the program director’s assistance in identifying appropriate</w:t>
      </w:r>
      <w:r>
        <w:t xml:space="preserve"> respondents (supervisors and home visitors) for the staff interviews</w:t>
      </w:r>
      <w:r w:rsidR="00C211BD">
        <w:t xml:space="preserve"> and the program’s assistance in recruiting parent participants for the interviews and focus groups.</w:t>
      </w:r>
      <w:r w:rsidR="00E81C2D">
        <w:t xml:space="preserve"> Obtaining a wide range of perspectives at each selected local home visiting program is crucial to the success of this study; therefore, we are aiming for a high level of participation by staff in the interviews and parent particip</w:t>
      </w:r>
      <w:r w:rsidR="004C11EE">
        <w:t>a</w:t>
      </w:r>
      <w:r w:rsidR="00E81C2D">
        <w:t>nts in the interviews and focus groups.</w:t>
      </w:r>
      <w:r w:rsidR="00C211BD">
        <w:t xml:space="preserve"> We anticipate these coordination activities to take about 6 hours per program. To develop honoraria amounts, we considered wage data, the amount of time spent to assist in data collection activities, and the potential disruption to the schedules of the targeted respondents for participation.</w:t>
      </w:r>
    </w:p>
    <w:p w:rsidR="00010527" w:rsidP="00577243" w14:paraId="162407A9" w14:textId="77777777">
      <w:pPr>
        <w:autoSpaceDE w:val="0"/>
        <w:autoSpaceDN w:val="0"/>
        <w:adjustRightInd w:val="0"/>
        <w:spacing w:after="0" w:line="240" w:lineRule="auto"/>
      </w:pPr>
    </w:p>
    <w:p w:rsidR="00010527" w:rsidRPr="00BB01FB" w:rsidP="00305D2D" w14:paraId="51C704A4" w14:textId="1B986692">
      <w:pPr>
        <w:autoSpaceDE w:val="0"/>
        <w:autoSpaceDN w:val="0"/>
        <w:adjustRightInd w:val="0"/>
        <w:spacing w:after="0" w:line="240" w:lineRule="auto"/>
      </w:pPr>
    </w:p>
    <w:p w:rsidR="00373D2F" w:rsidRPr="00AE0B67" w:rsidP="00AE0B67" w14:paraId="5B09D9C6" w14:textId="77777777">
      <w:pPr>
        <w:keepNext/>
        <w:spacing w:before="240" w:after="120" w:line="240" w:lineRule="auto"/>
        <w:rPr>
          <w:b/>
        </w:rPr>
      </w:pPr>
      <w:r w:rsidRPr="00AE0B67">
        <w:rPr>
          <w:b/>
        </w:rPr>
        <w:t>A14.</w:t>
      </w:r>
      <w:r w:rsidRPr="00AE0B67">
        <w:rPr>
          <w:b/>
        </w:rPr>
        <w:tab/>
      </w:r>
      <w:r w:rsidRPr="00AE0B67" w:rsidR="00577243">
        <w:rPr>
          <w:b/>
        </w:rPr>
        <w:t xml:space="preserve">Estimated Annualized Costs to the Federal Government </w:t>
      </w:r>
    </w:p>
    <w:p w:rsidR="00B13DC4" w:rsidRPr="00460AD6" w:rsidP="0069393B" w14:paraId="23F464BC" w14:textId="77777777">
      <w:pPr>
        <w:spacing w:before="200" w:after="120"/>
        <w:rPr>
          <w:b/>
          <w:bCs/>
        </w:rPr>
      </w:pPr>
      <w:r>
        <w:rPr>
          <w:b/>
          <w:bCs/>
        </w:rPr>
        <w:t>Table A.</w:t>
      </w:r>
      <w:r w:rsidR="00B84A9D">
        <w:rPr>
          <w:b/>
          <w:bCs/>
        </w:rPr>
        <w:t>4</w:t>
      </w:r>
      <w:r>
        <w:rPr>
          <w:b/>
          <w:bCs/>
        </w:rPr>
        <w:t>. Estimated annualized costs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65"/>
        <w:gridCol w:w="4871"/>
        <w:gridCol w:w="1814"/>
      </w:tblGrid>
      <w:tr w14:paraId="700D5058" w14:textId="77777777" w:rsidTr="00CD4B9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425" w:type="pct"/>
            <w:shd w:val="clear" w:color="auto" w:fill="D9D9D9" w:themeFill="background1" w:themeFillShade="D9"/>
            <w:tcMar>
              <w:top w:w="0" w:type="dxa"/>
              <w:left w:w="108" w:type="dxa"/>
              <w:bottom w:w="0" w:type="dxa"/>
              <w:right w:w="108" w:type="dxa"/>
            </w:tcMar>
            <w:vAlign w:val="bottom"/>
            <w:hideMark/>
          </w:tcPr>
          <w:p w:rsidR="00B13DC4" w:rsidRPr="00B13297" w:rsidP="00CD4B99" w14:paraId="71C95809" w14:textId="77777777">
            <w:pPr>
              <w:spacing w:before="60" w:after="60" w:line="240" w:lineRule="auto"/>
              <w:jc w:val="center"/>
              <w:rPr>
                <w:b/>
                <w:sz w:val="20"/>
              </w:rPr>
            </w:pPr>
            <w:r w:rsidRPr="00B13297">
              <w:rPr>
                <w:b/>
                <w:sz w:val="20"/>
              </w:rPr>
              <w:t>Activity</w:t>
            </w:r>
          </w:p>
        </w:tc>
        <w:tc>
          <w:tcPr>
            <w:tcW w:w="2605" w:type="pct"/>
            <w:shd w:val="clear" w:color="auto" w:fill="D9D9D9" w:themeFill="background1" w:themeFillShade="D9"/>
            <w:tcMar>
              <w:top w:w="0" w:type="dxa"/>
              <w:left w:w="108" w:type="dxa"/>
              <w:bottom w:w="0" w:type="dxa"/>
              <w:right w:w="108" w:type="dxa"/>
            </w:tcMar>
            <w:vAlign w:val="bottom"/>
            <w:hideMark/>
          </w:tcPr>
          <w:p w:rsidR="00B13DC4" w:rsidRPr="00B13297" w:rsidP="00CD4B99" w14:paraId="54434602" w14:textId="77777777">
            <w:pPr>
              <w:spacing w:before="60" w:after="60" w:line="240" w:lineRule="auto"/>
              <w:jc w:val="center"/>
              <w:rPr>
                <w:rFonts w:ascii="Calibri" w:hAnsi="Calibri" w:cs="Calibri"/>
                <w:b/>
                <w:sz w:val="20"/>
              </w:rPr>
            </w:pPr>
            <w:r w:rsidRPr="00B13297">
              <w:rPr>
                <w:b/>
                <w:sz w:val="20"/>
              </w:rPr>
              <w:t>Detail</w:t>
            </w:r>
          </w:p>
        </w:tc>
        <w:tc>
          <w:tcPr>
            <w:tcW w:w="970" w:type="pct"/>
            <w:shd w:val="clear" w:color="auto" w:fill="D9D9D9" w:themeFill="background1" w:themeFillShade="D9"/>
            <w:vAlign w:val="bottom"/>
            <w:hideMark/>
          </w:tcPr>
          <w:p w:rsidR="00B13DC4" w:rsidRPr="00B13297" w:rsidP="00CD4B99" w14:paraId="33E19491" w14:textId="77777777">
            <w:pPr>
              <w:spacing w:before="60" w:after="60" w:line="240" w:lineRule="auto"/>
              <w:jc w:val="center"/>
              <w:rPr>
                <w:b/>
                <w:sz w:val="20"/>
              </w:rPr>
            </w:pPr>
            <w:r w:rsidRPr="00B13297">
              <w:rPr>
                <w:b/>
                <w:sz w:val="20"/>
              </w:rPr>
              <w:t>Estimated Cost</w:t>
            </w:r>
          </w:p>
        </w:tc>
      </w:tr>
      <w:tr w14:paraId="6C568A3B" w14:textId="77777777" w:rsidTr="00B877DB">
        <w:tblPrEx>
          <w:tblW w:w="5000" w:type="pct"/>
          <w:tblCellMar>
            <w:left w:w="0" w:type="dxa"/>
            <w:right w:w="0" w:type="dxa"/>
          </w:tblCellMar>
          <w:tblLook w:val="04A0"/>
        </w:tblPrEx>
        <w:tc>
          <w:tcPr>
            <w:tcW w:w="1425" w:type="pct"/>
            <w:tcMar>
              <w:top w:w="0" w:type="dxa"/>
              <w:left w:w="108" w:type="dxa"/>
              <w:bottom w:w="0" w:type="dxa"/>
              <w:right w:w="108" w:type="dxa"/>
            </w:tcMar>
            <w:hideMark/>
          </w:tcPr>
          <w:p w:rsidR="00B13DC4" w:rsidRPr="00B13297" w:rsidP="00B877DB" w14:paraId="49D03FB9" w14:textId="77777777">
            <w:pPr>
              <w:spacing w:before="60" w:after="60" w:line="240" w:lineRule="auto"/>
              <w:rPr>
                <w:sz w:val="20"/>
              </w:rPr>
            </w:pPr>
          </w:p>
          <w:p w:rsidR="00B13DC4" w:rsidRPr="00B13297" w:rsidP="00B877DB" w14:paraId="55296A82" w14:textId="77777777">
            <w:pPr>
              <w:spacing w:before="60" w:after="60" w:line="240" w:lineRule="auto"/>
              <w:rPr>
                <w:sz w:val="20"/>
              </w:rPr>
            </w:pPr>
          </w:p>
          <w:p w:rsidR="00845C64" w:rsidP="00B877DB" w14:paraId="30E7CFF3" w14:textId="77777777">
            <w:pPr>
              <w:spacing w:before="60" w:after="60" w:line="240" w:lineRule="auto"/>
              <w:rPr>
                <w:sz w:val="20"/>
              </w:rPr>
            </w:pPr>
            <w:r w:rsidRPr="00B13297">
              <w:rPr>
                <w:sz w:val="20"/>
              </w:rPr>
              <w:t>Pilot and User Testing</w:t>
            </w:r>
          </w:p>
          <w:p w:rsidR="00366F48" w:rsidRPr="00B13297" w:rsidP="00B877DB" w14:paraId="48216522" w14:textId="77777777">
            <w:pPr>
              <w:spacing w:before="60" w:after="60" w:line="240" w:lineRule="auto"/>
              <w:rPr>
                <w:sz w:val="20"/>
              </w:rPr>
            </w:pPr>
          </w:p>
        </w:tc>
        <w:tc>
          <w:tcPr>
            <w:tcW w:w="2605" w:type="pct"/>
            <w:tcMar>
              <w:top w:w="0" w:type="dxa"/>
              <w:left w:w="108" w:type="dxa"/>
              <w:bottom w:w="0" w:type="dxa"/>
              <w:right w:w="108" w:type="dxa"/>
            </w:tcMar>
            <w:hideMark/>
          </w:tcPr>
          <w:p w:rsidR="00B13DC4" w:rsidRPr="00B13297" w:rsidP="00B877DB" w14:paraId="4431AA9C" w14:textId="77777777">
            <w:pPr>
              <w:pStyle w:val="ListParagraph"/>
              <w:numPr>
                <w:ilvl w:val="0"/>
                <w:numId w:val="2"/>
              </w:numPr>
              <w:spacing w:before="60" w:after="60" w:line="240" w:lineRule="auto"/>
              <w:ind w:left="256" w:hanging="180"/>
              <w:contextualSpacing w:val="0"/>
              <w:rPr>
                <w:sz w:val="20"/>
              </w:rPr>
            </w:pPr>
            <w:r w:rsidRPr="00B13297">
              <w:rPr>
                <w:sz w:val="20"/>
              </w:rPr>
              <w:t>FTE time</w:t>
            </w:r>
            <w:r w:rsidR="00342E3C">
              <w:rPr>
                <w:sz w:val="20"/>
              </w:rPr>
              <w:t xml:space="preserve">: </w:t>
            </w:r>
            <w:r w:rsidR="003D0B0B">
              <w:rPr>
                <w:sz w:val="20"/>
              </w:rPr>
              <w:t>22</w:t>
            </w:r>
            <w:r w:rsidR="00342E3C">
              <w:rPr>
                <w:sz w:val="20"/>
              </w:rPr>
              <w:t xml:space="preserve"> hours</w:t>
            </w:r>
          </w:p>
          <w:p w:rsidR="00B13DC4" w:rsidRPr="00B13297" w:rsidP="00B877DB" w14:paraId="406AF3AB" w14:textId="77777777">
            <w:pPr>
              <w:pStyle w:val="ListParagraph"/>
              <w:numPr>
                <w:ilvl w:val="0"/>
                <w:numId w:val="2"/>
              </w:numPr>
              <w:spacing w:before="60" w:after="60" w:line="240" w:lineRule="auto"/>
              <w:ind w:left="256" w:hanging="180"/>
              <w:contextualSpacing w:val="0"/>
              <w:rPr>
                <w:sz w:val="20"/>
              </w:rPr>
            </w:pPr>
            <w:r w:rsidRPr="00B13297">
              <w:rPr>
                <w:sz w:val="20"/>
              </w:rPr>
              <w:t xml:space="preserve">Operational expenses </w:t>
            </w:r>
            <w:r w:rsidR="00382DA7">
              <w:rPr>
                <w:sz w:val="20"/>
              </w:rPr>
              <w:t>include overhead expenses</w:t>
            </w:r>
            <w:r w:rsidRPr="00B13297">
              <w:rPr>
                <w:sz w:val="20"/>
              </w:rPr>
              <w:t xml:space="preserve"> </w:t>
            </w:r>
          </w:p>
          <w:p w:rsidR="00B13DC4" w:rsidRPr="00B13297" w:rsidP="00B877DB" w14:paraId="6212CE85" w14:textId="77777777">
            <w:pPr>
              <w:pStyle w:val="ListParagraph"/>
              <w:numPr>
                <w:ilvl w:val="0"/>
                <w:numId w:val="2"/>
              </w:numPr>
              <w:spacing w:before="60" w:after="60" w:line="240" w:lineRule="auto"/>
              <w:ind w:left="256" w:hanging="180"/>
              <w:contextualSpacing w:val="0"/>
              <w:rPr>
                <w:sz w:val="20"/>
              </w:rPr>
            </w:pPr>
            <w:r w:rsidRPr="00B13297">
              <w:rPr>
                <w:sz w:val="20"/>
              </w:rPr>
              <w:t>Other expenses which would not have been incurred without this collection of information</w:t>
            </w:r>
          </w:p>
        </w:tc>
        <w:tc>
          <w:tcPr>
            <w:tcW w:w="970" w:type="pct"/>
            <w:vAlign w:val="center"/>
            <w:hideMark/>
          </w:tcPr>
          <w:p w:rsidR="00B13DC4" w:rsidRPr="00B13297" w:rsidP="00B877DB" w14:paraId="0689B7A3" w14:textId="77777777">
            <w:pPr>
              <w:spacing w:before="60" w:after="60" w:line="240" w:lineRule="auto"/>
              <w:jc w:val="center"/>
              <w:rPr>
                <w:sz w:val="20"/>
              </w:rPr>
            </w:pPr>
            <w:r w:rsidRPr="00B13297">
              <w:rPr>
                <w:sz w:val="20"/>
              </w:rPr>
              <w:t>$</w:t>
            </w:r>
            <w:r w:rsidR="003D0B0B">
              <w:rPr>
                <w:sz w:val="20"/>
              </w:rPr>
              <w:t>3,71</w:t>
            </w:r>
            <w:r w:rsidR="00F839C8">
              <w:rPr>
                <w:sz w:val="20"/>
              </w:rPr>
              <w:t>2</w:t>
            </w:r>
          </w:p>
        </w:tc>
      </w:tr>
      <w:tr w14:paraId="0E7AFFEA" w14:textId="77777777" w:rsidTr="00B877DB">
        <w:tblPrEx>
          <w:tblW w:w="5000" w:type="pct"/>
          <w:tblCellMar>
            <w:left w:w="0" w:type="dxa"/>
            <w:right w:w="0" w:type="dxa"/>
          </w:tblCellMar>
          <w:tblLook w:val="04A0"/>
        </w:tblPrEx>
        <w:tc>
          <w:tcPr>
            <w:tcW w:w="1425" w:type="pct"/>
            <w:tcMar>
              <w:top w:w="0" w:type="dxa"/>
              <w:left w:w="108" w:type="dxa"/>
              <w:bottom w:w="0" w:type="dxa"/>
              <w:right w:w="108" w:type="dxa"/>
            </w:tcMar>
            <w:hideMark/>
          </w:tcPr>
          <w:p w:rsidR="00B13DC4" w:rsidRPr="00B13297" w:rsidP="00B877DB" w14:paraId="4F01E51B" w14:textId="77777777">
            <w:pPr>
              <w:spacing w:before="60" w:after="60" w:line="240" w:lineRule="auto"/>
              <w:rPr>
                <w:sz w:val="20"/>
              </w:rPr>
            </w:pPr>
            <w:r>
              <w:rPr>
                <w:sz w:val="20"/>
              </w:rPr>
              <w:t>Data collection and analysis</w:t>
            </w:r>
          </w:p>
        </w:tc>
        <w:tc>
          <w:tcPr>
            <w:tcW w:w="2605" w:type="pct"/>
            <w:tcMar>
              <w:top w:w="0" w:type="dxa"/>
              <w:left w:w="108" w:type="dxa"/>
              <w:bottom w:w="0" w:type="dxa"/>
              <w:right w:w="108" w:type="dxa"/>
            </w:tcMar>
            <w:hideMark/>
          </w:tcPr>
          <w:p w:rsidR="00B13DC4" w:rsidRPr="00B13297" w:rsidP="00B877DB" w14:paraId="16BF1766" w14:textId="77777777">
            <w:pPr>
              <w:pStyle w:val="ListParagraph"/>
              <w:numPr>
                <w:ilvl w:val="0"/>
                <w:numId w:val="2"/>
              </w:numPr>
              <w:spacing w:before="60" w:after="60" w:line="240" w:lineRule="auto"/>
              <w:ind w:left="256" w:hanging="180"/>
              <w:contextualSpacing w:val="0"/>
              <w:rPr>
                <w:sz w:val="20"/>
              </w:rPr>
            </w:pPr>
            <w:r w:rsidRPr="00B13297">
              <w:rPr>
                <w:sz w:val="20"/>
              </w:rPr>
              <w:t>FTE time</w:t>
            </w:r>
            <w:r w:rsidR="00342E3C">
              <w:rPr>
                <w:sz w:val="20"/>
              </w:rPr>
              <w:t>:</w:t>
            </w:r>
            <w:r w:rsidR="00382DA7">
              <w:rPr>
                <w:sz w:val="20"/>
              </w:rPr>
              <w:t xml:space="preserve"> 1,224 hours</w:t>
            </w:r>
          </w:p>
          <w:p w:rsidR="00B13DC4" w:rsidRPr="00B13297" w:rsidP="00B877DB" w14:paraId="3BF16EAF" w14:textId="77777777">
            <w:pPr>
              <w:pStyle w:val="ListParagraph"/>
              <w:numPr>
                <w:ilvl w:val="0"/>
                <w:numId w:val="2"/>
              </w:numPr>
              <w:spacing w:before="60" w:after="60" w:line="240" w:lineRule="auto"/>
              <w:ind w:left="256" w:hanging="180"/>
              <w:contextualSpacing w:val="0"/>
              <w:rPr>
                <w:sz w:val="20"/>
              </w:rPr>
            </w:pPr>
            <w:r w:rsidRPr="00B13297">
              <w:rPr>
                <w:sz w:val="20"/>
              </w:rPr>
              <w:t>Operational expenses</w:t>
            </w:r>
            <w:r w:rsidR="00B43A24">
              <w:rPr>
                <w:sz w:val="20"/>
              </w:rPr>
              <w:t xml:space="preserve"> </w:t>
            </w:r>
            <w:r w:rsidR="00382DA7">
              <w:rPr>
                <w:sz w:val="20"/>
              </w:rPr>
              <w:t xml:space="preserve">include postage, overhead expenses, respondent payments </w:t>
            </w:r>
          </w:p>
          <w:p w:rsidR="00B13DC4" w:rsidRPr="00B13297" w:rsidP="00B877DB" w14:paraId="3830061E" w14:textId="77777777">
            <w:pPr>
              <w:pStyle w:val="ListParagraph"/>
              <w:numPr>
                <w:ilvl w:val="0"/>
                <w:numId w:val="2"/>
              </w:numPr>
              <w:spacing w:before="60" w:after="60" w:line="240" w:lineRule="auto"/>
              <w:ind w:left="256" w:hanging="180"/>
              <w:contextualSpacing w:val="0"/>
              <w:rPr>
                <w:sz w:val="20"/>
              </w:rPr>
            </w:pPr>
            <w:r w:rsidRPr="00B13297">
              <w:rPr>
                <w:sz w:val="20"/>
              </w:rPr>
              <w:t>Other expenses which would not have been incurred without this collection of information</w:t>
            </w:r>
          </w:p>
        </w:tc>
        <w:tc>
          <w:tcPr>
            <w:tcW w:w="970" w:type="pct"/>
            <w:vAlign w:val="center"/>
            <w:hideMark/>
          </w:tcPr>
          <w:p w:rsidR="00B13DC4" w:rsidRPr="00B13297" w:rsidP="00B877DB" w14:paraId="25677EDF" w14:textId="610BAEB5">
            <w:pPr>
              <w:spacing w:before="60" w:after="60" w:line="240" w:lineRule="auto"/>
              <w:jc w:val="center"/>
              <w:rPr>
                <w:sz w:val="20"/>
              </w:rPr>
            </w:pPr>
            <w:r w:rsidRPr="00B13297">
              <w:rPr>
                <w:sz w:val="20"/>
              </w:rPr>
              <w:t>$</w:t>
            </w:r>
            <w:r>
              <w:rPr>
                <w:sz w:val="20"/>
              </w:rPr>
              <w:t>171,608</w:t>
            </w:r>
          </w:p>
        </w:tc>
      </w:tr>
      <w:tr w14:paraId="3B86BD45" w14:textId="77777777" w:rsidTr="00B877DB">
        <w:tblPrEx>
          <w:tblW w:w="5000" w:type="pct"/>
          <w:tblCellMar>
            <w:left w:w="0" w:type="dxa"/>
            <w:right w:w="0" w:type="dxa"/>
          </w:tblCellMar>
          <w:tblLook w:val="04A0"/>
        </w:tblPrEx>
        <w:tc>
          <w:tcPr>
            <w:tcW w:w="1425" w:type="pct"/>
            <w:tcMar>
              <w:top w:w="0" w:type="dxa"/>
              <w:left w:w="108" w:type="dxa"/>
              <w:bottom w:w="0" w:type="dxa"/>
              <w:right w:w="108" w:type="dxa"/>
            </w:tcMar>
            <w:hideMark/>
          </w:tcPr>
          <w:p w:rsidR="00B13DC4" w:rsidRPr="00B13297" w:rsidP="00B877DB" w14:paraId="1FB871C0" w14:textId="77777777">
            <w:pPr>
              <w:spacing w:before="60" w:after="60" w:line="240" w:lineRule="auto"/>
              <w:rPr>
                <w:sz w:val="20"/>
              </w:rPr>
            </w:pPr>
            <w:r>
              <w:rPr>
                <w:sz w:val="20"/>
              </w:rPr>
              <w:t>I</w:t>
            </w:r>
            <w:r w:rsidRPr="00B13297">
              <w:rPr>
                <w:sz w:val="20"/>
              </w:rPr>
              <w:t>nitial dissemination</w:t>
            </w:r>
          </w:p>
        </w:tc>
        <w:tc>
          <w:tcPr>
            <w:tcW w:w="2605" w:type="pct"/>
            <w:tcMar>
              <w:top w:w="0" w:type="dxa"/>
              <w:left w:w="108" w:type="dxa"/>
              <w:bottom w:w="0" w:type="dxa"/>
              <w:right w:w="108" w:type="dxa"/>
            </w:tcMar>
            <w:hideMark/>
          </w:tcPr>
          <w:p w:rsidR="00B13DC4" w:rsidRPr="00B13297" w:rsidP="00B877DB" w14:paraId="01F0A001" w14:textId="77777777">
            <w:pPr>
              <w:pStyle w:val="ListParagraph"/>
              <w:numPr>
                <w:ilvl w:val="0"/>
                <w:numId w:val="2"/>
              </w:numPr>
              <w:spacing w:before="60" w:after="60" w:line="240" w:lineRule="auto"/>
              <w:ind w:left="256" w:hanging="180"/>
              <w:contextualSpacing w:val="0"/>
              <w:rPr>
                <w:sz w:val="20"/>
              </w:rPr>
            </w:pPr>
            <w:r w:rsidRPr="00B13297">
              <w:rPr>
                <w:sz w:val="20"/>
              </w:rPr>
              <w:t>FTE time</w:t>
            </w:r>
            <w:r w:rsidR="00382DA7">
              <w:rPr>
                <w:sz w:val="20"/>
              </w:rPr>
              <w:t>: 176 hours</w:t>
            </w:r>
          </w:p>
          <w:p w:rsidR="00B13DC4" w:rsidRPr="00B13297" w:rsidP="00B877DB" w14:paraId="07370442" w14:textId="77777777">
            <w:pPr>
              <w:pStyle w:val="ListParagraph"/>
              <w:numPr>
                <w:ilvl w:val="0"/>
                <w:numId w:val="2"/>
              </w:numPr>
              <w:spacing w:before="60" w:after="60" w:line="240" w:lineRule="auto"/>
              <w:ind w:left="256" w:hanging="180"/>
              <w:contextualSpacing w:val="0"/>
              <w:rPr>
                <w:sz w:val="20"/>
              </w:rPr>
            </w:pPr>
            <w:r w:rsidRPr="00B13297">
              <w:rPr>
                <w:sz w:val="20"/>
              </w:rPr>
              <w:t xml:space="preserve">Operational expenses </w:t>
            </w:r>
            <w:r w:rsidR="00382DA7">
              <w:rPr>
                <w:sz w:val="20"/>
              </w:rPr>
              <w:t xml:space="preserve">include overhead expenses </w:t>
            </w:r>
          </w:p>
          <w:p w:rsidR="00B13DC4" w:rsidRPr="00B13297" w:rsidP="00B877DB" w14:paraId="64AB0CCD" w14:textId="77777777">
            <w:pPr>
              <w:pStyle w:val="ListParagraph"/>
              <w:numPr>
                <w:ilvl w:val="0"/>
                <w:numId w:val="2"/>
              </w:numPr>
              <w:spacing w:before="60" w:after="60" w:line="240" w:lineRule="auto"/>
              <w:ind w:left="256" w:hanging="180"/>
              <w:contextualSpacing w:val="0"/>
              <w:rPr>
                <w:sz w:val="20"/>
              </w:rPr>
            </w:pPr>
            <w:r w:rsidRPr="00B13297">
              <w:rPr>
                <w:sz w:val="20"/>
              </w:rPr>
              <w:t>Other expenses which would not have been incurred without this collection of information</w:t>
            </w:r>
          </w:p>
        </w:tc>
        <w:tc>
          <w:tcPr>
            <w:tcW w:w="970" w:type="pct"/>
            <w:vAlign w:val="center"/>
            <w:hideMark/>
          </w:tcPr>
          <w:p w:rsidR="00B13DC4" w:rsidRPr="00B13297" w:rsidP="00B877DB" w14:paraId="1117077B" w14:textId="77777777">
            <w:pPr>
              <w:spacing w:before="60" w:after="60" w:line="240" w:lineRule="auto"/>
              <w:jc w:val="center"/>
              <w:rPr>
                <w:sz w:val="20"/>
              </w:rPr>
            </w:pPr>
            <w:r w:rsidRPr="00B13297">
              <w:rPr>
                <w:sz w:val="20"/>
              </w:rPr>
              <w:t>$</w:t>
            </w:r>
            <w:r w:rsidR="00395890">
              <w:rPr>
                <w:sz w:val="20"/>
              </w:rPr>
              <w:t>30,</w:t>
            </w:r>
            <w:r w:rsidR="00681188">
              <w:rPr>
                <w:sz w:val="20"/>
              </w:rPr>
              <w:t>0</w:t>
            </w:r>
            <w:r w:rsidR="00395890">
              <w:rPr>
                <w:sz w:val="20"/>
              </w:rPr>
              <w:t>57</w:t>
            </w:r>
          </w:p>
        </w:tc>
      </w:tr>
      <w:tr w14:paraId="20F900FF" w14:textId="77777777" w:rsidTr="00B877DB">
        <w:tblPrEx>
          <w:tblW w:w="5000" w:type="pct"/>
          <w:tblCellMar>
            <w:left w:w="0" w:type="dxa"/>
            <w:right w:w="0" w:type="dxa"/>
          </w:tblCellMar>
          <w:tblLook w:val="04A0"/>
        </w:tblPrEx>
        <w:tc>
          <w:tcPr>
            <w:tcW w:w="4030" w:type="pct"/>
            <w:gridSpan w:val="2"/>
            <w:tcMar>
              <w:top w:w="0" w:type="dxa"/>
              <w:left w:w="108" w:type="dxa"/>
              <w:bottom w:w="0" w:type="dxa"/>
              <w:right w:w="108" w:type="dxa"/>
            </w:tcMar>
            <w:vAlign w:val="center"/>
            <w:hideMark/>
          </w:tcPr>
          <w:p w:rsidR="00CB4358" w:rsidRPr="00B13297" w:rsidP="00B877DB" w14:paraId="3B17D3C3" w14:textId="77777777">
            <w:pPr>
              <w:spacing w:before="60" w:after="60" w:line="240" w:lineRule="auto"/>
              <w:jc w:val="right"/>
              <w:rPr>
                <w:b/>
                <w:sz w:val="20"/>
              </w:rPr>
            </w:pPr>
            <w:r w:rsidRPr="00B13297">
              <w:rPr>
                <w:b/>
                <w:color w:val="000000"/>
                <w:sz w:val="20"/>
              </w:rPr>
              <w:t>Total</w:t>
            </w:r>
            <w:r w:rsidR="009F00BD">
              <w:rPr>
                <w:b/>
                <w:color w:val="000000"/>
                <w:sz w:val="20"/>
              </w:rPr>
              <w:t>/annual</w:t>
            </w:r>
            <w:r w:rsidR="00366F48">
              <w:rPr>
                <w:b/>
                <w:color w:val="000000"/>
                <w:sz w:val="20"/>
              </w:rPr>
              <w:t xml:space="preserve"> </w:t>
            </w:r>
            <w:r w:rsidRPr="00B13297">
              <w:rPr>
                <w:b/>
                <w:color w:val="000000"/>
                <w:sz w:val="20"/>
              </w:rPr>
              <w:t>costs over the request period</w:t>
            </w:r>
          </w:p>
        </w:tc>
        <w:tc>
          <w:tcPr>
            <w:tcW w:w="970" w:type="pct"/>
            <w:vAlign w:val="center"/>
            <w:hideMark/>
          </w:tcPr>
          <w:p w:rsidR="00CB4358" w:rsidRPr="00B13297" w:rsidP="00B877DB" w14:paraId="1C23B58F" w14:textId="77777777">
            <w:pPr>
              <w:spacing w:before="60" w:after="60" w:line="240" w:lineRule="auto"/>
              <w:jc w:val="center"/>
              <w:rPr>
                <w:sz w:val="20"/>
              </w:rPr>
            </w:pPr>
            <w:r w:rsidRPr="00B13297">
              <w:rPr>
                <w:sz w:val="20"/>
              </w:rPr>
              <w:t>$</w:t>
            </w:r>
            <w:r w:rsidR="00F839C8">
              <w:rPr>
                <w:sz w:val="20"/>
              </w:rPr>
              <w:t>206,377</w:t>
            </w:r>
          </w:p>
        </w:tc>
      </w:tr>
    </w:tbl>
    <w:p w:rsidR="00B13DC4" w:rsidRPr="001E3F6B" w:rsidP="00B13DC4" w14:paraId="0BA80C82" w14:textId="77777777">
      <w:pPr>
        <w:rPr>
          <w:rFonts w:ascii="Calibri" w:eastAsia="Calibri" w:hAnsi="Calibri" w:cs="Calibri"/>
          <w:color w:val="1F497D"/>
        </w:rPr>
      </w:pPr>
    </w:p>
    <w:p w:rsidR="0068383E" w:rsidRPr="00AE0B67" w:rsidP="00AE0B67" w14:paraId="48F490D9" w14:textId="77777777">
      <w:pPr>
        <w:keepNext/>
        <w:spacing w:before="240" w:after="120" w:line="240" w:lineRule="auto"/>
        <w:rPr>
          <w:b/>
        </w:rPr>
      </w:pPr>
      <w:r w:rsidRPr="00AE0B67">
        <w:rPr>
          <w:b/>
        </w:rPr>
        <w:t>A15.</w:t>
      </w:r>
      <w:r w:rsidRPr="00AE0B67">
        <w:rPr>
          <w:b/>
        </w:rPr>
        <w:tab/>
      </w:r>
      <w:r w:rsidRPr="00AE0B67" w:rsidR="007C7B4B">
        <w:rPr>
          <w:b/>
        </w:rPr>
        <w:t xml:space="preserve">Reasons for changes in burden </w:t>
      </w:r>
    </w:p>
    <w:p w:rsidR="0068383E" w:rsidP="0003128B" w14:paraId="6965A275" w14:textId="77777777">
      <w:pPr>
        <w:rPr>
          <w:rFonts w:cstheme="minorHAnsi"/>
        </w:rPr>
      </w:pPr>
      <w:r w:rsidRPr="00CB2ED6">
        <w:t xml:space="preserve">This is for an individual information collection </w:t>
      </w:r>
      <w:r w:rsidRPr="00453A86">
        <w:t>under the umbrella formative generic clearance for ACF research (0970-0356)</w:t>
      </w:r>
      <w:r w:rsidRPr="00453A86" w:rsidR="00453A86">
        <w:t>.</w:t>
      </w:r>
    </w:p>
    <w:p w:rsidR="000D4E9A" w:rsidRPr="00AE0B67" w:rsidP="00AE0B67" w14:paraId="7B16433C" w14:textId="77777777">
      <w:pPr>
        <w:keepNext/>
        <w:spacing w:before="240" w:after="120" w:line="240" w:lineRule="auto"/>
        <w:rPr>
          <w:b/>
        </w:rPr>
      </w:pPr>
      <w:r w:rsidRPr="00AE0B67">
        <w:rPr>
          <w:b/>
        </w:rPr>
        <w:t>A16.</w:t>
      </w:r>
      <w:r w:rsidRPr="00AE0B67">
        <w:rPr>
          <w:b/>
        </w:rPr>
        <w:tab/>
      </w:r>
      <w:r w:rsidRPr="00AE0B67" w:rsidR="00083227">
        <w:rPr>
          <w:b/>
        </w:rPr>
        <w:t>Timeline</w:t>
      </w:r>
    </w:p>
    <w:p w:rsidR="000D4E9A" w:rsidP="0069393B" w14:paraId="201E41BF" w14:textId="77777777">
      <w:pPr>
        <w:spacing w:before="200" w:after="120"/>
        <w:rPr>
          <w:rFonts w:cstheme="minorHAnsi"/>
          <w:b/>
          <w:bCs/>
        </w:rPr>
      </w:pPr>
      <w:r w:rsidRPr="006B26F0">
        <w:rPr>
          <w:rFonts w:cstheme="minorHAnsi"/>
          <w:b/>
          <w:bCs/>
        </w:rPr>
        <w:t>Table</w:t>
      </w:r>
      <w:r>
        <w:rPr>
          <w:rFonts w:cstheme="minorHAnsi"/>
          <w:b/>
          <w:bCs/>
        </w:rPr>
        <w:t xml:space="preserve"> A.</w:t>
      </w:r>
      <w:r w:rsidR="00B84A9D">
        <w:rPr>
          <w:rFonts w:cstheme="minorHAnsi"/>
          <w:b/>
          <w:bCs/>
        </w:rPr>
        <w:t>5</w:t>
      </w:r>
      <w:r>
        <w:rPr>
          <w:rFonts w:cstheme="minorHAnsi"/>
          <w:b/>
          <w:bCs/>
        </w:rPr>
        <w:t xml:space="preserve">. HomeEc </w:t>
      </w:r>
      <w:r w:rsidRPr="0069393B">
        <w:rPr>
          <w:b/>
          <w:bCs/>
        </w:rPr>
        <w:t>study</w:t>
      </w:r>
      <w:r>
        <w:rPr>
          <w:rFonts w:cstheme="minorHAnsi"/>
          <w:b/>
          <w:bCs/>
        </w:rPr>
        <w:t xml:space="preserve"> timeline</w:t>
      </w:r>
    </w:p>
    <w:tbl>
      <w:tblPr>
        <w:tblStyle w:val="TableGrid1"/>
        <w:tblW w:w="0" w:type="auto"/>
        <w:tblLook w:val="04A0"/>
      </w:tblPr>
      <w:tblGrid>
        <w:gridCol w:w="4675"/>
        <w:gridCol w:w="4675"/>
      </w:tblGrid>
      <w:tr w14:paraId="451D3445" w14:textId="77777777" w:rsidTr="00CD4B99">
        <w:tblPrEx>
          <w:tblW w:w="0" w:type="auto"/>
          <w:tblLook w:val="04A0"/>
        </w:tblPrEx>
        <w:tc>
          <w:tcPr>
            <w:tcW w:w="4675" w:type="dxa"/>
            <w:shd w:val="clear" w:color="auto" w:fill="D9D9D9" w:themeFill="background1" w:themeFillShade="D9"/>
            <w:vAlign w:val="bottom"/>
          </w:tcPr>
          <w:p w:rsidR="002327E6" w:rsidRPr="0069393B" w:rsidP="00CD4B99" w14:paraId="43CCF40F" w14:textId="77777777">
            <w:pPr>
              <w:spacing w:before="60" w:after="60"/>
              <w:jc w:val="center"/>
              <w:rPr>
                <w:rFonts w:ascii="Calibri" w:hAnsi="Calibri" w:cs="Calibri"/>
                <w:b/>
                <w:bCs/>
              </w:rPr>
            </w:pPr>
            <w:r w:rsidRPr="0069393B">
              <w:rPr>
                <w:rFonts w:ascii="Calibri" w:hAnsi="Calibri" w:cs="Calibri"/>
                <w:b/>
                <w:bCs/>
              </w:rPr>
              <w:t xml:space="preserve">Project </w:t>
            </w:r>
            <w:r w:rsidRPr="0069393B" w:rsidR="003932BF">
              <w:rPr>
                <w:rFonts w:ascii="Calibri" w:hAnsi="Calibri" w:cs="Calibri"/>
                <w:b/>
                <w:bCs/>
              </w:rPr>
              <w:t>a</w:t>
            </w:r>
            <w:r w:rsidRPr="0069393B">
              <w:rPr>
                <w:rFonts w:ascii="Calibri" w:hAnsi="Calibri" w:cs="Calibri"/>
                <w:b/>
                <w:bCs/>
              </w:rPr>
              <w:t>ctivity</w:t>
            </w:r>
          </w:p>
        </w:tc>
        <w:tc>
          <w:tcPr>
            <w:tcW w:w="4675" w:type="dxa"/>
            <w:shd w:val="clear" w:color="auto" w:fill="D9D9D9" w:themeFill="background1" w:themeFillShade="D9"/>
            <w:vAlign w:val="bottom"/>
          </w:tcPr>
          <w:p w:rsidR="002327E6" w:rsidRPr="0069393B" w:rsidP="00CD4B99" w14:paraId="28BBBBB7" w14:textId="77777777">
            <w:pPr>
              <w:spacing w:before="60" w:after="60"/>
              <w:jc w:val="center"/>
              <w:rPr>
                <w:rFonts w:ascii="Calibri" w:hAnsi="Calibri" w:cs="Calibri"/>
                <w:b/>
                <w:bCs/>
              </w:rPr>
            </w:pPr>
            <w:r w:rsidRPr="0069393B">
              <w:rPr>
                <w:rFonts w:ascii="Calibri" w:hAnsi="Calibri" w:cs="Calibri"/>
                <w:b/>
                <w:bCs/>
              </w:rPr>
              <w:t xml:space="preserve">Time </w:t>
            </w:r>
            <w:r w:rsidRPr="0069393B" w:rsidR="003932BF">
              <w:rPr>
                <w:rFonts w:ascii="Calibri" w:hAnsi="Calibri" w:cs="Calibri"/>
                <w:b/>
                <w:bCs/>
              </w:rPr>
              <w:t>p</w:t>
            </w:r>
            <w:r w:rsidRPr="0069393B">
              <w:rPr>
                <w:rFonts w:ascii="Calibri" w:hAnsi="Calibri" w:cs="Calibri"/>
                <w:b/>
                <w:bCs/>
              </w:rPr>
              <w:t>eriod</w:t>
            </w:r>
          </w:p>
        </w:tc>
      </w:tr>
      <w:tr w14:paraId="1DD0F35E" w14:textId="77777777" w:rsidTr="00CD4B99">
        <w:tblPrEx>
          <w:tblW w:w="0" w:type="auto"/>
          <w:tblLook w:val="04A0"/>
        </w:tblPrEx>
        <w:tc>
          <w:tcPr>
            <w:tcW w:w="4675" w:type="dxa"/>
          </w:tcPr>
          <w:p w:rsidR="002327E6" w:rsidRPr="0069393B" w:rsidP="0069393B" w14:paraId="0C6B1E46" w14:textId="77777777">
            <w:pPr>
              <w:spacing w:before="60" w:after="60"/>
              <w:rPr>
                <w:rFonts w:ascii="Calibri" w:hAnsi="Calibri" w:cs="Calibri"/>
              </w:rPr>
            </w:pPr>
            <w:r w:rsidRPr="0069393B">
              <w:rPr>
                <w:rFonts w:ascii="Calibri" w:hAnsi="Calibri" w:cs="Calibri"/>
              </w:rPr>
              <w:t>Recruitment</w:t>
            </w:r>
          </w:p>
        </w:tc>
        <w:tc>
          <w:tcPr>
            <w:tcW w:w="4675" w:type="dxa"/>
          </w:tcPr>
          <w:p w:rsidR="002327E6" w:rsidRPr="0069393B" w:rsidP="0069393B" w14:paraId="047529CB" w14:textId="77777777">
            <w:pPr>
              <w:spacing w:before="60" w:after="60"/>
              <w:rPr>
                <w:rFonts w:ascii="Calibri" w:hAnsi="Calibri" w:cs="Calibri"/>
              </w:rPr>
            </w:pPr>
            <w:r>
              <w:rPr>
                <w:rFonts w:ascii="Calibri" w:hAnsi="Calibri" w:cs="Calibri"/>
              </w:rPr>
              <w:t>3</w:t>
            </w:r>
            <w:r w:rsidRPr="0069393B">
              <w:rPr>
                <w:rFonts w:ascii="Calibri" w:hAnsi="Calibri" w:cs="Calibri"/>
              </w:rPr>
              <w:t xml:space="preserve"> months, following OMB approval</w:t>
            </w:r>
          </w:p>
        </w:tc>
      </w:tr>
      <w:tr w14:paraId="77775B17" w14:textId="77777777" w:rsidTr="00CD4B99">
        <w:tblPrEx>
          <w:tblW w:w="0" w:type="auto"/>
          <w:tblLook w:val="04A0"/>
        </w:tblPrEx>
        <w:tc>
          <w:tcPr>
            <w:tcW w:w="4675" w:type="dxa"/>
          </w:tcPr>
          <w:p w:rsidR="002327E6" w:rsidRPr="0069393B" w:rsidP="0069393B" w14:paraId="74150D79" w14:textId="77777777">
            <w:pPr>
              <w:spacing w:before="60" w:after="60"/>
              <w:rPr>
                <w:rFonts w:ascii="Calibri" w:hAnsi="Calibri" w:cs="Calibri"/>
              </w:rPr>
            </w:pPr>
            <w:r w:rsidRPr="0069393B">
              <w:rPr>
                <w:rFonts w:ascii="Calibri" w:hAnsi="Calibri" w:cs="Calibri"/>
              </w:rPr>
              <w:t>Data collection</w:t>
            </w:r>
          </w:p>
        </w:tc>
        <w:tc>
          <w:tcPr>
            <w:tcW w:w="4675" w:type="dxa"/>
          </w:tcPr>
          <w:p w:rsidR="002327E6" w:rsidRPr="0069393B" w:rsidP="0069393B" w14:paraId="66B2E13A" w14:textId="77777777">
            <w:pPr>
              <w:spacing w:before="60" w:after="60"/>
              <w:rPr>
                <w:rFonts w:ascii="Calibri" w:hAnsi="Calibri" w:cs="Calibri"/>
              </w:rPr>
            </w:pPr>
            <w:r>
              <w:rPr>
                <w:rFonts w:ascii="Calibri" w:hAnsi="Calibri" w:cs="Calibri"/>
              </w:rPr>
              <w:t>5</w:t>
            </w:r>
            <w:r w:rsidRPr="0069393B">
              <w:rPr>
                <w:rFonts w:ascii="Calibri" w:hAnsi="Calibri" w:cs="Calibri"/>
              </w:rPr>
              <w:t xml:space="preserve"> months, following recruitment</w:t>
            </w:r>
          </w:p>
        </w:tc>
      </w:tr>
      <w:tr w14:paraId="59109ECD" w14:textId="77777777" w:rsidTr="00CD4B99">
        <w:tblPrEx>
          <w:tblW w:w="0" w:type="auto"/>
          <w:tblLook w:val="04A0"/>
        </w:tblPrEx>
        <w:tc>
          <w:tcPr>
            <w:tcW w:w="4675" w:type="dxa"/>
          </w:tcPr>
          <w:p w:rsidR="002327E6" w:rsidRPr="0069393B" w:rsidP="0069393B" w14:paraId="38EE6636" w14:textId="77777777">
            <w:pPr>
              <w:spacing w:before="60" w:after="60"/>
              <w:rPr>
                <w:rFonts w:ascii="Calibri" w:hAnsi="Calibri" w:cs="Calibri"/>
              </w:rPr>
            </w:pPr>
            <w:r w:rsidRPr="0069393B">
              <w:rPr>
                <w:rFonts w:ascii="Calibri" w:hAnsi="Calibri" w:cs="Calibri"/>
              </w:rPr>
              <w:t>Analysis</w:t>
            </w:r>
          </w:p>
        </w:tc>
        <w:tc>
          <w:tcPr>
            <w:tcW w:w="4675" w:type="dxa"/>
          </w:tcPr>
          <w:p w:rsidR="002327E6" w:rsidRPr="0069393B" w:rsidP="0069393B" w14:paraId="2CD3EBFA" w14:textId="77777777">
            <w:pPr>
              <w:spacing w:before="60" w:after="60"/>
              <w:rPr>
                <w:rFonts w:ascii="Calibri" w:hAnsi="Calibri" w:cs="Calibri"/>
              </w:rPr>
            </w:pPr>
            <w:r w:rsidRPr="0069393B">
              <w:rPr>
                <w:rFonts w:ascii="Calibri" w:hAnsi="Calibri" w:cs="Calibri"/>
              </w:rPr>
              <w:t>3 months, following data collection</w:t>
            </w:r>
          </w:p>
        </w:tc>
      </w:tr>
      <w:tr w14:paraId="6AF53447" w14:textId="77777777" w:rsidTr="00CD4B99">
        <w:tblPrEx>
          <w:tblW w:w="0" w:type="auto"/>
          <w:tblLook w:val="04A0"/>
        </w:tblPrEx>
        <w:tc>
          <w:tcPr>
            <w:tcW w:w="4675" w:type="dxa"/>
          </w:tcPr>
          <w:p w:rsidR="002327E6" w:rsidRPr="0069393B" w:rsidP="0069393B" w14:paraId="6DA8F52A" w14:textId="77777777">
            <w:pPr>
              <w:spacing w:before="60" w:after="60"/>
              <w:rPr>
                <w:rFonts w:ascii="Calibri" w:hAnsi="Calibri" w:cs="Calibri"/>
              </w:rPr>
            </w:pPr>
            <w:r w:rsidRPr="0069393B">
              <w:rPr>
                <w:rFonts w:ascii="Calibri" w:hAnsi="Calibri" w:cs="Calibri"/>
              </w:rPr>
              <w:t>Reporting</w:t>
            </w:r>
          </w:p>
        </w:tc>
        <w:tc>
          <w:tcPr>
            <w:tcW w:w="4675" w:type="dxa"/>
          </w:tcPr>
          <w:p w:rsidR="002327E6" w:rsidRPr="0069393B" w:rsidP="0069393B" w14:paraId="05D22C2B" w14:textId="77777777">
            <w:pPr>
              <w:spacing w:before="60" w:after="60"/>
              <w:rPr>
                <w:rFonts w:ascii="Calibri" w:hAnsi="Calibri" w:cs="Calibri"/>
              </w:rPr>
            </w:pPr>
            <w:r>
              <w:rPr>
                <w:rFonts w:ascii="Calibri" w:hAnsi="Calibri" w:cs="Calibri"/>
              </w:rPr>
              <w:t>4</w:t>
            </w:r>
            <w:r w:rsidRPr="0069393B">
              <w:rPr>
                <w:rFonts w:ascii="Calibri" w:hAnsi="Calibri" w:cs="Calibri"/>
              </w:rPr>
              <w:t xml:space="preserve"> months, following analysis</w:t>
            </w:r>
          </w:p>
        </w:tc>
      </w:tr>
    </w:tbl>
    <w:p w:rsidR="002327E6" w:rsidRPr="002327E6" w:rsidP="00CB4358" w14:paraId="5BE36CA5" w14:textId="77777777">
      <w:pPr>
        <w:spacing w:after="0" w:line="240" w:lineRule="auto"/>
        <w:rPr>
          <w:rFonts w:cstheme="minorHAnsi"/>
          <w:b/>
          <w:bCs/>
        </w:rPr>
      </w:pPr>
    </w:p>
    <w:p w:rsidR="00C73360" w:rsidRPr="00AE0B67" w:rsidP="00AE0B67" w14:paraId="3ECBE2AA" w14:textId="77777777">
      <w:pPr>
        <w:keepNext/>
        <w:spacing w:before="240" w:after="120" w:line="240" w:lineRule="auto"/>
        <w:rPr>
          <w:b/>
        </w:rPr>
      </w:pPr>
      <w:r w:rsidRPr="00AE0B67">
        <w:rPr>
          <w:b/>
        </w:rPr>
        <w:t>A17.</w:t>
      </w:r>
      <w:r w:rsidRPr="00AE0B67">
        <w:rPr>
          <w:b/>
        </w:rPr>
        <w:tab/>
        <w:t>Exceptions</w:t>
      </w:r>
    </w:p>
    <w:p w:rsidR="00083227" w:rsidP="00AE0B67" w14:paraId="2EC35CBD" w14:textId="77777777">
      <w:pPr>
        <w:spacing w:before="200" w:line="240" w:lineRule="auto"/>
      </w:pPr>
      <w:r w:rsidRPr="00CB1F9B">
        <w:t>No exceptions are necessary for this information collection.</w:t>
      </w:r>
    </w:p>
    <w:p w:rsidR="0069393B" w:rsidP="00AE0B67" w14:paraId="17C9955B" w14:textId="77777777">
      <w:pPr>
        <w:keepNext/>
        <w:spacing w:before="240" w:after="120" w:line="240" w:lineRule="auto"/>
        <w:rPr>
          <w:b/>
        </w:rPr>
      </w:pPr>
      <w:r>
        <w:rPr>
          <w:b/>
        </w:rPr>
        <w:br w:type="page"/>
      </w:r>
    </w:p>
    <w:p w:rsidR="00306028" w:rsidRPr="00027DFA" w:rsidP="00AE0B67" w14:paraId="2B737D9B" w14:textId="77777777">
      <w:pPr>
        <w:keepNext/>
        <w:spacing w:before="240" w:after="120" w:line="240" w:lineRule="auto"/>
        <w:rPr>
          <w:b/>
        </w:rPr>
      </w:pPr>
      <w:r>
        <w:rPr>
          <w:b/>
        </w:rPr>
        <w:t>Attachments</w:t>
      </w:r>
      <w:r w:rsidR="0093140B">
        <w:rPr>
          <w:b/>
        </w:rPr>
        <w:t xml:space="preserve"> </w:t>
      </w:r>
      <w:r w:rsidR="00027DFA">
        <w:rPr>
          <w:b/>
        </w:rPr>
        <w:t>(</w:t>
      </w:r>
      <w:r w:rsidRPr="00027DFA" w:rsidR="0093140B">
        <w:rPr>
          <w:b/>
        </w:rPr>
        <w:t>Instruments</w:t>
      </w:r>
      <w:r w:rsidRPr="00027DFA" w:rsidR="00027DFA">
        <w:rPr>
          <w:b/>
        </w:rPr>
        <w:t>)</w:t>
      </w:r>
    </w:p>
    <w:p w:rsidR="0093140B" w:rsidP="0069393B" w14:paraId="08A669F8" w14:textId="77777777">
      <w:pPr>
        <w:spacing w:before="60" w:after="60"/>
      </w:pPr>
      <w:r>
        <w:t>Instrument 1: Program Recruitment Script and Eligibility Screener</w:t>
      </w:r>
    </w:p>
    <w:p w:rsidR="0093140B" w:rsidP="0069393B" w14:paraId="733C0D95" w14:textId="77777777">
      <w:pPr>
        <w:spacing w:before="60" w:after="60"/>
      </w:pPr>
      <w:r>
        <w:t>Instrument 2: Program Director Interview Protocol</w:t>
      </w:r>
    </w:p>
    <w:p w:rsidR="0093140B" w:rsidP="0069393B" w14:paraId="61E1F9B3" w14:textId="77777777">
      <w:pPr>
        <w:spacing w:before="60" w:after="60"/>
      </w:pPr>
      <w:r>
        <w:t>Instrument 3: Program Supervisor Interview Protocol</w:t>
      </w:r>
    </w:p>
    <w:p w:rsidR="0093140B" w:rsidP="0069393B" w14:paraId="35352983" w14:textId="77777777">
      <w:pPr>
        <w:spacing w:before="60" w:after="60"/>
      </w:pPr>
      <w:r>
        <w:t>Instrument 4: Parent Participant Interview Protocol</w:t>
      </w:r>
    </w:p>
    <w:p w:rsidR="0093140B" w:rsidP="0069393B" w14:paraId="53864621" w14:textId="77777777">
      <w:pPr>
        <w:spacing w:before="60" w:after="60"/>
      </w:pPr>
      <w:r>
        <w:t>Instrument 5: Home Visitor Group Interview Protocol</w:t>
      </w:r>
    </w:p>
    <w:p w:rsidR="0093140B" w:rsidRPr="0093140B" w:rsidP="0069393B" w14:paraId="613D3B06" w14:textId="77777777">
      <w:pPr>
        <w:spacing w:before="60" w:after="60"/>
      </w:pPr>
      <w:r>
        <w:t>Instrument 6: Parent Participant Focus Group Guide</w:t>
      </w:r>
    </w:p>
    <w:p w:rsidR="006D72E3" w:rsidRPr="001C2812" w:rsidP="0069393B" w14:paraId="050E499F" w14:textId="77777777">
      <w:pPr>
        <w:spacing w:before="200" w:after="120"/>
        <w:rPr>
          <w:i/>
          <w:iCs/>
        </w:rPr>
      </w:pPr>
      <w:r w:rsidRPr="001C2812">
        <w:rPr>
          <w:b/>
          <w:bCs/>
          <w:i/>
          <w:iCs/>
        </w:rPr>
        <w:t>Appendices</w:t>
      </w:r>
    </w:p>
    <w:p w:rsidR="0093140B" w:rsidP="0069393B" w14:paraId="102B1695" w14:textId="77777777">
      <w:pPr>
        <w:spacing w:before="60" w:after="60"/>
      </w:pPr>
      <w:r>
        <w:t xml:space="preserve">Appendix A: </w:t>
      </w:r>
      <w:r w:rsidR="000F165A">
        <w:t xml:space="preserve">Health Resources and Services Administration </w:t>
      </w:r>
      <w:r>
        <w:t>Letter</w:t>
      </w:r>
      <w:r w:rsidR="004176C0">
        <w:t xml:space="preserve"> of Support</w:t>
      </w:r>
    </w:p>
    <w:p w:rsidR="00C7428B" w:rsidP="0069393B" w14:paraId="600DFFFC" w14:textId="77777777">
      <w:pPr>
        <w:spacing w:before="60" w:after="60"/>
      </w:pPr>
      <w:r>
        <w:t xml:space="preserve">Appendix B: </w:t>
      </w:r>
      <w:r w:rsidR="001B77B6">
        <w:t xml:space="preserve">Tribal </w:t>
      </w:r>
      <w:r w:rsidR="000F165A">
        <w:t xml:space="preserve">Maternal, Infant, and Early Childhood Home Visiting </w:t>
      </w:r>
      <w:r>
        <w:t>Letter of Support</w:t>
      </w:r>
    </w:p>
    <w:p w:rsidR="0093140B" w:rsidP="0069393B" w14:paraId="142246AF" w14:textId="77777777">
      <w:pPr>
        <w:spacing w:before="60" w:after="60"/>
      </w:pPr>
      <w:r>
        <w:t xml:space="preserve">Appendix </w:t>
      </w:r>
      <w:r w:rsidR="00C7428B">
        <w:t>C</w:t>
      </w:r>
      <w:r>
        <w:t xml:space="preserve">: Program Director Recruitment </w:t>
      </w:r>
      <w:r w:rsidR="006B26F0">
        <w:t>Email</w:t>
      </w:r>
    </w:p>
    <w:p w:rsidR="0093140B" w:rsidP="0069393B" w14:paraId="01FE5CC7" w14:textId="77777777">
      <w:pPr>
        <w:spacing w:before="60" w:after="60"/>
      </w:pPr>
      <w:r>
        <w:t xml:space="preserve">Appendix </w:t>
      </w:r>
      <w:r w:rsidR="00C7428B">
        <w:t>D</w:t>
      </w:r>
      <w:r>
        <w:t>: Study FAQs for Program Staff</w:t>
      </w:r>
    </w:p>
    <w:p w:rsidR="0093140B" w:rsidP="0069393B" w14:paraId="1639F06C" w14:textId="77777777">
      <w:pPr>
        <w:spacing w:before="60" w:after="60"/>
      </w:pPr>
      <w:r>
        <w:t xml:space="preserve">Appendix </w:t>
      </w:r>
      <w:r w:rsidR="00C7428B">
        <w:t>E</w:t>
      </w:r>
      <w:r>
        <w:t>: Consent Form for Parent Participant Interview</w:t>
      </w:r>
    </w:p>
    <w:p w:rsidR="0093140B" w:rsidP="0069393B" w14:paraId="47C92691" w14:textId="77777777">
      <w:pPr>
        <w:spacing w:before="60" w:after="60"/>
      </w:pPr>
      <w:r>
        <w:t xml:space="preserve">Appendix </w:t>
      </w:r>
      <w:r w:rsidR="00C7428B">
        <w:t>F</w:t>
      </w:r>
      <w:r>
        <w:t>: Consent Form for Parent Participant Focus Group</w:t>
      </w:r>
    </w:p>
    <w:p w:rsidR="009100AE" w:rsidP="0069393B" w14:paraId="0AD97686" w14:textId="77777777">
      <w:pPr>
        <w:spacing w:before="60" w:after="60"/>
      </w:pPr>
      <w:r>
        <w:t xml:space="preserve">Appendix </w:t>
      </w:r>
      <w:r w:rsidR="00C7428B">
        <w:t>G</w:t>
      </w:r>
      <w:r>
        <w:t xml:space="preserve">: Consent Form for </w:t>
      </w:r>
      <w:r w:rsidR="00757ABC">
        <w:t>Home Visitor Interview</w:t>
      </w:r>
    </w:p>
    <w:p w:rsidR="00757ABC" w:rsidP="0069393B" w14:paraId="53A4B118" w14:textId="77777777">
      <w:pPr>
        <w:spacing w:before="60" w:after="60"/>
      </w:pPr>
      <w:r>
        <w:t xml:space="preserve">Appendix </w:t>
      </w:r>
      <w:r w:rsidR="00C7428B">
        <w:t>H</w:t>
      </w:r>
      <w:r>
        <w:t>: Consent Form for Program Director Interview</w:t>
      </w:r>
    </w:p>
    <w:p w:rsidR="00757ABC" w:rsidP="0069393B" w14:paraId="702ACB52" w14:textId="77777777">
      <w:pPr>
        <w:spacing w:before="60" w:after="60"/>
      </w:pPr>
      <w:r>
        <w:t xml:space="preserve">Appendix </w:t>
      </w:r>
      <w:r w:rsidR="00C7428B">
        <w:t>I</w:t>
      </w:r>
      <w:r>
        <w:t>: Consent Form for Supervisor Interview</w:t>
      </w:r>
    </w:p>
    <w:p w:rsidR="0093140B" w:rsidP="0069393B" w14:paraId="34C6EE51" w14:textId="77777777">
      <w:pPr>
        <w:spacing w:before="60" w:after="60"/>
      </w:pPr>
      <w:r>
        <w:t xml:space="preserve">Appendix </w:t>
      </w:r>
      <w:r w:rsidR="00C7428B">
        <w:t>J</w:t>
      </w:r>
      <w:r>
        <w:t>: Study Recruitment Flyer for Parent Participant Interview</w:t>
      </w:r>
    </w:p>
    <w:p w:rsidR="0093140B" w:rsidP="0069393B" w14:paraId="4EB1780F" w14:textId="77777777">
      <w:pPr>
        <w:spacing w:before="60" w:after="60"/>
      </w:pPr>
      <w:r>
        <w:t xml:space="preserve">Appendix </w:t>
      </w:r>
      <w:r w:rsidR="00C7428B">
        <w:t>K</w:t>
      </w:r>
      <w:r>
        <w:t>: Study Recruitment Flyer for Parent Participant Focus Group</w:t>
      </w:r>
    </w:p>
    <w:p w:rsidR="0093140B" w:rsidRPr="0093140B" w:rsidP="0069393B" w14:paraId="0957C11A" w14:textId="77777777">
      <w:pPr>
        <w:spacing w:before="60" w:after="60"/>
      </w:pPr>
      <w:r>
        <w:t xml:space="preserve">Appendix </w:t>
      </w:r>
      <w:r w:rsidR="00C7428B">
        <w:t>L</w:t>
      </w:r>
      <w:r>
        <w:t xml:space="preserve">: Study Recruitment Flyer for </w:t>
      </w:r>
      <w:r w:rsidR="00757ABC">
        <w:t>Program</w:t>
      </w:r>
      <w:r>
        <w:t xml:space="preserve"> Staff</w:t>
      </w:r>
      <w:r w:rsidR="00757ABC">
        <w:t xml:space="preserve"> Interviews</w:t>
      </w:r>
    </w:p>
    <w:p w:rsidR="00306028" w:rsidRPr="0069393B" w:rsidP="0069393B" w14:paraId="0697BA45" w14:textId="77777777">
      <w:pPr>
        <w:spacing w:before="200" w:after="120"/>
        <w:rPr>
          <w:b/>
          <w:bCs/>
        </w:rPr>
      </w:pPr>
      <w:r>
        <w:rPr>
          <w:b/>
          <w:bCs/>
        </w:rPr>
        <w:t>References</w:t>
      </w:r>
    </w:p>
    <w:p w:rsidR="00B14622" w:rsidP="0069393B" w14:paraId="05D1A8E9" w14:textId="77777777">
      <w:pPr>
        <w:spacing w:before="120" w:after="120"/>
      </w:pPr>
      <w:r>
        <w:t xml:space="preserve">Evans, William N., and Craig L. Garthwaite. “Giving Mom a Break: The Impact of Higher EITC Payments on Maternal Health.” </w:t>
      </w:r>
      <w:r>
        <w:rPr>
          <w:i/>
          <w:iCs/>
        </w:rPr>
        <w:t xml:space="preserve">American Economic Journal: Economic Policy, </w:t>
      </w:r>
      <w:r>
        <w:t>vol. 6, no. 2, 2014, pp. 258-290.</w:t>
      </w:r>
    </w:p>
    <w:p w:rsidR="000A53C0" w:rsidP="0069393B" w14:paraId="57499CD4" w14:textId="1B3F5049">
      <w:pPr>
        <w:spacing w:before="120" w:after="120"/>
      </w:pPr>
      <w:r>
        <w:t xml:space="preserve">Gershoff, E., J. Aber, C. Raver, and M. Lennon. “Income Is Not Enough: Incorporating Material Hardship into Models of Income Associations with Parenting and Child Development.” </w:t>
      </w:r>
      <w:r>
        <w:rPr>
          <w:i/>
          <w:iCs/>
        </w:rPr>
        <w:t xml:space="preserve">Child Development, </w:t>
      </w:r>
      <w:r>
        <w:t>vol. 28, no. 1, 2007, pp. 70-95. Doi: 10.1111/j.1467-8624.2007.</w:t>
      </w:r>
      <w:r>
        <w:t>00986.x.</w:t>
      </w:r>
    </w:p>
    <w:p w:rsidR="004A2F92" w:rsidP="0069393B" w14:paraId="66F7C082" w14:textId="603DA019">
      <w:pPr>
        <w:spacing w:before="120" w:after="120"/>
      </w:pPr>
      <w:r>
        <w:t xml:space="preserve">Health Resources and Services Administration (HRSA). “Notice of funding opportunity: </w:t>
      </w:r>
      <w:r w:rsidRPr="004A2F92">
        <w:t>Maternal, Infant, and Early Childhood Home Visiting Program – Formula</w:t>
      </w:r>
      <w:r>
        <w:t xml:space="preserve">.” </w:t>
      </w:r>
      <w:r w:rsidRPr="004A2F92">
        <w:t>Funding Opportunity Number: HRSA-21-050</w:t>
      </w:r>
      <w:r>
        <w:t xml:space="preserve">.” 2021.  </w:t>
      </w:r>
      <w:r w:rsidR="000530E9">
        <w:t xml:space="preserve">Accessed on March 22, </w:t>
      </w:r>
      <w:r w:rsidR="000530E9">
        <w:t>2023</w:t>
      </w:r>
      <w:r w:rsidR="000530E9">
        <w:t xml:space="preserve"> from </w:t>
      </w:r>
      <w:hyperlink r:id="rId9" w:history="1">
        <w:r w:rsidRPr="00810C2A" w:rsidR="000530E9">
          <w:rPr>
            <w:rStyle w:val="Hyperlink"/>
          </w:rPr>
          <w:t>https://www.grants.gov/web/grants/view-opportunity.html?oppId=329949</w:t>
        </w:r>
      </w:hyperlink>
      <w:r w:rsidR="000530E9">
        <w:t xml:space="preserve">. </w:t>
      </w:r>
    </w:p>
    <w:p w:rsidR="007E2943" w:rsidP="0069393B" w14:paraId="5C5394DD" w14:textId="06CE13D8">
      <w:pPr>
        <w:spacing w:before="120" w:after="120"/>
      </w:pPr>
      <w:r>
        <w:t xml:space="preserve">Healthy Families America. “Supporting Home Visiting: A Guide to State and Federal Funding.” </w:t>
      </w:r>
      <w:r w:rsidR="0061188D">
        <w:t xml:space="preserve">June 2020. Available at: </w:t>
      </w:r>
      <w:r w:rsidRPr="0061188D" w:rsidR="0061188D">
        <w:t>https://preventchildabuse.org/wp-content/uploads/2020/06/State-and-Federal-Funding-Streams.pdf</w:t>
      </w:r>
      <w:r w:rsidR="0061188D">
        <w:t>.</w:t>
      </w:r>
    </w:p>
    <w:p w:rsidR="000A53C0" w:rsidRPr="000A53C0" w:rsidP="0069393B" w14:paraId="3E1254F8" w14:textId="39F73907">
      <w:pPr>
        <w:spacing w:before="120" w:after="120"/>
      </w:pPr>
      <w:r>
        <w:t>Lugo-Gil, J., and C.S. Tamis-</w:t>
      </w:r>
      <w:r>
        <w:t>LeMonda</w:t>
      </w:r>
      <w:r>
        <w:t xml:space="preserve">. “Family Resources and Parenting Quality: Links to Children’s Cognitive Development Across the First 3 Years.” </w:t>
      </w:r>
      <w:r>
        <w:rPr>
          <w:i/>
          <w:iCs/>
        </w:rPr>
        <w:t xml:space="preserve">Child Development, </w:t>
      </w:r>
      <w:r>
        <w:t>vol. 79, no. 4, 2008, pp. 1065-1085.2</w:t>
      </w:r>
      <w:r w:rsidR="00B877DB">
        <w:t>.</w:t>
      </w:r>
    </w:p>
    <w:p w:rsidR="005179D7" w:rsidP="0069393B" w14:paraId="605293C5" w14:textId="7F65DA8A">
      <w:pPr>
        <w:spacing w:before="120" w:after="120"/>
      </w:pPr>
      <w:r w:rsidRPr="00D10288">
        <w:t xml:space="preserve">Michalopoulos, C., </w:t>
      </w:r>
      <w:r w:rsidRPr="00D10288" w:rsidR="009A5037">
        <w:t>K.</w:t>
      </w:r>
      <w:r w:rsidRPr="0003128B" w:rsidR="00733ACA">
        <w:t xml:space="preserve"> </w:t>
      </w:r>
      <w:r w:rsidRPr="00D10288">
        <w:t xml:space="preserve">Faucetta, </w:t>
      </w:r>
      <w:r w:rsidRPr="00D10288" w:rsidR="009A5037">
        <w:t>C.</w:t>
      </w:r>
      <w:r w:rsidRPr="0003128B" w:rsidR="009A5037">
        <w:t xml:space="preserve"> </w:t>
      </w:r>
      <w:r>
        <w:t xml:space="preserve">Hill, </w:t>
      </w:r>
      <w:r w:rsidR="009A5037">
        <w:t xml:space="preserve">X. </w:t>
      </w:r>
      <w:r>
        <w:t>Portilla</w:t>
      </w:r>
      <w:r>
        <w:t xml:space="preserve">, </w:t>
      </w:r>
      <w:r w:rsidR="009A5037">
        <w:t xml:space="preserve">L. </w:t>
      </w:r>
      <w:r>
        <w:t xml:space="preserve">Burrell, </w:t>
      </w:r>
      <w:r w:rsidR="009A5037">
        <w:t xml:space="preserve">H. </w:t>
      </w:r>
      <w:r>
        <w:t xml:space="preserve">Lee, </w:t>
      </w:r>
      <w:r w:rsidR="009A5037">
        <w:t>A.</w:t>
      </w:r>
      <w:r w:rsidR="00733ACA">
        <w:t xml:space="preserve"> </w:t>
      </w:r>
      <w:r>
        <w:t xml:space="preserve">Duggan, </w:t>
      </w:r>
      <w:r w:rsidR="006A46B8">
        <w:t>et al</w:t>
      </w:r>
      <w:r>
        <w:t xml:space="preserve">. “Impacts on Family Outcomes of Evidence-Based Early Childhood Home Visiting: Results from the </w:t>
      </w:r>
      <w:r>
        <w:t>Mother</w:t>
      </w:r>
      <w:r>
        <w:t xml:space="preserve"> and Infant Home Visiting Program Evaluatio</w:t>
      </w:r>
      <w:r w:rsidR="006D72E3">
        <w:t>n</w:t>
      </w:r>
      <w:r>
        <w:t xml:space="preserve">.” OPRE Report </w:t>
      </w:r>
      <w:r w:rsidR="00F81F13">
        <w:t>#</w:t>
      </w:r>
      <w:r>
        <w:t>2019-07. Washington, DC: Office of Planning, Research, and Evaluation, Administration for Children and Families, U.S. Department of Health and Human Services, 2019.</w:t>
      </w:r>
    </w:p>
    <w:p w:rsidR="007F656A" w:rsidP="0069393B" w14:paraId="017DCF8E" w14:textId="22D6042C">
      <w:pPr>
        <w:spacing w:before="120" w:after="120"/>
      </w:pPr>
      <w:r>
        <w:t xml:space="preserve">National Home Visiting Resource Center. “2022 Home Visiting Yearbook: Who Is Being </w:t>
      </w:r>
      <w:r>
        <w:t>Served?.</w:t>
      </w:r>
      <w:r>
        <w:t xml:space="preserve">” Arlington, VA: James Bell Associates and the Urban Institute, 2022. </w:t>
      </w:r>
      <w:hyperlink r:id="rId10" w:history="1">
        <w:r>
          <w:rPr>
            <w:rStyle w:val="Hyperlink"/>
          </w:rPr>
          <w:t>https://nhvrc.org/yearbook/2022-yearbook/who-is-being-served/</w:t>
        </w:r>
      </w:hyperlink>
    </w:p>
    <w:p w:rsidR="00C53310" w:rsidRPr="005179D7" w:rsidP="0069393B" w14:paraId="49724250" w14:textId="04DB1CB8">
      <w:pPr>
        <w:spacing w:before="120" w:after="120"/>
      </w:pPr>
      <w:r>
        <w:t xml:space="preserve">Singer, Eleanor and Cong Ye. “The Use and Effects of Incentives in Surveys.” </w:t>
      </w:r>
      <w:r w:rsidRPr="003420D1" w:rsidR="009956E1">
        <w:rPr>
          <w:i/>
          <w:iCs/>
        </w:rPr>
        <w:t>The ANNALS of the American Academy of Political and Social Science</w:t>
      </w:r>
      <w:r w:rsidR="009956E1">
        <w:t xml:space="preserve"> 645, no. 1, 2013, pp. 112-141.</w:t>
      </w:r>
    </w:p>
    <w:sectPr w:rsidSect="00C91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rsidP="001657F4" w14:paraId="14D744E0" w14:textId="77777777">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265C" w:rsidP="0004063C" w14:paraId="476B6607" w14:textId="77777777">
      <w:pPr>
        <w:spacing w:after="0" w:line="240" w:lineRule="auto"/>
      </w:pPr>
      <w:r>
        <w:separator/>
      </w:r>
    </w:p>
  </w:footnote>
  <w:footnote w:type="continuationSeparator" w:id="1">
    <w:p w:rsidR="0072265C" w:rsidP="0004063C" w14:paraId="7460A2A1" w14:textId="77777777">
      <w:pPr>
        <w:spacing w:after="0" w:line="240" w:lineRule="auto"/>
      </w:pPr>
      <w:r>
        <w:continuationSeparator/>
      </w:r>
    </w:p>
  </w:footnote>
  <w:footnote w:id="2">
    <w:p w:rsidR="006A639D" w14:paraId="3F55C288" w14:textId="514CD373">
      <w:pPr>
        <w:pStyle w:val="FootnoteText"/>
      </w:pPr>
      <w:r>
        <w:rPr>
          <w:rStyle w:val="FootnoteReference"/>
        </w:rPr>
        <w:footnoteRef/>
      </w:r>
      <w:r>
        <w:t xml:space="preserve"> </w:t>
      </w:r>
      <w:r w:rsidRPr="006A639D">
        <w:t>https://www.whitehouse.gov/briefing-room/presidential-actions/2021/01/20/executive-order-advancing-racial-equity-and-support-for-underserved-communities-through-the-federal-government/</w:t>
      </w:r>
    </w:p>
  </w:footnote>
  <w:footnote w:id="3">
    <w:p w:rsidR="00757F50" w14:paraId="6E91CF69" w14:textId="77777777">
      <w:pPr>
        <w:pStyle w:val="FootnoteText"/>
      </w:pPr>
      <w:r>
        <w:rPr>
          <w:rStyle w:val="FootnoteReference"/>
        </w:rPr>
        <w:footnoteRef/>
      </w:r>
      <w:r>
        <w:t xml:space="preserve"> </w:t>
      </w:r>
      <w:r w:rsidRPr="00D30B6F">
        <w:rPr>
          <w:rFonts w:cstheme="minorHAnsi"/>
        </w:rPr>
        <w:t xml:space="preserve">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w:t>
      </w:r>
      <w:r w:rsidRPr="009069F8">
        <w:rPr>
          <w:rFonts w:cstheme="minorHAnsi"/>
        </w:rPr>
        <w:t>receipt of economic assistance from the government (e.g., unemployment or WIC or SNAP); immigration/citizenship status</w:t>
      </w:r>
      <w:r w:rsidRPr="00D30B6F">
        <w:rPr>
          <w:rFonts w:cstheme="minorHAnsi"/>
        </w:rPr>
        <w:t>.</w:t>
      </w:r>
    </w:p>
  </w:footnote>
  <w:footnote w:id="4">
    <w:p w:rsidR="008D4D05" w14:paraId="65584EA4" w14:textId="7A2C27BB">
      <w:pPr>
        <w:pStyle w:val="FootnoteText"/>
      </w:pPr>
      <w:r>
        <w:rPr>
          <w:rStyle w:val="FootnoteReference"/>
        </w:rPr>
        <w:footnoteRef/>
      </w:r>
      <w:r>
        <w:t xml:space="preserve"> Grantees also are not required to participate in this federally-funded research. The </w:t>
      </w:r>
      <w:r w:rsidR="004A2F92">
        <w:t xml:space="preserve">MIECHV grants </w:t>
      </w:r>
      <w:r>
        <w:t xml:space="preserve">notice of funding opportunity </w:t>
      </w:r>
      <w:r w:rsidR="004A2F92">
        <w:t xml:space="preserve">described </w:t>
      </w:r>
      <w:r w:rsidR="00A374A2">
        <w:t>data sharing and</w:t>
      </w:r>
      <w:r>
        <w:t xml:space="preserve"> evaluation requirement</w:t>
      </w:r>
      <w:r w:rsidR="00A374A2">
        <w:t>s</w:t>
      </w:r>
      <w:r w:rsidR="004A2F92">
        <w:t>, which</w:t>
      </w:r>
      <w:r>
        <w:t xml:space="preserve"> </w:t>
      </w:r>
      <w:r w:rsidR="00A374A2">
        <w:t>included grantees submitting data for required federal reporting and conducting a rigorous evaluation of a home visiting model that HRSA categories as “promising” rather than “evidence-based” (</w:t>
      </w:r>
      <w:r w:rsidR="004202E0">
        <w:t>HRSA 2021). F</w:t>
      </w:r>
      <w:r w:rsidR="00A374A2">
        <w:t xml:space="preserve">or more information, also see </w:t>
      </w:r>
      <w:hyperlink r:id="rId1" w:history="1">
        <w:r w:rsidR="00A374A2">
          <w:rPr>
            <w:rStyle w:val="Hyperlink"/>
          </w:rPr>
          <w:t>MIECHV Evaluation &amp; Research | MCHB (hrsa.gov)</w:t>
        </w:r>
      </w:hyperlink>
      <w:r w:rsidR="00A374A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511E39F9"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0FA2DA47" w14:textId="77777777">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982645"/>
    <w:multiLevelType w:val="hybridMultilevel"/>
    <w:tmpl w:val="BBD43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880067"/>
    <w:multiLevelType w:val="hybridMultilevel"/>
    <w:tmpl w:val="71067D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22D630E"/>
    <w:multiLevelType w:val="hybridMultilevel"/>
    <w:tmpl w:val="9B269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2F104E"/>
    <w:multiLevelType w:val="hybridMultilevel"/>
    <w:tmpl w:val="0B1ED69C"/>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7E4674"/>
    <w:multiLevelType w:val="hybridMultilevel"/>
    <w:tmpl w:val="0E483E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11B09B6"/>
    <w:multiLevelType w:val="hybridMultilevel"/>
    <w:tmpl w:val="04F21C9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7E265B"/>
    <w:multiLevelType w:val="hybridMultilevel"/>
    <w:tmpl w:val="70364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5187649"/>
    <w:multiLevelType w:val="hybridMultilevel"/>
    <w:tmpl w:val="3F367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58F4C86"/>
    <w:multiLevelType w:val="hybridMultilevel"/>
    <w:tmpl w:val="FF2031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079056">
    <w:abstractNumId w:val="10"/>
  </w:num>
  <w:num w:numId="2" w16cid:durableId="37290393">
    <w:abstractNumId w:val="0"/>
  </w:num>
  <w:num w:numId="3" w16cid:durableId="513425272">
    <w:abstractNumId w:val="8"/>
  </w:num>
  <w:num w:numId="4" w16cid:durableId="1124350125">
    <w:abstractNumId w:val="7"/>
  </w:num>
  <w:num w:numId="5" w16cid:durableId="1501046386">
    <w:abstractNumId w:val="2"/>
  </w:num>
  <w:num w:numId="6" w16cid:durableId="1784419546">
    <w:abstractNumId w:val="12"/>
  </w:num>
  <w:num w:numId="7" w16cid:durableId="891885199">
    <w:abstractNumId w:val="6"/>
  </w:num>
  <w:num w:numId="8" w16cid:durableId="1912085016">
    <w:abstractNumId w:val="11"/>
  </w:num>
  <w:num w:numId="9" w16cid:durableId="1806191012">
    <w:abstractNumId w:val="9"/>
  </w:num>
  <w:num w:numId="10" w16cid:durableId="1456094639">
    <w:abstractNumId w:val="17"/>
  </w:num>
  <w:num w:numId="11" w16cid:durableId="2135637663">
    <w:abstractNumId w:val="13"/>
  </w:num>
  <w:num w:numId="12" w16cid:durableId="1182478508">
    <w:abstractNumId w:val="23"/>
  </w:num>
  <w:num w:numId="13" w16cid:durableId="1053888779">
    <w:abstractNumId w:val="18"/>
  </w:num>
  <w:num w:numId="14" w16cid:durableId="1278486599">
    <w:abstractNumId w:val="24"/>
  </w:num>
  <w:num w:numId="15" w16cid:durableId="9261690">
    <w:abstractNumId w:val="4"/>
  </w:num>
  <w:num w:numId="16" w16cid:durableId="1674528762">
    <w:abstractNumId w:val="22"/>
  </w:num>
  <w:num w:numId="17" w16cid:durableId="1523057119">
    <w:abstractNumId w:val="3"/>
  </w:num>
  <w:num w:numId="18" w16cid:durableId="708339455">
    <w:abstractNumId w:val="14"/>
  </w:num>
  <w:num w:numId="19" w16cid:durableId="557134629">
    <w:abstractNumId w:val="1"/>
  </w:num>
  <w:num w:numId="20" w16cid:durableId="489709327">
    <w:abstractNumId w:val="20"/>
  </w:num>
  <w:num w:numId="21" w16cid:durableId="1874809424">
    <w:abstractNumId w:val="16"/>
  </w:num>
  <w:num w:numId="22" w16cid:durableId="914314704">
    <w:abstractNumId w:val="15"/>
  </w:num>
  <w:num w:numId="23" w16cid:durableId="103116601">
    <w:abstractNumId w:val="19"/>
  </w:num>
  <w:num w:numId="24" w16cid:durableId="1991056210">
    <w:abstractNumId w:val="21"/>
  </w:num>
  <w:num w:numId="25" w16cid:durableId="119638580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81E"/>
    <w:rsid w:val="00007936"/>
    <w:rsid w:val="00010527"/>
    <w:rsid w:val="00010CA0"/>
    <w:rsid w:val="00010DE8"/>
    <w:rsid w:val="0001255D"/>
    <w:rsid w:val="000144F7"/>
    <w:rsid w:val="00014EDC"/>
    <w:rsid w:val="00015CCA"/>
    <w:rsid w:val="00016386"/>
    <w:rsid w:val="000164E1"/>
    <w:rsid w:val="00017B0C"/>
    <w:rsid w:val="00020863"/>
    <w:rsid w:val="00021584"/>
    <w:rsid w:val="00021A79"/>
    <w:rsid w:val="0002282E"/>
    <w:rsid w:val="00024834"/>
    <w:rsid w:val="00026120"/>
    <w:rsid w:val="00026192"/>
    <w:rsid w:val="000265B1"/>
    <w:rsid w:val="00026D7E"/>
    <w:rsid w:val="00027C8D"/>
    <w:rsid w:val="00027DFA"/>
    <w:rsid w:val="00027E79"/>
    <w:rsid w:val="00030A2E"/>
    <w:rsid w:val="0003128B"/>
    <w:rsid w:val="00031F8E"/>
    <w:rsid w:val="00036715"/>
    <w:rsid w:val="0004063C"/>
    <w:rsid w:val="0004247F"/>
    <w:rsid w:val="00043B96"/>
    <w:rsid w:val="0004427F"/>
    <w:rsid w:val="00044519"/>
    <w:rsid w:val="000464D2"/>
    <w:rsid w:val="00047AD9"/>
    <w:rsid w:val="00050B21"/>
    <w:rsid w:val="000530E9"/>
    <w:rsid w:val="000550BB"/>
    <w:rsid w:val="00060B30"/>
    <w:rsid w:val="00060C59"/>
    <w:rsid w:val="00061A49"/>
    <w:rsid w:val="00062AFB"/>
    <w:rsid w:val="00065496"/>
    <w:rsid w:val="000655DD"/>
    <w:rsid w:val="000665B5"/>
    <w:rsid w:val="00066FD5"/>
    <w:rsid w:val="000719B3"/>
    <w:rsid w:val="00071F79"/>
    <w:rsid w:val="0007251B"/>
    <w:rsid w:val="000733A5"/>
    <w:rsid w:val="0007593F"/>
    <w:rsid w:val="00076BD7"/>
    <w:rsid w:val="00077E46"/>
    <w:rsid w:val="00082542"/>
    <w:rsid w:val="00082C5B"/>
    <w:rsid w:val="00083227"/>
    <w:rsid w:val="00083C81"/>
    <w:rsid w:val="000857CA"/>
    <w:rsid w:val="000866C5"/>
    <w:rsid w:val="00086CBE"/>
    <w:rsid w:val="00087382"/>
    <w:rsid w:val="00090812"/>
    <w:rsid w:val="000909E2"/>
    <w:rsid w:val="00090A2A"/>
    <w:rsid w:val="000921F0"/>
    <w:rsid w:val="00094FB6"/>
    <w:rsid w:val="00095ABE"/>
    <w:rsid w:val="000968D9"/>
    <w:rsid w:val="00096D28"/>
    <w:rsid w:val="000A012A"/>
    <w:rsid w:val="000A0666"/>
    <w:rsid w:val="000A2C09"/>
    <w:rsid w:val="000A4A85"/>
    <w:rsid w:val="000A53C0"/>
    <w:rsid w:val="000A5627"/>
    <w:rsid w:val="000A56F8"/>
    <w:rsid w:val="000A5BAB"/>
    <w:rsid w:val="000B1A4E"/>
    <w:rsid w:val="000B1F2A"/>
    <w:rsid w:val="000B20A0"/>
    <w:rsid w:val="000B2FAB"/>
    <w:rsid w:val="000B3394"/>
    <w:rsid w:val="000B3EA4"/>
    <w:rsid w:val="000B44AE"/>
    <w:rsid w:val="000B513D"/>
    <w:rsid w:val="000B5F43"/>
    <w:rsid w:val="000B6DEC"/>
    <w:rsid w:val="000C19A1"/>
    <w:rsid w:val="000C2ABF"/>
    <w:rsid w:val="000C39E5"/>
    <w:rsid w:val="000C3DC4"/>
    <w:rsid w:val="000C4437"/>
    <w:rsid w:val="000D00EB"/>
    <w:rsid w:val="000D01CA"/>
    <w:rsid w:val="000D4E9A"/>
    <w:rsid w:val="000D7D44"/>
    <w:rsid w:val="000E0A75"/>
    <w:rsid w:val="000E3446"/>
    <w:rsid w:val="000E5BE5"/>
    <w:rsid w:val="000E6700"/>
    <w:rsid w:val="000F0118"/>
    <w:rsid w:val="000F165A"/>
    <w:rsid w:val="000F1E4A"/>
    <w:rsid w:val="000F261E"/>
    <w:rsid w:val="000F3079"/>
    <w:rsid w:val="000F39C3"/>
    <w:rsid w:val="000F5A36"/>
    <w:rsid w:val="000F63D7"/>
    <w:rsid w:val="00100D34"/>
    <w:rsid w:val="0010135D"/>
    <w:rsid w:val="0010216E"/>
    <w:rsid w:val="00103EFD"/>
    <w:rsid w:val="00104F68"/>
    <w:rsid w:val="00105CF6"/>
    <w:rsid w:val="00105F63"/>
    <w:rsid w:val="00107D87"/>
    <w:rsid w:val="00110A5E"/>
    <w:rsid w:val="00111DB9"/>
    <w:rsid w:val="00115818"/>
    <w:rsid w:val="001253F4"/>
    <w:rsid w:val="001260B3"/>
    <w:rsid w:val="00126B88"/>
    <w:rsid w:val="00126C41"/>
    <w:rsid w:val="00127476"/>
    <w:rsid w:val="00131350"/>
    <w:rsid w:val="001331BB"/>
    <w:rsid w:val="00146605"/>
    <w:rsid w:val="00151C01"/>
    <w:rsid w:val="001547B4"/>
    <w:rsid w:val="001570A8"/>
    <w:rsid w:val="00157482"/>
    <w:rsid w:val="00157BE6"/>
    <w:rsid w:val="00160E5C"/>
    <w:rsid w:val="00163FBA"/>
    <w:rsid w:val="001657F4"/>
    <w:rsid w:val="00167414"/>
    <w:rsid w:val="001675E4"/>
    <w:rsid w:val="00170045"/>
    <w:rsid w:val="001707D8"/>
    <w:rsid w:val="0017347E"/>
    <w:rsid w:val="00174766"/>
    <w:rsid w:val="001764A1"/>
    <w:rsid w:val="0018021F"/>
    <w:rsid w:val="00187772"/>
    <w:rsid w:val="00190227"/>
    <w:rsid w:val="00190FE9"/>
    <w:rsid w:val="001916D3"/>
    <w:rsid w:val="00193FFF"/>
    <w:rsid w:val="001948C0"/>
    <w:rsid w:val="001A2CD0"/>
    <w:rsid w:val="001A38FD"/>
    <w:rsid w:val="001A4240"/>
    <w:rsid w:val="001A4ABA"/>
    <w:rsid w:val="001A7084"/>
    <w:rsid w:val="001B0A76"/>
    <w:rsid w:val="001B5135"/>
    <w:rsid w:val="001B6E1A"/>
    <w:rsid w:val="001B77B6"/>
    <w:rsid w:val="001B793E"/>
    <w:rsid w:val="001C04B1"/>
    <w:rsid w:val="001C0F09"/>
    <w:rsid w:val="001C1D86"/>
    <w:rsid w:val="001C2812"/>
    <w:rsid w:val="001C42DA"/>
    <w:rsid w:val="001D0965"/>
    <w:rsid w:val="001D322A"/>
    <w:rsid w:val="001D7761"/>
    <w:rsid w:val="001E022F"/>
    <w:rsid w:val="001E1086"/>
    <w:rsid w:val="001E14E8"/>
    <w:rsid w:val="001E3F6B"/>
    <w:rsid w:val="001E630D"/>
    <w:rsid w:val="001F000C"/>
    <w:rsid w:val="001F0446"/>
    <w:rsid w:val="001F2D21"/>
    <w:rsid w:val="001F53F2"/>
    <w:rsid w:val="001F57F5"/>
    <w:rsid w:val="001F6473"/>
    <w:rsid w:val="001F753C"/>
    <w:rsid w:val="0020401C"/>
    <w:rsid w:val="0020411C"/>
    <w:rsid w:val="0020629A"/>
    <w:rsid w:val="00206E11"/>
    <w:rsid w:val="00206FE3"/>
    <w:rsid w:val="00207554"/>
    <w:rsid w:val="00210A27"/>
    <w:rsid w:val="00211261"/>
    <w:rsid w:val="00213D34"/>
    <w:rsid w:val="002163E1"/>
    <w:rsid w:val="00217200"/>
    <w:rsid w:val="00221EE5"/>
    <w:rsid w:val="00222B51"/>
    <w:rsid w:val="00223262"/>
    <w:rsid w:val="002233F2"/>
    <w:rsid w:val="00226196"/>
    <w:rsid w:val="00227A36"/>
    <w:rsid w:val="00230CAA"/>
    <w:rsid w:val="0023260B"/>
    <w:rsid w:val="002327E6"/>
    <w:rsid w:val="00232AE5"/>
    <w:rsid w:val="0023710A"/>
    <w:rsid w:val="002374CF"/>
    <w:rsid w:val="002375D3"/>
    <w:rsid w:val="00237C12"/>
    <w:rsid w:val="00240142"/>
    <w:rsid w:val="002403D2"/>
    <w:rsid w:val="00242CCE"/>
    <w:rsid w:val="002435EB"/>
    <w:rsid w:val="002471DE"/>
    <w:rsid w:val="002517BB"/>
    <w:rsid w:val="00252DC9"/>
    <w:rsid w:val="00252DD5"/>
    <w:rsid w:val="0025306E"/>
    <w:rsid w:val="002560D7"/>
    <w:rsid w:val="00256335"/>
    <w:rsid w:val="00256E24"/>
    <w:rsid w:val="0026055A"/>
    <w:rsid w:val="00262C31"/>
    <w:rsid w:val="00265491"/>
    <w:rsid w:val="00265674"/>
    <w:rsid w:val="00273521"/>
    <w:rsid w:val="00275C3A"/>
    <w:rsid w:val="00276CE2"/>
    <w:rsid w:val="00281405"/>
    <w:rsid w:val="002817D0"/>
    <w:rsid w:val="0028379D"/>
    <w:rsid w:val="00284703"/>
    <w:rsid w:val="0028551A"/>
    <w:rsid w:val="002864EC"/>
    <w:rsid w:val="002872A6"/>
    <w:rsid w:val="00287AF1"/>
    <w:rsid w:val="002A0CFC"/>
    <w:rsid w:val="002A3103"/>
    <w:rsid w:val="002A41C6"/>
    <w:rsid w:val="002A575D"/>
    <w:rsid w:val="002B0EE3"/>
    <w:rsid w:val="002B5DBE"/>
    <w:rsid w:val="002B68ED"/>
    <w:rsid w:val="002B785B"/>
    <w:rsid w:val="002B7A5C"/>
    <w:rsid w:val="002C01A8"/>
    <w:rsid w:val="002C0898"/>
    <w:rsid w:val="002C1225"/>
    <w:rsid w:val="002C2219"/>
    <w:rsid w:val="002C30F1"/>
    <w:rsid w:val="002C31AA"/>
    <w:rsid w:val="002C4F75"/>
    <w:rsid w:val="002C5156"/>
    <w:rsid w:val="002C799C"/>
    <w:rsid w:val="002D03FC"/>
    <w:rsid w:val="002D0761"/>
    <w:rsid w:val="002D1A90"/>
    <w:rsid w:val="002D1B35"/>
    <w:rsid w:val="002D4140"/>
    <w:rsid w:val="002D54FD"/>
    <w:rsid w:val="002D566A"/>
    <w:rsid w:val="002D68E9"/>
    <w:rsid w:val="002E01D5"/>
    <w:rsid w:val="002E561D"/>
    <w:rsid w:val="002E5764"/>
    <w:rsid w:val="002E6CCF"/>
    <w:rsid w:val="002F1486"/>
    <w:rsid w:val="002F2AEE"/>
    <w:rsid w:val="002F33D0"/>
    <w:rsid w:val="002F455F"/>
    <w:rsid w:val="002F56D3"/>
    <w:rsid w:val="002F623C"/>
    <w:rsid w:val="002F67B3"/>
    <w:rsid w:val="003003F2"/>
    <w:rsid w:val="00300722"/>
    <w:rsid w:val="00300940"/>
    <w:rsid w:val="00301E72"/>
    <w:rsid w:val="0030316D"/>
    <w:rsid w:val="00304978"/>
    <w:rsid w:val="00305D2D"/>
    <w:rsid w:val="00306028"/>
    <w:rsid w:val="00307468"/>
    <w:rsid w:val="003112D4"/>
    <w:rsid w:val="00311475"/>
    <w:rsid w:val="003152ED"/>
    <w:rsid w:val="0031575F"/>
    <w:rsid w:val="00316B9D"/>
    <w:rsid w:val="003174BA"/>
    <w:rsid w:val="00320176"/>
    <w:rsid w:val="00321672"/>
    <w:rsid w:val="0032176C"/>
    <w:rsid w:val="003342D5"/>
    <w:rsid w:val="003402FA"/>
    <w:rsid w:val="00340977"/>
    <w:rsid w:val="003420D1"/>
    <w:rsid w:val="00342E3C"/>
    <w:rsid w:val="00342F95"/>
    <w:rsid w:val="00353B5C"/>
    <w:rsid w:val="00354F6C"/>
    <w:rsid w:val="00357998"/>
    <w:rsid w:val="00361C18"/>
    <w:rsid w:val="00362018"/>
    <w:rsid w:val="00362AF8"/>
    <w:rsid w:val="00362BF1"/>
    <w:rsid w:val="003635AF"/>
    <w:rsid w:val="0036571E"/>
    <w:rsid w:val="003664F6"/>
    <w:rsid w:val="00366F48"/>
    <w:rsid w:val="00373D2F"/>
    <w:rsid w:val="003768B3"/>
    <w:rsid w:val="00377E0E"/>
    <w:rsid w:val="0038003E"/>
    <w:rsid w:val="00382DA7"/>
    <w:rsid w:val="00385A03"/>
    <w:rsid w:val="003932BF"/>
    <w:rsid w:val="00394FA8"/>
    <w:rsid w:val="00395890"/>
    <w:rsid w:val="00396248"/>
    <w:rsid w:val="00396C73"/>
    <w:rsid w:val="003A0C3B"/>
    <w:rsid w:val="003A15CD"/>
    <w:rsid w:val="003A1C3E"/>
    <w:rsid w:val="003A5FBC"/>
    <w:rsid w:val="003A61CF"/>
    <w:rsid w:val="003A7774"/>
    <w:rsid w:val="003B1151"/>
    <w:rsid w:val="003B1C5D"/>
    <w:rsid w:val="003B6BB5"/>
    <w:rsid w:val="003B703A"/>
    <w:rsid w:val="003B73C9"/>
    <w:rsid w:val="003C6860"/>
    <w:rsid w:val="003C7358"/>
    <w:rsid w:val="003D04F8"/>
    <w:rsid w:val="003D0B0B"/>
    <w:rsid w:val="003D0EC7"/>
    <w:rsid w:val="003D4D68"/>
    <w:rsid w:val="003D56E6"/>
    <w:rsid w:val="003E0152"/>
    <w:rsid w:val="003E12D1"/>
    <w:rsid w:val="003E1BA6"/>
    <w:rsid w:val="003E61F6"/>
    <w:rsid w:val="003F7525"/>
    <w:rsid w:val="004014E3"/>
    <w:rsid w:val="00401B8F"/>
    <w:rsid w:val="00401D0C"/>
    <w:rsid w:val="00402017"/>
    <w:rsid w:val="0040268F"/>
    <w:rsid w:val="00402A1D"/>
    <w:rsid w:val="00405075"/>
    <w:rsid w:val="004069E0"/>
    <w:rsid w:val="00407537"/>
    <w:rsid w:val="00407694"/>
    <w:rsid w:val="00413316"/>
    <w:rsid w:val="004136D8"/>
    <w:rsid w:val="004155BA"/>
    <w:rsid w:val="00415C6C"/>
    <w:rsid w:val="004165BD"/>
    <w:rsid w:val="004176C0"/>
    <w:rsid w:val="004202E0"/>
    <w:rsid w:val="004214BE"/>
    <w:rsid w:val="004221FE"/>
    <w:rsid w:val="0042220D"/>
    <w:rsid w:val="0042472B"/>
    <w:rsid w:val="00426B90"/>
    <w:rsid w:val="00431A59"/>
    <w:rsid w:val="004328A4"/>
    <w:rsid w:val="00432CE9"/>
    <w:rsid w:val="0043377A"/>
    <w:rsid w:val="004344B9"/>
    <w:rsid w:val="00436006"/>
    <w:rsid w:val="004379B6"/>
    <w:rsid w:val="00441157"/>
    <w:rsid w:val="004426F0"/>
    <w:rsid w:val="0044428E"/>
    <w:rsid w:val="00444795"/>
    <w:rsid w:val="00444CEC"/>
    <w:rsid w:val="00445570"/>
    <w:rsid w:val="00446465"/>
    <w:rsid w:val="00447AE4"/>
    <w:rsid w:val="00447DBF"/>
    <w:rsid w:val="004535C9"/>
    <w:rsid w:val="00453A3B"/>
    <w:rsid w:val="00453A86"/>
    <w:rsid w:val="00457A70"/>
    <w:rsid w:val="00457BE3"/>
    <w:rsid w:val="00460AD6"/>
    <w:rsid w:val="00460D54"/>
    <w:rsid w:val="0046107C"/>
    <w:rsid w:val="00461D3E"/>
    <w:rsid w:val="00462053"/>
    <w:rsid w:val="004620A6"/>
    <w:rsid w:val="00462A97"/>
    <w:rsid w:val="004646CF"/>
    <w:rsid w:val="004706CC"/>
    <w:rsid w:val="00481A96"/>
    <w:rsid w:val="00482982"/>
    <w:rsid w:val="0048497C"/>
    <w:rsid w:val="004869B2"/>
    <w:rsid w:val="00490F67"/>
    <w:rsid w:val="004912EB"/>
    <w:rsid w:val="00492A8B"/>
    <w:rsid w:val="0049441D"/>
    <w:rsid w:val="0049479E"/>
    <w:rsid w:val="004948FE"/>
    <w:rsid w:val="004A2F92"/>
    <w:rsid w:val="004A4099"/>
    <w:rsid w:val="004A6DFA"/>
    <w:rsid w:val="004B0EF7"/>
    <w:rsid w:val="004B11C1"/>
    <w:rsid w:val="004B2387"/>
    <w:rsid w:val="004B443D"/>
    <w:rsid w:val="004B4839"/>
    <w:rsid w:val="004B75AC"/>
    <w:rsid w:val="004B7F30"/>
    <w:rsid w:val="004C059E"/>
    <w:rsid w:val="004C0A54"/>
    <w:rsid w:val="004C11EE"/>
    <w:rsid w:val="004C3644"/>
    <w:rsid w:val="004C3859"/>
    <w:rsid w:val="004D12DD"/>
    <w:rsid w:val="004D269A"/>
    <w:rsid w:val="004D4E54"/>
    <w:rsid w:val="004D6AD5"/>
    <w:rsid w:val="004E1694"/>
    <w:rsid w:val="004E1738"/>
    <w:rsid w:val="004E1B88"/>
    <w:rsid w:val="004E1C21"/>
    <w:rsid w:val="004E2BA3"/>
    <w:rsid w:val="004E333C"/>
    <w:rsid w:val="004E3678"/>
    <w:rsid w:val="004E5778"/>
    <w:rsid w:val="004E5AFF"/>
    <w:rsid w:val="004E5EEB"/>
    <w:rsid w:val="004E7ED8"/>
    <w:rsid w:val="004E7FD3"/>
    <w:rsid w:val="004F0ABD"/>
    <w:rsid w:val="004F2F65"/>
    <w:rsid w:val="004F364E"/>
    <w:rsid w:val="004F5BFB"/>
    <w:rsid w:val="005010AD"/>
    <w:rsid w:val="0050376D"/>
    <w:rsid w:val="00504D3E"/>
    <w:rsid w:val="0050512A"/>
    <w:rsid w:val="00510045"/>
    <w:rsid w:val="00510F5F"/>
    <w:rsid w:val="00512C25"/>
    <w:rsid w:val="005153C2"/>
    <w:rsid w:val="005179D7"/>
    <w:rsid w:val="00520807"/>
    <w:rsid w:val="00523A1D"/>
    <w:rsid w:val="00524592"/>
    <w:rsid w:val="005249A4"/>
    <w:rsid w:val="00524C3D"/>
    <w:rsid w:val="00526E11"/>
    <w:rsid w:val="005302CB"/>
    <w:rsid w:val="005305B4"/>
    <w:rsid w:val="005326C7"/>
    <w:rsid w:val="00533260"/>
    <w:rsid w:val="005364E3"/>
    <w:rsid w:val="00536AE4"/>
    <w:rsid w:val="00540567"/>
    <w:rsid w:val="005412A3"/>
    <w:rsid w:val="0054255A"/>
    <w:rsid w:val="00542DE3"/>
    <w:rsid w:val="00543D5F"/>
    <w:rsid w:val="00546855"/>
    <w:rsid w:val="00552461"/>
    <w:rsid w:val="00553584"/>
    <w:rsid w:val="0055434C"/>
    <w:rsid w:val="00560DF4"/>
    <w:rsid w:val="00560EE0"/>
    <w:rsid w:val="00561B30"/>
    <w:rsid w:val="00562004"/>
    <w:rsid w:val="0056375C"/>
    <w:rsid w:val="00565158"/>
    <w:rsid w:val="005672CA"/>
    <w:rsid w:val="00567E0D"/>
    <w:rsid w:val="00570D62"/>
    <w:rsid w:val="00572699"/>
    <w:rsid w:val="00572AF4"/>
    <w:rsid w:val="005746A5"/>
    <w:rsid w:val="00575028"/>
    <w:rsid w:val="00577083"/>
    <w:rsid w:val="00577243"/>
    <w:rsid w:val="00580BBB"/>
    <w:rsid w:val="005813C9"/>
    <w:rsid w:val="00583874"/>
    <w:rsid w:val="00586B29"/>
    <w:rsid w:val="00591283"/>
    <w:rsid w:val="0059155F"/>
    <w:rsid w:val="0059193D"/>
    <w:rsid w:val="005A2857"/>
    <w:rsid w:val="005A28A7"/>
    <w:rsid w:val="005A28C5"/>
    <w:rsid w:val="005A2CA0"/>
    <w:rsid w:val="005A3A1C"/>
    <w:rsid w:val="005A4CCF"/>
    <w:rsid w:val="005A61CE"/>
    <w:rsid w:val="005A6653"/>
    <w:rsid w:val="005A7E5A"/>
    <w:rsid w:val="005B0043"/>
    <w:rsid w:val="005B1285"/>
    <w:rsid w:val="005B1410"/>
    <w:rsid w:val="005B403C"/>
    <w:rsid w:val="005B4EB8"/>
    <w:rsid w:val="005B5FCC"/>
    <w:rsid w:val="005C12AB"/>
    <w:rsid w:val="005C28AD"/>
    <w:rsid w:val="005C42B7"/>
    <w:rsid w:val="005C4FDF"/>
    <w:rsid w:val="005D0BEF"/>
    <w:rsid w:val="005D269A"/>
    <w:rsid w:val="005D32CE"/>
    <w:rsid w:val="005D4A40"/>
    <w:rsid w:val="005D51BD"/>
    <w:rsid w:val="005E193D"/>
    <w:rsid w:val="005E3F36"/>
    <w:rsid w:val="005E4046"/>
    <w:rsid w:val="005E4278"/>
    <w:rsid w:val="005E493B"/>
    <w:rsid w:val="005E7AD2"/>
    <w:rsid w:val="005F2951"/>
    <w:rsid w:val="005F58DC"/>
    <w:rsid w:val="005F5D36"/>
    <w:rsid w:val="0060097C"/>
    <w:rsid w:val="00605714"/>
    <w:rsid w:val="00605CBC"/>
    <w:rsid w:val="00606158"/>
    <w:rsid w:val="00611224"/>
    <w:rsid w:val="0061188D"/>
    <w:rsid w:val="00612226"/>
    <w:rsid w:val="006146D5"/>
    <w:rsid w:val="006163C7"/>
    <w:rsid w:val="00620C59"/>
    <w:rsid w:val="00621004"/>
    <w:rsid w:val="00624DDC"/>
    <w:rsid w:val="00624E52"/>
    <w:rsid w:val="006253B6"/>
    <w:rsid w:val="006257ED"/>
    <w:rsid w:val="00625CE0"/>
    <w:rsid w:val="0062686E"/>
    <w:rsid w:val="00627B96"/>
    <w:rsid w:val="00630B30"/>
    <w:rsid w:val="00632EAD"/>
    <w:rsid w:val="0063339D"/>
    <w:rsid w:val="0063368C"/>
    <w:rsid w:val="0063493B"/>
    <w:rsid w:val="00635B87"/>
    <w:rsid w:val="006410B1"/>
    <w:rsid w:val="006428B9"/>
    <w:rsid w:val="00643FFF"/>
    <w:rsid w:val="006460CB"/>
    <w:rsid w:val="00646196"/>
    <w:rsid w:val="006467B1"/>
    <w:rsid w:val="00651ACA"/>
    <w:rsid w:val="00651FF6"/>
    <w:rsid w:val="006541B6"/>
    <w:rsid w:val="00654D42"/>
    <w:rsid w:val="00654D65"/>
    <w:rsid w:val="006564F9"/>
    <w:rsid w:val="00656A57"/>
    <w:rsid w:val="00657641"/>
    <w:rsid w:val="00661B07"/>
    <w:rsid w:val="00661E55"/>
    <w:rsid w:val="00664309"/>
    <w:rsid w:val="0066513E"/>
    <w:rsid w:val="0066642E"/>
    <w:rsid w:val="00675E8B"/>
    <w:rsid w:val="00676230"/>
    <w:rsid w:val="00680E9B"/>
    <w:rsid w:val="00681188"/>
    <w:rsid w:val="0068303E"/>
    <w:rsid w:val="00683132"/>
    <w:rsid w:val="0068383E"/>
    <w:rsid w:val="006858AC"/>
    <w:rsid w:val="00686D8F"/>
    <w:rsid w:val="0069180F"/>
    <w:rsid w:val="006930CE"/>
    <w:rsid w:val="0069393B"/>
    <w:rsid w:val="00695C02"/>
    <w:rsid w:val="006A2B00"/>
    <w:rsid w:val="006A46B8"/>
    <w:rsid w:val="006A498D"/>
    <w:rsid w:val="006A4D02"/>
    <w:rsid w:val="006A588C"/>
    <w:rsid w:val="006A639D"/>
    <w:rsid w:val="006B1BF9"/>
    <w:rsid w:val="006B26F0"/>
    <w:rsid w:val="006B31DA"/>
    <w:rsid w:val="006B53F1"/>
    <w:rsid w:val="006B5ECE"/>
    <w:rsid w:val="006B6037"/>
    <w:rsid w:val="006C0078"/>
    <w:rsid w:val="006C06D2"/>
    <w:rsid w:val="006C0E56"/>
    <w:rsid w:val="006C5780"/>
    <w:rsid w:val="006C7F8C"/>
    <w:rsid w:val="006D0276"/>
    <w:rsid w:val="006D0953"/>
    <w:rsid w:val="006D0FEE"/>
    <w:rsid w:val="006D19DC"/>
    <w:rsid w:val="006D2DE3"/>
    <w:rsid w:val="006D4B73"/>
    <w:rsid w:val="006D72E3"/>
    <w:rsid w:val="006E1C9F"/>
    <w:rsid w:val="006E2385"/>
    <w:rsid w:val="006E4A21"/>
    <w:rsid w:val="006E4F82"/>
    <w:rsid w:val="006E6E6E"/>
    <w:rsid w:val="006F1129"/>
    <w:rsid w:val="006F1849"/>
    <w:rsid w:val="006F1ABE"/>
    <w:rsid w:val="006F3661"/>
    <w:rsid w:val="006F6A7B"/>
    <w:rsid w:val="00703626"/>
    <w:rsid w:val="00703770"/>
    <w:rsid w:val="00704682"/>
    <w:rsid w:val="00706569"/>
    <w:rsid w:val="00712A1C"/>
    <w:rsid w:val="007141AF"/>
    <w:rsid w:val="00715781"/>
    <w:rsid w:val="00715ED4"/>
    <w:rsid w:val="00716CED"/>
    <w:rsid w:val="007172B1"/>
    <w:rsid w:val="00717BDC"/>
    <w:rsid w:val="007209D2"/>
    <w:rsid w:val="00721395"/>
    <w:rsid w:val="00721A0E"/>
    <w:rsid w:val="0072246E"/>
    <w:rsid w:val="0072265C"/>
    <w:rsid w:val="00723956"/>
    <w:rsid w:val="00723A28"/>
    <w:rsid w:val="007242F9"/>
    <w:rsid w:val="00725229"/>
    <w:rsid w:val="007308D2"/>
    <w:rsid w:val="0073180D"/>
    <w:rsid w:val="00732B4E"/>
    <w:rsid w:val="00733ACA"/>
    <w:rsid w:val="00733C32"/>
    <w:rsid w:val="00733CDE"/>
    <w:rsid w:val="00736B62"/>
    <w:rsid w:val="00740E3C"/>
    <w:rsid w:val="00743F81"/>
    <w:rsid w:val="007451E8"/>
    <w:rsid w:val="00757ABC"/>
    <w:rsid w:val="00757F50"/>
    <w:rsid w:val="00757F73"/>
    <w:rsid w:val="00757FA5"/>
    <w:rsid w:val="007646E9"/>
    <w:rsid w:val="00764C85"/>
    <w:rsid w:val="00765C62"/>
    <w:rsid w:val="00765F1B"/>
    <w:rsid w:val="00772F11"/>
    <w:rsid w:val="00776318"/>
    <w:rsid w:val="00782D0D"/>
    <w:rsid w:val="00784776"/>
    <w:rsid w:val="007868A6"/>
    <w:rsid w:val="00791023"/>
    <w:rsid w:val="00792F90"/>
    <w:rsid w:val="00793E3E"/>
    <w:rsid w:val="007A1373"/>
    <w:rsid w:val="007A29C5"/>
    <w:rsid w:val="007A29EC"/>
    <w:rsid w:val="007A6184"/>
    <w:rsid w:val="007A678F"/>
    <w:rsid w:val="007B0C0E"/>
    <w:rsid w:val="007B2F53"/>
    <w:rsid w:val="007C3B19"/>
    <w:rsid w:val="007C3E1B"/>
    <w:rsid w:val="007C51EB"/>
    <w:rsid w:val="007C52B2"/>
    <w:rsid w:val="007C7B4B"/>
    <w:rsid w:val="007C7BA0"/>
    <w:rsid w:val="007D0F6E"/>
    <w:rsid w:val="007D2EF5"/>
    <w:rsid w:val="007D312C"/>
    <w:rsid w:val="007D4CB3"/>
    <w:rsid w:val="007D5A7E"/>
    <w:rsid w:val="007D7AEA"/>
    <w:rsid w:val="007E2943"/>
    <w:rsid w:val="007E7262"/>
    <w:rsid w:val="007E7EB0"/>
    <w:rsid w:val="007F3DFF"/>
    <w:rsid w:val="007F656A"/>
    <w:rsid w:val="008019D4"/>
    <w:rsid w:val="00802D72"/>
    <w:rsid w:val="0080436D"/>
    <w:rsid w:val="00810939"/>
    <w:rsid w:val="00810C2A"/>
    <w:rsid w:val="008121FA"/>
    <w:rsid w:val="008150ED"/>
    <w:rsid w:val="00816514"/>
    <w:rsid w:val="00817CF7"/>
    <w:rsid w:val="00821A5E"/>
    <w:rsid w:val="00823428"/>
    <w:rsid w:val="008252A7"/>
    <w:rsid w:val="008267B4"/>
    <w:rsid w:val="00826C1B"/>
    <w:rsid w:val="0082758D"/>
    <w:rsid w:val="00830C47"/>
    <w:rsid w:val="00832BFD"/>
    <w:rsid w:val="008331A8"/>
    <w:rsid w:val="0083458E"/>
    <w:rsid w:val="00834C54"/>
    <w:rsid w:val="0083606E"/>
    <w:rsid w:val="008369BA"/>
    <w:rsid w:val="00840C0B"/>
    <w:rsid w:val="00840D0B"/>
    <w:rsid w:val="00840D32"/>
    <w:rsid w:val="00843933"/>
    <w:rsid w:val="008456BB"/>
    <w:rsid w:val="00845C64"/>
    <w:rsid w:val="008474A3"/>
    <w:rsid w:val="00850127"/>
    <w:rsid w:val="008502D9"/>
    <w:rsid w:val="00850F4C"/>
    <w:rsid w:val="008513EE"/>
    <w:rsid w:val="00857DF0"/>
    <w:rsid w:val="0086005A"/>
    <w:rsid w:val="0086317E"/>
    <w:rsid w:val="00864B91"/>
    <w:rsid w:val="00864C1F"/>
    <w:rsid w:val="00865559"/>
    <w:rsid w:val="00865E39"/>
    <w:rsid w:val="00870FA1"/>
    <w:rsid w:val="00872C61"/>
    <w:rsid w:val="00873C46"/>
    <w:rsid w:val="008751EA"/>
    <w:rsid w:val="00875220"/>
    <w:rsid w:val="00875D41"/>
    <w:rsid w:val="00876EFD"/>
    <w:rsid w:val="008770B4"/>
    <w:rsid w:val="00877241"/>
    <w:rsid w:val="0088125C"/>
    <w:rsid w:val="00882651"/>
    <w:rsid w:val="00883891"/>
    <w:rsid w:val="008839AC"/>
    <w:rsid w:val="0089019F"/>
    <w:rsid w:val="0089066B"/>
    <w:rsid w:val="00891481"/>
    <w:rsid w:val="00891CD9"/>
    <w:rsid w:val="00892DEE"/>
    <w:rsid w:val="00893FE6"/>
    <w:rsid w:val="00895328"/>
    <w:rsid w:val="00896DBD"/>
    <w:rsid w:val="0089738C"/>
    <w:rsid w:val="008A1896"/>
    <w:rsid w:val="008A36D4"/>
    <w:rsid w:val="008A46C4"/>
    <w:rsid w:val="008A6AF1"/>
    <w:rsid w:val="008B0C66"/>
    <w:rsid w:val="008B4A8B"/>
    <w:rsid w:val="008C27B0"/>
    <w:rsid w:val="008C376E"/>
    <w:rsid w:val="008C7245"/>
    <w:rsid w:val="008C7CA9"/>
    <w:rsid w:val="008D228C"/>
    <w:rsid w:val="008D2B13"/>
    <w:rsid w:val="008D4D05"/>
    <w:rsid w:val="008D5D37"/>
    <w:rsid w:val="008E0239"/>
    <w:rsid w:val="008E060B"/>
    <w:rsid w:val="008E190D"/>
    <w:rsid w:val="008E1A16"/>
    <w:rsid w:val="008E2E9B"/>
    <w:rsid w:val="008E39D4"/>
    <w:rsid w:val="008E4457"/>
    <w:rsid w:val="008E4718"/>
    <w:rsid w:val="008E6A6B"/>
    <w:rsid w:val="008E6B5E"/>
    <w:rsid w:val="008F0A13"/>
    <w:rsid w:val="008F2446"/>
    <w:rsid w:val="008F7F2F"/>
    <w:rsid w:val="00901040"/>
    <w:rsid w:val="00901107"/>
    <w:rsid w:val="00901774"/>
    <w:rsid w:val="00902197"/>
    <w:rsid w:val="009057E2"/>
    <w:rsid w:val="009069F8"/>
    <w:rsid w:val="00906F6A"/>
    <w:rsid w:val="009100AE"/>
    <w:rsid w:val="00910706"/>
    <w:rsid w:val="009139B3"/>
    <w:rsid w:val="009164F9"/>
    <w:rsid w:val="0092006F"/>
    <w:rsid w:val="00921152"/>
    <w:rsid w:val="00923F25"/>
    <w:rsid w:val="00924D0C"/>
    <w:rsid w:val="009306BA"/>
    <w:rsid w:val="00930D65"/>
    <w:rsid w:val="0093140B"/>
    <w:rsid w:val="0093177B"/>
    <w:rsid w:val="00931CBC"/>
    <w:rsid w:val="0093374D"/>
    <w:rsid w:val="00934B2A"/>
    <w:rsid w:val="00940943"/>
    <w:rsid w:val="00940D6E"/>
    <w:rsid w:val="00944242"/>
    <w:rsid w:val="00946794"/>
    <w:rsid w:val="0094767D"/>
    <w:rsid w:val="00950EDC"/>
    <w:rsid w:val="009519BB"/>
    <w:rsid w:val="009532F6"/>
    <w:rsid w:val="009570C6"/>
    <w:rsid w:val="00963503"/>
    <w:rsid w:val="00965DBD"/>
    <w:rsid w:val="00966892"/>
    <w:rsid w:val="00971944"/>
    <w:rsid w:val="00973939"/>
    <w:rsid w:val="009802F2"/>
    <w:rsid w:val="009815C6"/>
    <w:rsid w:val="00985A6C"/>
    <w:rsid w:val="00990730"/>
    <w:rsid w:val="00992B64"/>
    <w:rsid w:val="00994C98"/>
    <w:rsid w:val="00994F0D"/>
    <w:rsid w:val="009956E1"/>
    <w:rsid w:val="00996201"/>
    <w:rsid w:val="009A3995"/>
    <w:rsid w:val="009A39E1"/>
    <w:rsid w:val="009A3AD8"/>
    <w:rsid w:val="009A47AF"/>
    <w:rsid w:val="009A5037"/>
    <w:rsid w:val="009A6EE8"/>
    <w:rsid w:val="009B0F58"/>
    <w:rsid w:val="009B1D93"/>
    <w:rsid w:val="009B2AFC"/>
    <w:rsid w:val="009B4D9E"/>
    <w:rsid w:val="009B5549"/>
    <w:rsid w:val="009B66F4"/>
    <w:rsid w:val="009B6EB3"/>
    <w:rsid w:val="009B7259"/>
    <w:rsid w:val="009C32F2"/>
    <w:rsid w:val="009C3380"/>
    <w:rsid w:val="009C373F"/>
    <w:rsid w:val="009D1A60"/>
    <w:rsid w:val="009D49A1"/>
    <w:rsid w:val="009E324D"/>
    <w:rsid w:val="009E7258"/>
    <w:rsid w:val="009E7E38"/>
    <w:rsid w:val="009F00BD"/>
    <w:rsid w:val="009F0FB3"/>
    <w:rsid w:val="009F144B"/>
    <w:rsid w:val="009F2372"/>
    <w:rsid w:val="009F24F3"/>
    <w:rsid w:val="009F265B"/>
    <w:rsid w:val="009F382F"/>
    <w:rsid w:val="009F4099"/>
    <w:rsid w:val="009F482C"/>
    <w:rsid w:val="009F549F"/>
    <w:rsid w:val="009F68DB"/>
    <w:rsid w:val="00A00C65"/>
    <w:rsid w:val="00A02857"/>
    <w:rsid w:val="00A03E3F"/>
    <w:rsid w:val="00A05351"/>
    <w:rsid w:val="00A05C87"/>
    <w:rsid w:val="00A06281"/>
    <w:rsid w:val="00A1108E"/>
    <w:rsid w:val="00A140CE"/>
    <w:rsid w:val="00A147C6"/>
    <w:rsid w:val="00A23A0A"/>
    <w:rsid w:val="00A26655"/>
    <w:rsid w:val="00A26B13"/>
    <w:rsid w:val="00A27CD0"/>
    <w:rsid w:val="00A324D3"/>
    <w:rsid w:val="00A327A6"/>
    <w:rsid w:val="00A332E6"/>
    <w:rsid w:val="00A333D4"/>
    <w:rsid w:val="00A33913"/>
    <w:rsid w:val="00A36134"/>
    <w:rsid w:val="00A362B6"/>
    <w:rsid w:val="00A37036"/>
    <w:rsid w:val="00A374A2"/>
    <w:rsid w:val="00A4048E"/>
    <w:rsid w:val="00A417FB"/>
    <w:rsid w:val="00A42F88"/>
    <w:rsid w:val="00A43D3F"/>
    <w:rsid w:val="00A45BC7"/>
    <w:rsid w:val="00A47E35"/>
    <w:rsid w:val="00A50017"/>
    <w:rsid w:val="00A50ABD"/>
    <w:rsid w:val="00A5268B"/>
    <w:rsid w:val="00A53D5C"/>
    <w:rsid w:val="00A56B75"/>
    <w:rsid w:val="00A672E2"/>
    <w:rsid w:val="00A6781E"/>
    <w:rsid w:val="00A67DFF"/>
    <w:rsid w:val="00A71475"/>
    <w:rsid w:val="00A714DC"/>
    <w:rsid w:val="00A7179C"/>
    <w:rsid w:val="00A71D77"/>
    <w:rsid w:val="00A725A2"/>
    <w:rsid w:val="00A743AD"/>
    <w:rsid w:val="00A75839"/>
    <w:rsid w:val="00A758D0"/>
    <w:rsid w:val="00A761CB"/>
    <w:rsid w:val="00A77E1E"/>
    <w:rsid w:val="00A826E6"/>
    <w:rsid w:val="00A828A6"/>
    <w:rsid w:val="00A848A4"/>
    <w:rsid w:val="00A85701"/>
    <w:rsid w:val="00A943C6"/>
    <w:rsid w:val="00A96990"/>
    <w:rsid w:val="00AA03E4"/>
    <w:rsid w:val="00AA3FEB"/>
    <w:rsid w:val="00AA6926"/>
    <w:rsid w:val="00AB1762"/>
    <w:rsid w:val="00AB274D"/>
    <w:rsid w:val="00AB4AE0"/>
    <w:rsid w:val="00AB57AD"/>
    <w:rsid w:val="00AB5982"/>
    <w:rsid w:val="00AB5C0D"/>
    <w:rsid w:val="00AB636B"/>
    <w:rsid w:val="00AB69FC"/>
    <w:rsid w:val="00AC3693"/>
    <w:rsid w:val="00AC6B6F"/>
    <w:rsid w:val="00AC71F9"/>
    <w:rsid w:val="00AD0344"/>
    <w:rsid w:val="00AD2FD1"/>
    <w:rsid w:val="00AD3261"/>
    <w:rsid w:val="00AD4355"/>
    <w:rsid w:val="00AD6FBF"/>
    <w:rsid w:val="00AE0A37"/>
    <w:rsid w:val="00AE0B67"/>
    <w:rsid w:val="00AE3F5F"/>
    <w:rsid w:val="00AF0133"/>
    <w:rsid w:val="00AF0CF7"/>
    <w:rsid w:val="00AF1410"/>
    <w:rsid w:val="00AF2F88"/>
    <w:rsid w:val="00AF41E0"/>
    <w:rsid w:val="00AF4E68"/>
    <w:rsid w:val="00B00142"/>
    <w:rsid w:val="00B026D1"/>
    <w:rsid w:val="00B04785"/>
    <w:rsid w:val="00B1055A"/>
    <w:rsid w:val="00B1069E"/>
    <w:rsid w:val="00B10E92"/>
    <w:rsid w:val="00B13297"/>
    <w:rsid w:val="00B1389D"/>
    <w:rsid w:val="00B13DC4"/>
    <w:rsid w:val="00B14622"/>
    <w:rsid w:val="00B17B7C"/>
    <w:rsid w:val="00B227A1"/>
    <w:rsid w:val="00B23277"/>
    <w:rsid w:val="00B245AD"/>
    <w:rsid w:val="00B25B28"/>
    <w:rsid w:val="00B26713"/>
    <w:rsid w:val="00B27539"/>
    <w:rsid w:val="00B3652D"/>
    <w:rsid w:val="00B4182B"/>
    <w:rsid w:val="00B42499"/>
    <w:rsid w:val="00B43A24"/>
    <w:rsid w:val="00B46598"/>
    <w:rsid w:val="00B4733B"/>
    <w:rsid w:val="00B47365"/>
    <w:rsid w:val="00B47D93"/>
    <w:rsid w:val="00B54405"/>
    <w:rsid w:val="00B55E54"/>
    <w:rsid w:val="00B56589"/>
    <w:rsid w:val="00B61EE1"/>
    <w:rsid w:val="00B6356B"/>
    <w:rsid w:val="00B64D05"/>
    <w:rsid w:val="00B70460"/>
    <w:rsid w:val="00B7273B"/>
    <w:rsid w:val="00B73746"/>
    <w:rsid w:val="00B7400E"/>
    <w:rsid w:val="00B80B10"/>
    <w:rsid w:val="00B819FA"/>
    <w:rsid w:val="00B845FF"/>
    <w:rsid w:val="00B84A9D"/>
    <w:rsid w:val="00B87459"/>
    <w:rsid w:val="00B877DB"/>
    <w:rsid w:val="00B909A4"/>
    <w:rsid w:val="00B91086"/>
    <w:rsid w:val="00B9441B"/>
    <w:rsid w:val="00B94EDA"/>
    <w:rsid w:val="00B97AE0"/>
    <w:rsid w:val="00B97F66"/>
    <w:rsid w:val="00BA05E7"/>
    <w:rsid w:val="00BB01FB"/>
    <w:rsid w:val="00BB1E1A"/>
    <w:rsid w:val="00BB220A"/>
    <w:rsid w:val="00BB301E"/>
    <w:rsid w:val="00BB4BF8"/>
    <w:rsid w:val="00BC0D53"/>
    <w:rsid w:val="00BC3401"/>
    <w:rsid w:val="00BC4115"/>
    <w:rsid w:val="00BC6EFE"/>
    <w:rsid w:val="00BD0799"/>
    <w:rsid w:val="00BD39C9"/>
    <w:rsid w:val="00BD7000"/>
    <w:rsid w:val="00BD702B"/>
    <w:rsid w:val="00BD7963"/>
    <w:rsid w:val="00BD7A08"/>
    <w:rsid w:val="00BD7B78"/>
    <w:rsid w:val="00BE1378"/>
    <w:rsid w:val="00BE1876"/>
    <w:rsid w:val="00BE2CB8"/>
    <w:rsid w:val="00BE35BC"/>
    <w:rsid w:val="00BE371B"/>
    <w:rsid w:val="00BE3756"/>
    <w:rsid w:val="00BE4819"/>
    <w:rsid w:val="00BE773B"/>
    <w:rsid w:val="00BE7F21"/>
    <w:rsid w:val="00BF4959"/>
    <w:rsid w:val="00BF55DB"/>
    <w:rsid w:val="00C02477"/>
    <w:rsid w:val="00C02BDB"/>
    <w:rsid w:val="00C03378"/>
    <w:rsid w:val="00C050C4"/>
    <w:rsid w:val="00C05352"/>
    <w:rsid w:val="00C0748E"/>
    <w:rsid w:val="00C10674"/>
    <w:rsid w:val="00C16CBD"/>
    <w:rsid w:val="00C17213"/>
    <w:rsid w:val="00C20787"/>
    <w:rsid w:val="00C211BD"/>
    <w:rsid w:val="00C21BE1"/>
    <w:rsid w:val="00C228AD"/>
    <w:rsid w:val="00C32404"/>
    <w:rsid w:val="00C3274B"/>
    <w:rsid w:val="00C3348B"/>
    <w:rsid w:val="00C34521"/>
    <w:rsid w:val="00C403F9"/>
    <w:rsid w:val="00C41787"/>
    <w:rsid w:val="00C420FA"/>
    <w:rsid w:val="00C433B8"/>
    <w:rsid w:val="00C4346C"/>
    <w:rsid w:val="00C44EFE"/>
    <w:rsid w:val="00C51FEC"/>
    <w:rsid w:val="00C52AD8"/>
    <w:rsid w:val="00C53310"/>
    <w:rsid w:val="00C53AEC"/>
    <w:rsid w:val="00C5537B"/>
    <w:rsid w:val="00C5643B"/>
    <w:rsid w:val="00C56B46"/>
    <w:rsid w:val="00C624AA"/>
    <w:rsid w:val="00C655B2"/>
    <w:rsid w:val="00C660C8"/>
    <w:rsid w:val="00C712F3"/>
    <w:rsid w:val="00C7152E"/>
    <w:rsid w:val="00C72A6D"/>
    <w:rsid w:val="00C73360"/>
    <w:rsid w:val="00C7428B"/>
    <w:rsid w:val="00C76A38"/>
    <w:rsid w:val="00C834E3"/>
    <w:rsid w:val="00C84101"/>
    <w:rsid w:val="00C86CB2"/>
    <w:rsid w:val="00C9112E"/>
    <w:rsid w:val="00C91C71"/>
    <w:rsid w:val="00C9388E"/>
    <w:rsid w:val="00C95126"/>
    <w:rsid w:val="00C9658A"/>
    <w:rsid w:val="00C96A6E"/>
    <w:rsid w:val="00C96F31"/>
    <w:rsid w:val="00CA3025"/>
    <w:rsid w:val="00CA3D8B"/>
    <w:rsid w:val="00CA55FF"/>
    <w:rsid w:val="00CA72A5"/>
    <w:rsid w:val="00CB1180"/>
    <w:rsid w:val="00CB1F9B"/>
    <w:rsid w:val="00CB2ED6"/>
    <w:rsid w:val="00CB4358"/>
    <w:rsid w:val="00CB5055"/>
    <w:rsid w:val="00CB57CE"/>
    <w:rsid w:val="00CB7B05"/>
    <w:rsid w:val="00CC01B3"/>
    <w:rsid w:val="00CC07BF"/>
    <w:rsid w:val="00CC2ABE"/>
    <w:rsid w:val="00CC3A0A"/>
    <w:rsid w:val="00CC4651"/>
    <w:rsid w:val="00CC6A6A"/>
    <w:rsid w:val="00CC6BDB"/>
    <w:rsid w:val="00CD257E"/>
    <w:rsid w:val="00CD2D01"/>
    <w:rsid w:val="00CD4B99"/>
    <w:rsid w:val="00CD4EC1"/>
    <w:rsid w:val="00CE018E"/>
    <w:rsid w:val="00CE0559"/>
    <w:rsid w:val="00CE312A"/>
    <w:rsid w:val="00CE3EBC"/>
    <w:rsid w:val="00CE7A4A"/>
    <w:rsid w:val="00CF104A"/>
    <w:rsid w:val="00CF2F5F"/>
    <w:rsid w:val="00CF315D"/>
    <w:rsid w:val="00CF32C8"/>
    <w:rsid w:val="00CF3308"/>
    <w:rsid w:val="00CF38BC"/>
    <w:rsid w:val="00D03CDF"/>
    <w:rsid w:val="00D04234"/>
    <w:rsid w:val="00D0606E"/>
    <w:rsid w:val="00D10288"/>
    <w:rsid w:val="00D10E79"/>
    <w:rsid w:val="00D12494"/>
    <w:rsid w:val="00D1343F"/>
    <w:rsid w:val="00D13AA8"/>
    <w:rsid w:val="00D141F3"/>
    <w:rsid w:val="00D20CC7"/>
    <w:rsid w:val="00D2129C"/>
    <w:rsid w:val="00D216E7"/>
    <w:rsid w:val="00D239B5"/>
    <w:rsid w:val="00D30B6F"/>
    <w:rsid w:val="00D32B72"/>
    <w:rsid w:val="00D32E36"/>
    <w:rsid w:val="00D32E6D"/>
    <w:rsid w:val="00D33843"/>
    <w:rsid w:val="00D37571"/>
    <w:rsid w:val="00D4033C"/>
    <w:rsid w:val="00D42159"/>
    <w:rsid w:val="00D43DEF"/>
    <w:rsid w:val="00D44EA5"/>
    <w:rsid w:val="00D45504"/>
    <w:rsid w:val="00D455A8"/>
    <w:rsid w:val="00D46FC4"/>
    <w:rsid w:val="00D500C8"/>
    <w:rsid w:val="00D502CC"/>
    <w:rsid w:val="00D52AD4"/>
    <w:rsid w:val="00D5346A"/>
    <w:rsid w:val="00D540C6"/>
    <w:rsid w:val="00D55093"/>
    <w:rsid w:val="00D55767"/>
    <w:rsid w:val="00D602B1"/>
    <w:rsid w:val="00D653AC"/>
    <w:rsid w:val="00D65B2E"/>
    <w:rsid w:val="00D70A12"/>
    <w:rsid w:val="00D71BA0"/>
    <w:rsid w:val="00D731E6"/>
    <w:rsid w:val="00D749DF"/>
    <w:rsid w:val="00D76B67"/>
    <w:rsid w:val="00D77E9B"/>
    <w:rsid w:val="00D82755"/>
    <w:rsid w:val="00D82D70"/>
    <w:rsid w:val="00D82E67"/>
    <w:rsid w:val="00D831AC"/>
    <w:rsid w:val="00D8335F"/>
    <w:rsid w:val="00D87B09"/>
    <w:rsid w:val="00D919C7"/>
    <w:rsid w:val="00D92355"/>
    <w:rsid w:val="00D977B7"/>
    <w:rsid w:val="00D97926"/>
    <w:rsid w:val="00D97B59"/>
    <w:rsid w:val="00DA3557"/>
    <w:rsid w:val="00DA3973"/>
    <w:rsid w:val="00DA399B"/>
    <w:rsid w:val="00DA4701"/>
    <w:rsid w:val="00DA56A2"/>
    <w:rsid w:val="00DA7C5A"/>
    <w:rsid w:val="00DB1630"/>
    <w:rsid w:val="00DB1BB3"/>
    <w:rsid w:val="00DB357C"/>
    <w:rsid w:val="00DB4C59"/>
    <w:rsid w:val="00DB5F95"/>
    <w:rsid w:val="00DB622D"/>
    <w:rsid w:val="00DB63C9"/>
    <w:rsid w:val="00DC1742"/>
    <w:rsid w:val="00DC23DA"/>
    <w:rsid w:val="00DC37E7"/>
    <w:rsid w:val="00DC4F9E"/>
    <w:rsid w:val="00DC65F2"/>
    <w:rsid w:val="00DC7876"/>
    <w:rsid w:val="00DC7DD5"/>
    <w:rsid w:val="00DD060D"/>
    <w:rsid w:val="00DD2035"/>
    <w:rsid w:val="00DD5271"/>
    <w:rsid w:val="00DE10FC"/>
    <w:rsid w:val="00DE3ED7"/>
    <w:rsid w:val="00DE56E2"/>
    <w:rsid w:val="00DE60DE"/>
    <w:rsid w:val="00DF07CD"/>
    <w:rsid w:val="00DF1291"/>
    <w:rsid w:val="00DF188F"/>
    <w:rsid w:val="00DF5E21"/>
    <w:rsid w:val="00E0173E"/>
    <w:rsid w:val="00E03385"/>
    <w:rsid w:val="00E04E0C"/>
    <w:rsid w:val="00E06385"/>
    <w:rsid w:val="00E06869"/>
    <w:rsid w:val="00E12FFA"/>
    <w:rsid w:val="00E1392C"/>
    <w:rsid w:val="00E15612"/>
    <w:rsid w:val="00E20240"/>
    <w:rsid w:val="00E20A37"/>
    <w:rsid w:val="00E218C4"/>
    <w:rsid w:val="00E21B02"/>
    <w:rsid w:val="00E22AC6"/>
    <w:rsid w:val="00E22B48"/>
    <w:rsid w:val="00E23372"/>
    <w:rsid w:val="00E242FC"/>
    <w:rsid w:val="00E24830"/>
    <w:rsid w:val="00E24ACA"/>
    <w:rsid w:val="00E25D81"/>
    <w:rsid w:val="00E266F6"/>
    <w:rsid w:val="00E271B3"/>
    <w:rsid w:val="00E30F67"/>
    <w:rsid w:val="00E318A6"/>
    <w:rsid w:val="00E31DE0"/>
    <w:rsid w:val="00E3219D"/>
    <w:rsid w:val="00E346A0"/>
    <w:rsid w:val="00E36D3A"/>
    <w:rsid w:val="00E370B1"/>
    <w:rsid w:val="00E414D5"/>
    <w:rsid w:val="00E4177F"/>
    <w:rsid w:val="00E41C62"/>
    <w:rsid w:val="00E41EE9"/>
    <w:rsid w:val="00E44AB6"/>
    <w:rsid w:val="00E461D4"/>
    <w:rsid w:val="00E46AF1"/>
    <w:rsid w:val="00E470D4"/>
    <w:rsid w:val="00E5020F"/>
    <w:rsid w:val="00E512E6"/>
    <w:rsid w:val="00E52B94"/>
    <w:rsid w:val="00E54325"/>
    <w:rsid w:val="00E54B46"/>
    <w:rsid w:val="00E62285"/>
    <w:rsid w:val="00E62819"/>
    <w:rsid w:val="00E63BD1"/>
    <w:rsid w:val="00E64727"/>
    <w:rsid w:val="00E64AD9"/>
    <w:rsid w:val="00E71E25"/>
    <w:rsid w:val="00E72FCA"/>
    <w:rsid w:val="00E742A6"/>
    <w:rsid w:val="00E75822"/>
    <w:rsid w:val="00E80AFF"/>
    <w:rsid w:val="00E81136"/>
    <w:rsid w:val="00E8153E"/>
    <w:rsid w:val="00E81C2D"/>
    <w:rsid w:val="00E86C40"/>
    <w:rsid w:val="00E9045F"/>
    <w:rsid w:val="00E9327A"/>
    <w:rsid w:val="00E959D6"/>
    <w:rsid w:val="00EA0D4F"/>
    <w:rsid w:val="00EA405B"/>
    <w:rsid w:val="00EA44DB"/>
    <w:rsid w:val="00EB16F3"/>
    <w:rsid w:val="00EB2D0E"/>
    <w:rsid w:val="00EB42A5"/>
    <w:rsid w:val="00EB4C26"/>
    <w:rsid w:val="00EB5967"/>
    <w:rsid w:val="00EB6134"/>
    <w:rsid w:val="00EB709B"/>
    <w:rsid w:val="00EC0707"/>
    <w:rsid w:val="00EC1A6C"/>
    <w:rsid w:val="00EC1E44"/>
    <w:rsid w:val="00EC282C"/>
    <w:rsid w:val="00EC2FF3"/>
    <w:rsid w:val="00EC46E1"/>
    <w:rsid w:val="00EC5EFB"/>
    <w:rsid w:val="00EC6F9F"/>
    <w:rsid w:val="00ED2106"/>
    <w:rsid w:val="00ED7509"/>
    <w:rsid w:val="00EE2581"/>
    <w:rsid w:val="00EE3333"/>
    <w:rsid w:val="00EE38AF"/>
    <w:rsid w:val="00EF13C5"/>
    <w:rsid w:val="00EF254B"/>
    <w:rsid w:val="00EF4FF2"/>
    <w:rsid w:val="00EF5FAC"/>
    <w:rsid w:val="00EF6548"/>
    <w:rsid w:val="00EF7024"/>
    <w:rsid w:val="00F00066"/>
    <w:rsid w:val="00F071DE"/>
    <w:rsid w:val="00F077B0"/>
    <w:rsid w:val="00F07C4D"/>
    <w:rsid w:val="00F07C84"/>
    <w:rsid w:val="00F07E4D"/>
    <w:rsid w:val="00F14FDF"/>
    <w:rsid w:val="00F16F8F"/>
    <w:rsid w:val="00F21330"/>
    <w:rsid w:val="00F21B7F"/>
    <w:rsid w:val="00F23D67"/>
    <w:rsid w:val="00F25B1F"/>
    <w:rsid w:val="00F27A2D"/>
    <w:rsid w:val="00F359A7"/>
    <w:rsid w:val="00F373A6"/>
    <w:rsid w:val="00F40446"/>
    <w:rsid w:val="00F4057A"/>
    <w:rsid w:val="00F42246"/>
    <w:rsid w:val="00F44281"/>
    <w:rsid w:val="00F44812"/>
    <w:rsid w:val="00F44E2E"/>
    <w:rsid w:val="00F46B9F"/>
    <w:rsid w:val="00F4788E"/>
    <w:rsid w:val="00F537A7"/>
    <w:rsid w:val="00F55087"/>
    <w:rsid w:val="00F5682E"/>
    <w:rsid w:val="00F57F33"/>
    <w:rsid w:val="00F61848"/>
    <w:rsid w:val="00F61A52"/>
    <w:rsid w:val="00F6618D"/>
    <w:rsid w:val="00F71382"/>
    <w:rsid w:val="00F71BF0"/>
    <w:rsid w:val="00F7441B"/>
    <w:rsid w:val="00F74630"/>
    <w:rsid w:val="00F75061"/>
    <w:rsid w:val="00F768D6"/>
    <w:rsid w:val="00F8084C"/>
    <w:rsid w:val="00F81F13"/>
    <w:rsid w:val="00F8344A"/>
    <w:rsid w:val="00F839C8"/>
    <w:rsid w:val="00F869EE"/>
    <w:rsid w:val="00F87CA1"/>
    <w:rsid w:val="00F9033F"/>
    <w:rsid w:val="00F90CC3"/>
    <w:rsid w:val="00F9122A"/>
    <w:rsid w:val="00F91657"/>
    <w:rsid w:val="00F918A6"/>
    <w:rsid w:val="00F9291E"/>
    <w:rsid w:val="00F9329D"/>
    <w:rsid w:val="00F9397D"/>
    <w:rsid w:val="00F94511"/>
    <w:rsid w:val="00F945D0"/>
    <w:rsid w:val="00F94977"/>
    <w:rsid w:val="00F976BC"/>
    <w:rsid w:val="00F97840"/>
    <w:rsid w:val="00FA4906"/>
    <w:rsid w:val="00FA5B1A"/>
    <w:rsid w:val="00FA6D2C"/>
    <w:rsid w:val="00FB02AB"/>
    <w:rsid w:val="00FB4C23"/>
    <w:rsid w:val="00FB536C"/>
    <w:rsid w:val="00FB58A2"/>
    <w:rsid w:val="00FB5BF6"/>
    <w:rsid w:val="00FB65F0"/>
    <w:rsid w:val="00FB7E3A"/>
    <w:rsid w:val="00FC0F6F"/>
    <w:rsid w:val="00FC1D9C"/>
    <w:rsid w:val="00FC1E5C"/>
    <w:rsid w:val="00FC2C93"/>
    <w:rsid w:val="00FC3DAE"/>
    <w:rsid w:val="00FC3FE8"/>
    <w:rsid w:val="00FC4925"/>
    <w:rsid w:val="00FC4F02"/>
    <w:rsid w:val="00FC56D4"/>
    <w:rsid w:val="00FC6A76"/>
    <w:rsid w:val="00FC779A"/>
    <w:rsid w:val="00FD01A0"/>
    <w:rsid w:val="00FD1DD0"/>
    <w:rsid w:val="00FD495C"/>
    <w:rsid w:val="00FE1442"/>
    <w:rsid w:val="00FE2BAE"/>
    <w:rsid w:val="00FE461A"/>
    <w:rsid w:val="00FF28C3"/>
    <w:rsid w:val="00FF296F"/>
    <w:rsid w:val="00FF3159"/>
    <w:rsid w:val="00FF5C51"/>
    <w:rsid w:val="08FE1522"/>
    <w:rsid w:val="14E8D632"/>
    <w:rsid w:val="19677655"/>
    <w:rsid w:val="407921C3"/>
    <w:rsid w:val="49C3467E"/>
    <w:rsid w:val="4CAF975D"/>
    <w:rsid w:val="67A67057"/>
    <w:rsid w:val="773A7E94"/>
    <w:rsid w:val="77A879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C9B4A8"/>
  <w15:docId w15:val="{C4794DEF-0600-4B9C-BC06-D3935C94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table" w:customStyle="1" w:styleId="MathUBaseTable">
    <w:name w:val="MathU Base Table"/>
    <w:basedOn w:val="TableNormal"/>
    <w:uiPriority w:val="99"/>
    <w:rsid w:val="003B6BB5"/>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SidebarListNumber">
    <w:name w:val="Sidebar List Number"/>
    <w:basedOn w:val="Normal"/>
    <w:qFormat/>
    <w:rsid w:val="003B6BB5"/>
    <w:pPr>
      <w:tabs>
        <w:tab w:val="right" w:pos="4680"/>
      </w:tabs>
      <w:adjustRightInd w:val="0"/>
      <w:spacing w:after="80" w:line="264" w:lineRule="auto"/>
    </w:pPr>
    <w:rPr>
      <w:rFonts w:asciiTheme="majorHAnsi" w:hAnsiTheme="majorHAnsi"/>
      <w:color w:val="9BBB59" w:themeColor="accent3"/>
      <w:sz w:val="20"/>
    </w:rPr>
  </w:style>
  <w:style w:type="character" w:styleId="UnresolvedMention">
    <w:name w:val="Unresolved Mention"/>
    <w:basedOn w:val="DefaultParagraphFont"/>
    <w:uiPriority w:val="99"/>
    <w:semiHidden/>
    <w:unhideWhenUsed/>
    <w:rsid w:val="00F9397D"/>
    <w:rPr>
      <w:color w:val="605E5C"/>
      <w:shd w:val="clear" w:color="auto" w:fill="E1DFDD"/>
    </w:rPr>
  </w:style>
  <w:style w:type="table" w:customStyle="1" w:styleId="TableGrid1">
    <w:name w:val="Table Grid1"/>
    <w:basedOn w:val="TableNormal"/>
    <w:next w:val="TableGrid"/>
    <w:rsid w:val="002327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Normal"/>
    <w:next w:val="Normal"/>
    <w:qFormat/>
    <w:rsid w:val="00656A57"/>
    <w:pPr>
      <w:spacing w:before="120" w:after="0" w:line="240" w:lineRule="auto"/>
    </w:pPr>
    <w:rPr>
      <w:rFonts w:eastAsia="Times New Roman" w:asciiTheme="majorHAnsi" w:hAnsiTheme="majorHAnsi" w:cs="Times New Roman"/>
      <w:b/>
      <w:color w:val="FFFFFF" w:themeColor="background1"/>
      <w:sz w:val="20"/>
      <w:szCs w:val="20"/>
    </w:rPr>
  </w:style>
  <w:style w:type="paragraph" w:customStyle="1" w:styleId="TableText">
    <w:name w:val="Table Text"/>
    <w:basedOn w:val="Normal"/>
    <w:qFormat/>
    <w:rsid w:val="00656A57"/>
    <w:pPr>
      <w:spacing w:before="40" w:after="20" w:line="240" w:lineRule="auto"/>
    </w:pPr>
    <w:rPr>
      <w:rFonts w:ascii="Calibri" w:eastAsia="Times New Roman" w:hAnsi="Calibri" w:cs="Calibri"/>
      <w:sz w:val="20"/>
      <w:szCs w:val="20"/>
    </w:rPr>
  </w:style>
  <w:style w:type="character" w:styleId="FollowedHyperlink">
    <w:name w:val="FollowedHyperlink"/>
    <w:basedOn w:val="DefaultParagraphFont"/>
    <w:uiPriority w:val="99"/>
    <w:semiHidden/>
    <w:unhideWhenUsed/>
    <w:rsid w:val="008252A7"/>
    <w:rPr>
      <w:color w:val="800080" w:themeColor="followedHyperlink"/>
      <w:u w:val="single"/>
    </w:rPr>
  </w:style>
  <w:style w:type="character" w:customStyle="1" w:styleId="normaltextrun">
    <w:name w:val="normaltextrun"/>
    <w:basedOn w:val="DefaultParagraphFont"/>
    <w:rsid w:val="00CC6BDB"/>
  </w:style>
  <w:style w:type="character" w:customStyle="1" w:styleId="eop">
    <w:name w:val="eop"/>
    <w:basedOn w:val="DefaultParagraphFont"/>
    <w:rsid w:val="00CC6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am12.safelinks.protection.outlook.com/?url=https%3A%2F%2Fnhvrc.org%2Fyearbook%2F2022-yearbook%2Fwho-is-being-served%2F&amp;data=05%7C01%7CSAvellar%40Mathematica-Mpr.com%7Cf76640a60b46473a0a9c08db2b12bf46%7C13af8d650b4b4c0fa446a427419abfd6%7C0%7C0%7C638151131735700858%7CUnknown%7CTWFpbGZsb3d8eyJWIjoiMC4wLjAwMDAiLCJQIjoiV2luMzIiLCJBTiI6Ik1haWwiLCJXVCI6Mn0%3D%7C3000%7C%7C%7C&amp;sdata=ru1Rn1aK1RhUTTz1rqBuKxr0QMLUQ69EkQD3z37lGPM%3D&amp;reserved=0"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www.bls.gov/news.release/pdf/wkyeng.pdf" TargetMode="External" /><Relationship Id="rId9" Type="http://schemas.openxmlformats.org/officeDocument/2006/relationships/hyperlink" Target="https://www.grants.gov/web/grants/view-opportunity.html?oppId=329949"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mchb.hrsa.gov/programs-impact/home-visiting/miechv-evaluation-re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71ECC-A1F6-4FC8-8A87-B78E6304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6160</Words>
  <Characters>35117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Mcdowell, Andrew (ACF) (CTR)</cp:lastModifiedBy>
  <cp:revision>3</cp:revision>
  <dcterms:created xsi:type="dcterms:W3CDTF">2023-03-31T14:08:00Z</dcterms:created>
  <dcterms:modified xsi:type="dcterms:W3CDTF">2023-03-31T14:08:00Z</dcterms:modified>
</cp:coreProperties>
</file>