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672" w:rsidRPr="00702909" w:rsidP="00E3212F" w14:paraId="37747E8B" w14:textId="4DAAE35C">
      <w:pPr>
        <w:pStyle w:val="ReportCover-Title"/>
        <w:spacing w:before="240"/>
        <w:jc w:val="center"/>
        <w:rPr>
          <w:rFonts w:ascii="Arial" w:hAnsi="Arial" w:cs="Arial"/>
          <w:color w:val="auto"/>
        </w:rPr>
      </w:pPr>
      <w:bookmarkStart w:id="0" w:name="_Hlk124493021"/>
      <w:bookmarkStart w:id="1" w:name="_Hlk124350307"/>
      <w:r w:rsidRPr="00702909">
        <w:rPr>
          <w:color w:val="auto"/>
        </w:rPr>
        <w:t xml:space="preserve">SRAENE Substudy: </w:t>
      </w:r>
      <w:bookmarkStart w:id="2" w:name="_Hlk125018092"/>
      <w:r w:rsidRPr="00702909" w:rsidR="007975B8">
        <w:rPr>
          <w:color w:val="auto"/>
        </w:rPr>
        <w:t>Delivering SRAE Programming to Youth in Juvenile Justice Detention Centers and Foster Care Group Homes</w:t>
      </w:r>
      <w:bookmarkEnd w:id="0"/>
      <w:bookmarkEnd w:id="2"/>
    </w:p>
    <w:bookmarkEnd w:id="1"/>
    <w:p w:rsidR="009D2672" w:rsidRPr="008813EA" w14:paraId="0B276E45" w14:textId="77777777">
      <w:pPr>
        <w:pStyle w:val="ReportCover-Title"/>
        <w:rPr>
          <w:rFonts w:ascii="Arial" w:hAnsi="Arial" w:cs="Arial"/>
          <w:color w:val="auto"/>
        </w:rPr>
      </w:pPr>
    </w:p>
    <w:p w:rsidR="009D2672" w:rsidRPr="008813EA" w14:paraId="02BE0365" w14:textId="77777777">
      <w:pPr>
        <w:pStyle w:val="ReportCover-Title"/>
        <w:rPr>
          <w:rFonts w:ascii="Arial" w:hAnsi="Arial" w:cs="Arial"/>
          <w:color w:val="auto"/>
        </w:rPr>
      </w:pPr>
    </w:p>
    <w:p w:rsidR="009D2672" w:rsidRPr="008813EA" w14:paraId="4E94E141" w14:textId="77777777">
      <w:pPr>
        <w:pStyle w:val="ReportCover-Title"/>
        <w:jc w:val="center"/>
        <w:rPr>
          <w:rFonts w:ascii="Arial" w:hAnsi="Arial" w:cs="Arial"/>
          <w:color w:val="auto"/>
          <w:sz w:val="32"/>
          <w:szCs w:val="32"/>
        </w:rPr>
      </w:pPr>
      <w:bookmarkStart w:id="3" w:name="_Hlk106017547"/>
      <w:r w:rsidRPr="008813EA">
        <w:rPr>
          <w:rFonts w:ascii="Arial" w:hAnsi="Arial" w:cs="Arial"/>
          <w:color w:val="auto"/>
          <w:sz w:val="32"/>
          <w:szCs w:val="32"/>
        </w:rPr>
        <w:t>Formative Data Collections for ACF Research</w:t>
      </w:r>
    </w:p>
    <w:p w:rsidR="009D2672" w:rsidRPr="008813EA" w14:paraId="4834D506" w14:textId="13685111">
      <w:pPr>
        <w:pStyle w:val="ReportCover-Title"/>
        <w:jc w:val="center"/>
        <w:rPr>
          <w:rFonts w:ascii="Arial" w:hAnsi="Arial" w:cs="Arial"/>
          <w:color w:val="auto"/>
          <w:sz w:val="32"/>
          <w:szCs w:val="32"/>
        </w:rPr>
      </w:pPr>
      <w:r w:rsidRPr="008813EA">
        <w:rPr>
          <w:rFonts w:ascii="Arial" w:hAnsi="Arial" w:cs="Arial"/>
          <w:color w:val="auto"/>
          <w:sz w:val="32"/>
          <w:szCs w:val="32"/>
        </w:rPr>
        <w:t>0970 - 0356</w:t>
      </w:r>
    </w:p>
    <w:p w:rsidR="009D2672" w:rsidRPr="008813EA" w14:paraId="2DDD1D80" w14:textId="77777777">
      <w:pPr>
        <w:pStyle w:val="ReportCover-Title"/>
        <w:jc w:val="center"/>
        <w:rPr>
          <w:rFonts w:ascii="Arial" w:hAnsi="Arial" w:cs="Arial"/>
          <w:color w:val="auto"/>
          <w:sz w:val="32"/>
          <w:szCs w:val="32"/>
        </w:rPr>
      </w:pPr>
    </w:p>
    <w:bookmarkEnd w:id="3"/>
    <w:p w:rsidR="009D2672" w:rsidRPr="008813EA" w14:paraId="16C17492" w14:textId="77777777">
      <w:pPr>
        <w:rPr>
          <w:rFonts w:ascii="Arial" w:hAnsi="Arial" w:cs="Arial"/>
        </w:rPr>
      </w:pPr>
    </w:p>
    <w:p w:rsidR="009D2672" w:rsidRPr="008813EA" w14:paraId="16A1B9F1" w14:textId="77777777">
      <w:pPr>
        <w:pStyle w:val="ReportCover-Date"/>
        <w:jc w:val="center"/>
        <w:rPr>
          <w:rFonts w:ascii="Arial" w:hAnsi="Arial" w:cs="Arial"/>
          <w:color w:val="auto"/>
        </w:rPr>
      </w:pPr>
    </w:p>
    <w:p w:rsidR="009D2672" w:rsidRPr="008813EA" w14:paraId="55670F2B" w14:textId="77777777">
      <w:pPr>
        <w:pStyle w:val="ReportCover-Date"/>
        <w:spacing w:after="360" w:line="240" w:lineRule="auto"/>
        <w:jc w:val="center"/>
        <w:rPr>
          <w:rFonts w:ascii="Arial" w:hAnsi="Arial" w:cs="Arial"/>
          <w:color w:val="auto"/>
          <w:sz w:val="48"/>
          <w:szCs w:val="48"/>
        </w:rPr>
      </w:pPr>
      <w:r w:rsidRPr="008813EA">
        <w:rPr>
          <w:rFonts w:ascii="Arial" w:hAnsi="Arial" w:cs="Arial"/>
          <w:color w:val="auto"/>
          <w:sz w:val="48"/>
          <w:szCs w:val="48"/>
        </w:rPr>
        <w:t>Supporting Statement</w:t>
      </w:r>
    </w:p>
    <w:p w:rsidR="009D2672" w:rsidRPr="008813EA" w14:paraId="6DBDBC6F" w14:textId="77777777">
      <w:pPr>
        <w:pStyle w:val="ReportCover-Date"/>
        <w:spacing w:after="360" w:line="240" w:lineRule="auto"/>
        <w:jc w:val="center"/>
        <w:rPr>
          <w:rFonts w:ascii="Arial" w:hAnsi="Arial" w:cs="Arial"/>
          <w:color w:val="auto"/>
          <w:sz w:val="48"/>
          <w:szCs w:val="48"/>
        </w:rPr>
      </w:pPr>
      <w:r w:rsidRPr="008813EA">
        <w:rPr>
          <w:rFonts w:ascii="Arial" w:hAnsi="Arial" w:cs="Arial"/>
          <w:color w:val="auto"/>
          <w:sz w:val="48"/>
          <w:szCs w:val="48"/>
        </w:rPr>
        <w:t>Part A</w:t>
      </w:r>
    </w:p>
    <w:p w:rsidR="009D2672" w:rsidRPr="008813EA" w14:paraId="22F2EA08" w14:textId="7B1BAA62">
      <w:pPr>
        <w:pStyle w:val="ReportCover-Date"/>
        <w:jc w:val="center"/>
        <w:rPr>
          <w:rFonts w:ascii="Arial" w:hAnsi="Arial" w:cs="Arial"/>
          <w:color w:val="auto"/>
        </w:rPr>
      </w:pPr>
      <w:r>
        <w:rPr>
          <w:rFonts w:ascii="Arial" w:hAnsi="Arial" w:cs="Arial"/>
          <w:color w:val="auto"/>
        </w:rPr>
        <w:t>April</w:t>
      </w:r>
      <w:r w:rsidRPr="008813EA">
        <w:rPr>
          <w:rFonts w:ascii="Arial" w:hAnsi="Arial" w:cs="Arial"/>
          <w:color w:val="auto"/>
        </w:rPr>
        <w:t xml:space="preserve"> </w:t>
      </w:r>
      <w:r w:rsidRPr="008813EA" w:rsidR="00C52A00">
        <w:rPr>
          <w:rFonts w:ascii="Arial" w:hAnsi="Arial" w:cs="Arial"/>
          <w:color w:val="auto"/>
        </w:rPr>
        <w:t>202</w:t>
      </w:r>
      <w:r w:rsidR="00D53935">
        <w:rPr>
          <w:rFonts w:ascii="Arial" w:hAnsi="Arial" w:cs="Arial"/>
          <w:color w:val="auto"/>
        </w:rPr>
        <w:t>3</w:t>
      </w:r>
    </w:p>
    <w:p w:rsidR="009D2672" w:rsidRPr="008813EA" w14:paraId="5C090A8C" w14:textId="77777777">
      <w:pPr>
        <w:spacing w:after="0" w:line="240" w:lineRule="auto"/>
        <w:jc w:val="center"/>
        <w:rPr>
          <w:rFonts w:ascii="Arial" w:hAnsi="Arial" w:cs="Arial"/>
        </w:rPr>
      </w:pPr>
    </w:p>
    <w:p w:rsidR="009D2672" w:rsidRPr="008813EA" w14:paraId="61E68E4D" w14:textId="77777777">
      <w:pPr>
        <w:spacing w:after="0" w:line="240" w:lineRule="auto"/>
        <w:jc w:val="center"/>
        <w:rPr>
          <w:rFonts w:ascii="Arial" w:hAnsi="Arial" w:cs="Arial"/>
        </w:rPr>
      </w:pPr>
      <w:r w:rsidRPr="008813EA">
        <w:rPr>
          <w:rFonts w:ascii="Arial" w:hAnsi="Arial" w:cs="Arial"/>
        </w:rPr>
        <w:t>Submitted By:</w:t>
      </w:r>
    </w:p>
    <w:p w:rsidR="009D2672" w:rsidRPr="008813EA" w14:paraId="64EDF9F6" w14:textId="77777777">
      <w:pPr>
        <w:spacing w:after="0" w:line="240" w:lineRule="auto"/>
        <w:jc w:val="center"/>
        <w:rPr>
          <w:rFonts w:ascii="Arial" w:hAnsi="Arial" w:cs="Arial"/>
        </w:rPr>
      </w:pPr>
      <w:r w:rsidRPr="008813EA">
        <w:rPr>
          <w:rFonts w:ascii="Arial" w:hAnsi="Arial" w:cs="Arial"/>
        </w:rPr>
        <w:t>Office of Planning, Research, and Evaluation</w:t>
      </w:r>
    </w:p>
    <w:p w:rsidR="009D2672" w:rsidRPr="008813EA" w14:paraId="189B31FA" w14:textId="77777777">
      <w:pPr>
        <w:spacing w:after="0" w:line="240" w:lineRule="auto"/>
        <w:jc w:val="center"/>
        <w:rPr>
          <w:rFonts w:ascii="Arial" w:hAnsi="Arial" w:cs="Arial"/>
        </w:rPr>
      </w:pPr>
      <w:r w:rsidRPr="008813EA">
        <w:rPr>
          <w:rFonts w:ascii="Arial" w:hAnsi="Arial" w:cs="Arial"/>
        </w:rPr>
        <w:t xml:space="preserve">Administration for Children and Families </w:t>
      </w:r>
    </w:p>
    <w:p w:rsidR="009D2672" w:rsidRPr="008813EA" w14:paraId="14D914F8" w14:textId="77777777">
      <w:pPr>
        <w:spacing w:after="0" w:line="240" w:lineRule="auto"/>
        <w:jc w:val="center"/>
        <w:rPr>
          <w:rFonts w:ascii="Arial" w:hAnsi="Arial" w:cs="Arial"/>
        </w:rPr>
      </w:pPr>
      <w:r w:rsidRPr="008813EA">
        <w:rPr>
          <w:rFonts w:ascii="Arial" w:hAnsi="Arial" w:cs="Arial"/>
        </w:rPr>
        <w:t>U.S. Department of Health and Human Services</w:t>
      </w:r>
    </w:p>
    <w:p w:rsidR="009D2672" w:rsidRPr="008813EA" w14:paraId="67063D11" w14:textId="77777777">
      <w:pPr>
        <w:spacing w:after="0" w:line="240" w:lineRule="auto"/>
        <w:jc w:val="center"/>
        <w:rPr>
          <w:rFonts w:ascii="Arial" w:hAnsi="Arial" w:cs="Arial"/>
        </w:rPr>
      </w:pPr>
    </w:p>
    <w:p w:rsidR="009D2672" w:rsidRPr="008813EA" w14:paraId="7561A03F" w14:textId="77777777">
      <w:pPr>
        <w:spacing w:after="0" w:line="240" w:lineRule="auto"/>
        <w:jc w:val="center"/>
        <w:rPr>
          <w:rFonts w:ascii="Arial" w:hAnsi="Arial" w:cs="Arial"/>
        </w:rPr>
      </w:pPr>
      <w:r w:rsidRPr="008813EA">
        <w:rPr>
          <w:rFonts w:ascii="Arial" w:hAnsi="Arial" w:cs="Arial"/>
        </w:rPr>
        <w:t>4</w:t>
      </w:r>
      <w:r w:rsidRPr="008813EA">
        <w:rPr>
          <w:rFonts w:ascii="Arial" w:hAnsi="Arial" w:cs="Arial"/>
          <w:vertAlign w:val="superscript"/>
        </w:rPr>
        <w:t>th</w:t>
      </w:r>
      <w:r w:rsidRPr="008813EA">
        <w:rPr>
          <w:rFonts w:ascii="Arial" w:hAnsi="Arial" w:cs="Arial"/>
        </w:rPr>
        <w:t xml:space="preserve"> Floor, Mary E. Switzer Building</w:t>
      </w:r>
    </w:p>
    <w:p w:rsidR="009D2672" w:rsidRPr="008813EA" w14:paraId="3D4D8061" w14:textId="77777777">
      <w:pPr>
        <w:spacing w:after="0" w:line="240" w:lineRule="auto"/>
        <w:jc w:val="center"/>
        <w:rPr>
          <w:rFonts w:ascii="Arial" w:hAnsi="Arial" w:cs="Arial"/>
        </w:rPr>
      </w:pPr>
      <w:r w:rsidRPr="008813EA">
        <w:rPr>
          <w:rFonts w:ascii="Arial" w:hAnsi="Arial" w:cs="Arial"/>
        </w:rPr>
        <w:t>330 C Street, SW</w:t>
      </w:r>
    </w:p>
    <w:p w:rsidR="009D2672" w:rsidRPr="008813EA" w14:paraId="6142EDDE" w14:textId="77777777">
      <w:pPr>
        <w:spacing w:after="0" w:line="240" w:lineRule="auto"/>
        <w:jc w:val="center"/>
        <w:rPr>
          <w:rFonts w:ascii="Arial" w:hAnsi="Arial" w:cs="Arial"/>
        </w:rPr>
      </w:pPr>
      <w:r w:rsidRPr="008813EA">
        <w:rPr>
          <w:rFonts w:ascii="Arial" w:hAnsi="Arial" w:cs="Arial"/>
        </w:rPr>
        <w:t>Washington, D.C. 20201</w:t>
      </w:r>
    </w:p>
    <w:p w:rsidR="009D2672" w:rsidRPr="008813EA" w14:paraId="5FAC3550" w14:textId="77777777">
      <w:pPr>
        <w:spacing w:after="0" w:line="240" w:lineRule="auto"/>
        <w:jc w:val="center"/>
        <w:rPr>
          <w:rFonts w:ascii="Arial" w:hAnsi="Arial" w:cs="Arial"/>
        </w:rPr>
      </w:pPr>
    </w:p>
    <w:p w:rsidR="009D2672" w:rsidRPr="008813EA" w14:paraId="6C862BD4" w14:textId="77777777">
      <w:pPr>
        <w:spacing w:after="0" w:line="240" w:lineRule="auto"/>
        <w:jc w:val="center"/>
        <w:rPr>
          <w:rFonts w:ascii="Arial" w:hAnsi="Arial" w:cs="Arial"/>
        </w:rPr>
      </w:pPr>
      <w:r w:rsidRPr="008813EA">
        <w:rPr>
          <w:rFonts w:ascii="Arial" w:hAnsi="Arial" w:cs="Arial"/>
        </w:rPr>
        <w:t>Project Officers:</w:t>
      </w:r>
    </w:p>
    <w:p w:rsidR="00DA24EE" w:rsidRPr="008813EA" w:rsidP="00DA24EE" w14:paraId="4BBF66C7" w14:textId="77777777">
      <w:pPr>
        <w:spacing w:after="0" w:line="240" w:lineRule="auto"/>
        <w:jc w:val="center"/>
        <w:rPr>
          <w:rFonts w:ascii="Arial" w:hAnsi="Arial" w:cs="Arial"/>
        </w:rPr>
      </w:pPr>
      <w:bookmarkStart w:id="4" w:name="_Hlk105773286"/>
      <w:r w:rsidRPr="008813EA">
        <w:rPr>
          <w:rFonts w:ascii="Arial" w:hAnsi="Arial" w:cs="Arial"/>
        </w:rPr>
        <w:t>Calonie Gray</w:t>
      </w:r>
    </w:p>
    <w:p w:rsidR="00DA24EE" w:rsidRPr="008813EA" w:rsidP="00DA24EE" w14:paraId="08D6CEF7" w14:textId="77777777">
      <w:pPr>
        <w:spacing w:after="0" w:line="240" w:lineRule="auto"/>
        <w:jc w:val="center"/>
        <w:rPr>
          <w:rFonts w:ascii="Arial" w:hAnsi="Arial" w:cs="Arial"/>
        </w:rPr>
      </w:pPr>
      <w:r w:rsidRPr="008813EA">
        <w:rPr>
          <w:rFonts w:ascii="Arial" w:hAnsi="Arial" w:cs="Arial"/>
        </w:rPr>
        <w:t>MeGan Hill</w:t>
      </w:r>
    </w:p>
    <w:p w:rsidR="00DA24EE" w:rsidRPr="008813EA" w:rsidP="00DA24EE" w14:paraId="33CE9812" w14:textId="77777777">
      <w:pPr>
        <w:spacing w:after="0" w:line="240" w:lineRule="auto"/>
        <w:jc w:val="center"/>
        <w:rPr>
          <w:rFonts w:ascii="Arial" w:hAnsi="Arial" w:cs="Arial"/>
        </w:rPr>
      </w:pPr>
      <w:r w:rsidRPr="008813EA">
        <w:rPr>
          <w:rFonts w:ascii="Arial" w:hAnsi="Arial" w:cs="Arial"/>
        </w:rPr>
        <w:t>Tia Brown</w:t>
      </w:r>
    </w:p>
    <w:bookmarkEnd w:id="4"/>
    <w:p w:rsidR="009D2672" w:rsidRPr="008813EA" w14:paraId="2C288120" w14:textId="77777777">
      <w:pPr>
        <w:spacing w:after="0" w:line="240" w:lineRule="auto"/>
        <w:jc w:val="center"/>
        <w:rPr>
          <w:b/>
        </w:rPr>
      </w:pPr>
    </w:p>
    <w:p w:rsidR="009D2672" w:rsidRPr="008813EA" w14:paraId="28EE6B63" w14:textId="77777777">
      <w:pPr>
        <w:spacing w:after="0" w:line="240" w:lineRule="auto"/>
        <w:jc w:val="center"/>
        <w:rPr>
          <w:b/>
        </w:rPr>
      </w:pPr>
    </w:p>
    <w:p w:rsidR="00B87B91" w14:paraId="70F4891F" w14:textId="655C49B0">
      <w:pPr>
        <w:spacing w:after="0" w:line="240" w:lineRule="auto"/>
        <w:jc w:val="center"/>
        <w:rPr>
          <w:b/>
          <w:sz w:val="32"/>
          <w:szCs w:val="32"/>
        </w:rPr>
      </w:pPr>
    </w:p>
    <w:p w:rsidR="00E3212F" w14:paraId="2083D4F5" w14:textId="77777777">
      <w:pPr>
        <w:spacing w:after="0" w:line="240" w:lineRule="auto"/>
        <w:jc w:val="center"/>
        <w:rPr>
          <w:b/>
          <w:sz w:val="32"/>
          <w:szCs w:val="32"/>
        </w:rPr>
      </w:pPr>
    </w:p>
    <w:p w:rsidR="00C64A6C" w:rsidRPr="008813EA" w14:paraId="07AB976F" w14:textId="77777777">
      <w:pPr>
        <w:spacing w:after="0" w:line="240" w:lineRule="auto"/>
        <w:jc w:val="center"/>
        <w:rPr>
          <w:b/>
          <w:sz w:val="32"/>
          <w:szCs w:val="32"/>
        </w:rPr>
      </w:pPr>
    </w:p>
    <w:p w:rsidR="009D2672" w:rsidRPr="008813EA" w14:paraId="1D07417A" w14:textId="0701F3D9">
      <w:pPr>
        <w:spacing w:after="0" w:line="240" w:lineRule="auto"/>
        <w:jc w:val="center"/>
        <w:rPr>
          <w:b/>
          <w:sz w:val="32"/>
          <w:szCs w:val="32"/>
        </w:rPr>
      </w:pPr>
      <w:r w:rsidRPr="008813EA">
        <w:rPr>
          <w:b/>
          <w:sz w:val="32"/>
          <w:szCs w:val="32"/>
        </w:rPr>
        <w:t>Part A</w:t>
      </w:r>
    </w:p>
    <w:p w:rsidR="009D2672" w:rsidRPr="008813EA" w14:paraId="7BFA464A" w14:textId="77777777">
      <w:pPr>
        <w:spacing w:after="0" w:line="240" w:lineRule="auto"/>
        <w:rPr>
          <w:b/>
          <w:u w:val="single"/>
        </w:rPr>
      </w:pPr>
    </w:p>
    <w:p w:rsidR="009D2672" w:rsidRPr="008813EA" w14:paraId="4B678DDA" w14:textId="77777777">
      <w:pPr>
        <w:spacing w:after="0" w:line="240" w:lineRule="auto"/>
        <w:rPr>
          <w:b/>
          <w:sz w:val="28"/>
        </w:rPr>
      </w:pPr>
      <w:r w:rsidRPr="008813EA">
        <w:rPr>
          <w:b/>
          <w:sz w:val="28"/>
          <w:u w:val="single"/>
        </w:rPr>
        <w:t>Executive Summary</w:t>
      </w:r>
    </w:p>
    <w:p w:rsidR="009D2672" w:rsidRPr="008813EA" w14:paraId="5EB9BF88" w14:textId="77777777">
      <w:pPr>
        <w:spacing w:after="0" w:line="240" w:lineRule="auto"/>
        <w:rPr>
          <w:b/>
        </w:rPr>
      </w:pPr>
    </w:p>
    <w:p w:rsidR="009D2672" w:rsidRPr="008813EA" w14:paraId="16F5AE5C" w14:textId="19F9FDA7">
      <w:pPr>
        <w:pStyle w:val="ListParagraph"/>
        <w:numPr>
          <w:ilvl w:val="0"/>
          <w:numId w:val="28"/>
        </w:numPr>
        <w:spacing w:after="0" w:line="240" w:lineRule="auto"/>
      </w:pPr>
      <w:r w:rsidRPr="008813EA">
        <w:rPr>
          <w:b/>
        </w:rPr>
        <w:t xml:space="preserve">Type of Request: </w:t>
      </w:r>
      <w:r w:rsidRPr="008813EA">
        <w:t>This Information Collection Request is for a generic information collection under the umbrella generic, Formative Data Collections for ACF Research (0970-0356).</w:t>
      </w:r>
    </w:p>
    <w:p w:rsidR="009D2672" w:rsidRPr="008813EA" w14:paraId="6A2EACC0" w14:textId="77777777">
      <w:pPr>
        <w:spacing w:after="0" w:line="240" w:lineRule="auto"/>
      </w:pPr>
    </w:p>
    <w:p w:rsidR="009D2672" w:rsidRPr="008813EA" w14:paraId="1BA63DD5" w14:textId="1DEA43F0">
      <w:pPr>
        <w:pStyle w:val="ListParagraph"/>
        <w:numPr>
          <w:ilvl w:val="0"/>
          <w:numId w:val="28"/>
        </w:numPr>
        <w:spacing w:after="0" w:line="240" w:lineRule="auto"/>
      </w:pPr>
      <w:r w:rsidRPr="008813EA">
        <w:rPr>
          <w:b/>
        </w:rPr>
        <w:t xml:space="preserve">Progress to Date: </w:t>
      </w:r>
      <w:bookmarkStart w:id="5" w:name="_Hlk110438862"/>
      <w:r w:rsidRPr="008813EA">
        <w:rPr>
          <w:bCs/>
        </w:rPr>
        <w:t>The</w:t>
      </w:r>
      <w:r w:rsidRPr="008813EA" w:rsidR="00DA24EE">
        <w:rPr>
          <w:bCs/>
        </w:rPr>
        <w:t xml:space="preserve"> </w:t>
      </w:r>
      <w:r w:rsidR="003E3DA4">
        <w:rPr>
          <w:bCs/>
        </w:rPr>
        <w:t>sub</w:t>
      </w:r>
      <w:r w:rsidR="001B630B">
        <w:rPr>
          <w:bCs/>
        </w:rPr>
        <w:t>-</w:t>
      </w:r>
      <w:r w:rsidR="003E3DA4">
        <w:rPr>
          <w:bCs/>
        </w:rPr>
        <w:t xml:space="preserve">study </w:t>
      </w:r>
      <w:bookmarkEnd w:id="5"/>
      <w:r w:rsidRPr="008813EA">
        <w:rPr>
          <w:bCs/>
        </w:rPr>
        <w:t xml:space="preserve">is part of the Sexual Risk Avoidance Education National Evaluation (SRAENE). It builds upon the findings from the </w:t>
      </w:r>
      <w:r w:rsidR="003E3DA4">
        <w:rPr>
          <w:bCs/>
        </w:rPr>
        <w:t xml:space="preserve">Nationwide Study, which is currently taking place </w:t>
      </w:r>
      <w:r w:rsidRPr="008813EA">
        <w:rPr>
          <w:bCs/>
        </w:rPr>
        <w:t xml:space="preserve">(OMB </w:t>
      </w:r>
      <w:r w:rsidR="003E3DA4">
        <w:rPr>
          <w:bCs/>
        </w:rPr>
        <w:t>No.</w:t>
      </w:r>
      <w:r w:rsidRPr="008813EA">
        <w:rPr>
          <w:bCs/>
        </w:rPr>
        <w:t xml:space="preserve"> 0970</w:t>
      </w:r>
      <w:r w:rsidR="00BC48D2">
        <w:rPr>
          <w:bCs/>
        </w:rPr>
        <w:t>-0956; Exp. 10/31/2025</w:t>
      </w:r>
      <w:r w:rsidRPr="008813EA">
        <w:rPr>
          <w:bCs/>
        </w:rPr>
        <w:t>).</w:t>
      </w:r>
    </w:p>
    <w:p w:rsidR="009D2672" w:rsidRPr="008813EA" w14:paraId="539EE66D" w14:textId="77777777">
      <w:pPr>
        <w:spacing w:after="0" w:line="240" w:lineRule="auto"/>
      </w:pPr>
    </w:p>
    <w:p w:rsidR="007C0137" w:rsidRPr="00A54C41" w14:paraId="5F1F835F" w14:textId="4CFA0A4B">
      <w:pPr>
        <w:pStyle w:val="ListParagraph"/>
        <w:numPr>
          <w:ilvl w:val="0"/>
          <w:numId w:val="28"/>
        </w:numPr>
        <w:spacing w:before="45" w:after="45" w:line="240" w:lineRule="auto"/>
        <w:rPr>
          <w:rFonts w:ascii="Source Sans Pro" w:eastAsia="Times New Roman" w:hAnsi="Source Sans Pro" w:cs="Times New Roman"/>
          <w:color w:val="000000"/>
          <w:sz w:val="24"/>
          <w:szCs w:val="24"/>
        </w:rPr>
      </w:pPr>
      <w:r w:rsidRPr="008813EA">
        <w:rPr>
          <w:b/>
        </w:rPr>
        <w:t xml:space="preserve">Description of Request: </w:t>
      </w:r>
      <w:r w:rsidRPr="008813EA">
        <w:rPr>
          <w:bCs/>
        </w:rPr>
        <w:t xml:space="preserve">The purpose of SRAENE is to provide information on the design and implementation of Sexual Risk Avoidance Education (SRAE) programs, the effectiveness of program component refinements, and the ways </w:t>
      </w:r>
      <w:r w:rsidRPr="008813EA">
        <w:t>grant recipients</w:t>
      </w:r>
      <w:r w:rsidRPr="008813EA">
        <w:rPr>
          <w:bCs/>
        </w:rPr>
        <w:t xml:space="preserve"> can use data and evidence to improve SRAE programming</w:t>
      </w:r>
      <w:r w:rsidRPr="008813EA">
        <w:t xml:space="preserve">. SRAENE involves the following three main </w:t>
      </w:r>
      <w:r w:rsidR="008A0C12">
        <w:t>parts</w:t>
      </w:r>
      <w:r w:rsidRPr="008813EA">
        <w:t xml:space="preserve">: (1) the Nationwide Descriptive Study of SRAE program implementation and youth outcomes, (2) the </w:t>
      </w:r>
      <w:r w:rsidR="002C7C1A">
        <w:t xml:space="preserve">Program </w:t>
      </w:r>
      <w:r w:rsidR="00271090">
        <w:t>Components Impact Study (</w:t>
      </w:r>
      <w:r w:rsidRPr="008813EA">
        <w:t>CIS</w:t>
      </w:r>
      <w:r w:rsidR="00271090">
        <w:t>)</w:t>
      </w:r>
      <w:r w:rsidRPr="008813EA">
        <w:t>, and (3) data capacity building and local evaluation support for SRAE grant recipients.</w:t>
      </w:r>
      <w:r w:rsidRPr="008813EA">
        <w:rPr>
          <w:bCs/>
        </w:rPr>
        <w:t xml:space="preserve"> This request is specific to the </w:t>
      </w:r>
      <w:r w:rsidR="002C7C1A">
        <w:rPr>
          <w:bCs/>
        </w:rPr>
        <w:t>Nationwide Study (</w:t>
      </w:r>
      <w:r w:rsidR="0052062D">
        <w:rPr>
          <w:bCs/>
        </w:rPr>
        <w:t>NWS</w:t>
      </w:r>
      <w:r w:rsidR="002C7C1A">
        <w:rPr>
          <w:bCs/>
        </w:rPr>
        <w:t>)</w:t>
      </w:r>
      <w:r w:rsidR="00271090">
        <w:rPr>
          <w:bCs/>
        </w:rPr>
        <w:t xml:space="preserve">, which is a </w:t>
      </w:r>
      <w:r w:rsidR="00271090">
        <w:rPr>
          <w:bCs/>
        </w:rPr>
        <w:t>substudy</w:t>
      </w:r>
      <w:r w:rsidR="00271090">
        <w:rPr>
          <w:bCs/>
        </w:rPr>
        <w:t xml:space="preserve"> of the</w:t>
      </w:r>
      <w:r w:rsidR="00D4133C">
        <w:rPr>
          <w:bCs/>
        </w:rPr>
        <w:t xml:space="preserve"> National Descriptive Study</w:t>
      </w:r>
      <w:r w:rsidR="00271090">
        <w:rPr>
          <w:bCs/>
        </w:rPr>
        <w:t xml:space="preserve"> </w:t>
      </w:r>
      <w:r w:rsidR="00D4133C">
        <w:rPr>
          <w:bCs/>
        </w:rPr>
        <w:t>(</w:t>
      </w:r>
      <w:r w:rsidR="00271090">
        <w:rPr>
          <w:bCs/>
        </w:rPr>
        <w:t>NDS</w:t>
      </w:r>
      <w:r w:rsidR="00D4133C">
        <w:rPr>
          <w:bCs/>
        </w:rPr>
        <w:t>)</w:t>
      </w:r>
      <w:r w:rsidR="00C64A6C">
        <w:rPr>
          <w:bCs/>
        </w:rPr>
        <w:t xml:space="preserve">. </w:t>
      </w:r>
      <w:r w:rsidR="003E3DA4">
        <w:rPr>
          <w:bCs/>
        </w:rPr>
        <w:t xml:space="preserve">The NWS data </w:t>
      </w:r>
      <w:r w:rsidR="00C64A6C">
        <w:rPr>
          <w:bCs/>
        </w:rPr>
        <w:t>reveals</w:t>
      </w:r>
      <w:r>
        <w:rPr>
          <w:bCs/>
        </w:rPr>
        <w:t xml:space="preserve"> </w:t>
      </w:r>
      <w:r w:rsidR="003E3DA4">
        <w:rPr>
          <w:bCs/>
        </w:rPr>
        <w:t xml:space="preserve">a </w:t>
      </w:r>
      <w:r>
        <w:rPr>
          <w:bCs/>
        </w:rPr>
        <w:t>subset</w:t>
      </w:r>
      <w:r w:rsidR="003E3DA4">
        <w:rPr>
          <w:bCs/>
        </w:rPr>
        <w:t xml:space="preserve"> of grantees </w:t>
      </w:r>
      <w:r w:rsidR="002A4BFF">
        <w:rPr>
          <w:bCs/>
        </w:rPr>
        <w:t xml:space="preserve">and providers </w:t>
      </w:r>
      <w:r w:rsidR="003E3DA4">
        <w:rPr>
          <w:bCs/>
        </w:rPr>
        <w:t xml:space="preserve">who serve </w:t>
      </w:r>
      <w:r>
        <w:rPr>
          <w:bCs/>
        </w:rPr>
        <w:t xml:space="preserve">youth </w:t>
      </w:r>
      <w:r w:rsidR="00E035A0">
        <w:t>in juvenile justice detention centers and foster care group homes</w:t>
      </w:r>
      <w:r>
        <w:rPr>
          <w:bCs/>
        </w:rPr>
        <w:t xml:space="preserve">. </w:t>
      </w:r>
      <w:r w:rsidR="00081965">
        <w:rPr>
          <w:bCs/>
        </w:rPr>
        <w:t>The Family and Youth Services Bureau (FYSB), wh</w:t>
      </w:r>
      <w:r w:rsidR="00D21B49">
        <w:rPr>
          <w:bCs/>
        </w:rPr>
        <w:t>ich</w:t>
      </w:r>
      <w:r w:rsidR="00081965">
        <w:rPr>
          <w:bCs/>
        </w:rPr>
        <w:t xml:space="preserve"> administers the SRAE grant program, is interested in a deeper understanding of how programs deliver services to youth</w:t>
      </w:r>
      <w:r w:rsidR="007975B8">
        <w:rPr>
          <w:bCs/>
        </w:rPr>
        <w:t xml:space="preserve"> in these two settings</w:t>
      </w:r>
      <w:r w:rsidR="00081965">
        <w:rPr>
          <w:bCs/>
        </w:rPr>
        <w:t>.</w:t>
      </w:r>
      <w:r w:rsidRPr="008813EA">
        <w:rPr>
          <w:bCs/>
        </w:rPr>
        <w:t xml:space="preserve"> </w:t>
      </w:r>
      <w:r w:rsidR="00081965">
        <w:rPr>
          <w:bCs/>
        </w:rPr>
        <w:t>We propose collecting interview data on program provision</w:t>
      </w:r>
      <w:r w:rsidRPr="008813EA">
        <w:rPr>
          <w:bCs/>
        </w:rPr>
        <w:t xml:space="preserve"> with</w:t>
      </w:r>
      <w:r>
        <w:rPr>
          <w:bCs/>
        </w:rPr>
        <w:t xml:space="preserve"> 50</w:t>
      </w:r>
      <w:r w:rsidRPr="008813EA">
        <w:rPr>
          <w:bCs/>
        </w:rPr>
        <w:t xml:space="preserve"> </w:t>
      </w:r>
      <w:r>
        <w:rPr>
          <w:bCs/>
        </w:rPr>
        <w:t xml:space="preserve">grantees and providers using </w:t>
      </w:r>
      <w:r w:rsidR="005A6436">
        <w:rPr>
          <w:bCs/>
        </w:rPr>
        <w:t xml:space="preserve">an online, asynchronous interview platform, </w:t>
      </w:r>
      <w:r>
        <w:rPr>
          <w:bCs/>
        </w:rPr>
        <w:t xml:space="preserve">Qualboard. </w:t>
      </w:r>
    </w:p>
    <w:p w:rsidR="007C0137" w:rsidP="007C0137" w14:paraId="2BB54FD5" w14:textId="77777777">
      <w:pPr>
        <w:pStyle w:val="ListParagraph"/>
        <w:spacing w:before="45" w:after="45" w:line="240" w:lineRule="auto"/>
        <w:rPr>
          <w:b/>
        </w:rPr>
      </w:pPr>
    </w:p>
    <w:p w:rsidR="003346D0" w:rsidRPr="00A54C41" w:rsidP="00A54C41" w14:paraId="6CABB342" w14:textId="622A7DED">
      <w:pPr>
        <w:pStyle w:val="ListParagraph"/>
        <w:spacing w:before="45" w:after="45" w:line="240" w:lineRule="auto"/>
      </w:pPr>
      <w:r>
        <w:t>The study team will use the d</w:t>
      </w:r>
      <w:r w:rsidRPr="008813EA" w:rsidR="00C52A00">
        <w:t>ata collected under this</w:t>
      </w:r>
      <w:r w:rsidRPr="008813EA" w:rsidR="00C52A00">
        <w:rPr>
          <w:rFonts w:cs="Calibri"/>
        </w:rPr>
        <w:t xml:space="preserve"> generic information collection </w:t>
      </w:r>
      <w:bookmarkStart w:id="6" w:name="_Hlk124353663"/>
      <w:r w:rsidRPr="008813EA" w:rsidR="00C52A00">
        <w:rPr>
          <w:rFonts w:cs="Calibri"/>
        </w:rPr>
        <w:t>to</w:t>
      </w:r>
      <w:bookmarkStart w:id="7" w:name="_Hlk110438982"/>
      <w:r w:rsidRPr="008813EA" w:rsidR="00C13B73">
        <w:rPr>
          <w:rFonts w:cs="Calibri"/>
        </w:rPr>
        <w:t xml:space="preserve"> </w:t>
      </w:r>
      <w:r w:rsidR="00C12955">
        <w:rPr>
          <w:bCs/>
        </w:rPr>
        <w:t>better understand program implementation experiences</w:t>
      </w:r>
      <w:r>
        <w:rPr>
          <w:bCs/>
        </w:rPr>
        <w:t xml:space="preserve"> related to serving youth in </w:t>
      </w:r>
      <w:bookmarkEnd w:id="6"/>
      <w:r w:rsidR="00C12955">
        <w:rPr>
          <w:bCs/>
        </w:rPr>
        <w:t xml:space="preserve">community </w:t>
      </w:r>
      <w:r w:rsidR="00A07B3F">
        <w:rPr>
          <w:bCs/>
        </w:rPr>
        <w:t>settings</w:t>
      </w:r>
      <w:r>
        <w:rPr>
          <w:rFonts w:cs="Calibri"/>
        </w:rPr>
        <w:t xml:space="preserve">. Ultimately, the data will </w:t>
      </w:r>
      <w:r w:rsidRPr="008813EA" w:rsidR="00C13B73">
        <w:rPr>
          <w:rFonts w:cs="Calibri"/>
        </w:rPr>
        <w:t>inform</w:t>
      </w:r>
      <w:r>
        <w:rPr>
          <w:rFonts w:cs="Calibri"/>
        </w:rPr>
        <w:t xml:space="preserve"> </w:t>
      </w:r>
      <w:r w:rsidR="005F3B39">
        <w:rPr>
          <w:rFonts w:cs="Calibri"/>
        </w:rPr>
        <w:t xml:space="preserve">the development of </w:t>
      </w:r>
      <w:r>
        <w:rPr>
          <w:rFonts w:cs="Calibri"/>
        </w:rPr>
        <w:t>future</w:t>
      </w:r>
      <w:r w:rsidR="005F3B39">
        <w:rPr>
          <w:rFonts w:cs="Calibri"/>
        </w:rPr>
        <w:t xml:space="preserve"> </w:t>
      </w:r>
      <w:r w:rsidR="00C12955">
        <w:rPr>
          <w:rFonts w:cs="Calibri"/>
        </w:rPr>
        <w:t xml:space="preserve">descriptive </w:t>
      </w:r>
      <w:r w:rsidR="003F0E83">
        <w:rPr>
          <w:rFonts w:cs="Calibri"/>
        </w:rPr>
        <w:t>research</w:t>
      </w:r>
      <w:r w:rsidR="005F3B39">
        <w:rPr>
          <w:rFonts w:cs="Calibri"/>
        </w:rPr>
        <w:t xml:space="preserve"> on </w:t>
      </w:r>
      <w:r w:rsidR="00C12955">
        <w:rPr>
          <w:rFonts w:cs="Calibri"/>
        </w:rPr>
        <w:t>the implementation of SRAE programs</w:t>
      </w:r>
      <w:r w:rsidR="005F3B39">
        <w:rPr>
          <w:rFonts w:cs="Calibri"/>
        </w:rPr>
        <w:t xml:space="preserve"> within juvenile justice detention facilities and foster care group homes. </w:t>
      </w:r>
      <w:bookmarkEnd w:id="7"/>
      <w:r w:rsidRPr="008813EA" w:rsidR="00C52A00">
        <w:rPr>
          <w:rFonts w:cs="Calibri"/>
        </w:rPr>
        <w:t xml:space="preserve"> </w:t>
      </w:r>
      <w:r>
        <w:rPr>
          <w:rFonts w:cs="Calibri"/>
        </w:rPr>
        <w:t>We do not intend for t</w:t>
      </w:r>
      <w:r>
        <w:rPr>
          <w:bCs/>
        </w:rPr>
        <w:t xml:space="preserve">he data collected for the sub-study to be generalized to a broader population. </w:t>
      </w:r>
      <w:r w:rsidRPr="008813EA" w:rsidR="00C52A00">
        <w:t xml:space="preserve">We </w:t>
      </w:r>
      <w:r>
        <w:t xml:space="preserve">also </w:t>
      </w:r>
      <w:r w:rsidRPr="008813EA" w:rsidR="00C52A00">
        <w:t>do not intend for this information to be used as the principal basis for public policy decisions.</w:t>
      </w:r>
    </w:p>
    <w:p w:rsidR="003346D0" w:rsidRPr="00A54C41" w:rsidP="005A6436" w14:paraId="6A897EC2" w14:textId="77777777">
      <w:pPr>
        <w:spacing w:after="0" w:line="240" w:lineRule="auto"/>
        <w:rPr>
          <w:bCs/>
        </w:rPr>
      </w:pPr>
    </w:p>
    <w:p w:rsidR="003346D0" w:rsidP="00A54C41" w14:paraId="4DCF6CA0" w14:textId="5CDD20D7">
      <w:pPr>
        <w:pStyle w:val="ListParagraph"/>
        <w:numPr>
          <w:ilvl w:val="0"/>
          <w:numId w:val="28"/>
        </w:numPr>
        <w:spacing w:after="240" w:line="240" w:lineRule="auto"/>
        <w:contextualSpacing w:val="0"/>
        <w:rPr>
          <w:bCs/>
        </w:rPr>
      </w:pPr>
      <w:r>
        <w:rPr>
          <w:b/>
        </w:rPr>
        <w:t xml:space="preserve">Timing: </w:t>
      </w:r>
      <w:r w:rsidRPr="00A54C41">
        <w:rPr>
          <w:bCs/>
        </w:rPr>
        <w:t>T</w:t>
      </w:r>
      <w:r>
        <w:rPr>
          <w:bCs/>
        </w:rPr>
        <w:t xml:space="preserve">he goal is to collect information in spring 2023. </w:t>
      </w:r>
    </w:p>
    <w:p w:rsidR="003346D0" w:rsidRPr="008813EA" w:rsidP="00467E4B" w14:paraId="442B57AD" w14:textId="77777777">
      <w:pPr>
        <w:pStyle w:val="ListParagraph"/>
        <w:spacing w:before="45" w:after="45" w:line="240" w:lineRule="auto"/>
      </w:pPr>
    </w:p>
    <w:p w:rsidR="009D2672" w:rsidRPr="008813EA" w:rsidP="007A4513" w14:paraId="26F16EBA" w14:textId="28E21A0B">
      <w:pPr>
        <w:spacing w:after="120"/>
      </w:pPr>
      <w:r w:rsidRPr="008813EA">
        <w:br w:type="page"/>
      </w:r>
      <w:r w:rsidRPr="008813EA">
        <w:rPr>
          <w:b/>
        </w:rPr>
        <w:t>A1</w:t>
      </w:r>
      <w:r w:rsidRPr="008813EA">
        <w:t>.</w:t>
      </w:r>
      <w:r w:rsidRPr="008813EA">
        <w:tab/>
      </w:r>
      <w:r w:rsidRPr="008813EA">
        <w:rPr>
          <w:b/>
        </w:rPr>
        <w:t>Necessity for Collection</w:t>
      </w:r>
      <w:r w:rsidRPr="008813EA">
        <w:t xml:space="preserve"> </w:t>
      </w:r>
    </w:p>
    <w:p w:rsidR="009D2672" w:rsidRPr="008813EA" w14:paraId="17318BF9" w14:textId="77777777">
      <w:pPr>
        <w:spacing w:after="120" w:line="240" w:lineRule="auto"/>
        <w:rPr>
          <w:i/>
        </w:rPr>
      </w:pPr>
      <w:r w:rsidRPr="008813EA">
        <w:rPr>
          <w:i/>
        </w:rPr>
        <w:t>Study Background</w:t>
      </w:r>
    </w:p>
    <w:p w:rsidR="009D2672" w:rsidP="008813EA" w14:paraId="62D37DFC" w14:textId="3CC5F1C8">
      <w:r w:rsidRPr="008813EA">
        <w:t>In February 2018, as part of the federal government’s efforts to support youth in making healthy decisions about their relationships and behaviors, Congress reauthorized Title V, Section 510 of the Social Security Act to fund the Sexual Risk Avoidance Education (SRAE) grant program. SRAE grants fund programs that teach adolescents to refrain from sexual activity. The Family and Youth Services Bureau (FYSB), Administration for Children and Families (ACF) of the U.S. Department of Health and Human Services (HHS) administers the program. SRAE programs also provide education on personal responsibility, self-regulation, goal setting, healthy relationships, a focus on the future, and preventing drug and alcohol use. The reauthorization included a requirement to evaluate the SRAE grant program</w:t>
      </w:r>
      <w:r w:rsidR="005A6436">
        <w:t xml:space="preserve"> and </w:t>
      </w:r>
      <w:r w:rsidRPr="008813EA">
        <w:t xml:space="preserve">ACF awarded a contract for the SRAE National Evaluation (SRAENE) in 2018. </w:t>
      </w:r>
      <w:r w:rsidR="0020514F">
        <w:t>SRAENE is comprised of two sub-studies, the National Descriptive Study (NDS) and the Program Components Impacts Study</w:t>
      </w:r>
      <w:r w:rsidR="00D4133C">
        <w:t xml:space="preserve"> (CIS)</w:t>
      </w:r>
      <w:r w:rsidR="00826D77">
        <w:t>.</w:t>
      </w:r>
      <w:r>
        <w:rPr>
          <w:rStyle w:val="FootnoteReference"/>
        </w:rPr>
        <w:footnoteReference w:id="2"/>
      </w:r>
      <w:r w:rsidR="0020514F">
        <w:t xml:space="preserve"> SRAENE also comprises a third element</w:t>
      </w:r>
      <w:r w:rsidR="005A6436">
        <w:t>—</w:t>
      </w:r>
      <w:r w:rsidR="0020514F">
        <w:t xml:space="preserve">which is not a study—that involves the provision of Data and Evaluation Support technical assistance. Under the NDS, </w:t>
      </w:r>
      <w:r w:rsidR="005A6436">
        <w:t>ACF is</w:t>
      </w:r>
      <w:r w:rsidR="0020514F">
        <w:t xml:space="preserve"> conducting a Nationwide Study (NWS) </w:t>
      </w:r>
      <w:r w:rsidR="0020514F">
        <w:rPr>
          <w:bCs/>
        </w:rPr>
        <w:t xml:space="preserve">to learn about </w:t>
      </w:r>
      <w:r w:rsidRPr="007A0024" w:rsidR="0020514F">
        <w:rPr>
          <w:rFonts w:cstheme="minorHAnsi"/>
          <w:bCs/>
        </w:rPr>
        <w:t>program implementation experiences and outcomes of the SRAE grant program</w:t>
      </w:r>
      <w:r w:rsidRPr="007A0024" w:rsidR="00A54C41">
        <w:rPr>
          <w:rFonts w:cstheme="minorHAnsi"/>
          <w:bCs/>
        </w:rPr>
        <w:t>.</w:t>
      </w:r>
      <w:r>
        <w:rPr>
          <w:rStyle w:val="FootnoteReference"/>
          <w:rFonts w:cstheme="minorHAnsi"/>
          <w:bCs/>
        </w:rPr>
        <w:footnoteReference w:id="3"/>
      </w:r>
    </w:p>
    <w:p w:rsidR="0020514F" w:rsidP="0020514F" w14:paraId="51F1A528" w14:textId="18281E22">
      <w:pPr>
        <w:tabs>
          <w:tab w:val="left" w:pos="-720"/>
        </w:tabs>
        <w:suppressAutoHyphens/>
        <w:spacing w:after="240"/>
      </w:pPr>
      <w:r>
        <w:t xml:space="preserve">This information collection request </w:t>
      </w:r>
      <w:r w:rsidR="007A0024">
        <w:t>is designed to extend</w:t>
      </w:r>
      <w:r w:rsidR="00846BBB">
        <w:t xml:space="preserve"> ACF’s</w:t>
      </w:r>
      <w:r w:rsidR="007A0024">
        <w:t xml:space="preserve"> learning from the NWS. Specifically, this NWS </w:t>
      </w:r>
      <w:r w:rsidR="007A0024">
        <w:t>substudy</w:t>
      </w:r>
      <w:r w:rsidR="007A0024">
        <w:t xml:space="preserve"> </w:t>
      </w:r>
      <w:r w:rsidR="002C7C1A">
        <w:t>includes the</w:t>
      </w:r>
      <w:r w:rsidR="002A04C9">
        <w:t xml:space="preserve"> </w:t>
      </w:r>
      <w:r w:rsidR="002C7C1A">
        <w:rPr>
          <w:bCs/>
        </w:rPr>
        <w:t>collection of</w:t>
      </w:r>
      <w:r>
        <w:rPr>
          <w:bCs/>
        </w:rPr>
        <w:t xml:space="preserve"> interview data in spring 2023 to learn about </w:t>
      </w:r>
      <w:r w:rsidR="00D21B49">
        <w:rPr>
          <w:bCs/>
        </w:rPr>
        <w:t xml:space="preserve">the </w:t>
      </w:r>
      <w:r>
        <w:rPr>
          <w:bCs/>
        </w:rPr>
        <w:t xml:space="preserve">program implementation experiences of grantees </w:t>
      </w:r>
      <w:r w:rsidR="002A4BFF">
        <w:rPr>
          <w:bCs/>
        </w:rPr>
        <w:t>and providers delivering</w:t>
      </w:r>
      <w:r>
        <w:rPr>
          <w:bCs/>
        </w:rPr>
        <w:t xml:space="preserve"> SRAE programming to youth in </w:t>
      </w:r>
      <w:r w:rsidR="007975B8">
        <w:t>juvenile justice detention centers and foster care group homes</w:t>
      </w:r>
      <w:r>
        <w:rPr>
          <w:bCs/>
        </w:rPr>
        <w:t>.</w:t>
      </w:r>
      <w:r>
        <w:t xml:space="preserve">  </w:t>
      </w:r>
    </w:p>
    <w:p w:rsidR="009D2672" w:rsidRPr="008813EA" w:rsidP="007A4513" w14:paraId="32688772" w14:textId="77777777">
      <w:pPr>
        <w:spacing w:after="120"/>
        <w:rPr>
          <w:b/>
        </w:rPr>
      </w:pPr>
      <w:r w:rsidRPr="008813EA">
        <w:rPr>
          <w:b/>
        </w:rPr>
        <w:t>A2</w:t>
      </w:r>
      <w:r w:rsidRPr="008813EA">
        <w:t>.</w:t>
      </w:r>
      <w:r w:rsidRPr="008813EA">
        <w:tab/>
      </w:r>
      <w:r w:rsidRPr="008813EA">
        <w:rPr>
          <w:b/>
        </w:rPr>
        <w:t>Purpose</w:t>
      </w:r>
    </w:p>
    <w:p w:rsidR="009D2672" w:rsidRPr="008813EA" w14:paraId="6F20EFC3" w14:textId="77777777">
      <w:pPr>
        <w:spacing w:after="120" w:line="240" w:lineRule="auto"/>
        <w:rPr>
          <w:i/>
        </w:rPr>
      </w:pPr>
      <w:r w:rsidRPr="008813EA">
        <w:rPr>
          <w:i/>
        </w:rPr>
        <w:t xml:space="preserve">Purpose and Use </w:t>
      </w:r>
    </w:p>
    <w:p w:rsidR="009D2672" w:rsidRPr="00E46AE6" w14:paraId="5D9AF364" w14:textId="04568AE5">
      <w:pPr>
        <w:tabs>
          <w:tab w:val="left" w:pos="-720"/>
        </w:tabs>
        <w:suppressAutoHyphens/>
        <w:spacing w:after="240"/>
        <w:rPr>
          <w:iCs/>
        </w:rPr>
      </w:pPr>
      <w:bookmarkStart w:id="8" w:name="_Hlk129781543"/>
      <w:bookmarkStart w:id="9" w:name="_Hlk105773397"/>
      <w:r w:rsidRPr="008813EA">
        <w:rPr>
          <w:iCs/>
        </w:rPr>
        <w:t>The goal of this proposed</w:t>
      </w:r>
      <w:r w:rsidR="00C1253E">
        <w:rPr>
          <w:iCs/>
        </w:rPr>
        <w:t xml:space="preserve"> formative</w:t>
      </w:r>
      <w:r w:rsidRPr="008813EA">
        <w:rPr>
          <w:iCs/>
        </w:rPr>
        <w:t xml:space="preserve"> data collection is </w:t>
      </w:r>
      <w:bookmarkStart w:id="10" w:name="_Hlk129781932"/>
      <w:r w:rsidRPr="008813EA">
        <w:rPr>
          <w:iCs/>
        </w:rPr>
        <w:t xml:space="preserve">to inform the development of </w:t>
      </w:r>
      <w:r w:rsidR="00C12955">
        <w:rPr>
          <w:iCs/>
        </w:rPr>
        <w:t xml:space="preserve">a descriptive research study </w:t>
      </w:r>
      <w:r w:rsidR="008C4235">
        <w:rPr>
          <w:iCs/>
        </w:rPr>
        <w:t xml:space="preserve">focused on </w:t>
      </w:r>
      <w:r w:rsidR="00C12955">
        <w:rPr>
          <w:iCs/>
        </w:rPr>
        <w:t>SRAE programming within community settings</w:t>
      </w:r>
      <w:bookmarkEnd w:id="8"/>
      <w:bookmarkEnd w:id="10"/>
      <w:r w:rsidR="00C12955">
        <w:rPr>
          <w:iCs/>
        </w:rPr>
        <w:t xml:space="preserve">. </w:t>
      </w:r>
      <w:r w:rsidRPr="008813EA">
        <w:rPr>
          <w:iCs/>
        </w:rPr>
        <w:t xml:space="preserve"> </w:t>
      </w:r>
      <w:bookmarkStart w:id="11" w:name="_Hlk129781326"/>
      <w:r w:rsidR="00E46AE6">
        <w:rPr>
          <w:iCs/>
        </w:rPr>
        <w:t>Y</w:t>
      </w:r>
      <w:r w:rsidRPr="00E46AE6" w:rsidR="00E46AE6">
        <w:rPr>
          <w:iCs/>
        </w:rPr>
        <w:t>outh involved in community settings</w:t>
      </w:r>
      <w:r w:rsidR="00E46AE6">
        <w:rPr>
          <w:iCs/>
        </w:rPr>
        <w:t xml:space="preserve">, </w:t>
      </w:r>
      <w:r w:rsidR="00215834">
        <w:rPr>
          <w:iCs/>
        </w:rPr>
        <w:t xml:space="preserve">including </w:t>
      </w:r>
      <w:r w:rsidR="00E46AE6">
        <w:rPr>
          <w:iCs/>
        </w:rPr>
        <w:t>foster care group homes</w:t>
      </w:r>
      <w:r w:rsidRPr="00E46AE6" w:rsidR="00E46AE6">
        <w:rPr>
          <w:iCs/>
        </w:rPr>
        <w:t xml:space="preserve"> and juvenile justice </w:t>
      </w:r>
      <w:r w:rsidR="00E46AE6">
        <w:rPr>
          <w:iCs/>
        </w:rPr>
        <w:t>detention centers</w:t>
      </w:r>
      <w:r w:rsidRPr="00E46AE6" w:rsidR="00E46AE6">
        <w:rPr>
          <w:iCs/>
        </w:rPr>
        <w:t xml:space="preserve">, are more likely to engage in sexual risk behaviors than their counterparts. As such, ACF encourages </w:t>
      </w:r>
      <w:r w:rsidR="00E46AE6">
        <w:rPr>
          <w:iCs/>
        </w:rPr>
        <w:t xml:space="preserve">providers </w:t>
      </w:r>
      <w:r w:rsidRPr="00E46AE6" w:rsidR="00E46AE6">
        <w:rPr>
          <w:iCs/>
        </w:rPr>
        <w:t xml:space="preserve">to serve youth </w:t>
      </w:r>
      <w:r w:rsidR="00E46AE6">
        <w:rPr>
          <w:iCs/>
        </w:rPr>
        <w:t>involved in community settings</w:t>
      </w:r>
      <w:r w:rsidRPr="00E46AE6" w:rsidR="00E46AE6">
        <w:rPr>
          <w:iCs/>
        </w:rPr>
        <w:t xml:space="preserve"> through its </w:t>
      </w:r>
      <w:r w:rsidR="00E46AE6">
        <w:rPr>
          <w:iCs/>
        </w:rPr>
        <w:t>Notice of Funding Opportunity</w:t>
      </w:r>
      <w:r w:rsidRPr="00E46AE6" w:rsidR="00E46AE6">
        <w:rPr>
          <w:iCs/>
        </w:rPr>
        <w:t xml:space="preserve"> and tracks the number of </w:t>
      </w:r>
      <w:r w:rsidR="00FC322D">
        <w:rPr>
          <w:iCs/>
        </w:rPr>
        <w:t xml:space="preserve">some </w:t>
      </w:r>
      <w:r w:rsidRPr="00E46AE6" w:rsidR="00E46AE6">
        <w:rPr>
          <w:iCs/>
        </w:rPr>
        <w:t xml:space="preserve">youth </w:t>
      </w:r>
      <w:r w:rsidR="00FC322D">
        <w:rPr>
          <w:iCs/>
        </w:rPr>
        <w:t>served in community settings</w:t>
      </w:r>
      <w:r w:rsidRPr="00E46AE6" w:rsidR="00E46AE6">
        <w:rPr>
          <w:iCs/>
        </w:rPr>
        <w:t xml:space="preserve"> through </w:t>
      </w:r>
      <w:r w:rsidR="00E46AE6">
        <w:rPr>
          <w:iCs/>
        </w:rPr>
        <w:t xml:space="preserve">the SRAE </w:t>
      </w:r>
      <w:r w:rsidRPr="00E46AE6" w:rsidR="00E46AE6">
        <w:rPr>
          <w:iCs/>
        </w:rPr>
        <w:t>OMB-approved performance measures</w:t>
      </w:r>
      <w:r w:rsidR="00E46AE6">
        <w:rPr>
          <w:iCs/>
        </w:rPr>
        <w:t xml:space="preserve"> (OMB #0970-0536)</w:t>
      </w:r>
      <w:r w:rsidRPr="00E46AE6" w:rsidR="00E46AE6">
        <w:rPr>
          <w:iCs/>
        </w:rPr>
        <w:t>.</w:t>
      </w:r>
      <w:r>
        <w:rPr>
          <w:rStyle w:val="FootnoteReference"/>
          <w:iCs/>
        </w:rPr>
        <w:footnoteReference w:id="4"/>
      </w:r>
      <w:r w:rsidRPr="00E46AE6" w:rsidR="00E46AE6">
        <w:rPr>
          <w:iCs/>
        </w:rPr>
        <w:t xml:space="preserve"> However, little is known about the implementation experiences of SRAE programs that serve these youth</w:t>
      </w:r>
      <w:r w:rsidR="00E46AE6">
        <w:rPr>
          <w:iCs/>
        </w:rPr>
        <w:t xml:space="preserve"> and what</w:t>
      </w:r>
      <w:r w:rsidR="009A0BAE">
        <w:rPr>
          <w:iCs/>
        </w:rPr>
        <w:t>, if any,</w:t>
      </w:r>
      <w:r w:rsidR="00E46AE6">
        <w:rPr>
          <w:iCs/>
        </w:rPr>
        <w:t xml:space="preserve"> supports </w:t>
      </w:r>
      <w:r w:rsidR="009A0BAE">
        <w:rPr>
          <w:iCs/>
        </w:rPr>
        <w:t>may be needed</w:t>
      </w:r>
      <w:r w:rsidRPr="00E46AE6" w:rsidR="00E46AE6">
        <w:rPr>
          <w:iCs/>
        </w:rPr>
        <w:t>. This</w:t>
      </w:r>
      <w:r w:rsidR="00E46AE6">
        <w:rPr>
          <w:iCs/>
        </w:rPr>
        <w:t xml:space="preserve"> </w:t>
      </w:r>
      <w:r w:rsidRPr="008813EA" w:rsidR="009571CC">
        <w:rPr>
          <w:iCs/>
        </w:rPr>
        <w:t xml:space="preserve">formative </w:t>
      </w:r>
      <w:r w:rsidR="008C4235">
        <w:rPr>
          <w:iCs/>
        </w:rPr>
        <w:t>research</w:t>
      </w:r>
      <w:r w:rsidRPr="008813EA" w:rsidR="009571CC">
        <w:rPr>
          <w:iCs/>
        </w:rPr>
        <w:t xml:space="preserve"> </w:t>
      </w:r>
      <w:r w:rsidR="009571CC">
        <w:rPr>
          <w:iCs/>
        </w:rPr>
        <w:t xml:space="preserve">seeks to address gaps in knowledge about </w:t>
      </w:r>
      <w:r w:rsidR="008C4235">
        <w:rPr>
          <w:iCs/>
        </w:rPr>
        <w:t xml:space="preserve">the </w:t>
      </w:r>
      <w:r w:rsidR="009571CC">
        <w:rPr>
          <w:iCs/>
        </w:rPr>
        <w:t>implementation experiences</w:t>
      </w:r>
      <w:bookmarkStart w:id="12" w:name="_Hlk110439716"/>
      <w:bookmarkStart w:id="13" w:name="_Hlk105773607"/>
      <w:r w:rsidR="00C12955">
        <w:rPr>
          <w:iCs/>
        </w:rPr>
        <w:t xml:space="preserve">--including the </w:t>
      </w:r>
      <w:r w:rsidR="00C12955">
        <w:rPr>
          <w:bCs/>
        </w:rPr>
        <w:t xml:space="preserve">successes, challenges, and lessons learned--related </w:t>
      </w:r>
      <w:r w:rsidRPr="00E46AE6" w:rsidR="00C12955">
        <w:rPr>
          <w:bCs/>
        </w:rPr>
        <w:t xml:space="preserve">to providing SRAE programming to youth in </w:t>
      </w:r>
      <w:bookmarkStart w:id="14" w:name="_Hlk124492131"/>
      <w:r w:rsidRPr="00E46AE6" w:rsidR="00C12955">
        <w:t>juvenile justice detention centers and foster care group homes</w:t>
      </w:r>
      <w:bookmarkEnd w:id="14"/>
      <w:bookmarkEnd w:id="11"/>
      <w:r w:rsidRPr="00E46AE6" w:rsidR="00C12955">
        <w:rPr>
          <w:bCs/>
        </w:rPr>
        <w:t xml:space="preserve">. </w:t>
      </w:r>
      <w:bookmarkStart w:id="15" w:name="_Hlk129781457"/>
      <w:r w:rsidRPr="00E46AE6" w:rsidR="00D82800">
        <w:rPr>
          <w:iCs/>
        </w:rPr>
        <w:t>T</w:t>
      </w:r>
      <w:r w:rsidRPr="00E46AE6" w:rsidR="00E14F60">
        <w:rPr>
          <w:iCs/>
        </w:rPr>
        <w:t xml:space="preserve">he information collected through this study </w:t>
      </w:r>
      <w:r w:rsidRPr="00E46AE6" w:rsidR="00D82800">
        <w:rPr>
          <w:iCs/>
        </w:rPr>
        <w:t xml:space="preserve">will be used </w:t>
      </w:r>
      <w:r w:rsidRPr="00E46AE6" w:rsidR="00E14F60">
        <w:rPr>
          <w:iCs/>
        </w:rPr>
        <w:t>to inform</w:t>
      </w:r>
      <w:r w:rsidRPr="00E46AE6" w:rsidR="00447C89">
        <w:rPr>
          <w:iCs/>
        </w:rPr>
        <w:t xml:space="preserve"> </w:t>
      </w:r>
      <w:r w:rsidRPr="00E46AE6" w:rsidR="00E14F60">
        <w:rPr>
          <w:iCs/>
        </w:rPr>
        <w:t xml:space="preserve">future research </w:t>
      </w:r>
      <w:r w:rsidRPr="00E46AE6" w:rsidR="00447C89">
        <w:rPr>
          <w:iCs/>
        </w:rPr>
        <w:t xml:space="preserve">on </w:t>
      </w:r>
      <w:r w:rsidRPr="00E46AE6" w:rsidR="00434B76">
        <w:t xml:space="preserve">delivering SRAE programming to youth </w:t>
      </w:r>
      <w:bookmarkEnd w:id="12"/>
      <w:r w:rsidRPr="00E46AE6" w:rsidR="00DE0DFD">
        <w:t>engaged in the justice and child welfare systems</w:t>
      </w:r>
      <w:r w:rsidRPr="00E46AE6" w:rsidR="00434B76">
        <w:t>.</w:t>
      </w:r>
      <w:r w:rsidR="009A0BAE">
        <w:t xml:space="preserve"> </w:t>
      </w:r>
      <w:r w:rsidR="00FC322D">
        <w:rPr>
          <w:iCs/>
        </w:rPr>
        <w:t>D</w:t>
      </w:r>
      <w:r w:rsidRPr="00FC322D" w:rsidR="009A0BAE">
        <w:rPr>
          <w:iCs/>
        </w:rPr>
        <w:t xml:space="preserve">ata </w:t>
      </w:r>
      <w:r w:rsidR="00FC322D">
        <w:rPr>
          <w:iCs/>
        </w:rPr>
        <w:t>collected through</w:t>
      </w:r>
      <w:r w:rsidRPr="00FC322D" w:rsidR="009A0BAE">
        <w:rPr>
          <w:iCs/>
        </w:rPr>
        <w:t xml:space="preserve"> this formative study will provide </w:t>
      </w:r>
      <w:r w:rsidR="00B2504D">
        <w:rPr>
          <w:iCs/>
        </w:rPr>
        <w:t xml:space="preserve">foundational information about how grantees serve youth in these settings, including specific challenges they have faced and successful strategies they have identified. From this information, ACF can identify </w:t>
      </w:r>
      <w:r w:rsidR="00427FD5">
        <w:rPr>
          <w:iCs/>
        </w:rPr>
        <w:t xml:space="preserve">specific </w:t>
      </w:r>
      <w:r w:rsidR="00B2504D">
        <w:rPr>
          <w:iCs/>
        </w:rPr>
        <w:t>areas that merit future research</w:t>
      </w:r>
      <w:r w:rsidR="00D76DA5">
        <w:rPr>
          <w:iCs/>
        </w:rPr>
        <w:t xml:space="preserve"> </w:t>
      </w:r>
      <w:r w:rsidR="005D045E">
        <w:rPr>
          <w:iCs/>
        </w:rPr>
        <w:t>and/</w:t>
      </w:r>
      <w:r w:rsidR="00D76DA5">
        <w:rPr>
          <w:iCs/>
        </w:rPr>
        <w:t>or</w:t>
      </w:r>
      <w:r w:rsidRPr="00D76DA5" w:rsidR="00D76DA5">
        <w:rPr>
          <w:iCs/>
        </w:rPr>
        <w:t xml:space="preserve"> </w:t>
      </w:r>
      <w:r w:rsidR="00D76DA5">
        <w:rPr>
          <w:iCs/>
        </w:rPr>
        <w:t>technical assistance</w:t>
      </w:r>
      <w:r w:rsidR="00B2504D">
        <w:rPr>
          <w:iCs/>
        </w:rPr>
        <w:t xml:space="preserve">. In addition, the findings from this formative study can provide context </w:t>
      </w:r>
      <w:r w:rsidR="00BF131D">
        <w:rPr>
          <w:iCs/>
        </w:rPr>
        <w:t xml:space="preserve">for a future analysis of whether specific features of implementation in these settings are more strongly associated with youth outcomes than others. </w:t>
      </w:r>
      <w:r w:rsidR="00B2504D">
        <w:rPr>
          <w:iCs/>
        </w:rPr>
        <w:t xml:space="preserve"> </w:t>
      </w:r>
      <w:r w:rsidR="00BF131D">
        <w:rPr>
          <w:iCs/>
        </w:rPr>
        <w:t>Finally</w:t>
      </w:r>
      <w:r w:rsidRPr="00FC322D" w:rsidR="00C64A6C">
        <w:rPr>
          <w:iCs/>
        </w:rPr>
        <w:t>, t</w:t>
      </w:r>
      <w:r w:rsidRPr="00FC322D" w:rsidR="00826D77">
        <w:rPr>
          <w:iCs/>
        </w:rPr>
        <w:t xml:space="preserve">he study findings </w:t>
      </w:r>
      <w:r w:rsidRPr="00FC322D">
        <w:rPr>
          <w:iCs/>
        </w:rPr>
        <w:t>will</w:t>
      </w:r>
      <w:r w:rsidRPr="00FC322D" w:rsidR="00C64A6C">
        <w:rPr>
          <w:iCs/>
        </w:rPr>
        <w:t xml:space="preserve"> </w:t>
      </w:r>
      <w:r w:rsidRPr="00FC322D" w:rsidR="00DC09CC">
        <w:rPr>
          <w:iCs/>
        </w:rPr>
        <w:t xml:space="preserve">inform </w:t>
      </w:r>
      <w:r w:rsidRPr="00FC322D" w:rsidR="00AA2FE1">
        <w:rPr>
          <w:iCs/>
        </w:rPr>
        <w:t>future</w:t>
      </w:r>
      <w:r w:rsidRPr="00FC322D">
        <w:rPr>
          <w:iCs/>
        </w:rPr>
        <w:t xml:space="preserve"> </w:t>
      </w:r>
      <w:r w:rsidRPr="00FC322D" w:rsidR="00AA2FE1">
        <w:rPr>
          <w:iCs/>
        </w:rPr>
        <w:t>technical</w:t>
      </w:r>
      <w:r w:rsidRPr="00E46AE6" w:rsidR="00AA2FE1">
        <w:rPr>
          <w:iCs/>
        </w:rPr>
        <w:t xml:space="preserve"> assistance</w:t>
      </w:r>
      <w:bookmarkEnd w:id="9"/>
      <w:bookmarkEnd w:id="13"/>
      <w:r w:rsidRPr="00E46AE6" w:rsidR="00AA2FE1">
        <w:rPr>
          <w:iCs/>
        </w:rPr>
        <w:t xml:space="preserve"> offerings to grantees</w:t>
      </w:r>
      <w:r w:rsidRPr="00E46AE6" w:rsidR="00330A94">
        <w:rPr>
          <w:iCs/>
        </w:rPr>
        <w:t xml:space="preserve"> and providers</w:t>
      </w:r>
      <w:r w:rsidRPr="00E46AE6" w:rsidR="00AA2FE1">
        <w:rPr>
          <w:iCs/>
        </w:rPr>
        <w:t xml:space="preserve"> </w:t>
      </w:r>
      <w:r w:rsidRPr="00E46AE6" w:rsidR="008C4235">
        <w:rPr>
          <w:iCs/>
        </w:rPr>
        <w:t>implementing SRAE programs</w:t>
      </w:r>
      <w:r w:rsidRPr="00E46AE6" w:rsidR="0085466E">
        <w:rPr>
          <w:iCs/>
        </w:rPr>
        <w:t xml:space="preserve"> in </w:t>
      </w:r>
      <w:r w:rsidRPr="00E46AE6" w:rsidR="00AA2FE1">
        <w:rPr>
          <w:iCs/>
        </w:rPr>
        <w:t xml:space="preserve">these </w:t>
      </w:r>
      <w:r w:rsidRPr="00E46AE6" w:rsidR="0085466E">
        <w:rPr>
          <w:iCs/>
        </w:rPr>
        <w:t>settings</w:t>
      </w:r>
      <w:r w:rsidRPr="00E46AE6" w:rsidR="00AA2FE1">
        <w:rPr>
          <w:iCs/>
        </w:rPr>
        <w:t>.</w:t>
      </w:r>
      <w:bookmarkEnd w:id="15"/>
      <w:r w:rsidR="00B2504D">
        <w:rPr>
          <w:iCs/>
        </w:rPr>
        <w:t xml:space="preserve"> </w:t>
      </w:r>
      <w:r w:rsidR="00B2504D">
        <w:rPr>
          <w:iCs/>
        </w:rPr>
        <w:t>In particular, ACF</w:t>
      </w:r>
      <w:r w:rsidR="00B2504D">
        <w:rPr>
          <w:iCs/>
        </w:rPr>
        <w:t xml:space="preserve"> can share the lessons learned and successful strategies identified in the study with other grantees, as well as provide additional support around common challenges faced by grantees working in these settings.  </w:t>
      </w:r>
    </w:p>
    <w:p w:rsidR="00DA2252" w:rsidRPr="008813EA" w:rsidP="00DA2252" w14:paraId="44399D53" w14:textId="77777777">
      <w:pPr>
        <w:rPr>
          <w:rFonts w:cstheme="minorHAnsi"/>
          <w:b/>
        </w:rPr>
      </w:pPr>
      <w:r w:rsidRPr="00E46AE6">
        <w:rPr>
          <w:rFonts w:cstheme="minorHAnsi"/>
        </w:rPr>
        <w:t>This proposed information collection meets the following go</w:t>
      </w:r>
      <w:r w:rsidRPr="008813EA">
        <w:rPr>
          <w:rFonts w:cstheme="minorHAnsi"/>
        </w:rPr>
        <w:t>als of ACF’s generic clearance for formative data collections for research and evaluation (0970-0356):</w:t>
      </w:r>
    </w:p>
    <w:p w:rsidR="00A64C33" w:rsidP="00A64C33" w14:paraId="3FE0C85E" w14:textId="1CB692F0">
      <w:pPr>
        <w:numPr>
          <w:ilvl w:val="0"/>
          <w:numId w:val="45"/>
        </w:numPr>
        <w:spacing w:after="0"/>
        <w:rPr>
          <w:rFonts w:cstheme="minorHAnsi"/>
        </w:rPr>
      </w:pPr>
      <w:r>
        <w:rPr>
          <w:rFonts w:cstheme="minorHAnsi"/>
        </w:rPr>
        <w:t>I</w:t>
      </w:r>
      <w:r w:rsidRPr="00D7173F">
        <w:rPr>
          <w:rFonts w:cstheme="minorHAnsi"/>
        </w:rPr>
        <w:t>nform the development of research</w:t>
      </w:r>
      <w:r w:rsidR="005A6436">
        <w:rPr>
          <w:rFonts w:cstheme="minorHAnsi"/>
        </w:rPr>
        <w:t>.</w:t>
      </w:r>
    </w:p>
    <w:p w:rsidR="00A64C33" w:rsidP="00A64C33" w14:paraId="06AD1D29" w14:textId="01225229">
      <w:pPr>
        <w:numPr>
          <w:ilvl w:val="0"/>
          <w:numId w:val="45"/>
        </w:numPr>
        <w:spacing w:after="0"/>
        <w:rPr>
          <w:rFonts w:cstheme="minorHAnsi"/>
        </w:rPr>
      </w:pPr>
      <w:r>
        <w:rPr>
          <w:rFonts w:cstheme="minorHAnsi"/>
        </w:rPr>
        <w:t>M</w:t>
      </w:r>
      <w:r w:rsidRPr="00D7173F">
        <w:rPr>
          <w:rFonts w:cstheme="minorHAnsi"/>
        </w:rPr>
        <w:t>aintain a research agenda that is rigorous and relevant</w:t>
      </w:r>
      <w:r w:rsidR="005A6436">
        <w:rPr>
          <w:rFonts w:cstheme="minorHAnsi"/>
        </w:rPr>
        <w:t>.</w:t>
      </w:r>
    </w:p>
    <w:p w:rsidR="00A64C33" w:rsidP="00A64C33" w14:paraId="6E9A9226" w14:textId="6AB6C7F8">
      <w:pPr>
        <w:numPr>
          <w:ilvl w:val="0"/>
          <w:numId w:val="45"/>
        </w:numPr>
        <w:spacing w:after="0"/>
        <w:rPr>
          <w:rFonts w:cstheme="minorHAnsi"/>
        </w:rPr>
      </w:pPr>
      <w:r>
        <w:rPr>
          <w:rFonts w:cstheme="minorHAnsi"/>
        </w:rPr>
        <w:t>E</w:t>
      </w:r>
      <w:r w:rsidRPr="00D7173F">
        <w:rPr>
          <w:rFonts w:cstheme="minorHAnsi"/>
        </w:rPr>
        <w:t>nsure that research products are as current as possible</w:t>
      </w:r>
      <w:r w:rsidR="005A6436">
        <w:rPr>
          <w:rFonts w:cstheme="minorHAnsi"/>
        </w:rPr>
        <w:t>.</w:t>
      </w:r>
    </w:p>
    <w:p w:rsidR="00A64C33" w:rsidRPr="008813EA" w:rsidP="00A64C33" w14:paraId="4AD648C7" w14:textId="4F1B707A">
      <w:pPr>
        <w:numPr>
          <w:ilvl w:val="0"/>
          <w:numId w:val="45"/>
        </w:numPr>
        <w:spacing w:after="0"/>
        <w:rPr>
          <w:rFonts w:cstheme="minorHAnsi"/>
        </w:rPr>
      </w:pPr>
      <w:r>
        <w:rPr>
          <w:rFonts w:cstheme="minorHAnsi"/>
        </w:rPr>
        <w:t>I</w:t>
      </w:r>
      <w:r w:rsidRPr="00D7173F">
        <w:rPr>
          <w:rFonts w:cstheme="minorHAnsi"/>
        </w:rPr>
        <w:t>nform the provision of technical assistance</w:t>
      </w:r>
      <w:r w:rsidR="005A6436">
        <w:rPr>
          <w:rFonts w:cstheme="minorHAnsi"/>
        </w:rPr>
        <w:t>.</w:t>
      </w:r>
    </w:p>
    <w:p w:rsidR="00C64A6C" w:rsidP="00C7376B" w14:paraId="20E8F38E" w14:textId="77777777">
      <w:pPr>
        <w:spacing w:after="0" w:line="240" w:lineRule="auto"/>
        <w:rPr>
          <w:rFonts w:cstheme="minorHAnsi"/>
        </w:rPr>
      </w:pPr>
    </w:p>
    <w:p w:rsidR="00C7376B" w:rsidRPr="008813EA" w:rsidP="00C7376B" w14:paraId="40B4C9A2" w14:textId="265B8ACF">
      <w:pPr>
        <w:spacing w:after="0" w:line="240" w:lineRule="auto"/>
        <w:rPr>
          <w:rFonts w:cstheme="minorHAnsi"/>
        </w:rPr>
      </w:pPr>
      <w:r w:rsidRPr="008813EA">
        <w:rPr>
          <w:rFonts w:cstheme="minorHAnsi"/>
        </w:rPr>
        <w:t>The information collected is meant to contribute to the body of knowledge on ACF programs.</w:t>
      </w:r>
      <w:r w:rsidRPr="008813EA" w:rsidR="00202558">
        <w:rPr>
          <w:rFonts w:cstheme="minorHAnsi"/>
        </w:rPr>
        <w:t xml:space="preserve"> </w:t>
      </w:r>
      <w:r w:rsidRPr="008813EA">
        <w:rPr>
          <w:rFonts w:cstheme="minorHAnsi"/>
        </w:rPr>
        <w:t>It is not intended to be used as the principal basis for a decision by a federal decision-</w:t>
      </w:r>
      <w:r w:rsidRPr="008813EA" w:rsidR="001A0C63">
        <w:rPr>
          <w:rFonts w:cstheme="minorHAnsi"/>
        </w:rPr>
        <w:t>maker and</w:t>
      </w:r>
      <w:r w:rsidRPr="008813EA">
        <w:rPr>
          <w:rFonts w:cstheme="minorHAnsi"/>
        </w:rPr>
        <w:t xml:space="preserve"> is not expected to meet the threshold of influential or highly influential scientific information.</w:t>
      </w:r>
    </w:p>
    <w:p w:rsidR="00C7376B" w:rsidRPr="008813EA" w14:paraId="4312BBA0" w14:textId="77777777">
      <w:pPr>
        <w:spacing w:after="0" w:line="240" w:lineRule="auto"/>
        <w:rPr>
          <w:i/>
        </w:rPr>
      </w:pPr>
    </w:p>
    <w:p w:rsidR="009D2672" w:rsidRPr="008813EA" w14:paraId="4731CA39" w14:textId="024BB5B8">
      <w:pPr>
        <w:spacing w:after="120" w:line="240" w:lineRule="auto"/>
        <w:rPr>
          <w:i/>
        </w:rPr>
      </w:pPr>
      <w:r>
        <w:rPr>
          <w:i/>
        </w:rPr>
        <w:t>Guiding Questions</w:t>
      </w:r>
    </w:p>
    <w:p w:rsidR="009D2672" w:rsidRPr="008813EA" w14:paraId="5C27D0E2" w14:textId="1A8AF278">
      <w:pPr>
        <w:spacing w:after="0" w:line="240" w:lineRule="auto"/>
        <w:rPr>
          <w:iCs/>
        </w:rPr>
      </w:pPr>
      <w:r w:rsidRPr="008813EA">
        <w:rPr>
          <w:iCs/>
        </w:rPr>
        <w:t>This formative</w:t>
      </w:r>
      <w:r w:rsidRPr="008813EA" w:rsidR="00C52A00">
        <w:rPr>
          <w:iCs/>
        </w:rPr>
        <w:t xml:space="preserve"> </w:t>
      </w:r>
      <w:r w:rsidR="008C4235">
        <w:rPr>
          <w:iCs/>
        </w:rPr>
        <w:t xml:space="preserve">research </w:t>
      </w:r>
      <w:r w:rsidRPr="008813EA">
        <w:rPr>
          <w:iCs/>
        </w:rPr>
        <w:t xml:space="preserve">phase </w:t>
      </w:r>
      <w:r w:rsidR="00C1253E">
        <w:rPr>
          <w:iCs/>
        </w:rPr>
        <w:t xml:space="preserve">is guided by three </w:t>
      </w:r>
      <w:r w:rsidRPr="008813EA" w:rsidR="00C52A00">
        <w:rPr>
          <w:iCs/>
        </w:rPr>
        <w:t>primary question</w:t>
      </w:r>
      <w:r w:rsidR="00557013">
        <w:rPr>
          <w:iCs/>
        </w:rPr>
        <w:t>s</w:t>
      </w:r>
      <w:r w:rsidR="00DE0DFD">
        <w:rPr>
          <w:iCs/>
        </w:rPr>
        <w:t xml:space="preserve"> </w:t>
      </w:r>
      <w:r w:rsidR="00D21B49">
        <w:rPr>
          <w:iCs/>
        </w:rPr>
        <w:t>to improve</w:t>
      </w:r>
      <w:r w:rsidR="00DE0DFD">
        <w:rPr>
          <w:iCs/>
        </w:rPr>
        <w:t xml:space="preserve"> ACF’s </w:t>
      </w:r>
      <w:bookmarkStart w:id="16" w:name="_Hlk129782636"/>
      <w:r w:rsidR="00DE0DFD">
        <w:rPr>
          <w:iCs/>
        </w:rPr>
        <w:t>understanding of how SRAE programs are implemented in juvenile justice and foster care group home settings</w:t>
      </w:r>
      <w:r w:rsidR="00D4133C">
        <w:rPr>
          <w:iCs/>
        </w:rPr>
        <w:t>:</w:t>
      </w:r>
      <w:r w:rsidRPr="008813EA" w:rsidR="00825423">
        <w:rPr>
          <w:iCs/>
        </w:rPr>
        <w:t xml:space="preserve"> </w:t>
      </w:r>
      <w:bookmarkEnd w:id="16"/>
    </w:p>
    <w:p w:rsidR="009D2672" w:rsidRPr="008813EA" w14:paraId="7E8568AE" w14:textId="77777777">
      <w:pPr>
        <w:spacing w:after="0" w:line="240" w:lineRule="auto"/>
        <w:rPr>
          <w:iCs/>
        </w:rPr>
      </w:pPr>
    </w:p>
    <w:p w:rsidR="00104078" w14:paraId="0E69E1EE" w14:textId="6FA83DC1">
      <w:pPr>
        <w:numPr>
          <w:ilvl w:val="0"/>
          <w:numId w:val="44"/>
        </w:numPr>
        <w:spacing w:after="0" w:line="240" w:lineRule="auto"/>
        <w:rPr>
          <w:iCs/>
        </w:rPr>
      </w:pPr>
      <w:r w:rsidRPr="00557013">
        <w:rPr>
          <w:iCs/>
        </w:rPr>
        <w:t xml:space="preserve">How </w:t>
      </w:r>
      <w:r w:rsidR="0016592F">
        <w:rPr>
          <w:iCs/>
        </w:rPr>
        <w:t>did</w:t>
      </w:r>
      <w:r w:rsidRPr="00557013">
        <w:rPr>
          <w:iCs/>
        </w:rPr>
        <w:t xml:space="preserve"> </w:t>
      </w:r>
      <w:r w:rsidRPr="00557013">
        <w:rPr>
          <w:iCs/>
        </w:rPr>
        <w:t>grantees</w:t>
      </w:r>
      <w:r w:rsidR="002A4BFF">
        <w:rPr>
          <w:iCs/>
        </w:rPr>
        <w:t xml:space="preserve"> and providers</w:t>
      </w:r>
      <w:r w:rsidRPr="00557013">
        <w:rPr>
          <w:iCs/>
        </w:rPr>
        <w:t xml:space="preserve"> </w:t>
      </w:r>
      <w:r w:rsidR="00F84050">
        <w:rPr>
          <w:iCs/>
        </w:rPr>
        <w:t xml:space="preserve">implement SRAE programs </w:t>
      </w:r>
      <w:r w:rsidRPr="00557013">
        <w:rPr>
          <w:iCs/>
        </w:rPr>
        <w:t xml:space="preserve">in </w:t>
      </w:r>
      <w:r w:rsidR="00E035A0">
        <w:t>juvenile justice detention centers and foster care group homes</w:t>
      </w:r>
      <w:r w:rsidR="00F84050">
        <w:t xml:space="preserve">? </w:t>
      </w:r>
      <w:r>
        <w:t>In particular, how</w:t>
      </w:r>
      <w:r>
        <w:t xml:space="preserve"> </w:t>
      </w:r>
      <w:r w:rsidR="0016592F">
        <w:t>did</w:t>
      </w:r>
      <w:r>
        <w:t xml:space="preserve"> they: </w:t>
      </w:r>
    </w:p>
    <w:p w:rsidR="00104078" w:rsidP="00104078" w14:paraId="4780C92B" w14:textId="1C8BB7B4">
      <w:pPr>
        <w:numPr>
          <w:ilvl w:val="1"/>
          <w:numId w:val="44"/>
        </w:numPr>
        <w:spacing w:after="0" w:line="240" w:lineRule="auto"/>
        <w:rPr>
          <w:iCs/>
        </w:rPr>
      </w:pPr>
      <w:r w:rsidRPr="00557013">
        <w:rPr>
          <w:iCs/>
        </w:rPr>
        <w:t xml:space="preserve"> </w:t>
      </w:r>
      <w:r>
        <w:rPr>
          <w:iCs/>
        </w:rPr>
        <w:t>Identify</w:t>
      </w:r>
      <w:r w:rsidRPr="00104078">
        <w:rPr>
          <w:iCs/>
        </w:rPr>
        <w:t xml:space="preserve"> a curriculum and </w:t>
      </w:r>
      <w:r w:rsidR="00F84050">
        <w:rPr>
          <w:iCs/>
        </w:rPr>
        <w:t>customize programming</w:t>
      </w:r>
      <w:r w:rsidRPr="00104078">
        <w:rPr>
          <w:iCs/>
        </w:rPr>
        <w:t xml:space="preserve"> for youth in these settings</w:t>
      </w:r>
    </w:p>
    <w:p w:rsidR="00104078" w:rsidP="00104078" w14:paraId="7762CBB6" w14:textId="27C7945E">
      <w:pPr>
        <w:numPr>
          <w:ilvl w:val="1"/>
          <w:numId w:val="44"/>
        </w:numPr>
        <w:spacing w:after="0" w:line="240" w:lineRule="auto"/>
        <w:rPr>
          <w:iCs/>
        </w:rPr>
      </w:pPr>
      <w:r>
        <w:rPr>
          <w:iCs/>
        </w:rPr>
        <w:t>Recruit</w:t>
      </w:r>
      <w:r w:rsidRPr="00104078">
        <w:rPr>
          <w:iCs/>
        </w:rPr>
        <w:t>, enrol</w:t>
      </w:r>
      <w:r>
        <w:rPr>
          <w:iCs/>
        </w:rPr>
        <w:t>l</w:t>
      </w:r>
      <w:r w:rsidRPr="00104078">
        <w:rPr>
          <w:iCs/>
        </w:rPr>
        <w:t>, and engag</w:t>
      </w:r>
      <w:r>
        <w:rPr>
          <w:iCs/>
        </w:rPr>
        <w:t>e</w:t>
      </w:r>
      <w:r w:rsidRPr="00104078">
        <w:rPr>
          <w:iCs/>
        </w:rPr>
        <w:t xml:space="preserve"> youth</w:t>
      </w:r>
    </w:p>
    <w:p w:rsidR="00104078" w:rsidP="00104078" w14:paraId="19B9DD2B" w14:textId="23A36CEA">
      <w:pPr>
        <w:numPr>
          <w:ilvl w:val="1"/>
          <w:numId w:val="44"/>
        </w:numPr>
        <w:spacing w:after="0" w:line="240" w:lineRule="auto"/>
        <w:rPr>
          <w:iCs/>
        </w:rPr>
      </w:pPr>
      <w:r>
        <w:rPr>
          <w:iCs/>
        </w:rPr>
        <w:t>Train</w:t>
      </w:r>
      <w:r w:rsidRPr="00104078">
        <w:rPr>
          <w:iCs/>
        </w:rPr>
        <w:t xml:space="preserve"> and support staff delivering the program</w:t>
      </w:r>
    </w:p>
    <w:p w:rsidR="008C4235" w:rsidP="008C4235" w14:paraId="5E0145BE" w14:textId="06785A4D">
      <w:pPr>
        <w:numPr>
          <w:ilvl w:val="1"/>
          <w:numId w:val="44"/>
        </w:numPr>
        <w:spacing w:after="0" w:line="240" w:lineRule="auto"/>
        <w:rPr>
          <w:iCs/>
        </w:rPr>
      </w:pPr>
      <w:r>
        <w:rPr>
          <w:iCs/>
        </w:rPr>
        <w:t>B</w:t>
      </w:r>
      <w:r w:rsidRPr="00104078">
        <w:rPr>
          <w:iCs/>
        </w:rPr>
        <w:t>uild</w:t>
      </w:r>
      <w:r>
        <w:rPr>
          <w:iCs/>
        </w:rPr>
        <w:t xml:space="preserve"> </w:t>
      </w:r>
      <w:r w:rsidRPr="00104078">
        <w:rPr>
          <w:iCs/>
        </w:rPr>
        <w:t>partnerships</w:t>
      </w:r>
    </w:p>
    <w:p w:rsidR="00F84050" w:rsidRPr="008C4235" w:rsidP="00F84050" w14:paraId="522CF0A5" w14:textId="72F9BAC7">
      <w:pPr>
        <w:numPr>
          <w:ilvl w:val="0"/>
          <w:numId w:val="44"/>
        </w:numPr>
        <w:spacing w:after="0" w:line="240" w:lineRule="auto"/>
        <w:rPr>
          <w:iCs/>
        </w:rPr>
      </w:pPr>
      <w:r>
        <w:t xml:space="preserve">To what extent did </w:t>
      </w:r>
      <w:bookmarkStart w:id="17" w:name="_Hlk129782060"/>
      <w:r>
        <w:t>grantees and providers utilize different strategies when serving youth in juvenile justice detention centers and foster care group homes compared to when they served youth in other settings, like schools?</w:t>
      </w:r>
      <w:bookmarkEnd w:id="17"/>
    </w:p>
    <w:p w:rsidR="00557013" w14:paraId="35DFC12E" w14:textId="3875AA6A">
      <w:pPr>
        <w:numPr>
          <w:ilvl w:val="0"/>
          <w:numId w:val="44"/>
        </w:numPr>
        <w:spacing w:after="0" w:line="240" w:lineRule="auto"/>
        <w:rPr>
          <w:iCs/>
        </w:rPr>
      </w:pPr>
      <w:r w:rsidRPr="00557013">
        <w:rPr>
          <w:iCs/>
        </w:rPr>
        <w:t>What successes</w:t>
      </w:r>
      <w:r w:rsidR="00DE0DFD">
        <w:rPr>
          <w:iCs/>
        </w:rPr>
        <w:t>,</w:t>
      </w:r>
      <w:r w:rsidR="00F84050">
        <w:rPr>
          <w:iCs/>
        </w:rPr>
        <w:t xml:space="preserve"> challenges</w:t>
      </w:r>
      <w:r w:rsidR="00DE0DFD">
        <w:rPr>
          <w:iCs/>
        </w:rPr>
        <w:t>, and lessons learned</w:t>
      </w:r>
      <w:r w:rsidR="00F84050">
        <w:rPr>
          <w:iCs/>
        </w:rPr>
        <w:t xml:space="preserve"> </w:t>
      </w:r>
      <w:r w:rsidRPr="00557013">
        <w:rPr>
          <w:iCs/>
        </w:rPr>
        <w:t xml:space="preserve">have grantees </w:t>
      </w:r>
      <w:r w:rsidR="002A4BFF">
        <w:rPr>
          <w:iCs/>
        </w:rPr>
        <w:t xml:space="preserve">and providers </w:t>
      </w:r>
      <w:r w:rsidRPr="00557013">
        <w:rPr>
          <w:iCs/>
        </w:rPr>
        <w:t>experienced with their programs?</w:t>
      </w:r>
    </w:p>
    <w:p w:rsidR="00557013" w14:paraId="6818DE92" w14:textId="77777777">
      <w:pPr>
        <w:spacing w:after="120" w:line="240" w:lineRule="auto"/>
        <w:rPr>
          <w:i/>
        </w:rPr>
      </w:pPr>
    </w:p>
    <w:p w:rsidR="009D2672" w:rsidRPr="008813EA" w14:paraId="4E484607" w14:textId="1EC0DE32">
      <w:pPr>
        <w:spacing w:after="120" w:line="240" w:lineRule="auto"/>
        <w:rPr>
          <w:i/>
        </w:rPr>
      </w:pPr>
      <w:r w:rsidRPr="008813EA">
        <w:rPr>
          <w:i/>
        </w:rPr>
        <w:t>Study Design</w:t>
      </w:r>
    </w:p>
    <w:p w:rsidR="00BD6E43" w:rsidP="000B2B12" w14:paraId="2CB5824E" w14:textId="5D5FD754">
      <w:pPr>
        <w:shd w:val="clear" w:color="auto" w:fill="FFFFFF" w:themeFill="background1"/>
        <w:tabs>
          <w:tab w:val="left" w:pos="-720"/>
        </w:tabs>
        <w:suppressAutoHyphens/>
        <w:spacing w:after="240"/>
        <w:rPr>
          <w:iCs/>
          <w:shd w:val="clear" w:color="auto" w:fill="FFFFFF" w:themeFill="background1"/>
        </w:rPr>
      </w:pPr>
      <w:r w:rsidRPr="008813EA">
        <w:rPr>
          <w:iCs/>
          <w:shd w:val="clear" w:color="auto" w:fill="FFFFFF" w:themeFill="background1"/>
        </w:rPr>
        <w:t xml:space="preserve">To </w:t>
      </w:r>
      <w:r w:rsidR="00F84050">
        <w:rPr>
          <w:iCs/>
          <w:shd w:val="clear" w:color="auto" w:fill="FFFFFF" w:themeFill="background1"/>
        </w:rPr>
        <w:t xml:space="preserve">gather sufficient information on the array of implementation experiences for the </w:t>
      </w:r>
      <w:r w:rsidRPr="008813EA">
        <w:rPr>
          <w:iCs/>
          <w:shd w:val="clear" w:color="auto" w:fill="FFFFFF" w:themeFill="background1"/>
        </w:rPr>
        <w:t xml:space="preserve">formative </w:t>
      </w:r>
      <w:r w:rsidR="00F84050">
        <w:rPr>
          <w:iCs/>
          <w:shd w:val="clear" w:color="auto" w:fill="FFFFFF" w:themeFill="background1"/>
        </w:rPr>
        <w:t>study</w:t>
      </w:r>
      <w:r w:rsidRPr="008813EA">
        <w:rPr>
          <w:iCs/>
          <w:shd w:val="clear" w:color="auto" w:fill="FFFFFF" w:themeFill="background1"/>
        </w:rPr>
        <w:t xml:space="preserve">, the </w:t>
      </w:r>
      <w:r>
        <w:rPr>
          <w:iCs/>
          <w:shd w:val="clear" w:color="auto" w:fill="FFFFFF" w:themeFill="background1"/>
        </w:rPr>
        <w:t xml:space="preserve">study </w:t>
      </w:r>
      <w:r w:rsidRPr="008813EA">
        <w:rPr>
          <w:iCs/>
          <w:shd w:val="clear" w:color="auto" w:fill="FFFFFF" w:themeFill="background1"/>
        </w:rPr>
        <w:t xml:space="preserve">team will </w:t>
      </w:r>
      <w:r>
        <w:rPr>
          <w:iCs/>
          <w:shd w:val="clear" w:color="auto" w:fill="FFFFFF" w:themeFill="background1"/>
        </w:rPr>
        <w:t>identify</w:t>
      </w:r>
      <w:r w:rsidRPr="008813EA">
        <w:rPr>
          <w:iCs/>
          <w:shd w:val="clear" w:color="auto" w:fill="FFFFFF" w:themeFill="background1"/>
        </w:rPr>
        <w:t xml:space="preserve"> </w:t>
      </w:r>
      <w:r>
        <w:rPr>
          <w:iCs/>
          <w:shd w:val="clear" w:color="auto" w:fill="FFFFFF" w:themeFill="background1"/>
        </w:rPr>
        <w:t xml:space="preserve">up to 75 grantees and providers serving youth in </w:t>
      </w:r>
      <w:r>
        <w:t>juvenile justice detention centers and foster care group homes</w:t>
      </w:r>
      <w:r>
        <w:rPr>
          <w:iCs/>
          <w:shd w:val="clear" w:color="auto" w:fill="FFFFFF" w:themeFill="background1"/>
        </w:rPr>
        <w:t xml:space="preserve">. </w:t>
      </w:r>
      <w:r>
        <w:rPr>
          <w:iCs/>
          <w:shd w:val="clear" w:color="auto" w:fill="FFFFFF" w:themeFill="background1"/>
        </w:rPr>
        <w:t xml:space="preserve">Providers will be selected </w:t>
      </w:r>
      <w:r w:rsidR="00D21B49">
        <w:rPr>
          <w:iCs/>
          <w:shd w:val="clear" w:color="auto" w:fill="FFFFFF" w:themeFill="background1"/>
        </w:rPr>
        <w:t>for</w:t>
      </w:r>
      <w:r>
        <w:rPr>
          <w:iCs/>
          <w:shd w:val="clear" w:color="auto" w:fill="FFFFFF" w:themeFill="background1"/>
        </w:rPr>
        <w:t xml:space="preserve"> the study based on their responses to already collected </w:t>
      </w:r>
      <w:r w:rsidR="000A5FAB">
        <w:rPr>
          <w:iCs/>
          <w:shd w:val="clear" w:color="auto" w:fill="FFFFFF" w:themeFill="background1"/>
        </w:rPr>
        <w:t xml:space="preserve">survey </w:t>
      </w:r>
      <w:r w:rsidR="00557013">
        <w:rPr>
          <w:iCs/>
          <w:shd w:val="clear" w:color="auto" w:fill="FFFFFF" w:themeFill="background1"/>
        </w:rPr>
        <w:t>data from the NWS</w:t>
      </w:r>
      <w:r w:rsidR="005B4123">
        <w:rPr>
          <w:iCs/>
          <w:shd w:val="clear" w:color="auto" w:fill="FFFFFF" w:themeFill="background1"/>
        </w:rPr>
        <w:t xml:space="preserve"> </w:t>
      </w:r>
      <w:r>
        <w:rPr>
          <w:iCs/>
          <w:shd w:val="clear" w:color="auto" w:fill="FFFFFF" w:themeFill="background1"/>
        </w:rPr>
        <w:t xml:space="preserve">that providers are required to complete as part of the terms of their grant </w:t>
      </w:r>
      <w:r w:rsidR="008A5B0B">
        <w:rPr>
          <w:iCs/>
          <w:shd w:val="clear" w:color="auto" w:fill="FFFFFF" w:themeFill="background1"/>
        </w:rPr>
        <w:t>agreement</w:t>
      </w:r>
      <w:r w:rsidR="006306F2">
        <w:rPr>
          <w:iCs/>
          <w:shd w:val="clear" w:color="auto" w:fill="FFFFFF" w:themeFill="background1"/>
        </w:rPr>
        <w:t>.</w:t>
      </w:r>
      <w:r>
        <w:rPr>
          <w:rStyle w:val="FootnoteReference"/>
          <w:iCs/>
          <w:shd w:val="clear" w:color="auto" w:fill="FFFFFF" w:themeFill="background1"/>
        </w:rPr>
        <w:footnoteReference w:id="5"/>
      </w:r>
      <w:r w:rsidR="009F3942">
        <w:rPr>
          <w:iCs/>
          <w:shd w:val="clear" w:color="auto" w:fill="FFFFFF" w:themeFill="background1"/>
        </w:rPr>
        <w:t xml:space="preserve"> </w:t>
      </w:r>
      <w:r w:rsidRPr="00CD5E12">
        <w:rPr>
          <w:iCs/>
          <w:shd w:val="clear" w:color="auto" w:fill="FFFFFF" w:themeFill="background1"/>
        </w:rPr>
        <w:t>These data sources ask providers about the populations they serve and the settings in which they serve youth. Using provider responses to those existing data sources allows the study team to identify and recruit the providers that fit the objectives of this proposed study.</w:t>
      </w:r>
    </w:p>
    <w:p w:rsidR="008177C3" w:rsidP="000B2B12" w14:paraId="04B6F387" w14:textId="6F770F8C">
      <w:pPr>
        <w:shd w:val="clear" w:color="auto" w:fill="FFFFFF" w:themeFill="background1"/>
        <w:tabs>
          <w:tab w:val="left" w:pos="-720"/>
        </w:tabs>
        <w:suppressAutoHyphens/>
        <w:spacing w:after="240"/>
      </w:pPr>
      <w:r>
        <w:rPr>
          <w:iCs/>
          <w:shd w:val="clear" w:color="auto" w:fill="FFFFFF" w:themeFill="background1"/>
        </w:rPr>
        <w:t xml:space="preserve">After confirming the potential sample with ACF, </w:t>
      </w:r>
      <w:r w:rsidR="009F3942">
        <w:rPr>
          <w:iCs/>
          <w:shd w:val="clear" w:color="auto" w:fill="FFFFFF" w:themeFill="background1"/>
        </w:rPr>
        <w:t xml:space="preserve">the study team will </w:t>
      </w:r>
      <w:r w:rsidR="005B4123">
        <w:rPr>
          <w:iCs/>
          <w:shd w:val="clear" w:color="auto" w:fill="FFFFFF" w:themeFill="background1"/>
        </w:rPr>
        <w:t>invite grantees</w:t>
      </w:r>
      <w:r w:rsidR="009F3942">
        <w:rPr>
          <w:iCs/>
          <w:shd w:val="clear" w:color="auto" w:fill="FFFFFF" w:themeFill="background1"/>
        </w:rPr>
        <w:t xml:space="preserve"> and providers</w:t>
      </w:r>
      <w:r w:rsidR="005B4123">
        <w:rPr>
          <w:iCs/>
          <w:shd w:val="clear" w:color="auto" w:fill="FFFFFF" w:themeFill="background1"/>
        </w:rPr>
        <w:t xml:space="preserve"> to participate in an interview</w:t>
      </w:r>
      <w:r w:rsidR="005A6436">
        <w:rPr>
          <w:iCs/>
          <w:shd w:val="clear" w:color="auto" w:fill="FFFFFF" w:themeFill="background1"/>
        </w:rPr>
        <w:t>, released</w:t>
      </w:r>
      <w:r w:rsidR="005B4123">
        <w:rPr>
          <w:iCs/>
          <w:shd w:val="clear" w:color="auto" w:fill="FFFFFF" w:themeFill="background1"/>
        </w:rPr>
        <w:t xml:space="preserve"> </w:t>
      </w:r>
      <w:r w:rsidR="009F3942">
        <w:rPr>
          <w:iCs/>
          <w:shd w:val="clear" w:color="auto" w:fill="FFFFFF" w:themeFill="background1"/>
        </w:rPr>
        <w:t xml:space="preserve">via email </w:t>
      </w:r>
      <w:r w:rsidR="005B4123">
        <w:rPr>
          <w:iCs/>
          <w:shd w:val="clear" w:color="auto" w:fill="FFFFFF" w:themeFill="background1"/>
        </w:rPr>
        <w:t>in batches</w:t>
      </w:r>
      <w:r w:rsidR="005A6436">
        <w:rPr>
          <w:iCs/>
          <w:shd w:val="clear" w:color="auto" w:fill="FFFFFF" w:themeFill="background1"/>
        </w:rPr>
        <w:t>,</w:t>
      </w:r>
      <w:r w:rsidR="005B4123">
        <w:rPr>
          <w:iCs/>
          <w:shd w:val="clear" w:color="auto" w:fill="FFFFFF" w:themeFill="background1"/>
        </w:rPr>
        <w:t xml:space="preserve"> until 50 </w:t>
      </w:r>
      <w:r w:rsidR="005A6436">
        <w:rPr>
          <w:iCs/>
          <w:shd w:val="clear" w:color="auto" w:fill="FFFFFF" w:themeFill="background1"/>
        </w:rPr>
        <w:t>grantees</w:t>
      </w:r>
      <w:r w:rsidR="009F3942">
        <w:rPr>
          <w:iCs/>
          <w:shd w:val="clear" w:color="auto" w:fill="FFFFFF" w:themeFill="background1"/>
        </w:rPr>
        <w:t xml:space="preserve"> </w:t>
      </w:r>
      <w:r w:rsidR="005B4123">
        <w:rPr>
          <w:iCs/>
          <w:shd w:val="clear" w:color="auto" w:fill="FFFFFF" w:themeFill="background1"/>
        </w:rPr>
        <w:t>complete.</w:t>
      </w:r>
      <w:r>
        <w:rPr>
          <w:rStyle w:val="FootnoteReference"/>
          <w:iCs/>
          <w:shd w:val="clear" w:color="auto" w:fill="FFFFFF" w:themeFill="background1"/>
        </w:rPr>
        <w:footnoteReference w:id="6"/>
      </w:r>
      <w:r w:rsidR="005B4123">
        <w:rPr>
          <w:iCs/>
          <w:shd w:val="clear" w:color="auto" w:fill="FFFFFF" w:themeFill="background1"/>
        </w:rPr>
        <w:t xml:space="preserve"> The 50 </w:t>
      </w:r>
      <w:r w:rsidR="009F3942">
        <w:rPr>
          <w:iCs/>
          <w:shd w:val="clear" w:color="auto" w:fill="FFFFFF" w:themeFill="background1"/>
        </w:rPr>
        <w:t>respondents</w:t>
      </w:r>
      <w:r w:rsidR="005B4123">
        <w:rPr>
          <w:iCs/>
          <w:shd w:val="clear" w:color="auto" w:fill="FFFFFF" w:themeFill="background1"/>
        </w:rPr>
        <w:t xml:space="preserve"> will complete </w:t>
      </w:r>
      <w:r w:rsidRPr="008813EA" w:rsidR="00557013">
        <w:rPr>
          <w:iCs/>
        </w:rPr>
        <w:t>a one-hour</w:t>
      </w:r>
      <w:r w:rsidR="00557013">
        <w:rPr>
          <w:iCs/>
        </w:rPr>
        <w:t xml:space="preserve"> virtual interview </w:t>
      </w:r>
      <w:r w:rsidR="00557013">
        <w:rPr>
          <w:iCs/>
          <w:shd w:val="clear" w:color="auto" w:fill="FFFFFF" w:themeFill="background1"/>
        </w:rPr>
        <w:t xml:space="preserve">in </w:t>
      </w:r>
      <w:r w:rsidR="005A6436">
        <w:rPr>
          <w:iCs/>
          <w:shd w:val="clear" w:color="auto" w:fill="FFFFFF" w:themeFill="background1"/>
        </w:rPr>
        <w:t>s</w:t>
      </w:r>
      <w:r w:rsidR="00557013">
        <w:rPr>
          <w:iCs/>
          <w:shd w:val="clear" w:color="auto" w:fill="FFFFFF" w:themeFill="background1"/>
        </w:rPr>
        <w:t xml:space="preserve">pring 2023 </w:t>
      </w:r>
      <w:r w:rsidRPr="008813EA" w:rsidR="00557013">
        <w:t xml:space="preserve">(Instrument </w:t>
      </w:r>
      <w:r w:rsidR="00557013">
        <w:t>1</w:t>
      </w:r>
      <w:r w:rsidRPr="008813EA" w:rsidR="00557013">
        <w:t>.</w:t>
      </w:r>
      <w:r w:rsidRPr="00557013" w:rsidR="00557013">
        <w:t xml:space="preserve"> </w:t>
      </w:r>
      <w:r w:rsidR="007975B8">
        <w:rPr>
          <w:rFonts w:eastAsia="Times New Roman"/>
        </w:rPr>
        <w:t xml:space="preserve">Interview </w:t>
      </w:r>
      <w:r w:rsidR="005A6436">
        <w:rPr>
          <w:rFonts w:eastAsia="Times New Roman"/>
        </w:rPr>
        <w:t>P</w:t>
      </w:r>
      <w:r w:rsidR="007975B8">
        <w:rPr>
          <w:rFonts w:eastAsia="Times New Roman"/>
        </w:rPr>
        <w:t xml:space="preserve">rotocol for SRAE </w:t>
      </w:r>
      <w:r w:rsidR="005A6436">
        <w:rPr>
          <w:rFonts w:eastAsia="Times New Roman"/>
        </w:rPr>
        <w:t>G</w:t>
      </w:r>
      <w:r w:rsidR="007975B8">
        <w:rPr>
          <w:rFonts w:eastAsia="Times New Roman"/>
        </w:rPr>
        <w:t xml:space="preserve">rantees and </w:t>
      </w:r>
      <w:r w:rsidR="005A6436">
        <w:rPr>
          <w:rFonts w:eastAsia="Times New Roman"/>
        </w:rPr>
        <w:t>P</w:t>
      </w:r>
      <w:r w:rsidR="007975B8">
        <w:rPr>
          <w:rFonts w:eastAsia="Times New Roman"/>
        </w:rPr>
        <w:t xml:space="preserve">roviders </w:t>
      </w:r>
      <w:r w:rsidR="005A6436">
        <w:rPr>
          <w:rFonts w:eastAsia="Times New Roman"/>
        </w:rPr>
        <w:t>D</w:t>
      </w:r>
      <w:r w:rsidR="007975B8">
        <w:rPr>
          <w:rFonts w:eastAsia="Times New Roman"/>
        </w:rPr>
        <w:t xml:space="preserve">elivering SRAE </w:t>
      </w:r>
      <w:r w:rsidR="005A6436">
        <w:rPr>
          <w:rFonts w:eastAsia="Times New Roman"/>
        </w:rPr>
        <w:t>P</w:t>
      </w:r>
      <w:r w:rsidR="007975B8">
        <w:rPr>
          <w:rFonts w:eastAsia="Times New Roman"/>
        </w:rPr>
        <w:t xml:space="preserve">rogramming to </w:t>
      </w:r>
      <w:r w:rsidR="005A6436">
        <w:rPr>
          <w:rFonts w:eastAsia="Times New Roman"/>
        </w:rPr>
        <w:t>Y</w:t>
      </w:r>
      <w:r w:rsidR="007975B8">
        <w:rPr>
          <w:rFonts w:eastAsia="Times New Roman"/>
        </w:rPr>
        <w:t xml:space="preserve">outh in </w:t>
      </w:r>
      <w:r w:rsidR="005A6436">
        <w:rPr>
          <w:rFonts w:eastAsia="Times New Roman"/>
        </w:rPr>
        <w:t>J</w:t>
      </w:r>
      <w:r w:rsidR="007975B8">
        <w:rPr>
          <w:rFonts w:eastAsia="Times New Roman"/>
        </w:rPr>
        <w:t xml:space="preserve">uvenile </w:t>
      </w:r>
      <w:r w:rsidR="005A6436">
        <w:rPr>
          <w:rFonts w:eastAsia="Times New Roman"/>
        </w:rPr>
        <w:t>J</w:t>
      </w:r>
      <w:r w:rsidR="007975B8">
        <w:rPr>
          <w:rFonts w:eastAsia="Times New Roman"/>
        </w:rPr>
        <w:t xml:space="preserve">ustice </w:t>
      </w:r>
      <w:r w:rsidR="005A6436">
        <w:rPr>
          <w:rFonts w:eastAsia="Times New Roman"/>
        </w:rPr>
        <w:t>D</w:t>
      </w:r>
      <w:r w:rsidR="007975B8">
        <w:rPr>
          <w:rFonts w:eastAsia="Times New Roman"/>
        </w:rPr>
        <w:t xml:space="preserve">etention </w:t>
      </w:r>
      <w:r w:rsidR="005A6436">
        <w:rPr>
          <w:rFonts w:eastAsia="Times New Roman"/>
        </w:rPr>
        <w:t>C</w:t>
      </w:r>
      <w:r w:rsidR="007975B8">
        <w:rPr>
          <w:rFonts w:eastAsia="Times New Roman"/>
        </w:rPr>
        <w:t xml:space="preserve">enters and </w:t>
      </w:r>
      <w:r w:rsidR="005A6436">
        <w:rPr>
          <w:rFonts w:eastAsia="Times New Roman"/>
        </w:rPr>
        <w:t>F</w:t>
      </w:r>
      <w:r w:rsidR="007975B8">
        <w:rPr>
          <w:rFonts w:eastAsia="Times New Roman"/>
        </w:rPr>
        <w:t xml:space="preserve">oster </w:t>
      </w:r>
      <w:r w:rsidR="005A6436">
        <w:rPr>
          <w:rFonts w:eastAsia="Times New Roman"/>
        </w:rPr>
        <w:t>C</w:t>
      </w:r>
      <w:r w:rsidR="007975B8">
        <w:rPr>
          <w:rFonts w:eastAsia="Times New Roman"/>
        </w:rPr>
        <w:t xml:space="preserve">are </w:t>
      </w:r>
      <w:r w:rsidR="005A6436">
        <w:rPr>
          <w:rFonts w:eastAsia="Times New Roman"/>
        </w:rPr>
        <w:t>G</w:t>
      </w:r>
      <w:r w:rsidR="007975B8">
        <w:rPr>
          <w:rFonts w:eastAsia="Times New Roman"/>
        </w:rPr>
        <w:t xml:space="preserve">roup </w:t>
      </w:r>
      <w:r w:rsidR="005A6436">
        <w:rPr>
          <w:rFonts w:eastAsia="Times New Roman"/>
        </w:rPr>
        <w:t>H</w:t>
      </w:r>
      <w:r w:rsidR="007975B8">
        <w:rPr>
          <w:rFonts w:eastAsia="Times New Roman"/>
        </w:rPr>
        <w:t>omes</w:t>
      </w:r>
      <w:r w:rsidRPr="008813EA" w:rsidR="00557013">
        <w:t>)</w:t>
      </w:r>
      <w:r w:rsidR="00557013">
        <w:rPr>
          <w:iCs/>
          <w:shd w:val="clear" w:color="auto" w:fill="FFFFFF" w:themeFill="background1"/>
        </w:rPr>
        <w:t xml:space="preserve">. </w:t>
      </w:r>
      <w:r>
        <w:rPr>
          <w:iCs/>
          <w:shd w:val="clear" w:color="auto" w:fill="FFFFFF" w:themeFill="background1"/>
        </w:rPr>
        <w:t xml:space="preserve">During the interview, </w:t>
      </w:r>
      <w:r w:rsidR="00C64A6C">
        <w:rPr>
          <w:iCs/>
          <w:shd w:val="clear" w:color="auto" w:fill="FFFFFF" w:themeFill="background1"/>
        </w:rPr>
        <w:t xml:space="preserve">will ask </w:t>
      </w:r>
      <w:r>
        <w:rPr>
          <w:iCs/>
          <w:shd w:val="clear" w:color="auto" w:fill="FFFFFF" w:themeFill="background1"/>
        </w:rPr>
        <w:t>respondents</w:t>
      </w:r>
      <w:r w:rsidR="00C64A6C">
        <w:rPr>
          <w:iCs/>
          <w:shd w:val="clear" w:color="auto" w:fill="FFFFFF" w:themeFill="background1"/>
        </w:rPr>
        <w:t xml:space="preserve"> </w:t>
      </w:r>
      <w:r>
        <w:rPr>
          <w:iCs/>
          <w:shd w:val="clear" w:color="auto" w:fill="FFFFFF" w:themeFill="background1"/>
        </w:rPr>
        <w:t xml:space="preserve">to discuss their </w:t>
      </w:r>
      <w:r w:rsidR="007C5624">
        <w:rPr>
          <w:iCs/>
          <w:shd w:val="clear" w:color="auto" w:fill="FFFFFF" w:themeFill="background1"/>
        </w:rPr>
        <w:t>i</w:t>
      </w:r>
      <w:r w:rsidR="007C5624">
        <w:rPr>
          <w:iCs/>
        </w:rPr>
        <w:t>mplementation experiences serv</w:t>
      </w:r>
      <w:r w:rsidR="009F3942">
        <w:rPr>
          <w:iCs/>
        </w:rPr>
        <w:t>ing</w:t>
      </w:r>
      <w:r w:rsidR="007C5624">
        <w:rPr>
          <w:iCs/>
        </w:rPr>
        <w:t xml:space="preserve"> youth in these </w:t>
      </w:r>
      <w:r w:rsidR="009F3942">
        <w:rPr>
          <w:iCs/>
        </w:rPr>
        <w:t>settings</w:t>
      </w:r>
      <w:r w:rsidR="00F84050">
        <w:rPr>
          <w:iCs/>
        </w:rPr>
        <w:t>.</w:t>
      </w:r>
      <w:r w:rsidR="000B2B12">
        <w:rPr>
          <w:bCs/>
        </w:rPr>
        <w:t xml:space="preserve"> </w:t>
      </w:r>
      <w:r>
        <w:t>The interviews will take place on the online platfor</w:t>
      </w:r>
      <w:r w:rsidR="000B2B12">
        <w:t>m</w:t>
      </w:r>
      <w:r w:rsidRPr="000B2B12" w:rsidR="000B2B12">
        <w:t xml:space="preserve"> </w:t>
      </w:r>
      <w:r w:rsidRPr="003A64CF" w:rsidR="000B2B12">
        <w:t>QualBoard, a chat board platform that imposes less of a burden than other interview methods</w:t>
      </w:r>
      <w:r w:rsidR="00B55191">
        <w:t>,</w:t>
      </w:r>
      <w:r>
        <w:rPr>
          <w:rStyle w:val="FootnoteReference"/>
        </w:rPr>
        <w:footnoteReference w:id="7"/>
      </w:r>
      <w:r w:rsidR="00B55191">
        <w:t xml:space="preserve"> as it </w:t>
      </w:r>
      <w:r w:rsidRPr="003A64CF" w:rsidR="00B55191">
        <w:t xml:space="preserve">permits respondents </w:t>
      </w:r>
      <w:r w:rsidR="00B55191">
        <w:t>to complete the interview asynchronously, at a time most convenient for them</w:t>
      </w:r>
      <w:r w:rsidRPr="003A64CF" w:rsidR="000B2B12">
        <w:t>.</w:t>
      </w:r>
    </w:p>
    <w:p w:rsidR="009D2672" w:rsidRPr="008813EA" w14:paraId="2C6F96C7" w14:textId="1ABF36D4">
      <w:pPr>
        <w:tabs>
          <w:tab w:val="left" w:pos="-720"/>
        </w:tabs>
        <w:suppressAutoHyphens/>
        <w:spacing w:after="240"/>
      </w:pPr>
      <w:r w:rsidRPr="008813EA">
        <w:t xml:space="preserve">Table A.1 includes </w:t>
      </w:r>
      <w:r w:rsidR="000B2B12">
        <w:t xml:space="preserve">a study design </w:t>
      </w:r>
      <w:r w:rsidR="005F2A4A">
        <w:t>summary</w:t>
      </w:r>
      <w:r w:rsidRPr="008813EA">
        <w:t>,</w:t>
      </w:r>
      <w:r w:rsidR="000B2B12">
        <w:t xml:space="preserve"> including respondents</w:t>
      </w:r>
      <w:r w:rsidRPr="008813EA">
        <w:t xml:space="preserve">, content, purpose, mode and </w:t>
      </w:r>
      <w:r w:rsidRPr="008813EA">
        <w:rPr>
          <w:bCs/>
        </w:rPr>
        <w:t>duration</w:t>
      </w:r>
      <w:r w:rsidRPr="008813EA">
        <w:t xml:space="preserve"> of the data collection. </w:t>
      </w:r>
      <w:r w:rsidRPr="008813EA">
        <w:rPr>
          <w:iCs/>
        </w:rPr>
        <w:t xml:space="preserve">To </w:t>
      </w:r>
      <w:r w:rsidRPr="008813EA">
        <w:t>understand</w:t>
      </w:r>
      <w:r w:rsidRPr="008813EA">
        <w:rPr>
          <w:iCs/>
        </w:rPr>
        <w:t xml:space="preserve"> program implementation experiences, data collection</w:t>
      </w:r>
      <w:r w:rsidR="005F2A4A">
        <w:rPr>
          <w:iCs/>
        </w:rPr>
        <w:t xml:space="preserve"> focuses</w:t>
      </w:r>
      <w:r w:rsidRPr="008813EA">
        <w:rPr>
          <w:iCs/>
        </w:rPr>
        <w:t xml:space="preserve"> on the </w:t>
      </w:r>
      <w:r w:rsidR="000B2B12">
        <w:rPr>
          <w:iCs/>
        </w:rPr>
        <w:t xml:space="preserve">grantees and providers who serve youth in </w:t>
      </w:r>
      <w:r w:rsidR="005F2A4A">
        <w:rPr>
          <w:iCs/>
        </w:rPr>
        <w:t>the two settings of interest</w:t>
      </w:r>
      <w:r w:rsidR="000B2B12">
        <w:rPr>
          <w:iCs/>
        </w:rPr>
        <w:t xml:space="preserve">. </w:t>
      </w:r>
    </w:p>
    <w:p w:rsidR="009D2672" w:rsidRPr="008813EA" w:rsidP="007A4513" w14:paraId="4FF8086A" w14:textId="77777777">
      <w:pPr>
        <w:keepNext/>
        <w:keepLines/>
        <w:spacing w:before="40" w:after="40"/>
        <w:rPr>
          <w:rFonts w:asciiTheme="majorHAnsi" w:hAnsiTheme="majorHAnsi"/>
          <w:b/>
          <w:color w:val="000000" w:themeColor="text1"/>
          <w:sz w:val="20"/>
        </w:rPr>
      </w:pPr>
      <w:r w:rsidRPr="008813EA">
        <w:rPr>
          <w:rFonts w:asciiTheme="majorHAnsi" w:hAnsiTheme="majorHAnsi"/>
          <w:b/>
          <w:color w:val="000000" w:themeColor="text1"/>
          <w:sz w:val="20"/>
        </w:rPr>
        <w:t>Table A.1. Study design summary</w:t>
      </w:r>
    </w:p>
    <w:tbl>
      <w:tblPr>
        <w:tblStyle w:val="TableGrid"/>
        <w:tblW w:w="9270" w:type="dxa"/>
        <w:tblInd w:w="-5" w:type="dxa"/>
        <w:tblLook w:val="04A0"/>
      </w:tblPr>
      <w:tblGrid>
        <w:gridCol w:w="2250"/>
        <w:gridCol w:w="5220"/>
        <w:gridCol w:w="1800"/>
      </w:tblGrid>
      <w:tr w14:paraId="216AAE48" w14:textId="77777777" w:rsidTr="00467E4B">
        <w:tblPrEx>
          <w:tblW w:w="9270" w:type="dxa"/>
          <w:tblInd w:w="-5" w:type="dxa"/>
          <w:tblLook w:val="04A0"/>
        </w:tblPrEx>
        <w:trPr>
          <w:cantSplit/>
          <w:tblHeader/>
        </w:trPr>
        <w:tc>
          <w:tcPr>
            <w:tcW w:w="2250" w:type="dxa"/>
            <w:shd w:val="clear" w:color="auto" w:fill="1F497D" w:themeFill="text2"/>
            <w:vAlign w:val="bottom"/>
          </w:tcPr>
          <w:p w:rsidR="009D2672" w:rsidRPr="00675492" w14:paraId="7967A638" w14:textId="77777777">
            <w:pPr>
              <w:pStyle w:val="TableHeaderCenter"/>
              <w:rPr>
                <w:rFonts w:asciiTheme="minorHAnsi" w:hAnsiTheme="minorHAnsi" w:cstheme="minorHAnsi"/>
                <w:b/>
                <w:bCs/>
              </w:rPr>
            </w:pPr>
            <w:r w:rsidRPr="00675492">
              <w:rPr>
                <w:rFonts w:asciiTheme="minorHAnsi" w:hAnsiTheme="minorHAnsi" w:cstheme="minorHAnsi"/>
                <w:b/>
                <w:bCs/>
              </w:rPr>
              <w:t>Instruments</w:t>
            </w:r>
          </w:p>
        </w:tc>
        <w:tc>
          <w:tcPr>
            <w:tcW w:w="5220" w:type="dxa"/>
            <w:shd w:val="clear" w:color="auto" w:fill="1F497D" w:themeFill="text2"/>
            <w:vAlign w:val="bottom"/>
          </w:tcPr>
          <w:p w:rsidR="009D2672" w:rsidRPr="00675492" w14:paraId="186098C6" w14:textId="77777777">
            <w:pPr>
              <w:pStyle w:val="TableHeaderCenter"/>
              <w:rPr>
                <w:rFonts w:asciiTheme="minorHAnsi" w:hAnsiTheme="minorHAnsi" w:cstheme="minorHAnsi"/>
                <w:b/>
                <w:bCs/>
              </w:rPr>
            </w:pPr>
            <w:r w:rsidRPr="00675492">
              <w:rPr>
                <w:rFonts w:asciiTheme="minorHAnsi" w:hAnsiTheme="minorHAnsi" w:cstheme="minorHAnsi"/>
                <w:b/>
                <w:bCs/>
              </w:rPr>
              <w:t>Participant, content, purpose of collection</w:t>
            </w:r>
          </w:p>
        </w:tc>
        <w:tc>
          <w:tcPr>
            <w:tcW w:w="1800" w:type="dxa"/>
            <w:shd w:val="clear" w:color="auto" w:fill="1F497D" w:themeFill="text2"/>
            <w:vAlign w:val="bottom"/>
          </w:tcPr>
          <w:p w:rsidR="009D2672" w:rsidRPr="00675492" w14:paraId="4CD1A318" w14:textId="77777777">
            <w:pPr>
              <w:pStyle w:val="TableHeaderCenter"/>
              <w:rPr>
                <w:rFonts w:asciiTheme="minorHAnsi" w:hAnsiTheme="minorHAnsi" w:cstheme="minorHAnsi"/>
                <w:b/>
                <w:bCs/>
              </w:rPr>
            </w:pPr>
            <w:r w:rsidRPr="00675492">
              <w:rPr>
                <w:rFonts w:asciiTheme="minorHAnsi" w:hAnsiTheme="minorHAnsi" w:cstheme="minorHAnsi"/>
                <w:b/>
                <w:bCs/>
              </w:rPr>
              <w:t>Mode and duration</w:t>
            </w:r>
          </w:p>
        </w:tc>
      </w:tr>
      <w:tr w14:paraId="4D0B5483" w14:textId="77777777" w:rsidTr="00467E4B">
        <w:tblPrEx>
          <w:tblW w:w="9270" w:type="dxa"/>
          <w:tblInd w:w="-5" w:type="dxa"/>
          <w:tblLook w:val="04A0"/>
        </w:tblPrEx>
        <w:tc>
          <w:tcPr>
            <w:tcW w:w="2250" w:type="dxa"/>
            <w:shd w:val="clear" w:color="auto" w:fill="auto"/>
            <w:vAlign w:val="center"/>
          </w:tcPr>
          <w:p w:rsidR="009D2672" w:rsidRPr="00D4133C" w14:paraId="00FC6980" w14:textId="1892BCFC">
            <w:pPr>
              <w:spacing w:before="40"/>
              <w:rPr>
                <w:rFonts w:asciiTheme="minorHAnsi" w:hAnsiTheme="minorHAnsi" w:cstheme="minorHAnsi"/>
              </w:rPr>
            </w:pPr>
            <w:r w:rsidRPr="00D4133C">
              <w:rPr>
                <w:rFonts w:asciiTheme="minorHAnsi" w:hAnsiTheme="minorHAnsi" w:cstheme="minorHAnsi"/>
                <w:color w:val="000000"/>
              </w:rPr>
              <w:t xml:space="preserve">Instrument 1. </w:t>
            </w:r>
            <w:r w:rsidRPr="00D4133C" w:rsidR="007975B8">
              <w:rPr>
                <w:rFonts w:cstheme="minorHAnsi"/>
              </w:rPr>
              <w:t>Interview protocol for SRAE grantees and providers delivering SRAE programming to youth in juvenile justice detention centers and foster care group homes</w:t>
            </w:r>
          </w:p>
        </w:tc>
        <w:tc>
          <w:tcPr>
            <w:tcW w:w="5220" w:type="dxa"/>
            <w:shd w:val="clear" w:color="auto" w:fill="auto"/>
          </w:tcPr>
          <w:p w:rsidR="009D2672" w:rsidRPr="00D4133C" w14:paraId="6E6810F0" w14:textId="3EA6A132">
            <w:pPr>
              <w:spacing w:before="60" w:after="60"/>
              <w:rPr>
                <w:rFonts w:asciiTheme="minorHAnsi" w:hAnsiTheme="minorHAnsi" w:cstheme="minorHAnsi"/>
              </w:rPr>
            </w:pPr>
            <w:r w:rsidRPr="00D4133C">
              <w:rPr>
                <w:rFonts w:asciiTheme="minorHAnsi" w:hAnsiTheme="minorHAnsi" w:cstheme="minorHAnsi"/>
                <w:b/>
              </w:rPr>
              <w:t>Respondents</w:t>
            </w:r>
            <w:r w:rsidRPr="00D4133C">
              <w:rPr>
                <w:rFonts w:asciiTheme="minorHAnsi" w:hAnsiTheme="minorHAnsi" w:cstheme="minorHAnsi"/>
                <w:b/>
                <w:bCs/>
              </w:rPr>
              <w:t xml:space="preserve">: </w:t>
            </w:r>
            <w:r w:rsidRPr="00D4133C" w:rsidR="003D52C4">
              <w:rPr>
                <w:rFonts w:asciiTheme="minorHAnsi" w:hAnsiTheme="minorHAnsi" w:cstheme="minorHAnsi"/>
              </w:rPr>
              <w:t>Grantee and providers</w:t>
            </w:r>
            <w:r w:rsidRPr="00D4133C">
              <w:rPr>
                <w:rFonts w:asciiTheme="minorHAnsi" w:hAnsiTheme="minorHAnsi" w:cstheme="minorHAnsi"/>
              </w:rPr>
              <w:t xml:space="preserve"> </w:t>
            </w:r>
          </w:p>
          <w:p w:rsidR="009D2672" w:rsidRPr="00D4133C" w14:paraId="295EC54B" w14:textId="5BE0E2EE">
            <w:pPr>
              <w:spacing w:before="40" w:after="120"/>
              <w:rPr>
                <w:rFonts w:asciiTheme="minorHAnsi" w:hAnsiTheme="minorHAnsi" w:cstheme="minorHAnsi"/>
                <w:b/>
                <w:bCs/>
              </w:rPr>
            </w:pPr>
            <w:r w:rsidRPr="00D4133C">
              <w:rPr>
                <w:rFonts w:asciiTheme="minorHAnsi" w:hAnsiTheme="minorHAnsi" w:cstheme="minorHAnsi"/>
                <w:b/>
                <w:bCs/>
              </w:rPr>
              <w:t>Content:</w:t>
            </w:r>
            <w:r w:rsidRPr="00D4133C" w:rsidR="00C64A6C">
              <w:rPr>
                <w:rFonts w:asciiTheme="minorHAnsi" w:hAnsiTheme="minorHAnsi" w:cstheme="minorHAnsi"/>
                <w:b/>
                <w:bCs/>
              </w:rPr>
              <w:t xml:space="preserve"> </w:t>
            </w:r>
            <w:r w:rsidRPr="00D4133C" w:rsidR="00C64A6C">
              <w:rPr>
                <w:rFonts w:cstheme="minorHAnsi"/>
              </w:rPr>
              <w:t xml:space="preserve">Grantee and provider experiences </w:t>
            </w:r>
            <w:bookmarkStart w:id="18" w:name="_Hlk124495547"/>
            <w:r w:rsidRPr="00D4133C" w:rsidR="009F3942">
              <w:rPr>
                <w:rFonts w:cstheme="minorHAnsi"/>
              </w:rPr>
              <w:t xml:space="preserve">delivering </w:t>
            </w:r>
            <w:r w:rsidRPr="00D4133C" w:rsidR="00C64A6C">
              <w:rPr>
                <w:rFonts w:cstheme="minorHAnsi"/>
              </w:rPr>
              <w:t xml:space="preserve">SRAE programming to youth in </w:t>
            </w:r>
            <w:r w:rsidRPr="00D4133C" w:rsidR="00E035A0">
              <w:rPr>
                <w:rFonts w:cstheme="minorHAnsi"/>
              </w:rPr>
              <w:t>juvenile justice detention centers and foster care group homes.</w:t>
            </w:r>
            <w:bookmarkEnd w:id="18"/>
          </w:p>
          <w:p w:rsidR="009D2672" w:rsidRPr="00675492" w14:paraId="33C3A83C" w14:textId="68753F90">
            <w:pPr>
              <w:spacing w:before="40" w:after="120"/>
              <w:rPr>
                <w:rFonts w:asciiTheme="minorHAnsi" w:hAnsiTheme="minorHAnsi" w:cstheme="minorHAnsi"/>
              </w:rPr>
            </w:pPr>
            <w:r w:rsidRPr="00D4133C">
              <w:rPr>
                <w:rFonts w:asciiTheme="minorHAnsi" w:hAnsiTheme="minorHAnsi" w:cstheme="minorHAnsi"/>
                <w:b/>
              </w:rPr>
              <w:t xml:space="preserve">Purpose: </w:t>
            </w:r>
            <w:r w:rsidRPr="00D4133C" w:rsidR="00CC3D3F">
              <w:rPr>
                <w:rFonts w:asciiTheme="minorHAnsi" w:hAnsiTheme="minorHAnsi" w:cstheme="minorHAnsi"/>
                <w:bCs/>
              </w:rPr>
              <w:t>To</w:t>
            </w:r>
            <w:r w:rsidRPr="00D4133C" w:rsidR="00CC3D3F">
              <w:rPr>
                <w:rFonts w:asciiTheme="minorHAnsi" w:hAnsiTheme="minorHAnsi" w:cstheme="minorHAnsi"/>
                <w:b/>
              </w:rPr>
              <w:t xml:space="preserve"> </w:t>
            </w:r>
            <w:r w:rsidRPr="00D4133C" w:rsidR="00CC3D3F">
              <w:rPr>
                <w:rFonts w:asciiTheme="minorHAnsi" w:hAnsiTheme="minorHAnsi" w:cstheme="minorHAnsi"/>
                <w:bCs/>
              </w:rPr>
              <w:t xml:space="preserve">determine </w:t>
            </w:r>
            <w:r w:rsidRPr="00D4133C" w:rsidR="007C5624">
              <w:rPr>
                <w:rFonts w:asciiTheme="minorHAnsi" w:hAnsiTheme="minorHAnsi" w:cstheme="minorHAnsi"/>
                <w:iCs/>
                <w:shd w:val="clear" w:color="auto" w:fill="FFFFFF" w:themeFill="background1"/>
              </w:rPr>
              <w:t>i</w:t>
            </w:r>
            <w:r w:rsidRPr="00D4133C" w:rsidR="007C5624">
              <w:rPr>
                <w:rFonts w:asciiTheme="minorHAnsi" w:hAnsiTheme="minorHAnsi" w:cstheme="minorHAnsi"/>
                <w:iCs/>
              </w:rPr>
              <w:t xml:space="preserve">mplementation experiences among those who serve youth in </w:t>
            </w:r>
            <w:r w:rsidRPr="00D4133C" w:rsidR="005F2A4A">
              <w:rPr>
                <w:rFonts w:asciiTheme="minorHAnsi" w:hAnsiTheme="minorHAnsi" w:cstheme="minorHAnsi"/>
                <w:iCs/>
              </w:rPr>
              <w:t>the two settings of interest</w:t>
            </w:r>
            <w:r w:rsidRPr="00D4133C" w:rsidR="007C5624">
              <w:rPr>
                <w:rFonts w:asciiTheme="minorHAnsi" w:hAnsiTheme="minorHAnsi" w:cstheme="minorHAnsi"/>
                <w:iCs/>
              </w:rPr>
              <w:t xml:space="preserve">, including </w:t>
            </w:r>
            <w:r w:rsidRPr="00D4133C" w:rsidR="007C5624">
              <w:rPr>
                <w:rFonts w:asciiTheme="minorHAnsi" w:hAnsiTheme="minorHAnsi" w:cstheme="minorHAnsi"/>
                <w:bCs/>
              </w:rPr>
              <w:t>successes, challenges, and lessons learned.</w:t>
            </w:r>
          </w:p>
        </w:tc>
        <w:tc>
          <w:tcPr>
            <w:tcW w:w="1800" w:type="dxa"/>
            <w:shd w:val="clear" w:color="auto" w:fill="auto"/>
          </w:tcPr>
          <w:p w:rsidR="009D2672" w:rsidRPr="00675492" w14:paraId="7419E567" w14:textId="77777777">
            <w:pPr>
              <w:spacing w:before="40" w:after="120"/>
              <w:rPr>
                <w:rFonts w:asciiTheme="minorHAnsi" w:hAnsiTheme="minorHAnsi" w:cstheme="minorHAnsi"/>
              </w:rPr>
            </w:pPr>
            <w:r w:rsidRPr="00675492">
              <w:rPr>
                <w:rFonts w:asciiTheme="minorHAnsi" w:hAnsiTheme="minorHAnsi" w:cstheme="minorHAnsi"/>
                <w:b/>
              </w:rPr>
              <w:t>Mode</w:t>
            </w:r>
            <w:r w:rsidRPr="00675492">
              <w:rPr>
                <w:rFonts w:asciiTheme="minorHAnsi" w:hAnsiTheme="minorHAnsi" w:cstheme="minorHAnsi"/>
                <w:b/>
                <w:bCs/>
              </w:rPr>
              <w:t>:</w:t>
            </w:r>
            <w:r w:rsidRPr="00675492">
              <w:rPr>
                <w:rFonts w:asciiTheme="minorHAnsi" w:hAnsiTheme="minorHAnsi" w:cstheme="minorHAnsi"/>
              </w:rPr>
              <w:t xml:space="preserve"> Web </w:t>
            </w:r>
          </w:p>
          <w:p w:rsidR="009D2672" w:rsidRPr="00675492" w14:paraId="208297EE" w14:textId="40DA6F1E">
            <w:pPr>
              <w:spacing w:before="40" w:after="120"/>
              <w:rPr>
                <w:rFonts w:asciiTheme="minorHAnsi" w:hAnsiTheme="minorHAnsi" w:cstheme="minorHAnsi"/>
              </w:rPr>
            </w:pPr>
            <w:r w:rsidRPr="00675492">
              <w:rPr>
                <w:rFonts w:asciiTheme="minorHAnsi" w:hAnsiTheme="minorHAnsi" w:cstheme="minorHAnsi"/>
                <w:b/>
              </w:rPr>
              <w:t>Duration</w:t>
            </w:r>
            <w:r w:rsidRPr="00675492">
              <w:rPr>
                <w:rFonts w:asciiTheme="minorHAnsi" w:hAnsiTheme="minorHAnsi" w:cstheme="minorHAnsi"/>
                <w:b/>
                <w:bCs/>
              </w:rPr>
              <w:t>:</w:t>
            </w:r>
            <w:r w:rsidRPr="00675492">
              <w:rPr>
                <w:rFonts w:asciiTheme="minorHAnsi" w:hAnsiTheme="minorHAnsi" w:cstheme="minorHAnsi"/>
              </w:rPr>
              <w:t xml:space="preserve"> </w:t>
            </w:r>
            <w:r w:rsidRPr="00675492" w:rsidR="00CC3D3F">
              <w:rPr>
                <w:rFonts w:asciiTheme="minorHAnsi" w:hAnsiTheme="minorHAnsi" w:cstheme="minorHAnsi"/>
              </w:rPr>
              <w:t>60</w:t>
            </w:r>
            <w:r w:rsidRPr="00675492">
              <w:rPr>
                <w:rFonts w:asciiTheme="minorHAnsi" w:hAnsiTheme="minorHAnsi" w:cstheme="minorHAnsi"/>
              </w:rPr>
              <w:t xml:space="preserve"> minutes total</w:t>
            </w:r>
          </w:p>
        </w:tc>
      </w:tr>
    </w:tbl>
    <w:p w:rsidR="00115BF9" w:rsidRPr="008813EA" w:rsidP="00115BF9" w14:paraId="3928860B" w14:textId="4638DD4D">
      <w:pPr>
        <w:spacing w:after="60" w:line="240" w:lineRule="auto"/>
        <w:rPr>
          <w:iCs/>
          <w:sz w:val="18"/>
          <w:szCs w:val="18"/>
        </w:rPr>
      </w:pPr>
    </w:p>
    <w:p w:rsidR="009D2672" w:rsidRPr="008813EA" w:rsidP="00115BF9" w14:paraId="75074E19" w14:textId="66B3CC98">
      <w:pPr>
        <w:spacing w:after="60" w:line="240" w:lineRule="auto"/>
        <w:rPr>
          <w:i/>
        </w:rPr>
      </w:pPr>
      <w:r w:rsidRPr="008813EA">
        <w:rPr>
          <w:i/>
        </w:rPr>
        <w:t>Other Data Sources and Uses of Information</w:t>
      </w:r>
    </w:p>
    <w:p w:rsidR="009D2672" w:rsidRPr="008813EA" w14:paraId="344C06D3" w14:textId="4F807D44">
      <w:pPr>
        <w:tabs>
          <w:tab w:val="left" w:pos="-720"/>
        </w:tabs>
        <w:suppressAutoHyphens/>
        <w:spacing w:after="240"/>
        <w:rPr>
          <w:bCs/>
        </w:rPr>
      </w:pPr>
      <w:r w:rsidRPr="008813EA">
        <w:rPr>
          <w:bCs/>
        </w:rPr>
        <w:t>The study team will</w:t>
      </w:r>
      <w:r w:rsidR="00E77367">
        <w:rPr>
          <w:bCs/>
        </w:rPr>
        <w:t xml:space="preserve"> not utilize other data sources.</w:t>
      </w:r>
      <w:r w:rsidRPr="008813EA">
        <w:rPr>
          <w:bCs/>
        </w:rPr>
        <w:t xml:space="preserve"> </w:t>
      </w:r>
    </w:p>
    <w:p w:rsidR="009D2672" w:rsidRPr="008813EA" w:rsidP="00115BF9" w14:paraId="3CAF1309" w14:textId="75480B10">
      <w:pPr>
        <w:spacing w:after="120"/>
        <w:rPr>
          <w:b/>
        </w:rPr>
      </w:pPr>
      <w:r w:rsidRPr="008813EA">
        <w:rPr>
          <w:b/>
        </w:rPr>
        <w:t>A3</w:t>
      </w:r>
      <w:r w:rsidRPr="008813EA">
        <w:t>.</w:t>
      </w:r>
      <w:r w:rsidRPr="008813EA">
        <w:tab/>
      </w:r>
      <w:r w:rsidRPr="008813EA">
        <w:rPr>
          <w:b/>
        </w:rPr>
        <w:t>Use of Information Technology to Reduce Burden</w:t>
      </w:r>
    </w:p>
    <w:p w:rsidR="004B2322" w:rsidP="008813EA" w14:paraId="68A74DF0" w14:textId="6889E4BF">
      <w:r w:rsidRPr="008813EA">
        <w:t xml:space="preserve">The study team plans to use information technology wherever possible. </w:t>
      </w:r>
      <w:r w:rsidRPr="003A64CF">
        <w:t xml:space="preserve">Mathematica will collect qualitative information from the interviews via QualBoard, </w:t>
      </w:r>
      <w:bookmarkStart w:id="19" w:name="_Hlk124494484"/>
      <w:r w:rsidRPr="003A64CF">
        <w:t>a chat board platform</w:t>
      </w:r>
      <w:bookmarkEnd w:id="19"/>
      <w:r w:rsidR="00457C8C">
        <w:t xml:space="preserve">. This platform </w:t>
      </w:r>
      <w:r w:rsidRPr="003A64CF">
        <w:t>imposes less of a burden than other interview methods</w:t>
      </w:r>
      <w:r w:rsidR="00087623">
        <w:t xml:space="preserve">, as it </w:t>
      </w:r>
      <w:r w:rsidRPr="003A64CF">
        <w:t xml:space="preserve">permits respondents </w:t>
      </w:r>
      <w:r w:rsidR="00087623">
        <w:t>to complete the interview asynchronously, at a time most convenient for them</w:t>
      </w:r>
      <w:r w:rsidRPr="003A64CF">
        <w:t xml:space="preserve">. </w:t>
      </w:r>
      <w:r w:rsidR="005F2A4A">
        <w:t>Respondents</w:t>
      </w:r>
      <w:r w:rsidR="00087623">
        <w:t xml:space="preserve"> may also complete parts of the interview, as their time allows, and</w:t>
      </w:r>
      <w:r w:rsidR="00C64A6C">
        <w:t xml:space="preserve"> the platform saves </w:t>
      </w:r>
      <w:r w:rsidRPr="003A64CF">
        <w:t xml:space="preserve">their responses </w:t>
      </w:r>
      <w:r w:rsidR="00087623">
        <w:t>automatically. The</w:t>
      </w:r>
      <w:r w:rsidR="000A5FAB">
        <w:t xml:space="preserve"> qualitative data from</w:t>
      </w:r>
      <w:r w:rsidR="00087623">
        <w:t xml:space="preserve"> QualBoard</w:t>
      </w:r>
      <w:r w:rsidR="000A5FAB">
        <w:t xml:space="preserve"> is stored in multiple</w:t>
      </w:r>
      <w:r w:rsidR="00087623">
        <w:t xml:space="preserve"> format</w:t>
      </w:r>
      <w:r w:rsidR="000A5FAB">
        <w:t xml:space="preserve">s, including as a Word-based </w:t>
      </w:r>
      <w:r w:rsidRPr="003A64CF">
        <w:t>interview transcript</w:t>
      </w:r>
      <w:r w:rsidR="00C64A6C">
        <w:t xml:space="preserve">. </w:t>
      </w:r>
      <w:r w:rsidR="000A5FAB">
        <w:t>During data collection, t</w:t>
      </w:r>
      <w:r w:rsidR="00C64A6C">
        <w:t xml:space="preserve">he study team can easily review incoming data and message the </w:t>
      </w:r>
      <w:r w:rsidR="005F2A4A">
        <w:t xml:space="preserve">respondents </w:t>
      </w:r>
      <w:r w:rsidR="000A5FAB">
        <w:t xml:space="preserve">through the platform </w:t>
      </w:r>
      <w:r w:rsidR="00C64A6C">
        <w:t>with probes or follow-up questions</w:t>
      </w:r>
      <w:r w:rsidR="00AB260F">
        <w:t>.</w:t>
      </w:r>
      <w:r w:rsidR="00C64A6C">
        <w:t xml:space="preserve"> </w:t>
      </w:r>
      <w:r w:rsidRPr="003A64CF">
        <w:t xml:space="preserve">Boards will </w:t>
      </w:r>
      <w:r w:rsidR="005F2A4A">
        <w:t>remain</w:t>
      </w:r>
      <w:r w:rsidRPr="003A64CF">
        <w:t xml:space="preserve"> open for responses 24 hours a day. The study team will monitor the boards during </w:t>
      </w:r>
      <w:r w:rsidR="00C64A6C">
        <w:t xml:space="preserve">the </w:t>
      </w:r>
      <w:r w:rsidRPr="003A64CF">
        <w:t xml:space="preserve">day and evening hours, so </w:t>
      </w:r>
      <w:r w:rsidR="00AB260F">
        <w:t>prompting for missing responses can occur quickly</w:t>
      </w:r>
      <w:r w:rsidR="00C64A6C">
        <w:t>. This will a</w:t>
      </w:r>
      <w:r w:rsidR="00AB260F">
        <w:t xml:space="preserve">llow </w:t>
      </w:r>
      <w:r w:rsidR="005F2A4A">
        <w:t>respondents</w:t>
      </w:r>
      <w:r w:rsidR="00AB260F">
        <w:t xml:space="preserve"> to make immediate corrections </w:t>
      </w:r>
      <w:r w:rsidR="00C64A6C">
        <w:t xml:space="preserve">and </w:t>
      </w:r>
      <w:r w:rsidRPr="008813EA" w:rsidR="00AB260F">
        <w:t>reduc</w:t>
      </w:r>
      <w:r w:rsidR="00C64A6C">
        <w:t>e</w:t>
      </w:r>
      <w:r w:rsidRPr="008813EA" w:rsidR="00AB260F">
        <w:t xml:space="preserve"> the need for data cleaning follow-up contacts with the </w:t>
      </w:r>
      <w:r w:rsidR="005F2A4A">
        <w:t>respondents</w:t>
      </w:r>
      <w:r w:rsidRPr="008813EA" w:rsidR="00AB260F">
        <w:t xml:space="preserve"> after the interview</w:t>
      </w:r>
      <w:r>
        <w:t>.</w:t>
      </w:r>
      <w:r>
        <w:rPr>
          <w:rStyle w:val="FootnoteReference"/>
        </w:rPr>
        <w:footnoteReference w:id="8"/>
      </w:r>
      <w:r>
        <w:t xml:space="preserve"> </w:t>
      </w:r>
    </w:p>
    <w:p w:rsidR="009D2672" w:rsidRPr="008813EA" w:rsidP="00115BF9" w14:paraId="19A11461" w14:textId="77777777">
      <w:pPr>
        <w:spacing w:after="120"/>
        <w:ind w:left="720" w:hanging="720"/>
        <w:rPr>
          <w:b/>
        </w:rPr>
      </w:pPr>
      <w:r w:rsidRPr="008813EA">
        <w:rPr>
          <w:b/>
        </w:rPr>
        <w:t>A4</w:t>
      </w:r>
      <w:r w:rsidRPr="008813EA">
        <w:t>.</w:t>
      </w:r>
      <w:r w:rsidRPr="008813EA">
        <w:tab/>
      </w:r>
      <w:r w:rsidRPr="008813EA">
        <w:rPr>
          <w:b/>
        </w:rPr>
        <w:t>Use of Existing Data: Efforts to reduce duplication, minimize burden, and increase utility and government efficiency</w:t>
      </w:r>
    </w:p>
    <w:p w:rsidR="009D2672" w:rsidRPr="008813EA" w:rsidP="008813EA" w14:paraId="5397958B" w14:textId="5F5C3BC4">
      <w:r w:rsidRPr="008813EA">
        <w:t xml:space="preserve">None of the instruments ask for information that can be reliably obtained through other sources. </w:t>
      </w:r>
    </w:p>
    <w:p w:rsidR="009D2672" w:rsidRPr="008813EA" w:rsidP="00115BF9" w14:paraId="2DCFB52A" w14:textId="77777777">
      <w:pPr>
        <w:spacing w:after="120"/>
      </w:pPr>
      <w:r w:rsidRPr="008813EA">
        <w:rPr>
          <w:b/>
        </w:rPr>
        <w:t>A5</w:t>
      </w:r>
      <w:r w:rsidRPr="008813EA">
        <w:t>.</w:t>
      </w:r>
      <w:r w:rsidRPr="008813EA">
        <w:tab/>
      </w:r>
      <w:r w:rsidRPr="008813EA">
        <w:rPr>
          <w:b/>
        </w:rPr>
        <w:t>Impact on Small Businesses</w:t>
      </w:r>
      <w:r w:rsidRPr="008813EA">
        <w:t xml:space="preserve"> </w:t>
      </w:r>
    </w:p>
    <w:p w:rsidR="009D2672" w:rsidRPr="008813EA" w:rsidP="008813EA" w14:paraId="1465CF9F" w14:textId="1D81F1C9">
      <w:r w:rsidRPr="008813EA">
        <w:t xml:space="preserve">The </w:t>
      </w:r>
      <w:r w:rsidR="002A4BFF">
        <w:t>grantees and providers</w:t>
      </w:r>
      <w:r w:rsidRPr="008813EA">
        <w:t xml:space="preserve"> participating in the study </w:t>
      </w:r>
      <w:r w:rsidR="005F2A4A">
        <w:t>are</w:t>
      </w:r>
      <w:r w:rsidRPr="008813EA">
        <w:t xml:space="preserve"> small, non-profit organizations</w:t>
      </w:r>
      <w:r w:rsidR="00330A94">
        <w:t xml:space="preserve"> or state agencies</w:t>
      </w:r>
      <w:r w:rsidRPr="008813EA">
        <w:t>. The SRAENE</w:t>
      </w:r>
      <w:r w:rsidR="00FF33D6">
        <w:t xml:space="preserve"> study</w:t>
      </w:r>
      <w:r w:rsidRPr="008813EA">
        <w:t xml:space="preserve"> team will request information required only for the intended use. </w:t>
      </w:r>
      <w:r w:rsidR="005F2A4A">
        <w:t xml:space="preserve">We will minimize </w:t>
      </w:r>
      <w:r w:rsidRPr="008813EA">
        <w:t>burden for respondents by restricting the interview length to the minimum</w:t>
      </w:r>
      <w:r w:rsidR="005F2A4A">
        <w:t xml:space="preserve"> necessary</w:t>
      </w:r>
      <w:r w:rsidRPr="008813EA">
        <w:t xml:space="preserve">, conducting interviews at times convenient for the respondents, and not requiring additional record-keeping on the part of the </w:t>
      </w:r>
      <w:r w:rsidR="002A4BFF">
        <w:t>grantees and providers</w:t>
      </w:r>
      <w:r w:rsidRPr="008813EA">
        <w:t>.</w:t>
      </w:r>
    </w:p>
    <w:p w:rsidR="009D2672" w:rsidRPr="008813EA" w14:paraId="03D9944F" w14:textId="36728BA2">
      <w:pPr>
        <w:spacing w:after="120"/>
      </w:pPr>
      <w:r w:rsidRPr="008813EA">
        <w:rPr>
          <w:b/>
        </w:rPr>
        <w:t>A6</w:t>
      </w:r>
      <w:r w:rsidRPr="008813EA">
        <w:t>.</w:t>
      </w:r>
      <w:r w:rsidRPr="008813EA">
        <w:tab/>
      </w:r>
      <w:r w:rsidRPr="008813EA">
        <w:rPr>
          <w:b/>
        </w:rPr>
        <w:t>Consequences of Less Frequent Collection</w:t>
      </w:r>
    </w:p>
    <w:p w:rsidR="009D2672" w:rsidRPr="008813EA" w:rsidP="008813EA" w14:paraId="4D1B4542" w14:textId="77777777">
      <w:r w:rsidRPr="008813EA">
        <w:t>This is a one-time data collection.</w:t>
      </w:r>
    </w:p>
    <w:p w:rsidR="009D2672" w:rsidRPr="008813EA" w:rsidP="007A4513" w14:paraId="7AD3EE37" w14:textId="367FFAFA">
      <w:pPr>
        <w:spacing w:after="120"/>
        <w:rPr>
          <w:b/>
        </w:rPr>
      </w:pPr>
      <w:r w:rsidRPr="008813EA">
        <w:rPr>
          <w:b/>
        </w:rPr>
        <w:t>A7</w:t>
      </w:r>
      <w:r w:rsidRPr="008813EA">
        <w:t>.</w:t>
      </w:r>
      <w:r w:rsidRPr="008813EA">
        <w:tab/>
      </w:r>
      <w:r w:rsidRPr="008813EA">
        <w:rPr>
          <w:b/>
        </w:rPr>
        <w:t>Now subsumed under 2(b) above and 10 (below)</w:t>
      </w:r>
    </w:p>
    <w:p w:rsidR="00A7360E" w:rsidRPr="008813EA" w:rsidP="007A4513" w14:paraId="66CC0A3B" w14:textId="77777777">
      <w:pPr>
        <w:spacing w:after="120"/>
        <w:rPr>
          <w:b/>
        </w:rPr>
      </w:pPr>
    </w:p>
    <w:p w:rsidR="009D2672" w:rsidRPr="008813EA" w14:paraId="0F6F1F9B" w14:textId="7BD69796">
      <w:pPr>
        <w:spacing w:after="120"/>
        <w:rPr>
          <w:b/>
        </w:rPr>
      </w:pPr>
      <w:r w:rsidRPr="008813EA">
        <w:rPr>
          <w:b/>
        </w:rPr>
        <w:t>A8</w:t>
      </w:r>
      <w:r w:rsidRPr="008813EA">
        <w:t>.</w:t>
      </w:r>
      <w:r w:rsidRPr="008813EA">
        <w:tab/>
      </w:r>
      <w:r w:rsidRPr="008813EA">
        <w:rPr>
          <w:b/>
        </w:rPr>
        <w:t>Consultation</w:t>
      </w:r>
    </w:p>
    <w:p w:rsidR="009D2672" w:rsidRPr="008813EA" w:rsidP="00A7360E" w14:paraId="351C26AC" w14:textId="77777777">
      <w:pPr>
        <w:spacing w:after="120" w:line="240" w:lineRule="auto"/>
        <w:rPr>
          <w:i/>
        </w:rPr>
      </w:pPr>
      <w:r w:rsidRPr="008813EA">
        <w:rPr>
          <w:i/>
        </w:rPr>
        <w:t>Federal Register Notice and Comments</w:t>
      </w:r>
    </w:p>
    <w:p w:rsidR="00445954" w:rsidRPr="008813EA" w:rsidP="00A7360E" w14:paraId="6701521F" w14:textId="7CE61698">
      <w:pPr>
        <w:tabs>
          <w:tab w:val="left" w:pos="-720"/>
        </w:tabs>
        <w:suppressAutoHyphens/>
        <w:spacing w:after="240"/>
        <w:rPr>
          <w:b/>
          <w:bCs/>
        </w:rPr>
      </w:pPr>
      <w:r w:rsidRPr="008813EA">
        <w:t xml:space="preserve">In accordance with the Paperwork Reduction Act of 1995 (Pub. L. 104-13) and Office of Management and Budget (OMB) regulations at 5 CFR Part 1320 (60 FR 44978, August 29, 1995), ACF published two notices in the Federal Register announcing the agency’s intention to request an OMB review of the overarching generic clearance for formative information collection. This first notice was published on November 3, 2020, Volume 85, Number 213, page 69627, and provided a sixty-day period for public comment. The second notice </w:t>
      </w:r>
      <w:r w:rsidR="00702909">
        <w:t xml:space="preserve">was </w:t>
      </w:r>
      <w:r w:rsidRPr="008813EA">
        <w:t>published on January 11, 2021, Volume 86, Number 6, page 1978, and provided a thirty-day period for public comment. ACF did not receive any substantive comments.</w:t>
      </w:r>
    </w:p>
    <w:p w:rsidR="009D2672" w:rsidRPr="008813EA" w14:paraId="4A43EC27" w14:textId="20548F11">
      <w:pPr>
        <w:pStyle w:val="Heading4"/>
        <w:spacing w:before="0" w:after="120"/>
        <w:rPr>
          <w:rFonts w:asciiTheme="minorHAnsi" w:hAnsiTheme="minorHAnsi" w:cstheme="minorHAnsi"/>
          <w:b w:val="0"/>
          <w:i/>
          <w:sz w:val="22"/>
          <w:szCs w:val="22"/>
        </w:rPr>
      </w:pPr>
      <w:r w:rsidRPr="008813EA">
        <w:rPr>
          <w:rFonts w:asciiTheme="minorHAnsi" w:hAnsiTheme="minorHAnsi" w:cstheme="minorHAnsi"/>
          <w:b w:val="0"/>
          <w:i/>
          <w:sz w:val="22"/>
          <w:szCs w:val="22"/>
        </w:rPr>
        <w:t>Consultation with Experts Outside of the Study</w:t>
      </w:r>
    </w:p>
    <w:p w:rsidR="009D2672" w:rsidRPr="008813EA" w:rsidP="008813EA" w14:paraId="2AC76EFC" w14:textId="3724C3BE">
      <w:r>
        <w:t xml:space="preserve">No experts will be consulted for this sub-study. </w:t>
      </w:r>
      <w:r w:rsidRPr="008813EA" w:rsidR="00C52A00">
        <w:t xml:space="preserve"> </w:t>
      </w:r>
    </w:p>
    <w:p w:rsidR="009D2672" w:rsidRPr="008813EA" w:rsidP="00A7360E" w14:paraId="5FB2C705" w14:textId="6E5D0226">
      <w:pPr>
        <w:tabs>
          <w:tab w:val="left" w:pos="720"/>
          <w:tab w:val="left" w:pos="1440"/>
          <w:tab w:val="left" w:pos="2160"/>
          <w:tab w:val="left" w:pos="2880"/>
          <w:tab w:val="left" w:pos="3301"/>
        </w:tabs>
        <w:spacing w:after="120"/>
      </w:pPr>
      <w:r w:rsidRPr="008813EA">
        <w:rPr>
          <w:b/>
        </w:rPr>
        <w:t>A9</w:t>
      </w:r>
      <w:r w:rsidRPr="008813EA">
        <w:t>.</w:t>
      </w:r>
      <w:r w:rsidRPr="008813EA">
        <w:tab/>
      </w:r>
      <w:r w:rsidRPr="008813EA">
        <w:rPr>
          <w:b/>
        </w:rPr>
        <w:t>Tokens of Appreciation</w:t>
      </w:r>
    </w:p>
    <w:p w:rsidR="009D2672" w:rsidRPr="008813EA" w:rsidP="00A7360E" w14:paraId="688A0446" w14:textId="77777777">
      <w:pPr>
        <w:autoSpaceDE w:val="0"/>
        <w:autoSpaceDN w:val="0"/>
        <w:adjustRightInd w:val="0"/>
        <w:spacing w:after="240"/>
      </w:pPr>
      <w:r w:rsidRPr="008813EA">
        <w:t xml:space="preserve">No tokens of appreciation for study participants are planned for this data collection. </w:t>
      </w:r>
    </w:p>
    <w:p w:rsidR="009D2672" w:rsidRPr="008813EA" w:rsidP="0095272C" w14:paraId="6153AAA3" w14:textId="77777777">
      <w:pPr>
        <w:spacing w:after="120"/>
      </w:pPr>
      <w:r w:rsidRPr="008813EA">
        <w:rPr>
          <w:b/>
        </w:rPr>
        <w:t>A10</w:t>
      </w:r>
      <w:r w:rsidRPr="008813EA">
        <w:t>.</w:t>
      </w:r>
      <w:r w:rsidRPr="008813EA">
        <w:tab/>
      </w:r>
      <w:r w:rsidRPr="008813EA">
        <w:rPr>
          <w:b/>
        </w:rPr>
        <w:t>Privacy: Procedures to protect privacy of information, while maximizing data sharing</w:t>
      </w:r>
    </w:p>
    <w:p w:rsidR="009D2672" w:rsidRPr="008813EA" w14:paraId="61C62872" w14:textId="77777777">
      <w:pPr>
        <w:spacing w:after="120" w:line="240" w:lineRule="auto"/>
        <w:rPr>
          <w:i/>
        </w:rPr>
      </w:pPr>
      <w:r w:rsidRPr="008813EA">
        <w:rPr>
          <w:i/>
        </w:rPr>
        <w:t>Personally Identifiable Information</w:t>
      </w:r>
    </w:p>
    <w:p w:rsidR="00772079" w:rsidRPr="008813EA" w:rsidP="008813EA" w14:paraId="51759A6B" w14:textId="70E26A3C">
      <w:r w:rsidRPr="00772079">
        <w:t xml:space="preserve">This request comprises the collection of information about organizations, not individuals. No personally identifiable information will be collected. </w:t>
      </w:r>
    </w:p>
    <w:p w:rsidR="009D2672" w:rsidRPr="008813EA" w14:paraId="7A8F9DD4" w14:textId="77777777">
      <w:pPr>
        <w:spacing w:after="120" w:line="240" w:lineRule="auto"/>
        <w:rPr>
          <w:i/>
        </w:rPr>
      </w:pPr>
      <w:r w:rsidRPr="008813EA">
        <w:rPr>
          <w:i/>
        </w:rPr>
        <w:t>Assurances of Privacy</w:t>
      </w:r>
    </w:p>
    <w:p w:rsidR="00772079" w:rsidP="005F2A4A" w14:paraId="77DDF20C" w14:textId="77777777">
      <w:pPr>
        <w:spacing w:after="120"/>
      </w:pPr>
      <w:r w:rsidRPr="00772079">
        <w:t xml:space="preserve">Information collected will be kept private to the extent permitted by law. Respondents will be informed of all planned uses of data and that their information will be kept private to the extent permitted by law. The contractor will also notify respondents that although participation in SRAE evaluation efforts is a condition of their grant, they may choose not to respond to specific questions. </w:t>
      </w:r>
      <w:r w:rsidRPr="00772079">
        <w:cr/>
      </w:r>
    </w:p>
    <w:p w:rsidR="00772079" w:rsidRPr="008813EA" w:rsidP="008813EA" w14:paraId="291C1F9C" w14:textId="34C3CBE7">
      <w:r w:rsidRPr="00772079">
        <w:t xml:space="preserve">Only the study team and respondents will </w:t>
      </w:r>
      <w:r w:rsidR="005F2A4A">
        <w:t xml:space="preserve">have </w:t>
      </w:r>
      <w:r w:rsidRPr="00772079">
        <w:t>access to the project QualBoard. Respondents will receive an invitation to the</w:t>
      </w:r>
      <w:r w:rsidR="005F2A4A">
        <w:t xml:space="preserve"> study</w:t>
      </w:r>
      <w:r w:rsidRPr="00772079">
        <w:t xml:space="preserve"> QualBoard via email. The invitation will contain the respondent’s username and a link to the password protected interview webpage. Once on the webpage, respondents will set up their password to complete the interview. </w:t>
      </w:r>
    </w:p>
    <w:p w:rsidR="009D2672" w:rsidRPr="008813EA" w14:paraId="6EC78B25" w14:textId="77777777">
      <w:pPr>
        <w:spacing w:after="120" w:line="240" w:lineRule="auto"/>
        <w:rPr>
          <w:i/>
        </w:rPr>
      </w:pPr>
      <w:r w:rsidRPr="008813EA">
        <w:rPr>
          <w:i/>
        </w:rPr>
        <w:t>Data Security and Monitoring</w:t>
      </w:r>
    </w:p>
    <w:p w:rsidR="00772079" w:rsidP="00271090" w14:paraId="2D842884" w14:textId="0F6A314D">
      <w:pPr>
        <w:spacing w:after="0"/>
      </w:pPr>
      <w:r w:rsidRPr="00772079">
        <w:t>The contractor has developed a Data Safety and Monitoring Plan that assesses all protections of respondents’ information. The contractor will ensure that all of its employees, subcontractors (at all tiers), and employees of each subcontractor who perform work under this contract or subcontract are trained in data privacy issues and comply with the above requirements. All study team staff involved in the project will receive training in</w:t>
      </w:r>
      <w:r w:rsidR="00D4133C">
        <w:t>:</w:t>
      </w:r>
      <w:r w:rsidRPr="00772079">
        <w:t xml:space="preserve"> (1) limitations of disclosure; (2) safeguarding the physical work environment; and (3) storing, transmitting, and destroying data securely. All Mathematica staff sign the Mathematica Confidentiality Agreement, complete online security awareness training when hired, and receive annual refresher training thereafter. Additionally, staff at QualBoard adhere to all pertinent </w:t>
      </w:r>
      <w:r w:rsidR="00D4133C">
        <w:t>f</w:t>
      </w:r>
      <w:r w:rsidRPr="00772079">
        <w:t xml:space="preserve">ederal and </w:t>
      </w:r>
      <w:r w:rsidR="00D4133C">
        <w:t>s</w:t>
      </w:r>
      <w:r w:rsidRPr="00772079">
        <w:t>tate laws governing privacy.</w:t>
      </w:r>
    </w:p>
    <w:p w:rsidR="00814E24" w:rsidP="00AB260F" w14:paraId="5C8C75CA" w14:textId="2508A68D">
      <w:pPr>
        <w:spacing w:after="120"/>
      </w:pPr>
      <w:r>
        <w:br/>
      </w:r>
      <w:r w:rsidRPr="00772079">
        <w:t>As specified in its contract, the contractor will use encryption that complies with the Federal Information Processing Standard (Security Requirements for Cryptographic Module, as amended) to protect all sensitive information during storage and transmission. The contractor will securely generate and manage encryption keys to prevent unauthorized decryption of information in accordance with the Federal Information Processing Standard. In addition, the contractor has a plan for minimizing to the extent possible the inclusion of sensitive information on paper records as well as for protecting any paper records, field notes, or other documents that contain sensitive information, thereby ensuring secure storage and limits on access.</w:t>
      </w:r>
      <w:r w:rsidRPr="00772079">
        <w:cr/>
      </w:r>
    </w:p>
    <w:p w:rsidR="00AB260F" w:rsidP="00AB260F" w14:paraId="5C10C8E2" w14:textId="7FC7333E">
      <w:pPr>
        <w:spacing w:after="120"/>
      </w:pPr>
      <w:r w:rsidRPr="00772079">
        <w:t xml:space="preserve">The project’s QualBoard data will automatically be archived 90 days after the project closes and will be permanently deleted 180 days after the project closes. </w:t>
      </w:r>
    </w:p>
    <w:p w:rsidR="009D2672" w:rsidRPr="008813EA" w:rsidP="00AB260F" w14:paraId="0504F1D3" w14:textId="78B1E7A6">
      <w:pPr>
        <w:spacing w:after="120"/>
      </w:pPr>
      <w:r w:rsidRPr="008813EA">
        <w:rPr>
          <w:b/>
        </w:rPr>
        <w:t>A11</w:t>
      </w:r>
      <w:r w:rsidRPr="008813EA">
        <w:t>.</w:t>
      </w:r>
      <w:r w:rsidRPr="008813EA">
        <w:tab/>
      </w:r>
      <w:r w:rsidRPr="008813EA">
        <w:rPr>
          <w:b/>
        </w:rPr>
        <w:t>Sensitive Information</w:t>
      </w:r>
      <w:r w:rsidRPr="008813EA">
        <w:rPr>
          <w:rStyle w:val="FootnoteReference"/>
        </w:rPr>
        <w:t xml:space="preserve"> </w:t>
      </w:r>
      <w:r>
        <w:rPr>
          <w:rStyle w:val="FootnoteReference"/>
        </w:rPr>
        <w:footnoteReference w:id="9"/>
      </w:r>
    </w:p>
    <w:p w:rsidR="009D2672" w:rsidRPr="008813EA" w:rsidP="008813EA" w14:paraId="29BDE712" w14:textId="06B6DA28">
      <w:r w:rsidRPr="008813EA">
        <w:t xml:space="preserve">There are no sensitive questions </w:t>
      </w:r>
      <w:r w:rsidR="00772079">
        <w:t>in this data collection.</w:t>
      </w:r>
    </w:p>
    <w:p w:rsidR="009D2672" w:rsidRPr="008813EA" w:rsidP="0095272C" w14:paraId="4F0094D0" w14:textId="77777777">
      <w:pPr>
        <w:spacing w:after="120"/>
        <w:rPr>
          <w:b/>
        </w:rPr>
      </w:pPr>
      <w:r w:rsidRPr="008813EA">
        <w:rPr>
          <w:b/>
        </w:rPr>
        <w:t>A12</w:t>
      </w:r>
      <w:r w:rsidRPr="008813EA">
        <w:t>.</w:t>
      </w:r>
      <w:r w:rsidRPr="008813EA">
        <w:tab/>
      </w:r>
      <w:r w:rsidRPr="008813EA">
        <w:rPr>
          <w:b/>
        </w:rPr>
        <w:t>Burden</w:t>
      </w:r>
    </w:p>
    <w:p w:rsidR="009D2672" w:rsidRPr="008813EA" w:rsidP="00467E4B" w14:paraId="6459CC9F" w14:textId="77777777">
      <w:pPr>
        <w:spacing w:after="60" w:line="240" w:lineRule="auto"/>
        <w:rPr>
          <w:i/>
        </w:rPr>
      </w:pPr>
      <w:r w:rsidRPr="008813EA">
        <w:rPr>
          <w:i/>
        </w:rPr>
        <w:t>Explanation of Burden Estimates</w:t>
      </w:r>
    </w:p>
    <w:p w:rsidR="00524385" w:rsidRPr="0035694F" w:rsidP="0035694F" w14:paraId="456D532A" w14:textId="6C9DD730">
      <w:pPr>
        <w:tabs>
          <w:tab w:val="left" w:pos="-720"/>
        </w:tabs>
        <w:suppressAutoHyphens/>
        <w:spacing w:after="240"/>
      </w:pPr>
      <w:r w:rsidRPr="008813EA">
        <w:t xml:space="preserve">In Table A.2 we summarize the estimated reporting burden and costs for </w:t>
      </w:r>
      <w:r w:rsidR="005F2A4A">
        <w:t>the data collection</w:t>
      </w:r>
      <w:r w:rsidRPr="008813EA">
        <w:t xml:space="preserve"> instrument. The </w:t>
      </w:r>
      <w:r>
        <w:t xml:space="preserve">interview </w:t>
      </w:r>
      <w:r w:rsidRPr="008813EA">
        <w:t xml:space="preserve">time includes time for </w:t>
      </w:r>
      <w:r w:rsidR="005F2A4A">
        <w:t>respondent</w:t>
      </w:r>
      <w:r w:rsidRPr="008813EA">
        <w:t xml:space="preserve">s to review the instructions and participate in a virtual </w:t>
      </w:r>
      <w:r>
        <w:t>interview on Qualboard</w:t>
      </w:r>
      <w:r w:rsidRPr="008813EA">
        <w:t xml:space="preserve">. The study team expects the total annual burden to be </w:t>
      </w:r>
      <w:r w:rsidR="0035694F">
        <w:t>50</w:t>
      </w:r>
      <w:r w:rsidRPr="008813EA">
        <w:t xml:space="preserve"> hours for this information collection request. </w:t>
      </w:r>
      <w:r w:rsidR="0035694F">
        <w:t>To calculate the total annual burden, w</w:t>
      </w:r>
      <w:r w:rsidRPr="008813EA" w:rsidR="0035694F">
        <w:t xml:space="preserve">e estimate that </w:t>
      </w:r>
      <w:r w:rsidR="0035694F">
        <w:t xml:space="preserve">50 grantees and/or providers who serve </w:t>
      </w:r>
      <w:r w:rsidR="00814E24">
        <w:t xml:space="preserve">youth in </w:t>
      </w:r>
      <w:r w:rsidR="005F2A4A">
        <w:t>the two settings of interest</w:t>
      </w:r>
      <w:r w:rsidR="00814E24">
        <w:t xml:space="preserve"> </w:t>
      </w:r>
      <w:r w:rsidRPr="008813EA" w:rsidR="0035694F">
        <w:t xml:space="preserve">will participate in </w:t>
      </w:r>
      <w:r w:rsidR="005F2A4A">
        <w:t>the</w:t>
      </w:r>
      <w:r w:rsidRPr="008813EA" w:rsidR="0035694F">
        <w:t xml:space="preserve"> interview.</w:t>
      </w:r>
      <w:r w:rsidR="0035694F">
        <w:t xml:space="preserve"> T</w:t>
      </w:r>
      <w:r w:rsidRPr="008813EA">
        <w:t xml:space="preserve">he interview is estimated to take 60 minutes and will occur </w:t>
      </w:r>
      <w:r>
        <w:t>virtually</w:t>
      </w:r>
      <w:r w:rsidRPr="008813EA">
        <w:t>. There will be</w:t>
      </w:r>
      <w:r>
        <w:t xml:space="preserve"> one</w:t>
      </w:r>
      <w:r w:rsidRPr="008813EA">
        <w:t xml:space="preserve"> round of interviews in </w:t>
      </w:r>
      <w:r w:rsidR="005F2A4A">
        <w:t>s</w:t>
      </w:r>
      <w:r w:rsidRPr="008813EA">
        <w:t xml:space="preserve">pring 2023. </w:t>
      </w:r>
    </w:p>
    <w:p w:rsidR="009D2672" w:rsidRPr="008813EA" w14:paraId="27232C6A" w14:textId="2B0DA485">
      <w:pPr>
        <w:spacing w:after="120" w:line="240" w:lineRule="auto"/>
        <w:rPr>
          <w:i/>
        </w:rPr>
      </w:pPr>
      <w:r w:rsidRPr="008813EA">
        <w:rPr>
          <w:i/>
        </w:rPr>
        <w:t>Estimated Annualized Cost to Respondents</w:t>
      </w:r>
    </w:p>
    <w:p w:rsidR="003A12FD" w:rsidP="003A12FD" w14:paraId="0E654E07" w14:textId="014F6611">
      <w:pPr>
        <w:tabs>
          <w:tab w:val="left" w:pos="-720"/>
        </w:tabs>
        <w:suppressAutoHyphens/>
        <w:spacing w:after="60"/>
        <w:rPr>
          <w:iCs/>
        </w:rPr>
      </w:pPr>
      <w:r w:rsidRPr="008813EA">
        <w:rPr>
          <w:iCs/>
        </w:rPr>
        <w:t>The study team expects the total annual cost to be $</w:t>
      </w:r>
      <w:r>
        <w:rPr>
          <w:iCs/>
        </w:rPr>
        <w:t>2,185</w:t>
      </w:r>
      <w:r w:rsidRPr="008813EA">
        <w:rPr>
          <w:iCs/>
        </w:rPr>
        <w:t xml:space="preserve"> for all instruments in the current information collection request. The Occupational Employment Statistics (2021) from the Bureau of Labor Statistics have been used to estimate the average hourly wage for the </w:t>
      </w:r>
      <w:r w:rsidRPr="008813EA">
        <w:t>participants</w:t>
      </w:r>
      <w:r w:rsidRPr="008813EA">
        <w:rPr>
          <w:iCs/>
        </w:rPr>
        <w:t xml:space="preserve"> of this study and derive total annual costs. For </w:t>
      </w:r>
      <w:r w:rsidR="0035694F">
        <w:rPr>
          <w:iCs/>
        </w:rPr>
        <w:t xml:space="preserve">the </w:t>
      </w:r>
      <w:r w:rsidRPr="008813EA">
        <w:t>instrument</w:t>
      </w:r>
      <w:r w:rsidRPr="008813EA">
        <w:rPr>
          <w:iCs/>
        </w:rPr>
        <w:t xml:space="preserve"> listed in Table A.2, the study team calculated the total annual cost by multiplying the annual burden hours by the average hourly wage</w:t>
      </w:r>
      <w:r>
        <w:rPr>
          <w:iCs/>
        </w:rPr>
        <w:t xml:space="preserve">. </w:t>
      </w:r>
      <w:r w:rsidRPr="008813EA">
        <w:rPr>
          <w:iCs/>
        </w:rPr>
        <w:t xml:space="preserve">The mean hourly wage </w:t>
      </w:r>
      <w:r w:rsidRPr="003A12FD">
        <w:rPr>
          <w:iCs/>
        </w:rPr>
        <w:t xml:space="preserve">for </w:t>
      </w:r>
      <w:r w:rsidRPr="003A12FD">
        <w:t>social scientists and related workers (Occupational Code 19-3099)</w:t>
      </w:r>
      <w:r w:rsidRPr="003A12FD">
        <w:rPr>
          <w:b/>
          <w:bCs/>
        </w:rPr>
        <w:t xml:space="preserve"> </w:t>
      </w:r>
      <w:r w:rsidRPr="008813EA">
        <w:rPr>
          <w:iCs/>
        </w:rPr>
        <w:t>of $</w:t>
      </w:r>
      <w:r>
        <w:rPr>
          <w:iCs/>
        </w:rPr>
        <w:t>4</w:t>
      </w:r>
      <w:r w:rsidRPr="008813EA">
        <w:rPr>
          <w:iCs/>
        </w:rPr>
        <w:t>3.</w:t>
      </w:r>
      <w:r>
        <w:rPr>
          <w:iCs/>
        </w:rPr>
        <w:t>70</w:t>
      </w:r>
      <w:r>
        <w:rPr>
          <w:rStyle w:val="FootnoteReference"/>
          <w:iCs/>
        </w:rPr>
        <w:footnoteReference w:id="10"/>
      </w:r>
      <w:r w:rsidRPr="008813EA">
        <w:rPr>
          <w:iCs/>
        </w:rPr>
        <w:t xml:space="preserve"> was used for the </w:t>
      </w:r>
      <w:r>
        <w:rPr>
          <w:iCs/>
        </w:rPr>
        <w:t xml:space="preserve">grantees and providers </w:t>
      </w:r>
      <w:r w:rsidRPr="008813EA">
        <w:rPr>
          <w:iCs/>
        </w:rPr>
        <w:t xml:space="preserve">who complete the </w:t>
      </w:r>
      <w:r>
        <w:rPr>
          <w:iCs/>
        </w:rPr>
        <w:t xml:space="preserve">interview. </w:t>
      </w:r>
    </w:p>
    <w:p w:rsidR="003A12FD" w:rsidP="003A12FD" w14:paraId="433C7488" w14:textId="77777777">
      <w:pPr>
        <w:tabs>
          <w:tab w:val="left" w:pos="-720"/>
        </w:tabs>
        <w:suppressAutoHyphens/>
        <w:spacing w:after="60"/>
        <w:rPr>
          <w:iCs/>
        </w:rPr>
      </w:pPr>
    </w:p>
    <w:p w:rsidR="009D2672" w:rsidRPr="008813EA" w:rsidP="003A12FD" w14:paraId="4E584ADD" w14:textId="5F6F1318">
      <w:pPr>
        <w:tabs>
          <w:tab w:val="left" w:pos="-720"/>
        </w:tabs>
        <w:suppressAutoHyphens/>
        <w:spacing w:after="60"/>
        <w:rPr>
          <w:rFonts w:asciiTheme="majorHAnsi" w:hAnsiTheme="majorHAnsi"/>
          <w:b/>
          <w:color w:val="000000" w:themeColor="text1"/>
          <w:sz w:val="20"/>
        </w:rPr>
      </w:pPr>
      <w:r w:rsidRPr="008813EA">
        <w:rPr>
          <w:rFonts w:asciiTheme="majorHAnsi" w:hAnsiTheme="majorHAnsi"/>
          <w:b/>
          <w:color w:val="000000" w:themeColor="text1"/>
          <w:sz w:val="20"/>
        </w:rPr>
        <w:t>Table A.2. Total burden requested under this information collection</w:t>
      </w:r>
    </w:p>
    <w:tbl>
      <w:tblPr>
        <w:tblStyle w:val="TableGrid1"/>
        <w:tblW w:w="9545" w:type="dxa"/>
        <w:tblInd w:w="-5" w:type="dxa"/>
        <w:tblBorders>
          <w:top w:val="none" w:sz="0" w:space="0" w:color="auto"/>
          <w:bottom w:val="none" w:sz="0" w:space="0" w:color="auto"/>
        </w:tblBorders>
        <w:tblLayout w:type="fixed"/>
        <w:tblLook w:val="01E0"/>
      </w:tblPr>
      <w:tblGrid>
        <w:gridCol w:w="2525"/>
        <w:gridCol w:w="1165"/>
        <w:gridCol w:w="1530"/>
        <w:gridCol w:w="1170"/>
        <w:gridCol w:w="1085"/>
        <w:gridCol w:w="985"/>
        <w:gridCol w:w="1085"/>
      </w:tblGrid>
      <w:tr w14:paraId="02C60794" w14:textId="77777777" w:rsidTr="00CA40F0">
        <w:tblPrEx>
          <w:tblW w:w="9545" w:type="dxa"/>
          <w:tblInd w:w="-5" w:type="dxa"/>
          <w:tblBorders>
            <w:top w:val="none" w:sz="0" w:space="0" w:color="auto"/>
            <w:bottom w:val="none" w:sz="0" w:space="0" w:color="auto"/>
          </w:tblBorders>
          <w:tblLayout w:type="fixed"/>
          <w:tblLook w:val="01E0"/>
        </w:tblPrEx>
        <w:tc>
          <w:tcPr>
            <w:tcW w:w="2525" w:type="dxa"/>
            <w:tcBorders>
              <w:right w:val="single" w:sz="4" w:space="0" w:color="FFFFFF" w:themeColor="background1"/>
            </w:tcBorders>
            <w:shd w:val="clear" w:color="auto" w:fill="1F497D" w:themeFill="text2"/>
            <w:vAlign w:val="bottom"/>
            <w:hideMark/>
          </w:tcPr>
          <w:p w:rsidR="009D2672" w:rsidRPr="001B630B" w14:paraId="2C3CE358" w14:textId="77777777">
            <w:pPr>
              <w:pStyle w:val="TableHeaderCenter"/>
              <w:ind w:left="-72" w:right="-72"/>
              <w:jc w:val="left"/>
              <w:rPr>
                <w:b/>
                <w:bCs/>
                <w:sz w:val="18"/>
                <w:szCs w:val="18"/>
              </w:rPr>
            </w:pPr>
            <w:r w:rsidRPr="001B630B">
              <w:rPr>
                <w:b/>
                <w:bCs/>
                <w:sz w:val="18"/>
                <w:szCs w:val="18"/>
              </w:rPr>
              <w:t>Instrument</w:t>
            </w:r>
          </w:p>
        </w:tc>
        <w:tc>
          <w:tcPr>
            <w:tcW w:w="1165" w:type="dxa"/>
            <w:tcBorders>
              <w:left w:val="single" w:sz="4" w:space="0" w:color="FFFFFF" w:themeColor="background1"/>
              <w:right w:val="single" w:sz="4" w:space="0" w:color="FFFFFF" w:themeColor="background1"/>
            </w:tcBorders>
            <w:shd w:val="clear" w:color="auto" w:fill="1F497D" w:themeFill="text2"/>
            <w:vAlign w:val="bottom"/>
            <w:hideMark/>
          </w:tcPr>
          <w:p w:rsidR="009D2672" w:rsidRPr="001B630B" w14:paraId="36EA5F64" w14:textId="77777777">
            <w:pPr>
              <w:pStyle w:val="TableHeaderCenter"/>
              <w:ind w:left="-72" w:right="-72"/>
              <w:rPr>
                <w:b/>
                <w:bCs/>
                <w:sz w:val="18"/>
                <w:szCs w:val="18"/>
              </w:rPr>
            </w:pPr>
            <w:r w:rsidRPr="001B630B">
              <w:rPr>
                <w:b/>
                <w:bCs/>
                <w:sz w:val="18"/>
                <w:szCs w:val="18"/>
              </w:rPr>
              <w:t>No. of participants (total over request period)</w:t>
            </w:r>
          </w:p>
        </w:tc>
        <w:tc>
          <w:tcPr>
            <w:tcW w:w="1530" w:type="dxa"/>
            <w:tcBorders>
              <w:left w:val="single" w:sz="4" w:space="0" w:color="FFFFFF" w:themeColor="background1"/>
              <w:right w:val="single" w:sz="4" w:space="0" w:color="FFFFFF" w:themeColor="background1"/>
            </w:tcBorders>
            <w:shd w:val="clear" w:color="auto" w:fill="1F497D" w:themeFill="text2"/>
            <w:vAlign w:val="bottom"/>
            <w:hideMark/>
          </w:tcPr>
          <w:p w:rsidR="009D2672" w:rsidRPr="001B630B" w14:paraId="585A508D" w14:textId="77777777">
            <w:pPr>
              <w:pStyle w:val="TableHeaderCenter"/>
              <w:ind w:left="-72" w:right="-72"/>
              <w:rPr>
                <w:b/>
                <w:bCs/>
                <w:sz w:val="18"/>
                <w:szCs w:val="18"/>
              </w:rPr>
            </w:pPr>
            <w:r w:rsidRPr="001B630B">
              <w:rPr>
                <w:b/>
                <w:bCs/>
                <w:sz w:val="18"/>
                <w:szCs w:val="18"/>
              </w:rPr>
              <w:t>No. of responses per participant (total over request period)</w:t>
            </w:r>
          </w:p>
        </w:tc>
        <w:tc>
          <w:tcPr>
            <w:tcW w:w="1170" w:type="dxa"/>
            <w:tcBorders>
              <w:left w:val="single" w:sz="4" w:space="0" w:color="FFFFFF" w:themeColor="background1"/>
              <w:right w:val="single" w:sz="4" w:space="0" w:color="FFFFFF" w:themeColor="background1"/>
            </w:tcBorders>
            <w:shd w:val="clear" w:color="auto" w:fill="1F497D" w:themeFill="text2"/>
            <w:vAlign w:val="bottom"/>
            <w:hideMark/>
          </w:tcPr>
          <w:p w:rsidR="009D2672" w:rsidRPr="001B630B" w14:paraId="1BD1072B" w14:textId="77777777">
            <w:pPr>
              <w:pStyle w:val="TableHeaderCenter"/>
              <w:ind w:left="-72" w:right="-72"/>
              <w:rPr>
                <w:b/>
                <w:bCs/>
                <w:sz w:val="18"/>
                <w:szCs w:val="18"/>
              </w:rPr>
            </w:pPr>
            <w:r w:rsidRPr="001B630B">
              <w:rPr>
                <w:b/>
                <w:bCs/>
                <w:sz w:val="18"/>
                <w:szCs w:val="18"/>
              </w:rPr>
              <w:t>Avg. burden per response (hours)</w:t>
            </w:r>
          </w:p>
        </w:tc>
        <w:tc>
          <w:tcPr>
            <w:tcW w:w="1085" w:type="dxa"/>
            <w:tcBorders>
              <w:left w:val="single" w:sz="4" w:space="0" w:color="FFFFFF" w:themeColor="background1"/>
              <w:right w:val="single" w:sz="4" w:space="0" w:color="FFFFFF" w:themeColor="background1"/>
            </w:tcBorders>
            <w:shd w:val="clear" w:color="auto" w:fill="1F497D" w:themeFill="text2"/>
            <w:vAlign w:val="bottom"/>
          </w:tcPr>
          <w:p w:rsidR="009D2672" w:rsidRPr="001B630B" w14:paraId="3D0CBD36" w14:textId="77777777">
            <w:pPr>
              <w:pStyle w:val="TableHeaderCenter"/>
              <w:ind w:left="-72" w:right="-72"/>
              <w:rPr>
                <w:b/>
                <w:bCs/>
                <w:sz w:val="18"/>
                <w:szCs w:val="18"/>
              </w:rPr>
            </w:pPr>
            <w:r w:rsidRPr="001B630B">
              <w:rPr>
                <w:b/>
                <w:bCs/>
                <w:sz w:val="18"/>
                <w:szCs w:val="18"/>
              </w:rPr>
              <w:t>Total/annual burden (hours)</w:t>
            </w:r>
          </w:p>
        </w:tc>
        <w:tc>
          <w:tcPr>
            <w:tcW w:w="985" w:type="dxa"/>
            <w:tcBorders>
              <w:left w:val="single" w:sz="4" w:space="0" w:color="FFFFFF" w:themeColor="background1"/>
              <w:right w:val="single" w:sz="4" w:space="0" w:color="FFFFFF" w:themeColor="background1"/>
            </w:tcBorders>
            <w:shd w:val="clear" w:color="auto" w:fill="1F497D" w:themeFill="text2"/>
            <w:vAlign w:val="bottom"/>
            <w:hideMark/>
          </w:tcPr>
          <w:p w:rsidR="009D2672" w:rsidRPr="001B630B" w14:paraId="2CC38A20" w14:textId="77777777">
            <w:pPr>
              <w:pStyle w:val="TableHeaderCenter"/>
              <w:ind w:left="-72" w:right="-72"/>
              <w:rPr>
                <w:b/>
                <w:bCs/>
                <w:sz w:val="18"/>
                <w:szCs w:val="18"/>
              </w:rPr>
            </w:pPr>
            <w:r w:rsidRPr="001B630B">
              <w:rPr>
                <w:b/>
                <w:bCs/>
                <w:sz w:val="18"/>
                <w:szCs w:val="18"/>
              </w:rPr>
              <w:t>Avg. hourly wage rate</w:t>
            </w:r>
          </w:p>
        </w:tc>
        <w:tc>
          <w:tcPr>
            <w:tcW w:w="1085" w:type="dxa"/>
            <w:tcBorders>
              <w:left w:val="single" w:sz="4" w:space="0" w:color="FFFFFF" w:themeColor="background1"/>
            </w:tcBorders>
            <w:shd w:val="clear" w:color="auto" w:fill="1F497D" w:themeFill="text2"/>
            <w:vAlign w:val="bottom"/>
            <w:hideMark/>
          </w:tcPr>
          <w:p w:rsidR="009D2672" w:rsidRPr="001B630B" w14:paraId="6496A85E" w14:textId="77777777">
            <w:pPr>
              <w:pStyle w:val="TableHeaderCenter"/>
              <w:ind w:left="-72" w:right="-72"/>
              <w:rPr>
                <w:b/>
                <w:bCs/>
                <w:sz w:val="18"/>
                <w:szCs w:val="18"/>
              </w:rPr>
            </w:pPr>
            <w:r w:rsidRPr="001B630B">
              <w:rPr>
                <w:b/>
                <w:bCs/>
                <w:sz w:val="18"/>
                <w:szCs w:val="18"/>
              </w:rPr>
              <w:t>Total annual participant cost</w:t>
            </w:r>
          </w:p>
        </w:tc>
      </w:tr>
    </w:tbl>
    <w:tbl>
      <w:tblPr>
        <w:tblStyle w:val="TableGrid"/>
        <w:tblW w:w="9540" w:type="dxa"/>
        <w:tblInd w:w="-5" w:type="dxa"/>
        <w:tblLayout w:type="fixed"/>
        <w:tblLook w:val="01E0"/>
      </w:tblPr>
      <w:tblGrid>
        <w:gridCol w:w="2520"/>
        <w:gridCol w:w="1170"/>
        <w:gridCol w:w="1530"/>
        <w:gridCol w:w="1175"/>
        <w:gridCol w:w="1075"/>
        <w:gridCol w:w="990"/>
        <w:gridCol w:w="1080"/>
      </w:tblGrid>
      <w:tr w14:paraId="48169833" w14:textId="77777777">
        <w:tblPrEx>
          <w:tblW w:w="9540" w:type="dxa"/>
          <w:tblInd w:w="-5" w:type="dxa"/>
          <w:tblLayout w:type="fixed"/>
          <w:tblLook w:val="01E0"/>
        </w:tblPrEx>
        <w:tc>
          <w:tcPr>
            <w:tcW w:w="2520" w:type="dxa"/>
            <w:tcBorders>
              <w:top w:val="nil"/>
              <w:left w:val="nil"/>
              <w:bottom w:val="single" w:sz="4" w:space="0" w:color="auto"/>
              <w:right w:val="nil"/>
            </w:tcBorders>
          </w:tcPr>
          <w:p w:rsidR="009D2672" w:rsidRPr="005F2A4A" w:rsidP="005F2A4A" w14:paraId="021D5BB0" w14:textId="0C4CCC76">
            <w:pPr>
              <w:spacing w:after="60"/>
              <w:ind w:left="180"/>
              <w:rPr>
                <w:sz w:val="24"/>
                <w:szCs w:val="24"/>
              </w:rPr>
            </w:pPr>
            <w:r w:rsidRPr="0070010C">
              <w:rPr>
                <w:rFonts w:eastAsiaTheme="minorHAnsi"/>
              </w:rPr>
              <w:t>Instrument</w:t>
            </w:r>
            <w:r>
              <w:t xml:space="preserve"> 1. Interview Protocol for SRAE Grantees and Providers Delivering SRAE Programming to </w:t>
            </w:r>
            <w:r w:rsidRPr="0070010C">
              <w:rPr>
                <w:rFonts w:eastAsiaTheme="minorHAnsi"/>
              </w:rPr>
              <w:t>Youth</w:t>
            </w:r>
            <w:r>
              <w:t xml:space="preserve"> in Juvenile Justice Detention Centers and Foster Care Group Homes</w:t>
            </w:r>
          </w:p>
        </w:tc>
        <w:tc>
          <w:tcPr>
            <w:tcW w:w="1170" w:type="dxa"/>
            <w:tcBorders>
              <w:top w:val="nil"/>
              <w:left w:val="nil"/>
              <w:bottom w:val="single" w:sz="4" w:space="0" w:color="auto"/>
              <w:right w:val="nil"/>
            </w:tcBorders>
            <w:vAlign w:val="center"/>
          </w:tcPr>
          <w:p w:rsidR="009D2672" w:rsidRPr="001B630B" w14:paraId="3B5314C7" w14:textId="6EA16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1B630B">
              <w:rPr>
                <w:rFonts w:asciiTheme="majorHAnsi" w:hAnsiTheme="majorHAnsi" w:cstheme="minorHAnsi"/>
                <w:bCs/>
              </w:rPr>
              <w:t>50</w:t>
            </w:r>
          </w:p>
        </w:tc>
        <w:tc>
          <w:tcPr>
            <w:tcW w:w="1530" w:type="dxa"/>
            <w:tcBorders>
              <w:top w:val="nil"/>
              <w:left w:val="nil"/>
              <w:bottom w:val="single" w:sz="4" w:space="0" w:color="auto"/>
              <w:right w:val="nil"/>
            </w:tcBorders>
            <w:vAlign w:val="center"/>
          </w:tcPr>
          <w:p w:rsidR="009D2672" w:rsidRPr="001B630B" w14:paraId="7D50F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1B630B">
              <w:rPr>
                <w:rFonts w:asciiTheme="majorHAnsi" w:hAnsiTheme="majorHAnsi" w:cstheme="minorHAnsi"/>
                <w:bCs/>
              </w:rPr>
              <w:t>1</w:t>
            </w:r>
          </w:p>
        </w:tc>
        <w:tc>
          <w:tcPr>
            <w:tcW w:w="1175" w:type="dxa"/>
            <w:tcBorders>
              <w:top w:val="nil"/>
              <w:left w:val="nil"/>
              <w:bottom w:val="single" w:sz="4" w:space="0" w:color="auto"/>
              <w:right w:val="nil"/>
            </w:tcBorders>
            <w:vAlign w:val="center"/>
          </w:tcPr>
          <w:p w:rsidR="009D2672" w:rsidRPr="001B630B" w14:paraId="26FBD64B" w14:textId="40461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1B630B">
              <w:rPr>
                <w:rFonts w:asciiTheme="majorHAnsi" w:hAnsiTheme="majorHAnsi" w:cstheme="minorHAnsi"/>
                <w:bCs/>
              </w:rPr>
              <w:t>1</w:t>
            </w:r>
          </w:p>
        </w:tc>
        <w:tc>
          <w:tcPr>
            <w:tcW w:w="1075" w:type="dxa"/>
            <w:tcBorders>
              <w:top w:val="nil"/>
              <w:left w:val="nil"/>
              <w:bottom w:val="single" w:sz="4" w:space="0" w:color="auto"/>
              <w:right w:val="nil"/>
            </w:tcBorders>
            <w:vAlign w:val="center"/>
          </w:tcPr>
          <w:p w:rsidR="009D2672" w:rsidRPr="001B630B" w14:paraId="2658BE9C" w14:textId="5CB43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1B630B">
              <w:rPr>
                <w:rFonts w:asciiTheme="majorHAnsi" w:hAnsiTheme="majorHAnsi" w:cstheme="minorHAnsi"/>
                <w:bCs/>
              </w:rPr>
              <w:t>5</w:t>
            </w:r>
            <w:r w:rsidRPr="001B630B" w:rsidR="00FF06A0">
              <w:rPr>
                <w:rFonts w:asciiTheme="majorHAnsi" w:hAnsiTheme="majorHAnsi" w:cstheme="minorHAnsi"/>
                <w:bCs/>
              </w:rPr>
              <w:t>0</w:t>
            </w:r>
          </w:p>
        </w:tc>
        <w:tc>
          <w:tcPr>
            <w:tcW w:w="990" w:type="dxa"/>
            <w:tcBorders>
              <w:top w:val="nil"/>
              <w:left w:val="nil"/>
              <w:bottom w:val="single" w:sz="4" w:space="0" w:color="auto"/>
              <w:right w:val="nil"/>
            </w:tcBorders>
            <w:vAlign w:val="center"/>
          </w:tcPr>
          <w:p w:rsidR="009D2672" w:rsidRPr="001B630B" w14:paraId="35952576" w14:textId="0B562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1B630B">
              <w:rPr>
                <w:rFonts w:asciiTheme="majorHAnsi" w:hAnsiTheme="majorHAnsi" w:cstheme="minorHAnsi"/>
                <w:bCs/>
              </w:rPr>
              <w:t>$</w:t>
            </w:r>
            <w:r w:rsidRPr="001B630B" w:rsidR="0035694F">
              <w:rPr>
                <w:rFonts w:asciiTheme="majorHAnsi" w:hAnsiTheme="majorHAnsi" w:cstheme="minorHAnsi"/>
                <w:bCs/>
              </w:rPr>
              <w:t>43.70</w:t>
            </w:r>
          </w:p>
        </w:tc>
        <w:tc>
          <w:tcPr>
            <w:tcW w:w="1080" w:type="dxa"/>
            <w:tcBorders>
              <w:top w:val="nil"/>
              <w:left w:val="nil"/>
              <w:bottom w:val="single" w:sz="4" w:space="0" w:color="auto"/>
              <w:right w:val="nil"/>
            </w:tcBorders>
            <w:vAlign w:val="center"/>
          </w:tcPr>
          <w:p w:rsidR="009D2672" w:rsidRPr="001B630B" w14:paraId="35CB01F3" w14:textId="431BD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Cs/>
              </w:rPr>
            </w:pPr>
            <w:r w:rsidRPr="001B630B">
              <w:rPr>
                <w:rFonts w:asciiTheme="majorHAnsi" w:hAnsiTheme="majorHAnsi" w:cstheme="minorHAnsi"/>
                <w:bCs/>
              </w:rPr>
              <w:t>$</w:t>
            </w:r>
            <w:r w:rsidRPr="001B630B" w:rsidR="0035694F">
              <w:rPr>
                <w:rFonts w:asciiTheme="majorHAnsi" w:hAnsiTheme="majorHAnsi" w:cstheme="minorHAnsi"/>
                <w:bCs/>
              </w:rPr>
              <w:t>2,185</w:t>
            </w:r>
          </w:p>
        </w:tc>
      </w:tr>
      <w:tr w14:paraId="50013BB5" w14:textId="77777777">
        <w:tblPrEx>
          <w:tblW w:w="9540" w:type="dxa"/>
          <w:tblInd w:w="-5" w:type="dxa"/>
          <w:tblLayout w:type="fixed"/>
          <w:tblLook w:val="01E0"/>
        </w:tblPrEx>
        <w:tc>
          <w:tcPr>
            <w:tcW w:w="6395" w:type="dxa"/>
            <w:gridSpan w:val="4"/>
            <w:tcBorders>
              <w:top w:val="single" w:sz="4" w:space="0" w:color="auto"/>
              <w:left w:val="nil"/>
              <w:bottom w:val="single" w:sz="4" w:space="0" w:color="auto"/>
              <w:right w:val="nil"/>
            </w:tcBorders>
            <w:vAlign w:val="center"/>
          </w:tcPr>
          <w:p w:rsidR="009D2672" w:rsidRPr="001B630B" w14:paraId="5A67F4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Theme="majorHAnsi" w:hAnsiTheme="majorHAnsi" w:cstheme="minorHAnsi"/>
                <w:b/>
              </w:rPr>
            </w:pPr>
            <w:r w:rsidRPr="001B630B">
              <w:rPr>
                <w:rFonts w:asciiTheme="majorHAnsi" w:hAnsiTheme="majorHAnsi" w:cstheme="minorHAnsi"/>
                <w:b/>
              </w:rPr>
              <w:t>Estimated total annual burden</w:t>
            </w:r>
          </w:p>
        </w:tc>
        <w:tc>
          <w:tcPr>
            <w:tcW w:w="1075" w:type="dxa"/>
            <w:tcBorders>
              <w:top w:val="single" w:sz="4" w:space="0" w:color="auto"/>
              <w:left w:val="nil"/>
              <w:bottom w:val="single" w:sz="4" w:space="0" w:color="auto"/>
              <w:right w:val="nil"/>
            </w:tcBorders>
            <w:vAlign w:val="center"/>
          </w:tcPr>
          <w:p w:rsidR="009D2672" w:rsidRPr="001B630B" w14:paraId="61292729" w14:textId="08D6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
              </w:rPr>
            </w:pPr>
            <w:r w:rsidRPr="001B630B">
              <w:rPr>
                <w:rFonts w:asciiTheme="majorHAnsi" w:hAnsiTheme="majorHAnsi" w:cstheme="minorHAnsi"/>
                <w:b/>
              </w:rPr>
              <w:t>5</w:t>
            </w:r>
            <w:r w:rsidRPr="001B630B" w:rsidR="00C52A00">
              <w:rPr>
                <w:rFonts w:asciiTheme="majorHAnsi" w:hAnsiTheme="majorHAnsi" w:cstheme="minorHAnsi"/>
                <w:b/>
              </w:rPr>
              <w:t>0</w:t>
            </w:r>
          </w:p>
        </w:tc>
        <w:tc>
          <w:tcPr>
            <w:tcW w:w="990" w:type="dxa"/>
            <w:tcBorders>
              <w:top w:val="single" w:sz="4" w:space="0" w:color="auto"/>
              <w:left w:val="nil"/>
              <w:bottom w:val="single" w:sz="4" w:space="0" w:color="auto"/>
              <w:right w:val="nil"/>
            </w:tcBorders>
            <w:vAlign w:val="center"/>
          </w:tcPr>
          <w:p w:rsidR="009D2672" w:rsidRPr="001B630B" w14:paraId="02D033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
              </w:rPr>
            </w:pPr>
          </w:p>
        </w:tc>
        <w:tc>
          <w:tcPr>
            <w:tcW w:w="1080" w:type="dxa"/>
            <w:tcBorders>
              <w:top w:val="single" w:sz="4" w:space="0" w:color="auto"/>
              <w:left w:val="nil"/>
              <w:bottom w:val="single" w:sz="4" w:space="0" w:color="auto"/>
              <w:right w:val="nil"/>
            </w:tcBorders>
            <w:vAlign w:val="center"/>
          </w:tcPr>
          <w:p w:rsidR="009D2672" w:rsidRPr="001B630B" w14:paraId="084812AD" w14:textId="4D6F0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Theme="majorHAnsi" w:hAnsiTheme="majorHAnsi" w:cstheme="minorHAnsi"/>
                <w:b/>
              </w:rPr>
            </w:pPr>
            <w:r w:rsidRPr="001B630B">
              <w:rPr>
                <w:rFonts w:asciiTheme="majorHAnsi" w:hAnsiTheme="majorHAnsi" w:cstheme="minorHAnsi"/>
                <w:b/>
              </w:rPr>
              <w:t>$</w:t>
            </w:r>
            <w:r w:rsidRPr="001B630B" w:rsidR="0035694F">
              <w:rPr>
                <w:rFonts w:asciiTheme="majorHAnsi" w:hAnsiTheme="majorHAnsi" w:cstheme="minorHAnsi"/>
                <w:b/>
              </w:rPr>
              <w:t>2,185</w:t>
            </w:r>
          </w:p>
        </w:tc>
      </w:tr>
    </w:tbl>
    <w:p w:rsidR="00524385" w:rsidP="00CD1418" w14:paraId="66D881C7" w14:textId="77777777">
      <w:pPr>
        <w:spacing w:after="120"/>
        <w:rPr>
          <w:rFonts w:cstheme="minorHAnsi"/>
          <w:b/>
        </w:rPr>
      </w:pPr>
    </w:p>
    <w:p w:rsidR="009D2672" w:rsidRPr="008813EA" w:rsidP="00CD1418" w14:paraId="437CB182" w14:textId="5004E52B">
      <w:pPr>
        <w:spacing w:after="120"/>
        <w:rPr>
          <w:rFonts w:cstheme="minorHAnsi"/>
        </w:rPr>
      </w:pPr>
      <w:r w:rsidRPr="008813EA">
        <w:rPr>
          <w:rFonts w:cstheme="minorHAnsi"/>
          <w:b/>
        </w:rPr>
        <w:t>A13</w:t>
      </w:r>
      <w:r w:rsidRPr="008813EA">
        <w:rPr>
          <w:rFonts w:cstheme="minorHAnsi"/>
        </w:rPr>
        <w:t>.</w:t>
      </w:r>
      <w:r w:rsidRPr="008813EA">
        <w:rPr>
          <w:rFonts w:cstheme="minorHAnsi"/>
        </w:rPr>
        <w:tab/>
      </w:r>
      <w:r w:rsidRPr="008813EA">
        <w:rPr>
          <w:rFonts w:cstheme="minorHAnsi"/>
          <w:b/>
        </w:rPr>
        <w:t>Costs</w:t>
      </w:r>
    </w:p>
    <w:p w:rsidR="009D2672" w:rsidRPr="008813EA" w14:paraId="21B2AB95" w14:textId="77777777">
      <w:pPr>
        <w:spacing w:after="240"/>
      </w:pPr>
      <w:r w:rsidRPr="008813EA">
        <w:t>There are no additional costs to respondents.</w:t>
      </w:r>
    </w:p>
    <w:p w:rsidR="009D2672" w:rsidRPr="008813EA" w:rsidP="00467E4B" w14:paraId="2159E157" w14:textId="77777777">
      <w:pPr>
        <w:spacing w:after="120"/>
        <w:rPr>
          <w:rFonts w:cstheme="minorHAnsi"/>
        </w:rPr>
      </w:pPr>
      <w:r w:rsidRPr="008813EA">
        <w:rPr>
          <w:rFonts w:cstheme="minorHAnsi"/>
          <w:b/>
        </w:rPr>
        <w:t>A14</w:t>
      </w:r>
      <w:r w:rsidRPr="008813EA">
        <w:rPr>
          <w:rFonts w:cstheme="minorHAnsi"/>
        </w:rPr>
        <w:t>.</w:t>
      </w:r>
      <w:r w:rsidRPr="008813EA">
        <w:rPr>
          <w:rFonts w:cstheme="minorHAnsi"/>
        </w:rPr>
        <w:tab/>
      </w:r>
      <w:r w:rsidRPr="008813EA">
        <w:rPr>
          <w:rFonts w:cstheme="minorHAnsi"/>
          <w:b/>
        </w:rPr>
        <w:t>Estimated Annualized Costs to the Federal Government</w:t>
      </w:r>
      <w:r w:rsidRPr="008813EA">
        <w:rPr>
          <w:rFonts w:cstheme="minorHAnsi"/>
        </w:rPr>
        <w:t xml:space="preserve"> </w:t>
      </w:r>
    </w:p>
    <w:p w:rsidR="009D2672" w:rsidRPr="008813EA" w14:paraId="102677B0" w14:textId="19BF1FD2">
      <w:pPr>
        <w:tabs>
          <w:tab w:val="left" w:pos="-720"/>
        </w:tabs>
        <w:suppressAutoHyphens/>
        <w:spacing w:after="240"/>
      </w:pPr>
      <w:r w:rsidRPr="008813EA">
        <w:t>The estimated total cost to the federal government for this study is $</w:t>
      </w:r>
      <w:r w:rsidR="00465EF7">
        <w:t>60,000</w:t>
      </w:r>
      <w:r w:rsidRPr="008813EA">
        <w:t xml:space="preserve"> (Table A.3). This includes the costs for collection and processing the data, conducting analysis, and preparing reports.</w:t>
      </w:r>
    </w:p>
    <w:p w:rsidR="005F2A4A" w14:paraId="126CBEEE" w14:textId="77777777">
      <w:pPr>
        <w:rPr>
          <w:rFonts w:asciiTheme="majorHAnsi" w:hAnsiTheme="majorHAnsi"/>
          <w:b/>
          <w:color w:val="000000" w:themeColor="text1"/>
          <w:sz w:val="20"/>
        </w:rPr>
      </w:pPr>
      <w:bookmarkStart w:id="20" w:name="_Toc77949003"/>
      <w:r>
        <w:rPr>
          <w:rFonts w:asciiTheme="majorHAnsi" w:hAnsiTheme="majorHAnsi"/>
          <w:b/>
          <w:color w:val="000000" w:themeColor="text1"/>
          <w:sz w:val="20"/>
        </w:rPr>
        <w:br w:type="page"/>
      </w:r>
    </w:p>
    <w:p w:rsidR="009D2672" w:rsidRPr="008813EA" w14:paraId="2ECA4D71" w14:textId="454F689A">
      <w:pPr>
        <w:keepNext/>
        <w:keepLines/>
        <w:spacing w:before="40" w:after="40"/>
        <w:rPr>
          <w:rFonts w:asciiTheme="majorHAnsi" w:hAnsiTheme="majorHAnsi"/>
          <w:b/>
          <w:color w:val="000000" w:themeColor="text1"/>
          <w:sz w:val="20"/>
        </w:rPr>
      </w:pPr>
      <w:r w:rsidRPr="008813EA">
        <w:rPr>
          <w:rFonts w:asciiTheme="majorHAnsi" w:hAnsiTheme="majorHAnsi"/>
          <w:b/>
          <w:color w:val="000000" w:themeColor="text1"/>
          <w:sz w:val="20"/>
        </w:rPr>
        <w:t>Table A.3. Estimated total cost by category</w:t>
      </w:r>
      <w:bookmarkEnd w:id="20"/>
    </w:p>
    <w:tbl>
      <w:tblPr>
        <w:tblStyle w:val="MathUBaseTable"/>
        <w:tblW w:w="9350" w:type="dxa"/>
        <w:tblLook w:val="04A0"/>
      </w:tblPr>
      <w:tblGrid>
        <w:gridCol w:w="4878"/>
        <w:gridCol w:w="4472"/>
      </w:tblGrid>
      <w:tr w14:paraId="3BE18109" w14:textId="77777777" w:rsidTr="009D2672">
        <w:tblPrEx>
          <w:tblW w:w="9350" w:type="dxa"/>
          <w:tblLook w:val="04A0"/>
        </w:tblPrEx>
        <w:tc>
          <w:tcPr>
            <w:tcW w:w="4878" w:type="dxa"/>
            <w:tcBorders>
              <w:bottom w:val="nil"/>
            </w:tcBorders>
            <w:hideMark/>
          </w:tcPr>
          <w:p w:rsidR="009D2672" w:rsidRPr="001B630B" w14:paraId="2209ABDD" w14:textId="77777777">
            <w:pPr>
              <w:pStyle w:val="TableHeaderCenter"/>
              <w:jc w:val="left"/>
              <w:rPr>
                <w:rFonts w:eastAsia="Times New Roman" w:cstheme="minorHAnsi"/>
              </w:rPr>
            </w:pPr>
            <w:r w:rsidRPr="001B630B">
              <w:rPr>
                <w:rFonts w:eastAsia="Times New Roman" w:cstheme="minorHAnsi"/>
              </w:rPr>
              <w:t>Cost category</w:t>
            </w:r>
          </w:p>
        </w:tc>
        <w:tc>
          <w:tcPr>
            <w:tcW w:w="4472" w:type="dxa"/>
            <w:tcBorders>
              <w:bottom w:val="nil"/>
            </w:tcBorders>
            <w:hideMark/>
          </w:tcPr>
          <w:p w:rsidR="009D2672" w:rsidRPr="001B630B" w14:paraId="6812FF85" w14:textId="77777777">
            <w:pPr>
              <w:pStyle w:val="TableHeaderCenter"/>
              <w:rPr>
                <w:rFonts w:eastAsia="Times New Roman" w:cstheme="minorHAnsi"/>
              </w:rPr>
            </w:pPr>
            <w:r w:rsidRPr="001B630B">
              <w:rPr>
                <w:rFonts w:eastAsia="Times New Roman" w:cstheme="minorHAnsi"/>
              </w:rPr>
              <w:t>Estimated costs</w:t>
            </w:r>
          </w:p>
        </w:tc>
      </w:tr>
    </w:tbl>
    <w:tbl>
      <w:tblPr>
        <w:tblW w:w="9355" w:type="dxa"/>
        <w:tblBorders>
          <w:bottom w:val="single" w:sz="4" w:space="0" w:color="auto"/>
          <w:insideH w:val="single" w:sz="4" w:space="0" w:color="auto"/>
          <w:insideV w:val="single" w:sz="4" w:space="0" w:color="auto"/>
        </w:tblBorders>
        <w:tblCellMar>
          <w:left w:w="0" w:type="dxa"/>
          <w:right w:w="0" w:type="dxa"/>
        </w:tblCellMar>
        <w:tblLook w:val="04A0"/>
      </w:tblPr>
      <w:tblGrid>
        <w:gridCol w:w="4878"/>
        <w:gridCol w:w="4477"/>
      </w:tblGrid>
      <w:tr w14:paraId="124F0E98" w14:textId="77777777">
        <w:tblPrEx>
          <w:tblW w:w="9355" w:type="dxa"/>
          <w:tblBorders>
            <w:bottom w:val="single" w:sz="4" w:space="0" w:color="auto"/>
            <w:insideH w:val="single" w:sz="4" w:space="0" w:color="auto"/>
            <w:insideV w:val="single" w:sz="4" w:space="0" w:color="auto"/>
          </w:tblBorders>
          <w:tblCellMar>
            <w:left w:w="0" w:type="dxa"/>
            <w:right w:w="0" w:type="dxa"/>
          </w:tblCellMar>
          <w:tblLook w:val="04A0"/>
        </w:tblPrEx>
        <w:tc>
          <w:tcPr>
            <w:tcW w:w="4878" w:type="dxa"/>
            <w:tcMar>
              <w:top w:w="0" w:type="dxa"/>
              <w:left w:w="108" w:type="dxa"/>
              <w:bottom w:w="0" w:type="dxa"/>
              <w:right w:w="108" w:type="dxa"/>
            </w:tcMar>
            <w:vAlign w:val="center"/>
            <w:hideMark/>
          </w:tcPr>
          <w:p w:rsidR="009D2672" w:rsidRPr="001B630B" w14:paraId="55200970" w14:textId="77777777">
            <w:pPr>
              <w:spacing w:before="40" w:after="20"/>
              <w:rPr>
                <w:rFonts w:eastAsia="Calibri" w:asciiTheme="majorHAnsi" w:hAnsiTheme="majorHAnsi" w:cstheme="minorHAnsi"/>
                <w:sz w:val="20"/>
              </w:rPr>
            </w:pPr>
            <w:r w:rsidRPr="001B630B">
              <w:rPr>
                <w:rFonts w:asciiTheme="majorHAnsi" w:hAnsiTheme="majorHAnsi" w:cstheme="minorHAnsi"/>
                <w:sz w:val="20"/>
              </w:rPr>
              <w:t>Fieldwork</w:t>
            </w:r>
          </w:p>
        </w:tc>
        <w:tc>
          <w:tcPr>
            <w:tcW w:w="4477" w:type="dxa"/>
            <w:tcMar>
              <w:top w:w="0" w:type="dxa"/>
              <w:left w:w="108" w:type="dxa"/>
              <w:bottom w:w="0" w:type="dxa"/>
              <w:right w:w="108" w:type="dxa"/>
            </w:tcMar>
            <w:vAlign w:val="center"/>
            <w:hideMark/>
          </w:tcPr>
          <w:p w:rsidR="009D2672" w:rsidRPr="001B630B" w14:paraId="4916FF5A" w14:textId="54347DF9">
            <w:pPr>
              <w:spacing w:before="40" w:after="20"/>
              <w:jc w:val="center"/>
              <w:rPr>
                <w:rFonts w:asciiTheme="majorHAnsi" w:hAnsiTheme="majorHAnsi" w:cstheme="minorHAnsi"/>
                <w:sz w:val="20"/>
              </w:rPr>
            </w:pPr>
            <w:r w:rsidRPr="001B630B">
              <w:rPr>
                <w:rFonts w:asciiTheme="majorHAnsi" w:hAnsiTheme="majorHAnsi" w:cstheme="minorHAnsi"/>
                <w:sz w:val="20"/>
              </w:rPr>
              <w:t>$</w:t>
            </w:r>
            <w:r w:rsidRPr="001B630B" w:rsidR="007A49DD">
              <w:rPr>
                <w:rFonts w:asciiTheme="majorHAnsi" w:hAnsiTheme="majorHAnsi" w:cstheme="minorHAnsi"/>
                <w:sz w:val="20"/>
              </w:rPr>
              <w:t xml:space="preserve"> </w:t>
            </w:r>
            <w:r w:rsidRPr="001B630B" w:rsidR="00465EF7">
              <w:rPr>
                <w:rFonts w:asciiTheme="majorHAnsi" w:hAnsiTheme="majorHAnsi" w:cstheme="minorHAnsi"/>
                <w:sz w:val="20"/>
              </w:rPr>
              <w:t>40,000</w:t>
            </w:r>
          </w:p>
        </w:tc>
      </w:tr>
      <w:tr w14:paraId="1B5A2C68" w14:textId="77777777">
        <w:tblPrEx>
          <w:tblW w:w="9355" w:type="dxa"/>
          <w:tblCellMar>
            <w:left w:w="0" w:type="dxa"/>
            <w:right w:w="0" w:type="dxa"/>
          </w:tblCellMar>
          <w:tblLook w:val="04A0"/>
        </w:tblPrEx>
        <w:trPr>
          <w:trHeight w:val="170"/>
        </w:trPr>
        <w:tc>
          <w:tcPr>
            <w:tcW w:w="4878" w:type="dxa"/>
            <w:tcMar>
              <w:top w:w="0" w:type="dxa"/>
              <w:left w:w="108" w:type="dxa"/>
              <w:bottom w:w="0" w:type="dxa"/>
              <w:right w:w="108" w:type="dxa"/>
            </w:tcMar>
            <w:vAlign w:val="center"/>
            <w:hideMark/>
          </w:tcPr>
          <w:p w:rsidR="009D2672" w:rsidRPr="001B630B" w14:paraId="7DEF8A19" w14:textId="77777777">
            <w:pPr>
              <w:spacing w:before="40" w:after="20"/>
              <w:rPr>
                <w:rFonts w:eastAsia="Calibri" w:asciiTheme="majorHAnsi" w:hAnsiTheme="majorHAnsi" w:cstheme="minorHAnsi"/>
                <w:sz w:val="20"/>
              </w:rPr>
            </w:pPr>
            <w:r w:rsidRPr="001B630B">
              <w:rPr>
                <w:rFonts w:asciiTheme="majorHAnsi" w:hAnsiTheme="majorHAnsi" w:cstheme="minorHAnsi"/>
                <w:sz w:val="20"/>
              </w:rPr>
              <w:t>Analysis and reporting</w:t>
            </w:r>
          </w:p>
        </w:tc>
        <w:tc>
          <w:tcPr>
            <w:tcW w:w="4477" w:type="dxa"/>
            <w:tcMar>
              <w:top w:w="0" w:type="dxa"/>
              <w:left w:w="108" w:type="dxa"/>
              <w:bottom w:w="0" w:type="dxa"/>
              <w:right w:w="108" w:type="dxa"/>
            </w:tcMar>
            <w:vAlign w:val="center"/>
            <w:hideMark/>
          </w:tcPr>
          <w:p w:rsidR="009D2672" w:rsidRPr="001B630B" w14:paraId="6991D9B7" w14:textId="7CD1AC9E">
            <w:pPr>
              <w:spacing w:before="40" w:after="20"/>
              <w:jc w:val="center"/>
              <w:rPr>
                <w:rFonts w:asciiTheme="majorHAnsi" w:hAnsiTheme="majorHAnsi" w:cstheme="minorHAnsi"/>
                <w:sz w:val="20"/>
              </w:rPr>
            </w:pPr>
            <w:r w:rsidRPr="001B630B">
              <w:rPr>
                <w:rFonts w:asciiTheme="majorHAnsi" w:hAnsiTheme="majorHAnsi" w:cstheme="minorHAnsi"/>
                <w:sz w:val="20"/>
              </w:rPr>
              <w:t>$</w:t>
            </w:r>
            <w:r w:rsidRPr="001B630B" w:rsidR="007A49DD">
              <w:rPr>
                <w:rFonts w:asciiTheme="majorHAnsi" w:hAnsiTheme="majorHAnsi" w:cstheme="minorHAnsi"/>
                <w:sz w:val="20"/>
              </w:rPr>
              <w:t xml:space="preserve"> 2</w:t>
            </w:r>
            <w:r w:rsidRPr="001B630B" w:rsidR="00465EF7">
              <w:rPr>
                <w:rFonts w:asciiTheme="majorHAnsi" w:hAnsiTheme="majorHAnsi" w:cstheme="minorHAnsi"/>
                <w:sz w:val="20"/>
              </w:rPr>
              <w:t>0,000</w:t>
            </w:r>
          </w:p>
        </w:tc>
      </w:tr>
      <w:tr w14:paraId="10D54283" w14:textId="77777777">
        <w:tblPrEx>
          <w:tblW w:w="9355" w:type="dxa"/>
          <w:tblCellMar>
            <w:left w:w="0" w:type="dxa"/>
            <w:right w:w="0" w:type="dxa"/>
          </w:tblCellMar>
          <w:tblLook w:val="04A0"/>
        </w:tblPrEx>
        <w:tc>
          <w:tcPr>
            <w:tcW w:w="4878" w:type="dxa"/>
            <w:tcMar>
              <w:top w:w="0" w:type="dxa"/>
              <w:left w:w="108" w:type="dxa"/>
              <w:bottom w:w="0" w:type="dxa"/>
              <w:right w:w="108" w:type="dxa"/>
            </w:tcMar>
            <w:vAlign w:val="center"/>
            <w:hideMark/>
          </w:tcPr>
          <w:p w:rsidR="009D2672" w:rsidRPr="001B630B" w14:paraId="6D664CF9" w14:textId="77777777">
            <w:pPr>
              <w:spacing w:before="40" w:after="20"/>
              <w:rPr>
                <w:rFonts w:eastAsia="Calibri" w:asciiTheme="majorHAnsi" w:hAnsiTheme="majorHAnsi" w:cstheme="minorHAnsi"/>
                <w:b/>
                <w:sz w:val="20"/>
              </w:rPr>
            </w:pPr>
            <w:r w:rsidRPr="001B630B">
              <w:rPr>
                <w:rFonts w:asciiTheme="majorHAnsi" w:hAnsiTheme="majorHAnsi" w:cstheme="minorHAnsi"/>
                <w:b/>
                <w:color w:val="000000"/>
                <w:sz w:val="20"/>
              </w:rPr>
              <w:t>Total/annual costs over the request period</w:t>
            </w:r>
          </w:p>
        </w:tc>
        <w:tc>
          <w:tcPr>
            <w:tcW w:w="4477" w:type="dxa"/>
            <w:tcMar>
              <w:top w:w="0" w:type="dxa"/>
              <w:left w:w="108" w:type="dxa"/>
              <w:bottom w:w="0" w:type="dxa"/>
              <w:right w:w="108" w:type="dxa"/>
            </w:tcMar>
            <w:vAlign w:val="center"/>
            <w:hideMark/>
          </w:tcPr>
          <w:p w:rsidR="009D2672" w:rsidRPr="001B630B" w14:paraId="08A3D955" w14:textId="12D83092">
            <w:pPr>
              <w:spacing w:before="40" w:after="20"/>
              <w:jc w:val="center"/>
              <w:rPr>
                <w:rFonts w:asciiTheme="majorHAnsi" w:hAnsiTheme="majorHAnsi" w:cstheme="minorHAnsi"/>
                <w:b/>
                <w:sz w:val="20"/>
              </w:rPr>
            </w:pPr>
            <w:r w:rsidRPr="001B630B">
              <w:rPr>
                <w:rFonts w:asciiTheme="majorHAnsi" w:hAnsiTheme="majorHAnsi" w:cstheme="minorHAnsi"/>
                <w:b/>
                <w:sz w:val="20"/>
              </w:rPr>
              <w:t>$</w:t>
            </w:r>
            <w:r w:rsidRPr="001B630B" w:rsidR="007A49DD">
              <w:rPr>
                <w:rFonts w:asciiTheme="majorHAnsi" w:hAnsiTheme="majorHAnsi" w:cstheme="minorHAnsi"/>
                <w:b/>
                <w:sz w:val="20"/>
              </w:rPr>
              <w:t xml:space="preserve"> </w:t>
            </w:r>
            <w:r w:rsidRPr="001B630B" w:rsidR="00465EF7">
              <w:rPr>
                <w:rFonts w:asciiTheme="majorHAnsi" w:hAnsiTheme="majorHAnsi" w:cstheme="minorHAnsi"/>
                <w:b/>
                <w:sz w:val="20"/>
              </w:rPr>
              <w:t>60,000</w:t>
            </w:r>
          </w:p>
        </w:tc>
      </w:tr>
    </w:tbl>
    <w:p w:rsidR="009D2672" w:rsidRPr="008813EA" w14:paraId="60654AA5" w14:textId="77777777"/>
    <w:p w:rsidR="009D2672" w:rsidRPr="008813EA" w:rsidP="00CD1418" w14:paraId="28ED787B" w14:textId="77777777">
      <w:pPr>
        <w:spacing w:after="240"/>
        <w:rPr>
          <w:rFonts w:cstheme="minorHAnsi"/>
        </w:rPr>
      </w:pPr>
      <w:r w:rsidRPr="008813EA">
        <w:rPr>
          <w:rFonts w:cstheme="minorHAnsi"/>
          <w:b/>
        </w:rPr>
        <w:t>A15</w:t>
      </w:r>
      <w:r w:rsidRPr="008813EA">
        <w:rPr>
          <w:rFonts w:cstheme="minorHAnsi"/>
        </w:rPr>
        <w:t>.</w:t>
      </w:r>
      <w:r w:rsidRPr="008813EA">
        <w:rPr>
          <w:rFonts w:cstheme="minorHAnsi"/>
        </w:rPr>
        <w:tab/>
      </w:r>
      <w:r w:rsidRPr="008813EA">
        <w:rPr>
          <w:rFonts w:cstheme="minorHAnsi"/>
          <w:b/>
        </w:rPr>
        <w:t>Reasons for changes in burden</w:t>
      </w:r>
      <w:r w:rsidRPr="008813EA">
        <w:rPr>
          <w:rFonts w:cstheme="minorHAnsi"/>
        </w:rPr>
        <w:t xml:space="preserve"> </w:t>
      </w:r>
    </w:p>
    <w:p w:rsidR="009D2672" w:rsidRPr="008813EA" w:rsidP="00CD1418" w14:paraId="3933C6AC" w14:textId="768FCDA6">
      <w:pPr>
        <w:spacing w:after="240"/>
        <w:jc w:val="both"/>
      </w:pPr>
      <w:r w:rsidRPr="008813EA">
        <w:t>This is for an individual information collection under the umbrella formative generic clearance for ACF research (0970-0356).</w:t>
      </w:r>
    </w:p>
    <w:p w:rsidR="009D2672" w:rsidRPr="008813EA" w:rsidP="00CD1418" w14:paraId="11680FCF" w14:textId="77777777">
      <w:pPr>
        <w:spacing w:after="240"/>
        <w:rPr>
          <w:rFonts w:cstheme="minorHAnsi"/>
        </w:rPr>
      </w:pPr>
      <w:r w:rsidRPr="008813EA">
        <w:rPr>
          <w:rFonts w:cstheme="minorHAnsi"/>
          <w:b/>
        </w:rPr>
        <w:t>A16</w:t>
      </w:r>
      <w:r w:rsidRPr="008813EA">
        <w:rPr>
          <w:rFonts w:cstheme="minorHAnsi"/>
        </w:rPr>
        <w:t>.</w:t>
      </w:r>
      <w:r w:rsidRPr="008813EA">
        <w:rPr>
          <w:rFonts w:cstheme="minorHAnsi"/>
        </w:rPr>
        <w:tab/>
      </w:r>
      <w:r w:rsidRPr="008813EA">
        <w:rPr>
          <w:rFonts w:cstheme="minorHAnsi"/>
          <w:b/>
        </w:rPr>
        <w:t>Timeline</w:t>
      </w:r>
    </w:p>
    <w:p w:rsidR="009D2672" w:rsidRPr="008813EA" w14:paraId="60333843" w14:textId="543978BD">
      <w:pPr>
        <w:tabs>
          <w:tab w:val="left" w:pos="-720"/>
        </w:tabs>
        <w:suppressAutoHyphens/>
        <w:spacing w:after="240"/>
      </w:pPr>
      <w:r w:rsidRPr="008813EA">
        <w:t xml:space="preserve">Table A.4 contains the timeline for data collection, analysis, and reporting activities for the </w:t>
      </w:r>
      <w:r w:rsidR="00AC19E5">
        <w:t>NWS sub-study</w:t>
      </w:r>
      <w:r w:rsidRPr="008813EA">
        <w:t xml:space="preserve">. The study team expects to </w:t>
      </w:r>
      <w:r w:rsidRPr="008813EA">
        <w:rPr>
          <w:iCs/>
        </w:rPr>
        <w:t>collect</w:t>
      </w:r>
      <w:r w:rsidRPr="008813EA">
        <w:t xml:space="preserve"> data </w:t>
      </w:r>
      <w:r w:rsidR="00AC19E5">
        <w:t>in</w:t>
      </w:r>
      <w:r w:rsidRPr="008813EA">
        <w:t xml:space="preserve"> spring 2023, followed by analysis </w:t>
      </w:r>
      <w:r w:rsidR="00AC19E5">
        <w:t>and</w:t>
      </w:r>
      <w:r w:rsidRPr="008813EA">
        <w:t xml:space="preserve"> reporting in summer 2023.</w:t>
      </w:r>
    </w:p>
    <w:p w:rsidR="009D2672" w:rsidRPr="008813EA" w14:paraId="280247CB" w14:textId="304806A7">
      <w:pPr>
        <w:pStyle w:val="TableTitle"/>
      </w:pPr>
      <w:r w:rsidRPr="008813EA">
        <w:t>Table A.4. Schedule for data collection and reporting</w:t>
      </w:r>
    </w:p>
    <w:tbl>
      <w:tblPr>
        <w:tblStyle w:val="MathUBaseTable"/>
        <w:tblW w:w="5000" w:type="pct"/>
        <w:tblLook w:val="04A0"/>
      </w:tblPr>
      <w:tblGrid>
        <w:gridCol w:w="6299"/>
        <w:gridCol w:w="3061"/>
      </w:tblGrid>
      <w:tr w14:paraId="1E5AE7EE" w14:textId="77777777" w:rsidTr="009D2672">
        <w:tblPrEx>
          <w:tblW w:w="5000" w:type="pct"/>
          <w:tblLook w:val="04A0"/>
        </w:tblPrEx>
        <w:trPr>
          <w:trHeight w:val="120"/>
          <w:tblHeader/>
        </w:trPr>
        <w:tc>
          <w:tcPr>
            <w:tcW w:w="3365" w:type="pct"/>
          </w:tcPr>
          <w:p w:rsidR="009D2672" w:rsidRPr="001B630B" w14:paraId="7A890E56" w14:textId="77777777">
            <w:pPr>
              <w:pStyle w:val="TableHeaderLeft"/>
              <w:rPr>
                <w:b w:val="0"/>
                <w:lang w:bidi="en-US"/>
              </w:rPr>
            </w:pPr>
            <w:r w:rsidRPr="001B630B">
              <w:rPr>
                <w:lang w:bidi="en-US"/>
              </w:rPr>
              <w:t>Activity</w:t>
            </w:r>
          </w:p>
        </w:tc>
        <w:tc>
          <w:tcPr>
            <w:tcW w:w="1635" w:type="pct"/>
          </w:tcPr>
          <w:p w:rsidR="009D2672" w:rsidRPr="001B630B" w14:paraId="76F7E00A" w14:textId="77777777">
            <w:pPr>
              <w:pStyle w:val="TableHeaderCenter"/>
              <w:rPr>
                <w:b w:val="0"/>
                <w:vertAlign w:val="superscript"/>
                <w:lang w:bidi="en-US"/>
              </w:rPr>
            </w:pPr>
            <w:r w:rsidRPr="001B630B">
              <w:rPr>
                <w:lang w:bidi="en-US"/>
              </w:rPr>
              <w:t>Timing</w:t>
            </w:r>
            <w:r w:rsidRPr="001B630B">
              <w:rPr>
                <w:vertAlign w:val="superscript"/>
                <w:lang w:bidi="en-US"/>
              </w:rPr>
              <w:t>a</w:t>
            </w:r>
          </w:p>
        </w:tc>
      </w:tr>
      <w:tr w14:paraId="44AD0A92" w14:textId="77777777" w:rsidTr="009D2672">
        <w:tblPrEx>
          <w:tblW w:w="5000" w:type="pct"/>
          <w:tblLook w:val="04A0"/>
        </w:tblPrEx>
        <w:trPr>
          <w:trHeight w:val="120"/>
        </w:trPr>
        <w:tc>
          <w:tcPr>
            <w:tcW w:w="3365" w:type="pct"/>
          </w:tcPr>
          <w:p w:rsidR="009D2672" w:rsidRPr="001B630B" w14:paraId="20805886" w14:textId="5633EEE3">
            <w:pPr>
              <w:pStyle w:val="TableTextLeft"/>
              <w:rPr>
                <w:rFonts w:cstheme="minorHAnsi"/>
                <w:b/>
                <w:bCs/>
                <w:sz w:val="20"/>
                <w:szCs w:val="20"/>
                <w:lang w:bidi="en-US"/>
              </w:rPr>
            </w:pPr>
            <w:r w:rsidRPr="001B630B">
              <w:rPr>
                <w:rFonts w:cstheme="minorHAnsi"/>
                <w:sz w:val="20"/>
                <w:szCs w:val="20"/>
                <w:lang w:bidi="en-US"/>
              </w:rPr>
              <w:t xml:space="preserve">Grantee and Provider Interviews </w:t>
            </w:r>
            <w:r w:rsidRPr="001B630B" w:rsidR="00C52A00">
              <w:rPr>
                <w:rFonts w:cstheme="minorHAnsi"/>
                <w:sz w:val="20"/>
                <w:szCs w:val="20"/>
                <w:vertAlign w:val="superscript"/>
                <w:lang w:bidi="en-US"/>
              </w:rPr>
              <w:t>a</w:t>
            </w:r>
          </w:p>
        </w:tc>
        <w:tc>
          <w:tcPr>
            <w:tcW w:w="1635" w:type="pct"/>
          </w:tcPr>
          <w:p w:rsidR="009D2672" w:rsidRPr="001B630B" w14:paraId="76D0D5F5" w14:textId="293643A8">
            <w:pPr>
              <w:pStyle w:val="TableTextLeft"/>
              <w:rPr>
                <w:rFonts w:cstheme="minorHAnsi"/>
                <w:b/>
                <w:bCs/>
                <w:sz w:val="20"/>
                <w:szCs w:val="20"/>
                <w:lang w:bidi="en-US"/>
              </w:rPr>
            </w:pPr>
            <w:r w:rsidRPr="001B630B">
              <w:rPr>
                <w:rFonts w:cstheme="minorHAnsi"/>
                <w:sz w:val="20"/>
                <w:szCs w:val="20"/>
                <w:lang w:bidi="en-US"/>
              </w:rPr>
              <w:t xml:space="preserve">Late </w:t>
            </w:r>
            <w:r w:rsidR="005F2A4A">
              <w:rPr>
                <w:rFonts w:cstheme="minorHAnsi"/>
                <w:sz w:val="20"/>
                <w:szCs w:val="20"/>
                <w:lang w:bidi="en-US"/>
              </w:rPr>
              <w:t>s</w:t>
            </w:r>
            <w:r w:rsidRPr="001B630B">
              <w:rPr>
                <w:rFonts w:cstheme="minorHAnsi"/>
                <w:sz w:val="20"/>
                <w:szCs w:val="20"/>
                <w:lang w:bidi="en-US"/>
              </w:rPr>
              <w:t>pring 2023</w:t>
            </w:r>
          </w:p>
        </w:tc>
      </w:tr>
      <w:tr w14:paraId="0601D732" w14:textId="77777777" w:rsidTr="009D2672">
        <w:tblPrEx>
          <w:tblW w:w="5000" w:type="pct"/>
          <w:tblLook w:val="04A0"/>
        </w:tblPrEx>
        <w:trPr>
          <w:trHeight w:val="120"/>
        </w:trPr>
        <w:tc>
          <w:tcPr>
            <w:tcW w:w="3365" w:type="pct"/>
          </w:tcPr>
          <w:p w:rsidR="009D2672" w:rsidRPr="001B630B" w14:paraId="57B34690" w14:textId="05D15504">
            <w:pPr>
              <w:pStyle w:val="TableTextLeft"/>
              <w:rPr>
                <w:rFonts w:cstheme="minorHAnsi"/>
                <w:sz w:val="20"/>
                <w:szCs w:val="20"/>
                <w:lang w:bidi="en-US"/>
              </w:rPr>
            </w:pPr>
            <w:r w:rsidRPr="001B630B">
              <w:rPr>
                <w:rFonts w:cstheme="minorHAnsi"/>
                <w:sz w:val="20"/>
                <w:szCs w:val="20"/>
                <w:lang w:bidi="en-US"/>
              </w:rPr>
              <w:t>Data Analysis</w:t>
            </w:r>
          </w:p>
        </w:tc>
        <w:tc>
          <w:tcPr>
            <w:tcW w:w="1635" w:type="pct"/>
          </w:tcPr>
          <w:p w:rsidR="009D2672" w:rsidRPr="001B630B" w14:paraId="13A6EDEA" w14:textId="2160597A">
            <w:pPr>
              <w:pStyle w:val="TableTextLeft"/>
              <w:rPr>
                <w:rFonts w:cstheme="minorHAnsi"/>
                <w:b/>
                <w:bCs/>
                <w:sz w:val="20"/>
                <w:szCs w:val="20"/>
                <w:lang w:bidi="en-US"/>
              </w:rPr>
            </w:pPr>
            <w:r w:rsidRPr="001B630B">
              <w:rPr>
                <w:rFonts w:cstheme="minorHAnsi"/>
                <w:sz w:val="20"/>
                <w:szCs w:val="20"/>
                <w:lang w:bidi="en-US"/>
              </w:rPr>
              <w:t>Summer 2023</w:t>
            </w:r>
          </w:p>
        </w:tc>
      </w:tr>
      <w:tr w14:paraId="31BE024A" w14:textId="77777777" w:rsidTr="009D2672">
        <w:tblPrEx>
          <w:tblW w:w="5000" w:type="pct"/>
          <w:tblLook w:val="04A0"/>
        </w:tblPrEx>
        <w:trPr>
          <w:trHeight w:val="120"/>
        </w:trPr>
        <w:tc>
          <w:tcPr>
            <w:tcW w:w="3365" w:type="pct"/>
          </w:tcPr>
          <w:p w:rsidR="009D2672" w:rsidRPr="001B630B" w14:paraId="644BDF09" w14:textId="77777777">
            <w:pPr>
              <w:pStyle w:val="TableTextLeft"/>
              <w:rPr>
                <w:rFonts w:cstheme="minorHAnsi"/>
                <w:sz w:val="20"/>
                <w:szCs w:val="20"/>
                <w:lang w:bidi="en-US"/>
              </w:rPr>
            </w:pPr>
            <w:r w:rsidRPr="001B630B">
              <w:rPr>
                <w:rFonts w:cstheme="minorHAnsi"/>
                <w:sz w:val="20"/>
                <w:szCs w:val="20"/>
                <w:lang w:bidi="en-US"/>
              </w:rPr>
              <w:t>Reporting</w:t>
            </w:r>
          </w:p>
        </w:tc>
        <w:tc>
          <w:tcPr>
            <w:tcW w:w="1635" w:type="pct"/>
          </w:tcPr>
          <w:p w:rsidR="009D2672" w:rsidRPr="001B630B" w14:paraId="4DB84864" w14:textId="7FCF80E9">
            <w:pPr>
              <w:pStyle w:val="TableTextLeft"/>
              <w:rPr>
                <w:rFonts w:cstheme="minorHAnsi"/>
                <w:b/>
                <w:bCs/>
                <w:sz w:val="20"/>
                <w:szCs w:val="20"/>
                <w:lang w:bidi="en-US"/>
              </w:rPr>
            </w:pPr>
            <w:r w:rsidRPr="001B630B">
              <w:rPr>
                <w:rFonts w:cstheme="minorHAnsi"/>
                <w:sz w:val="20"/>
                <w:szCs w:val="20"/>
                <w:lang w:bidi="en-US"/>
              </w:rPr>
              <w:t xml:space="preserve">Late </w:t>
            </w:r>
            <w:r w:rsidR="005F2A4A">
              <w:rPr>
                <w:rFonts w:cstheme="minorHAnsi"/>
                <w:sz w:val="20"/>
                <w:szCs w:val="20"/>
                <w:lang w:bidi="en-US"/>
              </w:rPr>
              <w:t>s</w:t>
            </w:r>
            <w:r w:rsidRPr="001B630B" w:rsidR="00C52A00">
              <w:rPr>
                <w:rFonts w:cstheme="minorHAnsi"/>
                <w:sz w:val="20"/>
                <w:szCs w:val="20"/>
                <w:lang w:bidi="en-US"/>
              </w:rPr>
              <w:t>ummer 2023</w:t>
            </w:r>
          </w:p>
        </w:tc>
      </w:tr>
    </w:tbl>
    <w:p w:rsidR="009D2672" w:rsidRPr="008813EA" w14:paraId="0563265C" w14:textId="77777777">
      <w:pPr>
        <w:spacing w:after="240" w:line="240" w:lineRule="auto"/>
        <w:rPr>
          <w:sz w:val="18"/>
          <w:szCs w:val="18"/>
        </w:rPr>
      </w:pPr>
      <w:r w:rsidRPr="008813EA">
        <w:rPr>
          <w:sz w:val="18"/>
          <w:szCs w:val="18"/>
          <w:vertAlign w:val="superscript"/>
        </w:rPr>
        <w:t xml:space="preserve">a </w:t>
      </w:r>
      <w:r w:rsidRPr="008813EA">
        <w:rPr>
          <w:sz w:val="18"/>
          <w:szCs w:val="18"/>
        </w:rPr>
        <w:t>After obtaining OMB approval.</w:t>
      </w:r>
    </w:p>
    <w:p w:rsidR="009D2672" w:rsidRPr="008813EA" w14:paraId="47C34EA5" w14:textId="77777777">
      <w:pPr>
        <w:spacing w:after="0" w:line="240" w:lineRule="auto"/>
        <w:rPr>
          <w:rFonts w:cstheme="minorHAnsi"/>
        </w:rPr>
      </w:pPr>
    </w:p>
    <w:p w:rsidR="009D2672" w:rsidRPr="008813EA" w:rsidP="00CD1418" w14:paraId="2AACE4C3" w14:textId="77777777">
      <w:pPr>
        <w:spacing w:after="240"/>
        <w:rPr>
          <w:rFonts w:cstheme="minorHAnsi"/>
        </w:rPr>
      </w:pPr>
      <w:r w:rsidRPr="008813EA">
        <w:rPr>
          <w:rFonts w:cstheme="minorHAnsi"/>
          <w:b/>
        </w:rPr>
        <w:t>A17</w:t>
      </w:r>
      <w:r w:rsidRPr="008813EA">
        <w:rPr>
          <w:rFonts w:cstheme="minorHAnsi"/>
        </w:rPr>
        <w:t>.</w:t>
      </w:r>
      <w:r w:rsidRPr="008813EA">
        <w:rPr>
          <w:rFonts w:cstheme="minorHAnsi"/>
        </w:rPr>
        <w:tab/>
      </w:r>
      <w:r w:rsidRPr="008813EA">
        <w:rPr>
          <w:rFonts w:cstheme="minorHAnsi"/>
          <w:b/>
        </w:rPr>
        <w:t>Exceptions</w:t>
      </w:r>
    </w:p>
    <w:p w:rsidR="009D2672" w:rsidRPr="008813EA" w:rsidP="00CD1418" w14:paraId="45D0D7FE" w14:textId="70E561E9">
      <w:pPr>
        <w:spacing w:after="240"/>
      </w:pPr>
      <w:r w:rsidRPr="008813EA">
        <w:t>No exceptions are necessary for this information collection.</w:t>
      </w:r>
    </w:p>
    <w:p w:rsidR="009D2672" w:rsidRPr="008813EA" w:rsidP="00CD1418" w14:paraId="77FB0C3A" w14:textId="77777777">
      <w:pPr>
        <w:spacing w:after="240"/>
        <w:rPr>
          <w:b/>
        </w:rPr>
      </w:pPr>
      <w:bookmarkStart w:id="21" w:name="_Hlk105773345"/>
      <w:r w:rsidRPr="008813EA">
        <w:rPr>
          <w:b/>
        </w:rPr>
        <w:t>Attachments</w:t>
      </w:r>
    </w:p>
    <w:p w:rsidR="009D2672" w:rsidRPr="008813EA" w14:paraId="2A764555" w14:textId="77777777">
      <w:pPr>
        <w:spacing w:after="120"/>
        <w:ind w:left="187"/>
        <w:rPr>
          <w:b/>
          <w:bCs/>
        </w:rPr>
      </w:pPr>
      <w:bookmarkStart w:id="22" w:name="_Hlk110439196"/>
      <w:r w:rsidRPr="008813EA">
        <w:rPr>
          <w:b/>
          <w:bCs/>
        </w:rPr>
        <w:t>Appendices</w:t>
      </w:r>
    </w:p>
    <w:p w:rsidR="000A5FAB" w:rsidP="000A5FAB" w14:paraId="28346F06" w14:textId="77777777">
      <w:pPr>
        <w:spacing w:after="60"/>
        <w:ind w:left="180"/>
      </w:pPr>
      <w:r>
        <w:t>Appendix A: Study Notification and Reminder Materials</w:t>
      </w:r>
    </w:p>
    <w:p w:rsidR="009D2672" w:rsidRPr="008813EA" w:rsidP="00CD1418" w14:paraId="522F8E52" w14:textId="77777777">
      <w:pPr>
        <w:spacing w:after="120"/>
        <w:ind w:left="187"/>
        <w:rPr>
          <w:b/>
          <w:bCs/>
        </w:rPr>
      </w:pPr>
      <w:r w:rsidRPr="008813EA">
        <w:rPr>
          <w:b/>
          <w:bCs/>
        </w:rPr>
        <w:t>Instruments</w:t>
      </w:r>
    </w:p>
    <w:p w:rsidR="009D2672" w14:paraId="13ABB8BF" w14:textId="409CD805">
      <w:pPr>
        <w:spacing w:after="120"/>
        <w:ind w:left="180"/>
      </w:pPr>
      <w:r w:rsidRPr="008813EA">
        <w:t xml:space="preserve">Instrument 1. </w:t>
      </w:r>
      <w:bookmarkStart w:id="23" w:name="_Hlk124257895"/>
      <w:r w:rsidR="007975B8">
        <w:rPr>
          <w:rFonts w:eastAsia="Times New Roman"/>
        </w:rPr>
        <w:t xml:space="preserve">Interview </w:t>
      </w:r>
      <w:r w:rsidR="005F2A4A">
        <w:rPr>
          <w:rFonts w:eastAsia="Times New Roman"/>
        </w:rPr>
        <w:t>P</w:t>
      </w:r>
      <w:r w:rsidR="007975B8">
        <w:rPr>
          <w:rFonts w:eastAsia="Times New Roman"/>
        </w:rPr>
        <w:t xml:space="preserve">rotocol for SRAE </w:t>
      </w:r>
      <w:r w:rsidR="005F2A4A">
        <w:rPr>
          <w:rFonts w:eastAsia="Times New Roman"/>
        </w:rPr>
        <w:t>G</w:t>
      </w:r>
      <w:r w:rsidR="007975B8">
        <w:rPr>
          <w:rFonts w:eastAsia="Times New Roman"/>
        </w:rPr>
        <w:t xml:space="preserve">rantees and </w:t>
      </w:r>
      <w:r w:rsidR="005F2A4A">
        <w:rPr>
          <w:rFonts w:eastAsia="Times New Roman"/>
        </w:rPr>
        <w:t>P</w:t>
      </w:r>
      <w:r w:rsidR="007975B8">
        <w:rPr>
          <w:rFonts w:eastAsia="Times New Roman"/>
        </w:rPr>
        <w:t xml:space="preserve">roviders </w:t>
      </w:r>
      <w:r w:rsidR="005F2A4A">
        <w:rPr>
          <w:rFonts w:eastAsia="Times New Roman"/>
        </w:rPr>
        <w:t>D</w:t>
      </w:r>
      <w:r w:rsidR="007975B8">
        <w:rPr>
          <w:rFonts w:eastAsia="Times New Roman"/>
        </w:rPr>
        <w:t xml:space="preserve">elivering SRAE </w:t>
      </w:r>
      <w:r w:rsidR="005F2A4A">
        <w:rPr>
          <w:rFonts w:eastAsia="Times New Roman"/>
        </w:rPr>
        <w:t>P</w:t>
      </w:r>
      <w:r w:rsidR="007975B8">
        <w:rPr>
          <w:rFonts w:eastAsia="Times New Roman"/>
        </w:rPr>
        <w:t xml:space="preserve">rogramming to </w:t>
      </w:r>
      <w:r w:rsidR="005F2A4A">
        <w:rPr>
          <w:rFonts w:eastAsia="Times New Roman"/>
        </w:rPr>
        <w:t>Y</w:t>
      </w:r>
      <w:r w:rsidR="007975B8">
        <w:rPr>
          <w:rFonts w:eastAsia="Times New Roman"/>
        </w:rPr>
        <w:t xml:space="preserve">outh in </w:t>
      </w:r>
      <w:r w:rsidR="005F2A4A">
        <w:rPr>
          <w:rFonts w:eastAsia="Times New Roman"/>
        </w:rPr>
        <w:t>J</w:t>
      </w:r>
      <w:r w:rsidR="007975B8">
        <w:rPr>
          <w:rFonts w:eastAsia="Times New Roman"/>
        </w:rPr>
        <w:t xml:space="preserve">uvenile </w:t>
      </w:r>
      <w:r w:rsidR="005F2A4A">
        <w:rPr>
          <w:rFonts w:eastAsia="Times New Roman"/>
        </w:rPr>
        <w:t>J</w:t>
      </w:r>
      <w:r w:rsidR="007975B8">
        <w:rPr>
          <w:rFonts w:eastAsia="Times New Roman"/>
        </w:rPr>
        <w:t xml:space="preserve">ustice </w:t>
      </w:r>
      <w:r w:rsidR="005F2A4A">
        <w:rPr>
          <w:rFonts w:eastAsia="Times New Roman"/>
        </w:rPr>
        <w:t>D</w:t>
      </w:r>
      <w:r w:rsidR="007975B8">
        <w:rPr>
          <w:rFonts w:eastAsia="Times New Roman"/>
        </w:rPr>
        <w:t xml:space="preserve">etention </w:t>
      </w:r>
      <w:r w:rsidR="005F2A4A">
        <w:rPr>
          <w:rFonts w:eastAsia="Times New Roman"/>
        </w:rPr>
        <w:t>C</w:t>
      </w:r>
      <w:r w:rsidR="007975B8">
        <w:rPr>
          <w:rFonts w:eastAsia="Times New Roman"/>
        </w:rPr>
        <w:t xml:space="preserve">enters and </w:t>
      </w:r>
      <w:r w:rsidR="005F2A4A">
        <w:rPr>
          <w:rFonts w:eastAsia="Times New Roman"/>
        </w:rPr>
        <w:t>F</w:t>
      </w:r>
      <w:r w:rsidR="007975B8">
        <w:rPr>
          <w:rFonts w:eastAsia="Times New Roman"/>
        </w:rPr>
        <w:t xml:space="preserve">oster </w:t>
      </w:r>
      <w:r w:rsidR="005F2A4A">
        <w:rPr>
          <w:rFonts w:eastAsia="Times New Roman"/>
        </w:rPr>
        <w:t>C</w:t>
      </w:r>
      <w:r w:rsidR="007975B8">
        <w:rPr>
          <w:rFonts w:eastAsia="Times New Roman"/>
        </w:rPr>
        <w:t xml:space="preserve">are </w:t>
      </w:r>
      <w:r w:rsidR="005F2A4A">
        <w:rPr>
          <w:rFonts w:eastAsia="Times New Roman"/>
        </w:rPr>
        <w:t>G</w:t>
      </w:r>
      <w:r w:rsidR="007975B8">
        <w:rPr>
          <w:rFonts w:eastAsia="Times New Roman"/>
        </w:rPr>
        <w:t xml:space="preserve">roup </w:t>
      </w:r>
      <w:r w:rsidR="005F2A4A">
        <w:rPr>
          <w:rFonts w:eastAsia="Times New Roman"/>
        </w:rPr>
        <w:t>H</w:t>
      </w:r>
      <w:r w:rsidR="007975B8">
        <w:rPr>
          <w:rFonts w:eastAsia="Times New Roman"/>
        </w:rPr>
        <w:t>omes</w:t>
      </w:r>
      <w:bookmarkEnd w:id="21"/>
      <w:bookmarkEnd w:id="22"/>
      <w:bookmarkEnd w:id="23"/>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9D2672" w14:paraId="6C38C2BF" w14:textId="77777777">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9D2672" w14:paraId="58941C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6C8F" w14:paraId="7F0BFA0B" w14:textId="77777777">
      <w:pPr>
        <w:spacing w:after="0" w:line="240" w:lineRule="auto"/>
      </w:pPr>
      <w:r>
        <w:separator/>
      </w:r>
    </w:p>
  </w:footnote>
  <w:footnote w:type="continuationSeparator" w:id="1">
    <w:p w:rsidR="00B16C8F" w14:paraId="3ABC05FF" w14:textId="77777777">
      <w:pPr>
        <w:spacing w:after="0" w:line="240" w:lineRule="auto"/>
      </w:pPr>
      <w:r>
        <w:continuationSeparator/>
      </w:r>
    </w:p>
  </w:footnote>
  <w:footnote w:id="2">
    <w:p w:rsidR="0020514F" w:rsidP="0020514F" w14:paraId="60511F6B" w14:textId="77777777">
      <w:pPr>
        <w:pStyle w:val="FootnoteText"/>
      </w:pPr>
      <w:r>
        <w:rPr>
          <w:rStyle w:val="FootnoteReference"/>
        </w:rPr>
        <w:footnoteRef/>
      </w:r>
      <w:r>
        <w:t xml:space="preserve"> An information collection request related to this study will be submitted separately. </w:t>
      </w:r>
    </w:p>
  </w:footnote>
  <w:footnote w:id="3">
    <w:p w:rsidR="006D4D4B" w:rsidP="009A0BAE" w14:paraId="2E8195D7" w14:textId="3AD78896">
      <w:r>
        <w:rPr>
          <w:rStyle w:val="FootnoteReference"/>
        </w:rPr>
        <w:footnoteRef/>
      </w:r>
      <w:r>
        <w:t xml:space="preserve"> </w:t>
      </w:r>
      <w:r w:rsidRPr="006D4D4B">
        <w:rPr>
          <w:sz w:val="20"/>
          <w:szCs w:val="20"/>
        </w:rPr>
        <w:t xml:space="preserve">The National Descriptive Study is divided into two </w:t>
      </w:r>
      <w:r w:rsidRPr="006D4D4B">
        <w:rPr>
          <w:sz w:val="20"/>
          <w:szCs w:val="20"/>
        </w:rPr>
        <w:t>substudies</w:t>
      </w:r>
      <w:r w:rsidRPr="006D4D4B">
        <w:rPr>
          <w:sz w:val="20"/>
          <w:szCs w:val="20"/>
        </w:rPr>
        <w:t>: (1) the Early Implementation Study (ICR reference #201904-0970-007), which described SRAE grantees’ plans for programming, and (2) the Nationwide Study (NWS; ICR reference #202209-0970-002).</w:t>
      </w:r>
    </w:p>
  </w:footnote>
  <w:footnote w:id="4">
    <w:p w:rsidR="009A0BAE" w14:paraId="650C7CDF" w14:textId="15B631C9">
      <w:pPr>
        <w:pStyle w:val="FootnoteText"/>
      </w:pPr>
      <w:r>
        <w:rPr>
          <w:rStyle w:val="FootnoteReference"/>
        </w:rPr>
        <w:footnoteRef/>
      </w:r>
      <w:r>
        <w:t xml:space="preserve"> The performance measures data do not provide a complete count of the number of </w:t>
      </w:r>
      <w:r>
        <w:t>youth</w:t>
      </w:r>
      <w:r>
        <w:t xml:space="preserve"> served in community settings.  Grantees are instructed to only count </w:t>
      </w:r>
      <w:r w:rsidR="00FC322D">
        <w:t xml:space="preserve">youth are served in </w:t>
      </w:r>
      <w:r>
        <w:t>the primary setting in cases where providers operate the</w:t>
      </w:r>
      <w:r w:rsidR="00FC322D">
        <w:t>ir</w:t>
      </w:r>
      <w:r>
        <w:t xml:space="preserve"> SRAE program in more than one setting. </w:t>
      </w:r>
    </w:p>
  </w:footnote>
  <w:footnote w:id="5">
    <w:p w:rsidR="000A5FAB" w14:paraId="4C71355E" w14:textId="409B6BF9">
      <w:pPr>
        <w:pStyle w:val="FootnoteText"/>
      </w:pPr>
      <w:r>
        <w:rPr>
          <w:rStyle w:val="FootnoteReference"/>
        </w:rPr>
        <w:footnoteRef/>
      </w:r>
      <w:r>
        <w:t xml:space="preserve"> </w:t>
      </w:r>
      <w:r w:rsidR="006306F2">
        <w:t xml:space="preserve">The NWS survey </w:t>
      </w:r>
      <w:r w:rsidR="00BD6E43">
        <w:t xml:space="preserve">is </w:t>
      </w:r>
      <w:r w:rsidR="006306F2">
        <w:t xml:space="preserve">approved and conducted under OMB Control No: </w:t>
      </w:r>
      <w:r w:rsidRPr="008813EA" w:rsidR="006306F2">
        <w:rPr>
          <w:bCs/>
        </w:rPr>
        <w:t>0970</w:t>
      </w:r>
      <w:r w:rsidR="006306F2">
        <w:rPr>
          <w:bCs/>
        </w:rPr>
        <w:t>-0956</w:t>
      </w:r>
      <w:r w:rsidR="00CD5E12">
        <w:rPr>
          <w:bCs/>
        </w:rPr>
        <w:t>.</w:t>
      </w:r>
    </w:p>
  </w:footnote>
  <w:footnote w:id="6">
    <w:p w:rsidR="00BD6E43" w14:paraId="012BD283" w14:textId="3D2C6922">
      <w:pPr>
        <w:pStyle w:val="FootnoteText"/>
      </w:pPr>
      <w:r>
        <w:rPr>
          <w:rStyle w:val="FootnoteReference"/>
        </w:rPr>
        <w:footnoteRef/>
      </w:r>
      <w:r>
        <w:t xml:space="preserve"> </w:t>
      </w:r>
      <w:r>
        <w:rPr>
          <w:iCs/>
          <w:shd w:val="clear" w:color="auto" w:fill="FFFFFF" w:themeFill="background1"/>
        </w:rPr>
        <w:t>We expect one respondent per organization.</w:t>
      </w:r>
    </w:p>
  </w:footnote>
  <w:footnote w:id="7">
    <w:p w:rsidR="00BD6E43" w14:paraId="6D4D766E" w14:textId="473AB07D">
      <w:pPr>
        <w:pStyle w:val="FootnoteText"/>
      </w:pPr>
      <w:r>
        <w:rPr>
          <w:rStyle w:val="FootnoteReference"/>
        </w:rPr>
        <w:footnoteRef/>
      </w:r>
      <w:r>
        <w:t xml:space="preserve"> Opdenakker, R. “Advantages and Disadvantages of Four Interview Techniques in Qualitative Research.” </w:t>
      </w:r>
      <w:r w:rsidRPr="002E095A">
        <w:t>Qualitative</w:t>
      </w:r>
      <w:r w:rsidRPr="00933088">
        <w:rPr>
          <w:i/>
          <w:iCs/>
        </w:rPr>
        <w:t xml:space="preserve"> Research in Ibero America</w:t>
      </w:r>
      <w:r>
        <w:t>, vol. 7, no. 4, 2006, p. 7.</w:t>
      </w:r>
    </w:p>
  </w:footnote>
  <w:footnote w:id="8">
    <w:p w:rsidR="004B2322" w14:paraId="30F75787" w14:textId="42FF33C3">
      <w:pPr>
        <w:pStyle w:val="FootnoteText"/>
      </w:pPr>
      <w:r>
        <w:rPr>
          <w:rStyle w:val="FootnoteReference"/>
        </w:rPr>
        <w:footnoteRef/>
      </w:r>
      <w:r>
        <w:t xml:space="preserve"> </w:t>
      </w:r>
      <w:r w:rsidRPr="003A64CF">
        <w:t>Opdenakker, R. “Advantages and Disadvantages of Four Interview Techniques in Qualitative Research.” Qualitative Research in Ibero America, vol. 7, no. 4, 2006, pp. 7.</w:t>
      </w:r>
    </w:p>
  </w:footnote>
  <w:footnote w:id="9">
    <w:p w:rsidR="009D2672" w14:paraId="424C706B" w14:textId="77777777">
      <w:pPr>
        <w:pStyle w:val="FootnoteText"/>
      </w:pPr>
      <w:r>
        <w:rPr>
          <w:rStyle w:val="FootnoteReference"/>
        </w:rPr>
        <w:footnoteRef/>
      </w:r>
      <w:r>
        <w:t xml:space="preserve"> </w:t>
      </w:r>
      <w:r>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0">
    <w:p w:rsidR="003A12FD" w:rsidRPr="003A12FD" w:rsidP="003A12FD" w14:paraId="6F81A5C2" w14:textId="670A7104">
      <w:pPr>
        <w:textAlignment w:val="center"/>
        <w:rPr>
          <w:sz w:val="20"/>
          <w:szCs w:val="20"/>
        </w:rPr>
      </w:pPr>
      <w:r w:rsidRPr="003A12FD">
        <w:rPr>
          <w:rStyle w:val="FootnoteReference"/>
          <w:sz w:val="20"/>
          <w:szCs w:val="20"/>
        </w:rPr>
        <w:footnoteRef/>
      </w:r>
      <w:r w:rsidRPr="003A12FD">
        <w:rPr>
          <w:sz w:val="20"/>
          <w:szCs w:val="20"/>
        </w:rPr>
        <w:t xml:space="preserve"> </w:t>
      </w:r>
      <w:r w:rsidRPr="003A12FD">
        <w:rPr>
          <w:sz w:val="20"/>
          <w:szCs w:val="20"/>
        </w:rPr>
        <w:t xml:space="preserve">U.S. Bureau of Labor Statistics. “May 2021 National Occupational Employment and Wage Estimates.” Available at </w:t>
      </w:r>
      <w:hyperlink r:id="rId1" w:history="1">
        <w:r w:rsidRPr="001F0039">
          <w:rPr>
            <w:rStyle w:val="Hyperlink"/>
            <w:sz w:val="20"/>
            <w:szCs w:val="20"/>
          </w:rPr>
          <w:t>https://www.bls.gov/oes/current/oes193099.htm</w:t>
        </w:r>
      </w:hyperlink>
      <w:r w:rsidRPr="003A12FD">
        <w:rPr>
          <w:rStyle w:val="Hyperlink"/>
          <w:color w:val="auto"/>
          <w:sz w:val="20"/>
          <w:szCs w:val="20"/>
          <w:u w:val="none"/>
        </w:rPr>
        <w:t>.</w:t>
      </w:r>
    </w:p>
    <w:p w:rsidR="009D2672" w14:paraId="49033784" w14:textId="5BC0F0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672" w14:paraId="13281E9B" w14:textId="77777777">
    <w:pPr>
      <w:spacing w:after="0" w:line="240" w:lineRule="auto"/>
      <w:jc w:val="center"/>
      <w:rPr>
        <w:b/>
      </w:rPr>
    </w:pPr>
    <w:r>
      <w:rPr>
        <w:b/>
      </w:rPr>
      <w:t xml:space="preserve">Alternative Supporting Statement Instructions for Information Collections Designed for </w:t>
    </w:r>
  </w:p>
  <w:p w:rsidR="009D2672" w14:paraId="052AEDCA" w14:textId="77777777">
    <w:pPr>
      <w:pStyle w:val="Header"/>
      <w:jc w:val="center"/>
    </w:pPr>
    <w:r>
      <w:rPr>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2912A05"/>
    <w:multiLevelType w:val="multilevel"/>
    <w:tmpl w:val="00EA8BDA"/>
    <w:lvl w:ilvl="0">
      <w:start w:val="1"/>
      <w:numFmt w:val="bullet"/>
      <w:lvlText w:val=""/>
      <w:lvlJc w:val="left"/>
      <w:pPr>
        <w:tabs>
          <w:tab w:val="num" w:pos="-240"/>
        </w:tabs>
        <w:ind w:left="-240" w:hanging="360"/>
      </w:pPr>
      <w:rPr>
        <w:rFonts w:ascii="Symbol" w:hAnsi="Symbol" w:hint="default"/>
        <w:sz w:val="20"/>
      </w:rPr>
    </w:lvl>
    <w:lvl w:ilvl="1">
      <w:start w:val="1"/>
      <w:numFmt w:val="bullet"/>
      <w:lvlText w:val=""/>
      <w:lvlJc w:val="left"/>
      <w:pPr>
        <w:tabs>
          <w:tab w:val="num" w:pos="480"/>
        </w:tabs>
        <w:ind w:left="480" w:hanging="360"/>
      </w:pPr>
      <w:rPr>
        <w:rFonts w:ascii="Symbol" w:hAnsi="Symbol" w:hint="default"/>
        <w:sz w:val="20"/>
      </w:rPr>
    </w:lvl>
    <w:lvl w:ilvl="2">
      <w:start w:val="1"/>
      <w:numFmt w:val="bullet"/>
      <w:lvlText w:val=""/>
      <w:lvlJc w:val="left"/>
      <w:pPr>
        <w:tabs>
          <w:tab w:val="num" w:pos="1200"/>
        </w:tabs>
        <w:ind w:left="1200" w:hanging="360"/>
      </w:pPr>
      <w:rPr>
        <w:rFonts w:ascii="Symbol" w:hAnsi="Symbol" w:hint="default"/>
        <w:sz w:val="20"/>
      </w:rPr>
    </w:lvl>
    <w:lvl w:ilvl="3">
      <w:start w:val="1"/>
      <w:numFmt w:val="bullet"/>
      <w:lvlText w:val=""/>
      <w:lvlJc w:val="left"/>
      <w:pPr>
        <w:tabs>
          <w:tab w:val="num" w:pos="1920"/>
        </w:tabs>
        <w:ind w:left="1920" w:hanging="360"/>
      </w:pPr>
      <w:rPr>
        <w:rFonts w:ascii="Symbol" w:hAnsi="Symbol" w:hint="default"/>
        <w:sz w:val="20"/>
      </w:rPr>
    </w:lvl>
    <w:lvl w:ilvl="4">
      <w:start w:val="1"/>
      <w:numFmt w:val="bullet"/>
      <w:lvlText w:val=""/>
      <w:lvlJc w:val="left"/>
      <w:pPr>
        <w:tabs>
          <w:tab w:val="num" w:pos="2640"/>
        </w:tabs>
        <w:ind w:left="2640" w:hanging="360"/>
      </w:pPr>
      <w:rPr>
        <w:rFonts w:ascii="Symbol" w:hAnsi="Symbol" w:hint="default"/>
        <w:sz w:val="20"/>
      </w:rPr>
    </w:lvl>
    <w:lvl w:ilvl="5">
      <w:start w:val="1"/>
      <w:numFmt w:val="bullet"/>
      <w:lvlText w:val=""/>
      <w:lvlJc w:val="left"/>
      <w:pPr>
        <w:tabs>
          <w:tab w:val="num" w:pos="3360"/>
        </w:tabs>
        <w:ind w:left="3360" w:hanging="360"/>
      </w:pPr>
      <w:rPr>
        <w:rFonts w:ascii="Symbol" w:hAnsi="Symbol" w:hint="default"/>
        <w:sz w:val="20"/>
      </w:rPr>
    </w:lvl>
    <w:lvl w:ilvl="6">
      <w:start w:val="1"/>
      <w:numFmt w:val="bullet"/>
      <w:lvlText w:val=""/>
      <w:lvlJc w:val="left"/>
      <w:pPr>
        <w:tabs>
          <w:tab w:val="num" w:pos="4080"/>
        </w:tabs>
        <w:ind w:left="4080" w:hanging="360"/>
      </w:pPr>
      <w:rPr>
        <w:rFonts w:ascii="Symbol" w:hAnsi="Symbol" w:hint="default"/>
        <w:sz w:val="20"/>
      </w:rPr>
    </w:lvl>
    <w:lvl w:ilvl="7">
      <w:start w:val="1"/>
      <w:numFmt w:val="bullet"/>
      <w:lvlText w:val=""/>
      <w:lvlJc w:val="left"/>
      <w:pPr>
        <w:tabs>
          <w:tab w:val="num" w:pos="4800"/>
        </w:tabs>
        <w:ind w:left="4800" w:hanging="360"/>
      </w:pPr>
      <w:rPr>
        <w:rFonts w:ascii="Symbol" w:hAnsi="Symbol" w:hint="default"/>
        <w:sz w:val="20"/>
      </w:rPr>
    </w:lvl>
    <w:lvl w:ilvl="8">
      <w:start w:val="1"/>
      <w:numFmt w:val="bullet"/>
      <w:lvlText w:val=""/>
      <w:lvlJc w:val="left"/>
      <w:pPr>
        <w:tabs>
          <w:tab w:val="num" w:pos="5520"/>
        </w:tabs>
        <w:ind w:left="5520" w:hanging="360"/>
      </w:pPr>
      <w:rPr>
        <w:rFonts w:ascii="Symbol" w:hAnsi="Symbol" w:hint="default"/>
        <w:sz w:val="20"/>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05237F"/>
    <w:multiLevelType w:val="hybridMultilevel"/>
    <w:tmpl w:val="CB0AF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777350"/>
    <w:multiLevelType w:val="hybridMultilevel"/>
    <w:tmpl w:val="39667E1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4B12DB"/>
    <w:multiLevelType w:val="hybridMultilevel"/>
    <w:tmpl w:val="59C2BF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2DE56C7"/>
    <w:multiLevelType w:val="hybridMultilevel"/>
    <w:tmpl w:val="ECBE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0A799E"/>
    <w:multiLevelType w:val="hybridMultilevel"/>
    <w:tmpl w:val="E3C2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1C0CE1"/>
    <w:multiLevelType w:val="hybridMultilevel"/>
    <w:tmpl w:val="74E861AE"/>
    <w:lvl w:ilvl="0">
      <w:start w:val="1"/>
      <w:numFmt w:val="bullet"/>
      <w:lvlText w:val="-"/>
      <w:lvlJc w:val="left"/>
      <w:pPr>
        <w:ind w:left="753" w:hanging="360"/>
      </w:pPr>
      <w:rPr>
        <w:rFonts w:ascii="Calibri" w:hAnsi="Calibri" w:eastAsiaTheme="minorHAnsi" w:cs="Calibri"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2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6">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A237435"/>
    <w:multiLevelType w:val="hybridMultilevel"/>
    <w:tmpl w:val="C8C848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2A78DE"/>
    <w:multiLevelType w:val="hybridMultilevel"/>
    <w:tmpl w:val="B44EA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6689520">
    <w:abstractNumId w:val="9"/>
  </w:num>
  <w:num w:numId="2" w16cid:durableId="967275802">
    <w:abstractNumId w:val="32"/>
  </w:num>
  <w:num w:numId="3" w16cid:durableId="47387456">
    <w:abstractNumId w:val="7"/>
  </w:num>
  <w:num w:numId="4" w16cid:durableId="161895777">
    <w:abstractNumId w:val="36"/>
  </w:num>
  <w:num w:numId="5" w16cid:durableId="621496514">
    <w:abstractNumId w:val="25"/>
  </w:num>
  <w:num w:numId="6" w16cid:durableId="1601529732">
    <w:abstractNumId w:val="46"/>
  </w:num>
  <w:num w:numId="7" w16cid:durableId="351223925">
    <w:abstractNumId w:val="6"/>
  </w:num>
  <w:num w:numId="8" w16cid:durableId="984160123">
    <w:abstractNumId w:val="15"/>
  </w:num>
  <w:num w:numId="9" w16cid:durableId="1891065831">
    <w:abstractNumId w:val="24"/>
  </w:num>
  <w:num w:numId="10" w16cid:durableId="122890696">
    <w:abstractNumId w:val="44"/>
  </w:num>
  <w:num w:numId="11" w16cid:durableId="116415350">
    <w:abstractNumId w:val="49"/>
  </w:num>
  <w:num w:numId="12" w16cid:durableId="766459877">
    <w:abstractNumId w:val="41"/>
  </w:num>
  <w:num w:numId="13" w16cid:durableId="1735156164">
    <w:abstractNumId w:val="35"/>
  </w:num>
  <w:num w:numId="14" w16cid:durableId="1895002911">
    <w:abstractNumId w:val="43"/>
  </w:num>
  <w:num w:numId="15" w16cid:durableId="1417241445">
    <w:abstractNumId w:val="27"/>
  </w:num>
  <w:num w:numId="16" w16cid:durableId="969632910">
    <w:abstractNumId w:val="34"/>
  </w:num>
  <w:num w:numId="17" w16cid:durableId="184025588">
    <w:abstractNumId w:val="22"/>
  </w:num>
  <w:num w:numId="18" w16cid:durableId="324168245">
    <w:abstractNumId w:val="13"/>
  </w:num>
  <w:num w:numId="19" w16cid:durableId="235629744">
    <w:abstractNumId w:val="12"/>
  </w:num>
  <w:num w:numId="20" w16cid:durableId="524254693">
    <w:abstractNumId w:val="33"/>
  </w:num>
  <w:num w:numId="21" w16cid:durableId="1835146646">
    <w:abstractNumId w:val="0"/>
  </w:num>
  <w:num w:numId="22" w16cid:durableId="953945480">
    <w:abstractNumId w:val="2"/>
  </w:num>
  <w:num w:numId="23" w16cid:durableId="1116480827">
    <w:abstractNumId w:val="28"/>
  </w:num>
  <w:num w:numId="24" w16cid:durableId="1103300044">
    <w:abstractNumId w:val="4"/>
  </w:num>
  <w:num w:numId="25" w16cid:durableId="1848398460">
    <w:abstractNumId w:val="18"/>
  </w:num>
  <w:num w:numId="26" w16cid:durableId="1148015639">
    <w:abstractNumId w:val="48"/>
  </w:num>
  <w:num w:numId="27" w16cid:durableId="1375276421">
    <w:abstractNumId w:val="42"/>
  </w:num>
  <w:num w:numId="28" w16cid:durableId="914437926">
    <w:abstractNumId w:val="20"/>
  </w:num>
  <w:num w:numId="29" w16cid:durableId="2109277679">
    <w:abstractNumId w:val="19"/>
  </w:num>
  <w:num w:numId="30" w16cid:durableId="2140801902">
    <w:abstractNumId w:val="5"/>
  </w:num>
  <w:num w:numId="31" w16cid:durableId="515580500">
    <w:abstractNumId w:val="14"/>
  </w:num>
  <w:num w:numId="32" w16cid:durableId="2087803126">
    <w:abstractNumId w:val="29"/>
  </w:num>
  <w:num w:numId="33" w16cid:durableId="1639914193">
    <w:abstractNumId w:val="37"/>
  </w:num>
  <w:num w:numId="34" w16cid:durableId="651525547">
    <w:abstractNumId w:val="17"/>
  </w:num>
  <w:num w:numId="35" w16cid:durableId="93136027">
    <w:abstractNumId w:val="26"/>
  </w:num>
  <w:num w:numId="36" w16cid:durableId="1558204453">
    <w:abstractNumId w:val="21"/>
  </w:num>
  <w:num w:numId="37" w16cid:durableId="715928941">
    <w:abstractNumId w:val="38"/>
  </w:num>
  <w:num w:numId="38" w16cid:durableId="1504977207">
    <w:abstractNumId w:val="30"/>
  </w:num>
  <w:num w:numId="39" w16cid:durableId="1823231284">
    <w:abstractNumId w:val="11"/>
  </w:num>
  <w:num w:numId="40" w16cid:durableId="662315187">
    <w:abstractNumId w:val="45"/>
  </w:num>
  <w:num w:numId="41" w16cid:durableId="1768042949">
    <w:abstractNumId w:val="39"/>
  </w:num>
  <w:num w:numId="42" w16cid:durableId="1435591018">
    <w:abstractNumId w:val="8"/>
  </w:num>
  <w:num w:numId="43" w16cid:durableId="1217623942">
    <w:abstractNumId w:val="16"/>
  </w:num>
  <w:num w:numId="44" w16cid:durableId="2047370966">
    <w:abstractNumId w:val="31"/>
  </w:num>
  <w:num w:numId="45" w16cid:durableId="1086878364">
    <w:abstractNumId w:val="47"/>
  </w:num>
  <w:num w:numId="46" w16cid:durableId="786314298">
    <w:abstractNumId w:val="23"/>
  </w:num>
  <w:num w:numId="47" w16cid:durableId="1191912308">
    <w:abstractNumId w:val="1"/>
  </w:num>
  <w:num w:numId="48" w16cid:durableId="2101681071">
    <w:abstractNumId w:val="3"/>
  </w:num>
  <w:num w:numId="49" w16cid:durableId="1812555252">
    <w:abstractNumId w:val="10"/>
  </w:num>
  <w:num w:numId="50" w16cid:durableId="149903686">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72"/>
    <w:rsid w:val="000015D2"/>
    <w:rsid w:val="00001C22"/>
    <w:rsid w:val="00022785"/>
    <w:rsid w:val="00035831"/>
    <w:rsid w:val="00042125"/>
    <w:rsid w:val="00054192"/>
    <w:rsid w:val="00076FBB"/>
    <w:rsid w:val="00081965"/>
    <w:rsid w:val="00087623"/>
    <w:rsid w:val="000A0DFE"/>
    <w:rsid w:val="000A5FAB"/>
    <w:rsid w:val="000B2B12"/>
    <w:rsid w:val="000C3486"/>
    <w:rsid w:val="000C4B4A"/>
    <w:rsid w:val="000D2FEF"/>
    <w:rsid w:val="000D35F6"/>
    <w:rsid w:val="000F3D89"/>
    <w:rsid w:val="00104078"/>
    <w:rsid w:val="00115BF9"/>
    <w:rsid w:val="00130FAA"/>
    <w:rsid w:val="00146EFB"/>
    <w:rsid w:val="0016592F"/>
    <w:rsid w:val="0017115E"/>
    <w:rsid w:val="00174D58"/>
    <w:rsid w:val="00177C9C"/>
    <w:rsid w:val="0018347D"/>
    <w:rsid w:val="00187940"/>
    <w:rsid w:val="00197A0A"/>
    <w:rsid w:val="001A0C63"/>
    <w:rsid w:val="001B3F4E"/>
    <w:rsid w:val="001B630B"/>
    <w:rsid w:val="001C32D9"/>
    <w:rsid w:val="001D12C3"/>
    <w:rsid w:val="001D4E0F"/>
    <w:rsid w:val="001F0039"/>
    <w:rsid w:val="0020068C"/>
    <w:rsid w:val="00202558"/>
    <w:rsid w:val="0020514F"/>
    <w:rsid w:val="00215834"/>
    <w:rsid w:val="00234C09"/>
    <w:rsid w:val="00261671"/>
    <w:rsid w:val="00264623"/>
    <w:rsid w:val="002646FA"/>
    <w:rsid w:val="0026479B"/>
    <w:rsid w:val="0027105B"/>
    <w:rsid w:val="00271090"/>
    <w:rsid w:val="00277655"/>
    <w:rsid w:val="002A04C9"/>
    <w:rsid w:val="002A4BFF"/>
    <w:rsid w:val="002C7C1A"/>
    <w:rsid w:val="002E095A"/>
    <w:rsid w:val="003153D0"/>
    <w:rsid w:val="00330515"/>
    <w:rsid w:val="00330A94"/>
    <w:rsid w:val="00333BD3"/>
    <w:rsid w:val="003346D0"/>
    <w:rsid w:val="00345B70"/>
    <w:rsid w:val="003506E6"/>
    <w:rsid w:val="003559FC"/>
    <w:rsid w:val="0035694F"/>
    <w:rsid w:val="00367A4F"/>
    <w:rsid w:val="003A12FD"/>
    <w:rsid w:val="003A4170"/>
    <w:rsid w:val="003A64CF"/>
    <w:rsid w:val="003B202C"/>
    <w:rsid w:val="003B7322"/>
    <w:rsid w:val="003C6EBB"/>
    <w:rsid w:val="003D4FC3"/>
    <w:rsid w:val="003D52C4"/>
    <w:rsid w:val="003D5322"/>
    <w:rsid w:val="003E0156"/>
    <w:rsid w:val="003E3DA4"/>
    <w:rsid w:val="003E6551"/>
    <w:rsid w:val="003F0E83"/>
    <w:rsid w:val="0041769F"/>
    <w:rsid w:val="0042329B"/>
    <w:rsid w:val="00427FD5"/>
    <w:rsid w:val="00434579"/>
    <w:rsid w:val="00434B76"/>
    <w:rsid w:val="00445954"/>
    <w:rsid w:val="00447C89"/>
    <w:rsid w:val="00453540"/>
    <w:rsid w:val="00457C8C"/>
    <w:rsid w:val="00463730"/>
    <w:rsid w:val="00465EF7"/>
    <w:rsid w:val="00467E4B"/>
    <w:rsid w:val="00485973"/>
    <w:rsid w:val="00492200"/>
    <w:rsid w:val="0049727D"/>
    <w:rsid w:val="004B0135"/>
    <w:rsid w:val="004B2322"/>
    <w:rsid w:val="004B44AD"/>
    <w:rsid w:val="004C16CB"/>
    <w:rsid w:val="004D28B4"/>
    <w:rsid w:val="004D56D0"/>
    <w:rsid w:val="004E1499"/>
    <w:rsid w:val="004E208A"/>
    <w:rsid w:val="004F1047"/>
    <w:rsid w:val="00504F9D"/>
    <w:rsid w:val="0052062D"/>
    <w:rsid w:val="00523798"/>
    <w:rsid w:val="00524385"/>
    <w:rsid w:val="00546EFA"/>
    <w:rsid w:val="00551ACB"/>
    <w:rsid w:val="00557013"/>
    <w:rsid w:val="0056284E"/>
    <w:rsid w:val="005A6436"/>
    <w:rsid w:val="005B4123"/>
    <w:rsid w:val="005D045E"/>
    <w:rsid w:val="005D6349"/>
    <w:rsid w:val="005F23F1"/>
    <w:rsid w:val="005F2A4A"/>
    <w:rsid w:val="005F3B39"/>
    <w:rsid w:val="00613B83"/>
    <w:rsid w:val="00625F15"/>
    <w:rsid w:val="00626060"/>
    <w:rsid w:val="006306F2"/>
    <w:rsid w:val="00640A41"/>
    <w:rsid w:val="006573A0"/>
    <w:rsid w:val="00665255"/>
    <w:rsid w:val="00670669"/>
    <w:rsid w:val="00675492"/>
    <w:rsid w:val="0068395B"/>
    <w:rsid w:val="006875C2"/>
    <w:rsid w:val="006B3890"/>
    <w:rsid w:val="006C0901"/>
    <w:rsid w:val="006D05E0"/>
    <w:rsid w:val="006D4D4B"/>
    <w:rsid w:val="006E434D"/>
    <w:rsid w:val="0070010C"/>
    <w:rsid w:val="00702909"/>
    <w:rsid w:val="0070674C"/>
    <w:rsid w:val="00707D3C"/>
    <w:rsid w:val="007302B3"/>
    <w:rsid w:val="00742B52"/>
    <w:rsid w:val="007507A6"/>
    <w:rsid w:val="007630E3"/>
    <w:rsid w:val="00772079"/>
    <w:rsid w:val="007727B5"/>
    <w:rsid w:val="00780805"/>
    <w:rsid w:val="00783774"/>
    <w:rsid w:val="00793665"/>
    <w:rsid w:val="007975B8"/>
    <w:rsid w:val="007A0024"/>
    <w:rsid w:val="007A204A"/>
    <w:rsid w:val="007A4513"/>
    <w:rsid w:val="007A49DD"/>
    <w:rsid w:val="007B7035"/>
    <w:rsid w:val="007C0137"/>
    <w:rsid w:val="007C4FE1"/>
    <w:rsid w:val="007C5624"/>
    <w:rsid w:val="007F3AB0"/>
    <w:rsid w:val="008061E1"/>
    <w:rsid w:val="00814E24"/>
    <w:rsid w:val="008177C3"/>
    <w:rsid w:val="00825423"/>
    <w:rsid w:val="00826D77"/>
    <w:rsid w:val="008346E3"/>
    <w:rsid w:val="00846BBB"/>
    <w:rsid w:val="00846EA8"/>
    <w:rsid w:val="0085466E"/>
    <w:rsid w:val="008626A0"/>
    <w:rsid w:val="008813EA"/>
    <w:rsid w:val="008974EB"/>
    <w:rsid w:val="008A0C12"/>
    <w:rsid w:val="008A1C15"/>
    <w:rsid w:val="008A5B0B"/>
    <w:rsid w:val="008B1CB2"/>
    <w:rsid w:val="008B26E6"/>
    <w:rsid w:val="008B45BC"/>
    <w:rsid w:val="008C4235"/>
    <w:rsid w:val="008E2982"/>
    <w:rsid w:val="00921FFC"/>
    <w:rsid w:val="0092581E"/>
    <w:rsid w:val="00927EE1"/>
    <w:rsid w:val="00933088"/>
    <w:rsid w:val="009402CB"/>
    <w:rsid w:val="00942B97"/>
    <w:rsid w:val="0095272C"/>
    <w:rsid w:val="009571CC"/>
    <w:rsid w:val="00961B03"/>
    <w:rsid w:val="00985CD2"/>
    <w:rsid w:val="009A0BAE"/>
    <w:rsid w:val="009A0CC7"/>
    <w:rsid w:val="009D2672"/>
    <w:rsid w:val="009F1FB6"/>
    <w:rsid w:val="009F3942"/>
    <w:rsid w:val="009F6B90"/>
    <w:rsid w:val="00A004E0"/>
    <w:rsid w:val="00A04E27"/>
    <w:rsid w:val="00A07B3F"/>
    <w:rsid w:val="00A14C56"/>
    <w:rsid w:val="00A26433"/>
    <w:rsid w:val="00A54C41"/>
    <w:rsid w:val="00A64C33"/>
    <w:rsid w:val="00A7360E"/>
    <w:rsid w:val="00A816CA"/>
    <w:rsid w:val="00A93B14"/>
    <w:rsid w:val="00A97BD1"/>
    <w:rsid w:val="00AA2FE1"/>
    <w:rsid w:val="00AB260F"/>
    <w:rsid w:val="00AB5D11"/>
    <w:rsid w:val="00AC19E5"/>
    <w:rsid w:val="00AC40AB"/>
    <w:rsid w:val="00AD0449"/>
    <w:rsid w:val="00AD63AA"/>
    <w:rsid w:val="00B04163"/>
    <w:rsid w:val="00B16C8F"/>
    <w:rsid w:val="00B2504D"/>
    <w:rsid w:val="00B272C1"/>
    <w:rsid w:val="00B55191"/>
    <w:rsid w:val="00B6736A"/>
    <w:rsid w:val="00B87B91"/>
    <w:rsid w:val="00BB2428"/>
    <w:rsid w:val="00BB7310"/>
    <w:rsid w:val="00BC087B"/>
    <w:rsid w:val="00BC48D2"/>
    <w:rsid w:val="00BD6E43"/>
    <w:rsid w:val="00BF131D"/>
    <w:rsid w:val="00BF5D49"/>
    <w:rsid w:val="00C01463"/>
    <w:rsid w:val="00C03C33"/>
    <w:rsid w:val="00C11AD3"/>
    <w:rsid w:val="00C1253E"/>
    <w:rsid w:val="00C12955"/>
    <w:rsid w:val="00C13B73"/>
    <w:rsid w:val="00C218B1"/>
    <w:rsid w:val="00C25E13"/>
    <w:rsid w:val="00C33C7F"/>
    <w:rsid w:val="00C344D4"/>
    <w:rsid w:val="00C52A00"/>
    <w:rsid w:val="00C62ABA"/>
    <w:rsid w:val="00C64A6C"/>
    <w:rsid w:val="00C65758"/>
    <w:rsid w:val="00C7376B"/>
    <w:rsid w:val="00CA40F0"/>
    <w:rsid w:val="00CC3D3F"/>
    <w:rsid w:val="00CD1418"/>
    <w:rsid w:val="00CD5E12"/>
    <w:rsid w:val="00CE64E0"/>
    <w:rsid w:val="00D1427B"/>
    <w:rsid w:val="00D21B49"/>
    <w:rsid w:val="00D24730"/>
    <w:rsid w:val="00D2681C"/>
    <w:rsid w:val="00D4133C"/>
    <w:rsid w:val="00D51D0E"/>
    <w:rsid w:val="00D53935"/>
    <w:rsid w:val="00D53A51"/>
    <w:rsid w:val="00D63DAD"/>
    <w:rsid w:val="00D7173F"/>
    <w:rsid w:val="00D76DA5"/>
    <w:rsid w:val="00D77534"/>
    <w:rsid w:val="00D82800"/>
    <w:rsid w:val="00DA0E69"/>
    <w:rsid w:val="00DA2252"/>
    <w:rsid w:val="00DA24EE"/>
    <w:rsid w:val="00DB09F2"/>
    <w:rsid w:val="00DB210E"/>
    <w:rsid w:val="00DB68B0"/>
    <w:rsid w:val="00DC09CC"/>
    <w:rsid w:val="00DC61E1"/>
    <w:rsid w:val="00DE0DFD"/>
    <w:rsid w:val="00DE6BB0"/>
    <w:rsid w:val="00E035A0"/>
    <w:rsid w:val="00E07718"/>
    <w:rsid w:val="00E14F60"/>
    <w:rsid w:val="00E158EB"/>
    <w:rsid w:val="00E250E5"/>
    <w:rsid w:val="00E3212F"/>
    <w:rsid w:val="00E32B0F"/>
    <w:rsid w:val="00E40583"/>
    <w:rsid w:val="00E44458"/>
    <w:rsid w:val="00E46AE6"/>
    <w:rsid w:val="00E7013B"/>
    <w:rsid w:val="00E71C6E"/>
    <w:rsid w:val="00E76F50"/>
    <w:rsid w:val="00E77367"/>
    <w:rsid w:val="00E876CA"/>
    <w:rsid w:val="00EB0AC4"/>
    <w:rsid w:val="00EC3AC4"/>
    <w:rsid w:val="00ED1A43"/>
    <w:rsid w:val="00EE18C9"/>
    <w:rsid w:val="00EF7E6D"/>
    <w:rsid w:val="00F1031F"/>
    <w:rsid w:val="00F175D9"/>
    <w:rsid w:val="00F2303E"/>
    <w:rsid w:val="00F5015D"/>
    <w:rsid w:val="00F66A8C"/>
    <w:rsid w:val="00F84011"/>
    <w:rsid w:val="00F84050"/>
    <w:rsid w:val="00F95A2F"/>
    <w:rsid w:val="00FA5738"/>
    <w:rsid w:val="00FB2404"/>
    <w:rsid w:val="00FC322D"/>
    <w:rsid w:val="00FD4838"/>
    <w:rsid w:val="00FE5704"/>
    <w:rsid w:val="00FF06A0"/>
    <w:rsid w:val="00FF33D6"/>
  </w:rsids>
  <w:docVars>
    <w:docVar w:name="__Grammarly_42___1" w:val="H4sIAAAAAAAEAKtWcslP9kxRslIyNDY2MDCxsDAysjQyNzI3MTdT0lEKTi0uzszPAykwNqoFAIny7/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A68737"/>
  <w15:docId w15:val="{4FF5D268-8F0E-4625-B8A6-68D171B6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link w:val="ListParagraph"/>
    <w:uiPriority w:val="34"/>
    <w:locked/>
  </w:style>
  <w:style w:type="paragraph" w:styleId="Revision">
    <w:name w:val="Revision"/>
    <w:hidden/>
    <w:uiPriority w:val="99"/>
    <w:semiHidden/>
    <w:pPr>
      <w:spacing w:after="0" w:line="240" w:lineRule="auto"/>
    </w:pPr>
  </w:style>
  <w:style w:type="paragraph" w:customStyle="1" w:styleId="ReportCover-Title">
    <w:name w:val="ReportCover-Title"/>
    <w:basedOn w:val="Normal"/>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paragraph" w:customStyle="1" w:styleId="Paragraph">
    <w:name w:val="Paragraph"/>
    <w:basedOn w:val="Normal"/>
    <w:qFormat/>
    <w:pPr>
      <w:spacing w:after="160" w:line="264" w:lineRule="auto"/>
    </w:pPr>
  </w:style>
  <w:style w:type="paragraph" w:customStyle="1" w:styleId="MarkforTableHeading">
    <w:name w:val="Mark for Table Heading"/>
    <w:basedOn w:val="Normal"/>
    <w:next w:val="Normal"/>
    <w:qFormat/>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pPr>
      <w:keepNext/>
      <w:spacing w:before="40" w:after="20" w:line="264" w:lineRule="auto"/>
      <w:jc w:val="center"/>
    </w:pPr>
    <w:rPr>
      <w:rFonts w:asciiTheme="majorHAnsi" w:hAnsiTheme="majorHAnsi"/>
      <w:color w:val="FFFFFF" w:themeColor="background1"/>
      <w:sz w:val="20"/>
    </w:rPr>
  </w:style>
  <w:style w:type="table" w:customStyle="1" w:styleId="TableGrid1">
    <w:name w:val="Table Grid1"/>
    <w:basedOn w:val="TableNormal"/>
    <w:next w:val="TableGrid"/>
    <w:uiPriority w:val="99"/>
    <w:pPr>
      <w:spacing w:after="0" w:line="240" w:lineRule="auto"/>
    </w:pPr>
    <w:tblPr>
      <w:tblBorders>
        <w:top w:val="dotted" w:sz="12" w:space="0" w:color="1F497D" w:themeColor="text2"/>
        <w:bottom w:val="dotted" w:sz="12" w:space="0" w:color="1F497D" w:themeColor="text2"/>
      </w:tblBorders>
    </w:tblPr>
  </w:style>
  <w:style w:type="table" w:customStyle="1" w:styleId="MathUBaseTable">
    <w:name w:val="MathU Base Table"/>
    <w:basedOn w:val="TableNormal"/>
    <w:uiPriority w:val="99"/>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TableHeaderLeft">
    <w:name w:val="Table Header Left"/>
    <w:basedOn w:val="TableTextLeft"/>
    <w:qFormat/>
    <w:pPr>
      <w:keepNext/>
    </w:pPr>
    <w:rPr>
      <w:color w:val="FFFFFF" w:themeColor="background1"/>
      <w:sz w:val="20"/>
    </w:rPr>
  </w:style>
  <w:style w:type="paragraph" w:customStyle="1" w:styleId="TableTitle">
    <w:name w:val="Table Title"/>
    <w:basedOn w:val="Normal"/>
    <w:qFormat/>
    <w:pPr>
      <w:keepNext/>
      <w:keepLines/>
      <w:spacing w:before="40" w:after="40" w:line="264" w:lineRule="auto"/>
    </w:pPr>
    <w:rPr>
      <w:rFonts w:asciiTheme="majorHAnsi" w:hAnsiTheme="majorHAnsi"/>
      <w:b/>
      <w:color w:val="000000" w:themeColor="text1"/>
      <w:sz w:val="20"/>
    </w:rPr>
  </w:style>
  <w:style w:type="character" w:styleId="Emphasis">
    <w:name w:val="Emphasis"/>
    <w:basedOn w:val="DefaultParagraphFont"/>
    <w:uiPriority w:val="20"/>
    <w:qFormat/>
    <w:rPr>
      <w:i/>
      <w:iCs/>
    </w:rPr>
  </w:style>
  <w:style w:type="paragraph" w:customStyle="1" w:styleId="References">
    <w:name w:val="References"/>
    <w:basedOn w:val="Normal"/>
    <w:qFormat/>
    <w:pPr>
      <w:keepLines/>
      <w:spacing w:after="240" w:line="240" w:lineRule="auto"/>
      <w:ind w:left="432" w:hanging="432"/>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character" w:styleId="UnresolvedMention">
    <w:name w:val="Unresolved Mention"/>
    <w:basedOn w:val="DefaultParagraphFont"/>
    <w:uiPriority w:val="99"/>
    <w:semiHidden/>
    <w:unhideWhenUsed/>
    <w:rsid w:val="003A12FD"/>
    <w:rPr>
      <w:color w:val="605E5C"/>
      <w:shd w:val="clear" w:color="auto" w:fill="E1DFDD"/>
    </w:rPr>
  </w:style>
  <w:style w:type="character" w:customStyle="1" w:styleId="normaltextrun">
    <w:name w:val="normaltextrun"/>
    <w:basedOn w:val="DefaultParagraphFont"/>
    <w:rsid w:val="00E46AE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930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09311-AC1E-4097-8248-7B65E71895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E63CE-22E9-49FE-831B-1DAEAC0FBF0F}">
  <ds:schemaRefs>
    <ds:schemaRef ds:uri="http://schemas.microsoft.com/sharepoint/v3/contenttype/forms"/>
  </ds:schemaRefs>
</ds:datastoreItem>
</file>

<file path=customXml/itemProps3.xml><?xml version="1.0" encoding="utf-8"?>
<ds:datastoreItem xmlns:ds="http://schemas.openxmlformats.org/officeDocument/2006/customXml" ds:itemID="{93B2CE25-D6EB-4DC1-AFD3-E92EA5E9D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D2A4F-460A-41DF-B414-D9AC70FC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Zief</dc:creator>
  <cp:lastModifiedBy>Gray, Calonie (ACF)</cp:lastModifiedBy>
  <cp:revision>3</cp:revision>
  <dcterms:created xsi:type="dcterms:W3CDTF">2023-04-05T16:22:00Z</dcterms:created>
  <dcterms:modified xsi:type="dcterms:W3CDTF">2023-04-05T16:22:00Z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