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36A5" w:rsidRPr="00A270C6" w:rsidP="000936A5" w14:paraId="23A64C50" w14:textId="7777777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70C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Justification for </w:t>
      </w:r>
      <w:bookmarkStart w:id="0" w:name="_Hlk83979175"/>
      <w:r w:rsidRPr="00A270C6">
        <w:rPr>
          <w:rFonts w:ascii="Times New Roman" w:hAnsi="Times New Roman" w:cs="Times New Roman"/>
          <w:b/>
          <w:bCs/>
          <w:color w:val="auto"/>
          <w:sz w:val="24"/>
          <w:szCs w:val="24"/>
        </w:rPr>
        <w:t>Non-Substantive Change to Form SSA-634</w:t>
      </w:r>
    </w:p>
    <w:p w:rsidR="005C01D5" w:rsidRPr="00A270C6" w:rsidP="000936A5" w14:paraId="71622A9F" w14:textId="0D02132D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70C6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Request for Change in Overpayment Recovery Rate</w:t>
      </w:r>
    </w:p>
    <w:p w:rsidR="005C01D5" w:rsidRPr="00A270C6" w:rsidP="000936A5" w14:paraId="1196AB46" w14:textId="65AB22C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70C6">
        <w:rPr>
          <w:rFonts w:ascii="Times New Roman" w:hAnsi="Times New Roman" w:cs="Times New Roman"/>
          <w:b/>
          <w:bCs/>
          <w:color w:val="auto"/>
          <w:sz w:val="24"/>
          <w:szCs w:val="24"/>
        </w:rPr>
        <w:t>20 CFR 404.502, 20 CFR 416.571</w:t>
      </w:r>
    </w:p>
    <w:p w:rsidR="005C01D5" w:rsidRPr="00A270C6" w:rsidP="000936A5" w14:paraId="5C355081" w14:textId="62E80451">
      <w:pPr>
        <w:tabs>
          <w:tab w:val="left" w:pos="20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70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OMB No. 0960-0037 </w:t>
      </w:r>
      <w:bookmarkEnd w:id="0"/>
    </w:p>
    <w:p w:rsidR="005C01D5" w:rsidRPr="00A270C6" w:rsidP="000936A5" w14:paraId="045E47EC" w14:textId="77777777">
      <w:pPr>
        <w:tabs>
          <w:tab w:val="left" w:pos="20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01D5" w:rsidRPr="00A270C6" w:rsidP="000936A5" w14:paraId="2FF9E128" w14:textId="1F8C66B4">
      <w:pPr>
        <w:pStyle w:val="Heading1"/>
        <w:spacing w:before="0" w:line="240" w:lineRule="auto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A270C6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Background</w:t>
      </w:r>
      <w:r w:rsidRPr="00A270C6" w:rsidR="008320D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of the Collection:</w:t>
      </w:r>
      <w:r w:rsidRPr="00A270C6" w:rsidR="008320D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br/>
      </w:r>
    </w:p>
    <w:p w:rsidR="000936A5" w:rsidRPr="00A270C6" w:rsidP="000936A5" w14:paraId="7331A6C6" w14:textId="3DBFFA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70C6">
        <w:rPr>
          <w:rFonts w:ascii="Times New Roman" w:hAnsi="Times New Roman" w:cs="Times New Roman"/>
          <w:sz w:val="24"/>
          <w:szCs w:val="24"/>
        </w:rPr>
        <w:t>An overpayment occurs when we pay a beneficiary or recipient more benefits than they are due for a given period.</w:t>
      </w:r>
      <w:r w:rsidRPr="00A270C6">
        <w:rPr>
          <w:rFonts w:ascii="Times New Roman" w:eastAsia="SimSun" w:hAnsi="Times New Roman" w:cs="Times New Roman"/>
          <w:sz w:val="24"/>
          <w:szCs w:val="24"/>
        </w:rPr>
        <w:t xml:space="preserve">  When the individual receives the overpaid benefits, they are responsible for repaying the debt.  When an overpaid individual is </w:t>
      </w:r>
      <w:r w:rsidRPr="00A270C6">
        <w:rPr>
          <w:rFonts w:ascii="Times New Roman" w:hAnsi="Times New Roman" w:cs="Times New Roman"/>
          <w:sz w:val="24"/>
          <w:szCs w:val="24"/>
        </w:rPr>
        <w:t xml:space="preserve">unable to </w:t>
      </w:r>
      <w:r w:rsidRPr="00A270C6">
        <w:rPr>
          <w:rFonts w:ascii="Times New Roman" w:hAnsi="Times New Roman" w:cs="Times New Roman"/>
          <w:sz w:val="24"/>
          <w:szCs w:val="24"/>
        </w:rPr>
        <w:t xml:space="preserve">meet their necessary and ordinary living expenses due to the withholding of their monthly payment(s), </w:t>
      </w:r>
      <w:r w:rsidRPr="00A270C6" w:rsidR="005C01D5">
        <w:rPr>
          <w:rFonts w:ascii="Times New Roman" w:hAnsi="Times New Roman" w:cs="Times New Roman"/>
          <w:sz w:val="24"/>
          <w:szCs w:val="24"/>
        </w:rPr>
        <w:t xml:space="preserve">SSA informs the overpaid individual of the availability of a different rate of overpayment withholding but no less than $10 per month. </w:t>
      </w:r>
      <w:r w:rsidRPr="00A270C6">
        <w:rPr>
          <w:rFonts w:ascii="Times New Roman" w:hAnsi="Times New Roman" w:cs="Times New Roman"/>
          <w:sz w:val="24"/>
          <w:szCs w:val="24"/>
        </w:rPr>
        <w:t xml:space="preserve"> </w:t>
      </w:r>
      <w:r w:rsidRPr="00A270C6" w:rsidR="005C01D5">
        <w:rPr>
          <w:rFonts w:ascii="Times New Roman" w:hAnsi="Times New Roman" w:cs="Times New Roman"/>
          <w:sz w:val="24"/>
          <w:szCs w:val="24"/>
        </w:rPr>
        <w:t xml:space="preserve">When a negotiated monthly rate of withholding would not permit recovery of the overpayment within 36 months, the individual must complete form SSA-634, Request for Change in Overpayment Recovery Rate. </w:t>
      </w:r>
      <w:r w:rsidRPr="00A270C6">
        <w:rPr>
          <w:rFonts w:ascii="Times New Roman" w:hAnsi="Times New Roman" w:cs="Times New Roman"/>
          <w:sz w:val="24"/>
          <w:szCs w:val="24"/>
        </w:rPr>
        <w:t xml:space="preserve"> </w:t>
      </w:r>
      <w:r w:rsidRPr="00A270C6" w:rsidR="005C01D5">
        <w:rPr>
          <w:rFonts w:ascii="Times New Roman" w:hAnsi="Times New Roman" w:cs="Times New Roman"/>
          <w:sz w:val="24"/>
          <w:szCs w:val="24"/>
        </w:rPr>
        <w:t xml:space="preserve">This authority is in </w:t>
      </w:r>
      <w:r w:rsidRPr="00A270C6" w:rsidR="005C01D5">
        <w:rPr>
          <w:rFonts w:ascii="Times New Roman" w:hAnsi="Times New Roman" w:cs="Times New Roman"/>
          <w:i/>
          <w:sz w:val="24"/>
          <w:szCs w:val="24"/>
        </w:rPr>
        <w:t>20</w:t>
      </w:r>
      <w:r w:rsidRPr="00A270C6">
        <w:rPr>
          <w:rFonts w:ascii="Times New Roman" w:hAnsi="Times New Roman" w:cs="Times New Roman"/>
          <w:i/>
          <w:sz w:val="24"/>
          <w:szCs w:val="24"/>
        </w:rPr>
        <w:t> </w:t>
      </w:r>
      <w:r w:rsidRPr="00A270C6" w:rsidR="005C01D5">
        <w:rPr>
          <w:rFonts w:ascii="Times New Roman" w:hAnsi="Times New Roman" w:cs="Times New Roman"/>
          <w:i/>
          <w:sz w:val="24"/>
          <w:szCs w:val="24"/>
        </w:rPr>
        <w:t>CFR</w:t>
      </w:r>
      <w:r w:rsidRPr="00A270C6">
        <w:rPr>
          <w:rFonts w:ascii="Times New Roman" w:hAnsi="Times New Roman" w:cs="Times New Roman"/>
          <w:i/>
          <w:sz w:val="24"/>
          <w:szCs w:val="24"/>
        </w:rPr>
        <w:t> </w:t>
      </w:r>
      <w:r w:rsidRPr="00A270C6" w:rsidR="005C01D5">
        <w:rPr>
          <w:rFonts w:ascii="Times New Roman" w:hAnsi="Times New Roman" w:cs="Times New Roman"/>
          <w:i/>
          <w:sz w:val="24"/>
          <w:szCs w:val="24"/>
        </w:rPr>
        <w:t>404.502 and 20 CFR 416.571</w:t>
      </w:r>
      <w:r w:rsidRPr="00A270C6" w:rsidR="005C01D5">
        <w:rPr>
          <w:rFonts w:ascii="Times New Roman" w:hAnsi="Times New Roman" w:cs="Times New Roman"/>
          <w:sz w:val="24"/>
          <w:szCs w:val="24"/>
        </w:rPr>
        <w:t xml:space="preserve">. This form documents the overpaid individual’s income, assets, and expenses in order to justify the negotiated monthly withholding rate.    </w:t>
      </w:r>
    </w:p>
    <w:p w:rsidR="000936A5" w:rsidRPr="00A270C6" w:rsidP="000936A5" w14:paraId="4017396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2F3A" w:rsidRPr="00A270C6" w:rsidP="000936A5" w14:paraId="5EFECA8F" w14:textId="210E4C39">
      <w:pPr>
        <w:spacing w:after="0" w:line="240" w:lineRule="auto"/>
        <w:contextualSpacing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A270C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Revision to the SSA-634:</w:t>
      </w:r>
    </w:p>
    <w:p w:rsidR="000936A5" w:rsidRPr="00A270C6" w:rsidP="000936A5" w14:paraId="5CA79942" w14:textId="77777777">
      <w:pPr>
        <w:pStyle w:val="Heading2"/>
        <w:spacing w:before="0" w:line="240" w:lineRule="auto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1" w:name="_Hlk136952790"/>
    </w:p>
    <w:p w:rsidR="00132F3A" w:rsidRPr="00A270C6" w:rsidP="00D533C4" w14:paraId="613BC45E" w14:textId="35401E58">
      <w:pPr>
        <w:pStyle w:val="Heading2"/>
        <w:spacing w:before="0" w:line="240" w:lineRule="auto"/>
        <w:ind w:left="720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A270C6">
        <w:rPr>
          <w:rFonts w:ascii="Times New Roman" w:hAnsi="Times New Roman" w:cs="Times New Roman"/>
          <w:b/>
          <w:bCs/>
          <w:color w:val="auto"/>
          <w:sz w:val="24"/>
          <w:szCs w:val="24"/>
        </w:rPr>
        <w:t>Change:</w:t>
      </w:r>
      <w:bookmarkEnd w:id="1"/>
      <w:r w:rsidRPr="00A270C6" w:rsidR="000936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Pr="00A270C6">
        <w:rPr>
          <w:rFonts w:ascii="Times New Roman" w:hAnsi="Times New Roman" w:cs="Times New Roman"/>
          <w:bCs/>
          <w:snapToGrid w:val="0"/>
          <w:color w:val="auto"/>
          <w:sz w:val="24"/>
          <w:szCs w:val="24"/>
        </w:rPr>
        <w:t>We are removing the signature</w:t>
      </w:r>
      <w:r w:rsidRPr="00A270C6" w:rsidR="00DC1E28">
        <w:rPr>
          <w:rFonts w:ascii="Times New Roman" w:hAnsi="Times New Roman" w:cs="Times New Roman"/>
          <w:bCs/>
          <w:snapToGrid w:val="0"/>
          <w:color w:val="auto"/>
          <w:sz w:val="24"/>
          <w:szCs w:val="24"/>
        </w:rPr>
        <w:t xml:space="preserve"> requirement from the</w:t>
      </w:r>
      <w:r w:rsidRPr="00A270C6">
        <w:rPr>
          <w:rFonts w:ascii="Times New Roman" w:hAnsi="Times New Roman" w:cs="Times New Roman"/>
          <w:bCs/>
          <w:snapToGrid w:val="0"/>
          <w:color w:val="auto"/>
          <w:sz w:val="24"/>
          <w:szCs w:val="24"/>
        </w:rPr>
        <w:t xml:space="preserve"> </w:t>
      </w:r>
      <w:r w:rsidRPr="00A270C6" w:rsidR="0066607D">
        <w:rPr>
          <w:rFonts w:ascii="Times New Roman" w:hAnsi="Times New Roman" w:cs="Times New Roman"/>
          <w:bCs/>
          <w:snapToGrid w:val="0"/>
          <w:color w:val="auto"/>
          <w:sz w:val="24"/>
          <w:szCs w:val="24"/>
        </w:rPr>
        <w:t>form</w:t>
      </w:r>
      <w:r w:rsidRPr="00A270C6">
        <w:rPr>
          <w:rFonts w:ascii="Times New Roman" w:hAnsi="Times New Roman" w:cs="Times New Roman"/>
          <w:bCs/>
          <w:snapToGrid w:val="0"/>
          <w:color w:val="auto"/>
          <w:sz w:val="24"/>
          <w:szCs w:val="24"/>
        </w:rPr>
        <w:t>.</w:t>
      </w:r>
    </w:p>
    <w:p w:rsidR="005C01D5" w:rsidRPr="00A270C6" w:rsidP="00D533C4" w14:paraId="693D8FCC" w14:textId="77777777">
      <w:pPr>
        <w:spacing w:after="0" w:line="240" w:lineRule="auto"/>
        <w:ind w:left="720"/>
        <w:contextualSpacing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:rsidR="00C37DD6" w:rsidRPr="00A270C6" w:rsidP="00D533C4" w14:paraId="5D7CF6BA" w14:textId="1C6DD9A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A270C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Justification:</w:t>
      </w:r>
      <w:r w:rsidRPr="00A270C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270C6" w:rsidR="000936A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270C6">
        <w:rPr>
          <w:rFonts w:ascii="Times New Roman" w:hAnsi="Times New Roman" w:cs="Times New Roman"/>
          <w:sz w:val="24"/>
          <w:szCs w:val="24"/>
        </w:rPr>
        <w:t xml:space="preserve">We are making this change to comply with </w:t>
      </w:r>
      <w:r w:rsidRPr="00A270C6" w:rsidR="008B3FE0">
        <w:rPr>
          <w:rFonts w:ascii="Times New Roman" w:hAnsi="Times New Roman" w:cs="Times New Roman"/>
          <w:sz w:val="24"/>
          <w:szCs w:val="24"/>
        </w:rPr>
        <w:t xml:space="preserve">the </w:t>
      </w:r>
      <w:r w:rsidRPr="00A270C6">
        <w:rPr>
          <w:rFonts w:ascii="Times New Roman" w:hAnsi="Times New Roman" w:cs="Times New Roman"/>
          <w:sz w:val="24"/>
          <w:szCs w:val="24"/>
        </w:rPr>
        <w:t xml:space="preserve">commitment </w:t>
      </w:r>
      <w:r w:rsidRPr="00A270C6" w:rsidR="008B3FE0">
        <w:rPr>
          <w:rFonts w:ascii="Times New Roman" w:hAnsi="Times New Roman" w:cs="Times New Roman"/>
          <w:sz w:val="24"/>
          <w:szCs w:val="24"/>
        </w:rPr>
        <w:t>of</w:t>
      </w:r>
      <w:r w:rsidRPr="00A270C6">
        <w:rPr>
          <w:rFonts w:ascii="Times New Roman" w:hAnsi="Times New Roman" w:cs="Times New Roman"/>
          <w:sz w:val="24"/>
          <w:szCs w:val="24"/>
        </w:rPr>
        <w:t xml:space="preserve"> the </w:t>
      </w:r>
      <w:hyperlink r:id="rId4" w:history="1">
        <w:r w:rsidRPr="00A270C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Executive Order (EO) 14058</w:t>
        </w:r>
      </w:hyperlink>
      <w:r w:rsidRPr="00A270C6" w:rsidR="008B3F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270C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270C6" w:rsidR="008B3FE0">
        <w:rPr>
          <w:rFonts w:ascii="Times New Roman" w:hAnsi="Times New Roman" w:cs="Times New Roman"/>
          <w:sz w:val="24"/>
          <w:szCs w:val="24"/>
          <w:shd w:val="clear" w:color="auto" w:fill="FFFFFF"/>
        </w:rPr>
        <w:t>which includes removing requirements that members of the public provide physical signatures</w:t>
      </w:r>
      <w:r w:rsidRPr="00A270C6">
        <w:rPr>
          <w:rFonts w:ascii="Times New Roman" w:hAnsi="Times New Roman" w:cs="Times New Roman"/>
          <w:sz w:val="24"/>
          <w:szCs w:val="24"/>
        </w:rPr>
        <w:t>.</w:t>
      </w:r>
    </w:p>
    <w:p w:rsidR="00D533C4" w:rsidRPr="00A270C6" w:rsidP="00D533C4" w14:paraId="5A26F596" w14:textId="77777777">
      <w:pPr>
        <w:spacing w:after="0" w:line="240" w:lineRule="auto"/>
        <w:contextualSpacing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533C4" w:rsidRPr="00A270C6" w:rsidP="00D533C4" w14:paraId="3D4492D8" w14:textId="4362A8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70C6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SSA will implement this change upon OMB approval.</w:t>
      </w:r>
      <w:r w:rsidRPr="00A270C6">
        <w:rPr>
          <w:rFonts w:ascii="Times New Roman" w:hAnsi="Times New Roman" w:cs="Times New Roman"/>
          <w:sz w:val="24"/>
          <w:szCs w:val="24"/>
        </w:rPr>
        <w:t xml:space="preserve">  This change does not affect the public reporting burden.</w:t>
      </w:r>
    </w:p>
    <w:p w:rsidR="000936A5" w:rsidRPr="00A270C6" w:rsidP="000936A5" w14:paraId="6D9B24E8" w14:textId="0B9894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20D8" w:rsidRPr="00A270C6" w:rsidP="000936A5" w14:paraId="55557BAD" w14:textId="77777777">
      <w:pPr>
        <w:spacing w:after="0" w:line="240" w:lineRule="auto"/>
        <w:contextualSpacing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A270C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Terms of Clearance</w:t>
      </w:r>
    </w:p>
    <w:p w:rsidR="008320D8" w:rsidRPr="00A270C6" w:rsidP="00B374B4" w14:paraId="1DAFAE88" w14:textId="5FA78A8B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r w:rsidRPr="00A270C6">
        <w:rPr>
          <w:rFonts w:ascii="Times New Roman" w:hAnsi="Times New Roman" w:cs="Times New Roman"/>
          <w:snapToGrid w:val="0"/>
          <w:sz w:val="24"/>
          <w:szCs w:val="24"/>
        </w:rPr>
        <w:t xml:space="preserve">OMB placed the following Terms of Clearance on this Information Collection when they approved it on </w:t>
      </w:r>
      <w:r w:rsidRPr="00A270C6" w:rsidR="00427E9A">
        <w:rPr>
          <w:rFonts w:ascii="Times New Roman" w:hAnsi="Times New Roman" w:cs="Times New Roman"/>
          <w:snapToGrid w:val="0"/>
          <w:sz w:val="24"/>
          <w:szCs w:val="24"/>
        </w:rPr>
        <w:t>September 12, 2023</w:t>
      </w:r>
      <w:r w:rsidRPr="00A270C6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B374B4" w:rsidRPr="00A270C6" w:rsidP="00B374B4" w14:paraId="397AE876" w14:textId="77777777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</w:p>
    <w:p w:rsidR="00F91385" w:rsidP="00F91385" w14:paraId="2B43D9C9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The agency 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made revisions to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the form to further reduce burden on respondents, including through removing certain questions, adding a q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uestion related to administrative tolerance (under 20 CFR 416.555) and aligning how it collects and uses active SSI receipt to support determinations under 20 CFR 416.553. 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The agency will complete an additional ICR revision and initiate the process throu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gh a Federal Register sixty-day notice no later than December 12, 2023. In the sixty-day Federal Register notice, the agency will specifically solicit feedback on: </w:t>
      </w:r>
    </w:p>
    <w:p w:rsidR="00F91385" w:rsidP="00F91385" w14:paraId="5008EE9F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7411CED6" w14:textId="66F7F68A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How it can most effectively ask questions related to determining whether or not a resp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ondent is “without fault” in a manner that is minimally burdensome. The agency will specifically seek comment on replacing the free-form response option ("Tells us what you know about why the overpayment may have happened.") with a set of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structured respon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ses options intended to reflect common reasons related to a failure to timely report a change to the agency.  Response options the agency should take comment on should include, but not be limited to: </w:t>
      </w:r>
    </w:p>
    <w:p w:rsidR="00F91385" w:rsidP="00F91385" w14:paraId="51B9FAF3" w14:textId="760EA8C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1E14336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"•  I did not know that I needed to report the change that SSA says caused the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overpayment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F91385" w:rsidP="00F91385" w14:paraId="0803CB83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14A307B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I did not know about the change that SSA says caused the overpayment </w:t>
      </w:r>
    </w:p>
    <w:p w:rsidR="00F91385" w:rsidP="00F91385" w14:paraId="4D6B5730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29FC9B4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I did not believe it was a significant enough change to report. </w:t>
      </w:r>
    </w:p>
    <w:p w:rsidR="00F91385" w:rsidP="00F91385" w14:paraId="5ADD367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737FB7B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I knew that I was supposed to report the change but chose not to report it. 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</w:p>
    <w:p w:rsidR="00F91385" w:rsidP="00F91385" w14:paraId="05B6E52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I thought I reported the change, or I tried to report the change but was unable to. 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</w:p>
    <w:p w:rsidR="00F91385" w:rsidP="00F91385" w14:paraId="5482F47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I do not believe SSA is correct that there was a change. </w:t>
      </w:r>
    </w:p>
    <w:p w:rsidR="00F91385" w:rsidP="00F91385" w14:paraId="3EEA7D5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44D8085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I forgot to report the change. </w:t>
      </w:r>
    </w:p>
    <w:p w:rsidR="00F91385" w:rsidP="00F91385" w14:paraId="2EC5BEB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7333222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•  I don’t know.</w:t>
      </w:r>
    </w:p>
    <w:p w:rsidR="00F91385" w:rsidP="00F91385" w14:paraId="0BB2865E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RPr="00A270C6" w:rsidP="00F91385" w14:paraId="5AD9873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•  Other" </w:t>
      </w:r>
    </w:p>
    <w:p w:rsidR="00F91385" w:rsidP="00F91385" w14:paraId="2B6D034E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2786B65C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302B9E66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Whether, consistent with SSA’s regulations, it is necessary or whether there is a better way to ask about the respondent the "reason" (current question 2, part 2 of the SSA-632) they are requesting an overpaym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ent waiver. </w:t>
      </w:r>
    </w:p>
    <w:p w:rsidR="00F91385" w:rsidP="00F91385" w14:paraId="09DFA4CA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5BE06697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How it can revise the form, associated notice, or agency business processes to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most effectively facilitate minimally burdensome collection requirements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under its administrative waiver policy. </w:t>
      </w:r>
    </w:p>
    <w:p w:rsidR="00F91385" w:rsidRPr="00F91385" w:rsidP="00F91385" w14:paraId="4ACC85B2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2686B356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How it can revise the form, associated notice, or agency business processes to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most effectively facilitate minimally burdensome collection requirements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for individuals whose overpayment is the result of receipt of benefits under the statutory benefits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continuation policy (after having pursued an appeal in good faith) </w:t>
      </w:r>
    </w:p>
    <w:p w:rsidR="00F91385" w:rsidRPr="00F91385" w:rsidP="00F91385" w14:paraId="189ABD0A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63169D41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Other suggestions for improving the design or communication on the form or associated notices to reduce burden on respondents. </w:t>
      </w:r>
    </w:p>
    <w:p w:rsidR="00F91385" w:rsidRPr="00F91385" w:rsidP="00F91385" w14:paraId="759BB953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69873157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Whether it should provide a mechanism on the form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to allow for respondents to jointly request a reconsideration and a waiver on the same form. </w:t>
      </w:r>
    </w:p>
    <w:p w:rsidR="00F91385" w:rsidRPr="00F91385" w:rsidP="00F91385" w14:paraId="027CCBCC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4ED22745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Whether there are less burdensome ways to ask respondents about the expenses they incur, or whether there are alternative mechanisms for ascertaining or aski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ng 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whether or not a claimant uses their income for ordinary and necessary living expenses. </w:t>
      </w:r>
    </w:p>
    <w:p w:rsidR="00F91385" w:rsidRPr="00F91385" w:rsidP="00F91385" w14:paraId="6F396857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4FF978DF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Whether or not documentation should be required for expenses when an individual’s alleged expenses are not unusually high. </w:t>
      </w:r>
    </w:p>
    <w:p w:rsidR="00F91385" w:rsidRPr="00F91385" w:rsidP="00F91385" w14:paraId="309ED0A4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91385" w:rsidP="00F91385" w14:paraId="46AB762B" w14:textId="7777777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Whether or not there are parti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cular payment rules that, in the experience of the commenter, are particularly difficult to timely comply with or understand, resulting in overpayments. </w:t>
      </w:r>
    </w:p>
    <w:p w:rsidR="00F91385" w:rsidRPr="00F91385" w:rsidP="00F91385" w14:paraId="3AE11E5F" w14:textId="77777777">
      <w:pPr>
        <w:pStyle w:val="ListParagrap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B374B4" w:rsidRPr="00F91385" w:rsidP="00F91385" w14:paraId="09B0E377" w14:textId="72306BFB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Whether or not the agency’s burden estimate of 120 minutes accurately reflects the beginning-to-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end quantified time burden associated with this form, which may include reviewing and comprehending relevant notices; reading and understanding instructions; tracking down records and documentation; filling out the form; consulting with any third parties t</w:t>
      </w:r>
      <w:r w:rsidRPr="00F9138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 help navigate form requirements (to include time spent by third-parties separate from the respondent’s time spent); and travel associated with the collection.</w:t>
      </w:r>
    </w:p>
    <w:p w:rsidR="00B374B4" w:rsidRPr="00A270C6" w:rsidP="00B374B4" w14:paraId="1F973BE2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8320D8" w:rsidRPr="00A270C6" w:rsidP="00B374B4" w14:paraId="59A3C3FD" w14:textId="07E102FB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 revising the ICR a further time, the agency will also re-evaluate the time burden of comple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ting the information collection, lending due weight to recent public comments that estimate this burden. 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  <w:t>Finally, the agency will work collaboratively with OMB to develop a redesigned overpayment notice this fall with an objective of more clearly and con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cisely explaining available recourses to respondents consistent with human-centered design best practices. In developing this notice, the agency will also consider how to include in the notice specific information regarding how each payment rule relevant t</w:t>
      </w:r>
      <w:r w:rsidRPr="00A270C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 the beneficiary’s total payment amount contributed to the overall determination of the revised payment amount for each month the claimant was overpaid.</w:t>
      </w:r>
    </w:p>
    <w:p w:rsidR="00B374B4" w:rsidRPr="00A270C6" w:rsidP="00B374B4" w14:paraId="5E3BFB4C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8320D8" w:rsidRPr="00F91385" w:rsidP="00B374B4" w14:paraId="4E08A78A" w14:textId="2C5CCF29">
      <w:pPr>
        <w:spacing w:after="0" w:line="240" w:lineRule="auto"/>
        <w:contextualSpacing/>
        <w:rPr>
          <w:rFonts w:ascii="Times New Roman" w:hAnsi="Times New Roman" w:cs="Times New Roman"/>
          <w:bCs/>
          <w:snapToGrid w:val="0"/>
          <w:color w:val="0000CC"/>
          <w:sz w:val="24"/>
          <w:szCs w:val="24"/>
        </w:rPr>
      </w:pPr>
      <w:r w:rsidRPr="00F91385">
        <w:rPr>
          <w:rFonts w:ascii="Times New Roman" w:hAnsi="Times New Roman" w:cs="Times New Roman"/>
          <w:b/>
          <w:bCs/>
          <w:snapToGrid w:val="0"/>
          <w:color w:val="0000CC"/>
          <w:sz w:val="24"/>
          <w:szCs w:val="24"/>
        </w:rPr>
        <w:t>SSA Response:</w:t>
      </w:r>
      <w:r w:rsidRPr="00F91385">
        <w:rPr>
          <w:rFonts w:ascii="Times New Roman" w:hAnsi="Times New Roman" w:cs="Times New Roman"/>
          <w:snapToGrid w:val="0"/>
          <w:color w:val="0000CC"/>
          <w:sz w:val="24"/>
          <w:szCs w:val="24"/>
        </w:rPr>
        <w:t xml:space="preserve">  SSA </w:t>
      </w:r>
      <w:r w:rsidRPr="00F91385" w:rsidR="00427E9A">
        <w:rPr>
          <w:rFonts w:ascii="Times New Roman" w:hAnsi="Times New Roman" w:cs="Times New Roman"/>
          <w:snapToGrid w:val="0"/>
          <w:color w:val="0000CC"/>
          <w:sz w:val="24"/>
          <w:szCs w:val="24"/>
        </w:rPr>
        <w:t xml:space="preserve">is still working to address the </w:t>
      </w:r>
      <w:r w:rsidRPr="00F91385" w:rsidR="00B374B4">
        <w:rPr>
          <w:rFonts w:ascii="Times New Roman" w:hAnsi="Times New Roman" w:cs="Times New Roman"/>
          <w:snapToGrid w:val="0"/>
          <w:color w:val="0000CC"/>
          <w:sz w:val="24"/>
          <w:szCs w:val="24"/>
        </w:rPr>
        <w:t xml:space="preserve">September 2023 </w:t>
      </w:r>
      <w:r w:rsidRPr="00F91385" w:rsidR="00427E9A">
        <w:rPr>
          <w:rFonts w:ascii="Times New Roman" w:hAnsi="Times New Roman" w:cs="Times New Roman"/>
          <w:snapToGrid w:val="0"/>
          <w:color w:val="0000CC"/>
          <w:sz w:val="24"/>
          <w:szCs w:val="24"/>
        </w:rPr>
        <w:t>Terms of Clearance</w:t>
      </w:r>
      <w:r>
        <w:rPr>
          <w:rFonts w:ascii="Times New Roman" w:hAnsi="Times New Roman" w:cs="Times New Roman"/>
          <w:snapToGrid w:val="0"/>
          <w:color w:val="0000CC"/>
          <w:sz w:val="24"/>
          <w:szCs w:val="24"/>
        </w:rPr>
        <w:t>.  We are asking for approval to remove the signature requirement first; however, as we believe it will have immediate benefits for the respondents</w:t>
      </w:r>
      <w:r w:rsidRPr="00F91385" w:rsidR="00427E9A">
        <w:rPr>
          <w:rFonts w:ascii="Times New Roman" w:hAnsi="Times New Roman" w:cs="Times New Roman"/>
          <w:snapToGrid w:val="0"/>
          <w:color w:val="0000CC"/>
          <w:sz w:val="24"/>
          <w:szCs w:val="24"/>
        </w:rPr>
        <w:t>.</w:t>
      </w:r>
    </w:p>
    <w:p w:rsidR="008320D8" w:rsidRPr="00A270C6" w:rsidP="000936A5" w14:paraId="725AEA97" w14:textId="77777777">
      <w:pPr>
        <w:spacing w:after="0" w:line="240" w:lineRule="auto"/>
        <w:contextualSpacing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</w:p>
    <w:p w:rsidR="000936A5" w:rsidRPr="00A270C6" w:rsidP="000936A5" w14:paraId="680458D6" w14:textId="4B768A97">
      <w:pPr>
        <w:spacing w:after="0" w:line="240" w:lineRule="auto"/>
        <w:contextualSpacing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A270C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Resubmission of the Collection within One Year of OMB Approval</w:t>
      </w:r>
    </w:p>
    <w:p w:rsidR="000936A5" w:rsidRPr="00A270C6" w:rsidP="000936A5" w14:paraId="778C9A32" w14:textId="7293EF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6A5" w:rsidRPr="00A270C6" w:rsidP="000936A5" w14:paraId="30493EEC" w14:textId="61B9C7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70C6">
        <w:rPr>
          <w:rFonts w:ascii="Times New Roman" w:hAnsi="Times New Roman" w:cs="Times New Roman"/>
          <w:snapToGrid w:val="0"/>
          <w:sz w:val="24"/>
          <w:szCs w:val="24"/>
        </w:rPr>
        <w:t xml:space="preserve">As previously indicated, SSA is submitting the non-substantive change within one year of OMB Approval.  </w:t>
      </w:r>
      <w:r w:rsidRPr="00A270C6">
        <w:rPr>
          <w:rFonts w:ascii="Times New Roman" w:hAnsi="Times New Roman" w:cs="Times New Roman"/>
          <w:sz w:val="24"/>
          <w:szCs w:val="24"/>
        </w:rPr>
        <w:t>This change is rooted in recent Executive Order 14058</w:t>
      </w:r>
      <w:r w:rsidRPr="00A270C6" w:rsidR="00B374B4">
        <w:rPr>
          <w:rFonts w:ascii="Times New Roman" w:hAnsi="Times New Roman" w:cs="Times New Roman"/>
          <w:sz w:val="24"/>
          <w:szCs w:val="24"/>
        </w:rPr>
        <w:t>,</w:t>
      </w:r>
      <w:r w:rsidRPr="00A270C6">
        <w:rPr>
          <w:rFonts w:ascii="Times New Roman" w:hAnsi="Times New Roman" w:cs="Times New Roman"/>
          <w:sz w:val="24"/>
          <w:szCs w:val="24"/>
        </w:rPr>
        <w:t xml:space="preserve"> which was effective after the Oct</w:t>
      </w:r>
      <w:r w:rsidRPr="00A270C6">
        <w:rPr>
          <w:rFonts w:ascii="Times New Roman" w:hAnsi="Times New Roman" w:cs="Times New Roman"/>
          <w:sz w:val="24"/>
          <w:szCs w:val="24"/>
        </w:rPr>
        <w:t xml:space="preserve">ober 2021 submission </w:t>
      </w:r>
      <w:r w:rsidRPr="00A270C6" w:rsidR="0077598F">
        <w:rPr>
          <w:rFonts w:ascii="Times New Roman" w:hAnsi="Times New Roman" w:cs="Times New Roman"/>
          <w:sz w:val="24"/>
          <w:szCs w:val="24"/>
        </w:rPr>
        <w:t xml:space="preserve">to OMB. </w:t>
      </w:r>
    </w:p>
    <w:p w:rsidR="0077598F" w:rsidRPr="00A270C6" w:rsidP="000936A5" w14:paraId="6FBB412B" w14:textId="7DC012D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6A5" w:rsidRPr="00A270C6" w:rsidP="000936A5" w14:paraId="06A1829F" w14:textId="77777777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C75E37"/>
    <w:multiLevelType w:val="hybridMultilevel"/>
    <w:tmpl w:val="41E8C18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9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D5"/>
    <w:rsid w:val="000936A5"/>
    <w:rsid w:val="0009656D"/>
    <w:rsid w:val="00132F3A"/>
    <w:rsid w:val="00427E9A"/>
    <w:rsid w:val="005C01D5"/>
    <w:rsid w:val="0066607D"/>
    <w:rsid w:val="00716DF9"/>
    <w:rsid w:val="0077598F"/>
    <w:rsid w:val="008320D8"/>
    <w:rsid w:val="008B3FE0"/>
    <w:rsid w:val="00A270C6"/>
    <w:rsid w:val="00AB0C46"/>
    <w:rsid w:val="00B374B4"/>
    <w:rsid w:val="00C37DD6"/>
    <w:rsid w:val="00C404DD"/>
    <w:rsid w:val="00D533C4"/>
    <w:rsid w:val="00DB29E0"/>
    <w:rsid w:val="00DC1E28"/>
    <w:rsid w:val="00DC5239"/>
    <w:rsid w:val="00E1351C"/>
    <w:rsid w:val="00E6285E"/>
    <w:rsid w:val="00F7745C"/>
    <w:rsid w:val="00F91385"/>
    <w:rsid w:val="00FC5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CC6796"/>
  <w15:chartTrackingRefBased/>
  <w15:docId w15:val="{C1572D2C-46A2-4C11-924D-FC528B63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1D5"/>
  </w:style>
  <w:style w:type="paragraph" w:styleId="Heading1">
    <w:name w:val="heading 1"/>
    <w:basedOn w:val="Normal"/>
    <w:next w:val="Normal"/>
    <w:link w:val="Heading1Char"/>
    <w:uiPriority w:val="9"/>
    <w:qFormat/>
    <w:rsid w:val="005C0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1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01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xBrp1">
    <w:name w:val="TxBr_p1"/>
    <w:basedOn w:val="Normal"/>
    <w:rsid w:val="005C01D5"/>
    <w:pPr>
      <w:widowControl w:val="0"/>
      <w:tabs>
        <w:tab w:val="left" w:pos="204"/>
      </w:tabs>
      <w:autoSpaceDE w:val="0"/>
      <w:autoSpaceDN w:val="0"/>
      <w:adjustRightInd w:val="0"/>
      <w:spacing w:after="0" w:line="34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DD6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C37DD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3F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0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hitehouse.gov/briefing-room/presidential-actions/2021/12/13/executive-order-on-transforming-federal-customer-experience-and-service-delivery-to-rebuild-trust-in-government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Woodson, Yvette</dc:creator>
  <cp:lastModifiedBy>OLCA Comment</cp:lastModifiedBy>
  <cp:revision>2</cp:revision>
  <dcterms:created xsi:type="dcterms:W3CDTF">2023-11-22T18:50:00Z</dcterms:created>
  <dcterms:modified xsi:type="dcterms:W3CDTF">2023-11-22T18:50:00Z</dcterms:modified>
</cp:coreProperties>
</file>