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AC74F2" w:rsidR="00CC68B2" w:rsidP="009A7FB3" w:rsidRDefault="00CC68B2" w14:paraId="0F309B37" w14:textId="77777777">
      <w:pPr>
        <w:jc w:val="center"/>
        <w:rPr>
          <w:b/>
          <w:bCs/>
          <w:sz w:val="28"/>
          <w:szCs w:val="28"/>
        </w:rPr>
      </w:pPr>
      <w:bookmarkStart w:name="_Toc151782175" w:id="0"/>
      <w:bookmarkStart w:name="_Toc158526215" w:id="1"/>
      <w:r w:rsidRPr="00AC74F2">
        <w:rPr>
          <w:b/>
          <w:bCs/>
          <w:sz w:val="28"/>
          <w:szCs w:val="28"/>
        </w:rPr>
        <w:t>SUPPORTING STATEMENT</w:t>
      </w:r>
    </w:p>
    <w:p w:rsidRPr="00AC74F2" w:rsidR="00CC68B2" w:rsidP="00CC68B2" w:rsidRDefault="00CC68B2" w14:paraId="56BF4673" w14:textId="77777777">
      <w:pPr>
        <w:jc w:val="center"/>
        <w:rPr>
          <w:b/>
          <w:sz w:val="28"/>
          <w:szCs w:val="28"/>
        </w:rPr>
      </w:pPr>
    </w:p>
    <w:p w:rsidRPr="00AC74F2" w:rsidR="00CC68B2" w:rsidP="00CC68B2" w:rsidRDefault="00CC68B2" w14:paraId="02FE8FD5" w14:textId="77777777">
      <w:pPr>
        <w:jc w:val="center"/>
        <w:rPr>
          <w:sz w:val="28"/>
          <w:szCs w:val="28"/>
        </w:rPr>
      </w:pPr>
      <w:r w:rsidRPr="00AC74F2">
        <w:rPr>
          <w:b/>
          <w:sz w:val="28"/>
          <w:szCs w:val="28"/>
        </w:rPr>
        <w:t>Part A</w:t>
      </w:r>
    </w:p>
    <w:p w:rsidRPr="00AC74F2" w:rsidR="00CC68B2" w:rsidP="00CC68B2" w:rsidRDefault="00CC68B2" w14:paraId="7AE0A0FD" w14:textId="77777777">
      <w:pPr>
        <w:jc w:val="center"/>
        <w:rPr>
          <w:sz w:val="28"/>
          <w:szCs w:val="28"/>
        </w:rPr>
      </w:pPr>
    </w:p>
    <w:p w:rsidRPr="00AC74F2" w:rsidR="00CC68B2" w:rsidP="00CC68B2" w:rsidRDefault="00CC68B2" w14:paraId="168CF61D" w14:textId="77777777">
      <w:pPr>
        <w:jc w:val="center"/>
        <w:rPr>
          <w:sz w:val="28"/>
          <w:szCs w:val="28"/>
        </w:rPr>
      </w:pPr>
    </w:p>
    <w:p w:rsidRPr="00AC74F2" w:rsidR="00CC68B2" w:rsidP="00CC68B2" w:rsidRDefault="00CC68B2" w14:paraId="38CA65D1" w14:textId="77777777">
      <w:pPr>
        <w:jc w:val="center"/>
        <w:rPr>
          <w:sz w:val="28"/>
          <w:szCs w:val="28"/>
        </w:rPr>
      </w:pPr>
    </w:p>
    <w:p w:rsidRPr="00AC74F2" w:rsidR="00CC68B2" w:rsidP="00CC68B2" w:rsidRDefault="00CC68B2" w14:paraId="47B0CE01" w14:textId="77777777">
      <w:pPr>
        <w:jc w:val="center"/>
        <w:rPr>
          <w:sz w:val="28"/>
          <w:szCs w:val="28"/>
        </w:rPr>
      </w:pPr>
    </w:p>
    <w:p w:rsidRPr="00AC74F2" w:rsidR="00CC68B2" w:rsidP="00CC68B2" w:rsidRDefault="00CC68B2" w14:paraId="64DBD65A" w14:textId="77777777">
      <w:pPr>
        <w:jc w:val="center"/>
        <w:rPr>
          <w:sz w:val="28"/>
          <w:szCs w:val="28"/>
        </w:rPr>
      </w:pPr>
    </w:p>
    <w:p w:rsidRPr="00AC74F2" w:rsidR="00CC68B2" w:rsidP="00CC68B2" w:rsidRDefault="00CC68B2" w14:paraId="60BB1A4D" w14:textId="77777777">
      <w:pPr>
        <w:jc w:val="center"/>
        <w:rPr>
          <w:sz w:val="28"/>
          <w:szCs w:val="28"/>
        </w:rPr>
      </w:pPr>
    </w:p>
    <w:p w:rsidRPr="00AC74F2" w:rsidR="00CC68B2" w:rsidP="00CC68B2" w:rsidRDefault="00CC68B2" w14:paraId="04ECF37D" w14:textId="77777777">
      <w:pPr>
        <w:rPr>
          <w:bCs/>
          <w:sz w:val="44"/>
          <w:szCs w:val="44"/>
        </w:rPr>
      </w:pPr>
    </w:p>
    <w:p w:rsidRPr="00AC74F2" w:rsidR="00EB5F19" w:rsidP="00EB5F19" w:rsidRDefault="00EB5F19" w14:paraId="6C9B1B5F" w14:textId="77777777">
      <w:pPr>
        <w:jc w:val="center"/>
        <w:rPr>
          <w:b/>
          <w:bCs/>
          <w:sz w:val="28"/>
          <w:szCs w:val="28"/>
        </w:rPr>
      </w:pPr>
      <w:r w:rsidRPr="00AC74F2">
        <w:rPr>
          <w:b/>
          <w:bCs/>
          <w:sz w:val="28"/>
          <w:szCs w:val="28"/>
        </w:rPr>
        <w:t>AHRQ ECHO National Nursing Home COVID-19 Action Network</w:t>
      </w:r>
    </w:p>
    <w:p w:rsidRPr="00AC74F2" w:rsidR="00CC68B2" w:rsidP="00EB5F19" w:rsidRDefault="001F2F90" w14:paraId="0A53F8F6" w14:textId="563DCD6D">
      <w:pPr>
        <w:jc w:val="center"/>
        <w:rPr>
          <w:sz w:val="28"/>
          <w:szCs w:val="28"/>
        </w:rPr>
      </w:pPr>
      <w:r>
        <w:rPr>
          <w:b/>
          <w:bCs/>
          <w:sz w:val="28"/>
          <w:szCs w:val="28"/>
        </w:rPr>
        <w:t>Customer Satisfaction Survey – OMB # 0935-0179</w:t>
      </w:r>
    </w:p>
    <w:p w:rsidRPr="00AC74F2" w:rsidR="00CC68B2" w:rsidP="0010142D" w:rsidRDefault="00CC68B2" w14:paraId="5282B3A2" w14:textId="77777777">
      <w:pPr>
        <w:rPr>
          <w:sz w:val="28"/>
          <w:szCs w:val="28"/>
        </w:rPr>
      </w:pPr>
    </w:p>
    <w:p w:rsidRPr="00AC74F2" w:rsidR="00CC68B2" w:rsidP="00CC68B2" w:rsidRDefault="00CC68B2" w14:paraId="7B322584" w14:textId="77777777">
      <w:pPr>
        <w:jc w:val="center"/>
        <w:rPr>
          <w:sz w:val="28"/>
          <w:szCs w:val="28"/>
        </w:rPr>
      </w:pPr>
    </w:p>
    <w:p w:rsidRPr="00AC74F2" w:rsidR="00CC68B2" w:rsidP="00CC68B2" w:rsidRDefault="00016927" w14:paraId="4DD626B9" w14:textId="3D1FBA17">
      <w:pPr>
        <w:jc w:val="center"/>
        <w:rPr>
          <w:i/>
          <w:iCs/>
          <w:sz w:val="28"/>
          <w:szCs w:val="28"/>
        </w:rPr>
      </w:pPr>
      <w:r w:rsidRPr="00AC74F2">
        <w:rPr>
          <w:i/>
          <w:iCs/>
          <w:sz w:val="28"/>
          <w:szCs w:val="28"/>
        </w:rPr>
        <w:t xml:space="preserve">Submitted: </w:t>
      </w:r>
      <w:r w:rsidRPr="00AC74F2" w:rsidR="00EB5F19">
        <w:rPr>
          <w:i/>
          <w:iCs/>
          <w:sz w:val="28"/>
          <w:szCs w:val="28"/>
        </w:rPr>
        <w:t xml:space="preserve">March </w:t>
      </w:r>
      <w:r w:rsidRPr="00AC74F2">
        <w:rPr>
          <w:i/>
          <w:iCs/>
          <w:sz w:val="28"/>
          <w:szCs w:val="28"/>
        </w:rPr>
        <w:t>31</w:t>
      </w:r>
      <w:r w:rsidRPr="00AC74F2" w:rsidR="00EB5F19">
        <w:rPr>
          <w:i/>
          <w:iCs/>
          <w:sz w:val="28"/>
          <w:szCs w:val="28"/>
        </w:rPr>
        <w:t>, 2021</w:t>
      </w:r>
    </w:p>
    <w:p w:rsidRPr="00AC74F2" w:rsidR="00CC68B2" w:rsidP="00CC68B2" w:rsidRDefault="00CC68B2" w14:paraId="2B986518" w14:textId="77777777">
      <w:pPr>
        <w:jc w:val="center"/>
        <w:rPr>
          <w:i/>
          <w:sz w:val="28"/>
          <w:szCs w:val="28"/>
        </w:rPr>
      </w:pPr>
    </w:p>
    <w:p w:rsidRPr="00AC74F2" w:rsidR="00CC68B2" w:rsidP="00CC68B2" w:rsidRDefault="00CC68B2" w14:paraId="106B140D" w14:textId="77777777">
      <w:pPr>
        <w:jc w:val="center"/>
        <w:rPr>
          <w:sz w:val="28"/>
          <w:szCs w:val="28"/>
        </w:rPr>
      </w:pPr>
    </w:p>
    <w:p w:rsidRPr="00AC74F2" w:rsidR="00CC68B2" w:rsidP="00CC68B2" w:rsidRDefault="00CC68B2" w14:paraId="76ECF163" w14:textId="77777777">
      <w:pPr>
        <w:jc w:val="center"/>
        <w:rPr>
          <w:sz w:val="28"/>
          <w:szCs w:val="28"/>
        </w:rPr>
      </w:pPr>
    </w:p>
    <w:p w:rsidRPr="00AC74F2" w:rsidR="00CC68B2" w:rsidP="00CC68B2" w:rsidRDefault="00CC68B2" w14:paraId="7AF56BC8" w14:textId="77777777">
      <w:pPr>
        <w:jc w:val="center"/>
        <w:rPr>
          <w:sz w:val="28"/>
          <w:szCs w:val="28"/>
        </w:rPr>
      </w:pPr>
    </w:p>
    <w:p w:rsidRPr="00AC74F2" w:rsidR="00CC68B2" w:rsidP="00CC68B2" w:rsidRDefault="00CC68B2" w14:paraId="3434CB92" w14:textId="77777777">
      <w:pPr>
        <w:jc w:val="center"/>
        <w:rPr>
          <w:sz w:val="28"/>
          <w:szCs w:val="28"/>
        </w:rPr>
      </w:pPr>
    </w:p>
    <w:p w:rsidRPr="00AC74F2" w:rsidR="00CC68B2" w:rsidP="00CC68B2" w:rsidRDefault="00CC68B2" w14:paraId="687279E0" w14:textId="77777777">
      <w:pPr>
        <w:jc w:val="center"/>
        <w:rPr>
          <w:sz w:val="28"/>
          <w:szCs w:val="28"/>
        </w:rPr>
      </w:pPr>
    </w:p>
    <w:p w:rsidRPr="00AC74F2" w:rsidR="00CC68B2" w:rsidP="00CC68B2" w:rsidRDefault="00CC68B2" w14:paraId="0ABA7E6A" w14:textId="74552E81">
      <w:pPr>
        <w:jc w:val="center"/>
        <w:rPr>
          <w:sz w:val="28"/>
          <w:szCs w:val="28"/>
        </w:rPr>
      </w:pPr>
      <w:r w:rsidRPr="00AC74F2">
        <w:rPr>
          <w:sz w:val="28"/>
          <w:szCs w:val="28"/>
        </w:rPr>
        <w:t xml:space="preserve">Agency </w:t>
      </w:r>
      <w:r w:rsidRPr="00AC74F2" w:rsidR="002019E6">
        <w:rPr>
          <w:sz w:val="28"/>
          <w:szCs w:val="28"/>
        </w:rPr>
        <w:t>for</w:t>
      </w:r>
      <w:r w:rsidRPr="00AC74F2">
        <w:rPr>
          <w:sz w:val="28"/>
          <w:szCs w:val="28"/>
        </w:rPr>
        <w:t xml:space="preserve"> Healthcare Research and Quality (AHRQ)</w:t>
      </w:r>
    </w:p>
    <w:p w:rsidRPr="00AC74F2" w:rsidR="00CC68B2" w:rsidP="00CC68B2" w:rsidRDefault="00CC68B2" w14:paraId="2F905B89" w14:textId="77777777">
      <w:pPr>
        <w:rPr>
          <w:sz w:val="28"/>
          <w:szCs w:val="28"/>
        </w:rPr>
      </w:pPr>
    </w:p>
    <w:p w:rsidRPr="00AC74F2" w:rsidR="00CC68B2" w:rsidP="00CC68B2" w:rsidRDefault="00CC68B2" w14:paraId="501464FE" w14:textId="77777777">
      <w:pPr>
        <w:rPr>
          <w:sz w:val="28"/>
          <w:szCs w:val="28"/>
        </w:rPr>
      </w:pPr>
    </w:p>
    <w:p w:rsidRPr="00AC74F2" w:rsidR="00CC68B2" w:rsidP="00CC68B2" w:rsidRDefault="00CC68B2" w14:paraId="1EFB2564" w14:textId="39735664">
      <w:pPr>
        <w:pStyle w:val="Heading1"/>
        <w:rPr>
          <w:rFonts w:cs="Times New Roman"/>
          <w:sz w:val="24"/>
          <w:szCs w:val="24"/>
        </w:rPr>
      </w:pPr>
      <w:r w:rsidRPr="00AC74F2">
        <w:br w:type="page"/>
      </w:r>
    </w:p>
    <w:p w:rsidRPr="00AC74F2" w:rsidR="00CC68B2" w:rsidP="00CC68B2" w:rsidRDefault="00CC68B2" w14:paraId="7C8A55A9" w14:textId="77777777">
      <w:pPr>
        <w:rPr>
          <w:b/>
        </w:rPr>
      </w:pPr>
      <w:r w:rsidRPr="00AC74F2">
        <w:rPr>
          <w:b/>
        </w:rPr>
        <w:lastRenderedPageBreak/>
        <w:t>Table of contents</w:t>
      </w:r>
    </w:p>
    <w:p w:rsidRPr="00AC74F2" w:rsidR="00CC68B2" w:rsidP="00CC68B2" w:rsidRDefault="00CC68B2" w14:paraId="62053D83" w14:textId="77777777">
      <w:pPr>
        <w:jc w:val="center"/>
        <w:rPr>
          <w:b/>
        </w:rPr>
      </w:pPr>
    </w:p>
    <w:p w:rsidRPr="00AC74F2" w:rsidR="00E71BD4" w:rsidP="00E71BD4" w:rsidRDefault="00E71BD4" w14:paraId="190DE2F5" w14:textId="77777777">
      <w:pPr>
        <w:tabs>
          <w:tab w:val="left" w:leader="dot" w:pos="8280"/>
        </w:tabs>
      </w:pPr>
      <w:r w:rsidRPr="00AC74F2">
        <w:t>A. Justification</w:t>
      </w:r>
      <w:r w:rsidRPr="00AC74F2">
        <w:tab/>
        <w:t>3</w:t>
      </w:r>
    </w:p>
    <w:p w:rsidRPr="00AC74F2" w:rsidR="00E71BD4" w:rsidP="00E71BD4" w:rsidRDefault="00E71BD4" w14:paraId="44C8A24D" w14:textId="77777777">
      <w:pPr>
        <w:tabs>
          <w:tab w:val="left" w:pos="360"/>
          <w:tab w:val="left" w:leader="dot" w:pos="8280"/>
        </w:tabs>
      </w:pPr>
      <w:r w:rsidRPr="00AC74F2">
        <w:tab/>
        <w:t>1. Circumstances that Make the Collection of Information Necessary</w:t>
      </w:r>
      <w:r w:rsidRPr="00AC74F2">
        <w:tab/>
        <w:t>3</w:t>
      </w:r>
    </w:p>
    <w:p w:rsidRPr="00AC74F2" w:rsidR="00E71BD4" w:rsidP="00E71BD4" w:rsidRDefault="00E71BD4" w14:paraId="600740E2" w14:textId="77777777">
      <w:pPr>
        <w:tabs>
          <w:tab w:val="left" w:pos="360"/>
          <w:tab w:val="left" w:leader="dot" w:pos="8280"/>
        </w:tabs>
      </w:pPr>
      <w:r w:rsidRPr="00AC74F2">
        <w:tab/>
        <w:t>2. Purpose and use of I</w:t>
      </w:r>
      <w:r>
        <w:t>nformation</w:t>
      </w:r>
      <w:r>
        <w:tab/>
        <w:t>4</w:t>
      </w:r>
    </w:p>
    <w:p w:rsidRPr="00AC74F2" w:rsidR="00E71BD4" w:rsidP="00E71BD4" w:rsidRDefault="00E71BD4" w14:paraId="115100EF" w14:textId="51D7391A">
      <w:pPr>
        <w:tabs>
          <w:tab w:val="left" w:pos="360"/>
          <w:tab w:val="left" w:leader="dot" w:pos="8280"/>
        </w:tabs>
      </w:pPr>
      <w:r w:rsidRPr="00AC74F2">
        <w:tab/>
        <w:t>3. Use of Improved Information Technology</w:t>
      </w:r>
      <w:r w:rsidRPr="00AC74F2">
        <w:tab/>
      </w:r>
      <w:r w:rsidR="008076E5">
        <w:t>5</w:t>
      </w:r>
    </w:p>
    <w:p w:rsidRPr="00AC74F2" w:rsidR="00E71BD4" w:rsidP="00E71BD4" w:rsidRDefault="00E71BD4" w14:paraId="6B9D9AB4" w14:textId="77777777">
      <w:pPr>
        <w:tabs>
          <w:tab w:val="left" w:pos="360"/>
          <w:tab w:val="left" w:leader="dot" w:pos="8280"/>
        </w:tabs>
      </w:pPr>
      <w:r w:rsidRPr="00AC74F2">
        <w:tab/>
        <w:t>4. Efforts to Identify Duplication</w:t>
      </w:r>
      <w:r w:rsidRPr="00AC74F2">
        <w:tab/>
      </w:r>
      <w:r>
        <w:t>5</w:t>
      </w:r>
    </w:p>
    <w:p w:rsidRPr="00AC74F2" w:rsidR="00E71BD4" w:rsidP="00E71BD4" w:rsidRDefault="00E71BD4" w14:paraId="1844C8FB" w14:textId="77777777">
      <w:pPr>
        <w:tabs>
          <w:tab w:val="left" w:pos="360"/>
          <w:tab w:val="left" w:leader="dot" w:pos="8280"/>
        </w:tabs>
      </w:pPr>
      <w:r w:rsidRPr="00AC74F2">
        <w:tab/>
        <w:t>5. Involvement of Small Entities</w:t>
      </w:r>
      <w:r w:rsidRPr="00AC74F2">
        <w:tab/>
      </w:r>
      <w:r>
        <w:t>5</w:t>
      </w:r>
    </w:p>
    <w:p w:rsidRPr="00AC74F2" w:rsidR="00E71BD4" w:rsidP="00E71BD4" w:rsidRDefault="00E71BD4" w14:paraId="21DEF3B7" w14:textId="77777777">
      <w:pPr>
        <w:tabs>
          <w:tab w:val="left" w:pos="360"/>
          <w:tab w:val="left" w:leader="dot" w:pos="8280"/>
        </w:tabs>
      </w:pPr>
      <w:r w:rsidRPr="00AC74F2">
        <w:tab/>
        <w:t>6. Consequences if Information Collected Less Frequently</w:t>
      </w:r>
      <w:r w:rsidRPr="00AC74F2">
        <w:tab/>
      </w:r>
      <w:r>
        <w:t>5</w:t>
      </w:r>
    </w:p>
    <w:p w:rsidRPr="00AC74F2" w:rsidR="00E71BD4" w:rsidP="00E71BD4" w:rsidRDefault="00E71BD4" w14:paraId="0138859B" w14:textId="77777777">
      <w:pPr>
        <w:tabs>
          <w:tab w:val="left" w:pos="360"/>
          <w:tab w:val="left" w:leader="dot" w:pos="8280"/>
        </w:tabs>
      </w:pPr>
      <w:r w:rsidRPr="00AC74F2">
        <w:tab/>
        <w:t>7. Special Circumstances</w:t>
      </w:r>
      <w:r w:rsidRPr="00AC74F2">
        <w:tab/>
      </w:r>
      <w:r>
        <w:t>5</w:t>
      </w:r>
    </w:p>
    <w:p w:rsidRPr="00AC74F2" w:rsidR="00E71BD4" w:rsidP="00E71BD4" w:rsidRDefault="00E71BD4" w14:paraId="706A41C7" w14:textId="77777777">
      <w:pPr>
        <w:tabs>
          <w:tab w:val="left" w:pos="360"/>
          <w:tab w:val="left" w:leader="dot" w:pos="8280"/>
        </w:tabs>
      </w:pPr>
      <w:r w:rsidRPr="00AC74F2">
        <w:tab/>
        <w:t>8. Federal Register Notice and Outside Consultations</w:t>
      </w:r>
      <w:r w:rsidRPr="00AC74F2">
        <w:tab/>
      </w:r>
      <w:r>
        <w:t>5</w:t>
      </w:r>
    </w:p>
    <w:p w:rsidRPr="00AC74F2" w:rsidR="00E71BD4" w:rsidP="00E71BD4" w:rsidRDefault="00E71BD4" w14:paraId="376A7185" w14:textId="77777777">
      <w:pPr>
        <w:tabs>
          <w:tab w:val="left" w:pos="360"/>
          <w:tab w:val="left" w:leader="dot" w:pos="8280"/>
        </w:tabs>
      </w:pPr>
      <w:r w:rsidRPr="00AC74F2">
        <w:tab/>
        <w:t>9. Payments/Gifts to Respondents</w:t>
      </w:r>
      <w:r w:rsidRPr="00AC74F2">
        <w:tab/>
      </w:r>
      <w:r>
        <w:t>5</w:t>
      </w:r>
    </w:p>
    <w:p w:rsidRPr="00AC74F2" w:rsidR="00E71BD4" w:rsidP="00E71BD4" w:rsidRDefault="00E71BD4" w14:paraId="0991D4DC" w14:textId="46A08A29">
      <w:pPr>
        <w:tabs>
          <w:tab w:val="left" w:pos="360"/>
          <w:tab w:val="left" w:leader="dot" w:pos="8280"/>
        </w:tabs>
      </w:pPr>
      <w:r w:rsidRPr="00AC74F2">
        <w:tab/>
        <w:t>10. Assurance of Confidentiality</w:t>
      </w:r>
      <w:r w:rsidRPr="00AC74F2">
        <w:tab/>
      </w:r>
      <w:r w:rsidR="00A25BC5">
        <w:t>6</w:t>
      </w:r>
    </w:p>
    <w:p w:rsidRPr="00AC74F2" w:rsidR="00E71BD4" w:rsidP="00E71BD4" w:rsidRDefault="00E71BD4" w14:paraId="3A9FB1B9" w14:textId="77777777">
      <w:pPr>
        <w:tabs>
          <w:tab w:val="left" w:pos="360"/>
          <w:tab w:val="left" w:leader="dot" w:pos="8280"/>
        </w:tabs>
      </w:pPr>
      <w:r w:rsidRPr="00AC74F2">
        <w:tab/>
        <w:t>11. Questions of a Sensitive Nature</w:t>
      </w:r>
      <w:r w:rsidRPr="00AC74F2">
        <w:tab/>
      </w:r>
      <w:r>
        <w:t>6</w:t>
      </w:r>
    </w:p>
    <w:p w:rsidRPr="00AC74F2" w:rsidR="00E71BD4" w:rsidP="00E71BD4" w:rsidRDefault="00E71BD4" w14:paraId="1B71C9B8" w14:textId="77777777">
      <w:pPr>
        <w:tabs>
          <w:tab w:val="left" w:pos="360"/>
          <w:tab w:val="left" w:leader="dot" w:pos="8280"/>
        </w:tabs>
      </w:pPr>
      <w:r w:rsidRPr="00AC74F2">
        <w:tab/>
        <w:t>12. Estimates of Annualized Burden Hours and Costs</w:t>
      </w:r>
      <w:r w:rsidRPr="00AC74F2">
        <w:tab/>
      </w:r>
      <w:r>
        <w:t>6</w:t>
      </w:r>
    </w:p>
    <w:p w:rsidRPr="00AC74F2" w:rsidR="00E71BD4" w:rsidP="00E71BD4" w:rsidRDefault="00E71BD4" w14:paraId="77546491" w14:textId="77777777">
      <w:pPr>
        <w:tabs>
          <w:tab w:val="left" w:pos="360"/>
          <w:tab w:val="left" w:leader="dot" w:pos="8280"/>
        </w:tabs>
      </w:pPr>
      <w:r w:rsidRPr="00AC74F2">
        <w:tab/>
        <w:t>13. Estimates of Annualized Respondent Capital and Maintenance Costs</w:t>
      </w:r>
      <w:r w:rsidRPr="00AC74F2">
        <w:tab/>
      </w:r>
      <w:r>
        <w:t>7</w:t>
      </w:r>
    </w:p>
    <w:p w:rsidRPr="00AC74F2" w:rsidR="00E71BD4" w:rsidP="00E71BD4" w:rsidRDefault="00E71BD4" w14:paraId="7BA30EE0" w14:textId="77777777">
      <w:pPr>
        <w:tabs>
          <w:tab w:val="left" w:pos="360"/>
          <w:tab w:val="left" w:leader="dot" w:pos="8280"/>
        </w:tabs>
      </w:pPr>
      <w:r w:rsidRPr="00AC74F2">
        <w:tab/>
        <w:t>14. Estimates of Annualized Cost to the Government</w:t>
      </w:r>
      <w:r w:rsidRPr="00AC74F2">
        <w:tab/>
      </w:r>
      <w:r>
        <w:t>7</w:t>
      </w:r>
    </w:p>
    <w:p w:rsidRPr="00AC74F2" w:rsidR="00E71BD4" w:rsidP="00E71BD4" w:rsidRDefault="00E71BD4" w14:paraId="397E9F7C" w14:textId="776DED98">
      <w:pPr>
        <w:tabs>
          <w:tab w:val="left" w:pos="360"/>
          <w:tab w:val="left" w:leader="dot" w:pos="8280"/>
        </w:tabs>
      </w:pPr>
      <w:r w:rsidRPr="00AC74F2">
        <w:tab/>
        <w:t>15. Changes in Hour Burden</w:t>
      </w:r>
      <w:r w:rsidRPr="00AC74F2">
        <w:tab/>
      </w:r>
      <w:r w:rsidR="00A25BC5">
        <w:t>8</w:t>
      </w:r>
    </w:p>
    <w:p w:rsidRPr="00AC74F2" w:rsidR="00E71BD4" w:rsidP="00E71BD4" w:rsidRDefault="00E71BD4" w14:paraId="49B9387B" w14:textId="7DF2D97D">
      <w:pPr>
        <w:tabs>
          <w:tab w:val="left" w:pos="360"/>
          <w:tab w:val="left" w:leader="dot" w:pos="8280"/>
        </w:tabs>
      </w:pPr>
      <w:r w:rsidRPr="00AC74F2">
        <w:tab/>
        <w:t>16. Time Schedule, Publication and Analysis Plans</w:t>
      </w:r>
      <w:r w:rsidRPr="00AC74F2">
        <w:tab/>
      </w:r>
      <w:r w:rsidR="00A25BC5">
        <w:t>8</w:t>
      </w:r>
      <w:bookmarkStart w:name="_GoBack" w:id="2"/>
      <w:bookmarkEnd w:id="2"/>
    </w:p>
    <w:p w:rsidRPr="00AC74F2" w:rsidR="00E71BD4" w:rsidP="00E71BD4" w:rsidRDefault="00E71BD4" w14:paraId="61B897C1" w14:textId="77777777">
      <w:pPr>
        <w:tabs>
          <w:tab w:val="left" w:pos="360"/>
          <w:tab w:val="left" w:leader="dot" w:pos="8280"/>
        </w:tabs>
      </w:pPr>
      <w:r w:rsidRPr="00AC74F2">
        <w:tab/>
        <w:t>17. Exemption for Display of Expiration Date</w:t>
      </w:r>
      <w:r w:rsidRPr="00AC74F2">
        <w:tab/>
      </w:r>
      <w:r>
        <w:t>8</w:t>
      </w:r>
    </w:p>
    <w:p w:rsidRPr="00AC74F2" w:rsidR="00E71BD4" w:rsidP="00E71BD4" w:rsidRDefault="00E71BD4" w14:paraId="01A2B57D" w14:textId="77777777">
      <w:pPr>
        <w:tabs>
          <w:tab w:val="left" w:pos="360"/>
          <w:tab w:val="left" w:leader="dot" w:pos="8280"/>
        </w:tabs>
      </w:pPr>
      <w:r w:rsidRPr="00AC74F2">
        <w:tab/>
        <w:t>List of Attachments</w:t>
      </w:r>
      <w:r w:rsidRPr="00AC74F2">
        <w:tab/>
      </w:r>
      <w:r>
        <w:t>8</w:t>
      </w:r>
    </w:p>
    <w:p w:rsidRPr="00AC74F2" w:rsidR="00E71BD4" w:rsidP="00E71BD4" w:rsidRDefault="00E71BD4" w14:paraId="5A191EE0" w14:textId="77777777">
      <w:pPr>
        <w:tabs>
          <w:tab w:val="left" w:pos="360"/>
          <w:tab w:val="left" w:leader="dot" w:pos="8280"/>
        </w:tabs>
      </w:pPr>
      <w:r w:rsidRPr="00AC74F2">
        <w:tab/>
        <w:t>References</w:t>
      </w:r>
      <w:r w:rsidRPr="00AC74F2">
        <w:tab/>
      </w:r>
      <w:r>
        <w:t>8</w:t>
      </w:r>
    </w:p>
    <w:p w:rsidRPr="00AC74F2" w:rsidR="00CC68B2" w:rsidP="0099117C" w:rsidRDefault="00CC68B2" w14:paraId="6C196973" w14:textId="77777777">
      <w:pPr>
        <w:pStyle w:val="Heading1"/>
        <w:rPr>
          <w:rFonts w:cs="Times New Roman"/>
          <w:sz w:val="24"/>
          <w:szCs w:val="24"/>
        </w:rPr>
      </w:pPr>
    </w:p>
    <w:p w:rsidRPr="00AC74F2" w:rsidR="00CC68B2" w:rsidP="0099117C" w:rsidRDefault="00CC68B2" w14:paraId="68CD6CEF" w14:textId="77777777">
      <w:pPr>
        <w:pStyle w:val="Heading1"/>
        <w:rPr>
          <w:rFonts w:cs="Times New Roman"/>
          <w:sz w:val="24"/>
          <w:szCs w:val="24"/>
        </w:rPr>
      </w:pPr>
    </w:p>
    <w:p w:rsidRPr="00AC74F2" w:rsidR="00CC68B2" w:rsidP="0099117C" w:rsidRDefault="00CC68B2" w14:paraId="3B9CF35A" w14:textId="77777777">
      <w:pPr>
        <w:pStyle w:val="Heading1"/>
        <w:rPr>
          <w:rFonts w:cs="Times New Roman"/>
          <w:sz w:val="24"/>
          <w:szCs w:val="24"/>
        </w:rPr>
      </w:pPr>
    </w:p>
    <w:p w:rsidRPr="00AC74F2" w:rsidR="00CC68B2" w:rsidP="0099117C" w:rsidRDefault="00CC68B2" w14:paraId="3E65C00A" w14:textId="77777777">
      <w:pPr>
        <w:pStyle w:val="Heading1"/>
        <w:rPr>
          <w:rFonts w:cs="Times New Roman"/>
          <w:sz w:val="24"/>
          <w:szCs w:val="24"/>
        </w:rPr>
      </w:pPr>
    </w:p>
    <w:p w:rsidRPr="00AC74F2" w:rsidR="00CC68B2" w:rsidP="0099117C" w:rsidRDefault="00CC68B2" w14:paraId="6B1E206C" w14:textId="77777777">
      <w:pPr>
        <w:pStyle w:val="Heading1"/>
        <w:rPr>
          <w:rFonts w:cs="Times New Roman"/>
          <w:sz w:val="24"/>
          <w:szCs w:val="24"/>
        </w:rPr>
      </w:pPr>
    </w:p>
    <w:p w:rsidRPr="00AC74F2" w:rsidR="00CC68B2" w:rsidP="0099117C" w:rsidRDefault="00CC68B2" w14:paraId="008E9DBC" w14:textId="77777777">
      <w:pPr>
        <w:pStyle w:val="Heading1"/>
        <w:rPr>
          <w:rFonts w:cs="Times New Roman"/>
          <w:sz w:val="24"/>
          <w:szCs w:val="24"/>
        </w:rPr>
      </w:pPr>
    </w:p>
    <w:p w:rsidRPr="00AC74F2" w:rsidR="00CC68B2" w:rsidP="0099117C" w:rsidRDefault="00CC68B2" w14:paraId="1FD64CDA" w14:textId="40328616">
      <w:pPr>
        <w:pStyle w:val="Heading1"/>
        <w:rPr>
          <w:rFonts w:cs="Times New Roman"/>
          <w:sz w:val="24"/>
          <w:szCs w:val="24"/>
        </w:rPr>
      </w:pPr>
    </w:p>
    <w:p w:rsidRPr="00AC74F2" w:rsidR="00CC68B2" w:rsidP="00CC68B2" w:rsidRDefault="00CC68B2" w14:paraId="6D4ECD29" w14:textId="03218F91"/>
    <w:p w:rsidRPr="00AC74F2" w:rsidR="00CC68B2" w:rsidP="002D00EB" w:rsidRDefault="00CC68B2" w14:paraId="398D4FEB" w14:textId="77777777"/>
    <w:p w:rsidRPr="00AC74F2" w:rsidR="0099117C" w:rsidP="0099117C" w:rsidRDefault="0099117C" w14:paraId="6FE210D9" w14:textId="7B4F0B01">
      <w:pPr>
        <w:pStyle w:val="Heading1"/>
        <w:rPr>
          <w:rFonts w:cs="Times New Roman"/>
          <w:sz w:val="24"/>
          <w:szCs w:val="24"/>
        </w:rPr>
      </w:pPr>
      <w:r w:rsidRPr="00AC74F2">
        <w:rPr>
          <w:rFonts w:cs="Times New Roman"/>
          <w:sz w:val="24"/>
          <w:szCs w:val="24"/>
        </w:rPr>
        <w:t>A. Justification</w:t>
      </w:r>
      <w:bookmarkEnd w:id="0"/>
      <w:bookmarkEnd w:id="1"/>
    </w:p>
    <w:p w:rsidRPr="00AC74F2" w:rsidR="0099117C" w:rsidP="0099117C" w:rsidRDefault="0099117C" w14:paraId="4EAD5A21" w14:textId="77777777">
      <w:pPr>
        <w:pStyle w:val="Heading2"/>
        <w:rPr>
          <w:rFonts w:cs="Times New Roman"/>
          <w:sz w:val="24"/>
          <w:szCs w:val="24"/>
        </w:rPr>
      </w:pPr>
      <w:bookmarkStart w:name="_Toc151782176" w:id="3"/>
      <w:bookmarkStart w:name="_Toc158526216" w:id="4"/>
      <w:r w:rsidRPr="00AC74F2">
        <w:rPr>
          <w:rFonts w:cs="Times New Roman"/>
          <w:sz w:val="24"/>
          <w:szCs w:val="24"/>
        </w:rPr>
        <w:t xml:space="preserve">1. </w:t>
      </w:r>
      <w:bookmarkEnd w:id="3"/>
      <w:bookmarkEnd w:id="4"/>
      <w:r w:rsidRPr="00AC74F2">
        <w:rPr>
          <w:rFonts w:cs="Times New Roman"/>
          <w:sz w:val="24"/>
          <w:szCs w:val="24"/>
        </w:rPr>
        <w:t>Circumstances that make the collection of information necessary</w:t>
      </w:r>
    </w:p>
    <w:p w:rsidRPr="00AC74F2" w:rsidR="0099117C" w:rsidP="0099117C" w:rsidRDefault="0099117C" w14:paraId="6B678338" w14:textId="32DF85E8">
      <w:r w:rsidRPr="00AC74F2">
        <w:t>The mission of the Agency for Healthcare Research and Quality (AHRQ) set out in its authorizing legislation, The Healthcare Research and Quality Act of 1999 (see http://www.ahrq.gov/hrqa99.pdf), is to enhance the quality, appropriateness, and effectiveness of health services, and access to such services, through the establishment of a broad base of scientific research and through the promotion of improvements in clinical and health systems practices, including the prevention of diseases and other health conditions. AHRQ shall promote health care quality improvement by conducting and supporting:</w:t>
      </w:r>
    </w:p>
    <w:p w:rsidRPr="00AC74F2" w:rsidR="0099117C" w:rsidP="0099117C" w:rsidRDefault="0099117C" w14:paraId="7D21F65F" w14:textId="77777777">
      <w:pPr>
        <w:tabs>
          <w:tab w:val="left" w:pos="360"/>
        </w:tabs>
      </w:pPr>
      <w:r w:rsidRPr="00AC74F2">
        <w:tab/>
      </w:r>
    </w:p>
    <w:p w:rsidRPr="00AC74F2" w:rsidR="0099117C" w:rsidP="0099117C" w:rsidRDefault="0099117C" w14:paraId="1AF5A49B" w14:textId="77777777">
      <w:pPr>
        <w:tabs>
          <w:tab w:val="left" w:pos="360"/>
        </w:tabs>
        <w:ind w:left="360"/>
      </w:pPr>
      <w:r w:rsidRPr="00AC74F2">
        <w:t>1.</w:t>
      </w:r>
      <w:r w:rsidRPr="00AC74F2">
        <w:tab/>
        <w:t xml:space="preserve">research that develops and presents scientific evidence regarding all aspects of </w:t>
      </w:r>
      <w:r w:rsidRPr="00AC74F2">
        <w:tab/>
      </w:r>
      <w:r w:rsidRPr="00AC74F2">
        <w:tab/>
        <w:t>health care; and</w:t>
      </w:r>
    </w:p>
    <w:p w:rsidRPr="00AC74F2" w:rsidR="0099117C" w:rsidP="0099117C" w:rsidRDefault="0099117C" w14:paraId="5CB89F28" w14:textId="77777777">
      <w:pPr>
        <w:tabs>
          <w:tab w:val="left" w:pos="360"/>
        </w:tabs>
        <w:ind w:left="360"/>
      </w:pPr>
    </w:p>
    <w:p w:rsidRPr="00AC74F2" w:rsidR="0099117C" w:rsidP="0099117C" w:rsidRDefault="0099117C" w14:paraId="31BE9AFF" w14:textId="77777777">
      <w:pPr>
        <w:tabs>
          <w:tab w:val="left" w:pos="360"/>
        </w:tabs>
        <w:ind w:left="720" w:hanging="360"/>
      </w:pPr>
      <w:r w:rsidRPr="00AC74F2">
        <w:t>2.</w:t>
      </w:r>
      <w:r w:rsidRPr="00AC74F2">
        <w:tab/>
        <w:t xml:space="preserve">the synthesis and dissemination of available scientific evidence for use by </w:t>
      </w:r>
      <w:r w:rsidRPr="00AC74F2">
        <w:tab/>
        <w:t>patients, consumers, practitioners, providers, purchasers, policy makers, and educators; and</w:t>
      </w:r>
    </w:p>
    <w:p w:rsidRPr="00AC74F2" w:rsidR="0099117C" w:rsidP="0099117C" w:rsidRDefault="0099117C" w14:paraId="784CFDD4" w14:textId="77777777">
      <w:pPr>
        <w:tabs>
          <w:tab w:val="left" w:pos="360"/>
        </w:tabs>
        <w:ind w:left="360"/>
      </w:pPr>
    </w:p>
    <w:p w:rsidRPr="00AC74F2" w:rsidR="0099117C" w:rsidP="0099117C" w:rsidRDefault="0099117C" w14:paraId="3CB29C03" w14:textId="77777777">
      <w:pPr>
        <w:tabs>
          <w:tab w:val="left" w:pos="360"/>
        </w:tabs>
        <w:ind w:left="360"/>
      </w:pPr>
      <w:r w:rsidRPr="00AC74F2">
        <w:t>3.</w:t>
      </w:r>
      <w:r w:rsidRPr="00AC74F2">
        <w:tab/>
        <w:t>initiatives to advance private and public efforts to improve health care quality.</w:t>
      </w:r>
    </w:p>
    <w:p w:rsidRPr="00AC74F2" w:rsidR="0099117C" w:rsidP="0099117C" w:rsidRDefault="0099117C" w14:paraId="2B17EB72" w14:textId="77777777">
      <w:pPr>
        <w:tabs>
          <w:tab w:val="left" w:pos="360"/>
        </w:tabs>
      </w:pPr>
    </w:p>
    <w:p w:rsidRPr="00AC74F2" w:rsidR="0099117C" w:rsidP="0099117C" w:rsidRDefault="0099117C" w14:paraId="4FB02B69" w14:textId="77777777">
      <w:pPr>
        <w:tabs>
          <w:tab w:val="left" w:pos="360"/>
        </w:tabs>
      </w:pPr>
      <w:r w:rsidRPr="00AC74F2">
        <w:t>Also, AHRQ shall conduct and support research and evaluations, and support demonstration projects, with respect to (A) the delivery of health care in inner-city areas, and in rural areas (including frontier areas); and (B) health care for priority populations, which shall include (1) low-income groups, (2) minority groups, (3) women, (4) children, (5) the elderly, and (6) individuals with special health care needs, including individuals with disabilities and individuals who need chronic care or end-of-life health care.</w:t>
      </w:r>
    </w:p>
    <w:p w:rsidRPr="00AC74F2" w:rsidR="009A7FB3" w:rsidRDefault="009A7FB3" w14:paraId="347E416C" w14:textId="77777777"/>
    <w:p w:rsidRPr="00AC74F2" w:rsidR="0099117C" w:rsidP="0099117C" w:rsidRDefault="0099117C" w14:paraId="6AA0A3C0" w14:textId="77777777">
      <w:pPr>
        <w:tabs>
          <w:tab w:val="left" w:pos="360"/>
        </w:tabs>
        <w:rPr>
          <w:b/>
          <w:bCs/>
        </w:rPr>
      </w:pPr>
      <w:r w:rsidRPr="00AC74F2">
        <w:rPr>
          <w:b/>
          <w:bCs/>
        </w:rPr>
        <w:t>Background for this information collection</w:t>
      </w:r>
    </w:p>
    <w:p w:rsidRPr="00AC74F2" w:rsidR="00302F8A" w:rsidP="00302F8A" w:rsidRDefault="00302F8A" w14:paraId="62341EF9" w14:textId="5CC2F7C4">
      <w:r w:rsidRPr="00AC74F2">
        <w:t>Nursing homes have reported nearly 571,000 confirmed cases of severe acute respiratory syndrome coronavirus 2 (SARS-CoV-2) infection and coronavirus disease 2019 (COVID-19), resulting in over 112,000 COVID-19-related deaths.</w:t>
      </w:r>
      <w:r w:rsidRPr="00AC74F2" w:rsidR="00AC74F2">
        <w:rPr>
          <w:vertAlign w:val="superscript"/>
        </w:rPr>
        <w:t>1</w:t>
      </w:r>
      <w:r w:rsidRPr="00AC74F2" w:rsidR="00B42389">
        <w:rPr>
          <w:b/>
        </w:rPr>
        <w:t xml:space="preserve"> </w:t>
      </w:r>
      <w:r w:rsidRPr="00AC74F2">
        <w:t>The U.S. Department of Health and Human Services (HHS) has distributed funds to nursing homes and launched several initiatives to improve nursing home safety and infection control.</w:t>
      </w:r>
      <w:r w:rsidRPr="00AC74F2" w:rsidR="00AC74F2">
        <w:rPr>
          <w:vertAlign w:val="superscript"/>
        </w:rPr>
        <w:t>2</w:t>
      </w:r>
      <w:r w:rsidRPr="00AC74F2">
        <w:t xml:space="preserve"> AHRQ’s National Nursing Home COVID-19 Action Network (the Network) is a cornerstone of HHS’s response, intended to provide training and assistance to nursing homes on best practices to minimize transmission </w:t>
      </w:r>
      <w:r w:rsidRPr="00AC74F2" w:rsidDel="0019718A">
        <w:t>of</w:t>
      </w:r>
      <w:r w:rsidRPr="00AC74F2">
        <w:t xml:space="preserve"> SARS-CoV-2.</w:t>
      </w:r>
      <w:r w:rsidRPr="00AC74F2" w:rsidR="00AC74F2">
        <w:rPr>
          <w:vertAlign w:val="superscript"/>
        </w:rPr>
        <w:t>3</w:t>
      </w:r>
      <w:r w:rsidRPr="00AC74F2">
        <w:t xml:space="preserve"> The Network expands AHRQ’s programmatic efforts to address quality and safety in long-term care,</w:t>
      </w:r>
      <w:r w:rsidRPr="00AC74F2" w:rsidR="00AC74F2">
        <w:rPr>
          <w:vertAlign w:val="superscript"/>
        </w:rPr>
        <w:t>4</w:t>
      </w:r>
      <w:r w:rsidRPr="00AC74F2">
        <w:t xml:space="preserve"> and aligns with other agency efforts to provide COVID-19 guidance to nursing homes.</w:t>
      </w:r>
      <w:r w:rsidRPr="005C4583" w:rsidR="005C4583">
        <w:rPr>
          <w:vertAlign w:val="superscript"/>
        </w:rPr>
        <w:t>5</w:t>
      </w:r>
      <w:r w:rsidRPr="00AC74F2">
        <w:t xml:space="preserve"> As the pandemic continues, nursing homes require easy access and implementation support for up-to-date best practices on SARS-CoV-2 infection control, COVID-19 care and management, and safety measures to protect residents and staff. </w:t>
      </w:r>
    </w:p>
    <w:p w:rsidRPr="00AC74F2" w:rsidR="00302F8A" w:rsidP="00302F8A" w:rsidRDefault="00302F8A" w14:paraId="049511A6" w14:textId="77777777"/>
    <w:p w:rsidRPr="00AC74F2" w:rsidR="00302F8A" w:rsidP="00302F8A" w:rsidRDefault="00302F8A" w14:paraId="65D2C2F4" w14:textId="77777777">
      <w:r w:rsidRPr="00AC74F2">
        <w:t xml:space="preserve">AHRQ’s National Nursing Home COVID-19 Coordinating Center plays a critical, complementary role to the Network as a bridge between AHRQ’s initiatives and the nursing home quality improvement (QI) community that: 1) engages scientific and policy stakeholders to identify safety needs and best practices, 2) ensures coordinated development and dissemination of QI tools and other resources, and 3) assesses the impact of the Network to inform the nation’s COVID-19 response.   </w:t>
      </w:r>
    </w:p>
    <w:p w:rsidRPr="00AC74F2" w:rsidR="00302F8A" w:rsidP="00302F8A" w:rsidRDefault="00302F8A" w14:paraId="618DE693" w14:textId="77777777"/>
    <w:p w:rsidRPr="00AC74F2" w:rsidR="00302F8A" w:rsidP="00302F8A" w:rsidRDefault="00302F8A" w14:paraId="1BD390BD" w14:textId="7A71C9D8">
      <w:pPr>
        <w:pStyle w:val="BodyText"/>
      </w:pPr>
      <w:r w:rsidRPr="00AC74F2">
        <w:t>As part of the Coordinating Center activities, AHRQ seeks to solicit the opinions</w:t>
      </w:r>
      <w:r w:rsidRPr="00AC74F2" w:rsidR="003872C9">
        <w:t xml:space="preserve"> and information</w:t>
      </w:r>
      <w:r w:rsidRPr="00AC74F2">
        <w:t xml:space="preserve"> from respondents (nursing home staff) who have experience with the </w:t>
      </w:r>
      <w:r w:rsidRPr="00AC74F2" w:rsidR="00B42389">
        <w:t xml:space="preserve">Network’s </w:t>
      </w:r>
      <w:r w:rsidRPr="00AC74F2">
        <w:t xml:space="preserve">program and have </w:t>
      </w:r>
      <w:r w:rsidRPr="00AC74F2" w:rsidR="00016927">
        <w:t>indicate</w:t>
      </w:r>
      <w:r w:rsidRPr="00AC74F2">
        <w:t xml:space="preserve"> that they have made a change (minor or major) in their facility as a result of participating in </w:t>
      </w:r>
      <w:r w:rsidRPr="00AC74F2" w:rsidR="00B42389">
        <w:t>Network</w:t>
      </w:r>
      <w:r w:rsidRPr="00AC74F2">
        <w:t xml:space="preserve"> activities.</w:t>
      </w:r>
    </w:p>
    <w:p w:rsidRPr="00AC74F2" w:rsidR="00765C0D" w:rsidP="00765C0D" w:rsidRDefault="00765C0D" w14:paraId="290CA3BE" w14:textId="77777777">
      <w:pPr>
        <w:tabs>
          <w:tab w:val="left" w:pos="360"/>
        </w:tabs>
        <w:ind w:left="360" w:hanging="360"/>
      </w:pPr>
    </w:p>
    <w:p w:rsidRPr="00AC74F2" w:rsidR="00765C0D" w:rsidP="00765C0D" w:rsidRDefault="00765C0D" w14:paraId="64F27195" w14:textId="334130A1">
      <w:r w:rsidRPr="00AC74F2">
        <w:t>This information collection is being conducted by AHRQ through its contractor</w:t>
      </w:r>
      <w:r w:rsidRPr="00AC74F2" w:rsidR="00EB5F19">
        <w:t>s</w:t>
      </w:r>
      <w:r w:rsidRPr="00AC74F2">
        <w:t xml:space="preserve">, </w:t>
      </w:r>
      <w:r w:rsidRPr="00AC74F2" w:rsidR="00EB5F19">
        <w:t>NORC and the University of New Mexico (UNM)</w:t>
      </w:r>
      <w:r w:rsidRPr="00AC74F2">
        <w: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AC74F2" w:rsidR="00765C0D" w:rsidP="00765C0D" w:rsidRDefault="00765C0D" w14:paraId="43FC5EDC" w14:textId="77777777">
      <w:pPr>
        <w:spacing w:line="276" w:lineRule="auto"/>
      </w:pPr>
    </w:p>
    <w:p w:rsidRPr="00AC74F2" w:rsidR="00765C0D" w:rsidP="00765C0D" w:rsidRDefault="00765C0D" w14:paraId="43CFEFD2" w14:textId="77777777">
      <w:pPr>
        <w:pStyle w:val="Heading2"/>
        <w:rPr>
          <w:sz w:val="24"/>
        </w:rPr>
      </w:pPr>
      <w:bookmarkStart w:name="_Toc151782177" w:id="5"/>
      <w:bookmarkStart w:name="_Toc158526217" w:id="6"/>
      <w:r w:rsidRPr="00AC74F2">
        <w:rPr>
          <w:sz w:val="24"/>
        </w:rPr>
        <w:t>2. Purpose and Use of Information</w:t>
      </w:r>
      <w:bookmarkEnd w:id="5"/>
      <w:bookmarkEnd w:id="6"/>
    </w:p>
    <w:p w:rsidR="0022634A" w:rsidP="0022634A" w:rsidRDefault="00765C0D" w14:paraId="74DD7E27" w14:textId="77777777">
      <w:r w:rsidRPr="00AC74F2">
        <w:t xml:space="preserve">AHRQ will use the information collected through this </w:t>
      </w:r>
      <w:r w:rsidRPr="00AC74F2" w:rsidR="003872C9">
        <w:t xml:space="preserve">voluntary and targeted </w:t>
      </w:r>
      <w:r w:rsidRPr="00AC74F2">
        <w:t xml:space="preserve">Information Collection Request </w:t>
      </w:r>
      <w:r w:rsidRPr="00AC74F2" w:rsidR="002E1E81">
        <w:t xml:space="preserve">(ICR) </w:t>
      </w:r>
      <w:r w:rsidRPr="00AC74F2">
        <w:t xml:space="preserve">to </w:t>
      </w:r>
      <w:r w:rsidRPr="00AC74F2" w:rsidR="00C37F17">
        <w:t xml:space="preserve">collect information </w:t>
      </w:r>
      <w:r w:rsidRPr="00AC74F2" w:rsidR="00FD1FC8">
        <w:t>related to</w:t>
      </w:r>
      <w:r w:rsidRPr="00AC74F2" w:rsidR="00C37F17">
        <w:t xml:space="preserve"> how</w:t>
      </w:r>
      <w:r w:rsidRPr="00AC74F2" w:rsidR="00F83011">
        <w:t xml:space="preserve"> certain AHRQ ECHO National Nursing Home COVID-19 Action Network (the Network) participants</w:t>
      </w:r>
      <w:r w:rsidRPr="00AC74F2" w:rsidR="00C37F17">
        <w:t xml:space="preserve"> experienced the trainings and </w:t>
      </w:r>
      <w:r w:rsidRPr="00AC74F2" w:rsidR="00F83011">
        <w:t xml:space="preserve">what specific types of changes they made as a result of their participation. </w:t>
      </w:r>
      <w:r w:rsidRPr="00AC74F2" w:rsidR="00C37F17">
        <w:t xml:space="preserve"> </w:t>
      </w:r>
    </w:p>
    <w:p w:rsidR="0022634A" w:rsidP="0022634A" w:rsidRDefault="0022634A" w14:paraId="7B4A6AD2" w14:textId="77777777"/>
    <w:p w:rsidRPr="00B84F7E" w:rsidR="00765C0D" w:rsidP="00765C0D" w:rsidRDefault="00771427" w14:paraId="1B301339" w14:textId="3CE36F5F">
      <w:r>
        <w:t xml:space="preserve">Participants include both </w:t>
      </w:r>
      <w:r w:rsidRPr="00B84F7E">
        <w:t>nursing home staff and nursing home administrators</w:t>
      </w:r>
      <w:r w:rsidR="0022634A">
        <w:t>, and are asked to</w:t>
      </w:r>
      <w:r w:rsidR="0022634A">
        <w:t xml:space="preserve"> complete a</w:t>
      </w:r>
      <w:r w:rsidR="00795480">
        <w:t>n</w:t>
      </w:r>
      <w:r w:rsidR="0022634A">
        <w:t xml:space="preserve"> </w:t>
      </w:r>
      <w:r w:rsidR="0022634A">
        <w:t xml:space="preserve">electronic </w:t>
      </w:r>
      <w:r w:rsidR="0022634A">
        <w:t>6-question survey</w:t>
      </w:r>
      <w:r w:rsidR="0022634A">
        <w:t xml:space="preserve">, with the last question indicating whether they are willing to be contacted </w:t>
      </w:r>
      <w:r w:rsidRPr="007C61B4" w:rsidR="0022634A">
        <w:t xml:space="preserve">for a </w:t>
      </w:r>
      <w:r w:rsidR="0022634A">
        <w:t xml:space="preserve">short </w:t>
      </w:r>
      <w:r w:rsidRPr="007C61B4" w:rsidR="0022634A">
        <w:t>follow-up conversation</w:t>
      </w:r>
      <w:r w:rsidR="0022634A">
        <w:t xml:space="preserve"> </w:t>
      </w:r>
      <w:r w:rsidR="0022634A">
        <w:t>regarding</w:t>
      </w:r>
      <w:r w:rsidR="0022634A">
        <w:t xml:space="preserve"> their experience</w:t>
      </w:r>
      <w:r w:rsidR="0022634A">
        <w:t xml:space="preserve">. </w:t>
      </w:r>
      <w:r w:rsidR="0022634A">
        <w:t xml:space="preserve">Each survey of participant experience is expected to take 5 minutes. </w:t>
      </w:r>
      <w:r w:rsidR="00795480">
        <w:t xml:space="preserve">For a subset of respondents that answered the last question in the affirmative, a </w:t>
      </w:r>
      <w:r w:rsidR="0022634A">
        <w:t xml:space="preserve">follow-up conversation </w:t>
      </w:r>
      <w:r w:rsidR="00795480">
        <w:t xml:space="preserve">will be conducted.  Each conversation </w:t>
      </w:r>
      <w:r w:rsidR="0022634A">
        <w:t>is expected to take on average 20 minutes, and no conversation will exceed 30 minutes.</w:t>
      </w:r>
    </w:p>
    <w:p w:rsidRPr="00B84F7E" w:rsidR="00765C0D" w:rsidP="00765C0D" w:rsidRDefault="00765C0D" w14:paraId="1E5E3392" w14:textId="77777777"/>
    <w:p w:rsidRPr="00AC74F2" w:rsidR="00C37F17" w:rsidP="00765C0D" w:rsidRDefault="00765C0D" w14:paraId="0BD69AD9" w14:textId="1155C165">
      <w:r w:rsidRPr="00B84F7E">
        <w:t>The specific purpose of each of the in</w:t>
      </w:r>
      <w:r w:rsidRPr="00B84F7E" w:rsidR="00302F8A">
        <w:t>formation collection instrument</w:t>
      </w:r>
      <w:r w:rsidRPr="00B84F7E" w:rsidR="00C37F17">
        <w:t xml:space="preserve"> is</w:t>
      </w:r>
      <w:r w:rsidRPr="00B84F7E" w:rsidR="00304326">
        <w:t xml:space="preserve"> to identify</w:t>
      </w:r>
      <w:r w:rsidRPr="00B84F7E" w:rsidR="00FD1FC8">
        <w:t xml:space="preserve"> how satisfied the respondents</w:t>
      </w:r>
      <w:r w:rsidRPr="00B84F7E" w:rsidR="00771427">
        <w:t>, including nursing home staff and administrators,</w:t>
      </w:r>
      <w:r w:rsidRPr="00B84F7E" w:rsidR="00FD1FC8">
        <w:t xml:space="preserve"> were with the content of the training</w:t>
      </w:r>
      <w:r w:rsidRPr="00B84F7E" w:rsidR="00304326">
        <w:t>, t</w:t>
      </w:r>
      <w:r w:rsidRPr="00B84F7E" w:rsidR="00FD1FC8">
        <w:t xml:space="preserve">he resources they </w:t>
      </w:r>
      <w:r w:rsidRPr="00B84F7E" w:rsidR="00304326">
        <w:t>thought were the most helpful, and the types of changes</w:t>
      </w:r>
      <w:r w:rsidRPr="00AC74F2" w:rsidR="00304326">
        <w:t xml:space="preserve"> they made as a result of the trainings</w:t>
      </w:r>
      <w:r w:rsidRPr="00AC74F2" w:rsidR="00016927">
        <w:t xml:space="preserve"> with the expressed purpose of identifying replicable best-practices. </w:t>
      </w:r>
    </w:p>
    <w:p w:rsidRPr="00AC74F2" w:rsidR="00765C0D" w:rsidP="00765C0D" w:rsidRDefault="00765C0D" w14:paraId="0D13DCC9" w14:textId="77777777"/>
    <w:p w:rsidR="0022634A" w:rsidRDefault="00510B5B" w14:paraId="6FBDF8AF" w14:textId="0C7B9611">
      <w:r w:rsidRPr="00AC74F2">
        <w:t>Th</w:t>
      </w:r>
      <w:r w:rsidRPr="00AC74F2" w:rsidR="00765C0D">
        <w:t>e information collection instrument (Appendi</w:t>
      </w:r>
      <w:r w:rsidRPr="00AC74F2" w:rsidR="00F83011">
        <w:t>x</w:t>
      </w:r>
      <w:r w:rsidRPr="00AC74F2" w:rsidR="00765C0D">
        <w:t xml:space="preserve"> </w:t>
      </w:r>
      <w:r w:rsidR="00B836A4">
        <w:t>A</w:t>
      </w:r>
      <w:r w:rsidRPr="00AC74F2" w:rsidR="00765C0D">
        <w:t xml:space="preserve">) </w:t>
      </w:r>
      <w:r w:rsidRPr="00AC74F2" w:rsidR="000E4522">
        <w:t>is</w:t>
      </w:r>
      <w:r w:rsidRPr="00AC74F2" w:rsidR="00765C0D">
        <w:t xml:space="preserve"> designed to capture qualitative data. No claim is made that the results from this </w:t>
      </w:r>
      <w:r w:rsidRPr="00AC74F2" w:rsidR="000E4522">
        <w:t>survey</w:t>
      </w:r>
      <w:r w:rsidRPr="00AC74F2" w:rsidR="00765C0D">
        <w:t xml:space="preserve"> will be generalizable in a statistical sense, nor is the intent to conduct statistical analyses. The goals of the </w:t>
      </w:r>
      <w:r w:rsidRPr="00AC74F2" w:rsidR="000E4522">
        <w:t>survey</w:t>
      </w:r>
      <w:r w:rsidRPr="00AC74F2" w:rsidR="00765C0D">
        <w:t xml:space="preserve"> are </w:t>
      </w:r>
      <w:r w:rsidRPr="00AC74F2" w:rsidR="000E4522">
        <w:t xml:space="preserve">to understand the </w:t>
      </w:r>
      <w:r w:rsidRPr="00AC74F2" w:rsidR="00F83011">
        <w:t>participant experience with the Network and the types of changes they have made as a result</w:t>
      </w:r>
      <w:r w:rsidRPr="00AC74F2" w:rsidR="00765C0D">
        <w:t xml:space="preserve">. </w:t>
      </w:r>
    </w:p>
    <w:p w:rsidR="0022634A" w:rsidRDefault="0022634A" w14:paraId="71DAA9E6" w14:textId="77777777"/>
    <w:p w:rsidRPr="00AC74F2" w:rsidR="0099117C" w:rsidRDefault="00765C0D" w14:paraId="60A1D8B9" w14:textId="4EDD3B8D">
      <w:r w:rsidRPr="00AC74F2">
        <w:t xml:space="preserve">The information collected will be used </w:t>
      </w:r>
      <w:r w:rsidRPr="00AC74F2" w:rsidR="00F83011">
        <w:t>for internal program management purposes in order to identify those topics which resonated with participants who reported making changes, the resources they found the most helpful, and the types of changes they reported as a result of their participation</w:t>
      </w:r>
      <w:r w:rsidRPr="00AC74F2">
        <w:t>.</w:t>
      </w:r>
      <w:r w:rsidR="0022634A">
        <w:t xml:space="preserve"> </w:t>
      </w:r>
    </w:p>
    <w:p w:rsidRPr="00AC74F2" w:rsidR="00764651" w:rsidP="00764651" w:rsidRDefault="00764651" w14:paraId="3C042AD1" w14:textId="77777777">
      <w:pPr>
        <w:pStyle w:val="Heading2"/>
        <w:rPr>
          <w:sz w:val="24"/>
        </w:rPr>
      </w:pPr>
      <w:bookmarkStart w:name="_Toc151782178" w:id="7"/>
      <w:bookmarkStart w:name="_Toc158526218" w:id="8"/>
      <w:r w:rsidRPr="00AC74F2">
        <w:rPr>
          <w:sz w:val="24"/>
        </w:rPr>
        <w:t>3. Use of Improved Information Technology</w:t>
      </w:r>
      <w:bookmarkEnd w:id="7"/>
      <w:bookmarkEnd w:id="8"/>
    </w:p>
    <w:p w:rsidRPr="00AC74F2" w:rsidR="00764651" w:rsidP="002C2210" w:rsidRDefault="00764651" w14:paraId="06EB6633" w14:textId="0090C0C7">
      <w:pPr>
        <w:rPr>
          <w:i/>
        </w:rPr>
      </w:pPr>
      <w:r w:rsidRPr="00AC74F2">
        <w:t xml:space="preserve">The information collection described herein will rely on </w:t>
      </w:r>
      <w:r w:rsidRPr="00AC74F2" w:rsidR="0083798A">
        <w:t>a standard customer satisfaction survey program</w:t>
      </w:r>
      <w:r w:rsidRPr="00AC74F2" w:rsidR="008C69ED">
        <w:t>m</w:t>
      </w:r>
      <w:r w:rsidRPr="00AC74F2" w:rsidR="0083798A">
        <w:t>ed into the</w:t>
      </w:r>
      <w:r w:rsidRPr="00AC74F2" w:rsidR="00C37F17">
        <w:t xml:space="preserve"> web-based</w:t>
      </w:r>
      <w:r w:rsidRPr="00AC74F2" w:rsidR="0083798A">
        <w:t xml:space="preserve"> </w:t>
      </w:r>
      <w:r w:rsidRPr="00AC74F2" w:rsidR="008C69ED">
        <w:t xml:space="preserve">Qualtrics </w:t>
      </w:r>
      <w:r w:rsidRPr="00AC74F2" w:rsidR="00C37F17">
        <w:t>platform</w:t>
      </w:r>
      <w:r w:rsidRPr="00AC74F2" w:rsidR="0083798A">
        <w:t xml:space="preserve"> and distributed to respondents via email. </w:t>
      </w:r>
      <w:r w:rsidRPr="00B836A4" w:rsidR="00E83180">
        <w:t xml:space="preserve">Follow-up conversations will be audio recorded </w:t>
      </w:r>
      <w:r w:rsidRPr="00B836A4" w:rsidR="00B836A4">
        <w:t xml:space="preserve">through Zoom </w:t>
      </w:r>
      <w:r w:rsidRPr="00B836A4" w:rsidR="00E83180">
        <w:t>for the purpose of transcription and coding. There will otherwise be no automated, electronic, or other technological collection techniques or other forms of information technology used for the information collection</w:t>
      </w:r>
      <w:r w:rsidR="00B836A4">
        <w:t>.</w:t>
      </w:r>
    </w:p>
    <w:p w:rsidRPr="00AC74F2" w:rsidR="0035724D" w:rsidP="0035724D" w:rsidRDefault="0035724D" w14:paraId="0FBC76F1" w14:textId="77777777">
      <w:pPr>
        <w:pStyle w:val="Heading2"/>
        <w:rPr>
          <w:sz w:val="24"/>
          <w:szCs w:val="24"/>
        </w:rPr>
      </w:pPr>
      <w:bookmarkStart w:name="_Toc151782179" w:id="9"/>
      <w:bookmarkStart w:name="_Toc158526219" w:id="10"/>
      <w:r w:rsidRPr="00AC74F2">
        <w:rPr>
          <w:sz w:val="24"/>
          <w:szCs w:val="24"/>
        </w:rPr>
        <w:t>4. Efforts to Identify Duplication</w:t>
      </w:r>
      <w:bookmarkEnd w:id="9"/>
      <w:bookmarkEnd w:id="10"/>
    </w:p>
    <w:p w:rsidRPr="00AC74F2" w:rsidR="003872C9" w:rsidP="003872C9" w:rsidRDefault="003872C9" w14:paraId="27DB2151" w14:textId="79FB6406">
      <w:bookmarkStart w:name="_Toc151782180" w:id="11"/>
      <w:bookmarkStart w:name="_Toc158526220" w:id="12"/>
      <w:r w:rsidRPr="00AC74F2">
        <w:t xml:space="preserve">No similar customer satisfaction data on </w:t>
      </w:r>
      <w:r w:rsidRPr="00AC74F2" w:rsidR="00F83011">
        <w:t xml:space="preserve">the Network </w:t>
      </w:r>
      <w:r w:rsidRPr="00AC74F2">
        <w:t>are gathered or maintained by the Agency or are available from other sources known to the Agency.</w:t>
      </w:r>
    </w:p>
    <w:p w:rsidRPr="00AC74F2" w:rsidR="0035724D" w:rsidP="0035724D" w:rsidRDefault="0035724D" w14:paraId="41F7DBF3" w14:textId="77777777">
      <w:pPr>
        <w:pStyle w:val="Heading2"/>
        <w:rPr>
          <w:sz w:val="24"/>
        </w:rPr>
      </w:pPr>
      <w:r w:rsidRPr="00AC74F2">
        <w:rPr>
          <w:sz w:val="24"/>
        </w:rPr>
        <w:t>5. Involvement of Small Entities</w:t>
      </w:r>
      <w:bookmarkEnd w:id="11"/>
      <w:bookmarkEnd w:id="12"/>
    </w:p>
    <w:p w:rsidRPr="00AC74F2" w:rsidR="00A634C2" w:rsidP="00A634C2" w:rsidRDefault="00A634C2" w14:paraId="1FC20F38" w14:textId="307EB348">
      <w:pPr>
        <w:spacing w:before="100" w:beforeAutospacing="1" w:after="100" w:afterAutospacing="1"/>
        <w:rPr>
          <w:i/>
        </w:rPr>
      </w:pPr>
      <w:r w:rsidRPr="00AC74F2">
        <w:t>The information collected may involve small entities, as some of the nursing homes may qualify as such. For this data collection effort, only items that provide critical customer satisfaction information related to their experience with Network will be collected, and the information being requested has been held to the absolute minimum required for the intended use.</w:t>
      </w:r>
      <w:r w:rsidRPr="00AC74F2">
        <w:rPr>
          <w:i/>
        </w:rPr>
        <w:t xml:space="preserve"> </w:t>
      </w:r>
    </w:p>
    <w:p w:rsidRPr="00AC74F2" w:rsidR="0035724D" w:rsidP="00341EB4" w:rsidRDefault="00341EB4" w14:paraId="78CC1DE7" w14:textId="0744D8EF">
      <w:pPr>
        <w:pStyle w:val="Heading2"/>
        <w:keepLines w:val="0"/>
        <w:spacing w:after="60"/>
        <w:rPr>
          <w:sz w:val="24"/>
        </w:rPr>
      </w:pPr>
      <w:r w:rsidRPr="00AC74F2">
        <w:rPr>
          <w:sz w:val="24"/>
        </w:rPr>
        <w:t>6</w:t>
      </w:r>
      <w:bookmarkStart w:name="_Toc151782181" w:id="13"/>
      <w:bookmarkStart w:name="_Toc158526221" w:id="14"/>
      <w:r w:rsidRPr="00AC74F2">
        <w:rPr>
          <w:sz w:val="24"/>
        </w:rPr>
        <w:t xml:space="preserve">. </w:t>
      </w:r>
      <w:r w:rsidRPr="00AC74F2" w:rsidR="0035724D">
        <w:rPr>
          <w:sz w:val="24"/>
        </w:rPr>
        <w:t>Consequences if Information Collected Less Frequently</w:t>
      </w:r>
      <w:bookmarkEnd w:id="13"/>
      <w:bookmarkEnd w:id="14"/>
    </w:p>
    <w:p w:rsidRPr="00AC74F2" w:rsidR="0035724D" w:rsidP="0035724D" w:rsidRDefault="0035724D" w14:paraId="49A430C9" w14:textId="668A3DAB">
      <w:r w:rsidRPr="00AC74F2">
        <w:t xml:space="preserve">This </w:t>
      </w:r>
      <w:r w:rsidRPr="00AC74F2" w:rsidR="00016927">
        <w:t xml:space="preserve">customer satisfaction survey will be given to eligible participants one-time only. </w:t>
      </w:r>
      <w:r w:rsidRPr="00AC74F2" w:rsidR="00510B5B">
        <w:t>The</w:t>
      </w:r>
      <w:r w:rsidRPr="00AC74F2">
        <w:t xml:space="preserve"> information </w:t>
      </w:r>
      <w:r w:rsidRPr="00AC74F2" w:rsidR="00510B5B">
        <w:t>collected will</w:t>
      </w:r>
      <w:r w:rsidRPr="00AC74F2">
        <w:t xml:space="preserve"> inform </w:t>
      </w:r>
      <w:r w:rsidRPr="00AC74F2" w:rsidR="00A24091">
        <w:t>internal program management</w:t>
      </w:r>
      <w:r w:rsidRPr="00AC74F2">
        <w:t>.</w:t>
      </w:r>
    </w:p>
    <w:p w:rsidRPr="00AC74F2" w:rsidR="0035724D" w:rsidP="0035724D" w:rsidRDefault="0035724D" w14:paraId="3AF07140" w14:textId="77777777">
      <w:pPr>
        <w:pStyle w:val="Heading2"/>
        <w:rPr>
          <w:sz w:val="24"/>
        </w:rPr>
      </w:pPr>
      <w:bookmarkStart w:name="_Toc151782182" w:id="15"/>
      <w:bookmarkStart w:name="_Toc158526222" w:id="16"/>
      <w:r w:rsidRPr="00AC74F2">
        <w:rPr>
          <w:sz w:val="24"/>
        </w:rPr>
        <w:t>7. Special Circumstances</w:t>
      </w:r>
      <w:bookmarkEnd w:id="15"/>
      <w:bookmarkEnd w:id="16"/>
    </w:p>
    <w:p w:rsidRPr="00AC74F2" w:rsidR="0035724D" w:rsidP="0035724D" w:rsidRDefault="0035724D" w14:paraId="3535831C" w14:textId="2BA73F06">
      <w:pPr>
        <w:spacing w:before="120"/>
      </w:pPr>
      <w:r w:rsidRPr="00AC74F2">
        <w:t>This request is consistent with the generic information collection guidelines of 5 CFR 1320.5(d)(2)</w:t>
      </w:r>
      <w:r w:rsidRPr="00AC74F2" w:rsidR="00456CC4">
        <w:t xml:space="preserve">. </w:t>
      </w:r>
      <w:r w:rsidRPr="00AC74F2">
        <w:t>No special circumstances apply.</w:t>
      </w:r>
    </w:p>
    <w:p w:rsidRPr="00AC74F2" w:rsidR="0035724D" w:rsidP="0035724D" w:rsidRDefault="0035724D" w14:paraId="60F3A15C" w14:textId="77777777">
      <w:pPr>
        <w:pStyle w:val="Heading2"/>
        <w:rPr>
          <w:sz w:val="24"/>
          <w:szCs w:val="24"/>
        </w:rPr>
      </w:pPr>
      <w:bookmarkStart w:name="_Toc151782183" w:id="17"/>
      <w:bookmarkStart w:name="_Toc158526223" w:id="18"/>
      <w:r w:rsidRPr="00AC74F2">
        <w:rPr>
          <w:sz w:val="24"/>
        </w:rPr>
        <w:t>8.</w:t>
      </w:r>
      <w:r w:rsidRPr="00AC74F2">
        <w:rPr>
          <w:sz w:val="24"/>
          <w:szCs w:val="24"/>
        </w:rPr>
        <w:t xml:space="preserve"> </w:t>
      </w:r>
      <w:bookmarkEnd w:id="17"/>
      <w:bookmarkEnd w:id="18"/>
      <w:r w:rsidRPr="00AC74F2">
        <w:rPr>
          <w:sz w:val="24"/>
          <w:szCs w:val="24"/>
        </w:rPr>
        <w:t>Federal Register Notice and Outside Consultations</w:t>
      </w:r>
    </w:p>
    <w:p w:rsidRPr="00AC74F2" w:rsidR="0035724D" w:rsidP="0035724D" w:rsidRDefault="0035724D" w14:paraId="7D823E9A" w14:textId="77777777">
      <w:pPr>
        <w:pStyle w:val="Heading3"/>
        <w:rPr>
          <w:i/>
          <w:iCs/>
          <w:sz w:val="24"/>
          <w:szCs w:val="24"/>
        </w:rPr>
      </w:pPr>
      <w:r w:rsidRPr="00AC74F2">
        <w:rPr>
          <w:i/>
          <w:sz w:val="24"/>
          <w:szCs w:val="24"/>
        </w:rPr>
        <w:t>8.a.</w:t>
      </w:r>
      <w:r w:rsidRPr="00AC74F2">
        <w:rPr>
          <w:sz w:val="24"/>
          <w:szCs w:val="24"/>
        </w:rPr>
        <w:t xml:space="preserve"> </w:t>
      </w:r>
      <w:r w:rsidRPr="00AC74F2">
        <w:rPr>
          <w:i/>
          <w:iCs/>
          <w:sz w:val="24"/>
          <w:szCs w:val="24"/>
        </w:rPr>
        <w:t>Federal Register Notice</w:t>
      </w:r>
    </w:p>
    <w:p w:rsidRPr="00AC74F2" w:rsidR="0035724D" w:rsidP="0035724D" w:rsidRDefault="0035724D" w14:paraId="08A8A7A3" w14:textId="77777777"/>
    <w:p w:rsidRPr="00AC74F2" w:rsidR="0035724D" w:rsidP="0035724D" w:rsidRDefault="0035724D" w14:paraId="4933DE46" w14:textId="77777777">
      <w:r w:rsidRPr="00AC74F2">
        <w:t>This information collection is being submitted under AHRQ’s generic clearance. A Federal Register notice is therefore not required.</w:t>
      </w:r>
    </w:p>
    <w:p w:rsidRPr="00AC74F2" w:rsidR="0035724D" w:rsidP="0035724D" w:rsidRDefault="0035724D" w14:paraId="65E2F6E6" w14:textId="77777777">
      <w:pPr>
        <w:pStyle w:val="Heading3"/>
        <w:rPr>
          <w:sz w:val="24"/>
          <w:szCs w:val="24"/>
        </w:rPr>
      </w:pPr>
      <w:r w:rsidRPr="00AC74F2">
        <w:rPr>
          <w:sz w:val="24"/>
        </w:rPr>
        <w:t xml:space="preserve">8.b.  </w:t>
      </w:r>
      <w:r w:rsidRPr="00AC74F2">
        <w:rPr>
          <w:sz w:val="24"/>
          <w:szCs w:val="24"/>
        </w:rPr>
        <w:t>Outside Consultations</w:t>
      </w:r>
    </w:p>
    <w:p w:rsidRPr="00AC74F2" w:rsidR="0035724D" w:rsidP="0035724D" w:rsidRDefault="0035724D" w14:paraId="4F26BCBB" w14:textId="77777777">
      <w:r w:rsidRPr="00AC74F2">
        <w:t xml:space="preserve">Not applicable. </w:t>
      </w:r>
    </w:p>
    <w:p w:rsidRPr="00AC74F2" w:rsidR="0035724D" w:rsidP="0035724D" w:rsidRDefault="0035724D" w14:paraId="1C233059" w14:textId="77777777">
      <w:pPr>
        <w:pStyle w:val="Heading2"/>
        <w:rPr>
          <w:sz w:val="24"/>
        </w:rPr>
      </w:pPr>
      <w:bookmarkStart w:name="_Toc457285506" w:id="19"/>
      <w:bookmarkStart w:name="_Toc58725294" w:id="20"/>
      <w:bookmarkStart w:name="_Toc151782184" w:id="21"/>
      <w:bookmarkStart w:name="_Toc158526224" w:id="22"/>
      <w:r w:rsidRPr="00AC74F2">
        <w:t>9. Payments/Gifts to Respondents</w:t>
      </w:r>
      <w:bookmarkEnd w:id="19"/>
      <w:bookmarkEnd w:id="20"/>
      <w:bookmarkEnd w:id="21"/>
      <w:bookmarkEnd w:id="22"/>
    </w:p>
    <w:p w:rsidRPr="00AC74F2" w:rsidR="00E21B8D" w:rsidP="00E21B8D" w:rsidRDefault="00E21B8D" w14:paraId="173D1378" w14:textId="777E8FCE">
      <w:r w:rsidRPr="00AC74F2">
        <w:t xml:space="preserve">Our information collection efforts will not offer direct payments or gifts to individual respondents. The organizations engaging in the information collection efforts will be sub-contractors to </w:t>
      </w:r>
      <w:r w:rsidRPr="00AC74F2" w:rsidR="003872C9">
        <w:t>UNM</w:t>
      </w:r>
      <w:r w:rsidRPr="00AC74F2">
        <w:t xml:space="preserve"> and their partners. </w:t>
      </w:r>
    </w:p>
    <w:p w:rsidRPr="00AC74F2" w:rsidR="0035724D" w:rsidP="0035724D" w:rsidRDefault="0035724D" w14:paraId="3FBB06DB" w14:textId="77777777">
      <w:pPr>
        <w:pStyle w:val="Heading2"/>
        <w:rPr>
          <w:sz w:val="24"/>
        </w:rPr>
      </w:pPr>
      <w:bookmarkStart w:name="_Toc151782185" w:id="23"/>
      <w:bookmarkStart w:name="_Toc158526225" w:id="24"/>
      <w:r w:rsidRPr="00AC74F2">
        <w:rPr>
          <w:sz w:val="24"/>
        </w:rPr>
        <w:t>10. Assurance of Confidentiality</w:t>
      </w:r>
      <w:bookmarkEnd w:id="23"/>
      <w:bookmarkEnd w:id="24"/>
    </w:p>
    <w:p w:rsidRPr="00795480" w:rsidR="0035724D" w:rsidP="00795480" w:rsidRDefault="0035724D" w14:paraId="0502D49C" w14:textId="56F5ADF1">
      <w:r w:rsidRPr="00795480">
        <w:t xml:space="preserve">Individuals and organizations will be assured of the confidentiality of their replies under Section 944(c) of the Public Health Service Act.  42 U.S.C. 299c-3(c). That law requires that information collected for research conducted or supported by AHRQ that identifies individuals or establishments be used only for the purpose for which it was supplied. </w:t>
      </w:r>
      <w:r w:rsidRPr="00795480" w:rsidR="00795480">
        <w:t xml:space="preserve">Each participant will be assured that information will be kept confidential and included as part of </w:t>
      </w:r>
      <w:r w:rsidRPr="00795480" w:rsidR="00795480">
        <w:rPr>
          <w:rFonts w:asciiTheme="minorHAnsi" w:hAnsiTheme="minorHAnsi" w:cstheme="minorHAnsi"/>
        </w:rPr>
        <w:t>AHRQ’s</w:t>
      </w:r>
      <w:r w:rsidRPr="00795480" w:rsidR="00795480">
        <w:rPr>
          <w:rFonts w:asciiTheme="minorHAnsi" w:hAnsiTheme="minorHAnsi" w:cstheme="minorHAnsi"/>
        </w:rPr>
        <w:t xml:space="preserve"> assessment of participant experience and implementation of best practices.  </w:t>
      </w:r>
      <w:r w:rsidRPr="00795480" w:rsidR="00795480">
        <w:rPr>
          <w:rFonts w:asciiTheme="minorHAnsi" w:hAnsiTheme="minorHAnsi" w:cstheme="minorHAnsi"/>
        </w:rPr>
        <w:t xml:space="preserve">Name of individuals </w:t>
      </w:r>
      <w:r w:rsidRPr="00795480" w:rsidR="00795480">
        <w:rPr>
          <w:rFonts w:asciiTheme="minorHAnsi" w:hAnsiTheme="minorHAnsi" w:cstheme="minorHAnsi"/>
        </w:rPr>
        <w:t xml:space="preserve">will not </w:t>
      </w:r>
      <w:r w:rsidRPr="00795480" w:rsidR="00795480">
        <w:rPr>
          <w:rFonts w:asciiTheme="minorHAnsi" w:hAnsiTheme="minorHAnsi" w:cstheme="minorHAnsi"/>
        </w:rPr>
        <w:t xml:space="preserve">be </w:t>
      </w:r>
      <w:r w:rsidRPr="00795480" w:rsidR="00795480">
        <w:rPr>
          <w:rFonts w:asciiTheme="minorHAnsi" w:hAnsiTheme="minorHAnsi" w:cstheme="minorHAnsi"/>
        </w:rPr>
        <w:t>share</w:t>
      </w:r>
      <w:r w:rsidRPr="00795480" w:rsidR="00795480">
        <w:rPr>
          <w:rFonts w:asciiTheme="minorHAnsi" w:hAnsiTheme="minorHAnsi" w:cstheme="minorHAnsi"/>
        </w:rPr>
        <w:t xml:space="preserve">d publicly, and no attribution to any responses will be made to a specific individual. </w:t>
      </w:r>
    </w:p>
    <w:p w:rsidRPr="00AC74F2" w:rsidR="00EE223B" w:rsidP="00EE223B" w:rsidRDefault="0083798A" w14:paraId="4AE935BB" w14:textId="5E10560D">
      <w:pPr>
        <w:spacing w:before="280"/>
      </w:pPr>
      <w:r w:rsidRPr="00AC74F2">
        <w:t>I</w:t>
      </w:r>
      <w:r w:rsidRPr="00AC74F2" w:rsidR="00EE223B">
        <w:t xml:space="preserve">nformation collected will be maintained in a secure HIPAA-compliant data server. All information collection will be stored </w:t>
      </w:r>
      <w:r w:rsidRPr="00AC74F2" w:rsidR="000249D9">
        <w:t>on the contractors, NORC, secure server. These secure servers are backed up on a nightly basis using a FIPS 140-2 encryption certified software.</w:t>
      </w:r>
    </w:p>
    <w:p w:rsidRPr="00AC74F2" w:rsidR="005827F6" w:rsidP="005827F6" w:rsidRDefault="00EE223B" w14:paraId="1C5C1C37" w14:textId="77777777">
      <w:r w:rsidRPr="00AC74F2">
        <w:t xml:space="preserve">The information collected will be </w:t>
      </w:r>
      <w:r w:rsidRPr="00AC74F2" w:rsidR="00960B8A">
        <w:t>descriptiv</w:t>
      </w:r>
      <w:r w:rsidRPr="00AC74F2">
        <w:t xml:space="preserve">e in nature. </w:t>
      </w:r>
      <w:r w:rsidRPr="00AC74F2" w:rsidR="005E1BC8">
        <w:t>Per the general clearance, this ICR collects only PII to the extent necessary and this information is not retained</w:t>
      </w:r>
      <w:r w:rsidRPr="00AC74F2">
        <w:t>.</w:t>
      </w:r>
      <w:r w:rsidRPr="00AC74F2" w:rsidR="001530A6">
        <w:t xml:space="preserve"> </w:t>
      </w:r>
      <w:r w:rsidRPr="00AC74F2" w:rsidR="005827F6">
        <w:t xml:space="preserve">This information will be presented in aggregate and used to describe the characteristics of the group providing feedback. </w:t>
      </w:r>
    </w:p>
    <w:p w:rsidRPr="00AC74F2" w:rsidR="00EE223B" w:rsidP="00EE223B" w:rsidRDefault="00EE223B" w14:paraId="2EEC354D" w14:textId="4A18929F">
      <w:pPr>
        <w:spacing w:before="280"/>
      </w:pPr>
      <w:r w:rsidRPr="00AC74F2">
        <w:t>This ICR does not include a form that requires a Privacy Act Statement.</w:t>
      </w:r>
    </w:p>
    <w:p w:rsidRPr="00AC74F2" w:rsidR="00EE223B" w:rsidP="00EE223B" w:rsidRDefault="00EE223B" w14:paraId="1F0CD74C" w14:textId="77777777">
      <w:pPr>
        <w:pStyle w:val="Heading2"/>
        <w:rPr>
          <w:rFonts w:cs="Times New Roman"/>
          <w:sz w:val="24"/>
        </w:rPr>
      </w:pPr>
      <w:bookmarkStart w:name="_Toc151782186" w:id="25"/>
      <w:bookmarkStart w:name="_Toc158526226" w:id="26"/>
      <w:r w:rsidRPr="00AC74F2">
        <w:rPr>
          <w:rFonts w:cs="Times New Roman"/>
          <w:sz w:val="24"/>
        </w:rPr>
        <w:t>11. Questions of a Sensitive Nature</w:t>
      </w:r>
      <w:bookmarkEnd w:id="25"/>
      <w:bookmarkEnd w:id="26"/>
    </w:p>
    <w:p w:rsidRPr="00AC74F2" w:rsidR="00EE223B" w:rsidP="00EE223B" w:rsidRDefault="00EE223B" w14:paraId="4AAC3B01" w14:textId="33CFA441">
      <w:r w:rsidRPr="00AC74F2">
        <w:t xml:space="preserve">The proposed information collection does not include any questions of a sensitive nature. </w:t>
      </w:r>
      <w:r w:rsidRPr="00AC74F2" w:rsidR="00BB6A37">
        <w:t xml:space="preserve">The survey purpose is to capture </w:t>
      </w:r>
      <w:r w:rsidRPr="00AC74F2" w:rsidR="00510B5B">
        <w:t>nursing home</w:t>
      </w:r>
      <w:r w:rsidRPr="00AC74F2" w:rsidR="00BB6A37">
        <w:t xml:space="preserve"> experience in the Network program. </w:t>
      </w:r>
    </w:p>
    <w:p w:rsidRPr="00AC74F2" w:rsidR="00EE223B" w:rsidP="00EE223B" w:rsidRDefault="00EE223B" w14:paraId="4C606F47" w14:textId="77777777">
      <w:pPr>
        <w:pStyle w:val="Heading2"/>
        <w:rPr>
          <w:rFonts w:cs="Times New Roman"/>
          <w:sz w:val="24"/>
          <w:szCs w:val="24"/>
        </w:rPr>
      </w:pPr>
      <w:bookmarkStart w:name="_Toc151782187" w:id="27"/>
      <w:bookmarkStart w:name="_Toc158526227" w:id="28"/>
      <w:r w:rsidRPr="00AC74F2">
        <w:rPr>
          <w:rFonts w:cs="Times New Roman"/>
          <w:sz w:val="24"/>
          <w:szCs w:val="24"/>
        </w:rPr>
        <w:t>12. Estimates of Annualized Burden Hours and Costs</w:t>
      </w:r>
      <w:bookmarkEnd w:id="27"/>
      <w:bookmarkEnd w:id="28"/>
    </w:p>
    <w:p w:rsidRPr="00AC74F2" w:rsidR="00EE223B" w:rsidP="00EE223B" w:rsidRDefault="00EE223B" w14:paraId="69B7AA97" w14:textId="77777777">
      <w:pPr>
        <w:rPr>
          <w:b/>
          <w:bCs/>
          <w:color w:val="000000"/>
        </w:rPr>
      </w:pPr>
      <w:bookmarkStart w:name="OLE_LINK1" w:id="29"/>
      <w:bookmarkStart w:name="OLE_LINK2" w:id="30"/>
      <w:r w:rsidRPr="00AC74F2">
        <w:rPr>
          <w:b/>
          <w:bCs/>
          <w:color w:val="000000"/>
        </w:rPr>
        <w:t>Exhibit 1.  Estimated annualized burden hours</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600"/>
        <w:gridCol w:w="1440"/>
        <w:gridCol w:w="1440"/>
        <w:gridCol w:w="1080"/>
        <w:gridCol w:w="1594"/>
      </w:tblGrid>
      <w:tr w:rsidRPr="00AC74F2" w:rsidR="00EE223B" w:rsidTr="001912D8" w14:paraId="61FB39AA" w14:textId="77777777">
        <w:tc>
          <w:tcPr>
            <w:tcW w:w="3600" w:type="dxa"/>
            <w:shd w:val="clear" w:color="auto" w:fill="auto"/>
            <w:tcMar>
              <w:top w:w="0" w:type="dxa"/>
              <w:left w:w="108" w:type="dxa"/>
              <w:bottom w:w="0" w:type="dxa"/>
              <w:right w:w="108" w:type="dxa"/>
            </w:tcMar>
            <w:vAlign w:val="center"/>
          </w:tcPr>
          <w:p w:rsidRPr="00AC74F2" w:rsidR="00EE223B" w:rsidP="009A7FB3" w:rsidRDefault="00EE223B" w14:paraId="461857D2" w14:textId="77777777">
            <w:pPr>
              <w:jc w:val="center"/>
            </w:pPr>
            <w:r w:rsidRPr="00AC74F2">
              <w:rPr>
                <w:color w:val="000000" w:themeColor="text1"/>
                <w:sz w:val="20"/>
                <w:szCs w:val="20"/>
              </w:rPr>
              <w:t>Form Name</w:t>
            </w:r>
          </w:p>
        </w:tc>
        <w:tc>
          <w:tcPr>
            <w:tcW w:w="1440" w:type="dxa"/>
            <w:shd w:val="clear" w:color="auto" w:fill="auto"/>
            <w:tcMar>
              <w:top w:w="0" w:type="dxa"/>
              <w:left w:w="108" w:type="dxa"/>
              <w:bottom w:w="0" w:type="dxa"/>
              <w:right w:w="108" w:type="dxa"/>
            </w:tcMar>
            <w:vAlign w:val="center"/>
          </w:tcPr>
          <w:p w:rsidRPr="00AC74F2" w:rsidR="00EE223B" w:rsidP="009A7FB3" w:rsidRDefault="00EE223B" w14:paraId="2EEDDB85" w14:textId="6B3EA5B8">
            <w:pPr>
              <w:jc w:val="center"/>
            </w:pPr>
            <w:r w:rsidRPr="00AC74F2">
              <w:rPr>
                <w:color w:val="000000"/>
                <w:sz w:val="20"/>
                <w:szCs w:val="20"/>
              </w:rPr>
              <w:t>Number of respondents</w:t>
            </w:r>
            <w:r w:rsidRPr="00AC74F2" w:rsidR="005E1BC8">
              <w:rPr>
                <w:color w:val="000000"/>
                <w:sz w:val="20"/>
                <w:szCs w:val="20"/>
              </w:rPr>
              <w:t xml:space="preserve"> (nursing homes)</w:t>
            </w:r>
          </w:p>
        </w:tc>
        <w:tc>
          <w:tcPr>
            <w:tcW w:w="1440" w:type="dxa"/>
            <w:shd w:val="clear" w:color="auto" w:fill="auto"/>
            <w:tcMar>
              <w:top w:w="0" w:type="dxa"/>
              <w:left w:w="108" w:type="dxa"/>
              <w:bottom w:w="0" w:type="dxa"/>
              <w:right w:w="108" w:type="dxa"/>
            </w:tcMar>
            <w:vAlign w:val="center"/>
          </w:tcPr>
          <w:p w:rsidRPr="00AC74F2" w:rsidR="00EE223B" w:rsidP="009A7FB3" w:rsidRDefault="00EE223B" w14:paraId="760B5B0C" w14:textId="77777777">
            <w:pPr>
              <w:jc w:val="center"/>
              <w:rPr>
                <w:sz w:val="20"/>
                <w:szCs w:val="20"/>
              </w:rPr>
            </w:pPr>
            <w:r w:rsidRPr="00AC74F2">
              <w:rPr>
                <w:sz w:val="20"/>
                <w:szCs w:val="20"/>
              </w:rPr>
              <w:t>Number of responses per respondent</w:t>
            </w:r>
          </w:p>
        </w:tc>
        <w:tc>
          <w:tcPr>
            <w:tcW w:w="1080" w:type="dxa"/>
            <w:vAlign w:val="center"/>
          </w:tcPr>
          <w:p w:rsidRPr="00AC74F2" w:rsidR="00EE223B" w:rsidP="009A7FB3" w:rsidRDefault="00EE223B" w14:paraId="2CB0E47B" w14:textId="77777777">
            <w:pPr>
              <w:jc w:val="center"/>
            </w:pPr>
            <w:r w:rsidRPr="00AC74F2">
              <w:rPr>
                <w:color w:val="000000"/>
                <w:sz w:val="20"/>
                <w:szCs w:val="20"/>
              </w:rPr>
              <w:t>Hours per response</w:t>
            </w:r>
          </w:p>
        </w:tc>
        <w:tc>
          <w:tcPr>
            <w:tcW w:w="1594" w:type="dxa"/>
            <w:shd w:val="clear" w:color="auto" w:fill="auto"/>
            <w:tcMar>
              <w:top w:w="0" w:type="dxa"/>
              <w:left w:w="108" w:type="dxa"/>
              <w:bottom w:w="0" w:type="dxa"/>
              <w:right w:w="108" w:type="dxa"/>
            </w:tcMar>
            <w:vAlign w:val="center"/>
          </w:tcPr>
          <w:p w:rsidRPr="00AC74F2" w:rsidR="00EE223B" w:rsidP="009A7FB3" w:rsidRDefault="00EE223B" w14:paraId="193A05BF" w14:textId="77777777">
            <w:pPr>
              <w:jc w:val="center"/>
            </w:pPr>
            <w:r w:rsidRPr="00AC74F2">
              <w:rPr>
                <w:color w:val="000000"/>
                <w:sz w:val="20"/>
                <w:szCs w:val="20"/>
              </w:rPr>
              <w:t>Total burden hours</w:t>
            </w:r>
          </w:p>
        </w:tc>
      </w:tr>
      <w:tr w:rsidRPr="00AC74F2" w:rsidR="00752435" w:rsidTr="001912D8" w14:paraId="70E485C6" w14:textId="77777777">
        <w:tc>
          <w:tcPr>
            <w:tcW w:w="3600" w:type="dxa"/>
            <w:shd w:val="clear" w:color="auto" w:fill="auto"/>
            <w:tcMar>
              <w:top w:w="0" w:type="dxa"/>
              <w:left w:w="108" w:type="dxa"/>
              <w:bottom w:w="0" w:type="dxa"/>
              <w:right w:w="108" w:type="dxa"/>
            </w:tcMar>
            <w:vAlign w:val="center"/>
          </w:tcPr>
          <w:p w:rsidRPr="00AC74F2" w:rsidR="00752435" w:rsidP="00752435" w:rsidRDefault="0079300E" w14:paraId="7DE02152" w14:textId="216F5366">
            <w:r w:rsidRPr="00AC74F2">
              <w:t>Customer satisfaction survey (web-based)</w:t>
            </w:r>
            <w:r w:rsidRPr="00B84F7E" w:rsidR="00574530">
              <w:t xml:space="preserve"> </w:t>
            </w:r>
            <w:r w:rsidRPr="00B84F7E" w:rsidR="00574530">
              <w:t>) - Administrators</w:t>
            </w:r>
          </w:p>
        </w:tc>
        <w:tc>
          <w:tcPr>
            <w:tcW w:w="1440" w:type="dxa"/>
            <w:shd w:val="clear" w:color="auto" w:fill="auto"/>
            <w:tcMar>
              <w:top w:w="0" w:type="dxa"/>
              <w:left w:w="108" w:type="dxa"/>
              <w:bottom w:w="0" w:type="dxa"/>
              <w:right w:w="108" w:type="dxa"/>
            </w:tcMar>
            <w:vAlign w:val="center"/>
          </w:tcPr>
          <w:p w:rsidRPr="00AC74F2" w:rsidR="00752435" w:rsidP="00B84F7E" w:rsidRDefault="00574530" w14:paraId="1A6B3C94" w14:textId="088B9F27">
            <w:pPr>
              <w:jc w:val="center"/>
            </w:pPr>
            <w:r>
              <w:t>1020</w:t>
            </w:r>
          </w:p>
        </w:tc>
        <w:tc>
          <w:tcPr>
            <w:tcW w:w="1440" w:type="dxa"/>
            <w:shd w:val="clear" w:color="auto" w:fill="auto"/>
            <w:tcMar>
              <w:top w:w="0" w:type="dxa"/>
              <w:left w:w="108" w:type="dxa"/>
              <w:bottom w:w="0" w:type="dxa"/>
              <w:right w:w="108" w:type="dxa"/>
            </w:tcMar>
            <w:vAlign w:val="center"/>
          </w:tcPr>
          <w:p w:rsidRPr="00AC74F2" w:rsidR="00752435" w:rsidP="00752435" w:rsidRDefault="005E1BC8" w14:paraId="1EFFC1ED" w14:textId="38D94A70">
            <w:pPr>
              <w:jc w:val="center"/>
            </w:pPr>
            <w:r w:rsidRPr="00AC74F2">
              <w:t>1</w:t>
            </w:r>
          </w:p>
        </w:tc>
        <w:tc>
          <w:tcPr>
            <w:tcW w:w="1080" w:type="dxa"/>
            <w:shd w:val="clear" w:color="auto" w:fill="auto"/>
            <w:vAlign w:val="center"/>
          </w:tcPr>
          <w:p w:rsidRPr="00AC74F2" w:rsidR="00752435" w:rsidP="00752435" w:rsidRDefault="00B84F7E" w14:paraId="54BF5180" w14:textId="62FE7726">
            <w:pPr>
              <w:jc w:val="center"/>
            </w:pPr>
            <w:r>
              <w:t>1</w:t>
            </w:r>
            <w:r w:rsidRPr="00AC74F2" w:rsidR="00195375">
              <w:t>/12</w:t>
            </w:r>
          </w:p>
        </w:tc>
        <w:tc>
          <w:tcPr>
            <w:tcW w:w="1594" w:type="dxa"/>
            <w:shd w:val="clear" w:color="auto" w:fill="auto"/>
            <w:tcMar>
              <w:top w:w="0" w:type="dxa"/>
              <w:left w:w="108" w:type="dxa"/>
              <w:bottom w:w="0" w:type="dxa"/>
              <w:right w:w="108" w:type="dxa"/>
            </w:tcMar>
            <w:vAlign w:val="center"/>
          </w:tcPr>
          <w:p w:rsidRPr="00AC74F2" w:rsidR="00752435" w:rsidP="00752435" w:rsidRDefault="00574530" w14:paraId="4AA68260" w14:textId="6363486B">
            <w:pPr>
              <w:jc w:val="center"/>
            </w:pPr>
            <w:r>
              <w:t>85</w:t>
            </w:r>
          </w:p>
        </w:tc>
      </w:tr>
      <w:tr w:rsidRPr="00AC74F2" w:rsidR="00574530" w:rsidTr="001912D8" w14:paraId="405A1357" w14:textId="77777777">
        <w:tc>
          <w:tcPr>
            <w:tcW w:w="3600" w:type="dxa"/>
            <w:shd w:val="clear" w:color="auto" w:fill="auto"/>
            <w:tcMar>
              <w:top w:w="0" w:type="dxa"/>
              <w:left w:w="108" w:type="dxa"/>
              <w:bottom w:w="0" w:type="dxa"/>
              <w:right w:w="108" w:type="dxa"/>
            </w:tcMar>
            <w:vAlign w:val="center"/>
          </w:tcPr>
          <w:p w:rsidR="00574530" w:rsidP="00574530" w:rsidRDefault="00574530" w14:paraId="38101DFB" w14:textId="12612727">
            <w:r w:rsidRPr="00B84F7E">
              <w:t>Customer satisfaction survey (web-based) - Staff</w:t>
            </w:r>
          </w:p>
        </w:tc>
        <w:tc>
          <w:tcPr>
            <w:tcW w:w="1440" w:type="dxa"/>
            <w:shd w:val="clear" w:color="auto" w:fill="auto"/>
            <w:tcMar>
              <w:top w:w="0" w:type="dxa"/>
              <w:left w:w="108" w:type="dxa"/>
              <w:bottom w:w="0" w:type="dxa"/>
              <w:right w:w="108" w:type="dxa"/>
            </w:tcMar>
            <w:vAlign w:val="center"/>
          </w:tcPr>
          <w:p w:rsidR="00574530" w:rsidP="00574530" w:rsidRDefault="00574530" w14:paraId="5D5B07E3" w14:textId="5C8F5CD6">
            <w:pPr>
              <w:jc w:val="center"/>
            </w:pPr>
            <w:r>
              <w:t>3051</w:t>
            </w:r>
          </w:p>
        </w:tc>
        <w:tc>
          <w:tcPr>
            <w:tcW w:w="1440" w:type="dxa"/>
            <w:shd w:val="clear" w:color="auto" w:fill="auto"/>
            <w:tcMar>
              <w:top w:w="0" w:type="dxa"/>
              <w:left w:w="108" w:type="dxa"/>
              <w:bottom w:w="0" w:type="dxa"/>
              <w:right w:w="108" w:type="dxa"/>
            </w:tcMar>
            <w:vAlign w:val="center"/>
          </w:tcPr>
          <w:p w:rsidR="00574530" w:rsidP="00574530" w:rsidRDefault="00574530" w14:paraId="084A8A47" w14:textId="27CCC127">
            <w:pPr>
              <w:jc w:val="center"/>
            </w:pPr>
            <w:r w:rsidRPr="00AC74F2">
              <w:t>1</w:t>
            </w:r>
          </w:p>
        </w:tc>
        <w:tc>
          <w:tcPr>
            <w:tcW w:w="1080" w:type="dxa"/>
            <w:shd w:val="clear" w:color="auto" w:fill="auto"/>
            <w:vAlign w:val="center"/>
          </w:tcPr>
          <w:p w:rsidR="00574530" w:rsidP="00574530" w:rsidRDefault="00574530" w14:paraId="2EA76E1B" w14:textId="751AC15E">
            <w:pPr>
              <w:jc w:val="center"/>
            </w:pPr>
            <w:r>
              <w:t>1</w:t>
            </w:r>
            <w:r w:rsidRPr="00AC74F2">
              <w:t>/12</w:t>
            </w:r>
          </w:p>
        </w:tc>
        <w:tc>
          <w:tcPr>
            <w:tcW w:w="1594" w:type="dxa"/>
            <w:shd w:val="clear" w:color="auto" w:fill="auto"/>
            <w:tcMar>
              <w:top w:w="0" w:type="dxa"/>
              <w:left w:w="108" w:type="dxa"/>
              <w:bottom w:w="0" w:type="dxa"/>
              <w:right w:w="108" w:type="dxa"/>
            </w:tcMar>
            <w:vAlign w:val="center"/>
          </w:tcPr>
          <w:p w:rsidR="00574530" w:rsidP="00574530" w:rsidRDefault="00574530" w14:paraId="6837D101" w14:textId="12C4D7A0">
            <w:pPr>
              <w:jc w:val="center"/>
            </w:pPr>
            <w:r>
              <w:t>254</w:t>
            </w:r>
          </w:p>
        </w:tc>
      </w:tr>
      <w:tr w:rsidRPr="00AC74F2" w:rsidR="00574530" w:rsidTr="001912D8" w14:paraId="7D960687" w14:textId="77777777">
        <w:tc>
          <w:tcPr>
            <w:tcW w:w="3600" w:type="dxa"/>
            <w:shd w:val="clear" w:color="auto" w:fill="auto"/>
            <w:tcMar>
              <w:top w:w="0" w:type="dxa"/>
              <w:left w:w="108" w:type="dxa"/>
              <w:bottom w:w="0" w:type="dxa"/>
              <w:right w:w="108" w:type="dxa"/>
            </w:tcMar>
            <w:vAlign w:val="center"/>
          </w:tcPr>
          <w:p w:rsidRPr="00AC74F2" w:rsidR="00574530" w:rsidP="00574530" w:rsidRDefault="00574530" w14:paraId="09ECE229" w14:textId="27AF9FEF">
            <w:r>
              <w:t xml:space="preserve">Customer satisfaction </w:t>
            </w:r>
            <w:r w:rsidRPr="00AC74F2">
              <w:t>(</w:t>
            </w:r>
            <w:r>
              <w:t>follow-up conversation</w:t>
            </w:r>
            <w:r w:rsidRPr="00AC74F2">
              <w:t>)</w:t>
            </w:r>
            <w:r>
              <w:t xml:space="preserve"> </w:t>
            </w:r>
            <w:r w:rsidRPr="00B84F7E">
              <w:t>- Administrators</w:t>
            </w:r>
          </w:p>
        </w:tc>
        <w:tc>
          <w:tcPr>
            <w:tcW w:w="1440" w:type="dxa"/>
            <w:shd w:val="clear" w:color="auto" w:fill="auto"/>
            <w:tcMar>
              <w:top w:w="0" w:type="dxa"/>
              <w:left w:w="108" w:type="dxa"/>
              <w:bottom w:w="0" w:type="dxa"/>
              <w:right w:w="108" w:type="dxa"/>
            </w:tcMar>
            <w:vAlign w:val="center"/>
          </w:tcPr>
          <w:p w:rsidRPr="00AC74F2" w:rsidR="00574530" w:rsidP="00574530" w:rsidRDefault="00574530" w14:paraId="5FAD01A7" w14:textId="4292C175">
            <w:pPr>
              <w:jc w:val="center"/>
            </w:pPr>
            <w:r>
              <w:t>125</w:t>
            </w:r>
          </w:p>
        </w:tc>
        <w:tc>
          <w:tcPr>
            <w:tcW w:w="1440" w:type="dxa"/>
            <w:shd w:val="clear" w:color="auto" w:fill="auto"/>
            <w:tcMar>
              <w:top w:w="0" w:type="dxa"/>
              <w:left w:w="108" w:type="dxa"/>
              <w:bottom w:w="0" w:type="dxa"/>
              <w:right w:w="108" w:type="dxa"/>
            </w:tcMar>
            <w:vAlign w:val="center"/>
          </w:tcPr>
          <w:p w:rsidRPr="00AC74F2" w:rsidR="00574530" w:rsidP="00574530" w:rsidRDefault="00574530" w14:paraId="0B255DCE" w14:textId="4F4C3052">
            <w:pPr>
              <w:jc w:val="center"/>
            </w:pPr>
            <w:r>
              <w:t>1</w:t>
            </w:r>
          </w:p>
        </w:tc>
        <w:tc>
          <w:tcPr>
            <w:tcW w:w="1080" w:type="dxa"/>
            <w:shd w:val="clear" w:color="auto" w:fill="auto"/>
            <w:vAlign w:val="center"/>
          </w:tcPr>
          <w:p w:rsidRPr="00AC74F2" w:rsidR="00574530" w:rsidP="00574530" w:rsidRDefault="00574530" w14:paraId="338C5E29" w14:textId="1367931B">
            <w:pPr>
              <w:jc w:val="center"/>
            </w:pPr>
            <w:r>
              <w:t>4/12</w:t>
            </w:r>
          </w:p>
        </w:tc>
        <w:tc>
          <w:tcPr>
            <w:tcW w:w="1594" w:type="dxa"/>
            <w:shd w:val="clear" w:color="auto" w:fill="auto"/>
            <w:tcMar>
              <w:top w:w="0" w:type="dxa"/>
              <w:left w:w="108" w:type="dxa"/>
              <w:bottom w:w="0" w:type="dxa"/>
              <w:right w:w="108" w:type="dxa"/>
            </w:tcMar>
            <w:vAlign w:val="center"/>
          </w:tcPr>
          <w:p w:rsidRPr="00AC74F2" w:rsidR="00574530" w:rsidP="00574530" w:rsidRDefault="00574530" w14:paraId="2B0518D2" w14:textId="4DAE00CB">
            <w:pPr>
              <w:jc w:val="center"/>
            </w:pPr>
            <w:r>
              <w:t>41</w:t>
            </w:r>
          </w:p>
        </w:tc>
      </w:tr>
      <w:tr w:rsidRPr="00AC74F2" w:rsidR="00574530" w:rsidTr="001912D8" w14:paraId="11340FB6" w14:textId="77777777">
        <w:tc>
          <w:tcPr>
            <w:tcW w:w="3600" w:type="dxa"/>
            <w:shd w:val="clear" w:color="auto" w:fill="auto"/>
            <w:tcMar>
              <w:top w:w="0" w:type="dxa"/>
              <w:left w:w="108" w:type="dxa"/>
              <w:bottom w:w="0" w:type="dxa"/>
              <w:right w:w="108" w:type="dxa"/>
            </w:tcMar>
            <w:vAlign w:val="center"/>
          </w:tcPr>
          <w:p w:rsidR="00574530" w:rsidP="00574530" w:rsidRDefault="00574530" w14:paraId="5A36126A" w14:textId="0B7A3C74">
            <w:r w:rsidRPr="00AC74F2">
              <w:t>Customer satisfaction (</w:t>
            </w:r>
            <w:r>
              <w:t>follow-up conversation</w:t>
            </w:r>
            <w:r w:rsidRPr="00AC74F2">
              <w:t>) - Staff</w:t>
            </w:r>
          </w:p>
        </w:tc>
        <w:tc>
          <w:tcPr>
            <w:tcW w:w="1440" w:type="dxa"/>
            <w:shd w:val="clear" w:color="auto" w:fill="auto"/>
            <w:tcMar>
              <w:top w:w="0" w:type="dxa"/>
              <w:left w:w="108" w:type="dxa"/>
              <w:bottom w:w="0" w:type="dxa"/>
              <w:right w:w="108" w:type="dxa"/>
            </w:tcMar>
            <w:vAlign w:val="center"/>
          </w:tcPr>
          <w:p w:rsidR="00574530" w:rsidP="00574530" w:rsidRDefault="00574530" w14:paraId="676D5F98" w14:textId="5CC544F6">
            <w:pPr>
              <w:jc w:val="center"/>
            </w:pPr>
            <w:r>
              <w:t>375</w:t>
            </w:r>
          </w:p>
        </w:tc>
        <w:tc>
          <w:tcPr>
            <w:tcW w:w="1440" w:type="dxa"/>
            <w:shd w:val="clear" w:color="auto" w:fill="auto"/>
            <w:tcMar>
              <w:top w:w="0" w:type="dxa"/>
              <w:left w:w="108" w:type="dxa"/>
              <w:bottom w:w="0" w:type="dxa"/>
              <w:right w:w="108" w:type="dxa"/>
            </w:tcMar>
            <w:vAlign w:val="center"/>
          </w:tcPr>
          <w:p w:rsidR="00574530" w:rsidP="00574530" w:rsidRDefault="00574530" w14:paraId="69F94A6B" w14:textId="6A639BC1">
            <w:pPr>
              <w:jc w:val="center"/>
            </w:pPr>
            <w:r>
              <w:t>1</w:t>
            </w:r>
          </w:p>
        </w:tc>
        <w:tc>
          <w:tcPr>
            <w:tcW w:w="1080" w:type="dxa"/>
            <w:shd w:val="clear" w:color="auto" w:fill="auto"/>
            <w:vAlign w:val="center"/>
          </w:tcPr>
          <w:p w:rsidR="00574530" w:rsidP="00574530" w:rsidRDefault="00574530" w14:paraId="1BA8E2E9" w14:textId="0A5B2298">
            <w:pPr>
              <w:jc w:val="center"/>
            </w:pPr>
            <w:r>
              <w:t>4/12</w:t>
            </w:r>
          </w:p>
        </w:tc>
        <w:tc>
          <w:tcPr>
            <w:tcW w:w="1594" w:type="dxa"/>
            <w:shd w:val="clear" w:color="auto" w:fill="auto"/>
            <w:tcMar>
              <w:top w:w="0" w:type="dxa"/>
              <w:left w:w="108" w:type="dxa"/>
              <w:bottom w:w="0" w:type="dxa"/>
              <w:right w:w="108" w:type="dxa"/>
            </w:tcMar>
            <w:vAlign w:val="center"/>
          </w:tcPr>
          <w:p w:rsidR="00574530" w:rsidP="00574530" w:rsidRDefault="00574530" w14:paraId="3915B7AC" w14:textId="60221146">
            <w:pPr>
              <w:jc w:val="center"/>
            </w:pPr>
            <w:r>
              <w:t>125</w:t>
            </w:r>
          </w:p>
        </w:tc>
      </w:tr>
      <w:tr w:rsidRPr="00AC74F2" w:rsidR="00574530" w:rsidTr="001912D8" w14:paraId="20AC0594" w14:textId="77777777">
        <w:tc>
          <w:tcPr>
            <w:tcW w:w="3600" w:type="dxa"/>
            <w:shd w:val="clear" w:color="auto" w:fill="auto"/>
            <w:tcMar>
              <w:top w:w="0" w:type="dxa"/>
              <w:left w:w="108" w:type="dxa"/>
              <w:bottom w:w="0" w:type="dxa"/>
              <w:right w:w="108" w:type="dxa"/>
            </w:tcMar>
            <w:vAlign w:val="center"/>
          </w:tcPr>
          <w:p w:rsidRPr="00AC74F2" w:rsidR="00574530" w:rsidP="00574530" w:rsidRDefault="00574530" w14:paraId="39C4B6E5" w14:textId="77777777">
            <w:r w:rsidRPr="00AC74F2">
              <w:rPr>
                <w:b/>
                <w:bCs/>
                <w:color w:val="000000"/>
              </w:rPr>
              <w:t>Total</w:t>
            </w:r>
          </w:p>
        </w:tc>
        <w:tc>
          <w:tcPr>
            <w:tcW w:w="1440" w:type="dxa"/>
            <w:shd w:val="clear" w:color="auto" w:fill="auto"/>
            <w:tcMar>
              <w:top w:w="0" w:type="dxa"/>
              <w:left w:w="108" w:type="dxa"/>
              <w:bottom w:w="0" w:type="dxa"/>
              <w:right w:w="108" w:type="dxa"/>
            </w:tcMar>
            <w:vAlign w:val="center"/>
          </w:tcPr>
          <w:p w:rsidRPr="00AC74F2" w:rsidR="00574530" w:rsidP="00574530" w:rsidRDefault="00574530" w14:paraId="4AA94642" w14:textId="51195F2C">
            <w:pPr>
              <w:jc w:val="center"/>
              <w:rPr>
                <w:b/>
              </w:rPr>
            </w:pPr>
            <w:r>
              <w:rPr>
                <w:b/>
              </w:rPr>
              <w:t>4571*</w:t>
            </w:r>
          </w:p>
        </w:tc>
        <w:tc>
          <w:tcPr>
            <w:tcW w:w="1440" w:type="dxa"/>
            <w:shd w:val="clear" w:color="auto" w:fill="auto"/>
            <w:tcMar>
              <w:top w:w="0" w:type="dxa"/>
              <w:left w:w="108" w:type="dxa"/>
              <w:bottom w:w="0" w:type="dxa"/>
              <w:right w:w="108" w:type="dxa"/>
            </w:tcMar>
            <w:vAlign w:val="center"/>
          </w:tcPr>
          <w:p w:rsidRPr="00AC74F2" w:rsidR="00574530" w:rsidP="00574530" w:rsidRDefault="00574530" w14:paraId="5AF92E5D" w14:textId="77777777">
            <w:pPr>
              <w:jc w:val="center"/>
              <w:rPr>
                <w:b/>
              </w:rPr>
            </w:pPr>
            <w:r w:rsidRPr="00AC74F2">
              <w:rPr>
                <w:b/>
              </w:rPr>
              <w:t>NA</w:t>
            </w:r>
          </w:p>
        </w:tc>
        <w:tc>
          <w:tcPr>
            <w:tcW w:w="1080" w:type="dxa"/>
          </w:tcPr>
          <w:p w:rsidRPr="00AC74F2" w:rsidR="00574530" w:rsidP="00574530" w:rsidRDefault="00574530" w14:paraId="24747E34" w14:textId="77777777">
            <w:pPr>
              <w:jc w:val="center"/>
              <w:rPr>
                <w:b/>
                <w:bCs/>
                <w:color w:val="000000"/>
              </w:rPr>
            </w:pPr>
            <w:r w:rsidRPr="00AC74F2">
              <w:rPr>
                <w:b/>
                <w:bCs/>
                <w:color w:val="000000"/>
              </w:rPr>
              <w:t>NA</w:t>
            </w:r>
          </w:p>
        </w:tc>
        <w:tc>
          <w:tcPr>
            <w:tcW w:w="1594" w:type="dxa"/>
            <w:shd w:val="clear" w:color="auto" w:fill="auto"/>
            <w:tcMar>
              <w:top w:w="0" w:type="dxa"/>
              <w:left w:w="108" w:type="dxa"/>
              <w:bottom w:w="0" w:type="dxa"/>
              <w:right w:w="108" w:type="dxa"/>
            </w:tcMar>
            <w:vAlign w:val="center"/>
          </w:tcPr>
          <w:p w:rsidRPr="00AC74F2" w:rsidR="00574530" w:rsidP="00574530" w:rsidRDefault="00574530" w14:paraId="241A5142" w14:textId="59F80AE7">
            <w:pPr>
              <w:jc w:val="center"/>
              <w:rPr>
                <w:b/>
              </w:rPr>
            </w:pPr>
            <w:r>
              <w:rPr>
                <w:b/>
              </w:rPr>
              <w:t>505</w:t>
            </w:r>
          </w:p>
        </w:tc>
      </w:tr>
    </w:tbl>
    <w:bookmarkEnd w:id="29"/>
    <w:bookmarkEnd w:id="30"/>
    <w:p w:rsidR="00B84F7E" w:rsidP="00B84F7E" w:rsidRDefault="00EE223B" w14:paraId="6594952F" w14:textId="5D24997E">
      <w:pPr>
        <w:rPr>
          <w:color w:val="000000"/>
          <w:sz w:val="20"/>
          <w:szCs w:val="20"/>
        </w:rPr>
      </w:pPr>
      <w:r w:rsidRPr="00AC74F2">
        <w:t> </w:t>
      </w:r>
      <w:r w:rsidR="00B84F7E">
        <w:rPr>
          <w:color w:val="000000"/>
          <w:sz w:val="20"/>
          <w:szCs w:val="20"/>
        </w:rPr>
        <w:t>*</w:t>
      </w:r>
      <w:r w:rsidR="00A5236E">
        <w:rPr>
          <w:color w:val="000000"/>
          <w:sz w:val="20"/>
          <w:szCs w:val="20"/>
        </w:rPr>
        <w:t xml:space="preserve">NOTE: </w:t>
      </w:r>
      <w:r w:rsidR="00B84F7E">
        <w:rPr>
          <w:color w:val="000000"/>
          <w:sz w:val="20"/>
          <w:szCs w:val="20"/>
        </w:rPr>
        <w:t>Respondents with a follow-up conversation are a subset of the respondents to the web-based customer satisfaction survey.</w:t>
      </w:r>
    </w:p>
    <w:p w:rsidRPr="00AC74F2" w:rsidR="00EE223B" w:rsidP="00EE223B" w:rsidRDefault="00EE223B" w14:paraId="025EC5E0" w14:textId="77777777"/>
    <w:p w:rsidR="00795480" w:rsidRDefault="00795480" w14:paraId="2DA8007E" w14:textId="77777777">
      <w:pPr>
        <w:rPr>
          <w:b/>
          <w:bCs/>
        </w:rPr>
      </w:pPr>
      <w:r>
        <w:rPr>
          <w:b/>
          <w:bCs/>
        </w:rPr>
        <w:br w:type="page"/>
      </w:r>
    </w:p>
    <w:p w:rsidRPr="00AC74F2" w:rsidR="00EE223B" w:rsidP="00EE223B" w:rsidRDefault="00EE223B" w14:paraId="08D9E451" w14:textId="7199A050">
      <w:pPr>
        <w:rPr>
          <w:b/>
          <w:bCs/>
        </w:rPr>
      </w:pPr>
      <w:r w:rsidRPr="00AC74F2">
        <w:rPr>
          <w:b/>
          <w:bCs/>
        </w:rPr>
        <w:t>Exhibit 2.  Estimated annualized cost burden</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3344"/>
        <w:gridCol w:w="1410"/>
        <w:gridCol w:w="1168"/>
        <w:gridCol w:w="1414"/>
        <w:gridCol w:w="1896"/>
      </w:tblGrid>
      <w:tr w:rsidRPr="00AC74F2" w:rsidR="00EE223B" w:rsidTr="00BA20D9" w14:paraId="06389DC6" w14:textId="77777777">
        <w:tc>
          <w:tcPr>
            <w:tcW w:w="3344" w:type="dxa"/>
            <w:shd w:val="clear" w:color="auto" w:fill="auto"/>
            <w:tcMar>
              <w:top w:w="0" w:type="dxa"/>
              <w:left w:w="108" w:type="dxa"/>
              <w:bottom w:w="0" w:type="dxa"/>
              <w:right w:w="108" w:type="dxa"/>
            </w:tcMar>
            <w:vAlign w:val="center"/>
          </w:tcPr>
          <w:p w:rsidRPr="00AC74F2" w:rsidR="00EE223B" w:rsidP="009A7FB3" w:rsidRDefault="00EE223B" w14:paraId="2A18A4E9" w14:textId="77777777">
            <w:pPr>
              <w:jc w:val="center"/>
            </w:pPr>
            <w:r w:rsidRPr="00AC74F2">
              <w:rPr>
                <w:color w:val="000000"/>
                <w:sz w:val="20"/>
                <w:szCs w:val="20"/>
              </w:rPr>
              <w:t>Form Name</w:t>
            </w:r>
          </w:p>
        </w:tc>
        <w:tc>
          <w:tcPr>
            <w:tcW w:w="1410" w:type="dxa"/>
            <w:shd w:val="clear" w:color="auto" w:fill="auto"/>
            <w:tcMar>
              <w:top w:w="0" w:type="dxa"/>
              <w:left w:w="108" w:type="dxa"/>
              <w:bottom w:w="0" w:type="dxa"/>
              <w:right w:w="108" w:type="dxa"/>
            </w:tcMar>
            <w:vAlign w:val="center"/>
          </w:tcPr>
          <w:p w:rsidRPr="00AC74F2" w:rsidR="00EE223B" w:rsidP="009A7FB3" w:rsidRDefault="00EE223B" w14:paraId="0E7B52EF" w14:textId="77777777">
            <w:pPr>
              <w:jc w:val="center"/>
            </w:pPr>
            <w:r w:rsidRPr="00AC74F2">
              <w:rPr>
                <w:color w:val="000000"/>
                <w:sz w:val="20"/>
                <w:szCs w:val="20"/>
              </w:rPr>
              <w:t>Number of respondents</w:t>
            </w:r>
          </w:p>
        </w:tc>
        <w:tc>
          <w:tcPr>
            <w:tcW w:w="1168" w:type="dxa"/>
            <w:shd w:val="clear" w:color="auto" w:fill="auto"/>
            <w:tcMar>
              <w:top w:w="0" w:type="dxa"/>
              <w:left w:w="108" w:type="dxa"/>
              <w:bottom w:w="0" w:type="dxa"/>
              <w:right w:w="108" w:type="dxa"/>
            </w:tcMar>
            <w:vAlign w:val="center"/>
          </w:tcPr>
          <w:p w:rsidRPr="00AC74F2" w:rsidR="00EE223B" w:rsidP="009A7FB3" w:rsidRDefault="00EE223B" w14:paraId="2C294C51" w14:textId="77777777">
            <w:pPr>
              <w:jc w:val="center"/>
            </w:pPr>
            <w:r w:rsidRPr="00AC74F2">
              <w:rPr>
                <w:color w:val="000000"/>
                <w:sz w:val="20"/>
                <w:szCs w:val="20"/>
              </w:rPr>
              <w:t>Total burden hours</w:t>
            </w:r>
          </w:p>
        </w:tc>
        <w:tc>
          <w:tcPr>
            <w:tcW w:w="1414" w:type="dxa"/>
            <w:shd w:val="clear" w:color="auto" w:fill="auto"/>
            <w:tcMar>
              <w:top w:w="0" w:type="dxa"/>
              <w:left w:w="108" w:type="dxa"/>
              <w:bottom w:w="0" w:type="dxa"/>
              <w:right w:w="108" w:type="dxa"/>
            </w:tcMar>
            <w:vAlign w:val="center"/>
          </w:tcPr>
          <w:p w:rsidRPr="00AC74F2" w:rsidR="00EE223B" w:rsidP="009A7FB3" w:rsidRDefault="00EE223B" w14:paraId="47618512" w14:textId="77777777">
            <w:pPr>
              <w:jc w:val="center"/>
            </w:pPr>
            <w:r w:rsidRPr="00AC74F2">
              <w:rPr>
                <w:color w:val="000000"/>
                <w:sz w:val="20"/>
                <w:szCs w:val="20"/>
              </w:rPr>
              <w:t>Average hourly wage rate*</w:t>
            </w:r>
          </w:p>
        </w:tc>
        <w:tc>
          <w:tcPr>
            <w:tcW w:w="1896" w:type="dxa"/>
            <w:shd w:val="clear" w:color="auto" w:fill="auto"/>
            <w:tcMar>
              <w:top w:w="0" w:type="dxa"/>
              <w:left w:w="108" w:type="dxa"/>
              <w:bottom w:w="0" w:type="dxa"/>
              <w:right w:w="108" w:type="dxa"/>
            </w:tcMar>
            <w:vAlign w:val="center"/>
          </w:tcPr>
          <w:p w:rsidRPr="00AC74F2" w:rsidR="00EE223B" w:rsidP="009A7FB3" w:rsidRDefault="00EE223B" w14:paraId="033AEA3B" w14:textId="77777777">
            <w:pPr>
              <w:jc w:val="center"/>
            </w:pPr>
            <w:r w:rsidRPr="00AC74F2">
              <w:rPr>
                <w:color w:val="000000"/>
                <w:sz w:val="20"/>
                <w:szCs w:val="20"/>
              </w:rPr>
              <w:t>Total cost burden</w:t>
            </w:r>
          </w:p>
        </w:tc>
      </w:tr>
      <w:tr w:rsidRPr="00AC74F2" w:rsidR="005E1BC8" w:rsidTr="00BA20D9" w14:paraId="68F18B09" w14:textId="77777777">
        <w:tc>
          <w:tcPr>
            <w:tcW w:w="3344" w:type="dxa"/>
            <w:shd w:val="clear" w:color="auto" w:fill="auto"/>
            <w:tcMar>
              <w:top w:w="0" w:type="dxa"/>
              <w:left w:w="108" w:type="dxa"/>
              <w:bottom w:w="0" w:type="dxa"/>
              <w:right w:w="108" w:type="dxa"/>
            </w:tcMar>
            <w:vAlign w:val="center"/>
          </w:tcPr>
          <w:p w:rsidRPr="00B84F7E" w:rsidR="005E1BC8" w:rsidP="00771427" w:rsidRDefault="005E1BC8" w14:paraId="45095B38" w14:textId="4B8603D8">
            <w:r w:rsidRPr="00B84F7E">
              <w:t xml:space="preserve">Customer satisfaction survey (web-based) - </w:t>
            </w:r>
            <w:r w:rsidRPr="00B84F7E" w:rsidR="00771427">
              <w:t>Administrators</w:t>
            </w:r>
          </w:p>
        </w:tc>
        <w:tc>
          <w:tcPr>
            <w:tcW w:w="1410" w:type="dxa"/>
            <w:shd w:val="clear" w:color="auto" w:fill="auto"/>
            <w:tcMar>
              <w:top w:w="0" w:type="dxa"/>
              <w:left w:w="108" w:type="dxa"/>
              <w:bottom w:w="0" w:type="dxa"/>
              <w:right w:w="108" w:type="dxa"/>
            </w:tcMar>
            <w:vAlign w:val="center"/>
          </w:tcPr>
          <w:p w:rsidRPr="00AC74F2" w:rsidR="005E1BC8" w:rsidP="005E1BC8" w:rsidRDefault="00F63D76" w14:paraId="12FD5D36" w14:textId="4BAC4D47">
            <w:pPr>
              <w:jc w:val="center"/>
            </w:pPr>
            <w:r w:rsidRPr="00AC74F2">
              <w:t>1020</w:t>
            </w:r>
          </w:p>
        </w:tc>
        <w:tc>
          <w:tcPr>
            <w:tcW w:w="1168" w:type="dxa"/>
            <w:shd w:val="clear" w:color="auto" w:fill="auto"/>
            <w:tcMar>
              <w:top w:w="0" w:type="dxa"/>
              <w:left w:w="108" w:type="dxa"/>
              <w:bottom w:w="0" w:type="dxa"/>
              <w:right w:w="108" w:type="dxa"/>
            </w:tcMar>
            <w:vAlign w:val="center"/>
          </w:tcPr>
          <w:p w:rsidRPr="00AC74F2" w:rsidR="005E1BC8" w:rsidP="005E1BC8" w:rsidRDefault="00195375" w14:paraId="1CED9E10" w14:textId="3BFCCBFF">
            <w:pPr>
              <w:jc w:val="center"/>
            </w:pPr>
            <w:r w:rsidRPr="00AC74F2">
              <w:t>85</w:t>
            </w:r>
          </w:p>
        </w:tc>
        <w:tc>
          <w:tcPr>
            <w:tcW w:w="1414" w:type="dxa"/>
            <w:shd w:val="clear" w:color="auto" w:fill="auto"/>
            <w:tcMar>
              <w:top w:w="0" w:type="dxa"/>
              <w:left w:w="108" w:type="dxa"/>
              <w:bottom w:w="0" w:type="dxa"/>
              <w:right w:w="108" w:type="dxa"/>
            </w:tcMar>
            <w:vAlign w:val="center"/>
          </w:tcPr>
          <w:p w:rsidRPr="00AC74F2" w:rsidR="005E1BC8" w:rsidP="005E1BC8" w:rsidRDefault="005E1BC8" w14:paraId="62D57D30" w14:textId="0A32732A">
            <w:pPr>
              <w:jc w:val="center"/>
              <w:rPr>
                <w:vertAlign w:val="superscript"/>
              </w:rPr>
            </w:pPr>
            <w:r w:rsidRPr="00AC74F2">
              <w:rPr>
                <w:color w:val="000000"/>
                <w:sz w:val="22"/>
                <w:szCs w:val="22"/>
              </w:rPr>
              <w:t>$46.50</w:t>
            </w:r>
            <w:r w:rsidRPr="00AC74F2">
              <w:rPr>
                <w:color w:val="000000"/>
                <w:sz w:val="22"/>
                <w:szCs w:val="22"/>
                <w:vertAlign w:val="superscript"/>
              </w:rPr>
              <w:t>1</w:t>
            </w:r>
          </w:p>
        </w:tc>
        <w:tc>
          <w:tcPr>
            <w:tcW w:w="1896" w:type="dxa"/>
            <w:shd w:val="clear" w:color="auto" w:fill="auto"/>
            <w:tcMar>
              <w:top w:w="0" w:type="dxa"/>
              <w:left w:w="108" w:type="dxa"/>
              <w:bottom w:w="0" w:type="dxa"/>
              <w:right w:w="108" w:type="dxa"/>
            </w:tcMar>
            <w:vAlign w:val="center"/>
          </w:tcPr>
          <w:p w:rsidRPr="00AC74F2" w:rsidR="005E1BC8" w:rsidP="00195375" w:rsidRDefault="005E1BC8" w14:paraId="33308F2D" w14:textId="212F385C">
            <w:pPr>
              <w:jc w:val="center"/>
            </w:pPr>
            <w:r w:rsidRPr="00AC74F2">
              <w:t>$</w:t>
            </w:r>
            <w:r w:rsidRPr="00AC74F2" w:rsidR="00195375">
              <w:t>3,953</w:t>
            </w:r>
          </w:p>
        </w:tc>
      </w:tr>
      <w:tr w:rsidRPr="00AC74F2" w:rsidR="005E1BC8" w:rsidTr="00BA20D9" w14:paraId="38336EA5" w14:textId="77777777">
        <w:tc>
          <w:tcPr>
            <w:tcW w:w="3344" w:type="dxa"/>
            <w:shd w:val="clear" w:color="auto" w:fill="auto"/>
            <w:tcMar>
              <w:top w:w="0" w:type="dxa"/>
              <w:left w:w="108" w:type="dxa"/>
              <w:bottom w:w="0" w:type="dxa"/>
              <w:right w:w="108" w:type="dxa"/>
            </w:tcMar>
            <w:vAlign w:val="center"/>
          </w:tcPr>
          <w:p w:rsidRPr="00B84F7E" w:rsidR="005E1BC8" w:rsidP="005E1BC8" w:rsidRDefault="005E1BC8" w14:paraId="156FC25F" w14:textId="24C1DCD9">
            <w:r w:rsidRPr="00B84F7E">
              <w:t>Customer satisfaction survey (web-based) - Staff</w:t>
            </w:r>
          </w:p>
        </w:tc>
        <w:tc>
          <w:tcPr>
            <w:tcW w:w="1410" w:type="dxa"/>
            <w:shd w:val="clear" w:color="auto" w:fill="auto"/>
            <w:tcMar>
              <w:top w:w="0" w:type="dxa"/>
              <w:left w:w="108" w:type="dxa"/>
              <w:bottom w:w="0" w:type="dxa"/>
              <w:right w:w="108" w:type="dxa"/>
            </w:tcMar>
            <w:vAlign w:val="center"/>
          </w:tcPr>
          <w:p w:rsidRPr="00AC74F2" w:rsidR="005E1BC8" w:rsidP="00F63D76" w:rsidRDefault="00F63D76" w14:paraId="7B8071C7" w14:textId="0CCA7752">
            <w:pPr>
              <w:jc w:val="center"/>
            </w:pPr>
            <w:r w:rsidRPr="00AC74F2">
              <w:t>3051</w:t>
            </w:r>
          </w:p>
        </w:tc>
        <w:tc>
          <w:tcPr>
            <w:tcW w:w="1168" w:type="dxa"/>
            <w:shd w:val="clear" w:color="auto" w:fill="auto"/>
            <w:tcMar>
              <w:top w:w="0" w:type="dxa"/>
              <w:left w:w="108" w:type="dxa"/>
              <w:bottom w:w="0" w:type="dxa"/>
              <w:right w:w="108" w:type="dxa"/>
            </w:tcMar>
            <w:vAlign w:val="center"/>
          </w:tcPr>
          <w:p w:rsidRPr="00AC74F2" w:rsidR="005E1BC8" w:rsidP="005E1BC8" w:rsidRDefault="00195375" w14:paraId="0999D323" w14:textId="7C9DFB4C">
            <w:pPr>
              <w:jc w:val="center"/>
            </w:pPr>
            <w:r w:rsidRPr="00AC74F2">
              <w:t>254</w:t>
            </w:r>
          </w:p>
        </w:tc>
        <w:tc>
          <w:tcPr>
            <w:tcW w:w="1414" w:type="dxa"/>
            <w:shd w:val="clear" w:color="auto" w:fill="auto"/>
            <w:tcMar>
              <w:top w:w="0" w:type="dxa"/>
              <w:left w:w="108" w:type="dxa"/>
              <w:bottom w:w="0" w:type="dxa"/>
              <w:right w:w="108" w:type="dxa"/>
            </w:tcMar>
            <w:vAlign w:val="center"/>
          </w:tcPr>
          <w:p w:rsidRPr="00AC74F2" w:rsidR="005E1BC8" w:rsidP="005E1BC8" w:rsidRDefault="005E1BC8" w14:paraId="210A4A5F" w14:textId="2CE7C76F">
            <w:pPr>
              <w:jc w:val="center"/>
            </w:pPr>
            <w:r w:rsidRPr="00AC74F2">
              <w:rPr>
                <w:color w:val="000000"/>
                <w:sz w:val="22"/>
                <w:szCs w:val="22"/>
              </w:rPr>
              <w:t>$19.65</w:t>
            </w:r>
            <w:r w:rsidRPr="00AC74F2">
              <w:rPr>
                <w:color w:val="000000"/>
                <w:sz w:val="22"/>
                <w:szCs w:val="22"/>
                <w:vertAlign w:val="superscript"/>
              </w:rPr>
              <w:t>2</w:t>
            </w:r>
          </w:p>
        </w:tc>
        <w:tc>
          <w:tcPr>
            <w:tcW w:w="1896" w:type="dxa"/>
            <w:shd w:val="clear" w:color="auto" w:fill="auto"/>
            <w:tcMar>
              <w:top w:w="0" w:type="dxa"/>
              <w:left w:w="108" w:type="dxa"/>
              <w:bottom w:w="0" w:type="dxa"/>
              <w:right w:w="108" w:type="dxa"/>
            </w:tcMar>
            <w:vAlign w:val="center"/>
          </w:tcPr>
          <w:p w:rsidRPr="00AC74F2" w:rsidR="005E1BC8" w:rsidP="00195375" w:rsidRDefault="00F63D76" w14:paraId="22D3F38F" w14:textId="14DD31FF">
            <w:pPr>
              <w:jc w:val="center"/>
            </w:pPr>
            <w:r w:rsidRPr="00AC74F2">
              <w:t>$</w:t>
            </w:r>
            <w:r w:rsidRPr="00AC74F2" w:rsidR="00195375">
              <w:t>4,991</w:t>
            </w:r>
          </w:p>
        </w:tc>
      </w:tr>
      <w:tr w:rsidRPr="00AC74F2" w:rsidR="00B84F7E" w:rsidTr="00FF6EB5" w14:paraId="0D7EEA46" w14:textId="77777777">
        <w:tc>
          <w:tcPr>
            <w:tcW w:w="3344" w:type="dxa"/>
            <w:shd w:val="clear" w:color="auto" w:fill="auto"/>
            <w:tcMar>
              <w:top w:w="0" w:type="dxa"/>
              <w:left w:w="108" w:type="dxa"/>
              <w:bottom w:w="0" w:type="dxa"/>
              <w:right w:w="108" w:type="dxa"/>
            </w:tcMar>
            <w:vAlign w:val="center"/>
          </w:tcPr>
          <w:p w:rsidRPr="00B84F7E" w:rsidR="00B84F7E" w:rsidP="00A5236E" w:rsidRDefault="00B84F7E" w14:paraId="35715862" w14:textId="7AE5978C">
            <w:r w:rsidRPr="00B84F7E">
              <w:t>Customer satisfaction (follow-up conversation) - Administrators</w:t>
            </w:r>
          </w:p>
        </w:tc>
        <w:tc>
          <w:tcPr>
            <w:tcW w:w="1410" w:type="dxa"/>
            <w:shd w:val="clear" w:color="auto" w:fill="auto"/>
            <w:tcMar>
              <w:top w:w="0" w:type="dxa"/>
              <w:left w:w="108" w:type="dxa"/>
              <w:bottom w:w="0" w:type="dxa"/>
              <w:right w:w="108" w:type="dxa"/>
            </w:tcMar>
            <w:vAlign w:val="center"/>
          </w:tcPr>
          <w:p w:rsidRPr="00AC74F2" w:rsidR="00B84F7E" w:rsidP="00B84F7E" w:rsidRDefault="00B84F7E" w14:paraId="58586E8F" w14:textId="25A282BE">
            <w:pPr>
              <w:jc w:val="center"/>
            </w:pPr>
            <w:r>
              <w:t>125</w:t>
            </w:r>
          </w:p>
        </w:tc>
        <w:tc>
          <w:tcPr>
            <w:tcW w:w="1168" w:type="dxa"/>
            <w:shd w:val="clear" w:color="auto" w:fill="auto"/>
            <w:tcMar>
              <w:top w:w="0" w:type="dxa"/>
              <w:left w:w="108" w:type="dxa"/>
              <w:bottom w:w="0" w:type="dxa"/>
              <w:right w:w="108" w:type="dxa"/>
            </w:tcMar>
            <w:vAlign w:val="center"/>
          </w:tcPr>
          <w:p w:rsidRPr="00AC74F2" w:rsidR="00B84F7E" w:rsidP="00B84F7E" w:rsidRDefault="00B84F7E" w14:paraId="53963E50" w14:textId="25289733">
            <w:pPr>
              <w:jc w:val="center"/>
            </w:pPr>
            <w:r>
              <w:t>41</w:t>
            </w:r>
          </w:p>
        </w:tc>
        <w:tc>
          <w:tcPr>
            <w:tcW w:w="1414" w:type="dxa"/>
            <w:shd w:val="clear" w:color="auto" w:fill="auto"/>
            <w:tcMar>
              <w:top w:w="0" w:type="dxa"/>
              <w:left w:w="108" w:type="dxa"/>
              <w:bottom w:w="0" w:type="dxa"/>
              <w:right w:w="108" w:type="dxa"/>
            </w:tcMar>
            <w:vAlign w:val="center"/>
          </w:tcPr>
          <w:p w:rsidRPr="00AC74F2" w:rsidR="00B84F7E" w:rsidP="00B84F7E" w:rsidRDefault="00B84F7E" w14:paraId="720C17B5" w14:textId="08B70806">
            <w:pPr>
              <w:jc w:val="center"/>
              <w:rPr>
                <w:vertAlign w:val="superscript"/>
              </w:rPr>
            </w:pPr>
            <w:r w:rsidRPr="00AC74F2">
              <w:rPr>
                <w:color w:val="000000"/>
                <w:sz w:val="22"/>
                <w:szCs w:val="22"/>
              </w:rPr>
              <w:t>$46.50</w:t>
            </w:r>
            <w:r w:rsidRPr="00AC74F2">
              <w:rPr>
                <w:color w:val="000000"/>
                <w:sz w:val="22"/>
                <w:szCs w:val="22"/>
                <w:vertAlign w:val="superscript"/>
              </w:rPr>
              <w:t>1</w:t>
            </w:r>
          </w:p>
        </w:tc>
        <w:tc>
          <w:tcPr>
            <w:tcW w:w="1896" w:type="dxa"/>
            <w:shd w:val="clear" w:color="auto" w:fill="auto"/>
            <w:tcMar>
              <w:top w:w="0" w:type="dxa"/>
              <w:left w:w="108" w:type="dxa"/>
              <w:bottom w:w="0" w:type="dxa"/>
              <w:right w:w="108" w:type="dxa"/>
            </w:tcMar>
            <w:vAlign w:val="center"/>
          </w:tcPr>
          <w:p w:rsidRPr="00AC74F2" w:rsidR="00B84F7E" w:rsidP="00B84F7E" w:rsidRDefault="00B84F7E" w14:paraId="54F671F7" w14:textId="23B8CB2F">
            <w:pPr>
              <w:jc w:val="center"/>
            </w:pPr>
            <w:r w:rsidRPr="00AC74F2">
              <w:t>$</w:t>
            </w:r>
            <w:r>
              <w:t>1,097</w:t>
            </w:r>
          </w:p>
        </w:tc>
      </w:tr>
      <w:tr w:rsidRPr="00AC74F2" w:rsidR="00B84F7E" w:rsidTr="00FF6EB5" w14:paraId="512CCC73" w14:textId="77777777">
        <w:tc>
          <w:tcPr>
            <w:tcW w:w="3344" w:type="dxa"/>
            <w:shd w:val="clear" w:color="auto" w:fill="auto"/>
            <w:tcMar>
              <w:top w:w="0" w:type="dxa"/>
              <w:left w:w="108" w:type="dxa"/>
              <w:bottom w:w="0" w:type="dxa"/>
              <w:right w:w="108" w:type="dxa"/>
            </w:tcMar>
            <w:vAlign w:val="center"/>
          </w:tcPr>
          <w:p w:rsidRPr="00AC74F2" w:rsidR="00B84F7E" w:rsidP="00A5236E" w:rsidRDefault="00B84F7E" w14:paraId="07553C71" w14:textId="7ACE4664">
            <w:r w:rsidRPr="00AC74F2">
              <w:t>Customer satisfaction (</w:t>
            </w:r>
            <w:r>
              <w:t>follow-up conversation</w:t>
            </w:r>
            <w:r w:rsidRPr="00AC74F2">
              <w:t>) - Staff</w:t>
            </w:r>
          </w:p>
        </w:tc>
        <w:tc>
          <w:tcPr>
            <w:tcW w:w="1410" w:type="dxa"/>
            <w:shd w:val="clear" w:color="auto" w:fill="auto"/>
            <w:tcMar>
              <w:top w:w="0" w:type="dxa"/>
              <w:left w:w="108" w:type="dxa"/>
              <w:bottom w:w="0" w:type="dxa"/>
              <w:right w:w="108" w:type="dxa"/>
            </w:tcMar>
            <w:vAlign w:val="center"/>
          </w:tcPr>
          <w:p w:rsidRPr="00AC74F2" w:rsidR="00B84F7E" w:rsidP="00B84F7E" w:rsidRDefault="00B84F7E" w14:paraId="6BFC7DA9" w14:textId="054227F1">
            <w:pPr>
              <w:jc w:val="center"/>
            </w:pPr>
            <w:r>
              <w:t>375</w:t>
            </w:r>
          </w:p>
        </w:tc>
        <w:tc>
          <w:tcPr>
            <w:tcW w:w="1168" w:type="dxa"/>
            <w:shd w:val="clear" w:color="auto" w:fill="auto"/>
            <w:tcMar>
              <w:top w:w="0" w:type="dxa"/>
              <w:left w:w="108" w:type="dxa"/>
              <w:bottom w:w="0" w:type="dxa"/>
              <w:right w:w="108" w:type="dxa"/>
            </w:tcMar>
            <w:vAlign w:val="center"/>
          </w:tcPr>
          <w:p w:rsidRPr="00AC74F2" w:rsidR="00B84F7E" w:rsidP="00B84F7E" w:rsidRDefault="00B84F7E" w14:paraId="506DA897" w14:textId="03C7D632">
            <w:pPr>
              <w:jc w:val="center"/>
            </w:pPr>
            <w:r>
              <w:t>125</w:t>
            </w:r>
          </w:p>
        </w:tc>
        <w:tc>
          <w:tcPr>
            <w:tcW w:w="1414" w:type="dxa"/>
            <w:shd w:val="clear" w:color="auto" w:fill="auto"/>
            <w:tcMar>
              <w:top w:w="0" w:type="dxa"/>
              <w:left w:w="108" w:type="dxa"/>
              <w:bottom w:w="0" w:type="dxa"/>
              <w:right w:w="108" w:type="dxa"/>
            </w:tcMar>
            <w:vAlign w:val="center"/>
          </w:tcPr>
          <w:p w:rsidRPr="00AC74F2" w:rsidR="00B84F7E" w:rsidP="00B84F7E" w:rsidRDefault="00B84F7E" w14:paraId="19E98DC9" w14:textId="11B56E2C">
            <w:pPr>
              <w:jc w:val="center"/>
              <w:rPr>
                <w:vertAlign w:val="superscript"/>
              </w:rPr>
            </w:pPr>
            <w:r w:rsidRPr="00AC74F2">
              <w:rPr>
                <w:color w:val="000000"/>
                <w:sz w:val="22"/>
                <w:szCs w:val="22"/>
              </w:rPr>
              <w:t>$19.65</w:t>
            </w:r>
            <w:r w:rsidRPr="00AC74F2">
              <w:rPr>
                <w:color w:val="000000"/>
                <w:sz w:val="22"/>
                <w:szCs w:val="22"/>
                <w:vertAlign w:val="superscript"/>
              </w:rPr>
              <w:t>2</w:t>
            </w:r>
          </w:p>
        </w:tc>
        <w:tc>
          <w:tcPr>
            <w:tcW w:w="1896" w:type="dxa"/>
            <w:shd w:val="clear" w:color="auto" w:fill="auto"/>
            <w:tcMar>
              <w:top w:w="0" w:type="dxa"/>
              <w:left w:w="108" w:type="dxa"/>
              <w:bottom w:w="0" w:type="dxa"/>
              <w:right w:w="108" w:type="dxa"/>
            </w:tcMar>
            <w:vAlign w:val="center"/>
          </w:tcPr>
          <w:p w:rsidRPr="00AC74F2" w:rsidR="00B84F7E" w:rsidP="00B84F7E" w:rsidRDefault="00B84F7E" w14:paraId="2FF12532" w14:textId="069AB8C5">
            <w:pPr>
              <w:jc w:val="center"/>
            </w:pPr>
            <w:r w:rsidRPr="00AC74F2">
              <w:t>$</w:t>
            </w:r>
            <w:r>
              <w:t>2,456</w:t>
            </w:r>
          </w:p>
        </w:tc>
      </w:tr>
      <w:tr w:rsidRPr="00AC74F2" w:rsidR="00B84F7E" w:rsidTr="00BA20D9" w14:paraId="0C68CDCA" w14:textId="77777777">
        <w:tc>
          <w:tcPr>
            <w:tcW w:w="3344" w:type="dxa"/>
            <w:shd w:val="clear" w:color="auto" w:fill="auto"/>
            <w:tcMar>
              <w:top w:w="0" w:type="dxa"/>
              <w:left w:w="108" w:type="dxa"/>
              <w:bottom w:w="0" w:type="dxa"/>
              <w:right w:w="108" w:type="dxa"/>
            </w:tcMar>
            <w:vAlign w:val="center"/>
          </w:tcPr>
          <w:p w:rsidRPr="00AC74F2" w:rsidR="00B84F7E" w:rsidP="00B84F7E" w:rsidRDefault="00B84F7E" w14:paraId="4492C074" w14:textId="77777777">
            <w:pPr>
              <w:rPr>
                <w:b/>
              </w:rPr>
            </w:pPr>
            <w:r w:rsidRPr="00AC74F2">
              <w:rPr>
                <w:b/>
              </w:rPr>
              <w:t>Total</w:t>
            </w:r>
          </w:p>
        </w:tc>
        <w:tc>
          <w:tcPr>
            <w:tcW w:w="1410" w:type="dxa"/>
            <w:shd w:val="clear" w:color="auto" w:fill="auto"/>
            <w:tcMar>
              <w:top w:w="0" w:type="dxa"/>
              <w:left w:w="108" w:type="dxa"/>
              <w:bottom w:w="0" w:type="dxa"/>
              <w:right w:w="108" w:type="dxa"/>
            </w:tcMar>
            <w:vAlign w:val="center"/>
          </w:tcPr>
          <w:p w:rsidRPr="00AC74F2" w:rsidR="00B84F7E" w:rsidP="00B84F7E" w:rsidRDefault="00A5236E" w14:paraId="4CEDE8B9" w14:textId="5476FDA5">
            <w:pPr>
              <w:jc w:val="center"/>
              <w:rPr>
                <w:b/>
              </w:rPr>
            </w:pPr>
            <w:r>
              <w:rPr>
                <w:b/>
              </w:rPr>
              <w:t>45</w:t>
            </w:r>
            <w:r w:rsidRPr="00AC74F2" w:rsidR="00B84F7E">
              <w:rPr>
                <w:b/>
              </w:rPr>
              <w:t>71</w:t>
            </w:r>
            <w:r w:rsidR="00B84F7E">
              <w:rPr>
                <w:b/>
              </w:rPr>
              <w:t>*</w:t>
            </w:r>
          </w:p>
        </w:tc>
        <w:tc>
          <w:tcPr>
            <w:tcW w:w="1168" w:type="dxa"/>
            <w:shd w:val="clear" w:color="auto" w:fill="auto"/>
            <w:tcMar>
              <w:top w:w="0" w:type="dxa"/>
              <w:left w:w="108" w:type="dxa"/>
              <w:bottom w:w="0" w:type="dxa"/>
              <w:right w:w="108" w:type="dxa"/>
            </w:tcMar>
            <w:vAlign w:val="center"/>
          </w:tcPr>
          <w:p w:rsidRPr="00AC74F2" w:rsidR="00B84F7E" w:rsidP="00B84F7E" w:rsidRDefault="00B84F7E" w14:paraId="5E05DF17" w14:textId="44CD7BED">
            <w:pPr>
              <w:jc w:val="center"/>
              <w:rPr>
                <w:b/>
                <w:bCs/>
              </w:rPr>
            </w:pPr>
            <w:r>
              <w:rPr>
                <w:b/>
                <w:bCs/>
              </w:rPr>
              <w:t>505</w:t>
            </w:r>
          </w:p>
        </w:tc>
        <w:tc>
          <w:tcPr>
            <w:tcW w:w="1414" w:type="dxa"/>
            <w:shd w:val="clear" w:color="auto" w:fill="auto"/>
            <w:tcMar>
              <w:top w:w="0" w:type="dxa"/>
              <w:left w:w="108" w:type="dxa"/>
              <w:bottom w:w="0" w:type="dxa"/>
              <w:right w:w="108" w:type="dxa"/>
            </w:tcMar>
            <w:vAlign w:val="center"/>
          </w:tcPr>
          <w:p w:rsidRPr="00AC74F2" w:rsidR="00B84F7E" w:rsidP="00B84F7E" w:rsidRDefault="00B84F7E" w14:paraId="224C660D" w14:textId="71706010">
            <w:pPr>
              <w:jc w:val="center"/>
              <w:rPr>
                <w:b/>
              </w:rPr>
            </w:pPr>
            <w:r>
              <w:rPr>
                <w:b/>
              </w:rPr>
              <w:t>NA</w:t>
            </w:r>
          </w:p>
        </w:tc>
        <w:tc>
          <w:tcPr>
            <w:tcW w:w="1896" w:type="dxa"/>
            <w:shd w:val="clear" w:color="auto" w:fill="auto"/>
            <w:tcMar>
              <w:top w:w="0" w:type="dxa"/>
              <w:left w:w="108" w:type="dxa"/>
              <w:bottom w:w="0" w:type="dxa"/>
              <w:right w:w="108" w:type="dxa"/>
            </w:tcMar>
            <w:vAlign w:val="center"/>
          </w:tcPr>
          <w:p w:rsidRPr="00AC74F2" w:rsidR="00B84F7E" w:rsidP="00B84F7E" w:rsidRDefault="00B84F7E" w14:paraId="67F3BB64" w14:textId="714319F1">
            <w:pPr>
              <w:jc w:val="center"/>
              <w:rPr>
                <w:b/>
                <w:bCs/>
              </w:rPr>
            </w:pPr>
            <w:r>
              <w:rPr>
                <w:b/>
                <w:bCs/>
              </w:rPr>
              <w:t>$12,497</w:t>
            </w:r>
          </w:p>
        </w:tc>
      </w:tr>
    </w:tbl>
    <w:p w:rsidR="00B84F7E" w:rsidP="005E1BC8" w:rsidRDefault="00B84F7E" w14:paraId="1E4EDD6C" w14:textId="45973BB8">
      <w:pPr>
        <w:rPr>
          <w:color w:val="000000"/>
          <w:sz w:val="20"/>
          <w:szCs w:val="20"/>
        </w:rPr>
      </w:pPr>
      <w:r>
        <w:rPr>
          <w:color w:val="000000"/>
          <w:sz w:val="20"/>
          <w:szCs w:val="20"/>
        </w:rPr>
        <w:t>*</w:t>
      </w:r>
      <w:r w:rsidR="00A5236E">
        <w:rPr>
          <w:color w:val="000000"/>
          <w:sz w:val="20"/>
          <w:szCs w:val="20"/>
        </w:rPr>
        <w:t xml:space="preserve">NOTE: </w:t>
      </w:r>
      <w:r>
        <w:rPr>
          <w:color w:val="000000"/>
          <w:sz w:val="20"/>
          <w:szCs w:val="20"/>
        </w:rPr>
        <w:t>Respondents with a follow-up conversation are a subset of the respondents to the web-based customer satisfaction survey.</w:t>
      </w:r>
    </w:p>
    <w:p w:rsidRPr="00AC74F2" w:rsidR="005E1BC8" w:rsidP="005E1BC8" w:rsidRDefault="005E1BC8" w14:paraId="793DC26B" w14:textId="6EDFE486">
      <w:pPr>
        <w:rPr>
          <w:sz w:val="20"/>
          <w:szCs w:val="20"/>
        </w:rPr>
      </w:pPr>
      <w:r w:rsidRPr="00AC74F2">
        <w:rPr>
          <w:color w:val="000000"/>
          <w:sz w:val="20"/>
          <w:szCs w:val="20"/>
        </w:rPr>
        <w:t xml:space="preserve">**Wage rates were calculated using the mean hourly wage from the U.S. Department of Labor, Bureau of Labor Statistics, May 2019 National Occupational Employment and Wage Estimates for the United States, </w:t>
      </w:r>
      <w:hyperlink w:history="1" r:id="rId8">
        <w:r w:rsidRPr="00AC74F2">
          <w:rPr>
            <w:rStyle w:val="Hyperlink"/>
            <w:sz w:val="20"/>
            <w:szCs w:val="20"/>
          </w:rPr>
          <w:t>https://www.bls.gov/oes/current/oes_nat.htm</w:t>
        </w:r>
      </w:hyperlink>
    </w:p>
    <w:p w:rsidRPr="00AC74F2" w:rsidR="005E1BC8" w:rsidP="005E1BC8" w:rsidRDefault="005E1BC8" w14:paraId="51586AF2" w14:textId="77777777">
      <w:pPr>
        <w:rPr>
          <w:sz w:val="20"/>
          <w:szCs w:val="20"/>
        </w:rPr>
      </w:pPr>
      <w:r w:rsidRPr="00AC74F2">
        <w:rPr>
          <w:sz w:val="20"/>
          <w:szCs w:val="20"/>
          <w:vertAlign w:val="superscript"/>
        </w:rPr>
        <w:t xml:space="preserve">1 </w:t>
      </w:r>
      <w:r w:rsidRPr="00AC74F2">
        <w:rPr>
          <w:sz w:val="20"/>
          <w:szCs w:val="20"/>
        </w:rPr>
        <w:t>Average rate for Nursing Care Facilities: Management Occupations</w:t>
      </w:r>
    </w:p>
    <w:p w:rsidRPr="00AC74F2" w:rsidR="005E1BC8" w:rsidP="005E1BC8" w:rsidRDefault="005E1BC8" w14:paraId="480BAB4B" w14:textId="77777777">
      <w:pPr>
        <w:rPr>
          <w:sz w:val="20"/>
          <w:szCs w:val="20"/>
        </w:rPr>
      </w:pPr>
      <w:r w:rsidRPr="00AC74F2">
        <w:rPr>
          <w:sz w:val="20"/>
          <w:szCs w:val="20"/>
          <w:vertAlign w:val="superscript"/>
        </w:rPr>
        <w:t>2</w:t>
      </w:r>
      <w:r w:rsidRPr="00AC74F2">
        <w:rPr>
          <w:sz w:val="20"/>
          <w:szCs w:val="20"/>
        </w:rPr>
        <w:t xml:space="preserve"> Average rate for Nursing Care Facilities: All Occupations</w:t>
      </w:r>
    </w:p>
    <w:p w:rsidRPr="00AC74F2" w:rsidR="00EE223B" w:rsidP="00EE223B" w:rsidRDefault="00EE223B" w14:paraId="3F502034" w14:textId="77777777">
      <w:pPr>
        <w:rPr>
          <w:i/>
          <w:color w:val="000000"/>
          <w:sz w:val="20"/>
          <w:szCs w:val="20"/>
        </w:rPr>
      </w:pPr>
    </w:p>
    <w:p w:rsidRPr="00AC74F2" w:rsidR="00EE223B" w:rsidP="00EE223B" w:rsidRDefault="00EE223B" w14:paraId="7FF04AF2" w14:textId="77777777">
      <w:pPr>
        <w:pStyle w:val="Heading2"/>
        <w:rPr>
          <w:rFonts w:cs="Times New Roman"/>
          <w:sz w:val="24"/>
        </w:rPr>
      </w:pPr>
      <w:bookmarkStart w:name="_Toc151782188" w:id="31"/>
      <w:bookmarkStart w:name="_Toc158526228" w:id="32"/>
      <w:bookmarkStart w:name="_Toc151782191" w:id="33"/>
      <w:bookmarkStart w:name="_Toc158526231" w:id="34"/>
      <w:r w:rsidRPr="00AC74F2">
        <w:rPr>
          <w:rFonts w:cs="Times New Roman"/>
          <w:sz w:val="24"/>
        </w:rPr>
        <w:t>13. Estimates of Annualized Respondent Capital and Maintenance Costs</w:t>
      </w:r>
      <w:bookmarkEnd w:id="31"/>
      <w:bookmarkEnd w:id="32"/>
    </w:p>
    <w:p w:rsidRPr="00AC74F2" w:rsidR="00EE223B" w:rsidP="00EE223B" w:rsidRDefault="00EE223B" w14:paraId="407820DF" w14:textId="77777777">
      <w:pPr>
        <w:spacing w:before="120"/>
      </w:pPr>
      <w:r w:rsidRPr="00AC74F2">
        <w:t>There are no direct costs to respondents other than their time to participate in the study.</w:t>
      </w:r>
    </w:p>
    <w:p w:rsidRPr="00AC74F2" w:rsidR="00EE223B" w:rsidP="00EE223B" w:rsidRDefault="00EE223B" w14:paraId="5B91E7B2" w14:textId="77777777">
      <w:pPr>
        <w:pStyle w:val="Heading2"/>
        <w:rPr>
          <w:rFonts w:cs="Times New Roman"/>
          <w:sz w:val="24"/>
        </w:rPr>
      </w:pPr>
      <w:bookmarkStart w:name="_Toc58725299" w:id="35"/>
      <w:bookmarkStart w:name="_Toc151782189" w:id="36"/>
      <w:bookmarkStart w:name="_Toc158526229" w:id="37"/>
      <w:r w:rsidRPr="00AC74F2">
        <w:rPr>
          <w:rFonts w:cs="Times New Roman"/>
          <w:sz w:val="24"/>
        </w:rPr>
        <w:t>14. Estimates of Total and Annualized Cost to the Government</w:t>
      </w:r>
      <w:bookmarkEnd w:id="35"/>
      <w:bookmarkEnd w:id="36"/>
      <w:bookmarkEnd w:id="37"/>
    </w:p>
    <w:p w:rsidRPr="00AC74F2" w:rsidR="00EE223B" w:rsidP="00EE223B" w:rsidRDefault="00EE223B" w14:paraId="07728BF5" w14:textId="2B083D19">
      <w:pPr>
        <w:spacing w:before="120"/>
      </w:pPr>
      <w:r w:rsidRPr="00AC74F2">
        <w:t xml:space="preserve">The total contractor cost to the government is estimated to be </w:t>
      </w:r>
      <w:r w:rsidRPr="00AC74F2" w:rsidR="00BB6A37">
        <w:t>$50,285</w:t>
      </w:r>
      <w:r w:rsidRPr="00AC74F2">
        <w:t>. As shown in Exhibit 3a, this amount includes costs for project development (</w:t>
      </w:r>
      <w:r w:rsidRPr="00AC74F2" w:rsidR="00BB6A37">
        <w:t>$10,057</w:t>
      </w:r>
      <w:r w:rsidRPr="00AC74F2">
        <w:t xml:space="preserve">); </w:t>
      </w:r>
      <w:r w:rsidRPr="00AC74F2" w:rsidR="003A12A5">
        <w:t xml:space="preserve">survey programming and </w:t>
      </w:r>
      <w:r w:rsidRPr="00AC74F2">
        <w:t>data collection (</w:t>
      </w:r>
      <w:r w:rsidRPr="00AC74F2" w:rsidR="00BB6A37">
        <w:t>$22,628</w:t>
      </w:r>
      <w:r w:rsidRPr="00AC74F2">
        <w:t>)</w:t>
      </w:r>
      <w:r w:rsidR="00795480">
        <w:t xml:space="preserve">; and </w:t>
      </w:r>
      <w:r w:rsidRPr="00AC74F2">
        <w:t>data processing and analysis (</w:t>
      </w:r>
      <w:r w:rsidRPr="00AC74F2" w:rsidR="00BB6A37">
        <w:t>$17,600)</w:t>
      </w:r>
      <w:r w:rsidR="00795480">
        <w:t>. As shown in Exhibit 3b,  Federal government personnel cost includes oversight of data collection and review ($1,737).</w:t>
      </w:r>
    </w:p>
    <w:p w:rsidRPr="00AC74F2" w:rsidR="00EE223B" w:rsidP="00EE223B" w:rsidRDefault="00EE223B" w14:paraId="506FE5E2" w14:textId="77777777"/>
    <w:p w:rsidRPr="00AC74F2" w:rsidR="00EE223B" w:rsidP="00EE223B" w:rsidRDefault="00EE223B" w14:paraId="6FD2EB8F" w14:textId="77777777">
      <w:bookmarkStart w:name="_Toc151782190" w:id="38"/>
      <w:bookmarkStart w:name="_Toc158526230" w:id="39"/>
      <w:r w:rsidRPr="00AC74F2">
        <w:rPr>
          <w:b/>
          <w:bCs/>
          <w:color w:val="000000" w:themeColor="text1"/>
        </w:rPr>
        <w:t>Exhibit 3a.  Estimated Total and Annualized Cost</w:t>
      </w:r>
    </w:p>
    <w:tbl>
      <w:tblPr>
        <w:tblW w:w="0" w:type="auto"/>
        <w:tblInd w:w="108" w:type="dxa"/>
        <w:tblCellMar>
          <w:left w:w="0" w:type="dxa"/>
          <w:right w:w="0" w:type="dxa"/>
        </w:tblCellMar>
        <w:tblLook w:val="0000" w:firstRow="0" w:lastRow="0" w:firstColumn="0" w:lastColumn="0" w:noHBand="0" w:noVBand="0"/>
      </w:tblPr>
      <w:tblGrid>
        <w:gridCol w:w="3600"/>
        <w:gridCol w:w="2496"/>
        <w:gridCol w:w="2904"/>
      </w:tblGrid>
      <w:tr w:rsidRPr="00AC74F2" w:rsidR="00EE223B" w:rsidTr="009A7FB3" w14:paraId="4C214E42" w14:textId="77777777">
        <w:trPr>
          <w:trHeight w:val="313"/>
        </w:trPr>
        <w:tc>
          <w:tcPr>
            <w:tcW w:w="360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bottom"/>
          </w:tcPr>
          <w:p w:rsidRPr="00AC74F2" w:rsidR="00EE223B" w:rsidP="009A7FB3" w:rsidRDefault="00EE223B" w14:paraId="09A3D2B3" w14:textId="77777777">
            <w:pPr>
              <w:rPr>
                <w:b/>
              </w:rPr>
            </w:pPr>
            <w:r w:rsidRPr="00AC74F2">
              <w:rPr>
                <w:b/>
                <w:color w:val="000000"/>
              </w:rPr>
              <w:t xml:space="preserve">Cost Component </w:t>
            </w:r>
          </w:p>
        </w:tc>
        <w:tc>
          <w:tcPr>
            <w:tcW w:w="2496"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6CD6D958" w14:textId="77777777">
            <w:pPr>
              <w:jc w:val="center"/>
              <w:rPr>
                <w:b/>
              </w:rPr>
            </w:pPr>
            <w:r w:rsidRPr="00AC74F2">
              <w:rPr>
                <w:b/>
              </w:rPr>
              <w:t>Total Cost</w:t>
            </w:r>
          </w:p>
        </w:tc>
        <w:tc>
          <w:tcPr>
            <w:tcW w:w="2904" w:type="dxa"/>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095CE747" w14:textId="77777777">
            <w:pPr>
              <w:jc w:val="center"/>
              <w:rPr>
                <w:b/>
                <w:bCs/>
              </w:rPr>
            </w:pPr>
            <w:r w:rsidRPr="00AC74F2">
              <w:rPr>
                <w:b/>
                <w:bCs/>
              </w:rPr>
              <w:t>Annualized Cost</w:t>
            </w:r>
          </w:p>
        </w:tc>
      </w:tr>
      <w:tr w:rsidRPr="00AC74F2" w:rsidR="00EE223B" w:rsidTr="009A7FB3" w14:paraId="30CBC712"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34C40E0C" w14:textId="77777777">
            <w:r w:rsidRPr="00AC74F2">
              <w:t>Project Development</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3A12A5" w14:paraId="605BB48E" w14:textId="5B173B6A">
            <w:pPr>
              <w:jc w:val="right"/>
            </w:pPr>
            <w:r w:rsidRPr="00AC74F2">
              <w:t>$10,057</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392A8F64" w14:textId="27612057">
            <w:pPr>
              <w:jc w:val="right"/>
            </w:pPr>
          </w:p>
        </w:tc>
      </w:tr>
      <w:tr w:rsidRPr="00AC74F2" w:rsidR="00EE223B" w:rsidTr="009A7FB3" w14:paraId="7DEC4978"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3A12A5" w:rsidRDefault="003A12A5" w14:paraId="14A0CBEB" w14:textId="242CC548">
            <w:r w:rsidRPr="00AC74F2">
              <w:t xml:space="preserve">Survey Programming and </w:t>
            </w:r>
            <w:r w:rsidRPr="00AC74F2" w:rsidR="00EE223B">
              <w:t xml:space="preserve">Data Collection </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3A12A5" w14:paraId="77BBA9B2" w14:textId="60E360C7">
            <w:pPr>
              <w:jc w:val="right"/>
            </w:pPr>
            <w:r w:rsidRPr="00AC74F2">
              <w:t>$22,628</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7569FBC2" w14:textId="4914155D">
            <w:pPr>
              <w:jc w:val="right"/>
            </w:pPr>
          </w:p>
        </w:tc>
      </w:tr>
      <w:tr w:rsidRPr="00AC74F2" w:rsidR="00EE223B" w:rsidTr="009A7FB3" w14:paraId="7C500817"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6CCB7481" w14:textId="77777777">
            <w:r w:rsidRPr="00AC74F2">
              <w:t>Data Processing and Analysis</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3A12A5" w14:paraId="54417911" w14:textId="49472729">
            <w:pPr>
              <w:jc w:val="right"/>
            </w:pPr>
            <w:r w:rsidRPr="00AC74F2">
              <w:t>$17,600</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6ECE52EC" w14:textId="4ED87854">
            <w:pPr>
              <w:jc w:val="right"/>
            </w:pPr>
          </w:p>
        </w:tc>
      </w:tr>
      <w:tr w:rsidRPr="00AC74F2" w:rsidR="00EE223B" w:rsidTr="009A7FB3" w14:paraId="7BCE0044" w14:textId="77777777">
        <w:tc>
          <w:tcPr>
            <w:tcW w:w="3600" w:type="dxa"/>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437CA967" w14:textId="77777777">
            <w:r w:rsidRPr="00AC74F2">
              <w:rPr>
                <w:b/>
                <w:bCs/>
                <w:color w:val="000000"/>
              </w:rPr>
              <w:t>Total</w:t>
            </w:r>
          </w:p>
        </w:tc>
        <w:tc>
          <w:tcPr>
            <w:tcW w:w="2496"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3A12A5" w14:paraId="207BAA70" w14:textId="272C1827">
            <w:pPr>
              <w:jc w:val="right"/>
            </w:pPr>
            <w:r w:rsidRPr="00AC74F2">
              <w:t>$50,285</w:t>
            </w:r>
          </w:p>
        </w:tc>
        <w:tc>
          <w:tcPr>
            <w:tcW w:w="2904" w:type="dxa"/>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AC74F2" w:rsidR="00EE223B" w:rsidP="009A7FB3" w:rsidRDefault="00EE223B" w14:paraId="4346523F" w14:textId="1C1CD317">
            <w:pPr>
              <w:jc w:val="right"/>
            </w:pPr>
          </w:p>
        </w:tc>
      </w:tr>
    </w:tbl>
    <w:p w:rsidR="00795480" w:rsidP="00EE223B" w:rsidRDefault="00795480" w14:paraId="5C143445" w14:textId="77777777">
      <w:pPr>
        <w:spacing w:before="100" w:beforeAutospacing="1" w:after="100" w:afterAutospacing="1"/>
        <w:rPr>
          <w:b/>
        </w:rPr>
      </w:pPr>
    </w:p>
    <w:p w:rsidR="00795480" w:rsidRDefault="00795480" w14:paraId="680242AC" w14:textId="77777777">
      <w:pPr>
        <w:rPr>
          <w:b/>
        </w:rPr>
      </w:pPr>
      <w:r>
        <w:rPr>
          <w:b/>
        </w:rPr>
        <w:br w:type="page"/>
      </w:r>
    </w:p>
    <w:p w:rsidRPr="00AC74F2" w:rsidR="00EE223B" w:rsidP="00EE223B" w:rsidRDefault="00EE223B" w14:paraId="28ED388D" w14:textId="0E262265">
      <w:pPr>
        <w:spacing w:before="100" w:beforeAutospacing="1" w:after="100" w:afterAutospacing="1"/>
        <w:rPr>
          <w:b/>
        </w:rPr>
      </w:pPr>
      <w:r w:rsidRPr="00AC74F2">
        <w:rPr>
          <w:b/>
        </w:rPr>
        <w:t>Exhibit 3b. Federal Government Personnel Cost</w:t>
      </w:r>
    </w:p>
    <w:tbl>
      <w:tblPr>
        <w:tblW w:w="9094" w:type="dxa"/>
        <w:jc w:val="center"/>
        <w:tblLayout w:type="fixed"/>
        <w:tblCellMar>
          <w:left w:w="100" w:type="dxa"/>
          <w:right w:w="100" w:type="dxa"/>
        </w:tblCellMar>
        <w:tblLook w:val="04A0" w:firstRow="1" w:lastRow="0" w:firstColumn="1" w:lastColumn="0" w:noHBand="0" w:noVBand="1"/>
      </w:tblPr>
      <w:tblGrid>
        <w:gridCol w:w="2962"/>
        <w:gridCol w:w="2437"/>
        <w:gridCol w:w="1042"/>
        <w:gridCol w:w="1260"/>
        <w:gridCol w:w="1393"/>
      </w:tblGrid>
      <w:tr w:rsidRPr="00AC74F2" w:rsidR="00EE223B" w:rsidTr="009A7FB3" w14:paraId="7DEC21A2" w14:textId="77777777">
        <w:trPr>
          <w:cantSplit/>
          <w:trHeight w:val="246"/>
          <w:jc w:val="center"/>
        </w:trPr>
        <w:tc>
          <w:tcPr>
            <w:tcW w:w="2962" w:type="dxa"/>
            <w:tcBorders>
              <w:top w:val="single" w:color="auto" w:sz="6" w:space="0"/>
              <w:left w:val="single" w:color="auto" w:sz="6" w:space="0"/>
              <w:bottom w:val="nil"/>
              <w:right w:val="nil"/>
            </w:tcBorders>
            <w:vAlign w:val="bottom"/>
          </w:tcPr>
          <w:p w:rsidRPr="00AC74F2" w:rsidR="00EE223B" w:rsidP="009A7FB3" w:rsidRDefault="00EE223B" w14:paraId="2F9F38D7" w14:textId="77777777">
            <w:pPr>
              <w:jc w:val="center"/>
              <w:rPr>
                <w:b/>
                <w:bCs/>
              </w:rPr>
            </w:pPr>
            <w:r w:rsidRPr="00AC74F2">
              <w:rPr>
                <w:b/>
                <w:bCs/>
              </w:rPr>
              <w:t>Activity</w:t>
            </w:r>
          </w:p>
        </w:tc>
        <w:tc>
          <w:tcPr>
            <w:tcW w:w="2437" w:type="dxa"/>
            <w:tcBorders>
              <w:top w:val="single" w:color="auto" w:sz="6" w:space="0"/>
              <w:left w:val="single" w:color="auto" w:sz="6" w:space="0"/>
              <w:bottom w:val="single" w:color="auto" w:sz="6" w:space="0"/>
              <w:right w:val="nil"/>
            </w:tcBorders>
            <w:vAlign w:val="bottom"/>
          </w:tcPr>
          <w:p w:rsidRPr="00AC74F2" w:rsidR="00EE223B" w:rsidP="009A7FB3" w:rsidRDefault="00EE223B" w14:paraId="0A544BC1" w14:textId="77777777">
            <w:pPr>
              <w:jc w:val="center"/>
              <w:rPr>
                <w:b/>
                <w:bCs/>
              </w:rPr>
            </w:pPr>
            <w:r w:rsidRPr="00AC74F2">
              <w:rPr>
                <w:b/>
                <w:bCs/>
              </w:rPr>
              <w:t>Federal Personnel</w:t>
            </w:r>
          </w:p>
        </w:tc>
        <w:tc>
          <w:tcPr>
            <w:tcW w:w="1042" w:type="dxa"/>
            <w:tcBorders>
              <w:top w:val="single" w:color="auto" w:sz="6" w:space="0"/>
              <w:left w:val="single" w:color="auto" w:sz="6" w:space="0"/>
              <w:bottom w:val="single" w:color="auto" w:sz="6" w:space="0"/>
              <w:right w:val="single" w:color="auto" w:sz="6" w:space="0"/>
            </w:tcBorders>
            <w:vAlign w:val="bottom"/>
          </w:tcPr>
          <w:p w:rsidRPr="00AC74F2" w:rsidR="00EE223B" w:rsidP="009A7FB3" w:rsidRDefault="00EE223B" w14:paraId="5EEACEB4" w14:textId="77777777">
            <w:pPr>
              <w:jc w:val="center"/>
              <w:rPr>
                <w:b/>
                <w:bCs/>
              </w:rPr>
            </w:pPr>
            <w:r w:rsidRPr="00AC74F2">
              <w:rPr>
                <w:b/>
                <w:bCs/>
              </w:rPr>
              <w:t>Hourly Rate</w:t>
            </w:r>
          </w:p>
        </w:tc>
        <w:tc>
          <w:tcPr>
            <w:tcW w:w="1260" w:type="dxa"/>
            <w:tcBorders>
              <w:top w:val="single" w:color="auto" w:sz="6" w:space="0"/>
              <w:left w:val="single" w:color="auto" w:sz="6" w:space="0"/>
              <w:bottom w:val="single" w:color="auto" w:sz="6" w:space="0"/>
              <w:right w:val="nil"/>
            </w:tcBorders>
            <w:vAlign w:val="bottom"/>
          </w:tcPr>
          <w:p w:rsidRPr="00AC74F2" w:rsidR="00EE223B" w:rsidP="009A7FB3" w:rsidRDefault="00EE223B" w14:paraId="7108B3F1" w14:textId="77777777">
            <w:pPr>
              <w:jc w:val="center"/>
              <w:rPr>
                <w:b/>
                <w:bCs/>
              </w:rPr>
            </w:pPr>
            <w:r w:rsidRPr="00AC74F2">
              <w:rPr>
                <w:b/>
                <w:bCs/>
              </w:rPr>
              <w:t>Estimated Hours</w:t>
            </w:r>
          </w:p>
        </w:tc>
        <w:tc>
          <w:tcPr>
            <w:tcW w:w="1393" w:type="dxa"/>
            <w:tcBorders>
              <w:top w:val="single" w:color="auto" w:sz="6" w:space="0"/>
              <w:left w:val="single" w:color="auto" w:sz="6" w:space="0"/>
              <w:bottom w:val="single" w:color="auto" w:sz="6" w:space="0"/>
              <w:right w:val="single" w:color="auto" w:sz="6" w:space="0"/>
            </w:tcBorders>
            <w:vAlign w:val="bottom"/>
          </w:tcPr>
          <w:p w:rsidRPr="00AC74F2" w:rsidR="00EE223B" w:rsidP="009A7FB3" w:rsidRDefault="00EE223B" w14:paraId="75EC1B9C" w14:textId="77777777">
            <w:pPr>
              <w:jc w:val="center"/>
              <w:rPr>
                <w:b/>
                <w:bCs/>
              </w:rPr>
            </w:pPr>
            <w:r w:rsidRPr="00AC74F2">
              <w:rPr>
                <w:b/>
                <w:bCs/>
              </w:rPr>
              <w:t>Cost</w:t>
            </w:r>
          </w:p>
        </w:tc>
      </w:tr>
      <w:tr w:rsidRPr="00AC74F2" w:rsidR="00771427" w:rsidTr="00771427" w14:paraId="03C98586" w14:textId="77777777">
        <w:trPr>
          <w:cantSplit/>
          <w:trHeight w:val="858"/>
          <w:jc w:val="center"/>
        </w:trPr>
        <w:tc>
          <w:tcPr>
            <w:tcW w:w="2962" w:type="dxa"/>
            <w:tcBorders>
              <w:top w:val="single" w:color="auto" w:sz="6" w:space="0"/>
              <w:left w:val="single" w:color="auto" w:sz="4" w:space="0"/>
              <w:right w:val="nil"/>
            </w:tcBorders>
            <w:vAlign w:val="center"/>
          </w:tcPr>
          <w:p w:rsidRPr="00AC74F2" w:rsidR="00771427" w:rsidP="00771427" w:rsidRDefault="00771427" w14:paraId="66D34EB1" w14:textId="77777777">
            <w:r w:rsidRPr="00AC74F2">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vAlign w:val="center"/>
          </w:tcPr>
          <w:p w:rsidR="00771427" w:rsidP="00771427" w:rsidRDefault="00771427" w14:paraId="40139013" w14:textId="77777777">
            <w:pPr>
              <w:jc w:val="center"/>
            </w:pPr>
          </w:p>
          <w:p w:rsidRPr="00AC74F2" w:rsidR="00771427" w:rsidP="00771427" w:rsidRDefault="00771427" w14:paraId="1C7446BB" w14:textId="4BF177CB">
            <w:pPr>
              <w:jc w:val="center"/>
            </w:pPr>
            <w:r w:rsidRPr="0095154A">
              <w:t>Project Officer GS1</w:t>
            </w:r>
            <w:r>
              <w:t>5</w:t>
            </w:r>
            <w:r w:rsidRPr="0095154A">
              <w:t xml:space="preserve"> </w:t>
            </w:r>
          </w:p>
        </w:tc>
        <w:tc>
          <w:tcPr>
            <w:tcW w:w="1042" w:type="dxa"/>
            <w:tcBorders>
              <w:top w:val="single" w:color="auto" w:sz="6" w:space="0"/>
              <w:left w:val="single" w:color="auto" w:sz="6" w:space="0"/>
              <w:bottom w:val="single" w:color="auto" w:sz="6" w:space="0"/>
              <w:right w:val="single" w:color="auto" w:sz="6" w:space="0"/>
            </w:tcBorders>
            <w:vAlign w:val="center"/>
          </w:tcPr>
          <w:p w:rsidRPr="00AC74F2" w:rsidR="00771427" w:rsidP="00771427" w:rsidRDefault="00771427" w14:paraId="33CA320D" w14:textId="2FEFCE41">
            <w:r w:rsidRPr="0095154A">
              <w:t>$</w:t>
            </w:r>
            <w:r>
              <w:t>82.65</w:t>
            </w:r>
          </w:p>
        </w:tc>
        <w:tc>
          <w:tcPr>
            <w:tcW w:w="1260" w:type="dxa"/>
            <w:tcBorders>
              <w:top w:val="single" w:color="auto" w:sz="6" w:space="0"/>
              <w:left w:val="single" w:color="auto" w:sz="6" w:space="0"/>
              <w:bottom w:val="single" w:color="auto" w:sz="6" w:space="0"/>
              <w:right w:val="nil"/>
            </w:tcBorders>
            <w:vAlign w:val="center"/>
          </w:tcPr>
          <w:p w:rsidRPr="00AC74F2" w:rsidR="00771427" w:rsidP="00771427" w:rsidRDefault="00771427" w14:paraId="6EEEE673" w14:textId="1494C811">
            <w:pPr>
              <w:jc w:val="center"/>
            </w:pPr>
            <w:r>
              <w:t>10</w:t>
            </w:r>
          </w:p>
        </w:tc>
        <w:tc>
          <w:tcPr>
            <w:tcW w:w="1393" w:type="dxa"/>
            <w:tcBorders>
              <w:top w:val="single" w:color="auto" w:sz="6" w:space="0"/>
              <w:left w:val="single" w:color="auto" w:sz="6" w:space="0"/>
              <w:bottom w:val="single" w:color="auto" w:sz="6" w:space="0"/>
              <w:right w:val="single" w:color="auto" w:sz="6" w:space="0"/>
            </w:tcBorders>
            <w:vAlign w:val="center"/>
          </w:tcPr>
          <w:p w:rsidRPr="00AC74F2" w:rsidR="00771427" w:rsidP="00E30742" w:rsidRDefault="00771427" w14:paraId="5E0BBFCA" w14:textId="48487790">
            <w:pPr>
              <w:jc w:val="center"/>
            </w:pPr>
            <w:r w:rsidRPr="0095154A">
              <w:t>$</w:t>
            </w:r>
            <w:r w:rsidR="00E30742">
              <w:t>827</w:t>
            </w:r>
          </w:p>
        </w:tc>
      </w:tr>
      <w:tr w:rsidRPr="00AC74F2" w:rsidR="00771427" w:rsidTr="00771427" w14:paraId="1EC93058" w14:textId="77777777">
        <w:trPr>
          <w:cantSplit/>
          <w:trHeight w:val="858"/>
          <w:jc w:val="center"/>
        </w:trPr>
        <w:tc>
          <w:tcPr>
            <w:tcW w:w="2962" w:type="dxa"/>
            <w:tcBorders>
              <w:top w:val="single" w:color="auto" w:sz="6" w:space="0"/>
              <w:left w:val="single" w:color="auto" w:sz="4" w:space="0"/>
              <w:right w:val="nil"/>
            </w:tcBorders>
            <w:vAlign w:val="center"/>
          </w:tcPr>
          <w:p w:rsidRPr="00AC74F2" w:rsidR="00771427" w:rsidP="00771427" w:rsidRDefault="00771427" w14:paraId="449387FE" w14:textId="7D9C2CB9">
            <w:r w:rsidRPr="00AC74F2">
              <w:t>Project oversight to include data collection oversight and review of results</w:t>
            </w:r>
          </w:p>
        </w:tc>
        <w:tc>
          <w:tcPr>
            <w:tcW w:w="2437" w:type="dxa"/>
            <w:tcBorders>
              <w:top w:val="single" w:color="auto" w:sz="6" w:space="0"/>
              <w:left w:val="single" w:color="auto" w:sz="6" w:space="0"/>
              <w:bottom w:val="single" w:color="auto" w:sz="6" w:space="0"/>
              <w:right w:val="nil"/>
            </w:tcBorders>
            <w:vAlign w:val="center"/>
          </w:tcPr>
          <w:p w:rsidR="00771427" w:rsidP="00771427" w:rsidRDefault="00771427" w14:paraId="6AD50765" w14:textId="4A128B9F">
            <w:pPr>
              <w:jc w:val="center"/>
            </w:pPr>
            <w:r>
              <w:t>Task Lead GS14</w:t>
            </w:r>
          </w:p>
        </w:tc>
        <w:tc>
          <w:tcPr>
            <w:tcW w:w="1042" w:type="dxa"/>
            <w:tcBorders>
              <w:top w:val="single" w:color="auto" w:sz="6" w:space="0"/>
              <w:left w:val="single" w:color="auto" w:sz="6" w:space="0"/>
              <w:bottom w:val="single" w:color="auto" w:sz="6" w:space="0"/>
              <w:right w:val="single" w:color="auto" w:sz="6" w:space="0"/>
            </w:tcBorders>
            <w:vAlign w:val="center"/>
          </w:tcPr>
          <w:p w:rsidRPr="0095154A" w:rsidR="00771427" w:rsidP="00771427" w:rsidRDefault="00771427" w14:paraId="09898BA8" w14:textId="59618E9A">
            <w:r>
              <w:t>$60.67</w:t>
            </w:r>
          </w:p>
        </w:tc>
        <w:tc>
          <w:tcPr>
            <w:tcW w:w="1260" w:type="dxa"/>
            <w:tcBorders>
              <w:top w:val="single" w:color="auto" w:sz="6" w:space="0"/>
              <w:left w:val="single" w:color="auto" w:sz="6" w:space="0"/>
              <w:bottom w:val="single" w:color="auto" w:sz="6" w:space="0"/>
              <w:right w:val="nil"/>
            </w:tcBorders>
            <w:vAlign w:val="center"/>
          </w:tcPr>
          <w:p w:rsidRPr="0095154A" w:rsidR="00771427" w:rsidP="00771427" w:rsidRDefault="00771427" w14:paraId="7CBF571D" w14:textId="2D96FCE7">
            <w:pPr>
              <w:jc w:val="center"/>
            </w:pPr>
            <w:r>
              <w:t>15</w:t>
            </w:r>
          </w:p>
        </w:tc>
        <w:tc>
          <w:tcPr>
            <w:tcW w:w="1393" w:type="dxa"/>
            <w:tcBorders>
              <w:top w:val="single" w:color="auto" w:sz="6" w:space="0"/>
              <w:left w:val="single" w:color="auto" w:sz="6" w:space="0"/>
              <w:bottom w:val="single" w:color="auto" w:sz="6" w:space="0"/>
              <w:right w:val="single" w:color="auto" w:sz="6" w:space="0"/>
            </w:tcBorders>
            <w:vAlign w:val="center"/>
          </w:tcPr>
          <w:p w:rsidRPr="0095154A" w:rsidR="00771427" w:rsidP="00771427" w:rsidRDefault="00E30742" w14:paraId="537DDE62" w14:textId="5ECE7750">
            <w:pPr>
              <w:jc w:val="center"/>
            </w:pPr>
            <w:r>
              <w:t>$910</w:t>
            </w:r>
          </w:p>
        </w:tc>
      </w:tr>
      <w:tr w:rsidRPr="00AC74F2" w:rsidR="00771427" w:rsidTr="009A7FB3" w14:paraId="68F217A2" w14:textId="77777777">
        <w:trPr>
          <w:cantSplit/>
          <w:trHeight w:val="403"/>
          <w:jc w:val="center"/>
        </w:trPr>
        <w:tc>
          <w:tcPr>
            <w:tcW w:w="7701" w:type="dxa"/>
            <w:gridSpan w:val="4"/>
            <w:tcBorders>
              <w:top w:val="single" w:color="auto" w:sz="6" w:space="0"/>
              <w:left w:val="single" w:color="auto" w:sz="6" w:space="0"/>
              <w:bottom w:val="single" w:color="auto" w:sz="6" w:space="0"/>
              <w:right w:val="nil"/>
            </w:tcBorders>
            <w:vAlign w:val="bottom"/>
            <w:hideMark/>
          </w:tcPr>
          <w:p w:rsidRPr="00AC74F2" w:rsidR="00771427" w:rsidP="00771427" w:rsidRDefault="00771427" w14:paraId="651410B0" w14:textId="77777777">
            <w:pPr>
              <w:rPr>
                <w:b/>
                <w:bCs/>
              </w:rPr>
            </w:pPr>
            <w:r w:rsidRPr="00AC74F2">
              <w:rPr>
                <w:b/>
                <w:bCs/>
              </w:rPr>
              <w:t>Total</w:t>
            </w:r>
          </w:p>
        </w:tc>
        <w:tc>
          <w:tcPr>
            <w:tcW w:w="1393" w:type="dxa"/>
            <w:tcBorders>
              <w:top w:val="single" w:color="auto" w:sz="6" w:space="0"/>
              <w:left w:val="single" w:color="auto" w:sz="6" w:space="0"/>
              <w:bottom w:val="single" w:color="auto" w:sz="6" w:space="0"/>
              <w:right w:val="single" w:color="auto" w:sz="6" w:space="0"/>
            </w:tcBorders>
            <w:vAlign w:val="bottom"/>
            <w:hideMark/>
          </w:tcPr>
          <w:p w:rsidRPr="00AC74F2" w:rsidR="00771427" w:rsidP="00771427" w:rsidRDefault="00E30742" w14:paraId="4DD113D1" w14:textId="56E1DACF">
            <w:pPr>
              <w:jc w:val="center"/>
              <w:rPr>
                <w:b/>
                <w:bCs/>
              </w:rPr>
            </w:pPr>
            <w:r>
              <w:rPr>
                <w:b/>
                <w:bCs/>
              </w:rPr>
              <w:t>$1,737</w:t>
            </w:r>
          </w:p>
        </w:tc>
      </w:tr>
    </w:tbl>
    <w:p w:rsidRPr="00AC74F2" w:rsidR="00EE223B" w:rsidP="00EE223B" w:rsidRDefault="00EE223B" w14:paraId="2A819278" w14:textId="343645B4">
      <w:pPr>
        <w:spacing w:before="100" w:beforeAutospacing="1" w:after="100" w:afterAutospacing="1"/>
      </w:pPr>
      <w:r w:rsidRPr="00AC74F2">
        <w:rPr>
          <w:color w:val="000000"/>
        </w:rPr>
        <w:t>Annual salaries based on 202</w:t>
      </w:r>
      <w:r w:rsidR="00795480">
        <w:rPr>
          <w:color w:val="000000"/>
        </w:rPr>
        <w:t>1</w:t>
      </w:r>
      <w:r w:rsidRPr="00AC74F2">
        <w:rPr>
          <w:color w:val="000000"/>
        </w:rPr>
        <w:t xml:space="preserve"> OPM Pay Schedule for Washington/DC area:</w:t>
      </w:r>
      <w:r w:rsidRPr="00AC74F2">
        <w:t xml:space="preserve"> </w:t>
      </w:r>
      <w:hyperlink w:history="1" r:id="rId9">
        <w:r w:rsidRPr="0074622F" w:rsidR="00795480">
          <w:rPr>
            <w:rStyle w:val="Hyperlink"/>
          </w:rPr>
          <w:t>https://www.opm.gov/policy-data-oversight/pay-leave/salaries-wages/salary-tables/pdf/2021/DCB_h.pdf</w:t>
        </w:r>
      </w:hyperlink>
    </w:p>
    <w:p w:rsidRPr="00AC74F2" w:rsidR="00EE223B" w:rsidP="00EE223B" w:rsidRDefault="00EE223B" w14:paraId="47DCDFA8" w14:textId="77777777">
      <w:pPr>
        <w:pStyle w:val="Heading2"/>
        <w:rPr>
          <w:rFonts w:cs="Times New Roman"/>
          <w:sz w:val="24"/>
        </w:rPr>
      </w:pPr>
      <w:r w:rsidRPr="00AC74F2">
        <w:rPr>
          <w:rFonts w:cs="Times New Roman"/>
          <w:sz w:val="24"/>
        </w:rPr>
        <w:t>15. Changes in Hour Burden</w:t>
      </w:r>
      <w:bookmarkEnd w:id="38"/>
      <w:bookmarkEnd w:id="39"/>
    </w:p>
    <w:p w:rsidRPr="00AC74F2" w:rsidR="00EE223B" w:rsidP="00EE223B" w:rsidRDefault="00EE223B" w14:paraId="7F7D169B" w14:textId="77777777">
      <w:r w:rsidRPr="00AC74F2">
        <w:t>This is a new information collection, thus no changes in hour burden is expected or reported here.</w:t>
      </w:r>
    </w:p>
    <w:p w:rsidRPr="00AC74F2" w:rsidR="00EE223B" w:rsidP="00EE223B" w:rsidRDefault="00EE223B" w14:paraId="7CD92BB2" w14:textId="70877302">
      <w:pPr>
        <w:pStyle w:val="Heading2"/>
        <w:rPr>
          <w:rFonts w:cs="Times New Roman"/>
          <w:sz w:val="24"/>
        </w:rPr>
      </w:pPr>
      <w:r w:rsidRPr="00AC74F2">
        <w:rPr>
          <w:rFonts w:cs="Times New Roman"/>
          <w:sz w:val="24"/>
        </w:rPr>
        <w:t>16. Time Schedule, Publication and Analysis Plans</w:t>
      </w:r>
      <w:bookmarkEnd w:id="33"/>
      <w:bookmarkEnd w:id="34"/>
    </w:p>
    <w:p w:rsidRPr="00AC74F2" w:rsidR="00EE223B" w:rsidP="00EE223B" w:rsidRDefault="00EE223B" w14:paraId="326E4161" w14:textId="2750043B">
      <w:r w:rsidRPr="00AC74F2">
        <w:t xml:space="preserve">The information collection will begin upon OMB approval (estimated </w:t>
      </w:r>
      <w:r w:rsidRPr="00AC74F2" w:rsidR="00016927">
        <w:t xml:space="preserve">April </w:t>
      </w:r>
      <w:r w:rsidR="00E30742">
        <w:t>2</w:t>
      </w:r>
      <w:r w:rsidR="00B84F7E">
        <w:t>8</w:t>
      </w:r>
      <w:r w:rsidRPr="00AC74F2" w:rsidR="00960B8A">
        <w:t>, 2021</w:t>
      </w:r>
      <w:r w:rsidRPr="00AC74F2">
        <w:t xml:space="preserve">) and will include recruitment of practices and completion of all data collection activities by </w:t>
      </w:r>
      <w:r w:rsidRPr="00AC74F2" w:rsidR="000249D9">
        <w:t>July 31</w:t>
      </w:r>
      <w:r w:rsidRPr="00AC74F2" w:rsidR="00960B8A">
        <w:t>, 2021</w:t>
      </w:r>
      <w:r w:rsidRPr="00AC74F2">
        <w:t xml:space="preserve">. Qualitative analysis will be </w:t>
      </w:r>
      <w:r w:rsidRPr="00AC74F2" w:rsidR="007E100E">
        <w:t xml:space="preserve">ongoing and </w:t>
      </w:r>
      <w:r w:rsidRPr="00AC74F2">
        <w:t xml:space="preserve">completed by </w:t>
      </w:r>
      <w:r w:rsidRPr="00AC74F2" w:rsidR="007E100E">
        <w:t>August 15</w:t>
      </w:r>
      <w:r w:rsidRPr="00AC74F2" w:rsidR="00960B8A">
        <w:t>, 2021</w:t>
      </w:r>
      <w:r w:rsidRPr="00AC74F2">
        <w:t xml:space="preserve">. </w:t>
      </w:r>
    </w:p>
    <w:p w:rsidRPr="00AC74F2" w:rsidR="00EE223B" w:rsidP="00EE223B" w:rsidRDefault="00EE223B" w14:paraId="4ACEE780" w14:textId="77777777">
      <w:pPr>
        <w:pStyle w:val="Heading2"/>
        <w:rPr>
          <w:rFonts w:cs="Times New Roman"/>
          <w:sz w:val="24"/>
        </w:rPr>
      </w:pPr>
      <w:bookmarkStart w:name="_Toc151782196" w:id="40"/>
      <w:bookmarkStart w:name="_Toc158526232" w:id="41"/>
      <w:r w:rsidRPr="00AC74F2">
        <w:rPr>
          <w:rFonts w:cs="Times New Roman"/>
          <w:sz w:val="24"/>
        </w:rPr>
        <w:t>17. Exemption for Display of Expiration Date</w:t>
      </w:r>
      <w:bookmarkEnd w:id="40"/>
      <w:bookmarkEnd w:id="41"/>
    </w:p>
    <w:p w:rsidRPr="00AC74F2" w:rsidR="00EE223B" w:rsidP="00EE223B" w:rsidRDefault="00EE223B" w14:paraId="7E93FB5A" w14:textId="77777777">
      <w:r w:rsidRPr="00AC74F2">
        <w:t>AHRQ does not seek this exemption.</w:t>
      </w:r>
    </w:p>
    <w:p w:rsidR="00B65D5D" w:rsidP="00B65D5D" w:rsidRDefault="00B65D5D" w14:paraId="609E1E60" w14:textId="77777777"/>
    <w:p w:rsidRPr="00B65D5D" w:rsidR="00EE223B" w:rsidP="00B65D5D" w:rsidRDefault="00EE223B" w14:paraId="0E1EB471" w14:textId="28CA3385">
      <w:pPr>
        <w:rPr>
          <w:rFonts w:eastAsiaTheme="majorEastAsia"/>
          <w:i/>
          <w:color w:val="000000" w:themeColor="text1"/>
          <w:szCs w:val="26"/>
          <w:u w:val="single"/>
        </w:rPr>
      </w:pPr>
      <w:r w:rsidRPr="00B65D5D">
        <w:rPr>
          <w:i/>
          <w:u w:val="single"/>
        </w:rPr>
        <w:t>List of Attachments:</w:t>
      </w:r>
    </w:p>
    <w:p w:rsidRPr="00AC74F2" w:rsidR="00EE223B" w:rsidP="00512720" w:rsidRDefault="0061000E" w14:paraId="2AE09686" w14:textId="0C17437E">
      <w:pPr>
        <w:pStyle w:val="NormalWeb"/>
      </w:pPr>
      <w:r w:rsidRPr="00AC74F2">
        <w:rPr>
          <w:b/>
          <w:bCs/>
        </w:rPr>
        <w:t xml:space="preserve">Appendix A: </w:t>
      </w:r>
      <w:r w:rsidRPr="00AC74F2" w:rsidR="00AC74F2">
        <w:rPr>
          <w:bCs/>
        </w:rPr>
        <w:t>AHRQ ECHO National Nursing Home COVID-19 Action Network Best Practices Survey</w:t>
      </w:r>
    </w:p>
    <w:p w:rsidR="00795480" w:rsidP="00510B5B" w:rsidRDefault="00304326" w14:paraId="7F795169" w14:textId="77777777">
      <w:pPr>
        <w:pStyle w:val="ListParagraph"/>
        <w:numPr>
          <w:ilvl w:val="0"/>
          <w:numId w:val="10"/>
        </w:numPr>
      </w:pPr>
      <w:r w:rsidRPr="00AC74F2">
        <w:t>Email text to respondents</w:t>
      </w:r>
    </w:p>
    <w:p w:rsidR="00EE223B" w:rsidP="00510B5B" w:rsidRDefault="00795480" w14:paraId="04FB6B79" w14:textId="37E9D949">
      <w:pPr>
        <w:pStyle w:val="ListParagraph"/>
        <w:numPr>
          <w:ilvl w:val="0"/>
          <w:numId w:val="10"/>
        </w:numPr>
      </w:pPr>
      <w:r>
        <w:t>S</w:t>
      </w:r>
      <w:r w:rsidRPr="00AC74F2" w:rsidR="00510B5B">
        <w:t>urvey instrument</w:t>
      </w:r>
    </w:p>
    <w:p w:rsidRPr="00AC74F2" w:rsidR="00795480" w:rsidP="00510B5B" w:rsidRDefault="00795480" w14:paraId="2141A7FA" w14:textId="6CD9D6DA">
      <w:pPr>
        <w:pStyle w:val="ListParagraph"/>
        <w:numPr>
          <w:ilvl w:val="0"/>
          <w:numId w:val="10"/>
        </w:numPr>
      </w:pPr>
      <w:r>
        <w:t>Follow-up conversation format</w:t>
      </w:r>
    </w:p>
    <w:p w:rsidR="00510B5B" w:rsidP="001B322F" w:rsidRDefault="00510B5B" w14:paraId="11C3EAFC" w14:textId="7599F48A"/>
    <w:sdt>
      <w:sdtPr>
        <w:rPr>
          <w:rFonts w:eastAsia="Times New Roman" w:cs="Times New Roman"/>
          <w:b/>
          <w:bCs/>
          <w:i w:val="0"/>
          <w:iCs/>
          <w:color w:val="auto"/>
          <w:sz w:val="24"/>
          <w:szCs w:val="24"/>
          <w:u w:val="none"/>
        </w:rPr>
        <w:id w:val="-398216251"/>
        <w:docPartObj>
          <w:docPartGallery w:val="Bibliographies"/>
          <w:docPartUnique/>
        </w:docPartObj>
      </w:sdtPr>
      <w:sdtEndPr>
        <w:rPr>
          <w:b w:val="0"/>
          <w:bCs w:val="0"/>
          <w:iCs w:val="0"/>
        </w:rPr>
      </w:sdtEndPr>
      <w:sdtContent>
        <w:p w:rsidRPr="00AC74F2" w:rsidR="00EE223B" w:rsidP="00EE223B" w:rsidRDefault="00EE223B" w14:paraId="3C56BDCD" w14:textId="77777777">
          <w:pPr>
            <w:pStyle w:val="Heading2"/>
            <w:rPr>
              <w:rFonts w:cs="Times New Roman"/>
            </w:rPr>
          </w:pPr>
          <w:r w:rsidRPr="00AC74F2">
            <w:rPr>
              <w:rFonts w:cs="Times New Roman"/>
            </w:rPr>
            <w:t>References</w:t>
          </w:r>
        </w:p>
        <w:sdt>
          <w:sdtPr>
            <w:rPr>
              <w:sz w:val="24"/>
              <w:szCs w:val="24"/>
            </w:rPr>
            <w:id w:val="-573587230"/>
            <w:bibliography/>
          </w:sdtPr>
          <w:sdtEndPr/>
          <w:sdtContent>
            <w:p w:rsidRPr="00AC74F2" w:rsidR="00AC74F2" w:rsidP="00AC74F2" w:rsidRDefault="00AC74F2" w14:paraId="67B46245" w14:textId="7B90A50B">
              <w:pPr>
                <w:pStyle w:val="EndnoteText"/>
                <w:spacing w:after="240"/>
                <w:rPr>
                  <w:sz w:val="24"/>
                  <w:szCs w:val="24"/>
                </w:rPr>
              </w:pPr>
              <w:r w:rsidRPr="00AC74F2">
                <w:rPr>
                  <w:sz w:val="24"/>
                  <w:szCs w:val="24"/>
                </w:rPr>
                <w:t xml:space="preserve">1. Centers for Medicare and Medicaid Services. COVID-19 Nursing Home Data. January 17, 2021. Accessed February 3, 2021. </w:t>
              </w:r>
              <w:hyperlink w:history="1" r:id="rId10">
                <w:r w:rsidRPr="00AC74F2">
                  <w:rPr>
                    <w:rStyle w:val="Hyperlink"/>
                    <w:sz w:val="24"/>
                    <w:szCs w:val="24"/>
                  </w:rPr>
                  <w:t>https://data.cms.gov/stories/s/COVID-19-Nursing-Home-Data/bkwz-xpvg/</w:t>
                </w:r>
              </w:hyperlink>
            </w:p>
            <w:p w:rsidRPr="00AC74F2" w:rsidR="00AC74F2" w:rsidP="00AC74F2" w:rsidRDefault="00AC74F2" w14:paraId="0E2AD134" w14:textId="1A521E3D">
              <w:pPr>
                <w:pStyle w:val="EndnoteText"/>
                <w:keepLines/>
                <w:spacing w:after="240"/>
                <w:rPr>
                  <w:sz w:val="24"/>
                  <w:szCs w:val="24"/>
                </w:rPr>
              </w:pPr>
              <w:r w:rsidRPr="00AC74F2">
                <w:rPr>
                  <w:sz w:val="24"/>
                  <w:szCs w:val="24"/>
                </w:rPr>
                <w:t xml:space="preserve">2. U.S. Department of Health and Human Services. CARES Act Provider Relief Fund: General Information.  Accessed November 18, 2020. </w:t>
              </w:r>
              <w:hyperlink w:history="1" r:id="rId11">
                <w:r w:rsidRPr="00AC74F2">
                  <w:rPr>
                    <w:rStyle w:val="Hyperlink"/>
                    <w:sz w:val="24"/>
                    <w:szCs w:val="24"/>
                  </w:rPr>
                  <w:t>https://www.hhs.gov/coronavirus/cares-act-provider-relief-fund/general-information/index.html</w:t>
                </w:r>
              </w:hyperlink>
              <w:r w:rsidRPr="00AC74F2">
                <w:rPr>
                  <w:sz w:val="24"/>
                  <w:szCs w:val="24"/>
                </w:rPr>
                <w:t xml:space="preserve"> </w:t>
              </w:r>
            </w:p>
            <w:p w:rsidRPr="00AC74F2" w:rsidR="00AC74F2" w:rsidP="00AC74F2" w:rsidRDefault="00AC74F2" w14:paraId="1BA86D18" w14:textId="0E2306FD">
              <w:pPr>
                <w:pStyle w:val="EndnoteText"/>
                <w:keepLines/>
                <w:spacing w:after="240"/>
                <w:rPr>
                  <w:sz w:val="24"/>
                  <w:szCs w:val="24"/>
                </w:rPr>
              </w:pPr>
              <w:r w:rsidRPr="00AC74F2">
                <w:rPr>
                  <w:rStyle w:val="EndnoteReference"/>
                  <w:sz w:val="24"/>
                  <w:szCs w:val="24"/>
                  <w:vertAlign w:val="baseline"/>
                </w:rPr>
                <w:t xml:space="preserve">3. </w:t>
              </w:r>
              <w:r w:rsidRPr="00AC74F2">
                <w:rPr>
                  <w:sz w:val="24"/>
                  <w:szCs w:val="24"/>
                </w:rPr>
                <w:t xml:space="preserve">Agency for Healthcare Research and Quality. AHRQ ECHO National Nursing Home COVID-19 Action Network. October 2020. Accessed November 18, 2020. </w:t>
              </w:r>
              <w:hyperlink w:history="1" r:id="rId12">
                <w:r w:rsidRPr="00AC74F2">
                  <w:rPr>
                    <w:rStyle w:val="Hyperlink"/>
                    <w:sz w:val="24"/>
                    <w:szCs w:val="24"/>
                  </w:rPr>
                  <w:t>https://www.ahrq.gov/nursing-home/index.html</w:t>
                </w:r>
              </w:hyperlink>
              <w:r w:rsidRPr="00AC74F2">
                <w:rPr>
                  <w:sz w:val="24"/>
                  <w:szCs w:val="24"/>
                </w:rPr>
                <w:t xml:space="preserve"> </w:t>
              </w:r>
            </w:p>
            <w:p w:rsidRPr="00AC74F2" w:rsidR="00AC74F2" w:rsidP="00AC74F2" w:rsidRDefault="00AC74F2" w14:paraId="276DE3D9" w14:textId="66C46CA5">
              <w:pPr>
                <w:pStyle w:val="EndnoteText"/>
                <w:keepLines/>
                <w:spacing w:after="240"/>
                <w:rPr>
                  <w:sz w:val="24"/>
                  <w:szCs w:val="24"/>
                </w:rPr>
              </w:pPr>
              <w:r w:rsidRPr="00AC74F2">
                <w:rPr>
                  <w:sz w:val="24"/>
                  <w:szCs w:val="24"/>
                </w:rPr>
                <w:t xml:space="preserve">4. Agency for Healthcare Research and Quality. AHRQ's Quality &amp; Patient Safety Programs by Setting: Long-Term Care. October 2019. Accessed November 18, 2020. </w:t>
              </w:r>
              <w:hyperlink w:history="1" r:id="rId13">
                <w:r w:rsidRPr="00AC74F2">
                  <w:rPr>
                    <w:rStyle w:val="Hyperlink"/>
                    <w:sz w:val="24"/>
                    <w:szCs w:val="24"/>
                  </w:rPr>
                  <w:t>https://www.ahrq.gov/patient-safety/settings/long-term-care/index.html</w:t>
                </w:r>
              </w:hyperlink>
              <w:r w:rsidRPr="00AC74F2">
                <w:rPr>
                  <w:sz w:val="24"/>
                  <w:szCs w:val="24"/>
                </w:rPr>
                <w:t xml:space="preserve"> </w:t>
              </w:r>
            </w:p>
            <w:p w:rsidRPr="00AC74F2" w:rsidR="00512720" w:rsidP="00AC74F2" w:rsidRDefault="00AC74F2" w14:paraId="66BC27D4" w14:textId="4ED95585">
              <w:r w:rsidRPr="00AC74F2">
                <w:rPr>
                  <w:rStyle w:val="EndnoteReference"/>
                </w:rPr>
                <w:t>5</w:t>
              </w:r>
              <w:r w:rsidRPr="00AC74F2">
                <w:t xml:space="preserve">. Centers for Medicare and Medicaid Services. Current Emergencies. November 18, 2020. Accessed November 18, 2020. </w:t>
              </w:r>
              <w:hyperlink w:history="1" r:id="rId14">
                <w:r w:rsidRPr="00AC74F2">
                  <w:rPr>
                    <w:rStyle w:val="Hyperlink"/>
                  </w:rPr>
                  <w:t>https://www.cms.gov/About-CMS/Agency-Information/Emergency/EPRO/Current-Emergencies/Current-Emergencies-page</w:t>
                </w:r>
              </w:hyperlink>
            </w:p>
            <w:p w:rsidRPr="00510B5B" w:rsidR="0035724D" w:rsidP="00510B5B" w:rsidRDefault="004B1A48" w14:paraId="0B821A0D" w14:textId="2933EF3D"/>
          </w:sdtContent>
        </w:sdt>
      </w:sdtContent>
    </w:sdt>
    <w:p w:rsidR="00764651" w:rsidRDefault="00764651" w14:paraId="192E2B9C" w14:textId="77777777"/>
    <w:sectPr w:rsidR="00764651" w:rsidSect="00456BA0">
      <w:footerReference w:type="even" r:id="rId15"/>
      <w:footerReference w:type="default" r:id="rId16"/>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4B494" w16cex:dateUtc="2020-12-16T22:30:00Z"/>
  <w16cex:commentExtensible w16cex:durableId="2384C001" w16cex:dateUtc="2020-12-16T23:18:00Z"/>
  <w16cex:commentExtensible w16cex:durableId="237CD145" w16cex:dateUtc="2020-12-10T22:54:00Z"/>
  <w16cex:commentExtensible w16cex:durableId="2381C296" w16cex:dateUtc="2020-12-14T15:53:00Z"/>
  <w16cex:commentExtensible w16cex:durableId="237B3A7B" w16cex:dateUtc="2020-12-09T17:58:00Z"/>
  <w16cex:commentExtensible w16cex:durableId="237B3AA3" w16cex:dateUtc="2020-12-09T17:59:00Z"/>
  <w16cex:commentExtensible w16cex:durableId="2384C073" w16cex:dateUtc="2020-12-16T23:2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CF9A27" w14:textId="77777777" w:rsidR="004B1A48" w:rsidRDefault="004B1A48">
      <w:r>
        <w:separator/>
      </w:r>
    </w:p>
  </w:endnote>
  <w:endnote w:type="continuationSeparator" w:id="0">
    <w:p w14:paraId="35BCE307" w14:textId="77777777" w:rsidR="004B1A48" w:rsidRDefault="004B1A48">
      <w:r>
        <w:continuationSeparator/>
      </w:r>
    </w:p>
  </w:endnote>
  <w:endnote w:type="continuationNotice" w:id="1">
    <w:p w14:paraId="7DA4F323" w14:textId="77777777" w:rsidR="004B1A48" w:rsidRDefault="004B1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AF152" w14:textId="77777777"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6895BA" w14:textId="77777777" w:rsidR="009A7FB3" w:rsidRDefault="009A7F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9989" w14:textId="33CEFBE8" w:rsidR="009A7FB3" w:rsidRDefault="00F37B1C" w:rsidP="009A7FB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B1A48">
      <w:rPr>
        <w:rStyle w:val="PageNumber"/>
        <w:noProof/>
      </w:rPr>
      <w:t>1</w:t>
    </w:r>
    <w:r>
      <w:rPr>
        <w:rStyle w:val="PageNumber"/>
      </w:rPr>
      <w:fldChar w:fldCharType="end"/>
    </w:r>
  </w:p>
  <w:p w14:paraId="73E4FDF3" w14:textId="77777777" w:rsidR="009A7FB3" w:rsidRDefault="009A7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E74B32" w14:textId="77777777" w:rsidR="004B1A48" w:rsidRDefault="004B1A48">
      <w:r>
        <w:separator/>
      </w:r>
    </w:p>
  </w:footnote>
  <w:footnote w:type="continuationSeparator" w:id="0">
    <w:p w14:paraId="59F4686A" w14:textId="77777777" w:rsidR="004B1A48" w:rsidRDefault="004B1A48">
      <w:r>
        <w:continuationSeparator/>
      </w:r>
    </w:p>
  </w:footnote>
  <w:footnote w:type="continuationNotice" w:id="1">
    <w:p w14:paraId="622B9B7C" w14:textId="77777777" w:rsidR="004B1A48" w:rsidRDefault="004B1A4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711E6A"/>
    <w:multiLevelType w:val="hybridMultilevel"/>
    <w:tmpl w:val="2D4C14DE"/>
    <w:lvl w:ilvl="0" w:tplc="DA627C8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B427A1"/>
    <w:multiLevelType w:val="multilevel"/>
    <w:tmpl w:val="0FBCF4F8"/>
    <w:styleLink w:val="Bulletlist"/>
    <w:lvl w:ilvl="0">
      <w:start w:val="1"/>
      <w:numFmt w:val="bullet"/>
      <w:pStyle w:val="Style1"/>
      <w:lvlText w:val=""/>
      <w:lvlJc w:val="left"/>
      <w:pPr>
        <w:ind w:left="720"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 w15:restartNumberingAfterBreak="0">
    <w:nsid w:val="304F09E7"/>
    <w:multiLevelType w:val="multilevel"/>
    <w:tmpl w:val="0FBCF4F8"/>
    <w:numStyleLink w:val="Bulletlist"/>
  </w:abstractNum>
  <w:abstractNum w:abstractNumId="3" w15:restartNumberingAfterBreak="0">
    <w:nsid w:val="34ED27E9"/>
    <w:multiLevelType w:val="hybridMultilevel"/>
    <w:tmpl w:val="EA320C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2306FF"/>
    <w:multiLevelType w:val="hybridMultilevel"/>
    <w:tmpl w:val="29448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9616A"/>
    <w:multiLevelType w:val="hybridMultilevel"/>
    <w:tmpl w:val="07407F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5873AE6"/>
    <w:multiLevelType w:val="hybridMultilevel"/>
    <w:tmpl w:val="3BF46CBA"/>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DE36259"/>
    <w:multiLevelType w:val="hybridMultilevel"/>
    <w:tmpl w:val="8354A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E238D3"/>
    <w:multiLevelType w:val="hybridMultilevel"/>
    <w:tmpl w:val="3B720A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9255796"/>
    <w:multiLevelType w:val="hybridMultilevel"/>
    <w:tmpl w:val="01A0D90A"/>
    <w:lvl w:ilvl="0" w:tplc="F69451F4">
      <w:start w:val="1"/>
      <w:numFmt w:val="decimal"/>
      <w:lvlText w:val="%1."/>
      <w:lvlJc w:val="left"/>
      <w:pPr>
        <w:ind w:left="766" w:hanging="360"/>
      </w:pPr>
      <w:rPr>
        <w:b w:val="0"/>
      </w:rPr>
    </w:lvl>
    <w:lvl w:ilvl="1" w:tplc="04090019">
      <w:start w:val="1"/>
      <w:numFmt w:val="lowerLetter"/>
      <w:lvlText w:val="%2."/>
      <w:lvlJc w:val="left"/>
      <w:pPr>
        <w:ind w:left="1486" w:hanging="360"/>
      </w:pPr>
    </w:lvl>
    <w:lvl w:ilvl="2" w:tplc="0409001B" w:tentative="1">
      <w:start w:val="1"/>
      <w:numFmt w:val="lowerRoman"/>
      <w:lvlText w:val="%3."/>
      <w:lvlJc w:val="right"/>
      <w:pPr>
        <w:ind w:left="2206" w:hanging="180"/>
      </w:pPr>
    </w:lvl>
    <w:lvl w:ilvl="3" w:tplc="0409000F" w:tentative="1">
      <w:start w:val="1"/>
      <w:numFmt w:val="decimal"/>
      <w:lvlText w:val="%4."/>
      <w:lvlJc w:val="left"/>
      <w:pPr>
        <w:ind w:left="2926" w:hanging="360"/>
      </w:pPr>
    </w:lvl>
    <w:lvl w:ilvl="4" w:tplc="04090019" w:tentative="1">
      <w:start w:val="1"/>
      <w:numFmt w:val="lowerLetter"/>
      <w:lvlText w:val="%5."/>
      <w:lvlJc w:val="left"/>
      <w:pPr>
        <w:ind w:left="3646" w:hanging="360"/>
      </w:pPr>
    </w:lvl>
    <w:lvl w:ilvl="5" w:tplc="0409001B" w:tentative="1">
      <w:start w:val="1"/>
      <w:numFmt w:val="lowerRoman"/>
      <w:lvlText w:val="%6."/>
      <w:lvlJc w:val="right"/>
      <w:pPr>
        <w:ind w:left="4366" w:hanging="180"/>
      </w:pPr>
    </w:lvl>
    <w:lvl w:ilvl="6" w:tplc="0409000F" w:tentative="1">
      <w:start w:val="1"/>
      <w:numFmt w:val="decimal"/>
      <w:lvlText w:val="%7."/>
      <w:lvlJc w:val="left"/>
      <w:pPr>
        <w:ind w:left="5086" w:hanging="360"/>
      </w:pPr>
    </w:lvl>
    <w:lvl w:ilvl="7" w:tplc="04090019" w:tentative="1">
      <w:start w:val="1"/>
      <w:numFmt w:val="lowerLetter"/>
      <w:lvlText w:val="%8."/>
      <w:lvlJc w:val="left"/>
      <w:pPr>
        <w:ind w:left="5806" w:hanging="360"/>
      </w:pPr>
    </w:lvl>
    <w:lvl w:ilvl="8" w:tplc="0409001B" w:tentative="1">
      <w:start w:val="1"/>
      <w:numFmt w:val="lowerRoman"/>
      <w:lvlText w:val="%9."/>
      <w:lvlJc w:val="right"/>
      <w:pPr>
        <w:ind w:left="6526" w:hanging="180"/>
      </w:pPr>
    </w:lvl>
  </w:abstractNum>
  <w:num w:numId="1">
    <w:abstractNumId w:val="1"/>
  </w:num>
  <w:num w:numId="2">
    <w:abstractNumId w:val="2"/>
  </w:num>
  <w:num w:numId="3">
    <w:abstractNumId w:val="9"/>
  </w:num>
  <w:num w:numId="4">
    <w:abstractNumId w:val="5"/>
  </w:num>
  <w:num w:numId="5">
    <w:abstractNumId w:val="0"/>
  </w:num>
  <w:num w:numId="6">
    <w:abstractNumId w:val="6"/>
  </w:num>
  <w:num w:numId="7">
    <w:abstractNumId w:val="3"/>
  </w:num>
  <w:num w:numId="8">
    <w:abstractNumId w:val="8"/>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IxNjE3NDa1tLQ0MTJS0lEKTi0uzszPAykwqgUAtjMg8ywAAAA="/>
  </w:docVars>
  <w:rsids>
    <w:rsidRoot w:val="0099117C"/>
    <w:rsid w:val="0000516A"/>
    <w:rsid w:val="00006EC1"/>
    <w:rsid w:val="000139DA"/>
    <w:rsid w:val="00016927"/>
    <w:rsid w:val="00020AE9"/>
    <w:rsid w:val="000249D9"/>
    <w:rsid w:val="0003357E"/>
    <w:rsid w:val="0003381F"/>
    <w:rsid w:val="00034CA5"/>
    <w:rsid w:val="00044BB8"/>
    <w:rsid w:val="00054BA4"/>
    <w:rsid w:val="00072723"/>
    <w:rsid w:val="000814FE"/>
    <w:rsid w:val="00087D47"/>
    <w:rsid w:val="000954DB"/>
    <w:rsid w:val="0009711C"/>
    <w:rsid w:val="000A7CBE"/>
    <w:rsid w:val="000B4714"/>
    <w:rsid w:val="000C51DC"/>
    <w:rsid w:val="000C7716"/>
    <w:rsid w:val="000D42C9"/>
    <w:rsid w:val="000D4681"/>
    <w:rsid w:val="000E4522"/>
    <w:rsid w:val="000E5410"/>
    <w:rsid w:val="00100558"/>
    <w:rsid w:val="0010142D"/>
    <w:rsid w:val="00120DAF"/>
    <w:rsid w:val="00122EDD"/>
    <w:rsid w:val="00134E4F"/>
    <w:rsid w:val="00137333"/>
    <w:rsid w:val="001425D6"/>
    <w:rsid w:val="00151AB9"/>
    <w:rsid w:val="00152981"/>
    <w:rsid w:val="00152E30"/>
    <w:rsid w:val="001530A6"/>
    <w:rsid w:val="00170AE8"/>
    <w:rsid w:val="00173C51"/>
    <w:rsid w:val="0017664D"/>
    <w:rsid w:val="00185D48"/>
    <w:rsid w:val="0018792B"/>
    <w:rsid w:val="001912D8"/>
    <w:rsid w:val="00195375"/>
    <w:rsid w:val="001A1422"/>
    <w:rsid w:val="001A1BFF"/>
    <w:rsid w:val="001A24F4"/>
    <w:rsid w:val="001A32F5"/>
    <w:rsid w:val="001A668F"/>
    <w:rsid w:val="001B0A09"/>
    <w:rsid w:val="001B322F"/>
    <w:rsid w:val="001B72FB"/>
    <w:rsid w:val="001C1473"/>
    <w:rsid w:val="001C3E2B"/>
    <w:rsid w:val="001C5906"/>
    <w:rsid w:val="001D68A0"/>
    <w:rsid w:val="001F0991"/>
    <w:rsid w:val="001F2F90"/>
    <w:rsid w:val="001F4E15"/>
    <w:rsid w:val="001F6913"/>
    <w:rsid w:val="001F77CE"/>
    <w:rsid w:val="002019E6"/>
    <w:rsid w:val="00205D19"/>
    <w:rsid w:val="00212EEC"/>
    <w:rsid w:val="00217522"/>
    <w:rsid w:val="0022634A"/>
    <w:rsid w:val="002316BB"/>
    <w:rsid w:val="00233A67"/>
    <w:rsid w:val="002432D4"/>
    <w:rsid w:val="002452EF"/>
    <w:rsid w:val="002662DD"/>
    <w:rsid w:val="00280340"/>
    <w:rsid w:val="00284310"/>
    <w:rsid w:val="00285C03"/>
    <w:rsid w:val="00287C9F"/>
    <w:rsid w:val="00296B4F"/>
    <w:rsid w:val="002A0045"/>
    <w:rsid w:val="002C076C"/>
    <w:rsid w:val="002C2210"/>
    <w:rsid w:val="002C2D4A"/>
    <w:rsid w:val="002D00EB"/>
    <w:rsid w:val="002D5BB6"/>
    <w:rsid w:val="002E129A"/>
    <w:rsid w:val="002E1E81"/>
    <w:rsid w:val="002F03D5"/>
    <w:rsid w:val="00301DC2"/>
    <w:rsid w:val="00302F8A"/>
    <w:rsid w:val="00303755"/>
    <w:rsid w:val="00304326"/>
    <w:rsid w:val="003130D6"/>
    <w:rsid w:val="00314FC6"/>
    <w:rsid w:val="003233A8"/>
    <w:rsid w:val="00324F41"/>
    <w:rsid w:val="003358C1"/>
    <w:rsid w:val="00340ED4"/>
    <w:rsid w:val="00341EB4"/>
    <w:rsid w:val="00343D46"/>
    <w:rsid w:val="00345574"/>
    <w:rsid w:val="0035724D"/>
    <w:rsid w:val="00365139"/>
    <w:rsid w:val="003653DE"/>
    <w:rsid w:val="003736B7"/>
    <w:rsid w:val="00376441"/>
    <w:rsid w:val="003859D0"/>
    <w:rsid w:val="003872C9"/>
    <w:rsid w:val="00393B21"/>
    <w:rsid w:val="003A12A5"/>
    <w:rsid w:val="003C67BC"/>
    <w:rsid w:val="003D57EB"/>
    <w:rsid w:val="003E0F06"/>
    <w:rsid w:val="003F500B"/>
    <w:rsid w:val="0042636C"/>
    <w:rsid w:val="00440A02"/>
    <w:rsid w:val="00450CAB"/>
    <w:rsid w:val="00456BA0"/>
    <w:rsid w:val="00456CC4"/>
    <w:rsid w:val="004627B0"/>
    <w:rsid w:val="00473A5C"/>
    <w:rsid w:val="004862C2"/>
    <w:rsid w:val="0049631A"/>
    <w:rsid w:val="004A3C3F"/>
    <w:rsid w:val="004B1A48"/>
    <w:rsid w:val="004D1C65"/>
    <w:rsid w:val="004D222B"/>
    <w:rsid w:val="004D5660"/>
    <w:rsid w:val="004E7C44"/>
    <w:rsid w:val="004F505D"/>
    <w:rsid w:val="00503414"/>
    <w:rsid w:val="005108B3"/>
    <w:rsid w:val="00510B5B"/>
    <w:rsid w:val="00512720"/>
    <w:rsid w:val="00550015"/>
    <w:rsid w:val="00552D55"/>
    <w:rsid w:val="0055578C"/>
    <w:rsid w:val="00565D3F"/>
    <w:rsid w:val="00574530"/>
    <w:rsid w:val="00581E51"/>
    <w:rsid w:val="005827F6"/>
    <w:rsid w:val="005912D8"/>
    <w:rsid w:val="005A52AF"/>
    <w:rsid w:val="005A5CBD"/>
    <w:rsid w:val="005C4583"/>
    <w:rsid w:val="005C71E4"/>
    <w:rsid w:val="005D4843"/>
    <w:rsid w:val="005D6002"/>
    <w:rsid w:val="005E1BC8"/>
    <w:rsid w:val="005F30B5"/>
    <w:rsid w:val="005F518B"/>
    <w:rsid w:val="00603372"/>
    <w:rsid w:val="00606AD3"/>
    <w:rsid w:val="0061000E"/>
    <w:rsid w:val="00610059"/>
    <w:rsid w:val="0062526C"/>
    <w:rsid w:val="00631659"/>
    <w:rsid w:val="00641BB6"/>
    <w:rsid w:val="00644562"/>
    <w:rsid w:val="00652C45"/>
    <w:rsid w:val="00655A0F"/>
    <w:rsid w:val="006609FF"/>
    <w:rsid w:val="006666CC"/>
    <w:rsid w:val="0068542E"/>
    <w:rsid w:val="00692AE6"/>
    <w:rsid w:val="006A2C42"/>
    <w:rsid w:val="006A703E"/>
    <w:rsid w:val="006A7EFE"/>
    <w:rsid w:val="006B393F"/>
    <w:rsid w:val="006B42EF"/>
    <w:rsid w:val="006B539D"/>
    <w:rsid w:val="006B5695"/>
    <w:rsid w:val="006E3616"/>
    <w:rsid w:val="006E7191"/>
    <w:rsid w:val="006F0607"/>
    <w:rsid w:val="006F5826"/>
    <w:rsid w:val="006F66E7"/>
    <w:rsid w:val="00700ED5"/>
    <w:rsid w:val="007154EF"/>
    <w:rsid w:val="00717EAA"/>
    <w:rsid w:val="00723A1E"/>
    <w:rsid w:val="00730C96"/>
    <w:rsid w:val="007366D4"/>
    <w:rsid w:val="00750B2F"/>
    <w:rsid w:val="00752435"/>
    <w:rsid w:val="00761A28"/>
    <w:rsid w:val="00764651"/>
    <w:rsid w:val="00765C0D"/>
    <w:rsid w:val="00767ABB"/>
    <w:rsid w:val="00771427"/>
    <w:rsid w:val="00773B87"/>
    <w:rsid w:val="00777FF5"/>
    <w:rsid w:val="007815B5"/>
    <w:rsid w:val="0079300E"/>
    <w:rsid w:val="00795480"/>
    <w:rsid w:val="007C5A62"/>
    <w:rsid w:val="007D71CB"/>
    <w:rsid w:val="007E100E"/>
    <w:rsid w:val="007E3EE7"/>
    <w:rsid w:val="007E5DAD"/>
    <w:rsid w:val="007F6984"/>
    <w:rsid w:val="00802821"/>
    <w:rsid w:val="008076E5"/>
    <w:rsid w:val="00813F36"/>
    <w:rsid w:val="008343D0"/>
    <w:rsid w:val="00834C37"/>
    <w:rsid w:val="0083798A"/>
    <w:rsid w:val="008434C2"/>
    <w:rsid w:val="00856DAB"/>
    <w:rsid w:val="00860442"/>
    <w:rsid w:val="00870454"/>
    <w:rsid w:val="00877FF2"/>
    <w:rsid w:val="00886CCD"/>
    <w:rsid w:val="008A13D5"/>
    <w:rsid w:val="008A78F5"/>
    <w:rsid w:val="008B159E"/>
    <w:rsid w:val="008B5771"/>
    <w:rsid w:val="008C69ED"/>
    <w:rsid w:val="008E7116"/>
    <w:rsid w:val="00903E8B"/>
    <w:rsid w:val="0092155D"/>
    <w:rsid w:val="0093188C"/>
    <w:rsid w:val="00932F42"/>
    <w:rsid w:val="00934801"/>
    <w:rsid w:val="00943B4F"/>
    <w:rsid w:val="009440B0"/>
    <w:rsid w:val="0095378F"/>
    <w:rsid w:val="00960B8A"/>
    <w:rsid w:val="00962883"/>
    <w:rsid w:val="009675A6"/>
    <w:rsid w:val="0097081E"/>
    <w:rsid w:val="00984469"/>
    <w:rsid w:val="0099117C"/>
    <w:rsid w:val="009A63CF"/>
    <w:rsid w:val="009A7F99"/>
    <w:rsid w:val="009A7FB3"/>
    <w:rsid w:val="009B2F2A"/>
    <w:rsid w:val="009B4B19"/>
    <w:rsid w:val="009B56AD"/>
    <w:rsid w:val="009B6206"/>
    <w:rsid w:val="009D51EA"/>
    <w:rsid w:val="009E0A80"/>
    <w:rsid w:val="009E0C59"/>
    <w:rsid w:val="00A06D17"/>
    <w:rsid w:val="00A12ABC"/>
    <w:rsid w:val="00A24091"/>
    <w:rsid w:val="00A24D9E"/>
    <w:rsid w:val="00A25BC5"/>
    <w:rsid w:val="00A30CB4"/>
    <w:rsid w:val="00A324E3"/>
    <w:rsid w:val="00A32DD2"/>
    <w:rsid w:val="00A33BFB"/>
    <w:rsid w:val="00A33C0A"/>
    <w:rsid w:val="00A40A2B"/>
    <w:rsid w:val="00A51396"/>
    <w:rsid w:val="00A5236E"/>
    <w:rsid w:val="00A634C2"/>
    <w:rsid w:val="00A648D6"/>
    <w:rsid w:val="00A71870"/>
    <w:rsid w:val="00A861D7"/>
    <w:rsid w:val="00A93F2D"/>
    <w:rsid w:val="00A94FD3"/>
    <w:rsid w:val="00AB7EFD"/>
    <w:rsid w:val="00AC74F2"/>
    <w:rsid w:val="00AE3D2B"/>
    <w:rsid w:val="00AF2F91"/>
    <w:rsid w:val="00B209C5"/>
    <w:rsid w:val="00B26E32"/>
    <w:rsid w:val="00B37477"/>
    <w:rsid w:val="00B403FB"/>
    <w:rsid w:val="00B42389"/>
    <w:rsid w:val="00B459E1"/>
    <w:rsid w:val="00B573F3"/>
    <w:rsid w:val="00B622E6"/>
    <w:rsid w:val="00B64165"/>
    <w:rsid w:val="00B65D5D"/>
    <w:rsid w:val="00B8045F"/>
    <w:rsid w:val="00B82264"/>
    <w:rsid w:val="00B836A4"/>
    <w:rsid w:val="00B84F7E"/>
    <w:rsid w:val="00B920A3"/>
    <w:rsid w:val="00BA167C"/>
    <w:rsid w:val="00BA20D9"/>
    <w:rsid w:val="00BB0F4A"/>
    <w:rsid w:val="00BB1DA3"/>
    <w:rsid w:val="00BB6A37"/>
    <w:rsid w:val="00BC39D0"/>
    <w:rsid w:val="00BC67D8"/>
    <w:rsid w:val="00C01694"/>
    <w:rsid w:val="00C12155"/>
    <w:rsid w:val="00C16B83"/>
    <w:rsid w:val="00C208DF"/>
    <w:rsid w:val="00C21BEF"/>
    <w:rsid w:val="00C33A53"/>
    <w:rsid w:val="00C37F17"/>
    <w:rsid w:val="00C4043E"/>
    <w:rsid w:val="00C40588"/>
    <w:rsid w:val="00C57272"/>
    <w:rsid w:val="00C60109"/>
    <w:rsid w:val="00C62087"/>
    <w:rsid w:val="00C6618F"/>
    <w:rsid w:val="00C81665"/>
    <w:rsid w:val="00C82896"/>
    <w:rsid w:val="00C9104E"/>
    <w:rsid w:val="00C9164A"/>
    <w:rsid w:val="00CA4BAE"/>
    <w:rsid w:val="00CA5F1D"/>
    <w:rsid w:val="00CA7AF2"/>
    <w:rsid w:val="00CB0F64"/>
    <w:rsid w:val="00CB1CE3"/>
    <w:rsid w:val="00CC68B2"/>
    <w:rsid w:val="00CD3E73"/>
    <w:rsid w:val="00CD430D"/>
    <w:rsid w:val="00D076E5"/>
    <w:rsid w:val="00D22B22"/>
    <w:rsid w:val="00D5237E"/>
    <w:rsid w:val="00D52444"/>
    <w:rsid w:val="00D53260"/>
    <w:rsid w:val="00D62D4D"/>
    <w:rsid w:val="00D975F3"/>
    <w:rsid w:val="00D978C2"/>
    <w:rsid w:val="00DA0D5D"/>
    <w:rsid w:val="00DA143B"/>
    <w:rsid w:val="00DD2448"/>
    <w:rsid w:val="00DE7792"/>
    <w:rsid w:val="00E06232"/>
    <w:rsid w:val="00E21B8D"/>
    <w:rsid w:val="00E2387E"/>
    <w:rsid w:val="00E30742"/>
    <w:rsid w:val="00E43B60"/>
    <w:rsid w:val="00E44661"/>
    <w:rsid w:val="00E56AC6"/>
    <w:rsid w:val="00E63983"/>
    <w:rsid w:val="00E71BD4"/>
    <w:rsid w:val="00E753A7"/>
    <w:rsid w:val="00E8189A"/>
    <w:rsid w:val="00E829DB"/>
    <w:rsid w:val="00E83180"/>
    <w:rsid w:val="00E93BB5"/>
    <w:rsid w:val="00E94225"/>
    <w:rsid w:val="00EB3F2B"/>
    <w:rsid w:val="00EB4630"/>
    <w:rsid w:val="00EB5F19"/>
    <w:rsid w:val="00EE223B"/>
    <w:rsid w:val="00EF2C7F"/>
    <w:rsid w:val="00F07796"/>
    <w:rsid w:val="00F13A45"/>
    <w:rsid w:val="00F24D3C"/>
    <w:rsid w:val="00F37B1C"/>
    <w:rsid w:val="00F47796"/>
    <w:rsid w:val="00F533A5"/>
    <w:rsid w:val="00F56B34"/>
    <w:rsid w:val="00F56BDD"/>
    <w:rsid w:val="00F63D76"/>
    <w:rsid w:val="00F64B45"/>
    <w:rsid w:val="00F74077"/>
    <w:rsid w:val="00F83011"/>
    <w:rsid w:val="00F83C0B"/>
    <w:rsid w:val="00F84D72"/>
    <w:rsid w:val="00F926D4"/>
    <w:rsid w:val="00FA5E5C"/>
    <w:rsid w:val="00FB38AA"/>
    <w:rsid w:val="00FB54DB"/>
    <w:rsid w:val="00FD1FC8"/>
    <w:rsid w:val="00FD2150"/>
    <w:rsid w:val="00FF6EB5"/>
    <w:rsid w:val="0117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70104"/>
  <w15:chartTrackingRefBased/>
  <w15:docId w15:val="{37C04A50-3524-402B-82E4-7C5D968C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17C"/>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343D46"/>
    <w:pPr>
      <w:keepNext/>
      <w:keepLines/>
      <w:spacing w:before="360" w:after="120"/>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343D46"/>
    <w:pPr>
      <w:keepNext/>
      <w:keepLines/>
      <w:spacing w:before="240" w:after="240"/>
      <w:outlineLvl w:val="1"/>
    </w:pPr>
    <w:rPr>
      <w:rFonts w:eastAsiaTheme="majorEastAsia" w:cstheme="majorBidi"/>
      <w:i/>
      <w:color w:val="000000" w:themeColor="text1"/>
      <w:sz w:val="26"/>
      <w:szCs w:val="26"/>
      <w:u w:val="single"/>
    </w:rPr>
  </w:style>
  <w:style w:type="paragraph" w:styleId="Heading3">
    <w:name w:val="heading 3"/>
    <w:basedOn w:val="Normal"/>
    <w:next w:val="Normal"/>
    <w:link w:val="Heading3Char"/>
    <w:qFormat/>
    <w:rsid w:val="0035724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3D46"/>
    <w:rPr>
      <w:rFonts w:ascii="Times New Roman" w:eastAsiaTheme="majorEastAsia" w:hAnsi="Times New Roman" w:cstheme="majorBidi"/>
      <w:i/>
      <w:color w:val="000000" w:themeColor="text1"/>
      <w:sz w:val="26"/>
      <w:szCs w:val="26"/>
      <w:u w:val="single"/>
    </w:rPr>
  </w:style>
  <w:style w:type="character" w:customStyle="1" w:styleId="Heading1Char">
    <w:name w:val="Heading 1 Char"/>
    <w:basedOn w:val="DefaultParagraphFont"/>
    <w:link w:val="Heading1"/>
    <w:uiPriority w:val="9"/>
    <w:rsid w:val="00343D46"/>
    <w:rPr>
      <w:rFonts w:ascii="Times New Roman" w:eastAsiaTheme="majorEastAsia" w:hAnsi="Times New Roman" w:cstheme="majorBidi"/>
      <w:b/>
      <w:color w:val="000000" w:themeColor="text1"/>
      <w:sz w:val="32"/>
      <w:szCs w:val="32"/>
    </w:rPr>
  </w:style>
  <w:style w:type="paragraph" w:styleId="Caption">
    <w:name w:val="caption"/>
    <w:basedOn w:val="Normal"/>
    <w:next w:val="Normal"/>
    <w:unhideWhenUsed/>
    <w:qFormat/>
    <w:rsid w:val="00343D46"/>
    <w:pPr>
      <w:spacing w:before="240" w:after="200"/>
    </w:pPr>
    <w:rPr>
      <w:b/>
      <w:bCs/>
      <w:color w:val="000000" w:themeColor="text1"/>
      <w:sz w:val="18"/>
      <w:szCs w:val="18"/>
    </w:rPr>
  </w:style>
  <w:style w:type="numbering" w:customStyle="1" w:styleId="Bulletlist">
    <w:name w:val="Bullet list"/>
    <w:uiPriority w:val="99"/>
    <w:rsid w:val="00343D46"/>
    <w:pPr>
      <w:numPr>
        <w:numId w:val="1"/>
      </w:numPr>
    </w:pPr>
  </w:style>
  <w:style w:type="paragraph" w:customStyle="1" w:styleId="Style1">
    <w:name w:val="Style1"/>
    <w:basedOn w:val="Normal"/>
    <w:qFormat/>
    <w:rsid w:val="00343D46"/>
    <w:pPr>
      <w:numPr>
        <w:numId w:val="2"/>
      </w:numPr>
      <w:spacing w:before="240" w:after="240"/>
    </w:pPr>
  </w:style>
  <w:style w:type="table" w:customStyle="1" w:styleId="TableHeader">
    <w:name w:val="TableHeader"/>
    <w:basedOn w:val="TableNormal"/>
    <w:uiPriority w:val="99"/>
    <w:rsid w:val="00343D46"/>
    <w:tblPr/>
    <w:tblStylePr w:type="firstRow">
      <w:rPr>
        <w:rFonts w:ascii="Times New Roman" w:hAnsi="Times New Roman"/>
        <w:b/>
      </w:rPr>
    </w:tblStylePr>
  </w:style>
  <w:style w:type="table" w:customStyle="1" w:styleId="TableHeader0">
    <w:name w:val="Table Header"/>
    <w:basedOn w:val="TableNormal"/>
    <w:uiPriority w:val="99"/>
    <w:rsid w:val="00343D46"/>
    <w:tblPr/>
    <w:tblStylePr w:type="firstRow">
      <w:rPr>
        <w:rFonts w:ascii="Times New Roman" w:hAnsi="Times New Roman"/>
        <w:b/>
        <w:color w:val="000000" w:themeColor="text1"/>
        <w:sz w:val="20"/>
      </w:rPr>
    </w:tblStylePr>
  </w:style>
  <w:style w:type="paragraph" w:customStyle="1" w:styleId="Tableheader1">
    <w:name w:val="Table header"/>
    <w:basedOn w:val="Normal"/>
    <w:qFormat/>
    <w:rsid w:val="00343D46"/>
    <w:pPr>
      <w:spacing w:before="240" w:after="240"/>
    </w:pPr>
    <w:rPr>
      <w:rFonts w:cs="Arial"/>
      <w:b/>
      <w:sz w:val="18"/>
      <w:szCs w:val="18"/>
    </w:rPr>
  </w:style>
  <w:style w:type="paragraph" w:styleId="BalloonText">
    <w:name w:val="Balloon Text"/>
    <w:basedOn w:val="Normal"/>
    <w:link w:val="BalloonTextChar"/>
    <w:uiPriority w:val="99"/>
    <w:semiHidden/>
    <w:unhideWhenUsed/>
    <w:rsid w:val="0099117C"/>
    <w:rPr>
      <w:sz w:val="18"/>
      <w:szCs w:val="18"/>
    </w:rPr>
  </w:style>
  <w:style w:type="character" w:customStyle="1" w:styleId="BalloonTextChar">
    <w:name w:val="Balloon Text Char"/>
    <w:basedOn w:val="DefaultParagraphFont"/>
    <w:link w:val="BalloonText"/>
    <w:uiPriority w:val="99"/>
    <w:semiHidden/>
    <w:rsid w:val="0099117C"/>
    <w:rPr>
      <w:rFonts w:ascii="Times New Roman" w:eastAsia="Times New Roman" w:hAnsi="Times New Roman" w:cs="Times New Roman"/>
      <w:sz w:val="18"/>
      <w:szCs w:val="18"/>
    </w:rPr>
  </w:style>
  <w:style w:type="paragraph" w:styleId="ListParagraph">
    <w:name w:val="List Paragraph"/>
    <w:basedOn w:val="Normal"/>
    <w:uiPriority w:val="34"/>
    <w:qFormat/>
    <w:rsid w:val="00765C0D"/>
    <w:pPr>
      <w:ind w:left="720"/>
    </w:pPr>
  </w:style>
  <w:style w:type="character" w:customStyle="1" w:styleId="Heading3Char">
    <w:name w:val="Heading 3 Char"/>
    <w:basedOn w:val="DefaultParagraphFont"/>
    <w:link w:val="Heading3"/>
    <w:rsid w:val="0035724D"/>
    <w:rPr>
      <w:rFonts w:ascii="Arial" w:eastAsia="Times New Roman" w:hAnsi="Arial" w:cs="Arial"/>
      <w:b/>
      <w:bCs/>
      <w:sz w:val="26"/>
      <w:szCs w:val="26"/>
    </w:rPr>
  </w:style>
  <w:style w:type="character" w:styleId="CommentReference">
    <w:name w:val="annotation reference"/>
    <w:basedOn w:val="DefaultParagraphFont"/>
    <w:uiPriority w:val="99"/>
    <w:semiHidden/>
    <w:unhideWhenUsed/>
    <w:rsid w:val="003C67BC"/>
    <w:rPr>
      <w:sz w:val="16"/>
      <w:szCs w:val="16"/>
    </w:rPr>
  </w:style>
  <w:style w:type="paragraph" w:styleId="CommentText">
    <w:name w:val="annotation text"/>
    <w:basedOn w:val="Normal"/>
    <w:link w:val="CommentTextChar"/>
    <w:uiPriority w:val="99"/>
    <w:unhideWhenUsed/>
    <w:rsid w:val="003C67BC"/>
    <w:rPr>
      <w:sz w:val="20"/>
      <w:szCs w:val="20"/>
    </w:rPr>
  </w:style>
  <w:style w:type="character" w:customStyle="1" w:styleId="CommentTextChar">
    <w:name w:val="Comment Text Char"/>
    <w:basedOn w:val="DefaultParagraphFont"/>
    <w:link w:val="CommentText"/>
    <w:uiPriority w:val="99"/>
    <w:rsid w:val="003C67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67BC"/>
    <w:rPr>
      <w:b/>
      <w:bCs/>
    </w:rPr>
  </w:style>
  <w:style w:type="character" w:customStyle="1" w:styleId="CommentSubjectChar">
    <w:name w:val="Comment Subject Char"/>
    <w:basedOn w:val="CommentTextChar"/>
    <w:link w:val="CommentSubject"/>
    <w:uiPriority w:val="99"/>
    <w:semiHidden/>
    <w:rsid w:val="003C67BC"/>
    <w:rPr>
      <w:rFonts w:ascii="Times New Roman" w:eastAsia="Times New Roman" w:hAnsi="Times New Roman" w:cs="Times New Roman"/>
      <w:b/>
      <w:bCs/>
      <w:sz w:val="20"/>
      <w:szCs w:val="20"/>
    </w:rPr>
  </w:style>
  <w:style w:type="character" w:styleId="Hyperlink">
    <w:name w:val="Hyperlink"/>
    <w:uiPriority w:val="99"/>
    <w:rsid w:val="00EE223B"/>
    <w:rPr>
      <w:color w:val="0000FF"/>
      <w:u w:val="single"/>
    </w:rPr>
  </w:style>
  <w:style w:type="paragraph" w:styleId="Footer">
    <w:name w:val="footer"/>
    <w:basedOn w:val="Normal"/>
    <w:link w:val="FooterChar"/>
    <w:uiPriority w:val="99"/>
    <w:rsid w:val="00EE223B"/>
    <w:pPr>
      <w:tabs>
        <w:tab w:val="center" w:pos="4320"/>
        <w:tab w:val="right" w:pos="8640"/>
      </w:tabs>
    </w:pPr>
  </w:style>
  <w:style w:type="character" w:customStyle="1" w:styleId="FooterChar">
    <w:name w:val="Footer Char"/>
    <w:basedOn w:val="DefaultParagraphFont"/>
    <w:link w:val="Footer"/>
    <w:uiPriority w:val="99"/>
    <w:rsid w:val="00EE223B"/>
    <w:rPr>
      <w:rFonts w:ascii="Times New Roman" w:eastAsia="Times New Roman" w:hAnsi="Times New Roman" w:cs="Times New Roman"/>
    </w:rPr>
  </w:style>
  <w:style w:type="character" w:styleId="PageNumber">
    <w:name w:val="page number"/>
    <w:basedOn w:val="DefaultParagraphFont"/>
    <w:rsid w:val="00EE223B"/>
  </w:style>
  <w:style w:type="paragraph" w:styleId="NormalWeb">
    <w:name w:val="Normal (Web)"/>
    <w:basedOn w:val="Normal"/>
    <w:rsid w:val="00EE223B"/>
    <w:pPr>
      <w:spacing w:before="100" w:beforeAutospacing="1" w:after="100" w:afterAutospacing="1"/>
    </w:pPr>
  </w:style>
  <w:style w:type="paragraph" w:styleId="Header">
    <w:name w:val="header"/>
    <w:basedOn w:val="Normal"/>
    <w:link w:val="HeaderChar"/>
    <w:uiPriority w:val="99"/>
    <w:semiHidden/>
    <w:unhideWhenUsed/>
    <w:rsid w:val="009A7FB3"/>
    <w:pPr>
      <w:tabs>
        <w:tab w:val="center" w:pos="4680"/>
        <w:tab w:val="right" w:pos="9360"/>
      </w:tabs>
    </w:pPr>
  </w:style>
  <w:style w:type="character" w:customStyle="1" w:styleId="HeaderChar">
    <w:name w:val="Header Char"/>
    <w:basedOn w:val="DefaultParagraphFont"/>
    <w:link w:val="Header"/>
    <w:uiPriority w:val="99"/>
    <w:semiHidden/>
    <w:rsid w:val="009A7FB3"/>
    <w:rPr>
      <w:rFonts w:ascii="Times New Roman" w:eastAsia="Times New Roman" w:hAnsi="Times New Roman" w:cs="Times New Roman"/>
    </w:rPr>
  </w:style>
  <w:style w:type="character" w:customStyle="1" w:styleId="apple-converted-space">
    <w:name w:val="apple-converted-space"/>
    <w:basedOn w:val="DefaultParagraphFont"/>
    <w:rsid w:val="009B2F2A"/>
  </w:style>
  <w:style w:type="character" w:styleId="Emphasis">
    <w:name w:val="Emphasis"/>
    <w:basedOn w:val="DefaultParagraphFont"/>
    <w:uiPriority w:val="20"/>
    <w:qFormat/>
    <w:rsid w:val="009B2F2A"/>
    <w:rPr>
      <w:i/>
      <w:iCs/>
    </w:rPr>
  </w:style>
  <w:style w:type="paragraph" w:styleId="EndnoteText">
    <w:name w:val="endnote text"/>
    <w:basedOn w:val="Normal"/>
    <w:link w:val="EndnoteTextChar"/>
    <w:uiPriority w:val="99"/>
    <w:unhideWhenUsed/>
    <w:rsid w:val="002D00EB"/>
    <w:rPr>
      <w:sz w:val="20"/>
      <w:szCs w:val="20"/>
    </w:rPr>
  </w:style>
  <w:style w:type="character" w:customStyle="1" w:styleId="EndnoteTextChar">
    <w:name w:val="Endnote Text Char"/>
    <w:basedOn w:val="DefaultParagraphFont"/>
    <w:link w:val="EndnoteText"/>
    <w:uiPriority w:val="99"/>
    <w:rsid w:val="002D00EB"/>
    <w:rPr>
      <w:rFonts w:ascii="Times New Roman" w:eastAsia="Times New Roman" w:hAnsi="Times New Roman" w:cs="Times New Roman"/>
      <w:sz w:val="20"/>
      <w:szCs w:val="20"/>
    </w:rPr>
  </w:style>
  <w:style w:type="character" w:styleId="EndnoteReference">
    <w:name w:val="endnote reference"/>
    <w:basedOn w:val="DefaultParagraphFont"/>
    <w:uiPriority w:val="99"/>
    <w:unhideWhenUsed/>
    <w:rsid w:val="002D00EB"/>
    <w:rPr>
      <w:vertAlign w:val="superscript"/>
    </w:rPr>
  </w:style>
  <w:style w:type="paragraph" w:styleId="BodyText">
    <w:name w:val="Body Text"/>
    <w:basedOn w:val="Normal"/>
    <w:link w:val="BodyTextChar"/>
    <w:rsid w:val="00302F8A"/>
    <w:pPr>
      <w:spacing w:after="120"/>
    </w:pPr>
  </w:style>
  <w:style w:type="character" w:customStyle="1" w:styleId="BodyTextChar">
    <w:name w:val="Body Text Char"/>
    <w:basedOn w:val="DefaultParagraphFont"/>
    <w:link w:val="BodyText"/>
    <w:rsid w:val="00302F8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236160">
      <w:bodyDiv w:val="1"/>
      <w:marLeft w:val="0"/>
      <w:marRight w:val="0"/>
      <w:marTop w:val="0"/>
      <w:marBottom w:val="0"/>
      <w:divBdr>
        <w:top w:val="none" w:sz="0" w:space="0" w:color="auto"/>
        <w:left w:val="none" w:sz="0" w:space="0" w:color="auto"/>
        <w:bottom w:val="none" w:sz="0" w:space="0" w:color="auto"/>
        <w:right w:val="none" w:sz="0" w:space="0" w:color="auto"/>
      </w:divBdr>
    </w:div>
    <w:div w:id="822968113">
      <w:bodyDiv w:val="1"/>
      <w:marLeft w:val="0"/>
      <w:marRight w:val="0"/>
      <w:marTop w:val="0"/>
      <w:marBottom w:val="0"/>
      <w:divBdr>
        <w:top w:val="none" w:sz="0" w:space="0" w:color="auto"/>
        <w:left w:val="none" w:sz="0" w:space="0" w:color="auto"/>
        <w:bottom w:val="none" w:sz="0" w:space="0" w:color="auto"/>
        <w:right w:val="none" w:sz="0" w:space="0" w:color="auto"/>
      </w:divBdr>
    </w:div>
    <w:div w:id="1790590207">
      <w:bodyDiv w:val="1"/>
      <w:marLeft w:val="0"/>
      <w:marRight w:val="0"/>
      <w:marTop w:val="0"/>
      <w:marBottom w:val="0"/>
      <w:divBdr>
        <w:top w:val="none" w:sz="0" w:space="0" w:color="auto"/>
        <w:left w:val="none" w:sz="0" w:space="0" w:color="auto"/>
        <w:bottom w:val="none" w:sz="0" w:space="0" w:color="auto"/>
        <w:right w:val="none" w:sz="0" w:space="0" w:color="auto"/>
      </w:divBdr>
    </w:div>
    <w:div w:id="1902055966">
      <w:bodyDiv w:val="1"/>
      <w:marLeft w:val="0"/>
      <w:marRight w:val="0"/>
      <w:marTop w:val="0"/>
      <w:marBottom w:val="0"/>
      <w:divBdr>
        <w:top w:val="none" w:sz="0" w:space="0" w:color="auto"/>
        <w:left w:val="none" w:sz="0" w:space="0" w:color="auto"/>
        <w:bottom w:val="none" w:sz="0" w:space="0" w:color="auto"/>
        <w:right w:val="none" w:sz="0" w:space="0" w:color="auto"/>
      </w:divBdr>
    </w:div>
    <w:div w:id="2032486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oes/current/oes_nat.htm" TargetMode="External"/><Relationship Id="rId13" Type="http://schemas.openxmlformats.org/officeDocument/2006/relationships/hyperlink" Target="https://www.ahrq.gov/patient-safety/settings/long-term-care/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hrq.gov/nursing-home/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hs.gov/coronavirus/cares-act-provider-relief-fund/general-information/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ata.cms.gov/stories/s/COVID-19-Nursing-Home-Data/bkwz-xpvg/" TargetMode="External"/><Relationship Id="rId4" Type="http://schemas.openxmlformats.org/officeDocument/2006/relationships/settings" Target="settings.xml"/><Relationship Id="rId9" Type="http://schemas.openxmlformats.org/officeDocument/2006/relationships/hyperlink" Target="https://www.opm.gov/policy-data-oversight/pay-leave/salaries-wages/salary-tables/pdf/2021/DCB_h.pdf" TargetMode="External"/><Relationship Id="rId14" Type="http://schemas.openxmlformats.org/officeDocument/2006/relationships/hyperlink" Target="https://www.cms.gov/About-CMS/Agency-Information/Emergency/EPRO/Current-Emergencies/Current-Emergencies-page"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099AB-AE1D-40C5-9CF4-191B0AC89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2390</Words>
  <Characters>13623</Characters>
  <Application>Microsoft Office Word</Application>
  <DocSecurity>0</DocSecurity>
  <Lines>113</Lines>
  <Paragraphs>31</Paragraphs>
  <ScaleCrop>false</ScaleCrop>
  <HeadingPairs>
    <vt:vector size="4" baseType="variant">
      <vt:variant>
        <vt:lpstr>Title</vt:lpstr>
      </vt:variant>
      <vt:variant>
        <vt:i4>1</vt:i4>
      </vt:variant>
      <vt:variant>
        <vt:lpstr>Headings</vt:lpstr>
      </vt:variant>
      <vt:variant>
        <vt:i4>29</vt:i4>
      </vt:variant>
    </vt:vector>
  </HeadingPairs>
  <TitlesOfParts>
    <vt:vector size="30" baseType="lpstr">
      <vt:lpstr/>
      <vt:lpstr/>
      <vt:lpstr/>
      <vt:lpstr/>
      <vt:lpstr/>
      <vt:lpstr/>
      <vt:lpstr/>
      <vt:lpstr/>
      <vt:lpstr/>
      <vt:lpstr>A. Justification</vt:lpstr>
      <vt:lpstr>    1. Circumstances that make the collection of information necessary</vt:lpstr>
      <vt:lpstr>    2. Purpose and Use of Information</vt:lpstr>
      <vt:lpstr>    3. Use of Improved Information Technology</vt:lpstr>
      <vt:lpstr>    4. Efforts to Identify Duplication</vt:lpstr>
      <vt:lpstr>    5. Involvement of Small Entities</vt:lpstr>
      <vt:lpstr>    6. Consequences if Information Collected Less Frequently</vt:lpstr>
      <vt:lpstr>    7. Special Circumstances</vt:lpstr>
      <vt:lpstr>    8. Federal Register Notice and Outside Consultations</vt:lpstr>
      <vt:lpstr>        8.a. Federal Register Notice</vt:lpstr>
      <vt:lpstr>        8.b.  Outside Consultations</vt:lpstr>
      <vt:lpstr>    9. Payments/Gifts to Respondents</vt:lpstr>
      <vt:lpstr>    10. Assurance of Confidentiality</vt:lpstr>
      <vt:lpstr>    11. Questions of a Sensitive Nature</vt:lpstr>
      <vt:lpstr>    12. Estimates of Annualized Burden Hours and Costs</vt:lpstr>
      <vt:lpstr>    13. Estimates of Annualized Respondent Capital and Maintenance Costs</vt:lpstr>
      <vt:lpstr>    14. Estimates of Total and Annualized Cost to the Government</vt:lpstr>
      <vt:lpstr>    15. Changes in Hour Burden</vt:lpstr>
      <vt:lpstr>    16. Time Schedule, Publication and Analysis Plans</vt:lpstr>
      <vt:lpstr>    17. Exemption for Display of Expiration Date</vt:lpstr>
      <vt:lpstr>    &lt;References</vt:lpstr>
    </vt:vector>
  </TitlesOfParts>
  <Company/>
  <LinksUpToDate>false</LinksUpToDate>
  <CharactersWithSpaces>15982</CharactersWithSpaces>
  <SharedDoc>false</SharedDoc>
  <HLinks>
    <vt:vector size="6" baseType="variant">
      <vt:variant>
        <vt:i4>4587636</vt:i4>
      </vt:variant>
      <vt:variant>
        <vt:i4>9</vt:i4>
      </vt:variant>
      <vt:variant>
        <vt:i4>0</vt:i4>
      </vt:variant>
      <vt:variant>
        <vt:i4>5</vt:i4>
      </vt:variant>
      <vt:variant>
        <vt:lpwstr>https://www.opm.gov/policy-data-oversight/pay-leave/salaries-wages/salary-tables/pdf/2020/DCB_h.pdf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Bradford</dc:creator>
  <cp:keywords/>
  <dc:description/>
  <cp:lastModifiedBy>Owens, Pam (AHRQ/CFACT)</cp:lastModifiedBy>
  <cp:revision>4</cp:revision>
  <cp:lastPrinted>2020-12-18T14:02:00Z</cp:lastPrinted>
  <dcterms:created xsi:type="dcterms:W3CDTF">2021-04-06T14:44:00Z</dcterms:created>
  <dcterms:modified xsi:type="dcterms:W3CDTF">2021-04-06T17:32:00Z</dcterms:modified>
</cp:coreProperties>
</file>