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76B9" w:rsidRPr="00FF3F40" w:rsidP="005072FF" w14:paraId="7433D125" w14:textId="52DEA51A">
      <w:pPr>
        <w:pStyle w:val="AppendixTitle"/>
        <w:rPr>
          <w:szCs w:val="28"/>
        </w:rPr>
      </w:pPr>
      <w:r w:rsidRPr="00FF3F40">
        <w:rPr>
          <w:rStyle w:val="BodyTextFi"/>
          <w:szCs w:val="28"/>
        </w:rPr>
        <w:t>Rapid Uptake of Disseminated Interventions (RUDI) Evaluation</w:t>
      </w:r>
      <w:r w:rsidRPr="00FF3F40" w:rsidR="005072FF">
        <w:rPr>
          <w:rStyle w:val="BodyTextFi"/>
          <w:szCs w:val="28"/>
        </w:rPr>
        <w:br/>
        <w:t>Supporting Statement A</w:t>
      </w:r>
      <w:r w:rsidRPr="00FF3F40">
        <w:rPr>
          <w:szCs w:val="28"/>
        </w:rPr>
        <w:t xml:space="preserve"> </w:t>
      </w:r>
    </w:p>
    <w:p w:rsidR="002547DC" w:rsidRPr="00FF3F40" w:rsidP="002547DC" w14:paraId="4270B9A7" w14:textId="2C25DC40">
      <w:pPr>
        <w:pStyle w:val="H2"/>
        <w:jc w:val="center"/>
      </w:pPr>
      <w:r>
        <w:t>10/</w:t>
      </w:r>
      <w:r w:rsidR="001B0EAD">
        <w:t>20</w:t>
      </w:r>
      <w:r>
        <w:t>/2023</w:t>
      </w:r>
    </w:p>
    <w:p w:rsidR="00BA1A0C" w:rsidRPr="00FF3F40" w:rsidP="002C3E1E" w14:paraId="30ADC64B" w14:textId="60FD1E71">
      <w:pPr>
        <w:pStyle w:val="H2"/>
        <w:jc w:val="center"/>
      </w:pPr>
      <w:r w:rsidRPr="00FF3F40">
        <w:t>OMB Control No. 09</w:t>
      </w:r>
      <w:r w:rsidRPr="00FF3F40" w:rsidR="00055B81">
        <w:t>06</w:t>
      </w:r>
      <w:r w:rsidRPr="00FF3F40">
        <w:t>-XXXX</w:t>
      </w:r>
      <w:r w:rsidR="0055183E">
        <w:t xml:space="preserve"> </w:t>
      </w:r>
      <w:r w:rsidRPr="00FF3F40" w:rsidR="00BD59DC">
        <w:t>New</w:t>
      </w:r>
      <w:r w:rsidRPr="00FF3F40" w:rsidR="00055B81">
        <w:t xml:space="preserve"> Information Collection Request</w:t>
      </w:r>
    </w:p>
    <w:p w:rsidR="00BD6BF1" w:rsidRPr="00FF3F40" w:rsidP="0035158E" w14:paraId="65AAFEEE" w14:textId="56044A62">
      <w:pPr>
        <w:pStyle w:val="ParagraphContinued"/>
      </w:pPr>
      <w:r w:rsidRPr="00FF3F40">
        <w:rPr>
          <w:b/>
          <w:bCs/>
        </w:rPr>
        <w:t>Terms of Clearance</w:t>
      </w:r>
      <w:r w:rsidRPr="00FF3F40" w:rsidR="00BA1A0C">
        <w:rPr>
          <w:b/>
          <w:bCs/>
        </w:rPr>
        <w:t>:</w:t>
      </w:r>
      <w:r w:rsidRPr="00FF3F40" w:rsidR="00F709D5">
        <w:rPr>
          <w:b/>
          <w:bCs/>
        </w:rPr>
        <w:t xml:space="preserve"> </w:t>
      </w:r>
      <w:r w:rsidRPr="00FF3F40">
        <w:t>None.</w:t>
      </w:r>
    </w:p>
    <w:p w:rsidR="009B3794" w:rsidRPr="00FF3F40" w:rsidP="0035158E" w14:paraId="789305B3" w14:textId="62F59D99">
      <w:pPr>
        <w:pStyle w:val="H2"/>
      </w:pPr>
      <w:r w:rsidRPr="00FF3F40">
        <w:t xml:space="preserve"> </w:t>
      </w:r>
      <w:r w:rsidRPr="00FF3F40">
        <w:t>A.</w:t>
      </w:r>
      <w:r w:rsidRPr="00FF3F40">
        <w:tab/>
        <w:t>Justification</w:t>
      </w:r>
    </w:p>
    <w:p w:rsidR="00DB7177" w:rsidRPr="00FF3F40" w:rsidP="0035158E" w14:paraId="780442E6" w14:textId="1082CF9D">
      <w:pPr>
        <w:pStyle w:val="H3"/>
      </w:pPr>
      <w:r w:rsidRPr="00FF3F40">
        <w:t>1.</w:t>
      </w:r>
      <w:r w:rsidRPr="00FF3F40">
        <w:tab/>
      </w:r>
      <w:r w:rsidRPr="00FF3F40">
        <w:t xml:space="preserve">Circumstances </w:t>
      </w:r>
      <w:r w:rsidRPr="00FF3F40">
        <w:t>making the collection of information n</w:t>
      </w:r>
      <w:r w:rsidRPr="00FF3F40">
        <w:t>ecessary</w:t>
      </w:r>
    </w:p>
    <w:p w:rsidR="00A57503" w:rsidRPr="00583760" w:rsidP="0035158E" w14:paraId="234166B3" w14:textId="02FBB918">
      <w:pPr>
        <w:pStyle w:val="ParagraphContinued"/>
      </w:pPr>
      <w:r w:rsidRPr="00A70D45">
        <w:rPr>
          <w:rStyle w:val="BodyTextFi"/>
        </w:rPr>
        <w:t xml:space="preserve">The </w:t>
      </w:r>
      <w:r w:rsidRPr="00A70D45" w:rsidR="009C6D6C">
        <w:rPr>
          <w:rStyle w:val="BodyTextFi"/>
        </w:rPr>
        <w:t>HIV/AIDS Bureau (HAB)</w:t>
      </w:r>
      <w:r w:rsidRPr="00A70D45" w:rsidR="002C1EF3">
        <w:rPr>
          <w:rStyle w:val="BodyTextFi"/>
        </w:rPr>
        <w:t>,</w:t>
      </w:r>
      <w:r w:rsidRPr="00A70D45" w:rsidR="009C6D6C">
        <w:rPr>
          <w:rStyle w:val="BodyTextFi"/>
        </w:rPr>
        <w:t xml:space="preserve"> </w:t>
      </w:r>
      <w:r w:rsidRPr="00A70D45" w:rsidR="002C1EF3">
        <w:rPr>
          <w:rStyle w:val="BodyTextFi"/>
        </w:rPr>
        <w:t xml:space="preserve">part of </w:t>
      </w:r>
      <w:r w:rsidRPr="00A70D45" w:rsidR="009C6D6C">
        <w:rPr>
          <w:rStyle w:val="BodyTextFi"/>
        </w:rPr>
        <w:t xml:space="preserve">the </w:t>
      </w:r>
      <w:r w:rsidRPr="00A70D45">
        <w:rPr>
          <w:rStyle w:val="BodyTextFi"/>
        </w:rPr>
        <w:t>Health Resources and Services Administration</w:t>
      </w:r>
      <w:r w:rsidRPr="00A70D45" w:rsidR="002C1EF3">
        <w:rPr>
          <w:rStyle w:val="BodyTextFi"/>
        </w:rPr>
        <w:t>,</w:t>
      </w:r>
      <w:r w:rsidRPr="00A70D45">
        <w:rPr>
          <w:rStyle w:val="BodyTextFi"/>
        </w:rPr>
        <w:t xml:space="preserve"> request</w:t>
      </w:r>
      <w:r w:rsidRPr="00A70D45" w:rsidR="009C6D6C">
        <w:rPr>
          <w:rStyle w:val="BodyTextFi"/>
        </w:rPr>
        <w:t>s</w:t>
      </w:r>
      <w:r w:rsidRPr="00A70D45">
        <w:rPr>
          <w:rStyle w:val="BodyTextFi"/>
        </w:rPr>
        <w:t xml:space="preserve"> approval from the Office of Management and Budget (OMB) for a</w:t>
      </w:r>
      <w:r w:rsidRPr="00583760">
        <w:rPr>
          <w:lang w:val="en"/>
        </w:rPr>
        <w:t xml:space="preserve"> new information collection </w:t>
      </w:r>
      <w:r w:rsidRPr="00583760" w:rsidR="009C6D6C">
        <w:rPr>
          <w:lang w:val="en"/>
        </w:rPr>
        <w:t>effort</w:t>
      </w:r>
      <w:r w:rsidRPr="00583760" w:rsidR="002C1EF3">
        <w:rPr>
          <w:lang w:val="en"/>
        </w:rPr>
        <w:t>,</w:t>
      </w:r>
      <w:r w:rsidRPr="00583760" w:rsidR="009C6D6C">
        <w:rPr>
          <w:lang w:val="en"/>
        </w:rPr>
        <w:t xml:space="preserve"> </w:t>
      </w:r>
      <w:r w:rsidRPr="00583760" w:rsidR="002C1EF3">
        <w:rPr>
          <w:lang w:val="en"/>
        </w:rPr>
        <w:t>t</w:t>
      </w:r>
      <w:r w:rsidRPr="00583760" w:rsidR="00DE735A">
        <w:rPr>
          <w:lang w:val="en"/>
        </w:rPr>
        <w:t xml:space="preserve">he </w:t>
      </w:r>
      <w:r w:rsidRPr="00A70D45" w:rsidR="00DE735A">
        <w:rPr>
          <w:rStyle w:val="BodyTextFi"/>
        </w:rPr>
        <w:t>Rapid Uptake of Disseminated Interventions</w:t>
      </w:r>
      <w:r w:rsidRPr="00A70D45" w:rsidR="00B038B4">
        <w:rPr>
          <w:rStyle w:val="BodyTextFi"/>
        </w:rPr>
        <w:t xml:space="preserve"> (RUDI)</w:t>
      </w:r>
      <w:r w:rsidRPr="00A70D45" w:rsidR="00DE735A">
        <w:rPr>
          <w:rStyle w:val="BodyTextFi"/>
        </w:rPr>
        <w:t xml:space="preserve"> </w:t>
      </w:r>
      <w:r w:rsidRPr="00A70D45" w:rsidR="00B038B4">
        <w:rPr>
          <w:rStyle w:val="BodyTextFi"/>
        </w:rPr>
        <w:t>E</w:t>
      </w:r>
      <w:r w:rsidRPr="00A70D45" w:rsidR="00DE735A">
        <w:rPr>
          <w:rStyle w:val="BodyTextFi"/>
        </w:rPr>
        <w:t>valuation</w:t>
      </w:r>
      <w:r w:rsidRPr="00583760" w:rsidR="00B17735">
        <w:rPr>
          <w:lang w:val="en"/>
        </w:rPr>
        <w:t>.</w:t>
      </w:r>
      <w:r w:rsidRPr="00583760" w:rsidR="00F709D5">
        <w:rPr>
          <w:lang w:val="en"/>
        </w:rPr>
        <w:t xml:space="preserve"> </w:t>
      </w:r>
      <w:r w:rsidRPr="00583760" w:rsidR="000D6DB9">
        <w:rPr>
          <w:lang w:val="en"/>
        </w:rPr>
        <w:t xml:space="preserve">The </w:t>
      </w:r>
      <w:r w:rsidRPr="00583760" w:rsidR="00D315AE">
        <w:rPr>
          <w:lang w:val="en"/>
        </w:rPr>
        <w:t xml:space="preserve">mixed-methods </w:t>
      </w:r>
      <w:r w:rsidRPr="00583760" w:rsidR="000D6DB9">
        <w:rPr>
          <w:lang w:val="en"/>
        </w:rPr>
        <w:t xml:space="preserve">RUDI </w:t>
      </w:r>
      <w:r w:rsidRPr="00583760" w:rsidR="009C6D6C">
        <w:rPr>
          <w:lang w:val="en"/>
        </w:rPr>
        <w:t>e</w:t>
      </w:r>
      <w:r w:rsidRPr="00583760" w:rsidR="000D6DB9">
        <w:rPr>
          <w:lang w:val="en"/>
        </w:rPr>
        <w:t xml:space="preserve">valuation will help HAB systematically assess and understand (1) how, where, and why </w:t>
      </w:r>
      <w:r w:rsidRPr="00583760" w:rsidR="0056641F">
        <w:rPr>
          <w:lang w:val="en"/>
        </w:rPr>
        <w:t>recipients of Ryan White HIV/AIDS Program (RWHAP)</w:t>
      </w:r>
      <w:r w:rsidRPr="00583760" w:rsidR="0055577C">
        <w:rPr>
          <w:lang w:val="en"/>
        </w:rPr>
        <w:t xml:space="preserve"> </w:t>
      </w:r>
      <w:r w:rsidRPr="00583760" w:rsidR="0056641F">
        <w:rPr>
          <w:lang w:val="en"/>
        </w:rPr>
        <w:t>funding</w:t>
      </w:r>
      <w:r w:rsidRPr="00583760" w:rsidR="009C6D6C">
        <w:rPr>
          <w:lang w:val="en"/>
        </w:rPr>
        <w:t xml:space="preserve"> access and use its disseminated resources and products</w:t>
      </w:r>
      <w:r w:rsidRPr="00583760" w:rsidR="000D6DB9">
        <w:rPr>
          <w:lang w:val="en"/>
        </w:rPr>
        <w:t xml:space="preserve"> and (2) the utility and </w:t>
      </w:r>
      <w:r w:rsidRPr="00583760" w:rsidR="009C6D6C">
        <w:rPr>
          <w:lang w:val="en"/>
        </w:rPr>
        <w:t xml:space="preserve">effectiveness </w:t>
      </w:r>
      <w:r w:rsidRPr="00583760" w:rsidR="000D6DB9">
        <w:rPr>
          <w:lang w:val="en"/>
        </w:rPr>
        <w:t xml:space="preserve">of the </w:t>
      </w:r>
      <w:r w:rsidRPr="00583760" w:rsidR="003750D0">
        <w:rPr>
          <w:lang w:val="en"/>
        </w:rPr>
        <w:t xml:space="preserve">disseminated </w:t>
      </w:r>
      <w:r w:rsidRPr="00583760" w:rsidR="009C6D6C">
        <w:rPr>
          <w:lang w:val="en"/>
        </w:rPr>
        <w:t xml:space="preserve">resources and </w:t>
      </w:r>
      <w:r w:rsidRPr="00583760" w:rsidR="000D6DB9">
        <w:rPr>
          <w:lang w:val="en"/>
        </w:rPr>
        <w:t>products</w:t>
      </w:r>
      <w:r w:rsidRPr="00583760" w:rsidR="000C49E2">
        <w:rPr>
          <w:lang w:val="en"/>
        </w:rPr>
        <w:t xml:space="preserve"> </w:t>
      </w:r>
      <w:r w:rsidRPr="00583760" w:rsidR="009C6D6C">
        <w:rPr>
          <w:lang w:val="en"/>
        </w:rPr>
        <w:t>in car</w:t>
      </w:r>
      <w:r w:rsidRPr="00583760" w:rsidR="002C1EF3">
        <w:rPr>
          <w:lang w:val="en"/>
        </w:rPr>
        <w:t>ing for</w:t>
      </w:r>
      <w:r w:rsidRPr="00583760" w:rsidR="009C6D6C">
        <w:rPr>
          <w:lang w:val="en"/>
        </w:rPr>
        <w:t xml:space="preserve"> people with HIV</w:t>
      </w:r>
      <w:r w:rsidRPr="00583760" w:rsidR="000D6DB9">
        <w:rPr>
          <w:lang w:val="en"/>
        </w:rPr>
        <w:t xml:space="preserve">. </w:t>
      </w:r>
      <w:r w:rsidRPr="00583760" w:rsidR="002C1EF3">
        <w:rPr>
          <w:lang w:val="en"/>
        </w:rPr>
        <w:t>F</w:t>
      </w:r>
      <w:r w:rsidRPr="00583760" w:rsidR="00874F76">
        <w:rPr>
          <w:lang w:val="en"/>
        </w:rPr>
        <w:t xml:space="preserve">indings from the </w:t>
      </w:r>
      <w:r w:rsidRPr="00583760" w:rsidR="00DE0225">
        <w:rPr>
          <w:lang w:val="en"/>
        </w:rPr>
        <w:t xml:space="preserve">RUDI </w:t>
      </w:r>
      <w:r w:rsidRPr="00583760" w:rsidR="009C6D6C">
        <w:rPr>
          <w:lang w:val="en"/>
        </w:rPr>
        <w:t>e</w:t>
      </w:r>
      <w:r w:rsidRPr="00583760" w:rsidR="00DE0225">
        <w:rPr>
          <w:lang w:val="en"/>
        </w:rPr>
        <w:t xml:space="preserve">valuation </w:t>
      </w:r>
      <w:r w:rsidRPr="00583760" w:rsidR="000D6DB9">
        <w:rPr>
          <w:lang w:val="en"/>
        </w:rPr>
        <w:t xml:space="preserve">will help HAB maximize the uptake and impact of its </w:t>
      </w:r>
      <w:r w:rsidRPr="00583760" w:rsidR="00D10598">
        <w:rPr>
          <w:lang w:val="en"/>
        </w:rPr>
        <w:t xml:space="preserve">disseminated </w:t>
      </w:r>
      <w:r w:rsidRPr="00583760" w:rsidR="009C6D6C">
        <w:rPr>
          <w:lang w:val="en"/>
        </w:rPr>
        <w:t xml:space="preserve">resources and </w:t>
      </w:r>
      <w:r w:rsidRPr="00583760" w:rsidR="00D10598">
        <w:rPr>
          <w:lang w:val="en"/>
        </w:rPr>
        <w:t>products to</w:t>
      </w:r>
      <w:r w:rsidRPr="00583760" w:rsidR="000D6DB9">
        <w:rPr>
          <w:lang w:val="en"/>
        </w:rPr>
        <w:t xml:space="preserve"> end the HIV epidemic in the </w:t>
      </w:r>
      <w:r w:rsidRPr="00583760" w:rsidR="00D10598">
        <w:rPr>
          <w:lang w:val="en"/>
        </w:rPr>
        <w:t xml:space="preserve">United States. </w:t>
      </w:r>
      <w:r w:rsidRPr="00D264DB" w:rsidR="00D264DB">
        <w:t xml:space="preserve"> </w:t>
      </w:r>
      <w:r w:rsidRPr="00D264DB" w:rsidR="00D264DB">
        <w:rPr>
          <w:lang w:val="en"/>
        </w:rPr>
        <w:t xml:space="preserve">Legislative authorization for this study comes from </w:t>
      </w:r>
      <w:r w:rsidRPr="00545B14" w:rsidR="00545B14">
        <w:rPr>
          <w:lang w:val="en"/>
        </w:rPr>
        <w:t>The Ryan White HIV/AIDS Treatment Extension Act of 2009– Title XXVI of the Public Health Service Act, as amended</w:t>
      </w:r>
      <w:r w:rsidR="00545B14">
        <w:rPr>
          <w:lang w:val="en"/>
        </w:rPr>
        <w:t>.</w:t>
      </w:r>
      <w:r>
        <w:rPr>
          <w:rStyle w:val="FootnoteReference"/>
          <w:lang w:val="en"/>
        </w:rPr>
        <w:footnoteReference w:id="2"/>
      </w:r>
    </w:p>
    <w:p w:rsidR="00D22EF1" w:rsidP="0035158E" w14:paraId="6EA5ED3B" w14:textId="2F4AE092">
      <w:pPr>
        <w:pStyle w:val="ParagraphContinued"/>
      </w:pPr>
      <w:r w:rsidRPr="00FF3F40">
        <w:rPr>
          <w:b/>
          <w:bCs/>
        </w:rPr>
        <w:t>Background.</w:t>
      </w:r>
      <w:r w:rsidRPr="00FF3F40">
        <w:t xml:space="preserve"> </w:t>
      </w:r>
      <w:r w:rsidRPr="00FF3F40" w:rsidR="00B9245B">
        <w:t xml:space="preserve">RWHAP, along with </w:t>
      </w:r>
      <w:r w:rsidRPr="00FF3F40" w:rsidR="002C1EF3">
        <w:t xml:space="preserve">the Health Resources and Services Administration’s </w:t>
      </w:r>
      <w:r w:rsidRPr="00FF3F40" w:rsidR="00B9245B">
        <w:t>Health Center Program, plays a critical role in</w:t>
      </w:r>
      <w:r w:rsidRPr="00FF3F40" w:rsidR="00A5638E">
        <w:t xml:space="preserve"> achieving the goals of the</w:t>
      </w:r>
      <w:r w:rsidRPr="00FF3F40" w:rsidR="00B9245B">
        <w:t xml:space="preserve"> U.S Department of Health and Human Services’ Ending the HIV Epidemic initiative</w:t>
      </w:r>
      <w:r w:rsidRPr="00FF3F40" w:rsidR="00F709D5">
        <w:t>.</w:t>
      </w:r>
      <w:r>
        <w:rPr>
          <w:rStyle w:val="FootnoteReference"/>
          <w:sz w:val="24"/>
        </w:rPr>
        <w:footnoteReference w:id="3"/>
      </w:r>
      <w:r w:rsidRPr="00FF3F40" w:rsidR="00F709D5">
        <w:t xml:space="preserve"> </w:t>
      </w:r>
      <w:r w:rsidRPr="00FF3F40" w:rsidR="00A5638E">
        <w:t>Th</w:t>
      </w:r>
      <w:r w:rsidRPr="00FF3F40" w:rsidR="002C1EF3">
        <w:t>e</w:t>
      </w:r>
      <w:r w:rsidRPr="00FF3F40" w:rsidR="00A5638E">
        <w:t xml:space="preserve"> initiative, launched in 2020, aims to reduce new HIV infections by 75</w:t>
      </w:r>
      <w:r w:rsidRPr="00FF3F40" w:rsidR="002C1EF3">
        <w:t xml:space="preserve"> percent</w:t>
      </w:r>
      <w:r w:rsidRPr="00FF3F40" w:rsidR="00A5638E">
        <w:t xml:space="preserve"> by 2025 and by 90</w:t>
      </w:r>
      <w:r w:rsidRPr="00FF3F40" w:rsidR="002C1EF3">
        <w:t xml:space="preserve"> percent</w:t>
      </w:r>
      <w:r w:rsidRPr="00FF3F40" w:rsidR="00A5638E">
        <w:t xml:space="preserve"> by 2030. </w:t>
      </w:r>
      <w:r w:rsidRPr="00FF3F40" w:rsidR="00B9245B">
        <w:t xml:space="preserve">HAB has worked closely with RWHAP recipients and subrecipients to develop </w:t>
      </w:r>
      <w:r w:rsidRPr="00FF3F40" w:rsidR="00A5638E">
        <w:t xml:space="preserve">effective </w:t>
      </w:r>
      <w:r w:rsidRPr="00FF3F40" w:rsidR="00B9245B">
        <w:t xml:space="preserve">intervention strategies to link and retain clients in high-quality care, particularly for populations that carry the greatest burden of HIV. At the same time, many HIV primary care and supportive service providers have developed and adapted their own intervention strategies to address urgent and emerging needs. </w:t>
      </w:r>
      <w:r w:rsidRPr="00FF3F40" w:rsidR="00AA2E05">
        <w:t xml:space="preserve">The </w:t>
      </w:r>
      <w:r w:rsidRPr="00FF3F40" w:rsidR="00B9245B">
        <w:t xml:space="preserve">challenge that remains </w:t>
      </w:r>
      <w:r w:rsidRPr="00FF3F40" w:rsidR="00002222">
        <w:t>is</w:t>
      </w:r>
      <w:r w:rsidRPr="00FF3F40" w:rsidR="00A5638E">
        <w:t xml:space="preserve"> </w:t>
      </w:r>
      <w:r w:rsidRPr="00FF3F40" w:rsidR="008E725C">
        <w:t xml:space="preserve">effectively </w:t>
      </w:r>
      <w:r w:rsidRPr="00FF3F40" w:rsidR="00A5638E">
        <w:rPr>
          <w:i/>
          <w:iCs/>
        </w:rPr>
        <w:t>disseminating</w:t>
      </w:r>
      <w:r w:rsidRPr="00FF3F40" w:rsidR="00A5638E">
        <w:t xml:space="preserve"> and</w:t>
      </w:r>
      <w:r w:rsidRPr="00FF3F40" w:rsidR="00AA2E05">
        <w:t xml:space="preserve"> </w:t>
      </w:r>
      <w:r w:rsidRPr="00FF3F40" w:rsidR="00AA2E05">
        <w:rPr>
          <w:i/>
          <w:iCs/>
        </w:rPr>
        <w:t>implement</w:t>
      </w:r>
      <w:r w:rsidRPr="00FF3F40" w:rsidR="00A5638E">
        <w:rPr>
          <w:i/>
          <w:iCs/>
        </w:rPr>
        <w:t>ing</w:t>
      </w:r>
      <w:r w:rsidRPr="00FF3F40" w:rsidR="00AA2E05">
        <w:t xml:space="preserve"> t</w:t>
      </w:r>
      <w:r w:rsidRPr="00FF3F40" w:rsidR="00B9245B">
        <w:t xml:space="preserve">he many intervention strategies available, including </w:t>
      </w:r>
      <w:r w:rsidRPr="00FF3F40" w:rsidR="00002222">
        <w:t xml:space="preserve">adapting </w:t>
      </w:r>
      <w:r w:rsidRPr="00FF3F40" w:rsidR="00F54EED">
        <w:t xml:space="preserve">them </w:t>
      </w:r>
      <w:r w:rsidRPr="00FF3F40" w:rsidR="00002222">
        <w:t>to the contextual and intersectional needs of</w:t>
      </w:r>
      <w:r w:rsidRPr="00FF3F40" w:rsidR="00B9245B">
        <w:t xml:space="preserve"> each at-risk population. </w:t>
      </w:r>
      <w:r w:rsidRPr="00FF3F40" w:rsidR="00520C3F">
        <w:t xml:space="preserve">HAB’s RUDI </w:t>
      </w:r>
      <w:r w:rsidRPr="00FF3F40" w:rsidR="00A5638E">
        <w:t>e</w:t>
      </w:r>
      <w:r w:rsidRPr="00FF3F40" w:rsidR="00520C3F">
        <w:t xml:space="preserve">valuation will </w:t>
      </w:r>
      <w:r w:rsidRPr="00FF3F40" w:rsidR="00B9245B">
        <w:t xml:space="preserve">assess the uptake and impact of </w:t>
      </w:r>
      <w:r w:rsidRPr="00FF3F40" w:rsidR="008E725C">
        <w:t xml:space="preserve">its </w:t>
      </w:r>
      <w:r w:rsidRPr="00FF3F40" w:rsidR="00B9245B">
        <w:t>disseminated initiatives through an implementation science framewor</w:t>
      </w:r>
      <w:r w:rsidRPr="00FF3F40" w:rsidR="00BC211F">
        <w:t>k</w:t>
      </w:r>
      <w:r w:rsidRPr="00FF3F40" w:rsidR="00934550">
        <w:t xml:space="preserve">, as depicted in </w:t>
      </w:r>
      <w:r w:rsidRPr="00FF3F40" w:rsidR="00405317">
        <w:t xml:space="preserve">the logic model shown in </w:t>
      </w:r>
      <w:r w:rsidRPr="00FF3F40" w:rsidR="00934550">
        <w:t>Exhibit 1.</w:t>
      </w:r>
      <w:r>
        <w:br w:type="page"/>
      </w:r>
    </w:p>
    <w:bookmarkStart w:id="0" w:name="_Toc122449115"/>
    <w:bookmarkStart w:id="1" w:name="_Toc114471853"/>
    <w:p w:rsidR="008C38C7" w:rsidRPr="00FF3F40" w:rsidP="008B32F3" w14:paraId="6455F915" w14:textId="77777777">
      <w:pPr>
        <w:pStyle w:val="TitleRule"/>
      </w:pPr>
      <w:r w:rsidRPr="00FF3F40">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405317" w:rsidRPr="00FF3F40" w:rsidP="008C38C7" w14:paraId="7AE23B52" w14:textId="3A8198C8">
      <w:pPr>
        <w:pStyle w:val="ExhibitTitle"/>
      </w:pPr>
      <w:r w:rsidRPr="00FF3F40">
        <w:t xml:space="preserve">Exhibit 1. </w:t>
      </w:r>
      <w:r w:rsidRPr="00FF3F40">
        <w:t>RUDI evaluation logic model</w:t>
      </w:r>
    </w:p>
    <w:bookmarkEnd w:id="0"/>
    <w:bookmarkEnd w:id="1"/>
    <w:p w:rsidR="00934550" w:rsidRPr="00FF3F40" w:rsidP="004E7D70" w14:paraId="70B6FC0E" w14:textId="39B5E70D">
      <w:pPr>
        <w:pStyle w:val="Paragraph"/>
        <w:spacing w:after="0"/>
        <w:jc w:val="center"/>
        <w:rPr>
          <w:rFonts w:cs="Times New Roman"/>
        </w:rPr>
      </w:pPr>
      <w:r>
        <w:rPr>
          <w:noProof/>
        </w:rPr>
        <w:drawing>
          <wp:inline distT="0" distB="0" distL="0" distR="0">
            <wp:extent cx="5943600" cy="4939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939030"/>
                    </a:xfrm>
                    <a:prstGeom prst="rect">
                      <a:avLst/>
                    </a:prstGeom>
                    <a:noFill/>
                    <a:ln>
                      <a:noFill/>
                    </a:ln>
                  </pic:spPr>
                </pic:pic>
              </a:graphicData>
            </a:graphic>
          </wp:inline>
        </w:drawing>
      </w:r>
    </w:p>
    <w:p w:rsidR="00812D62" w:rsidRPr="00FF3F40" w:rsidP="008C38C7" w14:paraId="1F96EBB0" w14:textId="7D278EA2">
      <w:pPr>
        <w:pStyle w:val="ExhibitFootnote"/>
      </w:pPr>
      <w:bookmarkStart w:id="2" w:name="_Hlk127459035"/>
      <w:r w:rsidRPr="00FF3F40">
        <w:t>HAB = HIV/AIDS Bureau; RUDI = Rapid Uptake of Disseminated Interventions; RWHAP = Ryan White HIV/AIDS Program; TA = technical assistance</w:t>
      </w:r>
    </w:p>
    <w:p w:rsidR="00011D98" w:rsidP="008C38C7" w14:paraId="7197C9DF" w14:textId="423D0DFF">
      <w:pPr>
        <w:pStyle w:val="ExhibitFootnote"/>
      </w:pPr>
      <w:r w:rsidRPr="00FF3F40">
        <w:t>Note: RQ notations within Exhibit 1 reference the research questions listed in Exhibit 2.</w:t>
      </w:r>
    </w:p>
    <w:bookmarkEnd w:id="2"/>
    <w:p w:rsidR="009D1C89" w:rsidRPr="00FF3F40" w:rsidP="0035158E" w14:paraId="0C2FE678" w14:textId="61142B5C">
      <w:pPr>
        <w:pStyle w:val="H3"/>
      </w:pPr>
      <w:r w:rsidRPr="00FF3F40">
        <w:t>2.</w:t>
      </w:r>
      <w:r w:rsidRPr="00FF3F40">
        <w:tab/>
      </w:r>
      <w:r w:rsidRPr="00FF3F40" w:rsidR="0056791A">
        <w:t>P</w:t>
      </w:r>
      <w:r w:rsidRPr="00FF3F40" w:rsidR="009B3794">
        <w:t xml:space="preserve">urpose and </w:t>
      </w:r>
      <w:r w:rsidRPr="00FF3F40">
        <w:t>use of information c</w:t>
      </w:r>
      <w:r w:rsidRPr="00FF3F40" w:rsidR="009B3794">
        <w:t>ollection</w:t>
      </w:r>
    </w:p>
    <w:p w:rsidR="00FE3514" w:rsidP="00D22EF1" w14:paraId="73B2D8FE" w14:textId="24626F4C">
      <w:pPr>
        <w:pStyle w:val="ParagraphContinued"/>
      </w:pPr>
      <w:r>
        <w:t>The</w:t>
      </w:r>
      <w:r w:rsidRPr="333410E4">
        <w:t xml:space="preserve"> Health Resources and Services Administration (HRSA</w:t>
      </w:r>
      <w:r>
        <w:t xml:space="preserve">) </w:t>
      </w:r>
      <w:r w:rsidRPr="008248A9">
        <w:t>RWHAP</w:t>
      </w:r>
      <w:r>
        <w:t xml:space="preserve"> </w:t>
      </w:r>
      <w:r w:rsidRPr="333410E4">
        <w:t xml:space="preserve">plays a critical role in </w:t>
      </w:r>
      <w:r>
        <w:t>the U.S. Department of Health and Human Services</w:t>
      </w:r>
      <w:r w:rsidRPr="333410E4">
        <w:t>’</w:t>
      </w:r>
      <w:r w:rsidRPr="00BA3F73">
        <w:t xml:space="preserve"> </w:t>
      </w:r>
      <w:r w:rsidRPr="00603245">
        <w:t>Ending the HIV Epidemic</w:t>
      </w:r>
      <w:r w:rsidRPr="333410E4">
        <w:t xml:space="preserve"> initiative.</w:t>
      </w:r>
      <w:r w:rsidRPr="005973AD">
        <w:t xml:space="preserve"> </w:t>
      </w:r>
      <w:r>
        <w:t xml:space="preserve">HRSA’s </w:t>
      </w:r>
      <w:r w:rsidR="00B76C72">
        <w:t>HAB</w:t>
      </w:r>
      <w:r>
        <w:t>, which administers the RWHAP,</w:t>
      </w:r>
      <w:r w:rsidRPr="005973AD">
        <w:t xml:space="preserve"> has worked closely with RWHAP</w:t>
      </w:r>
      <w:r w:rsidRPr="3C3A6DA0">
        <w:t xml:space="preserve"> </w:t>
      </w:r>
      <w:r w:rsidRPr="32496A67">
        <w:t>recipients</w:t>
      </w:r>
      <w:r w:rsidRPr="005973AD">
        <w:t xml:space="preserve"> and </w:t>
      </w:r>
      <w:r>
        <w:t>providers</w:t>
      </w:r>
      <w:r w:rsidRPr="005973AD">
        <w:t xml:space="preserve"> to develop </w:t>
      </w:r>
      <w:r>
        <w:t>and test</w:t>
      </w:r>
      <w:r w:rsidRPr="005973AD">
        <w:t xml:space="preserve"> intervention strategies </w:t>
      </w:r>
      <w:r>
        <w:t>to</w:t>
      </w:r>
      <w:r w:rsidRPr="005973AD">
        <w:t xml:space="preserve"> link and retain </w:t>
      </w:r>
      <w:r>
        <w:t xml:space="preserve">people with HIV to </w:t>
      </w:r>
      <w:r w:rsidRPr="005973AD">
        <w:t>high-quality care</w:t>
      </w:r>
      <w:r>
        <w:t xml:space="preserve"> and treatment</w:t>
      </w:r>
      <w:r w:rsidRPr="005973AD">
        <w:t xml:space="preserve">, particularly for populations that </w:t>
      </w:r>
      <w:r>
        <w:t>are least served by existing programs, as well as the most</w:t>
      </w:r>
      <w:r w:rsidRPr="00460227">
        <w:t xml:space="preserve"> </w:t>
      </w:r>
      <w:r w:rsidRPr="005973AD">
        <w:t>urgent and emerging needs</w:t>
      </w:r>
      <w:r w:rsidRPr="18EC426A">
        <w:t xml:space="preserve">. </w:t>
      </w:r>
      <w:r>
        <w:t>I</w:t>
      </w:r>
      <w:r w:rsidRPr="6884B047">
        <w:t>n</w:t>
      </w:r>
      <w:r w:rsidRPr="75AAE0FF">
        <w:t xml:space="preserve"> recent years, HAB has</w:t>
      </w:r>
      <w:r>
        <w:t xml:space="preserve"> been</w:t>
      </w:r>
      <w:r w:rsidRPr="75AAE0FF">
        <w:t xml:space="preserve"> </w:t>
      </w:r>
      <w:r>
        <w:t>a leader in the utilization and innovation of</w:t>
      </w:r>
      <w:r w:rsidRPr="75AAE0FF">
        <w:t xml:space="preserve"> implementation science </w:t>
      </w:r>
      <w:r>
        <w:t>in HIV through</w:t>
      </w:r>
      <w:r w:rsidRPr="40873850">
        <w:t xml:space="preserve"> its </w:t>
      </w:r>
      <w:r w:rsidRPr="0D21F3D7">
        <w:t>portfolio</w:t>
      </w:r>
      <w:r w:rsidRPr="40873850">
        <w:t xml:space="preserve"> of </w:t>
      </w:r>
      <w:r w:rsidRPr="00885779">
        <w:t xml:space="preserve">Special Projects of National Significance </w:t>
      </w:r>
      <w:r w:rsidRPr="584C7ABD">
        <w:t xml:space="preserve">and its </w:t>
      </w:r>
      <w:r w:rsidR="00B76C72">
        <w:t>Technical Assistance (TA)</w:t>
      </w:r>
      <w:r w:rsidRPr="7092C163" w:rsidR="00B76C72">
        <w:t xml:space="preserve"> </w:t>
      </w:r>
      <w:r w:rsidRPr="7092C163">
        <w:t>initiatives</w:t>
      </w:r>
      <w:r>
        <w:t>.</w:t>
      </w:r>
      <w:r>
        <w:rPr>
          <w:rStyle w:val="FootnoteReference"/>
        </w:rPr>
        <w:footnoteReference w:id="4"/>
      </w:r>
      <w:r>
        <w:t xml:space="preserve"> This work has</w:t>
      </w:r>
      <w:r w:rsidRPr="7092C163">
        <w:t xml:space="preserve"> </w:t>
      </w:r>
      <w:r w:rsidRPr="4C63E5B7">
        <w:t>result</w:t>
      </w:r>
      <w:r>
        <w:t>ed</w:t>
      </w:r>
      <w:r w:rsidRPr="4C63E5B7">
        <w:t xml:space="preserve"> in </w:t>
      </w:r>
      <w:r w:rsidRPr="4CA8452E">
        <w:t>resources</w:t>
      </w:r>
      <w:r w:rsidRPr="5AC3E1D3">
        <w:t xml:space="preserve"> and tools </w:t>
      </w:r>
      <w:r w:rsidRPr="2C3F57DD">
        <w:t>to help</w:t>
      </w:r>
      <w:r w:rsidRPr="7DA5FCA2">
        <w:t xml:space="preserve"> other </w:t>
      </w:r>
      <w:r w:rsidRPr="7D9C7B85">
        <w:t>providers replicate successful</w:t>
      </w:r>
      <w:r>
        <w:t xml:space="preserve"> interventions to improve care quality and health outcomes for people with HIV, particularly those served by the RWHAP</w:t>
      </w:r>
      <w:r w:rsidRPr="7BC930CD">
        <w:t>.</w:t>
      </w:r>
      <w:r w:rsidRPr="62B85680">
        <w:t xml:space="preserve"> </w:t>
      </w:r>
      <w:r w:rsidRPr="18EC426A">
        <w:t>At</w:t>
      </w:r>
      <w:r w:rsidRPr="005973AD">
        <w:t xml:space="preserve"> the same time</w:t>
      </w:r>
      <w:r>
        <w:t>,</w:t>
      </w:r>
      <w:r w:rsidRPr="005973AD">
        <w:t xml:space="preserve"> </w:t>
      </w:r>
      <w:r>
        <w:t xml:space="preserve">many </w:t>
      </w:r>
      <w:r w:rsidRPr="005973AD">
        <w:t xml:space="preserve">HIV </w:t>
      </w:r>
      <w:r>
        <w:t>service delivery organizations</w:t>
      </w:r>
      <w:r w:rsidRPr="005973AD">
        <w:t xml:space="preserve"> </w:t>
      </w:r>
      <w:r w:rsidR="00E667A3">
        <w:t xml:space="preserve">(hereafter “providers,” since they provide either medical or non-medical services, or both) </w:t>
      </w:r>
      <w:r w:rsidRPr="005973AD">
        <w:t xml:space="preserve">have developed and adapted their own intervention strategies. </w:t>
      </w:r>
      <w:r>
        <w:t>To end the HIV epidemic, these effective interventions need to be disseminated widely so they can be replicated, where appropriate, as rapidly and efficiently as possible to achieve optimal health outcomes for all people with HIV. However</w:t>
      </w:r>
      <w:r w:rsidRPr="005973AD">
        <w:t xml:space="preserve">, the “optimal implementation” of the many intervention strategies available, including </w:t>
      </w:r>
      <w:r w:rsidRPr="36D63462">
        <w:t>adaptation</w:t>
      </w:r>
      <w:r w:rsidRPr="005973AD">
        <w:t xml:space="preserve"> as needed for each at-risk population and their contextual and intersectional needs</w:t>
      </w:r>
      <w:r>
        <w:t>, remains a challenge</w:t>
      </w:r>
      <w:r w:rsidRPr="005973AD">
        <w:t>.</w:t>
      </w:r>
      <w:r>
        <w:rPr>
          <w:rStyle w:val="FootnoteReference"/>
        </w:rPr>
        <w:footnoteReference w:id="5"/>
      </w:r>
      <w:r>
        <w:t xml:space="preserve"> To overcome these challenges, effective dissemination strategies are needed.</w:t>
      </w:r>
      <w:r>
        <w:rPr>
          <w:rStyle w:val="FootnoteReference"/>
        </w:rPr>
        <w:footnoteReference w:id="6"/>
      </w:r>
    </w:p>
    <w:p w:rsidR="000631AF" w:rsidP="0035158E" w14:paraId="342FF4CB" w14:textId="6253DECE">
      <w:pPr>
        <w:pStyle w:val="Paragraph"/>
        <w:sectPr w:rsidSect="00E10910">
          <w:headerReference w:type="default" r:id="rId10"/>
          <w:footerReference w:type="default" r:id="rId11"/>
          <w:endnotePr>
            <w:numFmt w:val="decimal"/>
          </w:endnotePr>
          <w:pgSz w:w="12240" w:h="15840"/>
          <w:pgMar w:top="1440" w:right="1440" w:bottom="1440" w:left="1440" w:header="720" w:footer="720" w:gutter="0"/>
          <w:cols w:space="720"/>
          <w:noEndnote/>
          <w:docGrid w:linePitch="299"/>
        </w:sectPr>
      </w:pPr>
      <w:r>
        <w:t>U</w:t>
      </w:r>
      <w:r w:rsidRPr="00FF3F40" w:rsidR="006803B1">
        <w:t xml:space="preserve">nder this study, </w:t>
      </w:r>
      <w:r w:rsidRPr="00FF3F40" w:rsidR="006A5CB5">
        <w:t xml:space="preserve">HAB </w:t>
      </w:r>
      <w:r w:rsidRPr="00FF3F40" w:rsidR="006803B1">
        <w:t xml:space="preserve">seeks </w:t>
      </w:r>
      <w:r w:rsidRPr="00FF3F40" w:rsidR="006A5CB5">
        <w:t xml:space="preserve">to </w:t>
      </w:r>
      <w:r w:rsidRPr="00FF3F40" w:rsidR="006803B1">
        <w:t xml:space="preserve">learn </w:t>
      </w:r>
      <w:r w:rsidRPr="00FF3F40" w:rsidR="006A5CB5">
        <w:t>more about the uptake, utility, and efficacy of the</w:t>
      </w:r>
      <w:r w:rsidRPr="00FF3F40" w:rsidR="006803B1">
        <w:t xml:space="preserve"> resources and</w:t>
      </w:r>
      <w:r w:rsidRPr="00FF3F40" w:rsidR="006A5CB5">
        <w:t xml:space="preserve"> products it disseminates, the effectiveness of its dissemination process, and the reach of its key dissemination channels. </w:t>
      </w:r>
      <w:r w:rsidRPr="00FF3F40" w:rsidR="006803B1">
        <w:t>HAB also</w:t>
      </w:r>
      <w:r w:rsidRPr="00FF3F40" w:rsidR="000130BA">
        <w:t xml:space="preserve"> </w:t>
      </w:r>
      <w:r w:rsidRPr="00FF3F40" w:rsidR="003228CB">
        <w:t>wants to</w:t>
      </w:r>
      <w:r w:rsidRPr="00FF3F40" w:rsidR="000130BA">
        <w:t xml:space="preserve"> </w:t>
      </w:r>
      <w:r w:rsidRPr="00FF3F40" w:rsidR="006803B1">
        <w:t xml:space="preserve">learn more about the </w:t>
      </w:r>
      <w:r w:rsidRPr="00FF3F40" w:rsidR="000130BA">
        <w:t xml:space="preserve">non-HAB </w:t>
      </w:r>
      <w:r w:rsidRPr="00FF3F40" w:rsidR="00E673FE">
        <w:t xml:space="preserve">resources </w:t>
      </w:r>
      <w:r w:rsidRPr="00FF3F40" w:rsidR="006803B1">
        <w:t xml:space="preserve">and products that RWHAP recipients and subrecipients access and </w:t>
      </w:r>
      <w:r w:rsidRPr="00FF3F40" w:rsidR="00E673FE">
        <w:t>use</w:t>
      </w:r>
      <w:r w:rsidRPr="00FF3F40" w:rsidR="006803B1">
        <w:t xml:space="preserve"> </w:t>
      </w:r>
      <w:r w:rsidR="00D756C0">
        <w:t xml:space="preserve">to </w:t>
      </w:r>
      <w:r w:rsidRPr="00FF3F40" w:rsidR="006803B1">
        <w:t>improve care</w:t>
      </w:r>
      <w:r w:rsidR="00D756C0">
        <w:t xml:space="preserve"> for </w:t>
      </w:r>
      <w:r w:rsidRPr="00FF3F40" w:rsidR="006803B1">
        <w:t>people with HIV</w:t>
      </w:r>
      <w:r w:rsidRPr="00FF3F40" w:rsidR="00F709D5">
        <w:t xml:space="preserve">. </w:t>
      </w:r>
      <w:r w:rsidRPr="00FF3F40" w:rsidR="00722BEB">
        <w:t xml:space="preserve">Exhibit 2 </w:t>
      </w:r>
      <w:r w:rsidRPr="00FF3F40" w:rsidR="00A05380">
        <w:t xml:space="preserve">lists </w:t>
      </w:r>
      <w:r w:rsidRPr="00FF3F40" w:rsidR="00722BEB">
        <w:t>the topics</w:t>
      </w:r>
      <w:r w:rsidRPr="00FF3F40" w:rsidR="00774ACA">
        <w:t xml:space="preserve"> and </w:t>
      </w:r>
      <w:r w:rsidRPr="00FF3F40" w:rsidR="00722BEB">
        <w:t xml:space="preserve">research questions </w:t>
      </w:r>
      <w:r w:rsidRPr="00FF3F40" w:rsidR="00DB70CF">
        <w:t xml:space="preserve">that </w:t>
      </w:r>
      <w:r w:rsidRPr="00FF3F40" w:rsidR="00A05380">
        <w:t xml:space="preserve">the RUDI evaluation </w:t>
      </w:r>
      <w:r w:rsidRPr="00FF3F40" w:rsidR="00DB70CF">
        <w:t xml:space="preserve">will </w:t>
      </w:r>
      <w:r w:rsidRPr="00FF3F40" w:rsidR="004E7D70">
        <w:t>address and</w:t>
      </w:r>
      <w:r w:rsidRPr="00FF3F40" w:rsidR="00A05380">
        <w:t xml:space="preserve"> identifies the sources of information used to answer </w:t>
      </w:r>
      <w:r w:rsidRPr="00FF3F40" w:rsidR="00FB3461">
        <w:t>each research question</w:t>
      </w:r>
      <w:r w:rsidRPr="00FF3F40" w:rsidR="00A05380">
        <w:t>.</w:t>
      </w:r>
      <w:r w:rsidRPr="00FF3F40" w:rsidR="00FB3461">
        <w:t xml:space="preserve"> </w:t>
      </w:r>
    </w:p>
    <w:p w:rsidR="000631AF" w:rsidRPr="00FF3F40" w:rsidP="000631AF" w14:paraId="3FE8D4E4" w14:textId="77777777">
      <w:pPr>
        <w:pStyle w:val="TitleRule"/>
      </w:pPr>
      <w:r w:rsidRPr="00FF3F40">
        <w:rPr>
          <w:noProof/>
        </w:rPr>
        <mc:AlternateContent>
          <mc:Choice Requires="wps">
            <w:drawing>
              <wp:inline distT="0" distB="0" distL="0" distR="0">
                <wp:extent cx="2971800" cy="0"/>
                <wp:effectExtent l="0" t="38100" r="38100" b="38100"/>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0631AF" w:rsidRPr="00FF3F40" w:rsidP="000631AF" w14:paraId="623BFA2B" w14:textId="77777777">
      <w:pPr>
        <w:pStyle w:val="ExhibitTitle"/>
      </w:pPr>
      <w:r w:rsidRPr="00FF3F40">
        <w:t>Exhibit 2. Data sources’ use by research question</w:t>
      </w:r>
    </w:p>
    <w:tbl>
      <w:tblPr>
        <w:tblStyle w:val="BaseTable"/>
        <w:tblW w:w="12474" w:type="dxa"/>
        <w:tblInd w:w="-90" w:type="dxa"/>
        <w:tblLook w:val="04A0"/>
      </w:tblPr>
      <w:tblGrid>
        <w:gridCol w:w="4986"/>
        <w:gridCol w:w="1008"/>
        <w:gridCol w:w="1008"/>
        <w:gridCol w:w="1008"/>
        <w:gridCol w:w="1008"/>
        <w:gridCol w:w="1008"/>
        <w:gridCol w:w="1008"/>
        <w:gridCol w:w="1440"/>
      </w:tblGrid>
      <w:tr w14:paraId="4BCBC580" w14:textId="77777777" w:rsidTr="0008766E">
        <w:tblPrEx>
          <w:tblW w:w="12474" w:type="dxa"/>
          <w:tblInd w:w="-90" w:type="dxa"/>
          <w:tblLook w:val="04A0"/>
        </w:tblPrEx>
        <w:trPr>
          <w:trHeight w:val="120"/>
          <w:tblHeader/>
        </w:trPr>
        <w:tc>
          <w:tcPr>
            <w:tcW w:w="4986" w:type="dxa"/>
            <w:tcBorders>
              <w:bottom w:val="nil"/>
            </w:tcBorders>
          </w:tcPr>
          <w:p w:rsidR="000631AF" w:rsidRPr="00BA4ECC" w:rsidP="0008766E" w14:paraId="0A909D78" w14:textId="77777777">
            <w:pPr>
              <w:pStyle w:val="TableHeaderLeft"/>
              <w:rPr>
                <w:rFonts w:ascii="Arial Narrow" w:hAnsi="Arial Narrow"/>
                <w:b w:val="0"/>
                <w:szCs w:val="18"/>
              </w:rPr>
            </w:pPr>
            <w:r w:rsidRPr="00BA4ECC">
              <w:rPr>
                <w:rFonts w:ascii="Arial Narrow" w:hAnsi="Arial Narrow"/>
                <w:szCs w:val="18"/>
              </w:rPr>
              <w:t>Topics and research questions</w:t>
            </w:r>
          </w:p>
        </w:tc>
        <w:tc>
          <w:tcPr>
            <w:tcW w:w="1008" w:type="dxa"/>
            <w:tcBorders>
              <w:bottom w:val="nil"/>
            </w:tcBorders>
            <w:hideMark/>
          </w:tcPr>
          <w:p w:rsidR="000631AF" w:rsidRPr="00BA4ECC" w:rsidP="0008766E" w14:paraId="68F5BA64" w14:textId="1396B572">
            <w:pPr>
              <w:pStyle w:val="TableHeaderCenter"/>
              <w:rPr>
                <w:rFonts w:ascii="Arial Narrow" w:hAnsi="Arial Narrow"/>
                <w:szCs w:val="18"/>
              </w:rPr>
            </w:pPr>
            <w:r w:rsidRPr="00BA4ECC">
              <w:rPr>
                <w:rFonts w:ascii="Arial Narrow" w:hAnsi="Arial Narrow"/>
                <w:szCs w:val="18"/>
              </w:rPr>
              <w:t>RUDI-P</w:t>
            </w:r>
            <w:r w:rsidRPr="00BA4ECC" w:rsidR="00D756C0">
              <w:rPr>
                <w:rFonts w:ascii="Arial Narrow" w:hAnsi="Arial Narrow"/>
                <w:szCs w:val="18"/>
              </w:rPr>
              <w:t>/S</w:t>
            </w:r>
            <w:r w:rsidRPr="00BA4ECC">
              <w:rPr>
                <w:rFonts w:ascii="Arial Narrow" w:hAnsi="Arial Narrow"/>
                <w:szCs w:val="18"/>
              </w:rPr>
              <w:t xml:space="preserve"> Survey </w:t>
            </w:r>
          </w:p>
        </w:tc>
        <w:tc>
          <w:tcPr>
            <w:tcW w:w="1008" w:type="dxa"/>
            <w:tcBorders>
              <w:bottom w:val="nil"/>
            </w:tcBorders>
            <w:hideMark/>
          </w:tcPr>
          <w:p w:rsidR="000631AF" w:rsidRPr="00BA4ECC" w:rsidP="0008766E" w14:paraId="35FC7834" w14:textId="77777777">
            <w:pPr>
              <w:pStyle w:val="TableHeaderCenter"/>
              <w:rPr>
                <w:rFonts w:ascii="Arial Narrow" w:hAnsi="Arial Narrow"/>
                <w:szCs w:val="18"/>
              </w:rPr>
            </w:pPr>
            <w:r w:rsidRPr="00BA4ECC">
              <w:rPr>
                <w:rFonts w:ascii="Arial Narrow" w:hAnsi="Arial Narrow"/>
                <w:szCs w:val="18"/>
              </w:rPr>
              <w:t>Virtual site visits (interviews)</w:t>
            </w:r>
          </w:p>
        </w:tc>
        <w:tc>
          <w:tcPr>
            <w:tcW w:w="1008" w:type="dxa"/>
            <w:tcBorders>
              <w:bottom w:val="nil"/>
            </w:tcBorders>
          </w:tcPr>
          <w:p w:rsidR="000631AF" w:rsidRPr="00BA4ECC" w:rsidP="0008766E" w14:paraId="319C2F9E" w14:textId="77777777">
            <w:pPr>
              <w:pStyle w:val="TableHeaderCenter"/>
              <w:rPr>
                <w:rFonts w:ascii="Arial Narrow" w:hAnsi="Arial Narrow"/>
                <w:szCs w:val="18"/>
              </w:rPr>
            </w:pPr>
            <w:r w:rsidRPr="00BA4ECC">
              <w:rPr>
                <w:rFonts w:ascii="Arial Narrow" w:hAnsi="Arial Narrow"/>
                <w:szCs w:val="18"/>
              </w:rPr>
              <w:t>RUDI-R Survey</w:t>
            </w:r>
          </w:p>
        </w:tc>
        <w:tc>
          <w:tcPr>
            <w:tcW w:w="1008" w:type="dxa"/>
            <w:tcBorders>
              <w:bottom w:val="nil"/>
            </w:tcBorders>
          </w:tcPr>
          <w:p w:rsidR="000631AF" w:rsidRPr="00BA4ECC" w:rsidP="0008766E" w14:paraId="4FDB9A3D" w14:textId="77777777">
            <w:pPr>
              <w:pStyle w:val="TableHeaderCenter"/>
              <w:rPr>
                <w:rFonts w:ascii="Arial Narrow" w:hAnsi="Arial Narrow"/>
                <w:szCs w:val="18"/>
              </w:rPr>
            </w:pPr>
            <w:r w:rsidRPr="00BA4ECC">
              <w:rPr>
                <w:rFonts w:ascii="Arial Narrow" w:hAnsi="Arial Narrow"/>
                <w:szCs w:val="18"/>
              </w:rPr>
              <w:t>Interviews with Part A &amp; B Recipients</w:t>
            </w:r>
          </w:p>
        </w:tc>
        <w:tc>
          <w:tcPr>
            <w:tcW w:w="1008" w:type="dxa"/>
            <w:tcBorders>
              <w:bottom w:val="nil"/>
            </w:tcBorders>
          </w:tcPr>
          <w:p w:rsidR="000631AF" w:rsidRPr="00BA4ECC" w:rsidP="0008766E" w14:paraId="36B8E7D5" w14:textId="77777777">
            <w:pPr>
              <w:pStyle w:val="TableHeaderCenter"/>
              <w:rPr>
                <w:rFonts w:ascii="Arial Narrow" w:hAnsi="Arial Narrow"/>
                <w:szCs w:val="18"/>
              </w:rPr>
            </w:pPr>
            <w:r w:rsidRPr="00BA4ECC">
              <w:rPr>
                <w:rFonts w:ascii="Arial Narrow" w:hAnsi="Arial Narrow"/>
                <w:szCs w:val="18"/>
              </w:rPr>
              <w:t>Interviews with AETCs</w:t>
            </w:r>
          </w:p>
        </w:tc>
        <w:tc>
          <w:tcPr>
            <w:tcW w:w="1008" w:type="dxa"/>
            <w:tcBorders>
              <w:bottom w:val="nil"/>
            </w:tcBorders>
            <w:hideMark/>
          </w:tcPr>
          <w:p w:rsidR="000631AF" w:rsidRPr="00BA4ECC" w:rsidP="0008766E" w14:paraId="6EA2AFC4" w14:textId="77777777">
            <w:pPr>
              <w:pStyle w:val="TableHeaderCenter"/>
              <w:rPr>
                <w:rFonts w:ascii="Arial Narrow" w:hAnsi="Arial Narrow"/>
                <w:szCs w:val="18"/>
              </w:rPr>
            </w:pPr>
            <w:r w:rsidRPr="00BA4ECC">
              <w:rPr>
                <w:rFonts w:ascii="Arial Narrow" w:hAnsi="Arial Narrow"/>
                <w:szCs w:val="18"/>
              </w:rPr>
              <w:t>Google Analytics data</w:t>
            </w:r>
          </w:p>
        </w:tc>
        <w:tc>
          <w:tcPr>
            <w:tcW w:w="1440" w:type="dxa"/>
            <w:tcBorders>
              <w:bottom w:val="nil"/>
            </w:tcBorders>
            <w:hideMark/>
          </w:tcPr>
          <w:p w:rsidR="000631AF" w:rsidRPr="00BA4ECC" w:rsidP="0008766E" w14:paraId="723DE6CA" w14:textId="77777777">
            <w:pPr>
              <w:pStyle w:val="TableHeaderCenter"/>
              <w:rPr>
                <w:rFonts w:ascii="Arial Narrow" w:hAnsi="Arial Narrow"/>
                <w:szCs w:val="18"/>
              </w:rPr>
            </w:pPr>
            <w:r w:rsidRPr="00BA4ECC">
              <w:rPr>
                <w:rFonts w:ascii="Arial Narrow" w:hAnsi="Arial Narrow"/>
                <w:szCs w:val="18"/>
              </w:rPr>
              <w:t>RSR and other sources of secondary data</w:t>
            </w:r>
          </w:p>
        </w:tc>
      </w:tr>
      <w:tr w14:paraId="79ECB3D4" w14:textId="77777777" w:rsidTr="008527AC">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1A2FFA" w:rsidP="0008766E" w14:paraId="76CB8CFD" w14:textId="6AE9B30B">
            <w:pPr>
              <w:pStyle w:val="TableRowHead"/>
              <w:rPr>
                <w:rFonts w:ascii="Arial Narrow" w:hAnsi="Arial Narrow"/>
                <w:szCs w:val="18"/>
              </w:rPr>
            </w:pPr>
            <w:r w:rsidRPr="001A2FFA">
              <w:rPr>
                <w:rFonts w:ascii="Arial Narrow" w:hAnsi="Arial Narrow"/>
                <w:szCs w:val="18"/>
              </w:rPr>
              <w:t xml:space="preserve">Topic: </w:t>
            </w:r>
            <w:r w:rsidR="00D47D77">
              <w:rPr>
                <w:rFonts w:ascii="Arial Narrow" w:hAnsi="Arial Narrow"/>
                <w:szCs w:val="18"/>
              </w:rPr>
              <w:t>Recipients and Subrecipients</w:t>
            </w:r>
            <w:r w:rsidRPr="001A2FFA">
              <w:rPr>
                <w:rFonts w:ascii="Arial Narrow" w:hAnsi="Arial Narrow"/>
                <w:szCs w:val="18"/>
              </w:rPr>
              <w:t>' access to HAB and non-HAB resources</w:t>
            </w:r>
          </w:p>
        </w:tc>
      </w:tr>
      <w:tr w14:paraId="104EB74D" w14:textId="77777777" w:rsidTr="00D22EF1">
        <w:tblPrEx>
          <w:tblW w:w="12474" w:type="dxa"/>
          <w:tblInd w:w="-90" w:type="dxa"/>
          <w:tblLook w:val="04A0"/>
        </w:tblPrEx>
        <w:trPr>
          <w:trHeight w:val="120"/>
        </w:trPr>
        <w:tc>
          <w:tcPr>
            <w:tcW w:w="4986" w:type="dxa"/>
            <w:tcBorders>
              <w:top w:val="nil"/>
              <w:bottom w:val="single" w:sz="4" w:space="0" w:color="5B6771" w:themeColor="accent3"/>
            </w:tcBorders>
            <w:hideMark/>
          </w:tcPr>
          <w:p w:rsidR="000631AF" w:rsidRPr="00BA4ECC" w:rsidP="00352599" w14:paraId="08BBB7D7" w14:textId="0293C828">
            <w:pPr>
              <w:pStyle w:val="TableListNumber"/>
              <w:rPr>
                <w:rFonts w:ascii="Arial Narrow" w:hAnsi="Arial Narrow"/>
                <w:szCs w:val="18"/>
              </w:rPr>
            </w:pPr>
            <w:r w:rsidRPr="00BA4ECC">
              <w:rPr>
                <w:rFonts w:ascii="Arial Narrow" w:hAnsi="Arial Narrow"/>
                <w:szCs w:val="18"/>
              </w:rPr>
              <w:t xml:space="preserve">To what extent have RWHAP </w:t>
            </w:r>
            <w:r w:rsidRPr="00BA4ECC" w:rsidR="00661037">
              <w:rPr>
                <w:rFonts w:ascii="Arial Narrow" w:hAnsi="Arial Narrow"/>
                <w:szCs w:val="18"/>
              </w:rPr>
              <w:t xml:space="preserve">recipients and </w:t>
            </w:r>
            <w:r w:rsidRPr="00BA4ECC" w:rsidR="005449D2">
              <w:rPr>
                <w:rFonts w:ascii="Arial Narrow" w:hAnsi="Arial Narrow"/>
                <w:szCs w:val="18"/>
              </w:rPr>
              <w:t>sub</w:t>
            </w:r>
            <w:r w:rsidRPr="00BA4ECC">
              <w:rPr>
                <w:rFonts w:ascii="Arial Narrow" w:hAnsi="Arial Narrow"/>
                <w:szCs w:val="18"/>
              </w:rPr>
              <w:t>recipients</w:t>
            </w:r>
            <w:r w:rsidRPr="001A2FFA" w:rsidR="00D47D77">
              <w:rPr>
                <w:rFonts w:ascii="Arial Narrow" w:hAnsi="Arial Narrow"/>
                <w:szCs w:val="18"/>
                <w:vertAlign w:val="superscript"/>
              </w:rPr>
              <w:t>a</w:t>
            </w:r>
            <w:r w:rsidRPr="00BA4ECC">
              <w:rPr>
                <w:rFonts w:ascii="Arial Narrow" w:hAnsi="Arial Narrow"/>
                <w:szCs w:val="18"/>
              </w:rPr>
              <w:t xml:space="preserve"> accessed HAB resources and TA supports (provided by HAB) and non-HAB resources (supplemental resources used in conjunction with activities funded by HAB) to support implementation of interventions? </w:t>
            </w:r>
          </w:p>
        </w:tc>
        <w:tc>
          <w:tcPr>
            <w:tcW w:w="1008" w:type="dxa"/>
            <w:tcBorders>
              <w:top w:val="nil"/>
              <w:bottom w:val="single" w:sz="4" w:space="0" w:color="5B6771" w:themeColor="accent3"/>
            </w:tcBorders>
            <w:hideMark/>
          </w:tcPr>
          <w:p w:rsidR="000631AF" w:rsidRPr="00BA4ECC" w:rsidP="0008766E" w14:paraId="24887545"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tcPr>
          <w:p w:rsidR="000631AF" w:rsidRPr="00BA4ECC" w:rsidP="0008766E" w14:paraId="22079A74" w14:textId="77777777">
            <w:pPr>
              <w:pStyle w:val="TableTextLeft"/>
              <w:jc w:val="center"/>
              <w:rPr>
                <w:rFonts w:ascii="Arial Narrow" w:eastAsia="Times New Roman" w:hAnsi="Arial Narrow"/>
                <w:szCs w:val="18"/>
              </w:rPr>
            </w:pPr>
          </w:p>
        </w:tc>
        <w:tc>
          <w:tcPr>
            <w:tcW w:w="1008" w:type="dxa"/>
            <w:tcBorders>
              <w:top w:val="nil"/>
              <w:bottom w:val="single" w:sz="4" w:space="0" w:color="5B6771" w:themeColor="accent3"/>
            </w:tcBorders>
          </w:tcPr>
          <w:p w:rsidR="000631AF" w:rsidRPr="00BA4ECC" w:rsidP="0008766E" w14:paraId="18BD2B6F"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tcPr>
          <w:p w:rsidR="000631AF" w:rsidRPr="00BA4ECC" w:rsidP="0008766E" w14:paraId="2C380C41" w14:textId="77777777">
            <w:pPr>
              <w:pStyle w:val="TableTextLeft"/>
              <w:jc w:val="center"/>
              <w:rPr>
                <w:rFonts w:ascii="Arial Narrow" w:hAnsi="Arial Narrow"/>
                <w:szCs w:val="18"/>
              </w:rPr>
            </w:pPr>
            <w:r w:rsidRPr="00BA4ECC">
              <w:rPr>
                <w:rFonts w:ascii="Arial Narrow" w:hAnsi="Arial Narrow"/>
                <w:szCs w:val="18"/>
              </w:rPr>
              <w:t xml:space="preserve"> </w:t>
            </w:r>
          </w:p>
        </w:tc>
        <w:tc>
          <w:tcPr>
            <w:tcW w:w="1008" w:type="dxa"/>
            <w:tcBorders>
              <w:top w:val="nil"/>
              <w:bottom w:val="single" w:sz="4" w:space="0" w:color="5B6771" w:themeColor="accent3"/>
            </w:tcBorders>
          </w:tcPr>
          <w:p w:rsidR="000631AF" w:rsidRPr="00BA4ECC" w:rsidP="0008766E" w14:paraId="7D3AE5A9"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hideMark/>
          </w:tcPr>
          <w:p w:rsidR="000631AF" w:rsidRPr="00BA4ECC" w:rsidP="0008766E" w14:paraId="5789929B" w14:textId="77777777">
            <w:pPr>
              <w:pStyle w:val="TableTextLeft"/>
              <w:jc w:val="center"/>
              <w:rPr>
                <w:rFonts w:ascii="Arial Narrow" w:hAnsi="Arial Narrow"/>
                <w:szCs w:val="18"/>
              </w:rPr>
            </w:pPr>
            <w:r w:rsidRPr="00BA4ECC">
              <w:rPr>
                <w:rFonts w:ascii="Arial Narrow" w:hAnsi="Arial Narrow"/>
                <w:szCs w:val="18"/>
              </w:rPr>
              <w:t>x</w:t>
            </w:r>
          </w:p>
        </w:tc>
        <w:tc>
          <w:tcPr>
            <w:tcW w:w="1440" w:type="dxa"/>
            <w:tcBorders>
              <w:top w:val="nil"/>
              <w:bottom w:val="single" w:sz="4" w:space="0" w:color="5B6771" w:themeColor="accent3"/>
            </w:tcBorders>
          </w:tcPr>
          <w:p w:rsidR="000631AF" w:rsidRPr="00BA4ECC" w:rsidP="0008766E" w14:paraId="53CA3B38" w14:textId="77777777">
            <w:pPr>
              <w:pStyle w:val="TableTextLeft"/>
              <w:jc w:val="center"/>
              <w:rPr>
                <w:rFonts w:ascii="Arial Narrow" w:hAnsi="Arial Narrow"/>
                <w:szCs w:val="18"/>
              </w:rPr>
            </w:pPr>
          </w:p>
        </w:tc>
      </w:tr>
      <w:tr w14:paraId="05AB5844" w14:textId="77777777" w:rsidTr="00D22EF1">
        <w:tblPrEx>
          <w:tblW w:w="12474" w:type="dxa"/>
          <w:tblInd w:w="-90" w:type="dxa"/>
          <w:tblLook w:val="04A0"/>
        </w:tblPrEx>
        <w:trPr>
          <w:trHeight w:val="120"/>
        </w:trPr>
        <w:tc>
          <w:tcPr>
            <w:tcW w:w="4986" w:type="dxa"/>
            <w:tcBorders>
              <w:top w:val="single" w:sz="4" w:space="0" w:color="5B6771" w:themeColor="accent3"/>
              <w:bottom w:val="nil"/>
            </w:tcBorders>
            <w:hideMark/>
          </w:tcPr>
          <w:p w:rsidR="000631AF" w:rsidRPr="00BA4ECC" w:rsidP="00352599" w14:paraId="36DAC44A" w14:textId="200CA054">
            <w:pPr>
              <w:pStyle w:val="TableListNumber"/>
              <w:rPr>
                <w:rFonts w:ascii="Arial Narrow" w:hAnsi="Arial Narrow"/>
                <w:szCs w:val="18"/>
              </w:rPr>
            </w:pPr>
            <w:r w:rsidRPr="00BA4ECC">
              <w:rPr>
                <w:rFonts w:ascii="Arial Narrow" w:hAnsi="Arial Narrow"/>
                <w:szCs w:val="18"/>
              </w:rPr>
              <w:t xml:space="preserve">What dissemination channels have RWHAP </w:t>
            </w:r>
            <w:r w:rsidRPr="00BA4ECC" w:rsidR="00661037">
              <w:rPr>
                <w:rFonts w:ascii="Arial Narrow" w:hAnsi="Arial Narrow"/>
                <w:szCs w:val="18"/>
              </w:rPr>
              <w:t>recipients and su</w:t>
            </w:r>
            <w:r w:rsidRPr="00BA4ECC" w:rsidR="005449D2">
              <w:rPr>
                <w:rFonts w:ascii="Arial Narrow" w:hAnsi="Arial Narrow"/>
                <w:szCs w:val="18"/>
              </w:rPr>
              <w:t>brecipients</w:t>
            </w:r>
            <w:r w:rsidRPr="00BA4ECC">
              <w:rPr>
                <w:rFonts w:ascii="Arial Narrow" w:hAnsi="Arial Narrow"/>
                <w:szCs w:val="18"/>
              </w:rPr>
              <w:t xml:space="preserve"> used most frequently to access HAB and non-HAB resources?</w:t>
            </w:r>
          </w:p>
        </w:tc>
        <w:tc>
          <w:tcPr>
            <w:tcW w:w="1008" w:type="dxa"/>
            <w:tcBorders>
              <w:top w:val="single" w:sz="4" w:space="0" w:color="5B6771" w:themeColor="accent3"/>
              <w:bottom w:val="nil"/>
            </w:tcBorders>
            <w:hideMark/>
          </w:tcPr>
          <w:p w:rsidR="000631AF" w:rsidRPr="00BA4ECC" w:rsidP="0008766E" w14:paraId="01A91105"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tcPr>
          <w:p w:rsidR="000631AF" w:rsidRPr="00BA4ECC" w:rsidP="0008766E" w14:paraId="4DFEA0E4" w14:textId="77777777">
            <w:pPr>
              <w:pStyle w:val="TableTextLeft"/>
              <w:jc w:val="center"/>
              <w:rPr>
                <w:rFonts w:ascii="Arial Narrow" w:eastAsia="Times New Roman" w:hAnsi="Arial Narrow"/>
                <w:szCs w:val="18"/>
              </w:rPr>
            </w:pPr>
          </w:p>
        </w:tc>
        <w:tc>
          <w:tcPr>
            <w:tcW w:w="1008" w:type="dxa"/>
            <w:tcBorders>
              <w:top w:val="single" w:sz="4" w:space="0" w:color="5B6771" w:themeColor="accent3"/>
              <w:bottom w:val="nil"/>
            </w:tcBorders>
          </w:tcPr>
          <w:p w:rsidR="000631AF" w:rsidRPr="00BA4ECC" w:rsidP="0008766E" w14:paraId="3C6F2DE3"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tcPr>
          <w:p w:rsidR="000631AF" w:rsidRPr="00BA4ECC" w:rsidP="0008766E" w14:paraId="1040215A" w14:textId="77777777">
            <w:pPr>
              <w:pStyle w:val="TableTextLeft"/>
              <w:jc w:val="center"/>
              <w:rPr>
                <w:rFonts w:ascii="Arial Narrow" w:hAnsi="Arial Narrow"/>
                <w:szCs w:val="18"/>
              </w:rPr>
            </w:pPr>
          </w:p>
        </w:tc>
        <w:tc>
          <w:tcPr>
            <w:tcW w:w="1008" w:type="dxa"/>
            <w:tcBorders>
              <w:top w:val="single" w:sz="4" w:space="0" w:color="5B6771" w:themeColor="accent3"/>
              <w:bottom w:val="nil"/>
            </w:tcBorders>
          </w:tcPr>
          <w:p w:rsidR="000631AF" w:rsidRPr="00BA4ECC" w:rsidP="0008766E" w14:paraId="074C42E7"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hideMark/>
          </w:tcPr>
          <w:p w:rsidR="000631AF" w:rsidRPr="00BA4ECC" w:rsidP="0008766E" w14:paraId="13AF5D28" w14:textId="77777777">
            <w:pPr>
              <w:pStyle w:val="TableTextLeft"/>
              <w:jc w:val="center"/>
              <w:rPr>
                <w:rFonts w:ascii="Arial Narrow" w:hAnsi="Arial Narrow"/>
                <w:szCs w:val="18"/>
              </w:rPr>
            </w:pPr>
            <w:r w:rsidRPr="00BA4ECC">
              <w:rPr>
                <w:rFonts w:ascii="Arial Narrow" w:hAnsi="Arial Narrow"/>
                <w:szCs w:val="18"/>
              </w:rPr>
              <w:t>x</w:t>
            </w:r>
          </w:p>
        </w:tc>
        <w:tc>
          <w:tcPr>
            <w:tcW w:w="1440" w:type="dxa"/>
            <w:tcBorders>
              <w:top w:val="single" w:sz="4" w:space="0" w:color="5B6771" w:themeColor="accent3"/>
              <w:bottom w:val="nil"/>
            </w:tcBorders>
          </w:tcPr>
          <w:p w:rsidR="000631AF" w:rsidRPr="00BA4ECC" w:rsidP="0008766E" w14:paraId="499574B6" w14:textId="77777777">
            <w:pPr>
              <w:pStyle w:val="TableTextLeft"/>
              <w:jc w:val="center"/>
              <w:rPr>
                <w:rFonts w:ascii="Arial Narrow" w:hAnsi="Arial Narrow"/>
                <w:szCs w:val="18"/>
              </w:rPr>
            </w:pPr>
          </w:p>
        </w:tc>
      </w:tr>
      <w:tr w14:paraId="6C9B7E56" w14:textId="77777777" w:rsidTr="00D22EF1">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BA4ECC" w:rsidP="0008766E" w14:paraId="1EE259CB" w14:textId="77777777">
            <w:pPr>
              <w:pStyle w:val="TableRowHead"/>
              <w:rPr>
                <w:rFonts w:ascii="Arial Narrow" w:hAnsi="Arial Narrow"/>
                <w:szCs w:val="18"/>
              </w:rPr>
            </w:pPr>
            <w:r w:rsidRPr="00BA4ECC">
              <w:rPr>
                <w:rFonts w:ascii="Arial Narrow" w:hAnsi="Arial Narrow"/>
                <w:szCs w:val="18"/>
              </w:rPr>
              <w:t>Topic: Providers’ use of resources and TA</w:t>
            </w:r>
          </w:p>
        </w:tc>
      </w:tr>
      <w:tr w14:paraId="11336D9D" w14:textId="77777777" w:rsidTr="0008766E">
        <w:tblPrEx>
          <w:tblW w:w="12474" w:type="dxa"/>
          <w:tblInd w:w="-90" w:type="dxa"/>
          <w:tblLook w:val="04A0"/>
        </w:tblPrEx>
        <w:trPr>
          <w:trHeight w:val="120"/>
        </w:trPr>
        <w:tc>
          <w:tcPr>
            <w:tcW w:w="4986" w:type="dxa"/>
            <w:tcBorders>
              <w:top w:val="nil"/>
            </w:tcBorders>
            <w:hideMark/>
          </w:tcPr>
          <w:p w:rsidR="000631AF" w:rsidRPr="00BA4ECC" w:rsidP="00352599" w14:paraId="244A8EEC" w14:textId="77777777">
            <w:pPr>
              <w:pStyle w:val="TableListNumber"/>
              <w:rPr>
                <w:rFonts w:ascii="Arial Narrow" w:hAnsi="Arial Narrow"/>
                <w:szCs w:val="18"/>
              </w:rPr>
            </w:pPr>
            <w:r w:rsidRPr="00BA4ECC">
              <w:rPr>
                <w:rFonts w:ascii="Arial Narrow" w:hAnsi="Arial Narrow"/>
                <w:szCs w:val="18"/>
              </w:rPr>
              <w:t>How did RWHAP providers use HAB and non-HAB resources to implement interventions?</w:t>
            </w:r>
          </w:p>
        </w:tc>
        <w:tc>
          <w:tcPr>
            <w:tcW w:w="1008" w:type="dxa"/>
            <w:tcBorders>
              <w:top w:val="nil"/>
            </w:tcBorders>
          </w:tcPr>
          <w:p w:rsidR="000631AF" w:rsidRPr="00BA4ECC" w:rsidP="0008766E" w14:paraId="5B59B9F1" w14:textId="77777777">
            <w:pPr>
              <w:pStyle w:val="TableTextLeft"/>
              <w:jc w:val="center"/>
              <w:rPr>
                <w:rFonts w:ascii="Arial Narrow" w:hAnsi="Arial Narrow"/>
                <w:szCs w:val="18"/>
              </w:rPr>
            </w:pPr>
          </w:p>
        </w:tc>
        <w:tc>
          <w:tcPr>
            <w:tcW w:w="1008" w:type="dxa"/>
            <w:tcBorders>
              <w:top w:val="nil"/>
            </w:tcBorders>
            <w:hideMark/>
          </w:tcPr>
          <w:p w:rsidR="000631AF" w:rsidRPr="00BA4ECC" w:rsidP="0008766E" w14:paraId="1C3F33F6" w14:textId="644226FB">
            <w:pPr>
              <w:pStyle w:val="TableTextLeft"/>
              <w:jc w:val="center"/>
              <w:rPr>
                <w:rFonts w:ascii="Arial Narrow" w:eastAsia="Times New Roman" w:hAnsi="Arial Narrow"/>
                <w:szCs w:val="18"/>
              </w:rPr>
            </w:pPr>
            <w:r w:rsidRPr="00BA4ECC">
              <w:rPr>
                <w:rFonts w:ascii="Arial Narrow" w:hAnsi="Arial Narrow"/>
                <w:szCs w:val="18"/>
              </w:rPr>
              <w:t>X</w:t>
            </w:r>
          </w:p>
        </w:tc>
        <w:tc>
          <w:tcPr>
            <w:tcW w:w="1008" w:type="dxa"/>
            <w:tcBorders>
              <w:top w:val="nil"/>
            </w:tcBorders>
          </w:tcPr>
          <w:p w:rsidR="000631AF" w:rsidRPr="00BA4ECC" w:rsidP="0008766E" w14:paraId="3FB91CF0" w14:textId="77777777">
            <w:pPr>
              <w:pStyle w:val="TableTextLeft"/>
              <w:jc w:val="center"/>
              <w:rPr>
                <w:rFonts w:ascii="Arial Narrow" w:hAnsi="Arial Narrow"/>
                <w:szCs w:val="18"/>
              </w:rPr>
            </w:pPr>
          </w:p>
        </w:tc>
        <w:tc>
          <w:tcPr>
            <w:tcW w:w="1008" w:type="dxa"/>
            <w:tcBorders>
              <w:top w:val="nil"/>
            </w:tcBorders>
          </w:tcPr>
          <w:p w:rsidR="000631AF" w:rsidRPr="00BA4ECC" w:rsidP="0008766E" w14:paraId="3B980259"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tcBorders>
          </w:tcPr>
          <w:p w:rsidR="000631AF" w:rsidRPr="00BA4ECC" w:rsidP="0008766E" w14:paraId="519EDE08"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tcBorders>
          </w:tcPr>
          <w:p w:rsidR="000631AF" w:rsidRPr="00BA4ECC" w:rsidP="0008766E" w14:paraId="56B8C09B" w14:textId="77777777">
            <w:pPr>
              <w:pStyle w:val="TableTextLeft"/>
              <w:jc w:val="center"/>
              <w:rPr>
                <w:rFonts w:ascii="Arial Narrow" w:hAnsi="Arial Narrow"/>
                <w:szCs w:val="18"/>
              </w:rPr>
            </w:pPr>
          </w:p>
        </w:tc>
        <w:tc>
          <w:tcPr>
            <w:tcW w:w="1440" w:type="dxa"/>
            <w:tcBorders>
              <w:top w:val="nil"/>
            </w:tcBorders>
          </w:tcPr>
          <w:p w:rsidR="000631AF" w:rsidRPr="00BA4ECC" w:rsidP="0008766E" w14:paraId="08C1E323" w14:textId="77777777">
            <w:pPr>
              <w:pStyle w:val="TableTextLeft"/>
              <w:jc w:val="center"/>
              <w:rPr>
                <w:rFonts w:ascii="Arial Narrow" w:hAnsi="Arial Narrow"/>
                <w:szCs w:val="18"/>
              </w:rPr>
            </w:pPr>
          </w:p>
        </w:tc>
      </w:tr>
      <w:tr w14:paraId="6D766223" w14:textId="77777777" w:rsidTr="00D22EF1">
        <w:tblPrEx>
          <w:tblW w:w="12474" w:type="dxa"/>
          <w:tblInd w:w="-90" w:type="dxa"/>
          <w:tblLook w:val="04A0"/>
        </w:tblPrEx>
        <w:trPr>
          <w:trHeight w:val="120"/>
        </w:trPr>
        <w:tc>
          <w:tcPr>
            <w:tcW w:w="4986" w:type="dxa"/>
            <w:tcBorders>
              <w:bottom w:val="single" w:sz="4" w:space="0" w:color="5B6771" w:themeColor="accent3"/>
            </w:tcBorders>
            <w:hideMark/>
          </w:tcPr>
          <w:p w:rsidR="000631AF" w:rsidRPr="00BA4ECC" w:rsidP="00352599" w14:paraId="7D00E6D7" w14:textId="5A606568">
            <w:pPr>
              <w:pStyle w:val="TableListNumber"/>
              <w:rPr>
                <w:rFonts w:ascii="Arial Narrow" w:hAnsi="Arial Narrow"/>
                <w:szCs w:val="18"/>
              </w:rPr>
            </w:pPr>
            <w:r w:rsidRPr="00BA4ECC">
              <w:rPr>
                <w:rFonts w:ascii="Arial Narrow" w:hAnsi="Arial Narrow"/>
                <w:szCs w:val="18"/>
              </w:rPr>
              <w:t xml:space="preserve">How did RWHAP providers’ use of resources vary: </w:t>
            </w:r>
          </w:p>
          <w:p w:rsidR="000631AF" w:rsidRPr="00BA4ECC" w:rsidP="00352599" w14:paraId="26A4B8E6" w14:textId="00478CD2">
            <w:pPr>
              <w:pStyle w:val="TableListBullet"/>
              <w:tabs>
                <w:tab w:val="clear" w:pos="216"/>
              </w:tabs>
              <w:ind w:left="484"/>
              <w:rPr>
                <w:rFonts w:ascii="Arial Narrow" w:hAnsi="Arial Narrow"/>
              </w:rPr>
            </w:pPr>
            <w:r w:rsidRPr="00BA4ECC">
              <w:rPr>
                <w:rFonts w:ascii="Arial Narrow" w:hAnsi="Arial Narrow"/>
              </w:rPr>
              <w:t>By type of intervention?</w:t>
            </w:r>
          </w:p>
          <w:p w:rsidR="000631AF" w:rsidRPr="00BA4ECC" w:rsidP="00352599" w14:paraId="18560D86" w14:textId="1C0022E1">
            <w:pPr>
              <w:pStyle w:val="TableListBullet"/>
              <w:tabs>
                <w:tab w:val="clear" w:pos="216"/>
              </w:tabs>
              <w:ind w:left="484"/>
              <w:rPr>
                <w:rFonts w:ascii="Arial Narrow" w:hAnsi="Arial Narrow"/>
              </w:rPr>
            </w:pPr>
            <w:r w:rsidRPr="00BA4ECC">
              <w:rPr>
                <w:rFonts w:ascii="Arial Narrow" w:hAnsi="Arial Narrow"/>
              </w:rPr>
              <w:t>By focus population?</w:t>
            </w:r>
          </w:p>
          <w:p w:rsidR="000631AF" w:rsidRPr="00BA4ECC" w:rsidP="00352599" w14:paraId="38518979" w14:textId="4C46C4EA">
            <w:pPr>
              <w:pStyle w:val="TableListBullet"/>
              <w:tabs>
                <w:tab w:val="clear" w:pos="216"/>
              </w:tabs>
              <w:ind w:left="484"/>
              <w:rPr>
                <w:rFonts w:ascii="Arial Narrow" w:hAnsi="Arial Narrow"/>
              </w:rPr>
            </w:pPr>
            <w:r w:rsidRPr="00BA4ECC">
              <w:rPr>
                <w:rFonts w:ascii="Arial Narrow" w:hAnsi="Arial Narrow"/>
              </w:rPr>
              <w:t>By core intervention elements and key activities?</w:t>
            </w:r>
          </w:p>
        </w:tc>
        <w:tc>
          <w:tcPr>
            <w:tcW w:w="1008" w:type="dxa"/>
            <w:tcBorders>
              <w:bottom w:val="single" w:sz="4" w:space="0" w:color="5B6771" w:themeColor="accent3"/>
            </w:tcBorders>
          </w:tcPr>
          <w:p w:rsidR="000631AF" w:rsidRPr="00BA4ECC" w:rsidP="0008766E" w14:paraId="2B13BED9" w14:textId="77777777">
            <w:pPr>
              <w:pStyle w:val="TableTextLeft"/>
              <w:jc w:val="center"/>
              <w:rPr>
                <w:rFonts w:ascii="Arial Narrow" w:hAnsi="Arial Narrow"/>
                <w:szCs w:val="18"/>
              </w:rPr>
            </w:pPr>
          </w:p>
        </w:tc>
        <w:tc>
          <w:tcPr>
            <w:tcW w:w="1008" w:type="dxa"/>
            <w:tcBorders>
              <w:bottom w:val="single" w:sz="4" w:space="0" w:color="5B6771" w:themeColor="accent3"/>
            </w:tcBorders>
            <w:hideMark/>
          </w:tcPr>
          <w:p w:rsidR="000631AF" w:rsidRPr="00BA4ECC" w:rsidP="0008766E" w14:paraId="2F8D6725" w14:textId="6688951F">
            <w:pPr>
              <w:pStyle w:val="TableTextLeft"/>
              <w:jc w:val="center"/>
              <w:rPr>
                <w:rFonts w:ascii="Arial Narrow" w:hAnsi="Arial Narrow"/>
                <w:szCs w:val="18"/>
              </w:rPr>
            </w:pPr>
            <w:r w:rsidRPr="00BA4ECC">
              <w:rPr>
                <w:rFonts w:ascii="Arial Narrow" w:hAnsi="Arial Narrow"/>
                <w:szCs w:val="18"/>
              </w:rPr>
              <w:t>X</w:t>
            </w:r>
          </w:p>
        </w:tc>
        <w:tc>
          <w:tcPr>
            <w:tcW w:w="1008" w:type="dxa"/>
            <w:tcBorders>
              <w:bottom w:val="single" w:sz="4" w:space="0" w:color="5B6771" w:themeColor="accent3"/>
            </w:tcBorders>
          </w:tcPr>
          <w:p w:rsidR="000631AF" w:rsidRPr="00BA4ECC" w:rsidP="0008766E" w14:paraId="5EBAC7E3" w14:textId="77777777">
            <w:pPr>
              <w:pStyle w:val="TableTextLeft"/>
              <w:jc w:val="center"/>
              <w:rPr>
                <w:rFonts w:ascii="Arial Narrow" w:hAnsi="Arial Narrow"/>
                <w:szCs w:val="18"/>
              </w:rPr>
            </w:pPr>
          </w:p>
        </w:tc>
        <w:tc>
          <w:tcPr>
            <w:tcW w:w="1008" w:type="dxa"/>
            <w:tcBorders>
              <w:bottom w:val="single" w:sz="4" w:space="0" w:color="5B6771" w:themeColor="accent3"/>
            </w:tcBorders>
          </w:tcPr>
          <w:p w:rsidR="000631AF" w:rsidRPr="00BA4ECC" w:rsidP="0008766E" w14:paraId="3E933A50" w14:textId="77777777">
            <w:pPr>
              <w:pStyle w:val="TableTextLeft"/>
              <w:jc w:val="center"/>
              <w:rPr>
                <w:rFonts w:ascii="Arial Narrow" w:hAnsi="Arial Narrow"/>
                <w:szCs w:val="18"/>
              </w:rPr>
            </w:pPr>
          </w:p>
        </w:tc>
        <w:tc>
          <w:tcPr>
            <w:tcW w:w="1008" w:type="dxa"/>
            <w:tcBorders>
              <w:bottom w:val="single" w:sz="4" w:space="0" w:color="5B6771" w:themeColor="accent3"/>
            </w:tcBorders>
          </w:tcPr>
          <w:p w:rsidR="000631AF" w:rsidRPr="00BA4ECC" w:rsidP="0008766E" w14:paraId="3130E9A7" w14:textId="77777777">
            <w:pPr>
              <w:pStyle w:val="TableTextLeft"/>
              <w:jc w:val="center"/>
              <w:rPr>
                <w:rFonts w:ascii="Arial Narrow" w:hAnsi="Arial Narrow"/>
                <w:szCs w:val="18"/>
              </w:rPr>
            </w:pPr>
          </w:p>
        </w:tc>
        <w:tc>
          <w:tcPr>
            <w:tcW w:w="1008" w:type="dxa"/>
            <w:tcBorders>
              <w:bottom w:val="single" w:sz="4" w:space="0" w:color="5B6771" w:themeColor="accent3"/>
            </w:tcBorders>
          </w:tcPr>
          <w:p w:rsidR="000631AF" w:rsidRPr="00BA4ECC" w:rsidP="0008766E" w14:paraId="3C80764C" w14:textId="77777777">
            <w:pPr>
              <w:pStyle w:val="TableTextLeft"/>
              <w:jc w:val="center"/>
              <w:rPr>
                <w:rFonts w:ascii="Arial Narrow" w:hAnsi="Arial Narrow"/>
                <w:szCs w:val="18"/>
              </w:rPr>
            </w:pPr>
          </w:p>
        </w:tc>
        <w:tc>
          <w:tcPr>
            <w:tcW w:w="1440" w:type="dxa"/>
            <w:tcBorders>
              <w:bottom w:val="single" w:sz="4" w:space="0" w:color="5B6771" w:themeColor="accent3"/>
            </w:tcBorders>
          </w:tcPr>
          <w:p w:rsidR="000631AF" w:rsidRPr="00BA4ECC" w:rsidP="0008766E" w14:paraId="27471827" w14:textId="77777777">
            <w:pPr>
              <w:pStyle w:val="TableTextLeft"/>
              <w:jc w:val="center"/>
              <w:rPr>
                <w:rFonts w:ascii="Arial Narrow" w:hAnsi="Arial Narrow"/>
                <w:szCs w:val="18"/>
              </w:rPr>
            </w:pPr>
            <w:r w:rsidRPr="00BA4ECC">
              <w:rPr>
                <w:rFonts w:ascii="Arial Narrow" w:hAnsi="Arial Narrow"/>
                <w:szCs w:val="18"/>
              </w:rPr>
              <w:t>x</w:t>
            </w:r>
          </w:p>
        </w:tc>
      </w:tr>
      <w:tr w14:paraId="5F01AA97" w14:textId="77777777" w:rsidTr="00D22EF1">
        <w:tblPrEx>
          <w:tblW w:w="12474" w:type="dxa"/>
          <w:tblInd w:w="-90" w:type="dxa"/>
          <w:tblLook w:val="04A0"/>
        </w:tblPrEx>
        <w:trPr>
          <w:trHeight w:val="120"/>
        </w:trPr>
        <w:tc>
          <w:tcPr>
            <w:tcW w:w="4986" w:type="dxa"/>
            <w:tcBorders>
              <w:top w:val="single" w:sz="4" w:space="0" w:color="5B6771" w:themeColor="accent3"/>
              <w:bottom w:val="nil"/>
            </w:tcBorders>
            <w:hideMark/>
          </w:tcPr>
          <w:p w:rsidR="000631AF" w:rsidRPr="00BA4ECC" w:rsidP="00352599" w14:paraId="719FCDFA" w14:textId="632F2CA2">
            <w:pPr>
              <w:pStyle w:val="TableListNumber"/>
              <w:rPr>
                <w:rFonts w:ascii="Arial Narrow" w:hAnsi="Arial Narrow"/>
                <w:szCs w:val="18"/>
              </w:rPr>
            </w:pPr>
            <w:r w:rsidRPr="00BA4ECC">
              <w:rPr>
                <w:rFonts w:ascii="Arial Narrow" w:hAnsi="Arial Narrow"/>
                <w:szCs w:val="18"/>
              </w:rPr>
              <w:t xml:space="preserve">How useful were HAB and non-HAB resources to </w:t>
            </w:r>
            <w:r w:rsidRPr="00BA4ECC" w:rsidR="00661037">
              <w:rPr>
                <w:rFonts w:ascii="Arial Narrow" w:hAnsi="Arial Narrow"/>
                <w:szCs w:val="18"/>
              </w:rPr>
              <w:t>recipients and</w:t>
            </w:r>
            <w:r w:rsidRPr="00BA4ECC" w:rsidR="005449D2">
              <w:rPr>
                <w:rFonts w:ascii="Arial Narrow" w:hAnsi="Arial Narrow"/>
                <w:szCs w:val="18"/>
              </w:rPr>
              <w:t xml:space="preserve"> subrecipients, </w:t>
            </w:r>
            <w:r w:rsidRPr="00BA4ECC">
              <w:rPr>
                <w:rFonts w:ascii="Arial Narrow" w:hAnsi="Arial Narrow"/>
                <w:szCs w:val="18"/>
              </w:rPr>
              <w:t>and what aspects were useful?</w:t>
            </w:r>
          </w:p>
        </w:tc>
        <w:tc>
          <w:tcPr>
            <w:tcW w:w="1008" w:type="dxa"/>
            <w:tcBorders>
              <w:top w:val="single" w:sz="4" w:space="0" w:color="5B6771" w:themeColor="accent3"/>
              <w:bottom w:val="nil"/>
            </w:tcBorders>
            <w:hideMark/>
          </w:tcPr>
          <w:p w:rsidR="000631AF" w:rsidRPr="00BA4ECC" w:rsidP="0008766E" w14:paraId="1AADD401"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hideMark/>
          </w:tcPr>
          <w:p w:rsidR="000631AF" w:rsidRPr="00BA4ECC" w:rsidP="0008766E" w14:paraId="19AAD84C" w14:textId="0BA095D4">
            <w:pPr>
              <w:pStyle w:val="TableTextLeft"/>
              <w:jc w:val="center"/>
              <w:rPr>
                <w:rFonts w:ascii="Arial Narrow" w:eastAsia="Times New Roman" w:hAnsi="Arial Narrow"/>
                <w:szCs w:val="18"/>
              </w:rPr>
            </w:pPr>
            <w:r w:rsidRPr="00BA4ECC">
              <w:rPr>
                <w:rFonts w:ascii="Arial Narrow" w:hAnsi="Arial Narrow"/>
                <w:szCs w:val="18"/>
              </w:rPr>
              <w:t>X</w:t>
            </w:r>
          </w:p>
        </w:tc>
        <w:tc>
          <w:tcPr>
            <w:tcW w:w="1008" w:type="dxa"/>
            <w:tcBorders>
              <w:top w:val="single" w:sz="4" w:space="0" w:color="5B6771" w:themeColor="accent3"/>
              <w:bottom w:val="nil"/>
            </w:tcBorders>
          </w:tcPr>
          <w:p w:rsidR="000631AF" w:rsidRPr="00BA4ECC" w:rsidP="0008766E" w14:paraId="4A389C59"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tcPr>
          <w:p w:rsidR="000631AF" w:rsidRPr="00BA4ECC" w:rsidP="0008766E" w14:paraId="78D2D9C5"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tcPr>
          <w:p w:rsidR="000631AF" w:rsidRPr="00BA4ECC" w:rsidP="0008766E" w14:paraId="4BF959CB"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nil"/>
            </w:tcBorders>
          </w:tcPr>
          <w:p w:rsidR="000631AF" w:rsidRPr="00BA4ECC" w:rsidP="0008766E" w14:paraId="37F6AB12" w14:textId="77777777">
            <w:pPr>
              <w:pStyle w:val="TableTextLeft"/>
              <w:jc w:val="center"/>
              <w:rPr>
                <w:rFonts w:ascii="Arial Narrow" w:hAnsi="Arial Narrow"/>
                <w:szCs w:val="18"/>
              </w:rPr>
            </w:pPr>
          </w:p>
        </w:tc>
        <w:tc>
          <w:tcPr>
            <w:tcW w:w="1440" w:type="dxa"/>
            <w:tcBorders>
              <w:top w:val="single" w:sz="4" w:space="0" w:color="5B6771" w:themeColor="accent3"/>
              <w:bottom w:val="nil"/>
            </w:tcBorders>
          </w:tcPr>
          <w:p w:rsidR="000631AF" w:rsidRPr="00BA4ECC" w:rsidP="0008766E" w14:paraId="0D0DA1B7" w14:textId="77777777">
            <w:pPr>
              <w:pStyle w:val="TableTextLeft"/>
              <w:jc w:val="center"/>
              <w:rPr>
                <w:rFonts w:ascii="Arial Narrow" w:hAnsi="Arial Narrow"/>
                <w:szCs w:val="18"/>
              </w:rPr>
            </w:pPr>
          </w:p>
        </w:tc>
      </w:tr>
      <w:tr w14:paraId="5D57C0CB" w14:textId="77777777" w:rsidTr="00D22EF1">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BA4ECC" w:rsidP="0008766E" w14:paraId="1E4522E0" w14:textId="77777777">
            <w:pPr>
              <w:pStyle w:val="TableRowHead"/>
              <w:rPr>
                <w:rFonts w:ascii="Arial Narrow" w:hAnsi="Arial Narrow"/>
                <w:szCs w:val="18"/>
              </w:rPr>
            </w:pPr>
            <w:r w:rsidRPr="00BA4ECC">
              <w:rPr>
                <w:rFonts w:ascii="Arial Narrow" w:hAnsi="Arial Narrow"/>
                <w:szCs w:val="18"/>
              </w:rPr>
              <w:t>Topic: Influence of resources on implementation and replication of interventions</w:t>
            </w:r>
          </w:p>
        </w:tc>
      </w:tr>
      <w:tr w14:paraId="5F3CD373" w14:textId="77777777" w:rsidTr="00D22EF1">
        <w:tblPrEx>
          <w:tblW w:w="12474" w:type="dxa"/>
          <w:tblInd w:w="-90" w:type="dxa"/>
          <w:tblLook w:val="04A0"/>
        </w:tblPrEx>
        <w:trPr>
          <w:trHeight w:val="120"/>
        </w:trPr>
        <w:tc>
          <w:tcPr>
            <w:tcW w:w="4986" w:type="dxa"/>
            <w:tcBorders>
              <w:top w:val="nil"/>
              <w:bottom w:val="single" w:sz="4" w:space="0" w:color="5B6771" w:themeColor="accent3"/>
            </w:tcBorders>
            <w:hideMark/>
          </w:tcPr>
          <w:p w:rsidR="000631AF" w:rsidRPr="00BA4ECC" w:rsidP="00352599" w14:paraId="0A8C0849" w14:textId="77777777">
            <w:pPr>
              <w:pStyle w:val="TableListNumber"/>
              <w:rPr>
                <w:rFonts w:ascii="Arial Narrow" w:eastAsia="Times New Roman" w:hAnsi="Arial Narrow"/>
                <w:szCs w:val="18"/>
              </w:rPr>
            </w:pPr>
            <w:r w:rsidRPr="00BA4ECC">
              <w:rPr>
                <w:rFonts w:ascii="Arial Narrow" w:eastAsia="Times New Roman" w:hAnsi="Arial Narrow"/>
                <w:szCs w:val="18"/>
              </w:rPr>
              <w:t>To what extent did HAB and non-HAB resources contribute to RWHAP providers’:</w:t>
            </w:r>
          </w:p>
          <w:p w:rsidR="000631AF" w:rsidRPr="00BA4ECC" w:rsidP="00352599" w14:paraId="39269882" w14:textId="51FD212B">
            <w:pPr>
              <w:pStyle w:val="TableListBullet"/>
              <w:tabs>
                <w:tab w:val="clear" w:pos="216"/>
              </w:tabs>
              <w:ind w:left="484"/>
              <w:rPr>
                <w:rFonts w:ascii="Arial Narrow" w:hAnsi="Arial Narrow"/>
              </w:rPr>
            </w:pPr>
            <w:r w:rsidRPr="00BA4ECC">
              <w:rPr>
                <w:rFonts w:ascii="Arial Narrow" w:hAnsi="Arial Narrow"/>
              </w:rPr>
              <w:t>Decisions to implement an intervention?</w:t>
            </w:r>
          </w:p>
          <w:p w:rsidR="000631AF" w:rsidRPr="00BA4ECC" w:rsidP="00352599" w14:paraId="18B591B7" w14:textId="76EE587E">
            <w:pPr>
              <w:pStyle w:val="TableListBullet"/>
              <w:tabs>
                <w:tab w:val="clear" w:pos="216"/>
              </w:tabs>
              <w:ind w:left="484"/>
              <w:rPr>
                <w:rFonts w:ascii="Arial Narrow" w:hAnsi="Arial Narrow"/>
              </w:rPr>
            </w:pPr>
            <w:r w:rsidRPr="00BA4ECC">
              <w:rPr>
                <w:rFonts w:ascii="Arial Narrow" w:hAnsi="Arial Narrow"/>
              </w:rPr>
              <w:t xml:space="preserve">Development of an implementation plan? </w:t>
            </w:r>
          </w:p>
          <w:p w:rsidR="000631AF" w:rsidRPr="00BA4ECC" w:rsidP="00352599" w14:paraId="08A3CED5" w14:textId="30C5CCDD">
            <w:pPr>
              <w:pStyle w:val="TableListBullet"/>
              <w:tabs>
                <w:tab w:val="clear" w:pos="216"/>
              </w:tabs>
              <w:ind w:left="484"/>
              <w:rPr>
                <w:rFonts w:ascii="Arial Narrow" w:hAnsi="Arial Narrow"/>
              </w:rPr>
            </w:pPr>
            <w:r w:rsidRPr="00BA4ECC">
              <w:rPr>
                <w:rFonts w:ascii="Arial Narrow" w:hAnsi="Arial Narrow"/>
              </w:rPr>
              <w:t xml:space="preserve">Implementation success and sustainment, including integration of the intervention into regular service delivery? </w:t>
            </w:r>
          </w:p>
        </w:tc>
        <w:tc>
          <w:tcPr>
            <w:tcW w:w="1008" w:type="dxa"/>
            <w:tcBorders>
              <w:top w:val="nil"/>
              <w:bottom w:val="single" w:sz="4" w:space="0" w:color="5B6771" w:themeColor="accent3"/>
            </w:tcBorders>
            <w:hideMark/>
          </w:tcPr>
          <w:p w:rsidR="000631AF" w:rsidRPr="00BA4ECC" w:rsidP="0008766E" w14:paraId="0F428172"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hideMark/>
          </w:tcPr>
          <w:p w:rsidR="000631AF" w:rsidRPr="00BA4ECC" w:rsidP="0008766E" w14:paraId="056CB182" w14:textId="6DAECE22">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tcPr>
          <w:p w:rsidR="000631AF" w:rsidRPr="00BA4ECC" w:rsidP="0008766E" w14:paraId="35E27975"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tcPr>
          <w:p w:rsidR="000631AF" w:rsidRPr="00BA4ECC" w:rsidP="0008766E" w14:paraId="4C5A3DF1"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tcPr>
          <w:p w:rsidR="000631AF" w:rsidRPr="00BA4ECC" w:rsidP="0008766E" w14:paraId="3D07287C"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nil"/>
              <w:bottom w:val="single" w:sz="4" w:space="0" w:color="5B6771" w:themeColor="accent3"/>
            </w:tcBorders>
          </w:tcPr>
          <w:p w:rsidR="000631AF" w:rsidRPr="00BA4ECC" w:rsidP="0008766E" w14:paraId="56A8E008" w14:textId="77777777">
            <w:pPr>
              <w:pStyle w:val="TableTextLeft"/>
              <w:jc w:val="center"/>
              <w:rPr>
                <w:rFonts w:ascii="Arial Narrow" w:hAnsi="Arial Narrow"/>
                <w:szCs w:val="18"/>
              </w:rPr>
            </w:pPr>
          </w:p>
        </w:tc>
        <w:tc>
          <w:tcPr>
            <w:tcW w:w="1440" w:type="dxa"/>
            <w:tcBorders>
              <w:top w:val="nil"/>
              <w:bottom w:val="single" w:sz="4" w:space="0" w:color="5B6771" w:themeColor="accent3"/>
            </w:tcBorders>
          </w:tcPr>
          <w:p w:rsidR="000631AF" w:rsidRPr="00BA4ECC" w:rsidP="0008766E" w14:paraId="27A77B95" w14:textId="77777777">
            <w:pPr>
              <w:pStyle w:val="TableTextLeft"/>
              <w:jc w:val="center"/>
              <w:rPr>
                <w:rFonts w:ascii="Arial Narrow" w:hAnsi="Arial Narrow"/>
                <w:szCs w:val="18"/>
              </w:rPr>
            </w:pPr>
          </w:p>
        </w:tc>
      </w:tr>
      <w:tr w14:paraId="6A39C37C" w14:textId="77777777" w:rsidTr="00D22EF1">
        <w:tblPrEx>
          <w:tblW w:w="12474" w:type="dxa"/>
          <w:tblInd w:w="-90" w:type="dxa"/>
          <w:tblLook w:val="04A0"/>
        </w:tblPrEx>
        <w:trPr>
          <w:trHeight w:val="120"/>
        </w:trPr>
        <w:tc>
          <w:tcPr>
            <w:tcW w:w="4986" w:type="dxa"/>
            <w:tcBorders>
              <w:top w:val="single" w:sz="4" w:space="0" w:color="5B6771" w:themeColor="accent3"/>
              <w:bottom w:val="single" w:sz="4" w:space="0" w:color="auto"/>
            </w:tcBorders>
            <w:hideMark/>
          </w:tcPr>
          <w:p w:rsidR="000631AF" w:rsidRPr="00BA4ECC" w:rsidP="00352599" w14:paraId="3B88D831" w14:textId="77777777">
            <w:pPr>
              <w:pStyle w:val="TableListNumber"/>
              <w:rPr>
                <w:rFonts w:ascii="Arial Narrow" w:hAnsi="Arial Narrow"/>
                <w:szCs w:val="18"/>
              </w:rPr>
            </w:pPr>
            <w:r w:rsidRPr="00BA4ECC">
              <w:rPr>
                <w:rFonts w:ascii="Arial Narrow" w:hAnsi="Arial Narrow"/>
                <w:szCs w:val="18"/>
              </w:rPr>
              <w:t xml:space="preserve">How did the use of HAB and non-HAB resources and TA supports facilitate replication of evidence-based, evidence-informed, or emerging interventions? </w:t>
            </w:r>
          </w:p>
        </w:tc>
        <w:tc>
          <w:tcPr>
            <w:tcW w:w="1008" w:type="dxa"/>
            <w:tcBorders>
              <w:top w:val="single" w:sz="4" w:space="0" w:color="5B6771" w:themeColor="accent3"/>
              <w:bottom w:val="single" w:sz="4" w:space="0" w:color="auto"/>
            </w:tcBorders>
            <w:hideMark/>
          </w:tcPr>
          <w:p w:rsidR="000631AF" w:rsidRPr="00BA4ECC" w:rsidP="0008766E" w14:paraId="0BDA9B7B"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single" w:sz="4" w:space="0" w:color="auto"/>
            </w:tcBorders>
            <w:hideMark/>
          </w:tcPr>
          <w:p w:rsidR="000631AF" w:rsidRPr="00BA4ECC" w:rsidP="0008766E" w14:paraId="5C8B82B1" w14:textId="7CF6E236">
            <w:pPr>
              <w:pStyle w:val="TableTextLeft"/>
              <w:jc w:val="center"/>
              <w:rPr>
                <w:rFonts w:ascii="Arial Narrow" w:eastAsia="Times New Roman" w:hAnsi="Arial Narrow"/>
                <w:szCs w:val="18"/>
              </w:rPr>
            </w:pPr>
            <w:r w:rsidRPr="00BA4ECC">
              <w:rPr>
                <w:rFonts w:ascii="Arial Narrow" w:hAnsi="Arial Narrow"/>
                <w:szCs w:val="18"/>
              </w:rPr>
              <w:t>X</w:t>
            </w:r>
          </w:p>
        </w:tc>
        <w:tc>
          <w:tcPr>
            <w:tcW w:w="1008" w:type="dxa"/>
            <w:tcBorders>
              <w:top w:val="single" w:sz="4" w:space="0" w:color="5B6771" w:themeColor="accent3"/>
              <w:bottom w:val="single" w:sz="4" w:space="0" w:color="auto"/>
            </w:tcBorders>
          </w:tcPr>
          <w:p w:rsidR="000631AF" w:rsidRPr="00BA4ECC" w:rsidP="0008766E" w14:paraId="6F21A54D"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single" w:sz="4" w:space="0" w:color="auto"/>
            </w:tcBorders>
          </w:tcPr>
          <w:p w:rsidR="000631AF" w:rsidRPr="00BA4ECC" w:rsidP="0008766E" w14:paraId="78CF757A"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single" w:sz="4" w:space="0" w:color="auto"/>
            </w:tcBorders>
          </w:tcPr>
          <w:p w:rsidR="000631AF" w:rsidRPr="00BA4ECC" w:rsidP="0008766E" w14:paraId="49DAC8EC" w14:textId="77777777">
            <w:pPr>
              <w:pStyle w:val="TableTextLeft"/>
              <w:jc w:val="center"/>
              <w:rPr>
                <w:rFonts w:ascii="Arial Narrow" w:hAnsi="Arial Narrow"/>
                <w:szCs w:val="18"/>
              </w:rPr>
            </w:pPr>
            <w:r w:rsidRPr="00BA4ECC">
              <w:rPr>
                <w:rFonts w:ascii="Arial Narrow" w:hAnsi="Arial Narrow"/>
                <w:szCs w:val="18"/>
              </w:rPr>
              <w:t>x</w:t>
            </w:r>
          </w:p>
        </w:tc>
        <w:tc>
          <w:tcPr>
            <w:tcW w:w="1008" w:type="dxa"/>
            <w:tcBorders>
              <w:top w:val="single" w:sz="4" w:space="0" w:color="5B6771" w:themeColor="accent3"/>
              <w:bottom w:val="single" w:sz="4" w:space="0" w:color="auto"/>
            </w:tcBorders>
          </w:tcPr>
          <w:p w:rsidR="000631AF" w:rsidRPr="00BA4ECC" w:rsidP="0008766E" w14:paraId="695AEC75" w14:textId="77777777">
            <w:pPr>
              <w:pStyle w:val="TableTextLeft"/>
              <w:jc w:val="center"/>
              <w:rPr>
                <w:rFonts w:ascii="Arial Narrow" w:hAnsi="Arial Narrow"/>
                <w:szCs w:val="18"/>
              </w:rPr>
            </w:pPr>
          </w:p>
        </w:tc>
        <w:tc>
          <w:tcPr>
            <w:tcW w:w="1440" w:type="dxa"/>
            <w:tcBorders>
              <w:top w:val="single" w:sz="4" w:space="0" w:color="5B6771" w:themeColor="accent3"/>
              <w:bottom w:val="single" w:sz="4" w:space="0" w:color="auto"/>
            </w:tcBorders>
          </w:tcPr>
          <w:p w:rsidR="000631AF" w:rsidRPr="00BA4ECC" w:rsidP="0008766E" w14:paraId="602E45D4" w14:textId="77777777">
            <w:pPr>
              <w:pStyle w:val="TableTextLeft"/>
              <w:jc w:val="center"/>
              <w:rPr>
                <w:rFonts w:ascii="Arial Narrow" w:hAnsi="Arial Narrow"/>
                <w:szCs w:val="18"/>
              </w:rPr>
            </w:pPr>
          </w:p>
        </w:tc>
      </w:tr>
      <w:tr w14:paraId="4C6B103D" w14:textId="77777777" w:rsidTr="00D22EF1">
        <w:tblPrEx>
          <w:tblW w:w="12474" w:type="dxa"/>
          <w:tblInd w:w="-90" w:type="dxa"/>
          <w:tblLook w:val="04A0"/>
        </w:tblPrEx>
        <w:trPr>
          <w:trHeight w:val="120"/>
        </w:trPr>
        <w:tc>
          <w:tcPr>
            <w:tcW w:w="12474" w:type="dxa"/>
            <w:gridSpan w:val="8"/>
            <w:tcBorders>
              <w:top w:val="single" w:sz="4" w:space="0" w:color="auto"/>
              <w:bottom w:val="nil"/>
            </w:tcBorders>
            <w:shd w:val="clear" w:color="auto" w:fill="0B2949"/>
          </w:tcPr>
          <w:p w:rsidR="00D22EF1" w:rsidRPr="001A2FFA" w:rsidP="0008766E" w14:paraId="48AA682B" w14:textId="77777777">
            <w:pPr>
              <w:pStyle w:val="TableRowHead"/>
              <w:rPr>
                <w:rFonts w:ascii="Arial Narrow" w:hAnsi="Arial Narrow" w:cs="Times New Roman"/>
                <w:szCs w:val="18"/>
              </w:rPr>
            </w:pPr>
            <w:r w:rsidRPr="001A2FFA">
              <w:rPr>
                <w:rFonts w:ascii="Arial Narrow" w:hAnsi="Arial Narrow"/>
                <w:szCs w:val="18"/>
              </w:rPr>
              <w:t>Topic: Implementation and adaptations of the interventions</w:t>
            </w:r>
          </w:p>
        </w:tc>
      </w:tr>
      <w:tr w14:paraId="409B8CDA" w14:textId="77777777" w:rsidTr="0008766E">
        <w:tblPrEx>
          <w:tblW w:w="12474" w:type="dxa"/>
          <w:tblInd w:w="-90" w:type="dxa"/>
          <w:tblLook w:val="04A0"/>
        </w:tblPrEx>
        <w:trPr>
          <w:trHeight w:val="120"/>
        </w:trPr>
        <w:tc>
          <w:tcPr>
            <w:tcW w:w="4986" w:type="dxa"/>
            <w:tcBorders>
              <w:top w:val="nil"/>
            </w:tcBorders>
            <w:hideMark/>
          </w:tcPr>
          <w:p w:rsidR="000631AF" w:rsidRPr="001A2FFA" w:rsidP="00352599" w14:paraId="425ACD1A" w14:textId="368D7E52">
            <w:pPr>
              <w:pStyle w:val="TableListNumber"/>
              <w:rPr>
                <w:rFonts w:ascii="Arial Narrow" w:hAnsi="Arial Narrow"/>
                <w:szCs w:val="18"/>
              </w:rPr>
            </w:pPr>
            <w:r w:rsidRPr="001A2FFA">
              <w:rPr>
                <w:rFonts w:ascii="Arial Narrow" w:hAnsi="Arial Narrow"/>
                <w:szCs w:val="18"/>
              </w:rPr>
              <w:t>How many interventions were implemented and replicated?</w:t>
            </w:r>
          </w:p>
        </w:tc>
        <w:tc>
          <w:tcPr>
            <w:tcW w:w="1008" w:type="dxa"/>
            <w:tcBorders>
              <w:top w:val="nil"/>
            </w:tcBorders>
            <w:hideMark/>
          </w:tcPr>
          <w:p w:rsidR="000631AF" w:rsidRPr="001A2FFA" w:rsidP="0008766E" w14:paraId="307B293A" w14:textId="5868F267">
            <w:pPr>
              <w:pStyle w:val="TableTextLeft"/>
              <w:jc w:val="center"/>
              <w:rPr>
                <w:rFonts w:ascii="Arial Narrow" w:hAnsi="Arial Narrow"/>
                <w:szCs w:val="18"/>
              </w:rPr>
            </w:pPr>
            <w:r w:rsidRPr="001A2FFA">
              <w:rPr>
                <w:rFonts w:ascii="Arial Narrow" w:hAnsi="Arial Narrow"/>
                <w:szCs w:val="18"/>
              </w:rPr>
              <w:t>x</w:t>
            </w:r>
            <w:r w:rsidRPr="001A2FFA" w:rsidR="00D47D77">
              <w:rPr>
                <w:rFonts w:ascii="Arial Narrow" w:hAnsi="Arial Narrow"/>
                <w:szCs w:val="18"/>
                <w:vertAlign w:val="superscript"/>
              </w:rPr>
              <w:t>b</w:t>
            </w:r>
          </w:p>
        </w:tc>
        <w:tc>
          <w:tcPr>
            <w:tcW w:w="1008" w:type="dxa"/>
            <w:tcBorders>
              <w:top w:val="nil"/>
            </w:tcBorders>
            <w:hideMark/>
          </w:tcPr>
          <w:p w:rsidR="000631AF" w:rsidRPr="001A2FFA" w:rsidP="0008766E" w14:paraId="7FE9542F" w14:textId="6ABFB410">
            <w:pPr>
              <w:pStyle w:val="TableTextLeft"/>
              <w:jc w:val="center"/>
              <w:rPr>
                <w:rFonts w:ascii="Arial Narrow" w:eastAsia="Times New Roman" w:hAnsi="Arial Narrow"/>
                <w:szCs w:val="18"/>
              </w:rPr>
            </w:pPr>
            <w:r w:rsidRPr="001A2FFA">
              <w:rPr>
                <w:rFonts w:ascii="Arial Narrow" w:hAnsi="Arial Narrow"/>
                <w:szCs w:val="18"/>
              </w:rPr>
              <w:t>x</w:t>
            </w:r>
            <w:r w:rsidRPr="001A2FFA" w:rsidR="00D47D77">
              <w:rPr>
                <w:rFonts w:ascii="Arial Narrow" w:hAnsi="Arial Narrow"/>
                <w:szCs w:val="18"/>
                <w:vertAlign w:val="superscript"/>
              </w:rPr>
              <w:t>b</w:t>
            </w:r>
          </w:p>
        </w:tc>
        <w:tc>
          <w:tcPr>
            <w:tcW w:w="1008" w:type="dxa"/>
            <w:tcBorders>
              <w:top w:val="nil"/>
            </w:tcBorders>
          </w:tcPr>
          <w:p w:rsidR="000631AF" w:rsidRPr="001A2FFA" w:rsidP="0008766E" w14:paraId="354F7F2B" w14:textId="77777777">
            <w:pPr>
              <w:pStyle w:val="TableTextLeft"/>
              <w:jc w:val="center"/>
              <w:rPr>
                <w:rFonts w:ascii="Arial Narrow" w:hAnsi="Arial Narrow"/>
                <w:szCs w:val="18"/>
              </w:rPr>
            </w:pPr>
          </w:p>
        </w:tc>
        <w:tc>
          <w:tcPr>
            <w:tcW w:w="1008" w:type="dxa"/>
            <w:tcBorders>
              <w:top w:val="nil"/>
            </w:tcBorders>
          </w:tcPr>
          <w:p w:rsidR="000631AF" w:rsidRPr="001A2FFA" w:rsidP="0008766E" w14:paraId="45CE6445" w14:textId="77777777">
            <w:pPr>
              <w:pStyle w:val="TableTextLeft"/>
              <w:jc w:val="center"/>
              <w:rPr>
                <w:rFonts w:ascii="Arial Narrow" w:hAnsi="Arial Narrow"/>
                <w:szCs w:val="18"/>
              </w:rPr>
            </w:pPr>
          </w:p>
        </w:tc>
        <w:tc>
          <w:tcPr>
            <w:tcW w:w="1008" w:type="dxa"/>
            <w:tcBorders>
              <w:top w:val="nil"/>
            </w:tcBorders>
          </w:tcPr>
          <w:p w:rsidR="000631AF" w:rsidRPr="001A2FFA" w:rsidP="0008766E" w14:paraId="19E98821" w14:textId="77777777">
            <w:pPr>
              <w:pStyle w:val="TableTextLeft"/>
              <w:jc w:val="center"/>
              <w:rPr>
                <w:rFonts w:ascii="Arial Narrow" w:hAnsi="Arial Narrow"/>
                <w:szCs w:val="18"/>
              </w:rPr>
            </w:pPr>
          </w:p>
        </w:tc>
        <w:tc>
          <w:tcPr>
            <w:tcW w:w="1008" w:type="dxa"/>
            <w:tcBorders>
              <w:top w:val="nil"/>
            </w:tcBorders>
            <w:hideMark/>
          </w:tcPr>
          <w:p w:rsidR="000631AF" w:rsidRPr="001A2FFA" w:rsidP="0008766E" w14:paraId="2F182465" w14:textId="77777777">
            <w:pPr>
              <w:pStyle w:val="TableTextLeft"/>
              <w:jc w:val="center"/>
              <w:rPr>
                <w:rFonts w:ascii="Arial Narrow" w:hAnsi="Arial Narrow"/>
                <w:szCs w:val="18"/>
              </w:rPr>
            </w:pPr>
          </w:p>
        </w:tc>
        <w:tc>
          <w:tcPr>
            <w:tcW w:w="1440" w:type="dxa"/>
            <w:tcBorders>
              <w:top w:val="nil"/>
            </w:tcBorders>
          </w:tcPr>
          <w:p w:rsidR="000631AF" w:rsidRPr="001A2FFA" w:rsidP="0008766E" w14:paraId="4C38F854" w14:textId="77777777">
            <w:pPr>
              <w:pStyle w:val="TableTextLeft"/>
              <w:jc w:val="center"/>
              <w:rPr>
                <w:rFonts w:ascii="Arial Narrow" w:hAnsi="Arial Narrow" w:cs="Times New Roman"/>
                <w:szCs w:val="18"/>
              </w:rPr>
            </w:pPr>
          </w:p>
        </w:tc>
      </w:tr>
      <w:tr w14:paraId="464C3BBE" w14:textId="77777777" w:rsidTr="00D22EF1">
        <w:tblPrEx>
          <w:tblW w:w="12474" w:type="dxa"/>
          <w:tblInd w:w="-90" w:type="dxa"/>
          <w:tblLook w:val="04A0"/>
        </w:tblPrEx>
        <w:trPr>
          <w:trHeight w:val="120"/>
        </w:trPr>
        <w:tc>
          <w:tcPr>
            <w:tcW w:w="4986" w:type="dxa"/>
            <w:tcBorders>
              <w:bottom w:val="single" w:sz="4" w:space="0" w:color="5B6771" w:themeColor="accent3"/>
            </w:tcBorders>
            <w:hideMark/>
          </w:tcPr>
          <w:p w:rsidR="000631AF" w:rsidRPr="001A2FFA" w:rsidP="00352599" w14:paraId="2A7754F9" w14:textId="77777777">
            <w:pPr>
              <w:pStyle w:val="TableListNumber"/>
              <w:rPr>
                <w:rFonts w:ascii="Arial Narrow" w:eastAsia="Times New Roman" w:hAnsi="Arial Narrow"/>
                <w:szCs w:val="18"/>
              </w:rPr>
            </w:pPr>
            <w:r w:rsidRPr="001A2FFA">
              <w:rPr>
                <w:rFonts w:ascii="Arial Narrow" w:eastAsia="Times New Roman" w:hAnsi="Arial Narrow"/>
                <w:szCs w:val="18"/>
              </w:rPr>
              <w:t>What are the characteristics of the interventions the providers implemented, including:</w:t>
            </w:r>
          </w:p>
          <w:p w:rsidR="000631AF" w:rsidRPr="001A2FFA" w:rsidP="00352599" w14:paraId="3F039CC3" w14:textId="1C988CCD">
            <w:pPr>
              <w:pStyle w:val="TableListBullet"/>
              <w:tabs>
                <w:tab w:val="clear" w:pos="216"/>
              </w:tabs>
              <w:ind w:left="484"/>
              <w:rPr>
                <w:rFonts w:ascii="Arial Narrow" w:eastAsia="Times New Roman" w:hAnsi="Arial Narrow"/>
              </w:rPr>
            </w:pPr>
            <w:r w:rsidRPr="001A2FFA">
              <w:rPr>
                <w:rFonts w:ascii="Arial Narrow" w:eastAsia="Times New Roman" w:hAnsi="Arial Narrow"/>
              </w:rPr>
              <w:t xml:space="preserve">Core elements and </w:t>
            </w:r>
            <w:r w:rsidRPr="001A2FFA">
              <w:rPr>
                <w:rFonts w:ascii="Arial Narrow" w:hAnsi="Arial Narrow"/>
              </w:rPr>
              <w:t>key</w:t>
            </w:r>
            <w:r w:rsidRPr="001A2FFA">
              <w:rPr>
                <w:rFonts w:ascii="Arial Narrow" w:eastAsia="Times New Roman" w:hAnsi="Arial Narrow"/>
              </w:rPr>
              <w:t xml:space="preserve"> activities?</w:t>
            </w:r>
          </w:p>
          <w:p w:rsidR="000631AF" w:rsidRPr="001A2FFA" w:rsidP="00352599" w14:paraId="08A1C98C" w14:textId="235E4F98">
            <w:pPr>
              <w:pStyle w:val="TableListBullet"/>
              <w:tabs>
                <w:tab w:val="clear" w:pos="216"/>
              </w:tabs>
              <w:ind w:left="484"/>
              <w:rPr>
                <w:rFonts w:ascii="Arial Narrow" w:eastAsia="Times New Roman" w:hAnsi="Arial Narrow"/>
              </w:rPr>
            </w:pPr>
            <w:r w:rsidRPr="001A2FFA">
              <w:rPr>
                <w:rFonts w:ascii="Arial Narrow" w:eastAsia="Times New Roman" w:hAnsi="Arial Narrow"/>
              </w:rPr>
              <w:t xml:space="preserve">Target population (demographic characteristics [age, gender, and race </w:t>
            </w:r>
            <w:r w:rsidRPr="001A2FFA">
              <w:rPr>
                <w:rFonts w:ascii="Arial Narrow" w:hAnsi="Arial Narrow"/>
              </w:rPr>
              <w:t>and</w:t>
            </w:r>
            <w:r w:rsidRPr="001A2FFA">
              <w:rPr>
                <w:rFonts w:ascii="Arial Narrow" w:eastAsia="Times New Roman" w:hAnsi="Arial Narrow"/>
              </w:rPr>
              <w:t xml:space="preserve"> ethnicity]; transmission risk category; and geography)?</w:t>
            </w:r>
          </w:p>
          <w:p w:rsidR="000631AF" w:rsidRPr="001A2FFA" w:rsidP="00352599" w14:paraId="41BDB821" w14:textId="742039C1">
            <w:pPr>
              <w:pStyle w:val="TableListBullet"/>
              <w:tabs>
                <w:tab w:val="clear" w:pos="216"/>
              </w:tabs>
              <w:ind w:left="484"/>
              <w:rPr>
                <w:rFonts w:ascii="Arial Narrow" w:eastAsia="Times New Roman" w:hAnsi="Arial Narrow"/>
              </w:rPr>
            </w:pPr>
            <w:r w:rsidRPr="001A2FFA">
              <w:rPr>
                <w:rFonts w:ascii="Arial Narrow" w:eastAsia="Times New Roman" w:hAnsi="Arial Narrow"/>
              </w:rPr>
              <w:t xml:space="preserve">Type of </w:t>
            </w:r>
            <w:r w:rsidRPr="001A2FFA">
              <w:rPr>
                <w:rFonts w:ascii="Arial Narrow" w:hAnsi="Arial Narrow"/>
              </w:rPr>
              <w:t>intervention</w:t>
            </w:r>
            <w:r w:rsidRPr="001A2FFA">
              <w:rPr>
                <w:rFonts w:ascii="Arial Narrow" w:eastAsia="Times New Roman" w:hAnsi="Arial Narrow"/>
              </w:rPr>
              <w:t xml:space="preserve"> according to HAB’s typology (emerging, evidence-informed, or evidence-based)?</w:t>
            </w:r>
          </w:p>
          <w:p w:rsidR="000631AF" w:rsidRPr="001A2FFA" w:rsidP="00352599" w14:paraId="264DB3A4" w14:textId="1354A284">
            <w:pPr>
              <w:pStyle w:val="TableListBullet"/>
              <w:tabs>
                <w:tab w:val="clear" w:pos="216"/>
              </w:tabs>
              <w:ind w:left="484"/>
              <w:rPr>
                <w:rFonts w:ascii="Arial Narrow" w:eastAsia="Times New Roman" w:hAnsi="Arial Narrow"/>
              </w:rPr>
            </w:pPr>
            <w:r w:rsidRPr="001A2FFA">
              <w:rPr>
                <w:rFonts w:ascii="Arial Narrow" w:eastAsia="Times New Roman" w:hAnsi="Arial Narrow"/>
              </w:rPr>
              <w:t xml:space="preserve">Outcomes the </w:t>
            </w:r>
            <w:r w:rsidRPr="001A2FFA">
              <w:rPr>
                <w:rFonts w:ascii="Arial Narrow" w:hAnsi="Arial Narrow"/>
              </w:rPr>
              <w:t>intervention</w:t>
            </w:r>
            <w:r w:rsidRPr="001A2FFA">
              <w:rPr>
                <w:rFonts w:ascii="Arial Narrow" w:eastAsia="Times New Roman" w:hAnsi="Arial Narrow"/>
              </w:rPr>
              <w:t xml:space="preserve"> aimed to improve?</w:t>
            </w:r>
          </w:p>
        </w:tc>
        <w:tc>
          <w:tcPr>
            <w:tcW w:w="1008" w:type="dxa"/>
            <w:tcBorders>
              <w:bottom w:val="single" w:sz="4" w:space="0" w:color="5B6771" w:themeColor="accent3"/>
            </w:tcBorders>
            <w:hideMark/>
          </w:tcPr>
          <w:p w:rsidR="000631AF" w:rsidRPr="001A2FFA" w:rsidP="0008766E" w14:paraId="0DF15267"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bottom w:val="single" w:sz="4" w:space="0" w:color="5B6771" w:themeColor="accent3"/>
            </w:tcBorders>
            <w:hideMark/>
          </w:tcPr>
          <w:p w:rsidR="000631AF" w:rsidRPr="001A2FFA" w:rsidP="0008766E" w14:paraId="7DF2F941" w14:textId="131980AA">
            <w:pPr>
              <w:pStyle w:val="TableTextLeft"/>
              <w:jc w:val="center"/>
              <w:rPr>
                <w:rFonts w:ascii="Arial Narrow" w:eastAsia="Times New Roman" w:hAnsi="Arial Narrow"/>
                <w:szCs w:val="18"/>
              </w:rPr>
            </w:pPr>
            <w:r w:rsidRPr="001A2FFA">
              <w:rPr>
                <w:rFonts w:ascii="Arial Narrow" w:hAnsi="Arial Narrow"/>
                <w:szCs w:val="18"/>
              </w:rPr>
              <w:t>X</w:t>
            </w:r>
          </w:p>
        </w:tc>
        <w:tc>
          <w:tcPr>
            <w:tcW w:w="1008" w:type="dxa"/>
            <w:tcBorders>
              <w:bottom w:val="single" w:sz="4" w:space="0" w:color="5B6771" w:themeColor="accent3"/>
            </w:tcBorders>
          </w:tcPr>
          <w:p w:rsidR="000631AF" w:rsidRPr="001A2FFA" w:rsidP="0008766E" w14:paraId="6D512986" w14:textId="77777777">
            <w:pPr>
              <w:pStyle w:val="TableTextLeft"/>
              <w:jc w:val="center"/>
              <w:rPr>
                <w:rFonts w:ascii="Arial Narrow" w:hAnsi="Arial Narrow"/>
                <w:szCs w:val="18"/>
              </w:rPr>
            </w:pPr>
          </w:p>
        </w:tc>
        <w:tc>
          <w:tcPr>
            <w:tcW w:w="1008" w:type="dxa"/>
            <w:tcBorders>
              <w:bottom w:val="single" w:sz="4" w:space="0" w:color="5B6771" w:themeColor="accent3"/>
            </w:tcBorders>
          </w:tcPr>
          <w:p w:rsidR="000631AF" w:rsidRPr="001A2FFA" w:rsidP="0008766E" w14:paraId="5DB2DDB5" w14:textId="77777777">
            <w:pPr>
              <w:pStyle w:val="TableTextLeft"/>
              <w:jc w:val="center"/>
              <w:rPr>
                <w:rFonts w:ascii="Arial Narrow" w:hAnsi="Arial Narrow"/>
                <w:szCs w:val="18"/>
              </w:rPr>
            </w:pPr>
          </w:p>
        </w:tc>
        <w:tc>
          <w:tcPr>
            <w:tcW w:w="1008" w:type="dxa"/>
            <w:tcBorders>
              <w:bottom w:val="single" w:sz="4" w:space="0" w:color="5B6771" w:themeColor="accent3"/>
            </w:tcBorders>
          </w:tcPr>
          <w:p w:rsidR="000631AF" w:rsidRPr="001A2FFA" w:rsidP="0008766E" w14:paraId="31F0557A" w14:textId="77777777">
            <w:pPr>
              <w:pStyle w:val="TableTextLeft"/>
              <w:jc w:val="center"/>
              <w:rPr>
                <w:rFonts w:ascii="Arial Narrow" w:hAnsi="Arial Narrow"/>
                <w:szCs w:val="18"/>
              </w:rPr>
            </w:pPr>
          </w:p>
        </w:tc>
        <w:tc>
          <w:tcPr>
            <w:tcW w:w="1008" w:type="dxa"/>
            <w:tcBorders>
              <w:bottom w:val="single" w:sz="4" w:space="0" w:color="5B6771" w:themeColor="accent3"/>
            </w:tcBorders>
          </w:tcPr>
          <w:p w:rsidR="000631AF" w:rsidRPr="001A2FFA" w:rsidP="0008766E" w14:paraId="6C0BF24C" w14:textId="77777777">
            <w:pPr>
              <w:pStyle w:val="TableTextLeft"/>
              <w:jc w:val="center"/>
              <w:rPr>
                <w:rFonts w:ascii="Arial Narrow" w:hAnsi="Arial Narrow"/>
                <w:szCs w:val="18"/>
              </w:rPr>
            </w:pPr>
          </w:p>
        </w:tc>
        <w:tc>
          <w:tcPr>
            <w:tcW w:w="1440" w:type="dxa"/>
            <w:tcBorders>
              <w:bottom w:val="single" w:sz="4" w:space="0" w:color="5B6771" w:themeColor="accent3"/>
            </w:tcBorders>
          </w:tcPr>
          <w:p w:rsidR="000631AF" w:rsidRPr="001A2FFA" w:rsidP="0008766E" w14:paraId="215B4AAB" w14:textId="77777777">
            <w:pPr>
              <w:pStyle w:val="TableTextLeft"/>
              <w:jc w:val="center"/>
              <w:rPr>
                <w:rFonts w:ascii="Arial Narrow" w:hAnsi="Arial Narrow"/>
                <w:szCs w:val="18"/>
              </w:rPr>
            </w:pPr>
          </w:p>
        </w:tc>
      </w:tr>
      <w:tr w14:paraId="49F69786" w14:textId="77777777" w:rsidTr="00D22EF1">
        <w:tblPrEx>
          <w:tblW w:w="12474" w:type="dxa"/>
          <w:tblInd w:w="-90" w:type="dxa"/>
          <w:tblLook w:val="04A0"/>
        </w:tblPrEx>
        <w:trPr>
          <w:trHeight w:val="120"/>
        </w:trPr>
        <w:tc>
          <w:tcPr>
            <w:tcW w:w="4986" w:type="dxa"/>
            <w:tcBorders>
              <w:top w:val="single" w:sz="4" w:space="0" w:color="5B6771" w:themeColor="accent3"/>
              <w:bottom w:val="nil"/>
            </w:tcBorders>
            <w:hideMark/>
          </w:tcPr>
          <w:p w:rsidR="000631AF" w:rsidRPr="001A2FFA" w:rsidP="00352599" w14:paraId="759CB5A5" w14:textId="77777777">
            <w:pPr>
              <w:pStyle w:val="TableListNumber"/>
              <w:rPr>
                <w:rFonts w:ascii="Arial Narrow" w:hAnsi="Arial Narrow"/>
                <w:szCs w:val="18"/>
              </w:rPr>
            </w:pPr>
            <w:r w:rsidRPr="001A2FFA">
              <w:rPr>
                <w:rFonts w:ascii="Arial Narrow" w:hAnsi="Arial Narrow"/>
                <w:szCs w:val="18"/>
              </w:rPr>
              <w:t>What implementation strategies are RWHAP providers using to adapt the intervention strategy for successful implementation?</w:t>
            </w:r>
          </w:p>
        </w:tc>
        <w:tc>
          <w:tcPr>
            <w:tcW w:w="1008" w:type="dxa"/>
            <w:tcBorders>
              <w:top w:val="single" w:sz="4" w:space="0" w:color="5B6771" w:themeColor="accent3"/>
              <w:bottom w:val="nil"/>
            </w:tcBorders>
          </w:tcPr>
          <w:p w:rsidR="000631AF" w:rsidRPr="001A2FFA" w:rsidP="0008766E" w14:paraId="17F1820A" w14:textId="77777777">
            <w:pPr>
              <w:pStyle w:val="TableTextLeft"/>
              <w:jc w:val="center"/>
              <w:rPr>
                <w:rFonts w:ascii="Arial Narrow" w:hAnsi="Arial Narrow"/>
                <w:szCs w:val="18"/>
              </w:rPr>
            </w:pPr>
          </w:p>
        </w:tc>
        <w:tc>
          <w:tcPr>
            <w:tcW w:w="1008" w:type="dxa"/>
            <w:tcBorders>
              <w:top w:val="single" w:sz="4" w:space="0" w:color="5B6771" w:themeColor="accent3"/>
              <w:bottom w:val="nil"/>
            </w:tcBorders>
            <w:hideMark/>
          </w:tcPr>
          <w:p w:rsidR="000631AF" w:rsidRPr="001A2FFA" w:rsidP="0008766E" w14:paraId="2716804B" w14:textId="7569C57E">
            <w:pPr>
              <w:pStyle w:val="TableTextLeft"/>
              <w:jc w:val="center"/>
              <w:rPr>
                <w:rFonts w:ascii="Arial Narrow" w:eastAsia="Times New Roman" w:hAnsi="Arial Narrow"/>
                <w:szCs w:val="18"/>
              </w:rPr>
            </w:pPr>
            <w:r w:rsidRPr="001A2FFA">
              <w:rPr>
                <w:rFonts w:ascii="Arial Narrow" w:hAnsi="Arial Narrow"/>
                <w:szCs w:val="18"/>
              </w:rPr>
              <w:t>X</w:t>
            </w:r>
          </w:p>
        </w:tc>
        <w:tc>
          <w:tcPr>
            <w:tcW w:w="1008" w:type="dxa"/>
            <w:tcBorders>
              <w:top w:val="single" w:sz="4" w:space="0" w:color="5B6771" w:themeColor="accent3"/>
              <w:bottom w:val="nil"/>
            </w:tcBorders>
          </w:tcPr>
          <w:p w:rsidR="000631AF" w:rsidRPr="001A2FFA" w:rsidP="0008766E" w14:paraId="25447BBD" w14:textId="77777777">
            <w:pPr>
              <w:pStyle w:val="TableTextLeft"/>
              <w:jc w:val="center"/>
              <w:rPr>
                <w:rFonts w:ascii="Arial Narrow" w:hAnsi="Arial Narrow"/>
                <w:szCs w:val="18"/>
              </w:rPr>
            </w:pPr>
          </w:p>
        </w:tc>
        <w:tc>
          <w:tcPr>
            <w:tcW w:w="1008" w:type="dxa"/>
            <w:tcBorders>
              <w:top w:val="single" w:sz="4" w:space="0" w:color="5B6771" w:themeColor="accent3"/>
              <w:bottom w:val="nil"/>
            </w:tcBorders>
          </w:tcPr>
          <w:p w:rsidR="000631AF" w:rsidRPr="001A2FFA" w:rsidP="0008766E" w14:paraId="4F4BC7DE" w14:textId="77777777">
            <w:pPr>
              <w:pStyle w:val="TableTextLeft"/>
              <w:jc w:val="center"/>
              <w:rPr>
                <w:rFonts w:ascii="Arial Narrow" w:hAnsi="Arial Narrow"/>
                <w:szCs w:val="18"/>
              </w:rPr>
            </w:pPr>
          </w:p>
        </w:tc>
        <w:tc>
          <w:tcPr>
            <w:tcW w:w="1008" w:type="dxa"/>
            <w:tcBorders>
              <w:top w:val="single" w:sz="4" w:space="0" w:color="5B6771" w:themeColor="accent3"/>
              <w:bottom w:val="nil"/>
            </w:tcBorders>
          </w:tcPr>
          <w:p w:rsidR="000631AF" w:rsidRPr="001A2FFA" w:rsidP="0008766E" w14:paraId="293F710F" w14:textId="77777777">
            <w:pPr>
              <w:pStyle w:val="TableTextLeft"/>
              <w:jc w:val="center"/>
              <w:rPr>
                <w:rFonts w:ascii="Arial Narrow" w:hAnsi="Arial Narrow"/>
                <w:szCs w:val="18"/>
              </w:rPr>
            </w:pPr>
          </w:p>
        </w:tc>
        <w:tc>
          <w:tcPr>
            <w:tcW w:w="1008" w:type="dxa"/>
            <w:tcBorders>
              <w:top w:val="single" w:sz="4" w:space="0" w:color="5B6771" w:themeColor="accent3"/>
              <w:bottom w:val="nil"/>
            </w:tcBorders>
          </w:tcPr>
          <w:p w:rsidR="000631AF" w:rsidRPr="001A2FFA" w:rsidP="0008766E" w14:paraId="01E10506" w14:textId="77777777">
            <w:pPr>
              <w:pStyle w:val="TableTextLeft"/>
              <w:jc w:val="center"/>
              <w:rPr>
                <w:rFonts w:ascii="Arial Narrow" w:hAnsi="Arial Narrow"/>
                <w:szCs w:val="18"/>
              </w:rPr>
            </w:pPr>
          </w:p>
        </w:tc>
        <w:tc>
          <w:tcPr>
            <w:tcW w:w="1440" w:type="dxa"/>
            <w:tcBorders>
              <w:top w:val="single" w:sz="4" w:space="0" w:color="5B6771" w:themeColor="accent3"/>
              <w:bottom w:val="nil"/>
            </w:tcBorders>
          </w:tcPr>
          <w:p w:rsidR="000631AF" w:rsidRPr="001A2FFA" w:rsidP="0008766E" w14:paraId="308A6FFA" w14:textId="77777777">
            <w:pPr>
              <w:pStyle w:val="TableTextLeft"/>
              <w:jc w:val="center"/>
              <w:rPr>
                <w:rFonts w:ascii="Arial Narrow" w:hAnsi="Arial Narrow"/>
                <w:szCs w:val="18"/>
              </w:rPr>
            </w:pPr>
          </w:p>
        </w:tc>
      </w:tr>
      <w:tr w14:paraId="3EEB83E6" w14:textId="77777777" w:rsidTr="00D22EF1">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1A2FFA" w:rsidP="0008766E" w14:paraId="22E4CF25" w14:textId="77777777">
            <w:pPr>
              <w:pStyle w:val="TableTextLeft"/>
              <w:rPr>
                <w:rFonts w:ascii="Arial Narrow" w:hAnsi="Arial Narrow"/>
                <w:szCs w:val="18"/>
              </w:rPr>
            </w:pPr>
            <w:r w:rsidRPr="001A2FFA">
              <w:rPr>
                <w:rFonts w:ascii="Arial Narrow" w:hAnsi="Arial Narrow"/>
                <w:b/>
                <w:color w:val="auto"/>
                <w:szCs w:val="18"/>
              </w:rPr>
              <w:t>Topic: Lessons learned from implementation</w:t>
            </w:r>
          </w:p>
        </w:tc>
      </w:tr>
      <w:tr w14:paraId="570366AF" w14:textId="77777777" w:rsidTr="00D22EF1">
        <w:tblPrEx>
          <w:tblW w:w="12474" w:type="dxa"/>
          <w:tblInd w:w="-90" w:type="dxa"/>
          <w:tblLook w:val="04A0"/>
        </w:tblPrEx>
        <w:trPr>
          <w:trHeight w:val="120"/>
        </w:trPr>
        <w:tc>
          <w:tcPr>
            <w:tcW w:w="4986" w:type="dxa"/>
            <w:tcBorders>
              <w:top w:val="nil"/>
              <w:bottom w:val="nil"/>
            </w:tcBorders>
          </w:tcPr>
          <w:p w:rsidR="000631AF" w:rsidRPr="001A2FFA" w:rsidP="00352599" w14:paraId="6C2FF701" w14:textId="77777777">
            <w:pPr>
              <w:pStyle w:val="TableListNumber"/>
              <w:rPr>
                <w:rFonts w:ascii="Arial Narrow" w:hAnsi="Arial Narrow"/>
                <w:szCs w:val="18"/>
              </w:rPr>
            </w:pPr>
            <w:r w:rsidRPr="001A2FFA">
              <w:rPr>
                <w:rFonts w:ascii="Arial Narrow" w:hAnsi="Arial Narrow"/>
                <w:szCs w:val="18"/>
              </w:rPr>
              <w:t>What were the lessons learned from the implementation of these intervention strategies?</w:t>
            </w:r>
          </w:p>
        </w:tc>
        <w:tc>
          <w:tcPr>
            <w:tcW w:w="1008" w:type="dxa"/>
            <w:tcBorders>
              <w:top w:val="nil"/>
              <w:bottom w:val="nil"/>
            </w:tcBorders>
          </w:tcPr>
          <w:p w:rsidR="000631AF" w:rsidRPr="001A2FFA" w:rsidP="0008766E" w14:paraId="0723C326"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02023DEF" w14:textId="6FE3B26F">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nil"/>
            </w:tcBorders>
          </w:tcPr>
          <w:p w:rsidR="000631AF" w:rsidRPr="001A2FFA" w:rsidP="0008766E" w14:paraId="2B0EA4FC"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6BDC2300"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7737A478"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2CAD77F8" w14:textId="77777777">
            <w:pPr>
              <w:pStyle w:val="TableTextLeft"/>
              <w:jc w:val="center"/>
              <w:rPr>
                <w:rFonts w:ascii="Arial Narrow" w:hAnsi="Arial Narrow"/>
                <w:szCs w:val="18"/>
              </w:rPr>
            </w:pPr>
          </w:p>
        </w:tc>
        <w:tc>
          <w:tcPr>
            <w:tcW w:w="1440" w:type="dxa"/>
            <w:tcBorders>
              <w:top w:val="nil"/>
              <w:bottom w:val="nil"/>
            </w:tcBorders>
          </w:tcPr>
          <w:p w:rsidR="000631AF" w:rsidRPr="001A2FFA" w:rsidP="0008766E" w14:paraId="15E03FFC" w14:textId="77777777">
            <w:pPr>
              <w:pStyle w:val="TableTextLeft"/>
              <w:jc w:val="center"/>
              <w:rPr>
                <w:rFonts w:ascii="Arial Narrow" w:hAnsi="Arial Narrow"/>
                <w:szCs w:val="18"/>
              </w:rPr>
            </w:pPr>
          </w:p>
        </w:tc>
      </w:tr>
      <w:tr w14:paraId="6328DFBF" w14:textId="77777777" w:rsidTr="00D22EF1">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1A2FFA" w:rsidP="0008766E" w14:paraId="373764F5" w14:textId="77777777">
            <w:pPr>
              <w:pStyle w:val="TableRowHead"/>
              <w:rPr>
                <w:rFonts w:ascii="Arial Narrow" w:hAnsi="Arial Narrow"/>
                <w:szCs w:val="18"/>
              </w:rPr>
            </w:pPr>
            <w:r w:rsidRPr="001A2FFA">
              <w:rPr>
                <w:rFonts w:ascii="Arial Narrow" w:hAnsi="Arial Narrow"/>
                <w:szCs w:val="18"/>
              </w:rPr>
              <w:t>Topic: Measuring the outcomes of the interventions</w:t>
            </w:r>
          </w:p>
        </w:tc>
      </w:tr>
      <w:tr w14:paraId="5267D4FF" w14:textId="77777777" w:rsidTr="00D22EF1">
        <w:tblPrEx>
          <w:tblW w:w="12474" w:type="dxa"/>
          <w:tblInd w:w="-90" w:type="dxa"/>
          <w:tblLook w:val="04A0"/>
        </w:tblPrEx>
        <w:trPr>
          <w:trHeight w:val="120"/>
        </w:trPr>
        <w:tc>
          <w:tcPr>
            <w:tcW w:w="4986" w:type="dxa"/>
            <w:tcBorders>
              <w:top w:val="nil"/>
              <w:bottom w:val="single" w:sz="4" w:space="0" w:color="5B6771" w:themeColor="accent3"/>
            </w:tcBorders>
            <w:hideMark/>
          </w:tcPr>
          <w:p w:rsidR="000631AF" w:rsidRPr="001A2FFA" w:rsidP="00352599" w14:paraId="321C8CF0" w14:textId="77777777">
            <w:pPr>
              <w:pStyle w:val="TableListNumber"/>
              <w:rPr>
                <w:rFonts w:ascii="Arial Narrow" w:hAnsi="Arial Narrow"/>
                <w:szCs w:val="18"/>
              </w:rPr>
            </w:pPr>
            <w:r w:rsidRPr="001A2FFA">
              <w:rPr>
                <w:rFonts w:ascii="Arial Narrow" w:hAnsi="Arial Narrow"/>
                <w:szCs w:val="18"/>
              </w:rPr>
              <w:t>How did RWHAP providers measure success?</w:t>
            </w:r>
          </w:p>
          <w:p w:rsidR="000631AF" w:rsidRPr="001A2FFA" w:rsidP="00352599" w14:paraId="0C5791E8" w14:textId="6BEE90B0">
            <w:pPr>
              <w:pStyle w:val="TableListBullet"/>
              <w:tabs>
                <w:tab w:val="clear" w:pos="216"/>
              </w:tabs>
              <w:ind w:left="484"/>
              <w:rPr>
                <w:rFonts w:ascii="Arial Narrow" w:hAnsi="Arial Narrow"/>
              </w:rPr>
            </w:pPr>
            <w:r w:rsidRPr="001A2FFA">
              <w:rPr>
                <w:rFonts w:ascii="Arial Narrow" w:hAnsi="Arial Narrow"/>
              </w:rPr>
              <w:t xml:space="preserve">What benchmarks </w:t>
            </w:r>
            <w:r w:rsidRPr="001A2FFA" w:rsidR="00661037">
              <w:rPr>
                <w:rFonts w:ascii="Arial Narrow" w:hAnsi="Arial Narrow"/>
              </w:rPr>
              <w:t>served</w:t>
            </w:r>
            <w:r w:rsidRPr="001A2FFA">
              <w:rPr>
                <w:rFonts w:ascii="Arial Narrow" w:hAnsi="Arial Narrow"/>
              </w:rPr>
              <w:t xml:space="preserve"> to define success?</w:t>
            </w:r>
          </w:p>
          <w:p w:rsidR="000631AF" w:rsidRPr="001A2FFA" w:rsidP="00352599" w14:paraId="16852609" w14:textId="53388098">
            <w:pPr>
              <w:pStyle w:val="TableListBullet"/>
              <w:tabs>
                <w:tab w:val="clear" w:pos="216"/>
              </w:tabs>
              <w:ind w:left="484"/>
              <w:rPr>
                <w:rFonts w:ascii="Arial Narrow" w:hAnsi="Arial Narrow"/>
              </w:rPr>
            </w:pPr>
            <w:r w:rsidRPr="001A2FFA">
              <w:rPr>
                <w:rFonts w:ascii="Arial Narrow" w:hAnsi="Arial Narrow"/>
              </w:rPr>
              <w:t xml:space="preserve">How did these metrics vary across sites? </w:t>
            </w:r>
          </w:p>
        </w:tc>
        <w:tc>
          <w:tcPr>
            <w:tcW w:w="1008" w:type="dxa"/>
            <w:tcBorders>
              <w:top w:val="nil"/>
              <w:bottom w:val="single" w:sz="4" w:space="0" w:color="5B6771" w:themeColor="accent3"/>
            </w:tcBorders>
          </w:tcPr>
          <w:p w:rsidR="000631AF" w:rsidRPr="001A2FFA" w:rsidP="0008766E" w14:paraId="0D10D5F4" w14:textId="77777777">
            <w:pPr>
              <w:pStyle w:val="TableTextLeft"/>
              <w:jc w:val="center"/>
              <w:rPr>
                <w:rFonts w:ascii="Arial Narrow" w:hAnsi="Arial Narrow"/>
                <w:szCs w:val="18"/>
              </w:rPr>
            </w:pPr>
          </w:p>
        </w:tc>
        <w:tc>
          <w:tcPr>
            <w:tcW w:w="1008" w:type="dxa"/>
            <w:tcBorders>
              <w:top w:val="nil"/>
              <w:bottom w:val="single" w:sz="4" w:space="0" w:color="5B6771" w:themeColor="accent3"/>
            </w:tcBorders>
            <w:hideMark/>
          </w:tcPr>
          <w:p w:rsidR="000631AF" w:rsidRPr="001A2FFA" w:rsidP="0008766E" w14:paraId="59ECAB56" w14:textId="1A644859">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single" w:sz="4" w:space="0" w:color="5B6771" w:themeColor="accent3"/>
            </w:tcBorders>
          </w:tcPr>
          <w:p w:rsidR="000631AF" w:rsidRPr="001A2FFA" w:rsidP="0008766E" w14:paraId="6775D6D6" w14:textId="77777777">
            <w:pPr>
              <w:pStyle w:val="TableTextLeft"/>
              <w:jc w:val="center"/>
              <w:rPr>
                <w:rFonts w:ascii="Arial Narrow" w:hAnsi="Arial Narrow"/>
                <w:szCs w:val="18"/>
              </w:rPr>
            </w:pPr>
          </w:p>
        </w:tc>
        <w:tc>
          <w:tcPr>
            <w:tcW w:w="1008" w:type="dxa"/>
            <w:tcBorders>
              <w:top w:val="nil"/>
              <w:bottom w:val="single" w:sz="4" w:space="0" w:color="5B6771" w:themeColor="accent3"/>
            </w:tcBorders>
          </w:tcPr>
          <w:p w:rsidR="000631AF" w:rsidRPr="001A2FFA" w:rsidP="0008766E" w14:paraId="2EBFAC5B" w14:textId="77777777">
            <w:pPr>
              <w:pStyle w:val="TableTextLeft"/>
              <w:jc w:val="center"/>
              <w:rPr>
                <w:rFonts w:ascii="Arial Narrow" w:hAnsi="Arial Narrow"/>
                <w:szCs w:val="18"/>
              </w:rPr>
            </w:pPr>
          </w:p>
        </w:tc>
        <w:tc>
          <w:tcPr>
            <w:tcW w:w="1008" w:type="dxa"/>
            <w:tcBorders>
              <w:top w:val="nil"/>
              <w:bottom w:val="single" w:sz="4" w:space="0" w:color="5B6771" w:themeColor="accent3"/>
            </w:tcBorders>
          </w:tcPr>
          <w:p w:rsidR="000631AF" w:rsidRPr="001A2FFA" w:rsidP="0008766E" w14:paraId="0A43E605" w14:textId="77777777">
            <w:pPr>
              <w:pStyle w:val="TableTextLeft"/>
              <w:jc w:val="center"/>
              <w:rPr>
                <w:rFonts w:ascii="Arial Narrow" w:hAnsi="Arial Narrow"/>
                <w:szCs w:val="18"/>
              </w:rPr>
            </w:pPr>
          </w:p>
        </w:tc>
        <w:tc>
          <w:tcPr>
            <w:tcW w:w="1008" w:type="dxa"/>
            <w:tcBorders>
              <w:top w:val="nil"/>
              <w:bottom w:val="single" w:sz="4" w:space="0" w:color="5B6771" w:themeColor="accent3"/>
            </w:tcBorders>
          </w:tcPr>
          <w:p w:rsidR="000631AF" w:rsidRPr="001A2FFA" w:rsidP="0008766E" w14:paraId="69DC01D0" w14:textId="77777777">
            <w:pPr>
              <w:pStyle w:val="TableTextLeft"/>
              <w:jc w:val="center"/>
              <w:rPr>
                <w:rFonts w:ascii="Arial Narrow" w:hAnsi="Arial Narrow"/>
                <w:szCs w:val="18"/>
              </w:rPr>
            </w:pPr>
          </w:p>
        </w:tc>
        <w:tc>
          <w:tcPr>
            <w:tcW w:w="1440" w:type="dxa"/>
            <w:tcBorders>
              <w:top w:val="nil"/>
              <w:bottom w:val="single" w:sz="4" w:space="0" w:color="5B6771" w:themeColor="accent3"/>
            </w:tcBorders>
          </w:tcPr>
          <w:p w:rsidR="000631AF" w:rsidRPr="001A2FFA" w:rsidP="0008766E" w14:paraId="383E8B03" w14:textId="77777777">
            <w:pPr>
              <w:pStyle w:val="TableTextLeft"/>
              <w:jc w:val="center"/>
              <w:rPr>
                <w:rFonts w:ascii="Arial Narrow" w:hAnsi="Arial Narrow"/>
                <w:szCs w:val="18"/>
              </w:rPr>
            </w:pPr>
          </w:p>
        </w:tc>
      </w:tr>
      <w:tr w14:paraId="55E93996" w14:textId="77777777" w:rsidTr="00D22EF1">
        <w:tblPrEx>
          <w:tblW w:w="12474" w:type="dxa"/>
          <w:tblInd w:w="-90" w:type="dxa"/>
          <w:tblLook w:val="04A0"/>
        </w:tblPrEx>
        <w:trPr>
          <w:trHeight w:val="120"/>
        </w:trPr>
        <w:tc>
          <w:tcPr>
            <w:tcW w:w="4986" w:type="dxa"/>
            <w:tcBorders>
              <w:top w:val="single" w:sz="4" w:space="0" w:color="5B6771" w:themeColor="accent3"/>
              <w:bottom w:val="single" w:sz="4" w:space="0" w:color="auto"/>
            </w:tcBorders>
            <w:hideMark/>
          </w:tcPr>
          <w:p w:rsidR="000631AF" w:rsidRPr="001A2FFA" w:rsidP="00352599" w14:paraId="74630B7B" w14:textId="77777777">
            <w:pPr>
              <w:pStyle w:val="TableListNumber"/>
              <w:rPr>
                <w:rFonts w:ascii="Arial Narrow" w:hAnsi="Arial Narrow"/>
                <w:szCs w:val="18"/>
              </w:rPr>
            </w:pPr>
            <w:r w:rsidRPr="001A2FFA">
              <w:rPr>
                <w:rFonts w:ascii="Arial Narrow" w:hAnsi="Arial Narrow"/>
                <w:szCs w:val="18"/>
              </w:rPr>
              <w:t>How did RWHAP providers evaluate implementation outcomes?</w:t>
            </w:r>
          </w:p>
          <w:p w:rsidR="000631AF" w:rsidRPr="001A2FFA" w:rsidP="00352599" w14:paraId="16BC6D84" w14:textId="34F8596A">
            <w:pPr>
              <w:pStyle w:val="TableListBullet"/>
              <w:tabs>
                <w:tab w:val="clear" w:pos="216"/>
              </w:tabs>
              <w:ind w:left="484"/>
              <w:rPr>
                <w:rFonts w:ascii="Arial Narrow" w:hAnsi="Arial Narrow"/>
              </w:rPr>
            </w:pPr>
            <w:r w:rsidRPr="001A2FFA">
              <w:rPr>
                <w:rFonts w:ascii="Arial Narrow" w:hAnsi="Arial Narrow"/>
              </w:rPr>
              <w:t xml:space="preserve">What types of </w:t>
            </w:r>
            <w:r w:rsidRPr="001A2FFA" w:rsidR="00661037">
              <w:rPr>
                <w:rFonts w:ascii="Arial Narrow" w:hAnsi="Arial Narrow"/>
              </w:rPr>
              <w:t xml:space="preserve">success </w:t>
            </w:r>
            <w:r w:rsidRPr="001A2FFA">
              <w:rPr>
                <w:rFonts w:ascii="Arial Narrow" w:hAnsi="Arial Narrow"/>
              </w:rPr>
              <w:t>indicators did they use?</w:t>
            </w:r>
          </w:p>
          <w:p w:rsidR="000631AF" w:rsidRPr="001A2FFA" w:rsidP="00352599" w14:paraId="55C20FEF" w14:textId="407053C0">
            <w:pPr>
              <w:pStyle w:val="TableListBullet"/>
              <w:tabs>
                <w:tab w:val="clear" w:pos="216"/>
              </w:tabs>
              <w:ind w:left="484"/>
              <w:rPr>
                <w:rFonts w:ascii="Arial Narrow" w:hAnsi="Arial Narrow"/>
              </w:rPr>
            </w:pPr>
            <w:r w:rsidRPr="001A2FFA">
              <w:rPr>
                <w:rFonts w:ascii="Arial Narrow" w:hAnsi="Arial Narrow"/>
              </w:rPr>
              <w:t xml:space="preserve">How did providers evaluate the quality of </w:t>
            </w:r>
            <w:r w:rsidRPr="001A2FFA" w:rsidR="00661037">
              <w:rPr>
                <w:rFonts w:ascii="Arial Narrow" w:hAnsi="Arial Narrow"/>
              </w:rPr>
              <w:t xml:space="preserve">the activities </w:t>
            </w:r>
            <w:r w:rsidRPr="001A2FFA">
              <w:rPr>
                <w:rFonts w:ascii="Arial Narrow" w:hAnsi="Arial Narrow"/>
              </w:rPr>
              <w:t>implement</w:t>
            </w:r>
            <w:r w:rsidRPr="001A2FFA" w:rsidR="00661037">
              <w:rPr>
                <w:rFonts w:ascii="Arial Narrow" w:hAnsi="Arial Narrow"/>
              </w:rPr>
              <w:t>ed</w:t>
            </w:r>
            <w:r w:rsidRPr="001A2FFA">
              <w:rPr>
                <w:rFonts w:ascii="Arial Narrow" w:hAnsi="Arial Narrow"/>
              </w:rPr>
              <w:t xml:space="preserve">? </w:t>
            </w:r>
          </w:p>
          <w:p w:rsidR="000631AF" w:rsidRPr="001A2FFA" w:rsidP="00352599" w14:paraId="10EA1965" w14:textId="2C3FCEDE">
            <w:pPr>
              <w:pStyle w:val="TableListBullet"/>
              <w:tabs>
                <w:tab w:val="clear" w:pos="216"/>
              </w:tabs>
              <w:ind w:left="484"/>
              <w:rPr>
                <w:rFonts w:ascii="Arial Narrow" w:hAnsi="Arial Narrow"/>
              </w:rPr>
            </w:pPr>
            <w:r w:rsidRPr="001A2FFA">
              <w:rPr>
                <w:rFonts w:ascii="Arial Narrow" w:hAnsi="Arial Narrow"/>
              </w:rPr>
              <w:t xml:space="preserve">Which types of outcomes did they use? </w:t>
            </w:r>
          </w:p>
          <w:p w:rsidR="000631AF" w:rsidRPr="001A2FFA" w:rsidP="00352599" w14:paraId="7FDCFBCC" w14:textId="26EFDE89">
            <w:pPr>
              <w:pStyle w:val="TableListBullet"/>
              <w:tabs>
                <w:tab w:val="clear" w:pos="216"/>
              </w:tabs>
              <w:ind w:left="484"/>
              <w:rPr>
                <w:rFonts w:ascii="Arial Narrow" w:hAnsi="Arial Narrow"/>
              </w:rPr>
            </w:pPr>
            <w:r w:rsidRPr="001A2FFA">
              <w:rPr>
                <w:rFonts w:ascii="Arial Narrow" w:hAnsi="Arial Narrow"/>
              </w:rPr>
              <w:t>What benchmarks did they set for achieving selected outcomes?</w:t>
            </w:r>
          </w:p>
        </w:tc>
        <w:tc>
          <w:tcPr>
            <w:tcW w:w="1008" w:type="dxa"/>
            <w:tcBorders>
              <w:top w:val="single" w:sz="4" w:space="0" w:color="5B6771" w:themeColor="accent3"/>
              <w:bottom w:val="single" w:sz="4" w:space="0" w:color="auto"/>
            </w:tcBorders>
          </w:tcPr>
          <w:p w:rsidR="000631AF" w:rsidRPr="001A2FFA" w:rsidP="0008766E" w14:paraId="5BB4C595" w14:textId="77777777">
            <w:pPr>
              <w:pStyle w:val="TableTextLeft"/>
              <w:jc w:val="center"/>
              <w:rPr>
                <w:rFonts w:ascii="Arial Narrow" w:hAnsi="Arial Narrow"/>
                <w:szCs w:val="18"/>
              </w:rPr>
            </w:pPr>
          </w:p>
        </w:tc>
        <w:tc>
          <w:tcPr>
            <w:tcW w:w="1008" w:type="dxa"/>
            <w:tcBorders>
              <w:top w:val="single" w:sz="4" w:space="0" w:color="5B6771" w:themeColor="accent3"/>
              <w:bottom w:val="single" w:sz="4" w:space="0" w:color="auto"/>
            </w:tcBorders>
            <w:hideMark/>
          </w:tcPr>
          <w:p w:rsidR="000631AF" w:rsidRPr="001A2FFA" w:rsidP="0008766E" w14:paraId="410CC45D" w14:textId="4D0C2AA7">
            <w:pPr>
              <w:pStyle w:val="TableTextLeft"/>
              <w:jc w:val="center"/>
              <w:rPr>
                <w:rFonts w:ascii="Arial Narrow" w:hAnsi="Arial Narrow"/>
                <w:szCs w:val="18"/>
              </w:rPr>
            </w:pPr>
            <w:r w:rsidRPr="001A2FFA">
              <w:rPr>
                <w:rFonts w:ascii="Arial Narrow" w:hAnsi="Arial Narrow"/>
                <w:szCs w:val="18"/>
              </w:rPr>
              <w:t>X</w:t>
            </w:r>
          </w:p>
        </w:tc>
        <w:tc>
          <w:tcPr>
            <w:tcW w:w="1008" w:type="dxa"/>
            <w:tcBorders>
              <w:top w:val="single" w:sz="4" w:space="0" w:color="5B6771" w:themeColor="accent3"/>
              <w:bottom w:val="single" w:sz="4" w:space="0" w:color="auto"/>
            </w:tcBorders>
          </w:tcPr>
          <w:p w:rsidR="000631AF" w:rsidRPr="001A2FFA" w:rsidP="0008766E" w14:paraId="21D5F875" w14:textId="77777777">
            <w:pPr>
              <w:pStyle w:val="TableTextLeft"/>
              <w:jc w:val="center"/>
              <w:rPr>
                <w:rFonts w:ascii="Arial Narrow" w:hAnsi="Arial Narrow"/>
                <w:szCs w:val="18"/>
              </w:rPr>
            </w:pPr>
          </w:p>
        </w:tc>
        <w:tc>
          <w:tcPr>
            <w:tcW w:w="1008" w:type="dxa"/>
            <w:tcBorders>
              <w:top w:val="single" w:sz="4" w:space="0" w:color="5B6771" w:themeColor="accent3"/>
              <w:bottom w:val="single" w:sz="4" w:space="0" w:color="auto"/>
            </w:tcBorders>
          </w:tcPr>
          <w:p w:rsidR="000631AF" w:rsidRPr="001A2FFA" w:rsidP="0008766E" w14:paraId="28A95DB9" w14:textId="77777777">
            <w:pPr>
              <w:pStyle w:val="TableTextLeft"/>
              <w:jc w:val="center"/>
              <w:rPr>
                <w:rFonts w:ascii="Arial Narrow" w:hAnsi="Arial Narrow"/>
                <w:szCs w:val="18"/>
              </w:rPr>
            </w:pPr>
          </w:p>
        </w:tc>
        <w:tc>
          <w:tcPr>
            <w:tcW w:w="1008" w:type="dxa"/>
            <w:tcBorders>
              <w:top w:val="single" w:sz="4" w:space="0" w:color="5B6771" w:themeColor="accent3"/>
              <w:bottom w:val="single" w:sz="4" w:space="0" w:color="auto"/>
            </w:tcBorders>
          </w:tcPr>
          <w:p w:rsidR="000631AF" w:rsidRPr="001A2FFA" w:rsidP="0008766E" w14:paraId="047D450C" w14:textId="77777777">
            <w:pPr>
              <w:pStyle w:val="TableTextLeft"/>
              <w:jc w:val="center"/>
              <w:rPr>
                <w:rFonts w:ascii="Arial Narrow" w:hAnsi="Arial Narrow"/>
                <w:szCs w:val="18"/>
              </w:rPr>
            </w:pPr>
          </w:p>
        </w:tc>
        <w:tc>
          <w:tcPr>
            <w:tcW w:w="1008" w:type="dxa"/>
            <w:tcBorders>
              <w:top w:val="single" w:sz="4" w:space="0" w:color="5B6771" w:themeColor="accent3"/>
              <w:bottom w:val="single" w:sz="4" w:space="0" w:color="auto"/>
            </w:tcBorders>
          </w:tcPr>
          <w:p w:rsidR="000631AF" w:rsidRPr="001A2FFA" w:rsidP="0008766E" w14:paraId="54CE91BC" w14:textId="77777777">
            <w:pPr>
              <w:pStyle w:val="TableTextLeft"/>
              <w:jc w:val="center"/>
              <w:rPr>
                <w:rFonts w:ascii="Arial Narrow" w:hAnsi="Arial Narrow"/>
                <w:szCs w:val="18"/>
              </w:rPr>
            </w:pPr>
          </w:p>
        </w:tc>
        <w:tc>
          <w:tcPr>
            <w:tcW w:w="1440" w:type="dxa"/>
            <w:tcBorders>
              <w:top w:val="single" w:sz="4" w:space="0" w:color="5B6771" w:themeColor="accent3"/>
              <w:bottom w:val="single" w:sz="4" w:space="0" w:color="auto"/>
            </w:tcBorders>
          </w:tcPr>
          <w:p w:rsidR="000631AF" w:rsidRPr="001A2FFA" w:rsidP="0008766E" w14:paraId="13B9B1DD" w14:textId="77777777">
            <w:pPr>
              <w:pStyle w:val="TableTextLeft"/>
              <w:jc w:val="center"/>
              <w:rPr>
                <w:rFonts w:ascii="Arial Narrow" w:hAnsi="Arial Narrow"/>
                <w:szCs w:val="18"/>
              </w:rPr>
            </w:pPr>
          </w:p>
        </w:tc>
      </w:tr>
      <w:tr w14:paraId="31969DEE" w14:textId="77777777" w:rsidTr="00D22EF1">
        <w:tblPrEx>
          <w:tblW w:w="12474" w:type="dxa"/>
          <w:tblInd w:w="-90" w:type="dxa"/>
          <w:tblLook w:val="04A0"/>
        </w:tblPrEx>
        <w:trPr>
          <w:trHeight w:val="120"/>
        </w:trPr>
        <w:tc>
          <w:tcPr>
            <w:tcW w:w="12474" w:type="dxa"/>
            <w:gridSpan w:val="8"/>
            <w:tcBorders>
              <w:top w:val="single" w:sz="4" w:space="0" w:color="auto"/>
              <w:bottom w:val="nil"/>
            </w:tcBorders>
            <w:shd w:val="clear" w:color="auto" w:fill="0B2949"/>
          </w:tcPr>
          <w:p w:rsidR="00D22EF1" w:rsidRPr="001A2FFA" w:rsidP="0008766E" w14:paraId="55D6EEDE" w14:textId="77777777">
            <w:pPr>
              <w:pStyle w:val="TableRowHead"/>
              <w:rPr>
                <w:rFonts w:ascii="Arial Narrow" w:hAnsi="Arial Narrow"/>
                <w:szCs w:val="18"/>
              </w:rPr>
            </w:pPr>
            <w:r w:rsidRPr="001A2FFA">
              <w:rPr>
                <w:rFonts w:ascii="Arial Narrow" w:hAnsi="Arial Narrow"/>
                <w:szCs w:val="18"/>
              </w:rPr>
              <w:t>Topic: Effects of intervention implementation on the organization</w:t>
            </w:r>
          </w:p>
        </w:tc>
      </w:tr>
      <w:tr w14:paraId="51305514" w14:textId="77777777" w:rsidTr="0008766E">
        <w:tblPrEx>
          <w:tblW w:w="12474" w:type="dxa"/>
          <w:tblInd w:w="-90" w:type="dxa"/>
          <w:tblLook w:val="04A0"/>
        </w:tblPrEx>
        <w:trPr>
          <w:trHeight w:val="120"/>
        </w:trPr>
        <w:tc>
          <w:tcPr>
            <w:tcW w:w="4986" w:type="dxa"/>
            <w:tcBorders>
              <w:top w:val="nil"/>
              <w:bottom w:val="nil"/>
            </w:tcBorders>
            <w:hideMark/>
          </w:tcPr>
          <w:p w:rsidR="000631AF" w:rsidRPr="001A2FFA" w:rsidP="00352599" w14:paraId="7A3580C9" w14:textId="77777777">
            <w:pPr>
              <w:pStyle w:val="TableListNumber"/>
              <w:rPr>
                <w:rFonts w:ascii="Arial Narrow" w:hAnsi="Arial Narrow"/>
                <w:szCs w:val="18"/>
              </w:rPr>
            </w:pPr>
            <w:r w:rsidRPr="001A2FFA">
              <w:rPr>
                <w:rFonts w:ascii="Arial Narrow" w:hAnsi="Arial Narrow"/>
                <w:szCs w:val="18"/>
              </w:rPr>
              <w:t>What effect did implementing the intervention have on the organization or its staff’s capacity?</w:t>
            </w:r>
          </w:p>
        </w:tc>
        <w:tc>
          <w:tcPr>
            <w:tcW w:w="1008" w:type="dxa"/>
            <w:tcBorders>
              <w:top w:val="nil"/>
              <w:bottom w:val="nil"/>
            </w:tcBorders>
          </w:tcPr>
          <w:p w:rsidR="000631AF" w:rsidRPr="001A2FFA" w:rsidP="0008766E" w14:paraId="719A8A3D" w14:textId="77777777">
            <w:pPr>
              <w:pStyle w:val="TableTextLeft"/>
              <w:jc w:val="center"/>
              <w:rPr>
                <w:rFonts w:ascii="Arial Narrow" w:hAnsi="Arial Narrow"/>
                <w:szCs w:val="18"/>
              </w:rPr>
            </w:pPr>
          </w:p>
        </w:tc>
        <w:tc>
          <w:tcPr>
            <w:tcW w:w="1008" w:type="dxa"/>
            <w:tcBorders>
              <w:top w:val="nil"/>
              <w:bottom w:val="nil"/>
            </w:tcBorders>
            <w:hideMark/>
          </w:tcPr>
          <w:p w:rsidR="000631AF" w:rsidRPr="001A2FFA" w:rsidP="0008766E" w14:paraId="50B643AA" w14:textId="66EE042E">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nil"/>
            </w:tcBorders>
          </w:tcPr>
          <w:p w:rsidR="000631AF" w:rsidRPr="001A2FFA" w:rsidP="0008766E" w14:paraId="7B4EB42F"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156370B4"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22E76629"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2246F249" w14:textId="77777777">
            <w:pPr>
              <w:pStyle w:val="TableTextLeft"/>
              <w:jc w:val="center"/>
              <w:rPr>
                <w:rFonts w:ascii="Arial Narrow" w:hAnsi="Arial Narrow"/>
                <w:szCs w:val="18"/>
              </w:rPr>
            </w:pPr>
          </w:p>
        </w:tc>
        <w:tc>
          <w:tcPr>
            <w:tcW w:w="1440" w:type="dxa"/>
            <w:tcBorders>
              <w:top w:val="nil"/>
              <w:bottom w:val="nil"/>
            </w:tcBorders>
          </w:tcPr>
          <w:p w:rsidR="000631AF" w:rsidRPr="001A2FFA" w:rsidP="0008766E" w14:paraId="16C9A7A0" w14:textId="77777777">
            <w:pPr>
              <w:pStyle w:val="TableTextLeft"/>
              <w:jc w:val="center"/>
              <w:rPr>
                <w:rFonts w:ascii="Arial Narrow" w:hAnsi="Arial Narrow"/>
                <w:szCs w:val="18"/>
              </w:rPr>
            </w:pPr>
          </w:p>
        </w:tc>
      </w:tr>
      <w:tr w14:paraId="1014CAFA" w14:textId="77777777" w:rsidTr="001921F3">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1A2FFA" w:rsidP="0008766E" w14:paraId="752B1014" w14:textId="77777777">
            <w:pPr>
              <w:pStyle w:val="TableTextLeft"/>
              <w:rPr>
                <w:rFonts w:ascii="Arial Narrow" w:hAnsi="Arial Narrow"/>
                <w:szCs w:val="18"/>
              </w:rPr>
            </w:pPr>
            <w:r w:rsidRPr="001A2FFA">
              <w:rPr>
                <w:rFonts w:ascii="Arial Narrow" w:hAnsi="Arial Narrow"/>
                <w:b/>
                <w:color w:val="auto"/>
                <w:szCs w:val="18"/>
              </w:rPr>
              <w:t>Topic: Factors influencing providers’ access and use of resources</w:t>
            </w:r>
          </w:p>
        </w:tc>
      </w:tr>
      <w:tr w14:paraId="6FB4A9A3" w14:textId="77777777" w:rsidTr="0008766E">
        <w:tblPrEx>
          <w:tblW w:w="12474" w:type="dxa"/>
          <w:tblInd w:w="-90" w:type="dxa"/>
          <w:tblLook w:val="04A0"/>
        </w:tblPrEx>
        <w:trPr>
          <w:trHeight w:val="120"/>
        </w:trPr>
        <w:tc>
          <w:tcPr>
            <w:tcW w:w="4986" w:type="dxa"/>
            <w:tcBorders>
              <w:top w:val="nil"/>
              <w:bottom w:val="nil"/>
            </w:tcBorders>
          </w:tcPr>
          <w:p w:rsidR="000631AF" w:rsidRPr="001A2FFA" w:rsidP="00352599" w14:paraId="08BB881B" w14:textId="77777777">
            <w:pPr>
              <w:pStyle w:val="TableListNumber"/>
              <w:rPr>
                <w:rFonts w:ascii="Arial Narrow" w:hAnsi="Arial Narrow"/>
                <w:szCs w:val="18"/>
              </w:rPr>
            </w:pPr>
            <w:r w:rsidRPr="001A2FFA">
              <w:rPr>
                <w:rFonts w:ascii="Arial Narrow" w:hAnsi="Arial Narrow"/>
                <w:szCs w:val="18"/>
              </w:rPr>
              <w:t>What provider characteristics, environmental factors, and individual ways of working or thinking are associated with access to and use of HAB and non-HAB resources?</w:t>
            </w:r>
          </w:p>
        </w:tc>
        <w:tc>
          <w:tcPr>
            <w:tcW w:w="1008" w:type="dxa"/>
            <w:tcBorders>
              <w:top w:val="nil"/>
              <w:bottom w:val="nil"/>
            </w:tcBorders>
          </w:tcPr>
          <w:p w:rsidR="000631AF" w:rsidRPr="001A2FFA" w:rsidP="0008766E" w14:paraId="1D611887" w14:textId="77777777">
            <w:pPr>
              <w:pStyle w:val="TableTextLeft"/>
              <w:jc w:val="center"/>
              <w:rPr>
                <w:rFonts w:ascii="Arial Narrow" w:hAnsi="Arial Narrow"/>
                <w:szCs w:val="18"/>
              </w:rPr>
            </w:pPr>
          </w:p>
        </w:tc>
        <w:tc>
          <w:tcPr>
            <w:tcW w:w="1008" w:type="dxa"/>
            <w:tcBorders>
              <w:top w:val="nil"/>
              <w:bottom w:val="nil"/>
            </w:tcBorders>
          </w:tcPr>
          <w:p w:rsidR="000631AF" w:rsidRPr="001A2FFA" w:rsidP="0008766E" w14:paraId="30F6A6AB" w14:textId="698D0C65">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nil"/>
            </w:tcBorders>
          </w:tcPr>
          <w:p w:rsidR="000631AF" w:rsidRPr="001A2FFA" w:rsidP="0008766E" w14:paraId="0164CDBC"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nil"/>
            </w:tcBorders>
          </w:tcPr>
          <w:p w:rsidR="000631AF" w:rsidRPr="001A2FFA" w:rsidP="0008766E" w14:paraId="13355016"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nil"/>
            </w:tcBorders>
          </w:tcPr>
          <w:p w:rsidR="000631AF" w:rsidRPr="001A2FFA" w:rsidP="0008766E" w14:paraId="7F4E049A"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nil"/>
            </w:tcBorders>
          </w:tcPr>
          <w:p w:rsidR="000631AF" w:rsidRPr="001A2FFA" w:rsidP="0008766E" w14:paraId="6F137E84" w14:textId="77777777">
            <w:pPr>
              <w:pStyle w:val="TableTextLeft"/>
              <w:jc w:val="center"/>
              <w:rPr>
                <w:rFonts w:ascii="Arial Narrow" w:hAnsi="Arial Narrow"/>
                <w:szCs w:val="18"/>
              </w:rPr>
            </w:pPr>
          </w:p>
        </w:tc>
        <w:tc>
          <w:tcPr>
            <w:tcW w:w="1440" w:type="dxa"/>
            <w:tcBorders>
              <w:top w:val="nil"/>
              <w:bottom w:val="nil"/>
            </w:tcBorders>
          </w:tcPr>
          <w:p w:rsidR="000631AF" w:rsidRPr="001A2FFA" w:rsidP="0008766E" w14:paraId="59E98C35" w14:textId="77777777">
            <w:pPr>
              <w:pStyle w:val="TableTextLeft"/>
              <w:jc w:val="center"/>
              <w:rPr>
                <w:rFonts w:ascii="Arial Narrow" w:hAnsi="Arial Narrow"/>
                <w:szCs w:val="18"/>
              </w:rPr>
            </w:pPr>
            <w:r w:rsidRPr="001A2FFA">
              <w:rPr>
                <w:rFonts w:ascii="Arial Narrow" w:hAnsi="Arial Narrow"/>
                <w:szCs w:val="18"/>
              </w:rPr>
              <w:t>x</w:t>
            </w:r>
          </w:p>
        </w:tc>
      </w:tr>
      <w:tr w14:paraId="3BEE654E" w14:textId="77777777" w:rsidTr="00352599">
        <w:tblPrEx>
          <w:tblW w:w="12474" w:type="dxa"/>
          <w:tblInd w:w="-90" w:type="dxa"/>
          <w:tblLook w:val="04A0"/>
        </w:tblPrEx>
        <w:trPr>
          <w:trHeight w:val="120"/>
        </w:trPr>
        <w:tc>
          <w:tcPr>
            <w:tcW w:w="12474" w:type="dxa"/>
            <w:gridSpan w:val="8"/>
            <w:tcBorders>
              <w:top w:val="nil"/>
              <w:bottom w:val="nil"/>
            </w:tcBorders>
            <w:shd w:val="clear" w:color="auto" w:fill="0B2949"/>
          </w:tcPr>
          <w:p w:rsidR="00D22EF1" w:rsidRPr="001A2FFA" w:rsidP="0008766E" w14:paraId="12680758" w14:textId="77777777">
            <w:pPr>
              <w:pStyle w:val="TableRowHead"/>
              <w:rPr>
                <w:rFonts w:ascii="Arial Narrow" w:hAnsi="Arial Narrow"/>
                <w:szCs w:val="18"/>
              </w:rPr>
            </w:pPr>
            <w:r w:rsidRPr="001A2FFA">
              <w:rPr>
                <w:rFonts w:ascii="Arial Narrow" w:hAnsi="Arial Narrow"/>
                <w:szCs w:val="18"/>
              </w:rPr>
              <w:t>Topic: Providers’ use of resources</w:t>
            </w:r>
          </w:p>
        </w:tc>
      </w:tr>
      <w:tr w14:paraId="2B34D81F" w14:textId="77777777" w:rsidTr="00352599">
        <w:tblPrEx>
          <w:tblW w:w="12474" w:type="dxa"/>
          <w:tblInd w:w="-90" w:type="dxa"/>
          <w:tblLook w:val="04A0"/>
        </w:tblPrEx>
        <w:trPr>
          <w:trHeight w:val="120"/>
        </w:trPr>
        <w:tc>
          <w:tcPr>
            <w:tcW w:w="4986" w:type="dxa"/>
            <w:tcBorders>
              <w:top w:val="nil"/>
              <w:bottom w:val="single" w:sz="4" w:space="0" w:color="auto"/>
            </w:tcBorders>
            <w:hideMark/>
          </w:tcPr>
          <w:p w:rsidR="000631AF" w:rsidRPr="001A2FFA" w:rsidP="00352599" w14:paraId="43B12CDD" w14:textId="77777777">
            <w:pPr>
              <w:pStyle w:val="TableListNumber"/>
              <w:rPr>
                <w:rFonts w:ascii="Arial Narrow" w:eastAsia="Times New Roman" w:hAnsi="Arial Narrow"/>
                <w:szCs w:val="18"/>
              </w:rPr>
            </w:pPr>
            <w:r w:rsidRPr="001A2FFA">
              <w:rPr>
                <w:rFonts w:ascii="Arial Narrow" w:eastAsia="Times New Roman" w:hAnsi="Arial Narrow"/>
                <w:szCs w:val="18"/>
              </w:rPr>
              <w:t>What opportunities exist for HAB to strengthen the impact and reach of its resources, including:</w:t>
            </w:r>
          </w:p>
          <w:p w:rsidR="000631AF" w:rsidRPr="001A2FFA" w:rsidP="00352599" w14:paraId="7F12F7B8" w14:textId="25135989">
            <w:pPr>
              <w:pStyle w:val="TableListBullet"/>
              <w:tabs>
                <w:tab w:val="clear" w:pos="216"/>
              </w:tabs>
              <w:ind w:left="484"/>
              <w:rPr>
                <w:rFonts w:ascii="Arial Narrow" w:hAnsi="Arial Narrow"/>
              </w:rPr>
            </w:pPr>
            <w:r w:rsidRPr="001A2FFA">
              <w:rPr>
                <w:rFonts w:ascii="Arial Narrow" w:hAnsi="Arial Narrow"/>
              </w:rPr>
              <w:t>Dissemination channels?</w:t>
            </w:r>
          </w:p>
          <w:p w:rsidR="000631AF" w:rsidRPr="001A2FFA" w:rsidP="00352599" w14:paraId="15B63B18" w14:textId="6991183B">
            <w:pPr>
              <w:pStyle w:val="TableListBullet"/>
              <w:tabs>
                <w:tab w:val="clear" w:pos="216"/>
              </w:tabs>
              <w:ind w:left="484"/>
              <w:rPr>
                <w:rFonts w:ascii="Arial Narrow" w:hAnsi="Arial Narrow"/>
              </w:rPr>
            </w:pPr>
            <w:r w:rsidRPr="001A2FFA">
              <w:rPr>
                <w:rFonts w:ascii="Arial Narrow" w:hAnsi="Arial Narrow"/>
              </w:rPr>
              <w:t>Product types or characteristics?</w:t>
            </w:r>
          </w:p>
          <w:p w:rsidR="000631AF" w:rsidRPr="001A2FFA" w:rsidP="00352599" w14:paraId="0B05B4E7" w14:textId="7E5B77CE">
            <w:pPr>
              <w:pStyle w:val="TableListBullet"/>
              <w:tabs>
                <w:tab w:val="clear" w:pos="216"/>
              </w:tabs>
              <w:ind w:left="484"/>
              <w:rPr>
                <w:rFonts w:ascii="Arial Narrow" w:hAnsi="Arial Narrow"/>
              </w:rPr>
            </w:pPr>
            <w:r w:rsidRPr="001A2FFA">
              <w:rPr>
                <w:rFonts w:ascii="Arial Narrow" w:hAnsi="Arial Narrow"/>
              </w:rPr>
              <w:t>Content?</w:t>
            </w:r>
          </w:p>
          <w:p w:rsidR="000631AF" w:rsidRPr="001A2FFA" w:rsidP="00352599" w14:paraId="74F9C9B2" w14:textId="16101B04">
            <w:pPr>
              <w:pStyle w:val="TableListBullet"/>
              <w:tabs>
                <w:tab w:val="clear" w:pos="216"/>
              </w:tabs>
              <w:ind w:left="484"/>
              <w:rPr>
                <w:rFonts w:ascii="Arial Narrow" w:hAnsi="Arial Narrow"/>
              </w:rPr>
            </w:pPr>
            <w:r w:rsidRPr="001A2FFA">
              <w:rPr>
                <w:rFonts w:ascii="Arial Narrow" w:hAnsi="Arial Narrow"/>
              </w:rPr>
              <w:t>Population focus?</w:t>
            </w:r>
          </w:p>
          <w:p w:rsidR="000631AF" w:rsidRPr="001A2FFA" w:rsidP="00352599" w14:paraId="2DBBB251" w14:textId="02E921A1">
            <w:pPr>
              <w:pStyle w:val="TableListBullet"/>
              <w:tabs>
                <w:tab w:val="clear" w:pos="216"/>
              </w:tabs>
              <w:ind w:left="484"/>
              <w:rPr>
                <w:rFonts w:ascii="Arial Narrow" w:hAnsi="Arial Narrow"/>
              </w:rPr>
            </w:pPr>
            <w:r w:rsidRPr="001A2FFA">
              <w:rPr>
                <w:rFonts w:ascii="Arial Narrow" w:hAnsi="Arial Narrow"/>
              </w:rPr>
              <w:t>Types of TA needed?</w:t>
            </w:r>
          </w:p>
        </w:tc>
        <w:tc>
          <w:tcPr>
            <w:tcW w:w="1008" w:type="dxa"/>
            <w:tcBorders>
              <w:top w:val="nil"/>
              <w:bottom w:val="single" w:sz="4" w:space="0" w:color="auto"/>
            </w:tcBorders>
            <w:hideMark/>
          </w:tcPr>
          <w:p w:rsidR="000631AF" w:rsidRPr="001A2FFA" w:rsidP="0008766E" w14:paraId="14B4A29F"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single" w:sz="4" w:space="0" w:color="auto"/>
            </w:tcBorders>
            <w:hideMark/>
          </w:tcPr>
          <w:p w:rsidR="000631AF" w:rsidRPr="001A2FFA" w:rsidP="0008766E" w14:paraId="70CF7564" w14:textId="155BDC65">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single" w:sz="4" w:space="0" w:color="auto"/>
            </w:tcBorders>
          </w:tcPr>
          <w:p w:rsidR="000631AF" w:rsidRPr="001A2FFA" w:rsidP="0008766E" w14:paraId="61D7700B"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single" w:sz="4" w:space="0" w:color="auto"/>
            </w:tcBorders>
          </w:tcPr>
          <w:p w:rsidR="000631AF" w:rsidRPr="001A2FFA" w:rsidP="0008766E" w14:paraId="20F2336F"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single" w:sz="4" w:space="0" w:color="auto"/>
            </w:tcBorders>
          </w:tcPr>
          <w:p w:rsidR="000631AF" w:rsidRPr="001A2FFA" w:rsidP="0008766E" w14:paraId="06ABF036" w14:textId="77777777">
            <w:pPr>
              <w:pStyle w:val="TableTextLeft"/>
              <w:jc w:val="center"/>
              <w:rPr>
                <w:rFonts w:ascii="Arial Narrow" w:hAnsi="Arial Narrow"/>
                <w:szCs w:val="18"/>
              </w:rPr>
            </w:pPr>
            <w:r w:rsidRPr="001A2FFA">
              <w:rPr>
                <w:rFonts w:ascii="Arial Narrow" w:hAnsi="Arial Narrow"/>
                <w:szCs w:val="18"/>
              </w:rPr>
              <w:t>x</w:t>
            </w:r>
          </w:p>
        </w:tc>
        <w:tc>
          <w:tcPr>
            <w:tcW w:w="1008" w:type="dxa"/>
            <w:tcBorders>
              <w:top w:val="nil"/>
              <w:bottom w:val="single" w:sz="4" w:space="0" w:color="auto"/>
            </w:tcBorders>
            <w:hideMark/>
          </w:tcPr>
          <w:p w:rsidR="000631AF" w:rsidRPr="001A2FFA" w:rsidP="0008766E" w14:paraId="0D2AF4A7" w14:textId="77777777">
            <w:pPr>
              <w:pStyle w:val="TableTextLeft"/>
              <w:jc w:val="center"/>
              <w:rPr>
                <w:rFonts w:ascii="Arial Narrow" w:hAnsi="Arial Narrow"/>
                <w:szCs w:val="18"/>
              </w:rPr>
            </w:pPr>
            <w:r w:rsidRPr="001A2FFA">
              <w:rPr>
                <w:rFonts w:ascii="Arial Narrow" w:hAnsi="Arial Narrow"/>
                <w:szCs w:val="18"/>
              </w:rPr>
              <w:t>x</w:t>
            </w:r>
          </w:p>
        </w:tc>
        <w:tc>
          <w:tcPr>
            <w:tcW w:w="1440" w:type="dxa"/>
            <w:tcBorders>
              <w:top w:val="nil"/>
              <w:bottom w:val="single" w:sz="4" w:space="0" w:color="auto"/>
            </w:tcBorders>
          </w:tcPr>
          <w:p w:rsidR="000631AF" w:rsidRPr="001A2FFA" w:rsidP="0008766E" w14:paraId="43F86483" w14:textId="77777777">
            <w:pPr>
              <w:pStyle w:val="TableTextLeft"/>
              <w:jc w:val="center"/>
              <w:rPr>
                <w:rFonts w:ascii="Arial Narrow" w:hAnsi="Arial Narrow"/>
                <w:szCs w:val="18"/>
              </w:rPr>
            </w:pPr>
            <w:r w:rsidRPr="001A2FFA">
              <w:rPr>
                <w:rFonts w:ascii="Arial Narrow" w:hAnsi="Arial Narrow"/>
                <w:szCs w:val="18"/>
              </w:rPr>
              <w:t>x</w:t>
            </w:r>
          </w:p>
        </w:tc>
      </w:tr>
    </w:tbl>
    <w:p w:rsidR="00D47D77" w:rsidRPr="001A2FFA" w:rsidP="00352599" w14:paraId="1C03D2A2" w14:textId="683F5026">
      <w:pPr>
        <w:pStyle w:val="ExhibitFootnote"/>
        <w:spacing w:before="120"/>
        <w:rPr>
          <w:sz w:val="16"/>
          <w:szCs w:val="16"/>
        </w:rPr>
      </w:pPr>
      <w:r>
        <w:rPr>
          <w:sz w:val="16"/>
          <w:szCs w:val="16"/>
          <w:vertAlign w:val="superscript"/>
        </w:rPr>
        <w:t>a</w:t>
      </w:r>
      <w:r>
        <w:rPr>
          <w:sz w:val="16"/>
          <w:szCs w:val="16"/>
        </w:rPr>
        <w:t>Note that RWHAP providers include some organizations that are recipients (Parts C, D, and F) and some that are subrecipients (Parts A and B). The broad terms “recipients and subrecipients” therefore includes RWHAP providers, and also includes Part A and B administrative recipients, who do not provide care to clients, but who support providers and also may implement system-level initiatives to improve HIV care.</w:t>
      </w:r>
    </w:p>
    <w:p w:rsidR="00213A40" w:rsidP="00352599" w14:paraId="6FE9D84A" w14:textId="0212884E">
      <w:pPr>
        <w:pStyle w:val="ExhibitFootnote"/>
        <w:spacing w:before="120"/>
        <w:rPr>
          <w:sz w:val="16"/>
          <w:szCs w:val="16"/>
        </w:rPr>
      </w:pPr>
      <w:r w:rsidRPr="001A2FFA">
        <w:rPr>
          <w:sz w:val="16"/>
          <w:szCs w:val="16"/>
          <w:vertAlign w:val="superscript"/>
        </w:rPr>
        <w:t>b</w:t>
      </w:r>
      <w:r w:rsidR="00497828">
        <w:rPr>
          <w:sz w:val="16"/>
          <w:szCs w:val="16"/>
        </w:rPr>
        <w:t xml:space="preserve">The survey will give insight on this question in that it will ask all RWHAP providers if they used HAB or non-HAB resources to help implement an intervention over the past two years. It seems unlikely that providers would implement an intervention without using any resources (although that’s possible), so we will have an estimate of the number of providers that implemented at least one intervention. The providers who receive virtual site visits will be asked to list all the interventions they implemented in the past two years, so we will </w:t>
      </w:r>
      <w:r w:rsidR="00BA0E3E">
        <w:rPr>
          <w:sz w:val="16"/>
          <w:szCs w:val="16"/>
        </w:rPr>
        <w:t xml:space="preserve">know an average number among those interviewed and have a sense of how common it is to implement multiple interventions in a two-year period, but it will not be statistically representative of all RWHAP providers, given the nuances of the selection criteria. </w:t>
      </w:r>
    </w:p>
    <w:p w:rsidR="000631AF" w:rsidRPr="00FF3F40" w:rsidP="00352599" w14:paraId="6E2613CF" w14:textId="196C6EF8">
      <w:pPr>
        <w:pStyle w:val="ExhibitFootnote"/>
        <w:spacing w:before="120"/>
        <w:rPr>
          <w:sz w:val="16"/>
          <w:szCs w:val="16"/>
        </w:rPr>
      </w:pPr>
      <w:r>
        <w:rPr>
          <w:sz w:val="16"/>
          <w:szCs w:val="16"/>
        </w:rPr>
        <w:t>RUDI-P</w:t>
      </w:r>
      <w:r w:rsidR="00E667A3">
        <w:rPr>
          <w:sz w:val="16"/>
          <w:szCs w:val="16"/>
        </w:rPr>
        <w:t>/S</w:t>
      </w:r>
      <w:r>
        <w:rPr>
          <w:sz w:val="16"/>
          <w:szCs w:val="16"/>
        </w:rPr>
        <w:t xml:space="preserve"> = National survey of RUDI providers</w:t>
      </w:r>
      <w:r w:rsidR="00E667A3">
        <w:rPr>
          <w:sz w:val="16"/>
          <w:szCs w:val="16"/>
        </w:rPr>
        <w:t xml:space="preserve"> and subrecipients</w:t>
      </w:r>
      <w:r>
        <w:rPr>
          <w:sz w:val="16"/>
          <w:szCs w:val="16"/>
        </w:rPr>
        <w:t>; RUDI-R = National survey of RUDI Part A and B</w:t>
      </w:r>
      <w:r w:rsidR="00E667A3">
        <w:rPr>
          <w:sz w:val="16"/>
          <w:szCs w:val="16"/>
        </w:rPr>
        <w:t xml:space="preserve"> administrative</w:t>
      </w:r>
      <w:r>
        <w:rPr>
          <w:sz w:val="16"/>
          <w:szCs w:val="16"/>
        </w:rPr>
        <w:t xml:space="preserve"> recipients; </w:t>
      </w:r>
      <w:r w:rsidRPr="00FF3F40">
        <w:rPr>
          <w:sz w:val="16"/>
          <w:szCs w:val="16"/>
        </w:rPr>
        <w:t>HAB = HIV/AIDS Bureau; RSR = RWHAP Services Report file; RWHAP = Ryan White HIV/AIDS Program; TA = technical assistance.</w:t>
      </w:r>
    </w:p>
    <w:p w:rsidR="000631AF" w:rsidP="0035158E" w14:paraId="47678B69" w14:textId="77777777">
      <w:pPr>
        <w:pStyle w:val="Paragraph"/>
      </w:pPr>
    </w:p>
    <w:p w:rsidR="000631AF" w:rsidP="0035158E" w14:paraId="2ECED402" w14:textId="0D5D17D2">
      <w:pPr>
        <w:pStyle w:val="Paragraph"/>
        <w:sectPr w:rsidSect="000631AF">
          <w:endnotePr>
            <w:numFmt w:val="decimal"/>
          </w:endnotePr>
          <w:pgSz w:w="15840" w:h="12240" w:orient="landscape"/>
          <w:pgMar w:top="1440" w:right="1440" w:bottom="1440" w:left="1440" w:header="720" w:footer="720" w:gutter="0"/>
          <w:cols w:space="720"/>
          <w:noEndnote/>
          <w:docGrid w:linePitch="299"/>
        </w:sectPr>
      </w:pPr>
    </w:p>
    <w:p w:rsidR="00C258D9" w:rsidRPr="00FF3F40" w:rsidP="0035158E" w14:paraId="0C82D9D3" w14:textId="6AA653D6">
      <w:pPr>
        <w:pStyle w:val="ParagraphContinued"/>
      </w:pPr>
      <w:r w:rsidRPr="00FF3F40">
        <w:t xml:space="preserve">Exhibit 3 shows how </w:t>
      </w:r>
      <w:r w:rsidR="00F63B2F">
        <w:t>each</w:t>
      </w:r>
      <w:r w:rsidRPr="00FF3F40">
        <w:t xml:space="preserve"> data source will contribute to HAB’s understanding of the key topic areas of the </w:t>
      </w:r>
      <w:r w:rsidRPr="00FF3F40" w:rsidR="00007D85">
        <w:t xml:space="preserve">RUDI </w:t>
      </w:r>
      <w:r w:rsidRPr="00FF3F40" w:rsidR="00A05380">
        <w:t>e</w:t>
      </w:r>
      <w:r w:rsidRPr="00FF3F40" w:rsidR="00007D85">
        <w:t>valuation</w:t>
      </w:r>
      <w:r w:rsidRPr="00FF3F40" w:rsidR="007D4E95">
        <w:t xml:space="preserve">. </w:t>
      </w:r>
      <w:r w:rsidRPr="00FF3F40">
        <w:t xml:space="preserve">The exhibit </w:t>
      </w:r>
      <w:r w:rsidRPr="00FF3F40" w:rsidR="00136FFB">
        <w:t xml:space="preserve">also highlights </w:t>
      </w:r>
      <w:r w:rsidRPr="00FF3F40" w:rsidR="00CE3092">
        <w:t xml:space="preserve">how the </w:t>
      </w:r>
      <w:r w:rsidR="00F63B2F">
        <w:t xml:space="preserve">five </w:t>
      </w:r>
      <w:r w:rsidRPr="00FF3F40" w:rsidR="00CE3092">
        <w:t xml:space="preserve">primary data collection activities for which </w:t>
      </w:r>
      <w:r w:rsidRPr="00FF3F40" w:rsidR="007D4E95">
        <w:rPr>
          <w:bCs/>
          <w:szCs w:val="24"/>
        </w:rPr>
        <w:t>HAB is seeking OMB</w:t>
      </w:r>
      <w:r w:rsidRPr="00FF3F40" w:rsidR="00CD2960">
        <w:rPr>
          <w:bCs/>
          <w:szCs w:val="24"/>
        </w:rPr>
        <w:t>’s</w:t>
      </w:r>
      <w:r w:rsidRPr="00FF3F40" w:rsidR="007D4E95">
        <w:rPr>
          <w:bCs/>
          <w:szCs w:val="24"/>
        </w:rPr>
        <w:t xml:space="preserve"> approval</w:t>
      </w:r>
      <w:r w:rsidRPr="00FF3F40" w:rsidR="00CE3092">
        <w:rPr>
          <w:bCs/>
          <w:szCs w:val="24"/>
        </w:rPr>
        <w:t xml:space="preserve"> contribute to the study</w:t>
      </w:r>
      <w:r w:rsidRPr="00FF3F40" w:rsidR="00136FFB">
        <w:rPr>
          <w:bCs/>
          <w:szCs w:val="24"/>
        </w:rPr>
        <w:t xml:space="preserve">: </w:t>
      </w:r>
      <w:bookmarkStart w:id="4" w:name="_Hlk136514738"/>
      <w:bookmarkStart w:id="5" w:name="_Hlk136598706"/>
      <w:r w:rsidRPr="00FF3F40" w:rsidR="00136FFB">
        <w:rPr>
          <w:bCs/>
          <w:szCs w:val="24"/>
        </w:rPr>
        <w:t xml:space="preserve">(1) </w:t>
      </w:r>
      <w:r w:rsidRPr="00FF3F40" w:rsidR="00B31DF5">
        <w:t xml:space="preserve">a </w:t>
      </w:r>
      <w:r w:rsidRPr="00FF3F40" w:rsidR="002C2148">
        <w:t xml:space="preserve">one-time </w:t>
      </w:r>
      <w:r w:rsidRPr="00FF3F40" w:rsidR="000807FA">
        <w:t>n</w:t>
      </w:r>
      <w:r w:rsidRPr="00FF3F40" w:rsidR="00EE790E">
        <w:t xml:space="preserve">ational survey of </w:t>
      </w:r>
      <w:r w:rsidRPr="00FF3F40" w:rsidR="00136FFB">
        <w:t xml:space="preserve">all </w:t>
      </w:r>
      <w:r w:rsidRPr="00FF3F40" w:rsidR="00EE790E">
        <w:t>RW</w:t>
      </w:r>
      <w:r w:rsidRPr="00FF3F40" w:rsidR="00046CA6">
        <w:t xml:space="preserve">HAP </w:t>
      </w:r>
      <w:r w:rsidRPr="00FF3F40" w:rsidR="00FB08BD">
        <w:t>providers</w:t>
      </w:r>
      <w:r w:rsidRPr="00FF3F40" w:rsidR="000807FA">
        <w:t xml:space="preserve"> </w:t>
      </w:r>
      <w:r w:rsidRPr="00FF3F40" w:rsidR="00136FFB">
        <w:t>(either directly funded as recipients or indirectly funded as subrecipients to provide care and support to people with HIV)</w:t>
      </w:r>
      <w:r w:rsidR="00E91A25">
        <w:t xml:space="preserve"> (RUDI-P</w:t>
      </w:r>
      <w:r w:rsidR="00CB59AC">
        <w:t>/S</w:t>
      </w:r>
      <w:r w:rsidR="00E91A25">
        <w:t>)</w:t>
      </w:r>
      <w:r w:rsidRPr="00FF3F40" w:rsidR="00136FFB">
        <w:t xml:space="preserve">, </w:t>
      </w:r>
      <w:bookmarkEnd w:id="4"/>
      <w:r w:rsidRPr="00FF3F40" w:rsidR="00F0278C">
        <w:rPr>
          <w:bCs/>
          <w:szCs w:val="24"/>
        </w:rPr>
        <w:t>(</w:t>
      </w:r>
      <w:r w:rsidR="00F0278C">
        <w:rPr>
          <w:bCs/>
          <w:szCs w:val="24"/>
        </w:rPr>
        <w:t>2</w:t>
      </w:r>
      <w:r w:rsidRPr="00FF3F40" w:rsidR="00F0278C">
        <w:rPr>
          <w:bCs/>
          <w:szCs w:val="24"/>
        </w:rPr>
        <w:t xml:space="preserve">) </w:t>
      </w:r>
      <w:r w:rsidRPr="00FF3F40" w:rsidR="00F0278C">
        <w:t xml:space="preserve">a one-time national survey of all RWHAP </w:t>
      </w:r>
      <w:r w:rsidR="00F63B2F">
        <w:t xml:space="preserve">Part A and B </w:t>
      </w:r>
      <w:r w:rsidR="00CB59AC">
        <w:t xml:space="preserve">administrative </w:t>
      </w:r>
      <w:r w:rsidR="005453FB">
        <w:t>recipients</w:t>
      </w:r>
      <w:r w:rsidR="00E91A25">
        <w:t xml:space="preserve"> (RUDI-R)</w:t>
      </w:r>
      <w:r w:rsidR="005453FB">
        <w:t xml:space="preserve">, </w:t>
      </w:r>
      <w:r w:rsidRPr="00FF3F40" w:rsidR="00136FFB">
        <w:t>(</w:t>
      </w:r>
      <w:r w:rsidR="005453FB">
        <w:t>3</w:t>
      </w:r>
      <w:r w:rsidRPr="00FF3F40" w:rsidR="00136FFB">
        <w:t xml:space="preserve">) </w:t>
      </w:r>
      <w:r w:rsidRPr="00FF3F40" w:rsidR="000807FA">
        <w:t xml:space="preserve">virtual </w:t>
      </w:r>
      <w:r w:rsidRPr="00FF3F40" w:rsidR="00B31DF5">
        <w:t xml:space="preserve">site </w:t>
      </w:r>
      <w:r w:rsidRPr="00FF3F40" w:rsidR="00007D85">
        <w:t xml:space="preserve">visits </w:t>
      </w:r>
      <w:r w:rsidRPr="00FF3F40" w:rsidR="00CE3092">
        <w:t xml:space="preserve">(interviews) </w:t>
      </w:r>
      <w:r w:rsidRPr="00FF3F40" w:rsidR="00007D85">
        <w:t xml:space="preserve">to </w:t>
      </w:r>
      <w:r w:rsidRPr="00FF3F40" w:rsidR="00136FFB">
        <w:t xml:space="preserve">a sample of </w:t>
      </w:r>
      <w:r w:rsidRPr="00FF3F40" w:rsidR="00007D85">
        <w:t>40 RWHAP provider sites</w:t>
      </w:r>
      <w:r w:rsidR="005453FB">
        <w:t xml:space="preserve">, (4) </w:t>
      </w:r>
      <w:r w:rsidR="00CB59AC">
        <w:t xml:space="preserve">telephone </w:t>
      </w:r>
      <w:r w:rsidR="005453FB">
        <w:t xml:space="preserve">interviews with a sample of 20 RWHAP </w:t>
      </w:r>
      <w:r w:rsidR="007831CF">
        <w:t>Part A and B recipients (administrative entity only)</w:t>
      </w:r>
      <w:r w:rsidR="005453FB">
        <w:t xml:space="preserve">, and (5) </w:t>
      </w:r>
      <w:r w:rsidR="00CB59AC">
        <w:t xml:space="preserve">telephone </w:t>
      </w:r>
      <w:r w:rsidR="005453FB">
        <w:t xml:space="preserve">interviews with 8 </w:t>
      </w:r>
      <w:r w:rsidRPr="005453FB" w:rsidR="005453FB">
        <w:t>AIDS Education and Training Center (AETC)</w:t>
      </w:r>
      <w:r w:rsidR="005453FB">
        <w:t xml:space="preserve"> </w:t>
      </w:r>
      <w:r w:rsidR="00A70D45">
        <w:t>recipient</w:t>
      </w:r>
      <w:r w:rsidR="005453FB">
        <w:t>s</w:t>
      </w:r>
      <w:r w:rsidRPr="00FF3F40" w:rsidR="000807FA">
        <w:t xml:space="preserve">. </w:t>
      </w:r>
      <w:r w:rsidRPr="00FF3F40" w:rsidR="00602502">
        <w:t xml:space="preserve">These </w:t>
      </w:r>
      <w:r w:rsidRPr="00FF3F40" w:rsidR="00136FFB">
        <w:t xml:space="preserve">data collection </w:t>
      </w:r>
      <w:r w:rsidRPr="00FF3F40" w:rsidR="00602502">
        <w:t xml:space="preserve">activities will occur </w:t>
      </w:r>
      <w:bookmarkStart w:id="6" w:name="_Toc30602646"/>
      <w:r w:rsidRPr="00FF3F40" w:rsidR="00602502">
        <w:t>o</w:t>
      </w:r>
      <w:r w:rsidRPr="00FF3F40">
        <w:t xml:space="preserve">ver </w:t>
      </w:r>
      <w:r w:rsidRPr="00FF3F40" w:rsidR="00707B7F">
        <w:t>an</w:t>
      </w:r>
      <w:r w:rsidRPr="00FF3F40">
        <w:t xml:space="preserve"> </w:t>
      </w:r>
      <w:r w:rsidRPr="00FF3F40" w:rsidR="0045218A">
        <w:t>18</w:t>
      </w:r>
      <w:r w:rsidRPr="00FF3F40">
        <w:t>-month period beginning in</w:t>
      </w:r>
      <w:r w:rsidRPr="00FF3F40" w:rsidR="00C90200">
        <w:t xml:space="preserve"> </w:t>
      </w:r>
      <w:r w:rsidRPr="00FF3F40" w:rsidR="00BC4DE9">
        <w:t xml:space="preserve">December </w:t>
      </w:r>
      <w:r w:rsidRPr="00FF3F40" w:rsidR="00CD2960">
        <w:t>or</w:t>
      </w:r>
      <w:r w:rsidRPr="00FF3F40" w:rsidR="00BC4DE9">
        <w:t xml:space="preserve"> January 2024</w:t>
      </w:r>
      <w:r w:rsidRPr="00FF3F40">
        <w:t>.</w:t>
      </w:r>
      <w:r w:rsidRPr="00FF3F40" w:rsidR="00136FFB">
        <w:t xml:space="preserve"> We discuss each data collection activity separately below.</w:t>
      </w:r>
      <w:bookmarkEnd w:id="5"/>
    </w:p>
    <w:bookmarkStart w:id="7" w:name="_Toc122449119"/>
    <w:p w:rsidR="0031573B" w:rsidRPr="00FF3F40" w:rsidP="008B32F3" w14:paraId="5EAAD2C6" w14:textId="77777777">
      <w:pPr>
        <w:pStyle w:val="TitleRule"/>
      </w:pPr>
      <w:r w:rsidRPr="00FF3F40">
        <w:rPr>
          <w:noProof/>
        </w:rPr>
        <mc:AlternateContent>
          <mc:Choice Requires="wps">
            <w:drawing>
              <wp:inline distT="0" distB="0" distL="0" distR="0">
                <wp:extent cx="2971800" cy="0"/>
                <wp:effectExtent l="0" t="38100" r="38100" b="38100"/>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i1027"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677546" w:rsidP="0031573B" w14:paraId="3C96B841" w14:textId="095DFDD4">
      <w:pPr>
        <w:pStyle w:val="ExhibitTitle"/>
      </w:pPr>
      <w:r w:rsidRPr="00FF3F40">
        <w:t xml:space="preserve">Exhibit </w:t>
      </w:r>
      <w:r w:rsidRPr="00FF3F40" w:rsidR="005070F8">
        <w:t>3</w:t>
      </w:r>
      <w:r w:rsidRPr="00FF3F40">
        <w:t xml:space="preserve">. Primary contributions of each data source to the </w:t>
      </w:r>
      <w:r w:rsidRPr="00FF3F40" w:rsidR="00C4143D">
        <w:t xml:space="preserve">RUDI </w:t>
      </w:r>
      <w:r w:rsidRPr="00FF3F40">
        <w:t>evaluation</w:t>
      </w:r>
    </w:p>
    <w:tbl>
      <w:tblPr>
        <w:tblStyle w:val="BaseTable"/>
        <w:tblW w:w="0" w:type="auto"/>
        <w:tblLook w:val="04A0"/>
      </w:tblPr>
      <w:tblGrid>
        <w:gridCol w:w="1440"/>
        <w:gridCol w:w="7920"/>
      </w:tblGrid>
      <w:tr w14:paraId="51BA71EB" w14:textId="77777777" w:rsidTr="0031573B">
        <w:tblPrEx>
          <w:tblW w:w="0" w:type="auto"/>
          <w:tblLook w:val="04A0"/>
        </w:tblPrEx>
        <w:trPr>
          <w:trHeight w:val="120"/>
          <w:tblHeader/>
        </w:trPr>
        <w:tc>
          <w:tcPr>
            <w:tcW w:w="1440" w:type="dxa"/>
            <w:tcBorders>
              <w:bottom w:val="nil"/>
            </w:tcBorders>
            <w:hideMark/>
          </w:tcPr>
          <w:p w:rsidR="00677546" w:rsidRPr="00FF3F40" w:rsidP="0031573B" w14:paraId="7D2775BE" w14:textId="13B3212F">
            <w:pPr>
              <w:pStyle w:val="TableHeaderLeft"/>
            </w:pPr>
            <w:r w:rsidRPr="00FF3F40">
              <w:t xml:space="preserve">Data </w:t>
            </w:r>
            <w:r w:rsidRPr="00FF3F40" w:rsidR="00C4143D">
              <w:t>s</w:t>
            </w:r>
            <w:r w:rsidRPr="00FF3F40">
              <w:t>ource</w:t>
            </w:r>
          </w:p>
        </w:tc>
        <w:tc>
          <w:tcPr>
            <w:tcW w:w="7920" w:type="dxa"/>
            <w:tcBorders>
              <w:bottom w:val="nil"/>
            </w:tcBorders>
            <w:hideMark/>
          </w:tcPr>
          <w:p w:rsidR="00677546" w:rsidRPr="00FF3F40" w:rsidP="0031573B" w14:paraId="6DDCFBF2" w14:textId="77777777">
            <w:pPr>
              <w:pStyle w:val="TableHeaderCenter"/>
            </w:pPr>
            <w:r w:rsidRPr="00FF3F40">
              <w:t>Primary contributions to the evaluation</w:t>
            </w:r>
          </w:p>
        </w:tc>
      </w:tr>
      <w:tr w14:paraId="40F92B37" w14:textId="77777777" w:rsidTr="0031573B">
        <w:tblPrEx>
          <w:tblW w:w="0" w:type="auto"/>
          <w:tblLook w:val="04A0"/>
        </w:tblPrEx>
        <w:trPr>
          <w:trHeight w:val="120"/>
        </w:trPr>
        <w:tc>
          <w:tcPr>
            <w:tcW w:w="9360" w:type="dxa"/>
            <w:gridSpan w:val="2"/>
            <w:tcBorders>
              <w:top w:val="nil"/>
              <w:bottom w:val="nil"/>
            </w:tcBorders>
            <w:shd w:val="clear" w:color="auto" w:fill="0B2949"/>
          </w:tcPr>
          <w:p w:rsidR="008E3E60" w:rsidRPr="00FF3F40" w:rsidP="0031573B" w14:paraId="09349307" w14:textId="05BBA769">
            <w:pPr>
              <w:pStyle w:val="TableRowHead"/>
            </w:pPr>
            <w:r w:rsidRPr="00FF3F40">
              <w:t>Data sources requiring OMB clearance</w:t>
            </w:r>
          </w:p>
        </w:tc>
      </w:tr>
      <w:tr w14:paraId="4C1D80FD" w14:textId="77777777" w:rsidTr="0031573B">
        <w:tblPrEx>
          <w:tblW w:w="0" w:type="auto"/>
          <w:tblLook w:val="04A0"/>
        </w:tblPrEx>
        <w:trPr>
          <w:trHeight w:val="120"/>
        </w:trPr>
        <w:tc>
          <w:tcPr>
            <w:tcW w:w="1440" w:type="dxa"/>
            <w:tcBorders>
              <w:top w:val="nil"/>
            </w:tcBorders>
            <w:hideMark/>
          </w:tcPr>
          <w:p w:rsidR="00677546" w:rsidRPr="00FF3F40" w:rsidP="0031573B" w14:paraId="78B119B6" w14:textId="2B51BB0D">
            <w:pPr>
              <w:pStyle w:val="TableTextLeft"/>
            </w:pPr>
            <w:r>
              <w:t xml:space="preserve">National survey of RWHAP recipients </w:t>
            </w:r>
            <w:r w:rsidR="00CB59AC">
              <w:t>and providers</w:t>
            </w:r>
            <w:r w:rsidR="00A16778">
              <w:t xml:space="preserve"> </w:t>
            </w:r>
            <w:r w:rsidR="00CB59AC">
              <w:t xml:space="preserve">/ subrecipients </w:t>
            </w:r>
            <w:r w:rsidR="00A16778">
              <w:t>(RUDI-R and RUDI-P</w:t>
            </w:r>
            <w:r w:rsidR="00CB59AC">
              <w:t>/S</w:t>
            </w:r>
            <w:r w:rsidR="00A16778">
              <w:t>)</w:t>
            </w:r>
          </w:p>
        </w:tc>
        <w:tc>
          <w:tcPr>
            <w:tcW w:w="7920" w:type="dxa"/>
            <w:tcBorders>
              <w:top w:val="nil"/>
            </w:tcBorders>
            <w:hideMark/>
          </w:tcPr>
          <w:p w:rsidR="004626EE" w:rsidP="00352599" w14:paraId="1003B5AC" w14:textId="77777777">
            <w:pPr>
              <w:pStyle w:val="TableListBullet"/>
            </w:pPr>
            <w:r>
              <w:t>Nationally representative data on use of resources: which were used; how they were accessed; and if they were not used, why not, and whether additional or improved information resources would likely have helped</w:t>
            </w:r>
          </w:p>
          <w:p w:rsidR="004626EE" w:rsidP="00352599" w14:paraId="795D46A5" w14:textId="77777777">
            <w:pPr>
              <w:pStyle w:val="TableListBullet"/>
            </w:pPr>
            <w:r>
              <w:t>Frequency of use overall and to address a set of intervention types and focus populations</w:t>
            </w:r>
          </w:p>
          <w:p w:rsidR="004626EE" w:rsidP="00352599" w14:paraId="0A6C2CDE" w14:textId="77777777">
            <w:pPr>
              <w:pStyle w:val="TableListBullet"/>
            </w:pPr>
            <w:r>
              <w:t>How useful the resources were and how they contributed to implementation of an intervention</w:t>
            </w:r>
          </w:p>
          <w:p w:rsidR="004626EE" w:rsidP="00352599" w14:paraId="7301FD1D" w14:textId="77777777">
            <w:pPr>
              <w:pStyle w:val="TableListBullet"/>
            </w:pPr>
            <w:r>
              <w:t>Whether implementation or replication of interventions occurred, by type</w:t>
            </w:r>
          </w:p>
          <w:p w:rsidR="004626EE" w:rsidP="00352599" w14:paraId="2E5831C7" w14:textId="77777777">
            <w:pPr>
              <w:pStyle w:val="TableListBullet"/>
            </w:pPr>
            <w:r>
              <w:t>Recipients’ use of HAB resources to improve their own knowledge and capacity, and their role in encouraging subrecipients to use HAB resources</w:t>
            </w:r>
          </w:p>
          <w:p w:rsidR="00677546" w:rsidRPr="00FF3F40" w:rsidP="00352599" w14:paraId="78D98703" w14:textId="16873486">
            <w:pPr>
              <w:pStyle w:val="TableListBullet"/>
            </w:pPr>
            <w:r>
              <w:t>Open-ended questions on how HAB could improve its strategies for disseminating effective implementation resources</w:t>
            </w:r>
          </w:p>
        </w:tc>
      </w:tr>
      <w:tr w14:paraId="40BABD9E" w14:textId="77777777" w:rsidTr="0031573B">
        <w:tblPrEx>
          <w:tblW w:w="0" w:type="auto"/>
          <w:tblLook w:val="04A0"/>
        </w:tblPrEx>
        <w:trPr>
          <w:trHeight w:val="120"/>
        </w:trPr>
        <w:tc>
          <w:tcPr>
            <w:tcW w:w="1440" w:type="dxa"/>
            <w:tcBorders>
              <w:bottom w:val="nil"/>
            </w:tcBorders>
            <w:hideMark/>
          </w:tcPr>
          <w:p w:rsidR="00677546" w:rsidRPr="00FF3F40" w:rsidP="00D22EF1" w14:paraId="22EA5057" w14:textId="23A43045">
            <w:pPr>
              <w:pStyle w:val="TableTextLeft"/>
            </w:pPr>
            <w:r>
              <w:t>Virtual site visits with a sample of RWHAP providers</w:t>
            </w:r>
          </w:p>
        </w:tc>
        <w:tc>
          <w:tcPr>
            <w:tcW w:w="7920" w:type="dxa"/>
            <w:tcBorders>
              <w:bottom w:val="nil"/>
            </w:tcBorders>
            <w:hideMark/>
          </w:tcPr>
          <w:p w:rsidR="00677546" w:rsidRPr="00FF3F40" w:rsidP="00352599" w14:paraId="1218D8B3" w14:textId="77777777">
            <w:pPr>
              <w:pStyle w:val="TableListBullet"/>
            </w:pPr>
            <w:r w:rsidRPr="00FF3F40">
              <w:t>In-context and in-depth examples of how resources were used, from providers who self-identified using the resources (via the survey)</w:t>
            </w:r>
          </w:p>
          <w:p w:rsidR="00677546" w:rsidRPr="00FF3F40" w:rsidP="00352599" w14:paraId="5E3DFC41" w14:textId="0F1E6955">
            <w:pPr>
              <w:pStyle w:val="TableListBullet"/>
            </w:pPr>
            <w:r w:rsidRPr="00FF3F40">
              <w:t xml:space="preserve">In-context and in-depth </w:t>
            </w:r>
            <w:r w:rsidRPr="00FF3F40" w:rsidR="00707B7F">
              <w:t>examples</w:t>
            </w:r>
            <w:r w:rsidRPr="00FF3F40">
              <w:t xml:space="preserve"> of how the resources contributed to implementation of an intervention</w:t>
            </w:r>
          </w:p>
          <w:p w:rsidR="00677546" w:rsidRPr="00FF3F40" w:rsidP="00352599" w14:paraId="0B03306B" w14:textId="77777777">
            <w:pPr>
              <w:pStyle w:val="TableListBullet"/>
            </w:pPr>
            <w:r w:rsidRPr="00FF3F40">
              <w:t>Barriers and facilitators to effective dissemination of resources, by collecting information on why various resources were and were not used (provider characteristics, environmental factors, and individual ways of working that influenced their use)</w:t>
            </w:r>
          </w:p>
          <w:p w:rsidR="00677546" w:rsidRPr="00FF3F40" w:rsidP="00352599" w14:paraId="14653471" w14:textId="61E9E052">
            <w:pPr>
              <w:pStyle w:val="TableListBullet"/>
            </w:pPr>
            <w:r w:rsidRPr="00FF3F40">
              <w:t>Providers’ experience with using the resources</w:t>
            </w:r>
            <w:r w:rsidRPr="00FF3F40" w:rsidR="00EA2D36">
              <w:t>;</w:t>
            </w:r>
            <w:r w:rsidRPr="00FF3F40">
              <w:t xml:space="preserve"> how useful they were and why</w:t>
            </w:r>
          </w:p>
          <w:p w:rsidR="00677546" w:rsidRPr="00FF3F40" w:rsidP="00352599" w14:paraId="0999960A" w14:textId="77777777">
            <w:pPr>
              <w:pStyle w:val="TableListBullet"/>
            </w:pPr>
            <w:r w:rsidRPr="00FF3F40">
              <w:t>Opportunities and suggestions to improve HAB resources</w:t>
            </w:r>
          </w:p>
          <w:p w:rsidR="00677546" w:rsidRPr="00FF3F40" w:rsidP="00352599" w14:paraId="641DBFF1" w14:textId="644F8BDE">
            <w:pPr>
              <w:pStyle w:val="TableListBullet"/>
            </w:pPr>
            <w:r w:rsidRPr="00FF3F40">
              <w:t>Characteristics of the interventions that were implemented and adaptations they made</w:t>
            </w:r>
          </w:p>
          <w:p w:rsidR="00677546" w:rsidRPr="00FF3F40" w:rsidP="00352599" w14:paraId="6459773C" w14:textId="77777777">
            <w:pPr>
              <w:pStyle w:val="TableListBullet"/>
            </w:pPr>
            <w:r w:rsidRPr="00FF3F40">
              <w:t>How the program measured success and evaluated implementation outcomes</w:t>
            </w:r>
          </w:p>
          <w:p w:rsidR="00677546" w:rsidRPr="00FF3F40" w:rsidP="00352599" w14:paraId="57402E35" w14:textId="77777777">
            <w:pPr>
              <w:pStyle w:val="TableListBullet"/>
            </w:pPr>
            <w:r w:rsidRPr="00FF3F40">
              <w:t>Lessons learned from the implementations</w:t>
            </w:r>
          </w:p>
          <w:p w:rsidR="008E3E60" w:rsidRPr="00FF3F40" w:rsidP="00352599" w14:paraId="5439994B" w14:textId="0442655D">
            <w:pPr>
              <w:pStyle w:val="TableListBullet"/>
            </w:pPr>
            <w:r w:rsidRPr="00FF3F40">
              <w:t>Effect of implementing the intervention on the organization, including staff capacity</w:t>
            </w:r>
          </w:p>
        </w:tc>
      </w:tr>
      <w:tr w14:paraId="400E254E" w14:textId="77777777" w:rsidTr="00A70D45">
        <w:tblPrEx>
          <w:tblW w:w="0" w:type="auto"/>
          <w:tblLook w:val="04A0"/>
        </w:tblPrEx>
        <w:trPr>
          <w:trHeight w:val="120"/>
        </w:trPr>
        <w:tc>
          <w:tcPr>
            <w:tcW w:w="0" w:type="dxa"/>
            <w:tcBorders>
              <w:top w:val="single" w:sz="4" w:space="0" w:color="5B6771" w:themeColor="accent3"/>
              <w:left w:val="nil"/>
              <w:bottom w:val="single" w:sz="4" w:space="0" w:color="5B6771" w:themeColor="accent3"/>
              <w:right w:val="single" w:sz="4" w:space="0" w:color="5B6771" w:themeColor="accent3"/>
            </w:tcBorders>
          </w:tcPr>
          <w:p w:rsidR="004626EE" w:rsidP="00D22EF1" w14:paraId="6986D8D7" w14:textId="6825B5AB">
            <w:pPr>
              <w:pStyle w:val="TableTextLeft"/>
            </w:pPr>
            <w:r>
              <w:t xml:space="preserve">In-depth interviews with Part A and B </w:t>
            </w:r>
            <w:r w:rsidR="00E667A3">
              <w:t xml:space="preserve">administrative </w:t>
            </w:r>
            <w:r>
              <w:t>recipients</w:t>
            </w:r>
          </w:p>
        </w:tc>
        <w:tc>
          <w:tcPr>
            <w:tcW w:w="0" w:type="dxa"/>
            <w:tcBorders>
              <w:top w:val="single" w:sz="4" w:space="0" w:color="5B6771" w:themeColor="accent3"/>
              <w:left w:val="single" w:sz="4" w:space="0" w:color="5B6771" w:themeColor="accent3"/>
              <w:bottom w:val="single" w:sz="4" w:space="0" w:color="5B6771" w:themeColor="accent3"/>
              <w:right w:val="nil"/>
            </w:tcBorders>
          </w:tcPr>
          <w:p w:rsidR="004626EE" w:rsidP="00352599" w14:paraId="2C250088" w14:textId="77777777">
            <w:pPr>
              <w:pStyle w:val="TableListBullet"/>
            </w:pPr>
            <w:r>
              <w:t>Recipients’ experience using HAB resources</w:t>
            </w:r>
          </w:p>
          <w:p w:rsidR="004626EE" w:rsidP="00352599" w14:paraId="22921D20" w14:textId="77777777">
            <w:pPr>
              <w:pStyle w:val="TableListBullet"/>
            </w:pPr>
            <w:r>
              <w:t>Recipients’ role in encouraging subrecipients to use the resources</w:t>
            </w:r>
          </w:p>
          <w:p w:rsidR="004626EE" w:rsidRPr="00FF3F40" w:rsidP="00352599" w14:paraId="7539A8D0" w14:textId="5A74258C">
            <w:pPr>
              <w:pStyle w:val="TableListBullet"/>
            </w:pPr>
            <w:r>
              <w:t>What recipients have been told by subrecipients about their experience using HAB resources</w:t>
            </w:r>
          </w:p>
        </w:tc>
      </w:tr>
      <w:tr w14:paraId="62F9D353" w14:textId="77777777" w:rsidTr="00A70D45">
        <w:tblPrEx>
          <w:tblW w:w="0" w:type="auto"/>
          <w:tblLook w:val="04A0"/>
        </w:tblPrEx>
        <w:trPr>
          <w:trHeight w:val="120"/>
        </w:trPr>
        <w:tc>
          <w:tcPr>
            <w:tcW w:w="0" w:type="dxa"/>
            <w:tcBorders>
              <w:top w:val="single" w:sz="4" w:space="0" w:color="5B6771" w:themeColor="accent3"/>
              <w:left w:val="nil"/>
              <w:bottom w:val="single" w:sz="4" w:space="0" w:color="5B6771" w:themeColor="accent3"/>
              <w:right w:val="single" w:sz="4" w:space="0" w:color="5B6771" w:themeColor="accent3"/>
            </w:tcBorders>
          </w:tcPr>
          <w:p w:rsidR="004626EE" w:rsidP="00D22EF1" w14:paraId="412F2AFE" w14:textId="34D14C4B">
            <w:pPr>
              <w:pStyle w:val="TableTextLeft"/>
            </w:pPr>
            <w:r>
              <w:t>In-depth interviews with AETCs</w:t>
            </w:r>
          </w:p>
        </w:tc>
        <w:tc>
          <w:tcPr>
            <w:tcW w:w="0" w:type="dxa"/>
            <w:tcBorders>
              <w:top w:val="single" w:sz="4" w:space="0" w:color="5B6771" w:themeColor="accent3"/>
              <w:left w:val="single" w:sz="4" w:space="0" w:color="5B6771" w:themeColor="accent3"/>
              <w:bottom w:val="single" w:sz="4" w:space="0" w:color="5B6771" w:themeColor="accent3"/>
              <w:right w:val="nil"/>
            </w:tcBorders>
          </w:tcPr>
          <w:p w:rsidR="004626EE" w:rsidP="00352599" w14:paraId="5C68AA51" w14:textId="77777777">
            <w:pPr>
              <w:pStyle w:val="TableListBullet"/>
            </w:pPr>
            <w:r>
              <w:t>AETCs’ access and use of HAB resources</w:t>
            </w:r>
          </w:p>
          <w:p w:rsidR="004626EE" w:rsidP="00352599" w14:paraId="365AD3CC" w14:textId="77777777">
            <w:pPr>
              <w:pStyle w:val="TableListBullet"/>
            </w:pPr>
            <w:r>
              <w:t>Role the regional AETCs play in encouraging RWHAP providers in their region to use HAB resources—both the ones they develop, and others disseminated by HAB</w:t>
            </w:r>
          </w:p>
          <w:p w:rsidR="004626EE" w:rsidRPr="00FF3F40" w:rsidP="00352599" w14:paraId="4991370D" w14:textId="557C01F0">
            <w:pPr>
              <w:pStyle w:val="TableListBullet"/>
            </w:pPr>
            <w:r>
              <w:t xml:space="preserve">What they have observed or been told about providers’ experience using HAB resources </w:t>
            </w:r>
          </w:p>
        </w:tc>
      </w:tr>
      <w:tr w14:paraId="43C163D2" w14:textId="77777777" w:rsidTr="0031573B">
        <w:tblPrEx>
          <w:tblW w:w="0" w:type="auto"/>
          <w:tblLook w:val="04A0"/>
        </w:tblPrEx>
        <w:trPr>
          <w:trHeight w:val="120"/>
        </w:trPr>
        <w:tc>
          <w:tcPr>
            <w:tcW w:w="9360" w:type="dxa"/>
            <w:gridSpan w:val="2"/>
            <w:tcBorders>
              <w:top w:val="nil"/>
              <w:bottom w:val="nil"/>
            </w:tcBorders>
            <w:shd w:val="clear" w:color="auto" w:fill="0B2949"/>
          </w:tcPr>
          <w:p w:rsidR="004626EE" w:rsidRPr="00FF3F40" w:rsidP="004626EE" w14:paraId="5BED9030" w14:textId="5B29EDAE">
            <w:pPr>
              <w:pStyle w:val="TableRowHead"/>
            </w:pPr>
            <w:r w:rsidRPr="00FF3F40">
              <w:t>Data sources not requiring OMB approval</w:t>
            </w:r>
          </w:p>
        </w:tc>
      </w:tr>
      <w:tr w14:paraId="67373EC6" w14:textId="77777777" w:rsidTr="0031573B">
        <w:tblPrEx>
          <w:tblW w:w="0" w:type="auto"/>
          <w:tblLook w:val="04A0"/>
        </w:tblPrEx>
        <w:trPr>
          <w:trHeight w:val="120"/>
        </w:trPr>
        <w:tc>
          <w:tcPr>
            <w:tcW w:w="1440" w:type="dxa"/>
            <w:tcBorders>
              <w:top w:val="nil"/>
            </w:tcBorders>
          </w:tcPr>
          <w:p w:rsidR="004626EE" w:rsidRPr="00FF3F40" w:rsidP="004626EE" w14:paraId="7BF326EF" w14:textId="240B03B0">
            <w:pPr>
              <w:pStyle w:val="TableTextLeft"/>
            </w:pPr>
            <w:r w:rsidRPr="00FF3F40">
              <w:t>RSR</w:t>
            </w:r>
            <w:r w:rsidR="006E5466">
              <w:t xml:space="preserve"> and Dental Services Report (DSR)</w:t>
            </w:r>
            <w:r w:rsidRPr="00FF3F40">
              <w:t xml:space="preserve"> file</w:t>
            </w:r>
            <w:r w:rsidR="006E5466">
              <w:t>s</w:t>
            </w:r>
          </w:p>
        </w:tc>
        <w:tc>
          <w:tcPr>
            <w:tcW w:w="7920" w:type="dxa"/>
            <w:tcBorders>
              <w:top w:val="nil"/>
            </w:tcBorders>
          </w:tcPr>
          <w:p w:rsidR="004626EE" w:rsidRPr="00FF3F40" w:rsidP="00352599" w14:paraId="7E65A48D" w14:textId="77777777">
            <w:pPr>
              <w:pStyle w:val="TableListBullet"/>
            </w:pPr>
            <w:r w:rsidRPr="00FF3F40">
              <w:t>Provider characteristics data from this file will be linked to survey data to analyze types of providers using and not using resources</w:t>
            </w:r>
          </w:p>
          <w:p w:rsidR="004626EE" w:rsidRPr="00FF3F40" w:rsidP="00352599" w14:paraId="3A298DF2" w14:textId="01360EAA">
            <w:pPr>
              <w:pStyle w:val="TableListBullet"/>
            </w:pPr>
            <w:r w:rsidRPr="00FF3F40">
              <w:t>Use of these data in the linked survey data analysis might help identify types of providers that could benefit from a stronger focus</w:t>
            </w:r>
          </w:p>
        </w:tc>
      </w:tr>
      <w:tr w14:paraId="40BC8301" w14:textId="77777777" w:rsidTr="0031573B">
        <w:tblPrEx>
          <w:tblW w:w="0" w:type="auto"/>
          <w:tblLook w:val="04A0"/>
        </w:tblPrEx>
        <w:trPr>
          <w:trHeight w:val="120"/>
        </w:trPr>
        <w:tc>
          <w:tcPr>
            <w:tcW w:w="1440" w:type="dxa"/>
            <w:hideMark/>
          </w:tcPr>
          <w:p w:rsidR="004626EE" w:rsidRPr="00FF3F40" w:rsidP="004626EE" w14:paraId="57093B67" w14:textId="18ECF3C6">
            <w:pPr>
              <w:pStyle w:val="TableTextLeft"/>
            </w:pPr>
            <w:r w:rsidRPr="00FF3F40">
              <w:t>Google Analytics data</w:t>
            </w:r>
          </w:p>
        </w:tc>
        <w:tc>
          <w:tcPr>
            <w:tcW w:w="7920" w:type="dxa"/>
            <w:hideMark/>
          </w:tcPr>
          <w:p w:rsidR="004626EE" w:rsidRPr="00FF3F40" w:rsidP="00352599" w14:paraId="1838B291" w14:textId="45A985F1">
            <w:pPr>
              <w:pStyle w:val="TableListBullet"/>
            </w:pPr>
            <w:r w:rsidRPr="00FF3F40">
              <w:t xml:space="preserve">Key indicators on use of HAB resources, such as page views, downloads, bookmarks, paths of engagement, for resources on the </w:t>
            </w:r>
            <w:hyperlink r:id="rId12" w:history="1">
              <w:r w:rsidRPr="00FF3F40">
                <w:rPr>
                  <w:rStyle w:val="Hyperlink"/>
                  <w:rFonts w:cstheme="majorHAnsi"/>
                </w:rPr>
                <w:t>TargetHIV website</w:t>
              </w:r>
            </w:hyperlink>
            <w:r w:rsidRPr="00FF3F40">
              <w:t xml:space="preserve"> and the </w:t>
            </w:r>
            <w:hyperlink r:id="rId13" w:anchor=":~:text=Since%202010%2C%20client-level%20RSR%20data%20have%20been%20used,and%20treatment%20for%20people%20with%20HIV.%20Slide%20Decks" w:history="1">
              <w:r w:rsidRPr="00FF3F40">
                <w:rPr>
                  <w:rStyle w:val="Hyperlink"/>
                  <w:rFonts w:cstheme="majorHAnsi"/>
                </w:rPr>
                <w:t>Health Resources and Services Administration website</w:t>
              </w:r>
            </w:hyperlink>
            <w:r w:rsidRPr="00FF3F40">
              <w:t xml:space="preserve"> disseminating reports and slide decks from the RSR</w:t>
            </w:r>
          </w:p>
          <w:p w:rsidR="004626EE" w:rsidRPr="00FF3F40" w:rsidP="00352599" w14:paraId="5227177A" w14:textId="77777777">
            <w:pPr>
              <w:pStyle w:val="TableListBullet"/>
            </w:pPr>
            <w:r w:rsidRPr="00FF3F40">
              <w:t>Use of these data will help identify strengths and areas of opportunity for the use of these websites to strengthen dissemination</w:t>
            </w:r>
          </w:p>
        </w:tc>
      </w:tr>
      <w:tr w14:paraId="67339AF3" w14:textId="77777777" w:rsidTr="0031573B">
        <w:tblPrEx>
          <w:tblW w:w="0" w:type="auto"/>
          <w:tblLook w:val="04A0"/>
        </w:tblPrEx>
        <w:trPr>
          <w:trHeight w:val="120"/>
        </w:trPr>
        <w:tc>
          <w:tcPr>
            <w:tcW w:w="1440" w:type="dxa"/>
            <w:hideMark/>
          </w:tcPr>
          <w:p w:rsidR="004626EE" w:rsidRPr="00FF3F40" w:rsidP="004626EE" w14:paraId="1AFA957B" w14:textId="4039225C">
            <w:pPr>
              <w:pStyle w:val="TableTextLeft"/>
            </w:pPr>
            <w:r w:rsidRPr="00FF3F40">
              <w:t xml:space="preserve">Other </w:t>
            </w:r>
            <w:r w:rsidR="00423706">
              <w:t xml:space="preserve">publicly available </w:t>
            </w:r>
            <w:r w:rsidRPr="00FF3F40">
              <w:t xml:space="preserve">data </w:t>
            </w:r>
          </w:p>
        </w:tc>
        <w:tc>
          <w:tcPr>
            <w:tcW w:w="7920" w:type="dxa"/>
            <w:hideMark/>
          </w:tcPr>
          <w:p w:rsidR="004626EE" w:rsidRPr="00FF3F40" w:rsidP="00352599" w14:paraId="1A455A8A" w14:textId="61937D79">
            <w:pPr>
              <w:pStyle w:val="TableListBullet"/>
            </w:pPr>
            <w:r w:rsidRPr="00FF3F40">
              <w:t xml:space="preserve">Community characteristics data from </w:t>
            </w:r>
            <w:r w:rsidR="00423706">
              <w:t>publicly available</w:t>
            </w:r>
            <w:r w:rsidRPr="00FF3F40">
              <w:t xml:space="preserve"> files combined with the survey data could help to understand whether providers in certain types of communities are using and not using resources</w:t>
            </w:r>
          </w:p>
          <w:p w:rsidR="004626EE" w:rsidRPr="00FF3F40" w:rsidP="00352599" w14:paraId="71AF2537" w14:textId="69F48E94">
            <w:pPr>
              <w:pStyle w:val="TableListBullet"/>
            </w:pPr>
            <w:r w:rsidRPr="00FF3F40">
              <w:t>Use of these data together with the linked survey data analysis could help identify which types of communities could benefit from stronger focus</w:t>
            </w:r>
          </w:p>
        </w:tc>
      </w:tr>
      <w:tr w14:paraId="212C53A3" w14:textId="77777777" w:rsidTr="0031573B">
        <w:tblPrEx>
          <w:tblW w:w="0" w:type="auto"/>
          <w:tblLook w:val="04A0"/>
        </w:tblPrEx>
        <w:trPr>
          <w:trHeight w:val="120"/>
        </w:trPr>
        <w:tc>
          <w:tcPr>
            <w:tcW w:w="1440" w:type="dxa"/>
          </w:tcPr>
          <w:p w:rsidR="00423706" w:rsidRPr="00FF3F40" w:rsidP="004626EE" w14:paraId="5778F4A7" w14:textId="7BA90CB7">
            <w:pPr>
              <w:pStyle w:val="TableTextLeft"/>
            </w:pPr>
            <w:r>
              <w:t>Reports internal to HAB</w:t>
            </w:r>
          </w:p>
        </w:tc>
        <w:tc>
          <w:tcPr>
            <w:tcW w:w="7920" w:type="dxa"/>
          </w:tcPr>
          <w:p w:rsidR="00423706" w:rsidP="00352599" w14:paraId="277325F5" w14:textId="77777777">
            <w:pPr>
              <w:pStyle w:val="TableListBullet"/>
            </w:pPr>
            <w:r>
              <w:t>Recipient Satisfaction Data report</w:t>
            </w:r>
          </w:p>
          <w:p w:rsidR="00423706" w:rsidP="00352599" w14:paraId="756EA663" w14:textId="77777777">
            <w:pPr>
              <w:pStyle w:val="TableListBullet"/>
            </w:pPr>
            <w:r>
              <w:t>National Evaluation Contractor for AETCs report</w:t>
            </w:r>
          </w:p>
          <w:p w:rsidR="00423706" w:rsidRPr="00FF3F40" w:rsidP="00352599" w14:paraId="564E9EBB" w14:textId="71CC423D">
            <w:pPr>
              <w:pStyle w:val="TableListBullet"/>
            </w:pPr>
            <w:r>
              <w:t xml:space="preserve">National Clinician Consultation Center call volume </w:t>
            </w:r>
          </w:p>
        </w:tc>
      </w:tr>
    </w:tbl>
    <w:p w:rsidR="00CD2960" w:rsidRPr="00FF3F40" w:rsidP="0031573B" w14:paraId="74E9EAAF" w14:textId="680AB4FC">
      <w:pPr>
        <w:pStyle w:val="ExhibitFootnote"/>
        <w:rPr>
          <w:sz w:val="24"/>
        </w:rPr>
      </w:pPr>
      <w:r w:rsidRPr="00FF3F40">
        <w:t>HAB = HIV/AIDS Bureau; OMB = Office of Management and Budget; RSR = RWHAP Services Report file; RWHAP = Ryan White HIV/AIDS Program.</w:t>
      </w:r>
    </w:p>
    <w:bookmarkEnd w:id="6"/>
    <w:bookmarkEnd w:id="7"/>
    <w:p w:rsidR="002C3E1E" w:rsidRPr="00FF3F40" w:rsidP="002C3E1E" w14:paraId="0508AA3B" w14:textId="6FBD73AE">
      <w:pPr>
        <w:pStyle w:val="H4"/>
        <w:numPr>
          <w:ilvl w:val="0"/>
          <w:numId w:val="34"/>
        </w:numPr>
        <w:ind w:left="450" w:hanging="450"/>
      </w:pPr>
      <w:r w:rsidRPr="00FF3F40">
        <w:t>Data collection activities requiring OMB approval</w:t>
      </w:r>
    </w:p>
    <w:p w:rsidR="00EA2D36" w:rsidRPr="00FF3F40" w:rsidP="0035158E" w14:paraId="4A9A0DF7" w14:textId="405ADC95">
      <w:pPr>
        <w:pStyle w:val="ParagraphContinued"/>
      </w:pPr>
      <w:r>
        <w:rPr>
          <w:b/>
        </w:rPr>
        <w:t xml:space="preserve">National Survey of </w:t>
      </w:r>
      <w:r w:rsidR="00467ADD">
        <w:rPr>
          <w:b/>
        </w:rPr>
        <w:t>RUDI</w:t>
      </w:r>
      <w:r w:rsidR="00A70D45">
        <w:rPr>
          <w:b/>
        </w:rPr>
        <w:t xml:space="preserve"> </w:t>
      </w:r>
      <w:r w:rsidR="00BB74FC">
        <w:rPr>
          <w:b/>
        </w:rPr>
        <w:t>Provider</w:t>
      </w:r>
      <w:r>
        <w:rPr>
          <w:b/>
        </w:rPr>
        <w:t xml:space="preserve">s </w:t>
      </w:r>
      <w:r w:rsidR="00CB59AC">
        <w:rPr>
          <w:b/>
        </w:rPr>
        <w:t xml:space="preserve">and Subrecipients </w:t>
      </w:r>
      <w:r>
        <w:rPr>
          <w:b/>
        </w:rPr>
        <w:t>(RUDI-P</w:t>
      </w:r>
      <w:r w:rsidR="00CB59AC">
        <w:rPr>
          <w:b/>
        </w:rPr>
        <w:t>/S</w:t>
      </w:r>
      <w:r>
        <w:rPr>
          <w:b/>
        </w:rPr>
        <w:t>)</w:t>
      </w:r>
      <w:r w:rsidRPr="00FF3F40" w:rsidR="00263FF3">
        <w:rPr>
          <w:b/>
        </w:rPr>
        <w:t xml:space="preserve">. </w:t>
      </w:r>
      <w:r w:rsidRPr="00FF3F40" w:rsidR="00D36F8A">
        <w:t xml:space="preserve">HAB will conduct a web-based survey of </w:t>
      </w:r>
      <w:r w:rsidRPr="00FF3F40" w:rsidR="00136FFB">
        <w:t xml:space="preserve">all </w:t>
      </w:r>
      <w:r w:rsidRPr="00FF3F40" w:rsidR="00D36F8A">
        <w:t>RWHAP providers</w:t>
      </w:r>
      <w:r w:rsidR="00CB59AC">
        <w:t xml:space="preserve"> and subrecipients</w:t>
      </w:r>
      <w:r w:rsidRPr="00FF3F40" w:rsidR="00195023">
        <w:t>—</w:t>
      </w:r>
      <w:r w:rsidRPr="00FF3F40" w:rsidR="005C4528">
        <w:t xml:space="preserve"> </w:t>
      </w:r>
      <w:r w:rsidRPr="00FF3F40" w:rsidR="00136FFB">
        <w:t>either directly or indirectly funded by the program</w:t>
      </w:r>
      <w:r w:rsidR="008648C1">
        <w:t xml:space="preserve">. While the word “providers” includes subrecipients in use within project planning and analysis, we include the word subrecipients in the survey title because we have learned that some non-medical HIV service organizations may not recognize themselves as providers. The survey will </w:t>
      </w:r>
      <w:r w:rsidRPr="00FF3F40" w:rsidR="00136FFB">
        <w:t xml:space="preserve">collect </w:t>
      </w:r>
      <w:r w:rsidRPr="00FF3F40" w:rsidR="005C4528">
        <w:t xml:space="preserve">information on </w:t>
      </w:r>
      <w:r w:rsidRPr="00FF3F40">
        <w:t>the following:</w:t>
      </w:r>
    </w:p>
    <w:p w:rsidR="00EA2D36" w:rsidRPr="00FF3F40" w:rsidP="00352599" w14:paraId="0C9F0498" w14:textId="7C74CA95">
      <w:pPr>
        <w:pStyle w:val="ListBullet"/>
      </w:pPr>
      <w:r w:rsidRPr="00FF3F40">
        <w:t>T</w:t>
      </w:r>
      <w:r w:rsidRPr="00FF3F40" w:rsidR="00136FFB">
        <w:t xml:space="preserve">he extent </w:t>
      </w:r>
      <w:r w:rsidRPr="00FF3F40" w:rsidR="00195023">
        <w:t xml:space="preserve">to which RWHAP providers access and </w:t>
      </w:r>
      <w:r w:rsidRPr="00FF3F40" w:rsidR="00136FFB">
        <w:t>use HAB and non-HAB resources</w:t>
      </w:r>
      <w:r w:rsidRPr="00FF3F40" w:rsidR="00195023">
        <w:t xml:space="preserve"> to improve the delivery of care</w:t>
      </w:r>
    </w:p>
    <w:p w:rsidR="00EA2D36" w:rsidRPr="00FF3F40" w:rsidP="00352599" w14:paraId="4F75FCF1" w14:textId="5D737761">
      <w:pPr>
        <w:pStyle w:val="ListBullet"/>
      </w:pPr>
      <w:r w:rsidRPr="00FF3F40">
        <w:t>T</w:t>
      </w:r>
      <w:r w:rsidRPr="00FF3F40" w:rsidR="00136FFB">
        <w:t xml:space="preserve">he </w:t>
      </w:r>
      <w:r w:rsidRPr="00FF3F40" w:rsidR="00195023">
        <w:t>specific channels and pathways that RWHAP providers</w:t>
      </w:r>
      <w:r w:rsidRPr="00CB59AC" w:rsidR="00CB59AC">
        <w:t xml:space="preserve"> </w:t>
      </w:r>
      <w:r w:rsidRPr="00FF3F40" w:rsidR="00195023">
        <w:t xml:space="preserve">use to access and download </w:t>
      </w:r>
      <w:r w:rsidRPr="00FF3F40" w:rsidR="00136FFB">
        <w:t>HAB and non-HAB resources</w:t>
      </w:r>
      <w:r w:rsidRPr="00FF3F40" w:rsidR="00195023">
        <w:t xml:space="preserve"> and products</w:t>
      </w:r>
    </w:p>
    <w:p w:rsidR="00EA2D36" w:rsidRPr="00FF3F40" w:rsidP="00352599" w14:paraId="6F52E4D4" w14:textId="31B7A067">
      <w:pPr>
        <w:pStyle w:val="ListBullet"/>
      </w:pPr>
      <w:r w:rsidRPr="00FF3F40">
        <w:t>T</w:t>
      </w:r>
      <w:r w:rsidRPr="00FF3F40" w:rsidR="005C4528">
        <w:t xml:space="preserve">he </w:t>
      </w:r>
      <w:r w:rsidRPr="00FF3F40" w:rsidR="00195023">
        <w:t xml:space="preserve">type and </w:t>
      </w:r>
      <w:r w:rsidRPr="00FF3F40" w:rsidR="00E70BC8">
        <w:t xml:space="preserve">characteristics of </w:t>
      </w:r>
      <w:r w:rsidRPr="00FF3F40" w:rsidR="00195023">
        <w:t xml:space="preserve">the </w:t>
      </w:r>
      <w:r w:rsidRPr="00FF3F40" w:rsidR="00E70BC8">
        <w:t>intervention</w:t>
      </w:r>
      <w:r w:rsidRPr="00FF3F40" w:rsidR="00195023">
        <w:t xml:space="preserve"> resources RWHAP providers</w:t>
      </w:r>
      <w:r w:rsidRPr="00FF3F40" w:rsidR="00E70BC8">
        <w:t xml:space="preserve"> </w:t>
      </w:r>
      <w:r w:rsidRPr="00FF3F40" w:rsidR="00195023">
        <w:t>use to improve the delivery of care and treatment</w:t>
      </w:r>
    </w:p>
    <w:p w:rsidR="00EA2D36" w:rsidRPr="00FF3F40" w:rsidP="00352599" w14:paraId="55DF0B04" w14:textId="0CBC9D1F">
      <w:pPr>
        <w:pStyle w:val="ListBullet"/>
      </w:pPr>
      <w:r w:rsidRPr="00FF3F40">
        <w:t>T</w:t>
      </w:r>
      <w:r w:rsidRPr="00FF3F40" w:rsidR="005C4528">
        <w:t>he</w:t>
      </w:r>
      <w:r w:rsidRPr="00FF3F40" w:rsidR="00C9307B">
        <w:t xml:space="preserve"> contribution </w:t>
      </w:r>
      <w:r w:rsidRPr="00FF3F40" w:rsidR="00195023">
        <w:t xml:space="preserve">of the </w:t>
      </w:r>
      <w:r w:rsidRPr="00FF3F40" w:rsidR="000B3CB1">
        <w:t xml:space="preserve">HAB and non-HAB resources </w:t>
      </w:r>
      <w:r w:rsidRPr="00FF3F40" w:rsidR="00195023">
        <w:t xml:space="preserve">and products </w:t>
      </w:r>
      <w:r w:rsidRPr="00FF3F40" w:rsidR="005C4528">
        <w:t>to implementation success</w:t>
      </w:r>
    </w:p>
    <w:p w:rsidR="00EA2D36" w:rsidRPr="00FF3F40" w:rsidP="00352599" w14:paraId="4C4AA51F" w14:textId="28E5B9A8">
      <w:pPr>
        <w:pStyle w:val="ListBullet"/>
      </w:pPr>
      <w:r w:rsidRPr="00FF3F40">
        <w:t>O</w:t>
      </w:r>
      <w:r w:rsidRPr="00FF3F40" w:rsidR="00C9307B">
        <w:t xml:space="preserve">pportunities to strengthen the impact of </w:t>
      </w:r>
      <w:r w:rsidRPr="00FF3F40" w:rsidR="000B3CB1">
        <w:t>HAB</w:t>
      </w:r>
      <w:r w:rsidRPr="00FF3F40" w:rsidR="008E5755">
        <w:t>’s resources and products, as well as the way in which HAB disseminates them, on care delivery and health outcomes</w:t>
      </w:r>
    </w:p>
    <w:p w:rsidR="00FC380A" w:rsidP="00D22EF1" w14:paraId="17C60B68" w14:textId="728D9C5F">
      <w:pPr>
        <w:pStyle w:val="ParagraphContinued"/>
      </w:pPr>
      <w:r w:rsidRPr="00FF3F40">
        <w:t xml:space="preserve">The </w:t>
      </w:r>
      <w:r w:rsidR="00562928">
        <w:t>RUDI</w:t>
      </w:r>
      <w:r w:rsidR="00A16778">
        <w:t>-</w:t>
      </w:r>
      <w:r w:rsidR="00A70D45">
        <w:t>P</w:t>
      </w:r>
      <w:r w:rsidR="00CF40A3">
        <w:t>/S</w:t>
      </w:r>
      <w:r w:rsidR="00A16778">
        <w:t xml:space="preserve"> s</w:t>
      </w:r>
      <w:r w:rsidR="00562928">
        <w:t>urvey</w:t>
      </w:r>
      <w:r w:rsidRPr="00FF3F40" w:rsidR="00C9307B">
        <w:t xml:space="preserve"> </w:t>
      </w:r>
      <w:r w:rsidRPr="00FF3F40">
        <w:t>will be a census, meaning that all providers</w:t>
      </w:r>
      <w:r w:rsidR="00CF40A3">
        <w:t xml:space="preserve"> </w:t>
      </w:r>
      <w:r w:rsidRPr="00FF3F40" w:rsidR="008E5755">
        <w:t xml:space="preserve">receiving RWHAP funds either directly or indirectly </w:t>
      </w:r>
      <w:r w:rsidRPr="00FF3F40">
        <w:t xml:space="preserve">will receive </w:t>
      </w:r>
      <w:r w:rsidRPr="00FF3F40" w:rsidR="00514247">
        <w:t xml:space="preserve">an </w:t>
      </w:r>
      <w:r w:rsidRPr="00FF3F40">
        <w:t xml:space="preserve">invitation to participate. </w:t>
      </w:r>
      <w:r w:rsidR="0038091E">
        <w:t>A census is preferred as s</w:t>
      </w:r>
      <w:r w:rsidRPr="0038091E" w:rsidR="0038091E">
        <w:t>ampling may result in findings that are representative of a subset of RWHAP providers and subrecipients</w:t>
      </w:r>
      <w:r w:rsidR="0038091E">
        <w:t xml:space="preserve">. A </w:t>
      </w:r>
      <w:r w:rsidRPr="0038091E" w:rsidR="0038091E">
        <w:t xml:space="preserve">census will increase our chances of obtaining the widest range of experiences, as possible. </w:t>
      </w:r>
      <w:r w:rsidRPr="00FF3F40" w:rsidR="00704B14">
        <w:t xml:space="preserve">We </w:t>
      </w:r>
      <w:r w:rsidRPr="00FF3F40" w:rsidR="008E5755">
        <w:t xml:space="preserve">plan to send survey invitations to </w:t>
      </w:r>
      <w:r w:rsidR="00CF40A3">
        <w:t xml:space="preserve">approximately </w:t>
      </w:r>
      <w:r w:rsidRPr="00FF3F40" w:rsidR="00841D39">
        <w:t>2,13</w:t>
      </w:r>
      <w:r w:rsidRPr="00FF3F40" w:rsidR="008E5755">
        <w:t>0</w:t>
      </w:r>
      <w:r w:rsidRPr="00FF3F40" w:rsidR="00704B14">
        <w:t xml:space="preserve"> </w:t>
      </w:r>
      <w:r w:rsidRPr="00FF3F40" w:rsidR="008E5755">
        <w:t xml:space="preserve">providers that received funding under the </w:t>
      </w:r>
      <w:r w:rsidRPr="00FF3F40" w:rsidR="00704B14">
        <w:t>RWHAP</w:t>
      </w:r>
      <w:r w:rsidRPr="00FF3F40" w:rsidR="008E5755">
        <w:t xml:space="preserve"> in 2020 (the latest year for which we have contact information)</w:t>
      </w:r>
      <w:r w:rsidRPr="00FF3F40" w:rsidR="00EA2D36">
        <w:t>,</w:t>
      </w:r>
      <w:r w:rsidRPr="00FF3F40" w:rsidR="008E5755">
        <w:t xml:space="preserve"> </w:t>
      </w:r>
      <w:r w:rsidRPr="00FF3F40" w:rsidR="00704B14">
        <w:t xml:space="preserve">and </w:t>
      </w:r>
      <w:r w:rsidRPr="00FF3F40" w:rsidR="001D7D00">
        <w:t xml:space="preserve">we anticipate </w:t>
      </w:r>
      <w:r w:rsidRPr="00FF3F40" w:rsidR="00BD5229">
        <w:t>a</w:t>
      </w:r>
      <w:r w:rsidRPr="00FF3F40" w:rsidR="001D7D00">
        <w:t xml:space="preserve"> response rate no lower than 50 percent</w:t>
      </w:r>
      <w:r w:rsidRPr="00FF3F40" w:rsidR="00A318AE">
        <w:t xml:space="preserve"> </w:t>
      </w:r>
      <w:r w:rsidRPr="00FF3F40" w:rsidR="00A318AE">
        <w:t>(n</w:t>
      </w:r>
      <w:r w:rsidRPr="00FF3F40" w:rsidR="00BD5229">
        <w:t xml:space="preserve"> </w:t>
      </w:r>
      <w:r w:rsidRPr="00FF3F40" w:rsidR="00A318AE">
        <w:t>=</w:t>
      </w:r>
      <w:r w:rsidRPr="00FF3F40" w:rsidR="00BD5229">
        <w:t xml:space="preserve"> </w:t>
      </w:r>
      <w:r w:rsidRPr="00FF3F40" w:rsidR="00A318AE">
        <w:t>1,06</w:t>
      </w:r>
      <w:r w:rsidRPr="00FF3F40" w:rsidR="00893665">
        <w:t>5</w:t>
      </w:r>
      <w:r w:rsidRPr="00FF3F40" w:rsidR="00A318AE">
        <w:t>)</w:t>
      </w:r>
      <w:r w:rsidRPr="00FF3F40" w:rsidR="001D7D00">
        <w:t xml:space="preserve">. </w:t>
      </w:r>
      <w:r w:rsidRPr="00FF3F40" w:rsidR="00893665">
        <w:t>We expect t</w:t>
      </w:r>
      <w:r w:rsidRPr="00FF3F40" w:rsidR="00DB56AC">
        <w:t xml:space="preserve">he </w:t>
      </w:r>
      <w:r w:rsidRPr="00FF3F40" w:rsidR="00893665">
        <w:t xml:space="preserve">web-based </w:t>
      </w:r>
      <w:r w:rsidRPr="00FF3F40" w:rsidR="00DB56AC">
        <w:t xml:space="preserve">survey will take </w:t>
      </w:r>
      <w:r w:rsidR="00CF40A3">
        <w:t xml:space="preserve">15-20 </w:t>
      </w:r>
      <w:r w:rsidRPr="00FF3F40" w:rsidR="00FD00D2">
        <w:t xml:space="preserve">minutes to complete. </w:t>
      </w:r>
      <w:r w:rsidRPr="00FF3F40" w:rsidR="00893665">
        <w:t>In addition to answering several of the study’s key research questions, we will also use the f</w:t>
      </w:r>
      <w:r w:rsidRPr="00FF3F40" w:rsidR="00FD00D2">
        <w:t xml:space="preserve">indings from the survey </w:t>
      </w:r>
      <w:r w:rsidRPr="00FF3F40" w:rsidR="00893665">
        <w:t xml:space="preserve">(together with administrative data from the RWHAP Services </w:t>
      </w:r>
      <w:r w:rsidR="006E5466">
        <w:t xml:space="preserve">and Dental Services </w:t>
      </w:r>
      <w:r w:rsidRPr="00FF3F40" w:rsidR="00893665">
        <w:t>Reports [RSRs</w:t>
      </w:r>
      <w:r w:rsidR="006E5466">
        <w:t xml:space="preserve"> and DSRs</w:t>
      </w:r>
      <w:r w:rsidRPr="00FF3F40" w:rsidR="00893665">
        <w:t xml:space="preserve">]) </w:t>
      </w:r>
      <w:r w:rsidRPr="00FF3F40" w:rsidR="00FD00D2">
        <w:t xml:space="preserve">to </w:t>
      </w:r>
      <w:r w:rsidRPr="00FF3F40" w:rsidR="00893665">
        <w:t xml:space="preserve">select </w:t>
      </w:r>
      <w:r w:rsidRPr="00FF3F40" w:rsidR="00E72763">
        <w:t xml:space="preserve">the </w:t>
      </w:r>
      <w:r w:rsidRPr="00FF3F40" w:rsidR="00FD00D2">
        <w:t>RWHAP provider</w:t>
      </w:r>
      <w:r w:rsidRPr="00FF3F40" w:rsidR="005271D9">
        <w:t xml:space="preserve"> sites for participation in virtual site visits. </w:t>
      </w:r>
    </w:p>
    <w:p w:rsidR="00C57E7B" w:rsidP="00A70D45" w14:paraId="6A6FD48C" w14:textId="5BD69D76">
      <w:pPr>
        <w:pStyle w:val="ParagraphContinued"/>
      </w:pPr>
      <w:r>
        <w:t>T</w:t>
      </w:r>
      <w:r w:rsidRPr="00FF3F40">
        <w:t xml:space="preserve">he </w:t>
      </w:r>
      <w:r>
        <w:t>draft RUDI</w:t>
      </w:r>
      <w:r w:rsidR="00A16778">
        <w:t>-</w:t>
      </w:r>
      <w:r w:rsidR="00A70D45">
        <w:t>P</w:t>
      </w:r>
      <w:r w:rsidR="00604E96">
        <w:t>/S</w:t>
      </w:r>
      <w:r>
        <w:t xml:space="preserve"> </w:t>
      </w:r>
      <w:r w:rsidR="00A16778">
        <w:t>s</w:t>
      </w:r>
      <w:r w:rsidRPr="00FF3F40">
        <w:t>urvey instrument</w:t>
      </w:r>
      <w:r>
        <w:t xml:space="preserve"> </w:t>
      </w:r>
      <w:r w:rsidR="00CF24C2">
        <w:t>is</w:t>
      </w:r>
      <w:r>
        <w:t xml:space="preserve"> provided</w:t>
      </w:r>
      <w:r w:rsidRPr="00FF3F40">
        <w:t xml:space="preserve"> in Appendix A. </w:t>
      </w:r>
    </w:p>
    <w:p w:rsidR="00566D7A" w:rsidP="00566D7A" w14:paraId="54ED4316" w14:textId="1B9E9634">
      <w:pPr>
        <w:pStyle w:val="ParagraphContinued"/>
        <w:rPr>
          <w:rFonts w:ascii="Calibri" w:hAnsi="Calibri" w:cs="Calibri"/>
        </w:rPr>
      </w:pPr>
      <w:r>
        <w:rPr>
          <w:b/>
        </w:rPr>
        <w:t xml:space="preserve">National Survey of </w:t>
      </w:r>
      <w:r w:rsidR="00BB74FC">
        <w:rPr>
          <w:b/>
        </w:rPr>
        <w:t>RUDI</w:t>
      </w:r>
      <w:r w:rsidR="00A70D45">
        <w:rPr>
          <w:b/>
        </w:rPr>
        <w:t xml:space="preserve"> </w:t>
      </w:r>
      <w:r>
        <w:rPr>
          <w:b/>
        </w:rPr>
        <w:t xml:space="preserve">Part A and B </w:t>
      </w:r>
      <w:r w:rsidR="00604E96">
        <w:rPr>
          <w:b/>
        </w:rPr>
        <w:t xml:space="preserve">Administrative </w:t>
      </w:r>
      <w:r w:rsidR="00BB74FC">
        <w:rPr>
          <w:b/>
        </w:rPr>
        <w:t>Recipient</w:t>
      </w:r>
      <w:r>
        <w:rPr>
          <w:b/>
        </w:rPr>
        <w:t>s</w:t>
      </w:r>
      <w:r>
        <w:rPr>
          <w:b/>
        </w:rPr>
        <w:t xml:space="preserve"> (RUDI-R)</w:t>
      </w:r>
      <w:r w:rsidRPr="00FF3F40" w:rsidR="00BB74FC">
        <w:rPr>
          <w:b/>
        </w:rPr>
        <w:t xml:space="preserve">. </w:t>
      </w:r>
      <w:r>
        <w:t xml:space="preserve">HAB will conduct a web-based survey of all Part A </w:t>
      </w:r>
      <w:r w:rsidR="007E3626">
        <w:t>and</w:t>
      </w:r>
      <w:r>
        <w:t xml:space="preserve"> B </w:t>
      </w:r>
      <w:r w:rsidR="00604E96">
        <w:t xml:space="preserve">administrative </w:t>
      </w:r>
      <w:r>
        <w:t>recipients funded by the RWHAP. The primary purpose of the RUDI</w:t>
      </w:r>
      <w:r>
        <w:t>-</w:t>
      </w:r>
      <w:r>
        <w:t>R</w:t>
      </w:r>
      <w:r>
        <w:t xml:space="preserve"> s</w:t>
      </w:r>
      <w:r>
        <w:t>urvey is to obtain information on (1) the extent to which RWHAP recipients access and use of HAB and non-HAB intervention resources, (2) the channels they use to access them, (3) the contribution they make to internal knowledge, (4)</w:t>
      </w:r>
      <w:r w:rsidR="008648C1">
        <w:t xml:space="preserve"> the extent to which they are used to support recipients who are implementing system-level initiatives, and (5)</w:t>
      </w:r>
      <w:r>
        <w:t xml:space="preserve"> the extent to which they are used to support providers as </w:t>
      </w:r>
      <w:r w:rsidR="008648C1">
        <w:t>providers</w:t>
      </w:r>
      <w:r>
        <w:t xml:space="preserve"> implement interventions for clients living with HIV, and (</w:t>
      </w:r>
      <w:r w:rsidR="008648C1">
        <w:t>6</w:t>
      </w:r>
      <w:r>
        <w:t xml:space="preserve">) opportunities to strengthen the effectiveness of HAB’s dissemination activities. We will field the web-based survey with a census of RWHAP Part A and B </w:t>
      </w:r>
      <w:r w:rsidR="00604E96">
        <w:t>administrative</w:t>
      </w:r>
      <w:r w:rsidR="00BA4ECC">
        <w:t xml:space="preserve"> </w:t>
      </w:r>
      <w:r>
        <w:t xml:space="preserve">recipients, so sampling methods are not applicable. </w:t>
      </w:r>
      <w:r w:rsidR="0038091E">
        <w:t xml:space="preserve">Like the RUDI-P/S Survey, a </w:t>
      </w:r>
      <w:r w:rsidRPr="0038091E" w:rsidR="0038091E">
        <w:t xml:space="preserve">census is preferred </w:t>
      </w:r>
      <w:r w:rsidR="0038091E">
        <w:t>for the RUDI-R Survey. S</w:t>
      </w:r>
      <w:r w:rsidRPr="0038091E" w:rsidR="0038091E">
        <w:t>ampling may result in findings that are representative of a subset of RWHAP providers and subrecipients. A census will increase our chances of obtaining the widest range of experiences, as possible.</w:t>
      </w:r>
    </w:p>
    <w:p w:rsidR="00566D7A" w:rsidP="00566D7A" w14:paraId="2D3384ED" w14:textId="4DFAD356">
      <w:pPr>
        <w:pStyle w:val="Paragraph"/>
      </w:pPr>
      <w:r>
        <w:t xml:space="preserve">We will obtain contact information for the universe of RWHAP </w:t>
      </w:r>
      <w:r w:rsidR="00604E96">
        <w:t xml:space="preserve">Part A and B administrative </w:t>
      </w:r>
      <w:r>
        <w:t xml:space="preserve">recipients from an administrative list provided by HAB. RWHAP recipients responding to the survey will form the sample frame for the </w:t>
      </w:r>
      <w:r w:rsidR="00604E96">
        <w:t xml:space="preserve">set of </w:t>
      </w:r>
      <w:r w:rsidR="001A2FFA">
        <w:t>one-hour</w:t>
      </w:r>
      <w:r w:rsidR="00604E96">
        <w:t xml:space="preserve"> interviews </w:t>
      </w:r>
      <w:r>
        <w:t>describe</w:t>
      </w:r>
      <w:r w:rsidR="00604E96">
        <w:t>d</w:t>
      </w:r>
      <w:r>
        <w:t xml:space="preserve"> below.</w:t>
      </w:r>
    </w:p>
    <w:p w:rsidR="00566D7A" w:rsidP="00566D7A" w14:paraId="2C7F3B16" w14:textId="463D8B96">
      <w:pPr>
        <w:pStyle w:val="ParagraphContinued"/>
      </w:pPr>
      <w:r>
        <w:t xml:space="preserve">The </w:t>
      </w:r>
      <w:r w:rsidR="00CF24C2">
        <w:t xml:space="preserve">draft </w:t>
      </w:r>
      <w:r>
        <w:t xml:space="preserve">RUDI Recipients Survey is provided in Appendix B. </w:t>
      </w:r>
    </w:p>
    <w:p w:rsidR="00AA0F4D" w:rsidP="0035158E" w14:paraId="4C555B72" w14:textId="2A8A65F5">
      <w:pPr>
        <w:pStyle w:val="Paragraph"/>
      </w:pPr>
      <w:r w:rsidRPr="00FF3F40">
        <w:rPr>
          <w:b/>
        </w:rPr>
        <w:t xml:space="preserve">Virtual </w:t>
      </w:r>
      <w:r w:rsidRPr="00FF3F40" w:rsidR="00BD5229">
        <w:rPr>
          <w:b/>
        </w:rPr>
        <w:t>s</w:t>
      </w:r>
      <w:r w:rsidRPr="00FF3F40">
        <w:rPr>
          <w:b/>
        </w:rPr>
        <w:t xml:space="preserve">ite </w:t>
      </w:r>
      <w:r w:rsidRPr="00FF3F40" w:rsidR="00BD5229">
        <w:rPr>
          <w:b/>
        </w:rPr>
        <w:t>v</w:t>
      </w:r>
      <w:r w:rsidRPr="00FF3F40">
        <w:rPr>
          <w:b/>
        </w:rPr>
        <w:t>isits</w:t>
      </w:r>
      <w:r w:rsidR="00CB3144">
        <w:rPr>
          <w:b/>
        </w:rPr>
        <w:t xml:space="preserve"> with RWHAP providers</w:t>
      </w:r>
      <w:r w:rsidRPr="00FF3F40">
        <w:rPr>
          <w:b/>
        </w:rPr>
        <w:t>.</w:t>
      </w:r>
      <w:r w:rsidRPr="00FF3F40">
        <w:t xml:space="preserve"> </w:t>
      </w:r>
      <w:r w:rsidRPr="00FF3F40" w:rsidR="00C27F60">
        <w:t xml:space="preserve">By virtual site visits, we mean telephonic interviews (usually conducted over several days, depending on </w:t>
      </w:r>
      <w:r w:rsidRPr="00FF3F40" w:rsidR="00DC7395">
        <w:t>the informants</w:t>
      </w:r>
      <w:r w:rsidRPr="00FF3F40" w:rsidR="00F25643">
        <w:t>’</w:t>
      </w:r>
      <w:r w:rsidRPr="00FF3F40" w:rsidR="00DC7395">
        <w:t xml:space="preserve"> </w:t>
      </w:r>
      <w:r w:rsidRPr="00FF3F40" w:rsidR="00C27F60">
        <w:t xml:space="preserve">availability) with </w:t>
      </w:r>
      <w:r w:rsidRPr="00FF3F40" w:rsidR="00DC7395">
        <w:t xml:space="preserve">a range of staff members </w:t>
      </w:r>
      <w:r w:rsidRPr="00FF3F40" w:rsidR="0079167E">
        <w:t>who have</w:t>
      </w:r>
      <w:r w:rsidRPr="00FF3F40" w:rsidR="00DC7395">
        <w:t xml:space="preserve"> different roles and perspectives </w:t>
      </w:r>
      <w:r w:rsidRPr="00FF3F40" w:rsidR="00C27F60">
        <w:t xml:space="preserve">from </w:t>
      </w:r>
      <w:r w:rsidR="00604E96">
        <w:t>within each</w:t>
      </w:r>
      <w:r w:rsidRPr="00FF3F40" w:rsidR="00604E96">
        <w:t xml:space="preserve"> </w:t>
      </w:r>
      <w:r w:rsidRPr="00FF3F40" w:rsidR="00C27F60">
        <w:t xml:space="preserve">provider site. </w:t>
      </w:r>
      <w:r w:rsidRPr="00FF3F40" w:rsidR="00352C41">
        <w:t xml:space="preserve">Virtual site visits will provide </w:t>
      </w:r>
      <w:r w:rsidRPr="00FF3F40" w:rsidR="00893665">
        <w:t xml:space="preserve">more in-depth, nuanced </w:t>
      </w:r>
      <w:r w:rsidRPr="00FF3F40" w:rsidR="00352C41">
        <w:t xml:space="preserve">information on </w:t>
      </w:r>
      <w:r w:rsidRPr="00FF3F40" w:rsidR="00C27F60">
        <w:t xml:space="preserve">(1) </w:t>
      </w:r>
      <w:r w:rsidRPr="00FF3F40" w:rsidR="00893665">
        <w:t xml:space="preserve">how RWHAP providers access and use </w:t>
      </w:r>
      <w:r w:rsidRPr="00FF3F40" w:rsidR="00352C41">
        <w:t xml:space="preserve">HAB and non-HAB resources </w:t>
      </w:r>
      <w:r w:rsidRPr="00FF3F40" w:rsidR="00893665">
        <w:t>and products to improve care</w:t>
      </w:r>
      <w:r w:rsidRPr="00FF3F40" w:rsidR="00352C41">
        <w:t xml:space="preserve">, </w:t>
      </w:r>
      <w:r w:rsidRPr="00FF3F40" w:rsidR="00C27F60">
        <w:t xml:space="preserve">(2) </w:t>
      </w:r>
      <w:r w:rsidRPr="00FF3F40" w:rsidR="00352C41">
        <w:t xml:space="preserve">the contribution </w:t>
      </w:r>
      <w:r w:rsidRPr="00FF3F40" w:rsidR="00893665">
        <w:t xml:space="preserve">of those </w:t>
      </w:r>
      <w:r w:rsidRPr="00FF3F40" w:rsidR="00352C41">
        <w:t xml:space="preserve">resources </w:t>
      </w:r>
      <w:r w:rsidRPr="00FF3F40" w:rsidR="00893665">
        <w:t xml:space="preserve">and products </w:t>
      </w:r>
      <w:r w:rsidRPr="00FF3F40" w:rsidR="00352C41">
        <w:t xml:space="preserve">to implementation success, and </w:t>
      </w:r>
      <w:r w:rsidRPr="00FF3F40" w:rsidR="00C27F60">
        <w:t xml:space="preserve">(3) </w:t>
      </w:r>
      <w:r w:rsidRPr="00FF3F40" w:rsidR="00352C41">
        <w:t xml:space="preserve">opportunities to strengthen the impact of HAB </w:t>
      </w:r>
      <w:r w:rsidRPr="00FF3F40" w:rsidR="00C27F60">
        <w:t xml:space="preserve">activities </w:t>
      </w:r>
      <w:r w:rsidRPr="00FF3F40" w:rsidR="00893665">
        <w:t>on dissemination and implementation of intervention strategies</w:t>
      </w:r>
      <w:r w:rsidRPr="00FF3F40" w:rsidR="00352C41">
        <w:t xml:space="preserve">. </w:t>
      </w:r>
      <w:r w:rsidR="002D0809">
        <w:t>The research team</w:t>
      </w:r>
      <w:r w:rsidRPr="00FF3F40">
        <w:t xml:space="preserve"> will virtual</w:t>
      </w:r>
      <w:r w:rsidRPr="00FF3F40" w:rsidR="0079167E">
        <w:t>ly</w:t>
      </w:r>
      <w:r w:rsidRPr="00FF3F40">
        <w:t xml:space="preserve"> visit </w:t>
      </w:r>
      <w:r w:rsidRPr="00FF3F40" w:rsidR="00D02ACE">
        <w:t xml:space="preserve">40 </w:t>
      </w:r>
      <w:r w:rsidRPr="00FF3F40">
        <w:t xml:space="preserve">RWHAP provider sites. </w:t>
      </w:r>
      <w:r w:rsidRPr="00FF3F40" w:rsidR="00C27F60">
        <w:t>During</w:t>
      </w:r>
      <w:r w:rsidRPr="00FF3F40">
        <w:t xml:space="preserve"> each </w:t>
      </w:r>
      <w:r w:rsidRPr="00FF3F40" w:rsidR="00C27F60">
        <w:t xml:space="preserve">virtual </w:t>
      </w:r>
      <w:r w:rsidRPr="00FF3F40">
        <w:t xml:space="preserve">site visit, </w:t>
      </w:r>
      <w:r w:rsidR="002D0809">
        <w:t>the team</w:t>
      </w:r>
      <w:r w:rsidRPr="00FF3F40" w:rsidR="004503EB">
        <w:t xml:space="preserve"> will </w:t>
      </w:r>
      <w:r w:rsidRPr="00FF3F40">
        <w:t>engag</w:t>
      </w:r>
      <w:r w:rsidRPr="00FF3F40" w:rsidR="004503EB">
        <w:t xml:space="preserve">e </w:t>
      </w:r>
      <w:r w:rsidRPr="00FF3F40" w:rsidR="0079167E">
        <w:t>one</w:t>
      </w:r>
      <w:r w:rsidRPr="00FF3F40" w:rsidR="003E7BFF">
        <w:t xml:space="preserve"> </w:t>
      </w:r>
      <w:r w:rsidRPr="00FF3F40" w:rsidR="0079167E">
        <w:t>to five</w:t>
      </w:r>
      <w:r w:rsidRPr="00FF3F40">
        <w:t xml:space="preserve"> </w:t>
      </w:r>
      <w:r w:rsidRPr="00FF3F40" w:rsidR="00C27F60">
        <w:t>staff</w:t>
      </w:r>
      <w:r w:rsidRPr="00FF3F40" w:rsidR="00DC7395">
        <w:t xml:space="preserve"> members</w:t>
      </w:r>
      <w:r w:rsidRPr="00FF3F40" w:rsidR="00C27F60">
        <w:t xml:space="preserve"> </w:t>
      </w:r>
      <w:r w:rsidRPr="00FF3F40">
        <w:t>in semi-structured individual or small</w:t>
      </w:r>
      <w:r w:rsidRPr="00FF3F40" w:rsidR="00C27F60">
        <w:t>-</w:t>
      </w:r>
      <w:r w:rsidRPr="00FF3F40">
        <w:t>group interviews.</w:t>
      </w:r>
      <w:r w:rsidRPr="00FF3F40">
        <w:t xml:space="preserve"> Each interview will last</w:t>
      </w:r>
      <w:r w:rsidRPr="00FF3F40" w:rsidR="0079167E">
        <w:t xml:space="preserve"> </w:t>
      </w:r>
      <w:r w:rsidRPr="00FF3F40">
        <w:t xml:space="preserve">15 </w:t>
      </w:r>
      <w:r w:rsidRPr="00FF3F40" w:rsidR="0079167E">
        <w:t>to</w:t>
      </w:r>
      <w:r w:rsidRPr="00FF3F40">
        <w:t xml:space="preserve"> 60 minutes, depending on the role </w:t>
      </w:r>
      <w:r w:rsidRPr="00FF3F40" w:rsidR="00C27F60">
        <w:t>that</w:t>
      </w:r>
      <w:r w:rsidRPr="00FF3F40">
        <w:t xml:space="preserve"> </w:t>
      </w:r>
      <w:r w:rsidRPr="00FF3F40" w:rsidR="00C27F60">
        <w:t>informant plays in accessing and implementing dissemination materials</w:t>
      </w:r>
      <w:r w:rsidRPr="00FF3F40">
        <w:t>.</w:t>
      </w:r>
    </w:p>
    <w:p w:rsidR="0089276E" w:rsidRPr="00FF3F40" w:rsidP="0089276E" w14:paraId="55F6DD13" w14:textId="72A8A926">
      <w:pPr>
        <w:pStyle w:val="ParagraphContinued"/>
      </w:pPr>
      <w:bookmarkStart w:id="8" w:name="_Hlk136599158"/>
      <w:r>
        <w:t>T</w:t>
      </w:r>
      <w:r w:rsidRPr="00FF3F40">
        <w:t xml:space="preserve">he </w:t>
      </w:r>
      <w:r>
        <w:t>draft virtual site vis</w:t>
      </w:r>
      <w:r w:rsidR="00CF24C2">
        <w:t>it</w:t>
      </w:r>
      <w:r>
        <w:t xml:space="preserve"> </w:t>
      </w:r>
      <w:r w:rsidR="00604E96">
        <w:t xml:space="preserve">discussion </w:t>
      </w:r>
      <w:r>
        <w:t xml:space="preserve">guide </w:t>
      </w:r>
      <w:r w:rsidR="00CF24C2">
        <w:t>is</w:t>
      </w:r>
      <w:r w:rsidR="00E02396">
        <w:t xml:space="preserve"> </w:t>
      </w:r>
      <w:r>
        <w:t>provided</w:t>
      </w:r>
      <w:r w:rsidRPr="00FF3F40">
        <w:t xml:space="preserve"> in Appendix </w:t>
      </w:r>
      <w:r>
        <w:t>C</w:t>
      </w:r>
      <w:r w:rsidRPr="00FF3F40">
        <w:t xml:space="preserve">. </w:t>
      </w:r>
    </w:p>
    <w:bookmarkEnd w:id="8"/>
    <w:p w:rsidR="003F2C36" w:rsidRPr="00A70D45" w:rsidP="00CB3144" w14:paraId="3AB6EFD1" w14:textId="532BE778">
      <w:pPr>
        <w:pStyle w:val="Paragraph"/>
        <w:rPr>
          <w:bCs/>
        </w:rPr>
      </w:pPr>
      <w:r>
        <w:rPr>
          <w:b/>
        </w:rPr>
        <w:t xml:space="preserve">Interviews with RWHAP </w:t>
      </w:r>
      <w:r w:rsidR="00A41E63">
        <w:rPr>
          <w:b/>
        </w:rPr>
        <w:t xml:space="preserve">Part A and B </w:t>
      </w:r>
      <w:r>
        <w:rPr>
          <w:b/>
        </w:rPr>
        <w:t>Recipients</w:t>
      </w:r>
      <w:r w:rsidR="00A41E63">
        <w:rPr>
          <w:b/>
        </w:rPr>
        <w:t xml:space="preserve"> (administrative entity only)</w:t>
      </w:r>
      <w:r>
        <w:rPr>
          <w:b/>
        </w:rPr>
        <w:t>.</w:t>
      </w:r>
      <w:r w:rsidR="00A41E63">
        <w:rPr>
          <w:b/>
        </w:rPr>
        <w:t xml:space="preserve"> </w:t>
      </w:r>
      <w:r w:rsidR="00A41E63">
        <w:rPr>
          <w:bCs/>
        </w:rPr>
        <w:t xml:space="preserve"> Part A and B recipients us</w:t>
      </w:r>
      <w:r w:rsidR="008E54CD">
        <w:rPr>
          <w:bCs/>
        </w:rPr>
        <w:t>e</w:t>
      </w:r>
      <w:r w:rsidR="00A41E63">
        <w:rPr>
          <w:bCs/>
        </w:rPr>
        <w:t xml:space="preserve"> HAB resources </w:t>
      </w:r>
      <w:r w:rsidR="00604E96">
        <w:rPr>
          <w:bCs/>
        </w:rPr>
        <w:t xml:space="preserve">in three ways: </w:t>
      </w:r>
      <w:r w:rsidR="00A41E63">
        <w:rPr>
          <w:bCs/>
        </w:rPr>
        <w:t xml:space="preserve">directly to improve their own knowledge </w:t>
      </w:r>
      <w:r w:rsidR="008E54CD">
        <w:rPr>
          <w:bCs/>
        </w:rPr>
        <w:t>to help achieve Ryan White program goals</w:t>
      </w:r>
      <w:r w:rsidR="00604E96">
        <w:rPr>
          <w:bCs/>
        </w:rPr>
        <w:t>, directly to aid them in implementing system-wide initiatives, and</w:t>
      </w:r>
      <w:r w:rsidR="008E54CD">
        <w:rPr>
          <w:bCs/>
        </w:rPr>
        <w:t xml:space="preserve"> </w:t>
      </w:r>
      <w:r w:rsidR="00604E96">
        <w:rPr>
          <w:bCs/>
        </w:rPr>
        <w:t>indirectly</w:t>
      </w:r>
      <w:r w:rsidR="00A41E63">
        <w:rPr>
          <w:bCs/>
        </w:rPr>
        <w:t xml:space="preserve"> to support providers in the</w:t>
      </w:r>
      <w:r w:rsidR="00604E96">
        <w:rPr>
          <w:bCs/>
        </w:rPr>
        <w:t xml:space="preserve"> providers’</w:t>
      </w:r>
      <w:r w:rsidR="00A41E63">
        <w:rPr>
          <w:bCs/>
        </w:rPr>
        <w:t xml:space="preserve"> efforts to improve services for their clients. </w:t>
      </w:r>
      <w:r w:rsidR="008E54CD">
        <w:rPr>
          <w:bCs/>
        </w:rPr>
        <w:t xml:space="preserve">Through these interviews, </w:t>
      </w:r>
      <w:r w:rsidR="00493F92">
        <w:rPr>
          <w:bCs/>
        </w:rPr>
        <w:t>which will last up to 60 minutes</w:t>
      </w:r>
      <w:r w:rsidR="004F5037">
        <w:rPr>
          <w:bCs/>
        </w:rPr>
        <w:t xml:space="preserve"> each</w:t>
      </w:r>
      <w:r w:rsidR="00493F92">
        <w:rPr>
          <w:bCs/>
        </w:rPr>
        <w:t xml:space="preserve">, </w:t>
      </w:r>
      <w:r w:rsidR="008E54CD">
        <w:rPr>
          <w:bCs/>
        </w:rPr>
        <w:t>the research team will understand how this audience directly accesses and uses HAB resources (</w:t>
      </w:r>
      <w:r w:rsidR="00604E96">
        <w:rPr>
          <w:bCs/>
        </w:rPr>
        <w:t xml:space="preserve">which </w:t>
      </w:r>
      <w:r w:rsidR="008E54CD">
        <w:rPr>
          <w:bCs/>
        </w:rPr>
        <w:t>may be different from how providers and AETCs access and use them)</w:t>
      </w:r>
      <w:r w:rsidR="001A2FFA">
        <w:rPr>
          <w:bCs/>
        </w:rPr>
        <w:t xml:space="preserve"> </w:t>
      </w:r>
      <w:r w:rsidR="008E54CD">
        <w:rPr>
          <w:bCs/>
        </w:rPr>
        <w:t>and will collect the recipients’ observations and learnings that they report from their subrecipients (providers) regarding use of these materials. The research team will interview a key representative of the recipient organization</w:t>
      </w:r>
      <w:r w:rsidR="00493F92">
        <w:rPr>
          <w:bCs/>
        </w:rPr>
        <w:t xml:space="preserve"> identified by HAB</w:t>
      </w:r>
      <w:r w:rsidR="004F5037">
        <w:rPr>
          <w:bCs/>
        </w:rPr>
        <w:t xml:space="preserve"> for a sample of 20 recipients</w:t>
      </w:r>
      <w:r w:rsidR="00493F92">
        <w:rPr>
          <w:bCs/>
        </w:rPr>
        <w:t xml:space="preserve">; in most cases one interview </w:t>
      </w:r>
      <w:r w:rsidR="00604E96">
        <w:rPr>
          <w:bCs/>
        </w:rPr>
        <w:t>p</w:t>
      </w:r>
      <w:r w:rsidR="000E1E97">
        <w:rPr>
          <w:bCs/>
        </w:rPr>
        <w:t xml:space="preserve">er organization </w:t>
      </w:r>
      <w:r w:rsidR="00493F92">
        <w:rPr>
          <w:bCs/>
        </w:rPr>
        <w:t xml:space="preserve">will be sufficient. </w:t>
      </w:r>
      <w:r w:rsidR="00604E96">
        <w:rPr>
          <w:bCs/>
        </w:rPr>
        <w:t xml:space="preserve">In some cases, </w:t>
      </w:r>
      <w:r w:rsidR="00775186">
        <w:rPr>
          <w:bCs/>
        </w:rPr>
        <w:t xml:space="preserve">when the identified contact indicates others would have </w:t>
      </w:r>
      <w:r w:rsidR="00775186">
        <w:rPr>
          <w:bCs/>
        </w:rPr>
        <w:t xml:space="preserve">complementary and valuable information to our topic, </w:t>
      </w:r>
      <w:r w:rsidR="00604E96">
        <w:rPr>
          <w:bCs/>
        </w:rPr>
        <w:t>the key contact may</w:t>
      </w:r>
      <w:r w:rsidR="00775186">
        <w:rPr>
          <w:bCs/>
        </w:rPr>
        <w:t xml:space="preserve"> invite one or two other staff members to the single interview. </w:t>
      </w:r>
      <w:r w:rsidR="00493F92">
        <w:rPr>
          <w:bCs/>
        </w:rPr>
        <w:t xml:space="preserve">We estimate that in five </w:t>
      </w:r>
      <w:r w:rsidR="000E1E97">
        <w:rPr>
          <w:bCs/>
        </w:rPr>
        <w:t xml:space="preserve">states </w:t>
      </w:r>
      <w:r w:rsidR="00493F92">
        <w:rPr>
          <w:bCs/>
        </w:rPr>
        <w:t>(</w:t>
      </w:r>
      <w:r w:rsidR="00775186">
        <w:rPr>
          <w:bCs/>
        </w:rPr>
        <w:t xml:space="preserve">for example, </w:t>
      </w:r>
      <w:r w:rsidR="00493F92">
        <w:rPr>
          <w:bCs/>
        </w:rPr>
        <w:t xml:space="preserve">California, New York, Texas, Florida, New York City), the </w:t>
      </w:r>
      <w:r w:rsidR="000E1E97">
        <w:rPr>
          <w:bCs/>
        </w:rPr>
        <w:t xml:space="preserve">Part A and B recipient </w:t>
      </w:r>
      <w:r w:rsidR="00493F92">
        <w:rPr>
          <w:bCs/>
        </w:rPr>
        <w:t xml:space="preserve">organizations </w:t>
      </w:r>
      <w:r w:rsidR="000E1E97">
        <w:rPr>
          <w:bCs/>
        </w:rPr>
        <w:t xml:space="preserve">will be </w:t>
      </w:r>
      <w:r w:rsidR="00493F92">
        <w:rPr>
          <w:bCs/>
        </w:rPr>
        <w:t xml:space="preserve">so large that one recipient representative would not be able to provide </w:t>
      </w:r>
      <w:r w:rsidR="000E1E97">
        <w:rPr>
          <w:bCs/>
        </w:rPr>
        <w:t xml:space="preserve">enough in-depth detail, </w:t>
      </w:r>
      <w:r w:rsidR="00493F92">
        <w:rPr>
          <w:bCs/>
        </w:rPr>
        <w:t>such that we would interview up to 2 additional contacts from the same organization</w:t>
      </w:r>
      <w:r w:rsidR="00604E96">
        <w:rPr>
          <w:bCs/>
        </w:rPr>
        <w:t xml:space="preserve"> in separate interviews.</w:t>
      </w:r>
    </w:p>
    <w:p w:rsidR="0089276E" w:rsidRPr="00FF3F40" w:rsidP="0089276E" w14:paraId="7CA2AACC" w14:textId="7CC0552C">
      <w:pPr>
        <w:pStyle w:val="ParagraphContinued"/>
      </w:pPr>
      <w:bookmarkStart w:id="9" w:name="_Hlk136599235"/>
      <w:r>
        <w:t>T</w:t>
      </w:r>
      <w:r w:rsidRPr="00FF3F40">
        <w:t xml:space="preserve">he </w:t>
      </w:r>
      <w:r>
        <w:t xml:space="preserve">draft guide for interviews with RWHAP </w:t>
      </w:r>
      <w:r w:rsidR="00BA4ECC">
        <w:t xml:space="preserve">Part A </w:t>
      </w:r>
      <w:r w:rsidR="007E3626">
        <w:t>and</w:t>
      </w:r>
      <w:r w:rsidR="00BA4ECC">
        <w:t xml:space="preserve"> Part B </w:t>
      </w:r>
      <w:r w:rsidR="00775186">
        <w:t>administrative r</w:t>
      </w:r>
      <w:r>
        <w:t xml:space="preserve">ecipients </w:t>
      </w:r>
      <w:r w:rsidR="00CF24C2">
        <w:t>is</w:t>
      </w:r>
      <w:r>
        <w:t xml:space="preserve"> provided</w:t>
      </w:r>
      <w:r w:rsidRPr="00FF3F40">
        <w:t xml:space="preserve"> in Appendix </w:t>
      </w:r>
      <w:r>
        <w:t>D</w:t>
      </w:r>
      <w:r w:rsidRPr="00FF3F40">
        <w:t xml:space="preserve">. </w:t>
      </w:r>
    </w:p>
    <w:bookmarkEnd w:id="9"/>
    <w:p w:rsidR="0089276E" w:rsidRPr="00A70D45" w:rsidP="00CB3144" w14:paraId="28B3BA59" w14:textId="3C05E8B6">
      <w:pPr>
        <w:pStyle w:val="Paragraph"/>
        <w:rPr>
          <w:bCs/>
        </w:rPr>
      </w:pPr>
      <w:r>
        <w:rPr>
          <w:b/>
        </w:rPr>
        <w:t>AETC Interviews.</w:t>
      </w:r>
      <w:r w:rsidR="00493F92">
        <w:rPr>
          <w:b/>
        </w:rPr>
        <w:t xml:space="preserve"> </w:t>
      </w:r>
      <w:r w:rsidR="00493F92">
        <w:rPr>
          <w:bCs/>
        </w:rPr>
        <w:t>The AETCs are another key user audience for HAB dissemination products, so without these interviews the team would miss the perspectives of another important user group. The team will interview</w:t>
      </w:r>
      <w:r w:rsidR="004F5037">
        <w:rPr>
          <w:bCs/>
        </w:rPr>
        <w:t xml:space="preserve"> a key contact in each of the eight regional AETCs identified by HAB, for up to 60 minutes</w:t>
      </w:r>
      <w:r w:rsidR="0020178B">
        <w:rPr>
          <w:bCs/>
        </w:rPr>
        <w:t xml:space="preserve"> each</w:t>
      </w:r>
      <w:r w:rsidR="004F5037">
        <w:rPr>
          <w:bCs/>
        </w:rPr>
        <w:t>, to learn how they use HAB dissemination products themselves, how they use these resources to support RWHAP providers in their region, what they have heard from providers in their region about the use and usefulness of the resources, and their perspectives on what could be improved to make them more useful.</w:t>
      </w:r>
    </w:p>
    <w:p w:rsidR="0089276E" w:rsidRPr="0089276E" w:rsidP="00CB3144" w14:paraId="13B3521C" w14:textId="26C6949E">
      <w:pPr>
        <w:pStyle w:val="Paragraph"/>
        <w:rPr>
          <w:bCs/>
        </w:rPr>
      </w:pPr>
      <w:bookmarkStart w:id="10" w:name="_Hlk136599318"/>
      <w:r w:rsidRPr="0089276E">
        <w:rPr>
          <w:bCs/>
        </w:rPr>
        <w:t xml:space="preserve">The draft guide for AETC interviews </w:t>
      </w:r>
      <w:r w:rsidR="00CF24C2">
        <w:rPr>
          <w:bCs/>
        </w:rPr>
        <w:t>is</w:t>
      </w:r>
      <w:r>
        <w:t xml:space="preserve"> provided</w:t>
      </w:r>
      <w:r w:rsidRPr="00FF3F40">
        <w:t xml:space="preserve"> in Appendix </w:t>
      </w:r>
      <w:r>
        <w:t>E</w:t>
      </w:r>
      <w:r w:rsidRPr="00FF3F40">
        <w:t>.</w:t>
      </w:r>
    </w:p>
    <w:bookmarkEnd w:id="10"/>
    <w:p w:rsidR="005A7518" w:rsidRPr="00FF3F40" w:rsidP="00352599" w14:paraId="0B5170C6" w14:textId="6F547279">
      <w:pPr>
        <w:pStyle w:val="H4"/>
        <w:numPr>
          <w:ilvl w:val="0"/>
          <w:numId w:val="34"/>
        </w:numPr>
        <w:ind w:left="450" w:hanging="450"/>
      </w:pPr>
      <w:r w:rsidRPr="00FF3F40">
        <w:t xml:space="preserve">Data </w:t>
      </w:r>
      <w:r w:rsidRPr="00FF3F40" w:rsidR="0035158E">
        <w:t xml:space="preserve">collection activities not requiring </w:t>
      </w:r>
      <w:r w:rsidR="00B76C72">
        <w:t>Office of Management and Budget (OMB)</w:t>
      </w:r>
      <w:r w:rsidRPr="00FF3F40" w:rsidR="00B76C72">
        <w:t xml:space="preserve"> </w:t>
      </w:r>
      <w:r w:rsidRPr="00FF3F40" w:rsidR="0035158E">
        <w:t>a</w:t>
      </w:r>
      <w:r w:rsidRPr="00FF3F40">
        <w:t>pproval</w:t>
      </w:r>
    </w:p>
    <w:p w:rsidR="00A116FA" w:rsidRPr="00FF3F40" w:rsidP="0035158E" w14:paraId="2204BD6E" w14:textId="368ADFA9">
      <w:pPr>
        <w:pStyle w:val="ParagraphContinued"/>
      </w:pPr>
      <w:r w:rsidRPr="00FF3F40">
        <w:t xml:space="preserve">HAB is not seeking </w:t>
      </w:r>
      <w:r w:rsidRPr="00FF3F40" w:rsidR="00502290">
        <w:t xml:space="preserve">OMB approval for the </w:t>
      </w:r>
      <w:r w:rsidRPr="00FF3F40" w:rsidR="0079167E">
        <w:t>following</w:t>
      </w:r>
      <w:r w:rsidRPr="00FF3F40" w:rsidR="00502290">
        <w:t xml:space="preserve"> </w:t>
      </w:r>
      <w:r w:rsidRPr="00FF3F40" w:rsidR="00C002ED">
        <w:t xml:space="preserve">secondary data sources. </w:t>
      </w:r>
      <w:r w:rsidRPr="00FF3F40">
        <w:t>We describe e</w:t>
      </w:r>
      <w:r w:rsidRPr="00FF3F40" w:rsidR="00543134">
        <w:t xml:space="preserve">ach source </w:t>
      </w:r>
      <w:r w:rsidRPr="00FF3F40" w:rsidR="00DB70CF">
        <w:t>to</w:t>
      </w:r>
      <w:r w:rsidRPr="00FF3F40" w:rsidR="00543134">
        <w:t xml:space="preserve"> </w:t>
      </w:r>
      <w:r w:rsidRPr="00FF3F40" w:rsidR="00C002ED">
        <w:t xml:space="preserve">provide a comprehensive understanding of the RUDI </w:t>
      </w:r>
      <w:r w:rsidRPr="00FF3F40" w:rsidR="003975B7">
        <w:t>e</w:t>
      </w:r>
      <w:r w:rsidRPr="00FF3F40" w:rsidR="00C002ED">
        <w:t>valuation.</w:t>
      </w:r>
      <w:r w:rsidRPr="00FF3F40" w:rsidR="006F5E0E">
        <w:t xml:space="preserve"> </w:t>
      </w:r>
    </w:p>
    <w:p w:rsidR="00786ADE" w:rsidRPr="00FF3F40" w:rsidP="0035158E" w14:paraId="2FEB550A" w14:textId="36FDE716">
      <w:pPr>
        <w:pStyle w:val="Paragraph"/>
      </w:pPr>
      <w:bookmarkStart w:id="11" w:name="_Toc30602657"/>
      <w:r w:rsidRPr="00FF3F40">
        <w:rPr>
          <w:b/>
          <w:bCs/>
        </w:rPr>
        <w:t>RSR</w:t>
      </w:r>
      <w:r w:rsidR="006E5466">
        <w:rPr>
          <w:b/>
          <w:bCs/>
        </w:rPr>
        <w:t xml:space="preserve"> and DSR</w:t>
      </w:r>
      <w:r w:rsidRPr="00FF3F40">
        <w:rPr>
          <w:b/>
          <w:bCs/>
        </w:rPr>
        <w:t xml:space="preserve"> file</w:t>
      </w:r>
      <w:r w:rsidRPr="00FF3F40" w:rsidR="00C01F0B">
        <w:rPr>
          <w:b/>
          <w:bCs/>
        </w:rPr>
        <w:t>s</w:t>
      </w:r>
      <w:r w:rsidRPr="00FF3F40" w:rsidR="00C002ED">
        <w:rPr>
          <w:b/>
          <w:bCs/>
        </w:rPr>
        <w:t xml:space="preserve">. </w:t>
      </w:r>
      <w:r w:rsidRPr="00FF3F40" w:rsidR="003F24E8">
        <w:t>W</w:t>
      </w:r>
      <w:r w:rsidRPr="00FF3F40">
        <w:t xml:space="preserve">e </w:t>
      </w:r>
      <w:r w:rsidRPr="00FF3F40" w:rsidR="003F24E8">
        <w:t xml:space="preserve">will </w:t>
      </w:r>
      <w:r w:rsidRPr="00FF3F40">
        <w:t xml:space="preserve">link </w:t>
      </w:r>
      <w:r w:rsidRPr="00FF3F40" w:rsidR="003F24E8">
        <w:t xml:space="preserve">RWHAP </w:t>
      </w:r>
      <w:r w:rsidRPr="00FF3F40">
        <w:t xml:space="preserve">provider characteristics from the </w:t>
      </w:r>
      <w:r w:rsidRPr="00FF3F40" w:rsidR="00886096">
        <w:t>202</w:t>
      </w:r>
      <w:r w:rsidR="002D0809">
        <w:t>1</w:t>
      </w:r>
      <w:r w:rsidRPr="00FF3F40" w:rsidR="00886096">
        <w:t xml:space="preserve"> </w:t>
      </w:r>
      <w:r w:rsidRPr="00FF3F40">
        <w:t xml:space="preserve">RSR </w:t>
      </w:r>
      <w:r w:rsidR="006E5466">
        <w:t xml:space="preserve">and DSR </w:t>
      </w:r>
      <w:r w:rsidRPr="00FF3F40">
        <w:t>data file</w:t>
      </w:r>
      <w:r w:rsidR="006E5466">
        <w:t>s</w:t>
      </w:r>
      <w:r w:rsidRPr="00FF3F40">
        <w:t xml:space="preserve"> </w:t>
      </w:r>
      <w:r w:rsidRPr="00FF3F40" w:rsidR="00886096">
        <w:t xml:space="preserve">(the most recent version available) </w:t>
      </w:r>
      <w:r w:rsidRPr="00FF3F40">
        <w:t xml:space="preserve">to </w:t>
      </w:r>
      <w:r w:rsidRPr="00FF3F40" w:rsidR="003F24E8">
        <w:t xml:space="preserve">data from the </w:t>
      </w:r>
      <w:r w:rsidR="00562928">
        <w:t>RUDI</w:t>
      </w:r>
      <w:r w:rsidR="00954D23">
        <w:t>-P</w:t>
      </w:r>
      <w:r w:rsidR="00195138">
        <w:t>/S</w:t>
      </w:r>
      <w:r w:rsidR="00562928">
        <w:t xml:space="preserve"> Survey</w:t>
      </w:r>
      <w:r w:rsidRPr="00FF3F40" w:rsidR="003F24E8">
        <w:t xml:space="preserve"> </w:t>
      </w:r>
      <w:r w:rsidRPr="00FF3F40">
        <w:t>to identify variation in the use of HAB and non-HAB resources across different types of providers</w:t>
      </w:r>
      <w:r w:rsidRPr="00FF3F40" w:rsidR="003975B7">
        <w:t xml:space="preserve"> and patient populations</w:t>
      </w:r>
      <w:r w:rsidRPr="00FF3F40">
        <w:t>. For example, we might find that medical providers are more likely to use disseminated resources than support service providers or</w:t>
      </w:r>
      <w:r w:rsidRPr="00FF3F40" w:rsidR="0079167E">
        <w:t xml:space="preserve"> that</w:t>
      </w:r>
      <w:r w:rsidRPr="00FF3F40">
        <w:t xml:space="preserve"> providers</w:t>
      </w:r>
      <w:r w:rsidRPr="00FF3F40" w:rsidR="003F24E8">
        <w:t xml:space="preserve"> serving a greater number are clients are more likely to use certain resources than those serving fewer clients. </w:t>
      </w:r>
      <w:r w:rsidRPr="00FF3F40">
        <w:t xml:space="preserve">Similarly, we might find that providers serving racial and ethnic minority populations access and use resources differently from those serving predominantly White populations. </w:t>
      </w:r>
      <w:r w:rsidRPr="00FF3F40" w:rsidR="003F24E8">
        <w:t xml:space="preserve">Characteristics of interest </w:t>
      </w:r>
      <w:r w:rsidRPr="00FF3F40" w:rsidR="003975B7">
        <w:t xml:space="preserve">available from </w:t>
      </w:r>
      <w:r w:rsidRPr="00FF3F40" w:rsidR="00520DFA">
        <w:t>the RSR</w:t>
      </w:r>
      <w:r w:rsidR="006E5466">
        <w:t xml:space="preserve"> and DSR</w:t>
      </w:r>
      <w:r w:rsidRPr="00FF3F40" w:rsidR="00520DFA">
        <w:t xml:space="preserve"> file</w:t>
      </w:r>
      <w:r w:rsidRPr="00FF3F40" w:rsidR="00C01F0B">
        <w:t xml:space="preserve">s </w:t>
      </w:r>
      <w:r w:rsidRPr="00FF3F40" w:rsidR="003F24E8">
        <w:t>include</w:t>
      </w:r>
      <w:r w:rsidRPr="00FF3F40" w:rsidR="00DC6F7A">
        <w:t xml:space="preserve"> </w:t>
      </w:r>
      <w:r w:rsidRPr="00FF3F40" w:rsidR="003F24E8">
        <w:t>provider type</w:t>
      </w:r>
      <w:r w:rsidRPr="00FF3F40" w:rsidR="0079167E">
        <w:t>,</w:t>
      </w:r>
      <w:r w:rsidRPr="00FF3F40" w:rsidR="003F24E8">
        <w:t xml:space="preserve"> </w:t>
      </w:r>
      <w:r w:rsidRPr="00FF3F40" w:rsidR="00121014">
        <w:t>ownership</w:t>
      </w:r>
      <w:r w:rsidRPr="00FF3F40" w:rsidR="003975B7">
        <w:t xml:space="preserve"> status</w:t>
      </w:r>
      <w:r w:rsidRPr="00FF3F40" w:rsidR="0079167E">
        <w:t>,</w:t>
      </w:r>
      <w:r w:rsidRPr="00FF3F40" w:rsidR="00121014">
        <w:t xml:space="preserve"> </w:t>
      </w:r>
      <w:r w:rsidRPr="00FF3F40" w:rsidR="003975B7">
        <w:t>type of</w:t>
      </w:r>
      <w:r w:rsidRPr="00FF3F40" w:rsidR="00DC6F7A">
        <w:t xml:space="preserve"> </w:t>
      </w:r>
      <w:r w:rsidRPr="00FF3F40" w:rsidR="003975B7">
        <w:t xml:space="preserve">funded </w:t>
      </w:r>
      <w:r w:rsidRPr="00FF3F40" w:rsidR="00121014">
        <w:t>service</w:t>
      </w:r>
      <w:r w:rsidRPr="00FF3F40" w:rsidR="003975B7">
        <w:t>s</w:t>
      </w:r>
      <w:r w:rsidRPr="00FF3F40" w:rsidR="0079167E">
        <w:t>,</w:t>
      </w:r>
      <w:r w:rsidRPr="00FF3F40" w:rsidR="003975B7">
        <w:t xml:space="preserve"> source of funding</w:t>
      </w:r>
      <w:r w:rsidRPr="00FF3F40" w:rsidR="0079167E">
        <w:t>,</w:t>
      </w:r>
      <w:r w:rsidRPr="00FF3F40" w:rsidR="003975B7">
        <w:t xml:space="preserve"> geographic </w:t>
      </w:r>
      <w:r w:rsidRPr="00FF3F40" w:rsidR="007828B3">
        <w:t>location</w:t>
      </w:r>
      <w:r w:rsidRPr="00FF3F40" w:rsidR="0079167E">
        <w:t>,</w:t>
      </w:r>
      <w:r w:rsidRPr="00FF3F40" w:rsidR="007828B3">
        <w:t xml:space="preserve"> n</w:t>
      </w:r>
      <w:r w:rsidRPr="00FF3F40" w:rsidR="00121014">
        <w:t>umber of clients served</w:t>
      </w:r>
      <w:r w:rsidRPr="00FF3F40" w:rsidR="0079167E">
        <w:t>,</w:t>
      </w:r>
      <w:r w:rsidRPr="00FF3F40" w:rsidR="00554AA8">
        <w:t xml:space="preserve"> characteristics </w:t>
      </w:r>
      <w:r w:rsidRPr="00FF3F40" w:rsidR="003975B7">
        <w:t xml:space="preserve">of clients served (such as </w:t>
      </w:r>
      <w:r w:rsidRPr="00FF3F40" w:rsidR="00554AA8">
        <w:t>rac</w:t>
      </w:r>
      <w:r w:rsidRPr="00FF3F40" w:rsidR="003975B7">
        <w:t xml:space="preserve">e and </w:t>
      </w:r>
      <w:r w:rsidRPr="00FF3F40" w:rsidR="00554AA8">
        <w:t>ethnic</w:t>
      </w:r>
      <w:r w:rsidRPr="00FF3F40" w:rsidR="003975B7">
        <w:t>ity</w:t>
      </w:r>
      <w:r w:rsidRPr="00FF3F40" w:rsidR="00554AA8">
        <w:t xml:space="preserve">, gender, </w:t>
      </w:r>
      <w:r w:rsidRPr="00FF3F40" w:rsidR="003975B7">
        <w:t xml:space="preserve">HIV </w:t>
      </w:r>
      <w:r w:rsidRPr="00FF3F40" w:rsidR="00554AA8">
        <w:t xml:space="preserve">risk </w:t>
      </w:r>
      <w:r w:rsidRPr="00FF3F40" w:rsidR="003975B7">
        <w:t>group</w:t>
      </w:r>
      <w:r w:rsidRPr="00FF3F40" w:rsidR="00554AA8">
        <w:t xml:space="preserve">, poverty </w:t>
      </w:r>
      <w:r w:rsidRPr="00FF3F40" w:rsidR="003975B7">
        <w:t>status</w:t>
      </w:r>
      <w:r w:rsidRPr="00FF3F40" w:rsidR="00554AA8">
        <w:t>, and housing status</w:t>
      </w:r>
      <w:r w:rsidRPr="00FF3F40" w:rsidR="003975B7">
        <w:t>)</w:t>
      </w:r>
      <w:r w:rsidR="006E5466">
        <w:t xml:space="preserve">. Also, </w:t>
      </w:r>
      <w:r w:rsidRPr="00FF3F40" w:rsidR="00886096">
        <w:t xml:space="preserve">health outcomes </w:t>
      </w:r>
      <w:r w:rsidR="006E5466">
        <w:t xml:space="preserve">characteristics from the RSR file are of interest </w:t>
      </w:r>
      <w:r w:rsidRPr="00FF3F40" w:rsidR="00886096">
        <w:t>(such as percent</w:t>
      </w:r>
      <w:r w:rsidRPr="00FF3F40" w:rsidR="0079167E">
        <w:t>age</w:t>
      </w:r>
      <w:r w:rsidRPr="00FF3F40" w:rsidR="00886096">
        <w:t xml:space="preserve"> virally suppressed).</w:t>
      </w:r>
    </w:p>
    <w:p w:rsidR="00A06719" w:rsidRPr="00FF3F40" w:rsidP="0035158E" w14:paraId="345F171B" w14:textId="066B267B">
      <w:pPr>
        <w:pStyle w:val="Paragraph"/>
      </w:pPr>
      <w:r w:rsidRPr="00FF3F40">
        <w:rPr>
          <w:b/>
          <w:bCs/>
        </w:rPr>
        <w:t>Google Analytics data</w:t>
      </w:r>
      <w:r w:rsidRPr="00FF3F40" w:rsidR="00C002ED">
        <w:rPr>
          <w:b/>
          <w:bCs/>
        </w:rPr>
        <w:t>.</w:t>
      </w:r>
      <w:r w:rsidRPr="00FF3F40" w:rsidR="005610A3">
        <w:t xml:space="preserve"> We </w:t>
      </w:r>
      <w:r w:rsidRPr="00FF3F40" w:rsidR="00886096">
        <w:t xml:space="preserve">also </w:t>
      </w:r>
      <w:r w:rsidRPr="00FF3F40" w:rsidR="005610A3">
        <w:t xml:space="preserve">plan to use Google Analytics data from </w:t>
      </w:r>
      <w:r w:rsidRPr="00FF3F40" w:rsidR="00886096">
        <w:t>two</w:t>
      </w:r>
      <w:r w:rsidRPr="00FF3F40" w:rsidR="00C97790">
        <w:t xml:space="preserve"> websites </w:t>
      </w:r>
      <w:r w:rsidRPr="00FF3F40" w:rsidR="00886096">
        <w:t>(</w:t>
      </w:r>
      <w:hyperlink r:id="rId14" w:history="1">
        <w:r w:rsidRPr="00FF3F40" w:rsidR="00886096">
          <w:rPr>
            <w:rStyle w:val="Hyperlink"/>
          </w:rPr>
          <w:t>www.TargetHIV.org</w:t>
        </w:r>
      </w:hyperlink>
      <w:r w:rsidRPr="00FF3F40" w:rsidR="00886096">
        <w:t xml:space="preserve"> and </w:t>
      </w:r>
      <w:hyperlink r:id="rId15" w:history="1">
        <w:r w:rsidRPr="00FF3F40" w:rsidR="00886096">
          <w:rPr>
            <w:rStyle w:val="Hyperlink"/>
          </w:rPr>
          <w:t>www.ryanwhite.hrsa.gov</w:t>
        </w:r>
      </w:hyperlink>
      <w:r w:rsidRPr="00FF3F40" w:rsidR="00886096">
        <w:t xml:space="preserve">) </w:t>
      </w:r>
      <w:r w:rsidRPr="00FF3F40" w:rsidR="00C97790">
        <w:t xml:space="preserve">through which HAB disseminates most of its HIV intervention resources and products </w:t>
      </w:r>
      <w:r w:rsidRPr="00FF3F40" w:rsidR="005610A3">
        <w:t xml:space="preserve">for the </w:t>
      </w:r>
      <w:r w:rsidRPr="00FF3F40" w:rsidR="00305E1F">
        <w:t xml:space="preserve">RUDI </w:t>
      </w:r>
      <w:r w:rsidRPr="00FF3F40" w:rsidR="00886096">
        <w:t>e</w:t>
      </w:r>
      <w:r w:rsidRPr="00FF3F40" w:rsidR="005610A3">
        <w:t xml:space="preserve">valuation. We will primarily focus on the </w:t>
      </w:r>
      <w:r w:rsidRPr="00FF3F40" w:rsidR="008B7042">
        <w:t>l</w:t>
      </w:r>
      <w:r w:rsidRPr="00FF3F40" w:rsidR="005610A3">
        <w:t xml:space="preserve">ibrary </w:t>
      </w:r>
      <w:r w:rsidR="006274CF">
        <w:t>section</w:t>
      </w:r>
      <w:r w:rsidRPr="00FF3F40" w:rsidR="00C97790">
        <w:t xml:space="preserve"> </w:t>
      </w:r>
      <w:r w:rsidRPr="00FF3F40" w:rsidR="005610A3">
        <w:t>of the</w:t>
      </w:r>
      <w:r w:rsidRPr="00FF3F40" w:rsidR="008B7042">
        <w:t xml:space="preserve"> TargetHIV web</w:t>
      </w:r>
      <w:r w:rsidRPr="00FF3F40" w:rsidR="005610A3">
        <w:t xml:space="preserve">site, </w:t>
      </w:r>
      <w:r w:rsidRPr="00FF3F40" w:rsidR="00C97790">
        <w:t xml:space="preserve">through which users can access several key subpages, such as (1) </w:t>
      </w:r>
      <w:r w:rsidRPr="00FF3F40" w:rsidR="005610A3">
        <w:t>the Best Practices Compilation</w:t>
      </w:r>
      <w:r w:rsidRPr="00FF3F40" w:rsidR="00C97790">
        <w:t xml:space="preserve"> page</w:t>
      </w:r>
      <w:r w:rsidRPr="00FF3F40" w:rsidR="005610A3">
        <w:t xml:space="preserve">, </w:t>
      </w:r>
      <w:r w:rsidRPr="00FF3F40" w:rsidR="00C97790">
        <w:t xml:space="preserve">(2) the </w:t>
      </w:r>
      <w:r w:rsidRPr="00FF3F40" w:rsidR="003228CB">
        <w:t>Special Projects of National Significance</w:t>
      </w:r>
      <w:r w:rsidRPr="00FF3F40" w:rsidR="005610A3">
        <w:t xml:space="preserve"> Resource Directory</w:t>
      </w:r>
      <w:r w:rsidRPr="00FF3F40" w:rsidR="00C97790">
        <w:t xml:space="preserve"> page</w:t>
      </w:r>
      <w:r w:rsidRPr="00FF3F40" w:rsidR="005610A3">
        <w:t xml:space="preserve">, and </w:t>
      </w:r>
      <w:r w:rsidRPr="00FF3F40" w:rsidR="00C97790">
        <w:t xml:space="preserve">(3) the </w:t>
      </w:r>
      <w:r w:rsidRPr="00FF3F40" w:rsidR="005610A3">
        <w:t>HIV Care Innovations: Replication Resources</w:t>
      </w:r>
      <w:r w:rsidRPr="00FF3F40" w:rsidR="00C97790">
        <w:t xml:space="preserve"> page, among others</w:t>
      </w:r>
      <w:r w:rsidRPr="00FF3F40" w:rsidR="005610A3">
        <w:t xml:space="preserve">. We will track the most </w:t>
      </w:r>
      <w:r w:rsidRPr="00FF3F40" w:rsidR="0054158A">
        <w:t xml:space="preserve">frequently accessed </w:t>
      </w:r>
      <w:r w:rsidRPr="00FF3F40" w:rsidR="005610A3">
        <w:t xml:space="preserve">library resources, most </w:t>
      </w:r>
      <w:r w:rsidRPr="00FF3F40" w:rsidR="0054158A">
        <w:t xml:space="preserve">frequently searched </w:t>
      </w:r>
      <w:r w:rsidRPr="00FF3F40" w:rsidR="005610A3">
        <w:t xml:space="preserve">library topics, and </w:t>
      </w:r>
      <w:r w:rsidRPr="00FF3F40" w:rsidR="0054158A">
        <w:t xml:space="preserve">the most common </w:t>
      </w:r>
      <w:r w:rsidRPr="00FF3F40" w:rsidR="005610A3">
        <w:t>download</w:t>
      </w:r>
      <w:r w:rsidRPr="00FF3F40" w:rsidR="0054158A">
        <w:t>ed materials</w:t>
      </w:r>
      <w:r w:rsidRPr="00FF3F40" w:rsidR="005610A3">
        <w:t xml:space="preserve">. We will also identify the </w:t>
      </w:r>
      <w:r w:rsidRPr="00FF3F40" w:rsidR="0020178B">
        <w:t>most used</w:t>
      </w:r>
      <w:r w:rsidRPr="00FF3F40" w:rsidR="0054158A">
        <w:t xml:space="preserve"> search </w:t>
      </w:r>
      <w:r w:rsidRPr="00FF3F40" w:rsidR="005610A3">
        <w:t xml:space="preserve">filters and keywords </w:t>
      </w:r>
      <w:r w:rsidRPr="00FF3F40" w:rsidR="0054158A">
        <w:t xml:space="preserve">on </w:t>
      </w:r>
      <w:r w:rsidRPr="00FF3F40" w:rsidR="005610A3">
        <w:t xml:space="preserve">the Best Practices Compilation page, </w:t>
      </w:r>
      <w:r w:rsidRPr="00FF3F40" w:rsidR="0054158A">
        <w:t xml:space="preserve">the </w:t>
      </w:r>
      <w:r w:rsidRPr="00FF3F40" w:rsidR="005610A3">
        <w:t xml:space="preserve">most </w:t>
      </w:r>
      <w:r w:rsidRPr="00FF3F40" w:rsidR="0054158A">
        <w:t xml:space="preserve">frequently </w:t>
      </w:r>
      <w:r w:rsidRPr="00FF3F40" w:rsidR="005610A3">
        <w:t xml:space="preserve">clicked </w:t>
      </w:r>
      <w:r w:rsidRPr="00FF3F40" w:rsidR="0054158A">
        <w:t>subpages</w:t>
      </w:r>
      <w:r w:rsidRPr="00FF3F40" w:rsidR="005610A3">
        <w:t xml:space="preserve">, and </w:t>
      </w:r>
      <w:r w:rsidRPr="00FF3F40" w:rsidR="00AD0545">
        <w:t xml:space="preserve">the </w:t>
      </w:r>
      <w:r w:rsidRPr="00FF3F40" w:rsidR="005610A3">
        <w:t xml:space="preserve">most </w:t>
      </w:r>
      <w:r w:rsidRPr="00FF3F40" w:rsidR="0054158A">
        <w:t xml:space="preserve">commonly </w:t>
      </w:r>
      <w:r w:rsidRPr="00FF3F40" w:rsidR="005610A3">
        <w:t xml:space="preserve">clicked </w:t>
      </w:r>
      <w:r w:rsidRPr="00FF3F40" w:rsidR="0054158A">
        <w:t>hyper</w:t>
      </w:r>
      <w:r w:rsidRPr="00FF3F40" w:rsidR="005610A3">
        <w:t>links</w:t>
      </w:r>
      <w:r w:rsidRPr="00FF3F40" w:rsidR="0054158A">
        <w:t xml:space="preserve"> on those pages</w:t>
      </w:r>
      <w:r w:rsidRPr="00FF3F40" w:rsidR="005610A3">
        <w:t xml:space="preserve">. We will use analytic data to </w:t>
      </w:r>
      <w:r w:rsidRPr="00FF3F40" w:rsidR="0054158A">
        <w:t xml:space="preserve">identify the channels or pathways (such as the internal search function, navigation within the website, or from external links) that </w:t>
      </w:r>
      <w:r w:rsidRPr="00FF3F40" w:rsidR="005610A3">
        <w:t xml:space="preserve">users take </w:t>
      </w:r>
      <w:r w:rsidRPr="00FF3F40" w:rsidR="0054158A">
        <w:t xml:space="preserve">to find </w:t>
      </w:r>
      <w:r w:rsidRPr="00FF3F40" w:rsidR="005610A3">
        <w:t>resources</w:t>
      </w:r>
      <w:r w:rsidRPr="00FF3F40" w:rsidR="0054158A">
        <w:t xml:space="preserve"> relevant to delivering care to people with HIV</w:t>
      </w:r>
      <w:r w:rsidRPr="00FF3F40" w:rsidR="005610A3">
        <w:t>.</w:t>
      </w:r>
      <w:r w:rsidRPr="00FF3F40" w:rsidR="00554AA8">
        <w:t xml:space="preserve"> We will also </w:t>
      </w:r>
      <w:r w:rsidRPr="00FF3F40" w:rsidR="0054158A">
        <w:t xml:space="preserve">calculate </w:t>
      </w:r>
      <w:r w:rsidRPr="00FF3F40" w:rsidR="00554AA8">
        <w:t xml:space="preserve">similar </w:t>
      </w:r>
      <w:r w:rsidRPr="00FF3F40" w:rsidR="0054158A">
        <w:t xml:space="preserve">access and use </w:t>
      </w:r>
      <w:r w:rsidRPr="00FF3F40" w:rsidR="0054158A">
        <w:t xml:space="preserve">metrics </w:t>
      </w:r>
      <w:r w:rsidRPr="00FF3F40" w:rsidR="00F15D04">
        <w:t xml:space="preserve">based on Google Analytics data </w:t>
      </w:r>
      <w:r w:rsidRPr="00FF3F40" w:rsidR="00554AA8">
        <w:t xml:space="preserve">for resources and pages outside of the TargetHIV website </w:t>
      </w:r>
      <w:r w:rsidRPr="00FF3F40" w:rsidR="00F15D04">
        <w:t xml:space="preserve">that are </w:t>
      </w:r>
      <w:r w:rsidRPr="00FF3F40" w:rsidR="00554AA8">
        <w:t xml:space="preserve">relevant to the evaluation, such as the </w:t>
      </w:r>
      <w:r w:rsidRPr="00FF3F40" w:rsidR="00F15D04">
        <w:t>various d</w:t>
      </w:r>
      <w:r w:rsidRPr="00FF3F40" w:rsidR="00554AA8">
        <w:t xml:space="preserve">ata </w:t>
      </w:r>
      <w:r w:rsidRPr="00FF3F40" w:rsidR="00F15D04">
        <w:t>r</w:t>
      </w:r>
      <w:r w:rsidRPr="00FF3F40" w:rsidR="00554AA8">
        <w:t xml:space="preserve">eports and </w:t>
      </w:r>
      <w:r w:rsidRPr="00FF3F40" w:rsidR="00F15D04">
        <w:t>s</w:t>
      </w:r>
      <w:r w:rsidRPr="00FF3F40" w:rsidR="00554AA8">
        <w:t xml:space="preserve">lide </w:t>
      </w:r>
      <w:r w:rsidRPr="00FF3F40" w:rsidR="00F15D04">
        <w:t>d</w:t>
      </w:r>
      <w:r w:rsidRPr="00FF3F40" w:rsidR="00554AA8">
        <w:t xml:space="preserve">ecks that </w:t>
      </w:r>
      <w:r w:rsidRPr="00FF3F40" w:rsidR="00F15D04">
        <w:t>HAB prepares from the annual RSR data and makes publicly available online</w:t>
      </w:r>
      <w:r w:rsidRPr="00FF3F40" w:rsidR="00554AA8">
        <w:t>.</w:t>
      </w:r>
    </w:p>
    <w:p w:rsidR="00A06719" w:rsidRPr="00FF3F40" w:rsidP="0035158E" w14:paraId="113BA94C" w14:textId="453B810B">
      <w:pPr>
        <w:pStyle w:val="Paragraph"/>
        <w:rPr>
          <w:b/>
          <w:bCs/>
        </w:rPr>
      </w:pPr>
      <w:r w:rsidRPr="00FF3F40">
        <w:rPr>
          <w:b/>
          <w:bCs/>
        </w:rPr>
        <w:t xml:space="preserve">Other </w:t>
      </w:r>
      <w:r w:rsidRPr="00FF3F40" w:rsidR="0078772A">
        <w:rPr>
          <w:b/>
          <w:bCs/>
        </w:rPr>
        <w:t>available d</w:t>
      </w:r>
      <w:r w:rsidRPr="00FF3F40">
        <w:rPr>
          <w:b/>
          <w:bCs/>
        </w:rPr>
        <w:t>ata</w:t>
      </w:r>
      <w:r w:rsidRPr="00FF3F40" w:rsidR="00C002ED">
        <w:rPr>
          <w:b/>
          <w:bCs/>
        </w:rPr>
        <w:t>.</w:t>
      </w:r>
      <w:r w:rsidRPr="00FF3F40" w:rsidR="002521CD">
        <w:t xml:space="preserve"> </w:t>
      </w:r>
      <w:r w:rsidRPr="00FF3F40" w:rsidR="001D5E9F">
        <w:t>Along with data from the RSR</w:t>
      </w:r>
      <w:r w:rsidR="006E5466">
        <w:t xml:space="preserve"> and DSR</w:t>
      </w:r>
      <w:r w:rsidRPr="00FF3F40" w:rsidR="001D5E9F">
        <w:t>, we will</w:t>
      </w:r>
      <w:r w:rsidRPr="00FF3F40" w:rsidR="00F15D04">
        <w:t xml:space="preserve"> </w:t>
      </w:r>
      <w:r w:rsidRPr="00FF3F40" w:rsidR="001D5E9F">
        <w:t xml:space="preserve">use </w:t>
      </w:r>
      <w:r w:rsidRPr="00FF3F40" w:rsidR="0012509C">
        <w:t>publicly available</w:t>
      </w:r>
      <w:r w:rsidRPr="00FF3F40" w:rsidR="00E27EE4">
        <w:t xml:space="preserve"> data to understand </w:t>
      </w:r>
      <w:r w:rsidRPr="00FF3F40" w:rsidR="00AB5DB1">
        <w:t>the extent to which HAB and non-HAB resource ut</w:t>
      </w:r>
      <w:r w:rsidRPr="00FF3F40" w:rsidR="006C0B46">
        <w:t xml:space="preserve">ilization </w:t>
      </w:r>
      <w:r w:rsidRPr="00FF3F40" w:rsidR="00D87799">
        <w:t>is associated with c</w:t>
      </w:r>
      <w:r w:rsidRPr="00FF3F40" w:rsidR="00421339">
        <w:t>ommunity-level factors</w:t>
      </w:r>
      <w:r w:rsidRPr="00FF3F40" w:rsidR="00F15D04">
        <w:t>,</w:t>
      </w:r>
      <w:r w:rsidRPr="00FF3F40" w:rsidR="00421339">
        <w:t xml:space="preserve"> </w:t>
      </w:r>
      <w:r w:rsidRPr="00FF3F40" w:rsidR="00D87799">
        <w:t xml:space="preserve">such </w:t>
      </w:r>
      <w:r w:rsidRPr="00FF3F40" w:rsidR="00FE3011">
        <w:t xml:space="preserve">as </w:t>
      </w:r>
      <w:r w:rsidRPr="00FF3F40" w:rsidR="00F15D04">
        <w:t>HIV prevalence and incidence</w:t>
      </w:r>
      <w:r w:rsidRPr="00FF3F40" w:rsidR="0078772A">
        <w:t xml:space="preserve">, as well as </w:t>
      </w:r>
      <w:r w:rsidRPr="00FF3F40" w:rsidR="00BC20D6">
        <w:t>population characteristics such as poverty, education</w:t>
      </w:r>
      <w:r w:rsidRPr="00FF3F40" w:rsidR="00E205D9">
        <w:t xml:space="preserve">, and employment. </w:t>
      </w:r>
      <w:r w:rsidRPr="00FF3F40" w:rsidR="00F15D04">
        <w:t xml:space="preserve">Potential sources of information on community characteristics include HIV surveillance data, the Area Health Resource File, </w:t>
      </w:r>
      <w:r w:rsidRPr="00FF3F40" w:rsidR="0078772A">
        <w:t>and</w:t>
      </w:r>
      <w:r w:rsidRPr="00FF3F40" w:rsidR="00F15D04">
        <w:t xml:space="preserve"> the America</w:t>
      </w:r>
      <w:r w:rsidRPr="00FF3F40" w:rsidR="00AD0545">
        <w:t>n</w:t>
      </w:r>
      <w:r w:rsidRPr="00FF3F40" w:rsidR="00F15D04">
        <w:t xml:space="preserve"> Community Survey</w:t>
      </w:r>
      <w:r w:rsidRPr="00FF3F40" w:rsidR="0078772A">
        <w:t>.</w:t>
      </w:r>
      <w:r w:rsidR="006274CF">
        <w:t xml:space="preserve"> In addition, we will use publicly available data to identify Medicaid expansion states, since we understand use of HAB resources may vary by this large difference in the state environment. Also, we will </w:t>
      </w:r>
      <w:r w:rsidR="006C30EC">
        <w:t xml:space="preserve">review </w:t>
      </w:r>
      <w:r w:rsidR="006274CF">
        <w:t xml:space="preserve">existing data within HAB that pertain to resource use, including </w:t>
      </w:r>
      <w:r w:rsidR="006C30EC">
        <w:t xml:space="preserve">(1) </w:t>
      </w:r>
      <w:r w:rsidR="006274CF">
        <w:t xml:space="preserve">Recipient Satisfaction Survey results (which are helpful but are much broader – they do not overlap with the new data collection proposed here), </w:t>
      </w:r>
      <w:r w:rsidR="006C30EC">
        <w:t>(2)</w:t>
      </w:r>
      <w:r w:rsidR="006274CF">
        <w:t xml:space="preserve"> call center volume from the National Clinician Consultation Center, which fields calls from clinicians about HIV treatment</w:t>
      </w:r>
      <w:r w:rsidR="006C30EC">
        <w:t xml:space="preserve"> (again, this is non-overlapping), and (3) the report from the National Evaluation Contractor for AETCs</w:t>
      </w:r>
      <w:r w:rsidR="006274CF">
        <w:t>.</w:t>
      </w:r>
    </w:p>
    <w:bookmarkEnd w:id="11"/>
    <w:p w:rsidR="00995972" w:rsidRPr="00FF3F40" w:rsidP="0035158E" w14:paraId="108D9DDC" w14:textId="0D335DE1">
      <w:pPr>
        <w:pStyle w:val="H3"/>
      </w:pPr>
      <w:r w:rsidRPr="00FF3F40">
        <w:t>3.</w:t>
      </w:r>
      <w:r w:rsidRPr="00FF3F40">
        <w:tab/>
      </w:r>
      <w:r w:rsidRPr="00FF3F40">
        <w:t xml:space="preserve">Use of </w:t>
      </w:r>
      <w:r w:rsidRPr="00FF3F40" w:rsidR="0035158E">
        <w:t>improved information technology and burden r</w:t>
      </w:r>
      <w:r w:rsidRPr="00FF3F40">
        <w:t>eduction</w:t>
      </w:r>
    </w:p>
    <w:p w:rsidR="00995972" w:rsidRPr="00FF3F40" w:rsidP="0035158E" w14:paraId="23EDC662" w14:textId="3A2D3F95">
      <w:pPr>
        <w:pStyle w:val="ParagraphContinued"/>
      </w:pPr>
      <w:r w:rsidRPr="00FF3F40">
        <w:t>We have made e</w:t>
      </w:r>
      <w:r w:rsidRPr="00FF3F40" w:rsidR="00934108">
        <w:t xml:space="preserve">fforts to minimize respondent burden while obtaining the essential information needed to answer the </w:t>
      </w:r>
      <w:r w:rsidRPr="00FF3F40" w:rsidR="007A5FB4">
        <w:t xml:space="preserve">RUDI </w:t>
      </w:r>
      <w:r w:rsidRPr="00FF3F40" w:rsidR="00486F92">
        <w:t>e</w:t>
      </w:r>
      <w:r w:rsidRPr="00FF3F40" w:rsidR="007A5FB4">
        <w:t xml:space="preserve">valuation research </w:t>
      </w:r>
      <w:r w:rsidRPr="00FF3F40" w:rsidR="00934108">
        <w:t>questions</w:t>
      </w:r>
      <w:r w:rsidRPr="00FF3F40" w:rsidR="00F709D5">
        <w:t xml:space="preserve">. </w:t>
      </w:r>
      <w:r w:rsidRPr="00FF3F40" w:rsidR="00486F92">
        <w:t>Fielding</w:t>
      </w:r>
      <w:r w:rsidRPr="00FF3F40" w:rsidR="00934108">
        <w:t xml:space="preserve"> </w:t>
      </w:r>
      <w:r w:rsidRPr="00FF3F40" w:rsidR="00F7290C">
        <w:t xml:space="preserve">one-time </w:t>
      </w:r>
      <w:r w:rsidRPr="00FF3F40" w:rsidR="00934108">
        <w:t>web-based</w:t>
      </w:r>
      <w:r w:rsidRPr="00FF3F40" w:rsidR="00F002A5">
        <w:t xml:space="preserve"> survey</w:t>
      </w:r>
      <w:r w:rsidR="00954D23">
        <w:t>s</w:t>
      </w:r>
      <w:r w:rsidRPr="00FF3F40" w:rsidR="00F002A5">
        <w:t xml:space="preserve"> and conducting </w:t>
      </w:r>
      <w:r w:rsidRPr="00FF3F40" w:rsidR="00F7290C">
        <w:t>s</w:t>
      </w:r>
      <w:r w:rsidRPr="00FF3F40" w:rsidR="00F002A5">
        <w:t xml:space="preserve">ite visits </w:t>
      </w:r>
      <w:r w:rsidR="00E955DD">
        <w:t xml:space="preserve">and interviews </w:t>
      </w:r>
      <w:r w:rsidRPr="00FF3F40" w:rsidR="00CB585F">
        <w:t>virtually</w:t>
      </w:r>
      <w:r w:rsidR="00954D23">
        <w:t xml:space="preserve"> </w:t>
      </w:r>
      <w:r w:rsidRPr="00FF3F40" w:rsidR="00486F92">
        <w:t xml:space="preserve">will </w:t>
      </w:r>
      <w:r w:rsidRPr="00FF3F40">
        <w:t>burden</w:t>
      </w:r>
      <w:r w:rsidRPr="00FF3F40" w:rsidR="00934108">
        <w:t xml:space="preserve"> respondent</w:t>
      </w:r>
      <w:r w:rsidRPr="00FF3F40">
        <w:t>s</w:t>
      </w:r>
      <w:r w:rsidRPr="00FF3F40" w:rsidR="00934108">
        <w:t xml:space="preserve"> </w:t>
      </w:r>
      <w:r w:rsidRPr="00FF3F40">
        <w:t>less than</w:t>
      </w:r>
      <w:r w:rsidRPr="00FF3F40" w:rsidR="00934108">
        <w:t xml:space="preserve"> alternate methods, such as</w:t>
      </w:r>
      <w:r w:rsidRPr="00FF3F40" w:rsidR="00E950D6">
        <w:t xml:space="preserve"> </w:t>
      </w:r>
      <w:r w:rsidRPr="00FF3F40" w:rsidR="00F7290C">
        <w:t xml:space="preserve">longitudinal </w:t>
      </w:r>
      <w:r w:rsidRPr="00FF3F40" w:rsidR="00934108">
        <w:t>paper</w:t>
      </w:r>
      <w:r w:rsidRPr="00FF3F40" w:rsidR="00E950D6">
        <w:t>-based</w:t>
      </w:r>
      <w:r w:rsidRPr="00FF3F40" w:rsidR="00F002A5">
        <w:t xml:space="preserve"> surveys and in-person site visits</w:t>
      </w:r>
      <w:r w:rsidR="00954D23">
        <w:t xml:space="preserve"> and interviews</w:t>
      </w:r>
      <w:r w:rsidRPr="00FF3F40" w:rsidR="00F002A5">
        <w:t xml:space="preserve">. </w:t>
      </w:r>
      <w:r w:rsidRPr="00FF3F40" w:rsidR="006F5E0E">
        <w:t xml:space="preserve">The RUDI </w:t>
      </w:r>
      <w:r w:rsidRPr="00FF3F40" w:rsidR="00486F92">
        <w:t>e</w:t>
      </w:r>
      <w:r w:rsidRPr="00FF3F40" w:rsidR="006F5E0E">
        <w:t xml:space="preserve">valuation will </w:t>
      </w:r>
      <w:r w:rsidRPr="00FF3F40" w:rsidR="00486F92">
        <w:t xml:space="preserve">collect </w:t>
      </w:r>
      <w:r w:rsidRPr="00FF3F40">
        <w:t>primary</w:t>
      </w:r>
      <w:r w:rsidRPr="00FF3F40" w:rsidR="00486F92">
        <w:t xml:space="preserve"> data</w:t>
      </w:r>
      <w:r w:rsidRPr="00FF3F40">
        <w:t xml:space="preserve"> and </w:t>
      </w:r>
      <w:r w:rsidRPr="00FF3F40" w:rsidR="00486F92">
        <w:t xml:space="preserve">acquire </w:t>
      </w:r>
      <w:r w:rsidRPr="00FF3F40">
        <w:t>secondary data</w:t>
      </w:r>
      <w:r w:rsidRPr="00FF3F40" w:rsidR="00C12045">
        <w:t xml:space="preserve"> through a combination of electronic methods </w:t>
      </w:r>
      <w:r w:rsidRPr="00FF3F40">
        <w:t xml:space="preserve">that we </w:t>
      </w:r>
      <w:r w:rsidRPr="00FF3F40" w:rsidR="00C12045">
        <w:t xml:space="preserve">describe </w:t>
      </w:r>
      <w:r w:rsidRPr="00FF3F40">
        <w:t>here</w:t>
      </w:r>
      <w:r w:rsidRPr="00FF3F40" w:rsidR="00C12045">
        <w:t xml:space="preserve">. </w:t>
      </w:r>
    </w:p>
    <w:p w:rsidR="00656DA6" w:rsidRPr="00FF3F40" w:rsidP="0035158E" w14:paraId="77F92A29" w14:textId="7716A292">
      <w:pPr>
        <w:pStyle w:val="Paragraph"/>
      </w:pPr>
      <w:r>
        <w:rPr>
          <w:b/>
        </w:rPr>
        <w:t xml:space="preserve">RUDI </w:t>
      </w:r>
      <w:r w:rsidR="00775186">
        <w:rPr>
          <w:b/>
        </w:rPr>
        <w:t>s</w:t>
      </w:r>
      <w:r>
        <w:rPr>
          <w:b/>
        </w:rPr>
        <w:t>urvey</w:t>
      </w:r>
      <w:r w:rsidR="00954D23">
        <w:rPr>
          <w:b/>
        </w:rPr>
        <w:t>s</w:t>
      </w:r>
      <w:r w:rsidRPr="00FF3F40" w:rsidR="00543134">
        <w:rPr>
          <w:b/>
        </w:rPr>
        <w:t xml:space="preserve">. </w:t>
      </w:r>
      <w:r w:rsidRPr="00FF3F40" w:rsidR="00486F92">
        <w:t xml:space="preserve">We will program </w:t>
      </w:r>
      <w:r w:rsidR="00954D23">
        <w:t xml:space="preserve">both the provider and recipient </w:t>
      </w:r>
      <w:r w:rsidRPr="00FF3F40">
        <w:t>web survey</w:t>
      </w:r>
      <w:r w:rsidR="00954D23">
        <w:t>s</w:t>
      </w:r>
      <w:r w:rsidRPr="00FF3F40">
        <w:t xml:space="preserve"> using </w:t>
      </w:r>
      <w:r w:rsidR="00775186">
        <w:t>QuestionPro</w:t>
      </w:r>
      <w:r w:rsidRPr="00FF3F40">
        <w:t xml:space="preserve"> software</w:t>
      </w:r>
      <w:r w:rsidRPr="00FF3F40" w:rsidR="00F709D5">
        <w:t xml:space="preserve">. </w:t>
      </w:r>
      <w:r w:rsidR="00775186">
        <w:t>QuestionPro</w:t>
      </w:r>
      <w:r w:rsidRPr="00FF3F40" w:rsidR="00775186">
        <w:t xml:space="preserve"> </w:t>
      </w:r>
      <w:r w:rsidRPr="00FF3F40">
        <w:t xml:space="preserve">allows </w:t>
      </w:r>
      <w:r w:rsidRPr="00FF3F40" w:rsidR="00486F92">
        <w:t xml:space="preserve">us to </w:t>
      </w:r>
      <w:r w:rsidRPr="00FF3F40">
        <w:t xml:space="preserve">design and program input screens that visually guide respondents through the survey instrument and </w:t>
      </w:r>
      <w:r w:rsidRPr="00FF3F40" w:rsidR="00486F92">
        <w:t xml:space="preserve">increase </w:t>
      </w:r>
      <w:r w:rsidRPr="00FF3F40">
        <w:t>accurate data entry</w:t>
      </w:r>
      <w:r w:rsidRPr="00FF3F40" w:rsidR="00F709D5">
        <w:t xml:space="preserve">. </w:t>
      </w:r>
      <w:r w:rsidR="00A973C2">
        <w:t>Pilot testing demonstrated that the web survey functions as intended and provided data required for accurate burden estimates.</w:t>
      </w:r>
      <w:r w:rsidRPr="00FF3F40" w:rsidR="00A973C2">
        <w:t xml:space="preserve"> </w:t>
      </w:r>
      <w:r w:rsidRPr="00FF3F40">
        <w:t xml:space="preserve">Analytic Computing Environment (ACE3). </w:t>
      </w:r>
      <w:r w:rsidRPr="00FF3F40" w:rsidR="007A5FB4">
        <w:t xml:space="preserve">In addition, </w:t>
      </w:r>
      <w:r w:rsidRPr="00FF3F40" w:rsidR="00C8615F">
        <w:t xml:space="preserve">we will conduct </w:t>
      </w:r>
      <w:r w:rsidRPr="00FF3F40" w:rsidR="007A5FB4">
        <w:t xml:space="preserve">all outreach to </w:t>
      </w:r>
      <w:r w:rsidRPr="00FF3F40" w:rsidR="00C8615F">
        <w:t xml:space="preserve">survey respondents </w:t>
      </w:r>
      <w:r w:rsidRPr="00FF3F40" w:rsidR="00C85AE2">
        <w:t>electronically via emails</w:t>
      </w:r>
      <w:r w:rsidRPr="00FF3F40" w:rsidR="007F1444">
        <w:t xml:space="preserve"> and, if applicable, notifications via </w:t>
      </w:r>
      <w:r w:rsidRPr="00FF3F40" w:rsidR="00C85AE2">
        <w:t>listservs and electronic newsletters.</w:t>
      </w:r>
    </w:p>
    <w:p w:rsidR="00FE7A38" w:rsidRPr="00FF3F40" w:rsidP="006A2BE0" w14:paraId="68FF25C1" w14:textId="7334170F">
      <w:pPr>
        <w:pStyle w:val="Paragraph"/>
      </w:pPr>
      <w:r w:rsidRPr="00FF3F40">
        <w:rPr>
          <w:b/>
        </w:rPr>
        <w:t>Virtual site visits</w:t>
      </w:r>
      <w:r w:rsidR="00954D23">
        <w:rPr>
          <w:b/>
        </w:rPr>
        <w:t xml:space="preserve"> and interviews</w:t>
      </w:r>
      <w:r w:rsidRPr="00FF3F40">
        <w:rPr>
          <w:b/>
        </w:rPr>
        <w:t xml:space="preserve">. </w:t>
      </w:r>
      <w:r w:rsidRPr="00FF3F40" w:rsidR="00667619">
        <w:t>We will conduct the v</w:t>
      </w:r>
      <w:r w:rsidRPr="00FF3F40" w:rsidR="00E47A48">
        <w:t>irtual s</w:t>
      </w:r>
      <w:r w:rsidRPr="00FF3F40">
        <w:t>ite visit</w:t>
      </w:r>
      <w:r w:rsidRPr="00FF3F40" w:rsidR="00667619">
        <w:t>s</w:t>
      </w:r>
      <w:r w:rsidR="00954D23">
        <w:t>, comprised of</w:t>
      </w:r>
      <w:r w:rsidRPr="00FF3F40" w:rsidR="00667619">
        <w:t xml:space="preserve"> </w:t>
      </w:r>
      <w:r w:rsidRPr="00FF3F40" w:rsidR="00635173">
        <w:t xml:space="preserve">individual </w:t>
      </w:r>
      <w:r w:rsidRPr="00FF3F40" w:rsidR="00667619">
        <w:t xml:space="preserve">or </w:t>
      </w:r>
      <w:r w:rsidRPr="00FF3F40" w:rsidR="00635173">
        <w:t xml:space="preserve">small-group </w:t>
      </w:r>
      <w:r w:rsidRPr="00FF3F40" w:rsidR="00E47A48">
        <w:t>interview</w:t>
      </w:r>
      <w:r w:rsidRPr="00FF3F40">
        <w:t xml:space="preserve">s </w:t>
      </w:r>
      <w:r w:rsidRPr="00FF3F40" w:rsidR="00667619">
        <w:t>(depending on the preference of the respondent)</w:t>
      </w:r>
      <w:r w:rsidR="00954D23">
        <w:t>, and RWHAP recipient and AETC interviews</w:t>
      </w:r>
      <w:r w:rsidRPr="00FF3F40" w:rsidR="00667619">
        <w:t xml:space="preserve"> </w:t>
      </w:r>
      <w:r w:rsidRPr="00FF3F40" w:rsidR="00610BC8">
        <w:t>over</w:t>
      </w:r>
      <w:r w:rsidRPr="00FF3F40" w:rsidR="00425C4A">
        <w:t xml:space="preserve"> </w:t>
      </w:r>
      <w:r w:rsidRPr="00FF3F40" w:rsidR="0027331C">
        <w:t>WebEx</w:t>
      </w:r>
      <w:r w:rsidRPr="00FF3F40" w:rsidR="00635173">
        <w:t xml:space="preserve">. </w:t>
      </w:r>
      <w:r w:rsidRPr="00FF3F40" w:rsidR="00C8615F">
        <w:t>We will schedule i</w:t>
      </w:r>
      <w:r w:rsidRPr="00FF3F40" w:rsidR="00E47A48">
        <w:t>nterviews</w:t>
      </w:r>
      <w:r w:rsidRPr="00FF3F40" w:rsidR="0027331C">
        <w:t xml:space="preserve"> at times convenient for </w:t>
      </w:r>
      <w:r w:rsidRPr="00FF3F40" w:rsidR="00C8615F">
        <w:t>each respondent</w:t>
      </w:r>
      <w:r w:rsidRPr="00FF3F40" w:rsidR="0027331C">
        <w:t xml:space="preserve">. </w:t>
      </w:r>
      <w:r w:rsidRPr="00FF3F40" w:rsidR="00610BC8">
        <w:t>With respondents’ verbal consent, w</w:t>
      </w:r>
      <w:r w:rsidRPr="00FF3F40" w:rsidR="00C8615F">
        <w:t>e will audio record all i</w:t>
      </w:r>
      <w:r w:rsidRPr="00FF3F40" w:rsidR="00E47A48">
        <w:t>nterviews</w:t>
      </w:r>
      <w:r w:rsidRPr="00FF3F40" w:rsidR="00610BC8">
        <w:t xml:space="preserve"> and</w:t>
      </w:r>
      <w:r w:rsidRPr="00FF3F40" w:rsidR="00667619">
        <w:t xml:space="preserve"> store </w:t>
      </w:r>
      <w:r w:rsidRPr="00FF3F40" w:rsidR="003A2FF7">
        <w:t>the audio</w:t>
      </w:r>
      <w:r w:rsidRPr="00FF3F40" w:rsidR="00667619">
        <w:t xml:space="preserve"> </w:t>
      </w:r>
      <w:r w:rsidRPr="00FF3F40" w:rsidR="003A2FF7">
        <w:t xml:space="preserve">recordings and electronic notes on </w:t>
      </w:r>
      <w:r w:rsidRPr="00FF3F40">
        <w:t>a secure server</w:t>
      </w:r>
      <w:r w:rsidRPr="00FF3F40" w:rsidR="003A2FF7">
        <w:t xml:space="preserve"> with need</w:t>
      </w:r>
      <w:r w:rsidRPr="00FF3F40" w:rsidR="00610BC8">
        <w:t>-</w:t>
      </w:r>
      <w:r w:rsidRPr="00FF3F40" w:rsidR="003A2FF7">
        <w:t>to</w:t>
      </w:r>
      <w:r w:rsidRPr="00FF3F40" w:rsidR="00610BC8">
        <w:t>-</w:t>
      </w:r>
      <w:r w:rsidRPr="00FF3F40" w:rsidR="003A2FF7">
        <w:t>know access</w:t>
      </w:r>
      <w:r w:rsidRPr="00FF3F40">
        <w:t>.</w:t>
      </w:r>
    </w:p>
    <w:p w:rsidR="00DB7177" w:rsidRPr="00FF3F40" w:rsidP="006A2BE0" w14:paraId="7D0B2626" w14:textId="317806EF">
      <w:pPr>
        <w:pStyle w:val="H3"/>
      </w:pPr>
      <w:r w:rsidRPr="00FF3F40">
        <w:t>4.</w:t>
      </w:r>
      <w:r w:rsidRPr="00FF3F40">
        <w:tab/>
      </w:r>
      <w:r w:rsidRPr="00FF3F40" w:rsidR="00376738">
        <w:t xml:space="preserve">Efforts to </w:t>
      </w:r>
      <w:r w:rsidRPr="00FF3F40">
        <w:t>identify duplication and use of similar i</w:t>
      </w:r>
      <w:r w:rsidRPr="00FF3F40">
        <w:t>nformation</w:t>
      </w:r>
    </w:p>
    <w:p w:rsidR="00624B5A" w:rsidRPr="00FF3F40" w:rsidP="006A2BE0" w14:paraId="35AC6234" w14:textId="0D7C26C3">
      <w:pPr>
        <w:pStyle w:val="ParagraphContinued"/>
      </w:pPr>
      <w:r w:rsidRPr="00FF3F40">
        <w:t xml:space="preserve">This evaluation collects information unique to </w:t>
      </w:r>
      <w:r w:rsidRPr="00FF3F40" w:rsidR="003A2FF7">
        <w:t xml:space="preserve">the RUDI </w:t>
      </w:r>
      <w:r w:rsidRPr="00FF3F40" w:rsidR="00667619">
        <w:t>e</w:t>
      </w:r>
      <w:r w:rsidRPr="00FF3F40" w:rsidR="003A2FF7">
        <w:t xml:space="preserve">valuation </w:t>
      </w:r>
      <w:r w:rsidRPr="00FF3F40" w:rsidR="00667619">
        <w:t xml:space="preserve">and </w:t>
      </w:r>
      <w:r w:rsidRPr="00FF3F40">
        <w:t>that</w:t>
      </w:r>
      <w:r w:rsidRPr="00FF3F40" w:rsidR="00667619">
        <w:t>, in the absence of this study,</w:t>
      </w:r>
      <w:r w:rsidRPr="00FF3F40">
        <w:t xml:space="preserve"> is not available to </w:t>
      </w:r>
      <w:r w:rsidRPr="00FF3F40" w:rsidR="001B109B">
        <w:t>HAB</w:t>
      </w:r>
      <w:r w:rsidRPr="00FF3F40">
        <w:t>. With an eye toward minimiz</w:t>
      </w:r>
      <w:r w:rsidRPr="00FF3F40" w:rsidR="00130899">
        <w:t xml:space="preserve">ing duplication and burden, </w:t>
      </w:r>
      <w:r w:rsidRPr="00FF3F40" w:rsidR="00667619">
        <w:t xml:space="preserve">the </w:t>
      </w:r>
      <w:r w:rsidRPr="00FF3F40" w:rsidR="00635173">
        <w:t xml:space="preserve">survey and interview </w:t>
      </w:r>
      <w:r w:rsidRPr="00FF3F40">
        <w:t xml:space="preserve">data </w:t>
      </w:r>
      <w:r w:rsidRPr="00FF3F40" w:rsidR="00667619">
        <w:t xml:space="preserve">generated by this study </w:t>
      </w:r>
      <w:r w:rsidR="0020178B">
        <w:t xml:space="preserve">are not duplicative </w:t>
      </w:r>
      <w:r w:rsidRPr="00FF3F40">
        <w:t xml:space="preserve">and </w:t>
      </w:r>
      <w:r w:rsidRPr="00FF3F40" w:rsidR="00667619">
        <w:t xml:space="preserve">are </w:t>
      </w:r>
      <w:r w:rsidRPr="00FF3F40">
        <w:t xml:space="preserve">complementary to the other evaluation and monitoring </w:t>
      </w:r>
      <w:r w:rsidRPr="00FF3F40" w:rsidR="00EF1DF4">
        <w:t>activities conducted by HAB</w:t>
      </w:r>
      <w:r w:rsidRPr="00FF3F40" w:rsidR="00F709D5">
        <w:t xml:space="preserve">. </w:t>
      </w:r>
      <w:r w:rsidRPr="00FF3F40" w:rsidR="00DB7177">
        <w:t>The overall evaluation strategy u</w:t>
      </w:r>
      <w:r w:rsidRPr="00FF3F40" w:rsidR="0008392D">
        <w:t>se</w:t>
      </w:r>
      <w:r w:rsidRPr="00FF3F40" w:rsidR="00DB7177">
        <w:t xml:space="preserve">s </w:t>
      </w:r>
      <w:r w:rsidR="00954D23">
        <w:t>four</w:t>
      </w:r>
      <w:r w:rsidRPr="00FF3F40" w:rsidR="00954D23">
        <w:t xml:space="preserve"> </w:t>
      </w:r>
      <w:r w:rsidRPr="00FF3F40" w:rsidR="0057238B">
        <w:t>primary data sources</w:t>
      </w:r>
      <w:r w:rsidRPr="00FF3F40" w:rsidR="002D1550">
        <w:t xml:space="preserve"> to </w:t>
      </w:r>
      <w:r w:rsidRPr="00FF3F40" w:rsidR="003A1677">
        <w:t xml:space="preserve">generate data that do not currently </w:t>
      </w:r>
      <w:r w:rsidRPr="00FF3F40" w:rsidR="007F1444">
        <w:t>exist:</w:t>
      </w:r>
      <w:r w:rsidRPr="00FF3F40" w:rsidR="00EF1DF4">
        <w:t xml:space="preserve"> (1) </w:t>
      </w:r>
      <w:r w:rsidRPr="00FF3F40" w:rsidR="0057238B">
        <w:t xml:space="preserve">the </w:t>
      </w:r>
      <w:r w:rsidR="00562928">
        <w:t xml:space="preserve">RUDI </w:t>
      </w:r>
      <w:r w:rsidR="001B36AA">
        <w:t>s</w:t>
      </w:r>
      <w:r w:rsidR="00562928">
        <w:t>urvey</w:t>
      </w:r>
      <w:r w:rsidR="00954D23">
        <w:t>s</w:t>
      </w:r>
      <w:r w:rsidRPr="00FF3F40" w:rsidR="0057238B">
        <w:t xml:space="preserve"> and </w:t>
      </w:r>
      <w:r w:rsidRPr="00FF3F40" w:rsidR="00EF1DF4">
        <w:t xml:space="preserve">(2) virtual site visit </w:t>
      </w:r>
      <w:r w:rsidRPr="00FF3F40" w:rsidR="00635173">
        <w:t xml:space="preserve">interviews with staff at </w:t>
      </w:r>
      <w:r w:rsidRPr="00FF3F40" w:rsidR="00EF1DF4">
        <w:t xml:space="preserve">selected </w:t>
      </w:r>
      <w:r w:rsidRPr="00FF3F40" w:rsidR="00635173">
        <w:t xml:space="preserve">RWHAP </w:t>
      </w:r>
      <w:r w:rsidRPr="00FF3F40" w:rsidR="00865F07">
        <w:t>provider sites</w:t>
      </w:r>
      <w:r w:rsidR="00954D23">
        <w:t>, (3) interviews with RWHAP recipients, and 4) interview</w:t>
      </w:r>
      <w:r w:rsidR="00E955DD">
        <w:t>s</w:t>
      </w:r>
      <w:r w:rsidR="00954D23">
        <w:t xml:space="preserve"> with AETC staff</w:t>
      </w:r>
      <w:r w:rsidRPr="00FF3F40" w:rsidR="00865F07">
        <w:t xml:space="preserve">. </w:t>
      </w:r>
      <w:r w:rsidRPr="00FF3F40" w:rsidR="004A7CCF">
        <w:t xml:space="preserve">The RUDI </w:t>
      </w:r>
      <w:r w:rsidRPr="00FF3F40" w:rsidR="00EF1DF4">
        <w:t>e</w:t>
      </w:r>
      <w:r w:rsidRPr="00FF3F40" w:rsidR="004A7CCF">
        <w:t xml:space="preserve">valuation also </w:t>
      </w:r>
      <w:r w:rsidRPr="00FF3F40" w:rsidR="00EF1DF4">
        <w:t xml:space="preserve">leverages </w:t>
      </w:r>
      <w:r w:rsidRPr="00FF3F40" w:rsidR="004A7CCF">
        <w:t xml:space="preserve">the </w:t>
      </w:r>
      <w:r w:rsidR="006C30EC">
        <w:t xml:space="preserve">following </w:t>
      </w:r>
      <w:r w:rsidRPr="00FF3F40" w:rsidR="003A1677">
        <w:t>existing data sources</w:t>
      </w:r>
      <w:r w:rsidRPr="00FF3F40" w:rsidR="00EF1DF4">
        <w:t xml:space="preserve">: (1) </w:t>
      </w:r>
      <w:r w:rsidRPr="00FF3F40" w:rsidR="00937040">
        <w:t>RSR</w:t>
      </w:r>
      <w:r w:rsidR="006E5466">
        <w:t xml:space="preserve"> and DSR</w:t>
      </w:r>
      <w:r w:rsidRPr="00FF3F40" w:rsidR="00937040">
        <w:t xml:space="preserve"> data</w:t>
      </w:r>
      <w:r w:rsidRPr="00FF3F40" w:rsidR="00582D46">
        <w:t xml:space="preserve">, </w:t>
      </w:r>
      <w:r w:rsidRPr="00FF3F40" w:rsidR="00EF1DF4">
        <w:t xml:space="preserve">(2) </w:t>
      </w:r>
      <w:r w:rsidRPr="00FF3F40" w:rsidR="00937040">
        <w:t xml:space="preserve">Google </w:t>
      </w:r>
      <w:r w:rsidRPr="00FF3F40" w:rsidR="00EF1DF4">
        <w:t>A</w:t>
      </w:r>
      <w:r w:rsidRPr="00FF3F40" w:rsidR="00937040">
        <w:t>nalytics</w:t>
      </w:r>
      <w:r w:rsidRPr="00FF3F40" w:rsidR="00EF1DF4">
        <w:t xml:space="preserve"> data</w:t>
      </w:r>
      <w:r w:rsidRPr="00FF3F40" w:rsidR="00582D46">
        <w:t xml:space="preserve">, and </w:t>
      </w:r>
      <w:r w:rsidRPr="00FF3F40" w:rsidR="00EF1DF4">
        <w:t xml:space="preserve">(3) other </w:t>
      </w:r>
      <w:r w:rsidRPr="00FF3F40" w:rsidR="00C7022C">
        <w:t>publicly available</w:t>
      </w:r>
      <w:r w:rsidRPr="00FF3F40" w:rsidR="00937040">
        <w:t xml:space="preserve"> data</w:t>
      </w:r>
      <w:r w:rsidRPr="00FF3F40" w:rsidR="00C7022C">
        <w:t xml:space="preserve"> </w:t>
      </w:r>
      <w:r w:rsidRPr="00FF3F40" w:rsidR="00EF1DF4">
        <w:t xml:space="preserve">files with </w:t>
      </w:r>
      <w:r w:rsidRPr="00FF3F40" w:rsidR="00C7022C">
        <w:t>information</w:t>
      </w:r>
      <w:r w:rsidRPr="00FF3F40" w:rsidR="00937040">
        <w:t xml:space="preserve"> on community characteristics</w:t>
      </w:r>
      <w:r w:rsidR="006C30EC">
        <w:t xml:space="preserve">, and (4) existing reports from within HAB, pertaining to National Clinician Consultation </w:t>
      </w:r>
      <w:r w:rsidR="006C30EC">
        <w:t>Center call volume, National Evaluation Contractor information for AETCs, and Recipient Satisfaction Survey data</w:t>
      </w:r>
      <w:r w:rsidRPr="00FF3F40" w:rsidR="00937040">
        <w:t>.</w:t>
      </w:r>
      <w:r w:rsidRPr="00FF3F40" w:rsidR="004A7CCF">
        <w:t xml:space="preserve"> This approach ensures that </w:t>
      </w:r>
      <w:r w:rsidRPr="00FF3F40">
        <w:t>e</w:t>
      </w:r>
      <w:r w:rsidRPr="00FF3F40" w:rsidR="004A7CCF">
        <w:t xml:space="preserve">valuation participants </w:t>
      </w:r>
      <w:r w:rsidRPr="00FF3F40">
        <w:t xml:space="preserve">are asked only </w:t>
      </w:r>
      <w:r w:rsidRPr="00FF3F40" w:rsidR="00EF1DF4">
        <w:t xml:space="preserve">for information </w:t>
      </w:r>
      <w:r w:rsidRPr="00FF3F40">
        <w:t>that does not currently exist.</w:t>
      </w:r>
    </w:p>
    <w:p w:rsidR="00130899" w:rsidRPr="00FF3F40" w:rsidP="006A2BE0" w14:paraId="7B73D78F" w14:textId="184A7566">
      <w:pPr>
        <w:pStyle w:val="Paragraph"/>
      </w:pPr>
      <w:r w:rsidRPr="00FF3F40">
        <w:t>Th</w:t>
      </w:r>
      <w:r w:rsidRPr="00FF3F40" w:rsidR="00EF1DF4">
        <w:t xml:space="preserve">e </w:t>
      </w:r>
      <w:r w:rsidRPr="00FF3F40">
        <w:t>information collect</w:t>
      </w:r>
      <w:r w:rsidRPr="00FF3F40" w:rsidR="00EF1DF4">
        <w:t>ed through these activities serve</w:t>
      </w:r>
      <w:r w:rsidRPr="00FF3F40" w:rsidR="0008392D">
        <w:t>s</w:t>
      </w:r>
      <w:r w:rsidRPr="00FF3F40" w:rsidR="00EF1DF4">
        <w:t xml:space="preserve"> as </w:t>
      </w:r>
      <w:r w:rsidRPr="00FF3F40">
        <w:t xml:space="preserve">the only comprehensive source of qualitative and quantitative information </w:t>
      </w:r>
      <w:r w:rsidRPr="00FF3F40" w:rsidR="00EF1DF4">
        <w:t xml:space="preserve">for </w:t>
      </w:r>
      <w:r w:rsidRPr="00FF3F40" w:rsidR="0005634A">
        <w:t xml:space="preserve">meeting </w:t>
      </w:r>
      <w:r w:rsidRPr="00FF3F40" w:rsidR="00EF1DF4">
        <w:t xml:space="preserve">the goals of the </w:t>
      </w:r>
      <w:r w:rsidRPr="00FF3F40" w:rsidR="000226FE">
        <w:t xml:space="preserve">RUDI </w:t>
      </w:r>
      <w:r w:rsidRPr="00FF3F40" w:rsidR="00EF1DF4">
        <w:t>e</w:t>
      </w:r>
      <w:r w:rsidRPr="00FF3F40" w:rsidR="000226FE">
        <w:t>valuation</w:t>
      </w:r>
      <w:r w:rsidRPr="00FF3F40">
        <w:t xml:space="preserve">. </w:t>
      </w:r>
    </w:p>
    <w:p w:rsidR="00995972" w:rsidRPr="00FF3F40" w:rsidP="006A2BE0" w14:paraId="7D0088D7" w14:textId="32D8C011">
      <w:pPr>
        <w:pStyle w:val="H3"/>
        <w:rPr>
          <w:color w:val="000000"/>
        </w:rPr>
      </w:pPr>
      <w:r w:rsidRPr="00FF3F40">
        <w:t>5.</w:t>
      </w:r>
      <w:r w:rsidRPr="00FF3F40">
        <w:tab/>
      </w:r>
      <w:r w:rsidRPr="00FF3F40" w:rsidR="009B3794">
        <w:t xml:space="preserve">Impact on </w:t>
      </w:r>
      <w:r w:rsidRPr="00FF3F40">
        <w:t>small business or other small entities</w:t>
      </w:r>
    </w:p>
    <w:p w:rsidR="00047976" w:rsidRPr="00FF3F40" w:rsidP="006A2BE0" w14:paraId="09AF116D" w14:textId="418E9558">
      <w:pPr>
        <w:pStyle w:val="ParagraphContinued"/>
        <w:rPr>
          <w:color w:val="FF0000"/>
        </w:rPr>
      </w:pPr>
      <w:r w:rsidRPr="00FF3F40">
        <w:t>Information collection will not have a significant impact on small entities</w:t>
      </w:r>
      <w:r w:rsidRPr="00FF3F40" w:rsidR="00F709D5">
        <w:t xml:space="preserve">. </w:t>
      </w:r>
      <w:r w:rsidRPr="00FF3F40" w:rsidR="0005634A">
        <w:t>We will collect d</w:t>
      </w:r>
      <w:r w:rsidRPr="00FF3F40">
        <w:t xml:space="preserve">ata from </w:t>
      </w:r>
      <w:r w:rsidRPr="00FF3F40" w:rsidR="00266A9A">
        <w:t xml:space="preserve">RWHAP recipients and subrecipients, which typically do not </w:t>
      </w:r>
      <w:r w:rsidRPr="00FF3F40">
        <w:t xml:space="preserve">constitute small businesses. </w:t>
      </w:r>
    </w:p>
    <w:p w:rsidR="005658C4" w:rsidRPr="00FF3F40" w:rsidP="006A2BE0" w14:paraId="68DC6BAB" w14:textId="7BE08E14">
      <w:pPr>
        <w:pStyle w:val="H3"/>
      </w:pPr>
      <w:r w:rsidRPr="00FF3F40">
        <w:t>6.</w:t>
      </w:r>
      <w:r w:rsidRPr="00FF3F40">
        <w:tab/>
      </w:r>
      <w:r w:rsidRPr="00FF3F40" w:rsidR="009B3794">
        <w:t xml:space="preserve">Consequences of </w:t>
      </w:r>
      <w:r w:rsidRPr="00FF3F40">
        <w:t>collecting the information less frequently</w:t>
      </w:r>
    </w:p>
    <w:p w:rsidR="00A47C1D" w:rsidRPr="00FF3F40" w:rsidP="006A2BE0" w14:paraId="27F1511D" w14:textId="7D56DEBF">
      <w:pPr>
        <w:pStyle w:val="ParagraphContinued"/>
      </w:pPr>
      <w:r w:rsidRPr="00FF3F40">
        <w:t xml:space="preserve">The </w:t>
      </w:r>
      <w:r w:rsidRPr="00FF3F40" w:rsidR="0005634A">
        <w:t xml:space="preserve">proposed </w:t>
      </w:r>
      <w:r w:rsidRPr="00FF3F40">
        <w:t>f</w:t>
      </w:r>
      <w:r w:rsidRPr="00FF3F40" w:rsidR="00040287">
        <w:t>requency of data collection</w:t>
      </w:r>
      <w:r w:rsidRPr="00FF3F40" w:rsidR="005658C4">
        <w:t xml:space="preserve"> </w:t>
      </w:r>
      <w:r w:rsidRPr="00FF3F40" w:rsidR="0005634A">
        <w:t>(one-time survey</w:t>
      </w:r>
      <w:r w:rsidR="005235F0">
        <w:t>s</w:t>
      </w:r>
      <w:r w:rsidRPr="00FF3F40" w:rsidR="0005634A">
        <w:t xml:space="preserve"> and one round of virtual site visit interviews) </w:t>
      </w:r>
      <w:r w:rsidRPr="00FF3F40" w:rsidR="005658C4">
        <w:t xml:space="preserve">is </w:t>
      </w:r>
      <w:r w:rsidRPr="00FF3F40" w:rsidR="00040287">
        <w:t xml:space="preserve">the minimum necessary to meet </w:t>
      </w:r>
      <w:r w:rsidRPr="00FF3F40" w:rsidR="00266A9A">
        <w:t xml:space="preserve">the </w:t>
      </w:r>
      <w:r w:rsidRPr="00FF3F40" w:rsidR="005658C4">
        <w:t xml:space="preserve">evaluation objectives. </w:t>
      </w:r>
      <w:r w:rsidRPr="00FF3F40" w:rsidR="0005634A">
        <w:t>We developed the proposed p</w:t>
      </w:r>
      <w:r w:rsidRPr="00FF3F40" w:rsidR="00040287">
        <w:t xml:space="preserve">lans for data collection activities </w:t>
      </w:r>
      <w:r w:rsidRPr="00FF3F40" w:rsidR="00D11276">
        <w:t xml:space="preserve">with input from </w:t>
      </w:r>
      <w:r w:rsidRPr="00FF3F40" w:rsidR="0005634A">
        <w:t xml:space="preserve">a </w:t>
      </w:r>
      <w:r w:rsidRPr="00FF3F40" w:rsidR="0034517F">
        <w:t xml:space="preserve">RUDI </w:t>
      </w:r>
      <w:r w:rsidRPr="00FF3F40" w:rsidR="004D7686">
        <w:t>w</w:t>
      </w:r>
      <w:r w:rsidRPr="00FF3F40" w:rsidR="0034517F">
        <w:t>ork</w:t>
      </w:r>
      <w:r w:rsidRPr="00FF3F40" w:rsidR="004D7686">
        <w:t xml:space="preserve"> </w:t>
      </w:r>
      <w:r w:rsidRPr="00FF3F40" w:rsidR="0034517F">
        <w:t>group,</w:t>
      </w:r>
      <w:r w:rsidRPr="00FF3F40" w:rsidR="0005634A">
        <w:t xml:space="preserve"> </w:t>
      </w:r>
      <w:r w:rsidRPr="00FF3F40" w:rsidR="0034517F">
        <w:t xml:space="preserve">HAB project officers, and HAB leaders. </w:t>
      </w:r>
      <w:r w:rsidRPr="00FF3F40" w:rsidR="0005634A">
        <w:t>We made e</w:t>
      </w:r>
      <w:r w:rsidRPr="00FF3F40">
        <w:t>fforts to</w:t>
      </w:r>
      <w:r w:rsidRPr="00FF3F40" w:rsidR="00040287">
        <w:t xml:space="preserve"> consider</w:t>
      </w:r>
      <w:r w:rsidRPr="00FF3F40">
        <w:t xml:space="preserve"> and balance</w:t>
      </w:r>
      <w:r w:rsidRPr="00FF3F40" w:rsidR="00040287">
        <w:t xml:space="preserve"> data c</w:t>
      </w:r>
      <w:r w:rsidRPr="00FF3F40">
        <w:t xml:space="preserve">ollection burden with </w:t>
      </w:r>
      <w:r w:rsidRPr="00FF3F40" w:rsidR="00501099">
        <w:t xml:space="preserve">the </w:t>
      </w:r>
      <w:r w:rsidRPr="00FF3F40">
        <w:t xml:space="preserve">ability to achieve </w:t>
      </w:r>
      <w:r w:rsidRPr="00FF3F40" w:rsidR="0005634A">
        <w:t xml:space="preserve">the </w:t>
      </w:r>
      <w:r w:rsidRPr="00FF3F40">
        <w:t>evaluation</w:t>
      </w:r>
      <w:r w:rsidRPr="00FF3F40" w:rsidR="004D7686">
        <w:t>’s</w:t>
      </w:r>
      <w:r w:rsidRPr="00FF3F40">
        <w:t xml:space="preserve"> aims</w:t>
      </w:r>
      <w:r w:rsidRPr="00FF3F40" w:rsidR="00040287">
        <w:t xml:space="preserve">. </w:t>
      </w:r>
      <w:r w:rsidRPr="00FF3F40" w:rsidR="00462A23">
        <w:t>The</w:t>
      </w:r>
      <w:r w:rsidRPr="00FF3F40" w:rsidR="00501099">
        <w:t xml:space="preserve"> </w:t>
      </w:r>
      <w:r w:rsidRPr="00FF3F40" w:rsidR="00040287">
        <w:t>evaluation design includes</w:t>
      </w:r>
      <w:r w:rsidRPr="00FF3F40" w:rsidR="00083E8C">
        <w:t xml:space="preserve"> </w:t>
      </w:r>
      <w:r w:rsidR="005235F0">
        <w:t xml:space="preserve">two, </w:t>
      </w:r>
      <w:r w:rsidRPr="00FF3F40" w:rsidR="00083E8C">
        <w:t>one-time</w:t>
      </w:r>
      <w:r w:rsidRPr="00FF3F40" w:rsidR="00462A23">
        <w:t xml:space="preserve"> </w:t>
      </w:r>
      <w:r w:rsidRPr="00FF3F40" w:rsidR="00083E8C">
        <w:t>web</w:t>
      </w:r>
      <w:r w:rsidRPr="00FF3F40" w:rsidR="0005634A">
        <w:t>-based</w:t>
      </w:r>
      <w:r w:rsidRPr="00FF3F40" w:rsidR="00083E8C">
        <w:t xml:space="preserve"> survey</w:t>
      </w:r>
      <w:r w:rsidR="005235F0">
        <w:t>s</w:t>
      </w:r>
      <w:r w:rsidR="006C30EC">
        <w:t>,</w:t>
      </w:r>
      <w:r w:rsidRPr="00FF3F40" w:rsidR="00462A23">
        <w:t xml:space="preserve"> </w:t>
      </w:r>
      <w:r w:rsidRPr="00FF3F40">
        <w:t xml:space="preserve">up to </w:t>
      </w:r>
      <w:r w:rsidRPr="00FF3F40" w:rsidR="0005634A">
        <w:t xml:space="preserve">a maximum of 200 </w:t>
      </w:r>
      <w:r w:rsidRPr="00FF3F40">
        <w:t xml:space="preserve">interviews with staff </w:t>
      </w:r>
      <w:r w:rsidRPr="00FF3F40" w:rsidR="004D7686">
        <w:t xml:space="preserve">from </w:t>
      </w:r>
      <w:r w:rsidRPr="00FF3F40" w:rsidR="007F1444">
        <w:t xml:space="preserve">across </w:t>
      </w:r>
      <w:r w:rsidRPr="00FF3F40" w:rsidR="0005634A">
        <w:t xml:space="preserve">40 </w:t>
      </w:r>
      <w:r w:rsidRPr="00FF3F40" w:rsidR="00462A23">
        <w:t>RWHAP provider sites</w:t>
      </w:r>
      <w:r w:rsidR="006C30EC">
        <w:t xml:space="preserve">, up to </w:t>
      </w:r>
      <w:r w:rsidR="008C5C39">
        <w:t>30 interviews with Part A and B recipient administrative contacts, and up to 8 interviews with AETC contacts</w:t>
      </w:r>
      <w:r w:rsidRPr="00FF3F40" w:rsidR="00462A23">
        <w:t xml:space="preserve">. </w:t>
      </w:r>
      <w:r w:rsidRPr="00FF3F40" w:rsidR="00FC2503">
        <w:t>Because relevant data does not currently exist, t</w:t>
      </w:r>
      <w:r w:rsidRPr="00FF3F40" w:rsidR="00696E9E">
        <w:t xml:space="preserve">hese </w:t>
      </w:r>
      <w:r w:rsidRPr="00FF3F40" w:rsidR="00A77062">
        <w:t xml:space="preserve">data collection activities </w:t>
      </w:r>
      <w:r w:rsidRPr="00FF3F40" w:rsidR="004D7686">
        <w:t xml:space="preserve">are required </w:t>
      </w:r>
      <w:r w:rsidRPr="00FF3F40" w:rsidR="00FC2503">
        <w:t>to achieve</w:t>
      </w:r>
      <w:r w:rsidRPr="00FF3F40" w:rsidR="004D7686">
        <w:t xml:space="preserve"> the evaluation’s objectives</w:t>
      </w:r>
      <w:r w:rsidRPr="00FF3F40" w:rsidR="00A77062">
        <w:t xml:space="preserve">. </w:t>
      </w:r>
      <w:r w:rsidRPr="00FF3F40" w:rsidR="00017B73">
        <w:t>Importantly, HAB has implemented s</w:t>
      </w:r>
      <w:r w:rsidRPr="00FF3F40" w:rsidR="00696E9E">
        <w:t xml:space="preserve">trategies to reduce </w:t>
      </w:r>
      <w:r w:rsidRPr="00FF3F40" w:rsidR="00017B73">
        <w:t xml:space="preserve">burden on </w:t>
      </w:r>
      <w:r w:rsidR="008C5C39">
        <w:t>participants</w:t>
      </w:r>
      <w:r w:rsidRPr="00FF3F40" w:rsidR="00017B73">
        <w:t xml:space="preserve"> by </w:t>
      </w:r>
      <w:r w:rsidRPr="00FF3F40">
        <w:t xml:space="preserve">employing electronic and virtual data collection techniques and </w:t>
      </w:r>
      <w:r w:rsidRPr="00FF3F40" w:rsidR="00017B73">
        <w:t xml:space="preserve">using relevant, </w:t>
      </w:r>
      <w:r w:rsidRPr="00FF3F40" w:rsidR="00083E8C">
        <w:t>readily available secondary data (RSR</w:t>
      </w:r>
      <w:r w:rsidR="006E5466">
        <w:t xml:space="preserve"> and DSR files</w:t>
      </w:r>
      <w:r w:rsidRPr="00FF3F40" w:rsidR="00083E8C">
        <w:t xml:space="preserve">, Google </w:t>
      </w:r>
      <w:r w:rsidRPr="00FF3F40" w:rsidR="0005634A">
        <w:t>A</w:t>
      </w:r>
      <w:r w:rsidRPr="00FF3F40" w:rsidR="00083E8C">
        <w:t>nalytics, publicly available data sets</w:t>
      </w:r>
      <w:r w:rsidR="008C5C39">
        <w:t>, and existing reports from within HAB</w:t>
      </w:r>
      <w:r w:rsidRPr="00FF3F40" w:rsidR="00083E8C">
        <w:t>)</w:t>
      </w:r>
      <w:r w:rsidRPr="00FF3F40" w:rsidR="00F709D5">
        <w:t xml:space="preserve">. </w:t>
      </w:r>
    </w:p>
    <w:p w:rsidR="00DE358E" w:rsidRPr="00FF3F40" w:rsidP="006A2BE0" w14:paraId="07A535E7" w14:textId="31A1B886">
      <w:pPr>
        <w:pStyle w:val="Paragraph"/>
      </w:pPr>
      <w:r w:rsidRPr="00FF3F40">
        <w:t xml:space="preserve">If </w:t>
      </w:r>
      <w:r w:rsidRPr="00FF3F40" w:rsidR="007D2F73">
        <w:t xml:space="preserve">we do not conduct </w:t>
      </w:r>
      <w:r w:rsidRPr="00FF3F40">
        <w:t xml:space="preserve">the </w:t>
      </w:r>
      <w:r w:rsidR="00562928">
        <w:t>RUDI</w:t>
      </w:r>
      <w:r w:rsidR="005235F0">
        <w:t>-P/S and RUDI-R</w:t>
      </w:r>
      <w:r w:rsidR="00562928">
        <w:t xml:space="preserve"> Survey</w:t>
      </w:r>
      <w:r w:rsidR="005235F0">
        <w:t>s</w:t>
      </w:r>
      <w:r w:rsidRPr="00FF3F40">
        <w:t xml:space="preserve"> and virtual site visits</w:t>
      </w:r>
      <w:r w:rsidRPr="00FF3F40" w:rsidR="007D2F73">
        <w:t>,</w:t>
      </w:r>
      <w:r w:rsidRPr="00FF3F40" w:rsidR="003D6A6F">
        <w:t xml:space="preserve"> </w:t>
      </w:r>
      <w:r w:rsidRPr="00FF3F40">
        <w:t xml:space="preserve">HAB will continue to lack important information about </w:t>
      </w:r>
      <w:r w:rsidRPr="00FF3F40" w:rsidR="003D6A6F">
        <w:t xml:space="preserve">the </w:t>
      </w:r>
      <w:r w:rsidRPr="00FF3F40" w:rsidR="005F3379">
        <w:t xml:space="preserve">uptake, utility, and efficacy of the products it disseminates, the effectiveness of its dissemination process, and the reach of its key dissemination channels. </w:t>
      </w:r>
      <w:r w:rsidRPr="00FF3F40" w:rsidR="007D2F73">
        <w:t xml:space="preserve">The lack of information on the uptake, use, and efficacy of HAB’s dissemination resources and products will constrain the implementation of effective care delivery strategies across the country and ultimately </w:t>
      </w:r>
      <w:r w:rsidRPr="00FF3F40" w:rsidR="00EF16E5">
        <w:t>impede</w:t>
      </w:r>
      <w:r w:rsidRPr="00FF3F40" w:rsidR="003D6A6F">
        <w:t xml:space="preserve"> </w:t>
      </w:r>
      <w:r w:rsidRPr="00FF3F40" w:rsidR="00EF16E5">
        <w:t xml:space="preserve">movement toward the </w:t>
      </w:r>
      <w:r w:rsidRPr="00FF3F40" w:rsidR="00A936B9">
        <w:t>long-term goal of ending the HIV epidemic in the United States.</w:t>
      </w:r>
    </w:p>
    <w:p w:rsidR="00DB7177" w:rsidRPr="00FF3F40" w:rsidP="006A2BE0" w14:paraId="65AEB645" w14:textId="1C2658FC">
      <w:pPr>
        <w:pStyle w:val="H3"/>
      </w:pPr>
      <w:r w:rsidRPr="00FF3F40">
        <w:t>7.</w:t>
      </w:r>
      <w:r w:rsidRPr="00FF3F40">
        <w:tab/>
      </w:r>
      <w:r w:rsidRPr="00FF3F40">
        <w:t xml:space="preserve">Special </w:t>
      </w:r>
      <w:r w:rsidRPr="00FF3F40">
        <w:t>circumstances relating to the guid</w:t>
      </w:r>
      <w:r w:rsidRPr="00FF3F40">
        <w:t>elines of 5 CFR 1320.5</w:t>
      </w:r>
    </w:p>
    <w:p w:rsidR="00340F13" w:rsidRPr="00FF3F40" w:rsidP="006A2BE0" w14:paraId="32F656F6" w14:textId="07EA7EFF">
      <w:pPr>
        <w:pStyle w:val="ParagraphContinued"/>
        <w:rPr>
          <w:rStyle w:val="BodyTextFi"/>
          <w:sz w:val="24"/>
        </w:rPr>
      </w:pPr>
      <w:r w:rsidRPr="00FF3F40">
        <w:t>The request fully complies with the regulation.</w:t>
      </w:r>
      <w:r w:rsidRPr="00FF3F40" w:rsidR="0034110F">
        <w:rPr>
          <w:rStyle w:val="BodyTextFi"/>
          <w:sz w:val="24"/>
        </w:rPr>
        <w:t xml:space="preserve"> </w:t>
      </w:r>
    </w:p>
    <w:p w:rsidR="009B3794" w:rsidRPr="00FF3F40" w:rsidP="006A2BE0" w14:paraId="5AE52FA8" w14:textId="3FE27B08">
      <w:pPr>
        <w:pStyle w:val="H3"/>
      </w:pPr>
      <w:r w:rsidRPr="00FF3F40">
        <w:t>8.</w:t>
      </w:r>
      <w:r w:rsidRPr="00FF3F40">
        <w:tab/>
      </w:r>
      <w:r w:rsidRPr="00FF3F40">
        <w:t xml:space="preserve">Comments in </w:t>
      </w:r>
      <w:r w:rsidRPr="00FF3F40">
        <w:t>response to the federal register notice/outside co</w:t>
      </w:r>
      <w:r w:rsidRPr="00FF3F40">
        <w:t>nsultation</w:t>
      </w:r>
    </w:p>
    <w:p w:rsidR="00DE3A45" w:rsidRPr="00FF3F40" w:rsidP="006A2BE0" w14:paraId="256214A1" w14:textId="2A41F72E">
      <w:pPr>
        <w:pStyle w:val="H4"/>
      </w:pPr>
      <w:r w:rsidRPr="00FF3F40">
        <w:t>Section 8</w:t>
      </w:r>
      <w:r w:rsidRPr="00FF3F40" w:rsidR="00370AC6">
        <w:t>A.</w:t>
      </w:r>
    </w:p>
    <w:p w:rsidR="00764AB5" w:rsidRPr="00562928" w:rsidP="006A2BE0" w14:paraId="32F946F0" w14:textId="6D1A7094">
      <w:pPr>
        <w:pStyle w:val="ParagraphContinued"/>
        <w:rPr>
          <w:color w:val="FF0000"/>
        </w:rPr>
      </w:pPr>
      <w:r w:rsidRPr="00FF3F40">
        <w:t xml:space="preserve">A 60-day Federal Register Notice was published </w:t>
      </w:r>
      <w:r w:rsidRPr="00DC6D6B">
        <w:t>on</w:t>
      </w:r>
      <w:r w:rsidRPr="00DC6D6B" w:rsidR="00055B81">
        <w:t xml:space="preserve"> </w:t>
      </w:r>
      <w:r w:rsidRPr="00DC6D6B" w:rsidR="005235F0">
        <w:t xml:space="preserve">July 12, 2023, </w:t>
      </w:r>
      <w:r w:rsidRPr="00DC6D6B" w:rsidR="00DC6D6B">
        <w:t xml:space="preserve">Vol. 88, No. 132, pp. 44371-44373. </w:t>
      </w:r>
      <w:r w:rsidR="00BA4ECC">
        <w:t>No</w:t>
      </w:r>
      <w:r w:rsidRPr="00DC6D6B" w:rsidR="00DC6D6B">
        <w:t xml:space="preserve"> comments were received.</w:t>
      </w:r>
      <w:r w:rsidRPr="00BA4ECC" w:rsidR="00F709D5">
        <w:t xml:space="preserve"> </w:t>
      </w:r>
      <w:r w:rsidR="00587FD4">
        <w:t xml:space="preserve"> A 30-day Federal Register Notice was published on October 19, 2023, Vol 88, No. 201, pp. </w:t>
      </w:r>
      <w:r w:rsidRPr="00587FD4" w:rsidR="00587FD4">
        <w:t>72085</w:t>
      </w:r>
      <w:r w:rsidR="00587FD4">
        <w:t>-</w:t>
      </w:r>
      <w:r w:rsidRPr="00587FD4" w:rsidR="00587FD4">
        <w:t>7208</w:t>
      </w:r>
      <w:r w:rsidR="00587FD4">
        <w:t>6.</w:t>
      </w:r>
    </w:p>
    <w:p w:rsidR="0038091E" w:rsidP="006A2BE0" w14:paraId="2FC5B52A" w14:textId="77777777">
      <w:pPr>
        <w:pStyle w:val="H4"/>
      </w:pPr>
      <w:r>
        <w:br w:type="page"/>
      </w:r>
    </w:p>
    <w:p w:rsidR="00C12045" w:rsidRPr="00FF3F40" w:rsidP="006A2BE0" w14:paraId="0292F5B1" w14:textId="5C5B25CB">
      <w:pPr>
        <w:pStyle w:val="H4"/>
        <w:rPr>
          <w:sz w:val="28"/>
        </w:rPr>
      </w:pPr>
      <w:r w:rsidRPr="00FF3F40">
        <w:t>Section 8B</w:t>
      </w:r>
      <w:r w:rsidRPr="00FF3F40" w:rsidR="00370AC6">
        <w:t>.</w:t>
      </w:r>
    </w:p>
    <w:p w:rsidR="00B94B16" w:rsidP="006A2BE0" w14:paraId="0186F98B" w14:textId="64A66A0D">
      <w:pPr>
        <w:pStyle w:val="ParagraphContinued"/>
      </w:pPr>
      <w:r w:rsidRPr="005F63C4">
        <w:rPr>
          <w:i/>
          <w:iCs/>
        </w:rPr>
        <w:t>Feedback from HAB staff.</w:t>
      </w:r>
      <w:r>
        <w:t xml:space="preserve"> </w:t>
      </w:r>
      <w:r w:rsidRPr="00FF3F40" w:rsidR="002F57B7">
        <w:t xml:space="preserve">The HAB contractor conducting the RUDI </w:t>
      </w:r>
      <w:r w:rsidRPr="00FF3F40" w:rsidR="00651D30">
        <w:t>e</w:t>
      </w:r>
      <w:r w:rsidRPr="00FF3F40" w:rsidR="002F57B7">
        <w:t>valuation consulted with</w:t>
      </w:r>
      <w:r w:rsidR="0067165D">
        <w:t xml:space="preserve"> 17 HAB staff for</w:t>
      </w:r>
      <w:r w:rsidRPr="00FF3F40" w:rsidR="00FC2503">
        <w:t xml:space="preserve"> </w:t>
      </w:r>
      <w:r w:rsidRPr="00FF3F40" w:rsidR="002F57B7">
        <w:t xml:space="preserve">feedback on </w:t>
      </w:r>
      <w:r w:rsidRPr="00FF3F40" w:rsidR="00F25403">
        <w:t xml:space="preserve">the </w:t>
      </w:r>
      <w:r w:rsidRPr="00FF3F40" w:rsidR="00B27A95">
        <w:t xml:space="preserve">overall </w:t>
      </w:r>
      <w:r w:rsidRPr="00FF3F40" w:rsidR="00F25403">
        <w:t>evaluation design</w:t>
      </w:r>
      <w:r w:rsidRPr="00FF3F40" w:rsidR="007824AF">
        <w:t xml:space="preserve">, </w:t>
      </w:r>
      <w:r w:rsidRPr="00FF3F40" w:rsidR="00651D30">
        <w:t xml:space="preserve">the </w:t>
      </w:r>
      <w:r w:rsidRPr="00FF3F40" w:rsidR="00B27A95">
        <w:t xml:space="preserve">content of the </w:t>
      </w:r>
      <w:r w:rsidR="00562928">
        <w:t>RUDI</w:t>
      </w:r>
      <w:r w:rsidRPr="00FF3F40" w:rsidR="00B27A95">
        <w:t xml:space="preserve"> Survey, </w:t>
      </w:r>
      <w:r w:rsidRPr="00FF3F40" w:rsidR="00651D30">
        <w:t xml:space="preserve">the </w:t>
      </w:r>
      <w:r w:rsidRPr="00FF3F40" w:rsidR="00865F07">
        <w:t xml:space="preserve">virtual </w:t>
      </w:r>
      <w:r w:rsidRPr="00FF3F40" w:rsidR="00651D30">
        <w:t xml:space="preserve">site visit </w:t>
      </w:r>
      <w:r w:rsidRPr="00FF3F40" w:rsidR="00865F07">
        <w:t>interview protocol</w:t>
      </w:r>
      <w:r w:rsidRPr="00FF3F40" w:rsidR="005F7C08">
        <w:t xml:space="preserve">, and </w:t>
      </w:r>
      <w:r w:rsidRPr="00FF3F40" w:rsidR="00651D30">
        <w:t xml:space="preserve">the </w:t>
      </w:r>
      <w:r w:rsidRPr="00FF3F40" w:rsidR="000C7777">
        <w:t>approach to integrating secondary data into the evaluation</w:t>
      </w:r>
      <w:r w:rsidR="0038091E">
        <w:t xml:space="preserve">. </w:t>
      </w:r>
    </w:p>
    <w:p w:rsidR="003F764B" w:rsidP="00465275" w14:paraId="04CEBB3D" w14:textId="3D19768C">
      <w:pPr>
        <w:pStyle w:val="Paragraph"/>
      </w:pPr>
      <w:r>
        <w:t>We also presented the RUDI evaluation approach and solicit</w:t>
      </w:r>
      <w:r w:rsidR="00A74B73">
        <w:t>ed</w:t>
      </w:r>
      <w:r>
        <w:t xml:space="preserve"> input at HAB division meetings, with a total of 83 participations from </w:t>
      </w:r>
      <w:r w:rsidR="008238DF">
        <w:t xml:space="preserve">the following </w:t>
      </w:r>
      <w:r>
        <w:t>HAB divisions including: Office of Program Support (n=12), Division of Policy and Data (n=28), Division of Community HIV/AIDS Programs (n=43)</w:t>
      </w:r>
      <w:r w:rsidR="008238DF">
        <w:t>. An additional 38 HAB staff attended division meetings, but their specific division with</w:t>
      </w:r>
      <w:r w:rsidR="00BE4B82">
        <w:t xml:space="preserve">in </w:t>
      </w:r>
      <w:r w:rsidR="008238DF">
        <w:t xml:space="preserve">HAB </w:t>
      </w:r>
      <w:r w:rsidR="00BE4B82">
        <w:t>was not provided</w:t>
      </w:r>
      <w:r w:rsidR="008238DF">
        <w:t>.</w:t>
      </w:r>
    </w:p>
    <w:p w:rsidR="00E47F45" w:rsidP="00465275" w14:paraId="14E5C07D" w14:textId="25740589">
      <w:pPr>
        <w:pStyle w:val="Paragraph"/>
      </w:pPr>
      <w:r>
        <w:t xml:space="preserve">HAB staff were consulted because they possessed important knowledge about </w:t>
      </w:r>
      <w:r w:rsidR="00161582">
        <w:t>R</w:t>
      </w:r>
      <w:r>
        <w:t xml:space="preserve">WHAP </w:t>
      </w:r>
      <w:r w:rsidR="00161582">
        <w:t xml:space="preserve">staff including how they engage (or do not engage) with resources and how best to interface with staff on data collection activities included in the RUDI Evaluation. </w:t>
      </w:r>
      <w:r>
        <w:t xml:space="preserve">These collections were not subject to PRA because feedback was gathered from federal employees and not of members of the public. </w:t>
      </w:r>
    </w:p>
    <w:p w:rsidR="00CA468B" w:rsidRPr="0034655D" w:rsidP="00465275" w14:paraId="12FD4523" w14:textId="58F7127B">
      <w:pPr>
        <w:pStyle w:val="Paragraph"/>
      </w:pPr>
      <w:r w:rsidRPr="005F63C4">
        <w:rPr>
          <w:i/>
          <w:iCs/>
        </w:rPr>
        <w:t>Pilot test.</w:t>
      </w:r>
      <w:r>
        <w:t xml:space="preserve"> </w:t>
      </w:r>
      <w:r w:rsidRPr="00CA468B">
        <w:t>We pilot tested the RUDI-P/S and RUDI-R surveys, the RWHAP provider discussion guide, the Part A and B administrative recipient discussion guide, and the AETC discussion guide</w:t>
      </w:r>
      <w:r w:rsidR="005F63C4">
        <w:t xml:space="preserve"> with RWHAP providers, subrecipients, administrative recipients, and AETC staff respectively</w:t>
      </w:r>
      <w:r w:rsidRPr="00CA468B">
        <w:t>.</w:t>
      </w:r>
      <w:r>
        <w:t xml:space="preserve"> Each data collection tool was tested with nine or fewer </w:t>
      </w:r>
      <w:r w:rsidR="005F63C4">
        <w:t>individuals. F</w:t>
      </w:r>
      <w:r>
        <w:t xml:space="preserve">eedback received was used to streamline the various documents </w:t>
      </w:r>
      <w:r w:rsidR="007E462B">
        <w:t>to</w:t>
      </w:r>
      <w:r>
        <w:t xml:space="preserve"> reduce burden and remove any items that were duplicative across instruments. Detailed pilot test findings can be found in Supporting Statement B</w:t>
      </w:r>
      <w:r w:rsidR="005F63C4">
        <w:t>, Section D.</w:t>
      </w:r>
    </w:p>
    <w:p w:rsidR="00DB7177" w:rsidRPr="00FF3F40" w:rsidP="0007685B" w14:paraId="4EFB51AD" w14:textId="52659C97">
      <w:pPr>
        <w:pStyle w:val="H3"/>
      </w:pPr>
      <w:r w:rsidRPr="00FF3F40">
        <w:t>9.</w:t>
      </w:r>
      <w:r w:rsidRPr="00FF3F40">
        <w:tab/>
      </w:r>
      <w:r w:rsidRPr="00FF3F40">
        <w:t xml:space="preserve">Explanation of any </w:t>
      </w:r>
      <w:r w:rsidRPr="00FF3F40">
        <w:t>payment/gift to r</w:t>
      </w:r>
      <w:r w:rsidRPr="00FF3F40">
        <w:t>espondents</w:t>
      </w:r>
    </w:p>
    <w:p w:rsidR="00A763EE" w:rsidP="0007685B" w14:paraId="708DE851" w14:textId="27AEF461">
      <w:pPr>
        <w:pStyle w:val="ParagraphContinued"/>
      </w:pPr>
      <w:r>
        <w:rPr>
          <w:b/>
          <w:bCs/>
        </w:rPr>
        <w:t>RUDI</w:t>
      </w:r>
      <w:r w:rsidR="00F422ED">
        <w:rPr>
          <w:b/>
          <w:bCs/>
        </w:rPr>
        <w:t>-P</w:t>
      </w:r>
      <w:r w:rsidR="003D4A06">
        <w:rPr>
          <w:b/>
          <w:bCs/>
        </w:rPr>
        <w:t>/S</w:t>
      </w:r>
      <w:r w:rsidR="00F422ED">
        <w:rPr>
          <w:b/>
          <w:bCs/>
        </w:rPr>
        <w:t xml:space="preserve"> and RUDI-</w:t>
      </w:r>
      <w:r w:rsidR="00352599">
        <w:rPr>
          <w:b/>
          <w:bCs/>
        </w:rPr>
        <w:t>R</w:t>
      </w:r>
      <w:r w:rsidRPr="00FF3F40" w:rsidR="00171272">
        <w:rPr>
          <w:b/>
          <w:bCs/>
        </w:rPr>
        <w:t xml:space="preserve"> </w:t>
      </w:r>
      <w:r w:rsidR="00A16778">
        <w:rPr>
          <w:b/>
          <w:bCs/>
        </w:rPr>
        <w:t>s</w:t>
      </w:r>
      <w:r w:rsidRPr="00FF3F40" w:rsidR="00171272">
        <w:rPr>
          <w:b/>
          <w:bCs/>
        </w:rPr>
        <w:t>urvey</w:t>
      </w:r>
      <w:r w:rsidR="00F422ED">
        <w:rPr>
          <w:b/>
          <w:bCs/>
        </w:rPr>
        <w:t>s</w:t>
      </w:r>
      <w:r w:rsidRPr="00FF3F40" w:rsidR="00171272">
        <w:rPr>
          <w:b/>
          <w:bCs/>
        </w:rPr>
        <w:t>.</w:t>
      </w:r>
      <w:r w:rsidRPr="00FF3F40" w:rsidR="00171272">
        <w:t xml:space="preserve"> </w:t>
      </w:r>
      <w:r w:rsidRPr="00FF3F40" w:rsidR="00FC2503">
        <w:t>I</w:t>
      </w:r>
      <w:r w:rsidRPr="00FF3F40" w:rsidR="00171272">
        <w:t xml:space="preserve">n the context of the RUDI </w:t>
      </w:r>
      <w:r w:rsidRPr="00FF3F40" w:rsidR="00651D30">
        <w:t>e</w:t>
      </w:r>
      <w:r w:rsidRPr="00FF3F40" w:rsidR="00171272">
        <w:t xml:space="preserve">valuation, </w:t>
      </w:r>
      <w:r w:rsidRPr="00FF3F40" w:rsidR="00E45860">
        <w:t xml:space="preserve">a RWHAP provider is an organization with one or more </w:t>
      </w:r>
      <w:r w:rsidRPr="00FF3F40" w:rsidR="00EA7558">
        <w:t xml:space="preserve">staff members </w:t>
      </w:r>
      <w:r w:rsidRPr="00FF3F40" w:rsidR="00356862">
        <w:t xml:space="preserve">providing </w:t>
      </w:r>
      <w:r w:rsidRPr="00FF3F40" w:rsidR="00651D30">
        <w:t xml:space="preserve">RWHAP-funded </w:t>
      </w:r>
      <w:r w:rsidRPr="00FF3F40" w:rsidR="00356862">
        <w:t xml:space="preserve">services to </w:t>
      </w:r>
      <w:r w:rsidRPr="00FF3F40" w:rsidR="00651D30">
        <w:t xml:space="preserve">eligible </w:t>
      </w:r>
      <w:r w:rsidRPr="00FF3F40" w:rsidR="00356862">
        <w:t>clients. Each provider will submit one survey, reflecti</w:t>
      </w:r>
      <w:r w:rsidRPr="00FF3F40" w:rsidR="00B94B16">
        <w:t xml:space="preserve">ng the </w:t>
      </w:r>
      <w:r w:rsidRPr="00FF3F40" w:rsidR="00563FCB">
        <w:t xml:space="preserve">experience of all staff in the </w:t>
      </w:r>
      <w:r w:rsidRPr="00FF3F40" w:rsidR="00F743D2">
        <w:t>provider site</w:t>
      </w:r>
      <w:r w:rsidRPr="00FF3F40" w:rsidR="00F709D5">
        <w:t xml:space="preserve">. </w:t>
      </w:r>
      <w:r w:rsidRPr="00FF3F40" w:rsidR="00AD632B">
        <w:t xml:space="preserve">The first </w:t>
      </w:r>
      <w:r w:rsidRPr="00FF3F40" w:rsidR="00651D30">
        <w:t xml:space="preserve">approximately </w:t>
      </w:r>
      <w:r w:rsidRPr="00FF3F40" w:rsidR="00AD632B">
        <w:t>56</w:t>
      </w:r>
      <w:r w:rsidRPr="00FF3F40" w:rsidR="00651D30">
        <w:t>0</w:t>
      </w:r>
      <w:r w:rsidRPr="00FF3F40" w:rsidR="00AD632B">
        <w:t xml:space="preserve"> </w:t>
      </w:r>
      <w:r w:rsidRPr="00FF3F40" w:rsidR="00F743D2">
        <w:t>RWHAP provider</w:t>
      </w:r>
      <w:r w:rsidRPr="00FF3F40" w:rsidR="00AD632B">
        <w:t>s</w:t>
      </w:r>
      <w:r w:rsidRPr="00FF3F40" w:rsidR="00F743D2">
        <w:t xml:space="preserve"> </w:t>
      </w:r>
      <w:r w:rsidR="00F422ED">
        <w:t xml:space="preserve">and the first </w:t>
      </w:r>
      <w:r w:rsidR="00B410C2">
        <w:t>2</w:t>
      </w:r>
      <w:r w:rsidR="009D5E55">
        <w:t>8</w:t>
      </w:r>
      <w:r w:rsidR="00B410C2">
        <w:t xml:space="preserve"> </w:t>
      </w:r>
      <w:r w:rsidR="00F422ED">
        <w:t xml:space="preserve">RWHAP recipients </w:t>
      </w:r>
      <w:r w:rsidRPr="00FF3F40" w:rsidR="00F743D2">
        <w:t xml:space="preserve">that respond to the </w:t>
      </w:r>
      <w:r w:rsidRPr="00FF3F40" w:rsidR="00651D30">
        <w:t>s</w:t>
      </w:r>
      <w:r w:rsidRPr="00FF3F40" w:rsidR="00F743D2">
        <w:t>urvey will receive a</w:t>
      </w:r>
      <w:r w:rsidRPr="00FF3F40" w:rsidR="00FC2503">
        <w:t xml:space="preserve"> $50</w:t>
      </w:r>
      <w:r w:rsidRPr="00FF3F40" w:rsidR="008938E0">
        <w:t xml:space="preserve"> Amazon gift card</w:t>
      </w:r>
      <w:r w:rsidRPr="00FF3F40" w:rsidR="00EC6AAE">
        <w:t xml:space="preserve">. </w:t>
      </w:r>
      <w:r w:rsidR="000C75D8">
        <w:t xml:space="preserve">These numbers represent one-half of the anticipated number of total respondents for each survey. The remaining responders will receive a $25 Amazon gift card. </w:t>
      </w:r>
      <w:r w:rsidRPr="00FF3F40" w:rsidR="00EC6AAE">
        <w:t>Th</w:t>
      </w:r>
      <w:r w:rsidRPr="00FF3F40" w:rsidR="002B6DBE">
        <w:t xml:space="preserve">e </w:t>
      </w:r>
      <w:r w:rsidRPr="00FF3F40" w:rsidR="00651D30">
        <w:t xml:space="preserve">provider site can share the </w:t>
      </w:r>
      <w:r w:rsidRPr="00FF3F40" w:rsidR="00EC6AAE">
        <w:t xml:space="preserve">incentive </w:t>
      </w:r>
      <w:r w:rsidRPr="00FF3F40" w:rsidR="00651D30">
        <w:t xml:space="preserve">with </w:t>
      </w:r>
      <w:r w:rsidRPr="00FF3F40" w:rsidR="00EC6AAE">
        <w:t xml:space="preserve">those </w:t>
      </w:r>
      <w:r w:rsidRPr="00FF3F40" w:rsidR="006B50D0">
        <w:t xml:space="preserve">contributing to the survey or </w:t>
      </w:r>
      <w:r w:rsidRPr="00FF3F40" w:rsidR="002B6DBE">
        <w:t xml:space="preserve">the </w:t>
      </w:r>
      <w:r w:rsidRPr="00FF3F40" w:rsidR="006B50D0">
        <w:t xml:space="preserve">provider </w:t>
      </w:r>
      <w:r w:rsidRPr="00FF3F40" w:rsidR="00651D30">
        <w:t xml:space="preserve">can choose </w:t>
      </w:r>
      <w:r w:rsidRPr="00FF3F40" w:rsidR="006B50D0">
        <w:t xml:space="preserve">to use the entire amount for </w:t>
      </w:r>
      <w:r w:rsidRPr="00FF3F40" w:rsidR="00651D30">
        <w:t xml:space="preserve">a </w:t>
      </w:r>
      <w:r w:rsidRPr="00FF3F40" w:rsidR="006B50D0">
        <w:t>specific</w:t>
      </w:r>
      <w:r w:rsidRPr="00FF3F40" w:rsidR="00651D30">
        <w:t xml:space="preserve"> purpose</w:t>
      </w:r>
      <w:r w:rsidRPr="00FF3F40" w:rsidR="006B50D0">
        <w:t>.</w:t>
      </w:r>
      <w:r w:rsidRPr="00FF3F40" w:rsidR="009B5C00">
        <w:t xml:space="preserve"> The Amazon gift card is a token of HAB’s appreciation for provider</w:t>
      </w:r>
      <w:r w:rsidRPr="00FF3F40" w:rsidR="00FC2503">
        <w:t>s’</w:t>
      </w:r>
      <w:r w:rsidRPr="00FF3F40" w:rsidR="009B5C00">
        <w:t xml:space="preserve"> participation.</w:t>
      </w:r>
      <w:r w:rsidR="00617033">
        <w:t xml:space="preserve"> </w:t>
      </w:r>
      <w:r w:rsidR="00BF5A02">
        <w:t xml:space="preserve">Research is limited on the impact of incentives on survey response rates among RWHAP providers.  However, in </w:t>
      </w:r>
      <w:r w:rsidR="00DB49FA">
        <w:t>recent studies</w:t>
      </w:r>
      <w:r w:rsidR="00BF5A02">
        <w:t xml:space="preserve"> of school principals and physicians</w:t>
      </w:r>
      <w:r w:rsidR="00DB49FA">
        <w:t xml:space="preserve">, </w:t>
      </w:r>
      <w:r w:rsidR="00BF5A02">
        <w:t>$50 incentives outperformed incentives of lower amounts.</w:t>
      </w:r>
      <w:r>
        <w:rPr>
          <w:rStyle w:val="FootnoteReference"/>
        </w:rPr>
        <w:footnoteReference w:id="7"/>
      </w:r>
      <w:r w:rsidRPr="00E42E8A" w:rsidR="00DB49FA">
        <w:rPr>
          <w:vertAlign w:val="superscript"/>
        </w:rPr>
        <w:t>,</w:t>
      </w:r>
      <w:r>
        <w:rPr>
          <w:rStyle w:val="FootnoteReference"/>
        </w:rPr>
        <w:footnoteReference w:id="8"/>
      </w:r>
      <w:r w:rsidRPr="00FF3F40" w:rsidR="001A30FF">
        <w:t xml:space="preserve"> </w:t>
      </w:r>
      <w:r w:rsidR="007B74C2">
        <w:t>Further,</w:t>
      </w:r>
      <w:r w:rsidR="003A074D">
        <w:t xml:space="preserve"> in an experiment embedded into the US Panel Study of Income Dynamics, the group that was offered $150 for early response had higher response rates than the group that was offered $75, regardless of completion time.</w:t>
      </w:r>
      <w:r>
        <w:rPr>
          <w:rStyle w:val="FootnoteReference"/>
        </w:rPr>
        <w:footnoteReference w:id="9"/>
      </w:r>
      <w:r w:rsidR="007B74C2">
        <w:t xml:space="preserve"> </w:t>
      </w:r>
      <w:r w:rsidRPr="00FF3F40" w:rsidR="001A30FF">
        <w:t xml:space="preserve">Maximizing response </w:t>
      </w:r>
      <w:r w:rsidRPr="00FF3F40" w:rsidR="0000177C">
        <w:t xml:space="preserve">increases the likelihood of </w:t>
      </w:r>
      <w:r w:rsidRPr="00FF3F40" w:rsidR="00DB4D71">
        <w:t>generalizable results</w:t>
      </w:r>
      <w:r w:rsidRPr="00FF3F40" w:rsidR="001A30FF">
        <w:t xml:space="preserve"> and </w:t>
      </w:r>
      <w:r w:rsidRPr="00FF3F40" w:rsidR="00DB4D71">
        <w:t>support</w:t>
      </w:r>
      <w:r w:rsidRPr="00FF3F40" w:rsidR="001A30FF">
        <w:t>s</w:t>
      </w:r>
      <w:r w:rsidRPr="00FF3F40" w:rsidR="00DB4D71">
        <w:t xml:space="preserve"> disaggregated analyses across different types of providers and communities</w:t>
      </w:r>
      <w:r w:rsidRPr="00FF3F40" w:rsidR="001A30FF">
        <w:t xml:space="preserve">. This, in turn, will aid in the selection of diverse sites for </w:t>
      </w:r>
      <w:r w:rsidRPr="00FF3F40" w:rsidR="00026651">
        <w:t>participat</w:t>
      </w:r>
      <w:r w:rsidRPr="00FF3F40" w:rsidR="001A30FF">
        <w:t>ion</w:t>
      </w:r>
      <w:r w:rsidRPr="00FF3F40" w:rsidR="00026651">
        <w:t xml:space="preserve"> in virtual </w:t>
      </w:r>
      <w:r w:rsidR="00AD43F7">
        <w:t xml:space="preserve">site visit </w:t>
      </w:r>
      <w:r w:rsidRPr="00FF3F40" w:rsidR="002F3B01">
        <w:t xml:space="preserve">interviews. </w:t>
      </w:r>
      <w:r w:rsidRPr="00FF3F40" w:rsidR="00DB4D71">
        <w:t xml:space="preserve">Participating </w:t>
      </w:r>
      <w:r w:rsidRPr="00FF3F40" w:rsidR="00850175">
        <w:t>provider</w:t>
      </w:r>
      <w:r w:rsidRPr="00FF3F40" w:rsidR="00DB4D71">
        <w:t>s</w:t>
      </w:r>
      <w:r w:rsidRPr="00FF3F40" w:rsidR="00850175">
        <w:t xml:space="preserve"> </w:t>
      </w:r>
      <w:r w:rsidR="00AD43F7">
        <w:t xml:space="preserve">and recipients </w:t>
      </w:r>
      <w:r w:rsidRPr="00FF3F40" w:rsidR="00FC2503">
        <w:t>can</w:t>
      </w:r>
      <w:r w:rsidRPr="00FF3F40" w:rsidR="00850175">
        <w:t xml:space="preserve"> opt out of gift car</w:t>
      </w:r>
      <w:r w:rsidRPr="00FF3F40" w:rsidR="00280E32">
        <w:t>d</w:t>
      </w:r>
      <w:r w:rsidRPr="00FF3F40" w:rsidR="00850175">
        <w:t xml:space="preserve"> receipt, if preferred</w:t>
      </w:r>
      <w:r w:rsidRPr="00FF3F40" w:rsidR="002F3B01">
        <w:t>, at the end of the web survey</w:t>
      </w:r>
      <w:r w:rsidRPr="00FF3F40" w:rsidR="00850175">
        <w:t>.</w:t>
      </w:r>
    </w:p>
    <w:p w:rsidR="007B74C2" w:rsidP="0007685B" w14:paraId="418E8309" w14:textId="77777777">
      <w:pPr>
        <w:pStyle w:val="Paragraph"/>
        <w:rPr>
          <w:b/>
          <w:bCs/>
        </w:rPr>
      </w:pPr>
    </w:p>
    <w:p w:rsidR="00F47248" w:rsidP="0007685B" w14:paraId="12A532F8" w14:textId="744A1B72">
      <w:pPr>
        <w:pStyle w:val="Paragraph"/>
      </w:pPr>
      <w:r w:rsidRPr="00FF3F40">
        <w:rPr>
          <w:b/>
          <w:bCs/>
        </w:rPr>
        <w:t xml:space="preserve">Virtual </w:t>
      </w:r>
      <w:r w:rsidRPr="00FF3F40" w:rsidR="00FC2503">
        <w:rPr>
          <w:b/>
          <w:bCs/>
        </w:rPr>
        <w:t>s</w:t>
      </w:r>
      <w:r w:rsidRPr="00FF3F40">
        <w:rPr>
          <w:b/>
          <w:bCs/>
        </w:rPr>
        <w:t xml:space="preserve">ite </w:t>
      </w:r>
      <w:r w:rsidRPr="00FF3F40" w:rsidR="00FC2503">
        <w:rPr>
          <w:b/>
          <w:bCs/>
        </w:rPr>
        <w:t>v</w:t>
      </w:r>
      <w:r w:rsidRPr="00FF3F40">
        <w:rPr>
          <w:b/>
          <w:bCs/>
        </w:rPr>
        <w:t>isits</w:t>
      </w:r>
      <w:r w:rsidRPr="00FF3F40" w:rsidR="002F3B01">
        <w:rPr>
          <w:b/>
          <w:bCs/>
        </w:rPr>
        <w:t xml:space="preserve"> </w:t>
      </w:r>
      <w:r w:rsidRPr="00FF3F40">
        <w:rPr>
          <w:b/>
          <w:bCs/>
        </w:rPr>
        <w:t xml:space="preserve">with RWHAP </w:t>
      </w:r>
      <w:r w:rsidRPr="00FF3F40" w:rsidR="00FC2503">
        <w:rPr>
          <w:b/>
          <w:bCs/>
        </w:rPr>
        <w:t>p</w:t>
      </w:r>
      <w:r w:rsidRPr="00FF3F40">
        <w:rPr>
          <w:b/>
          <w:bCs/>
        </w:rPr>
        <w:t>roviders</w:t>
      </w:r>
      <w:r w:rsidR="00F422ED">
        <w:rPr>
          <w:b/>
          <w:bCs/>
        </w:rPr>
        <w:t xml:space="preserve"> a</w:t>
      </w:r>
      <w:r w:rsidR="008C5C39">
        <w:rPr>
          <w:b/>
          <w:bCs/>
        </w:rPr>
        <w:t>n</w:t>
      </w:r>
      <w:r w:rsidR="00F422ED">
        <w:rPr>
          <w:b/>
          <w:bCs/>
        </w:rPr>
        <w:t>d interviews with RWHAP recipients and AETC providers</w:t>
      </w:r>
      <w:r w:rsidRPr="00FF3F40" w:rsidR="00F709D5">
        <w:rPr>
          <w:b/>
          <w:bCs/>
        </w:rPr>
        <w:t xml:space="preserve">. </w:t>
      </w:r>
      <w:r w:rsidRPr="00FF3F40" w:rsidR="00850175">
        <w:t xml:space="preserve">We anticipate that </w:t>
      </w:r>
      <w:r w:rsidR="008A1464">
        <w:t xml:space="preserve">together, the virtual site visit </w:t>
      </w:r>
      <w:r w:rsidRPr="00FF3F40" w:rsidR="00C460EC">
        <w:t>interview</w:t>
      </w:r>
      <w:r w:rsidRPr="00FF3F40" w:rsidR="00850175">
        <w:t>s will last</w:t>
      </w:r>
      <w:r w:rsidRPr="00FF3F40" w:rsidR="00C460EC">
        <w:t xml:space="preserve"> </w:t>
      </w:r>
      <w:r w:rsidRPr="00FF3F40" w:rsidR="006D66E1">
        <w:t xml:space="preserve">up to </w:t>
      </w:r>
      <w:r w:rsidR="00F422ED">
        <w:t>three</w:t>
      </w:r>
      <w:r w:rsidRPr="00FF3F40" w:rsidR="00F422ED">
        <w:t xml:space="preserve"> </w:t>
      </w:r>
      <w:r w:rsidRPr="00FF3F40" w:rsidR="00850175">
        <w:t xml:space="preserve">hours </w:t>
      </w:r>
      <w:r w:rsidRPr="00FF3F40" w:rsidR="00F26505">
        <w:t xml:space="preserve">per </w:t>
      </w:r>
      <w:r w:rsidR="008A1464">
        <w:t xml:space="preserve">provider </w:t>
      </w:r>
      <w:r w:rsidR="00F422ED">
        <w:t xml:space="preserve">site </w:t>
      </w:r>
      <w:r w:rsidRPr="00FF3F40" w:rsidR="00850175">
        <w:t>and involve</w:t>
      </w:r>
      <w:r w:rsidRPr="00FF3F40" w:rsidR="008D448A">
        <w:t xml:space="preserve"> </w:t>
      </w:r>
      <w:r w:rsidRPr="00FF3F40" w:rsidR="00C460EC">
        <w:t xml:space="preserve">one </w:t>
      </w:r>
      <w:r w:rsidRPr="00FF3F40" w:rsidR="00FC2503">
        <w:t>to</w:t>
      </w:r>
      <w:r w:rsidRPr="00FF3F40" w:rsidR="008D448A">
        <w:t xml:space="preserve"> </w:t>
      </w:r>
      <w:r w:rsidRPr="00FF3F40" w:rsidR="00C460EC">
        <w:t xml:space="preserve">five </w:t>
      </w:r>
      <w:r w:rsidRPr="00FF3F40" w:rsidR="00FC2503">
        <w:t>people</w:t>
      </w:r>
      <w:r w:rsidRPr="00FF3F40" w:rsidR="008D448A">
        <w:t xml:space="preserve"> </w:t>
      </w:r>
      <w:r w:rsidRPr="00FF3F40" w:rsidR="00FC2503">
        <w:t xml:space="preserve">from </w:t>
      </w:r>
      <w:r w:rsidRPr="00FF3F40" w:rsidR="00F26505">
        <w:t xml:space="preserve">each </w:t>
      </w:r>
      <w:r w:rsidRPr="00FF3F40" w:rsidR="008D448A">
        <w:t xml:space="preserve">site. </w:t>
      </w:r>
      <w:r w:rsidRPr="00FF3F40" w:rsidR="00F26505">
        <w:t xml:space="preserve">Participating </w:t>
      </w:r>
      <w:r w:rsidRPr="00FF3F40" w:rsidR="008D448A">
        <w:t>RWHAP provider sites will receive a</w:t>
      </w:r>
      <w:r w:rsidRPr="00FF3F40" w:rsidR="00FC2503">
        <w:t xml:space="preserve"> </w:t>
      </w:r>
      <w:r w:rsidRPr="00FF3F40" w:rsidR="00DA7730">
        <w:t>$380</w:t>
      </w:r>
      <w:r w:rsidRPr="00FF3F40" w:rsidR="008D448A">
        <w:t xml:space="preserve"> Amazon gift card. </w:t>
      </w:r>
      <w:r w:rsidR="00F422ED">
        <w:t>RWHAP recipients and AETC staff participating in 1-hour virtual interviews will receive a $125 Amazon gift car</w:t>
      </w:r>
      <w:r w:rsidR="008C5C39">
        <w:t>d</w:t>
      </w:r>
      <w:r w:rsidR="00F422ED">
        <w:t>.</w:t>
      </w:r>
      <w:r w:rsidR="00DA3E21">
        <w:t xml:space="preserve"> </w:t>
      </w:r>
      <w:r w:rsidR="008579CE">
        <w:t>The incentives are consistent with the $125 hourly wage for individuals in similar positions (see Exhibit 5). That is, AETC staff participating in a one-hour interview will receive a $125 incentive. For virtual site visits that involve multiple people</w:t>
      </w:r>
      <w:r w:rsidR="00E519D2">
        <w:t xml:space="preserve"> over multiple hours</w:t>
      </w:r>
      <w:r w:rsidR="008579CE">
        <w:t>, a larger incentive is offered.</w:t>
      </w:r>
      <w:r w:rsidR="00E519D2">
        <w:t xml:space="preserve"> </w:t>
      </w:r>
      <w:r w:rsidR="00371C79">
        <w:t>A</w:t>
      </w:r>
      <w:r w:rsidR="008579CE">
        <w:t xml:space="preserve"> similar approach was use</w:t>
      </w:r>
      <w:r w:rsidR="00371C79">
        <w:t>d</w:t>
      </w:r>
      <w:r w:rsidR="008579CE">
        <w:t xml:space="preserve"> in a </w:t>
      </w:r>
      <w:r w:rsidR="00DA3E21">
        <w:t xml:space="preserve">2021 study </w:t>
      </w:r>
      <w:r w:rsidR="00625F63">
        <w:t xml:space="preserve">that involved </w:t>
      </w:r>
      <w:r w:rsidR="00DA3E21">
        <w:t xml:space="preserve">interviews </w:t>
      </w:r>
      <w:r w:rsidR="00625F63">
        <w:t xml:space="preserve">with </w:t>
      </w:r>
      <w:r w:rsidR="00DA3E21">
        <w:t>leaders in physician practices</w:t>
      </w:r>
      <w:r w:rsidR="00625F63">
        <w:t>. In</w:t>
      </w:r>
      <w:r w:rsidR="00DA3E21">
        <w:t>centives ranged from $500 to $1,500 depending on practice size.</w:t>
      </w:r>
      <w:r>
        <w:rPr>
          <w:rStyle w:val="FootnoteReference"/>
        </w:rPr>
        <w:footnoteReference w:id="10"/>
      </w:r>
      <w:r w:rsidR="00DA3E21">
        <w:t xml:space="preserve"> </w:t>
      </w:r>
      <w:r w:rsidRPr="00FF3F40" w:rsidR="008D448A">
        <w:t>As with the survey</w:t>
      </w:r>
      <w:r w:rsidRPr="00FF3F40" w:rsidR="00E36F0D">
        <w:t>,</w:t>
      </w:r>
      <w:r w:rsidRPr="00FF3F40" w:rsidR="008D448A">
        <w:t xml:space="preserve"> </w:t>
      </w:r>
      <w:r w:rsidRPr="00FF3F40" w:rsidR="00E36F0D">
        <w:t xml:space="preserve">the </w:t>
      </w:r>
      <w:r w:rsidRPr="00FF3F40" w:rsidR="00F26505">
        <w:t xml:space="preserve">provider site can choose to share the </w:t>
      </w:r>
      <w:r w:rsidRPr="00FF3F40" w:rsidR="00E36F0D">
        <w:t xml:space="preserve">gift card among </w:t>
      </w:r>
      <w:r w:rsidRPr="00FF3F40" w:rsidR="00F26505">
        <w:t xml:space="preserve">the individual informants </w:t>
      </w:r>
      <w:r w:rsidRPr="00FF3F40" w:rsidR="00000604">
        <w:t xml:space="preserve">participating in the interviews or </w:t>
      </w:r>
      <w:r w:rsidRPr="00FF3F40" w:rsidR="00E36F0D">
        <w:t xml:space="preserve">opt to use the entire amount for </w:t>
      </w:r>
      <w:r w:rsidRPr="00FF3F40" w:rsidR="00F26505">
        <w:t xml:space="preserve">a </w:t>
      </w:r>
      <w:r w:rsidRPr="00FF3F40" w:rsidR="00E36F0D">
        <w:t>specific</w:t>
      </w:r>
      <w:r w:rsidRPr="00FF3F40" w:rsidR="00F26505">
        <w:t xml:space="preserve"> purpose</w:t>
      </w:r>
      <w:r w:rsidRPr="00FF3F40" w:rsidR="00E36F0D">
        <w:t xml:space="preserve">. The gift card </w:t>
      </w:r>
      <w:r w:rsidRPr="00FF3F40" w:rsidR="00000604">
        <w:t>reflects</w:t>
      </w:r>
      <w:r w:rsidRPr="00FF3F40" w:rsidR="00E36F0D">
        <w:t xml:space="preserve"> the importance HAB places on input from</w:t>
      </w:r>
      <w:r w:rsidRPr="00FF3F40" w:rsidR="00F301F4">
        <w:t xml:space="preserve"> the individual </w:t>
      </w:r>
      <w:r w:rsidRPr="00FF3F40" w:rsidR="00E36F0D">
        <w:t>staff</w:t>
      </w:r>
      <w:r w:rsidRPr="00FF3F40">
        <w:t xml:space="preserve"> </w:t>
      </w:r>
      <w:r w:rsidRPr="00FF3F40" w:rsidR="00F301F4">
        <w:t xml:space="preserve">members within its RWHAP-funded provider sites </w:t>
      </w:r>
      <w:r w:rsidRPr="00FF3F40">
        <w:t>on issues related to the uptake, utility, and efficacy of the products it disseminates, the effectiveness of its dissemination process, and the reach of its key dissemination channels.</w:t>
      </w:r>
      <w:r w:rsidR="005E006A">
        <w:t xml:space="preserve"> As with the surveys, providers and recipients participating in the virtual site visits and interviews can opt out of gift car</w:t>
      </w:r>
      <w:r w:rsidR="008A1464">
        <w:t>d</w:t>
      </w:r>
      <w:r w:rsidR="005E006A">
        <w:t xml:space="preserve"> receipt, if preferred.</w:t>
      </w:r>
    </w:p>
    <w:p w:rsidR="00995972" w:rsidRPr="00FF3F40" w:rsidP="0007685B" w14:paraId="2B74AD44" w14:textId="71E7A79B">
      <w:pPr>
        <w:pStyle w:val="H3"/>
      </w:pPr>
      <w:r w:rsidRPr="00FF3F40">
        <w:t>10.</w:t>
      </w:r>
      <w:r w:rsidRPr="00FF3F40">
        <w:tab/>
      </w:r>
      <w:r w:rsidRPr="00FF3F40">
        <w:t xml:space="preserve">Assurance of </w:t>
      </w:r>
      <w:r w:rsidRPr="00FF3F40">
        <w:t>confidentiality provided to r</w:t>
      </w:r>
      <w:r w:rsidRPr="00FF3F40">
        <w:t>espondents</w:t>
      </w:r>
    </w:p>
    <w:p w:rsidR="00995972" w:rsidRPr="00FF3F40" w:rsidP="0007685B" w14:paraId="69778350" w14:textId="1DD783FB">
      <w:pPr>
        <w:pStyle w:val="ParagraphContinued"/>
      </w:pPr>
      <w:r w:rsidRPr="00090616">
        <w:t>Data will be kept private to the extent allowed by law.</w:t>
      </w:r>
      <w:r>
        <w:t xml:space="preserve"> </w:t>
      </w:r>
      <w:r w:rsidRPr="00FF3F40" w:rsidR="00F301F4">
        <w:t>We will protect the c</w:t>
      </w:r>
      <w:r w:rsidRPr="00FF3F40">
        <w:t xml:space="preserve">onfidentiality, </w:t>
      </w:r>
      <w:r w:rsidRPr="00FF3F40" w:rsidR="00000604">
        <w:t>integrity,</w:t>
      </w:r>
      <w:r w:rsidRPr="00FF3F40">
        <w:t xml:space="preserve"> and availability of study data</w:t>
      </w:r>
      <w:r w:rsidRPr="00FF3F40" w:rsidR="00E85359">
        <w:t xml:space="preserve"> in the following ways</w:t>
      </w:r>
      <w:r w:rsidRPr="00FF3F40">
        <w:t xml:space="preserve">. </w:t>
      </w:r>
      <w:r w:rsidRPr="00FF3F40" w:rsidR="00E85359">
        <w:t xml:space="preserve">First, </w:t>
      </w:r>
      <w:r w:rsidRPr="00FF3F40" w:rsidR="00F301F4">
        <w:t xml:space="preserve">we will control </w:t>
      </w:r>
      <w:r w:rsidRPr="00FF3F40" w:rsidR="00000604">
        <w:t>access to systems and data on a role-based, need-to-know</w:t>
      </w:r>
      <w:r w:rsidRPr="00FF3F40" w:rsidR="00253407">
        <w:t>,</w:t>
      </w:r>
      <w:r w:rsidRPr="00FF3F40" w:rsidR="00000604">
        <w:t xml:space="preserve"> and least privilege basis, and </w:t>
      </w:r>
      <w:r w:rsidRPr="00FF3F40" w:rsidR="00253407">
        <w:t xml:space="preserve">we </w:t>
      </w:r>
      <w:r w:rsidRPr="00FF3F40" w:rsidR="00F301F4">
        <w:t>will periodic</w:t>
      </w:r>
      <w:r w:rsidRPr="00FF3F40" w:rsidR="00253407">
        <w:t>ally</w:t>
      </w:r>
      <w:r w:rsidRPr="00FF3F40" w:rsidR="00F301F4">
        <w:t xml:space="preserve"> </w:t>
      </w:r>
      <w:r w:rsidRPr="00FF3F40" w:rsidR="00000604">
        <w:t>review access rights</w:t>
      </w:r>
      <w:r w:rsidRPr="00FF3F40" w:rsidR="00F301F4">
        <w:t xml:space="preserve"> to ensure only those with the need to access the information </w:t>
      </w:r>
      <w:r w:rsidRPr="00FF3F40" w:rsidR="00253407">
        <w:t>can</w:t>
      </w:r>
      <w:r w:rsidRPr="00FF3F40" w:rsidR="00F301F4">
        <w:t xml:space="preserve"> do so.</w:t>
      </w:r>
      <w:r w:rsidRPr="00FF3F40" w:rsidR="00000604">
        <w:t xml:space="preserve"> </w:t>
      </w:r>
      <w:r w:rsidRPr="00FF3F40" w:rsidR="00F301F4">
        <w:t>We will secure a</w:t>
      </w:r>
      <w:r w:rsidRPr="00FF3F40" w:rsidR="00000604">
        <w:t>ll project data in transit and at rest using U.S. Federal Information Processing Standard 140-2 compliant encryption</w:t>
      </w:r>
      <w:r w:rsidRPr="00FF3F40" w:rsidR="00F301F4">
        <w:t xml:space="preserve">. We will also ensure </w:t>
      </w:r>
      <w:r w:rsidRPr="00FF3F40">
        <w:t>secure external access to information systems</w:t>
      </w:r>
      <w:r w:rsidRPr="00FF3F40" w:rsidR="009D7D91">
        <w:t xml:space="preserve"> by using</w:t>
      </w:r>
      <w:r w:rsidRPr="00FF3F40">
        <w:t xml:space="preserve"> a </w:t>
      </w:r>
      <w:r w:rsidRPr="00FF3F40" w:rsidR="00253407">
        <w:t>v</w:t>
      </w:r>
      <w:r w:rsidRPr="00FF3F40" w:rsidR="00392BFC">
        <w:t xml:space="preserve">irtual </w:t>
      </w:r>
      <w:r w:rsidRPr="00FF3F40" w:rsidR="00253407">
        <w:t>p</w:t>
      </w:r>
      <w:r w:rsidRPr="00FF3F40" w:rsidR="00392BFC">
        <w:t xml:space="preserve">rivate </w:t>
      </w:r>
      <w:r w:rsidRPr="00FF3F40" w:rsidR="00253407">
        <w:t>n</w:t>
      </w:r>
      <w:r w:rsidRPr="00FF3F40" w:rsidR="00392BFC">
        <w:t>etwork</w:t>
      </w:r>
      <w:r w:rsidRPr="00FF3F40" w:rsidR="009D7D91">
        <w:t xml:space="preserve"> and an encrypted</w:t>
      </w:r>
      <w:r w:rsidRPr="00FF3F40">
        <w:t xml:space="preserve"> secure file transfer portal. Only authorized study team members will have access to the </w:t>
      </w:r>
      <w:r w:rsidRPr="00FF3F40" w:rsidR="00956C6F">
        <w:t xml:space="preserve">secure data transfer application and </w:t>
      </w:r>
      <w:r w:rsidRPr="00FF3F40">
        <w:t>project folder</w:t>
      </w:r>
      <w:r w:rsidRPr="00FF3F40" w:rsidR="000F0FE0">
        <w:t>s</w:t>
      </w:r>
      <w:r w:rsidRPr="00FF3F40">
        <w:t xml:space="preserve"> through</w:t>
      </w:r>
      <w:r w:rsidRPr="00FF3F40" w:rsidR="00956C6F">
        <w:t>out the life of the project.</w:t>
      </w:r>
    </w:p>
    <w:p w:rsidR="00995972" w:rsidRPr="00FF3F40" w:rsidP="0007685B" w14:paraId="28F586EE" w14:textId="2A4D59CB">
      <w:pPr>
        <w:pStyle w:val="Paragraph"/>
      </w:pPr>
      <w:r w:rsidRPr="00FF3F40">
        <w:t>A</w:t>
      </w:r>
      <w:r w:rsidRPr="00FF3F40">
        <w:t xml:space="preserve">s part </w:t>
      </w:r>
      <w:r w:rsidRPr="00FF3F40" w:rsidR="00392BFC">
        <w:t>of the</w:t>
      </w:r>
      <w:r w:rsidRPr="00FF3F40" w:rsidR="0034110F">
        <w:t xml:space="preserve"> </w:t>
      </w:r>
      <w:r w:rsidRPr="00FF3F40">
        <w:t>data collection effort</w:t>
      </w:r>
      <w:r w:rsidRPr="00FF3F40" w:rsidR="00F301F4">
        <w:t>, we will</w:t>
      </w:r>
      <w:r w:rsidRPr="00FF3F40" w:rsidR="00253407">
        <w:t xml:space="preserve"> do the following</w:t>
      </w:r>
      <w:r w:rsidRPr="00FF3F40">
        <w:t xml:space="preserve">: </w:t>
      </w:r>
    </w:p>
    <w:p w:rsidR="00A03CBB" w:rsidRPr="00FF3F40" w:rsidP="00422E2D" w14:paraId="5117643B" w14:textId="2F0E2492">
      <w:pPr>
        <w:pStyle w:val="ListBullet"/>
        <w:numPr>
          <w:ilvl w:val="0"/>
          <w:numId w:val="39"/>
        </w:numPr>
      </w:pPr>
      <w:r w:rsidRPr="00FF3F40">
        <w:t>Provide p</w:t>
      </w:r>
      <w:r w:rsidRPr="00FF3F40">
        <w:t xml:space="preserve">roject staff </w:t>
      </w:r>
      <w:r w:rsidRPr="00FF3F40">
        <w:t xml:space="preserve">with </w:t>
      </w:r>
      <w:r w:rsidRPr="00FF3F40">
        <w:t xml:space="preserve">role-based security and privacy training to </w:t>
      </w:r>
      <w:r w:rsidRPr="00FF3F40">
        <w:t xml:space="preserve">educate them about </w:t>
      </w:r>
      <w:r w:rsidRPr="00FF3F40">
        <w:t>data protection expectations</w:t>
      </w:r>
      <w:r w:rsidRPr="00FF3F40">
        <w:t xml:space="preserve"> (</w:t>
      </w:r>
      <w:r w:rsidRPr="00FF3F40">
        <w:t>such as permitted uses of data</w:t>
      </w:r>
      <w:r w:rsidRPr="00FF3F40">
        <w:t>)</w:t>
      </w:r>
      <w:r w:rsidRPr="00FF3F40">
        <w:t xml:space="preserve">, where </w:t>
      </w:r>
      <w:r w:rsidRPr="00FF3F40" w:rsidR="00253407">
        <w:t xml:space="preserve">they can and cannot store and access </w:t>
      </w:r>
      <w:r w:rsidRPr="00FF3F40">
        <w:t xml:space="preserve">data, and </w:t>
      </w:r>
      <w:r w:rsidRPr="00FF3F40" w:rsidR="00253407">
        <w:t xml:space="preserve">the </w:t>
      </w:r>
      <w:r w:rsidRPr="00FF3F40">
        <w:t>processes for authorized data disclosure and prohibitions on data disclosure</w:t>
      </w:r>
      <w:r w:rsidRPr="00FF3F40" w:rsidR="00253407">
        <w:t>.</w:t>
      </w:r>
    </w:p>
    <w:p w:rsidR="00A704A3" w:rsidRPr="00FF3F40" w:rsidP="00422E2D" w14:paraId="49D91F07" w14:textId="4C9DC3B7">
      <w:pPr>
        <w:pStyle w:val="ListBullet"/>
        <w:numPr>
          <w:ilvl w:val="0"/>
          <w:numId w:val="39"/>
        </w:numPr>
      </w:pPr>
      <w:r w:rsidRPr="00FF3F40">
        <w:t>Collect d</w:t>
      </w:r>
      <w:r w:rsidRPr="00FF3F40" w:rsidR="004A2E8C">
        <w:t xml:space="preserve">ata that reflects </w:t>
      </w:r>
      <w:r w:rsidRPr="00FF3F40">
        <w:t>the provider sites</w:t>
      </w:r>
      <w:r w:rsidRPr="00FF3F40" w:rsidR="006D66E1">
        <w:t>’</w:t>
      </w:r>
      <w:r w:rsidRPr="00FF3F40">
        <w:t xml:space="preserve"> experience</w:t>
      </w:r>
      <w:r w:rsidRPr="00FF3F40">
        <w:t xml:space="preserve"> </w:t>
      </w:r>
      <w:r w:rsidRPr="00FF3F40">
        <w:t>rather than the experience of any one individual</w:t>
      </w:r>
      <w:r w:rsidRPr="00FF3F40" w:rsidR="00253407">
        <w:t>.</w:t>
      </w:r>
    </w:p>
    <w:p w:rsidR="00615426" w:rsidRPr="00FF3F40" w:rsidP="00422E2D" w14:paraId="23DB9784" w14:textId="46CE4403">
      <w:pPr>
        <w:pStyle w:val="ListBullet"/>
        <w:numPr>
          <w:ilvl w:val="0"/>
          <w:numId w:val="39"/>
        </w:numPr>
      </w:pPr>
      <w:r w:rsidRPr="00FF3F40">
        <w:t xml:space="preserve">Use </w:t>
      </w:r>
      <w:r w:rsidRPr="00FF3F40" w:rsidR="00BC4DE9">
        <w:t xml:space="preserve">HAB-provided contact information for RWHAP providers </w:t>
      </w:r>
      <w:r w:rsidR="00EB6D3B">
        <w:t xml:space="preserve">and recipients </w:t>
      </w:r>
      <w:r w:rsidRPr="00FF3F40">
        <w:t>to field the survey</w:t>
      </w:r>
      <w:r w:rsidR="00EB6D3B">
        <w:t>s</w:t>
      </w:r>
      <w:r w:rsidRPr="00FF3F40">
        <w:t xml:space="preserve"> and </w:t>
      </w:r>
      <w:r w:rsidRPr="00FF3F40">
        <w:t xml:space="preserve">schedule the </w:t>
      </w:r>
      <w:r w:rsidRPr="00FF3F40" w:rsidR="00A03CBB">
        <w:t xml:space="preserve">virtual </w:t>
      </w:r>
      <w:r w:rsidR="00EB6D3B">
        <w:t xml:space="preserve">site visits and </w:t>
      </w:r>
      <w:r w:rsidRPr="00FF3F40" w:rsidR="00A03CBB">
        <w:t>interviews</w:t>
      </w:r>
      <w:r w:rsidRPr="00FF3F40" w:rsidR="00253407">
        <w:t>. T</w:t>
      </w:r>
      <w:r w:rsidRPr="00FF3F40" w:rsidR="00341A75">
        <w:t xml:space="preserve">he survey and the </w:t>
      </w:r>
      <w:r w:rsidR="00EB6D3B">
        <w:t>virtual site visit/</w:t>
      </w:r>
      <w:r w:rsidRPr="00FF3F40" w:rsidR="00A03CBB">
        <w:t xml:space="preserve">interview </w:t>
      </w:r>
      <w:r w:rsidRPr="00FF3F40" w:rsidR="00341A75">
        <w:t>protocol</w:t>
      </w:r>
      <w:r w:rsidR="00EB6D3B">
        <w:t>s</w:t>
      </w:r>
      <w:r w:rsidRPr="00FF3F40" w:rsidR="00341A75">
        <w:t xml:space="preserve"> </w:t>
      </w:r>
      <w:r w:rsidRPr="00FF3F40" w:rsidR="005011D3">
        <w:t xml:space="preserve">will seek a limited set of </w:t>
      </w:r>
      <w:r w:rsidRPr="00FF3F40" w:rsidR="00253407">
        <w:t xml:space="preserve">personally identifiable information </w:t>
      </w:r>
      <w:r w:rsidRPr="00FF3F40">
        <w:t xml:space="preserve">to better understand the composition of staff at RWHAP provider </w:t>
      </w:r>
      <w:r w:rsidR="00EB6D3B">
        <w:t xml:space="preserve">and recipient </w:t>
      </w:r>
      <w:r w:rsidRPr="00FF3F40">
        <w:t>site</w:t>
      </w:r>
      <w:r w:rsidR="00EB6D3B">
        <w:t>s</w:t>
      </w:r>
      <w:r w:rsidRPr="00FF3F40" w:rsidR="00253407">
        <w:t>.</w:t>
      </w:r>
    </w:p>
    <w:p w:rsidR="00995972" w:rsidRPr="00FF3F40" w:rsidP="00422E2D" w14:paraId="4E26D667" w14:textId="0BE806C7">
      <w:pPr>
        <w:pStyle w:val="ListBullet"/>
        <w:numPr>
          <w:ilvl w:val="0"/>
          <w:numId w:val="39"/>
        </w:numPr>
      </w:pPr>
      <w:r w:rsidRPr="00FF3F40">
        <w:t>Store a</w:t>
      </w:r>
      <w:r w:rsidRPr="00FF3F40">
        <w:t xml:space="preserve">ll </w:t>
      </w:r>
      <w:r w:rsidRPr="00FF3F40" w:rsidR="00615426">
        <w:t xml:space="preserve">survey data, </w:t>
      </w:r>
      <w:r w:rsidRPr="00FF3F40" w:rsidR="00BC4DE9">
        <w:t>including contact information</w:t>
      </w:r>
      <w:r w:rsidRPr="00FF3F40" w:rsidR="00615426">
        <w:t xml:space="preserve">, </w:t>
      </w:r>
      <w:r w:rsidRPr="00FF3F40" w:rsidR="00AD4554">
        <w:t>in access-restricted folders.</w:t>
      </w:r>
      <w:r w:rsidRPr="00FF3F40">
        <w:t xml:space="preserve"> </w:t>
      </w:r>
    </w:p>
    <w:p w:rsidR="00995972" w:rsidRPr="00FF3F40" w:rsidP="00422E2D" w14:paraId="42FC0C81" w14:textId="46803D54">
      <w:pPr>
        <w:pStyle w:val="ListBullet"/>
        <w:numPr>
          <w:ilvl w:val="0"/>
          <w:numId w:val="39"/>
        </w:numPr>
      </w:pPr>
      <w:r w:rsidRPr="00FF3F40">
        <w:t>Report</w:t>
      </w:r>
      <w:r w:rsidRPr="00FF3F40" w:rsidR="00673511">
        <w:t xml:space="preserve"> aggregated </w:t>
      </w:r>
      <w:r w:rsidRPr="00FF3F40">
        <w:t xml:space="preserve">study </w:t>
      </w:r>
      <w:r w:rsidRPr="00FF3F40" w:rsidR="00673511">
        <w:t>findings only</w:t>
      </w:r>
      <w:r w:rsidRPr="00FF3F40" w:rsidR="00BC4DE9">
        <w:t>.</w:t>
      </w:r>
      <w:r w:rsidRPr="00FF3F40">
        <w:t xml:space="preserve"> </w:t>
      </w:r>
    </w:p>
    <w:p w:rsidR="007726DD" w:rsidRPr="00FF3F40" w:rsidP="00422E2D" w14:paraId="3C97509F" w14:textId="6A7270D4">
      <w:pPr>
        <w:pStyle w:val="ListBullet"/>
        <w:numPr>
          <w:ilvl w:val="0"/>
          <w:numId w:val="39"/>
        </w:numPr>
      </w:pPr>
      <w:r w:rsidRPr="00FF3F40">
        <w:t xml:space="preserve">Remove </w:t>
      </w:r>
      <w:r w:rsidRPr="00FF3F40" w:rsidR="00BC4DE9">
        <w:t xml:space="preserve">contact information </w:t>
      </w:r>
      <w:r w:rsidRPr="00FF3F40">
        <w:t xml:space="preserve">from </w:t>
      </w:r>
      <w:r w:rsidRPr="00FF3F40">
        <w:t xml:space="preserve">data </w:t>
      </w:r>
      <w:r w:rsidRPr="00FF3F40">
        <w:t xml:space="preserve">that the HAB contractor </w:t>
      </w:r>
      <w:r w:rsidRPr="00FF3F40">
        <w:t>share</w:t>
      </w:r>
      <w:r w:rsidRPr="00FF3F40">
        <w:t>s</w:t>
      </w:r>
      <w:r w:rsidRPr="00FF3F40">
        <w:t xml:space="preserve"> with</w:t>
      </w:r>
      <w:r w:rsidRPr="00FF3F40">
        <w:t xml:space="preserve"> HAB</w:t>
      </w:r>
      <w:r w:rsidRPr="00FF3F40">
        <w:t xml:space="preserve"> and transmit</w:t>
      </w:r>
      <w:r w:rsidRPr="00FF3F40">
        <w:t xml:space="preserve"> the data</w:t>
      </w:r>
      <w:r w:rsidRPr="00FF3F40">
        <w:t xml:space="preserve"> securely via </w:t>
      </w:r>
      <w:r w:rsidRPr="00FF3F40" w:rsidR="00A03CBB">
        <w:t>a secure data transfer application</w:t>
      </w:r>
      <w:r w:rsidRPr="00FF3F40">
        <w:t>.</w:t>
      </w:r>
    </w:p>
    <w:p w:rsidR="007C3193" w:rsidRPr="00FF3F40" w:rsidP="00422E2D" w14:paraId="2B23F9D9" w14:textId="722BB1D7">
      <w:pPr>
        <w:pStyle w:val="ListBullet"/>
        <w:numPr>
          <w:ilvl w:val="0"/>
          <w:numId w:val="39"/>
        </w:numPr>
      </w:pPr>
      <w:r w:rsidRPr="00FF3F40">
        <w:t>Employ d</w:t>
      </w:r>
      <w:r w:rsidRPr="00FF3F40">
        <w:t>ata destruction methods at the end of the project</w:t>
      </w:r>
      <w:r w:rsidRPr="00FF3F40">
        <w:t xml:space="preserve"> that are </w:t>
      </w:r>
      <w:r w:rsidRPr="00FF3F40">
        <w:t xml:space="preserve">consistent with </w:t>
      </w:r>
      <w:r w:rsidRPr="00FF3F40" w:rsidR="00253407">
        <w:t>National Institute of Standards and Technology</w:t>
      </w:r>
      <w:r w:rsidRPr="00FF3F40">
        <w:t xml:space="preserve"> standards and </w:t>
      </w:r>
      <w:r w:rsidRPr="00FF3F40">
        <w:t xml:space="preserve">require </w:t>
      </w:r>
      <w:r w:rsidRPr="00FF3F40">
        <w:t xml:space="preserve">the </w:t>
      </w:r>
      <w:r w:rsidRPr="00FF3F40">
        <w:t xml:space="preserve">HAB </w:t>
      </w:r>
      <w:r w:rsidRPr="00FF3F40">
        <w:t xml:space="preserve">contractor </w:t>
      </w:r>
      <w:r w:rsidRPr="00FF3F40">
        <w:t xml:space="preserve">to </w:t>
      </w:r>
      <w:r w:rsidRPr="00FF3F40">
        <w:t>provide a certificate of destruction, upon request.</w:t>
      </w:r>
    </w:p>
    <w:p w:rsidR="00995972" w:rsidRPr="00FF3F40" w:rsidP="0007685B" w14:paraId="014BE882" w14:textId="4907B24A">
      <w:pPr>
        <w:pStyle w:val="ParagraphContinued"/>
      </w:pPr>
      <w:r w:rsidRPr="00FF3F40">
        <w:t>The following approaches will be used to collect, transfer and store project data:</w:t>
      </w:r>
    </w:p>
    <w:p w:rsidR="00670662" w:rsidRPr="00FF3F40" w:rsidP="0007685B" w14:paraId="4F69A9FA" w14:textId="7D26FB8B">
      <w:pPr>
        <w:pStyle w:val="Paragraph"/>
      </w:pPr>
      <w:r>
        <w:rPr>
          <w:b/>
          <w:bCs/>
          <w:iCs/>
        </w:rPr>
        <w:t xml:space="preserve">RUDI </w:t>
      </w:r>
      <w:r w:rsidR="008A1464">
        <w:rPr>
          <w:b/>
          <w:bCs/>
          <w:iCs/>
        </w:rPr>
        <w:t>s</w:t>
      </w:r>
      <w:r>
        <w:rPr>
          <w:b/>
          <w:bCs/>
          <w:iCs/>
        </w:rPr>
        <w:t>urvey</w:t>
      </w:r>
      <w:r w:rsidR="00EB6D3B">
        <w:rPr>
          <w:b/>
          <w:bCs/>
          <w:iCs/>
        </w:rPr>
        <w:t>s</w:t>
      </w:r>
      <w:r w:rsidRPr="00FF3F40" w:rsidR="00B04C04">
        <w:rPr>
          <w:b/>
          <w:bCs/>
          <w:iCs/>
        </w:rPr>
        <w:t>.</w:t>
      </w:r>
      <w:r w:rsidRPr="00FF3F40" w:rsidR="00F709D5">
        <w:rPr>
          <w:i/>
        </w:rPr>
        <w:t xml:space="preserve"> </w:t>
      </w:r>
      <w:r w:rsidRPr="00FF3F40" w:rsidR="00B04C04">
        <w:t>We will obtain a</w:t>
      </w:r>
      <w:r w:rsidRPr="00FF3F40" w:rsidR="00995972">
        <w:t xml:space="preserve"> census list of </w:t>
      </w:r>
      <w:r w:rsidRPr="00FF3F40" w:rsidR="00FF084E">
        <w:t xml:space="preserve">eligible survey respondents </w:t>
      </w:r>
      <w:r w:rsidRPr="00FF3F40" w:rsidR="00B64720">
        <w:t xml:space="preserve">and their contact information </w:t>
      </w:r>
      <w:r w:rsidRPr="00FF3F40" w:rsidR="00FF084E">
        <w:t xml:space="preserve">from the </w:t>
      </w:r>
      <w:r w:rsidRPr="00FF3F40" w:rsidR="00B04C04">
        <w:t>202</w:t>
      </w:r>
      <w:r w:rsidR="00632739">
        <w:t>1</w:t>
      </w:r>
      <w:r w:rsidRPr="00FF3F40" w:rsidR="00B04C04">
        <w:t xml:space="preserve"> </w:t>
      </w:r>
      <w:r w:rsidRPr="00FF3F40" w:rsidR="00FF084E">
        <w:t>RSR</w:t>
      </w:r>
      <w:r w:rsidR="006E5466">
        <w:t xml:space="preserve"> and DSR</w:t>
      </w:r>
      <w:r w:rsidRPr="00FF3F40" w:rsidR="00B04C04">
        <w:t xml:space="preserve"> file</w:t>
      </w:r>
      <w:r w:rsidR="006E5466">
        <w:t>s</w:t>
      </w:r>
      <w:r w:rsidRPr="00FF3F40" w:rsidR="00B04C04">
        <w:t xml:space="preserve">. We will </w:t>
      </w:r>
      <w:r w:rsidRPr="00FF3F40" w:rsidR="009512E7">
        <w:t>transmit</w:t>
      </w:r>
      <w:r w:rsidRPr="00FF3F40" w:rsidR="00B04C04">
        <w:t xml:space="preserve"> the information</w:t>
      </w:r>
      <w:r w:rsidRPr="00FF3F40" w:rsidR="009512E7">
        <w:t xml:space="preserve"> </w:t>
      </w:r>
      <w:r w:rsidRPr="00FF3F40" w:rsidR="00B04C04">
        <w:t xml:space="preserve">to the HAB contractor </w:t>
      </w:r>
      <w:r w:rsidRPr="00FF3F40" w:rsidR="009512E7">
        <w:t>securely via the file transfer protocol</w:t>
      </w:r>
      <w:r w:rsidRPr="00FF3F40" w:rsidR="00253407">
        <w:t>,</w:t>
      </w:r>
      <w:r w:rsidRPr="00FF3F40" w:rsidR="009512E7">
        <w:t xml:space="preserve"> </w:t>
      </w:r>
      <w:r w:rsidRPr="00FF3F40" w:rsidR="00B03FDE">
        <w:t xml:space="preserve">where it will be maintained </w:t>
      </w:r>
      <w:r w:rsidRPr="00FF3F40" w:rsidR="009512E7">
        <w:t xml:space="preserve">on </w:t>
      </w:r>
      <w:r w:rsidRPr="00FF3F40" w:rsidR="00743A06">
        <w:t xml:space="preserve">a </w:t>
      </w:r>
      <w:r w:rsidRPr="00FF3F40" w:rsidR="009512E7">
        <w:t>secure server</w:t>
      </w:r>
      <w:r w:rsidRPr="00FF3F40" w:rsidR="00F91F1D">
        <w:t xml:space="preserve"> with limited access</w:t>
      </w:r>
      <w:r w:rsidRPr="00FF3F40" w:rsidR="009512E7">
        <w:t xml:space="preserve">. </w:t>
      </w:r>
      <w:r w:rsidRPr="00FF3F40" w:rsidR="00B04C04">
        <w:t>We will send the s</w:t>
      </w:r>
      <w:r w:rsidRPr="00FF3F40" w:rsidR="00995972">
        <w:t xml:space="preserve">urvey invitations via </w:t>
      </w:r>
      <w:r w:rsidR="00EB6D3B">
        <w:t>QuestionPro</w:t>
      </w:r>
      <w:r w:rsidRPr="00FF3F40" w:rsidR="00EB6D3B">
        <w:t xml:space="preserve"> </w:t>
      </w:r>
      <w:r w:rsidRPr="00FF3F40" w:rsidR="00995972">
        <w:t>from within</w:t>
      </w:r>
      <w:r w:rsidRPr="00FF3F40" w:rsidR="00253407">
        <w:t xml:space="preserve"> the</w:t>
      </w:r>
      <w:r w:rsidRPr="00FF3F40" w:rsidR="00995972">
        <w:t xml:space="preserve"> </w:t>
      </w:r>
      <w:r w:rsidRPr="00FF3F40" w:rsidR="00B04C04">
        <w:t xml:space="preserve">HAB </w:t>
      </w:r>
      <w:r w:rsidRPr="00FF3F40" w:rsidR="007C3193">
        <w:t xml:space="preserve">contractor’s </w:t>
      </w:r>
      <w:r w:rsidRPr="00FF3F40" w:rsidR="00995972">
        <w:t>secure environment</w:t>
      </w:r>
      <w:r w:rsidRPr="00FF3F40" w:rsidR="00F709D5">
        <w:t xml:space="preserve">. </w:t>
      </w:r>
      <w:r w:rsidRPr="00FF3F40" w:rsidR="00B04C04">
        <w:t>We will collect and store a</w:t>
      </w:r>
      <w:r w:rsidRPr="00FF3F40" w:rsidR="00995972">
        <w:t xml:space="preserve">ll </w:t>
      </w:r>
      <w:r w:rsidRPr="00FF3F40" w:rsidR="007C3193">
        <w:t xml:space="preserve">survey </w:t>
      </w:r>
      <w:r w:rsidRPr="00FF3F40" w:rsidR="00995972">
        <w:t xml:space="preserve">data </w:t>
      </w:r>
      <w:r w:rsidRPr="00FF3F40" w:rsidR="007C3193">
        <w:t>in a project-specific restricted folder</w:t>
      </w:r>
      <w:r w:rsidRPr="00FF3F40" w:rsidR="00253407">
        <w:t xml:space="preserve"> </w:t>
      </w:r>
      <w:r w:rsidRPr="00FF3F40" w:rsidR="00995972">
        <w:t>dur</w:t>
      </w:r>
      <w:r w:rsidRPr="00FF3F40" w:rsidR="00253407">
        <w:t>ing</w:t>
      </w:r>
      <w:r w:rsidRPr="00FF3F40" w:rsidR="00995972">
        <w:t xml:space="preserve"> the contract. </w:t>
      </w:r>
      <w:r w:rsidR="00EB6D3B">
        <w:t xml:space="preserve">Upon survey completion, we will remove </w:t>
      </w:r>
      <w:r w:rsidRPr="00FF3F40" w:rsidR="00B04C04">
        <w:t>e</w:t>
      </w:r>
      <w:r w:rsidRPr="00FF3F40" w:rsidR="00995972">
        <w:t xml:space="preserve">mail addresses and names </w:t>
      </w:r>
      <w:r w:rsidR="00EB6D3B">
        <w:t xml:space="preserve">from the corresponding </w:t>
      </w:r>
      <w:r w:rsidRPr="00FF3F40" w:rsidR="00995972">
        <w:t>survey responses</w:t>
      </w:r>
      <w:r w:rsidR="0073130D">
        <w:t xml:space="preserve">. Each completed survey will be assigned a </w:t>
      </w:r>
      <w:r w:rsidR="00EB6D3B">
        <w:t>unique identification</w:t>
      </w:r>
      <w:r w:rsidR="0073130D">
        <w:t xml:space="preserve"> (ID)</w:t>
      </w:r>
      <w:r w:rsidR="00EB6D3B">
        <w:t xml:space="preserve"> number</w:t>
      </w:r>
      <w:r w:rsidR="0073130D">
        <w:t xml:space="preserve">; a </w:t>
      </w:r>
      <w:r w:rsidR="00EB6D3B">
        <w:t xml:space="preserve">crosswalk with </w:t>
      </w:r>
      <w:r w:rsidR="0073130D">
        <w:t xml:space="preserve">the unique ID, </w:t>
      </w:r>
      <w:r w:rsidR="00EB6D3B">
        <w:t>respondent email</w:t>
      </w:r>
      <w:r w:rsidR="0073130D">
        <w:t>, a</w:t>
      </w:r>
      <w:r w:rsidR="00EB6D3B">
        <w:t xml:space="preserve">nd name </w:t>
      </w:r>
      <w:r w:rsidR="0073130D">
        <w:t>will be created and stored in a</w:t>
      </w:r>
      <w:r w:rsidR="00EB6D3B">
        <w:t xml:space="preserve"> secure project folder with </w:t>
      </w:r>
      <w:r w:rsidR="008A1464">
        <w:t>“</w:t>
      </w:r>
      <w:r w:rsidR="00EB6D3B">
        <w:t>need to know</w:t>
      </w:r>
      <w:r w:rsidR="008A1464">
        <w:t>”</w:t>
      </w:r>
      <w:r w:rsidR="00EB6D3B">
        <w:t xml:space="preserve"> access by project staff.</w:t>
      </w:r>
    </w:p>
    <w:p w:rsidR="009512E7" w:rsidP="0007685B" w14:paraId="5370D160" w14:textId="2019E0F3">
      <w:pPr>
        <w:pStyle w:val="Paragraph"/>
      </w:pPr>
      <w:r w:rsidRPr="00FF3F40">
        <w:rPr>
          <w:b/>
          <w:bCs/>
          <w:iCs/>
        </w:rPr>
        <w:t xml:space="preserve">Site </w:t>
      </w:r>
      <w:r w:rsidRPr="00FF3F40" w:rsidR="009560A2">
        <w:rPr>
          <w:b/>
          <w:bCs/>
          <w:iCs/>
        </w:rPr>
        <w:t>v</w:t>
      </w:r>
      <w:r w:rsidRPr="00FF3F40">
        <w:rPr>
          <w:b/>
          <w:bCs/>
          <w:iCs/>
        </w:rPr>
        <w:t xml:space="preserve">isit </w:t>
      </w:r>
      <w:r w:rsidRPr="00FF3F40" w:rsidR="009560A2">
        <w:rPr>
          <w:b/>
          <w:bCs/>
          <w:iCs/>
        </w:rPr>
        <w:t>i</w:t>
      </w:r>
      <w:r w:rsidRPr="00FF3F40" w:rsidR="007C3193">
        <w:rPr>
          <w:b/>
          <w:bCs/>
          <w:iCs/>
        </w:rPr>
        <w:t>nterview</w:t>
      </w:r>
      <w:r w:rsidRPr="00FF3F40">
        <w:rPr>
          <w:b/>
          <w:bCs/>
          <w:iCs/>
        </w:rPr>
        <w:t xml:space="preserve"> </w:t>
      </w:r>
      <w:r w:rsidRPr="00FF3F40" w:rsidR="009560A2">
        <w:rPr>
          <w:b/>
          <w:bCs/>
          <w:iCs/>
        </w:rPr>
        <w:t>d</w:t>
      </w:r>
      <w:r w:rsidRPr="00FF3F40">
        <w:rPr>
          <w:b/>
          <w:bCs/>
          <w:iCs/>
        </w:rPr>
        <w:t>ata</w:t>
      </w:r>
      <w:r w:rsidRPr="00FF3F40">
        <w:rPr>
          <w:b/>
          <w:bCs/>
          <w:iCs/>
        </w:rPr>
        <w:t>.</w:t>
      </w:r>
      <w:r w:rsidRPr="00FF3F40">
        <w:t xml:space="preserve"> </w:t>
      </w:r>
      <w:r w:rsidRPr="00FF3F40">
        <w:t xml:space="preserve">We will select </w:t>
      </w:r>
      <w:r w:rsidRPr="00FF3F40" w:rsidR="00035D6B">
        <w:t>RWHAP provider</w:t>
      </w:r>
      <w:r w:rsidRPr="00FF3F40" w:rsidR="007C3193">
        <w:t xml:space="preserve"> </w:t>
      </w:r>
      <w:r w:rsidR="00EB6D3B">
        <w:t xml:space="preserve">and recipient </w:t>
      </w:r>
      <w:r w:rsidRPr="00FF3F40" w:rsidR="007C3193">
        <w:t xml:space="preserve">sites </w:t>
      </w:r>
      <w:r w:rsidRPr="00FF3F40" w:rsidR="00582B0D">
        <w:t xml:space="preserve">for </w:t>
      </w:r>
      <w:r w:rsidRPr="00FF3F40">
        <w:t xml:space="preserve">the </w:t>
      </w:r>
      <w:r w:rsidRPr="00FF3F40" w:rsidR="006D66E1">
        <w:t xml:space="preserve">virtual </w:t>
      </w:r>
      <w:r w:rsidRPr="00FF3F40" w:rsidR="007C3193">
        <w:t>interviews</w:t>
      </w:r>
      <w:r w:rsidRPr="00FF3F40" w:rsidR="00582B0D">
        <w:t xml:space="preserve"> based on </w:t>
      </w:r>
      <w:r w:rsidRPr="00FF3F40" w:rsidR="00F91F1D">
        <w:t>survey responses</w:t>
      </w:r>
      <w:r w:rsidRPr="00FF3F40" w:rsidR="009560A2">
        <w:t xml:space="preserve"> and</w:t>
      </w:r>
      <w:r w:rsidRPr="00FF3F40">
        <w:t xml:space="preserve"> provider</w:t>
      </w:r>
      <w:r w:rsidRPr="00FF3F40" w:rsidR="00F91F1D">
        <w:t xml:space="preserve"> characteristics derived from the RSR</w:t>
      </w:r>
      <w:r w:rsidR="006E5466">
        <w:t xml:space="preserve"> and DSR</w:t>
      </w:r>
      <w:r w:rsidRPr="00FF3F40" w:rsidR="00F91F1D">
        <w:t xml:space="preserve">. </w:t>
      </w:r>
      <w:r w:rsidRPr="00FF3F40">
        <w:t>We will maintain b</w:t>
      </w:r>
      <w:r w:rsidRPr="00FF3F40" w:rsidR="00F91F1D">
        <w:t>oth data sources (</w:t>
      </w:r>
      <w:r w:rsidRPr="00FF3F40">
        <w:t xml:space="preserve">the </w:t>
      </w:r>
      <w:r w:rsidRPr="00FF3F40" w:rsidR="00F91F1D">
        <w:t>survey</w:t>
      </w:r>
      <w:r w:rsidRPr="00FF3F40">
        <w:t xml:space="preserve"> responses and the </w:t>
      </w:r>
      <w:r w:rsidRPr="00FF3F40" w:rsidR="00F91F1D">
        <w:t>RSR</w:t>
      </w:r>
      <w:r w:rsidR="006E5466">
        <w:t>/DSR</w:t>
      </w:r>
      <w:r w:rsidRPr="00FF3F40">
        <w:t xml:space="preserve"> extract file</w:t>
      </w:r>
      <w:r w:rsidRPr="00FF3F40" w:rsidR="00F91F1D">
        <w:t>)</w:t>
      </w:r>
      <w:r w:rsidRPr="00FF3F40" w:rsidR="00743A06">
        <w:t>, along with electronic notes, on a secure server with limited access</w:t>
      </w:r>
      <w:r w:rsidRPr="00FF3F40" w:rsidR="00F91F1D">
        <w:t xml:space="preserve">. </w:t>
      </w:r>
      <w:r w:rsidRPr="00FF3F40">
        <w:t>We will audio record all i</w:t>
      </w:r>
      <w:r w:rsidRPr="00FF3F40" w:rsidR="007C3193">
        <w:t>nterviews</w:t>
      </w:r>
      <w:r w:rsidRPr="00FF3F40">
        <w:t xml:space="preserve"> after </w:t>
      </w:r>
      <w:r w:rsidRPr="00FF3F40" w:rsidR="00516485">
        <w:t>the informant gives us verbal consent</w:t>
      </w:r>
      <w:r w:rsidRPr="00FF3F40" w:rsidR="007C3193">
        <w:t xml:space="preserve">. </w:t>
      </w:r>
      <w:r w:rsidRPr="00FF3F40" w:rsidR="00516485">
        <w:t>We will upload the audio r</w:t>
      </w:r>
      <w:r w:rsidRPr="00FF3F40" w:rsidR="00743A06">
        <w:t xml:space="preserve">ecordings </w:t>
      </w:r>
      <w:r w:rsidRPr="00FF3F40" w:rsidR="007E5B71">
        <w:t xml:space="preserve">from the WebEx platform </w:t>
      </w:r>
      <w:r w:rsidRPr="00FF3F40" w:rsidR="00743A06">
        <w:t xml:space="preserve">to </w:t>
      </w:r>
      <w:r w:rsidRPr="00FF3F40" w:rsidR="007C3193">
        <w:t xml:space="preserve">a project-specific restricted folder </w:t>
      </w:r>
      <w:r w:rsidRPr="00FF3F40" w:rsidR="00743A06">
        <w:t xml:space="preserve">immediately </w:t>
      </w:r>
      <w:r w:rsidRPr="00FF3F40" w:rsidR="009560A2">
        <w:t xml:space="preserve">after </w:t>
      </w:r>
      <w:r w:rsidRPr="00FF3F40" w:rsidR="00743A06">
        <w:t xml:space="preserve">the </w:t>
      </w:r>
      <w:r w:rsidRPr="00FF3F40" w:rsidR="007C3193">
        <w:t xml:space="preserve">interview </w:t>
      </w:r>
      <w:r w:rsidRPr="00FF3F40" w:rsidR="00743A06">
        <w:t>along with any electronic notes taken during the site visit</w:t>
      </w:r>
      <w:r w:rsidRPr="00FF3F40" w:rsidR="00F709D5">
        <w:t xml:space="preserve">. </w:t>
      </w:r>
      <w:r w:rsidRPr="00FF3F40" w:rsidR="009560A2">
        <w:t>After</w:t>
      </w:r>
      <w:r w:rsidRPr="00FF3F40" w:rsidR="007E5B71">
        <w:t xml:space="preserve"> the upload, </w:t>
      </w:r>
      <w:r w:rsidRPr="00FF3F40" w:rsidR="00516485">
        <w:t xml:space="preserve">we will delete </w:t>
      </w:r>
      <w:r w:rsidRPr="00FF3F40" w:rsidR="007E5B71">
        <w:t xml:space="preserve">the </w:t>
      </w:r>
      <w:r w:rsidRPr="00FF3F40" w:rsidR="00516485">
        <w:t xml:space="preserve">audio </w:t>
      </w:r>
      <w:r w:rsidRPr="00FF3F40" w:rsidR="007E5B71">
        <w:t xml:space="preserve">recording from the </w:t>
      </w:r>
      <w:r w:rsidRPr="00FF3F40" w:rsidR="00743A06">
        <w:t>WebEx platform.</w:t>
      </w:r>
      <w:r w:rsidRPr="00FF3F40" w:rsidR="007E5B71">
        <w:t xml:space="preserve"> </w:t>
      </w:r>
    </w:p>
    <w:p w:rsidR="00DB7177" w:rsidRPr="00FF3F40" w:rsidP="0007685B" w14:paraId="4809781D" w14:textId="6F772438">
      <w:pPr>
        <w:pStyle w:val="H3"/>
      </w:pPr>
      <w:r w:rsidRPr="00FF3F40">
        <w:t>11.</w:t>
      </w:r>
      <w:r w:rsidRPr="00FF3F40">
        <w:tab/>
      </w:r>
      <w:r w:rsidRPr="00FF3F40">
        <w:t xml:space="preserve">Justification for </w:t>
      </w:r>
      <w:r w:rsidRPr="00FF3F40">
        <w:t>sensitive qu</w:t>
      </w:r>
      <w:r w:rsidRPr="00FF3F40">
        <w:t>estions</w:t>
      </w:r>
    </w:p>
    <w:p w:rsidR="00934108" w:rsidRPr="00FF3F40" w:rsidP="0007685B" w14:paraId="34767252" w14:textId="7DF18FE8">
      <w:pPr>
        <w:pStyle w:val="ParagraphContinued"/>
      </w:pPr>
      <w:r w:rsidRPr="00FF3F40">
        <w:t xml:space="preserve">The RUDI evaluation focuses on the uptake, utility, and efficacy of the </w:t>
      </w:r>
      <w:r w:rsidRPr="00FF3F40" w:rsidR="00516485">
        <w:t xml:space="preserve">HAB and non-HAB disseminated resources and </w:t>
      </w:r>
      <w:r w:rsidRPr="00FF3F40">
        <w:t xml:space="preserve">products, the effectiveness of its dissemination process, and the reach of its key dissemination channels. </w:t>
      </w:r>
      <w:r w:rsidRPr="00FF3F40">
        <w:t xml:space="preserve">The information </w:t>
      </w:r>
      <w:r w:rsidRPr="00FF3F40" w:rsidR="00516485">
        <w:t xml:space="preserve">that we will collect from </w:t>
      </w:r>
      <w:r w:rsidRPr="00FF3F40" w:rsidR="00B35912">
        <w:t xml:space="preserve">RWHAP providers </w:t>
      </w:r>
      <w:r w:rsidR="00D77A00">
        <w:t xml:space="preserve">and recipients </w:t>
      </w:r>
      <w:r w:rsidRPr="00FF3F40" w:rsidR="00516485">
        <w:t xml:space="preserve">(via survey or interviews) </w:t>
      </w:r>
      <w:r w:rsidRPr="00FF3F40" w:rsidR="00B35912">
        <w:t xml:space="preserve">is not sensitive in nature. </w:t>
      </w:r>
      <w:r w:rsidRPr="00FF3F40" w:rsidR="00516485">
        <w:t xml:space="preserve">Because of </w:t>
      </w:r>
      <w:r w:rsidRPr="00FF3F40" w:rsidR="009560A2">
        <w:t xml:space="preserve">the </w:t>
      </w:r>
      <w:r w:rsidRPr="00FF3F40" w:rsidR="00516485">
        <w:t xml:space="preserve">evaluation’s </w:t>
      </w:r>
      <w:r w:rsidRPr="00FF3F40" w:rsidR="00B35912">
        <w:t xml:space="preserve">focus, </w:t>
      </w:r>
      <w:r w:rsidRPr="00FF3F40" w:rsidR="00516485">
        <w:t xml:space="preserve">we will mostly ask </w:t>
      </w:r>
      <w:r w:rsidRPr="00FF3F40" w:rsidR="00B35912">
        <w:t>r</w:t>
      </w:r>
      <w:r w:rsidRPr="00FF3F40">
        <w:t xml:space="preserve">espondents </w:t>
      </w:r>
      <w:r w:rsidRPr="00FF3F40" w:rsidR="00516485">
        <w:t xml:space="preserve">to </w:t>
      </w:r>
      <w:r w:rsidRPr="00FF3F40">
        <w:t>provide information about their organizations and organizational activities</w:t>
      </w:r>
      <w:r w:rsidRPr="00FF3F40" w:rsidR="00EB588A">
        <w:t>.</w:t>
      </w:r>
      <w:r w:rsidRPr="00FF3F40" w:rsidR="00F97DB7">
        <w:t xml:space="preserve"> </w:t>
      </w:r>
      <w:r w:rsidRPr="00FF3F40" w:rsidR="00EB588A">
        <w:t xml:space="preserve">Information collected in the </w:t>
      </w:r>
      <w:r w:rsidRPr="00FF3F40" w:rsidR="00B35912">
        <w:t xml:space="preserve">survey and during virtual site visits </w:t>
      </w:r>
      <w:r w:rsidRPr="00FF3F40" w:rsidR="00EB588A">
        <w:t xml:space="preserve">will </w:t>
      </w:r>
      <w:r w:rsidRPr="00FF3F40" w:rsidR="00516485">
        <w:t xml:space="preserve">pertain to </w:t>
      </w:r>
      <w:r w:rsidR="00896D94">
        <w:t xml:space="preserve">staff </w:t>
      </w:r>
      <w:r w:rsidRPr="00FF3F40" w:rsidR="00EB588A">
        <w:t>experiences and use</w:t>
      </w:r>
      <w:r w:rsidRPr="00FF3F40" w:rsidR="00516485">
        <w:t>s</w:t>
      </w:r>
      <w:r w:rsidRPr="00FF3F40" w:rsidR="00EB588A">
        <w:t xml:space="preserve"> of </w:t>
      </w:r>
      <w:r w:rsidRPr="00FF3F40" w:rsidR="00B35912">
        <w:t xml:space="preserve">various </w:t>
      </w:r>
      <w:r w:rsidRPr="00FF3F40" w:rsidR="00516485">
        <w:t xml:space="preserve">dissemination resources and </w:t>
      </w:r>
      <w:r w:rsidRPr="00FF3F40" w:rsidR="00B35912">
        <w:t>products</w:t>
      </w:r>
      <w:r w:rsidR="00896D94">
        <w:t>. Q</w:t>
      </w:r>
      <w:r w:rsidRPr="00FF3F40" w:rsidR="00EB588A">
        <w:t>uestions are not designed to collect personal or sensitive information</w:t>
      </w:r>
      <w:r w:rsidRPr="00FF3F40">
        <w:t xml:space="preserve">. </w:t>
      </w:r>
    </w:p>
    <w:p w:rsidR="00ED2739" w:rsidRPr="00FF3F40" w:rsidP="00370AC6" w14:paraId="07E846EC" w14:textId="6E871CB1">
      <w:pPr>
        <w:pStyle w:val="H3"/>
      </w:pPr>
      <w:r w:rsidRPr="00FF3F40">
        <w:t>12.</w:t>
      </w:r>
      <w:r w:rsidRPr="00FF3F40">
        <w:tab/>
      </w:r>
      <w:r w:rsidRPr="00FF3F40" w:rsidR="009B3794">
        <w:t xml:space="preserve">Estimates of </w:t>
      </w:r>
      <w:r w:rsidRPr="00FF3F40">
        <w:t>annualized hour and cost b</w:t>
      </w:r>
      <w:r w:rsidRPr="00FF3F40" w:rsidR="009B3794">
        <w:t>urden</w:t>
      </w:r>
      <w:r w:rsidRPr="00FF3F40" w:rsidR="00F709D5">
        <w:t xml:space="preserve"> </w:t>
      </w:r>
    </w:p>
    <w:p w:rsidR="000114D6" w:rsidRPr="00FF3F40" w:rsidP="00370AC6" w14:paraId="4734FC92" w14:textId="3B4144AD">
      <w:pPr>
        <w:pStyle w:val="H4"/>
      </w:pPr>
      <w:r w:rsidRPr="00FF3F40">
        <w:t>12A.</w:t>
      </w:r>
      <w:r w:rsidRPr="00FF3F40" w:rsidR="00370AC6">
        <w:t xml:space="preserve"> </w:t>
      </w:r>
      <w:r w:rsidRPr="00FF3F40">
        <w:t xml:space="preserve">Estimated </w:t>
      </w:r>
      <w:r w:rsidRPr="00FF3F40" w:rsidR="00370AC6">
        <w:t>annualized burden h</w:t>
      </w:r>
      <w:r w:rsidRPr="00FF3F40">
        <w:t>ours</w:t>
      </w:r>
    </w:p>
    <w:p w:rsidR="00ED2739" w:rsidRPr="00FF3F40" w:rsidP="00370AC6" w14:paraId="06F904FE" w14:textId="11A86BF1">
      <w:pPr>
        <w:pStyle w:val="ParagraphContinued"/>
      </w:pPr>
      <w:r w:rsidRPr="00FF3F40">
        <w:t xml:space="preserve">This section provides annualized burden hours for each </w:t>
      </w:r>
      <w:r w:rsidRPr="00FF3F40" w:rsidR="00B35912">
        <w:rPr>
          <w:iCs/>
        </w:rPr>
        <w:t xml:space="preserve">RUDI </w:t>
      </w:r>
      <w:r w:rsidRPr="00FF3F40" w:rsidR="00516485">
        <w:rPr>
          <w:iCs/>
        </w:rPr>
        <w:t>e</w:t>
      </w:r>
      <w:r w:rsidRPr="00FF3F40" w:rsidR="00B35912">
        <w:rPr>
          <w:iCs/>
        </w:rPr>
        <w:t>valuation</w:t>
      </w:r>
      <w:r w:rsidRPr="00FF3F40" w:rsidR="00B35912">
        <w:rPr>
          <w:i/>
        </w:rPr>
        <w:t xml:space="preserve"> </w:t>
      </w:r>
      <w:r w:rsidRPr="00FF3F40" w:rsidR="00B35912">
        <w:rPr>
          <w:iCs/>
        </w:rPr>
        <w:t>primary</w:t>
      </w:r>
      <w:r w:rsidRPr="00FF3F40" w:rsidR="00B35912">
        <w:rPr>
          <w:i/>
        </w:rPr>
        <w:t xml:space="preserve"> </w:t>
      </w:r>
      <w:r w:rsidRPr="00FF3F40" w:rsidR="00807B27">
        <w:t>data collection activity</w:t>
      </w:r>
      <w:r w:rsidRPr="00FF3F40">
        <w:t xml:space="preserve"> </w:t>
      </w:r>
      <w:r w:rsidRPr="00FF3F40" w:rsidR="00807B27">
        <w:t>described</w:t>
      </w:r>
      <w:r w:rsidRPr="00FF3F40">
        <w:t xml:space="preserve"> in this OMB package. </w:t>
      </w:r>
      <w:r w:rsidRPr="00FF3F40" w:rsidR="000114D6">
        <w:t xml:space="preserve">The primary data collection activities will occur in Year 2 of the RUDI </w:t>
      </w:r>
      <w:r w:rsidRPr="00FF3F40" w:rsidR="00516485">
        <w:t>e</w:t>
      </w:r>
      <w:r w:rsidRPr="00FF3F40" w:rsidR="000114D6">
        <w:t xml:space="preserve">valuation. </w:t>
      </w:r>
      <w:r w:rsidRPr="00FF3F40" w:rsidR="009560A2">
        <w:t xml:space="preserve">As </w:t>
      </w:r>
      <w:r w:rsidRPr="00FF3F40" w:rsidR="009560A2">
        <w:rPr>
          <w:bCs/>
          <w:iCs/>
        </w:rPr>
        <w:t xml:space="preserve">Exhibit 4 shows, </w:t>
      </w:r>
      <w:r w:rsidRPr="00FF3F40" w:rsidR="009560A2">
        <w:t>t</w:t>
      </w:r>
      <w:r w:rsidRPr="00FF3F40">
        <w:t xml:space="preserve">otal burden hours for this entire OMB package </w:t>
      </w:r>
      <w:r w:rsidRPr="00FF3F40" w:rsidR="00150781">
        <w:t xml:space="preserve">is </w:t>
      </w:r>
      <w:r w:rsidR="00431B3B">
        <w:t>543</w:t>
      </w:r>
      <w:r w:rsidRPr="00FF3F40">
        <w:rPr>
          <w:iCs/>
        </w:rPr>
        <w:t>.</w:t>
      </w:r>
      <w:r w:rsidRPr="00FF3F40">
        <w:t xml:space="preserve"> </w:t>
      </w:r>
      <w:r w:rsidR="00E026F9">
        <w:t>Each of the RUDI surveys (RUDI-</w:t>
      </w:r>
      <w:r w:rsidR="0029248F">
        <w:t>P</w:t>
      </w:r>
      <w:r w:rsidR="00195138">
        <w:t>/S</w:t>
      </w:r>
      <w:r w:rsidR="00A16778">
        <w:t xml:space="preserve"> and</w:t>
      </w:r>
      <w:r w:rsidR="00E026F9">
        <w:t xml:space="preserve"> RUDI-</w:t>
      </w:r>
      <w:r w:rsidR="0029248F">
        <w:t>R</w:t>
      </w:r>
      <w:r w:rsidR="00E026F9">
        <w:t xml:space="preserve">) </w:t>
      </w:r>
      <w:r w:rsidRPr="00FF3F40" w:rsidR="000114D6">
        <w:t xml:space="preserve">will take no more than </w:t>
      </w:r>
      <w:r w:rsidR="00EA6A32">
        <w:t>20</w:t>
      </w:r>
      <w:r w:rsidRPr="00FF3F40" w:rsidR="00EA6A32">
        <w:t xml:space="preserve"> </w:t>
      </w:r>
      <w:r w:rsidRPr="00FF3F40" w:rsidR="000114D6">
        <w:t>minutes</w:t>
      </w:r>
      <w:r w:rsidR="0029248F">
        <w:t xml:space="preserve"> </w:t>
      </w:r>
      <w:r w:rsidRPr="00FF3F40" w:rsidR="000114D6">
        <w:t>(.</w:t>
      </w:r>
      <w:r w:rsidR="00EA6A32">
        <w:t>33</w:t>
      </w:r>
      <w:r w:rsidRPr="00FF3F40" w:rsidR="00EA6A32">
        <w:t xml:space="preserve"> </w:t>
      </w:r>
      <w:r w:rsidRPr="00FF3F40" w:rsidR="000114D6">
        <w:t>hours)</w:t>
      </w:r>
      <w:r w:rsidRPr="00FF3F40" w:rsidR="00340766">
        <w:t xml:space="preserve"> to complete</w:t>
      </w:r>
      <w:r w:rsidR="003F3804">
        <w:t xml:space="preserve">. Virtual site visit interviews with staff within </w:t>
      </w:r>
      <w:r w:rsidR="00C75B5F">
        <w:t xml:space="preserve">40 </w:t>
      </w:r>
      <w:r w:rsidRPr="00FF3F40" w:rsidR="00615EC0">
        <w:t>RWHAP provider site</w:t>
      </w:r>
      <w:r w:rsidR="003F3804">
        <w:t>s</w:t>
      </w:r>
      <w:r w:rsidRPr="00FF3F40" w:rsidR="00615EC0">
        <w:t xml:space="preserve"> will </w:t>
      </w:r>
      <w:r w:rsidRPr="00FF3F40" w:rsidR="000114D6">
        <w:t xml:space="preserve">not exceed </w:t>
      </w:r>
      <w:r w:rsidR="007672C5">
        <w:t>three</w:t>
      </w:r>
      <w:r w:rsidRPr="00FF3F40" w:rsidR="000114D6">
        <w:t xml:space="preserve"> hours</w:t>
      </w:r>
      <w:r w:rsidRPr="00FF3F40" w:rsidR="00340766">
        <w:t xml:space="preserve"> in total</w:t>
      </w:r>
      <w:r w:rsidRPr="00FF3F40" w:rsidR="000114D6">
        <w:t>.</w:t>
      </w:r>
      <w:r w:rsidRPr="00FF3F40" w:rsidR="00150781">
        <w:t xml:space="preserve"> </w:t>
      </w:r>
      <w:r w:rsidRPr="00FF3F40" w:rsidR="001C6AA7">
        <w:t>We anticipate that one to five staff members from each site will participate in the interviews</w:t>
      </w:r>
      <w:r w:rsidR="001C6AA7">
        <w:t>; we used an average number of three for purposes of the burden estimate</w:t>
      </w:r>
      <w:r w:rsidRPr="00FF3F40" w:rsidR="001C6AA7">
        <w:t xml:space="preserve">. </w:t>
      </w:r>
      <w:bookmarkStart w:id="12" w:name="_Hlk148697685"/>
      <w:r w:rsidR="003F3804">
        <w:t xml:space="preserve">Individual interviews with </w:t>
      </w:r>
      <w:r w:rsidR="00FC7263">
        <w:t xml:space="preserve">RWHAP </w:t>
      </w:r>
      <w:r w:rsidR="001C6AA7">
        <w:t xml:space="preserve">recipient </w:t>
      </w:r>
      <w:r w:rsidR="004F3B97">
        <w:t xml:space="preserve">sites will take </w:t>
      </w:r>
      <w:r w:rsidR="003A516D">
        <w:t xml:space="preserve">45 </w:t>
      </w:r>
      <w:r w:rsidR="004F3B97">
        <w:t xml:space="preserve">hours. </w:t>
      </w:r>
      <w:r w:rsidR="00961FF9">
        <w:t xml:space="preserve">At fifteen of the </w:t>
      </w:r>
      <w:r w:rsidR="003A516D">
        <w:t xml:space="preserve">RWHAP recipient sites </w:t>
      </w:r>
      <w:r w:rsidR="00961FF9">
        <w:t xml:space="preserve">we will conduct </w:t>
      </w:r>
      <w:r w:rsidR="00771466">
        <w:t>one one-hour interview with an average of two participants</w:t>
      </w:r>
      <w:r w:rsidR="00961FF9">
        <w:t xml:space="preserve">. </w:t>
      </w:r>
      <w:r w:rsidR="004F3B97">
        <w:t xml:space="preserve">Five </w:t>
      </w:r>
      <w:r w:rsidR="0029248F">
        <w:t xml:space="preserve">of the </w:t>
      </w:r>
      <w:r w:rsidR="004F3B97">
        <w:t xml:space="preserve">twenty RWHAP </w:t>
      </w:r>
      <w:r w:rsidR="001C6AA7">
        <w:t xml:space="preserve">recipient </w:t>
      </w:r>
      <w:r w:rsidR="004F3B97">
        <w:t xml:space="preserve">sites are large and </w:t>
      </w:r>
      <w:r w:rsidR="00771466">
        <w:t xml:space="preserve">will average three participants </w:t>
      </w:r>
      <w:r w:rsidR="0029248F">
        <w:t xml:space="preserve">per site. </w:t>
      </w:r>
      <w:bookmarkEnd w:id="12"/>
      <w:r w:rsidRPr="00FF3F40" w:rsidR="00340766">
        <w:t>We have based our t</w:t>
      </w:r>
      <w:r w:rsidRPr="00FF3F40">
        <w:t>ime estimates</w:t>
      </w:r>
      <w:r w:rsidRPr="00FF3F40" w:rsidR="00D0212D">
        <w:t xml:space="preserve"> for survey completion and </w:t>
      </w:r>
      <w:r w:rsidRPr="00FF3F40" w:rsidR="00615EC0">
        <w:t xml:space="preserve">interview </w:t>
      </w:r>
      <w:r w:rsidRPr="00FF3F40" w:rsidR="00D0212D">
        <w:t>duration</w:t>
      </w:r>
      <w:r w:rsidRPr="00FF3F40">
        <w:t xml:space="preserve"> on </w:t>
      </w:r>
      <w:r w:rsidR="001C6AA7">
        <w:t xml:space="preserve">pilot testing that was done with RWHAP providers and recipients and our </w:t>
      </w:r>
      <w:r w:rsidRPr="00FF3F40">
        <w:t xml:space="preserve">experience with similar </w:t>
      </w:r>
      <w:r w:rsidRPr="00FF3F40" w:rsidR="00E57DAD">
        <w:t xml:space="preserve">efforts </w:t>
      </w:r>
      <w:r w:rsidRPr="00FF3F40">
        <w:t xml:space="preserve">in </w:t>
      </w:r>
      <w:r w:rsidRPr="00FF3F40" w:rsidR="00E57DAD">
        <w:t xml:space="preserve">comparable </w:t>
      </w:r>
      <w:r w:rsidRPr="00FF3F40">
        <w:t xml:space="preserve">studies. </w:t>
      </w:r>
    </w:p>
    <w:p w:rsidR="006B693D" w:rsidRPr="00FF3F40" w:rsidP="008B32F3" w14:paraId="562C67C2" w14:textId="77777777">
      <w:pPr>
        <w:pStyle w:val="TitleRule"/>
      </w:pPr>
      <w:r w:rsidRPr="00FF3F40">
        <w:rPr>
          <w:noProof/>
        </w:rPr>
        <mc:AlternateContent>
          <mc:Choice Requires="wps">
            <w:drawing>
              <wp:inline distT="0" distB="0" distL="0" distR="0">
                <wp:extent cx="2971800" cy="0"/>
                <wp:effectExtent l="0" t="38100" r="38100" b="38100"/>
                <wp:docPr id="4" name="Straight Connector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8"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A2BA1" w:rsidRPr="00FF3F40" w:rsidP="006B693D" w14:paraId="04B9A521" w14:textId="5EF32DF2">
      <w:pPr>
        <w:pStyle w:val="ExhibitTitle"/>
      </w:pPr>
      <w:r w:rsidRPr="00FF3F40">
        <w:t xml:space="preserve">Exhibit </w:t>
      </w:r>
      <w:r w:rsidRPr="00FF3F40" w:rsidR="000114D6">
        <w:t>4</w:t>
      </w:r>
      <w:r w:rsidRPr="00FF3F40">
        <w:t xml:space="preserve">. Annualized </w:t>
      </w:r>
      <w:r w:rsidRPr="00FF3F40" w:rsidR="00827990">
        <w:t>burden hour estimate associated with data collection</w:t>
      </w:r>
    </w:p>
    <w:tbl>
      <w:tblPr>
        <w:tblStyle w:val="BaseTable"/>
        <w:tblpPr w:leftFromText="180" w:rightFromText="180" w:vertAnchor="text" w:horzAnchor="margin" w:tblpXSpec="center" w:tblpY="34"/>
        <w:tblW w:w="9447" w:type="dxa"/>
        <w:tblLook w:val="04A0"/>
      </w:tblPr>
      <w:tblGrid>
        <w:gridCol w:w="1180"/>
        <w:gridCol w:w="1181"/>
        <w:gridCol w:w="1180"/>
        <w:gridCol w:w="1181"/>
        <w:gridCol w:w="1181"/>
        <w:gridCol w:w="1180"/>
        <w:gridCol w:w="1183"/>
        <w:gridCol w:w="1181"/>
      </w:tblGrid>
      <w:tr w14:paraId="325946DD" w14:textId="77777777" w:rsidTr="00CF7FC3">
        <w:tblPrEx>
          <w:tblW w:w="9447" w:type="dxa"/>
          <w:tblLook w:val="04A0"/>
        </w:tblPrEx>
        <w:trPr>
          <w:trHeight w:val="120"/>
          <w:tblHeader/>
        </w:trPr>
        <w:tc>
          <w:tcPr>
            <w:tcW w:w="1180" w:type="dxa"/>
          </w:tcPr>
          <w:p w:rsidR="00C02B6F" w:rsidRPr="00FF3F40" w:rsidP="006B693D" w14:paraId="605BCE63" w14:textId="6A49BFEC">
            <w:pPr>
              <w:pStyle w:val="TableHeaderLeft"/>
              <w:rPr>
                <w:rFonts w:cs="Arial"/>
                <w:b w:val="0"/>
                <w:bCs/>
              </w:rPr>
            </w:pPr>
            <w:r w:rsidRPr="00FF3F40">
              <w:t>Respondent</w:t>
            </w:r>
          </w:p>
        </w:tc>
        <w:tc>
          <w:tcPr>
            <w:tcW w:w="1181" w:type="dxa"/>
          </w:tcPr>
          <w:p w:rsidR="00C02B6F" w:rsidRPr="00FF3F40" w:rsidP="006B693D" w14:paraId="7D69A029" w14:textId="68DC4026">
            <w:pPr>
              <w:pStyle w:val="TableHeaderCenter"/>
              <w:rPr>
                <w:rFonts w:cs="Arial"/>
                <w:b w:val="0"/>
                <w:bCs/>
              </w:rPr>
            </w:pPr>
            <w:r w:rsidRPr="00FF3F40">
              <w:rPr>
                <w:rFonts w:cs="Arial"/>
                <w:bCs/>
              </w:rPr>
              <w:t xml:space="preserve">Data </w:t>
            </w:r>
            <w:r w:rsidRPr="00FF3F40" w:rsidR="009560A2">
              <w:rPr>
                <w:rFonts w:cs="Arial"/>
                <w:bCs/>
              </w:rPr>
              <w:t>c</w:t>
            </w:r>
            <w:r w:rsidRPr="00FF3F40">
              <w:rPr>
                <w:rFonts w:cs="Arial"/>
                <w:bCs/>
              </w:rPr>
              <w:t>ollection</w:t>
            </w:r>
          </w:p>
        </w:tc>
        <w:tc>
          <w:tcPr>
            <w:tcW w:w="1180" w:type="dxa"/>
          </w:tcPr>
          <w:p w:rsidR="00C02B6F" w:rsidRPr="00FF3F40" w:rsidP="006B693D" w14:paraId="24A8BA93" w14:textId="0DFF1C11">
            <w:pPr>
              <w:pStyle w:val="TableHeaderCenter"/>
              <w:rPr>
                <w:rFonts w:cs="Arial"/>
                <w:b w:val="0"/>
                <w:bCs/>
              </w:rPr>
            </w:pPr>
            <w:r w:rsidRPr="00FF3F40">
              <w:rPr>
                <w:rFonts w:cs="Arial"/>
                <w:bCs/>
              </w:rPr>
              <w:t>N</w:t>
            </w:r>
            <w:r w:rsidRPr="00FF3F40" w:rsidR="00DE37E7">
              <w:rPr>
                <w:rFonts w:cs="Arial"/>
                <w:bCs/>
              </w:rPr>
              <w:t>umber</w:t>
            </w:r>
            <w:r w:rsidRPr="00FF3F40">
              <w:rPr>
                <w:rFonts w:cs="Arial"/>
                <w:bCs/>
              </w:rPr>
              <w:t xml:space="preserve"> of RWHAP </w:t>
            </w:r>
            <w:r w:rsidRPr="00FF3F40" w:rsidR="009560A2">
              <w:rPr>
                <w:rFonts w:cs="Arial"/>
                <w:bCs/>
              </w:rPr>
              <w:t>p</w:t>
            </w:r>
            <w:r w:rsidRPr="00FF3F40">
              <w:rPr>
                <w:rFonts w:cs="Arial"/>
                <w:bCs/>
              </w:rPr>
              <w:t xml:space="preserve">rovider </w:t>
            </w:r>
            <w:r w:rsidRPr="00FF3F40" w:rsidR="009560A2">
              <w:rPr>
                <w:rFonts w:cs="Arial"/>
                <w:bCs/>
              </w:rPr>
              <w:t>s</w:t>
            </w:r>
            <w:r w:rsidRPr="00FF3F40">
              <w:rPr>
                <w:rFonts w:cs="Arial"/>
                <w:bCs/>
              </w:rPr>
              <w:t>ites</w:t>
            </w:r>
          </w:p>
        </w:tc>
        <w:tc>
          <w:tcPr>
            <w:tcW w:w="1181" w:type="dxa"/>
          </w:tcPr>
          <w:p w:rsidR="00C02B6F" w:rsidRPr="00FF3F40" w:rsidP="006B693D" w14:paraId="198C391C" w14:textId="426FBEF7">
            <w:pPr>
              <w:pStyle w:val="TableHeaderCenter"/>
              <w:rPr>
                <w:rFonts w:cs="Arial"/>
                <w:b w:val="0"/>
                <w:bCs/>
              </w:rPr>
            </w:pPr>
            <w:r w:rsidRPr="00FF3F40">
              <w:rPr>
                <w:rFonts w:cs="Arial"/>
                <w:bCs/>
              </w:rPr>
              <w:t>N</w:t>
            </w:r>
            <w:r w:rsidRPr="00FF3F40" w:rsidR="00DE37E7">
              <w:rPr>
                <w:rFonts w:cs="Arial"/>
                <w:bCs/>
              </w:rPr>
              <w:t>umber</w:t>
            </w:r>
            <w:r w:rsidRPr="00FF3F40">
              <w:rPr>
                <w:rFonts w:cs="Arial"/>
                <w:bCs/>
              </w:rPr>
              <w:t xml:space="preserve"> of</w:t>
            </w:r>
            <w:r w:rsidRPr="00FF3F40" w:rsidR="00792F3A">
              <w:rPr>
                <w:rFonts w:cs="Arial"/>
                <w:bCs/>
              </w:rPr>
              <w:t xml:space="preserve"> RWHAP </w:t>
            </w:r>
            <w:r w:rsidRPr="00FF3F40" w:rsidR="009560A2">
              <w:rPr>
                <w:rFonts w:cs="Arial"/>
                <w:bCs/>
              </w:rPr>
              <w:t>s</w:t>
            </w:r>
            <w:r w:rsidRPr="00FF3F40" w:rsidR="00792F3A">
              <w:rPr>
                <w:rFonts w:cs="Arial"/>
                <w:bCs/>
              </w:rPr>
              <w:t xml:space="preserve">taff </w:t>
            </w:r>
            <w:r w:rsidRPr="00FF3F40" w:rsidR="009560A2">
              <w:rPr>
                <w:rFonts w:cs="Arial"/>
                <w:bCs/>
              </w:rPr>
              <w:t>p</w:t>
            </w:r>
            <w:r w:rsidRPr="00FF3F40" w:rsidR="00792F3A">
              <w:rPr>
                <w:rFonts w:cs="Arial"/>
                <w:bCs/>
              </w:rPr>
              <w:t xml:space="preserve">roviding </w:t>
            </w:r>
            <w:r w:rsidRPr="00FF3F40" w:rsidR="009560A2">
              <w:rPr>
                <w:rFonts w:cs="Arial"/>
                <w:bCs/>
              </w:rPr>
              <w:t>i</w:t>
            </w:r>
            <w:r w:rsidRPr="00FF3F40" w:rsidR="00792F3A">
              <w:rPr>
                <w:rFonts w:cs="Arial"/>
                <w:bCs/>
              </w:rPr>
              <w:t>nput</w:t>
            </w:r>
          </w:p>
        </w:tc>
        <w:tc>
          <w:tcPr>
            <w:tcW w:w="1181" w:type="dxa"/>
          </w:tcPr>
          <w:p w:rsidR="00C02B6F" w:rsidRPr="00FF3F40" w:rsidP="00D22EF1" w14:paraId="5D5C155B" w14:textId="7A095C81">
            <w:pPr>
              <w:pStyle w:val="TableHeaderCenter"/>
              <w:rPr>
                <w:rFonts w:cs="Arial"/>
                <w:b w:val="0"/>
                <w:bCs/>
              </w:rPr>
            </w:pPr>
            <w:r w:rsidRPr="00FF3F40">
              <w:rPr>
                <w:rFonts w:cs="Arial"/>
                <w:bCs/>
              </w:rPr>
              <w:t>N</w:t>
            </w:r>
            <w:r w:rsidRPr="00FF3F40" w:rsidR="00DE37E7">
              <w:rPr>
                <w:rFonts w:cs="Arial"/>
                <w:bCs/>
              </w:rPr>
              <w:t xml:space="preserve">umber </w:t>
            </w:r>
            <w:r w:rsidRPr="00FF3F40" w:rsidR="009560A2">
              <w:rPr>
                <w:rFonts w:cs="Arial"/>
                <w:bCs/>
              </w:rPr>
              <w:t>of r</w:t>
            </w:r>
            <w:r w:rsidRPr="00FF3F40">
              <w:rPr>
                <w:rFonts w:cs="Arial"/>
                <w:bCs/>
              </w:rPr>
              <w:t>esponses</w:t>
            </w:r>
            <w:r w:rsidR="00D22EF1">
              <w:rPr>
                <w:rFonts w:cs="Arial"/>
                <w:bCs/>
              </w:rPr>
              <w:t xml:space="preserve"> </w:t>
            </w:r>
            <w:r w:rsidRPr="00FF3F40">
              <w:rPr>
                <w:rFonts w:cs="Arial"/>
                <w:bCs/>
              </w:rPr>
              <w:t xml:space="preserve">per </w:t>
            </w:r>
            <w:r w:rsidRPr="00FF3F40" w:rsidR="009560A2">
              <w:rPr>
                <w:rFonts w:cs="Arial"/>
                <w:bCs/>
              </w:rPr>
              <w:t>r</w:t>
            </w:r>
            <w:r w:rsidRPr="00FF3F40">
              <w:rPr>
                <w:rFonts w:cs="Arial"/>
                <w:bCs/>
              </w:rPr>
              <w:t>espondent</w:t>
            </w:r>
          </w:p>
        </w:tc>
        <w:tc>
          <w:tcPr>
            <w:tcW w:w="1180" w:type="dxa"/>
          </w:tcPr>
          <w:p w:rsidR="00C02B6F" w:rsidRPr="00FF3F40" w:rsidP="006B693D" w14:paraId="14205B2D" w14:textId="41264B70">
            <w:pPr>
              <w:pStyle w:val="TableHeaderCenter"/>
              <w:rPr>
                <w:rFonts w:cs="Arial"/>
                <w:b w:val="0"/>
                <w:bCs/>
              </w:rPr>
            </w:pPr>
            <w:r w:rsidRPr="00FF3F40">
              <w:rPr>
                <w:rFonts w:cs="Arial"/>
                <w:bCs/>
              </w:rPr>
              <w:t xml:space="preserve">Total </w:t>
            </w:r>
            <w:r w:rsidRPr="00FF3F40" w:rsidR="009560A2">
              <w:rPr>
                <w:rFonts w:cs="Arial"/>
                <w:bCs/>
              </w:rPr>
              <w:t>r</w:t>
            </w:r>
            <w:r w:rsidRPr="00FF3F40">
              <w:rPr>
                <w:rFonts w:cs="Arial"/>
                <w:bCs/>
              </w:rPr>
              <w:t>esponses</w:t>
            </w:r>
          </w:p>
        </w:tc>
        <w:tc>
          <w:tcPr>
            <w:tcW w:w="1183" w:type="dxa"/>
          </w:tcPr>
          <w:p w:rsidR="00C02B6F" w:rsidRPr="00FF3F40" w:rsidP="00D22EF1" w14:paraId="55550A1B" w14:textId="5761885B">
            <w:pPr>
              <w:pStyle w:val="TableHeaderCenter"/>
              <w:rPr>
                <w:rFonts w:cs="Arial"/>
                <w:b w:val="0"/>
                <w:bCs/>
              </w:rPr>
            </w:pPr>
            <w:r w:rsidRPr="00FF3F40">
              <w:rPr>
                <w:rFonts w:cs="Arial"/>
                <w:bCs/>
              </w:rPr>
              <w:t xml:space="preserve">Average </w:t>
            </w:r>
            <w:r w:rsidRPr="00FF3F40" w:rsidR="009560A2">
              <w:rPr>
                <w:rFonts w:cs="Arial"/>
                <w:bCs/>
              </w:rPr>
              <w:t>b</w:t>
            </w:r>
            <w:r w:rsidRPr="00FF3F40">
              <w:rPr>
                <w:rFonts w:cs="Arial"/>
                <w:bCs/>
              </w:rPr>
              <w:t xml:space="preserve">urden per </w:t>
            </w:r>
            <w:r w:rsidRPr="00FF3F40" w:rsidR="009560A2">
              <w:rPr>
                <w:rFonts w:cs="Arial"/>
                <w:bCs/>
              </w:rPr>
              <w:t>r</w:t>
            </w:r>
            <w:r w:rsidRPr="00FF3F40">
              <w:rPr>
                <w:rFonts w:cs="Arial"/>
                <w:bCs/>
              </w:rPr>
              <w:t>esponse</w:t>
            </w:r>
            <w:r w:rsidR="00D22EF1">
              <w:rPr>
                <w:rFonts w:cs="Arial"/>
                <w:bCs/>
              </w:rPr>
              <w:t xml:space="preserve"> </w:t>
            </w:r>
            <w:r w:rsidRPr="00FF3F40">
              <w:rPr>
                <w:rFonts w:cs="Arial"/>
                <w:bCs/>
              </w:rPr>
              <w:t>(in hours)</w:t>
            </w:r>
          </w:p>
        </w:tc>
        <w:tc>
          <w:tcPr>
            <w:tcW w:w="1181" w:type="dxa"/>
          </w:tcPr>
          <w:p w:rsidR="00C02B6F" w:rsidRPr="00FF3F40" w:rsidP="006B693D" w14:paraId="3A719476" w14:textId="2D7F01D6">
            <w:pPr>
              <w:pStyle w:val="TableHeaderCenter"/>
              <w:rPr>
                <w:rFonts w:cs="Arial"/>
                <w:b w:val="0"/>
                <w:bCs/>
              </w:rPr>
            </w:pPr>
            <w:r w:rsidRPr="00FF3F40">
              <w:rPr>
                <w:rFonts w:cs="Arial"/>
                <w:bCs/>
              </w:rPr>
              <w:t xml:space="preserve">Total </w:t>
            </w:r>
            <w:r w:rsidRPr="00FF3F40" w:rsidR="009560A2">
              <w:rPr>
                <w:rFonts w:cs="Arial"/>
                <w:bCs/>
              </w:rPr>
              <w:t>b</w:t>
            </w:r>
            <w:r w:rsidRPr="00FF3F40">
              <w:rPr>
                <w:rFonts w:cs="Arial"/>
                <w:bCs/>
              </w:rPr>
              <w:t xml:space="preserve">urden </w:t>
            </w:r>
            <w:r w:rsidRPr="00FF3F40" w:rsidR="009560A2">
              <w:rPr>
                <w:rFonts w:cs="Arial"/>
                <w:bCs/>
              </w:rPr>
              <w:t>h</w:t>
            </w:r>
            <w:r w:rsidRPr="00FF3F40">
              <w:rPr>
                <w:rFonts w:cs="Arial"/>
                <w:bCs/>
              </w:rPr>
              <w:t>ours</w:t>
            </w:r>
          </w:p>
        </w:tc>
      </w:tr>
      <w:tr w14:paraId="1F15630F" w14:textId="77777777" w:rsidTr="00514623">
        <w:tblPrEx>
          <w:tblW w:w="9447" w:type="dxa"/>
          <w:tblLook w:val="04A0"/>
        </w:tblPrEx>
        <w:trPr>
          <w:trHeight w:val="120"/>
        </w:trPr>
        <w:tc>
          <w:tcPr>
            <w:tcW w:w="1180" w:type="dxa"/>
          </w:tcPr>
          <w:p w:rsidR="00C02B6F" w:rsidRPr="00FF3F40" w:rsidP="00514623" w14:paraId="08564E80" w14:textId="092EAB99">
            <w:pPr>
              <w:pStyle w:val="TableTextLeft"/>
              <w:jc w:val="right"/>
            </w:pPr>
            <w:r w:rsidRPr="00FF3F40">
              <w:t>RWHAP provider</w:t>
            </w:r>
            <w:r w:rsidR="008A1464">
              <w:t>s</w:t>
            </w:r>
          </w:p>
        </w:tc>
        <w:tc>
          <w:tcPr>
            <w:tcW w:w="1181" w:type="dxa"/>
          </w:tcPr>
          <w:p w:rsidR="00C02B6F" w:rsidRPr="00FF3F40" w:rsidP="00514623" w14:paraId="720E2863" w14:textId="5E6802FC">
            <w:pPr>
              <w:pStyle w:val="TableTextLeft"/>
              <w:jc w:val="right"/>
            </w:pPr>
            <w:r>
              <w:t>RUDI</w:t>
            </w:r>
            <w:r w:rsidR="008D39C6">
              <w:t xml:space="preserve"> - Provider</w:t>
            </w:r>
            <w:r w:rsidRPr="00FF3F40">
              <w:t xml:space="preserve"> Survey </w:t>
            </w:r>
          </w:p>
        </w:tc>
        <w:tc>
          <w:tcPr>
            <w:tcW w:w="1180" w:type="dxa"/>
          </w:tcPr>
          <w:p w:rsidR="00C02B6F" w:rsidRPr="00FF3F40" w:rsidP="00514623" w14:paraId="682F6F04" w14:textId="097CC9A4">
            <w:pPr>
              <w:pStyle w:val="TableTextDecimal"/>
              <w:tabs>
                <w:tab w:val="clear" w:pos="576"/>
                <w:tab w:val="decimal" w:pos="736"/>
              </w:tabs>
              <w:jc w:val="right"/>
            </w:pPr>
            <w:r w:rsidRPr="00FF3F40">
              <w:t>1,</w:t>
            </w:r>
            <w:r w:rsidRPr="00FF3F40" w:rsidR="00FB3B5A">
              <w:t>066</w:t>
            </w:r>
          </w:p>
        </w:tc>
        <w:tc>
          <w:tcPr>
            <w:tcW w:w="1181" w:type="dxa"/>
          </w:tcPr>
          <w:p w:rsidR="00C02B6F" w:rsidRPr="00FF3F40" w:rsidP="00514623" w14:paraId="24305E65" w14:textId="5489312F">
            <w:pPr>
              <w:pStyle w:val="TableTextDecimal"/>
              <w:jc w:val="right"/>
            </w:pPr>
            <w:r>
              <w:t>1</w:t>
            </w:r>
          </w:p>
        </w:tc>
        <w:tc>
          <w:tcPr>
            <w:tcW w:w="1181" w:type="dxa"/>
          </w:tcPr>
          <w:p w:rsidR="00C02B6F" w:rsidRPr="00FF3F40" w:rsidP="00514623" w14:paraId="6EA2090D" w14:textId="43E0E270">
            <w:pPr>
              <w:pStyle w:val="TableTextDecimal"/>
              <w:jc w:val="right"/>
            </w:pPr>
            <w:r w:rsidRPr="00FF3F40">
              <w:t>1</w:t>
            </w:r>
          </w:p>
        </w:tc>
        <w:tc>
          <w:tcPr>
            <w:tcW w:w="1180" w:type="dxa"/>
          </w:tcPr>
          <w:p w:rsidR="00C02B6F" w:rsidRPr="00FF3F40" w:rsidP="00514623" w14:paraId="62BBCBB4" w14:textId="489102C1">
            <w:pPr>
              <w:pStyle w:val="TableTextDecimal"/>
              <w:tabs>
                <w:tab w:val="clear" w:pos="576"/>
              </w:tabs>
              <w:jc w:val="right"/>
            </w:pPr>
            <w:r>
              <w:t>1,066</w:t>
            </w:r>
          </w:p>
        </w:tc>
        <w:tc>
          <w:tcPr>
            <w:tcW w:w="1183" w:type="dxa"/>
          </w:tcPr>
          <w:p w:rsidR="00C02B6F" w:rsidRPr="00FF3F40" w:rsidP="00514623" w14:paraId="5942390C" w14:textId="666A19F7">
            <w:pPr>
              <w:pStyle w:val="TableTextDecimal"/>
              <w:tabs>
                <w:tab w:val="decimal" w:pos="421"/>
                <w:tab w:val="clear" w:pos="576"/>
              </w:tabs>
              <w:jc w:val="right"/>
            </w:pPr>
            <w:r>
              <w:t>0</w:t>
            </w:r>
            <w:r w:rsidRPr="00FF3F40">
              <w:t>.</w:t>
            </w:r>
            <w:r w:rsidR="00CB4125">
              <w:t>33</w:t>
            </w:r>
          </w:p>
        </w:tc>
        <w:tc>
          <w:tcPr>
            <w:tcW w:w="1181" w:type="dxa"/>
          </w:tcPr>
          <w:p w:rsidR="00C02B6F" w:rsidRPr="00FF3F40" w:rsidP="00514623" w14:paraId="5C936EFA" w14:textId="0E4551B9">
            <w:pPr>
              <w:pStyle w:val="TableTextDecimal"/>
              <w:tabs>
                <w:tab w:val="clear" w:pos="576"/>
                <w:tab w:val="decimal" w:pos="766"/>
              </w:tabs>
              <w:jc w:val="right"/>
            </w:pPr>
            <w:r>
              <w:t>35</w:t>
            </w:r>
            <w:r w:rsidR="002C3E1E">
              <w:t>1.78</w:t>
            </w:r>
          </w:p>
        </w:tc>
      </w:tr>
      <w:tr w14:paraId="07FC020F" w14:textId="77777777" w:rsidTr="00514623">
        <w:tblPrEx>
          <w:tblW w:w="9447" w:type="dxa"/>
          <w:tblLook w:val="04A0"/>
        </w:tblPrEx>
        <w:trPr>
          <w:trHeight w:val="120"/>
        </w:trPr>
        <w:tc>
          <w:tcPr>
            <w:tcW w:w="1180" w:type="dxa"/>
          </w:tcPr>
          <w:p w:rsidR="00C02B6F" w:rsidRPr="00FF3F40" w:rsidP="00514623" w14:paraId="59EC1361" w14:textId="2D1E763D">
            <w:pPr>
              <w:pStyle w:val="TableTextLeft"/>
              <w:jc w:val="right"/>
            </w:pPr>
            <w:r w:rsidRPr="00FF3F40">
              <w:t>RWHAP provider</w:t>
            </w:r>
            <w:r w:rsidR="008A1464">
              <w:t>s</w:t>
            </w:r>
          </w:p>
        </w:tc>
        <w:tc>
          <w:tcPr>
            <w:tcW w:w="1181" w:type="dxa"/>
          </w:tcPr>
          <w:p w:rsidR="00C02B6F" w:rsidRPr="00FF3F40" w:rsidP="00514623" w14:paraId="50B04CC6" w14:textId="77746456">
            <w:pPr>
              <w:pStyle w:val="TableTextLeft"/>
              <w:jc w:val="right"/>
            </w:pPr>
            <w:r w:rsidRPr="00FF3F40">
              <w:t>Virtual site visit i</w:t>
            </w:r>
            <w:r w:rsidRPr="00FF3F40" w:rsidR="00E57DAD">
              <w:t>nterview</w:t>
            </w:r>
            <w:r w:rsidRPr="00FF3F40">
              <w:t>s</w:t>
            </w:r>
          </w:p>
        </w:tc>
        <w:tc>
          <w:tcPr>
            <w:tcW w:w="1180" w:type="dxa"/>
          </w:tcPr>
          <w:p w:rsidR="00C02B6F" w:rsidRPr="00FF3F40" w:rsidP="00514623" w14:paraId="56A9D869" w14:textId="765D7FC6">
            <w:pPr>
              <w:pStyle w:val="TableTextDecimal"/>
              <w:tabs>
                <w:tab w:val="clear" w:pos="576"/>
                <w:tab w:val="decimal" w:pos="736"/>
              </w:tabs>
              <w:jc w:val="right"/>
            </w:pPr>
            <w:r w:rsidRPr="00FF3F40">
              <w:t>40</w:t>
            </w:r>
          </w:p>
        </w:tc>
        <w:tc>
          <w:tcPr>
            <w:tcW w:w="1181" w:type="dxa"/>
          </w:tcPr>
          <w:p w:rsidR="00C02B6F" w:rsidRPr="00FF3F40" w:rsidP="00514623" w14:paraId="167E2E49" w14:textId="50A4342C">
            <w:pPr>
              <w:pStyle w:val="TableTextDecimal"/>
              <w:jc w:val="right"/>
            </w:pPr>
            <w:r>
              <w:t>3</w:t>
            </w:r>
          </w:p>
        </w:tc>
        <w:tc>
          <w:tcPr>
            <w:tcW w:w="1181" w:type="dxa"/>
          </w:tcPr>
          <w:p w:rsidR="00C02B6F" w:rsidRPr="00FF3F40" w:rsidP="00514623" w14:paraId="01C25EA5" w14:textId="0041EA27">
            <w:pPr>
              <w:pStyle w:val="TableTextDecimal"/>
              <w:jc w:val="right"/>
            </w:pPr>
            <w:r w:rsidRPr="00FF3F40">
              <w:t>1</w:t>
            </w:r>
          </w:p>
        </w:tc>
        <w:tc>
          <w:tcPr>
            <w:tcW w:w="1180" w:type="dxa"/>
          </w:tcPr>
          <w:p w:rsidR="00C02B6F" w:rsidRPr="00FF3F40" w:rsidP="00514623" w14:paraId="18B5954B" w14:textId="58D4EC2B">
            <w:pPr>
              <w:pStyle w:val="TableTextDecimal"/>
              <w:tabs>
                <w:tab w:val="clear" w:pos="576"/>
              </w:tabs>
              <w:jc w:val="right"/>
            </w:pPr>
            <w:r>
              <w:t>120</w:t>
            </w:r>
          </w:p>
        </w:tc>
        <w:tc>
          <w:tcPr>
            <w:tcW w:w="1183" w:type="dxa"/>
          </w:tcPr>
          <w:p w:rsidR="00C02B6F" w:rsidRPr="00FF3F40" w:rsidP="00514623" w14:paraId="092D1E51" w14:textId="7B947474">
            <w:pPr>
              <w:pStyle w:val="TableTextDecimal"/>
              <w:tabs>
                <w:tab w:val="decimal" w:pos="421"/>
                <w:tab w:val="clear" w:pos="576"/>
              </w:tabs>
              <w:jc w:val="right"/>
            </w:pPr>
            <w:r>
              <w:t>1</w:t>
            </w:r>
            <w:r w:rsidR="00467F18">
              <w:t>.</w:t>
            </w:r>
            <w:r w:rsidR="002C3E1E">
              <w:t>0</w:t>
            </w:r>
            <w:r w:rsidR="00467F18">
              <w:t>0</w:t>
            </w:r>
          </w:p>
        </w:tc>
        <w:tc>
          <w:tcPr>
            <w:tcW w:w="1181" w:type="dxa"/>
          </w:tcPr>
          <w:p w:rsidR="00C02B6F" w:rsidRPr="00FF3F40" w:rsidP="00514623" w14:paraId="22F0B928" w14:textId="1326DE21">
            <w:pPr>
              <w:pStyle w:val="TableTextDecimal"/>
              <w:tabs>
                <w:tab w:val="clear" w:pos="576"/>
                <w:tab w:val="decimal" w:pos="766"/>
              </w:tabs>
              <w:jc w:val="right"/>
            </w:pPr>
            <w:r>
              <w:t>120</w:t>
            </w:r>
            <w:r w:rsidR="002C3E1E">
              <w:t>.00</w:t>
            </w:r>
          </w:p>
        </w:tc>
      </w:tr>
      <w:tr w14:paraId="2871358A" w14:textId="77777777" w:rsidTr="00514623">
        <w:tblPrEx>
          <w:tblW w:w="9447" w:type="dxa"/>
          <w:tblLook w:val="04A0"/>
        </w:tblPrEx>
        <w:trPr>
          <w:trHeight w:val="120"/>
        </w:trPr>
        <w:tc>
          <w:tcPr>
            <w:tcW w:w="1180" w:type="dxa"/>
          </w:tcPr>
          <w:p w:rsidR="008D39C6" w:rsidRPr="00FF3F40" w:rsidP="00514623" w14:paraId="173C644E" w14:textId="438EF626">
            <w:pPr>
              <w:pStyle w:val="TableTextLeft"/>
              <w:jc w:val="right"/>
            </w:pPr>
            <w:r>
              <w:t>RWHAP recipients</w:t>
            </w:r>
          </w:p>
        </w:tc>
        <w:tc>
          <w:tcPr>
            <w:tcW w:w="1181" w:type="dxa"/>
          </w:tcPr>
          <w:p w:rsidR="008D39C6" w:rsidRPr="00FF3F40" w:rsidP="00514623" w14:paraId="02E0BF03" w14:textId="64D746D0">
            <w:pPr>
              <w:pStyle w:val="TableTextLeft"/>
              <w:jc w:val="right"/>
            </w:pPr>
            <w:r>
              <w:t>RUDI – Recipient Survey</w:t>
            </w:r>
          </w:p>
        </w:tc>
        <w:tc>
          <w:tcPr>
            <w:tcW w:w="1180" w:type="dxa"/>
          </w:tcPr>
          <w:p w:rsidR="008D39C6" w:rsidRPr="00FF3F40" w:rsidP="00514623" w14:paraId="030C7A31" w14:textId="206981E2">
            <w:pPr>
              <w:pStyle w:val="TableTextDecimal"/>
              <w:tabs>
                <w:tab w:val="clear" w:pos="576"/>
                <w:tab w:val="decimal" w:pos="736"/>
              </w:tabs>
              <w:jc w:val="right"/>
            </w:pPr>
            <w:r>
              <w:t>56</w:t>
            </w:r>
          </w:p>
        </w:tc>
        <w:tc>
          <w:tcPr>
            <w:tcW w:w="1181" w:type="dxa"/>
          </w:tcPr>
          <w:p w:rsidR="008D39C6" w:rsidP="00514623" w14:paraId="10B853E6" w14:textId="7848B437">
            <w:pPr>
              <w:pStyle w:val="TableTextDecimal"/>
              <w:jc w:val="right"/>
            </w:pPr>
            <w:r>
              <w:t>1</w:t>
            </w:r>
          </w:p>
        </w:tc>
        <w:tc>
          <w:tcPr>
            <w:tcW w:w="1181" w:type="dxa"/>
          </w:tcPr>
          <w:p w:rsidR="008D39C6" w:rsidRPr="00FF3F40" w:rsidP="00514623" w14:paraId="0A774DAA" w14:textId="07ED6B50">
            <w:pPr>
              <w:pStyle w:val="TableTextDecimal"/>
              <w:jc w:val="right"/>
            </w:pPr>
            <w:r>
              <w:t>1</w:t>
            </w:r>
          </w:p>
        </w:tc>
        <w:tc>
          <w:tcPr>
            <w:tcW w:w="1180" w:type="dxa"/>
          </w:tcPr>
          <w:p w:rsidR="008D39C6" w:rsidP="00514623" w14:paraId="1DEB3020" w14:textId="56C296F1">
            <w:pPr>
              <w:pStyle w:val="TableTextDecimal"/>
              <w:tabs>
                <w:tab w:val="clear" w:pos="576"/>
              </w:tabs>
              <w:jc w:val="right"/>
            </w:pPr>
            <w:r>
              <w:t>56</w:t>
            </w:r>
          </w:p>
        </w:tc>
        <w:tc>
          <w:tcPr>
            <w:tcW w:w="1183" w:type="dxa"/>
          </w:tcPr>
          <w:p w:rsidR="008D39C6" w:rsidP="00514623" w14:paraId="62A20C65" w14:textId="4E4B9711">
            <w:pPr>
              <w:pStyle w:val="TableTextDecimal"/>
              <w:tabs>
                <w:tab w:val="decimal" w:pos="421"/>
                <w:tab w:val="clear" w:pos="576"/>
              </w:tabs>
              <w:jc w:val="right"/>
            </w:pPr>
            <w:r>
              <w:t>0</w:t>
            </w:r>
            <w:r w:rsidR="00B75D9B">
              <w:t>.</w:t>
            </w:r>
            <w:r w:rsidR="00CB4125">
              <w:t>33</w:t>
            </w:r>
          </w:p>
        </w:tc>
        <w:tc>
          <w:tcPr>
            <w:tcW w:w="1181" w:type="dxa"/>
          </w:tcPr>
          <w:p w:rsidR="008D39C6" w:rsidP="00514623" w14:paraId="7DC2778C" w14:textId="58352945">
            <w:pPr>
              <w:pStyle w:val="TableTextDecimal"/>
              <w:tabs>
                <w:tab w:val="clear" w:pos="576"/>
                <w:tab w:val="decimal" w:pos="766"/>
              </w:tabs>
              <w:jc w:val="right"/>
            </w:pPr>
            <w:r>
              <w:t>18</w:t>
            </w:r>
            <w:r w:rsidR="002C3E1E">
              <w:t>.48</w:t>
            </w:r>
          </w:p>
        </w:tc>
      </w:tr>
      <w:tr w14:paraId="192CA32A" w14:textId="77777777" w:rsidTr="00514623">
        <w:tblPrEx>
          <w:tblW w:w="9447" w:type="dxa"/>
          <w:tblLook w:val="04A0"/>
        </w:tblPrEx>
        <w:trPr>
          <w:trHeight w:val="120"/>
        </w:trPr>
        <w:tc>
          <w:tcPr>
            <w:tcW w:w="1180" w:type="dxa"/>
            <w:vMerge w:val="restart"/>
          </w:tcPr>
          <w:p w:rsidR="001C6AA7" w:rsidP="00514623" w14:paraId="77427085" w14:textId="77777777">
            <w:pPr>
              <w:pStyle w:val="TableTextLeft"/>
              <w:jc w:val="right"/>
            </w:pPr>
            <w:r>
              <w:t>RWHAP</w:t>
            </w:r>
          </w:p>
          <w:p w:rsidR="001C6AA7" w:rsidP="00514623" w14:paraId="431C92D5" w14:textId="47FF07D6">
            <w:pPr>
              <w:pStyle w:val="TableTextLeft"/>
              <w:jc w:val="right"/>
            </w:pPr>
            <w:r>
              <w:t>recipients</w:t>
            </w:r>
            <w:r w:rsidR="00CF7FC3">
              <w:t xml:space="preserve"> </w:t>
            </w:r>
          </w:p>
          <w:p w:rsidR="00CF7FC3" w:rsidRPr="00FF3F40" w:rsidP="00514623" w14:paraId="1A1FB664" w14:textId="188B9FF4">
            <w:pPr>
              <w:pStyle w:val="TableTextLeft"/>
              <w:jc w:val="right"/>
            </w:pPr>
          </w:p>
        </w:tc>
        <w:tc>
          <w:tcPr>
            <w:tcW w:w="1181" w:type="dxa"/>
          </w:tcPr>
          <w:p w:rsidR="00CF7FC3" w:rsidRPr="00FF3F40" w:rsidP="00514623" w14:paraId="4DA4EA34" w14:textId="5CCB1203">
            <w:pPr>
              <w:pStyle w:val="TableTextLeft"/>
              <w:jc w:val="right"/>
            </w:pPr>
            <w:r>
              <w:t>Interviews (small sites)</w:t>
            </w:r>
          </w:p>
        </w:tc>
        <w:tc>
          <w:tcPr>
            <w:tcW w:w="1180" w:type="dxa"/>
          </w:tcPr>
          <w:p w:rsidR="00CF7FC3" w:rsidRPr="00FF3F40" w:rsidP="00514623" w14:paraId="4AB9987E" w14:textId="78C5574D">
            <w:pPr>
              <w:pStyle w:val="TableTextDecimal"/>
              <w:tabs>
                <w:tab w:val="clear" w:pos="576"/>
                <w:tab w:val="decimal" w:pos="736"/>
              </w:tabs>
              <w:jc w:val="right"/>
            </w:pPr>
            <w:r>
              <w:t>1</w:t>
            </w:r>
            <w:r w:rsidR="00FC7263">
              <w:t>5</w:t>
            </w:r>
          </w:p>
        </w:tc>
        <w:tc>
          <w:tcPr>
            <w:tcW w:w="1181" w:type="dxa"/>
          </w:tcPr>
          <w:p w:rsidR="00CF7FC3" w:rsidP="00514623" w14:paraId="4D1BFE2D" w14:textId="3F840492">
            <w:pPr>
              <w:pStyle w:val="TableTextDecimal"/>
              <w:jc w:val="right"/>
            </w:pPr>
            <w:r>
              <w:t>2</w:t>
            </w:r>
          </w:p>
        </w:tc>
        <w:tc>
          <w:tcPr>
            <w:tcW w:w="1181" w:type="dxa"/>
          </w:tcPr>
          <w:p w:rsidR="00CF7FC3" w:rsidRPr="00FF3F40" w:rsidP="00514623" w14:paraId="45F2ED79" w14:textId="37023E1E">
            <w:pPr>
              <w:pStyle w:val="TableTextDecimal"/>
              <w:jc w:val="right"/>
            </w:pPr>
            <w:r>
              <w:t>1</w:t>
            </w:r>
          </w:p>
        </w:tc>
        <w:tc>
          <w:tcPr>
            <w:tcW w:w="1180" w:type="dxa"/>
          </w:tcPr>
          <w:p w:rsidR="00CF7FC3" w:rsidP="00514623" w14:paraId="138D0EBB" w14:textId="46B01FF8">
            <w:pPr>
              <w:pStyle w:val="TableTextDecimal"/>
              <w:tabs>
                <w:tab w:val="clear" w:pos="576"/>
              </w:tabs>
              <w:jc w:val="right"/>
            </w:pPr>
            <w:r>
              <w:t>30</w:t>
            </w:r>
          </w:p>
        </w:tc>
        <w:tc>
          <w:tcPr>
            <w:tcW w:w="1183" w:type="dxa"/>
          </w:tcPr>
          <w:p w:rsidR="00CF7FC3" w:rsidP="00514623" w14:paraId="257AD242" w14:textId="2AE18565">
            <w:pPr>
              <w:pStyle w:val="TableTextDecimal"/>
              <w:tabs>
                <w:tab w:val="decimal" w:pos="421"/>
                <w:tab w:val="clear" w:pos="576"/>
              </w:tabs>
              <w:jc w:val="right"/>
            </w:pPr>
            <w:r>
              <w:t>1</w:t>
            </w:r>
            <w:r w:rsidR="00467F18">
              <w:t>.0</w:t>
            </w:r>
          </w:p>
        </w:tc>
        <w:tc>
          <w:tcPr>
            <w:tcW w:w="1181" w:type="dxa"/>
          </w:tcPr>
          <w:p w:rsidR="00CF7FC3" w:rsidP="00514623" w14:paraId="73E0FBE6" w14:textId="371F2E7B">
            <w:pPr>
              <w:pStyle w:val="TableTextDecimal"/>
              <w:tabs>
                <w:tab w:val="clear" w:pos="576"/>
                <w:tab w:val="decimal" w:pos="766"/>
              </w:tabs>
              <w:jc w:val="right"/>
            </w:pPr>
            <w:r>
              <w:t>30</w:t>
            </w:r>
            <w:r w:rsidR="002C3E1E">
              <w:t>.0</w:t>
            </w:r>
          </w:p>
        </w:tc>
      </w:tr>
      <w:tr w14:paraId="058C7CED" w14:textId="77777777" w:rsidTr="00514623">
        <w:tblPrEx>
          <w:tblW w:w="9447" w:type="dxa"/>
          <w:tblLook w:val="04A0"/>
        </w:tblPrEx>
        <w:trPr>
          <w:trHeight w:val="120"/>
        </w:trPr>
        <w:tc>
          <w:tcPr>
            <w:tcW w:w="1180" w:type="dxa"/>
            <w:vMerge/>
          </w:tcPr>
          <w:p w:rsidR="002C3E1E" w:rsidP="00514623" w14:paraId="018C8E18" w14:textId="77777777">
            <w:pPr>
              <w:pStyle w:val="TableTextLeft"/>
              <w:jc w:val="right"/>
            </w:pPr>
          </w:p>
        </w:tc>
        <w:tc>
          <w:tcPr>
            <w:tcW w:w="1181" w:type="dxa"/>
          </w:tcPr>
          <w:p w:rsidR="002C3E1E" w:rsidP="00514623" w14:paraId="0833E831" w14:textId="2422F777">
            <w:pPr>
              <w:pStyle w:val="TableTextLeft"/>
              <w:jc w:val="right"/>
            </w:pPr>
            <w:r>
              <w:t>Interview (large sites)</w:t>
            </w:r>
          </w:p>
        </w:tc>
        <w:tc>
          <w:tcPr>
            <w:tcW w:w="1180" w:type="dxa"/>
          </w:tcPr>
          <w:p w:rsidR="002C3E1E" w:rsidP="00514623" w14:paraId="4A5F5F7E" w14:textId="346EF997">
            <w:pPr>
              <w:pStyle w:val="TableTextDecimal"/>
              <w:tabs>
                <w:tab w:val="clear" w:pos="576"/>
                <w:tab w:val="decimal" w:pos="736"/>
              </w:tabs>
              <w:jc w:val="right"/>
            </w:pPr>
            <w:r>
              <w:t>5</w:t>
            </w:r>
          </w:p>
        </w:tc>
        <w:tc>
          <w:tcPr>
            <w:tcW w:w="1181" w:type="dxa"/>
          </w:tcPr>
          <w:p w:rsidR="002C3E1E" w:rsidP="00514623" w14:paraId="47DF32E3" w14:textId="2C5E3486">
            <w:pPr>
              <w:pStyle w:val="TableTextDecimal"/>
              <w:jc w:val="right"/>
            </w:pPr>
            <w:r>
              <w:t>3</w:t>
            </w:r>
          </w:p>
        </w:tc>
        <w:tc>
          <w:tcPr>
            <w:tcW w:w="1181" w:type="dxa"/>
          </w:tcPr>
          <w:p w:rsidR="002C3E1E" w:rsidP="00514623" w14:paraId="58B002FC" w14:textId="66126385">
            <w:pPr>
              <w:pStyle w:val="TableTextDecimal"/>
              <w:jc w:val="right"/>
            </w:pPr>
            <w:r>
              <w:t>1</w:t>
            </w:r>
          </w:p>
        </w:tc>
        <w:tc>
          <w:tcPr>
            <w:tcW w:w="1180" w:type="dxa"/>
          </w:tcPr>
          <w:p w:rsidR="002C3E1E" w:rsidP="00514623" w14:paraId="736F5330" w14:textId="532F2BC9">
            <w:pPr>
              <w:pStyle w:val="TableTextDecimal"/>
              <w:tabs>
                <w:tab w:val="clear" w:pos="576"/>
              </w:tabs>
              <w:jc w:val="right"/>
            </w:pPr>
            <w:r>
              <w:t>15</w:t>
            </w:r>
          </w:p>
        </w:tc>
        <w:tc>
          <w:tcPr>
            <w:tcW w:w="1183" w:type="dxa"/>
          </w:tcPr>
          <w:p w:rsidR="002C3E1E" w:rsidP="00514623" w14:paraId="10D749E2" w14:textId="7C61204B">
            <w:pPr>
              <w:pStyle w:val="TableTextDecimal"/>
              <w:tabs>
                <w:tab w:val="decimal" w:pos="421"/>
                <w:tab w:val="clear" w:pos="576"/>
              </w:tabs>
              <w:jc w:val="right"/>
            </w:pPr>
            <w:r>
              <w:t>1.0</w:t>
            </w:r>
          </w:p>
        </w:tc>
        <w:tc>
          <w:tcPr>
            <w:tcW w:w="1181" w:type="dxa"/>
          </w:tcPr>
          <w:p w:rsidR="002C3E1E" w:rsidP="00514623" w14:paraId="2E3A16E1" w14:textId="39FC0904">
            <w:pPr>
              <w:pStyle w:val="TableTextDecimal"/>
              <w:tabs>
                <w:tab w:val="clear" w:pos="576"/>
                <w:tab w:val="decimal" w:pos="766"/>
              </w:tabs>
              <w:jc w:val="right"/>
            </w:pPr>
            <w:r>
              <w:t>15.0</w:t>
            </w:r>
          </w:p>
        </w:tc>
      </w:tr>
      <w:tr w14:paraId="76A7BD94" w14:textId="77777777" w:rsidTr="00514623">
        <w:tblPrEx>
          <w:tblW w:w="9447" w:type="dxa"/>
          <w:tblLook w:val="04A0"/>
        </w:tblPrEx>
        <w:trPr>
          <w:trHeight w:val="120"/>
        </w:trPr>
        <w:tc>
          <w:tcPr>
            <w:tcW w:w="1180" w:type="dxa"/>
          </w:tcPr>
          <w:p w:rsidR="00CF7FC3" w:rsidP="00514623" w14:paraId="7998E158" w14:textId="0286669F">
            <w:pPr>
              <w:pStyle w:val="TableTextLeft"/>
              <w:jc w:val="right"/>
            </w:pPr>
            <w:r>
              <w:t>AETC providers</w:t>
            </w:r>
          </w:p>
        </w:tc>
        <w:tc>
          <w:tcPr>
            <w:tcW w:w="1181" w:type="dxa"/>
          </w:tcPr>
          <w:p w:rsidR="00CF7FC3" w:rsidP="00514623" w14:paraId="7909E201" w14:textId="5D93E79B">
            <w:pPr>
              <w:pStyle w:val="TableTextLeft"/>
              <w:jc w:val="right"/>
            </w:pPr>
            <w:r>
              <w:t>Interviews</w:t>
            </w:r>
          </w:p>
        </w:tc>
        <w:tc>
          <w:tcPr>
            <w:tcW w:w="1180" w:type="dxa"/>
          </w:tcPr>
          <w:p w:rsidR="00CF7FC3" w:rsidP="00514623" w14:paraId="0B303614" w14:textId="3A885E1C">
            <w:pPr>
              <w:pStyle w:val="TableTextDecimal"/>
              <w:tabs>
                <w:tab w:val="clear" w:pos="576"/>
                <w:tab w:val="decimal" w:pos="736"/>
              </w:tabs>
              <w:jc w:val="right"/>
            </w:pPr>
            <w:r>
              <w:t>8</w:t>
            </w:r>
          </w:p>
        </w:tc>
        <w:tc>
          <w:tcPr>
            <w:tcW w:w="1181" w:type="dxa"/>
          </w:tcPr>
          <w:p w:rsidR="00CF7FC3" w:rsidP="00514623" w14:paraId="53975E87" w14:textId="431B5898">
            <w:pPr>
              <w:pStyle w:val="TableTextDecimal"/>
              <w:jc w:val="right"/>
            </w:pPr>
            <w:r>
              <w:t>1</w:t>
            </w:r>
          </w:p>
        </w:tc>
        <w:tc>
          <w:tcPr>
            <w:tcW w:w="1181" w:type="dxa"/>
          </w:tcPr>
          <w:p w:rsidR="00CF7FC3" w:rsidP="00514623" w14:paraId="711242E6" w14:textId="4B0C3EA1">
            <w:pPr>
              <w:pStyle w:val="TableTextDecimal"/>
              <w:jc w:val="right"/>
            </w:pPr>
            <w:r>
              <w:t>1</w:t>
            </w:r>
          </w:p>
        </w:tc>
        <w:tc>
          <w:tcPr>
            <w:tcW w:w="1180" w:type="dxa"/>
          </w:tcPr>
          <w:p w:rsidR="00CF7FC3" w:rsidP="00514623" w14:paraId="649D53EF" w14:textId="346236B9">
            <w:pPr>
              <w:pStyle w:val="TableTextDecimal"/>
              <w:tabs>
                <w:tab w:val="clear" w:pos="576"/>
              </w:tabs>
              <w:jc w:val="right"/>
            </w:pPr>
            <w:r>
              <w:t>8</w:t>
            </w:r>
          </w:p>
        </w:tc>
        <w:tc>
          <w:tcPr>
            <w:tcW w:w="1183" w:type="dxa"/>
          </w:tcPr>
          <w:p w:rsidR="00CF7FC3" w:rsidP="00514623" w14:paraId="02A9E4B3" w14:textId="18FFB506">
            <w:pPr>
              <w:pStyle w:val="TableTextDecimal"/>
              <w:tabs>
                <w:tab w:val="decimal" w:pos="421"/>
                <w:tab w:val="clear" w:pos="576"/>
              </w:tabs>
              <w:jc w:val="right"/>
            </w:pPr>
            <w:r>
              <w:t>1</w:t>
            </w:r>
            <w:r w:rsidR="00467F18">
              <w:t>.0</w:t>
            </w:r>
          </w:p>
        </w:tc>
        <w:tc>
          <w:tcPr>
            <w:tcW w:w="1181" w:type="dxa"/>
          </w:tcPr>
          <w:p w:rsidR="00CF7FC3" w:rsidP="00514623" w14:paraId="4AB75795" w14:textId="7ACD85A9">
            <w:pPr>
              <w:pStyle w:val="TableTextDecimal"/>
              <w:tabs>
                <w:tab w:val="clear" w:pos="576"/>
                <w:tab w:val="decimal" w:pos="766"/>
              </w:tabs>
              <w:jc w:val="right"/>
            </w:pPr>
            <w:r>
              <w:t>8</w:t>
            </w:r>
            <w:r w:rsidR="002C3E1E">
              <w:t>.0</w:t>
            </w:r>
          </w:p>
        </w:tc>
      </w:tr>
      <w:tr w14:paraId="737871E9" w14:textId="77777777" w:rsidTr="00514623">
        <w:tblPrEx>
          <w:tblW w:w="9447" w:type="dxa"/>
          <w:tblLook w:val="04A0"/>
        </w:tblPrEx>
        <w:trPr>
          <w:trHeight w:val="120"/>
        </w:trPr>
        <w:tc>
          <w:tcPr>
            <w:tcW w:w="5903" w:type="dxa"/>
            <w:gridSpan w:val="5"/>
          </w:tcPr>
          <w:p w:rsidR="00514623" w:rsidP="00514623" w14:paraId="4ABA5C0D" w14:textId="4BD23A87">
            <w:pPr>
              <w:pStyle w:val="TableTextDecimal"/>
              <w:jc w:val="right"/>
            </w:pPr>
            <w:r w:rsidRPr="00FF3F40">
              <w:rPr>
                <w:b/>
                <w:bCs/>
              </w:rPr>
              <w:t>Total</w:t>
            </w:r>
          </w:p>
        </w:tc>
        <w:tc>
          <w:tcPr>
            <w:tcW w:w="1180" w:type="dxa"/>
          </w:tcPr>
          <w:p w:rsidR="00514623" w:rsidP="00514623" w14:paraId="6A6A2B13" w14:textId="0127076B">
            <w:pPr>
              <w:pStyle w:val="TableTextDecimal"/>
              <w:tabs>
                <w:tab w:val="clear" w:pos="576"/>
              </w:tabs>
              <w:jc w:val="right"/>
            </w:pPr>
            <w:r>
              <w:t>1,295</w:t>
            </w:r>
          </w:p>
        </w:tc>
        <w:tc>
          <w:tcPr>
            <w:tcW w:w="1183" w:type="dxa"/>
          </w:tcPr>
          <w:p w:rsidR="00514623" w:rsidP="00514623" w14:paraId="06035544" w14:textId="77777777">
            <w:pPr>
              <w:pStyle w:val="TableTextDecimal"/>
              <w:tabs>
                <w:tab w:val="decimal" w:pos="421"/>
                <w:tab w:val="clear" w:pos="576"/>
              </w:tabs>
              <w:jc w:val="right"/>
            </w:pPr>
          </w:p>
        </w:tc>
        <w:tc>
          <w:tcPr>
            <w:tcW w:w="1181" w:type="dxa"/>
          </w:tcPr>
          <w:p w:rsidR="00514623" w:rsidP="00514623" w14:paraId="48EAD19E" w14:textId="1E5F0B39">
            <w:pPr>
              <w:pStyle w:val="TableTextDecimal"/>
              <w:tabs>
                <w:tab w:val="clear" w:pos="576"/>
                <w:tab w:val="decimal" w:pos="766"/>
              </w:tabs>
              <w:jc w:val="right"/>
            </w:pPr>
            <w:r>
              <w:rPr>
                <w:b/>
                <w:bCs/>
              </w:rPr>
              <w:t>543.26</w:t>
            </w:r>
          </w:p>
        </w:tc>
      </w:tr>
    </w:tbl>
    <w:p w:rsidR="00ED2739" w:rsidRPr="00FF3F40" w:rsidP="00370AC6" w14:paraId="63130AF8" w14:textId="4E8CDAB3">
      <w:pPr>
        <w:pStyle w:val="H4"/>
      </w:pPr>
      <w:r w:rsidRPr="00FF3F40">
        <w:t>12B</w:t>
      </w:r>
      <w:r w:rsidRPr="00FF3F40" w:rsidR="00D5130B">
        <w:t>. Estimated</w:t>
      </w:r>
      <w:r w:rsidRPr="00FF3F40">
        <w:t xml:space="preserve"> </w:t>
      </w:r>
      <w:r w:rsidRPr="00FF3F40" w:rsidR="00370AC6">
        <w:t>annualized burden c</w:t>
      </w:r>
      <w:r w:rsidRPr="00FF3F40">
        <w:t>osts</w:t>
      </w:r>
    </w:p>
    <w:p w:rsidR="00A446C1" w:rsidP="00370AC6" w14:paraId="17116A74" w14:textId="1CBA1CE1">
      <w:pPr>
        <w:pStyle w:val="ParagraphContinued"/>
      </w:pPr>
      <w:r w:rsidRPr="00FF3F40">
        <w:t>As Exhibit 5</w:t>
      </w:r>
      <w:r w:rsidRPr="00FF3F40" w:rsidR="009560A2">
        <w:t xml:space="preserve"> shows</w:t>
      </w:r>
      <w:r w:rsidRPr="00FF3F40">
        <w:t>, t</w:t>
      </w:r>
      <w:r w:rsidRPr="00FF3F40" w:rsidR="000274BA">
        <w:t xml:space="preserve">he annualized cost burden of the </w:t>
      </w:r>
      <w:r w:rsidRPr="00FF3F40">
        <w:t xml:space="preserve">proposed primary data collection activities of the </w:t>
      </w:r>
      <w:r w:rsidRPr="00FF3F40" w:rsidR="000274BA">
        <w:t xml:space="preserve">RUDI </w:t>
      </w:r>
      <w:r w:rsidRPr="00FF3F40">
        <w:t>e</w:t>
      </w:r>
      <w:r w:rsidRPr="00FF3F40" w:rsidR="006A12B9">
        <w:t>valuation is $</w:t>
      </w:r>
      <w:r>
        <w:t>66,821</w:t>
      </w:r>
      <w:r w:rsidRPr="00FF3F40" w:rsidR="00F709D5">
        <w:t xml:space="preserve">. </w:t>
      </w:r>
      <w:r w:rsidRPr="00FF3F40" w:rsidR="00C7318D">
        <w:t xml:space="preserve">There are no direct costs to respondents other than their time </w:t>
      </w:r>
      <w:r w:rsidRPr="00FF3F40" w:rsidR="009560A2">
        <w:t xml:space="preserve">spent </w:t>
      </w:r>
      <w:r w:rsidRPr="00FF3F40" w:rsidR="00311D23">
        <w:t>contribut</w:t>
      </w:r>
      <w:r w:rsidRPr="00FF3F40" w:rsidR="009560A2">
        <w:t>ing</w:t>
      </w:r>
      <w:r w:rsidRPr="00FF3F40" w:rsidR="00311D23">
        <w:t xml:space="preserve"> to the survey and participat</w:t>
      </w:r>
      <w:r w:rsidRPr="00FF3F40" w:rsidR="009560A2">
        <w:t>ing</w:t>
      </w:r>
      <w:r w:rsidRPr="00FF3F40" w:rsidR="00311D23">
        <w:t xml:space="preserve"> in </w:t>
      </w:r>
      <w:r w:rsidRPr="00FF3F40" w:rsidR="009560A2">
        <w:t xml:space="preserve">the </w:t>
      </w:r>
      <w:r w:rsidRPr="00FF3F40" w:rsidR="00311D23">
        <w:t xml:space="preserve">virtual site visits. </w:t>
      </w:r>
      <w:r w:rsidRPr="00FF3F40" w:rsidR="002C5088">
        <w:t>Hourly wage rates are based on the mean hourly wage rate</w:t>
      </w:r>
      <w:r w:rsidRPr="00FF3F40" w:rsidR="00311D23">
        <w:t xml:space="preserve"> for</w:t>
      </w:r>
      <w:r w:rsidR="00DA66E5">
        <w:t xml:space="preserve"> medical and health services managers </w:t>
      </w:r>
      <w:r w:rsidRPr="00FF3F40" w:rsidR="002C5088">
        <w:t xml:space="preserve">reported in the </w:t>
      </w:r>
      <w:bookmarkStart w:id="13" w:name="_Hlk127436785"/>
      <w:r w:rsidRPr="00FF3F40" w:rsidR="00A04BDE">
        <w:t>202</w:t>
      </w:r>
      <w:r w:rsidR="00A04BDE">
        <w:t>2</w:t>
      </w:r>
      <w:r w:rsidRPr="00FF3F40" w:rsidR="00A04BDE">
        <w:t xml:space="preserve"> </w:t>
      </w:r>
      <w:r w:rsidRPr="00FF3F40" w:rsidR="002C5088">
        <w:t xml:space="preserve">Occupational Employment by the Bureau of Labor Statistics </w:t>
      </w:r>
      <w:bookmarkEnd w:id="13"/>
      <w:r w:rsidRPr="00FF3F40" w:rsidR="002C5088">
        <w:t xml:space="preserve">found at </w:t>
      </w:r>
      <w:hyperlink r:id="rId16" w:anchor="b29-0000.htm" w:history="1">
        <w:r w:rsidRPr="00FF3F40" w:rsidR="002C5088">
          <w:rPr>
            <w:rStyle w:val="Hyperlink"/>
            <w:sz w:val="24"/>
          </w:rPr>
          <w:t>https://www.bls.gov/oes/current/oes_nat.htm#b29-0000.htm</w:t>
        </w:r>
      </w:hyperlink>
      <w:r w:rsidRPr="00FF3F40" w:rsidR="00F709D5">
        <w:t xml:space="preserve">. </w:t>
      </w:r>
      <w:r w:rsidR="00F331BC">
        <w:t xml:space="preserve">Medical and health services managers were chosen based on the </w:t>
      </w:r>
      <w:r w:rsidR="00DA66E5">
        <w:t xml:space="preserve">BLS </w:t>
      </w:r>
      <w:r w:rsidR="00F331BC">
        <w:t>job description</w:t>
      </w:r>
      <w:r w:rsidR="00DA66E5">
        <w:t xml:space="preserve"> and typical educational level– these individuals </w:t>
      </w:r>
      <w:r w:rsidR="00F331BC">
        <w:t>‘</w:t>
      </w:r>
      <w:r w:rsidR="00DA66E5">
        <w:t>p</w:t>
      </w:r>
      <w:r w:rsidRPr="00DA66E5" w:rsidR="00DA66E5">
        <w:t>lan, direct, or coordinate medical and health services in hospitals, clinics, managed care organizations, public health agencies, or similar organizations</w:t>
      </w:r>
      <w:r w:rsidR="00DA66E5">
        <w:t xml:space="preserve">’ </w:t>
      </w:r>
      <w:r w:rsidR="00F331BC">
        <w:t xml:space="preserve">and </w:t>
      </w:r>
      <w:r w:rsidR="00840F21">
        <w:t xml:space="preserve">typically have at least a bachelor’s degree. </w:t>
      </w:r>
      <w:r w:rsidR="00F331BC">
        <w:t xml:space="preserve"> </w:t>
      </w:r>
    </w:p>
    <w:p w:rsidR="00E42E8A" w:rsidP="00E42E8A" w14:paraId="2AF2A634" w14:textId="39DED0CA">
      <w:pPr>
        <w:pStyle w:val="Paragraph"/>
      </w:pPr>
    </w:p>
    <w:p w:rsidR="00E42E8A" w:rsidP="00E42E8A" w14:paraId="33FC9C31" w14:textId="7D00D039">
      <w:pPr>
        <w:pStyle w:val="Paragraph"/>
      </w:pPr>
    </w:p>
    <w:p w:rsidR="00E42E8A" w:rsidP="00E42E8A" w14:paraId="23412567" w14:textId="15449C4A">
      <w:pPr>
        <w:pStyle w:val="Paragraph"/>
      </w:pPr>
    </w:p>
    <w:p w:rsidR="00E42E8A" w:rsidRPr="00E42E8A" w:rsidP="00E42E8A" w14:paraId="042C7B62" w14:textId="77777777">
      <w:pPr>
        <w:pStyle w:val="Paragraph"/>
      </w:pPr>
    </w:p>
    <w:p w:rsidR="006138B6" w:rsidRPr="00FF3F40" w:rsidP="00E42E8A" w14:paraId="14657283" w14:textId="77777777">
      <w:pPr>
        <w:pStyle w:val="ParagraphContinued"/>
      </w:pPr>
      <w:r w:rsidRPr="00FF3F40">
        <w:rPr>
          <w:noProof/>
        </w:rPr>
        <mc:AlternateContent>
          <mc:Choice Requires="wps">
            <w:drawing>
              <wp:inline distT="0" distB="0" distL="0" distR="0">
                <wp:extent cx="2971800" cy="0"/>
                <wp:effectExtent l="0" t="38100" r="38100" b="38100"/>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i1029"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D5336" w:rsidRPr="00FF3F40" w:rsidP="006138B6" w14:paraId="0E7D3227" w14:textId="61113902">
      <w:pPr>
        <w:pStyle w:val="ExhibitTitle"/>
      </w:pPr>
      <w:r w:rsidRPr="00FF3F40">
        <w:t xml:space="preserve">Exhibit </w:t>
      </w:r>
      <w:r w:rsidRPr="00FF3F40" w:rsidR="000114D6">
        <w:t>5</w:t>
      </w:r>
      <w:r w:rsidRPr="00FF3F40">
        <w:t>. Annuali</w:t>
      </w:r>
      <w:r w:rsidRPr="00FF3F40" w:rsidR="00C756F5">
        <w:t>zed</w:t>
      </w:r>
      <w:r w:rsidRPr="00FF3F40" w:rsidR="00827990">
        <w:t xml:space="preserve"> cost burden associated with data collection</w:t>
      </w:r>
    </w:p>
    <w:tbl>
      <w:tblPr>
        <w:tblStyle w:val="BaseTable"/>
        <w:tblW w:w="9360" w:type="dxa"/>
        <w:tblLayout w:type="fixed"/>
        <w:tblLook w:val="04A0"/>
      </w:tblPr>
      <w:tblGrid>
        <w:gridCol w:w="5904"/>
        <w:gridCol w:w="1152"/>
        <w:gridCol w:w="1152"/>
        <w:gridCol w:w="1152"/>
      </w:tblGrid>
      <w:tr w14:paraId="534D9DBC" w14:textId="77777777" w:rsidTr="00204FAF">
        <w:tblPrEx>
          <w:tblW w:w="9360" w:type="dxa"/>
          <w:tblLayout w:type="fixed"/>
          <w:tblLook w:val="04A0"/>
        </w:tblPrEx>
        <w:trPr>
          <w:trHeight w:val="120"/>
          <w:tblHeader/>
        </w:trPr>
        <w:tc>
          <w:tcPr>
            <w:tcW w:w="5904" w:type="dxa"/>
          </w:tcPr>
          <w:p w:rsidR="00ED2739" w:rsidRPr="00FF3F40" w:rsidP="006138B6" w14:paraId="6C98B870" w14:textId="77777777">
            <w:pPr>
              <w:pStyle w:val="TableHeaderLeft"/>
              <w:rPr>
                <w:b w:val="0"/>
              </w:rPr>
            </w:pPr>
            <w:r w:rsidRPr="00FF3F40">
              <w:t>Type of</w:t>
            </w:r>
          </w:p>
          <w:p w:rsidR="00ED2739" w:rsidRPr="00FF3F40" w:rsidP="006138B6" w14:paraId="2A717399" w14:textId="302AE469">
            <w:pPr>
              <w:pStyle w:val="TableHeaderLeft"/>
              <w:rPr>
                <w:b w:val="0"/>
              </w:rPr>
            </w:pPr>
            <w:r w:rsidRPr="00FF3F40">
              <w:t>r</w:t>
            </w:r>
            <w:r w:rsidRPr="00FF3F40">
              <w:t>espondent</w:t>
            </w:r>
          </w:p>
        </w:tc>
        <w:tc>
          <w:tcPr>
            <w:tcW w:w="1152" w:type="dxa"/>
          </w:tcPr>
          <w:p w:rsidR="00ED2739" w:rsidRPr="00FF3F40" w:rsidP="00D22EF1" w14:paraId="55F1F55C" w14:textId="1F9AA78B">
            <w:pPr>
              <w:pStyle w:val="TableHeaderCenter"/>
            </w:pPr>
            <w:r w:rsidRPr="00FF3F40">
              <w:t xml:space="preserve">Total </w:t>
            </w:r>
            <w:r w:rsidRPr="00FF3F40" w:rsidR="009560A2">
              <w:t>b</w:t>
            </w:r>
            <w:r w:rsidRPr="00FF3F40">
              <w:t>urden</w:t>
            </w:r>
            <w:r w:rsidR="00D22EF1">
              <w:t xml:space="preserve"> </w:t>
            </w:r>
            <w:r w:rsidRPr="00FF3F40" w:rsidR="009560A2">
              <w:t>h</w:t>
            </w:r>
            <w:r w:rsidRPr="00FF3F40">
              <w:t>ours</w:t>
            </w:r>
          </w:p>
        </w:tc>
        <w:tc>
          <w:tcPr>
            <w:tcW w:w="1152" w:type="dxa"/>
          </w:tcPr>
          <w:p w:rsidR="00ED2739" w:rsidRPr="00FF3F40" w:rsidP="00D22EF1" w14:paraId="23DA3FF4" w14:textId="0B91B90C">
            <w:pPr>
              <w:pStyle w:val="TableHeaderCenter"/>
              <w:rPr>
                <w:b w:val="0"/>
              </w:rPr>
            </w:pPr>
            <w:r w:rsidRPr="00FF3F40">
              <w:t>Hourly</w:t>
            </w:r>
            <w:r w:rsidR="00D22EF1">
              <w:t xml:space="preserve"> </w:t>
            </w:r>
            <w:r w:rsidRPr="00FF3F40" w:rsidR="009560A2">
              <w:t>w</w:t>
            </w:r>
            <w:r w:rsidRPr="00FF3F40">
              <w:t xml:space="preserve">age </w:t>
            </w:r>
            <w:r w:rsidRPr="00FF3F40" w:rsidR="00204FAF">
              <w:br/>
            </w:r>
            <w:r w:rsidRPr="00FF3F40" w:rsidR="009560A2">
              <w:t>r</w:t>
            </w:r>
            <w:r w:rsidRPr="00FF3F40">
              <w:t>ate</w:t>
            </w:r>
            <w:r w:rsidRPr="00FF3F40" w:rsidR="00EA41A7">
              <w:rPr>
                <w:vertAlign w:val="superscript"/>
              </w:rPr>
              <w:t>b</w:t>
            </w:r>
          </w:p>
        </w:tc>
        <w:tc>
          <w:tcPr>
            <w:tcW w:w="1152" w:type="dxa"/>
          </w:tcPr>
          <w:p w:rsidR="00ED2739" w:rsidRPr="00FF3F40" w:rsidP="006138B6" w14:paraId="1690FD2E" w14:textId="01BB75E5">
            <w:pPr>
              <w:pStyle w:val="TableHeaderCenter"/>
              <w:rPr>
                <w:b w:val="0"/>
              </w:rPr>
            </w:pPr>
            <w:r w:rsidRPr="00FF3F40">
              <w:t xml:space="preserve">Total </w:t>
            </w:r>
            <w:r w:rsidRPr="00FF3F40" w:rsidR="004E7752">
              <w:br/>
            </w:r>
            <w:r w:rsidRPr="00FF3F40" w:rsidR="009560A2">
              <w:t>r</w:t>
            </w:r>
            <w:r w:rsidRPr="00FF3F40">
              <w:t xml:space="preserve">espondent </w:t>
            </w:r>
            <w:r w:rsidRPr="00FF3F40" w:rsidR="009560A2">
              <w:t>c</w:t>
            </w:r>
            <w:r w:rsidRPr="00FF3F40">
              <w:t>osts</w:t>
            </w:r>
          </w:p>
        </w:tc>
      </w:tr>
      <w:tr w14:paraId="7B9A263B" w14:textId="77777777" w:rsidTr="00204FAF">
        <w:tblPrEx>
          <w:tblW w:w="9360" w:type="dxa"/>
          <w:tblLayout w:type="fixed"/>
          <w:tblLook w:val="04A0"/>
        </w:tblPrEx>
        <w:trPr>
          <w:trHeight w:val="120"/>
        </w:trPr>
        <w:tc>
          <w:tcPr>
            <w:tcW w:w="5904" w:type="dxa"/>
          </w:tcPr>
          <w:p w:rsidR="00ED2739" w:rsidRPr="00FF3F40" w:rsidP="006138B6" w14:paraId="532DA0DB" w14:textId="30E1EEE3">
            <w:pPr>
              <w:pStyle w:val="TableTextLeft"/>
            </w:pPr>
            <w:r w:rsidRPr="00FF3F40">
              <w:t>R</w:t>
            </w:r>
            <w:r w:rsidRPr="00FF3F40" w:rsidR="00F04BC7">
              <w:t xml:space="preserve">WHAP </w:t>
            </w:r>
            <w:r w:rsidRPr="00FF3F40" w:rsidR="00661908">
              <w:t xml:space="preserve">provider </w:t>
            </w:r>
            <w:r w:rsidRPr="00FF3F40" w:rsidR="00F04BC7">
              <w:t>staff</w:t>
            </w:r>
            <w:r w:rsidRPr="00FF3F40" w:rsidR="00661908">
              <w:t xml:space="preserve"> contributing </w:t>
            </w:r>
            <w:r w:rsidRPr="00FF3F40" w:rsidR="00F04BC7">
              <w:t xml:space="preserve">to </w:t>
            </w:r>
            <w:r w:rsidR="00562928">
              <w:t>RUDI</w:t>
            </w:r>
            <w:r w:rsidRPr="00FF3F40" w:rsidR="00F04BC7">
              <w:t xml:space="preserve"> Survey </w:t>
            </w:r>
          </w:p>
        </w:tc>
        <w:tc>
          <w:tcPr>
            <w:tcW w:w="1152" w:type="dxa"/>
          </w:tcPr>
          <w:p w:rsidR="00ED2739" w:rsidRPr="00FF3F40" w:rsidP="006138B6" w14:paraId="1880D1EB" w14:textId="7574885B">
            <w:pPr>
              <w:pStyle w:val="TableTextDecimal"/>
              <w:tabs>
                <w:tab w:val="clear" w:pos="576"/>
                <w:tab w:val="decimal" w:pos="706"/>
              </w:tabs>
            </w:pPr>
            <w:r>
              <w:t>352</w:t>
            </w:r>
          </w:p>
        </w:tc>
        <w:tc>
          <w:tcPr>
            <w:tcW w:w="1152" w:type="dxa"/>
          </w:tcPr>
          <w:p w:rsidR="00ED2739" w:rsidRPr="00FF3F40" w:rsidP="00433AC7" w14:paraId="2101EE7A" w14:textId="2FACABD9">
            <w:pPr>
              <w:pStyle w:val="TableTextDecimal"/>
            </w:pPr>
            <w:r>
              <w:t>$</w:t>
            </w:r>
            <w:r w:rsidR="00840F21">
              <w:t>123.06</w:t>
            </w:r>
          </w:p>
        </w:tc>
        <w:tc>
          <w:tcPr>
            <w:tcW w:w="1152" w:type="dxa"/>
          </w:tcPr>
          <w:p w:rsidR="00ED2739" w:rsidRPr="00FF3F40" w:rsidP="006138B6" w14:paraId="62268A72" w14:textId="0E497C2D">
            <w:pPr>
              <w:pStyle w:val="TableTextDecimal"/>
              <w:tabs>
                <w:tab w:val="clear" w:pos="576"/>
                <w:tab w:val="decimal" w:pos="826"/>
              </w:tabs>
            </w:pPr>
            <w:r w:rsidRPr="00FF3F40">
              <w:t>$</w:t>
            </w:r>
            <w:r w:rsidR="00840F21">
              <w:t>43,317</w:t>
            </w:r>
          </w:p>
        </w:tc>
      </w:tr>
      <w:tr w14:paraId="5E030C8D" w14:textId="77777777" w:rsidTr="00204FAF">
        <w:tblPrEx>
          <w:tblW w:w="9360" w:type="dxa"/>
          <w:tblLayout w:type="fixed"/>
          <w:tblLook w:val="04A0"/>
        </w:tblPrEx>
        <w:trPr>
          <w:trHeight w:val="120"/>
        </w:trPr>
        <w:tc>
          <w:tcPr>
            <w:tcW w:w="5904" w:type="dxa"/>
            <w:tcBorders>
              <w:bottom w:val="single" w:sz="4" w:space="0" w:color="5B6771" w:themeColor="accent3"/>
            </w:tcBorders>
          </w:tcPr>
          <w:p w:rsidR="00840F21" w:rsidRPr="00FF3F40" w:rsidP="00840F21" w14:paraId="532FFFDC" w14:textId="10B6C68F">
            <w:pPr>
              <w:pStyle w:val="TableTextLeft"/>
            </w:pPr>
            <w:r w:rsidRPr="00FF3F40">
              <w:t>RWHAP provider staff participating in virtual site visits</w:t>
            </w:r>
            <w:r w:rsidRPr="00FF3F40">
              <w:rPr>
                <w:vertAlign w:val="superscript"/>
              </w:rPr>
              <w:t xml:space="preserve"> </w:t>
            </w:r>
          </w:p>
        </w:tc>
        <w:tc>
          <w:tcPr>
            <w:tcW w:w="1152" w:type="dxa"/>
            <w:tcBorders>
              <w:bottom w:val="single" w:sz="4" w:space="0" w:color="5B6771" w:themeColor="accent3"/>
            </w:tcBorders>
          </w:tcPr>
          <w:p w:rsidR="00840F21" w:rsidP="00840F21" w14:paraId="73776F5D" w14:textId="4EEC1378">
            <w:pPr>
              <w:pStyle w:val="TableTextDecimal"/>
              <w:tabs>
                <w:tab w:val="clear" w:pos="576"/>
                <w:tab w:val="decimal" w:pos="706"/>
              </w:tabs>
            </w:pPr>
            <w:r>
              <w:t>120</w:t>
            </w:r>
          </w:p>
        </w:tc>
        <w:tc>
          <w:tcPr>
            <w:tcW w:w="1152" w:type="dxa"/>
          </w:tcPr>
          <w:p w:rsidR="00840F21" w:rsidRPr="00FF3F40" w:rsidP="00840F21" w14:paraId="47F837D3" w14:textId="342D83BE">
            <w:pPr>
              <w:pStyle w:val="TableTextDecimal"/>
            </w:pPr>
            <w:r w:rsidRPr="00340AFB">
              <w:t>$123.06</w:t>
            </w:r>
          </w:p>
        </w:tc>
        <w:tc>
          <w:tcPr>
            <w:tcW w:w="1152" w:type="dxa"/>
          </w:tcPr>
          <w:p w:rsidR="00840F21" w:rsidRPr="00FF3F40" w:rsidP="00840F21" w14:paraId="18826901" w14:textId="5123EF1B">
            <w:pPr>
              <w:pStyle w:val="TableTextDecimal"/>
              <w:tabs>
                <w:tab w:val="clear" w:pos="576"/>
                <w:tab w:val="decimal" w:pos="826"/>
              </w:tabs>
            </w:pPr>
            <w:r w:rsidRPr="00FF3F40">
              <w:t>$</w:t>
            </w:r>
            <w:r>
              <w:t>14,767</w:t>
            </w:r>
          </w:p>
        </w:tc>
      </w:tr>
      <w:tr w14:paraId="46180A80" w14:textId="77777777" w:rsidTr="00204FAF">
        <w:tblPrEx>
          <w:tblW w:w="9360" w:type="dxa"/>
          <w:tblLayout w:type="fixed"/>
          <w:tblLook w:val="04A0"/>
        </w:tblPrEx>
        <w:trPr>
          <w:trHeight w:val="120"/>
        </w:trPr>
        <w:tc>
          <w:tcPr>
            <w:tcW w:w="5904" w:type="dxa"/>
            <w:tcBorders>
              <w:bottom w:val="single" w:sz="4" w:space="0" w:color="5B6771" w:themeColor="accent3"/>
            </w:tcBorders>
          </w:tcPr>
          <w:p w:rsidR="00840F21" w:rsidRPr="00FF3F40" w:rsidP="00840F21" w14:paraId="647D7869" w14:textId="20BB7E37">
            <w:pPr>
              <w:pStyle w:val="TableTextLeft"/>
            </w:pPr>
            <w:r>
              <w:t>RWHAP recipient staff completing RWHAP Recipient Survey</w:t>
            </w:r>
          </w:p>
        </w:tc>
        <w:tc>
          <w:tcPr>
            <w:tcW w:w="1152" w:type="dxa"/>
            <w:tcBorders>
              <w:bottom w:val="single" w:sz="4" w:space="0" w:color="5B6771" w:themeColor="accent3"/>
            </w:tcBorders>
          </w:tcPr>
          <w:p w:rsidR="00840F21" w:rsidP="00840F21" w14:paraId="3C81430A" w14:textId="34335B95">
            <w:pPr>
              <w:pStyle w:val="TableTextDecimal"/>
              <w:tabs>
                <w:tab w:val="clear" w:pos="576"/>
                <w:tab w:val="decimal" w:pos="706"/>
              </w:tabs>
            </w:pPr>
            <w:r>
              <w:t>18</w:t>
            </w:r>
          </w:p>
        </w:tc>
        <w:tc>
          <w:tcPr>
            <w:tcW w:w="1152" w:type="dxa"/>
          </w:tcPr>
          <w:p w:rsidR="00840F21" w:rsidRPr="00FF3F40" w:rsidP="00840F21" w14:paraId="45F5A9E1" w14:textId="6A98CBE7">
            <w:pPr>
              <w:pStyle w:val="TableTextDecimal"/>
            </w:pPr>
            <w:r w:rsidRPr="00340AFB">
              <w:t>$123.06</w:t>
            </w:r>
          </w:p>
        </w:tc>
        <w:tc>
          <w:tcPr>
            <w:tcW w:w="1152" w:type="dxa"/>
          </w:tcPr>
          <w:p w:rsidR="00840F21" w:rsidRPr="00FF3F40" w:rsidP="00840F21" w14:paraId="7C82EF02" w14:textId="02D348BE">
            <w:pPr>
              <w:pStyle w:val="TableTextDecimal"/>
              <w:tabs>
                <w:tab w:val="clear" w:pos="576"/>
                <w:tab w:val="decimal" w:pos="826"/>
              </w:tabs>
            </w:pPr>
            <w:r>
              <w:t>$2,215</w:t>
            </w:r>
          </w:p>
        </w:tc>
      </w:tr>
      <w:tr w14:paraId="07A9AD99" w14:textId="77777777" w:rsidTr="00204FAF">
        <w:tblPrEx>
          <w:tblW w:w="9360" w:type="dxa"/>
          <w:tblLayout w:type="fixed"/>
          <w:tblLook w:val="04A0"/>
        </w:tblPrEx>
        <w:trPr>
          <w:trHeight w:val="120"/>
        </w:trPr>
        <w:tc>
          <w:tcPr>
            <w:tcW w:w="5904" w:type="dxa"/>
            <w:tcBorders>
              <w:bottom w:val="single" w:sz="4" w:space="0" w:color="5B6771" w:themeColor="accent3"/>
            </w:tcBorders>
          </w:tcPr>
          <w:p w:rsidR="00840F21" w:rsidRPr="00FF3F40" w:rsidP="00840F21" w14:paraId="4AF06592" w14:textId="29533907">
            <w:pPr>
              <w:pStyle w:val="TableTextLeft"/>
            </w:pPr>
            <w:r>
              <w:t>RWHAP recipient staff participating in interviews (small and large sites)</w:t>
            </w:r>
          </w:p>
        </w:tc>
        <w:tc>
          <w:tcPr>
            <w:tcW w:w="1152" w:type="dxa"/>
            <w:tcBorders>
              <w:bottom w:val="single" w:sz="4" w:space="0" w:color="5B6771" w:themeColor="accent3"/>
            </w:tcBorders>
          </w:tcPr>
          <w:p w:rsidR="00840F21" w:rsidRPr="00FF3F40" w:rsidP="00840F21" w14:paraId="03757147" w14:textId="2C0C9A1C">
            <w:pPr>
              <w:pStyle w:val="TableTextDecimal"/>
              <w:tabs>
                <w:tab w:val="clear" w:pos="576"/>
                <w:tab w:val="decimal" w:pos="706"/>
              </w:tabs>
            </w:pPr>
            <w:r>
              <w:t>45</w:t>
            </w:r>
          </w:p>
        </w:tc>
        <w:tc>
          <w:tcPr>
            <w:tcW w:w="1152" w:type="dxa"/>
          </w:tcPr>
          <w:p w:rsidR="00840F21" w:rsidRPr="00FF3F40" w:rsidP="00840F21" w14:paraId="4B875F19" w14:textId="7E9A631B">
            <w:pPr>
              <w:pStyle w:val="TableTextDecimal"/>
            </w:pPr>
            <w:r w:rsidRPr="00340AFB">
              <w:t>$123.06</w:t>
            </w:r>
          </w:p>
        </w:tc>
        <w:tc>
          <w:tcPr>
            <w:tcW w:w="1152" w:type="dxa"/>
          </w:tcPr>
          <w:p w:rsidR="00840F21" w:rsidRPr="00FF3F40" w:rsidP="00840F21" w14:paraId="235825AA" w14:textId="03D90AF6">
            <w:pPr>
              <w:pStyle w:val="TableTextDecimal"/>
              <w:tabs>
                <w:tab w:val="clear" w:pos="576"/>
                <w:tab w:val="decimal" w:pos="826"/>
              </w:tabs>
            </w:pPr>
            <w:r>
              <w:t>$</w:t>
            </w:r>
            <w:r w:rsidR="00A446C1">
              <w:t>5,538</w:t>
            </w:r>
          </w:p>
        </w:tc>
      </w:tr>
      <w:tr w14:paraId="22F63317" w14:textId="77777777" w:rsidTr="00204FAF">
        <w:tblPrEx>
          <w:tblW w:w="9360" w:type="dxa"/>
          <w:tblLayout w:type="fixed"/>
          <w:tblLook w:val="04A0"/>
        </w:tblPrEx>
        <w:trPr>
          <w:trHeight w:val="120"/>
        </w:trPr>
        <w:tc>
          <w:tcPr>
            <w:tcW w:w="5904" w:type="dxa"/>
            <w:tcBorders>
              <w:bottom w:val="single" w:sz="4" w:space="0" w:color="5B6771" w:themeColor="accent3"/>
            </w:tcBorders>
          </w:tcPr>
          <w:p w:rsidR="00840F21" w:rsidP="00840F21" w14:paraId="4028204C" w14:textId="63BB0EE9">
            <w:pPr>
              <w:pStyle w:val="TableTextLeft"/>
            </w:pPr>
            <w:r>
              <w:t>AETC interviews</w:t>
            </w:r>
          </w:p>
        </w:tc>
        <w:tc>
          <w:tcPr>
            <w:tcW w:w="1152" w:type="dxa"/>
            <w:tcBorders>
              <w:bottom w:val="single" w:sz="4" w:space="0" w:color="5B6771" w:themeColor="accent3"/>
            </w:tcBorders>
          </w:tcPr>
          <w:p w:rsidR="00840F21" w:rsidP="00840F21" w14:paraId="5E6BE1F1" w14:textId="1E3BABBC">
            <w:pPr>
              <w:pStyle w:val="TableTextDecimal"/>
              <w:tabs>
                <w:tab w:val="clear" w:pos="576"/>
                <w:tab w:val="decimal" w:pos="706"/>
              </w:tabs>
            </w:pPr>
            <w:r>
              <w:t>8</w:t>
            </w:r>
          </w:p>
        </w:tc>
        <w:tc>
          <w:tcPr>
            <w:tcW w:w="1152" w:type="dxa"/>
          </w:tcPr>
          <w:p w:rsidR="00840F21" w:rsidP="00840F21" w14:paraId="6BC7CEB0" w14:textId="3886250F">
            <w:pPr>
              <w:pStyle w:val="TableTextDecimal"/>
            </w:pPr>
            <w:r w:rsidRPr="00340AFB">
              <w:t>$123.06</w:t>
            </w:r>
          </w:p>
        </w:tc>
        <w:tc>
          <w:tcPr>
            <w:tcW w:w="1152" w:type="dxa"/>
          </w:tcPr>
          <w:p w:rsidR="00840F21" w:rsidRPr="00FF3F40" w:rsidP="00840F21" w14:paraId="6B51249B" w14:textId="0D4871F1">
            <w:pPr>
              <w:pStyle w:val="TableTextDecimal"/>
              <w:tabs>
                <w:tab w:val="clear" w:pos="576"/>
                <w:tab w:val="decimal" w:pos="826"/>
              </w:tabs>
            </w:pPr>
            <w:r>
              <w:t>$</w:t>
            </w:r>
            <w:r w:rsidR="00A446C1">
              <w:t>984</w:t>
            </w:r>
          </w:p>
        </w:tc>
      </w:tr>
      <w:tr w14:paraId="2577272C" w14:textId="77777777" w:rsidTr="00204FAF">
        <w:tblPrEx>
          <w:tblW w:w="9360" w:type="dxa"/>
          <w:tblLayout w:type="fixed"/>
          <w:tblLook w:val="04A0"/>
        </w:tblPrEx>
        <w:trPr>
          <w:trHeight w:val="120"/>
        </w:trPr>
        <w:tc>
          <w:tcPr>
            <w:tcW w:w="5904" w:type="dxa"/>
            <w:tcBorders>
              <w:top w:val="single" w:sz="4" w:space="0" w:color="5B6771" w:themeColor="accent3"/>
              <w:bottom w:val="single" w:sz="4" w:space="0" w:color="046B5C" w:themeColor="text2"/>
              <w:right w:val="nil"/>
            </w:tcBorders>
          </w:tcPr>
          <w:p w:rsidR="00B75D9B" w:rsidRPr="00FF3F40" w:rsidP="00B75D9B" w14:paraId="70F89A84" w14:textId="379E9379">
            <w:pPr>
              <w:pStyle w:val="TableTextLeft"/>
              <w:rPr>
                <w:b/>
                <w:bCs/>
              </w:rPr>
            </w:pPr>
            <w:r w:rsidRPr="00FF3F40">
              <w:rPr>
                <w:b/>
                <w:bCs/>
              </w:rPr>
              <w:t>Total</w:t>
            </w:r>
          </w:p>
        </w:tc>
        <w:tc>
          <w:tcPr>
            <w:tcW w:w="1152" w:type="dxa"/>
            <w:tcBorders>
              <w:top w:val="single" w:sz="4" w:space="0" w:color="5B6771" w:themeColor="accent3"/>
              <w:left w:val="nil"/>
              <w:bottom w:val="single" w:sz="4" w:space="0" w:color="046B5C" w:themeColor="text2"/>
              <w:right w:val="nil"/>
            </w:tcBorders>
          </w:tcPr>
          <w:p w:rsidR="00B75D9B" w:rsidRPr="00FF3F40" w:rsidP="00B75D9B" w14:paraId="0C4CADDF" w14:textId="77777777">
            <w:pPr>
              <w:pStyle w:val="TableTextDecimal"/>
              <w:tabs>
                <w:tab w:val="clear" w:pos="576"/>
                <w:tab w:val="decimal" w:pos="706"/>
              </w:tabs>
              <w:rPr>
                <w:b/>
                <w:bCs/>
              </w:rPr>
            </w:pPr>
          </w:p>
        </w:tc>
        <w:tc>
          <w:tcPr>
            <w:tcW w:w="1152" w:type="dxa"/>
            <w:tcBorders>
              <w:left w:val="nil"/>
            </w:tcBorders>
          </w:tcPr>
          <w:p w:rsidR="00B75D9B" w:rsidRPr="00FF3F40" w:rsidP="00B75D9B" w14:paraId="74B6F77C" w14:textId="77777777">
            <w:pPr>
              <w:pStyle w:val="TableTextDecimal"/>
              <w:rPr>
                <w:b/>
                <w:bCs/>
              </w:rPr>
            </w:pPr>
          </w:p>
        </w:tc>
        <w:tc>
          <w:tcPr>
            <w:tcW w:w="1152" w:type="dxa"/>
          </w:tcPr>
          <w:p w:rsidR="00B75D9B" w:rsidRPr="00FF3F40" w:rsidP="00B75D9B" w14:paraId="2A414815" w14:textId="71B35482">
            <w:pPr>
              <w:pStyle w:val="TableTextDecimal"/>
              <w:tabs>
                <w:tab w:val="clear" w:pos="576"/>
                <w:tab w:val="decimal" w:pos="826"/>
              </w:tabs>
              <w:rPr>
                <w:b/>
                <w:bCs/>
              </w:rPr>
            </w:pPr>
            <w:r w:rsidRPr="00FF3F40">
              <w:rPr>
                <w:b/>
                <w:bCs/>
              </w:rPr>
              <w:t>$</w:t>
            </w:r>
            <w:r w:rsidR="00A446C1">
              <w:rPr>
                <w:b/>
                <w:bCs/>
              </w:rPr>
              <w:t>66,821</w:t>
            </w:r>
          </w:p>
        </w:tc>
      </w:tr>
    </w:tbl>
    <w:p w:rsidR="00D16F2B" w:rsidRPr="00FF3F40" w:rsidP="00204FAF" w14:paraId="2B8EB9A4" w14:textId="1FC3480A">
      <w:pPr>
        <w:pStyle w:val="ExhibitFootnote"/>
        <w:rPr>
          <w:szCs w:val="18"/>
        </w:rPr>
      </w:pPr>
      <w:r w:rsidRPr="00FF3F40">
        <w:rPr>
          <w:szCs w:val="18"/>
          <w:vertAlign w:val="superscript"/>
        </w:rPr>
        <w:t>b</w:t>
      </w:r>
      <w:r w:rsidRPr="00FF3F40" w:rsidR="00F354D8">
        <w:rPr>
          <w:szCs w:val="18"/>
          <w:vertAlign w:val="superscript"/>
        </w:rPr>
        <w:t xml:space="preserve"> </w:t>
      </w:r>
      <w:r w:rsidR="00840F21">
        <w:rPr>
          <w:szCs w:val="18"/>
        </w:rPr>
        <w:t xml:space="preserve">The </w:t>
      </w:r>
      <w:r w:rsidRPr="00FF3F40" w:rsidR="00562DD4">
        <w:rPr>
          <w:szCs w:val="18"/>
        </w:rPr>
        <w:t xml:space="preserve">mean hourly wage </w:t>
      </w:r>
      <w:r w:rsidRPr="00FF3F40" w:rsidR="00F354D8">
        <w:rPr>
          <w:szCs w:val="18"/>
        </w:rPr>
        <w:t xml:space="preserve">of </w:t>
      </w:r>
      <w:r w:rsidRPr="00FF3F40" w:rsidR="005E26E3">
        <w:rPr>
          <w:szCs w:val="18"/>
        </w:rPr>
        <w:t>$</w:t>
      </w:r>
      <w:r w:rsidR="00433AC7">
        <w:rPr>
          <w:szCs w:val="18"/>
        </w:rPr>
        <w:t xml:space="preserve">61.53 </w:t>
      </w:r>
      <w:r w:rsidRPr="00FF3F40" w:rsidR="00562DD4">
        <w:rPr>
          <w:szCs w:val="18"/>
        </w:rPr>
        <w:t xml:space="preserve">for </w:t>
      </w:r>
      <w:r w:rsidRPr="00FF3F40" w:rsidR="00E35F31">
        <w:rPr>
          <w:szCs w:val="18"/>
        </w:rPr>
        <w:t>m</w:t>
      </w:r>
      <w:r w:rsidRPr="00FF3F40" w:rsidR="00562DD4">
        <w:rPr>
          <w:szCs w:val="18"/>
        </w:rPr>
        <w:t xml:space="preserve">edical and </w:t>
      </w:r>
      <w:r w:rsidRPr="00FF3F40" w:rsidR="00E35F31">
        <w:rPr>
          <w:szCs w:val="18"/>
        </w:rPr>
        <w:t>h</w:t>
      </w:r>
      <w:r w:rsidRPr="00FF3F40" w:rsidR="00562DD4">
        <w:rPr>
          <w:szCs w:val="18"/>
        </w:rPr>
        <w:t xml:space="preserve">ealth </w:t>
      </w:r>
      <w:r w:rsidRPr="00FF3F40" w:rsidR="00E35F31">
        <w:rPr>
          <w:szCs w:val="18"/>
        </w:rPr>
        <w:t>s</w:t>
      </w:r>
      <w:r w:rsidRPr="00FF3F40" w:rsidR="00562DD4">
        <w:rPr>
          <w:szCs w:val="18"/>
        </w:rPr>
        <w:t xml:space="preserve">ervices </w:t>
      </w:r>
      <w:r w:rsidRPr="00FF3F40" w:rsidR="00E35F31">
        <w:rPr>
          <w:szCs w:val="18"/>
        </w:rPr>
        <w:t>m</w:t>
      </w:r>
      <w:r w:rsidRPr="00FF3F40" w:rsidR="00562DD4">
        <w:rPr>
          <w:szCs w:val="18"/>
        </w:rPr>
        <w:t>anagers</w:t>
      </w:r>
      <w:r w:rsidRPr="00FF3F40">
        <w:rPr>
          <w:szCs w:val="18"/>
        </w:rPr>
        <w:t xml:space="preserve"> reported in the </w:t>
      </w:r>
      <w:r w:rsidRPr="00FF3F40" w:rsidR="00433AC7">
        <w:rPr>
          <w:szCs w:val="18"/>
        </w:rPr>
        <w:t>202</w:t>
      </w:r>
      <w:r w:rsidR="00433AC7">
        <w:rPr>
          <w:szCs w:val="18"/>
        </w:rPr>
        <w:t>2</w:t>
      </w:r>
      <w:r w:rsidRPr="00FF3F40" w:rsidR="00433AC7">
        <w:rPr>
          <w:szCs w:val="18"/>
        </w:rPr>
        <w:t xml:space="preserve"> </w:t>
      </w:r>
      <w:r w:rsidRPr="00FF3F40" w:rsidR="00E35F31">
        <w:rPr>
          <w:szCs w:val="18"/>
        </w:rPr>
        <w:t xml:space="preserve">Occupational Employment by the Bureau of Labor Statistics </w:t>
      </w:r>
      <w:r w:rsidR="00840F21">
        <w:rPr>
          <w:szCs w:val="18"/>
        </w:rPr>
        <w:t>was doubled to $123.06, to account for overhead costs.</w:t>
      </w:r>
      <w:r w:rsidRPr="00FF3F40" w:rsidR="00C610E9">
        <w:rPr>
          <w:szCs w:val="18"/>
        </w:rPr>
        <w:t xml:space="preserve"> </w:t>
      </w:r>
    </w:p>
    <w:p w:rsidR="00ED2739" w:rsidRPr="00FF3F40" w:rsidP="00236ECA" w14:paraId="55054AC4" w14:textId="635D4641">
      <w:pPr>
        <w:pStyle w:val="H3"/>
      </w:pPr>
      <w:r w:rsidRPr="00FF3F40">
        <w:t>13.</w:t>
      </w:r>
      <w:r w:rsidRPr="00FF3F40">
        <w:tab/>
      </w:r>
      <w:r w:rsidRPr="00FF3F40">
        <w:t xml:space="preserve">Estimates of other </w:t>
      </w:r>
      <w:r w:rsidRPr="00FF3F40">
        <w:t>total annual cost burden to respondents or recordkeepers/capital c</w:t>
      </w:r>
      <w:r w:rsidRPr="00FF3F40">
        <w:t>osts</w:t>
      </w:r>
    </w:p>
    <w:p w:rsidR="00ED2739" w:rsidRPr="00FF3F40" w:rsidP="00236ECA" w14:paraId="47122349" w14:textId="5E992ACA">
      <w:pPr>
        <w:pStyle w:val="ParagraphContinued"/>
      </w:pPr>
      <w:r w:rsidRPr="00FF3F40">
        <w:t>Other than their time, there is no cost to respondents.</w:t>
      </w:r>
    </w:p>
    <w:p w:rsidR="00F348E7" w:rsidRPr="00FF3F40" w:rsidP="00236ECA" w14:paraId="7AACF4FE" w14:textId="3E2CB3BB">
      <w:pPr>
        <w:pStyle w:val="H3"/>
      </w:pPr>
      <w:r w:rsidRPr="00FF3F40">
        <w:t>14.</w:t>
      </w:r>
      <w:r w:rsidRPr="00FF3F40">
        <w:tab/>
      </w:r>
      <w:r w:rsidRPr="00FF3F40" w:rsidR="009B3794">
        <w:t xml:space="preserve">Annualized </w:t>
      </w:r>
      <w:r w:rsidRPr="00FF3F40">
        <w:t>cost to federal g</w:t>
      </w:r>
      <w:r w:rsidRPr="00FF3F40" w:rsidR="009B3794">
        <w:t>overnment</w:t>
      </w:r>
    </w:p>
    <w:p w:rsidR="00595E17" w:rsidRPr="008C2C36" w:rsidP="00236ECA" w14:paraId="5153E1CE" w14:textId="6A6FDFD7">
      <w:pPr>
        <w:pStyle w:val="ParagraphContinued"/>
        <w:rPr>
          <w:b/>
        </w:rPr>
      </w:pPr>
      <w:r w:rsidRPr="00FF3F40">
        <w:t xml:space="preserve">The </w:t>
      </w:r>
      <w:r w:rsidRPr="00FF3F40" w:rsidR="00F5350B">
        <w:t xml:space="preserve">portion of the 2.5-year, </w:t>
      </w:r>
      <w:r w:rsidRPr="00FF3F40">
        <w:t xml:space="preserve">fixed-price contract that supports </w:t>
      </w:r>
      <w:r w:rsidRPr="00FF3F40" w:rsidR="00F5350B">
        <w:t xml:space="preserve">survey- and interview-related activities is $2,362,280, </w:t>
      </w:r>
      <w:r w:rsidRPr="008C2C36" w:rsidR="00F5350B">
        <w:t>annualized to $</w:t>
      </w:r>
      <w:r w:rsidRPr="008C2C36" w:rsidR="00A1236D">
        <w:t>944,952</w:t>
      </w:r>
      <w:r w:rsidRPr="008C2C36" w:rsidR="00F709D5">
        <w:t xml:space="preserve">. </w:t>
      </w:r>
      <w:r w:rsidRPr="008C2C36">
        <w:t>This includes</w:t>
      </w:r>
      <w:r w:rsidRPr="008C2C36" w:rsidR="00A1236D">
        <w:t xml:space="preserve"> </w:t>
      </w:r>
      <w:r w:rsidRPr="008C2C36">
        <w:t xml:space="preserve">labor costs to design </w:t>
      </w:r>
      <w:r w:rsidRPr="008C2C36" w:rsidR="00EA41A7">
        <w:t xml:space="preserve">and manage </w:t>
      </w:r>
      <w:r w:rsidRPr="008C2C36">
        <w:t>the evaluation</w:t>
      </w:r>
      <w:r w:rsidRPr="008C2C36" w:rsidR="00F709D5">
        <w:t>;</w:t>
      </w:r>
      <w:r w:rsidRPr="008C2C36">
        <w:t xml:space="preserve"> </w:t>
      </w:r>
      <w:r w:rsidRPr="008C2C36" w:rsidR="00F709D5">
        <w:t>convene and facilitate the RUDI work</w:t>
      </w:r>
      <w:r w:rsidRPr="008C2C36" w:rsidR="00C35ECD">
        <w:t xml:space="preserve"> </w:t>
      </w:r>
      <w:r w:rsidRPr="008C2C36" w:rsidR="00F709D5">
        <w:t>group meetings</w:t>
      </w:r>
      <w:r w:rsidRPr="008C2C36" w:rsidR="00C35ECD">
        <w:t>;</w:t>
      </w:r>
      <w:r w:rsidRPr="008C2C36" w:rsidR="00A1236D">
        <w:t xml:space="preserve"> </w:t>
      </w:r>
      <w:r w:rsidRPr="008C2C36" w:rsidR="00BC4DE9">
        <w:t>develop</w:t>
      </w:r>
      <w:r w:rsidRPr="008C2C36" w:rsidR="00EA41A7">
        <w:t xml:space="preserve"> </w:t>
      </w:r>
      <w:r w:rsidRPr="008C2C36" w:rsidR="00F709D5">
        <w:t xml:space="preserve">and pilot test </w:t>
      </w:r>
      <w:r w:rsidRPr="008C2C36" w:rsidR="00EA41A7">
        <w:t xml:space="preserve">the </w:t>
      </w:r>
      <w:r w:rsidRPr="008C2C36" w:rsidR="00311D23">
        <w:t xml:space="preserve">survey </w:t>
      </w:r>
      <w:r w:rsidRPr="008C2C36" w:rsidR="00EA41A7">
        <w:t xml:space="preserve">instrument </w:t>
      </w:r>
      <w:r w:rsidRPr="008C2C36" w:rsidR="00311D23">
        <w:t xml:space="preserve">and </w:t>
      </w:r>
      <w:r w:rsidRPr="008C2C36" w:rsidR="00A1236D">
        <w:t xml:space="preserve">interview </w:t>
      </w:r>
      <w:r w:rsidRPr="008C2C36" w:rsidR="00311D23">
        <w:t>protocol</w:t>
      </w:r>
      <w:r w:rsidRPr="008C2C36" w:rsidR="00F709D5">
        <w:t>;</w:t>
      </w:r>
      <w:r w:rsidRPr="008C2C36" w:rsidR="00A1236D">
        <w:t xml:space="preserve"> </w:t>
      </w:r>
      <w:r w:rsidRPr="008C2C36" w:rsidR="00EA41A7">
        <w:t>recruit survey and interview respondents</w:t>
      </w:r>
      <w:r w:rsidRPr="008C2C36" w:rsidR="00F709D5">
        <w:t>;</w:t>
      </w:r>
      <w:r w:rsidRPr="008C2C36" w:rsidR="00EA41A7">
        <w:t xml:space="preserve"> collect</w:t>
      </w:r>
      <w:r w:rsidRPr="008C2C36" w:rsidR="00F709D5">
        <w:t>,</w:t>
      </w:r>
      <w:r w:rsidRPr="008C2C36" w:rsidR="00A1236D">
        <w:t xml:space="preserve"> </w:t>
      </w:r>
      <w:r w:rsidRPr="008C2C36" w:rsidR="00EA41A7">
        <w:t>clean</w:t>
      </w:r>
      <w:r w:rsidRPr="008C2C36" w:rsidR="00F709D5">
        <w:t xml:space="preserve">, </w:t>
      </w:r>
      <w:r w:rsidRPr="008C2C36">
        <w:t xml:space="preserve">and </w:t>
      </w:r>
      <w:r w:rsidRPr="008C2C36" w:rsidR="00EA41A7">
        <w:t xml:space="preserve">analyze the </w:t>
      </w:r>
      <w:r w:rsidRPr="008C2C36" w:rsidR="00311D23">
        <w:t>data</w:t>
      </w:r>
      <w:r w:rsidRPr="008C2C36" w:rsidR="00F709D5">
        <w:t>;</w:t>
      </w:r>
      <w:r w:rsidRPr="008C2C36" w:rsidR="00311D23">
        <w:t xml:space="preserve"> </w:t>
      </w:r>
      <w:r w:rsidRPr="008C2C36" w:rsidR="00A1236D">
        <w:t>and</w:t>
      </w:r>
      <w:r w:rsidRPr="008C2C36" w:rsidR="00EA41A7">
        <w:t xml:space="preserve"> prepare a final report and</w:t>
      </w:r>
      <w:r w:rsidRPr="008C2C36" w:rsidR="00A1236D">
        <w:t xml:space="preserve"> manuscript</w:t>
      </w:r>
      <w:r w:rsidRPr="008C2C36" w:rsidR="00EA41A7">
        <w:t>s</w:t>
      </w:r>
      <w:r w:rsidRPr="008C2C36" w:rsidR="00A1236D">
        <w:t xml:space="preserve">. </w:t>
      </w:r>
      <w:r w:rsidRPr="008C2C36" w:rsidR="00C35ECD">
        <w:t>In a</w:t>
      </w:r>
      <w:r w:rsidRPr="008C2C36" w:rsidR="00B22255">
        <w:t>ddition</w:t>
      </w:r>
      <w:r w:rsidRPr="008C2C36">
        <w:t>, there will be the</w:t>
      </w:r>
      <w:r w:rsidRPr="008C2C36" w:rsidR="00B22255">
        <w:t xml:space="preserve"> cost for</w:t>
      </w:r>
      <w:r w:rsidRPr="008C2C36" w:rsidR="00253FE5">
        <w:t xml:space="preserve"> the level of HAB off</w:t>
      </w:r>
      <w:r w:rsidRPr="008C2C36" w:rsidR="00F84379">
        <w:t>i</w:t>
      </w:r>
      <w:r w:rsidRPr="008C2C36" w:rsidR="00253FE5">
        <w:t>cial</w:t>
      </w:r>
      <w:r w:rsidRPr="008C2C36" w:rsidR="00F84379">
        <w:t>’</w:t>
      </w:r>
      <w:r w:rsidRPr="008C2C36" w:rsidR="00253FE5">
        <w:t xml:space="preserve">s effort </w:t>
      </w:r>
      <w:r w:rsidRPr="008C2C36" w:rsidR="00935F92">
        <w:t xml:space="preserve">is </w:t>
      </w:r>
      <w:r w:rsidRPr="008C2C36">
        <w:t xml:space="preserve">a GS </w:t>
      </w:r>
      <w:r w:rsidRPr="008C2C36" w:rsidR="00935F92">
        <w:t>13</w:t>
      </w:r>
      <w:r w:rsidRPr="008C2C36">
        <w:t xml:space="preserve"> (Step </w:t>
      </w:r>
      <w:r w:rsidRPr="008C2C36" w:rsidR="00935F92">
        <w:t>6</w:t>
      </w:r>
      <w:r w:rsidR="00A446C1">
        <w:t xml:space="preserve"> located in </w:t>
      </w:r>
      <w:r w:rsidR="00D618CD">
        <w:t>Washington-Baltimore-Arlington, DC-MD-VA-WV-PA)</w:t>
      </w:r>
      <w:r w:rsidRPr="008C2C36">
        <w:t xml:space="preserve"> at </w:t>
      </w:r>
      <w:r w:rsidRPr="008C2C36" w:rsidR="00935F92">
        <w:t>30</w:t>
      </w:r>
      <w:r w:rsidRPr="008C2C36" w:rsidR="002C1EF3">
        <w:t xml:space="preserve"> percent</w:t>
      </w:r>
      <w:r w:rsidRPr="008C2C36" w:rsidR="00711C5F">
        <w:t>-time</w:t>
      </w:r>
      <w:r w:rsidRPr="008C2C36">
        <w:t xml:space="preserve"> </w:t>
      </w:r>
      <w:r w:rsidRPr="008C2C36" w:rsidR="00B22255">
        <w:t>(</w:t>
      </w:r>
      <w:r w:rsidR="003C7D21">
        <w:t>adjusting by 1.5 to account for benefits, the cost would be $</w:t>
      </w:r>
      <w:r w:rsidRPr="003C7D21" w:rsidR="003C7D21">
        <w:t>58,807.5</w:t>
      </w:r>
      <w:r w:rsidR="003C7D21">
        <w:t>0</w:t>
      </w:r>
      <w:r w:rsidRPr="008C2C36">
        <w:t>) time to monitor the project</w:t>
      </w:r>
      <w:r w:rsidRPr="008C2C36" w:rsidR="00F709D5">
        <w:t xml:space="preserve">. </w:t>
      </w:r>
      <w:r w:rsidRPr="008C2C36">
        <w:t>The average annual total cost of the project is $</w:t>
      </w:r>
      <w:r w:rsidRPr="008C2C36" w:rsidR="00F84379">
        <w:t>114,779</w:t>
      </w:r>
      <w:r w:rsidRPr="008C2C36" w:rsidR="00C35ECD">
        <w:t>,</w:t>
      </w:r>
      <w:r w:rsidRPr="008C2C36" w:rsidR="00253FE5">
        <w:t xml:space="preserve"> </w:t>
      </w:r>
      <w:r w:rsidRPr="008C2C36" w:rsidR="00C173C2">
        <w:t xml:space="preserve">and the total cost of the </w:t>
      </w:r>
      <w:r w:rsidRPr="008C2C36" w:rsidR="00827990">
        <w:t>2.5-year</w:t>
      </w:r>
      <w:r w:rsidRPr="008C2C36" w:rsidR="00711C5F">
        <w:t xml:space="preserve"> RUDI </w:t>
      </w:r>
      <w:r w:rsidRPr="008C2C36" w:rsidR="00C35ECD">
        <w:t>e</w:t>
      </w:r>
      <w:r w:rsidRPr="008C2C36" w:rsidR="00711C5F">
        <w:t xml:space="preserve">valuation is </w:t>
      </w:r>
      <w:r w:rsidRPr="008C2C36" w:rsidR="0034110F">
        <w:t>$</w:t>
      </w:r>
      <w:r w:rsidRPr="008C2C36" w:rsidR="008C2C36">
        <w:t>3,443,365</w:t>
      </w:r>
      <w:r w:rsidRPr="008C2C36">
        <w:t>.</w:t>
      </w:r>
    </w:p>
    <w:p w:rsidR="00EA5156" w:rsidRPr="00FF3F40" w:rsidP="00236ECA" w14:paraId="45A9A0D2" w14:textId="6E139265">
      <w:pPr>
        <w:pStyle w:val="H3"/>
      </w:pPr>
      <w:r w:rsidRPr="00FF3F40">
        <w:t>15.</w:t>
      </w:r>
      <w:r w:rsidRPr="00FF3F40">
        <w:tab/>
      </w:r>
      <w:r w:rsidRPr="00FF3F40" w:rsidR="009B3794">
        <w:t xml:space="preserve">Explanation for </w:t>
      </w:r>
      <w:r w:rsidRPr="00FF3F40">
        <w:t>program changes or a</w:t>
      </w:r>
      <w:r w:rsidRPr="00FF3F40" w:rsidR="009B3794">
        <w:t>djustments</w:t>
      </w:r>
    </w:p>
    <w:p w:rsidR="009B3794" w:rsidRPr="00FF3F40" w:rsidP="00236ECA" w14:paraId="0D2323F7" w14:textId="1BCF9131">
      <w:pPr>
        <w:pStyle w:val="ParagraphContinued"/>
      </w:pPr>
      <w:r w:rsidRPr="00FF3F40">
        <w:t>This is a new information collection.</w:t>
      </w:r>
    </w:p>
    <w:p w:rsidR="00236ECA" w:rsidRPr="00FF3F40" w:rsidP="00236ECA" w14:paraId="0501BA3B" w14:textId="0C5BF745">
      <w:pPr>
        <w:pStyle w:val="H3"/>
      </w:pPr>
      <w:r w:rsidRPr="00FF3F40">
        <w:t>16.</w:t>
      </w:r>
      <w:r w:rsidRPr="00FF3F40">
        <w:tab/>
        <w:t>Plans for tabulation, publication, and project time schedule</w:t>
      </w:r>
    </w:p>
    <w:p w:rsidR="007B5613" w:rsidRPr="00FF3F40" w:rsidP="00236ECA" w14:paraId="06877B42" w14:textId="1CFEAA20">
      <w:pPr>
        <w:pStyle w:val="ParagraphContinued"/>
      </w:pPr>
      <w:r w:rsidRPr="00FF3F40">
        <w:t>We will prepare a</w:t>
      </w:r>
      <w:r w:rsidRPr="00FF3F40" w:rsidR="00CD4399">
        <w:t xml:space="preserve"> final report</w:t>
      </w:r>
      <w:r w:rsidRPr="00FF3F40" w:rsidR="00827990">
        <w:t xml:space="preserve"> and </w:t>
      </w:r>
      <w:r w:rsidRPr="00FF3F40" w:rsidR="00CD4399">
        <w:t>manuscripts</w:t>
      </w:r>
      <w:r w:rsidRPr="00FF3F40" w:rsidR="00827990">
        <w:t xml:space="preserve"> </w:t>
      </w:r>
      <w:r w:rsidRPr="00FF3F40" w:rsidR="008851D0">
        <w:t xml:space="preserve">appropriate for and actionable to stakeholders </w:t>
      </w:r>
      <w:r w:rsidRPr="00FF3F40" w:rsidR="00CD4399">
        <w:t>at the end of the project</w:t>
      </w:r>
      <w:r w:rsidRPr="00FF3F40" w:rsidR="008851D0">
        <w:t xml:space="preserve">. </w:t>
      </w:r>
      <w:r w:rsidRPr="00FF3F40">
        <w:t>We will make a</w:t>
      </w:r>
      <w:r w:rsidRPr="00FF3F40" w:rsidR="008851D0">
        <w:t>ll final materials Section 508</w:t>
      </w:r>
      <w:r w:rsidRPr="00FF3F40" w:rsidR="00D77A65">
        <w:t xml:space="preserve"> </w:t>
      </w:r>
      <w:r w:rsidRPr="00FF3F40" w:rsidR="008851D0">
        <w:t xml:space="preserve">compliant </w:t>
      </w:r>
      <w:r w:rsidRPr="00FF3F40">
        <w:t xml:space="preserve">before </w:t>
      </w:r>
      <w:r w:rsidRPr="00FF3F40" w:rsidR="008851D0">
        <w:t xml:space="preserve">dissemination. </w:t>
      </w:r>
      <w:r w:rsidRPr="00FF3F40" w:rsidR="00FA1E9F">
        <w:t xml:space="preserve">The contractor </w:t>
      </w:r>
      <w:r w:rsidRPr="00FF3F40" w:rsidR="008851D0">
        <w:t>will also collaborate with HAB to develop materials that would be of interest to</w:t>
      </w:r>
      <w:r w:rsidRPr="00FF3F40">
        <w:t xml:space="preserve"> the </w:t>
      </w:r>
      <w:r w:rsidRPr="00FF3F40" w:rsidR="008851D0">
        <w:t>TargetHIV</w:t>
      </w:r>
      <w:r w:rsidRPr="00FF3F40">
        <w:t>, RWHAP</w:t>
      </w:r>
      <w:r w:rsidRPr="00FF3F40" w:rsidR="008851D0">
        <w:t>, AIDS Education and Training Center National Coordinator Resource Center website</w:t>
      </w:r>
      <w:r w:rsidRPr="00FF3F40">
        <w:t>s</w:t>
      </w:r>
      <w:r w:rsidRPr="00FF3F40" w:rsidR="008851D0">
        <w:t xml:space="preserve"> a</w:t>
      </w:r>
      <w:r w:rsidRPr="00FF3F40">
        <w:t xml:space="preserve">s well as </w:t>
      </w:r>
      <w:r w:rsidRPr="00FF3F40" w:rsidR="008851D0">
        <w:t xml:space="preserve">other venues to be determined during the period of performance that will fit within </w:t>
      </w:r>
      <w:r w:rsidRPr="00FF3F40" w:rsidR="00067B31">
        <w:t xml:space="preserve">the project’s budget. </w:t>
      </w:r>
      <w:r w:rsidRPr="00FF3F40" w:rsidR="008851D0">
        <w:t>This includes publications in peer-reviewed journals as appropriate.</w:t>
      </w:r>
      <w:r w:rsidRPr="00FF3F40" w:rsidR="006847ED">
        <w:t xml:space="preserve"> </w:t>
      </w:r>
      <w:r w:rsidRPr="00FF3F40" w:rsidR="006847ED">
        <w:rPr>
          <w:iCs/>
        </w:rPr>
        <w:t xml:space="preserve">Exhibit </w:t>
      </w:r>
      <w:r w:rsidRPr="00FF3F40" w:rsidR="005070F8">
        <w:rPr>
          <w:iCs/>
        </w:rPr>
        <w:t xml:space="preserve">6 </w:t>
      </w:r>
      <w:r w:rsidRPr="00FF3F40" w:rsidR="006847ED">
        <w:rPr>
          <w:iCs/>
        </w:rPr>
        <w:t xml:space="preserve">represents a timeline for data collection and reporting benchmarks for the </w:t>
      </w:r>
      <w:r w:rsidRPr="00FF3F40" w:rsidR="00AE2505">
        <w:rPr>
          <w:iCs/>
        </w:rPr>
        <w:t xml:space="preserve">RUDI </w:t>
      </w:r>
      <w:r w:rsidRPr="00FF3F40">
        <w:rPr>
          <w:iCs/>
        </w:rPr>
        <w:t>e</w:t>
      </w:r>
      <w:r w:rsidRPr="00FF3F40" w:rsidR="00AE2505">
        <w:rPr>
          <w:iCs/>
        </w:rPr>
        <w:t>valuation</w:t>
      </w:r>
      <w:r w:rsidRPr="00FF3F40" w:rsidR="006847ED">
        <w:rPr>
          <w:iCs/>
        </w:rPr>
        <w:t>.</w:t>
      </w:r>
    </w:p>
    <w:bookmarkStart w:id="14" w:name="_Hlk127370368"/>
    <w:bookmarkStart w:id="15" w:name="_Hlk126652901"/>
    <w:p w:rsidR="00F9181B" w:rsidRPr="00FF3F40" w:rsidP="008B32F3" w14:paraId="5CA40A80" w14:textId="77777777">
      <w:pPr>
        <w:pStyle w:val="TitleRule"/>
      </w:pPr>
      <w:r w:rsidRPr="00FF3F40">
        <w:rPr>
          <w:noProof/>
        </w:rPr>
        <mc:AlternateContent>
          <mc:Choice Requires="wps">
            <w:drawing>
              <wp:inline distT="0" distB="0" distL="0" distR="0">
                <wp:extent cx="2971800" cy="0"/>
                <wp:effectExtent l="0" t="38100" r="38100" b="38100"/>
                <wp:docPr id="6" name="Straight Connector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o:spid="_x0000_i1030"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ED2739" w:rsidRPr="00FF3F40" w:rsidP="00F9181B" w14:paraId="633C4A21" w14:textId="57F38D0E">
      <w:pPr>
        <w:pStyle w:val="ExhibitTitle"/>
      </w:pPr>
      <w:r w:rsidRPr="00FF3F40">
        <w:t xml:space="preserve">Exhibit </w:t>
      </w:r>
      <w:r w:rsidRPr="00FF3F40" w:rsidR="005070F8">
        <w:t>6</w:t>
      </w:r>
      <w:r w:rsidRPr="00FF3F40">
        <w:t xml:space="preserve">. </w:t>
      </w:r>
      <w:r w:rsidRPr="00FF3F40" w:rsidR="00DE37E7">
        <w:t xml:space="preserve">Schedule for conducting the </w:t>
      </w:r>
      <w:r w:rsidRPr="00FF3F40" w:rsidR="00401401">
        <w:t xml:space="preserve">RUDI </w:t>
      </w:r>
      <w:r w:rsidRPr="00FF3F40" w:rsidR="00DE37E7">
        <w:t>e</w:t>
      </w:r>
      <w:r w:rsidRPr="00FF3F40" w:rsidR="00401401">
        <w:t xml:space="preserve">valuation </w:t>
      </w:r>
    </w:p>
    <w:tbl>
      <w:tblPr>
        <w:tblStyle w:val="BaseTable"/>
        <w:tblW w:w="9360" w:type="dxa"/>
        <w:tblLook w:val="04A0"/>
      </w:tblPr>
      <w:tblGrid>
        <w:gridCol w:w="6192"/>
        <w:gridCol w:w="3168"/>
      </w:tblGrid>
      <w:tr w14:paraId="172FE4FE" w14:textId="77777777" w:rsidTr="00F9181B">
        <w:tblPrEx>
          <w:tblW w:w="9360" w:type="dxa"/>
          <w:tblLook w:val="04A0"/>
        </w:tblPrEx>
        <w:trPr>
          <w:trHeight w:val="120"/>
          <w:tblHeader/>
        </w:trPr>
        <w:tc>
          <w:tcPr>
            <w:tcW w:w="6192" w:type="dxa"/>
            <w:hideMark/>
          </w:tcPr>
          <w:p w:rsidR="00B57283" w:rsidRPr="00FF3F40" w:rsidP="00F9181B" w14:paraId="3BC37B0B" w14:textId="1D57704F">
            <w:pPr>
              <w:pStyle w:val="TableHeaderLeft"/>
              <w:rPr>
                <w:b w:val="0"/>
                <w:sz w:val="22"/>
              </w:rPr>
            </w:pPr>
            <w:r w:rsidRPr="00FF3F40">
              <w:t>Activity/</w:t>
            </w:r>
            <w:r w:rsidRPr="00FF3F40" w:rsidR="00D77A65">
              <w:t>d</w:t>
            </w:r>
            <w:r w:rsidRPr="00FF3F40">
              <w:t>eliverable</w:t>
            </w:r>
          </w:p>
        </w:tc>
        <w:tc>
          <w:tcPr>
            <w:tcW w:w="3168" w:type="dxa"/>
            <w:hideMark/>
          </w:tcPr>
          <w:p w:rsidR="00B57283" w:rsidRPr="00FF3F40" w:rsidP="00F9181B" w14:paraId="55541ED6" w14:textId="5EB835F4">
            <w:pPr>
              <w:pStyle w:val="TableHeaderCenter"/>
              <w:rPr>
                <w:b w:val="0"/>
              </w:rPr>
            </w:pPr>
            <w:r w:rsidRPr="00FF3F40">
              <w:t xml:space="preserve">Target </w:t>
            </w:r>
            <w:r w:rsidRPr="00FF3F40" w:rsidR="00D77A65">
              <w:t>t</w:t>
            </w:r>
            <w:r w:rsidRPr="00FF3F40">
              <w:t>imeline</w:t>
            </w:r>
          </w:p>
        </w:tc>
      </w:tr>
      <w:tr w14:paraId="35DCE007" w14:textId="77777777" w:rsidTr="00F9181B">
        <w:tblPrEx>
          <w:tblW w:w="9360" w:type="dxa"/>
          <w:tblLook w:val="04A0"/>
        </w:tblPrEx>
        <w:trPr>
          <w:trHeight w:val="120"/>
        </w:trPr>
        <w:tc>
          <w:tcPr>
            <w:tcW w:w="6192" w:type="dxa"/>
            <w:hideMark/>
          </w:tcPr>
          <w:p w:rsidR="00B57283" w:rsidRPr="00FF3F40" w:rsidP="00F9181B" w14:paraId="2370914F" w14:textId="5C9DAAA0">
            <w:pPr>
              <w:pStyle w:val="TableTextLeft"/>
            </w:pPr>
            <w:r w:rsidRPr="00FF3F40">
              <w:t>Evaluation design and development of web survey</w:t>
            </w:r>
            <w:r w:rsidR="000557E2">
              <w:t xml:space="preserve">s, virtual site visit guide, and </w:t>
            </w:r>
            <w:r w:rsidRPr="00FF3F40">
              <w:t>interview protocol</w:t>
            </w:r>
          </w:p>
        </w:tc>
        <w:tc>
          <w:tcPr>
            <w:tcW w:w="3168" w:type="dxa"/>
            <w:hideMark/>
          </w:tcPr>
          <w:p w:rsidR="00B57283" w:rsidRPr="00FF3F40" w:rsidP="00F9181B" w14:paraId="30833D8C" w14:textId="6541FE5D">
            <w:pPr>
              <w:pStyle w:val="TableTextLeft"/>
            </w:pPr>
            <w:r w:rsidRPr="00FF3F40">
              <w:t>December 2022–August 2023</w:t>
            </w:r>
          </w:p>
        </w:tc>
      </w:tr>
      <w:tr w14:paraId="6E2EF7E0" w14:textId="77777777" w:rsidTr="00F9181B">
        <w:tblPrEx>
          <w:tblW w:w="9360" w:type="dxa"/>
          <w:tblLook w:val="04A0"/>
        </w:tblPrEx>
        <w:trPr>
          <w:trHeight w:val="120"/>
        </w:trPr>
        <w:tc>
          <w:tcPr>
            <w:tcW w:w="6192" w:type="dxa"/>
            <w:hideMark/>
          </w:tcPr>
          <w:p w:rsidR="00B57283" w:rsidRPr="00FF3F40" w:rsidP="00F9181B" w14:paraId="758B40E9" w14:textId="65B02F7E">
            <w:pPr>
              <w:pStyle w:val="TableTextLeft"/>
            </w:pPr>
            <w:r w:rsidRPr="00FF3F40">
              <w:t>Pilot test survey</w:t>
            </w:r>
            <w:r w:rsidR="000557E2">
              <w:t>s</w:t>
            </w:r>
            <w:r w:rsidRPr="00FF3F40">
              <w:t xml:space="preserve"> and </w:t>
            </w:r>
            <w:r w:rsidR="000557E2">
              <w:t xml:space="preserve">virtual </w:t>
            </w:r>
            <w:r w:rsidRPr="00FF3F40">
              <w:t>site visit protocols</w:t>
            </w:r>
          </w:p>
        </w:tc>
        <w:tc>
          <w:tcPr>
            <w:tcW w:w="3168" w:type="dxa"/>
            <w:hideMark/>
          </w:tcPr>
          <w:p w:rsidR="00B57283" w:rsidRPr="00FF3F40" w:rsidP="00F9181B" w14:paraId="7A4618B6" w14:textId="2C0BBC45">
            <w:pPr>
              <w:pStyle w:val="TableTextLeft"/>
            </w:pPr>
            <w:r w:rsidRPr="00FF3F40">
              <w:t>August 2023–September 2023</w:t>
            </w:r>
          </w:p>
        </w:tc>
      </w:tr>
      <w:tr w14:paraId="7C049B86" w14:textId="77777777" w:rsidTr="00F9181B">
        <w:tblPrEx>
          <w:tblW w:w="9360" w:type="dxa"/>
          <w:tblLook w:val="04A0"/>
        </w:tblPrEx>
        <w:trPr>
          <w:trHeight w:val="120"/>
        </w:trPr>
        <w:tc>
          <w:tcPr>
            <w:tcW w:w="6192" w:type="dxa"/>
            <w:hideMark/>
          </w:tcPr>
          <w:p w:rsidR="00B57283" w:rsidRPr="00FF3F40" w:rsidP="00F9181B" w14:paraId="1AE82CA9" w14:textId="0B3027D3">
            <w:pPr>
              <w:pStyle w:val="TableTextLeft"/>
            </w:pPr>
            <w:r w:rsidRPr="00FF3F40">
              <w:t>Access secondary data (RSR</w:t>
            </w:r>
            <w:r w:rsidR="006E5466">
              <w:t>, DSR</w:t>
            </w:r>
            <w:r w:rsidRPr="00FF3F40">
              <w:t>, Google Analytics, public data sets)</w:t>
            </w:r>
          </w:p>
        </w:tc>
        <w:tc>
          <w:tcPr>
            <w:tcW w:w="3168" w:type="dxa"/>
            <w:hideMark/>
          </w:tcPr>
          <w:p w:rsidR="00B57283" w:rsidRPr="00FF3F40" w:rsidP="00F9181B" w14:paraId="5806129B" w14:textId="62C22FDD">
            <w:pPr>
              <w:pStyle w:val="TableTextLeft"/>
            </w:pPr>
            <w:r w:rsidRPr="00FF3F40">
              <w:t>November 2022–March 2025</w:t>
            </w:r>
          </w:p>
        </w:tc>
      </w:tr>
      <w:tr w14:paraId="0BB7EB1F" w14:textId="77777777" w:rsidTr="00F9181B">
        <w:tblPrEx>
          <w:tblW w:w="9360" w:type="dxa"/>
          <w:tblLook w:val="04A0"/>
        </w:tblPrEx>
        <w:trPr>
          <w:trHeight w:val="120"/>
        </w:trPr>
        <w:tc>
          <w:tcPr>
            <w:tcW w:w="6192" w:type="dxa"/>
            <w:hideMark/>
          </w:tcPr>
          <w:p w:rsidR="00B57283" w:rsidRPr="00FF3F40" w:rsidP="00F9181B" w14:paraId="57CF4E00" w14:textId="4ADC2FF5">
            <w:pPr>
              <w:pStyle w:val="TableTextLeft"/>
            </w:pPr>
            <w:r w:rsidRPr="00FF3F40">
              <w:t>Field survey</w:t>
            </w:r>
            <w:r w:rsidR="000557E2">
              <w:t>s</w:t>
            </w:r>
            <w:r w:rsidRPr="00FF3F40" w:rsidR="00D77A65">
              <w:t xml:space="preserve"> and</w:t>
            </w:r>
            <w:r w:rsidRPr="00FF3F40">
              <w:t xml:space="preserve"> conduct </w:t>
            </w:r>
            <w:r w:rsidR="000557E2">
              <w:t xml:space="preserve">virtual site visit </w:t>
            </w:r>
            <w:r w:rsidRPr="00FF3F40">
              <w:t>interviews</w:t>
            </w:r>
          </w:p>
        </w:tc>
        <w:tc>
          <w:tcPr>
            <w:tcW w:w="3168" w:type="dxa"/>
            <w:hideMark/>
          </w:tcPr>
          <w:p w:rsidR="00B57283" w:rsidRPr="00FF3F40" w:rsidP="00F9181B" w14:paraId="46F04C9D" w14:textId="4673B426">
            <w:pPr>
              <w:pStyle w:val="TableTextLeft"/>
            </w:pPr>
            <w:r w:rsidRPr="00FF3F40">
              <w:t>December 2023–March 2024</w:t>
            </w:r>
          </w:p>
        </w:tc>
      </w:tr>
      <w:tr w14:paraId="2D4DEBEC" w14:textId="77777777" w:rsidTr="00F9181B">
        <w:tblPrEx>
          <w:tblW w:w="9360" w:type="dxa"/>
          <w:tblLook w:val="04A0"/>
        </w:tblPrEx>
        <w:trPr>
          <w:trHeight w:val="120"/>
        </w:trPr>
        <w:tc>
          <w:tcPr>
            <w:tcW w:w="6192" w:type="dxa"/>
            <w:hideMark/>
          </w:tcPr>
          <w:p w:rsidR="00B57283" w:rsidRPr="00FF3F40" w:rsidP="00F9181B" w14:paraId="29C3ADB3" w14:textId="77777777">
            <w:pPr>
              <w:pStyle w:val="TableTextLeft"/>
            </w:pPr>
            <w:r w:rsidRPr="00FF3F40">
              <w:t>Data analyses and reporting</w:t>
            </w:r>
          </w:p>
        </w:tc>
        <w:tc>
          <w:tcPr>
            <w:tcW w:w="3168" w:type="dxa"/>
            <w:hideMark/>
          </w:tcPr>
          <w:p w:rsidR="00B57283" w:rsidRPr="00FF3F40" w:rsidP="00F9181B" w14:paraId="52EB70A9" w14:textId="3B853000">
            <w:pPr>
              <w:pStyle w:val="TableTextLeft"/>
            </w:pPr>
            <w:r w:rsidRPr="00FF3F40">
              <w:t>April 2024–February 2025</w:t>
            </w:r>
          </w:p>
        </w:tc>
      </w:tr>
    </w:tbl>
    <w:bookmarkEnd w:id="14"/>
    <w:bookmarkEnd w:id="15"/>
    <w:p w:rsidR="00236ECA" w:rsidRPr="00FF3F40" w:rsidP="00ED7717" w14:paraId="23F124CD" w14:textId="0C60E3B4">
      <w:pPr>
        <w:pStyle w:val="H3"/>
      </w:pPr>
      <w:r w:rsidRPr="00FF3F40">
        <w:t>17.</w:t>
      </w:r>
      <w:r w:rsidRPr="00FF3F40">
        <w:tab/>
        <w:t>Reason(s) display of OMB expiration date is inappropriate</w:t>
      </w:r>
    </w:p>
    <w:p w:rsidR="00ED7717" w:rsidRPr="00FF3F40" w:rsidP="00ED7717" w14:paraId="4C9158EF" w14:textId="5B1FE152">
      <w:pPr>
        <w:pStyle w:val="ParagraphContinued"/>
      </w:pPr>
      <w:r w:rsidRPr="00FF3F40">
        <w:t xml:space="preserve">The OMB number and expiration date will be displayed on the entry page of the </w:t>
      </w:r>
      <w:r w:rsidR="005C309E">
        <w:t xml:space="preserve">web-based </w:t>
      </w:r>
      <w:r w:rsidR="00562928">
        <w:t>RUDI</w:t>
      </w:r>
      <w:r w:rsidRPr="00FF3F40">
        <w:t xml:space="preserve"> </w:t>
      </w:r>
      <w:r w:rsidR="003413EF">
        <w:t>s</w:t>
      </w:r>
      <w:r w:rsidRPr="00FF3F40">
        <w:t>urvey</w:t>
      </w:r>
      <w:r w:rsidR="005C309E">
        <w:t>s</w:t>
      </w:r>
      <w:r w:rsidRPr="00FF3F40">
        <w:t xml:space="preserve"> and on any respondent-facing electronic documents.</w:t>
      </w:r>
    </w:p>
    <w:p w:rsidR="00ED7717" w:rsidRPr="00FF3F40" w:rsidP="00ED7717" w14:paraId="243090B4" w14:textId="311A3033">
      <w:pPr>
        <w:pStyle w:val="H3"/>
      </w:pPr>
      <w:r w:rsidRPr="00FF3F40">
        <w:t>18.</w:t>
      </w:r>
      <w:r w:rsidRPr="00FF3F40">
        <w:tab/>
        <w:t>Exceptions to certification for Paperwork Reduction Act submissions</w:t>
      </w:r>
    </w:p>
    <w:p w:rsidR="00ED7717" w:rsidP="00ED7717" w14:paraId="392FC713" w14:textId="0705A3BE">
      <w:pPr>
        <w:pStyle w:val="ParagraphContinued"/>
      </w:pPr>
      <w:r w:rsidRPr="00FF3F40">
        <w:t>There are no exceptions to the certification.</w:t>
      </w:r>
    </w:p>
    <w:sectPr w:rsidSect="00E10910">
      <w:endnotePr>
        <w:numFmt w:val="decimal"/>
      </w:endnotePr>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884" w:rsidRPr="00E10910" w:rsidP="00E10910" w14:paraId="78F329BF" w14:textId="19DF507B">
    <w:pPr>
      <w:pStyle w:val="Footer"/>
    </w:pPr>
    <w:r>
      <w:t>Mathematica</w:t>
    </w:r>
    <w:r w:rsidRPr="00E10910">
      <w:rPr>
        <w:vertAlign w:val="superscript"/>
      </w:rPr>
      <w:t>®</w:t>
    </w:r>
    <w:r>
      <w:t xml:space="preserve"> Inc.</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3C30" w14:paraId="4AD13470" w14:textId="77777777">
      <w:r>
        <w:separator/>
      </w:r>
    </w:p>
  </w:footnote>
  <w:footnote w:type="continuationSeparator" w:id="1">
    <w:p w:rsidR="00123C30" w14:paraId="58FB5630" w14:textId="77777777">
      <w:r>
        <w:continuationSeparator/>
      </w:r>
    </w:p>
  </w:footnote>
  <w:footnote w:id="2">
    <w:p w:rsidR="00545B14" w14:paraId="0DF88731" w14:textId="74931660">
      <w:pPr>
        <w:pStyle w:val="FootnoteText"/>
      </w:pPr>
      <w:r>
        <w:rPr>
          <w:rStyle w:val="FootnoteReference"/>
        </w:rPr>
        <w:footnoteRef/>
      </w:r>
      <w:r>
        <w:t xml:space="preserve"> </w:t>
      </w:r>
      <w:r w:rsidRPr="00545B14">
        <w:t>http://HRSA HAB.hrsa.gov/aboutHRSA HAB/legislation.html.</w:t>
      </w:r>
    </w:p>
  </w:footnote>
  <w:footnote w:id="3">
    <w:p w:rsidR="00BC4DE9" w14:paraId="28157A15" w14:textId="232239D1">
      <w:pPr>
        <w:pStyle w:val="FootnoteText"/>
      </w:pPr>
      <w:r w:rsidRPr="00812D62">
        <w:rPr>
          <w:rStyle w:val="FootnoteReference"/>
        </w:rPr>
        <w:footnoteRef/>
      </w:r>
      <w:r>
        <w:t xml:space="preserve"> Information on Ending the HIV Epidemic initiative </w:t>
      </w:r>
      <w:r w:rsidR="00002222">
        <w:t>is available</w:t>
      </w:r>
      <w:r>
        <w:t xml:space="preserve"> at </w:t>
      </w:r>
      <w:hyperlink r:id="rId1" w:history="1">
        <w:r w:rsidRPr="007634C3">
          <w:rPr>
            <w:rStyle w:val="Hyperlink"/>
          </w:rPr>
          <w:t>https://www.hrsa.gov/ending-hiv-epidemic</w:t>
        </w:r>
      </w:hyperlink>
      <w:r>
        <w:t>.</w:t>
      </w:r>
    </w:p>
  </w:footnote>
  <w:footnote w:id="4">
    <w:p w:rsidR="00FE3514" w:rsidP="00FE3514" w14:paraId="2E03DD5E" w14:textId="77777777">
      <w:pPr>
        <w:pStyle w:val="FootnoteText"/>
      </w:pPr>
      <w:r>
        <w:rPr>
          <w:rStyle w:val="FootnoteReference"/>
        </w:rPr>
        <w:footnoteRef/>
      </w:r>
      <w:bookmarkStart w:id="3" w:name="_Hlk131754528"/>
      <w:r>
        <w:t xml:space="preserve">Psihopaidas, D., C.M. Cohen, T. West, A. Latham, </w:t>
      </w:r>
      <w:r w:rsidRPr="00B13581">
        <w:t>A</w:t>
      </w:r>
      <w:r>
        <w:t>.</w:t>
      </w:r>
      <w:r w:rsidRPr="00B13581">
        <w:t xml:space="preserve"> Dempsey,</w:t>
      </w:r>
      <w:r>
        <w:t xml:space="preserve"> </w:t>
      </w:r>
      <w:r w:rsidRPr="00B13581">
        <w:t>K</w:t>
      </w:r>
      <w:r>
        <w:t>.</w:t>
      </w:r>
      <w:r w:rsidRPr="00B13581">
        <w:t xml:space="preserve"> Brown,</w:t>
      </w:r>
      <w:r>
        <w:t xml:space="preserve"> </w:t>
      </w:r>
      <w:r w:rsidRPr="00B13581">
        <w:t>C</w:t>
      </w:r>
      <w:r>
        <w:t>.</w:t>
      </w:r>
      <w:r w:rsidRPr="00B13581">
        <w:t xml:space="preserve"> Heath,</w:t>
      </w:r>
      <w:r>
        <w:t xml:space="preserve"> </w:t>
      </w:r>
      <w:r w:rsidRPr="00B13581">
        <w:t>A</w:t>
      </w:r>
      <w:r>
        <w:t>.</w:t>
      </w:r>
      <w:r w:rsidRPr="00B13581">
        <w:t xml:space="preserve"> Cajina,</w:t>
      </w:r>
      <w:r>
        <w:t xml:space="preserve"> </w:t>
      </w:r>
      <w:r w:rsidRPr="00B13581">
        <w:t>H</w:t>
      </w:r>
      <w:r>
        <w:t>.</w:t>
      </w:r>
      <w:r w:rsidRPr="00B13581">
        <w:t xml:space="preserve"> Phillips,</w:t>
      </w:r>
      <w:r>
        <w:t xml:space="preserve"> </w:t>
      </w:r>
      <w:r w:rsidRPr="00B13581">
        <w:t>S</w:t>
      </w:r>
      <w:r>
        <w:t>.</w:t>
      </w:r>
      <w:r w:rsidRPr="00B13581">
        <w:t xml:space="preserve"> Young,</w:t>
      </w:r>
      <w:r>
        <w:t xml:space="preserve"> </w:t>
      </w:r>
      <w:r w:rsidRPr="00B13581">
        <w:t>A</w:t>
      </w:r>
      <w:r>
        <w:t>.</w:t>
      </w:r>
      <w:r w:rsidRPr="00B13581">
        <w:t xml:space="preserve"> Stubbs-Smith,</w:t>
      </w:r>
      <w:r>
        <w:t xml:space="preserve"> and </w:t>
      </w:r>
      <w:r w:rsidRPr="00B13581">
        <w:t>L</w:t>
      </w:r>
      <w:r>
        <w:t>.</w:t>
      </w:r>
      <w:r w:rsidRPr="00B13581">
        <w:t>W. Cheever</w:t>
      </w:r>
      <w:r>
        <w:t xml:space="preserve">. “Implementation Science and the Health Resources and Services Administration’s Ryan White HIV/AIDS Program’s Work Towards Ending the HIV Epidemic in the United States.” </w:t>
      </w:r>
      <w:r>
        <w:rPr>
          <w:i/>
          <w:iCs/>
        </w:rPr>
        <w:t>PloS Medicine</w:t>
      </w:r>
      <w:r>
        <w:t>, vol. 17, no. 11, 2020.</w:t>
      </w:r>
      <w:r w:rsidRPr="00EE1693">
        <w:t xml:space="preserve"> </w:t>
      </w:r>
      <w:hyperlink r:id="rId2" w:history="1">
        <w:r w:rsidRPr="00262739">
          <w:rPr>
            <w:rStyle w:val="Hyperlink"/>
          </w:rPr>
          <w:t>https://doi.org/10.1371/journal.pmed.1003128</w:t>
        </w:r>
      </w:hyperlink>
      <w:r>
        <w:rPr>
          <w:rStyle w:val="Hyperlink"/>
        </w:rPr>
        <w:t>.</w:t>
      </w:r>
    </w:p>
    <w:bookmarkEnd w:id="3"/>
  </w:footnote>
  <w:footnote w:id="5">
    <w:p w:rsidR="00FE3514" w:rsidP="00FE3514" w14:paraId="65502F78" w14:textId="77777777">
      <w:pPr>
        <w:pStyle w:val="FootnoteText"/>
      </w:pPr>
      <w:r>
        <w:rPr>
          <w:rStyle w:val="FootnoteReference"/>
        </w:rPr>
        <w:footnoteRef/>
      </w:r>
      <w:r>
        <w:t xml:space="preserve">Eisinger, R.W., C.W. Dieffenbach, and A.S. Fauci. “Role of Implementation Science: Linking Fundamental Discovery Science and Innovation Science to Ending the HIV Epidemic at the Community Level.” </w:t>
      </w:r>
      <w:r>
        <w:rPr>
          <w:i/>
          <w:iCs/>
        </w:rPr>
        <w:t>Journal of Acquired Immune Deficiency Syndrome</w:t>
      </w:r>
      <w:r>
        <w:t xml:space="preserve">, vol. 82, no. 3, December 1, 2019, pp. S171–172. </w:t>
      </w:r>
      <w:hyperlink r:id="rId3" w:history="1">
        <w:r w:rsidRPr="00B13581">
          <w:rPr>
            <w:color w:val="195CA5" w:themeColor="accent1" w:themeTint="BF"/>
            <w:u w:val="single"/>
          </w:rPr>
          <w:t>https://doi.org/10.1097/qai.0000000000002227</w:t>
        </w:r>
      </w:hyperlink>
      <w:r>
        <w:rPr>
          <w:color w:val="195CA5" w:themeColor="accent1" w:themeTint="BF"/>
          <w:u w:val="single"/>
        </w:rPr>
        <w:t>.</w:t>
      </w:r>
    </w:p>
  </w:footnote>
  <w:footnote w:id="6">
    <w:p w:rsidR="00FE3514" w:rsidP="00FE3514" w14:paraId="503A0401" w14:textId="77777777">
      <w:pPr>
        <w:pStyle w:val="FootnoteText"/>
      </w:pPr>
      <w:r>
        <w:rPr>
          <w:rStyle w:val="FootnoteReference"/>
        </w:rPr>
        <w:footnoteRef/>
      </w:r>
      <w:r>
        <w:t xml:space="preserve"> Psihopaidas et al. 2020 (see footnote 1).</w:t>
      </w:r>
    </w:p>
  </w:footnote>
  <w:footnote w:id="7">
    <w:p w:rsidR="00DB49FA" w:rsidRPr="00DB49FA" w14:paraId="61B1A121" w14:textId="737261C0">
      <w:pPr>
        <w:pStyle w:val="FootnoteText"/>
        <w:rPr>
          <w:sz w:val="18"/>
          <w:szCs w:val="18"/>
        </w:rPr>
      </w:pPr>
      <w:r w:rsidRPr="00DB49FA">
        <w:rPr>
          <w:rStyle w:val="FootnoteReference"/>
          <w:sz w:val="18"/>
          <w:szCs w:val="18"/>
        </w:rPr>
        <w:footnoteRef/>
      </w:r>
      <w:r w:rsidRPr="00DB49FA">
        <w:rPr>
          <w:sz w:val="18"/>
          <w:szCs w:val="18"/>
        </w:rPr>
        <w:t xml:space="preserve"> Coopersmith, J., Vogel, L. K., Bruursema, T., &amp; Feeney, K. (2016). Effects of incentive amount and type of web survey response rates. Survey Practice, 9(1).</w:t>
      </w:r>
    </w:p>
  </w:footnote>
  <w:footnote w:id="8">
    <w:p w:rsidR="00DB49FA" w14:paraId="19D44D15" w14:textId="3AA87CBF">
      <w:pPr>
        <w:pStyle w:val="FootnoteText"/>
      </w:pPr>
      <w:r>
        <w:rPr>
          <w:rStyle w:val="FootnoteReference"/>
        </w:rPr>
        <w:footnoteRef/>
      </w:r>
      <w:r>
        <w:t xml:space="preserve"> </w:t>
      </w:r>
      <w:r w:rsidRPr="00DB49FA">
        <w:rPr>
          <w:sz w:val="18"/>
          <w:szCs w:val="18"/>
        </w:rPr>
        <w:t>Keating, N. L., Zaslavsky, A. M., Goldstein, J., West, D. W., &amp; Ayanian, J. Z. (2008). Randomized trial of $20 versus $50 incentives to increase physician survey response rates. Medical Care, 46(8), 878-881.</w:t>
      </w:r>
    </w:p>
  </w:footnote>
  <w:footnote w:id="9">
    <w:p w:rsidR="007B74C2" w14:paraId="49CA6376" w14:textId="5111C15D">
      <w:pPr>
        <w:pStyle w:val="FootnoteText"/>
      </w:pPr>
      <w:r>
        <w:rPr>
          <w:rStyle w:val="FootnoteReference"/>
        </w:rPr>
        <w:footnoteRef/>
      </w:r>
      <w:r>
        <w:t xml:space="preserve"> </w:t>
      </w:r>
      <w:r w:rsidRPr="007B74C2">
        <w:rPr>
          <w:sz w:val="18"/>
          <w:szCs w:val="18"/>
        </w:rPr>
        <w:t>Mcgonagle, K. A., Sastry, N., &amp; Freedman, V. A. (2022). The Effects of a Targeted “Early Bird” Incentive Strategy on Response Rates, Fieldwork Effort, and Costs in a National Panel Study. Journal of Survey Statistics and Methodology, smab042.</w:t>
      </w:r>
    </w:p>
  </w:footnote>
  <w:footnote w:id="10">
    <w:p w:rsidR="00DA3E21" w14:paraId="069E8E8E" w14:textId="5434F389">
      <w:pPr>
        <w:pStyle w:val="FootnoteText"/>
      </w:pPr>
      <w:r>
        <w:rPr>
          <w:rStyle w:val="FootnoteReference"/>
        </w:rPr>
        <w:footnoteRef/>
      </w:r>
      <w:r>
        <w:t xml:space="preserve"> </w:t>
      </w:r>
      <w:r w:rsidRPr="00DA3E21">
        <w:rPr>
          <w:sz w:val="18"/>
          <w:szCs w:val="18"/>
        </w:rPr>
        <w:t>Khullar, D., Bond, A. M., Qian, Y., O’Donnell, E., Gans, D. N., &amp; Casalino, L. P. (2021). Physician practice leaders’ perceptions of Medicare’s Merit-based Incentive Payment System (MIPS). Journal of General Internal Medicine,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910" w14:paraId="53F22B23" w14:textId="6BE4D48A">
    <w:pPr>
      <w:pStyle w:val="Header"/>
    </w:pPr>
    <w:r w:rsidRPr="00E10910">
      <w:rPr>
        <w:b/>
        <w:bCs/>
      </w:rPr>
      <w:t xml:space="preserve">Rapid Uptake of Disseminated Interventions (RUDI) Evaluation: </w:t>
    </w:r>
    <w: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D75E3A"/>
    <w:multiLevelType w:val="hybridMultilevel"/>
    <w:tmpl w:val="63DE9A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DF02ED"/>
    <w:multiLevelType w:val="multilevel"/>
    <w:tmpl w:val="DDEA02AE"/>
    <w:styleLink w:val="LFO13"/>
    <w:lvl w:ilvl="0">
      <w:start w:val="0"/>
      <w:numFmt w:val="bullet"/>
      <w:pStyle w:val="Table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3">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271FE0"/>
    <w:multiLevelType w:val="hybridMultilevel"/>
    <w:tmpl w:val="0672B82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126B4230"/>
    <w:multiLevelType w:val="multilevel"/>
    <w:tmpl w:val="D318FE4A"/>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13ED3016"/>
    <w:multiLevelType w:val="hybridMultilevel"/>
    <w:tmpl w:val="1D1C1AC0"/>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A731B2"/>
    <w:multiLevelType w:val="hybridMultilevel"/>
    <w:tmpl w:val="8D100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F32B9B"/>
    <w:multiLevelType w:val="hybridMultilevel"/>
    <w:tmpl w:val="5E3EEEAC"/>
    <w:lvl w:ilvl="0">
      <w:start w:val="1"/>
      <w:numFmt w:val="bullet"/>
      <w:pStyle w:val="TableBullet2"/>
      <w:lvlText w:val=""/>
      <w:lvlJc w:val="left"/>
      <w:pPr>
        <w:ind w:left="720" w:hanging="360"/>
      </w:pPr>
      <w:rPr>
        <w:rFonts w:ascii="Symbol" w:hAnsi="Symbol" w:hint="default"/>
        <w:caps w:val="0"/>
        <w:strike w:val="0"/>
        <w:dstrike w:val="0"/>
        <w:vanish w:val="0"/>
        <w:color w:val="0D0D0D" w:themeColor="text1" w:themeTint="F2"/>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A892FE8"/>
    <w:multiLevelType w:val="hybridMultilevel"/>
    <w:tmpl w:val="19B2499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754874"/>
    <w:multiLevelType w:val="hybridMultilevel"/>
    <w:tmpl w:val="7658825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4">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AD63DA6"/>
    <w:multiLevelType w:val="singleLevel"/>
    <w:tmpl w:val="0AE8B99A"/>
    <w:lvl w:ilvl="0">
      <w:start w:val="1"/>
      <w:numFmt w:val="bullet"/>
      <w:pStyle w:val="Bullets"/>
      <w:lvlText w:val=""/>
      <w:lvlJc w:val="left"/>
      <w:pPr>
        <w:ind w:left="360" w:hanging="360"/>
      </w:pPr>
      <w:rPr>
        <w:rFonts w:ascii="Symbol" w:hAnsi="Symbol" w:hint="default"/>
        <w:color w:val="DA291C"/>
        <w:sz w:val="22"/>
      </w:rPr>
    </w:lvl>
  </w:abstractNum>
  <w:abstractNum w:abstractNumId="38">
    <w:nsid w:val="7FB93BD8"/>
    <w:multiLevelType w:val="hybridMultilevel"/>
    <w:tmpl w:val="FC362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0434320">
    <w:abstractNumId w:val="37"/>
  </w:num>
  <w:num w:numId="2" w16cid:durableId="1461459096">
    <w:abstractNumId w:val="30"/>
  </w:num>
  <w:num w:numId="3" w16cid:durableId="573665273">
    <w:abstractNumId w:val="15"/>
  </w:num>
  <w:num w:numId="4" w16cid:durableId="692649998">
    <w:abstractNumId w:val="22"/>
  </w:num>
  <w:num w:numId="5" w16cid:durableId="1833059133">
    <w:abstractNumId w:val="12"/>
  </w:num>
  <w:num w:numId="6" w16cid:durableId="618221261">
    <w:abstractNumId w:val="16"/>
  </w:num>
  <w:num w:numId="7" w16cid:durableId="1748844399">
    <w:abstractNumId w:val="10"/>
  </w:num>
  <w:num w:numId="8" w16cid:durableId="1479373329">
    <w:abstractNumId w:val="36"/>
  </w:num>
  <w:num w:numId="9" w16cid:durableId="884222226">
    <w:abstractNumId w:val="24"/>
  </w:num>
  <w:num w:numId="10" w16cid:durableId="1692099711">
    <w:abstractNumId w:val="29"/>
  </w:num>
  <w:num w:numId="11" w16cid:durableId="505705763">
    <w:abstractNumId w:val="9"/>
  </w:num>
  <w:num w:numId="12" w16cid:durableId="139420893">
    <w:abstractNumId w:val="8"/>
  </w:num>
  <w:num w:numId="13" w16cid:durableId="1098258740">
    <w:abstractNumId w:val="20"/>
  </w:num>
  <w:num w:numId="14" w16cid:durableId="426078131">
    <w:abstractNumId w:val="7"/>
  </w:num>
  <w:num w:numId="15" w16cid:durableId="1944802255">
    <w:abstractNumId w:val="6"/>
  </w:num>
  <w:num w:numId="16" w16cid:durableId="1698891948">
    <w:abstractNumId w:val="5"/>
  </w:num>
  <w:num w:numId="17" w16cid:durableId="1573854118">
    <w:abstractNumId w:val="4"/>
  </w:num>
  <w:num w:numId="18" w16cid:durableId="2006587011">
    <w:abstractNumId w:val="3"/>
  </w:num>
  <w:num w:numId="19" w16cid:durableId="1567059849">
    <w:abstractNumId w:val="2"/>
  </w:num>
  <w:num w:numId="20" w16cid:durableId="934632461">
    <w:abstractNumId w:val="1"/>
  </w:num>
  <w:num w:numId="21" w16cid:durableId="718893711">
    <w:abstractNumId w:val="0"/>
  </w:num>
  <w:num w:numId="22" w16cid:durableId="463039304">
    <w:abstractNumId w:val="19"/>
  </w:num>
  <w:num w:numId="23" w16cid:durableId="1842547616">
    <w:abstractNumId w:val="32"/>
  </w:num>
  <w:num w:numId="24" w16cid:durableId="610937752">
    <w:abstractNumId w:val="18"/>
  </w:num>
  <w:num w:numId="25" w16cid:durableId="651258994">
    <w:abstractNumId w:val="27"/>
  </w:num>
  <w:num w:numId="26" w16cid:durableId="800152537">
    <w:abstractNumId w:val="31"/>
  </w:num>
  <w:num w:numId="27" w16cid:durableId="948004891">
    <w:abstractNumId w:val="35"/>
  </w:num>
  <w:num w:numId="28" w16cid:durableId="246310392">
    <w:abstractNumId w:val="21"/>
  </w:num>
  <w:num w:numId="29" w16cid:durableId="406420996">
    <w:abstractNumId w:val="13"/>
  </w:num>
  <w:num w:numId="30" w16cid:durableId="1653562977">
    <w:abstractNumId w:val="34"/>
  </w:num>
  <w:num w:numId="31" w16cid:durableId="1119909552">
    <w:abstractNumId w:val="26"/>
  </w:num>
  <w:num w:numId="32" w16cid:durableId="24529376">
    <w:abstractNumId w:val="28"/>
  </w:num>
  <w:num w:numId="33" w16cid:durableId="1233467503">
    <w:abstractNumId w:val="23"/>
  </w:num>
  <w:num w:numId="34" w16cid:durableId="1129934439">
    <w:abstractNumId w:val="11"/>
  </w:num>
  <w:num w:numId="35" w16cid:durableId="1542131556">
    <w:abstractNumId w:val="25"/>
  </w:num>
  <w:num w:numId="36" w16cid:durableId="1773164974">
    <w:abstractNumId w:val="14"/>
  </w:num>
  <w:num w:numId="37" w16cid:durableId="86266945">
    <w:abstractNumId w:val="33"/>
  </w:num>
  <w:num w:numId="38" w16cid:durableId="267124902">
    <w:abstractNumId w:val="17"/>
  </w:num>
  <w:num w:numId="39" w16cid:durableId="221719771">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604"/>
    <w:rsid w:val="00001727"/>
    <w:rsid w:val="0000177C"/>
    <w:rsid w:val="00002222"/>
    <w:rsid w:val="00003FF5"/>
    <w:rsid w:val="00005106"/>
    <w:rsid w:val="00005AB7"/>
    <w:rsid w:val="00007D85"/>
    <w:rsid w:val="000114D6"/>
    <w:rsid w:val="00011D98"/>
    <w:rsid w:val="000130BA"/>
    <w:rsid w:val="00015505"/>
    <w:rsid w:val="00017B73"/>
    <w:rsid w:val="00020113"/>
    <w:rsid w:val="000226FE"/>
    <w:rsid w:val="00022FF3"/>
    <w:rsid w:val="00024782"/>
    <w:rsid w:val="00026651"/>
    <w:rsid w:val="000274BA"/>
    <w:rsid w:val="000346ED"/>
    <w:rsid w:val="00035D6B"/>
    <w:rsid w:val="00040287"/>
    <w:rsid w:val="00040C00"/>
    <w:rsid w:val="00046CA6"/>
    <w:rsid w:val="00047976"/>
    <w:rsid w:val="00051D0D"/>
    <w:rsid w:val="00052B79"/>
    <w:rsid w:val="0005336C"/>
    <w:rsid w:val="000557E2"/>
    <w:rsid w:val="00055B81"/>
    <w:rsid w:val="0005634A"/>
    <w:rsid w:val="00056A51"/>
    <w:rsid w:val="00057CCF"/>
    <w:rsid w:val="00060185"/>
    <w:rsid w:val="000631AF"/>
    <w:rsid w:val="00063201"/>
    <w:rsid w:val="00066514"/>
    <w:rsid w:val="00067B31"/>
    <w:rsid w:val="00071026"/>
    <w:rsid w:val="00073544"/>
    <w:rsid w:val="0007685B"/>
    <w:rsid w:val="000807FA"/>
    <w:rsid w:val="0008392D"/>
    <w:rsid w:val="00083E8C"/>
    <w:rsid w:val="0008766E"/>
    <w:rsid w:val="00090616"/>
    <w:rsid w:val="00097F16"/>
    <w:rsid w:val="000A15B0"/>
    <w:rsid w:val="000A716D"/>
    <w:rsid w:val="000B1F25"/>
    <w:rsid w:val="000B3A0B"/>
    <w:rsid w:val="000B3CB1"/>
    <w:rsid w:val="000B4F7E"/>
    <w:rsid w:val="000C286C"/>
    <w:rsid w:val="000C49E2"/>
    <w:rsid w:val="000C4D05"/>
    <w:rsid w:val="000C544D"/>
    <w:rsid w:val="000C6B78"/>
    <w:rsid w:val="000C7077"/>
    <w:rsid w:val="000C75D8"/>
    <w:rsid w:val="000C7777"/>
    <w:rsid w:val="000D6C8E"/>
    <w:rsid w:val="000D6DB9"/>
    <w:rsid w:val="000E1985"/>
    <w:rsid w:val="000E1E97"/>
    <w:rsid w:val="000E2315"/>
    <w:rsid w:val="000E3E6E"/>
    <w:rsid w:val="000E57D1"/>
    <w:rsid w:val="000E632D"/>
    <w:rsid w:val="000F0FE0"/>
    <w:rsid w:val="000F53A0"/>
    <w:rsid w:val="000F68F8"/>
    <w:rsid w:val="001011D3"/>
    <w:rsid w:val="0010135F"/>
    <w:rsid w:val="00104727"/>
    <w:rsid w:val="001053AD"/>
    <w:rsid w:val="00106E59"/>
    <w:rsid w:val="00121014"/>
    <w:rsid w:val="001226D8"/>
    <w:rsid w:val="00122BCD"/>
    <w:rsid w:val="00123C30"/>
    <w:rsid w:val="00124DFF"/>
    <w:rsid w:val="0012509C"/>
    <w:rsid w:val="00130899"/>
    <w:rsid w:val="001316DE"/>
    <w:rsid w:val="001325B2"/>
    <w:rsid w:val="00136279"/>
    <w:rsid w:val="00136FFB"/>
    <w:rsid w:val="001373E6"/>
    <w:rsid w:val="00150781"/>
    <w:rsid w:val="00161582"/>
    <w:rsid w:val="00166ACA"/>
    <w:rsid w:val="00171272"/>
    <w:rsid w:val="00171894"/>
    <w:rsid w:val="001863C3"/>
    <w:rsid w:val="00191375"/>
    <w:rsid w:val="001918A3"/>
    <w:rsid w:val="00191D7F"/>
    <w:rsid w:val="001920C3"/>
    <w:rsid w:val="001946EA"/>
    <w:rsid w:val="00195023"/>
    <w:rsid w:val="00195138"/>
    <w:rsid w:val="001955EB"/>
    <w:rsid w:val="001A2FFA"/>
    <w:rsid w:val="001A30FF"/>
    <w:rsid w:val="001A63E9"/>
    <w:rsid w:val="001B0EAD"/>
    <w:rsid w:val="001B109B"/>
    <w:rsid w:val="001B36AA"/>
    <w:rsid w:val="001C1FF3"/>
    <w:rsid w:val="001C558C"/>
    <w:rsid w:val="001C6AA7"/>
    <w:rsid w:val="001C7794"/>
    <w:rsid w:val="001D0BD9"/>
    <w:rsid w:val="001D1016"/>
    <w:rsid w:val="001D4856"/>
    <w:rsid w:val="001D5E9F"/>
    <w:rsid w:val="001D6BF4"/>
    <w:rsid w:val="001D7CE3"/>
    <w:rsid w:val="001D7D00"/>
    <w:rsid w:val="001E1A19"/>
    <w:rsid w:val="0020178B"/>
    <w:rsid w:val="0020222D"/>
    <w:rsid w:val="00204FAF"/>
    <w:rsid w:val="00207C88"/>
    <w:rsid w:val="002118B4"/>
    <w:rsid w:val="00211D80"/>
    <w:rsid w:val="00212EF3"/>
    <w:rsid w:val="00213A40"/>
    <w:rsid w:val="00214996"/>
    <w:rsid w:val="0023019D"/>
    <w:rsid w:val="0023596B"/>
    <w:rsid w:val="00236ECA"/>
    <w:rsid w:val="002409B7"/>
    <w:rsid w:val="0024232D"/>
    <w:rsid w:val="00244852"/>
    <w:rsid w:val="00245D73"/>
    <w:rsid w:val="00246509"/>
    <w:rsid w:val="002500AC"/>
    <w:rsid w:val="00250D50"/>
    <w:rsid w:val="002521CD"/>
    <w:rsid w:val="002523B5"/>
    <w:rsid w:val="00253407"/>
    <w:rsid w:val="00253644"/>
    <w:rsid w:val="00253FE5"/>
    <w:rsid w:val="002547DC"/>
    <w:rsid w:val="0025752D"/>
    <w:rsid w:val="00260946"/>
    <w:rsid w:val="00262739"/>
    <w:rsid w:val="00263FF3"/>
    <w:rsid w:val="002640E7"/>
    <w:rsid w:val="0026584E"/>
    <w:rsid w:val="00266A9A"/>
    <w:rsid w:val="00267B7D"/>
    <w:rsid w:val="00271C82"/>
    <w:rsid w:val="0027331C"/>
    <w:rsid w:val="00280E32"/>
    <w:rsid w:val="00287539"/>
    <w:rsid w:val="0029248F"/>
    <w:rsid w:val="00293649"/>
    <w:rsid w:val="00297163"/>
    <w:rsid w:val="00297A14"/>
    <w:rsid w:val="002A04C8"/>
    <w:rsid w:val="002A2FE6"/>
    <w:rsid w:val="002A3286"/>
    <w:rsid w:val="002A345C"/>
    <w:rsid w:val="002A3C40"/>
    <w:rsid w:val="002B042F"/>
    <w:rsid w:val="002B6DBE"/>
    <w:rsid w:val="002B73CD"/>
    <w:rsid w:val="002C1EF3"/>
    <w:rsid w:val="002C2148"/>
    <w:rsid w:val="002C3E1E"/>
    <w:rsid w:val="002C4898"/>
    <w:rsid w:val="002C5088"/>
    <w:rsid w:val="002D0809"/>
    <w:rsid w:val="002D1550"/>
    <w:rsid w:val="002D2B6B"/>
    <w:rsid w:val="002D2DC5"/>
    <w:rsid w:val="002D3992"/>
    <w:rsid w:val="002D68EF"/>
    <w:rsid w:val="002E110A"/>
    <w:rsid w:val="002E4F82"/>
    <w:rsid w:val="002E6A31"/>
    <w:rsid w:val="002F2C3F"/>
    <w:rsid w:val="002F2DC4"/>
    <w:rsid w:val="002F3B01"/>
    <w:rsid w:val="002F4562"/>
    <w:rsid w:val="002F4752"/>
    <w:rsid w:val="002F57B7"/>
    <w:rsid w:val="002F6959"/>
    <w:rsid w:val="00302AC1"/>
    <w:rsid w:val="00304708"/>
    <w:rsid w:val="00305E1F"/>
    <w:rsid w:val="003119ED"/>
    <w:rsid w:val="00311D23"/>
    <w:rsid w:val="00311E30"/>
    <w:rsid w:val="0031573B"/>
    <w:rsid w:val="003162F4"/>
    <w:rsid w:val="00322313"/>
    <w:rsid w:val="0032279B"/>
    <w:rsid w:val="003228CB"/>
    <w:rsid w:val="00323AD2"/>
    <w:rsid w:val="00333964"/>
    <w:rsid w:val="00334340"/>
    <w:rsid w:val="00334555"/>
    <w:rsid w:val="00340766"/>
    <w:rsid w:val="00340AFB"/>
    <w:rsid w:val="00340F13"/>
    <w:rsid w:val="0034110F"/>
    <w:rsid w:val="003413EF"/>
    <w:rsid w:val="00341A75"/>
    <w:rsid w:val="0034517F"/>
    <w:rsid w:val="00345334"/>
    <w:rsid w:val="0034655D"/>
    <w:rsid w:val="0035158E"/>
    <w:rsid w:val="00351EA1"/>
    <w:rsid w:val="00352599"/>
    <w:rsid w:val="00352C41"/>
    <w:rsid w:val="00354760"/>
    <w:rsid w:val="00355658"/>
    <w:rsid w:val="00356862"/>
    <w:rsid w:val="00357588"/>
    <w:rsid w:val="00361957"/>
    <w:rsid w:val="00364F8B"/>
    <w:rsid w:val="00370AC6"/>
    <w:rsid w:val="00371C79"/>
    <w:rsid w:val="003750D0"/>
    <w:rsid w:val="00376738"/>
    <w:rsid w:val="0038091E"/>
    <w:rsid w:val="0038273F"/>
    <w:rsid w:val="00385179"/>
    <w:rsid w:val="00390351"/>
    <w:rsid w:val="00391E16"/>
    <w:rsid w:val="00392BFC"/>
    <w:rsid w:val="00392C08"/>
    <w:rsid w:val="00393F0F"/>
    <w:rsid w:val="003975B7"/>
    <w:rsid w:val="003A074D"/>
    <w:rsid w:val="003A1677"/>
    <w:rsid w:val="003A1EE6"/>
    <w:rsid w:val="003A2FF7"/>
    <w:rsid w:val="003A516D"/>
    <w:rsid w:val="003B4E86"/>
    <w:rsid w:val="003C7D21"/>
    <w:rsid w:val="003D23B1"/>
    <w:rsid w:val="003D4A06"/>
    <w:rsid w:val="003D6A6F"/>
    <w:rsid w:val="003E1B82"/>
    <w:rsid w:val="003E50B0"/>
    <w:rsid w:val="003E7449"/>
    <w:rsid w:val="003E7BFF"/>
    <w:rsid w:val="003F0C84"/>
    <w:rsid w:val="003F24E8"/>
    <w:rsid w:val="003F2C36"/>
    <w:rsid w:val="003F3804"/>
    <w:rsid w:val="003F748A"/>
    <w:rsid w:val="003F764B"/>
    <w:rsid w:val="00401401"/>
    <w:rsid w:val="0040379F"/>
    <w:rsid w:val="00405317"/>
    <w:rsid w:val="00413D11"/>
    <w:rsid w:val="00415CCA"/>
    <w:rsid w:val="00421339"/>
    <w:rsid w:val="00422E2D"/>
    <w:rsid w:val="00423706"/>
    <w:rsid w:val="00425C4A"/>
    <w:rsid w:val="00427D66"/>
    <w:rsid w:val="00431B3B"/>
    <w:rsid w:val="00433AC7"/>
    <w:rsid w:val="00435E52"/>
    <w:rsid w:val="00436EAC"/>
    <w:rsid w:val="00442B41"/>
    <w:rsid w:val="00447377"/>
    <w:rsid w:val="0044771A"/>
    <w:rsid w:val="004500E5"/>
    <w:rsid w:val="004503EB"/>
    <w:rsid w:val="00450715"/>
    <w:rsid w:val="0045218A"/>
    <w:rsid w:val="00460227"/>
    <w:rsid w:val="00460C07"/>
    <w:rsid w:val="004622AD"/>
    <w:rsid w:val="004626EE"/>
    <w:rsid w:val="00462A23"/>
    <w:rsid w:val="00464ED7"/>
    <w:rsid w:val="00465275"/>
    <w:rsid w:val="00466049"/>
    <w:rsid w:val="004670F4"/>
    <w:rsid w:val="00467ADD"/>
    <w:rsid w:val="00467F18"/>
    <w:rsid w:val="00472185"/>
    <w:rsid w:val="00472847"/>
    <w:rsid w:val="004746CA"/>
    <w:rsid w:val="00475C5E"/>
    <w:rsid w:val="00476F33"/>
    <w:rsid w:val="00480B56"/>
    <w:rsid w:val="00485665"/>
    <w:rsid w:val="004865BE"/>
    <w:rsid w:val="00486F92"/>
    <w:rsid w:val="0048724A"/>
    <w:rsid w:val="00487E3B"/>
    <w:rsid w:val="00490720"/>
    <w:rsid w:val="00493F92"/>
    <w:rsid w:val="00495661"/>
    <w:rsid w:val="00497828"/>
    <w:rsid w:val="004979EC"/>
    <w:rsid w:val="004A2E8C"/>
    <w:rsid w:val="004A7CCF"/>
    <w:rsid w:val="004B0DA4"/>
    <w:rsid w:val="004B3DE2"/>
    <w:rsid w:val="004B7027"/>
    <w:rsid w:val="004D428D"/>
    <w:rsid w:val="004D65DC"/>
    <w:rsid w:val="004D7686"/>
    <w:rsid w:val="004E1A67"/>
    <w:rsid w:val="004E3DF3"/>
    <w:rsid w:val="004E687D"/>
    <w:rsid w:val="004E7752"/>
    <w:rsid w:val="004E7D70"/>
    <w:rsid w:val="004F3B97"/>
    <w:rsid w:val="004F5037"/>
    <w:rsid w:val="004F6A1D"/>
    <w:rsid w:val="004F7D4F"/>
    <w:rsid w:val="00501099"/>
    <w:rsid w:val="005011D3"/>
    <w:rsid w:val="005019F5"/>
    <w:rsid w:val="00502290"/>
    <w:rsid w:val="00503BAB"/>
    <w:rsid w:val="005046E7"/>
    <w:rsid w:val="00504BBC"/>
    <w:rsid w:val="00504F7D"/>
    <w:rsid w:val="005070F8"/>
    <w:rsid w:val="005072FF"/>
    <w:rsid w:val="00514247"/>
    <w:rsid w:val="00514623"/>
    <w:rsid w:val="00514700"/>
    <w:rsid w:val="00516485"/>
    <w:rsid w:val="00517BE6"/>
    <w:rsid w:val="00520C3F"/>
    <w:rsid w:val="00520DFA"/>
    <w:rsid w:val="005235F0"/>
    <w:rsid w:val="00526894"/>
    <w:rsid w:val="005271D9"/>
    <w:rsid w:val="0054158A"/>
    <w:rsid w:val="00541C3F"/>
    <w:rsid w:val="005426F5"/>
    <w:rsid w:val="00543134"/>
    <w:rsid w:val="005449D2"/>
    <w:rsid w:val="005453FB"/>
    <w:rsid w:val="00545B14"/>
    <w:rsid w:val="00545B2E"/>
    <w:rsid w:val="00545E27"/>
    <w:rsid w:val="005474C8"/>
    <w:rsid w:val="005502DC"/>
    <w:rsid w:val="0055183E"/>
    <w:rsid w:val="00554AA8"/>
    <w:rsid w:val="0055577C"/>
    <w:rsid w:val="00557097"/>
    <w:rsid w:val="00560C1D"/>
    <w:rsid w:val="005610A3"/>
    <w:rsid w:val="00562928"/>
    <w:rsid w:val="00562DD4"/>
    <w:rsid w:val="00563FCB"/>
    <w:rsid w:val="005658C4"/>
    <w:rsid w:val="00565D0C"/>
    <w:rsid w:val="0056641F"/>
    <w:rsid w:val="00566D7A"/>
    <w:rsid w:val="0056791A"/>
    <w:rsid w:val="0057238B"/>
    <w:rsid w:val="0057789D"/>
    <w:rsid w:val="00582B0D"/>
    <w:rsid w:val="00582D46"/>
    <w:rsid w:val="00583760"/>
    <w:rsid w:val="0058447A"/>
    <w:rsid w:val="0058722F"/>
    <w:rsid w:val="005875F3"/>
    <w:rsid w:val="00587FD4"/>
    <w:rsid w:val="00590953"/>
    <w:rsid w:val="0059146F"/>
    <w:rsid w:val="00595E17"/>
    <w:rsid w:val="005973AD"/>
    <w:rsid w:val="00597448"/>
    <w:rsid w:val="005A7518"/>
    <w:rsid w:val="005B12E9"/>
    <w:rsid w:val="005B2B22"/>
    <w:rsid w:val="005C0460"/>
    <w:rsid w:val="005C1FC6"/>
    <w:rsid w:val="005C309E"/>
    <w:rsid w:val="005C4528"/>
    <w:rsid w:val="005C568F"/>
    <w:rsid w:val="005D0F9E"/>
    <w:rsid w:val="005D2FF7"/>
    <w:rsid w:val="005D3803"/>
    <w:rsid w:val="005D7625"/>
    <w:rsid w:val="005E006A"/>
    <w:rsid w:val="005E1765"/>
    <w:rsid w:val="005E26E3"/>
    <w:rsid w:val="005F3379"/>
    <w:rsid w:val="005F627B"/>
    <w:rsid w:val="005F63C4"/>
    <w:rsid w:val="005F7C08"/>
    <w:rsid w:val="00600954"/>
    <w:rsid w:val="00602502"/>
    <w:rsid w:val="00603245"/>
    <w:rsid w:val="00604E96"/>
    <w:rsid w:val="00604FEA"/>
    <w:rsid w:val="00610BC8"/>
    <w:rsid w:val="00612D19"/>
    <w:rsid w:val="006138B6"/>
    <w:rsid w:val="00613CE3"/>
    <w:rsid w:val="00615426"/>
    <w:rsid w:val="00615EC0"/>
    <w:rsid w:val="00617033"/>
    <w:rsid w:val="00617998"/>
    <w:rsid w:val="00620764"/>
    <w:rsid w:val="00622188"/>
    <w:rsid w:val="006231D4"/>
    <w:rsid w:val="00624019"/>
    <w:rsid w:val="00624B5A"/>
    <w:rsid w:val="00625F63"/>
    <w:rsid w:val="00627080"/>
    <w:rsid w:val="006274CF"/>
    <w:rsid w:val="00627FFD"/>
    <w:rsid w:val="00632739"/>
    <w:rsid w:val="00635173"/>
    <w:rsid w:val="0063630C"/>
    <w:rsid w:val="006461FC"/>
    <w:rsid w:val="00647AE4"/>
    <w:rsid w:val="00651D30"/>
    <w:rsid w:val="006545B1"/>
    <w:rsid w:val="00656DA6"/>
    <w:rsid w:val="00661037"/>
    <w:rsid w:val="00661908"/>
    <w:rsid w:val="006627C8"/>
    <w:rsid w:val="00663281"/>
    <w:rsid w:val="00667619"/>
    <w:rsid w:val="00670662"/>
    <w:rsid w:val="00670E18"/>
    <w:rsid w:val="0067165D"/>
    <w:rsid w:val="00673511"/>
    <w:rsid w:val="00677546"/>
    <w:rsid w:val="006803B1"/>
    <w:rsid w:val="00680D76"/>
    <w:rsid w:val="00681149"/>
    <w:rsid w:val="00681F7D"/>
    <w:rsid w:val="00683C5B"/>
    <w:rsid w:val="006847BD"/>
    <w:rsid w:val="006847ED"/>
    <w:rsid w:val="00696E9E"/>
    <w:rsid w:val="006A12B9"/>
    <w:rsid w:val="006A2BE0"/>
    <w:rsid w:val="006A573B"/>
    <w:rsid w:val="006A5CB5"/>
    <w:rsid w:val="006A6D9F"/>
    <w:rsid w:val="006B3B8B"/>
    <w:rsid w:val="006B3F47"/>
    <w:rsid w:val="006B50D0"/>
    <w:rsid w:val="006B693D"/>
    <w:rsid w:val="006C0B46"/>
    <w:rsid w:val="006C14DB"/>
    <w:rsid w:val="006C30EC"/>
    <w:rsid w:val="006C4152"/>
    <w:rsid w:val="006D2487"/>
    <w:rsid w:val="006D3779"/>
    <w:rsid w:val="006D4C4C"/>
    <w:rsid w:val="006D66E1"/>
    <w:rsid w:val="006E4732"/>
    <w:rsid w:val="006E5466"/>
    <w:rsid w:val="006F3D83"/>
    <w:rsid w:val="006F5E0E"/>
    <w:rsid w:val="00704B14"/>
    <w:rsid w:val="007061E7"/>
    <w:rsid w:val="00707B7F"/>
    <w:rsid w:val="00711A03"/>
    <w:rsid w:val="00711C5F"/>
    <w:rsid w:val="00712AE4"/>
    <w:rsid w:val="00713B7C"/>
    <w:rsid w:val="00715501"/>
    <w:rsid w:val="00722BEB"/>
    <w:rsid w:val="0073114C"/>
    <w:rsid w:val="0073130D"/>
    <w:rsid w:val="00731F68"/>
    <w:rsid w:val="00735D97"/>
    <w:rsid w:val="0073632F"/>
    <w:rsid w:val="00743A06"/>
    <w:rsid w:val="0074795B"/>
    <w:rsid w:val="0075517D"/>
    <w:rsid w:val="0076338F"/>
    <w:rsid w:val="007634C3"/>
    <w:rsid w:val="00764AB5"/>
    <w:rsid w:val="007672C5"/>
    <w:rsid w:val="00771466"/>
    <w:rsid w:val="007726DD"/>
    <w:rsid w:val="007745C7"/>
    <w:rsid w:val="00774ACA"/>
    <w:rsid w:val="00775186"/>
    <w:rsid w:val="00777361"/>
    <w:rsid w:val="00781B48"/>
    <w:rsid w:val="007824AF"/>
    <w:rsid w:val="007828B3"/>
    <w:rsid w:val="007831CF"/>
    <w:rsid w:val="007838C3"/>
    <w:rsid w:val="00784F10"/>
    <w:rsid w:val="0078630D"/>
    <w:rsid w:val="00786ADE"/>
    <w:rsid w:val="0078772A"/>
    <w:rsid w:val="00790FD3"/>
    <w:rsid w:val="0079167E"/>
    <w:rsid w:val="00792F3A"/>
    <w:rsid w:val="007A1FFA"/>
    <w:rsid w:val="007A3C4F"/>
    <w:rsid w:val="007A4985"/>
    <w:rsid w:val="007A5FB4"/>
    <w:rsid w:val="007A7B0B"/>
    <w:rsid w:val="007B2A08"/>
    <w:rsid w:val="007B5613"/>
    <w:rsid w:val="007B7421"/>
    <w:rsid w:val="007B74C2"/>
    <w:rsid w:val="007C2636"/>
    <w:rsid w:val="007C3193"/>
    <w:rsid w:val="007C3570"/>
    <w:rsid w:val="007D25A4"/>
    <w:rsid w:val="007D2F73"/>
    <w:rsid w:val="007D4E95"/>
    <w:rsid w:val="007D64DC"/>
    <w:rsid w:val="007D65A5"/>
    <w:rsid w:val="007E030C"/>
    <w:rsid w:val="007E3626"/>
    <w:rsid w:val="007E462B"/>
    <w:rsid w:val="007E5B28"/>
    <w:rsid w:val="007E5B71"/>
    <w:rsid w:val="007F047A"/>
    <w:rsid w:val="007F1444"/>
    <w:rsid w:val="007F2388"/>
    <w:rsid w:val="007F57E2"/>
    <w:rsid w:val="007F629A"/>
    <w:rsid w:val="007F7509"/>
    <w:rsid w:val="007F7CF6"/>
    <w:rsid w:val="0080005C"/>
    <w:rsid w:val="008002AB"/>
    <w:rsid w:val="008031B8"/>
    <w:rsid w:val="0080729A"/>
    <w:rsid w:val="00807B27"/>
    <w:rsid w:val="00811340"/>
    <w:rsid w:val="00812D62"/>
    <w:rsid w:val="00821A9F"/>
    <w:rsid w:val="00821AC9"/>
    <w:rsid w:val="008238DF"/>
    <w:rsid w:val="008248A9"/>
    <w:rsid w:val="00827990"/>
    <w:rsid w:val="00831087"/>
    <w:rsid w:val="00836885"/>
    <w:rsid w:val="00840F21"/>
    <w:rsid w:val="00841D39"/>
    <w:rsid w:val="00850175"/>
    <w:rsid w:val="00855A98"/>
    <w:rsid w:val="00855B50"/>
    <w:rsid w:val="008579CE"/>
    <w:rsid w:val="00857C7A"/>
    <w:rsid w:val="00863759"/>
    <w:rsid w:val="00864491"/>
    <w:rsid w:val="008648C1"/>
    <w:rsid w:val="00865F07"/>
    <w:rsid w:val="00866D96"/>
    <w:rsid w:val="00874F76"/>
    <w:rsid w:val="0087691B"/>
    <w:rsid w:val="008851D0"/>
    <w:rsid w:val="00885779"/>
    <w:rsid w:val="00886096"/>
    <w:rsid w:val="00887032"/>
    <w:rsid w:val="0089276E"/>
    <w:rsid w:val="00893665"/>
    <w:rsid w:val="008938E0"/>
    <w:rsid w:val="00895C96"/>
    <w:rsid w:val="00896D94"/>
    <w:rsid w:val="008A0D30"/>
    <w:rsid w:val="008A1464"/>
    <w:rsid w:val="008A33C1"/>
    <w:rsid w:val="008A50A2"/>
    <w:rsid w:val="008A644D"/>
    <w:rsid w:val="008A7262"/>
    <w:rsid w:val="008B04CA"/>
    <w:rsid w:val="008B32F3"/>
    <w:rsid w:val="008B5175"/>
    <w:rsid w:val="008B7042"/>
    <w:rsid w:val="008C13C5"/>
    <w:rsid w:val="008C2C36"/>
    <w:rsid w:val="008C37FA"/>
    <w:rsid w:val="008C38C7"/>
    <w:rsid w:val="008C5C39"/>
    <w:rsid w:val="008D2D67"/>
    <w:rsid w:val="008D39C6"/>
    <w:rsid w:val="008D448A"/>
    <w:rsid w:val="008D4C48"/>
    <w:rsid w:val="008E1BF2"/>
    <w:rsid w:val="008E3007"/>
    <w:rsid w:val="008E3E60"/>
    <w:rsid w:val="008E54CD"/>
    <w:rsid w:val="008E5755"/>
    <w:rsid w:val="008E636D"/>
    <w:rsid w:val="008E725C"/>
    <w:rsid w:val="008F4C52"/>
    <w:rsid w:val="00910887"/>
    <w:rsid w:val="00912417"/>
    <w:rsid w:val="00925841"/>
    <w:rsid w:val="009276B9"/>
    <w:rsid w:val="00934108"/>
    <w:rsid w:val="00934550"/>
    <w:rsid w:val="00935E77"/>
    <w:rsid w:val="00935F92"/>
    <w:rsid w:val="00937040"/>
    <w:rsid w:val="00937115"/>
    <w:rsid w:val="009512E7"/>
    <w:rsid w:val="0095167C"/>
    <w:rsid w:val="00953119"/>
    <w:rsid w:val="00954D23"/>
    <w:rsid w:val="009560A2"/>
    <w:rsid w:val="00956C6F"/>
    <w:rsid w:val="00960AAC"/>
    <w:rsid w:val="009614A4"/>
    <w:rsid w:val="00961FF9"/>
    <w:rsid w:val="00962FF2"/>
    <w:rsid w:val="0096426D"/>
    <w:rsid w:val="009701EC"/>
    <w:rsid w:val="009740BA"/>
    <w:rsid w:val="0097510A"/>
    <w:rsid w:val="009836FA"/>
    <w:rsid w:val="00984647"/>
    <w:rsid w:val="0099274E"/>
    <w:rsid w:val="00995972"/>
    <w:rsid w:val="00996440"/>
    <w:rsid w:val="009B10C7"/>
    <w:rsid w:val="009B2766"/>
    <w:rsid w:val="009B3794"/>
    <w:rsid w:val="009B5C00"/>
    <w:rsid w:val="009B7E4D"/>
    <w:rsid w:val="009C0EE3"/>
    <w:rsid w:val="009C3E53"/>
    <w:rsid w:val="009C441D"/>
    <w:rsid w:val="009C6D6C"/>
    <w:rsid w:val="009D1C89"/>
    <w:rsid w:val="009D5E55"/>
    <w:rsid w:val="009D7D91"/>
    <w:rsid w:val="009E5010"/>
    <w:rsid w:val="009F18A2"/>
    <w:rsid w:val="009F49D9"/>
    <w:rsid w:val="009F64D4"/>
    <w:rsid w:val="009F7BA4"/>
    <w:rsid w:val="00A01732"/>
    <w:rsid w:val="00A03CBB"/>
    <w:rsid w:val="00A04BDE"/>
    <w:rsid w:val="00A05380"/>
    <w:rsid w:val="00A06719"/>
    <w:rsid w:val="00A116FA"/>
    <w:rsid w:val="00A1236D"/>
    <w:rsid w:val="00A12A30"/>
    <w:rsid w:val="00A13E11"/>
    <w:rsid w:val="00A16778"/>
    <w:rsid w:val="00A1688A"/>
    <w:rsid w:val="00A16AA1"/>
    <w:rsid w:val="00A17A4D"/>
    <w:rsid w:val="00A224EC"/>
    <w:rsid w:val="00A2461D"/>
    <w:rsid w:val="00A318AE"/>
    <w:rsid w:val="00A34E34"/>
    <w:rsid w:val="00A41E63"/>
    <w:rsid w:val="00A4459F"/>
    <w:rsid w:val="00A446C1"/>
    <w:rsid w:val="00A45F96"/>
    <w:rsid w:val="00A47C1D"/>
    <w:rsid w:val="00A5638E"/>
    <w:rsid w:val="00A56713"/>
    <w:rsid w:val="00A57503"/>
    <w:rsid w:val="00A61AA7"/>
    <w:rsid w:val="00A704A3"/>
    <w:rsid w:val="00A7086C"/>
    <w:rsid w:val="00A70D45"/>
    <w:rsid w:val="00A7451A"/>
    <w:rsid w:val="00A74B73"/>
    <w:rsid w:val="00A74DDF"/>
    <w:rsid w:val="00A75ED0"/>
    <w:rsid w:val="00A763EE"/>
    <w:rsid w:val="00A77062"/>
    <w:rsid w:val="00A813C0"/>
    <w:rsid w:val="00A83B97"/>
    <w:rsid w:val="00A84718"/>
    <w:rsid w:val="00A85E8D"/>
    <w:rsid w:val="00A92CAB"/>
    <w:rsid w:val="00A936B9"/>
    <w:rsid w:val="00A973C2"/>
    <w:rsid w:val="00AA0C8F"/>
    <w:rsid w:val="00AA0F4D"/>
    <w:rsid w:val="00AA2BA1"/>
    <w:rsid w:val="00AA2E05"/>
    <w:rsid w:val="00AA4C41"/>
    <w:rsid w:val="00AA533A"/>
    <w:rsid w:val="00AA6F5D"/>
    <w:rsid w:val="00AB0A98"/>
    <w:rsid w:val="00AB38E1"/>
    <w:rsid w:val="00AB57AC"/>
    <w:rsid w:val="00AB5DB1"/>
    <w:rsid w:val="00AC1EAA"/>
    <w:rsid w:val="00AD0545"/>
    <w:rsid w:val="00AD27C4"/>
    <w:rsid w:val="00AD33A1"/>
    <w:rsid w:val="00AD3D8B"/>
    <w:rsid w:val="00AD43F7"/>
    <w:rsid w:val="00AD4554"/>
    <w:rsid w:val="00AD5336"/>
    <w:rsid w:val="00AD632B"/>
    <w:rsid w:val="00AD659A"/>
    <w:rsid w:val="00AD748E"/>
    <w:rsid w:val="00AE2505"/>
    <w:rsid w:val="00AE2DFD"/>
    <w:rsid w:val="00AE5BD2"/>
    <w:rsid w:val="00AE7154"/>
    <w:rsid w:val="00AF1905"/>
    <w:rsid w:val="00AF23C9"/>
    <w:rsid w:val="00AF2C40"/>
    <w:rsid w:val="00AF37AA"/>
    <w:rsid w:val="00AF38C5"/>
    <w:rsid w:val="00AF41B2"/>
    <w:rsid w:val="00B038B4"/>
    <w:rsid w:val="00B03FDE"/>
    <w:rsid w:val="00B049A8"/>
    <w:rsid w:val="00B04C04"/>
    <w:rsid w:val="00B13581"/>
    <w:rsid w:val="00B17735"/>
    <w:rsid w:val="00B22255"/>
    <w:rsid w:val="00B27974"/>
    <w:rsid w:val="00B27A95"/>
    <w:rsid w:val="00B31DF5"/>
    <w:rsid w:val="00B35912"/>
    <w:rsid w:val="00B37CE1"/>
    <w:rsid w:val="00B410C2"/>
    <w:rsid w:val="00B57283"/>
    <w:rsid w:val="00B60D11"/>
    <w:rsid w:val="00B632DF"/>
    <w:rsid w:val="00B64720"/>
    <w:rsid w:val="00B655C6"/>
    <w:rsid w:val="00B6695B"/>
    <w:rsid w:val="00B7236F"/>
    <w:rsid w:val="00B75D9B"/>
    <w:rsid w:val="00B767DA"/>
    <w:rsid w:val="00B76C72"/>
    <w:rsid w:val="00B84C27"/>
    <w:rsid w:val="00B87687"/>
    <w:rsid w:val="00B87D8B"/>
    <w:rsid w:val="00B91632"/>
    <w:rsid w:val="00B9245B"/>
    <w:rsid w:val="00B941B6"/>
    <w:rsid w:val="00B94B16"/>
    <w:rsid w:val="00B95525"/>
    <w:rsid w:val="00BA0E3E"/>
    <w:rsid w:val="00BA1A0C"/>
    <w:rsid w:val="00BA3F73"/>
    <w:rsid w:val="00BA4ECC"/>
    <w:rsid w:val="00BB268A"/>
    <w:rsid w:val="00BB57C0"/>
    <w:rsid w:val="00BB74FC"/>
    <w:rsid w:val="00BC20D6"/>
    <w:rsid w:val="00BC211F"/>
    <w:rsid w:val="00BC4DE9"/>
    <w:rsid w:val="00BC5A95"/>
    <w:rsid w:val="00BD084F"/>
    <w:rsid w:val="00BD5229"/>
    <w:rsid w:val="00BD59DC"/>
    <w:rsid w:val="00BD626F"/>
    <w:rsid w:val="00BD6BF1"/>
    <w:rsid w:val="00BD7960"/>
    <w:rsid w:val="00BE4B82"/>
    <w:rsid w:val="00BF3A71"/>
    <w:rsid w:val="00BF40AF"/>
    <w:rsid w:val="00BF5A02"/>
    <w:rsid w:val="00BF74E9"/>
    <w:rsid w:val="00C001B4"/>
    <w:rsid w:val="00C002ED"/>
    <w:rsid w:val="00C01F0B"/>
    <w:rsid w:val="00C02B6F"/>
    <w:rsid w:val="00C05669"/>
    <w:rsid w:val="00C05BAF"/>
    <w:rsid w:val="00C102D9"/>
    <w:rsid w:val="00C10F2A"/>
    <w:rsid w:val="00C12045"/>
    <w:rsid w:val="00C16912"/>
    <w:rsid w:val="00C173C2"/>
    <w:rsid w:val="00C2106B"/>
    <w:rsid w:val="00C258D9"/>
    <w:rsid w:val="00C267E1"/>
    <w:rsid w:val="00C27D8F"/>
    <w:rsid w:val="00C27F60"/>
    <w:rsid w:val="00C32963"/>
    <w:rsid w:val="00C3458A"/>
    <w:rsid w:val="00C35AC4"/>
    <w:rsid w:val="00C35ECD"/>
    <w:rsid w:val="00C4143D"/>
    <w:rsid w:val="00C45431"/>
    <w:rsid w:val="00C454A8"/>
    <w:rsid w:val="00C460EC"/>
    <w:rsid w:val="00C55D14"/>
    <w:rsid w:val="00C56192"/>
    <w:rsid w:val="00C57E7B"/>
    <w:rsid w:val="00C610E9"/>
    <w:rsid w:val="00C63AB8"/>
    <w:rsid w:val="00C65A17"/>
    <w:rsid w:val="00C678BA"/>
    <w:rsid w:val="00C7022C"/>
    <w:rsid w:val="00C7318D"/>
    <w:rsid w:val="00C74B86"/>
    <w:rsid w:val="00C756F5"/>
    <w:rsid w:val="00C75B5F"/>
    <w:rsid w:val="00C81694"/>
    <w:rsid w:val="00C85AE2"/>
    <w:rsid w:val="00C8615F"/>
    <w:rsid w:val="00C90200"/>
    <w:rsid w:val="00C917FC"/>
    <w:rsid w:val="00C91FFB"/>
    <w:rsid w:val="00C9307B"/>
    <w:rsid w:val="00C934AC"/>
    <w:rsid w:val="00C947DC"/>
    <w:rsid w:val="00C97790"/>
    <w:rsid w:val="00CA1074"/>
    <w:rsid w:val="00CA3DA6"/>
    <w:rsid w:val="00CA468B"/>
    <w:rsid w:val="00CB14B8"/>
    <w:rsid w:val="00CB3144"/>
    <w:rsid w:val="00CB4125"/>
    <w:rsid w:val="00CB585F"/>
    <w:rsid w:val="00CB59AC"/>
    <w:rsid w:val="00CC1E44"/>
    <w:rsid w:val="00CC7B3A"/>
    <w:rsid w:val="00CD2960"/>
    <w:rsid w:val="00CD36E7"/>
    <w:rsid w:val="00CD3BF4"/>
    <w:rsid w:val="00CD4399"/>
    <w:rsid w:val="00CE3092"/>
    <w:rsid w:val="00CE59D8"/>
    <w:rsid w:val="00CE5AA9"/>
    <w:rsid w:val="00CE67F2"/>
    <w:rsid w:val="00CF24C2"/>
    <w:rsid w:val="00CF40A3"/>
    <w:rsid w:val="00CF7FC3"/>
    <w:rsid w:val="00D0212D"/>
    <w:rsid w:val="00D02ACE"/>
    <w:rsid w:val="00D04CF2"/>
    <w:rsid w:val="00D06534"/>
    <w:rsid w:val="00D068F2"/>
    <w:rsid w:val="00D10598"/>
    <w:rsid w:val="00D11276"/>
    <w:rsid w:val="00D11CA3"/>
    <w:rsid w:val="00D16F2B"/>
    <w:rsid w:val="00D1726F"/>
    <w:rsid w:val="00D22EF1"/>
    <w:rsid w:val="00D23FFA"/>
    <w:rsid w:val="00D25EE6"/>
    <w:rsid w:val="00D264DB"/>
    <w:rsid w:val="00D26EF7"/>
    <w:rsid w:val="00D315AE"/>
    <w:rsid w:val="00D31E25"/>
    <w:rsid w:val="00D3255C"/>
    <w:rsid w:val="00D36F8A"/>
    <w:rsid w:val="00D41142"/>
    <w:rsid w:val="00D4194C"/>
    <w:rsid w:val="00D41F95"/>
    <w:rsid w:val="00D4304F"/>
    <w:rsid w:val="00D448A6"/>
    <w:rsid w:val="00D45F96"/>
    <w:rsid w:val="00D46313"/>
    <w:rsid w:val="00D46682"/>
    <w:rsid w:val="00D47B2A"/>
    <w:rsid w:val="00D47D77"/>
    <w:rsid w:val="00D5130B"/>
    <w:rsid w:val="00D51E9A"/>
    <w:rsid w:val="00D54D85"/>
    <w:rsid w:val="00D56CC2"/>
    <w:rsid w:val="00D60554"/>
    <w:rsid w:val="00D618CD"/>
    <w:rsid w:val="00D6193D"/>
    <w:rsid w:val="00D62F58"/>
    <w:rsid w:val="00D6396E"/>
    <w:rsid w:val="00D676A7"/>
    <w:rsid w:val="00D679B1"/>
    <w:rsid w:val="00D7080B"/>
    <w:rsid w:val="00D71839"/>
    <w:rsid w:val="00D74B86"/>
    <w:rsid w:val="00D756C0"/>
    <w:rsid w:val="00D77A00"/>
    <w:rsid w:val="00D77A65"/>
    <w:rsid w:val="00D87624"/>
    <w:rsid w:val="00D87799"/>
    <w:rsid w:val="00D924E4"/>
    <w:rsid w:val="00D92E1D"/>
    <w:rsid w:val="00DA001C"/>
    <w:rsid w:val="00DA2B54"/>
    <w:rsid w:val="00DA3E21"/>
    <w:rsid w:val="00DA66E5"/>
    <w:rsid w:val="00DA7730"/>
    <w:rsid w:val="00DB3223"/>
    <w:rsid w:val="00DB49FA"/>
    <w:rsid w:val="00DB4A04"/>
    <w:rsid w:val="00DB4D71"/>
    <w:rsid w:val="00DB5104"/>
    <w:rsid w:val="00DB56AC"/>
    <w:rsid w:val="00DB65F7"/>
    <w:rsid w:val="00DB70CF"/>
    <w:rsid w:val="00DB7177"/>
    <w:rsid w:val="00DC198F"/>
    <w:rsid w:val="00DC57CF"/>
    <w:rsid w:val="00DC6D6B"/>
    <w:rsid w:val="00DC6F7A"/>
    <w:rsid w:val="00DC7395"/>
    <w:rsid w:val="00DC7D2C"/>
    <w:rsid w:val="00DE0225"/>
    <w:rsid w:val="00DE358E"/>
    <w:rsid w:val="00DE37E7"/>
    <w:rsid w:val="00DE3A45"/>
    <w:rsid w:val="00DE523E"/>
    <w:rsid w:val="00DE735A"/>
    <w:rsid w:val="00DE7EC1"/>
    <w:rsid w:val="00DF097D"/>
    <w:rsid w:val="00DF0C5C"/>
    <w:rsid w:val="00DF2628"/>
    <w:rsid w:val="00E00CEE"/>
    <w:rsid w:val="00E02396"/>
    <w:rsid w:val="00E026F9"/>
    <w:rsid w:val="00E051DC"/>
    <w:rsid w:val="00E073D6"/>
    <w:rsid w:val="00E0793F"/>
    <w:rsid w:val="00E079BD"/>
    <w:rsid w:val="00E10910"/>
    <w:rsid w:val="00E14488"/>
    <w:rsid w:val="00E203FA"/>
    <w:rsid w:val="00E205D9"/>
    <w:rsid w:val="00E27EE4"/>
    <w:rsid w:val="00E31AD6"/>
    <w:rsid w:val="00E33C5A"/>
    <w:rsid w:val="00E34A1F"/>
    <w:rsid w:val="00E35F31"/>
    <w:rsid w:val="00E36D31"/>
    <w:rsid w:val="00E36F0D"/>
    <w:rsid w:val="00E42E8A"/>
    <w:rsid w:val="00E45860"/>
    <w:rsid w:val="00E45C89"/>
    <w:rsid w:val="00E47A48"/>
    <w:rsid w:val="00E47F45"/>
    <w:rsid w:val="00E50884"/>
    <w:rsid w:val="00E519D2"/>
    <w:rsid w:val="00E52630"/>
    <w:rsid w:val="00E57DAD"/>
    <w:rsid w:val="00E62F08"/>
    <w:rsid w:val="00E66014"/>
    <w:rsid w:val="00E667A3"/>
    <w:rsid w:val="00E670D6"/>
    <w:rsid w:val="00E673FE"/>
    <w:rsid w:val="00E70BC8"/>
    <w:rsid w:val="00E71093"/>
    <w:rsid w:val="00E7163A"/>
    <w:rsid w:val="00E72763"/>
    <w:rsid w:val="00E745D9"/>
    <w:rsid w:val="00E85359"/>
    <w:rsid w:val="00E87554"/>
    <w:rsid w:val="00E876DD"/>
    <w:rsid w:val="00E90750"/>
    <w:rsid w:val="00E91A25"/>
    <w:rsid w:val="00E950D6"/>
    <w:rsid w:val="00E955DD"/>
    <w:rsid w:val="00E9595D"/>
    <w:rsid w:val="00E962DB"/>
    <w:rsid w:val="00EA2D36"/>
    <w:rsid w:val="00EA32EA"/>
    <w:rsid w:val="00EA41A7"/>
    <w:rsid w:val="00EA5156"/>
    <w:rsid w:val="00EA69E8"/>
    <w:rsid w:val="00EA6A32"/>
    <w:rsid w:val="00EA7558"/>
    <w:rsid w:val="00EB0ED7"/>
    <w:rsid w:val="00EB588A"/>
    <w:rsid w:val="00EB6D3B"/>
    <w:rsid w:val="00EC36BE"/>
    <w:rsid w:val="00EC38CD"/>
    <w:rsid w:val="00EC4E97"/>
    <w:rsid w:val="00EC6AAE"/>
    <w:rsid w:val="00ED18EA"/>
    <w:rsid w:val="00ED2739"/>
    <w:rsid w:val="00ED2824"/>
    <w:rsid w:val="00ED3EE2"/>
    <w:rsid w:val="00ED45E1"/>
    <w:rsid w:val="00ED7717"/>
    <w:rsid w:val="00EE09EB"/>
    <w:rsid w:val="00EE1693"/>
    <w:rsid w:val="00EE343C"/>
    <w:rsid w:val="00EE3927"/>
    <w:rsid w:val="00EE529C"/>
    <w:rsid w:val="00EE5A46"/>
    <w:rsid w:val="00EE790E"/>
    <w:rsid w:val="00EF04D7"/>
    <w:rsid w:val="00EF16E5"/>
    <w:rsid w:val="00EF1DF4"/>
    <w:rsid w:val="00EF5355"/>
    <w:rsid w:val="00F002A5"/>
    <w:rsid w:val="00F0278C"/>
    <w:rsid w:val="00F043D4"/>
    <w:rsid w:val="00F04BC7"/>
    <w:rsid w:val="00F07896"/>
    <w:rsid w:val="00F103A4"/>
    <w:rsid w:val="00F13750"/>
    <w:rsid w:val="00F15162"/>
    <w:rsid w:val="00F15D04"/>
    <w:rsid w:val="00F22D8D"/>
    <w:rsid w:val="00F23FAF"/>
    <w:rsid w:val="00F25403"/>
    <w:rsid w:val="00F25643"/>
    <w:rsid w:val="00F26505"/>
    <w:rsid w:val="00F301F4"/>
    <w:rsid w:val="00F3276C"/>
    <w:rsid w:val="00F331BC"/>
    <w:rsid w:val="00F33366"/>
    <w:rsid w:val="00F348E7"/>
    <w:rsid w:val="00F34D45"/>
    <w:rsid w:val="00F354D8"/>
    <w:rsid w:val="00F35651"/>
    <w:rsid w:val="00F41A7C"/>
    <w:rsid w:val="00F4221E"/>
    <w:rsid w:val="00F422ED"/>
    <w:rsid w:val="00F429EC"/>
    <w:rsid w:val="00F438D3"/>
    <w:rsid w:val="00F47248"/>
    <w:rsid w:val="00F51B7F"/>
    <w:rsid w:val="00F51FE8"/>
    <w:rsid w:val="00F52D64"/>
    <w:rsid w:val="00F5350B"/>
    <w:rsid w:val="00F53884"/>
    <w:rsid w:val="00F54EED"/>
    <w:rsid w:val="00F63967"/>
    <w:rsid w:val="00F63B2F"/>
    <w:rsid w:val="00F709D5"/>
    <w:rsid w:val="00F71FB6"/>
    <w:rsid w:val="00F7290C"/>
    <w:rsid w:val="00F743D2"/>
    <w:rsid w:val="00F774AF"/>
    <w:rsid w:val="00F77B17"/>
    <w:rsid w:val="00F84379"/>
    <w:rsid w:val="00F84A17"/>
    <w:rsid w:val="00F9181B"/>
    <w:rsid w:val="00F91F1D"/>
    <w:rsid w:val="00F94D5B"/>
    <w:rsid w:val="00F96F9A"/>
    <w:rsid w:val="00F97DB7"/>
    <w:rsid w:val="00FA1E9F"/>
    <w:rsid w:val="00FA6F62"/>
    <w:rsid w:val="00FA779B"/>
    <w:rsid w:val="00FB08BD"/>
    <w:rsid w:val="00FB3461"/>
    <w:rsid w:val="00FB3B5A"/>
    <w:rsid w:val="00FB7360"/>
    <w:rsid w:val="00FC2503"/>
    <w:rsid w:val="00FC380A"/>
    <w:rsid w:val="00FC7263"/>
    <w:rsid w:val="00FD00D2"/>
    <w:rsid w:val="00FD4CAC"/>
    <w:rsid w:val="00FE1C1A"/>
    <w:rsid w:val="00FE271C"/>
    <w:rsid w:val="00FE3011"/>
    <w:rsid w:val="00FE3514"/>
    <w:rsid w:val="00FE6208"/>
    <w:rsid w:val="00FE6C30"/>
    <w:rsid w:val="00FE7A38"/>
    <w:rsid w:val="00FF084E"/>
    <w:rsid w:val="00FF3ED5"/>
    <w:rsid w:val="00FF3F40"/>
    <w:rsid w:val="00FF75C0"/>
    <w:rsid w:val="0D21F3D7"/>
    <w:rsid w:val="18EC426A"/>
    <w:rsid w:val="2C3F57DD"/>
    <w:rsid w:val="32496A67"/>
    <w:rsid w:val="333410E4"/>
    <w:rsid w:val="36D63462"/>
    <w:rsid w:val="3C3A6DA0"/>
    <w:rsid w:val="40873850"/>
    <w:rsid w:val="4C63E5B7"/>
    <w:rsid w:val="4CA8452E"/>
    <w:rsid w:val="584C7ABD"/>
    <w:rsid w:val="5AC3E1D3"/>
    <w:rsid w:val="62B85680"/>
    <w:rsid w:val="6884B047"/>
    <w:rsid w:val="7092C163"/>
    <w:rsid w:val="75AAE0FF"/>
    <w:rsid w:val="7BC930CD"/>
    <w:rsid w:val="7D9C7B85"/>
    <w:rsid w:val="7DA5FCA2"/>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8022FE"/>
  <w15:docId w15:val="{8C3647E8-07D1-4DEE-9415-EA06FE6F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8C38C7"/>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C38C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8C38C7"/>
    <w:pPr>
      <w:keepNext/>
      <w:keepLines/>
      <w:numPr>
        <w:ilvl w:val="1"/>
        <w:numId w:val="2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8C38C7"/>
    <w:pPr>
      <w:keepNext/>
      <w:keepLines/>
      <w:numPr>
        <w:ilvl w:val="2"/>
        <w:numId w:val="2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8C38C7"/>
    <w:pPr>
      <w:keepNext/>
      <w:keepLines/>
      <w:numPr>
        <w:ilvl w:val="3"/>
        <w:numId w:val="2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8C38C7"/>
    <w:pPr>
      <w:keepNext/>
      <w:keepLines/>
      <w:numPr>
        <w:ilvl w:val="4"/>
        <w:numId w:val="2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8C38C7"/>
    <w:pPr>
      <w:keepNext/>
      <w:keepLines/>
      <w:numPr>
        <w:ilvl w:val="5"/>
        <w:numId w:val="2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8C38C7"/>
    <w:pPr>
      <w:keepNext/>
      <w:keepLines/>
      <w:numPr>
        <w:ilvl w:val="6"/>
        <w:numId w:val="2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8C38C7"/>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C38C7"/>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8C38C7"/>
    <w:rPr>
      <w:vertAlign w:val="superscript"/>
    </w:rPr>
  </w:style>
  <w:style w:type="paragraph" w:styleId="BodyTextIndent">
    <w:name w:val="Body Text Indent"/>
    <w:basedOn w:val="Normal"/>
    <w:link w:val="BodyTextIndentChar"/>
    <w:qFormat/>
    <w:rsid w:val="008C38C7"/>
    <w:pPr>
      <w:spacing w:after="120"/>
      <w:ind w:left="360"/>
    </w:pPr>
  </w:style>
  <w:style w:type="table" w:styleId="TableGrid">
    <w:name w:val="Table Grid"/>
    <w:basedOn w:val="TableNormal"/>
    <w:rsid w:val="008C38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qFormat/>
    <w:rsid w:val="008C38C7"/>
    <w:pPr>
      <w:spacing w:after="0" w:line="240" w:lineRule="auto"/>
    </w:pPr>
    <w:rPr>
      <w:rFonts w:ascii="Segoe UI" w:hAnsi="Segoe UI" w:cs="Segoe UI"/>
      <w:sz w:val="18"/>
      <w:szCs w:val="18"/>
    </w:rPr>
  </w:style>
  <w:style w:type="paragraph" w:styleId="ListParagraph">
    <w:name w:val="List Paragraph"/>
    <w:aliases w:val="Primary Bullet List"/>
    <w:basedOn w:val="Normal"/>
    <w:link w:val="ListParagraphChar"/>
    <w:qFormat/>
    <w:rsid w:val="008C38C7"/>
    <w:pPr>
      <w:ind w:left="1267" w:hanging="1267"/>
      <w:contextualSpacing/>
    </w:pPr>
  </w:style>
  <w:style w:type="character" w:styleId="Hyperlink">
    <w:name w:val="Hyperlink"/>
    <w:basedOn w:val="DefaultParagraphFont"/>
    <w:unhideWhenUsed/>
    <w:qFormat/>
    <w:rsid w:val="008C38C7"/>
    <w:rPr>
      <w:color w:val="0563C1" w:themeColor="hyperlink"/>
      <w:u w:val="single"/>
    </w:rPr>
  </w:style>
  <w:style w:type="character" w:styleId="CommentReference">
    <w:name w:val="annotation reference"/>
    <w:basedOn w:val="DefaultParagraphFont"/>
    <w:qFormat/>
    <w:rsid w:val="008C38C7"/>
    <w:rPr>
      <w:sz w:val="16"/>
      <w:szCs w:val="16"/>
    </w:rPr>
  </w:style>
  <w:style w:type="paragraph" w:styleId="CommentText">
    <w:name w:val="annotation text"/>
    <w:basedOn w:val="Normal"/>
    <w:link w:val="CommentTextChar"/>
    <w:qFormat/>
    <w:rsid w:val="008C38C7"/>
    <w:pPr>
      <w:spacing w:line="240" w:lineRule="auto"/>
    </w:pPr>
    <w:rPr>
      <w:szCs w:val="20"/>
    </w:rPr>
  </w:style>
  <w:style w:type="character" w:customStyle="1" w:styleId="CommentTextChar">
    <w:name w:val="Comment Text Char"/>
    <w:basedOn w:val="DefaultParagraphFont"/>
    <w:link w:val="CommentText"/>
    <w:uiPriority w:val="99"/>
    <w:rsid w:val="008C38C7"/>
    <w:rPr>
      <w:rFonts w:asciiTheme="minorHAnsi" w:eastAsiaTheme="minorHAnsi" w:hAnsiTheme="minorHAnsi" w:cstheme="minorBidi"/>
      <w:sz w:val="22"/>
    </w:rPr>
  </w:style>
  <w:style w:type="paragraph" w:styleId="CommentSubject">
    <w:name w:val="annotation subject"/>
    <w:basedOn w:val="CommentText"/>
    <w:next w:val="CommentText"/>
    <w:link w:val="CommentSubjectChar"/>
    <w:qFormat/>
    <w:rsid w:val="008C38C7"/>
    <w:rPr>
      <w:b/>
      <w:bCs/>
    </w:rPr>
  </w:style>
  <w:style w:type="character" w:customStyle="1" w:styleId="CommentSubjectChar">
    <w:name w:val="Comment Subject Char"/>
    <w:basedOn w:val="CommentTextChar"/>
    <w:link w:val="CommentSubject"/>
    <w:semiHidden/>
    <w:rsid w:val="008C38C7"/>
    <w:rPr>
      <w:rFonts w:asciiTheme="minorHAnsi" w:eastAsiaTheme="minorHAnsi" w:hAnsiTheme="minorHAnsi" w:cstheme="minorBidi"/>
      <w:b/>
      <w:bCs/>
      <w:sz w:val="22"/>
    </w:rPr>
  </w:style>
  <w:style w:type="paragraph" w:styleId="BodyText">
    <w:name w:val="Body Text"/>
    <w:basedOn w:val="Normal"/>
    <w:link w:val="BodyTextChar"/>
    <w:qFormat/>
    <w:rsid w:val="008C38C7"/>
    <w:pPr>
      <w:spacing w:after="120"/>
    </w:pPr>
  </w:style>
  <w:style w:type="character" w:customStyle="1" w:styleId="BodyTextChar">
    <w:name w:val="Body Text Char"/>
    <w:basedOn w:val="DefaultParagraphFont"/>
    <w:link w:val="BodyText"/>
    <w:rsid w:val="008C38C7"/>
    <w:rPr>
      <w:rFonts w:asciiTheme="minorHAnsi" w:eastAsiaTheme="minorHAnsi" w:hAnsiTheme="minorHAnsi" w:cstheme="minorBidi"/>
      <w:sz w:val="22"/>
      <w:szCs w:val="22"/>
    </w:rPr>
  </w:style>
  <w:style w:type="paragraph" w:customStyle="1" w:styleId="Bullets">
    <w:name w:val="Bullets"/>
    <w:basedOn w:val="BodyText"/>
    <w:link w:val="BulletsChar"/>
    <w:qFormat/>
    <w:rsid w:val="00FC380A"/>
    <w:pPr>
      <w:numPr>
        <w:numId w:val="1"/>
      </w:numPr>
      <w:tabs>
        <w:tab w:val="left" w:pos="360"/>
      </w:tabs>
    </w:pPr>
    <w:rPr>
      <w:szCs w:val="20"/>
      <w:lang w:val="en"/>
    </w:rPr>
  </w:style>
  <w:style w:type="character" w:customStyle="1" w:styleId="BulletsChar">
    <w:name w:val="Bullets Char"/>
    <w:link w:val="Bullets"/>
    <w:rsid w:val="00FC380A"/>
    <w:rPr>
      <w:rFonts w:asciiTheme="minorHAnsi" w:eastAsiaTheme="minorHAnsi" w:hAnsiTheme="minorHAnsi" w:cstheme="minorBidi"/>
      <w:sz w:val="22"/>
      <w:lang w:val="en"/>
    </w:rPr>
  </w:style>
  <w:style w:type="character" w:customStyle="1" w:styleId="ListParagraphChar">
    <w:name w:val="List Paragraph Char"/>
    <w:aliases w:val="Primary Bullet List Char"/>
    <w:link w:val="ListParagraph"/>
    <w:locked/>
    <w:rsid w:val="00FC380A"/>
    <w:rPr>
      <w:rFonts w:asciiTheme="minorHAnsi" w:eastAsiaTheme="minorHAnsi" w:hAnsiTheme="minorHAnsi" w:cstheme="minorBidi"/>
      <w:sz w:val="22"/>
      <w:szCs w:val="22"/>
    </w:rPr>
  </w:style>
  <w:style w:type="paragraph" w:customStyle="1" w:styleId="BulletsLast">
    <w:name w:val="BulletsLast"/>
    <w:basedOn w:val="Bullets"/>
    <w:qFormat/>
    <w:rsid w:val="00FC380A"/>
    <w:pPr>
      <w:numPr>
        <w:numId w:val="2"/>
      </w:numPr>
      <w:tabs>
        <w:tab w:val="num" w:pos="2160"/>
      </w:tabs>
      <w:spacing w:after="240"/>
      <w:ind w:left="2160"/>
    </w:pPr>
  </w:style>
  <w:style w:type="character" w:customStyle="1" w:styleId="Heading2Char">
    <w:name w:val="Heading 2 Char"/>
    <w:basedOn w:val="DefaultParagraphFont"/>
    <w:link w:val="Heading2"/>
    <w:rsid w:val="008C38C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8C38C7"/>
    <w:rPr>
      <w:rFonts w:asciiTheme="majorHAnsi" w:eastAsiaTheme="majorEastAsia" w:hAnsiTheme="majorHAnsi" w:cstheme="majorBidi"/>
      <w:color w:val="051424" w:themeColor="accent1" w:themeShade="7F"/>
      <w:sz w:val="24"/>
      <w:szCs w:val="24"/>
    </w:rPr>
  </w:style>
  <w:style w:type="paragraph" w:customStyle="1" w:styleId="P1-StandPara">
    <w:name w:val="P1-Stand Para"/>
    <w:link w:val="P1-StandParaChar"/>
    <w:qFormat/>
    <w:rsid w:val="007D65A5"/>
    <w:pPr>
      <w:spacing w:line="480" w:lineRule="auto"/>
      <w:ind w:firstLine="720"/>
    </w:pPr>
    <w:rPr>
      <w:sz w:val="22"/>
    </w:rPr>
  </w:style>
  <w:style w:type="character" w:customStyle="1" w:styleId="P1-StandParaChar">
    <w:name w:val="P1-Stand Para Char"/>
    <w:link w:val="P1-StandPara"/>
    <w:rsid w:val="007D65A5"/>
    <w:rPr>
      <w:sz w:val="22"/>
    </w:rPr>
  </w:style>
  <w:style w:type="paragraph" w:styleId="FootnoteText">
    <w:name w:val="footnote text"/>
    <w:basedOn w:val="Normal"/>
    <w:link w:val="FootnoteTextChar"/>
    <w:qFormat/>
    <w:rsid w:val="008C38C7"/>
    <w:pPr>
      <w:spacing w:after="0" w:line="240" w:lineRule="auto"/>
    </w:pPr>
    <w:rPr>
      <w:sz w:val="20"/>
      <w:szCs w:val="20"/>
    </w:rPr>
  </w:style>
  <w:style w:type="character" w:customStyle="1" w:styleId="FootnoteTextChar">
    <w:name w:val="Footnote Text Char"/>
    <w:basedOn w:val="DefaultParagraphFont"/>
    <w:link w:val="FootnoteText"/>
    <w:semiHidden/>
    <w:rsid w:val="008C38C7"/>
    <w:rPr>
      <w:rFonts w:asciiTheme="minorHAnsi" w:eastAsiaTheme="minorHAnsi" w:hAnsiTheme="minorHAnsi" w:cstheme="minorBidi"/>
    </w:rPr>
  </w:style>
  <w:style w:type="paragraph" w:styleId="Revision">
    <w:name w:val="Revision"/>
    <w:hidden/>
    <w:uiPriority w:val="99"/>
    <w:semiHidden/>
    <w:rsid w:val="008C38C7"/>
    <w:rPr>
      <w:rFonts w:asciiTheme="minorHAnsi" w:eastAsiaTheme="minorHAnsi" w:hAnsiTheme="minorHAnsi" w:cstheme="minorBidi"/>
      <w:szCs w:val="22"/>
    </w:rPr>
  </w:style>
  <w:style w:type="character" w:customStyle="1" w:styleId="BodyTextIndentChar">
    <w:name w:val="Body Text Indent Char"/>
    <w:basedOn w:val="DefaultParagraphFont"/>
    <w:link w:val="BodyTextIndent"/>
    <w:rsid w:val="008C38C7"/>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Char"/>
    <w:qFormat/>
    <w:rsid w:val="00024782"/>
    <w:pPr>
      <w:spacing w:after="180"/>
    </w:pPr>
    <w:rPr>
      <w:noProof/>
      <w:szCs w:val="20"/>
    </w:rPr>
  </w:style>
  <w:style w:type="character" w:customStyle="1" w:styleId="EndNoteBibliographyChar">
    <w:name w:val="EndNote Bibliography Char"/>
    <w:basedOn w:val="DefaultParagraphFont"/>
    <w:link w:val="EndNoteBibliography"/>
    <w:rsid w:val="00024782"/>
    <w:rPr>
      <w:noProof/>
      <w:sz w:val="22"/>
    </w:rPr>
  </w:style>
  <w:style w:type="paragraph" w:customStyle="1" w:styleId="TableText">
    <w:name w:val="Table Text"/>
    <w:basedOn w:val="Normal"/>
    <w:qFormat/>
    <w:rsid w:val="00E50884"/>
    <w:pPr>
      <w:spacing w:before="20" w:after="20"/>
    </w:pPr>
    <w:rPr>
      <w:rFonts w:ascii="Arial Narrow" w:hAnsi="Arial Narrow"/>
      <w:szCs w:val="20"/>
    </w:rPr>
  </w:style>
  <w:style w:type="paragraph" w:customStyle="1" w:styleId="TableBullets">
    <w:name w:val="Table Bullets"/>
    <w:basedOn w:val="ListParagraph"/>
    <w:qFormat/>
    <w:rsid w:val="00E50884"/>
    <w:pPr>
      <w:numPr>
        <w:numId w:val="3"/>
      </w:numPr>
      <w:ind w:left="259" w:hanging="259"/>
    </w:pPr>
    <w:rPr>
      <w:rFonts w:ascii="Arial Narrow" w:hAnsi="Arial Narrow"/>
      <w:szCs w:val="20"/>
    </w:rPr>
  </w:style>
  <w:style w:type="paragraph" w:customStyle="1" w:styleId="TableColumnHeader">
    <w:name w:val="Table Column Header"/>
    <w:basedOn w:val="Normal"/>
    <w:qFormat/>
    <w:rsid w:val="00E50884"/>
    <w:pPr>
      <w:spacing w:before="20" w:after="20"/>
      <w:jc w:val="center"/>
    </w:pPr>
    <w:rPr>
      <w:rFonts w:ascii="Arial Narrow" w:hAnsi="Arial Narrow"/>
      <w:b/>
      <w:color w:val="FFFFFF" w:themeColor="background1"/>
      <w:szCs w:val="20"/>
    </w:rPr>
  </w:style>
  <w:style w:type="paragraph" w:customStyle="1" w:styleId="TableBullet2">
    <w:name w:val="Table Bullet2"/>
    <w:basedOn w:val="TableBullets"/>
    <w:qFormat/>
    <w:rsid w:val="00E50884"/>
    <w:pPr>
      <w:numPr>
        <w:numId w:val="4"/>
      </w:numPr>
      <w:ind w:left="612"/>
    </w:pPr>
  </w:style>
  <w:style w:type="paragraph" w:styleId="Caption">
    <w:name w:val="caption"/>
    <w:basedOn w:val="TableTextLeft"/>
    <w:next w:val="Normal"/>
    <w:qFormat/>
    <w:rsid w:val="008C38C7"/>
    <w:pPr>
      <w:spacing w:before="240" w:after="60"/>
    </w:pPr>
    <w:rPr>
      <w:b/>
      <w:bCs/>
      <w:sz w:val="20"/>
      <w:szCs w:val="20"/>
    </w:rPr>
  </w:style>
  <w:style w:type="paragraph" w:customStyle="1" w:styleId="Tablebullet">
    <w:name w:val="Table_bullet"/>
    <w:basedOn w:val="ListParagraph"/>
    <w:qFormat/>
    <w:rsid w:val="004F7D4F"/>
    <w:pPr>
      <w:keepNext/>
      <w:keepLines/>
      <w:numPr>
        <w:numId w:val="5"/>
      </w:numPr>
      <w:tabs>
        <w:tab w:val="num" w:pos="360"/>
      </w:tabs>
      <w:suppressAutoHyphens/>
      <w:spacing w:line="200" w:lineRule="exact"/>
      <w:ind w:firstLine="0"/>
    </w:pPr>
    <w:rPr>
      <w:rFonts w:ascii="Arial" w:hAnsi="Arial" w:cs="Arial"/>
      <w:sz w:val="18"/>
      <w:szCs w:val="18"/>
    </w:rPr>
  </w:style>
  <w:style w:type="numbering" w:customStyle="1" w:styleId="LFO13">
    <w:name w:val="LFO13"/>
    <w:rsid w:val="004F7D4F"/>
    <w:pPr>
      <w:numPr>
        <w:numId w:val="5"/>
      </w:numPr>
    </w:pPr>
  </w:style>
  <w:style w:type="paragraph" w:styleId="HTMLPreformatted">
    <w:name w:val="HTML Preformatted"/>
    <w:basedOn w:val="Normal"/>
    <w:link w:val="HTMLPreformattedChar"/>
    <w:qFormat/>
    <w:rsid w:val="008C38C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8C38C7"/>
    <w:rPr>
      <w:rFonts w:ascii="Consolas" w:hAnsi="Consolas" w:eastAsiaTheme="minorHAnsi" w:cstheme="minorBidi"/>
    </w:rPr>
  </w:style>
  <w:style w:type="character" w:styleId="FollowedHyperlink">
    <w:name w:val="FollowedHyperlink"/>
    <w:basedOn w:val="DefaultParagraphFont"/>
    <w:qFormat/>
    <w:rsid w:val="008C38C7"/>
    <w:rPr>
      <w:color w:val="954F72" w:themeColor="followedHyperlink"/>
      <w:u w:val="single"/>
    </w:rPr>
  </w:style>
  <w:style w:type="character" w:customStyle="1" w:styleId="BodyTextFi">
    <w:name w:val="Body Text Fi"/>
    <w:qFormat/>
    <w:rsid w:val="00E073D6"/>
  </w:style>
  <w:style w:type="paragraph" w:styleId="Header">
    <w:name w:val="header"/>
    <w:basedOn w:val="Normal"/>
    <w:link w:val="HeaderChar"/>
    <w:qFormat/>
    <w:rsid w:val="008C38C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8C38C7"/>
    <w:rPr>
      <w:rFonts w:asciiTheme="majorHAnsi" w:eastAsiaTheme="minorHAnsi" w:hAnsiTheme="majorHAnsi" w:cstheme="minorBidi"/>
      <w:szCs w:val="22"/>
    </w:rPr>
  </w:style>
  <w:style w:type="paragraph" w:styleId="Footer">
    <w:name w:val="footer"/>
    <w:basedOn w:val="Normal"/>
    <w:link w:val="FooterChar"/>
    <w:qFormat/>
    <w:rsid w:val="008C38C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8C38C7"/>
    <w:rPr>
      <w:rFonts w:asciiTheme="majorHAnsi" w:eastAsiaTheme="minorHAnsi" w:hAnsiTheme="majorHAnsi" w:cstheme="minorBidi"/>
      <w:szCs w:val="22"/>
    </w:rPr>
  </w:style>
  <w:style w:type="paragraph" w:customStyle="1" w:styleId="TableTextLeft">
    <w:name w:val="Table Text Left"/>
    <w:qFormat/>
    <w:rsid w:val="008C38C7"/>
    <w:pPr>
      <w:spacing w:before="40" w:after="20" w:line="264" w:lineRule="auto"/>
    </w:pPr>
    <w:rPr>
      <w:rFonts w:asciiTheme="majorHAnsi" w:eastAsiaTheme="minorHAnsi" w:hAnsiTheme="majorHAnsi" w:cstheme="minorBidi"/>
      <w:color w:val="000000" w:themeColor="text1"/>
      <w:sz w:val="18"/>
      <w:szCs w:val="22"/>
    </w:rPr>
  </w:style>
  <w:style w:type="paragraph" w:customStyle="1" w:styleId="ExhibitTitle">
    <w:name w:val="Exhibit Title"/>
    <w:basedOn w:val="TableTextLeft"/>
    <w:qFormat/>
    <w:rsid w:val="008C38C7"/>
    <w:pPr>
      <w:keepNext/>
      <w:keepLines/>
      <w:spacing w:after="40"/>
    </w:pPr>
    <w:rPr>
      <w:b/>
      <w:sz w:val="20"/>
    </w:rPr>
  </w:style>
  <w:style w:type="paragraph" w:customStyle="1" w:styleId="TableListBullet">
    <w:name w:val="Table List Bullet"/>
    <w:basedOn w:val="TableTextLeft"/>
    <w:qFormat/>
    <w:rsid w:val="000631AF"/>
    <w:pPr>
      <w:numPr>
        <w:numId w:val="6"/>
      </w:numPr>
    </w:pPr>
    <w:rPr>
      <w:szCs w:val="18"/>
    </w:rPr>
  </w:style>
  <w:style w:type="paragraph" w:customStyle="1" w:styleId="TableHeaderCenter">
    <w:name w:val="Table Header Center"/>
    <w:basedOn w:val="TableTextLeft"/>
    <w:qFormat/>
    <w:rsid w:val="008C38C7"/>
    <w:pPr>
      <w:keepNext/>
      <w:jc w:val="center"/>
    </w:pPr>
    <w:rPr>
      <w:color w:val="FFFFFF" w:themeColor="background1"/>
    </w:rPr>
  </w:style>
  <w:style w:type="paragraph" w:customStyle="1" w:styleId="TableHeaderLeft">
    <w:name w:val="Table Header Left"/>
    <w:basedOn w:val="TableTextLeft"/>
    <w:qFormat/>
    <w:rsid w:val="008C38C7"/>
    <w:pPr>
      <w:keepNext/>
    </w:pPr>
    <w:rPr>
      <w:color w:val="FFFFFF" w:themeColor="background1"/>
    </w:rPr>
  </w:style>
  <w:style w:type="table" w:customStyle="1" w:styleId="BaseTable">
    <w:name w:val="Base Table"/>
    <w:basedOn w:val="TableNormal"/>
    <w:rsid w:val="008C38C7"/>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Paragraph">
    <w:name w:val="Paragraph"/>
    <w:basedOn w:val="Normal"/>
    <w:link w:val="ParagraphChar"/>
    <w:qFormat/>
    <w:rsid w:val="008C38C7"/>
  </w:style>
  <w:style w:type="paragraph" w:customStyle="1" w:styleId="ExhibitSource">
    <w:name w:val="Exhibit Source"/>
    <w:basedOn w:val="TableTextLeft"/>
    <w:qFormat/>
    <w:rsid w:val="008C38C7"/>
    <w:pPr>
      <w:spacing w:after="60"/>
      <w:ind w:left="792" w:hanging="792"/>
    </w:pPr>
  </w:style>
  <w:style w:type="character" w:customStyle="1" w:styleId="ParagraphChar">
    <w:name w:val="Paragraph Char"/>
    <w:basedOn w:val="DefaultParagraphFont"/>
    <w:link w:val="Paragraph"/>
    <w:rsid w:val="00934550"/>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8C38C7"/>
    <w:pPr>
      <w:spacing w:before="160"/>
    </w:pPr>
  </w:style>
  <w:style w:type="character" w:styleId="UnresolvedMention">
    <w:name w:val="Unresolved Mention"/>
    <w:basedOn w:val="DefaultParagraphFont"/>
    <w:qFormat/>
    <w:rsid w:val="008C38C7"/>
    <w:rPr>
      <w:color w:val="605E5C"/>
      <w:shd w:val="clear" w:color="auto" w:fill="E1DFDD"/>
    </w:rPr>
  </w:style>
  <w:style w:type="character" w:customStyle="1" w:styleId="Heading4Char">
    <w:name w:val="Heading 4 Char"/>
    <w:basedOn w:val="DefaultParagraphFont"/>
    <w:link w:val="Heading4"/>
    <w:rsid w:val="008C38C7"/>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rsid w:val="008C38C7"/>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rsid w:val="008C38C7"/>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rsid w:val="008C38C7"/>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rsid w:val="008C38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C38C7"/>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rsid w:val="008C38C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8C38C7"/>
    <w:pPr>
      <w:ind w:left="432" w:hanging="432"/>
      <w:outlineLvl w:val="1"/>
    </w:pPr>
    <w:rPr>
      <w:b/>
      <w:color w:val="046B5C" w:themeColor="text2"/>
      <w:sz w:val="28"/>
    </w:rPr>
  </w:style>
  <w:style w:type="paragraph" w:styleId="ListBullet">
    <w:name w:val="List Bullet"/>
    <w:basedOn w:val="Normal"/>
    <w:qFormat/>
    <w:rsid w:val="008C38C7"/>
    <w:pPr>
      <w:numPr>
        <w:numId w:val="11"/>
      </w:numPr>
      <w:spacing w:after="80"/>
    </w:pPr>
  </w:style>
  <w:style w:type="paragraph" w:styleId="ListNumber">
    <w:name w:val="List Number"/>
    <w:basedOn w:val="Normal"/>
    <w:qFormat/>
    <w:rsid w:val="008C38C7"/>
    <w:pPr>
      <w:numPr>
        <w:numId w:val="12"/>
      </w:numPr>
      <w:adjustRightInd w:val="0"/>
      <w:spacing w:after="80"/>
    </w:pPr>
  </w:style>
  <w:style w:type="character" w:customStyle="1" w:styleId="BalloonTextChar">
    <w:name w:val="Balloon Text Char"/>
    <w:basedOn w:val="DefaultParagraphFont"/>
    <w:link w:val="BalloonText"/>
    <w:semiHidden/>
    <w:rsid w:val="008C38C7"/>
    <w:rPr>
      <w:rFonts w:ascii="Segoe UI" w:hAnsi="Segoe UI" w:eastAsiaTheme="minorHAnsi" w:cs="Segoe UI"/>
      <w:sz w:val="18"/>
      <w:szCs w:val="18"/>
    </w:rPr>
  </w:style>
  <w:style w:type="table" w:styleId="GridTable2Accent1">
    <w:name w:val="Grid Table 2 Accent 1"/>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8C38C7"/>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8C38C7"/>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8C38C7"/>
    <w:pPr>
      <w:numPr>
        <w:numId w:val="18"/>
      </w:numPr>
      <w:adjustRightInd w:val="0"/>
      <w:spacing w:after="80"/>
    </w:pPr>
  </w:style>
  <w:style w:type="paragraph" w:styleId="ListBullet2">
    <w:name w:val="List Bullet 2"/>
    <w:basedOn w:val="Normal"/>
    <w:qFormat/>
    <w:rsid w:val="008C38C7"/>
    <w:pPr>
      <w:numPr>
        <w:numId w:val="14"/>
      </w:numPr>
      <w:spacing w:after="80"/>
    </w:pPr>
  </w:style>
  <w:style w:type="paragraph" w:styleId="List">
    <w:name w:val="List"/>
    <w:basedOn w:val="Normal"/>
    <w:qFormat/>
    <w:rsid w:val="008C38C7"/>
    <w:pPr>
      <w:numPr>
        <w:numId w:val="13"/>
      </w:numPr>
      <w:spacing w:after="80"/>
    </w:pPr>
  </w:style>
  <w:style w:type="paragraph" w:styleId="ListContinue">
    <w:name w:val="List Continue"/>
    <w:basedOn w:val="Normal"/>
    <w:qFormat/>
    <w:rsid w:val="008C38C7"/>
    <w:pPr>
      <w:spacing w:after="80"/>
      <w:ind w:left="360"/>
    </w:pPr>
  </w:style>
  <w:style w:type="character" w:styleId="Emphasis">
    <w:name w:val="Emphasis"/>
    <w:basedOn w:val="DefaultParagraphFont"/>
    <w:qFormat/>
    <w:rsid w:val="008C38C7"/>
    <w:rPr>
      <w:i/>
      <w:iCs/>
    </w:rPr>
  </w:style>
  <w:style w:type="paragraph" w:styleId="ListContinue2">
    <w:name w:val="List Continue 2"/>
    <w:basedOn w:val="Normal"/>
    <w:qFormat/>
    <w:rsid w:val="008C38C7"/>
    <w:pPr>
      <w:spacing w:after="80"/>
      <w:ind w:left="720"/>
    </w:pPr>
  </w:style>
  <w:style w:type="paragraph" w:customStyle="1" w:styleId="Acknowledgment">
    <w:name w:val="Acknowledgment"/>
    <w:basedOn w:val="H1"/>
    <w:next w:val="ParagraphContinued"/>
    <w:qFormat/>
    <w:rsid w:val="008C38C7"/>
    <w:rPr>
      <w:b w:val="0"/>
      <w:bCs/>
    </w:rPr>
  </w:style>
  <w:style w:type="paragraph" w:styleId="ListBullet3">
    <w:name w:val="List Bullet 3"/>
    <w:basedOn w:val="Normal"/>
    <w:qFormat/>
    <w:rsid w:val="008C38C7"/>
    <w:pPr>
      <w:numPr>
        <w:numId w:val="15"/>
      </w:numPr>
      <w:spacing w:after="80"/>
    </w:pPr>
  </w:style>
  <w:style w:type="paragraph" w:styleId="NoteHeading">
    <w:name w:val="Note Heading"/>
    <w:basedOn w:val="H1"/>
    <w:next w:val="Notes"/>
    <w:link w:val="NoteHeadingChar"/>
    <w:qFormat/>
    <w:rsid w:val="008C38C7"/>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8C38C7"/>
    <w:rPr>
      <w:rFonts w:asciiTheme="majorHAnsi" w:eastAsiaTheme="majorEastAsia" w:hAnsiTheme="majorHAnsi" w:cstheme="majorBidi"/>
      <w:b/>
      <w:color w:val="0B2949" w:themeColor="accent1"/>
      <w:szCs w:val="32"/>
    </w:rPr>
  </w:style>
  <w:style w:type="paragraph" w:customStyle="1" w:styleId="Anchor">
    <w:name w:val="Anchor"/>
    <w:qFormat/>
    <w:rsid w:val="008C38C7"/>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qFormat/>
    <w:rsid w:val="008C38C7"/>
    <w:pPr>
      <w:ind w:left="0" w:firstLine="0"/>
      <w:jc w:val="center"/>
    </w:pPr>
    <w:rPr>
      <w:bCs/>
    </w:rPr>
  </w:style>
  <w:style w:type="paragraph" w:customStyle="1" w:styleId="AttachmentTitle">
    <w:name w:val="Attachment Title"/>
    <w:basedOn w:val="H1"/>
    <w:next w:val="H2"/>
    <w:qFormat/>
    <w:rsid w:val="008C38C7"/>
    <w:pPr>
      <w:jc w:val="center"/>
    </w:pPr>
    <w:rPr>
      <w:bCs/>
    </w:rPr>
  </w:style>
  <w:style w:type="paragraph" w:customStyle="1" w:styleId="Banner">
    <w:name w:val="Banner"/>
    <w:basedOn w:val="H1"/>
    <w:qFormat/>
    <w:rsid w:val="008C38C7"/>
    <w:pPr>
      <w:shd w:val="clear" w:color="auto" w:fill="FFFFFF" w:themeFill="background1"/>
    </w:pPr>
    <w:rPr>
      <w:b w:val="0"/>
      <w:bCs/>
      <w:color w:val="0B2949" w:themeColor="accent1"/>
    </w:rPr>
  </w:style>
  <w:style w:type="paragraph" w:styleId="Bibliography">
    <w:name w:val="Bibliography"/>
    <w:basedOn w:val="Normal"/>
    <w:qFormat/>
    <w:rsid w:val="008C38C7"/>
  </w:style>
  <w:style w:type="paragraph" w:styleId="BlockText">
    <w:name w:val="Block Text"/>
    <w:basedOn w:val="Normal"/>
    <w:qFormat/>
    <w:rsid w:val="008C38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qFormat/>
    <w:rsid w:val="008C38C7"/>
    <w:pPr>
      <w:spacing w:after="120" w:line="480" w:lineRule="auto"/>
    </w:pPr>
  </w:style>
  <w:style w:type="character" w:customStyle="1" w:styleId="BodyText2Char">
    <w:name w:val="Body Text 2 Char"/>
    <w:basedOn w:val="DefaultParagraphFont"/>
    <w:link w:val="BodyText2"/>
    <w:semiHidden/>
    <w:rsid w:val="008C38C7"/>
    <w:rPr>
      <w:rFonts w:asciiTheme="minorHAnsi" w:eastAsiaTheme="minorHAnsi" w:hAnsiTheme="minorHAnsi" w:cstheme="minorBidi"/>
      <w:sz w:val="22"/>
      <w:szCs w:val="22"/>
    </w:rPr>
  </w:style>
  <w:style w:type="paragraph" w:styleId="BodyText3">
    <w:name w:val="Body Text 3"/>
    <w:basedOn w:val="Normal"/>
    <w:link w:val="BodyText3Char"/>
    <w:qFormat/>
    <w:rsid w:val="008C38C7"/>
    <w:pPr>
      <w:spacing w:after="120"/>
    </w:pPr>
    <w:rPr>
      <w:sz w:val="16"/>
      <w:szCs w:val="16"/>
    </w:rPr>
  </w:style>
  <w:style w:type="character" w:customStyle="1" w:styleId="BodyText3Char">
    <w:name w:val="Body Text 3 Char"/>
    <w:basedOn w:val="DefaultParagraphFont"/>
    <w:link w:val="BodyText3"/>
    <w:semiHidden/>
    <w:rsid w:val="008C38C7"/>
    <w:rPr>
      <w:rFonts w:asciiTheme="minorHAnsi" w:eastAsiaTheme="minorHAnsi" w:hAnsiTheme="minorHAnsi" w:cstheme="minorBidi"/>
      <w:sz w:val="16"/>
      <w:szCs w:val="16"/>
    </w:rPr>
  </w:style>
  <w:style w:type="paragraph" w:styleId="BodyTextFirstIndent">
    <w:name w:val="Body Text First Indent"/>
    <w:basedOn w:val="BodyText"/>
    <w:link w:val="BodyTextFirstIndentChar"/>
    <w:qFormat/>
    <w:rsid w:val="008C38C7"/>
    <w:pPr>
      <w:spacing w:after="160"/>
      <w:ind w:firstLine="360"/>
    </w:pPr>
  </w:style>
  <w:style w:type="character" w:customStyle="1" w:styleId="BodyTextFirstIndentChar">
    <w:name w:val="Body Text First Indent Char"/>
    <w:basedOn w:val="BodyTextChar"/>
    <w:link w:val="BodyTextFirstIndent"/>
    <w:rsid w:val="008C38C7"/>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qFormat/>
    <w:rsid w:val="008C38C7"/>
    <w:pPr>
      <w:spacing w:after="160"/>
      <w:ind w:firstLine="360"/>
    </w:pPr>
  </w:style>
  <w:style w:type="character" w:customStyle="1" w:styleId="BodyTextFirstIndent2Char">
    <w:name w:val="Body Text First Indent 2 Char"/>
    <w:basedOn w:val="BodyTextIndentChar"/>
    <w:link w:val="BodyTextFirstIndent2"/>
    <w:semiHidden/>
    <w:rsid w:val="008C38C7"/>
    <w:rPr>
      <w:rFonts w:asciiTheme="minorHAnsi" w:eastAsiaTheme="minorHAnsi" w:hAnsiTheme="minorHAnsi" w:cstheme="minorBidi"/>
      <w:sz w:val="22"/>
      <w:szCs w:val="22"/>
    </w:rPr>
  </w:style>
  <w:style w:type="paragraph" w:styleId="BodyTextIndent2">
    <w:name w:val="Body Text Indent 2"/>
    <w:basedOn w:val="Normal"/>
    <w:link w:val="BodyTextIndent2Char"/>
    <w:qFormat/>
    <w:rsid w:val="008C38C7"/>
    <w:pPr>
      <w:spacing w:after="120" w:line="480" w:lineRule="auto"/>
      <w:ind w:left="360"/>
    </w:pPr>
  </w:style>
  <w:style w:type="character" w:customStyle="1" w:styleId="BodyTextIndent2Char">
    <w:name w:val="Body Text Indent 2 Char"/>
    <w:basedOn w:val="DefaultParagraphFont"/>
    <w:link w:val="BodyTextIndent2"/>
    <w:semiHidden/>
    <w:rsid w:val="008C38C7"/>
    <w:rPr>
      <w:rFonts w:asciiTheme="minorHAnsi" w:eastAsiaTheme="minorHAnsi" w:hAnsiTheme="minorHAnsi" w:cstheme="minorBidi"/>
      <w:sz w:val="22"/>
      <w:szCs w:val="22"/>
    </w:rPr>
  </w:style>
  <w:style w:type="paragraph" w:styleId="BodyTextIndent3">
    <w:name w:val="Body Text Indent 3"/>
    <w:basedOn w:val="Normal"/>
    <w:link w:val="BodyTextIndent3Char"/>
    <w:qFormat/>
    <w:rsid w:val="008C38C7"/>
    <w:pPr>
      <w:spacing w:after="120"/>
      <w:ind w:left="360"/>
    </w:pPr>
    <w:rPr>
      <w:sz w:val="16"/>
      <w:szCs w:val="16"/>
    </w:rPr>
  </w:style>
  <w:style w:type="character" w:customStyle="1" w:styleId="BodyTextIndent3Char">
    <w:name w:val="Body Text Indent 3 Char"/>
    <w:basedOn w:val="DefaultParagraphFont"/>
    <w:link w:val="BodyTextIndent3"/>
    <w:semiHidden/>
    <w:rsid w:val="008C38C7"/>
    <w:rPr>
      <w:rFonts w:asciiTheme="minorHAnsi" w:eastAsiaTheme="minorHAnsi" w:hAnsiTheme="minorHAnsi" w:cstheme="minorBidi"/>
      <w:sz w:val="16"/>
      <w:szCs w:val="16"/>
    </w:rPr>
  </w:style>
  <w:style w:type="character" w:styleId="BookTitle">
    <w:name w:val="Book Title"/>
    <w:basedOn w:val="DefaultParagraphFont"/>
    <w:qFormat/>
    <w:rsid w:val="008C38C7"/>
    <w:rPr>
      <w:b/>
      <w:bCs/>
      <w:i/>
      <w:iCs/>
      <w:spacing w:val="5"/>
    </w:rPr>
  </w:style>
  <w:style w:type="paragraph" w:customStyle="1" w:styleId="Blank">
    <w:name w:val="Blank"/>
    <w:basedOn w:val="Normal"/>
    <w:qFormat/>
    <w:rsid w:val="008C38C7"/>
    <w:pPr>
      <w:spacing w:before="5120" w:after="0"/>
      <w:jc w:val="center"/>
    </w:pPr>
    <w:rPr>
      <w:b/>
      <w:bCs/>
    </w:rPr>
  </w:style>
  <w:style w:type="paragraph" w:customStyle="1" w:styleId="Byline">
    <w:name w:val="Byline"/>
    <w:basedOn w:val="Normal"/>
    <w:qFormat/>
    <w:rsid w:val="008C38C7"/>
    <w:pPr>
      <w:spacing w:after="0"/>
      <w:jc w:val="right"/>
    </w:pPr>
    <w:rPr>
      <w:rFonts w:asciiTheme="majorHAnsi" w:hAnsiTheme="majorHAnsi"/>
      <w:bCs/>
    </w:rPr>
  </w:style>
  <w:style w:type="paragraph" w:customStyle="1" w:styleId="Callout">
    <w:name w:val="Callout"/>
    <w:basedOn w:val="Normal"/>
    <w:qFormat/>
    <w:rsid w:val="008C38C7"/>
    <w:pPr>
      <w:ind w:left="720" w:right="720"/>
    </w:pPr>
    <w:rPr>
      <w:bCs/>
      <w:color w:val="000000" w:themeColor="text1"/>
    </w:rPr>
  </w:style>
  <w:style w:type="paragraph" w:styleId="Date">
    <w:name w:val="Date"/>
    <w:basedOn w:val="Normal"/>
    <w:next w:val="Normal"/>
    <w:link w:val="DateChar"/>
    <w:qFormat/>
    <w:rsid w:val="008C38C7"/>
    <w:rPr>
      <w:rFonts w:asciiTheme="majorHAnsi" w:hAnsiTheme="majorHAnsi"/>
      <w:b/>
    </w:rPr>
  </w:style>
  <w:style w:type="character" w:customStyle="1" w:styleId="DateChar">
    <w:name w:val="Date Char"/>
    <w:basedOn w:val="DefaultParagraphFont"/>
    <w:link w:val="Date"/>
    <w:rsid w:val="008C38C7"/>
    <w:rPr>
      <w:rFonts w:asciiTheme="majorHAnsi" w:eastAsiaTheme="minorHAnsi" w:hAnsiTheme="majorHAnsi" w:cstheme="minorBidi"/>
      <w:b/>
      <w:sz w:val="22"/>
      <w:szCs w:val="22"/>
    </w:rPr>
  </w:style>
  <w:style w:type="paragraph" w:customStyle="1" w:styleId="CoverTitle">
    <w:name w:val="Cover Title"/>
    <w:qFormat/>
    <w:rsid w:val="008C38C7"/>
    <w:pPr>
      <w:spacing w:before="920" w:after="240"/>
      <w:outlineLvl w:val="0"/>
    </w:pPr>
    <w:rPr>
      <w:rFonts w:asciiTheme="majorHAnsi" w:eastAsiaTheme="minorHAnsi" w:hAnsiTheme="majorHAnsi" w:cstheme="minorBidi"/>
      <w:b/>
      <w:bCs/>
      <w:color w:val="FFFFFF" w:themeColor="background1"/>
      <w:spacing w:val="5"/>
      <w:sz w:val="48"/>
      <w:szCs w:val="22"/>
    </w:rPr>
  </w:style>
  <w:style w:type="paragraph" w:customStyle="1" w:styleId="CoverDate">
    <w:name w:val="Cover Date"/>
    <w:qFormat/>
    <w:rsid w:val="008C38C7"/>
    <w:pPr>
      <w:spacing w:before="1200" w:after="24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qFormat/>
    <w:rsid w:val="008C38C7"/>
    <w:pPr>
      <w:numPr>
        <w:numId w:val="19"/>
      </w:numPr>
      <w:adjustRightInd w:val="0"/>
      <w:spacing w:after="80"/>
    </w:pPr>
  </w:style>
  <w:style w:type="paragraph" w:styleId="ListNumber4">
    <w:name w:val="List Number 4"/>
    <w:basedOn w:val="Normal"/>
    <w:qFormat/>
    <w:rsid w:val="008C38C7"/>
    <w:pPr>
      <w:numPr>
        <w:numId w:val="20"/>
      </w:numPr>
      <w:contextualSpacing/>
    </w:pPr>
  </w:style>
  <w:style w:type="paragraph" w:customStyle="1" w:styleId="CoverSubtitle">
    <w:name w:val="Cover Subtitle"/>
    <w:qFormat/>
    <w:rsid w:val="008C38C7"/>
    <w:rPr>
      <w:rFonts w:asciiTheme="majorHAnsi" w:eastAsiaTheme="minorHAnsi" w:hAnsiTheme="majorHAnsi" w:cstheme="minorBidi"/>
      <w:color w:val="FFFFFF" w:themeColor="background1"/>
      <w:spacing w:val="5"/>
      <w:sz w:val="36"/>
      <w:szCs w:val="22"/>
    </w:rPr>
  </w:style>
  <w:style w:type="paragraph" w:customStyle="1" w:styleId="CoverText">
    <w:name w:val="Cover Text"/>
    <w:qFormat/>
    <w:rsid w:val="008C38C7"/>
    <w:pPr>
      <w:spacing w:after="300" w:line="276" w:lineRule="auto"/>
      <w:contextualSpacing/>
    </w:pPr>
    <w:rPr>
      <w:rFonts w:asciiTheme="minorHAnsi" w:eastAsiaTheme="minorHAnsi" w:hAnsiTheme="minorHAnsi" w:cstheme="minorBidi"/>
      <w:color w:val="0B2949" w:themeColor="accent1"/>
      <w:sz w:val="22"/>
      <w:szCs w:val="22"/>
    </w:rPr>
  </w:style>
  <w:style w:type="paragraph" w:customStyle="1" w:styleId="CoverHead">
    <w:name w:val="Cover Head"/>
    <w:basedOn w:val="CoverDate"/>
    <w:qFormat/>
    <w:rsid w:val="008C38C7"/>
    <w:pPr>
      <w:spacing w:before="0" w:after="90" w:line="276" w:lineRule="auto"/>
    </w:pPr>
    <w:rPr>
      <w:rFonts w:asciiTheme="minorHAnsi" w:hAnsiTheme="minorHAnsi"/>
      <w:sz w:val="22"/>
    </w:rPr>
  </w:style>
  <w:style w:type="paragraph" w:customStyle="1" w:styleId="CoverAuthor">
    <w:name w:val="Cover Author"/>
    <w:basedOn w:val="CoverDate"/>
    <w:qFormat/>
    <w:rsid w:val="008C38C7"/>
    <w:pPr>
      <w:spacing w:before="240"/>
    </w:pPr>
    <w:rPr>
      <w:b w:val="0"/>
    </w:rPr>
  </w:style>
  <w:style w:type="paragraph" w:styleId="DocumentMap">
    <w:name w:val="Document Map"/>
    <w:basedOn w:val="Normal"/>
    <w:link w:val="DocumentMapChar"/>
    <w:qFormat/>
    <w:rsid w:val="008C38C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38C7"/>
    <w:rPr>
      <w:rFonts w:ascii="Segoe UI" w:hAnsi="Segoe UI" w:eastAsiaTheme="minorHAnsi" w:cs="Segoe UI"/>
      <w:sz w:val="16"/>
      <w:szCs w:val="16"/>
    </w:rPr>
  </w:style>
  <w:style w:type="character" w:styleId="EndnoteReference">
    <w:name w:val="endnote reference"/>
    <w:basedOn w:val="DefaultParagraphFont"/>
    <w:qFormat/>
    <w:rsid w:val="008C38C7"/>
    <w:rPr>
      <w:vertAlign w:val="superscript"/>
    </w:rPr>
  </w:style>
  <w:style w:type="paragraph" w:customStyle="1" w:styleId="Addressee">
    <w:name w:val="Addressee"/>
    <w:basedOn w:val="Normal"/>
    <w:qFormat/>
    <w:rsid w:val="008C38C7"/>
    <w:pPr>
      <w:tabs>
        <w:tab w:val="left" w:pos="576"/>
      </w:tabs>
      <w:spacing w:before="240"/>
      <w:ind w:left="576" w:hanging="576"/>
    </w:pPr>
  </w:style>
  <w:style w:type="paragraph" w:customStyle="1" w:styleId="PubinfoAuthor">
    <w:name w:val="Pubinfo Author"/>
    <w:basedOn w:val="Pubinfo"/>
    <w:qFormat/>
    <w:rsid w:val="008C38C7"/>
    <w:pPr>
      <w:spacing w:after="0"/>
    </w:pPr>
  </w:style>
  <w:style w:type="paragraph" w:customStyle="1" w:styleId="ExhibitFootnote">
    <w:name w:val="Exhibit Footnote"/>
    <w:basedOn w:val="TableTextLeft"/>
    <w:qFormat/>
    <w:rsid w:val="008C38C7"/>
    <w:pPr>
      <w:spacing w:after="60"/>
    </w:pPr>
  </w:style>
  <w:style w:type="paragraph" w:styleId="Closing">
    <w:name w:val="Closing"/>
    <w:basedOn w:val="Normal"/>
    <w:link w:val="ClosingChar"/>
    <w:qFormat/>
    <w:rsid w:val="008C38C7"/>
    <w:pPr>
      <w:spacing w:after="240" w:line="240" w:lineRule="auto"/>
      <w:ind w:left="4320"/>
      <w:contextualSpacing/>
    </w:pPr>
  </w:style>
  <w:style w:type="character" w:customStyle="1" w:styleId="ClosingChar">
    <w:name w:val="Closing Char"/>
    <w:basedOn w:val="DefaultParagraphFont"/>
    <w:link w:val="Closing"/>
    <w:semiHidden/>
    <w:rsid w:val="008C38C7"/>
    <w:rPr>
      <w:rFonts w:asciiTheme="minorHAnsi" w:eastAsiaTheme="minorHAnsi" w:hAnsiTheme="minorHAnsi" w:cstheme="minorBidi"/>
      <w:sz w:val="22"/>
      <w:szCs w:val="22"/>
    </w:rPr>
  </w:style>
  <w:style w:type="paragraph" w:customStyle="1" w:styleId="ESH1">
    <w:name w:val="ES H1"/>
    <w:basedOn w:val="H1"/>
    <w:next w:val="ESParagraphContinued"/>
    <w:qFormat/>
    <w:rsid w:val="008C38C7"/>
  </w:style>
  <w:style w:type="paragraph" w:customStyle="1" w:styleId="ESH2">
    <w:name w:val="ES H2"/>
    <w:basedOn w:val="ESH1"/>
    <w:next w:val="ESParagraphContinued"/>
    <w:qFormat/>
    <w:rsid w:val="008C38C7"/>
    <w:pPr>
      <w:outlineLvl w:val="2"/>
    </w:pPr>
    <w:rPr>
      <w:b w:val="0"/>
      <w:sz w:val="24"/>
    </w:rPr>
  </w:style>
  <w:style w:type="paragraph" w:customStyle="1" w:styleId="ESListBullet">
    <w:name w:val="ES List Bullet"/>
    <w:basedOn w:val="ESParagraph"/>
    <w:qFormat/>
    <w:rsid w:val="008C38C7"/>
    <w:pPr>
      <w:numPr>
        <w:numId w:val="22"/>
      </w:numPr>
    </w:pPr>
  </w:style>
  <w:style w:type="paragraph" w:customStyle="1" w:styleId="ESListNumber">
    <w:name w:val="ES List Number"/>
    <w:basedOn w:val="ESParagraph"/>
    <w:qFormat/>
    <w:rsid w:val="008C38C7"/>
    <w:pPr>
      <w:numPr>
        <w:numId w:val="23"/>
      </w:numPr>
    </w:pPr>
  </w:style>
  <w:style w:type="paragraph" w:customStyle="1" w:styleId="ESParagraph">
    <w:name w:val="ES Paragraph"/>
    <w:basedOn w:val="Normal"/>
    <w:qFormat/>
    <w:rsid w:val="008C38C7"/>
    <w:rPr>
      <w:rFonts w:asciiTheme="majorHAnsi" w:hAnsiTheme="majorHAnsi"/>
      <w:color w:val="000000" w:themeColor="text1"/>
    </w:rPr>
  </w:style>
  <w:style w:type="paragraph" w:customStyle="1" w:styleId="ESParagraphContinued">
    <w:name w:val="ES Paragraph Continued"/>
    <w:basedOn w:val="ESParagraph"/>
    <w:next w:val="ESParagraph"/>
    <w:qFormat/>
    <w:rsid w:val="008C38C7"/>
    <w:pPr>
      <w:spacing w:before="160"/>
    </w:pPr>
  </w:style>
  <w:style w:type="paragraph" w:customStyle="1" w:styleId="ExhibitSignificance">
    <w:name w:val="Exhibit Significance"/>
    <w:basedOn w:val="TableTextLeft"/>
    <w:qFormat/>
    <w:rsid w:val="008C38C7"/>
    <w:pPr>
      <w:tabs>
        <w:tab w:val="right" w:pos="180"/>
        <w:tab w:val="left" w:pos="270"/>
      </w:tabs>
      <w:spacing w:after="60"/>
      <w:ind w:left="270" w:hanging="270"/>
    </w:pPr>
  </w:style>
  <w:style w:type="paragraph" w:customStyle="1" w:styleId="FAQQuestion">
    <w:name w:val="FAQ Question"/>
    <w:basedOn w:val="H1"/>
    <w:next w:val="ParagraphContinued"/>
    <w:qFormat/>
    <w:rsid w:val="008C38C7"/>
    <w:rPr>
      <w:color w:val="0B2949" w:themeColor="accent1"/>
    </w:rPr>
  </w:style>
  <w:style w:type="paragraph" w:customStyle="1" w:styleId="Feature1">
    <w:name w:val="Feature1"/>
    <w:basedOn w:val="Normal"/>
    <w:qFormat/>
    <w:rsid w:val="008C38C7"/>
    <w:pPr>
      <w:spacing w:after="0"/>
    </w:pPr>
  </w:style>
  <w:style w:type="paragraph" w:customStyle="1" w:styleId="Feature1Title">
    <w:name w:val="Feature1 Title"/>
    <w:basedOn w:val="H1"/>
    <w:next w:val="Feature1"/>
    <w:qFormat/>
    <w:rsid w:val="008C38C7"/>
  </w:style>
  <w:style w:type="paragraph" w:customStyle="1" w:styleId="Feature1ListBullet">
    <w:name w:val="Feature1 List Bullet"/>
    <w:basedOn w:val="Feature1"/>
    <w:qFormat/>
    <w:rsid w:val="008C38C7"/>
  </w:style>
  <w:style w:type="paragraph" w:customStyle="1" w:styleId="Feature1ListNumber">
    <w:name w:val="Feature1 List Number"/>
    <w:basedOn w:val="Feature1"/>
    <w:qFormat/>
    <w:rsid w:val="008C38C7"/>
  </w:style>
  <w:style w:type="paragraph" w:customStyle="1" w:styleId="Feature1Head">
    <w:name w:val="Feature1 Head"/>
    <w:basedOn w:val="Feature1Title"/>
    <w:next w:val="Feature1"/>
    <w:qFormat/>
    <w:rsid w:val="008C38C7"/>
    <w:pPr>
      <w:spacing w:after="80" w:line="240" w:lineRule="auto"/>
      <w:ind w:left="0" w:firstLine="0"/>
      <w:outlineLvl w:val="9"/>
    </w:pPr>
  </w:style>
  <w:style w:type="paragraph" w:customStyle="1" w:styleId="Feature2">
    <w:name w:val="Feature2"/>
    <w:basedOn w:val="Normal"/>
    <w:qFormat/>
    <w:rsid w:val="008C38C7"/>
    <w:pPr>
      <w:spacing w:after="0"/>
    </w:pPr>
  </w:style>
  <w:style w:type="paragraph" w:customStyle="1" w:styleId="Feature2Title">
    <w:name w:val="Feature2 Title"/>
    <w:basedOn w:val="H1"/>
    <w:qFormat/>
    <w:rsid w:val="008C38C7"/>
  </w:style>
  <w:style w:type="paragraph" w:customStyle="1" w:styleId="Feature2Head">
    <w:name w:val="Feature2 Head"/>
    <w:basedOn w:val="Feature2Title"/>
    <w:next w:val="Feature2"/>
    <w:qFormat/>
    <w:rsid w:val="008C38C7"/>
  </w:style>
  <w:style w:type="paragraph" w:customStyle="1" w:styleId="Feature2ListBullet">
    <w:name w:val="Feature2 List Bullet"/>
    <w:basedOn w:val="Feature2"/>
    <w:qFormat/>
    <w:rsid w:val="008C38C7"/>
  </w:style>
  <w:style w:type="paragraph" w:customStyle="1" w:styleId="Feature2ListNumber">
    <w:name w:val="Feature2 List Number"/>
    <w:basedOn w:val="Feature2"/>
    <w:qFormat/>
    <w:rsid w:val="008C38C7"/>
  </w:style>
  <w:style w:type="paragraph" w:customStyle="1" w:styleId="Feature1ListHead">
    <w:name w:val="Feature1 List Head"/>
    <w:basedOn w:val="Feature1"/>
    <w:next w:val="Feature1ListBullet"/>
    <w:qFormat/>
    <w:rsid w:val="008C38C7"/>
    <w:rPr>
      <w:b/>
    </w:rPr>
  </w:style>
  <w:style w:type="paragraph" w:customStyle="1" w:styleId="Feature2ListHead">
    <w:name w:val="Feature2 List Head"/>
    <w:basedOn w:val="Feature2"/>
    <w:next w:val="Feature2ListBullet"/>
    <w:qFormat/>
    <w:rsid w:val="008C38C7"/>
    <w:rPr>
      <w:b/>
    </w:rPr>
  </w:style>
  <w:style w:type="paragraph" w:customStyle="1" w:styleId="FigureTitle">
    <w:name w:val="Figure Title"/>
    <w:basedOn w:val="ExhibitTitle"/>
    <w:qFormat/>
    <w:rsid w:val="008C38C7"/>
  </w:style>
  <w:style w:type="paragraph" w:customStyle="1" w:styleId="H2">
    <w:name w:val="H2"/>
    <w:basedOn w:val="H1"/>
    <w:next w:val="ParagraphContinued"/>
    <w:qFormat/>
    <w:rsid w:val="008C38C7"/>
    <w:pPr>
      <w:outlineLvl w:val="2"/>
    </w:pPr>
    <w:rPr>
      <w:b w:val="0"/>
      <w:sz w:val="24"/>
    </w:rPr>
  </w:style>
  <w:style w:type="paragraph" w:customStyle="1" w:styleId="H3">
    <w:name w:val="H3"/>
    <w:basedOn w:val="H1"/>
    <w:next w:val="ParagraphContinued"/>
    <w:qFormat/>
    <w:rsid w:val="008C38C7"/>
    <w:pPr>
      <w:outlineLvl w:val="3"/>
    </w:pPr>
    <w:rPr>
      <w:rFonts w:asciiTheme="minorHAnsi" w:hAnsiTheme="minorHAnsi"/>
      <w:color w:val="000000" w:themeColor="text1"/>
      <w:sz w:val="22"/>
    </w:rPr>
  </w:style>
  <w:style w:type="paragraph" w:customStyle="1" w:styleId="H4">
    <w:name w:val="H4"/>
    <w:basedOn w:val="H1"/>
    <w:next w:val="ParagraphContinued"/>
    <w:qFormat/>
    <w:rsid w:val="008C38C7"/>
    <w:pPr>
      <w:outlineLvl w:val="4"/>
    </w:pPr>
    <w:rPr>
      <w:rFonts w:asciiTheme="minorHAnsi" w:hAnsiTheme="minorHAnsi"/>
      <w:b w:val="0"/>
      <w:i/>
      <w:color w:val="000000" w:themeColor="text1"/>
      <w:sz w:val="22"/>
    </w:rPr>
  </w:style>
  <w:style w:type="paragraph" w:styleId="Index1">
    <w:name w:val="index 1"/>
    <w:basedOn w:val="Normal"/>
    <w:next w:val="Normal"/>
    <w:autoRedefine/>
    <w:qFormat/>
    <w:rsid w:val="008C38C7"/>
    <w:pPr>
      <w:spacing w:after="0" w:line="240" w:lineRule="auto"/>
      <w:ind w:left="200" w:hanging="200"/>
    </w:pPr>
  </w:style>
  <w:style w:type="paragraph" w:styleId="IndexHeading">
    <w:name w:val="index heading"/>
    <w:basedOn w:val="Normal"/>
    <w:next w:val="Index1"/>
    <w:qFormat/>
    <w:rsid w:val="008C38C7"/>
    <w:rPr>
      <w:rFonts w:asciiTheme="majorHAnsi" w:eastAsiaTheme="majorEastAsia" w:hAnsiTheme="majorHAnsi" w:cstheme="majorBidi"/>
      <w:b/>
      <w:bCs/>
    </w:rPr>
  </w:style>
  <w:style w:type="paragraph" w:customStyle="1" w:styleId="Introduction">
    <w:name w:val="Introduction"/>
    <w:basedOn w:val="Normal"/>
    <w:qFormat/>
    <w:rsid w:val="008C38C7"/>
    <w:pPr>
      <w:spacing w:after="0"/>
    </w:pPr>
    <w:rPr>
      <w:rFonts w:asciiTheme="majorHAnsi" w:hAnsiTheme="majorHAnsi"/>
      <w:color w:val="000000" w:themeColor="text1"/>
    </w:rPr>
  </w:style>
  <w:style w:type="paragraph" w:styleId="Macro">
    <w:name w:val="macro"/>
    <w:link w:val="MacroTextChar"/>
    <w:qFormat/>
    <w:rsid w:val="008C38C7"/>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8C38C7"/>
    <w:rPr>
      <w:rFonts w:ascii="Consolas" w:hAnsi="Consolas" w:eastAsiaTheme="minorHAnsi" w:cstheme="minorBidi"/>
    </w:rPr>
  </w:style>
  <w:style w:type="paragraph" w:customStyle="1" w:styleId="Notes">
    <w:name w:val="Notes"/>
    <w:basedOn w:val="Normal"/>
    <w:qFormat/>
    <w:rsid w:val="008C38C7"/>
    <w:rPr>
      <w:color w:val="046B5C" w:themeColor="text2"/>
    </w:rPr>
  </w:style>
  <w:style w:type="paragraph" w:customStyle="1" w:styleId="Pubinfo">
    <w:name w:val="Pubinfo"/>
    <w:basedOn w:val="Normal"/>
    <w:qFormat/>
    <w:rsid w:val="008C38C7"/>
    <w:rPr>
      <w:b/>
    </w:rPr>
  </w:style>
  <w:style w:type="paragraph" w:customStyle="1" w:styleId="PubinfoCategory">
    <w:name w:val="Pubinfo Category"/>
    <w:basedOn w:val="Pubinfo"/>
    <w:qFormat/>
    <w:rsid w:val="008C38C7"/>
  </w:style>
  <w:style w:type="paragraph" w:customStyle="1" w:styleId="PubinfoDate">
    <w:name w:val="Pubinfo Date"/>
    <w:basedOn w:val="PubinfoCategory"/>
    <w:qFormat/>
    <w:rsid w:val="008C38C7"/>
  </w:style>
  <w:style w:type="paragraph" w:customStyle="1" w:styleId="PubinfoHead">
    <w:name w:val="Pubinfo Head"/>
    <w:basedOn w:val="Pubinfo"/>
    <w:qFormat/>
    <w:rsid w:val="008C38C7"/>
  </w:style>
  <w:style w:type="paragraph" w:customStyle="1" w:styleId="PubinfoList">
    <w:name w:val="Pubinfo List"/>
    <w:basedOn w:val="Pubinfo"/>
    <w:qFormat/>
    <w:rsid w:val="008C38C7"/>
  </w:style>
  <w:style w:type="paragraph" w:customStyle="1" w:styleId="PubinfoNumber">
    <w:name w:val="Pubinfo Number"/>
    <w:basedOn w:val="Pubinfo"/>
    <w:qFormat/>
    <w:rsid w:val="008C38C7"/>
  </w:style>
  <w:style w:type="paragraph" w:styleId="Quote">
    <w:name w:val="Quote"/>
    <w:basedOn w:val="Normal"/>
    <w:link w:val="QuoteChar"/>
    <w:qFormat/>
    <w:rsid w:val="008C38C7"/>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8C38C7"/>
    <w:rPr>
      <w:rFonts w:asciiTheme="majorHAnsi" w:eastAsiaTheme="minorHAnsi" w:hAnsiTheme="majorHAnsi" w:cstheme="minorBidi"/>
      <w:i/>
      <w:iCs/>
      <w:color w:val="444D54" w:themeColor="accent3" w:themeShade="BF"/>
      <w:sz w:val="24"/>
      <w:szCs w:val="21"/>
    </w:rPr>
  </w:style>
  <w:style w:type="paragraph" w:customStyle="1" w:styleId="QuoteAttribution">
    <w:name w:val="Quote Attribution"/>
    <w:basedOn w:val="Quote"/>
    <w:qFormat/>
    <w:rsid w:val="008C38C7"/>
    <w:pPr>
      <w:spacing w:before="0" w:after="160"/>
      <w:jc w:val="right"/>
    </w:pPr>
    <w:rPr>
      <w:i w:val="0"/>
      <w:sz w:val="20"/>
    </w:rPr>
  </w:style>
  <w:style w:type="paragraph" w:styleId="Subtitle">
    <w:name w:val="Subtitle"/>
    <w:basedOn w:val="Normal"/>
    <w:next w:val="Normal"/>
    <w:link w:val="SubtitleChar"/>
    <w:qFormat/>
    <w:rsid w:val="008C38C7"/>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8C38C7"/>
    <w:rPr>
      <w:rFonts w:asciiTheme="majorHAnsi" w:eastAsiaTheme="minorEastAsia" w:hAnsiTheme="majorHAnsi" w:cstheme="minorBidi"/>
      <w:color w:val="046B5C" w:themeColor="text2"/>
      <w:spacing w:val="15"/>
      <w:sz w:val="36"/>
      <w:szCs w:val="22"/>
    </w:rPr>
  </w:style>
  <w:style w:type="paragraph" w:customStyle="1" w:styleId="SidebarTitle">
    <w:name w:val="Sidebar Title"/>
    <w:basedOn w:val="H1"/>
    <w:next w:val="Sidebar"/>
    <w:qFormat/>
    <w:rsid w:val="008C38C7"/>
    <w:pPr>
      <w:ind w:left="0" w:firstLine="0"/>
    </w:pPr>
    <w:rPr>
      <w:color w:val="0B2949" w:themeColor="accent1"/>
      <w:sz w:val="22"/>
    </w:rPr>
  </w:style>
  <w:style w:type="paragraph" w:customStyle="1" w:styleId="SidebarHead">
    <w:name w:val="Sidebar Head"/>
    <w:basedOn w:val="SidebarTitle"/>
    <w:next w:val="Sidebar"/>
    <w:qFormat/>
    <w:rsid w:val="008C38C7"/>
    <w:pPr>
      <w:spacing w:before="100" w:after="80"/>
    </w:pPr>
  </w:style>
  <w:style w:type="paragraph" w:customStyle="1" w:styleId="TableTextRight">
    <w:name w:val="Table Text Right"/>
    <w:basedOn w:val="TableTextLeft"/>
    <w:qFormat/>
    <w:rsid w:val="008C38C7"/>
    <w:pPr>
      <w:jc w:val="right"/>
    </w:pPr>
  </w:style>
  <w:style w:type="paragraph" w:customStyle="1" w:styleId="TableTextDecimal">
    <w:name w:val="Table Text Decimal"/>
    <w:basedOn w:val="TableTextLeft"/>
    <w:qFormat/>
    <w:rsid w:val="008C38C7"/>
    <w:pPr>
      <w:tabs>
        <w:tab w:val="decimal" w:pos="576"/>
      </w:tabs>
    </w:pPr>
  </w:style>
  <w:style w:type="paragraph" w:customStyle="1" w:styleId="TableRowHead">
    <w:name w:val="Table Row Head"/>
    <w:basedOn w:val="TableTextLeft"/>
    <w:qFormat/>
    <w:rsid w:val="008C38C7"/>
    <w:pPr>
      <w:keepNext/>
    </w:pPr>
    <w:rPr>
      <w:b/>
      <w:color w:val="auto"/>
    </w:rPr>
  </w:style>
  <w:style w:type="paragraph" w:customStyle="1" w:styleId="TableListNumber">
    <w:name w:val="Table List Number"/>
    <w:basedOn w:val="TableTextLeft"/>
    <w:qFormat/>
    <w:rsid w:val="0031573B"/>
    <w:pPr>
      <w:numPr>
        <w:numId w:val="24"/>
      </w:numPr>
      <w:ind w:left="288" w:hanging="288"/>
    </w:pPr>
  </w:style>
  <w:style w:type="paragraph" w:customStyle="1" w:styleId="TableTitle">
    <w:name w:val="Table Title"/>
    <w:basedOn w:val="ExhibitTitle"/>
    <w:qFormat/>
    <w:rsid w:val="008C38C7"/>
  </w:style>
  <w:style w:type="paragraph" w:customStyle="1" w:styleId="TableTextCentered">
    <w:name w:val="Table Text Centered"/>
    <w:basedOn w:val="TableTextLeft"/>
    <w:qFormat/>
    <w:rsid w:val="008C38C7"/>
    <w:pPr>
      <w:jc w:val="center"/>
    </w:pPr>
  </w:style>
  <w:style w:type="paragraph" w:styleId="TOC1">
    <w:name w:val="toc 1"/>
    <w:basedOn w:val="Normal"/>
    <w:next w:val="Normal"/>
    <w:qFormat/>
    <w:rsid w:val="008C38C7"/>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8C38C7"/>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8C38C7"/>
    <w:pPr>
      <w:tabs>
        <w:tab w:val="right" w:leader="dot" w:pos="9360"/>
      </w:tabs>
      <w:spacing w:after="100"/>
      <w:ind w:left="1296" w:hanging="432"/>
    </w:pPr>
    <w:rPr>
      <w:rFonts w:asciiTheme="majorHAnsi" w:hAnsiTheme="majorHAnsi"/>
    </w:rPr>
  </w:style>
  <w:style w:type="paragraph" w:styleId="TOCHeading">
    <w:name w:val="TOC Heading"/>
    <w:next w:val="TOC1"/>
    <w:qFormat/>
    <w:rsid w:val="008C38C7"/>
    <w:pPr>
      <w:spacing w:after="240" w:line="264" w:lineRule="auto"/>
    </w:pPr>
    <w:rPr>
      <w:rFonts w:asciiTheme="majorHAnsi" w:eastAsiaTheme="minorHAnsi" w:hAnsiTheme="majorHAnsi" w:cstheme="minorBidi"/>
      <w:b/>
      <w:sz w:val="28"/>
      <w:szCs w:val="22"/>
    </w:rPr>
  </w:style>
  <w:style w:type="paragraph" w:styleId="List2">
    <w:name w:val="List 2"/>
    <w:basedOn w:val="Normal"/>
    <w:qFormat/>
    <w:rsid w:val="008C38C7"/>
    <w:pPr>
      <w:numPr>
        <w:ilvl w:val="1"/>
        <w:numId w:val="13"/>
      </w:numPr>
      <w:contextualSpacing/>
    </w:pPr>
  </w:style>
  <w:style w:type="paragraph" w:styleId="List3">
    <w:name w:val="List 3"/>
    <w:basedOn w:val="Normal"/>
    <w:qFormat/>
    <w:rsid w:val="008C38C7"/>
    <w:pPr>
      <w:numPr>
        <w:ilvl w:val="2"/>
        <w:numId w:val="13"/>
      </w:numPr>
      <w:contextualSpacing/>
    </w:pPr>
  </w:style>
  <w:style w:type="paragraph" w:customStyle="1" w:styleId="ListAlpha">
    <w:name w:val="List Alpha"/>
    <w:basedOn w:val="List"/>
    <w:qFormat/>
    <w:rsid w:val="008C38C7"/>
    <w:pPr>
      <w:numPr>
        <w:numId w:val="31"/>
      </w:numPr>
    </w:pPr>
  </w:style>
  <w:style w:type="paragraph" w:customStyle="1" w:styleId="ListAlpha2">
    <w:name w:val="List Alpha 2"/>
    <w:basedOn w:val="List2"/>
    <w:qFormat/>
    <w:rsid w:val="008C38C7"/>
    <w:pPr>
      <w:numPr>
        <w:ilvl w:val="0"/>
        <w:numId w:val="32"/>
      </w:numPr>
      <w:spacing w:after="80"/>
      <w:contextualSpacing w:val="0"/>
    </w:pPr>
  </w:style>
  <w:style w:type="paragraph" w:customStyle="1" w:styleId="ListAlpha3">
    <w:name w:val="List Alpha 3"/>
    <w:basedOn w:val="List3"/>
    <w:qFormat/>
    <w:rsid w:val="008C38C7"/>
    <w:pPr>
      <w:numPr>
        <w:ilvl w:val="0"/>
        <w:numId w:val="33"/>
      </w:numPr>
      <w:spacing w:after="80"/>
      <w:contextualSpacing w:val="0"/>
    </w:pPr>
  </w:style>
  <w:style w:type="paragraph" w:styleId="List4">
    <w:name w:val="List 4"/>
    <w:basedOn w:val="Normal"/>
    <w:qFormat/>
    <w:rsid w:val="008C38C7"/>
    <w:pPr>
      <w:numPr>
        <w:ilvl w:val="3"/>
        <w:numId w:val="13"/>
      </w:numPr>
      <w:contextualSpacing/>
    </w:pPr>
  </w:style>
  <w:style w:type="paragraph" w:customStyle="1" w:styleId="Outline1">
    <w:name w:val="Outline 1"/>
    <w:basedOn w:val="List"/>
    <w:qFormat/>
    <w:rsid w:val="008C38C7"/>
    <w:pPr>
      <w:numPr>
        <w:numId w:val="0"/>
      </w:numPr>
      <w:spacing w:after="0"/>
    </w:pPr>
  </w:style>
  <w:style w:type="paragraph" w:customStyle="1" w:styleId="Outline2">
    <w:name w:val="Outline 2"/>
    <w:basedOn w:val="List2"/>
    <w:qFormat/>
    <w:rsid w:val="008C38C7"/>
    <w:pPr>
      <w:numPr>
        <w:numId w:val="26"/>
      </w:numPr>
      <w:spacing w:after="0"/>
    </w:pPr>
  </w:style>
  <w:style w:type="paragraph" w:customStyle="1" w:styleId="Outline3">
    <w:name w:val="Outline 3"/>
    <w:basedOn w:val="List3"/>
    <w:qFormat/>
    <w:rsid w:val="008C38C7"/>
    <w:pPr>
      <w:numPr>
        <w:numId w:val="26"/>
      </w:numPr>
      <w:spacing w:after="0"/>
    </w:pPr>
  </w:style>
  <w:style w:type="paragraph" w:customStyle="1" w:styleId="Outline4">
    <w:name w:val="Outline 4"/>
    <w:basedOn w:val="List4"/>
    <w:qFormat/>
    <w:rsid w:val="008C38C7"/>
    <w:pPr>
      <w:numPr>
        <w:ilvl w:val="0"/>
        <w:numId w:val="0"/>
      </w:numPr>
      <w:spacing w:after="0"/>
      <w:ind w:left="1440" w:hanging="360"/>
    </w:pPr>
  </w:style>
  <w:style w:type="character" w:customStyle="1" w:styleId="BoldItalic">
    <w:name w:val="Bold Italic"/>
    <w:basedOn w:val="DefaultParagraphFont"/>
    <w:qFormat/>
    <w:rsid w:val="008C38C7"/>
    <w:rPr>
      <w:b/>
      <w:i/>
    </w:rPr>
  </w:style>
  <w:style w:type="character" w:customStyle="1" w:styleId="BoldUnderline">
    <w:name w:val="Bold Underline"/>
    <w:basedOn w:val="DefaultParagraphFont"/>
    <w:qFormat/>
    <w:rsid w:val="008C38C7"/>
    <w:rPr>
      <w:b/>
      <w:u w:val="single"/>
    </w:rPr>
  </w:style>
  <w:style w:type="character" w:customStyle="1" w:styleId="Default">
    <w:name w:val="Default"/>
    <w:basedOn w:val="DefaultParagraphFont"/>
    <w:qFormat/>
    <w:rsid w:val="008C38C7"/>
  </w:style>
  <w:style w:type="character" w:customStyle="1" w:styleId="HighlightBlue">
    <w:name w:val="Highlight Blue"/>
    <w:basedOn w:val="DefaultParagraphFont"/>
    <w:qFormat/>
    <w:rsid w:val="008C38C7"/>
    <w:rPr>
      <w:bdr w:val="none" w:sz="0" w:space="0" w:color="auto"/>
      <w:shd w:val="clear" w:color="auto" w:fill="D9E8F9" w:themeFill="accent1" w:themeFillTint="1A"/>
    </w:rPr>
  </w:style>
  <w:style w:type="character" w:customStyle="1" w:styleId="HighlightYellow">
    <w:name w:val="Highlight Yellow"/>
    <w:basedOn w:val="DefaultParagraphFont"/>
    <w:qFormat/>
    <w:rsid w:val="008C38C7"/>
    <w:rPr>
      <w:bdr w:val="none" w:sz="0" w:space="0" w:color="auto"/>
      <w:shd w:val="clear" w:color="auto" w:fill="FCF0D1" w:themeFill="accent4" w:themeFillTint="33"/>
    </w:rPr>
  </w:style>
  <w:style w:type="character" w:customStyle="1" w:styleId="RunIn">
    <w:name w:val="Run In"/>
    <w:basedOn w:val="DefaultParagraphFont"/>
    <w:qFormat/>
    <w:rsid w:val="008C38C7"/>
    <w:rPr>
      <w:b/>
      <w:color w:val="0B2949" w:themeColor="accent1"/>
    </w:rPr>
  </w:style>
  <w:style w:type="character" w:customStyle="1" w:styleId="TableTextTight">
    <w:name w:val="Table Text Tight"/>
    <w:basedOn w:val="DefaultParagraphFont"/>
    <w:qFormat/>
    <w:rsid w:val="008C38C7"/>
    <w:rPr>
      <w:sz w:val="16"/>
    </w:rPr>
  </w:style>
  <w:style w:type="character" w:customStyle="1" w:styleId="TitleSubtitle">
    <w:name w:val="Title_Subtitle"/>
    <w:basedOn w:val="DefaultParagraphFont"/>
    <w:qFormat/>
    <w:rsid w:val="008C38C7"/>
    <w:rPr>
      <w:b/>
    </w:rPr>
  </w:style>
  <w:style w:type="table" w:customStyle="1" w:styleId="AlternateTable">
    <w:name w:val="Alternate Table"/>
    <w:basedOn w:val="TableNormal"/>
    <w:rsid w:val="008C38C7"/>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8C38C7"/>
    <w:rPr>
      <w:color w:val="808080"/>
    </w:rPr>
  </w:style>
  <w:style w:type="paragraph" w:customStyle="1" w:styleId="TableTextDecimalWide">
    <w:name w:val="Table Text Decimal Wide"/>
    <w:basedOn w:val="TableTextDecimal"/>
    <w:qFormat/>
    <w:rsid w:val="008C38C7"/>
    <w:pPr>
      <w:tabs>
        <w:tab w:val="clear" w:pos="576"/>
        <w:tab w:val="decimal" w:pos="864"/>
      </w:tabs>
    </w:pPr>
  </w:style>
  <w:style w:type="paragraph" w:customStyle="1" w:styleId="TableTextDecimalNarrow">
    <w:name w:val="Table Text Decimal Narrow"/>
    <w:basedOn w:val="TableTextDecimalWide"/>
    <w:qFormat/>
    <w:rsid w:val="008C38C7"/>
    <w:pPr>
      <w:tabs>
        <w:tab w:val="decimal" w:pos="360"/>
        <w:tab w:val="clear" w:pos="864"/>
      </w:tabs>
    </w:pPr>
  </w:style>
  <w:style w:type="paragraph" w:styleId="ListBullet4">
    <w:name w:val="List Bullet 4"/>
    <w:basedOn w:val="Normal"/>
    <w:qFormat/>
    <w:rsid w:val="008C38C7"/>
    <w:pPr>
      <w:numPr>
        <w:numId w:val="16"/>
      </w:numPr>
      <w:contextualSpacing/>
    </w:pPr>
  </w:style>
  <w:style w:type="paragraph" w:customStyle="1" w:styleId="TitleRule">
    <w:name w:val="Title Rule"/>
    <w:basedOn w:val="Normal"/>
    <w:qFormat/>
    <w:rsid w:val="008C38C7"/>
    <w:pPr>
      <w:keepNext/>
      <w:spacing w:before="240" w:after="80"/>
    </w:pPr>
  </w:style>
  <w:style w:type="paragraph" w:styleId="ListBullet5">
    <w:name w:val="List Bullet 5"/>
    <w:basedOn w:val="Normal"/>
    <w:qFormat/>
    <w:rsid w:val="008C38C7"/>
    <w:pPr>
      <w:numPr>
        <w:numId w:val="17"/>
      </w:numPr>
      <w:contextualSpacing/>
    </w:pPr>
  </w:style>
  <w:style w:type="paragraph" w:styleId="ListNumber5">
    <w:name w:val="List Number 5"/>
    <w:basedOn w:val="Normal"/>
    <w:qFormat/>
    <w:rsid w:val="008C38C7"/>
    <w:pPr>
      <w:numPr>
        <w:numId w:val="21"/>
      </w:numPr>
      <w:contextualSpacing/>
    </w:pPr>
  </w:style>
  <w:style w:type="paragraph" w:customStyle="1" w:styleId="Sidebar">
    <w:name w:val="Sidebar"/>
    <w:basedOn w:val="Normal"/>
    <w:qFormat/>
    <w:rsid w:val="008C38C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8C38C7"/>
    <w:pPr>
      <w:numPr>
        <w:numId w:val="30"/>
      </w:numPr>
    </w:pPr>
  </w:style>
  <w:style w:type="paragraph" w:customStyle="1" w:styleId="SidebarListNumber">
    <w:name w:val="Sidebar List Number"/>
    <w:basedOn w:val="Sidebar"/>
    <w:qFormat/>
    <w:rsid w:val="008C38C7"/>
    <w:pPr>
      <w:numPr>
        <w:numId w:val="27"/>
      </w:numPr>
      <w:adjustRightInd w:val="0"/>
      <w:spacing w:line="264" w:lineRule="auto"/>
    </w:pPr>
  </w:style>
  <w:style w:type="paragraph" w:customStyle="1" w:styleId="TableListBullet2">
    <w:name w:val="Table List Bullet 2"/>
    <w:basedOn w:val="TableListBullet"/>
    <w:qFormat/>
    <w:rsid w:val="0031573B"/>
    <w:pPr>
      <w:numPr>
        <w:numId w:val="28"/>
      </w:numPr>
      <w:ind w:left="504"/>
    </w:pPr>
  </w:style>
  <w:style w:type="paragraph" w:customStyle="1" w:styleId="TableListNumber2">
    <w:name w:val="Table List Number 2"/>
    <w:basedOn w:val="TableListNumber"/>
    <w:qFormat/>
    <w:rsid w:val="008C38C7"/>
    <w:pPr>
      <w:numPr>
        <w:numId w:val="29"/>
      </w:numPr>
    </w:pPr>
  </w:style>
  <w:style w:type="paragraph" w:styleId="ListContinue3">
    <w:name w:val="List Continue 3"/>
    <w:basedOn w:val="Normal"/>
    <w:qFormat/>
    <w:rsid w:val="008C38C7"/>
    <w:pPr>
      <w:spacing w:after="80"/>
      <w:ind w:left="1080"/>
    </w:pPr>
  </w:style>
  <w:style w:type="paragraph" w:styleId="List5">
    <w:name w:val="List 5"/>
    <w:basedOn w:val="Normal"/>
    <w:qFormat/>
    <w:rsid w:val="008C38C7"/>
    <w:pPr>
      <w:numPr>
        <w:ilvl w:val="4"/>
        <w:numId w:val="13"/>
      </w:numPr>
      <w:contextualSpacing/>
    </w:pPr>
  </w:style>
  <w:style w:type="character" w:customStyle="1" w:styleId="H1Char">
    <w:name w:val="H1 Char"/>
    <w:basedOn w:val="DefaultParagraphFont"/>
    <w:link w:val="H1"/>
    <w:rsid w:val="008C38C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8C38C7"/>
    <w:pPr>
      <w:spacing w:before="240" w:after="0"/>
    </w:pPr>
    <w:rPr>
      <w:b/>
    </w:rPr>
  </w:style>
  <w:style w:type="character" w:customStyle="1" w:styleId="Bold">
    <w:name w:val="Bold"/>
    <w:basedOn w:val="DefaultParagraphFont"/>
    <w:qFormat/>
    <w:rsid w:val="008C38C7"/>
    <w:rPr>
      <w:b/>
    </w:rPr>
  </w:style>
  <w:style w:type="character" w:customStyle="1" w:styleId="Italic">
    <w:name w:val="Italic"/>
    <w:basedOn w:val="DefaultParagraphFont"/>
    <w:qFormat/>
    <w:rsid w:val="008C38C7"/>
    <w:rPr>
      <w:i/>
    </w:rPr>
  </w:style>
  <w:style w:type="paragraph" w:customStyle="1" w:styleId="mathematicaorg">
    <w:name w:val="mathematica.org"/>
    <w:link w:val="mathematicaorgChar"/>
    <w:qFormat/>
    <w:rsid w:val="008C38C7"/>
    <w:pPr>
      <w:jc w:val="right"/>
    </w:pPr>
    <w:rPr>
      <w:rFonts w:asciiTheme="majorHAnsi" w:hAnsiTheme="majorHAnsi"/>
      <w:noProof/>
      <w:spacing w:val="-2"/>
      <w:sz w:val="18"/>
      <w:szCs w:val="19"/>
    </w:rPr>
  </w:style>
  <w:style w:type="table" w:customStyle="1" w:styleId="CoverTable">
    <w:name w:val="Cover Table"/>
    <w:basedOn w:val="TableNormal"/>
    <w:rsid w:val="008C38C7"/>
    <w:rPr>
      <w:rFonts w:asciiTheme="minorHAnsi" w:eastAsiaTheme="minorEastAsia" w:hAnsiTheme="minorHAnsi" w:cstheme="minorBidi"/>
      <w:sz w:val="22"/>
      <w:szCs w:val="24"/>
    </w:rPr>
    <w:tblPr/>
    <w:tcPr>
      <w:noWrap/>
      <w:tcMar>
        <w:left w:w="0" w:type="dxa"/>
        <w:right w:w="0" w:type="dxa"/>
      </w:tcMar>
    </w:tcPr>
  </w:style>
  <w:style w:type="paragraph" w:customStyle="1" w:styleId="CoverRFP">
    <w:name w:val="Cover RFP"/>
    <w:basedOn w:val="CoverDate"/>
    <w:qFormat/>
    <w:rsid w:val="008C38C7"/>
    <w:pPr>
      <w:spacing w:before="3000" w:line="252" w:lineRule="auto"/>
    </w:pPr>
    <w:rPr>
      <w:rFonts w:eastAsia="Times New Roman" w:cs="Times New Roman"/>
      <w:bCs w:val="0"/>
      <w:spacing w:val="2"/>
      <w:szCs w:val="20"/>
    </w:rPr>
  </w:style>
  <w:style w:type="numbering" w:customStyle="1" w:styleId="Feature20">
    <w:name w:val="Feature 2"/>
    <w:semiHidden/>
    <w:rsid w:val="008C38C7"/>
    <w:pPr>
      <w:numPr>
        <w:numId w:val="7"/>
      </w:numPr>
    </w:pPr>
  </w:style>
  <w:style w:type="paragraph" w:customStyle="1" w:styleId="Covertextborder">
    <w:name w:val="Cover text border"/>
    <w:qFormat/>
    <w:rsid w:val="008C38C7"/>
    <w:pPr>
      <w:pBdr>
        <w:bottom w:val="single" w:sz="36" w:space="1" w:color="F1B51C" w:themeColor="accent4"/>
      </w:pBdr>
      <w:spacing w:before="120" w:after="240"/>
      <w:ind w:right="6480"/>
    </w:pPr>
    <w:rPr>
      <w:rFonts w:ascii="Arial" w:hAnsi="Arial" w:eastAsiaTheme="minorHAnsi" w:cs="Arial"/>
      <w:color w:val="0B2949" w:themeColor="accent1"/>
      <w:spacing w:val="2"/>
      <w:sz w:val="8"/>
      <w:szCs w:val="4"/>
    </w:rPr>
  </w:style>
  <w:style w:type="paragraph" w:customStyle="1" w:styleId="CoverRFPNumber">
    <w:name w:val="Cover RFP Number"/>
    <w:qFormat/>
    <w:rsid w:val="008C38C7"/>
    <w:pPr>
      <w:widowControl w:val="0"/>
      <w:spacing w:before="16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qFormat/>
    <w:rsid w:val="008C38C7"/>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qFormat/>
    <w:rsid w:val="008C38C7"/>
    <w:pPr>
      <w:keepLines/>
      <w:ind w:hanging="360"/>
    </w:pPr>
  </w:style>
  <w:style w:type="paragraph" w:styleId="TOC4">
    <w:name w:val="toc 4"/>
    <w:basedOn w:val="Normal"/>
    <w:next w:val="Normal"/>
    <w:qFormat/>
    <w:rsid w:val="008C38C7"/>
    <w:pPr>
      <w:spacing w:after="100"/>
      <w:ind w:left="1728" w:hanging="432"/>
    </w:pPr>
    <w:rPr>
      <w:rFonts w:asciiTheme="majorHAnsi" w:hAnsiTheme="majorHAnsi"/>
    </w:rPr>
  </w:style>
  <w:style w:type="paragraph" w:customStyle="1" w:styleId="Disclaimer">
    <w:name w:val="Disclaimer"/>
    <w:basedOn w:val="Footer"/>
    <w:qFormat/>
    <w:rsid w:val="008C38C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C38C7"/>
    <w:rPr>
      <w:vertAlign w:val="subscript"/>
    </w:rPr>
  </w:style>
  <w:style w:type="paragraph" w:styleId="Salutation">
    <w:name w:val="Salutation"/>
    <w:basedOn w:val="Normal"/>
    <w:next w:val="Paragraph"/>
    <w:link w:val="SalutationChar"/>
    <w:qFormat/>
    <w:rsid w:val="008C38C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C38C7"/>
    <w:rPr>
      <w:rFonts w:asciiTheme="minorHAnsi" w:eastAsiaTheme="minorHAnsi" w:hAnsiTheme="minorHAnsi" w:cstheme="minorBidi"/>
      <w:sz w:val="22"/>
      <w:szCs w:val="22"/>
    </w:rPr>
  </w:style>
  <w:style w:type="numbering" w:styleId="111111">
    <w:name w:val="Outline List 2"/>
    <w:basedOn w:val="NoList"/>
    <w:semiHidden/>
    <w:unhideWhenUsed/>
    <w:rsid w:val="008C38C7"/>
    <w:pPr>
      <w:numPr>
        <w:numId w:val="8"/>
      </w:numPr>
    </w:pPr>
  </w:style>
  <w:style w:type="character" w:customStyle="1" w:styleId="Superscript">
    <w:name w:val="Superscript"/>
    <w:basedOn w:val="DefaultParagraphFont"/>
    <w:qFormat/>
    <w:rsid w:val="008C38C7"/>
    <w:rPr>
      <w:vertAlign w:val="superscript"/>
    </w:rPr>
  </w:style>
  <w:style w:type="character" w:customStyle="1" w:styleId="Underline">
    <w:name w:val="Underline"/>
    <w:basedOn w:val="DefaultParagraphFont"/>
    <w:qFormat/>
    <w:rsid w:val="008C38C7"/>
    <w:rPr>
      <w:u w:val="single"/>
    </w:rPr>
  </w:style>
  <w:style w:type="paragraph" w:styleId="EndnoteText">
    <w:name w:val="endnote text"/>
    <w:basedOn w:val="Normal"/>
    <w:link w:val="EndnoteTextChar"/>
    <w:qFormat/>
    <w:rsid w:val="008C38C7"/>
    <w:pPr>
      <w:spacing w:after="0"/>
    </w:pPr>
    <w:rPr>
      <w:sz w:val="20"/>
      <w:szCs w:val="20"/>
    </w:rPr>
  </w:style>
  <w:style w:type="character" w:customStyle="1" w:styleId="EndnoteTextChar">
    <w:name w:val="Endnote Text Char"/>
    <w:basedOn w:val="DefaultParagraphFont"/>
    <w:link w:val="EndnoteText"/>
    <w:semiHidden/>
    <w:rsid w:val="008C38C7"/>
    <w:rPr>
      <w:rFonts w:asciiTheme="minorHAnsi" w:eastAsiaTheme="minorHAnsi" w:hAnsiTheme="minorHAnsi" w:cstheme="minorBidi"/>
    </w:rPr>
  </w:style>
  <w:style w:type="paragraph" w:styleId="NoSpacing">
    <w:name w:val="No Spacing"/>
    <w:qFormat/>
    <w:rsid w:val="008C38C7"/>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8C38C7"/>
    <w:pPr>
      <w:numPr>
        <w:numId w:val="9"/>
      </w:numPr>
    </w:pPr>
  </w:style>
  <w:style w:type="numbering" w:styleId="ArticleSection">
    <w:name w:val="Outline List 3"/>
    <w:basedOn w:val="NoList"/>
    <w:semiHidden/>
    <w:unhideWhenUsed/>
    <w:rsid w:val="008C38C7"/>
    <w:pPr>
      <w:numPr>
        <w:numId w:val="10"/>
      </w:numPr>
    </w:pPr>
  </w:style>
  <w:style w:type="table" w:styleId="ColorfulGrid">
    <w:name w:val="Colorful Grid"/>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38C7"/>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8C38C7"/>
    <w:pPr>
      <w:spacing w:after="0" w:line="240" w:lineRule="auto"/>
    </w:pPr>
  </w:style>
  <w:style w:type="character" w:customStyle="1" w:styleId="E-mailSignatureChar">
    <w:name w:val="E-mail Signature Char"/>
    <w:basedOn w:val="DefaultParagraphFont"/>
    <w:link w:val="E-mailSignature"/>
    <w:semiHidden/>
    <w:rsid w:val="008C38C7"/>
    <w:rPr>
      <w:rFonts w:asciiTheme="minorHAnsi" w:eastAsiaTheme="minorHAnsi" w:hAnsiTheme="minorHAnsi" w:cstheme="minorBidi"/>
      <w:sz w:val="22"/>
      <w:szCs w:val="22"/>
    </w:rPr>
  </w:style>
  <w:style w:type="paragraph" w:styleId="EnvelopeAddress">
    <w:name w:val="envelope address"/>
    <w:basedOn w:val="Normal"/>
    <w:qFormat/>
    <w:rsid w:val="008C38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8C38C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38C7"/>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38C7"/>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38C7"/>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38C7"/>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38C7"/>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38C7"/>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38C7"/>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38C7"/>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38C7"/>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38C7"/>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38C7"/>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38C7"/>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38C7"/>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38C7"/>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38C7"/>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8C38C7"/>
    <w:rPr>
      <w:color w:val="2B579A"/>
      <w:shd w:val="clear" w:color="auto" w:fill="E1DFDD"/>
    </w:rPr>
  </w:style>
  <w:style w:type="character" w:styleId="HTMLAcronym">
    <w:name w:val="HTML Acronym"/>
    <w:basedOn w:val="DefaultParagraphFont"/>
    <w:qFormat/>
    <w:rsid w:val="008C38C7"/>
  </w:style>
  <w:style w:type="paragraph" w:styleId="HTMLAddress">
    <w:name w:val="HTML Address"/>
    <w:basedOn w:val="Normal"/>
    <w:link w:val="HTMLAddressChar"/>
    <w:qFormat/>
    <w:rsid w:val="008C38C7"/>
    <w:pPr>
      <w:spacing w:after="0" w:line="240" w:lineRule="auto"/>
    </w:pPr>
    <w:rPr>
      <w:i/>
      <w:iCs/>
    </w:rPr>
  </w:style>
  <w:style w:type="character" w:customStyle="1" w:styleId="HTMLAddressChar">
    <w:name w:val="HTML Address Char"/>
    <w:basedOn w:val="DefaultParagraphFont"/>
    <w:link w:val="HTMLAddress"/>
    <w:semiHidden/>
    <w:rsid w:val="008C38C7"/>
    <w:rPr>
      <w:rFonts w:asciiTheme="minorHAnsi" w:eastAsiaTheme="minorHAnsi" w:hAnsiTheme="minorHAnsi" w:cstheme="minorBidi"/>
      <w:i/>
      <w:iCs/>
      <w:sz w:val="22"/>
      <w:szCs w:val="22"/>
    </w:rPr>
  </w:style>
  <w:style w:type="character" w:styleId="HTMLCite">
    <w:name w:val="HTML Cite"/>
    <w:basedOn w:val="DefaultParagraphFont"/>
    <w:qFormat/>
    <w:rsid w:val="008C38C7"/>
    <w:rPr>
      <w:i/>
      <w:iCs/>
    </w:rPr>
  </w:style>
  <w:style w:type="character" w:styleId="HTMLCode">
    <w:name w:val="HTML Code"/>
    <w:basedOn w:val="DefaultParagraphFont"/>
    <w:qFormat/>
    <w:rsid w:val="008C38C7"/>
    <w:rPr>
      <w:rFonts w:ascii="Consolas" w:hAnsi="Consolas"/>
      <w:sz w:val="20"/>
      <w:szCs w:val="20"/>
    </w:rPr>
  </w:style>
  <w:style w:type="character" w:styleId="HTMLDefinition">
    <w:name w:val="HTML Definition"/>
    <w:basedOn w:val="DefaultParagraphFont"/>
    <w:qFormat/>
    <w:rsid w:val="008C38C7"/>
    <w:rPr>
      <w:i/>
      <w:iCs/>
    </w:rPr>
  </w:style>
  <w:style w:type="character" w:styleId="HTMLKeyboard">
    <w:name w:val="HTML Keyboard"/>
    <w:basedOn w:val="DefaultParagraphFont"/>
    <w:qFormat/>
    <w:rsid w:val="008C38C7"/>
    <w:rPr>
      <w:rFonts w:ascii="Consolas" w:hAnsi="Consolas"/>
      <w:sz w:val="20"/>
      <w:szCs w:val="20"/>
    </w:rPr>
  </w:style>
  <w:style w:type="character" w:styleId="HTMLSample">
    <w:name w:val="HTML Sample"/>
    <w:basedOn w:val="DefaultParagraphFont"/>
    <w:qFormat/>
    <w:rsid w:val="008C38C7"/>
    <w:rPr>
      <w:rFonts w:ascii="Consolas" w:hAnsi="Consolas"/>
      <w:sz w:val="24"/>
      <w:szCs w:val="24"/>
    </w:rPr>
  </w:style>
  <w:style w:type="character" w:styleId="HTMLTypewriter">
    <w:name w:val="HTML Typewriter"/>
    <w:basedOn w:val="DefaultParagraphFont"/>
    <w:unhideWhenUsed/>
    <w:qFormat/>
    <w:rsid w:val="008C38C7"/>
    <w:rPr>
      <w:rFonts w:ascii="Consolas" w:hAnsi="Consolas"/>
      <w:sz w:val="20"/>
      <w:szCs w:val="20"/>
    </w:rPr>
  </w:style>
  <w:style w:type="character" w:styleId="HTMLVariable">
    <w:name w:val="HTML Variable"/>
    <w:basedOn w:val="DefaultParagraphFont"/>
    <w:unhideWhenUsed/>
    <w:qFormat/>
    <w:rsid w:val="008C38C7"/>
    <w:rPr>
      <w:i/>
      <w:iCs/>
    </w:rPr>
  </w:style>
  <w:style w:type="paragraph" w:styleId="Index2">
    <w:name w:val="index 2"/>
    <w:basedOn w:val="Normal"/>
    <w:next w:val="Normal"/>
    <w:autoRedefine/>
    <w:qFormat/>
    <w:rsid w:val="008C38C7"/>
    <w:pPr>
      <w:spacing w:after="0" w:line="240" w:lineRule="auto"/>
      <w:ind w:left="440" w:hanging="220"/>
    </w:pPr>
  </w:style>
  <w:style w:type="paragraph" w:styleId="Index3">
    <w:name w:val="index 3"/>
    <w:basedOn w:val="Normal"/>
    <w:next w:val="Normal"/>
    <w:autoRedefine/>
    <w:qFormat/>
    <w:rsid w:val="008C38C7"/>
    <w:pPr>
      <w:spacing w:after="0" w:line="240" w:lineRule="auto"/>
      <w:ind w:left="660" w:hanging="220"/>
    </w:pPr>
  </w:style>
  <w:style w:type="paragraph" w:styleId="Index4">
    <w:name w:val="index 4"/>
    <w:basedOn w:val="Normal"/>
    <w:next w:val="Normal"/>
    <w:autoRedefine/>
    <w:qFormat/>
    <w:rsid w:val="008C38C7"/>
    <w:pPr>
      <w:spacing w:after="0" w:line="240" w:lineRule="auto"/>
      <w:ind w:left="880" w:hanging="220"/>
    </w:pPr>
  </w:style>
  <w:style w:type="paragraph" w:styleId="Index5">
    <w:name w:val="index 5"/>
    <w:basedOn w:val="Normal"/>
    <w:next w:val="Normal"/>
    <w:autoRedefine/>
    <w:qFormat/>
    <w:rsid w:val="008C38C7"/>
    <w:pPr>
      <w:spacing w:after="0" w:line="240" w:lineRule="auto"/>
      <w:ind w:left="1100" w:hanging="220"/>
    </w:pPr>
  </w:style>
  <w:style w:type="paragraph" w:styleId="Index6">
    <w:name w:val="index 6"/>
    <w:basedOn w:val="Normal"/>
    <w:next w:val="Normal"/>
    <w:autoRedefine/>
    <w:qFormat/>
    <w:rsid w:val="008C38C7"/>
    <w:pPr>
      <w:spacing w:after="0" w:line="240" w:lineRule="auto"/>
      <w:ind w:left="1320" w:hanging="220"/>
    </w:pPr>
  </w:style>
  <w:style w:type="paragraph" w:styleId="Index7">
    <w:name w:val="index 7"/>
    <w:basedOn w:val="Normal"/>
    <w:next w:val="Normal"/>
    <w:autoRedefine/>
    <w:qFormat/>
    <w:rsid w:val="008C38C7"/>
    <w:pPr>
      <w:spacing w:after="0" w:line="240" w:lineRule="auto"/>
      <w:ind w:left="1540" w:hanging="220"/>
    </w:pPr>
  </w:style>
  <w:style w:type="paragraph" w:styleId="Index8">
    <w:name w:val="index 8"/>
    <w:basedOn w:val="Normal"/>
    <w:next w:val="Normal"/>
    <w:autoRedefine/>
    <w:qFormat/>
    <w:rsid w:val="008C38C7"/>
    <w:pPr>
      <w:spacing w:after="0" w:line="240" w:lineRule="auto"/>
      <w:ind w:left="1760" w:hanging="220"/>
    </w:pPr>
  </w:style>
  <w:style w:type="paragraph" w:styleId="Index9">
    <w:name w:val="index 9"/>
    <w:basedOn w:val="Normal"/>
    <w:next w:val="Normal"/>
    <w:autoRedefine/>
    <w:qFormat/>
    <w:rsid w:val="008C38C7"/>
    <w:pPr>
      <w:spacing w:after="0" w:line="240" w:lineRule="auto"/>
      <w:ind w:left="1980" w:hanging="220"/>
    </w:pPr>
  </w:style>
  <w:style w:type="character" w:styleId="IntenseEmphasis">
    <w:name w:val="Intense Emphasis"/>
    <w:basedOn w:val="DefaultParagraphFont"/>
    <w:qFormat/>
    <w:rsid w:val="008C38C7"/>
    <w:rPr>
      <w:i/>
      <w:iCs/>
      <w:color w:val="0B2949" w:themeColor="accent1"/>
    </w:rPr>
  </w:style>
  <w:style w:type="paragraph" w:styleId="IntenseQuote">
    <w:name w:val="Intense Quote"/>
    <w:basedOn w:val="Normal"/>
    <w:next w:val="Normal"/>
    <w:link w:val="IntenseQuoteChar"/>
    <w:qFormat/>
    <w:rsid w:val="008C38C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8C38C7"/>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8C38C7"/>
    <w:rPr>
      <w:b/>
      <w:bCs/>
      <w:smallCaps/>
      <w:color w:val="0B2949" w:themeColor="accent1"/>
      <w:spacing w:val="5"/>
    </w:rPr>
  </w:style>
  <w:style w:type="table" w:styleId="LightGrid">
    <w:name w:val="Light Grid"/>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38C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38C7"/>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38C7"/>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38C7"/>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38C7"/>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38C7"/>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38C7"/>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8C38C7"/>
  </w:style>
  <w:style w:type="paragraph" w:styleId="ListContinue4">
    <w:name w:val="List Continue 4"/>
    <w:basedOn w:val="Normal"/>
    <w:qFormat/>
    <w:rsid w:val="008C38C7"/>
    <w:pPr>
      <w:spacing w:after="120"/>
      <w:ind w:left="1440"/>
      <w:contextualSpacing/>
    </w:pPr>
  </w:style>
  <w:style w:type="paragraph" w:styleId="ListContinue5">
    <w:name w:val="List Continue 5"/>
    <w:basedOn w:val="Normal"/>
    <w:qFormat/>
    <w:rsid w:val="008C38C7"/>
    <w:pPr>
      <w:spacing w:after="120"/>
      <w:ind w:left="1800"/>
      <w:contextualSpacing/>
    </w:pPr>
  </w:style>
  <w:style w:type="table" w:styleId="ListTable1Light">
    <w:name w:val="List Table 1 Light"/>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38C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38C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38C7"/>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38C7"/>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38C7"/>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38C7"/>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38C7"/>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38C7"/>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38C7"/>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38C7"/>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38C7"/>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38C7"/>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38C7"/>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38C7"/>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38C7"/>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38C7"/>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38C7"/>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38C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8C38C7"/>
    <w:rPr>
      <w:color w:val="2B579A"/>
      <w:shd w:val="clear" w:color="auto" w:fill="E1DFDD"/>
    </w:rPr>
  </w:style>
  <w:style w:type="paragraph" w:styleId="MessageHeader">
    <w:name w:val="Message Header"/>
    <w:basedOn w:val="Normal"/>
    <w:link w:val="MessageHeaderChar"/>
    <w:qFormat/>
    <w:rsid w:val="008C38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38C7"/>
    <w:rPr>
      <w:rFonts w:asciiTheme="majorHAnsi" w:eastAsiaTheme="majorEastAsia" w:hAnsiTheme="majorHAnsi" w:cstheme="majorBidi"/>
      <w:sz w:val="24"/>
      <w:szCs w:val="24"/>
      <w:shd w:val="pct20" w:color="auto" w:fill="auto"/>
    </w:rPr>
  </w:style>
  <w:style w:type="paragraph" w:styleId="NormalWeb">
    <w:name w:val="Normal (Web)"/>
    <w:basedOn w:val="Normal"/>
    <w:qFormat/>
    <w:rsid w:val="008C38C7"/>
    <w:rPr>
      <w:rFonts w:ascii="Times New Roman" w:hAnsi="Times New Roman" w:cs="Times New Roman"/>
      <w:sz w:val="24"/>
      <w:szCs w:val="24"/>
    </w:rPr>
  </w:style>
  <w:style w:type="paragraph" w:styleId="NormalIndent">
    <w:name w:val="Normal Indent"/>
    <w:basedOn w:val="Normal"/>
    <w:qFormat/>
    <w:rsid w:val="008C38C7"/>
    <w:pPr>
      <w:ind w:left="720"/>
    </w:pPr>
  </w:style>
  <w:style w:type="character" w:styleId="PageNumber">
    <w:name w:val="page number"/>
    <w:basedOn w:val="DefaultParagraphFont"/>
    <w:qFormat/>
    <w:rsid w:val="008C38C7"/>
  </w:style>
  <w:style w:type="table" w:styleId="PlainTable1">
    <w:name w:val="Plain Table 1"/>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38C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38C7"/>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38C7"/>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8C38C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38C7"/>
    <w:rPr>
      <w:rFonts w:ascii="Consolas" w:hAnsi="Consolas" w:eastAsiaTheme="minorHAnsi" w:cstheme="minorBidi"/>
      <w:sz w:val="21"/>
      <w:szCs w:val="21"/>
    </w:rPr>
  </w:style>
  <w:style w:type="paragraph" w:styleId="Signature">
    <w:name w:val="Signature"/>
    <w:basedOn w:val="Normal"/>
    <w:link w:val="SignatureChar"/>
    <w:qFormat/>
    <w:rsid w:val="008C38C7"/>
    <w:pPr>
      <w:spacing w:after="0" w:line="240" w:lineRule="auto"/>
      <w:ind w:left="4320"/>
    </w:pPr>
  </w:style>
  <w:style w:type="character" w:customStyle="1" w:styleId="SignatureChar">
    <w:name w:val="Signature Char"/>
    <w:basedOn w:val="DefaultParagraphFont"/>
    <w:link w:val="Signature"/>
    <w:semiHidden/>
    <w:rsid w:val="008C38C7"/>
    <w:rPr>
      <w:rFonts w:asciiTheme="minorHAnsi" w:eastAsiaTheme="minorHAnsi" w:hAnsiTheme="minorHAnsi" w:cstheme="minorBidi"/>
      <w:sz w:val="22"/>
      <w:szCs w:val="22"/>
    </w:rPr>
  </w:style>
  <w:style w:type="character" w:styleId="SmartHyperlink">
    <w:name w:val="Smart Hyperlink"/>
    <w:basedOn w:val="DefaultParagraphFont"/>
    <w:qFormat/>
    <w:rsid w:val="008C38C7"/>
    <w:rPr>
      <w:u w:val="dotted"/>
    </w:rPr>
  </w:style>
  <w:style w:type="character" w:styleId="Strong">
    <w:name w:val="Strong"/>
    <w:basedOn w:val="DefaultParagraphFont"/>
    <w:qFormat/>
    <w:rsid w:val="008C38C7"/>
    <w:rPr>
      <w:b/>
      <w:bCs/>
    </w:rPr>
  </w:style>
  <w:style w:type="character" w:styleId="SubtleEmphasis">
    <w:name w:val="Subtle Emphasis"/>
    <w:basedOn w:val="DefaultParagraphFont"/>
    <w:qFormat/>
    <w:rsid w:val="008C38C7"/>
    <w:rPr>
      <w:i/>
      <w:iCs/>
      <w:color w:val="404040" w:themeColor="text1" w:themeTint="BF"/>
    </w:rPr>
  </w:style>
  <w:style w:type="character" w:styleId="SubtleReference">
    <w:name w:val="Subtle Reference"/>
    <w:basedOn w:val="DefaultParagraphFont"/>
    <w:qFormat/>
    <w:rsid w:val="008C38C7"/>
    <w:rPr>
      <w:smallCaps/>
      <w:color w:val="5A5A5A" w:themeColor="text1" w:themeTint="A5"/>
    </w:rPr>
  </w:style>
  <w:style w:type="table" w:styleId="Table3Deffects1">
    <w:name w:val="Table 3D effects 1"/>
    <w:basedOn w:val="TableNormal"/>
    <w:unhideWhenUsed/>
    <w:rsid w:val="008C38C7"/>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38C7"/>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38C7"/>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38C7"/>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38C7"/>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38C7"/>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38C7"/>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38C7"/>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38C7"/>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38C7"/>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38C7"/>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38C7"/>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38C7"/>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38C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38C7"/>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8C38C7"/>
    <w:pPr>
      <w:spacing w:after="0"/>
      <w:ind w:left="220" w:hanging="220"/>
    </w:pPr>
  </w:style>
  <w:style w:type="paragraph" w:styleId="TableofFigures">
    <w:name w:val="table of figures"/>
    <w:basedOn w:val="Normal"/>
    <w:next w:val="Normal"/>
    <w:qFormat/>
    <w:rsid w:val="008C38C7"/>
    <w:pPr>
      <w:spacing w:after="0"/>
    </w:pPr>
  </w:style>
  <w:style w:type="table" w:styleId="TableProfessional">
    <w:name w:val="Table Professional"/>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38C7"/>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38C7"/>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38C7"/>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38C7"/>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38C7"/>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38C7"/>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38C7"/>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8C38C7"/>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8C38C7"/>
    <w:pPr>
      <w:spacing w:after="100"/>
      <w:ind w:left="880"/>
    </w:pPr>
    <w:rPr>
      <w:rFonts w:asciiTheme="majorHAnsi" w:hAnsiTheme="majorHAnsi"/>
    </w:rPr>
  </w:style>
  <w:style w:type="paragraph" w:styleId="TOC6">
    <w:name w:val="toc 6"/>
    <w:basedOn w:val="Normal"/>
    <w:next w:val="Normal"/>
    <w:qFormat/>
    <w:rsid w:val="008C38C7"/>
    <w:pPr>
      <w:spacing w:after="100"/>
      <w:ind w:left="1100"/>
    </w:pPr>
    <w:rPr>
      <w:rFonts w:asciiTheme="majorHAnsi" w:hAnsiTheme="majorHAnsi"/>
    </w:rPr>
  </w:style>
  <w:style w:type="paragraph" w:styleId="TOC7">
    <w:name w:val="toc 7"/>
    <w:basedOn w:val="Normal"/>
    <w:next w:val="Normal"/>
    <w:qFormat/>
    <w:rsid w:val="008C38C7"/>
    <w:pPr>
      <w:spacing w:after="100"/>
      <w:ind w:left="1320"/>
    </w:pPr>
    <w:rPr>
      <w:rFonts w:asciiTheme="majorHAnsi" w:hAnsiTheme="majorHAnsi"/>
    </w:rPr>
  </w:style>
  <w:style w:type="paragraph" w:styleId="TOC8">
    <w:name w:val="toc 8"/>
    <w:basedOn w:val="Normal"/>
    <w:next w:val="Normal"/>
    <w:qFormat/>
    <w:rsid w:val="008C38C7"/>
    <w:pPr>
      <w:spacing w:before="160"/>
      <w:ind w:left="1267" w:right="1440" w:hanging="1267"/>
    </w:pPr>
    <w:rPr>
      <w:rFonts w:asciiTheme="majorHAnsi" w:hAnsiTheme="majorHAnsi"/>
    </w:rPr>
  </w:style>
  <w:style w:type="paragraph" w:styleId="TOC9">
    <w:name w:val="toc 9"/>
    <w:basedOn w:val="Normal"/>
    <w:next w:val="Normal"/>
    <w:qFormat/>
    <w:rsid w:val="008C38C7"/>
    <w:pPr>
      <w:spacing w:before="160"/>
      <w:ind w:left="720" w:right="720" w:hanging="720"/>
    </w:pPr>
    <w:rPr>
      <w:rFonts w:asciiTheme="majorHAnsi" w:hAnsiTheme="majorHAnsi"/>
    </w:rPr>
  </w:style>
  <w:style w:type="character" w:styleId="SmartLink">
    <w:name w:val="Smart Link"/>
    <w:basedOn w:val="DefaultParagraphFont"/>
    <w:unhideWhenUsed/>
    <w:qFormat/>
    <w:rsid w:val="008C38C7"/>
    <w:rPr>
      <w:color w:val="0563C1" w:themeColor="hyperlink"/>
      <w:u w:val="single"/>
      <w:shd w:val="clear" w:color="auto" w:fill="E1DFDD"/>
    </w:rPr>
  </w:style>
  <w:style w:type="character" w:customStyle="1" w:styleId="SmartLinkError">
    <w:name w:val="Smart Link Error"/>
    <w:basedOn w:val="DefaultParagraphFont"/>
    <w:unhideWhenUsed/>
    <w:qFormat/>
    <w:rsid w:val="008C38C7"/>
    <w:rPr>
      <w:color w:val="FF0000"/>
    </w:rPr>
  </w:style>
  <w:style w:type="paragraph" w:customStyle="1" w:styleId="FootnoteSep">
    <w:name w:val="Footnote Sep"/>
    <w:basedOn w:val="Normal"/>
    <w:qFormat/>
    <w:rsid w:val="008C38C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8C38C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8C38C7"/>
    <w:pPr>
      <w:spacing w:line="252" w:lineRule="auto"/>
      <w:ind w:left="-720"/>
    </w:pPr>
    <w:rPr>
      <w:b/>
      <w:bCs w:val="0"/>
      <w:smallCaps/>
    </w:rPr>
  </w:style>
  <w:style w:type="table" w:customStyle="1" w:styleId="SidebarDots">
    <w:name w:val="Sidebar Dots"/>
    <w:basedOn w:val="TableNormal"/>
    <w:rsid w:val="008C38C7"/>
    <w:rPr>
      <w:rFonts w:asciiTheme="majorHAnsi" w:eastAsiaTheme="minorHAnsi" w:hAnsiTheme="majorHAnsi" w:cstheme="minorBidi"/>
      <w:szCs w:val="22"/>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C38C7"/>
    <w:pPr>
      <w:ind w:left="216"/>
    </w:pPr>
  </w:style>
  <w:style w:type="paragraph" w:customStyle="1" w:styleId="TableTextIndent2">
    <w:name w:val="Table Text Indent 2"/>
    <w:basedOn w:val="TableTextLeft"/>
    <w:qFormat/>
    <w:rsid w:val="008C38C7"/>
    <w:pPr>
      <w:ind w:left="432"/>
    </w:pPr>
  </w:style>
  <w:style w:type="character" w:customStyle="1" w:styleId="mathematicaorgChar">
    <w:name w:val="mathematica.org Char"/>
    <w:basedOn w:val="DefaultParagraphFont"/>
    <w:link w:val="mathematicaorg"/>
    <w:semiHidden/>
    <w:rsid w:val="008C38C7"/>
    <w:rPr>
      <w:rFonts w:asciiTheme="majorHAnsi" w:hAnsiTheme="majorHAnsi"/>
      <w:noProof/>
      <w:spacing w:val="-2"/>
      <w:sz w:val="18"/>
      <w:szCs w:val="19"/>
    </w:rPr>
  </w:style>
  <w:style w:type="paragraph" w:customStyle="1" w:styleId="Title2">
    <w:name w:val="Title 2"/>
    <w:basedOn w:val="Title"/>
    <w:qFormat/>
    <w:rsid w:val="008C38C7"/>
    <w:pPr>
      <w:spacing w:before="1080"/>
    </w:pPr>
    <w:rPr>
      <w:b/>
    </w:rPr>
  </w:style>
  <w:style w:type="table" w:customStyle="1" w:styleId="MathUVerticals">
    <w:name w:val="MathU Verticals"/>
    <w:basedOn w:val="TableNormal"/>
    <w:rsid w:val="0034655D"/>
    <w:pPr>
      <w:spacing w:before="40" w:after="20"/>
    </w:pPr>
    <w:rPr>
      <w:rFonts w:ascii="Arial" w:hAnsi="Arial"/>
      <w:sz w:val="18"/>
      <w:szCs w:val="22"/>
    </w:rPr>
    <w:tblPr>
      <w:tblBorders>
        <w:bottom w:val="single" w:sz="4" w:space="0" w:color="046B5C"/>
        <w:insideH w:val="single" w:sz="4" w:space="0" w:color="5B6771"/>
        <w:insideV w:val="single" w:sz="4" w:space="0" w:color="5B6771"/>
      </w:tblBorders>
      <w:tblCellMar>
        <w:left w:w="58" w:type="dxa"/>
        <w:right w:w="58" w:type="dxa"/>
      </w:tblCellMar>
    </w:tbl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targethiv.org/" TargetMode="External" /><Relationship Id="rId13" Type="http://schemas.openxmlformats.org/officeDocument/2006/relationships/hyperlink" Target="https://akaprod-hab.hrsa.gov/data/data-reports" TargetMode="External" /><Relationship Id="rId14" Type="http://schemas.openxmlformats.org/officeDocument/2006/relationships/hyperlink" Target="http://www.TargetHIV.org" TargetMode="External" /><Relationship Id="rId15" Type="http://schemas.openxmlformats.org/officeDocument/2006/relationships/hyperlink" Target="http://www.ryanwhite.hrsa.gove" TargetMode="External" /><Relationship Id="rId16" Type="http://schemas.openxmlformats.org/officeDocument/2006/relationships/hyperlink" Target="https://www.bls.gov/oes/current/oes_nat.htm"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hrsa.gov/ending-hiv-epidemic" TargetMode="External" /><Relationship Id="rId2" Type="http://schemas.openxmlformats.org/officeDocument/2006/relationships/hyperlink" Target="https://doi.org/10.1371/journal.pmed.1003128" TargetMode="External" /><Relationship Id="rId3" Type="http://schemas.openxmlformats.org/officeDocument/2006/relationships/hyperlink" Target="https://doi.org/10.1097/qai.0000000000002227"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2.xml><?xml version="1.0" encoding="utf-8"?>
<ds:datastoreItem xmlns:ds="http://schemas.openxmlformats.org/officeDocument/2006/customXml" ds:itemID="{6191D0C9-7D5E-454D-BB52-004B0AC0E4F4}">
  <ds:schemaRefs>
    <ds:schemaRef ds:uri="http://schemas.openxmlformats.org/officeDocument/2006/bibliography"/>
  </ds:schemaRefs>
</ds:datastoreItem>
</file>

<file path=customXml/itemProps3.xml><?xml version="1.0" encoding="utf-8"?>
<ds:datastoreItem xmlns:ds="http://schemas.openxmlformats.org/officeDocument/2006/customXml" ds:itemID="{9783BCDC-5D85-4CEA-8E83-048C78C9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11</TotalTime>
  <Pages>18</Pages>
  <Words>7167</Words>
  <Characters>40597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CMS</Company>
  <LinksUpToDate>false</LinksUpToDate>
  <CharactersWithSpaces>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OMB</dc:creator>
  <cp:lastModifiedBy>Cooper, Laura (HRSA)</cp:lastModifiedBy>
  <cp:revision>6</cp:revision>
  <cp:lastPrinted>2010-10-14T13:41:00Z</cp:lastPrinted>
  <dcterms:created xsi:type="dcterms:W3CDTF">2023-10-20T17:48:00Z</dcterms:created>
  <dcterms:modified xsi:type="dcterms:W3CDTF">2023-10-27T21:33:00Z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