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9E6" w:rsidP="003B3C28" w14:paraId="202C4F2E" w14:textId="40BE2CA7">
      <w:pPr>
        <w:pStyle w:val="AppendixTitle"/>
        <w:rPr>
          <w:rStyle w:val="BodyTextFi"/>
          <w:szCs w:val="28"/>
        </w:rPr>
      </w:pPr>
      <w:r w:rsidRPr="009276B9">
        <w:rPr>
          <w:rStyle w:val="BodyTextFi"/>
          <w:szCs w:val="28"/>
        </w:rPr>
        <w:t>Rapid Uptake of Disseminated Interventions (RUDI) Evaluation</w:t>
      </w:r>
      <w:r w:rsidR="00312971">
        <w:rPr>
          <w:rStyle w:val="BodyTextFi"/>
          <w:szCs w:val="28"/>
        </w:rPr>
        <w:br/>
        <w:t>Supporting Statement B</w:t>
      </w:r>
    </w:p>
    <w:p w:rsidR="00DF302F" w:rsidRPr="00676941" w:rsidP="00676941" w14:paraId="5AC3D3F7" w14:textId="0A6A38CF">
      <w:pPr>
        <w:pStyle w:val="H2"/>
        <w:jc w:val="center"/>
      </w:pPr>
      <w:r>
        <w:t>10/</w:t>
      </w:r>
      <w:r w:rsidR="0034213C">
        <w:t>20</w:t>
      </w:r>
      <w:r>
        <w:t>/2023</w:t>
      </w:r>
    </w:p>
    <w:p w:rsidR="00096DFD" w:rsidRPr="006048C5" w:rsidP="007C67BA" w14:paraId="5EE669D5" w14:textId="75ED8735">
      <w:pPr>
        <w:pStyle w:val="H2"/>
        <w:jc w:val="center"/>
      </w:pPr>
      <w:r w:rsidRPr="006048C5">
        <w:t xml:space="preserve">OMB Control No. </w:t>
      </w:r>
      <w:r w:rsidR="00B16A2B">
        <w:t>0906</w:t>
      </w:r>
      <w:r w:rsidRPr="006048C5">
        <w:t>-XXXX</w:t>
      </w:r>
      <w:r w:rsidR="007C67BA">
        <w:br/>
      </w:r>
      <w:r w:rsidRPr="006048C5">
        <w:t>New</w:t>
      </w:r>
      <w:r w:rsidR="00B16A2B">
        <w:t xml:space="preserve"> Information Collection Request</w:t>
      </w:r>
    </w:p>
    <w:p w:rsidR="00CE7D79" w:rsidP="00844194" w14:paraId="4876ED37" w14:textId="47C61F3F">
      <w:pPr>
        <w:pStyle w:val="H1"/>
        <w:numPr>
          <w:ilvl w:val="0"/>
          <w:numId w:val="31"/>
        </w:numPr>
        <w:ind w:left="450" w:hanging="450"/>
      </w:pPr>
      <w:r w:rsidRPr="006048C5">
        <w:t>Collections of Information Employing Statistical Methods</w:t>
      </w:r>
      <w:bookmarkStart w:id="0" w:name="_Toc128543492"/>
      <w:bookmarkStart w:id="1" w:name="_Toc129770684"/>
      <w:bookmarkStart w:id="2" w:name="_Toc232589381"/>
    </w:p>
    <w:p w:rsidR="00E32221" w:rsidP="00E32221" w14:paraId="7171EBE2" w14:textId="0FD4F58B">
      <w:pPr>
        <w:pStyle w:val="ParagraphContinued"/>
        <w:rPr>
          <w:lang w:val="en"/>
        </w:rPr>
      </w:pPr>
      <w:r w:rsidRPr="007C67BA">
        <w:rPr>
          <w:rStyle w:val="BodyTextFi"/>
        </w:rPr>
        <w:t>The HIV/AIDS Bureau (HAB)</w:t>
      </w:r>
      <w:r w:rsidRPr="007C67BA" w:rsidR="006C355A">
        <w:rPr>
          <w:rStyle w:val="BodyTextFi"/>
        </w:rPr>
        <w:t>, part of</w:t>
      </w:r>
      <w:r w:rsidRPr="007C67BA">
        <w:rPr>
          <w:rStyle w:val="BodyTextFi"/>
        </w:rPr>
        <w:t xml:space="preserve"> t</w:t>
      </w:r>
      <w:r w:rsidRPr="007C67BA" w:rsidR="00391A9A">
        <w:rPr>
          <w:rStyle w:val="BodyTextFi"/>
        </w:rPr>
        <w:t>he Health Resources and Services Administration</w:t>
      </w:r>
      <w:r w:rsidRPr="007C67BA" w:rsidR="006C355A">
        <w:rPr>
          <w:rStyle w:val="BodyTextFi"/>
        </w:rPr>
        <w:t>,</w:t>
      </w:r>
      <w:r w:rsidRPr="007C67BA" w:rsidR="00391A9A">
        <w:rPr>
          <w:rStyle w:val="BodyTextFi"/>
        </w:rPr>
        <w:t xml:space="preserve"> request</w:t>
      </w:r>
      <w:r w:rsidRPr="007C67BA">
        <w:rPr>
          <w:rStyle w:val="BodyTextFi"/>
        </w:rPr>
        <w:t>s</w:t>
      </w:r>
      <w:r w:rsidRPr="007C67BA" w:rsidR="00391A9A">
        <w:rPr>
          <w:rStyle w:val="BodyTextFi"/>
        </w:rPr>
        <w:t xml:space="preserve"> approval from the Office of Management and Budget (OMB) for a</w:t>
      </w:r>
      <w:r w:rsidRPr="007C67BA" w:rsidR="00391A9A">
        <w:rPr>
          <w:lang w:val="en"/>
        </w:rPr>
        <w:t xml:space="preserve"> new information </w:t>
      </w:r>
      <w:r w:rsidRPr="007C67BA">
        <w:rPr>
          <w:lang w:val="en"/>
        </w:rPr>
        <w:t xml:space="preserve">data </w:t>
      </w:r>
      <w:r w:rsidRPr="007C67BA" w:rsidR="00391A9A">
        <w:rPr>
          <w:lang w:val="en"/>
        </w:rPr>
        <w:t xml:space="preserve">collection </w:t>
      </w:r>
      <w:r w:rsidRPr="007C67BA">
        <w:rPr>
          <w:lang w:val="en"/>
        </w:rPr>
        <w:t>study</w:t>
      </w:r>
      <w:r w:rsidRPr="007C67BA" w:rsidR="006C355A">
        <w:rPr>
          <w:lang w:val="en"/>
        </w:rPr>
        <w:t>,</w:t>
      </w:r>
      <w:r w:rsidRPr="007C67BA">
        <w:rPr>
          <w:lang w:val="en"/>
        </w:rPr>
        <w:t xml:space="preserve"> </w:t>
      </w:r>
      <w:r w:rsidRPr="007C67BA" w:rsidR="006C355A">
        <w:rPr>
          <w:lang w:val="en"/>
        </w:rPr>
        <w:t>t</w:t>
      </w:r>
      <w:r w:rsidRPr="007C67BA" w:rsidR="00391A9A">
        <w:rPr>
          <w:lang w:val="en"/>
        </w:rPr>
        <w:t xml:space="preserve">he </w:t>
      </w:r>
      <w:r w:rsidRPr="007C67BA" w:rsidR="00391A9A">
        <w:rPr>
          <w:rStyle w:val="BodyTextFi"/>
        </w:rPr>
        <w:t xml:space="preserve">Rapid Uptake of Disseminated Interventions (RUDI) </w:t>
      </w:r>
      <w:r w:rsidRPr="007C67BA" w:rsidR="006C355A">
        <w:rPr>
          <w:rStyle w:val="BodyTextFi"/>
        </w:rPr>
        <w:t>e</w:t>
      </w:r>
      <w:r w:rsidRPr="007C67BA" w:rsidR="00391A9A">
        <w:rPr>
          <w:rStyle w:val="BodyTextFi"/>
        </w:rPr>
        <w:t>valuation</w:t>
      </w:r>
      <w:r w:rsidRPr="007C67BA" w:rsidR="00391A9A">
        <w:rPr>
          <w:lang w:val="en"/>
        </w:rPr>
        <w:t>.</w:t>
      </w:r>
      <w:r w:rsidRPr="007C67BA" w:rsidR="003D62DE">
        <w:rPr>
          <w:lang w:val="en"/>
        </w:rPr>
        <w:t xml:space="preserve"> </w:t>
      </w:r>
      <w:r w:rsidR="00D40B76">
        <w:rPr>
          <w:lang w:val="en"/>
        </w:rPr>
        <w:t xml:space="preserve">HAB’s </w:t>
      </w:r>
      <w:r w:rsidR="00D753A5">
        <w:rPr>
          <w:lang w:val="en"/>
        </w:rPr>
        <w:t xml:space="preserve">goals of the </w:t>
      </w:r>
      <w:r w:rsidRPr="007C67BA" w:rsidR="00391A9A">
        <w:rPr>
          <w:lang w:val="en"/>
        </w:rPr>
        <w:t xml:space="preserve">mixed-methods RUDI </w:t>
      </w:r>
      <w:r w:rsidRPr="007C67BA">
        <w:rPr>
          <w:lang w:val="en"/>
        </w:rPr>
        <w:t>e</w:t>
      </w:r>
      <w:r w:rsidRPr="007C67BA" w:rsidR="00391A9A">
        <w:rPr>
          <w:lang w:val="en"/>
        </w:rPr>
        <w:t xml:space="preserve">valuation </w:t>
      </w:r>
      <w:r w:rsidR="00D753A5">
        <w:rPr>
          <w:lang w:val="en"/>
        </w:rPr>
        <w:t xml:space="preserve">are to </w:t>
      </w:r>
      <w:r w:rsidRPr="007C67BA" w:rsidR="00391A9A">
        <w:rPr>
          <w:lang w:val="en"/>
        </w:rPr>
        <w:t xml:space="preserve">systematically assess (1) how, where, and why </w:t>
      </w:r>
      <w:r w:rsidR="00B10361">
        <w:rPr>
          <w:lang w:val="en"/>
        </w:rPr>
        <w:t>HAB</w:t>
      </w:r>
      <w:r w:rsidRPr="007C67BA" w:rsidR="00391A9A">
        <w:rPr>
          <w:lang w:val="en"/>
        </w:rPr>
        <w:t xml:space="preserve"> products are accessed and used by recipients of Ryan White HIV/AIDS Program (RWHAP) funding and (2) the </w:t>
      </w:r>
      <w:r w:rsidR="00B10361">
        <w:rPr>
          <w:lang w:val="en"/>
        </w:rPr>
        <w:t>usefulness and value</w:t>
      </w:r>
      <w:r w:rsidRPr="007C67BA" w:rsidR="00391A9A">
        <w:rPr>
          <w:lang w:val="en"/>
        </w:rPr>
        <w:t xml:space="preserve"> of the disseminated </w:t>
      </w:r>
      <w:r w:rsidR="00B10361">
        <w:rPr>
          <w:lang w:val="en"/>
        </w:rPr>
        <w:t xml:space="preserve">resources and </w:t>
      </w:r>
      <w:r w:rsidRPr="007C67BA" w:rsidR="00391A9A">
        <w:rPr>
          <w:lang w:val="en"/>
        </w:rPr>
        <w:t>products</w:t>
      </w:r>
      <w:r w:rsidRPr="007C67BA" w:rsidR="00EB25E5">
        <w:rPr>
          <w:lang w:val="en"/>
        </w:rPr>
        <w:t xml:space="preserve"> created </w:t>
      </w:r>
      <w:r w:rsidR="00B10361">
        <w:rPr>
          <w:lang w:val="en"/>
        </w:rPr>
        <w:t>by HAB</w:t>
      </w:r>
      <w:r w:rsidRPr="007C67BA" w:rsidR="00391A9A">
        <w:rPr>
          <w:lang w:val="en"/>
        </w:rPr>
        <w:t xml:space="preserve">. The findings from the RUDI </w:t>
      </w:r>
      <w:r w:rsidRPr="007C67BA">
        <w:rPr>
          <w:lang w:val="en"/>
        </w:rPr>
        <w:t>e</w:t>
      </w:r>
      <w:r w:rsidRPr="007C67BA" w:rsidR="00391A9A">
        <w:rPr>
          <w:lang w:val="en"/>
        </w:rPr>
        <w:t xml:space="preserve">valuation will help HAB maximize the uptake and impact of its disseminated </w:t>
      </w:r>
      <w:r w:rsidRPr="007C67BA">
        <w:rPr>
          <w:lang w:val="en"/>
        </w:rPr>
        <w:t xml:space="preserve">resources and </w:t>
      </w:r>
      <w:r w:rsidRPr="007C67BA" w:rsidR="00391A9A">
        <w:rPr>
          <w:lang w:val="en"/>
        </w:rPr>
        <w:t xml:space="preserve">products to end the HIV epidemic in the United States. </w:t>
      </w:r>
    </w:p>
    <w:p w:rsidR="00966AFD" w:rsidP="00E32221" w14:paraId="5DF05C64" w14:textId="3FDDEAC8">
      <w:pPr>
        <w:pStyle w:val="ParagraphContinued"/>
      </w:pPr>
      <w:r w:rsidRPr="007C67BA">
        <w:t>This application seeks approval for the evaluation’s data collection activities</w:t>
      </w:r>
      <w:r w:rsidR="0041268A">
        <w:t xml:space="preserve">, as follows: </w:t>
      </w:r>
      <w:bookmarkStart w:id="3" w:name="_Hlk136514738"/>
      <w:r w:rsidRPr="00FF3F40" w:rsidR="00774176">
        <w:rPr>
          <w:bCs/>
          <w:szCs w:val="24"/>
        </w:rPr>
        <w:t xml:space="preserve">(1) </w:t>
      </w:r>
      <w:r w:rsidR="006053B3">
        <w:rPr>
          <w:bCs/>
          <w:szCs w:val="24"/>
        </w:rPr>
        <w:t>A</w:t>
      </w:r>
      <w:r w:rsidRPr="00FF3F40" w:rsidR="00774176">
        <w:t xml:space="preserve"> one-time national survey of all RWHAP providers</w:t>
      </w:r>
      <w:r w:rsidR="00F90BDB">
        <w:t xml:space="preserve"> and subrecipients</w:t>
      </w:r>
      <w:r w:rsidR="006053B3">
        <w:t xml:space="preserve"> (RUDI-P</w:t>
      </w:r>
      <w:r w:rsidR="0041268A">
        <w:t>/S</w:t>
      </w:r>
      <w:r w:rsidR="006053B3">
        <w:t>)</w:t>
      </w:r>
      <w:r w:rsidRPr="00F90BDB" w:rsidR="00F90BDB">
        <w:t xml:space="preserve"> </w:t>
      </w:r>
      <w:r w:rsidR="00F90BDB">
        <w:t>(hereafter referred to as ‘RWHAP providers’)</w:t>
      </w:r>
      <w:r w:rsidRPr="00FF3F40" w:rsidR="00774176">
        <w:t xml:space="preserve"> </w:t>
      </w:r>
      <w:bookmarkEnd w:id="3"/>
      <w:r w:rsidRPr="00FF3F40" w:rsidR="00774176">
        <w:rPr>
          <w:bCs/>
          <w:szCs w:val="24"/>
        </w:rPr>
        <w:t>(</w:t>
      </w:r>
      <w:r w:rsidR="00774176">
        <w:rPr>
          <w:bCs/>
          <w:szCs w:val="24"/>
        </w:rPr>
        <w:t>2</w:t>
      </w:r>
      <w:r w:rsidRPr="00FF3F40" w:rsidR="00774176">
        <w:rPr>
          <w:bCs/>
          <w:szCs w:val="24"/>
        </w:rPr>
        <w:t xml:space="preserve">) </w:t>
      </w:r>
      <w:r w:rsidRPr="00FF3F40" w:rsidR="00774176">
        <w:t xml:space="preserve">a one-time national survey of all RWHAP </w:t>
      </w:r>
      <w:r w:rsidR="003C326B">
        <w:t xml:space="preserve">Part A and B </w:t>
      </w:r>
      <w:r w:rsidR="001136C8">
        <w:t xml:space="preserve">administrative </w:t>
      </w:r>
      <w:r w:rsidR="00774176">
        <w:t>recipients</w:t>
      </w:r>
      <w:r w:rsidR="006053B3">
        <w:t xml:space="preserve"> (RUDI-R)</w:t>
      </w:r>
      <w:r w:rsidRPr="00F90BDB" w:rsidR="00F90BDB">
        <w:t xml:space="preserve"> </w:t>
      </w:r>
      <w:r w:rsidR="00F90BDB">
        <w:t>(hereafter referred to as ‘RWHAP recipients’)</w:t>
      </w:r>
      <w:r w:rsidR="00774176">
        <w:t xml:space="preserve">, </w:t>
      </w:r>
      <w:r w:rsidRPr="00FF3F40" w:rsidR="00774176">
        <w:t>(</w:t>
      </w:r>
      <w:r w:rsidR="00774176">
        <w:t>3</w:t>
      </w:r>
      <w:r w:rsidRPr="00FF3F40" w:rsidR="00774176">
        <w:t>) virtual site visits (interviews) to a sample of 40 RWHAP provider sites</w:t>
      </w:r>
      <w:r w:rsidR="00774176">
        <w:t xml:space="preserve">, (4) interviews with a sample of 20 RWHAP </w:t>
      </w:r>
      <w:r w:rsidR="0041268A">
        <w:t>recipients</w:t>
      </w:r>
      <w:r w:rsidR="00774176">
        <w:t xml:space="preserve">, and (5) interviews with 8 </w:t>
      </w:r>
      <w:r w:rsidRPr="005453FB" w:rsidR="00774176">
        <w:t>AIDS Education and Training Center (AETC)</w:t>
      </w:r>
      <w:r w:rsidR="00774176">
        <w:t xml:space="preserve"> grantees</w:t>
      </w:r>
      <w:r w:rsidRPr="00FF3F40" w:rsidR="00774176">
        <w:t xml:space="preserve">. </w:t>
      </w:r>
      <w:r w:rsidR="003B282D">
        <w:t>The mixed-</w:t>
      </w:r>
      <w:r w:rsidR="00D40B76">
        <w:t>methods</w:t>
      </w:r>
      <w:r w:rsidR="003B282D">
        <w:t xml:space="preserve"> approach is necessary to meet the goals of the study</w:t>
      </w:r>
      <w:r w:rsidR="00C35D29">
        <w:t xml:space="preserve"> because the nature of the research questions require both quantitative, population-level survey data and qualitative, in-depth interview data</w:t>
      </w:r>
      <w:r w:rsidR="003B282D">
        <w:t xml:space="preserve">. Survey methods will be used to gather data from </w:t>
      </w:r>
      <w:r w:rsidR="00B62954">
        <w:t xml:space="preserve">a nationwide cohort of </w:t>
      </w:r>
      <w:r w:rsidR="003B282D">
        <w:t>RWHAP providers</w:t>
      </w:r>
      <w:r w:rsidR="00BF72CC">
        <w:t xml:space="preserve"> </w:t>
      </w:r>
      <w:r w:rsidR="003B282D">
        <w:t xml:space="preserve">and </w:t>
      </w:r>
      <w:r w:rsidR="00BF72CC">
        <w:t xml:space="preserve">administrative </w:t>
      </w:r>
      <w:r w:rsidR="003B282D">
        <w:t xml:space="preserve">recipients </w:t>
      </w:r>
      <w:r w:rsidR="00D40B76">
        <w:t xml:space="preserve">about </w:t>
      </w:r>
      <w:r w:rsidR="003B282D">
        <w:t xml:space="preserve">how, where, and why they access (or don’t access) and use (or don’t use) intervention resources. These data will be used to </w:t>
      </w:r>
      <w:r w:rsidR="00D40B76">
        <w:t xml:space="preserve">statistically estimate the uptake and use of intervention resources. </w:t>
      </w:r>
      <w:r w:rsidR="003B282D">
        <w:t>The qualitative interviews will allow us to gain an in</w:t>
      </w:r>
      <w:r w:rsidR="007D5D84">
        <w:t>-</w:t>
      </w:r>
      <w:r w:rsidR="003B282D">
        <w:t>depth</w:t>
      </w:r>
      <w:r>
        <w:t xml:space="preserve"> </w:t>
      </w:r>
      <w:r w:rsidR="003B282D">
        <w:t xml:space="preserve">and nuanced understanding of </w:t>
      </w:r>
      <w:r>
        <w:t>the usefulness and value of intervention resources. Although the qualitative findings are not generalizable, the</w:t>
      </w:r>
      <w:r w:rsidR="00D40B76">
        <w:t xml:space="preserve"> interviews will yield real-world examples </w:t>
      </w:r>
      <w:r w:rsidR="007D5D84">
        <w:t xml:space="preserve">of </w:t>
      </w:r>
      <w:r w:rsidR="00D40B76">
        <w:t xml:space="preserve">how </w:t>
      </w:r>
      <w:r>
        <w:t xml:space="preserve">providers, recipients, subrecipients, and AETC staff interact with </w:t>
      </w:r>
      <w:r w:rsidR="00D40B76">
        <w:t xml:space="preserve">and use intervention </w:t>
      </w:r>
      <w:r>
        <w:t>resources</w:t>
      </w:r>
      <w:r w:rsidR="00B62954">
        <w:t xml:space="preserve"> to help client</w:t>
      </w:r>
      <w:r w:rsidR="006E2D5E">
        <w:t>s</w:t>
      </w:r>
      <w:r w:rsidR="00B62954">
        <w:t xml:space="preserve"> living with HIV</w:t>
      </w:r>
      <w:r>
        <w:t xml:space="preserve">. </w:t>
      </w:r>
    </w:p>
    <w:p w:rsidR="004F6E7F" w:rsidP="00E32221" w14:paraId="4DC7B52D" w14:textId="1F55F0A7">
      <w:pPr>
        <w:pStyle w:val="ParagraphContinued"/>
      </w:pPr>
      <w:r>
        <w:t>We describe the</w:t>
      </w:r>
      <w:r w:rsidR="00CF6BCB">
        <w:t xml:space="preserve"> </w:t>
      </w:r>
      <w:r>
        <w:t xml:space="preserve">data collection activities in this </w:t>
      </w:r>
      <w:r w:rsidR="00BF72CC">
        <w:t xml:space="preserve">supporting </w:t>
      </w:r>
      <w:r>
        <w:t>statement</w:t>
      </w:r>
      <w:r w:rsidR="00777B23">
        <w:t xml:space="preserve">. </w:t>
      </w:r>
      <w:r w:rsidR="00A92AA9">
        <w:t>We briefly describe o</w:t>
      </w:r>
      <w:r w:rsidR="009B43F5">
        <w:t>ther activities</w:t>
      </w:r>
      <w:r>
        <w:t xml:space="preserve"> under this project,</w:t>
      </w:r>
      <w:r w:rsidR="00775F69">
        <w:t xml:space="preserve"> such as using RWHAP Services Report </w:t>
      </w:r>
      <w:r w:rsidR="00CC7879">
        <w:t xml:space="preserve">(RSR) </w:t>
      </w:r>
      <w:r w:rsidR="007F57BA">
        <w:t xml:space="preserve">and Dental Services Report (DSR) </w:t>
      </w:r>
      <w:r w:rsidR="00775F69">
        <w:t xml:space="preserve">data, Google Analytics data, and </w:t>
      </w:r>
      <w:r>
        <w:t xml:space="preserve">other </w:t>
      </w:r>
      <w:r w:rsidR="00775F69">
        <w:t>available</w:t>
      </w:r>
      <w:r w:rsidR="00A92AA9">
        <w:t xml:space="preserve"> data</w:t>
      </w:r>
      <w:r w:rsidR="00DA2094">
        <w:t>,</w:t>
      </w:r>
      <w:r w:rsidR="009B43F5">
        <w:t xml:space="preserve"> in Supporting Statement A to give OMB a sense of the</w:t>
      </w:r>
      <w:r w:rsidRPr="004C334F" w:rsidR="00F86E1F">
        <w:t xml:space="preserve"> </w:t>
      </w:r>
      <w:r w:rsidR="009B43F5">
        <w:t xml:space="preserve">entire scope of </w:t>
      </w:r>
      <w:r w:rsidR="003B4940">
        <w:t xml:space="preserve">RUDI </w:t>
      </w:r>
      <w:r>
        <w:t>e</w:t>
      </w:r>
      <w:r w:rsidR="009B43F5">
        <w:t>valuation activities</w:t>
      </w:r>
      <w:r w:rsidRPr="004C334F" w:rsidR="00F86E1F">
        <w:t>.</w:t>
      </w:r>
    </w:p>
    <w:bookmarkEnd w:id="0"/>
    <w:bookmarkEnd w:id="1"/>
    <w:bookmarkEnd w:id="2"/>
    <w:p w:rsidR="00D07E95" w:rsidRPr="006048C5" w:rsidP="007C67BA" w14:paraId="68136DE4" w14:textId="38D0FE67">
      <w:pPr>
        <w:pStyle w:val="H2"/>
      </w:pPr>
      <w:r>
        <w:t>A.</w:t>
      </w:r>
      <w:r>
        <w:tab/>
      </w:r>
      <w:r w:rsidRPr="006048C5" w:rsidR="00512EDA">
        <w:t xml:space="preserve">Respondent </w:t>
      </w:r>
      <w:r>
        <w:t>universe and sampling m</w:t>
      </w:r>
      <w:r w:rsidRPr="006048C5" w:rsidR="00512EDA">
        <w:t>ethods</w:t>
      </w:r>
    </w:p>
    <w:p w:rsidR="008F2093" w:rsidP="008F2093" w14:paraId="0A5FAFB3" w14:textId="6A35DDBA">
      <w:pPr>
        <w:pStyle w:val="H3"/>
      </w:pPr>
      <w:r>
        <w:t>1.</w:t>
      </w:r>
      <w:r>
        <w:tab/>
      </w:r>
      <w:r w:rsidR="00F40C2C">
        <w:t>RUDI-P</w:t>
      </w:r>
      <w:r w:rsidR="0041268A">
        <w:t>/S</w:t>
      </w:r>
      <w:r w:rsidR="00F40C2C">
        <w:t xml:space="preserve"> Survey</w:t>
      </w:r>
    </w:p>
    <w:p w:rsidR="00416225" w:rsidRPr="005B5177" w:rsidP="00416225" w14:paraId="4F604C4B" w14:textId="18BEFD5F">
      <w:pPr>
        <w:pStyle w:val="Paragraph"/>
        <w:rPr>
          <w:bCs/>
        </w:rPr>
      </w:pPr>
      <w:r w:rsidRPr="005271D9">
        <w:t xml:space="preserve">HAB will conduct a web-based survey of </w:t>
      </w:r>
      <w:r w:rsidR="00BF72CC">
        <w:t xml:space="preserve">RWHAP </w:t>
      </w:r>
      <w:r w:rsidRPr="005271D9">
        <w:t>providers</w:t>
      </w:r>
      <w:r w:rsidR="0041268A">
        <w:t xml:space="preserve"> </w:t>
      </w:r>
      <w:r w:rsidR="0034320E">
        <w:t>funded directly (</w:t>
      </w:r>
      <w:r w:rsidR="00E40F44">
        <w:t xml:space="preserve">Part C, D, and F </w:t>
      </w:r>
      <w:r w:rsidR="0034320E">
        <w:t xml:space="preserve">recipients) </w:t>
      </w:r>
      <w:r w:rsidR="00065347">
        <w:t xml:space="preserve">and/or </w:t>
      </w:r>
      <w:r w:rsidR="0034320E">
        <w:t>indirectly (</w:t>
      </w:r>
      <w:r w:rsidR="00E40F44">
        <w:t xml:space="preserve">Part A and B </w:t>
      </w:r>
      <w:r w:rsidR="0034320E">
        <w:t xml:space="preserve">subrecipients) by the </w:t>
      </w:r>
      <w:r w:rsidRPr="005271D9" w:rsidR="0034320E">
        <w:t>RWHAP</w:t>
      </w:r>
      <w:r w:rsidR="0034320E">
        <w:t>. The primary purpose of the survey is</w:t>
      </w:r>
      <w:r w:rsidRPr="005271D9" w:rsidR="0034320E">
        <w:t xml:space="preserve"> </w:t>
      </w:r>
      <w:r>
        <w:t xml:space="preserve">to </w:t>
      </w:r>
      <w:r w:rsidR="0034320E">
        <w:t xml:space="preserve">obtain </w:t>
      </w:r>
      <w:r>
        <w:t xml:space="preserve">information on </w:t>
      </w:r>
      <w:r w:rsidR="0034320E">
        <w:t xml:space="preserve">(1) </w:t>
      </w:r>
      <w:r>
        <w:t>the e</w:t>
      </w:r>
      <w:r w:rsidRPr="005C4528">
        <w:t xml:space="preserve">xtent </w:t>
      </w:r>
      <w:r w:rsidR="0034320E">
        <w:t xml:space="preserve">to which RWHAP providers access </w:t>
      </w:r>
      <w:r w:rsidRPr="005C4528">
        <w:t xml:space="preserve">HAB and non-HAB </w:t>
      </w:r>
      <w:r w:rsidR="0034320E">
        <w:t xml:space="preserve">intervention </w:t>
      </w:r>
      <w:r w:rsidRPr="005C4528">
        <w:t>resources</w:t>
      </w:r>
      <w:r w:rsidR="00A92AA9">
        <w:t>,</w:t>
      </w:r>
      <w:r>
        <w:t xml:space="preserve"> </w:t>
      </w:r>
      <w:r w:rsidR="0034320E">
        <w:t>(2) the channels they use to access them</w:t>
      </w:r>
      <w:r w:rsidR="00A92AA9">
        <w:t>,</w:t>
      </w:r>
      <w:r w:rsidR="0034320E">
        <w:t xml:space="preserve"> (3) </w:t>
      </w:r>
      <w:r>
        <w:t xml:space="preserve">the contribution </w:t>
      </w:r>
      <w:r w:rsidR="006D071F">
        <w:t>they</w:t>
      </w:r>
      <w:r w:rsidRPr="000B3CB1">
        <w:t xml:space="preserve"> </w:t>
      </w:r>
      <w:r w:rsidR="0034320E">
        <w:t xml:space="preserve">make </w:t>
      </w:r>
      <w:r w:rsidRPr="005C4528">
        <w:t>to implementation success</w:t>
      </w:r>
      <w:r w:rsidR="00A92AA9">
        <w:t>,</w:t>
      </w:r>
      <w:r>
        <w:t xml:space="preserve"> </w:t>
      </w:r>
      <w:r w:rsidR="006D071F">
        <w:t xml:space="preserve">(4) </w:t>
      </w:r>
      <w:r>
        <w:t>o</w:t>
      </w:r>
      <w:r w:rsidRPr="00C9307B">
        <w:t xml:space="preserve">pportunities to strengthen the </w:t>
      </w:r>
      <w:r w:rsidR="006D071F">
        <w:t>effectiveness of HAB’s dissemination activities</w:t>
      </w:r>
      <w:r w:rsidR="00A92AA9">
        <w:t>,</w:t>
      </w:r>
      <w:r w:rsidR="006D071F">
        <w:t xml:space="preserve"> and (5) opportunities to strengthen </w:t>
      </w:r>
      <w:r w:rsidR="00A92AA9">
        <w:t xml:space="preserve">the </w:t>
      </w:r>
      <w:r w:rsidRPr="00C9307B">
        <w:t xml:space="preserve">impact of </w:t>
      </w:r>
      <w:r>
        <w:t>HAB</w:t>
      </w:r>
      <w:r w:rsidR="006D071F">
        <w:t>’s</w:t>
      </w:r>
      <w:r>
        <w:t xml:space="preserve"> </w:t>
      </w:r>
      <w:r w:rsidRPr="00C9307B">
        <w:t>resources</w:t>
      </w:r>
      <w:r w:rsidR="0034320E">
        <w:t xml:space="preserve"> and products on care delivery and health outcomes</w:t>
      </w:r>
      <w:r>
        <w:t xml:space="preserve">. </w:t>
      </w:r>
      <w:r>
        <w:rPr>
          <w:bCs/>
        </w:rPr>
        <w:t>We will e</w:t>
      </w:r>
      <w:r w:rsidRPr="005B5177">
        <w:rPr>
          <w:bCs/>
        </w:rPr>
        <w:t xml:space="preserve">xclude </w:t>
      </w:r>
      <w:r>
        <w:rPr>
          <w:bCs/>
        </w:rPr>
        <w:t xml:space="preserve">from the survey </w:t>
      </w:r>
      <w:r w:rsidRPr="005B5177">
        <w:t>RWHAP providers</w:t>
      </w:r>
      <w:r>
        <w:t xml:space="preserve"> </w:t>
      </w:r>
      <w:r w:rsidRPr="005B5177">
        <w:t>funded for legal support or financial assistance only because HAB does not focus its dissemination resources on those services</w:t>
      </w:r>
      <w:r>
        <w:t xml:space="preserve">. We will also exclude RWHAP providers </w:t>
      </w:r>
      <w:r w:rsidRPr="005B5177">
        <w:t>involved in evaluation or T</w:t>
      </w:r>
      <w:r>
        <w:t>A</w:t>
      </w:r>
      <w:r w:rsidRPr="005B5177">
        <w:t xml:space="preserve"> activities only because they </w:t>
      </w:r>
      <w:r>
        <w:t xml:space="preserve">do </w:t>
      </w:r>
      <w:r w:rsidRPr="005B5177">
        <w:t xml:space="preserve">not </w:t>
      </w:r>
      <w:r>
        <w:t>d</w:t>
      </w:r>
      <w:r w:rsidRPr="005B5177">
        <w:t xml:space="preserve">eliver care </w:t>
      </w:r>
      <w:r>
        <w:t xml:space="preserve">or services </w:t>
      </w:r>
      <w:r w:rsidRPr="005B5177">
        <w:t>to clients.</w:t>
      </w:r>
    </w:p>
    <w:p w:rsidR="000561DD" w:rsidP="0028153F" w14:paraId="35400698" w14:textId="3F3CA9E3">
      <w:pPr>
        <w:pStyle w:val="ParagraphContinued"/>
      </w:pPr>
      <w:r>
        <w:t xml:space="preserve">We will </w:t>
      </w:r>
      <w:r w:rsidR="006D071F">
        <w:t xml:space="preserve">field the web-based survey with </w:t>
      </w:r>
      <w:r>
        <w:t>a</w:t>
      </w:r>
      <w:r w:rsidR="003E2DAB">
        <w:t xml:space="preserve"> census </w:t>
      </w:r>
      <w:r>
        <w:t xml:space="preserve">of </w:t>
      </w:r>
      <w:r>
        <w:t xml:space="preserve">2,131 </w:t>
      </w:r>
      <w:r>
        <w:t>RWHAP providers</w:t>
      </w:r>
      <w:r>
        <w:t xml:space="preserve">, anticipating approximately 1,066 respondents (~50 percent response rate). </w:t>
      </w:r>
      <w:r w:rsidR="00BF72CC">
        <w:t xml:space="preserve">Since we are employing a census, </w:t>
      </w:r>
      <w:r w:rsidR="003E2DAB">
        <w:t>sampling methods are not applicable.</w:t>
      </w:r>
      <w:r w:rsidR="00E32221">
        <w:t xml:space="preserve"> A census is </w:t>
      </w:r>
      <w:r w:rsidR="002E6409">
        <w:t xml:space="preserve">preferred because RWHAP providers and subrecipients are diverse and </w:t>
      </w:r>
      <w:bookmarkStart w:id="4" w:name="_Hlk145077101"/>
      <w:r w:rsidR="002E6409">
        <w:t xml:space="preserve">have unique characteristics </w:t>
      </w:r>
      <w:r w:rsidR="00FE362D">
        <w:t xml:space="preserve">and needs </w:t>
      </w:r>
      <w:r w:rsidR="002E6409">
        <w:t>based on their communities and client</w:t>
      </w:r>
      <w:bookmarkEnd w:id="4"/>
      <w:r w:rsidR="006E2D5E">
        <w:t>s</w:t>
      </w:r>
      <w:r w:rsidR="002E6409">
        <w:t>. We</w:t>
      </w:r>
      <w:r w:rsidR="00FE362D">
        <w:t xml:space="preserve"> anticipate that their </w:t>
      </w:r>
      <w:r w:rsidR="002E6409">
        <w:t xml:space="preserve">access to and use of </w:t>
      </w:r>
      <w:r w:rsidR="00FE362D">
        <w:t xml:space="preserve">intervention </w:t>
      </w:r>
      <w:r w:rsidR="002E6409">
        <w:t xml:space="preserve">resources also vary. </w:t>
      </w:r>
      <w:bookmarkStart w:id="5" w:name="_Hlk145077132"/>
      <w:r w:rsidRPr="00E32221" w:rsidR="00E32221">
        <w:t xml:space="preserve">Sampling </w:t>
      </w:r>
      <w:r w:rsidR="002E6409">
        <w:t xml:space="preserve">may result in findings that are representative of </w:t>
      </w:r>
      <w:r w:rsidR="002722C7">
        <w:t>a subset of</w:t>
      </w:r>
      <w:r w:rsidR="002E6409">
        <w:t xml:space="preserve"> RWHAP providers</w:t>
      </w:r>
      <w:r w:rsidR="00F11F52">
        <w:t xml:space="preserve"> </w:t>
      </w:r>
      <w:r w:rsidR="002E6409">
        <w:t>and subrecipients</w:t>
      </w:r>
      <w:r w:rsidR="002722C7">
        <w:t>; a</w:t>
      </w:r>
      <w:r w:rsidR="00FE362D">
        <w:t xml:space="preserve"> census will increase our chances of obtaining the widest range of experiences, as possible</w:t>
      </w:r>
      <w:r w:rsidRPr="0028153F" w:rsidR="00FE362D">
        <w:t>.</w:t>
      </w:r>
      <w:r w:rsidRPr="0028153F" w:rsidR="002E6409">
        <w:t xml:space="preserve"> </w:t>
      </w:r>
      <w:bookmarkEnd w:id="5"/>
      <w:r w:rsidRPr="0028153F" w:rsidR="006D071F">
        <w:t>We will obtain c</w:t>
      </w:r>
      <w:r w:rsidRPr="0028153F" w:rsidR="004E51EA">
        <w:t xml:space="preserve">ontact information for the universe of RWHAP providers </w:t>
      </w:r>
      <w:r w:rsidRPr="0028153F" w:rsidR="00AE5C90">
        <w:t xml:space="preserve">from </w:t>
      </w:r>
      <w:r w:rsidRPr="0028153F" w:rsidR="004E51EA">
        <w:t xml:space="preserve">the </w:t>
      </w:r>
      <w:r w:rsidRPr="0028153F" w:rsidR="00AE5C90">
        <w:t>202</w:t>
      </w:r>
      <w:r w:rsidRPr="0028153F" w:rsidR="00B10361">
        <w:t>1</w:t>
      </w:r>
      <w:r w:rsidRPr="0028153F" w:rsidR="00AE5C90">
        <w:t xml:space="preserve"> </w:t>
      </w:r>
      <w:r w:rsidRPr="0028153F" w:rsidR="004E51EA">
        <w:t>RSR</w:t>
      </w:r>
      <w:r w:rsidRPr="0028153F" w:rsidR="007F57BA">
        <w:t xml:space="preserve"> and DSR</w:t>
      </w:r>
      <w:r w:rsidRPr="0028153F" w:rsidR="004E51EA">
        <w:t xml:space="preserve"> file</w:t>
      </w:r>
      <w:r w:rsidRPr="0028153F" w:rsidR="007F57BA">
        <w:t>s</w:t>
      </w:r>
      <w:r w:rsidRPr="0028153F" w:rsidR="00AE5C90">
        <w:t xml:space="preserve"> (the latest year for which data are available)</w:t>
      </w:r>
      <w:r w:rsidRPr="0028153F" w:rsidR="004E51EA">
        <w:t xml:space="preserve">. </w:t>
      </w:r>
      <w:bookmarkStart w:id="6" w:name="_Hlk145407106"/>
      <w:r w:rsidRPr="0028153F" w:rsidR="00BF72CC">
        <w:t xml:space="preserve">Once the survey </w:t>
      </w:r>
      <w:r w:rsidRPr="0028153F" w:rsidR="009441C8">
        <w:t xml:space="preserve">period ends, </w:t>
      </w:r>
      <w:r w:rsidRPr="0028153F" w:rsidR="00BF72CC">
        <w:t>we will c</w:t>
      </w:r>
      <w:r w:rsidRPr="0028153F">
        <w:t>ompare RUDI-P/S responde</w:t>
      </w:r>
      <w:r w:rsidRPr="0028153F" w:rsidR="009441C8">
        <w:t>rs</w:t>
      </w:r>
      <w:r w:rsidRPr="0028153F">
        <w:t xml:space="preserve"> to non-responde</w:t>
      </w:r>
      <w:r w:rsidRPr="0028153F" w:rsidR="009441C8">
        <w:t>rs</w:t>
      </w:r>
      <w:r w:rsidRPr="0028153F">
        <w:t xml:space="preserve"> on variables included in the 2021 RSR</w:t>
      </w:r>
      <w:r w:rsidRPr="0028153F" w:rsidR="007F57BA">
        <w:t xml:space="preserve"> and </w:t>
      </w:r>
      <w:r w:rsidRPr="0028153F" w:rsidR="006E2D5E">
        <w:t>DSR</w:t>
      </w:r>
      <w:r w:rsidRPr="0028153F">
        <w:t xml:space="preserve"> file</w:t>
      </w:r>
      <w:r w:rsidRPr="0028153F" w:rsidR="006E2D5E">
        <w:t>s</w:t>
      </w:r>
      <w:r w:rsidRPr="0028153F" w:rsidR="009441C8">
        <w:t xml:space="preserve"> that may impact access to and use of intervention resources (for example, provider type, number of clients served, etc.)</w:t>
      </w:r>
      <w:r w:rsidRPr="0028153F">
        <w:t>. If respondents differ significantly from non-responders, we will develop non-response weights.</w:t>
      </w:r>
      <w:r>
        <w:t xml:space="preserve"> </w:t>
      </w:r>
      <w:bookmarkEnd w:id="6"/>
    </w:p>
    <w:p w:rsidR="00F938D8" w:rsidRPr="00FF3F40" w:rsidP="0028153F" w14:paraId="051CFBF9" w14:textId="5711313C">
      <w:pPr>
        <w:pStyle w:val="Paragraph"/>
      </w:pPr>
      <w:r>
        <w:t xml:space="preserve">RWHAP </w:t>
      </w:r>
      <w:r w:rsidR="00A95327">
        <w:t>providers respond</w:t>
      </w:r>
      <w:r w:rsidR="005F0AA1">
        <w:t>ing</w:t>
      </w:r>
      <w:r w:rsidR="00A95327">
        <w:t xml:space="preserve"> to the </w:t>
      </w:r>
      <w:r w:rsidR="009441C8">
        <w:t xml:space="preserve">RUDI-P/S </w:t>
      </w:r>
      <w:r w:rsidR="00A95327">
        <w:t xml:space="preserve">survey will form the sample frame for the virtual site visits, as </w:t>
      </w:r>
      <w:r w:rsidR="00A92AA9">
        <w:t xml:space="preserve">we </w:t>
      </w:r>
      <w:r w:rsidR="00A95327">
        <w:t>describe below.</w:t>
      </w:r>
      <w:r w:rsidR="0028153F">
        <w:t xml:space="preserve"> </w:t>
      </w:r>
      <w:r>
        <w:t>T</w:t>
      </w:r>
      <w:r w:rsidRPr="00FF3F40">
        <w:t xml:space="preserve">he </w:t>
      </w:r>
      <w:r>
        <w:t>RUDI-P</w:t>
      </w:r>
      <w:r w:rsidR="0041268A">
        <w:t>/S</w:t>
      </w:r>
      <w:r>
        <w:t xml:space="preserve"> Survey can be found </w:t>
      </w:r>
      <w:r w:rsidRPr="00FF3F40">
        <w:t xml:space="preserve">in Appendix </w:t>
      </w:r>
      <w:r>
        <w:t>A</w:t>
      </w:r>
      <w:r w:rsidRPr="00FF3F40">
        <w:t xml:space="preserve">. </w:t>
      </w:r>
    </w:p>
    <w:p w:rsidR="00F40C2C" w:rsidP="00F40C2C" w14:paraId="35DC1B03" w14:textId="24CCA972">
      <w:pPr>
        <w:pStyle w:val="H3"/>
      </w:pPr>
      <w:bookmarkStart w:id="7" w:name="_Hlk136607164"/>
      <w:r>
        <w:t>2.</w:t>
      </w:r>
      <w:r>
        <w:tab/>
        <w:t>RUDI-R Survey</w:t>
      </w:r>
    </w:p>
    <w:p w:rsidR="009A446A" w:rsidRPr="0028153F" w:rsidP="00F40C2C" w14:paraId="5A163C5B" w14:textId="43246F4C">
      <w:pPr>
        <w:pStyle w:val="ParagraphContinued"/>
      </w:pPr>
      <w:r w:rsidRPr="005271D9">
        <w:t xml:space="preserve">HAB will conduct a web-based survey of </w:t>
      </w:r>
      <w:r>
        <w:t xml:space="preserve">all Part A </w:t>
      </w:r>
      <w:r w:rsidR="00FD74CC">
        <w:t>and</w:t>
      </w:r>
      <w:r>
        <w:t xml:space="preserve"> B recipients funded by the RWHAP. The primary purpose of the </w:t>
      </w:r>
      <w:r w:rsidR="006053B3">
        <w:t xml:space="preserve">RUDI-P </w:t>
      </w:r>
      <w:r>
        <w:t>survey is</w:t>
      </w:r>
      <w:r w:rsidRPr="005271D9">
        <w:t xml:space="preserve"> </w:t>
      </w:r>
      <w:r>
        <w:t>to obtain information on (1) the e</w:t>
      </w:r>
      <w:r w:rsidRPr="005C4528">
        <w:t xml:space="preserve">xtent </w:t>
      </w:r>
      <w:r>
        <w:t xml:space="preserve">to which RWHAP </w:t>
      </w:r>
      <w:r w:rsidR="008838CA">
        <w:t xml:space="preserve">recipients </w:t>
      </w:r>
      <w:r w:rsidR="006053B3">
        <w:t>access and use</w:t>
      </w:r>
      <w:r w:rsidR="00B70CB9">
        <w:t xml:space="preserve"> of HAB and non-HAB </w:t>
      </w:r>
      <w:r>
        <w:t xml:space="preserve">intervention </w:t>
      </w:r>
      <w:r w:rsidRPr="005C4528">
        <w:t>resources</w:t>
      </w:r>
      <w:r>
        <w:t>, (2) the channels they use to access them, (3) the contribution they</w:t>
      </w:r>
      <w:r w:rsidRPr="000B3CB1">
        <w:t xml:space="preserve"> </w:t>
      </w:r>
      <w:r>
        <w:t xml:space="preserve">make </w:t>
      </w:r>
      <w:r w:rsidRPr="005C4528">
        <w:t xml:space="preserve">to </w:t>
      </w:r>
      <w:r w:rsidR="008838CA">
        <w:t xml:space="preserve">internal knowledge and capacity, (4) the extent to which they are used to support providers </w:t>
      </w:r>
      <w:r w:rsidR="0032204A">
        <w:t xml:space="preserve">and subrecipients </w:t>
      </w:r>
      <w:r w:rsidR="008838CA">
        <w:t>as they implement interventions for clients living with H</w:t>
      </w:r>
      <w:r w:rsidR="006E2D5E">
        <w:t>I</w:t>
      </w:r>
      <w:r w:rsidR="008838CA">
        <w:t>V, and (5)</w:t>
      </w:r>
      <w:r w:rsidR="0032204A">
        <w:t xml:space="preserve"> </w:t>
      </w:r>
      <w:r w:rsidRPr="005C4528">
        <w:t>implementation success</w:t>
      </w:r>
      <w:r>
        <w:t>, (4) o</w:t>
      </w:r>
      <w:r w:rsidRPr="00C9307B">
        <w:t xml:space="preserve">pportunities to strengthen the </w:t>
      </w:r>
      <w:r>
        <w:t>effectiveness of HAB’s dissemination activities</w:t>
      </w:r>
      <w:r w:rsidRPr="0028153F" w:rsidR="008838CA">
        <w:t xml:space="preserve">. </w:t>
      </w:r>
    </w:p>
    <w:p w:rsidR="00F40C2C" w:rsidRPr="0028153F" w:rsidP="009A446A" w14:paraId="580509B8" w14:textId="1BEDD382">
      <w:pPr>
        <w:pStyle w:val="ParagraphContinued"/>
      </w:pPr>
      <w:r w:rsidRPr="0028153F">
        <w:t xml:space="preserve">We will field the web-based survey with a census of 110 RWHAP recipients, anticipating approximately 56 respondents (~50 percent response rate). </w:t>
      </w:r>
      <w:r w:rsidRPr="0028153F" w:rsidR="002722C7">
        <w:t>Like</w:t>
      </w:r>
      <w:r w:rsidRPr="0028153F" w:rsidR="00F11F52">
        <w:t xml:space="preserve"> </w:t>
      </w:r>
      <w:r w:rsidRPr="0028153F">
        <w:t xml:space="preserve">RWHAP </w:t>
      </w:r>
      <w:r w:rsidRPr="0028153F" w:rsidR="00F11F52">
        <w:t>providers, recipients have unique characteristics and needs based on their communities and clientele and</w:t>
      </w:r>
      <w:r w:rsidRPr="0028153F" w:rsidR="002722C7">
        <w:t>, further,</w:t>
      </w:r>
      <w:r w:rsidRPr="0028153F" w:rsidR="00F11F52">
        <w:t xml:space="preserve"> that of the subrecipients with which they engage. Sampling may result in findings that are </w:t>
      </w:r>
      <w:r w:rsidRPr="0028153F" w:rsidR="002722C7">
        <w:t xml:space="preserve">relevant to a subset of </w:t>
      </w:r>
      <w:r w:rsidRPr="0028153F" w:rsidR="00F11F52">
        <w:t>RWHAP</w:t>
      </w:r>
      <w:r w:rsidRPr="0028153F">
        <w:t xml:space="preserve"> recipients</w:t>
      </w:r>
      <w:r w:rsidRPr="0028153F" w:rsidR="002722C7">
        <w:t>; a</w:t>
      </w:r>
      <w:r w:rsidRPr="0028153F" w:rsidR="00F11F52">
        <w:t xml:space="preserve"> census will increase our chances of obtaining information </w:t>
      </w:r>
      <w:r w:rsidRPr="0028153F" w:rsidR="002722C7">
        <w:t xml:space="preserve">across the </w:t>
      </w:r>
      <w:r w:rsidRPr="0028153F" w:rsidR="00F11F52">
        <w:t>widest range of experiences, as possible.</w:t>
      </w:r>
    </w:p>
    <w:p w:rsidR="009A446A" w:rsidP="00F40C2C" w14:paraId="1E0273EB" w14:textId="0A9A66F5">
      <w:pPr>
        <w:pStyle w:val="Paragraph"/>
      </w:pPr>
      <w:r w:rsidRPr="0028153F">
        <w:t xml:space="preserve">We will obtain contact information for the universe of RWHAP </w:t>
      </w:r>
      <w:r w:rsidRPr="0028153F" w:rsidR="008838CA">
        <w:t xml:space="preserve">recipients </w:t>
      </w:r>
      <w:r w:rsidRPr="0028153F">
        <w:t xml:space="preserve">from </w:t>
      </w:r>
      <w:r w:rsidRPr="0028153F" w:rsidR="007B7274">
        <w:t xml:space="preserve">an administrative list provided by HAB. </w:t>
      </w:r>
      <w:r w:rsidRPr="0028153F">
        <w:t>Once the survey period ends, we will compare RUDI-R responders to non-responders on variables included in the 2021 RSR</w:t>
      </w:r>
      <w:r w:rsidRPr="0028153F" w:rsidR="007F57BA">
        <w:t xml:space="preserve"> and DSR</w:t>
      </w:r>
      <w:r w:rsidRPr="0028153F">
        <w:t xml:space="preserve"> file</w:t>
      </w:r>
      <w:r w:rsidRPr="0028153F" w:rsidR="007F57BA">
        <w:t>s</w:t>
      </w:r>
      <w:r w:rsidRPr="0028153F">
        <w:t xml:space="preserve"> that may impact access to and use of intervention resources (for example, </w:t>
      </w:r>
      <w:r w:rsidRPr="0028153F" w:rsidR="00E5623E">
        <w:t>type of funding</w:t>
      </w:r>
      <w:r w:rsidRPr="0028153F">
        <w:t>, number of clients served, etc.). If respondents differ significantly from non-responders, we will develop non-response weights.</w:t>
      </w:r>
    </w:p>
    <w:p w:rsidR="00F938D8" w:rsidP="0028153F" w14:paraId="26FECFAB" w14:textId="4EB31B7A">
      <w:pPr>
        <w:pStyle w:val="Paragraph"/>
      </w:pPr>
      <w:r>
        <w:t xml:space="preserve">RWHAP </w:t>
      </w:r>
      <w:r w:rsidR="008838CA">
        <w:t xml:space="preserve">recipients </w:t>
      </w:r>
      <w:r>
        <w:t xml:space="preserve">responding to the </w:t>
      </w:r>
      <w:r w:rsidR="00CC7705">
        <w:t xml:space="preserve">RUDI-R </w:t>
      </w:r>
      <w:r>
        <w:t xml:space="preserve">survey will form the sample frame for the </w:t>
      </w:r>
      <w:r w:rsidR="000C0CF5">
        <w:t xml:space="preserve">interviews with Part A and B </w:t>
      </w:r>
      <w:r w:rsidR="006E2D5E">
        <w:t xml:space="preserve">administrative </w:t>
      </w:r>
      <w:r w:rsidR="000C0CF5">
        <w:t>recipients</w:t>
      </w:r>
      <w:r>
        <w:t>, as we describe below.</w:t>
      </w:r>
      <w:r w:rsidR="0028153F">
        <w:t xml:space="preserve"> </w:t>
      </w:r>
      <w:r>
        <w:t>T</w:t>
      </w:r>
      <w:r w:rsidRPr="00FF3F40">
        <w:t xml:space="preserve">he </w:t>
      </w:r>
      <w:r>
        <w:t xml:space="preserve">RUDI-R Survey can be found </w:t>
      </w:r>
      <w:r w:rsidRPr="00FF3F40">
        <w:t xml:space="preserve">in Appendix </w:t>
      </w:r>
      <w:r>
        <w:t>B</w:t>
      </w:r>
      <w:r w:rsidRPr="00FF3F40">
        <w:t xml:space="preserve">. </w:t>
      </w:r>
      <w:bookmarkEnd w:id="7"/>
    </w:p>
    <w:p w:rsidR="00306264" w:rsidP="00306264" w14:paraId="186BEEE2" w14:textId="220D279D">
      <w:pPr>
        <w:pStyle w:val="H3"/>
      </w:pPr>
      <w:r>
        <w:t>3</w:t>
      </w:r>
      <w:r>
        <w:t>.</w:t>
      </w:r>
      <w:r>
        <w:tab/>
      </w:r>
      <w:r w:rsidRPr="00AB17F5" w:rsidR="00B12B6C">
        <w:t>Virtual site visits</w:t>
      </w:r>
      <w:r w:rsidR="006053B3">
        <w:t xml:space="preserve"> with RWHAP providers</w:t>
      </w:r>
    </w:p>
    <w:p w:rsidR="009C3A1D" w:rsidP="00306264" w14:paraId="6C25E632" w14:textId="074D2208">
      <w:pPr>
        <w:pStyle w:val="ParagraphContinued"/>
      </w:pPr>
      <w:r>
        <w:t>We will conduct v</w:t>
      </w:r>
      <w:r w:rsidRPr="00C27F3B" w:rsidR="00C27F3B">
        <w:t>irtual site visit</w:t>
      </w:r>
      <w:r>
        <w:t xml:space="preserve"> interviews</w:t>
      </w:r>
      <w:r w:rsidRPr="00C27F3B" w:rsidR="00C27F3B">
        <w:t xml:space="preserve"> </w:t>
      </w:r>
      <w:r>
        <w:t xml:space="preserve">with </w:t>
      </w:r>
      <w:r w:rsidRPr="00C27F3B" w:rsidR="00C27F3B">
        <w:t>individual</w:t>
      </w:r>
      <w:r>
        <w:t xml:space="preserve"> informants or</w:t>
      </w:r>
      <w:r w:rsidRPr="00C27F3B" w:rsidR="00C27F3B">
        <w:t xml:space="preserve"> small</w:t>
      </w:r>
      <w:r w:rsidR="00AB17F5">
        <w:t xml:space="preserve"> </w:t>
      </w:r>
      <w:r w:rsidRPr="00C27F3B" w:rsidR="00C27F3B">
        <w:t>group</w:t>
      </w:r>
      <w:r>
        <w:t>s of informants</w:t>
      </w:r>
      <w:r w:rsidR="00E5623E">
        <w:t xml:space="preserve"> </w:t>
      </w:r>
      <w:r>
        <w:t xml:space="preserve">(depending on the respondents’ preferences) </w:t>
      </w:r>
      <w:r w:rsidR="00A92AA9">
        <w:t xml:space="preserve">over </w:t>
      </w:r>
      <w:r w:rsidRPr="00C27F3B" w:rsidR="00C27F3B">
        <w:t>Web</w:t>
      </w:r>
      <w:r w:rsidR="003C326B">
        <w:t>e</w:t>
      </w:r>
      <w:r w:rsidRPr="00C27F3B" w:rsidR="00C27F3B">
        <w:t>x</w:t>
      </w:r>
      <w:r w:rsidR="000561DD">
        <w:t xml:space="preserve"> or Zoom</w:t>
      </w:r>
      <w:r w:rsidR="003D62DE">
        <w:t xml:space="preserve">. </w:t>
      </w:r>
      <w:r w:rsidR="00AB17F5">
        <w:t xml:space="preserve">This will allow us to obtain views from multiple staff in the RWHAP provider organization. </w:t>
      </w:r>
      <w:r w:rsidR="00C27F3B">
        <w:t xml:space="preserve">Interviews will yield </w:t>
      </w:r>
      <w:r>
        <w:t xml:space="preserve">more in-depth and nuanced </w:t>
      </w:r>
      <w:r w:rsidRPr="00F46F89" w:rsidR="00F46F89">
        <w:t xml:space="preserve">information </w:t>
      </w:r>
      <w:r>
        <w:t>tha</w:t>
      </w:r>
      <w:r w:rsidR="00AB17F5">
        <w:t>n</w:t>
      </w:r>
      <w:r>
        <w:t xml:space="preserve"> </w:t>
      </w:r>
      <w:r w:rsidR="00A92AA9">
        <w:t xml:space="preserve">we </w:t>
      </w:r>
      <w:r>
        <w:t xml:space="preserve">can obtain through a short survey </w:t>
      </w:r>
      <w:r w:rsidR="00C27F3B">
        <w:t xml:space="preserve">about </w:t>
      </w:r>
      <w:r w:rsidR="00A92AA9">
        <w:t xml:space="preserve">the </w:t>
      </w:r>
      <w:r w:rsidRPr="00F46F89" w:rsidR="00F46F89">
        <w:t>ways</w:t>
      </w:r>
      <w:r w:rsidR="00A92AA9">
        <w:t xml:space="preserve"> that</w:t>
      </w:r>
      <w:r w:rsidRPr="00F46F89" w:rsidR="00F46F89">
        <w:t xml:space="preserve"> </w:t>
      </w:r>
      <w:r>
        <w:t>RWHAP providers access and use</w:t>
      </w:r>
      <w:r w:rsidR="00EF2B15">
        <w:t xml:space="preserve"> </w:t>
      </w:r>
      <w:r w:rsidRPr="00F46F89" w:rsidR="00F46F89">
        <w:t xml:space="preserve">HAB and non-HAB </w:t>
      </w:r>
      <w:r>
        <w:t xml:space="preserve">intervention </w:t>
      </w:r>
      <w:r w:rsidRPr="00F46F89" w:rsidR="00F46F89">
        <w:t xml:space="preserve">resources </w:t>
      </w:r>
      <w:r>
        <w:t>and products</w:t>
      </w:r>
      <w:r w:rsidRPr="00F46F89" w:rsidR="00F46F89">
        <w:t xml:space="preserve">, the contribution </w:t>
      </w:r>
      <w:r w:rsidR="00EB25E5">
        <w:t xml:space="preserve">of </w:t>
      </w:r>
      <w:r>
        <w:t xml:space="preserve">these materials </w:t>
      </w:r>
      <w:r w:rsidRPr="00F46F89" w:rsidR="00F46F89">
        <w:t xml:space="preserve">to </w:t>
      </w:r>
      <w:r>
        <w:t xml:space="preserve">effective </w:t>
      </w:r>
      <w:r w:rsidRPr="00F46F89" w:rsidR="00F46F89">
        <w:t xml:space="preserve">implementation </w:t>
      </w:r>
      <w:r>
        <w:t>of care delivery strategies</w:t>
      </w:r>
      <w:r w:rsidRPr="00F46F89" w:rsidR="00F46F89">
        <w:t xml:space="preserve">, </w:t>
      </w:r>
      <w:r>
        <w:t xml:space="preserve">the perceived effects </w:t>
      </w:r>
      <w:r w:rsidR="000C56F6">
        <w:t xml:space="preserve">of the intervention </w:t>
      </w:r>
      <w:r>
        <w:t xml:space="preserve">on </w:t>
      </w:r>
      <w:r w:rsidR="0067335B">
        <w:t>organizational capacity</w:t>
      </w:r>
      <w:r>
        <w:t xml:space="preserve">, </w:t>
      </w:r>
      <w:r w:rsidRPr="00F46F89" w:rsidR="00F46F89">
        <w:t>and opportunities to strengthen the impact of HAB resources</w:t>
      </w:r>
      <w:r>
        <w:t xml:space="preserve"> on care delivery and outcomes</w:t>
      </w:r>
      <w:r w:rsidRPr="00F46F89" w:rsidR="00F46F89">
        <w:t xml:space="preserve">. </w:t>
      </w:r>
      <w:r w:rsidR="00385287">
        <w:t xml:space="preserve">We also </w:t>
      </w:r>
      <w:r w:rsidR="00EF2B15">
        <w:t>plan to engage RWHAP providers that accessed but did not use TargetHIV resources to gain an in-depth understanding of why resources were not used</w:t>
      </w:r>
      <w:r w:rsidR="00385287">
        <w:t xml:space="preserve"> and what would have made them useful</w:t>
      </w:r>
      <w:r w:rsidR="00EF2B15">
        <w:t xml:space="preserve">. </w:t>
      </w:r>
    </w:p>
    <w:p w:rsidR="009C3A1D" w:rsidP="00306264" w14:paraId="010D48BB" w14:textId="62575161">
      <w:pPr>
        <w:pStyle w:val="ParagraphContinued"/>
      </w:pPr>
      <w:bookmarkStart w:id="8" w:name="_Hlk144977503"/>
      <w:r>
        <w:t xml:space="preserve">RUDI-P/S respondents will be </w:t>
      </w:r>
      <w:r w:rsidR="00CD57B5">
        <w:t>categorized</w:t>
      </w:r>
      <w:r>
        <w:t xml:space="preserve"> into one of three groups, as follows:</w:t>
      </w:r>
    </w:p>
    <w:p w:rsidR="009C3A1D" w:rsidRPr="009C3A1D" w:rsidP="00844194" w14:paraId="59FD39E0" w14:textId="353AD800">
      <w:pPr>
        <w:pStyle w:val="ListParagraph"/>
        <w:numPr>
          <w:ilvl w:val="0"/>
          <w:numId w:val="36"/>
        </w:numPr>
        <w:ind w:left="810"/>
        <w:rPr>
          <w:rFonts w:ascii="Calibri" w:hAnsi="Calibri" w:cs="Calibri"/>
        </w:rPr>
      </w:pPr>
      <w:r w:rsidRPr="009C3A1D">
        <w:rPr>
          <w:b/>
          <w:bCs/>
        </w:rPr>
        <w:t>Group 1:</w:t>
      </w:r>
      <w:r>
        <w:t xml:space="preserve"> </w:t>
      </w:r>
      <w:r w:rsidR="009F21F2">
        <w:t>RWHAP p</w:t>
      </w:r>
      <w:r>
        <w:t xml:space="preserve">roviders that accessed and used </w:t>
      </w:r>
      <w:r w:rsidR="00B72677">
        <w:t xml:space="preserve">TargetHIV </w:t>
      </w:r>
      <w:r>
        <w:t>resources</w:t>
      </w:r>
      <w:r w:rsidR="003312E3">
        <w:t>.</w:t>
      </w:r>
      <w:r>
        <w:t xml:space="preserve"> </w:t>
      </w:r>
    </w:p>
    <w:p w:rsidR="009C3A1D" w:rsidP="00844194" w14:paraId="5F7701B6" w14:textId="622C9AF3">
      <w:pPr>
        <w:pStyle w:val="ListParagraph"/>
        <w:numPr>
          <w:ilvl w:val="0"/>
          <w:numId w:val="36"/>
        </w:numPr>
        <w:ind w:left="810"/>
      </w:pPr>
      <w:r w:rsidRPr="009C3A1D">
        <w:rPr>
          <w:b/>
          <w:bCs/>
        </w:rPr>
        <w:t>Group 2:</w:t>
      </w:r>
      <w:r>
        <w:t xml:space="preserve"> </w:t>
      </w:r>
      <w:bookmarkStart w:id="9" w:name="_Hlk143780482"/>
      <w:r w:rsidR="009F21F2">
        <w:t>RWHAP p</w:t>
      </w:r>
      <w:r>
        <w:t xml:space="preserve">roviders that did not </w:t>
      </w:r>
      <w:r w:rsidR="003312E3">
        <w:t xml:space="preserve">access nor </w:t>
      </w:r>
      <w:r>
        <w:t xml:space="preserve">use resources on TargetHIV but </w:t>
      </w:r>
      <w:r w:rsidR="003312E3">
        <w:t xml:space="preserve">did </w:t>
      </w:r>
      <w:r>
        <w:t xml:space="preserve">access and use a </w:t>
      </w:r>
      <w:r w:rsidR="003312E3">
        <w:t xml:space="preserve">non-TargetHIV </w:t>
      </w:r>
      <w:r>
        <w:t xml:space="preserve">resource. </w:t>
      </w:r>
    </w:p>
    <w:p w:rsidR="009C3A1D" w:rsidP="00844194" w14:paraId="1AE18BD5" w14:textId="3F6784C0">
      <w:pPr>
        <w:pStyle w:val="ListParagraph"/>
        <w:numPr>
          <w:ilvl w:val="0"/>
          <w:numId w:val="36"/>
        </w:numPr>
        <w:ind w:left="810"/>
      </w:pPr>
      <w:r w:rsidRPr="009C3A1D">
        <w:rPr>
          <w:b/>
          <w:bCs/>
        </w:rPr>
        <w:t>Group 3</w:t>
      </w:r>
      <w:r>
        <w:t xml:space="preserve">: </w:t>
      </w:r>
      <w:r w:rsidR="009F21F2">
        <w:t>RWHAP p</w:t>
      </w:r>
      <w:r>
        <w:t>roviders that accessed</w:t>
      </w:r>
      <w:r w:rsidR="00B72677">
        <w:t xml:space="preserve">, but did not use, </w:t>
      </w:r>
      <w:r>
        <w:t xml:space="preserve">a </w:t>
      </w:r>
      <w:r w:rsidR="00B72677">
        <w:t xml:space="preserve">TargetHIV </w:t>
      </w:r>
      <w:r>
        <w:t>resource</w:t>
      </w:r>
      <w:r w:rsidR="00B72677">
        <w:t xml:space="preserve">, and </w:t>
      </w:r>
      <w:r>
        <w:t xml:space="preserve">did not use </w:t>
      </w:r>
      <w:r w:rsidR="00B72677">
        <w:t>a</w:t>
      </w:r>
      <w:r>
        <w:t>ny resources from non-TargetHIV sites.</w:t>
      </w:r>
    </w:p>
    <w:p w:rsidR="00801B61" w:rsidP="0062182A" w14:paraId="4D23E048" w14:textId="72569868">
      <w:pPr>
        <w:pStyle w:val="ParagraphContinued"/>
      </w:pPr>
      <w:bookmarkStart w:id="10" w:name="_Hlk136616831"/>
      <w:bookmarkEnd w:id="9"/>
      <w:r w:rsidRPr="00676D08">
        <w:t xml:space="preserve">To help ensure </w:t>
      </w:r>
      <w:r w:rsidR="00BC5A4C">
        <w:t xml:space="preserve">that RWHAP providers participating in the </w:t>
      </w:r>
      <w:r w:rsidR="00B77C4A">
        <w:t>interviews</w:t>
      </w:r>
      <w:r w:rsidR="00BC5A4C">
        <w:t xml:space="preserve"> are nationally representative, </w:t>
      </w:r>
      <w:r w:rsidRPr="00676D08">
        <w:t>we</w:t>
      </w:r>
      <w:r w:rsidR="0062182A">
        <w:t xml:space="preserve"> plan to stratify</w:t>
      </w:r>
      <w:r w:rsidR="00C31D80">
        <w:t xml:space="preserve"> providers and subrecipients</w:t>
      </w:r>
      <w:r w:rsidR="003363DC">
        <w:t>,</w:t>
      </w:r>
      <w:r w:rsidR="0062182A">
        <w:t xml:space="preserve"> </w:t>
      </w:r>
      <w:r w:rsidR="003363DC">
        <w:t xml:space="preserve">within each of the three groups, </w:t>
      </w:r>
      <w:r w:rsidR="0062182A">
        <w:t xml:space="preserve">by two characteristics: </w:t>
      </w:r>
      <w:r w:rsidRPr="006202FE" w:rsidR="0062182A">
        <w:t>provider type (e.g., community health center, hospital or university-based clinic, etc.) and geographic region (four census regions).</w:t>
      </w:r>
      <w:r w:rsidR="0062182A">
        <w:t xml:space="preserve"> </w:t>
      </w:r>
      <w:r w:rsidR="00C31D80">
        <w:t xml:space="preserve">We will then </w:t>
      </w:r>
      <w:r>
        <w:t xml:space="preserve">draw a stratified </w:t>
      </w:r>
      <w:r w:rsidR="00C31D80">
        <w:t>r</w:t>
      </w:r>
      <w:r w:rsidRPr="00C31D80" w:rsidR="00C31D80">
        <w:t>andom</w:t>
      </w:r>
      <w:r>
        <w:t xml:space="preserve"> sample of </w:t>
      </w:r>
      <w:r w:rsidRPr="00C31D80" w:rsidR="00C31D80">
        <w:t>40 RWHAP providers and subrecipients</w:t>
      </w:r>
      <w:r w:rsidR="008D0BB2">
        <w:t xml:space="preserve">. The </w:t>
      </w:r>
      <w:r w:rsidR="00C31D80">
        <w:t>allocation across the three groups</w:t>
      </w:r>
      <w:r w:rsidR="008D0BB2">
        <w:t xml:space="preserve"> will either be equal allocation (about 13 per group</w:t>
      </w:r>
      <w:r w:rsidR="00C37C2D">
        <w:t>) or</w:t>
      </w:r>
      <w:r w:rsidR="008D0BB2">
        <w:t xml:space="preserve"> weighted toward Group 1 if that group proves to be large enough based on the survey responses, with final allocation determined in consultation with HAB after the survey is complete.</w:t>
      </w:r>
      <w:r w:rsidR="00C31D80">
        <w:t xml:space="preserve"> </w:t>
      </w:r>
      <w:r w:rsidRPr="00C31D80" w:rsidR="00C31D80">
        <w:t xml:space="preserve"> </w:t>
      </w:r>
    </w:p>
    <w:p w:rsidR="0062182A" w:rsidP="0062182A" w14:paraId="184E8267" w14:textId="523F92DB">
      <w:pPr>
        <w:pStyle w:val="ParagraphContinued"/>
      </w:pPr>
      <w:r>
        <w:t xml:space="preserve">After the sample is drawn, we </w:t>
      </w:r>
      <w:r>
        <w:t xml:space="preserve">will review </w:t>
      </w:r>
      <w:r w:rsidRPr="006202FE">
        <w:t xml:space="preserve">the </w:t>
      </w:r>
      <w:r>
        <w:t>RSR</w:t>
      </w:r>
      <w:r w:rsidR="007F57BA">
        <w:t xml:space="preserve"> and DSR</w:t>
      </w:r>
      <w:r>
        <w:t xml:space="preserve"> data for selected RWHAP providers. We will focus on data </w:t>
      </w:r>
      <w:r>
        <w:t>which may be predictive of resource access and use (that is, characteristics that could distinguish users from non-users and that HAB can use to improve access among providers least likely to download relevant disseminated materials</w:t>
      </w:r>
      <w:r>
        <w:t>)</w:t>
      </w:r>
      <w:r>
        <w:t>. These include</w:t>
      </w:r>
      <w:r w:rsidR="00771096">
        <w:t xml:space="preserve"> </w:t>
      </w:r>
      <w:r>
        <w:t>s</w:t>
      </w:r>
      <w:r w:rsidRPr="006202FE">
        <w:t xml:space="preserve">ervices provided (non-medical services and medical), client population served, size of client population. If </w:t>
      </w:r>
      <w:r>
        <w:t>the drawn sample is</w:t>
      </w:r>
      <w:r w:rsidRPr="006202FE">
        <w:t xml:space="preserve"> not sufficiently diverse, we will redraw the sample.</w:t>
      </w:r>
      <w:bookmarkEnd w:id="8"/>
    </w:p>
    <w:bookmarkEnd w:id="10"/>
    <w:p w:rsidR="00F938D8" w:rsidP="00C651F0" w14:paraId="215F78D6" w14:textId="788C1AF5">
      <w:pPr>
        <w:pStyle w:val="ParagraphContinued"/>
      </w:pPr>
      <w:r>
        <w:t>T</w:t>
      </w:r>
      <w:r w:rsidRPr="00FF3F40">
        <w:t xml:space="preserve">he </w:t>
      </w:r>
      <w:r>
        <w:t xml:space="preserve">guide for the virtual site visits with RWHAP providers </w:t>
      </w:r>
      <w:r w:rsidR="0067335B">
        <w:t>is</w:t>
      </w:r>
      <w:r>
        <w:t xml:space="preserve"> provided</w:t>
      </w:r>
      <w:r w:rsidRPr="00FF3F40">
        <w:t xml:space="preserve"> in Appendix </w:t>
      </w:r>
      <w:r>
        <w:t>C</w:t>
      </w:r>
      <w:r w:rsidRPr="00FF3F40">
        <w:t xml:space="preserve">. </w:t>
      </w:r>
    </w:p>
    <w:p w:rsidR="00E067BA" w:rsidP="00F938D8" w14:paraId="648A3961" w14:textId="34E48820">
      <w:pPr>
        <w:pStyle w:val="Paragraph"/>
        <w:rPr>
          <w:bCs/>
        </w:rPr>
      </w:pPr>
      <w:r w:rsidRPr="00EE2E97">
        <w:rPr>
          <w:b/>
          <w:bCs/>
        </w:rPr>
        <w:t>I</w:t>
      </w:r>
      <w:r>
        <w:rPr>
          <w:b/>
        </w:rPr>
        <w:t xml:space="preserve">nterviews with RWHAP Part A and B Recipients (administrative entity only). </w:t>
      </w:r>
      <w:r>
        <w:rPr>
          <w:bCs/>
        </w:rPr>
        <w:t xml:space="preserve"> Part A and B recipients use HAB resources both directly to improve their own knowledge to help achieve Ryan White program goals as well as to support </w:t>
      </w:r>
      <w:r w:rsidR="009F21F2">
        <w:rPr>
          <w:bCs/>
        </w:rPr>
        <w:t xml:space="preserve">RWHAP </w:t>
      </w:r>
      <w:r>
        <w:rPr>
          <w:bCs/>
        </w:rPr>
        <w:t>providers in their efforts to improve services for their clients. Through these interviews, which will last up to 60 minutes each, the research team will understand how this audience directly accesses and uses HAB resources (may be different from how providers and AETCs access and use them)</w:t>
      </w:r>
      <w:r w:rsidR="002C3D04">
        <w:rPr>
          <w:bCs/>
        </w:rPr>
        <w:t xml:space="preserve"> </w:t>
      </w:r>
      <w:r>
        <w:rPr>
          <w:bCs/>
        </w:rPr>
        <w:t>and will collect the recipients’ observations and learnings that they report from their subrecipients (providers) regarding use of these materials.</w:t>
      </w:r>
    </w:p>
    <w:p w:rsidR="00BC6DA1" w:rsidRPr="00E067BA" w:rsidP="00BC6DA1" w14:paraId="441B783C" w14:textId="77777777">
      <w:pPr>
        <w:pStyle w:val="ParagraphContinued"/>
      </w:pPr>
      <w:r>
        <w:t>We will selec</w:t>
      </w:r>
      <w:r w:rsidRPr="00E067BA">
        <w:t xml:space="preserve">t </w:t>
      </w:r>
      <w:r>
        <w:t>20 a</w:t>
      </w:r>
      <w:r w:rsidRPr="00E067BA">
        <w:t>dministrative recipients for telephone interviews</w:t>
      </w:r>
      <w:r>
        <w:t>, 12 Part B and 8 Part A.</w:t>
      </w:r>
      <w:r w:rsidRPr="00E067BA">
        <w:t xml:space="preserve"> We will draw the sample from the organizations that completed the </w:t>
      </w:r>
      <w:r>
        <w:t>RUDI-R</w:t>
      </w:r>
      <w:r w:rsidRPr="00E067BA">
        <w:t xml:space="preserve"> </w:t>
      </w:r>
      <w:r>
        <w:t>S</w:t>
      </w:r>
      <w:r w:rsidRPr="00E067BA">
        <w:t xml:space="preserve">urvey. To ensure a diverse mix of </w:t>
      </w:r>
      <w:r w:rsidRPr="00E067BA">
        <w:rPr>
          <w:b/>
          <w:bCs/>
        </w:rPr>
        <w:t>Part B administrative recipients</w:t>
      </w:r>
      <w:r w:rsidRPr="00E067BA">
        <w:t xml:space="preserve">, we will consider two factors likely to be associated with states’ and territories’ use of disseminated intervention materials: (1) number of </w:t>
      </w:r>
      <w:r>
        <w:t xml:space="preserve">individuals </w:t>
      </w:r>
      <w:r w:rsidRPr="00E067BA">
        <w:t xml:space="preserve">diagnosed </w:t>
      </w:r>
      <w:r>
        <w:t xml:space="preserve">with </w:t>
      </w:r>
      <w:r w:rsidRPr="00E067BA">
        <w:t xml:space="preserve">HIV and (2) geographic region (using the four census regions). </w:t>
      </w:r>
      <w:r w:rsidRPr="00E067BA">
        <w:t xml:space="preserve">We will include all 50 states, the </w:t>
      </w:r>
      <w:r w:rsidRPr="00E067BA">
        <w:t xml:space="preserve">District of Columbia, and </w:t>
      </w:r>
      <w:r>
        <w:t xml:space="preserve">the </w:t>
      </w:r>
      <w:r w:rsidRPr="00E067BA">
        <w:t xml:space="preserve">two territories with more than 500 diagnosed HIV cases (Puerto Rico and the Virgin Islands). We </w:t>
      </w:r>
      <w:r>
        <w:t>will</w:t>
      </w:r>
      <w:r w:rsidRPr="00E067BA">
        <w:t xml:space="preserve"> </w:t>
      </w:r>
      <w:r>
        <w:t xml:space="preserve">first </w:t>
      </w:r>
      <w:r w:rsidRPr="00E067BA">
        <w:t xml:space="preserve">rank order the states and territories by number of </w:t>
      </w:r>
      <w:r>
        <w:t xml:space="preserve">individuals aged 13 and older </w:t>
      </w:r>
      <w:r w:rsidRPr="00E067BA">
        <w:t xml:space="preserve">diagnosed </w:t>
      </w:r>
      <w:r>
        <w:t xml:space="preserve">with </w:t>
      </w:r>
      <w:r w:rsidRPr="00E067BA">
        <w:t xml:space="preserve">HIV based on 2020 HIV prevalence data from the Centers for Disease Control and Prevention, and </w:t>
      </w:r>
      <w:r>
        <w:t xml:space="preserve">then </w:t>
      </w:r>
      <w:r w:rsidRPr="00E067BA">
        <w:t>divide them into high, medium, and low terciles.</w:t>
      </w:r>
      <w:r>
        <w:t xml:space="preserve"> </w:t>
      </w:r>
      <w:r w:rsidRPr="00E067BA">
        <w:t xml:space="preserve">We will </w:t>
      </w:r>
      <w:r>
        <w:t xml:space="preserve">randomly </w:t>
      </w:r>
      <w:r w:rsidRPr="00E067BA">
        <w:t xml:space="preserve">select 4 states or territories from each tercile, striving for regional diversity across the terciles. </w:t>
      </w:r>
      <w:r>
        <w:t xml:space="preserve">We will also select a back-up state or territory from each tercile, in case the Part B recipient in a selected state cannot participate. </w:t>
      </w:r>
      <w:r w:rsidRPr="00BC6DA1">
        <w:t xml:space="preserve">We propose to oversample states in the South with a substantial rural burden by purposively selecting one of the seven </w:t>
      </w:r>
      <w:r>
        <w:t xml:space="preserve">states </w:t>
      </w:r>
      <w:r w:rsidRPr="00BC6DA1">
        <w:t xml:space="preserve">targeted by the </w:t>
      </w:r>
      <w:r w:rsidRPr="00BC6DA1">
        <w:rPr>
          <w:i/>
          <w:iCs/>
        </w:rPr>
        <w:t>Ending the HIV Epidemic in the United States</w:t>
      </w:r>
      <w:r w:rsidRPr="00BC6DA1">
        <w:t xml:space="preserve"> initiative from both the high and medium terciles</w:t>
      </w:r>
      <w:r w:rsidRPr="00E067BA">
        <w:t>. This will ensure we capture the potentially unique needs and challenges they face accessing and using disseminated materials to improve the delivery of care.</w:t>
      </w:r>
    </w:p>
    <w:p w:rsidR="00BC6DA1" w:rsidRPr="00E067BA" w:rsidP="00BC6DA1" w14:paraId="6CE071A8" w14:textId="77777777">
      <w:pPr>
        <w:pStyle w:val="Paragraph"/>
      </w:pPr>
      <w:r w:rsidRPr="00E067BA">
        <w:t xml:space="preserve">For </w:t>
      </w:r>
      <w:r w:rsidRPr="00E067BA">
        <w:rPr>
          <w:b/>
          <w:bCs/>
        </w:rPr>
        <w:t>Part A administrative recipients</w:t>
      </w:r>
      <w:r w:rsidRPr="00E067BA">
        <w:t xml:space="preserve">, </w:t>
      </w:r>
      <w:r w:rsidRPr="00BC6DA1">
        <w:t xml:space="preserve">we </w:t>
      </w:r>
      <w:r>
        <w:t xml:space="preserve">will </w:t>
      </w:r>
      <w:r w:rsidRPr="00BC6DA1">
        <w:t xml:space="preserve">select one eligible metropolitan area or transitional grant area from </w:t>
      </w:r>
      <w:r>
        <w:t xml:space="preserve">within </w:t>
      </w:r>
      <w:r w:rsidRPr="00BC6DA1">
        <w:t>each of the 4 states chosen from the high-volume tercile</w:t>
      </w:r>
      <w:r>
        <w:t>, described above,</w:t>
      </w:r>
      <w:r w:rsidRPr="00E067BA">
        <w:t xml:space="preserve"> to assess how Part A and Part B recipients collaborate to disseminate resource materials among their subgrantees. </w:t>
      </w:r>
      <w:r w:rsidRPr="00BC6DA1">
        <w:t xml:space="preserve">We </w:t>
      </w:r>
      <w:r>
        <w:t xml:space="preserve">select </w:t>
      </w:r>
      <w:r w:rsidRPr="00BC6DA1">
        <w:t>four additional metropolitan areas from</w:t>
      </w:r>
      <w:r>
        <w:t xml:space="preserve"> 4</w:t>
      </w:r>
      <w:r w:rsidRPr="00BC6DA1">
        <w:t xml:space="preserve"> </w:t>
      </w:r>
      <w:r w:rsidRPr="002C39BB">
        <w:t xml:space="preserve">randomly select </w:t>
      </w:r>
      <w:r>
        <w:t xml:space="preserve">states from </w:t>
      </w:r>
      <w:r w:rsidRPr="00BC6DA1">
        <w:t xml:space="preserve">the medium tercile, </w:t>
      </w:r>
      <w:r>
        <w:t xml:space="preserve">described above, </w:t>
      </w:r>
      <w:r w:rsidRPr="00BC6DA1">
        <w:t>one from each region</w:t>
      </w:r>
      <w:r>
        <w:t>. The four states selected in the medium tercile for the Part B recipient interviews will be removed prior to selecting the four additional states.</w:t>
      </w:r>
      <w:r w:rsidRPr="00E067BA">
        <w:t xml:space="preserve"> </w:t>
      </w:r>
      <w:r>
        <w:t>We will select a back-up metropolitan area in each of the 4 states, in case one or more of the initially selected are unable to participate. W</w:t>
      </w:r>
      <w:r w:rsidRPr="00BC6DA1">
        <w:t>e will select no more than one Part A administrative recipient per state.</w:t>
      </w:r>
    </w:p>
    <w:p w:rsidR="00BC6DA1" w:rsidP="00BC6DA1" w14:paraId="79752E64" w14:textId="77777777">
      <w:pPr>
        <w:pStyle w:val="Paragraph"/>
        <w:rPr>
          <w:bCs/>
        </w:rPr>
      </w:pPr>
      <w:r w:rsidRPr="00E067BA">
        <w:t>We believe this sampling approach will provide insights that complement the RUDI-R survey findings and offer an additional level o</w:t>
      </w:r>
      <w:r>
        <w:t>f richness to the study results and recommendations. Although the responses will not be statistically representative of all Part A and Part B administrative recipients, the proposed approach nonetheless achieves a diverse mix of recipients and perspectives (reflecting differences across regions, number of diagnosed HIV cases, and overlapping Parts A and B jurisdictions) appropriate to the level of resources available for this data collection effort.</w:t>
      </w:r>
    </w:p>
    <w:p w:rsidR="00F938D8" w:rsidRPr="00FF3F40" w:rsidP="00C37C2D" w14:paraId="4A21967E" w14:textId="2666241D">
      <w:pPr>
        <w:pStyle w:val="Paragraph"/>
      </w:pPr>
      <w:bookmarkStart w:id="11" w:name="_Hlk136599235"/>
      <w:r>
        <w:t>T</w:t>
      </w:r>
      <w:r w:rsidRPr="00FF3F40">
        <w:t xml:space="preserve">he </w:t>
      </w:r>
      <w:r>
        <w:t xml:space="preserve">guide for interviews with RWHAP </w:t>
      </w:r>
      <w:r w:rsidR="003A7BAF">
        <w:t xml:space="preserve">Part A and B </w:t>
      </w:r>
      <w:r>
        <w:t xml:space="preserve">Recipients </w:t>
      </w:r>
      <w:r w:rsidR="003A7BAF">
        <w:t>is</w:t>
      </w:r>
      <w:r>
        <w:t xml:space="preserve"> provided</w:t>
      </w:r>
      <w:r w:rsidRPr="00FF3F40">
        <w:t xml:space="preserve"> in Appendix </w:t>
      </w:r>
      <w:r>
        <w:t>D</w:t>
      </w:r>
      <w:r w:rsidRPr="00FF3F40">
        <w:t xml:space="preserve">. </w:t>
      </w:r>
    </w:p>
    <w:bookmarkEnd w:id="11"/>
    <w:p w:rsidR="00F938D8" w:rsidRPr="002B506C" w:rsidP="00F938D8" w14:paraId="059744B5" w14:textId="77777777">
      <w:pPr>
        <w:pStyle w:val="Paragraph"/>
        <w:rPr>
          <w:bCs/>
        </w:rPr>
      </w:pPr>
      <w:r>
        <w:rPr>
          <w:b/>
        </w:rPr>
        <w:t xml:space="preserve">AETC Interviews. </w:t>
      </w:r>
      <w:r>
        <w:rPr>
          <w:bCs/>
        </w:rPr>
        <w:t>The AETCs are another key user audience for HAB dissemination products, so without these interviews the team would miss the perspectives of another important user group. The team will interview a key contact in each of the eight regional AETCs identified by HAB, for up to 60 minutes, to learn how they use HAB dissemination products themselves, how they use these resources to support RWHAP providers in their region, what they have heard from providers in their region about the use and usefulness of the resources, and their perspectives on what could be improved to make them more useful.</w:t>
      </w:r>
    </w:p>
    <w:p w:rsidR="00F938D8" w:rsidRPr="0089276E" w:rsidP="00F938D8" w14:paraId="17337A92" w14:textId="1513AB0E">
      <w:pPr>
        <w:pStyle w:val="Paragraph"/>
        <w:rPr>
          <w:bCs/>
        </w:rPr>
      </w:pPr>
      <w:bookmarkStart w:id="12" w:name="_Hlk136599318"/>
      <w:r w:rsidRPr="0089276E">
        <w:rPr>
          <w:bCs/>
        </w:rPr>
        <w:t xml:space="preserve">The guide for AETC interviews </w:t>
      </w:r>
      <w:r w:rsidR="003A7BAF">
        <w:t>is</w:t>
      </w:r>
      <w:r>
        <w:t xml:space="preserve"> provided</w:t>
      </w:r>
      <w:r w:rsidRPr="00FF3F40">
        <w:t xml:space="preserve"> in Appendix </w:t>
      </w:r>
      <w:r>
        <w:t>E</w:t>
      </w:r>
      <w:r w:rsidRPr="00FF3F40">
        <w:t>.</w:t>
      </w:r>
    </w:p>
    <w:bookmarkEnd w:id="12"/>
    <w:p w:rsidR="009B0C6A" w:rsidP="007C67BA" w14:paraId="7482BE92" w14:textId="38FB98BF">
      <w:pPr>
        <w:pStyle w:val="Paragraph"/>
      </w:pPr>
      <w:r>
        <w:t xml:space="preserve">Exhibit 1 </w:t>
      </w:r>
      <w:r w:rsidR="007F0944">
        <w:t>provides an overview of the data collection activities, including the sampling approach and analysis methods</w:t>
      </w:r>
      <w:r w:rsidR="006324C2">
        <w:t>, for the RUDI evaluation.</w:t>
      </w:r>
    </w:p>
    <w:p w:rsidR="003B3C28" w:rsidP="006439F3" w14:paraId="1BE010D6" w14:textId="77777777">
      <w:pPr>
        <w:pStyle w:val="TitleRule"/>
        <w:keepLines/>
      </w:pPr>
      <w:r w:rsidRPr="00465BF8">
        <w:rPr>
          <w:noProof/>
        </w:rPr>
        <mc:AlternateContent>
          <mc:Choice Requires="wps">
            <w:drawing>
              <wp:inline distT="0" distB="0" distL="0" distR="0">
                <wp:extent cx="2971800" cy="0"/>
                <wp:effectExtent l="0" t="38100" r="38100" b="38100"/>
                <wp:docPr id="49" name="Straight Connector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o:spid="_x0000_i1025"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5E5FD2" w:rsidRPr="005B5177" w:rsidP="006439F3" w14:paraId="037E0955" w14:textId="3DC3F2A4">
      <w:pPr>
        <w:pStyle w:val="ExhibitTitle"/>
      </w:pPr>
      <w:r w:rsidRPr="005B5177">
        <w:t xml:space="preserve">Exhibit 1. </w:t>
      </w:r>
      <w:r w:rsidRPr="005B5177" w:rsidR="009B0C6A">
        <w:t xml:space="preserve">Sampling </w:t>
      </w:r>
      <w:r w:rsidR="00DE35D3">
        <w:t>a</w:t>
      </w:r>
      <w:r w:rsidRPr="005B5177" w:rsidR="009B0C6A">
        <w:t xml:space="preserve">pproach, </w:t>
      </w:r>
      <w:r w:rsidR="00DE35D3">
        <w:t>t</w:t>
      </w:r>
      <w:r w:rsidR="005B5177">
        <w:t xml:space="preserve">opics, and </w:t>
      </w:r>
      <w:r w:rsidR="00DE35D3">
        <w:t>a</w:t>
      </w:r>
      <w:r w:rsidR="005B5177">
        <w:t xml:space="preserve">nalytic </w:t>
      </w:r>
      <w:r w:rsidR="00DE35D3">
        <w:t>a</w:t>
      </w:r>
      <w:r w:rsidR="005B5177">
        <w:t>pproaches</w:t>
      </w:r>
    </w:p>
    <w:tbl>
      <w:tblPr>
        <w:tblStyle w:val="BaseTable"/>
        <w:tblW w:w="5201" w:type="pct"/>
        <w:tblLayout w:type="fixed"/>
        <w:tblLook w:val="04A0"/>
      </w:tblPr>
      <w:tblGrid>
        <w:gridCol w:w="1872"/>
        <w:gridCol w:w="7490"/>
      </w:tblGrid>
      <w:tr w14:paraId="65C78F64" w14:textId="72B06711" w:rsidTr="00F938D8">
        <w:tblPrEx>
          <w:tblW w:w="5201" w:type="pct"/>
          <w:tblLayout w:type="fixed"/>
          <w:tblLook w:val="04A0"/>
        </w:tblPrEx>
        <w:trPr>
          <w:trHeight w:val="120"/>
          <w:tblHeader/>
        </w:trPr>
        <w:tc>
          <w:tcPr>
            <w:tcW w:w="1000" w:type="pct"/>
            <w:tcBorders>
              <w:bottom w:val="nil"/>
            </w:tcBorders>
          </w:tcPr>
          <w:p w:rsidR="00135EB6" w:rsidRPr="00530625" w:rsidP="006439F3" w14:paraId="4C216631" w14:textId="70108577">
            <w:pPr>
              <w:pStyle w:val="TableHeaderLeft"/>
              <w:keepLines/>
              <w:rPr>
                <w:rFonts w:ascii="Arial Narrow" w:hAnsi="Arial Narrow"/>
                <w:b w:val="0"/>
                <w:szCs w:val="18"/>
              </w:rPr>
            </w:pPr>
            <w:r w:rsidRPr="00530625">
              <w:rPr>
                <w:rFonts w:ascii="Arial Narrow" w:hAnsi="Arial Narrow"/>
                <w:szCs w:val="18"/>
              </w:rPr>
              <w:t>Features</w:t>
            </w:r>
          </w:p>
        </w:tc>
        <w:tc>
          <w:tcPr>
            <w:tcW w:w="4000" w:type="pct"/>
            <w:tcBorders>
              <w:bottom w:val="nil"/>
            </w:tcBorders>
          </w:tcPr>
          <w:p w:rsidR="00135EB6" w:rsidRPr="00530625" w:rsidP="006439F3" w14:paraId="746EF9D9" w14:textId="2B7FC30C">
            <w:pPr>
              <w:pStyle w:val="TableHeaderCenter"/>
              <w:keepLines/>
              <w:rPr>
                <w:rFonts w:ascii="Arial Narrow" w:hAnsi="Arial Narrow"/>
                <w:b w:val="0"/>
                <w:szCs w:val="18"/>
              </w:rPr>
            </w:pPr>
            <w:r w:rsidRPr="00530625">
              <w:rPr>
                <w:rFonts w:ascii="Arial Narrow" w:hAnsi="Arial Narrow"/>
                <w:szCs w:val="18"/>
              </w:rPr>
              <w:t>Description</w:t>
            </w:r>
          </w:p>
        </w:tc>
      </w:tr>
      <w:tr w14:paraId="1182F67D" w14:textId="77777777" w:rsidTr="00C651F0">
        <w:tblPrEx>
          <w:tblW w:w="5201" w:type="pct"/>
          <w:tblLayout w:type="fixed"/>
          <w:tblLook w:val="04A0"/>
        </w:tblPrEx>
        <w:trPr>
          <w:trHeight w:val="120"/>
        </w:trPr>
        <w:tc>
          <w:tcPr>
            <w:tcW w:w="5000" w:type="pct"/>
            <w:gridSpan w:val="2"/>
            <w:tcBorders>
              <w:top w:val="nil"/>
              <w:bottom w:val="nil"/>
            </w:tcBorders>
            <w:shd w:val="clear" w:color="auto" w:fill="0B2949" w:themeFill="accent1"/>
          </w:tcPr>
          <w:p w:rsidR="00135EB6" w:rsidRPr="00530625" w:rsidP="006439F3" w14:paraId="047EDA22" w14:textId="442D8344">
            <w:pPr>
              <w:pStyle w:val="TableRowHead"/>
              <w:keepLines/>
              <w:rPr>
                <w:rFonts w:ascii="Arial Narrow" w:hAnsi="Arial Narrow"/>
                <w:szCs w:val="18"/>
              </w:rPr>
            </w:pPr>
            <w:r w:rsidRPr="00530625">
              <w:rPr>
                <w:rFonts w:ascii="Arial Narrow" w:hAnsi="Arial Narrow"/>
                <w:szCs w:val="18"/>
              </w:rPr>
              <w:t>RUDI</w:t>
            </w:r>
            <w:r w:rsidRPr="00530625" w:rsidR="003A7BAF">
              <w:rPr>
                <w:rFonts w:ascii="Arial Narrow" w:hAnsi="Arial Narrow"/>
                <w:szCs w:val="18"/>
              </w:rPr>
              <w:t>-P</w:t>
            </w:r>
            <w:r w:rsidRPr="00530625" w:rsidR="00297B96">
              <w:rPr>
                <w:rFonts w:ascii="Arial Narrow" w:hAnsi="Arial Narrow"/>
                <w:szCs w:val="18"/>
              </w:rPr>
              <w:t>/S</w:t>
            </w:r>
            <w:r w:rsidRPr="00530625">
              <w:rPr>
                <w:rFonts w:ascii="Arial Narrow" w:hAnsi="Arial Narrow"/>
                <w:szCs w:val="18"/>
              </w:rPr>
              <w:t xml:space="preserve"> Survey</w:t>
            </w:r>
          </w:p>
        </w:tc>
      </w:tr>
      <w:tr w14:paraId="2E0430B7" w14:textId="6073F1A4" w:rsidTr="00F938D8">
        <w:tblPrEx>
          <w:tblW w:w="5201" w:type="pct"/>
          <w:tblLayout w:type="fixed"/>
          <w:tblLook w:val="04A0"/>
        </w:tblPrEx>
        <w:trPr>
          <w:trHeight w:val="120"/>
        </w:trPr>
        <w:tc>
          <w:tcPr>
            <w:tcW w:w="1000" w:type="pct"/>
            <w:tcBorders>
              <w:top w:val="nil"/>
            </w:tcBorders>
          </w:tcPr>
          <w:p w:rsidR="00135EB6" w:rsidRPr="00530625" w:rsidP="006439F3" w14:paraId="71C9CFF2" w14:textId="384CEB7F">
            <w:pPr>
              <w:pStyle w:val="TableTextLeft"/>
              <w:keepNext/>
              <w:keepLines/>
              <w:rPr>
                <w:rFonts w:ascii="Arial Narrow" w:hAnsi="Arial Narrow"/>
                <w:b/>
                <w:bCs/>
                <w:szCs w:val="18"/>
              </w:rPr>
            </w:pPr>
            <w:bookmarkStart w:id="13" w:name="_Hlk126739482"/>
            <w:bookmarkStart w:id="14" w:name="_Hlk136606989"/>
            <w:bookmarkStart w:id="15" w:name="_Hlk126739672"/>
            <w:r w:rsidRPr="00530625">
              <w:rPr>
                <w:rFonts w:ascii="Arial Narrow" w:hAnsi="Arial Narrow"/>
                <w:b/>
                <w:bCs/>
                <w:szCs w:val="18"/>
              </w:rPr>
              <w:t>Sampling</w:t>
            </w:r>
            <w:bookmarkEnd w:id="13"/>
          </w:p>
        </w:tc>
        <w:tc>
          <w:tcPr>
            <w:tcW w:w="4000" w:type="pct"/>
            <w:tcBorders>
              <w:top w:val="nil"/>
            </w:tcBorders>
          </w:tcPr>
          <w:p w:rsidR="00135EB6" w:rsidRPr="00530625" w:rsidP="006439F3" w14:paraId="5B0A0B80" w14:textId="76CDBD49">
            <w:pPr>
              <w:pStyle w:val="TableTextLeft"/>
              <w:keepNext/>
              <w:keepLines/>
              <w:rPr>
                <w:rFonts w:ascii="Arial Narrow" w:hAnsi="Arial Narrow"/>
                <w:szCs w:val="18"/>
              </w:rPr>
            </w:pPr>
            <w:r w:rsidRPr="00530625">
              <w:rPr>
                <w:rFonts w:ascii="Arial Narrow" w:hAnsi="Arial Narrow"/>
                <w:szCs w:val="18"/>
              </w:rPr>
              <w:t>Census of RWHAP providers</w:t>
            </w:r>
            <w:r w:rsidRPr="00530625" w:rsidR="005A3189">
              <w:rPr>
                <w:rFonts w:ascii="Arial Narrow" w:hAnsi="Arial Narrow"/>
                <w:szCs w:val="18"/>
              </w:rPr>
              <w:t xml:space="preserve"> with 1 response per provider</w:t>
            </w:r>
            <w:r w:rsidRPr="00530625">
              <w:rPr>
                <w:rFonts w:ascii="Arial Narrow" w:hAnsi="Arial Narrow"/>
                <w:szCs w:val="18"/>
              </w:rPr>
              <w:t>. Assume 2,131 RWHAP providers with a 50 percent response rate (n</w:t>
            </w:r>
            <w:r w:rsidRPr="00530625" w:rsidR="00DE35D3">
              <w:rPr>
                <w:rFonts w:ascii="Arial Narrow" w:hAnsi="Arial Narrow"/>
                <w:szCs w:val="18"/>
              </w:rPr>
              <w:t xml:space="preserve"> </w:t>
            </w:r>
            <w:r w:rsidRPr="00530625">
              <w:rPr>
                <w:rFonts w:ascii="Arial Narrow" w:hAnsi="Arial Narrow"/>
                <w:szCs w:val="18"/>
              </w:rPr>
              <w:t>=</w:t>
            </w:r>
            <w:r w:rsidRPr="00530625" w:rsidR="00DE35D3">
              <w:rPr>
                <w:rFonts w:ascii="Arial Narrow" w:hAnsi="Arial Narrow"/>
                <w:szCs w:val="18"/>
              </w:rPr>
              <w:t xml:space="preserve"> </w:t>
            </w:r>
            <w:r w:rsidRPr="00530625">
              <w:rPr>
                <w:rFonts w:ascii="Arial Narrow" w:hAnsi="Arial Narrow"/>
                <w:szCs w:val="18"/>
              </w:rPr>
              <w:t>1,066).</w:t>
            </w:r>
          </w:p>
        </w:tc>
      </w:tr>
      <w:tr w14:paraId="6653F364" w14:textId="77777777" w:rsidTr="00F938D8">
        <w:tblPrEx>
          <w:tblW w:w="5201" w:type="pct"/>
          <w:tblLayout w:type="fixed"/>
          <w:tblLook w:val="04A0"/>
        </w:tblPrEx>
        <w:trPr>
          <w:trHeight w:val="120"/>
        </w:trPr>
        <w:tc>
          <w:tcPr>
            <w:tcW w:w="1000" w:type="pct"/>
          </w:tcPr>
          <w:p w:rsidR="00135EB6" w:rsidRPr="00530625" w:rsidP="003B3C28" w14:paraId="474A9FAC" w14:textId="26F0F6AB">
            <w:pPr>
              <w:pStyle w:val="TableTextLeft"/>
              <w:rPr>
                <w:rFonts w:ascii="Arial Narrow" w:hAnsi="Arial Narrow"/>
                <w:b/>
                <w:bCs/>
                <w:szCs w:val="18"/>
              </w:rPr>
            </w:pPr>
            <w:r w:rsidRPr="00530625">
              <w:rPr>
                <w:rFonts w:ascii="Arial Narrow" w:hAnsi="Arial Narrow"/>
                <w:b/>
                <w:bCs/>
                <w:szCs w:val="18"/>
              </w:rPr>
              <w:t>Topics</w:t>
            </w:r>
          </w:p>
        </w:tc>
        <w:tc>
          <w:tcPr>
            <w:tcW w:w="4000" w:type="pct"/>
          </w:tcPr>
          <w:p w:rsidR="00135EB6" w:rsidRPr="00530625" w:rsidP="00306264" w14:paraId="23915749" w14:textId="77777777">
            <w:pPr>
              <w:pStyle w:val="TableListNumber"/>
              <w:rPr>
                <w:rFonts w:ascii="Arial Narrow" w:eastAsia="Times New Roman" w:hAnsi="Arial Narrow"/>
                <w:szCs w:val="18"/>
              </w:rPr>
            </w:pPr>
            <w:r w:rsidRPr="00530625">
              <w:rPr>
                <w:rFonts w:ascii="Arial Narrow" w:eastAsia="Times New Roman" w:hAnsi="Arial Narrow"/>
                <w:szCs w:val="18"/>
              </w:rPr>
              <w:t>Interventions implemented or replicated</w:t>
            </w:r>
          </w:p>
          <w:p w:rsidR="00135EB6" w:rsidRPr="00530625" w:rsidP="00306264" w14:paraId="19CE51A8" w14:textId="77777777">
            <w:pPr>
              <w:pStyle w:val="TableListNumber"/>
              <w:rPr>
                <w:rFonts w:ascii="Arial Narrow" w:eastAsia="Times New Roman" w:hAnsi="Arial Narrow"/>
                <w:szCs w:val="18"/>
              </w:rPr>
            </w:pPr>
            <w:r w:rsidRPr="00530625">
              <w:rPr>
                <w:rFonts w:ascii="Arial Narrow" w:eastAsia="Times New Roman" w:hAnsi="Arial Narrow"/>
                <w:szCs w:val="18"/>
              </w:rPr>
              <w:t>Extent of use of HAB and non-HAB resources</w:t>
            </w:r>
          </w:p>
          <w:p w:rsidR="00135EB6" w:rsidRPr="00530625" w:rsidP="00306264" w14:paraId="1B1F4E1C" w14:textId="77777777">
            <w:pPr>
              <w:pStyle w:val="TableListNumber"/>
              <w:rPr>
                <w:rFonts w:ascii="Arial Narrow" w:eastAsia="Times New Roman" w:hAnsi="Arial Narrow"/>
                <w:szCs w:val="18"/>
              </w:rPr>
            </w:pPr>
            <w:r w:rsidRPr="00530625">
              <w:rPr>
                <w:rFonts w:ascii="Arial Narrow" w:eastAsia="Times New Roman" w:hAnsi="Arial Narrow"/>
                <w:szCs w:val="18"/>
              </w:rPr>
              <w:t>Ways HAB and non-HAB resources were used</w:t>
            </w:r>
          </w:p>
          <w:p w:rsidR="00135EB6" w:rsidRPr="00530625" w:rsidP="00306264" w14:paraId="1B0444DE" w14:textId="77777777">
            <w:pPr>
              <w:pStyle w:val="TableListNumber"/>
              <w:rPr>
                <w:rFonts w:ascii="Arial Narrow" w:eastAsia="Times New Roman" w:hAnsi="Arial Narrow"/>
                <w:szCs w:val="18"/>
              </w:rPr>
            </w:pPr>
            <w:r w:rsidRPr="00530625">
              <w:rPr>
                <w:rFonts w:ascii="Arial Narrow" w:eastAsia="Times New Roman" w:hAnsi="Arial Narrow"/>
                <w:szCs w:val="18"/>
              </w:rPr>
              <w:t>HAB and non-HAB resources’ contributions to implementation success</w:t>
            </w:r>
          </w:p>
          <w:p w:rsidR="00135EB6" w:rsidRPr="00530625" w:rsidP="00B228FD" w14:paraId="14DC6679" w14:textId="7DC66046">
            <w:pPr>
              <w:pStyle w:val="TableListNumber"/>
              <w:rPr>
                <w:rFonts w:ascii="Arial Narrow" w:hAnsi="Arial Narrow"/>
                <w:szCs w:val="18"/>
              </w:rPr>
            </w:pPr>
            <w:r w:rsidRPr="00530625">
              <w:rPr>
                <w:rFonts w:ascii="Arial Narrow" w:eastAsia="Times New Roman" w:hAnsi="Arial Narrow"/>
                <w:szCs w:val="18"/>
              </w:rPr>
              <w:t>Opportunities to strengthen the impact of HAB resources</w:t>
            </w:r>
          </w:p>
        </w:tc>
      </w:tr>
      <w:tr w14:paraId="1BA14184" w14:textId="77777777" w:rsidTr="00F938D8">
        <w:tblPrEx>
          <w:tblW w:w="5201" w:type="pct"/>
          <w:tblLayout w:type="fixed"/>
          <w:tblLook w:val="04A0"/>
        </w:tblPrEx>
        <w:trPr>
          <w:trHeight w:val="120"/>
        </w:trPr>
        <w:tc>
          <w:tcPr>
            <w:tcW w:w="1000" w:type="pct"/>
          </w:tcPr>
          <w:p w:rsidR="00135EB6" w:rsidRPr="00530625" w:rsidP="003B3C28" w14:paraId="1A1BA765" w14:textId="5B471F03">
            <w:pPr>
              <w:pStyle w:val="TableTextLeft"/>
              <w:rPr>
                <w:rFonts w:ascii="Arial Narrow" w:hAnsi="Arial Narrow"/>
                <w:b/>
                <w:bCs/>
                <w:szCs w:val="18"/>
              </w:rPr>
            </w:pPr>
            <w:r w:rsidRPr="00530625">
              <w:rPr>
                <w:rFonts w:ascii="Arial Narrow" w:hAnsi="Arial Narrow"/>
                <w:b/>
                <w:bCs/>
                <w:szCs w:val="18"/>
              </w:rPr>
              <w:t>Analysis</w:t>
            </w:r>
          </w:p>
        </w:tc>
        <w:tc>
          <w:tcPr>
            <w:tcW w:w="4000" w:type="pct"/>
          </w:tcPr>
          <w:p w:rsidR="00135EB6" w:rsidRPr="00530625" w:rsidP="003B3C28" w14:paraId="31F19300" w14:textId="2547E5BA">
            <w:pPr>
              <w:pStyle w:val="TableTextLeft"/>
              <w:rPr>
                <w:rFonts w:ascii="Arial Narrow" w:hAnsi="Arial Narrow"/>
                <w:szCs w:val="18"/>
              </w:rPr>
            </w:pPr>
            <w:r w:rsidRPr="00530625">
              <w:rPr>
                <w:rFonts w:ascii="Arial Narrow" w:hAnsi="Arial Narrow"/>
                <w:szCs w:val="18"/>
              </w:rPr>
              <w:t xml:space="preserve">All quantitative data will be analyzed using SAS or R. Descriptive statistics and multivariate analyses will be conducted to understand the characteristics of RWHAP providers and the relationship between their site-level characteristics and their responses. Quantitative analyses will use a threshold of </w:t>
            </w:r>
            <w:r w:rsidRPr="00530625">
              <w:rPr>
                <w:rFonts w:ascii="Arial Narrow" w:hAnsi="Arial Narrow"/>
                <w:i/>
                <w:iCs/>
                <w:szCs w:val="18"/>
              </w:rPr>
              <w:t>p</w:t>
            </w:r>
            <w:r w:rsidRPr="00530625" w:rsidR="00DE35D3">
              <w:rPr>
                <w:rFonts w:ascii="Arial Narrow" w:hAnsi="Arial Narrow"/>
                <w:szCs w:val="18"/>
              </w:rPr>
              <w:t xml:space="preserve"> </w:t>
            </w:r>
            <w:r w:rsidRPr="00530625">
              <w:rPr>
                <w:rFonts w:ascii="Arial Narrow" w:hAnsi="Arial Narrow"/>
                <w:szCs w:val="18"/>
              </w:rPr>
              <w:t>&lt;</w:t>
            </w:r>
            <w:r w:rsidRPr="00530625" w:rsidR="00DE35D3">
              <w:rPr>
                <w:rFonts w:ascii="Arial Narrow" w:hAnsi="Arial Narrow"/>
                <w:szCs w:val="18"/>
              </w:rPr>
              <w:t xml:space="preserve"> </w:t>
            </w:r>
            <w:r w:rsidRPr="00530625">
              <w:rPr>
                <w:rFonts w:ascii="Arial Narrow" w:hAnsi="Arial Narrow"/>
                <w:szCs w:val="18"/>
              </w:rPr>
              <w:t>0.05 for determining statistical significance.</w:t>
            </w:r>
          </w:p>
        </w:tc>
      </w:tr>
      <w:tr w14:paraId="3A491B4E" w14:textId="77777777" w:rsidTr="00F938D8">
        <w:tblPrEx>
          <w:tblW w:w="5201" w:type="pct"/>
          <w:tblLayout w:type="fixed"/>
          <w:tblLook w:val="04A0"/>
        </w:tblPrEx>
        <w:trPr>
          <w:trHeight w:val="120"/>
        </w:trPr>
        <w:tc>
          <w:tcPr>
            <w:tcW w:w="1000" w:type="pct"/>
          </w:tcPr>
          <w:p w:rsidR="00135EB6" w:rsidRPr="00530625" w:rsidP="003B3C28" w14:paraId="121EFD87" w14:textId="1F607E4E">
            <w:pPr>
              <w:pStyle w:val="TableTextLeft"/>
              <w:rPr>
                <w:rFonts w:ascii="Arial Narrow" w:hAnsi="Arial Narrow"/>
                <w:b/>
                <w:bCs/>
                <w:szCs w:val="18"/>
              </w:rPr>
            </w:pPr>
            <w:bookmarkStart w:id="16" w:name="_Hlk136600043"/>
            <w:r w:rsidRPr="00530625">
              <w:rPr>
                <w:rFonts w:ascii="Arial Narrow" w:hAnsi="Arial Narrow"/>
                <w:b/>
                <w:bCs/>
                <w:szCs w:val="18"/>
              </w:rPr>
              <w:t>Precision</w:t>
            </w:r>
            <w:r w:rsidRPr="00530625" w:rsidR="008E06FE">
              <w:rPr>
                <w:rFonts w:ascii="Arial Narrow" w:hAnsi="Arial Narrow"/>
                <w:b/>
                <w:bCs/>
                <w:szCs w:val="18"/>
              </w:rPr>
              <w:t xml:space="preserve"> (Degree of accuracy)</w:t>
            </w:r>
          </w:p>
        </w:tc>
        <w:tc>
          <w:tcPr>
            <w:tcW w:w="4000" w:type="pct"/>
          </w:tcPr>
          <w:p w:rsidR="00135EB6" w:rsidRPr="00530625" w:rsidP="003B3C28" w14:paraId="49F0E9E0" w14:textId="50BC838F">
            <w:pPr>
              <w:pStyle w:val="TableTextLeft"/>
              <w:rPr>
                <w:rFonts w:ascii="Arial Narrow" w:hAnsi="Arial Narrow"/>
                <w:szCs w:val="18"/>
              </w:rPr>
            </w:pPr>
            <w:r w:rsidRPr="00530625">
              <w:rPr>
                <w:rFonts w:ascii="Arial Narrow" w:hAnsi="Arial Narrow"/>
                <w:szCs w:val="18"/>
              </w:rPr>
              <w:t>Assuming 1,066 respondents answer a binary question with half selecting one response and half</w:t>
            </w:r>
            <w:r w:rsidRPr="00530625" w:rsidR="00DE35D3">
              <w:rPr>
                <w:rFonts w:ascii="Arial Narrow" w:hAnsi="Arial Narrow"/>
                <w:szCs w:val="18"/>
              </w:rPr>
              <w:t xml:space="preserve"> selecting</w:t>
            </w:r>
            <w:r w:rsidRPr="00530625">
              <w:rPr>
                <w:rFonts w:ascii="Arial Narrow" w:hAnsi="Arial Narrow"/>
                <w:szCs w:val="18"/>
              </w:rPr>
              <w:t xml:space="preserve"> the other response, the anticipated 95</w:t>
            </w:r>
            <w:r w:rsidRPr="00530625" w:rsidR="00DE35D3">
              <w:rPr>
                <w:rFonts w:ascii="Arial Narrow" w:hAnsi="Arial Narrow"/>
                <w:szCs w:val="18"/>
              </w:rPr>
              <w:t xml:space="preserve"> percent</w:t>
            </w:r>
            <w:r w:rsidRPr="00530625">
              <w:rPr>
                <w:rFonts w:ascii="Arial Narrow" w:hAnsi="Arial Narrow"/>
                <w:szCs w:val="18"/>
              </w:rPr>
              <w:t xml:space="preserve"> confidence interval around that sample estimate of 50 percent will be +/- 3 percentage points.</w:t>
            </w:r>
          </w:p>
        </w:tc>
      </w:tr>
      <w:bookmarkEnd w:id="16"/>
      <w:tr w14:paraId="74AF4115" w14:textId="77777777" w:rsidTr="00F938D8">
        <w:tblPrEx>
          <w:tblW w:w="5201" w:type="pct"/>
          <w:tblLayout w:type="fixed"/>
          <w:tblLook w:val="04A0"/>
        </w:tblPrEx>
        <w:trPr>
          <w:trHeight w:val="120"/>
        </w:trPr>
        <w:tc>
          <w:tcPr>
            <w:tcW w:w="1000" w:type="pct"/>
            <w:tcBorders>
              <w:bottom w:val="nil"/>
            </w:tcBorders>
          </w:tcPr>
          <w:p w:rsidR="00135EB6" w:rsidRPr="00530625" w:rsidP="003B3C28" w14:paraId="616F2D2A" w14:textId="7CF42685">
            <w:pPr>
              <w:pStyle w:val="TableTextLeft"/>
              <w:rPr>
                <w:rFonts w:ascii="Arial Narrow" w:hAnsi="Arial Narrow"/>
                <w:b/>
                <w:bCs/>
                <w:szCs w:val="18"/>
              </w:rPr>
            </w:pPr>
            <w:r w:rsidRPr="00530625">
              <w:rPr>
                <w:rFonts w:ascii="Arial Narrow" w:hAnsi="Arial Narrow"/>
                <w:b/>
                <w:bCs/>
                <w:szCs w:val="18"/>
              </w:rPr>
              <w:t>Generalizability</w:t>
            </w:r>
          </w:p>
        </w:tc>
        <w:tc>
          <w:tcPr>
            <w:tcW w:w="4000" w:type="pct"/>
            <w:tcBorders>
              <w:bottom w:val="nil"/>
            </w:tcBorders>
          </w:tcPr>
          <w:p w:rsidR="00135EB6" w:rsidRPr="00530625" w:rsidP="003B3C28" w14:paraId="01249D32" w14:textId="7242E71E">
            <w:pPr>
              <w:pStyle w:val="TableTextLeft"/>
              <w:rPr>
                <w:rFonts w:ascii="Arial Narrow" w:hAnsi="Arial Narrow"/>
                <w:szCs w:val="18"/>
              </w:rPr>
            </w:pPr>
            <w:r w:rsidRPr="00530625">
              <w:rPr>
                <w:rFonts w:ascii="Arial Narrow" w:hAnsi="Arial Narrow"/>
                <w:szCs w:val="18"/>
              </w:rPr>
              <w:t xml:space="preserve">We will compare the characteristics of RWHAP providers </w:t>
            </w:r>
            <w:r w:rsidRPr="00530625" w:rsidR="00DE35D3">
              <w:rPr>
                <w:rFonts w:ascii="Arial Narrow" w:hAnsi="Arial Narrow"/>
                <w:szCs w:val="18"/>
              </w:rPr>
              <w:t xml:space="preserve">that </w:t>
            </w:r>
            <w:r w:rsidRPr="00530625">
              <w:rPr>
                <w:rFonts w:ascii="Arial Narrow" w:hAnsi="Arial Narrow"/>
                <w:szCs w:val="18"/>
              </w:rPr>
              <w:t xml:space="preserve">responded </w:t>
            </w:r>
            <w:r w:rsidRPr="00530625" w:rsidR="00DE35D3">
              <w:rPr>
                <w:rFonts w:ascii="Arial Narrow" w:hAnsi="Arial Narrow"/>
                <w:szCs w:val="18"/>
              </w:rPr>
              <w:t xml:space="preserve">with those of </w:t>
            </w:r>
            <w:r w:rsidRPr="00530625">
              <w:rPr>
                <w:rFonts w:ascii="Arial Narrow" w:hAnsi="Arial Narrow"/>
                <w:szCs w:val="18"/>
              </w:rPr>
              <w:t xml:space="preserve">RWHAP providers </w:t>
            </w:r>
            <w:r w:rsidRPr="00530625" w:rsidR="00DE35D3">
              <w:rPr>
                <w:rFonts w:ascii="Arial Narrow" w:hAnsi="Arial Narrow"/>
                <w:szCs w:val="18"/>
              </w:rPr>
              <w:t xml:space="preserve">that </w:t>
            </w:r>
            <w:r w:rsidRPr="00530625">
              <w:rPr>
                <w:rFonts w:ascii="Arial Narrow" w:hAnsi="Arial Narrow"/>
                <w:szCs w:val="18"/>
              </w:rPr>
              <w:t>did not respond to determine the extent to which findings are generalizable to all RWHAP providers. Depending on the results of this nonresponse bias analysis, we m</w:t>
            </w:r>
            <w:r w:rsidRPr="00530625" w:rsidR="00DE35D3">
              <w:rPr>
                <w:rFonts w:ascii="Arial Narrow" w:hAnsi="Arial Narrow"/>
                <w:szCs w:val="18"/>
              </w:rPr>
              <w:t>ight</w:t>
            </w:r>
            <w:r w:rsidRPr="00530625">
              <w:rPr>
                <w:rFonts w:ascii="Arial Narrow" w:hAnsi="Arial Narrow"/>
                <w:szCs w:val="18"/>
              </w:rPr>
              <w:t xml:space="preserve"> develop weights to adjust for nonresponse.</w:t>
            </w:r>
          </w:p>
        </w:tc>
      </w:tr>
      <w:bookmarkEnd w:id="14"/>
      <w:tr w14:paraId="798EFB41" w14:textId="77777777" w:rsidTr="00C651F0">
        <w:tblPrEx>
          <w:tblW w:w="5201" w:type="pct"/>
          <w:tblLayout w:type="fixed"/>
          <w:tblLook w:val="04A0"/>
        </w:tblPrEx>
        <w:trPr>
          <w:trHeight w:val="120"/>
        </w:trPr>
        <w:tc>
          <w:tcPr>
            <w:tcW w:w="5000" w:type="pct"/>
            <w:gridSpan w:val="2"/>
            <w:tcBorders>
              <w:bottom w:val="nil"/>
            </w:tcBorders>
            <w:shd w:val="clear" w:color="auto" w:fill="0B2949" w:themeFill="accent1"/>
          </w:tcPr>
          <w:p w:rsidR="00F938D8" w:rsidRPr="00530625" w:rsidP="00F938D8" w14:paraId="68CC1D5A" w14:textId="5DF8C56A">
            <w:pPr>
              <w:pStyle w:val="TableRowHead"/>
              <w:keepLines/>
              <w:rPr>
                <w:rFonts w:ascii="Arial Narrow" w:hAnsi="Arial Narrow"/>
                <w:szCs w:val="18"/>
              </w:rPr>
            </w:pPr>
            <w:r w:rsidRPr="00530625">
              <w:rPr>
                <w:rFonts w:ascii="Arial Narrow" w:hAnsi="Arial Narrow"/>
                <w:szCs w:val="18"/>
              </w:rPr>
              <w:t>RUDI</w:t>
            </w:r>
            <w:r w:rsidRPr="00530625" w:rsidR="003A7BAF">
              <w:rPr>
                <w:rFonts w:ascii="Arial Narrow" w:hAnsi="Arial Narrow"/>
                <w:szCs w:val="18"/>
              </w:rPr>
              <w:t>-R</w:t>
            </w:r>
            <w:r w:rsidRPr="00530625">
              <w:rPr>
                <w:rFonts w:ascii="Arial Narrow" w:hAnsi="Arial Narrow"/>
                <w:szCs w:val="18"/>
              </w:rPr>
              <w:t xml:space="preserve"> Survey</w:t>
            </w:r>
          </w:p>
        </w:tc>
      </w:tr>
      <w:bookmarkEnd w:id="15"/>
      <w:tr w14:paraId="125A7D47" w14:textId="77777777" w:rsidTr="00C70E39">
        <w:tblPrEx>
          <w:tblW w:w="5201" w:type="pct"/>
          <w:tblLayout w:type="fixed"/>
          <w:tblLook w:val="04A0"/>
        </w:tblPrEx>
        <w:trPr>
          <w:trHeight w:val="120"/>
        </w:trPr>
        <w:tc>
          <w:tcPr>
            <w:tcW w:w="1000" w:type="pct"/>
            <w:tcBorders>
              <w:top w:val="nil"/>
            </w:tcBorders>
          </w:tcPr>
          <w:p w:rsidR="00F938D8" w:rsidRPr="00530625" w:rsidP="00F938D8" w14:paraId="50ABBA7E" w14:textId="39BE19FD">
            <w:pPr>
              <w:pStyle w:val="TableTextLeft"/>
              <w:rPr>
                <w:rFonts w:ascii="Arial Narrow" w:hAnsi="Arial Narrow"/>
                <w:b/>
                <w:bCs/>
                <w:szCs w:val="18"/>
              </w:rPr>
            </w:pPr>
            <w:r w:rsidRPr="00530625">
              <w:rPr>
                <w:rFonts w:ascii="Arial Narrow" w:hAnsi="Arial Narrow"/>
                <w:b/>
                <w:bCs/>
                <w:szCs w:val="18"/>
              </w:rPr>
              <w:t>Sampling</w:t>
            </w:r>
          </w:p>
        </w:tc>
        <w:tc>
          <w:tcPr>
            <w:tcW w:w="4000" w:type="pct"/>
            <w:tcBorders>
              <w:top w:val="nil"/>
            </w:tcBorders>
          </w:tcPr>
          <w:p w:rsidR="00F938D8" w:rsidRPr="00530625" w:rsidP="00F938D8" w14:paraId="671E5973" w14:textId="476BD457">
            <w:pPr>
              <w:pStyle w:val="TableTextLeft"/>
              <w:rPr>
                <w:rFonts w:ascii="Arial Narrow" w:hAnsi="Arial Narrow"/>
                <w:szCs w:val="18"/>
              </w:rPr>
            </w:pPr>
            <w:r w:rsidRPr="00530625">
              <w:rPr>
                <w:rFonts w:ascii="Arial Narrow" w:hAnsi="Arial Narrow"/>
                <w:szCs w:val="18"/>
              </w:rPr>
              <w:t>C</w:t>
            </w:r>
            <w:r w:rsidRPr="00530625">
              <w:rPr>
                <w:rFonts w:ascii="Arial Narrow" w:hAnsi="Arial Narrow"/>
                <w:szCs w:val="18"/>
              </w:rPr>
              <w:t xml:space="preserve">ensus of RWHAP </w:t>
            </w:r>
            <w:r w:rsidRPr="00530625" w:rsidR="003A7BAF">
              <w:rPr>
                <w:rFonts w:ascii="Arial Narrow" w:hAnsi="Arial Narrow"/>
                <w:szCs w:val="18"/>
              </w:rPr>
              <w:t xml:space="preserve">Part A and B </w:t>
            </w:r>
            <w:r w:rsidRPr="00530625">
              <w:rPr>
                <w:rFonts w:ascii="Arial Narrow" w:hAnsi="Arial Narrow"/>
                <w:szCs w:val="18"/>
              </w:rPr>
              <w:t>recipients</w:t>
            </w:r>
            <w:r w:rsidRPr="00530625">
              <w:rPr>
                <w:rFonts w:ascii="Arial Narrow" w:hAnsi="Arial Narrow"/>
                <w:szCs w:val="18"/>
              </w:rPr>
              <w:t xml:space="preserve"> with 1 response per recipient</w:t>
            </w:r>
            <w:r w:rsidRPr="00530625" w:rsidR="003A7BAF">
              <w:rPr>
                <w:rFonts w:ascii="Arial Narrow" w:hAnsi="Arial Narrow"/>
                <w:szCs w:val="18"/>
              </w:rPr>
              <w:t>.</w:t>
            </w:r>
            <w:r w:rsidRPr="00530625">
              <w:rPr>
                <w:rFonts w:ascii="Arial Narrow" w:hAnsi="Arial Narrow"/>
                <w:szCs w:val="18"/>
              </w:rPr>
              <w:t xml:space="preserve"> Assume 110 RWHAP recipients with a 50 percent response rate (n = </w:t>
            </w:r>
            <w:r w:rsidRPr="00530625" w:rsidR="00650E1A">
              <w:rPr>
                <w:rFonts w:ascii="Arial Narrow" w:hAnsi="Arial Narrow"/>
                <w:szCs w:val="18"/>
              </w:rPr>
              <w:t>56</w:t>
            </w:r>
            <w:r w:rsidRPr="00530625">
              <w:rPr>
                <w:rFonts w:ascii="Arial Narrow" w:hAnsi="Arial Narrow"/>
                <w:szCs w:val="18"/>
              </w:rPr>
              <w:t>).</w:t>
            </w:r>
          </w:p>
        </w:tc>
      </w:tr>
      <w:tr w14:paraId="42D18C60" w14:textId="77777777" w:rsidTr="00C70E39">
        <w:tblPrEx>
          <w:tblW w:w="5201" w:type="pct"/>
          <w:tblLayout w:type="fixed"/>
          <w:tblLook w:val="04A0"/>
        </w:tblPrEx>
        <w:trPr>
          <w:trHeight w:val="120"/>
        </w:trPr>
        <w:tc>
          <w:tcPr>
            <w:tcW w:w="1000" w:type="pct"/>
          </w:tcPr>
          <w:p w:rsidR="00F938D8" w:rsidRPr="00530625" w:rsidP="00F938D8" w14:paraId="7D49EC96" w14:textId="4CF7C664">
            <w:pPr>
              <w:pStyle w:val="TableTextLeft"/>
              <w:rPr>
                <w:rFonts w:ascii="Arial Narrow" w:hAnsi="Arial Narrow"/>
                <w:b/>
                <w:bCs/>
                <w:szCs w:val="18"/>
              </w:rPr>
            </w:pPr>
            <w:r w:rsidRPr="00530625">
              <w:rPr>
                <w:rFonts w:ascii="Arial Narrow" w:hAnsi="Arial Narrow"/>
                <w:b/>
                <w:bCs/>
                <w:szCs w:val="18"/>
              </w:rPr>
              <w:t>Topics</w:t>
            </w:r>
          </w:p>
        </w:tc>
        <w:tc>
          <w:tcPr>
            <w:tcW w:w="4000" w:type="pct"/>
          </w:tcPr>
          <w:p w:rsidR="00650E1A" w:rsidRPr="00530625" w:rsidP="00844194" w14:paraId="0A0B9D83" w14:textId="0D902CE4">
            <w:pPr>
              <w:pStyle w:val="TableListNumber"/>
              <w:numPr>
                <w:ilvl w:val="0"/>
                <w:numId w:val="33"/>
              </w:numPr>
              <w:rPr>
                <w:rFonts w:ascii="Arial Narrow" w:eastAsia="Times New Roman" w:hAnsi="Arial Narrow"/>
                <w:szCs w:val="18"/>
              </w:rPr>
            </w:pPr>
            <w:r w:rsidRPr="00530625">
              <w:rPr>
                <w:rFonts w:ascii="Arial Narrow" w:eastAsia="Times New Roman" w:hAnsi="Arial Narrow"/>
                <w:szCs w:val="18"/>
              </w:rPr>
              <w:t>Extent to which RWHAP recipients access and use HAB and non-HAB intervention resources</w:t>
            </w:r>
          </w:p>
          <w:p w:rsidR="00650E1A" w:rsidRPr="00530625" w:rsidP="00F14C40" w14:paraId="51C9D31F" w14:textId="77777777">
            <w:pPr>
              <w:pStyle w:val="TableListNumber"/>
              <w:rPr>
                <w:rFonts w:ascii="Arial Narrow" w:eastAsia="Times New Roman" w:hAnsi="Arial Narrow"/>
                <w:szCs w:val="18"/>
              </w:rPr>
            </w:pPr>
            <w:r w:rsidRPr="00530625">
              <w:rPr>
                <w:rFonts w:ascii="Arial Narrow" w:eastAsia="Times New Roman" w:hAnsi="Arial Narrow"/>
                <w:szCs w:val="18"/>
              </w:rPr>
              <w:t>Channels they use to access resources</w:t>
            </w:r>
          </w:p>
          <w:p w:rsidR="00650E1A" w:rsidRPr="00530625" w:rsidP="00C70E39" w14:paraId="1BB36AE3" w14:textId="01C07EFB">
            <w:pPr>
              <w:pStyle w:val="TableListNumber"/>
              <w:rPr>
                <w:rFonts w:ascii="Arial Narrow" w:eastAsia="Times New Roman" w:hAnsi="Arial Narrow"/>
                <w:szCs w:val="18"/>
              </w:rPr>
            </w:pPr>
            <w:r w:rsidRPr="00530625">
              <w:rPr>
                <w:rFonts w:ascii="Arial Narrow" w:eastAsia="Times New Roman" w:hAnsi="Arial Narrow"/>
                <w:szCs w:val="18"/>
              </w:rPr>
              <w:t xml:space="preserve">Contribution resources make to internal knowledge and capacity, </w:t>
            </w:r>
          </w:p>
          <w:p w:rsidR="00650E1A" w:rsidRPr="00530625" w:rsidP="00C70E39" w14:paraId="1CC7F8D8" w14:textId="6F16E11F">
            <w:pPr>
              <w:pStyle w:val="TableListNumber"/>
              <w:rPr>
                <w:rFonts w:ascii="Arial Narrow" w:eastAsia="Times New Roman" w:hAnsi="Arial Narrow"/>
                <w:szCs w:val="18"/>
              </w:rPr>
            </w:pPr>
            <w:r w:rsidRPr="00530625">
              <w:rPr>
                <w:rFonts w:ascii="Arial Narrow" w:eastAsia="Times New Roman" w:hAnsi="Arial Narrow"/>
                <w:szCs w:val="18"/>
              </w:rPr>
              <w:t>Extent to which resources are used to support providers as they implement interventions for clients living with H</w:t>
            </w:r>
            <w:r w:rsidRPr="00530625" w:rsidR="003A7BAF">
              <w:rPr>
                <w:rFonts w:ascii="Arial Narrow" w:eastAsia="Times New Roman" w:hAnsi="Arial Narrow"/>
                <w:szCs w:val="18"/>
              </w:rPr>
              <w:t>I</w:t>
            </w:r>
            <w:r w:rsidRPr="00530625">
              <w:rPr>
                <w:rFonts w:ascii="Arial Narrow" w:eastAsia="Times New Roman" w:hAnsi="Arial Narrow"/>
                <w:szCs w:val="18"/>
              </w:rPr>
              <w:t xml:space="preserve">V, and </w:t>
            </w:r>
          </w:p>
          <w:p w:rsidR="00B228FD" w:rsidRPr="00530625" w:rsidP="00B228FD" w14:paraId="18063FFD" w14:textId="2E3A3CD3">
            <w:pPr>
              <w:pStyle w:val="TableListNumber"/>
              <w:rPr>
                <w:rFonts w:ascii="Arial Narrow" w:hAnsi="Arial Narrow"/>
                <w:szCs w:val="18"/>
              </w:rPr>
            </w:pPr>
            <w:r w:rsidRPr="00530625">
              <w:rPr>
                <w:rFonts w:ascii="Arial Narrow" w:eastAsia="Times New Roman" w:hAnsi="Arial Narrow"/>
                <w:szCs w:val="18"/>
              </w:rPr>
              <w:t>O</w:t>
            </w:r>
            <w:r w:rsidRPr="00530625" w:rsidR="00650E1A">
              <w:rPr>
                <w:rFonts w:ascii="Arial Narrow" w:eastAsia="Times New Roman" w:hAnsi="Arial Narrow"/>
                <w:szCs w:val="18"/>
              </w:rPr>
              <w:t xml:space="preserve">pportunities to </w:t>
            </w:r>
            <w:r w:rsidRPr="00530625" w:rsidR="00650E1A">
              <w:rPr>
                <w:rFonts w:ascii="Arial Narrow" w:eastAsia="Times New Roman" w:hAnsi="Arial Narrow"/>
                <w:color w:val="auto"/>
                <w:szCs w:val="18"/>
              </w:rPr>
              <w:t>strengthen</w:t>
            </w:r>
            <w:r w:rsidRPr="00530625" w:rsidR="00650E1A">
              <w:rPr>
                <w:rFonts w:ascii="Arial Narrow" w:hAnsi="Arial Narrow"/>
                <w:color w:val="auto"/>
                <w:szCs w:val="18"/>
              </w:rPr>
              <w:t xml:space="preserve"> the effectiveness of HAB’s dissemination activities.</w:t>
            </w:r>
          </w:p>
        </w:tc>
      </w:tr>
      <w:tr w14:paraId="55DD360D" w14:textId="77777777" w:rsidTr="00C70E39">
        <w:tblPrEx>
          <w:tblW w:w="5201" w:type="pct"/>
          <w:tblLayout w:type="fixed"/>
          <w:tblLook w:val="04A0"/>
        </w:tblPrEx>
        <w:trPr>
          <w:trHeight w:val="120"/>
        </w:trPr>
        <w:tc>
          <w:tcPr>
            <w:tcW w:w="1000" w:type="pct"/>
          </w:tcPr>
          <w:p w:rsidR="00F938D8" w:rsidRPr="00530625" w:rsidP="00F938D8" w14:paraId="7C0312F1" w14:textId="5882CF1B">
            <w:pPr>
              <w:pStyle w:val="TableTextLeft"/>
              <w:rPr>
                <w:rFonts w:ascii="Arial Narrow" w:hAnsi="Arial Narrow"/>
                <w:b/>
                <w:bCs/>
                <w:szCs w:val="18"/>
              </w:rPr>
            </w:pPr>
            <w:r w:rsidRPr="00530625">
              <w:rPr>
                <w:rFonts w:ascii="Arial Narrow" w:hAnsi="Arial Narrow"/>
                <w:b/>
                <w:bCs/>
                <w:szCs w:val="18"/>
              </w:rPr>
              <w:t>Analysis</w:t>
            </w:r>
          </w:p>
        </w:tc>
        <w:tc>
          <w:tcPr>
            <w:tcW w:w="4000" w:type="pct"/>
          </w:tcPr>
          <w:p w:rsidR="00F938D8" w:rsidRPr="00530625" w:rsidP="00F938D8" w14:paraId="1CFAA01D" w14:textId="36691EE3">
            <w:pPr>
              <w:pStyle w:val="TableTextLeft"/>
              <w:rPr>
                <w:rFonts w:ascii="Arial Narrow" w:hAnsi="Arial Narrow"/>
                <w:szCs w:val="18"/>
              </w:rPr>
            </w:pPr>
            <w:r w:rsidRPr="00530625">
              <w:rPr>
                <w:rFonts w:ascii="Arial Narrow" w:hAnsi="Arial Narrow"/>
                <w:szCs w:val="18"/>
              </w:rPr>
              <w:t xml:space="preserve">All quantitative data will be analyzed using SAS or R. Descriptive statistics and multivariate analyses will be conducted to understand </w:t>
            </w:r>
            <w:r w:rsidRPr="00530625" w:rsidR="002D19D5">
              <w:rPr>
                <w:rFonts w:ascii="Arial Narrow" w:hAnsi="Arial Narrow"/>
                <w:szCs w:val="18"/>
              </w:rPr>
              <w:t xml:space="preserve">how and why </w:t>
            </w:r>
            <w:r w:rsidRPr="00530625">
              <w:rPr>
                <w:rFonts w:ascii="Arial Narrow" w:hAnsi="Arial Narrow"/>
                <w:szCs w:val="18"/>
              </w:rPr>
              <w:t xml:space="preserve">RWHAP </w:t>
            </w:r>
            <w:r w:rsidRPr="00530625" w:rsidR="002D19D5">
              <w:rPr>
                <w:rFonts w:ascii="Arial Narrow" w:hAnsi="Arial Narrow"/>
                <w:szCs w:val="18"/>
              </w:rPr>
              <w:t xml:space="preserve">recipients access resources and how they use resources to support (or not support) subrecipients. </w:t>
            </w:r>
            <w:r w:rsidRPr="00530625">
              <w:rPr>
                <w:rFonts w:ascii="Arial Narrow" w:hAnsi="Arial Narrow"/>
                <w:szCs w:val="18"/>
              </w:rPr>
              <w:t xml:space="preserve">Quantitative analyses will use a threshold of </w:t>
            </w:r>
            <w:r w:rsidRPr="00530625">
              <w:rPr>
                <w:rFonts w:ascii="Arial Narrow" w:hAnsi="Arial Narrow"/>
                <w:i/>
                <w:iCs/>
                <w:szCs w:val="18"/>
              </w:rPr>
              <w:t>p</w:t>
            </w:r>
            <w:r w:rsidRPr="00530625">
              <w:rPr>
                <w:rFonts w:ascii="Arial Narrow" w:hAnsi="Arial Narrow"/>
                <w:szCs w:val="18"/>
              </w:rPr>
              <w:t xml:space="preserve"> &lt; 0.05 for determining statistical significance.</w:t>
            </w:r>
          </w:p>
        </w:tc>
      </w:tr>
      <w:tr w14:paraId="724C6AD4" w14:textId="77777777" w:rsidTr="00C70E39">
        <w:tblPrEx>
          <w:tblW w:w="5201" w:type="pct"/>
          <w:tblLayout w:type="fixed"/>
          <w:tblLook w:val="04A0"/>
        </w:tblPrEx>
        <w:trPr>
          <w:trHeight w:val="120"/>
        </w:trPr>
        <w:tc>
          <w:tcPr>
            <w:tcW w:w="1000" w:type="pct"/>
          </w:tcPr>
          <w:p w:rsidR="00F938D8" w:rsidRPr="00530625" w:rsidP="00F938D8" w14:paraId="226F6F6F" w14:textId="43AE3CD3">
            <w:pPr>
              <w:pStyle w:val="TableTextLeft"/>
              <w:rPr>
                <w:rFonts w:ascii="Arial Narrow" w:hAnsi="Arial Narrow"/>
                <w:b/>
                <w:bCs/>
                <w:szCs w:val="18"/>
              </w:rPr>
            </w:pPr>
            <w:r w:rsidRPr="00530625">
              <w:rPr>
                <w:rFonts w:ascii="Arial Narrow" w:hAnsi="Arial Narrow"/>
                <w:b/>
                <w:bCs/>
                <w:szCs w:val="18"/>
              </w:rPr>
              <w:t>Precision</w:t>
            </w:r>
            <w:r w:rsidRPr="00530625" w:rsidR="008E06FE">
              <w:rPr>
                <w:rFonts w:ascii="Arial Narrow" w:hAnsi="Arial Narrow"/>
                <w:b/>
                <w:bCs/>
                <w:szCs w:val="18"/>
              </w:rPr>
              <w:t xml:space="preserve"> (Degree of accuracy)</w:t>
            </w:r>
          </w:p>
        </w:tc>
        <w:tc>
          <w:tcPr>
            <w:tcW w:w="4000" w:type="pct"/>
          </w:tcPr>
          <w:p w:rsidR="00F938D8" w:rsidRPr="00530625" w:rsidP="00F938D8" w14:paraId="2812BF94" w14:textId="10E475FD">
            <w:pPr>
              <w:pStyle w:val="TableTextLeft"/>
              <w:rPr>
                <w:rFonts w:ascii="Arial Narrow" w:hAnsi="Arial Narrow"/>
                <w:szCs w:val="18"/>
              </w:rPr>
            </w:pPr>
            <w:r w:rsidRPr="00530625">
              <w:rPr>
                <w:rFonts w:ascii="Arial Narrow" w:hAnsi="Arial Narrow"/>
                <w:szCs w:val="18"/>
              </w:rPr>
              <w:t xml:space="preserve">Assuming </w:t>
            </w:r>
            <w:r w:rsidRPr="00530625" w:rsidR="002D19D5">
              <w:rPr>
                <w:rFonts w:ascii="Arial Narrow" w:hAnsi="Arial Narrow"/>
                <w:szCs w:val="18"/>
              </w:rPr>
              <w:t>56</w:t>
            </w:r>
            <w:r w:rsidRPr="00530625">
              <w:rPr>
                <w:rFonts w:ascii="Arial Narrow" w:hAnsi="Arial Narrow"/>
                <w:szCs w:val="18"/>
              </w:rPr>
              <w:t xml:space="preserve"> respondents answer a binary question with half selecting one response and half selecting the other response, the anticipated 95 percent confidence interval around that sample estimate of 50 percent will be +/- </w:t>
            </w:r>
            <w:r w:rsidRPr="00530625" w:rsidR="002D19D5">
              <w:rPr>
                <w:rFonts w:ascii="Arial Narrow" w:hAnsi="Arial Narrow"/>
                <w:szCs w:val="18"/>
              </w:rPr>
              <w:t>1</w:t>
            </w:r>
            <w:r w:rsidRPr="00530625">
              <w:rPr>
                <w:rFonts w:ascii="Arial Narrow" w:hAnsi="Arial Narrow"/>
                <w:szCs w:val="18"/>
              </w:rPr>
              <w:t>3 percentage points.</w:t>
            </w:r>
          </w:p>
        </w:tc>
      </w:tr>
      <w:tr w14:paraId="709D392E" w14:textId="77777777" w:rsidTr="00F938D8">
        <w:tblPrEx>
          <w:tblW w:w="5201" w:type="pct"/>
          <w:tblLayout w:type="fixed"/>
          <w:tblLook w:val="04A0"/>
        </w:tblPrEx>
        <w:trPr>
          <w:trHeight w:val="120"/>
        </w:trPr>
        <w:tc>
          <w:tcPr>
            <w:tcW w:w="1000" w:type="pct"/>
            <w:tcBorders>
              <w:bottom w:val="nil"/>
            </w:tcBorders>
          </w:tcPr>
          <w:p w:rsidR="00F938D8" w:rsidRPr="00530625" w:rsidP="00F938D8" w14:paraId="78AB2D97" w14:textId="7691B5AB">
            <w:pPr>
              <w:pStyle w:val="TableTextLeft"/>
              <w:rPr>
                <w:rFonts w:ascii="Arial Narrow" w:hAnsi="Arial Narrow"/>
                <w:b/>
                <w:bCs/>
                <w:szCs w:val="18"/>
              </w:rPr>
            </w:pPr>
            <w:r w:rsidRPr="00530625">
              <w:rPr>
                <w:rFonts w:ascii="Arial Narrow" w:hAnsi="Arial Narrow"/>
                <w:b/>
                <w:bCs/>
                <w:szCs w:val="18"/>
              </w:rPr>
              <w:t>Generalizability</w:t>
            </w:r>
          </w:p>
        </w:tc>
        <w:tc>
          <w:tcPr>
            <w:tcW w:w="4000" w:type="pct"/>
            <w:tcBorders>
              <w:bottom w:val="nil"/>
            </w:tcBorders>
          </w:tcPr>
          <w:p w:rsidR="00F938D8" w:rsidRPr="00530625" w:rsidP="00F938D8" w14:paraId="5A00ED52" w14:textId="0AC9E905">
            <w:pPr>
              <w:pStyle w:val="TableTextLeft"/>
              <w:rPr>
                <w:rFonts w:ascii="Arial Narrow" w:hAnsi="Arial Narrow"/>
                <w:szCs w:val="18"/>
              </w:rPr>
            </w:pPr>
            <w:r w:rsidRPr="00530625">
              <w:rPr>
                <w:rFonts w:ascii="Arial Narrow" w:hAnsi="Arial Narrow"/>
                <w:szCs w:val="18"/>
              </w:rPr>
              <w:t xml:space="preserve">We will use any administrative data available to compare </w:t>
            </w:r>
            <w:r w:rsidRPr="00530625">
              <w:rPr>
                <w:rFonts w:ascii="Arial Narrow" w:hAnsi="Arial Narrow"/>
                <w:szCs w:val="18"/>
              </w:rPr>
              <w:t xml:space="preserve">the characteristics of RWHAP </w:t>
            </w:r>
            <w:r w:rsidRPr="00530625">
              <w:rPr>
                <w:rFonts w:ascii="Arial Narrow" w:hAnsi="Arial Narrow"/>
                <w:szCs w:val="18"/>
              </w:rPr>
              <w:t>recipients</w:t>
            </w:r>
            <w:r w:rsidRPr="00530625">
              <w:rPr>
                <w:rFonts w:ascii="Arial Narrow" w:hAnsi="Arial Narrow"/>
                <w:szCs w:val="18"/>
              </w:rPr>
              <w:t xml:space="preserve"> that respond with those of RWHAP </w:t>
            </w:r>
            <w:r w:rsidRPr="00530625">
              <w:rPr>
                <w:rFonts w:ascii="Arial Narrow" w:hAnsi="Arial Narrow"/>
                <w:szCs w:val="18"/>
              </w:rPr>
              <w:t>recipients</w:t>
            </w:r>
            <w:r w:rsidRPr="00530625">
              <w:rPr>
                <w:rFonts w:ascii="Arial Narrow" w:hAnsi="Arial Narrow"/>
                <w:szCs w:val="18"/>
              </w:rPr>
              <w:t xml:space="preserve"> that did not respond to determine the extent to which findings are generalizable to all RWHAP </w:t>
            </w:r>
            <w:r w:rsidRPr="00530625">
              <w:rPr>
                <w:rFonts w:ascii="Arial Narrow" w:hAnsi="Arial Narrow"/>
                <w:szCs w:val="18"/>
              </w:rPr>
              <w:t>recipients</w:t>
            </w:r>
            <w:r w:rsidRPr="00530625">
              <w:rPr>
                <w:rFonts w:ascii="Arial Narrow" w:hAnsi="Arial Narrow"/>
                <w:szCs w:val="18"/>
              </w:rPr>
              <w:t>. Depending on the results of this nonresponse bias analysis, we might develop weights to adjust for nonresponse.</w:t>
            </w:r>
          </w:p>
        </w:tc>
      </w:tr>
      <w:tr w14:paraId="0A181039" w14:textId="77777777" w:rsidTr="00C651F0">
        <w:tblPrEx>
          <w:tblW w:w="5201" w:type="pct"/>
          <w:tblLayout w:type="fixed"/>
          <w:tblLook w:val="04A0"/>
        </w:tblPrEx>
        <w:trPr>
          <w:trHeight w:val="120"/>
        </w:trPr>
        <w:tc>
          <w:tcPr>
            <w:tcW w:w="5000" w:type="pct"/>
            <w:gridSpan w:val="2"/>
            <w:tcBorders>
              <w:top w:val="nil"/>
              <w:bottom w:val="nil"/>
            </w:tcBorders>
            <w:shd w:val="clear" w:color="auto" w:fill="0B2949" w:themeFill="accent1"/>
          </w:tcPr>
          <w:p w:rsidR="00F938D8" w:rsidRPr="00530625" w:rsidP="00F938D8" w14:paraId="1FAB4F90" w14:textId="47449F11">
            <w:pPr>
              <w:pStyle w:val="TableRowHead"/>
              <w:rPr>
                <w:rFonts w:ascii="Arial Narrow" w:hAnsi="Arial Narrow"/>
                <w:szCs w:val="18"/>
              </w:rPr>
            </w:pPr>
            <w:r w:rsidRPr="00530625">
              <w:rPr>
                <w:rFonts w:ascii="Arial Narrow" w:hAnsi="Arial Narrow"/>
                <w:szCs w:val="18"/>
              </w:rPr>
              <w:t>Virtual site visit interviews</w:t>
            </w:r>
          </w:p>
        </w:tc>
      </w:tr>
      <w:tr w14:paraId="45BC256F" w14:textId="2B680F0F" w:rsidTr="003B3C28">
        <w:tblPrEx>
          <w:tblW w:w="5201" w:type="pct"/>
          <w:tblLayout w:type="fixed"/>
          <w:tblLook w:val="04A0"/>
        </w:tblPrEx>
        <w:trPr>
          <w:trHeight w:val="120"/>
        </w:trPr>
        <w:tc>
          <w:tcPr>
            <w:tcW w:w="1000" w:type="pct"/>
            <w:tcBorders>
              <w:top w:val="nil"/>
            </w:tcBorders>
          </w:tcPr>
          <w:p w:rsidR="00F938D8" w:rsidRPr="00530625" w:rsidP="00F938D8" w14:paraId="51A518FB" w14:textId="47A1598B">
            <w:pPr>
              <w:pStyle w:val="TableTextLeft"/>
              <w:rPr>
                <w:rFonts w:ascii="Arial Narrow" w:hAnsi="Arial Narrow"/>
                <w:b/>
                <w:bCs/>
                <w:szCs w:val="18"/>
              </w:rPr>
            </w:pPr>
            <w:r w:rsidRPr="00530625">
              <w:rPr>
                <w:rFonts w:ascii="Arial Narrow" w:hAnsi="Arial Narrow"/>
                <w:b/>
                <w:bCs/>
                <w:szCs w:val="18"/>
              </w:rPr>
              <w:t>Sampling</w:t>
            </w:r>
          </w:p>
        </w:tc>
        <w:tc>
          <w:tcPr>
            <w:tcW w:w="4000" w:type="pct"/>
            <w:tcBorders>
              <w:top w:val="nil"/>
            </w:tcBorders>
          </w:tcPr>
          <w:p w:rsidR="00F938D8" w:rsidRPr="00530625" w:rsidP="0088505C" w14:paraId="521678F5" w14:textId="4A6F484B">
            <w:pPr>
              <w:pStyle w:val="TableTextLeft"/>
              <w:rPr>
                <w:rFonts w:ascii="Arial Narrow" w:hAnsi="Arial Narrow"/>
                <w:szCs w:val="18"/>
              </w:rPr>
            </w:pPr>
            <w:r w:rsidRPr="00530625">
              <w:rPr>
                <w:rFonts w:ascii="Arial Narrow" w:hAnsi="Arial Narrow"/>
                <w:szCs w:val="18"/>
              </w:rPr>
              <w:t>Stratified random sample of RWHAP providers</w:t>
            </w:r>
            <w:r w:rsidRPr="00530625" w:rsidR="0088505C">
              <w:rPr>
                <w:rFonts w:ascii="Arial Narrow" w:hAnsi="Arial Narrow"/>
                <w:szCs w:val="18"/>
              </w:rPr>
              <w:t>/subrecipients</w:t>
            </w:r>
            <w:r w:rsidRPr="00530625">
              <w:rPr>
                <w:rFonts w:ascii="Arial Narrow" w:hAnsi="Arial Narrow"/>
                <w:szCs w:val="18"/>
              </w:rPr>
              <w:t xml:space="preserve"> responding to the </w:t>
            </w:r>
            <w:r w:rsidRPr="00530625" w:rsidR="00D31A07">
              <w:rPr>
                <w:rFonts w:ascii="Arial Narrow" w:hAnsi="Arial Narrow"/>
                <w:szCs w:val="18"/>
              </w:rPr>
              <w:t>RUDI-P survey</w:t>
            </w:r>
            <w:r w:rsidRPr="00530625">
              <w:rPr>
                <w:rFonts w:ascii="Arial Narrow" w:hAnsi="Arial Narrow"/>
                <w:szCs w:val="18"/>
              </w:rPr>
              <w:t xml:space="preserve"> who </w:t>
            </w:r>
            <w:r w:rsidRPr="00530625" w:rsidR="0088505C">
              <w:rPr>
                <w:rFonts w:ascii="Arial Narrow" w:hAnsi="Arial Narrow"/>
                <w:szCs w:val="18"/>
              </w:rPr>
              <w:t xml:space="preserve">1) accessed </w:t>
            </w:r>
            <w:r w:rsidRPr="00530625" w:rsidR="00D50C4C">
              <w:rPr>
                <w:rFonts w:ascii="Arial Narrow" w:hAnsi="Arial Narrow"/>
                <w:szCs w:val="18"/>
              </w:rPr>
              <w:t>and used TargetHIV resources</w:t>
            </w:r>
            <w:r w:rsidRPr="00530625" w:rsidR="0088505C">
              <w:rPr>
                <w:rFonts w:ascii="Arial Narrow" w:hAnsi="Arial Narrow"/>
                <w:szCs w:val="18"/>
              </w:rPr>
              <w:t xml:space="preserve">, 2) </w:t>
            </w:r>
            <w:r w:rsidRPr="00530625" w:rsidR="00D50C4C">
              <w:rPr>
                <w:rFonts w:ascii="Arial Narrow" w:hAnsi="Arial Narrow"/>
                <w:szCs w:val="18"/>
              </w:rPr>
              <w:t>did not access nor use resources on TargetHIV but did access and use a non-TargetHIV resource</w:t>
            </w:r>
            <w:r w:rsidRPr="00530625" w:rsidR="0088505C">
              <w:rPr>
                <w:rFonts w:ascii="Arial Narrow" w:hAnsi="Arial Narrow"/>
                <w:szCs w:val="18"/>
              </w:rPr>
              <w:t>, and 3) a</w:t>
            </w:r>
            <w:r w:rsidRPr="00530625" w:rsidR="00D50C4C">
              <w:rPr>
                <w:rFonts w:ascii="Arial Narrow" w:hAnsi="Arial Narrow"/>
                <w:szCs w:val="18"/>
              </w:rPr>
              <w:t>ccessed, but did not use, a TargetHIV resource, and did not use any resources from non-TargetHIV sites.</w:t>
            </w:r>
            <w:r w:rsidRPr="00530625">
              <w:rPr>
                <w:rFonts w:ascii="Arial Narrow" w:hAnsi="Arial Narrow"/>
                <w:szCs w:val="18"/>
              </w:rPr>
              <w:t xml:space="preserve"> Stratification </w:t>
            </w:r>
            <w:r w:rsidRPr="00530625" w:rsidR="0088505C">
              <w:rPr>
                <w:rFonts w:ascii="Arial Narrow" w:hAnsi="Arial Narrow"/>
                <w:szCs w:val="18"/>
              </w:rPr>
              <w:t xml:space="preserve">will be based on provider type and geographic location. </w:t>
            </w:r>
            <w:r w:rsidRPr="00530625">
              <w:rPr>
                <w:rFonts w:ascii="Arial Narrow" w:hAnsi="Arial Narrow"/>
                <w:szCs w:val="18"/>
              </w:rPr>
              <w:t>Replicate samples will be created and drawn upon if selected RWHAP providers opt not to participate or are unresponsive.</w:t>
            </w:r>
            <w:r w:rsidRPr="00530625" w:rsidR="0088505C">
              <w:rPr>
                <w:rFonts w:ascii="Arial Narrow" w:hAnsi="Arial Narrow"/>
                <w:szCs w:val="18"/>
              </w:rPr>
              <w:t xml:space="preserve"> We anticipate an average of 3 interviews at each of the 40 provider/subrecipient sites (n=120 interviews).</w:t>
            </w:r>
          </w:p>
        </w:tc>
      </w:tr>
      <w:tr w14:paraId="0F31FCD3" w14:textId="77777777" w:rsidTr="003B3C28">
        <w:tblPrEx>
          <w:tblW w:w="5201" w:type="pct"/>
          <w:tblLayout w:type="fixed"/>
          <w:tblLook w:val="04A0"/>
        </w:tblPrEx>
        <w:trPr>
          <w:trHeight w:val="120"/>
        </w:trPr>
        <w:tc>
          <w:tcPr>
            <w:tcW w:w="1000" w:type="pct"/>
          </w:tcPr>
          <w:p w:rsidR="00F938D8" w:rsidRPr="00530625" w:rsidP="00F938D8" w14:paraId="5CB7A120" w14:textId="126CE690">
            <w:pPr>
              <w:pStyle w:val="TableTextLeft"/>
              <w:rPr>
                <w:rFonts w:ascii="Arial Narrow" w:hAnsi="Arial Narrow"/>
                <w:b/>
                <w:bCs/>
                <w:szCs w:val="18"/>
              </w:rPr>
            </w:pPr>
            <w:r w:rsidRPr="00530625">
              <w:rPr>
                <w:rFonts w:ascii="Arial Narrow" w:hAnsi="Arial Narrow"/>
                <w:b/>
                <w:bCs/>
                <w:szCs w:val="18"/>
              </w:rPr>
              <w:t>Topics</w:t>
            </w:r>
          </w:p>
        </w:tc>
        <w:tc>
          <w:tcPr>
            <w:tcW w:w="4000" w:type="pct"/>
          </w:tcPr>
          <w:p w:rsidR="00F938D8" w:rsidRPr="00530625" w:rsidP="00844194" w14:paraId="669DE20E" w14:textId="77777777">
            <w:pPr>
              <w:pStyle w:val="TableListNumber"/>
              <w:numPr>
                <w:ilvl w:val="0"/>
                <w:numId w:val="30"/>
              </w:numPr>
              <w:rPr>
                <w:rFonts w:ascii="Arial Narrow" w:hAnsi="Arial Narrow"/>
                <w:szCs w:val="18"/>
              </w:rPr>
            </w:pPr>
            <w:r w:rsidRPr="00530625">
              <w:rPr>
                <w:rFonts w:ascii="Arial Narrow" w:hAnsi="Arial Narrow"/>
                <w:szCs w:val="18"/>
              </w:rPr>
              <w:t>Interventions implemented</w:t>
            </w:r>
          </w:p>
          <w:p w:rsidR="00F938D8" w:rsidRPr="00530625" w:rsidP="00F938D8" w14:paraId="51F61C82" w14:textId="77777777">
            <w:pPr>
              <w:pStyle w:val="TableListNumber"/>
              <w:rPr>
                <w:rFonts w:ascii="Arial Narrow" w:hAnsi="Arial Narrow"/>
                <w:szCs w:val="18"/>
              </w:rPr>
            </w:pPr>
            <w:r w:rsidRPr="00530625">
              <w:rPr>
                <w:rFonts w:ascii="Arial Narrow" w:eastAsia="Times New Roman" w:hAnsi="Arial Narrow"/>
                <w:szCs w:val="18"/>
              </w:rPr>
              <w:t>W</w:t>
            </w:r>
            <w:r w:rsidRPr="00530625">
              <w:rPr>
                <w:rFonts w:ascii="Arial Narrow" w:hAnsi="Arial Narrow"/>
                <w:szCs w:val="18"/>
              </w:rPr>
              <w:t>ays HAB and non-HAB resources were used</w:t>
            </w:r>
          </w:p>
          <w:p w:rsidR="00F938D8" w:rsidRPr="00530625" w:rsidP="00F938D8" w14:paraId="69B096DE" w14:textId="77777777">
            <w:pPr>
              <w:pStyle w:val="TableListNumber"/>
              <w:rPr>
                <w:rFonts w:ascii="Arial Narrow" w:hAnsi="Arial Narrow"/>
                <w:szCs w:val="18"/>
              </w:rPr>
            </w:pPr>
            <w:r w:rsidRPr="00530625">
              <w:rPr>
                <w:rFonts w:ascii="Arial Narrow" w:hAnsi="Arial Narrow"/>
                <w:szCs w:val="18"/>
              </w:rPr>
              <w:t>HAB and non-HAB resources’ contributions to implementation success</w:t>
            </w:r>
          </w:p>
          <w:p w:rsidR="00F938D8" w:rsidRPr="00530625" w:rsidP="00B228FD" w14:paraId="0BAD375F" w14:textId="2CC1A676">
            <w:pPr>
              <w:pStyle w:val="TableListNumber"/>
              <w:rPr>
                <w:rFonts w:ascii="Arial Narrow" w:hAnsi="Arial Narrow"/>
                <w:szCs w:val="18"/>
              </w:rPr>
            </w:pPr>
            <w:r w:rsidRPr="00530625">
              <w:rPr>
                <w:rFonts w:ascii="Arial Narrow" w:hAnsi="Arial Narrow"/>
                <w:szCs w:val="18"/>
              </w:rPr>
              <w:t xml:space="preserve">Opportunities to strengthen the impact of HAB resources </w:t>
            </w:r>
          </w:p>
        </w:tc>
      </w:tr>
      <w:tr w14:paraId="5BC3B9FD" w14:textId="77777777" w:rsidTr="003B3C28">
        <w:tblPrEx>
          <w:tblW w:w="5201" w:type="pct"/>
          <w:tblLayout w:type="fixed"/>
          <w:tblLook w:val="04A0"/>
        </w:tblPrEx>
        <w:trPr>
          <w:trHeight w:val="120"/>
        </w:trPr>
        <w:tc>
          <w:tcPr>
            <w:tcW w:w="1000" w:type="pct"/>
          </w:tcPr>
          <w:p w:rsidR="00F938D8" w:rsidRPr="00530625" w:rsidP="00F938D8" w14:paraId="24E976CF" w14:textId="7FC0FF65">
            <w:pPr>
              <w:pStyle w:val="TableTextLeft"/>
              <w:rPr>
                <w:rFonts w:ascii="Arial Narrow" w:hAnsi="Arial Narrow"/>
                <w:b/>
                <w:bCs/>
                <w:szCs w:val="18"/>
              </w:rPr>
            </w:pPr>
            <w:r w:rsidRPr="00530625">
              <w:rPr>
                <w:rFonts w:ascii="Arial Narrow" w:hAnsi="Arial Narrow"/>
                <w:b/>
                <w:bCs/>
                <w:szCs w:val="18"/>
              </w:rPr>
              <w:t>Analysis</w:t>
            </w:r>
          </w:p>
        </w:tc>
        <w:tc>
          <w:tcPr>
            <w:tcW w:w="4000" w:type="pct"/>
          </w:tcPr>
          <w:p w:rsidR="00F938D8" w:rsidRPr="00530625" w:rsidP="00F938D8" w14:paraId="2B7FAAAF" w14:textId="652A4932">
            <w:pPr>
              <w:pStyle w:val="TableTextLeft"/>
              <w:rPr>
                <w:rFonts w:ascii="Arial Narrow" w:hAnsi="Arial Narrow"/>
                <w:szCs w:val="18"/>
              </w:rPr>
            </w:pPr>
            <w:r w:rsidRPr="00530625">
              <w:rPr>
                <w:rFonts w:ascii="Arial Narrow" w:hAnsi="Arial Narrow"/>
                <w:szCs w:val="18"/>
              </w:rPr>
              <w:t>All qualitative data will be entered into NVivo 12 to allow for standardized coding by topic and theme. Dual coding (that is, two independent coders) will be completed for a subset of interview notes to establish reliability within the coding team. Using thematic codebook and NVivo 12 software, we will identify common themes and examine divergence and convergence of themes across interviewee types and other jurisdiction-level characteristics</w:t>
            </w:r>
          </w:p>
        </w:tc>
      </w:tr>
      <w:tr w14:paraId="7F7D8E94" w14:textId="77777777" w:rsidTr="003B3C28">
        <w:tblPrEx>
          <w:tblW w:w="5201" w:type="pct"/>
          <w:tblLayout w:type="fixed"/>
          <w:tblLook w:val="04A0"/>
        </w:tblPrEx>
        <w:trPr>
          <w:trHeight w:val="120"/>
        </w:trPr>
        <w:tc>
          <w:tcPr>
            <w:tcW w:w="1000" w:type="pct"/>
          </w:tcPr>
          <w:p w:rsidR="00F938D8" w:rsidRPr="00530625" w:rsidP="00F938D8" w14:paraId="25D7180B" w14:textId="6EE366D2">
            <w:pPr>
              <w:pStyle w:val="TableTextLeft"/>
              <w:rPr>
                <w:rFonts w:ascii="Arial Narrow" w:hAnsi="Arial Narrow"/>
                <w:b/>
                <w:bCs/>
                <w:szCs w:val="18"/>
              </w:rPr>
            </w:pPr>
            <w:r w:rsidRPr="00530625">
              <w:rPr>
                <w:rFonts w:ascii="Arial Narrow" w:hAnsi="Arial Narrow"/>
                <w:b/>
                <w:bCs/>
                <w:szCs w:val="18"/>
              </w:rPr>
              <w:t>Precision</w:t>
            </w:r>
          </w:p>
        </w:tc>
        <w:tc>
          <w:tcPr>
            <w:tcW w:w="4000" w:type="pct"/>
          </w:tcPr>
          <w:p w:rsidR="00F938D8" w:rsidRPr="00530625" w:rsidP="00F938D8" w14:paraId="47C22E78" w14:textId="2A355078">
            <w:pPr>
              <w:pStyle w:val="TableTextLeft"/>
              <w:rPr>
                <w:rFonts w:ascii="Arial Narrow" w:hAnsi="Arial Narrow"/>
                <w:szCs w:val="18"/>
              </w:rPr>
            </w:pPr>
            <w:r w:rsidRPr="00530625">
              <w:rPr>
                <w:rFonts w:ascii="Arial Narrow" w:hAnsi="Arial Narrow"/>
                <w:szCs w:val="18"/>
              </w:rPr>
              <w:t>Not applicable given qualitative nature of the data collection.</w:t>
            </w:r>
          </w:p>
        </w:tc>
      </w:tr>
      <w:tr w14:paraId="3F2E89AE" w14:textId="77777777" w:rsidTr="003B3C28">
        <w:tblPrEx>
          <w:tblW w:w="5201" w:type="pct"/>
          <w:tblLayout w:type="fixed"/>
          <w:tblLook w:val="04A0"/>
        </w:tblPrEx>
        <w:trPr>
          <w:trHeight w:val="120"/>
        </w:trPr>
        <w:tc>
          <w:tcPr>
            <w:tcW w:w="1000" w:type="pct"/>
          </w:tcPr>
          <w:p w:rsidR="00F938D8" w:rsidRPr="00530625" w:rsidP="00F938D8" w14:paraId="112C705C" w14:textId="494D725A">
            <w:pPr>
              <w:pStyle w:val="TableTextLeft"/>
              <w:rPr>
                <w:rFonts w:ascii="Arial Narrow" w:hAnsi="Arial Narrow"/>
                <w:b/>
                <w:bCs/>
                <w:szCs w:val="18"/>
              </w:rPr>
            </w:pPr>
            <w:r w:rsidRPr="00530625">
              <w:rPr>
                <w:rFonts w:ascii="Arial Narrow" w:hAnsi="Arial Narrow"/>
                <w:b/>
                <w:bCs/>
                <w:szCs w:val="18"/>
              </w:rPr>
              <w:t>Generalizability</w:t>
            </w:r>
          </w:p>
        </w:tc>
        <w:tc>
          <w:tcPr>
            <w:tcW w:w="4000" w:type="pct"/>
          </w:tcPr>
          <w:p w:rsidR="00F938D8" w:rsidRPr="00530625" w:rsidP="00F938D8" w14:paraId="70DF3CDB" w14:textId="5A5CE2A9">
            <w:pPr>
              <w:pStyle w:val="TableTextLeft"/>
              <w:rPr>
                <w:rFonts w:ascii="Arial Narrow" w:hAnsi="Arial Narrow"/>
                <w:szCs w:val="18"/>
              </w:rPr>
            </w:pPr>
            <w:r w:rsidRPr="00530625">
              <w:rPr>
                <w:rFonts w:ascii="Arial Narrow" w:hAnsi="Arial Narrow"/>
                <w:szCs w:val="18"/>
              </w:rPr>
              <w:t>Qualitative findings are not intended to be generalizable to the full population.</w:t>
            </w:r>
          </w:p>
        </w:tc>
      </w:tr>
      <w:tr w14:paraId="48CBB18C" w14:textId="77777777" w:rsidTr="00C651F0">
        <w:tblPrEx>
          <w:tblW w:w="5201" w:type="pct"/>
          <w:tblLayout w:type="fixed"/>
          <w:tblLook w:val="04A0"/>
        </w:tblPrEx>
        <w:trPr>
          <w:trHeight w:val="120"/>
        </w:trPr>
        <w:tc>
          <w:tcPr>
            <w:tcW w:w="5000" w:type="pct"/>
            <w:gridSpan w:val="2"/>
            <w:shd w:val="clear" w:color="auto" w:fill="0B2949" w:themeFill="accent1"/>
          </w:tcPr>
          <w:p w:rsidR="002D19D5" w:rsidRPr="00530625" w:rsidP="00F938D8" w14:paraId="23E5FA9A" w14:textId="0E373449">
            <w:pPr>
              <w:pStyle w:val="TableTextLeft"/>
              <w:rPr>
                <w:rFonts w:ascii="Arial Narrow" w:hAnsi="Arial Narrow"/>
                <w:b/>
                <w:bCs/>
                <w:szCs w:val="18"/>
              </w:rPr>
            </w:pPr>
            <w:r w:rsidRPr="00530625">
              <w:rPr>
                <w:rFonts w:ascii="Arial Narrow" w:hAnsi="Arial Narrow"/>
                <w:b/>
                <w:bCs/>
                <w:color w:val="FFFFFF" w:themeColor="background1"/>
                <w:szCs w:val="18"/>
              </w:rPr>
              <w:t>RWAHP Recipient interviews</w:t>
            </w:r>
          </w:p>
        </w:tc>
      </w:tr>
      <w:tr w14:paraId="7C047BFF" w14:textId="77777777" w:rsidTr="003B3C28">
        <w:tblPrEx>
          <w:tblW w:w="5201" w:type="pct"/>
          <w:tblLayout w:type="fixed"/>
          <w:tblLook w:val="04A0"/>
        </w:tblPrEx>
        <w:trPr>
          <w:trHeight w:val="120"/>
        </w:trPr>
        <w:tc>
          <w:tcPr>
            <w:tcW w:w="1000" w:type="pct"/>
          </w:tcPr>
          <w:p w:rsidR="002C3D04" w:rsidRPr="00530625" w:rsidP="002C3D04" w14:paraId="49672C43" w14:textId="5D39238B">
            <w:pPr>
              <w:pStyle w:val="TableTextLeft"/>
              <w:rPr>
                <w:rFonts w:ascii="Arial Narrow" w:hAnsi="Arial Narrow"/>
                <w:b/>
                <w:bCs/>
                <w:szCs w:val="18"/>
              </w:rPr>
            </w:pPr>
            <w:r w:rsidRPr="00530625">
              <w:rPr>
                <w:rFonts w:ascii="Arial Narrow" w:hAnsi="Arial Narrow"/>
                <w:b/>
                <w:bCs/>
                <w:szCs w:val="18"/>
              </w:rPr>
              <w:t>Sampling</w:t>
            </w:r>
          </w:p>
        </w:tc>
        <w:tc>
          <w:tcPr>
            <w:tcW w:w="4000" w:type="pct"/>
          </w:tcPr>
          <w:p w:rsidR="002C3D04" w:rsidRPr="00530625" w:rsidP="002C3D04" w14:paraId="1619EF78" w14:textId="01B1D745">
            <w:pPr>
              <w:pStyle w:val="TableTextLeft"/>
              <w:rPr>
                <w:rFonts w:ascii="Arial Narrow" w:hAnsi="Arial Narrow"/>
                <w:szCs w:val="18"/>
              </w:rPr>
            </w:pPr>
            <w:bookmarkStart w:id="17" w:name="_Hlk145518160"/>
            <w:r w:rsidRPr="00530625">
              <w:rPr>
                <w:rFonts w:ascii="Arial Narrow" w:hAnsi="Arial Narrow"/>
                <w:szCs w:val="18"/>
              </w:rPr>
              <w:t>Five large recipient</w:t>
            </w:r>
            <w:r w:rsidRPr="00530625" w:rsidR="0088505C">
              <w:rPr>
                <w:rFonts w:ascii="Arial Narrow" w:hAnsi="Arial Narrow"/>
                <w:szCs w:val="18"/>
              </w:rPr>
              <w:t xml:space="preserve"> sites</w:t>
            </w:r>
            <w:r w:rsidRPr="00530625">
              <w:rPr>
                <w:rFonts w:ascii="Arial Narrow" w:hAnsi="Arial Narrow"/>
                <w:szCs w:val="18"/>
              </w:rPr>
              <w:t xml:space="preserve"> with certainty, </w:t>
            </w:r>
            <w:r w:rsidR="000D06FB">
              <w:rPr>
                <w:rFonts w:ascii="Arial Narrow" w:hAnsi="Arial Narrow"/>
                <w:szCs w:val="18"/>
              </w:rPr>
              <w:t xml:space="preserve">with approximately 3 interviews per site, </w:t>
            </w:r>
            <w:r w:rsidRPr="00530625">
              <w:rPr>
                <w:rFonts w:ascii="Arial Narrow" w:hAnsi="Arial Narrow"/>
                <w:szCs w:val="18"/>
              </w:rPr>
              <w:t xml:space="preserve">then </w:t>
            </w:r>
            <w:r w:rsidR="000D06FB">
              <w:rPr>
                <w:rFonts w:ascii="Arial Narrow" w:hAnsi="Arial Narrow"/>
                <w:szCs w:val="18"/>
              </w:rPr>
              <w:t xml:space="preserve">a </w:t>
            </w:r>
            <w:r w:rsidRPr="00530625">
              <w:rPr>
                <w:rFonts w:ascii="Arial Narrow" w:hAnsi="Arial Narrow"/>
                <w:szCs w:val="18"/>
              </w:rPr>
              <w:t>s</w:t>
            </w:r>
            <w:r w:rsidRPr="00530625">
              <w:rPr>
                <w:rFonts w:ascii="Arial Narrow" w:hAnsi="Arial Narrow"/>
                <w:szCs w:val="18"/>
              </w:rPr>
              <w:t xml:space="preserve">imple random sample of </w:t>
            </w:r>
            <w:r w:rsidRPr="00530625">
              <w:rPr>
                <w:rFonts w:ascii="Arial Narrow" w:hAnsi="Arial Narrow"/>
                <w:szCs w:val="18"/>
              </w:rPr>
              <w:t xml:space="preserve">15 remaining </w:t>
            </w:r>
            <w:r w:rsidRPr="00530625">
              <w:rPr>
                <w:rFonts w:ascii="Arial Narrow" w:hAnsi="Arial Narrow"/>
                <w:szCs w:val="18"/>
              </w:rPr>
              <w:t>RWHAP recipient</w:t>
            </w:r>
            <w:r w:rsidRPr="00530625" w:rsidR="0088505C">
              <w:rPr>
                <w:rFonts w:ascii="Arial Narrow" w:hAnsi="Arial Narrow"/>
                <w:szCs w:val="18"/>
              </w:rPr>
              <w:t xml:space="preserve"> site</w:t>
            </w:r>
            <w:r w:rsidR="000D06FB">
              <w:rPr>
                <w:rFonts w:ascii="Arial Narrow" w:hAnsi="Arial Narrow"/>
                <w:szCs w:val="18"/>
              </w:rPr>
              <w:t>s</w:t>
            </w:r>
            <w:r w:rsidRPr="00530625" w:rsidR="0088505C">
              <w:rPr>
                <w:rFonts w:ascii="Arial Narrow" w:hAnsi="Arial Narrow"/>
                <w:szCs w:val="18"/>
              </w:rPr>
              <w:t xml:space="preserve"> </w:t>
            </w:r>
            <w:r w:rsidRPr="00530625">
              <w:rPr>
                <w:rFonts w:ascii="Arial Narrow" w:hAnsi="Arial Narrow"/>
                <w:szCs w:val="18"/>
              </w:rPr>
              <w:t>responding to the RUDI-R Survey</w:t>
            </w:r>
            <w:r w:rsidR="000D06FB">
              <w:rPr>
                <w:rFonts w:ascii="Arial Narrow" w:hAnsi="Arial Narrow"/>
                <w:szCs w:val="18"/>
              </w:rPr>
              <w:t>, with one interview per site involving a</w:t>
            </w:r>
            <w:r w:rsidR="0009655B">
              <w:rPr>
                <w:rFonts w:ascii="Arial Narrow" w:hAnsi="Arial Narrow"/>
                <w:szCs w:val="18"/>
              </w:rPr>
              <w:t>n average of</w:t>
            </w:r>
            <w:r w:rsidR="000D06FB">
              <w:rPr>
                <w:rFonts w:ascii="Arial Narrow" w:hAnsi="Arial Narrow"/>
                <w:szCs w:val="18"/>
              </w:rPr>
              <w:t xml:space="preserve"> </w:t>
            </w:r>
            <w:r w:rsidR="0009655B">
              <w:rPr>
                <w:rFonts w:ascii="Arial Narrow" w:hAnsi="Arial Narrow"/>
                <w:szCs w:val="18"/>
              </w:rPr>
              <w:t>2</w:t>
            </w:r>
            <w:r w:rsidR="000D06FB">
              <w:rPr>
                <w:rFonts w:ascii="Arial Narrow" w:hAnsi="Arial Narrow"/>
                <w:szCs w:val="18"/>
              </w:rPr>
              <w:t xml:space="preserve"> people, </w:t>
            </w:r>
            <w:r w:rsidRPr="00530625">
              <w:rPr>
                <w:rFonts w:ascii="Arial Narrow" w:hAnsi="Arial Narrow"/>
                <w:szCs w:val="18"/>
              </w:rPr>
              <w:t>for a total of 20</w:t>
            </w:r>
            <w:r w:rsidRPr="00530625" w:rsidR="0088505C">
              <w:rPr>
                <w:rFonts w:ascii="Arial Narrow" w:hAnsi="Arial Narrow"/>
                <w:szCs w:val="18"/>
              </w:rPr>
              <w:t xml:space="preserve"> sites</w:t>
            </w:r>
            <w:r w:rsidR="000D06FB">
              <w:rPr>
                <w:rFonts w:ascii="Arial Narrow" w:hAnsi="Arial Narrow"/>
                <w:szCs w:val="18"/>
              </w:rPr>
              <w:t xml:space="preserve"> and 30 interviews, involving a total of </w:t>
            </w:r>
            <w:r w:rsidR="0009655B">
              <w:rPr>
                <w:rFonts w:ascii="Arial Narrow" w:hAnsi="Arial Narrow"/>
                <w:szCs w:val="18"/>
              </w:rPr>
              <w:t>approximately 45</w:t>
            </w:r>
            <w:r w:rsidR="000D06FB">
              <w:rPr>
                <w:rFonts w:ascii="Arial Narrow" w:hAnsi="Arial Narrow"/>
                <w:szCs w:val="18"/>
              </w:rPr>
              <w:t xml:space="preserve"> individuals</w:t>
            </w:r>
            <w:r w:rsidRPr="00530625" w:rsidR="0088505C">
              <w:rPr>
                <w:rFonts w:ascii="Arial Narrow" w:hAnsi="Arial Narrow"/>
                <w:szCs w:val="18"/>
              </w:rPr>
              <w:t>.</w:t>
            </w:r>
            <w:r w:rsidRPr="00530625">
              <w:rPr>
                <w:rFonts w:ascii="Arial Narrow" w:hAnsi="Arial Narrow"/>
                <w:szCs w:val="18"/>
              </w:rPr>
              <w:t xml:space="preserve"> </w:t>
            </w:r>
            <w:bookmarkEnd w:id="17"/>
          </w:p>
        </w:tc>
      </w:tr>
      <w:tr w14:paraId="49955566" w14:textId="77777777" w:rsidTr="003B3C28">
        <w:tblPrEx>
          <w:tblW w:w="5201" w:type="pct"/>
          <w:tblLayout w:type="fixed"/>
          <w:tblLook w:val="04A0"/>
        </w:tblPrEx>
        <w:trPr>
          <w:trHeight w:val="120"/>
        </w:trPr>
        <w:tc>
          <w:tcPr>
            <w:tcW w:w="1000" w:type="pct"/>
          </w:tcPr>
          <w:p w:rsidR="002C3D04" w:rsidRPr="00530625" w:rsidP="002C3D04" w14:paraId="5315E8AF" w14:textId="78D6CC9F">
            <w:pPr>
              <w:pStyle w:val="TableTextLeft"/>
              <w:rPr>
                <w:rFonts w:ascii="Arial Narrow" w:hAnsi="Arial Narrow"/>
                <w:b/>
                <w:bCs/>
                <w:szCs w:val="18"/>
              </w:rPr>
            </w:pPr>
            <w:r w:rsidRPr="00530625">
              <w:rPr>
                <w:rFonts w:ascii="Arial Narrow" w:hAnsi="Arial Narrow"/>
                <w:b/>
                <w:bCs/>
                <w:szCs w:val="18"/>
              </w:rPr>
              <w:t>Topics</w:t>
            </w:r>
          </w:p>
        </w:tc>
        <w:tc>
          <w:tcPr>
            <w:tcW w:w="4000" w:type="pct"/>
          </w:tcPr>
          <w:p w:rsidR="002C3D04" w:rsidRPr="00530625" w:rsidP="00844194" w14:paraId="14B7100E" w14:textId="77777777">
            <w:pPr>
              <w:pStyle w:val="TableListNumber"/>
              <w:numPr>
                <w:ilvl w:val="0"/>
                <w:numId w:val="34"/>
              </w:numPr>
              <w:rPr>
                <w:rFonts w:ascii="Arial Narrow" w:hAnsi="Arial Narrow"/>
                <w:szCs w:val="18"/>
              </w:rPr>
            </w:pPr>
            <w:r w:rsidRPr="00530625">
              <w:rPr>
                <w:rFonts w:ascii="Arial Narrow" w:eastAsia="Times New Roman" w:hAnsi="Arial Narrow"/>
                <w:szCs w:val="18"/>
              </w:rPr>
              <w:t>W</w:t>
            </w:r>
            <w:r w:rsidRPr="00530625">
              <w:rPr>
                <w:rFonts w:ascii="Arial Narrow" w:hAnsi="Arial Narrow"/>
                <w:szCs w:val="18"/>
              </w:rPr>
              <w:t>ays HAB and non-HAB resources were used</w:t>
            </w:r>
          </w:p>
          <w:p w:rsidR="002C3D04" w:rsidRPr="00530625" w:rsidP="002C3D04" w14:paraId="4DEF9E22" w14:textId="4D4D6433">
            <w:pPr>
              <w:pStyle w:val="TableListNumber"/>
              <w:rPr>
                <w:rFonts w:ascii="Arial Narrow" w:hAnsi="Arial Narrow"/>
                <w:szCs w:val="18"/>
              </w:rPr>
            </w:pPr>
            <w:r w:rsidRPr="00530625">
              <w:rPr>
                <w:rFonts w:ascii="Arial Narrow" w:hAnsi="Arial Narrow"/>
                <w:szCs w:val="18"/>
              </w:rPr>
              <w:t>Recipient observations and learnings from their engagement (or non-engagement) with subrecipients</w:t>
            </w:r>
          </w:p>
          <w:p w:rsidR="002C3D04" w:rsidRPr="00530625" w:rsidP="002C3D04" w14:paraId="0A8C75F1" w14:textId="6B3C71E6">
            <w:pPr>
              <w:pStyle w:val="TableListNumber"/>
              <w:rPr>
                <w:rFonts w:ascii="Arial Narrow" w:hAnsi="Arial Narrow"/>
                <w:szCs w:val="18"/>
              </w:rPr>
            </w:pPr>
            <w:r w:rsidRPr="00530625">
              <w:rPr>
                <w:rFonts w:ascii="Arial Narrow" w:hAnsi="Arial Narrow"/>
                <w:szCs w:val="18"/>
              </w:rPr>
              <w:t>Opportunities to strengthen the impact of HAB resources</w:t>
            </w:r>
          </w:p>
        </w:tc>
      </w:tr>
      <w:tr w14:paraId="725C66DC" w14:textId="77777777" w:rsidTr="003B3C28">
        <w:tblPrEx>
          <w:tblW w:w="5201" w:type="pct"/>
          <w:tblLayout w:type="fixed"/>
          <w:tblLook w:val="04A0"/>
        </w:tblPrEx>
        <w:trPr>
          <w:trHeight w:val="120"/>
        </w:trPr>
        <w:tc>
          <w:tcPr>
            <w:tcW w:w="1000" w:type="pct"/>
          </w:tcPr>
          <w:p w:rsidR="002C3D04" w:rsidRPr="00530625" w:rsidP="002C3D04" w14:paraId="00FA0266" w14:textId="1E1E5ED3">
            <w:pPr>
              <w:pStyle w:val="TableTextLeft"/>
              <w:rPr>
                <w:rFonts w:ascii="Arial Narrow" w:hAnsi="Arial Narrow"/>
                <w:b/>
                <w:bCs/>
                <w:szCs w:val="18"/>
              </w:rPr>
            </w:pPr>
            <w:r w:rsidRPr="00530625">
              <w:rPr>
                <w:rFonts w:ascii="Arial Narrow" w:hAnsi="Arial Narrow"/>
                <w:b/>
                <w:bCs/>
                <w:szCs w:val="18"/>
              </w:rPr>
              <w:t>Analysis</w:t>
            </w:r>
          </w:p>
        </w:tc>
        <w:tc>
          <w:tcPr>
            <w:tcW w:w="4000" w:type="pct"/>
          </w:tcPr>
          <w:p w:rsidR="002C3D04" w:rsidRPr="00530625" w:rsidP="002C3D04" w14:paraId="123ABC74" w14:textId="0E287AC1">
            <w:pPr>
              <w:pStyle w:val="TableTextLeft"/>
              <w:rPr>
                <w:rFonts w:ascii="Arial Narrow" w:hAnsi="Arial Narrow"/>
                <w:szCs w:val="18"/>
              </w:rPr>
            </w:pPr>
            <w:r w:rsidRPr="00530625">
              <w:rPr>
                <w:rFonts w:ascii="Arial Narrow" w:hAnsi="Arial Narrow"/>
                <w:szCs w:val="18"/>
              </w:rPr>
              <w:t>All qualitative data will be entered into NVivo 12 to allow for standardized coding by topic and theme. Dual coding (that is, two independent coders) will be completed for a subset of interview notes to establish reliability within the coding team. Using thematic codebook and NVivo 12 software, we will identify common themes and examine divergence and convergence of themes across interviewee types and other jurisdiction-level characteristics</w:t>
            </w:r>
          </w:p>
        </w:tc>
      </w:tr>
      <w:tr w14:paraId="21907009" w14:textId="77777777" w:rsidTr="003B3C28">
        <w:tblPrEx>
          <w:tblW w:w="5201" w:type="pct"/>
          <w:tblLayout w:type="fixed"/>
          <w:tblLook w:val="04A0"/>
        </w:tblPrEx>
        <w:trPr>
          <w:trHeight w:val="120"/>
        </w:trPr>
        <w:tc>
          <w:tcPr>
            <w:tcW w:w="1000" w:type="pct"/>
          </w:tcPr>
          <w:p w:rsidR="002C3D04" w:rsidRPr="00530625" w:rsidP="002C3D04" w14:paraId="5DE2FE84" w14:textId="41F9F722">
            <w:pPr>
              <w:pStyle w:val="TableTextLeft"/>
              <w:rPr>
                <w:rFonts w:ascii="Arial Narrow" w:hAnsi="Arial Narrow"/>
                <w:b/>
                <w:bCs/>
                <w:szCs w:val="18"/>
              </w:rPr>
            </w:pPr>
            <w:bookmarkStart w:id="18" w:name="_Hlk145077493"/>
            <w:r w:rsidRPr="00530625">
              <w:rPr>
                <w:rFonts w:ascii="Arial Narrow" w:hAnsi="Arial Narrow"/>
                <w:b/>
                <w:bCs/>
                <w:szCs w:val="18"/>
              </w:rPr>
              <w:t>Precision</w:t>
            </w:r>
          </w:p>
        </w:tc>
        <w:tc>
          <w:tcPr>
            <w:tcW w:w="4000" w:type="pct"/>
          </w:tcPr>
          <w:p w:rsidR="002C3D04" w:rsidRPr="00530625" w:rsidP="002C3D04" w14:paraId="684B0875" w14:textId="6178E488">
            <w:pPr>
              <w:pStyle w:val="TableTextLeft"/>
              <w:rPr>
                <w:rFonts w:ascii="Arial Narrow" w:hAnsi="Arial Narrow"/>
                <w:szCs w:val="18"/>
              </w:rPr>
            </w:pPr>
            <w:r w:rsidRPr="00530625">
              <w:rPr>
                <w:rFonts w:ascii="Arial Narrow" w:hAnsi="Arial Narrow"/>
                <w:szCs w:val="18"/>
              </w:rPr>
              <w:t>Not applicable given qualitative nature of the data collection.</w:t>
            </w:r>
          </w:p>
        </w:tc>
      </w:tr>
      <w:tr w14:paraId="198D0550" w14:textId="77777777" w:rsidTr="003B3C28">
        <w:tblPrEx>
          <w:tblW w:w="5201" w:type="pct"/>
          <w:tblLayout w:type="fixed"/>
          <w:tblLook w:val="04A0"/>
        </w:tblPrEx>
        <w:trPr>
          <w:trHeight w:val="120"/>
        </w:trPr>
        <w:tc>
          <w:tcPr>
            <w:tcW w:w="1000" w:type="pct"/>
          </w:tcPr>
          <w:p w:rsidR="002C3D04" w:rsidRPr="00530625" w:rsidP="002C3D04" w14:paraId="3D26C297" w14:textId="3D735358">
            <w:pPr>
              <w:pStyle w:val="TableTextLeft"/>
              <w:rPr>
                <w:rFonts w:ascii="Arial Narrow" w:hAnsi="Arial Narrow"/>
                <w:b/>
                <w:bCs/>
                <w:szCs w:val="18"/>
              </w:rPr>
            </w:pPr>
            <w:r w:rsidRPr="00530625">
              <w:rPr>
                <w:rFonts w:ascii="Arial Narrow" w:hAnsi="Arial Narrow"/>
                <w:b/>
                <w:bCs/>
                <w:szCs w:val="18"/>
              </w:rPr>
              <w:t>Generalizability</w:t>
            </w:r>
          </w:p>
        </w:tc>
        <w:tc>
          <w:tcPr>
            <w:tcW w:w="4000" w:type="pct"/>
          </w:tcPr>
          <w:p w:rsidR="002C3D04" w:rsidRPr="00530625" w:rsidP="002C3D04" w14:paraId="1303F2F9" w14:textId="75E42B6A">
            <w:pPr>
              <w:pStyle w:val="TableTextLeft"/>
              <w:rPr>
                <w:rFonts w:ascii="Arial Narrow" w:hAnsi="Arial Narrow"/>
                <w:szCs w:val="18"/>
              </w:rPr>
            </w:pPr>
            <w:r w:rsidRPr="00530625">
              <w:rPr>
                <w:rFonts w:ascii="Arial Narrow" w:hAnsi="Arial Narrow"/>
                <w:szCs w:val="18"/>
              </w:rPr>
              <w:t>Qualitative findings are not intended to be generalizable to the full population.</w:t>
            </w:r>
          </w:p>
        </w:tc>
      </w:tr>
      <w:bookmarkEnd w:id="18"/>
      <w:tr w14:paraId="483831CC" w14:textId="77777777" w:rsidTr="00C651F0">
        <w:tblPrEx>
          <w:tblW w:w="5201" w:type="pct"/>
          <w:tblLayout w:type="fixed"/>
          <w:tblLook w:val="04A0"/>
        </w:tblPrEx>
        <w:trPr>
          <w:trHeight w:val="120"/>
        </w:trPr>
        <w:tc>
          <w:tcPr>
            <w:tcW w:w="5000" w:type="pct"/>
            <w:gridSpan w:val="2"/>
            <w:shd w:val="clear" w:color="auto" w:fill="0B2949" w:themeFill="accent1"/>
          </w:tcPr>
          <w:p w:rsidR="002C3D04" w:rsidRPr="00530625" w:rsidP="002C3D04" w14:paraId="751881CB" w14:textId="408F9F0E">
            <w:pPr>
              <w:pStyle w:val="TableTextLeft"/>
              <w:rPr>
                <w:rFonts w:ascii="Arial Narrow" w:hAnsi="Arial Narrow"/>
                <w:b/>
                <w:bCs/>
                <w:szCs w:val="18"/>
              </w:rPr>
            </w:pPr>
            <w:r w:rsidRPr="00530625">
              <w:rPr>
                <w:rFonts w:ascii="Arial Narrow" w:hAnsi="Arial Narrow"/>
                <w:b/>
                <w:bCs/>
                <w:color w:val="FFFFFF" w:themeColor="background1"/>
                <w:szCs w:val="18"/>
              </w:rPr>
              <w:t>AETC Interviews</w:t>
            </w:r>
          </w:p>
        </w:tc>
      </w:tr>
      <w:tr w14:paraId="1DFD857A" w14:textId="77777777" w:rsidTr="003B3C28">
        <w:tblPrEx>
          <w:tblW w:w="5201" w:type="pct"/>
          <w:tblLayout w:type="fixed"/>
          <w:tblLook w:val="04A0"/>
        </w:tblPrEx>
        <w:trPr>
          <w:trHeight w:val="120"/>
        </w:trPr>
        <w:tc>
          <w:tcPr>
            <w:tcW w:w="1000" w:type="pct"/>
          </w:tcPr>
          <w:p w:rsidR="002C3D04" w:rsidRPr="00530625" w:rsidP="002C3D04" w14:paraId="2EDB2C10" w14:textId="29078817">
            <w:pPr>
              <w:pStyle w:val="TableTextLeft"/>
              <w:rPr>
                <w:rFonts w:ascii="Arial Narrow" w:hAnsi="Arial Narrow"/>
                <w:b/>
                <w:bCs/>
                <w:szCs w:val="18"/>
              </w:rPr>
            </w:pPr>
            <w:r w:rsidRPr="00530625">
              <w:rPr>
                <w:rFonts w:ascii="Arial Narrow" w:hAnsi="Arial Narrow"/>
                <w:b/>
                <w:bCs/>
                <w:szCs w:val="18"/>
              </w:rPr>
              <w:t>Sampling</w:t>
            </w:r>
          </w:p>
        </w:tc>
        <w:tc>
          <w:tcPr>
            <w:tcW w:w="4000" w:type="pct"/>
          </w:tcPr>
          <w:p w:rsidR="002C3D04" w:rsidRPr="00530625" w:rsidP="002C3D04" w14:paraId="29362A32" w14:textId="6CAC5F79">
            <w:pPr>
              <w:pStyle w:val="TableTextLeft"/>
              <w:rPr>
                <w:rFonts w:ascii="Arial Narrow" w:hAnsi="Arial Narrow"/>
                <w:szCs w:val="18"/>
              </w:rPr>
            </w:pPr>
            <w:r w:rsidRPr="00530625">
              <w:rPr>
                <w:rFonts w:ascii="Arial Narrow" w:hAnsi="Arial Narrow"/>
                <w:szCs w:val="18"/>
              </w:rPr>
              <w:t xml:space="preserve">1 interview </w:t>
            </w:r>
            <w:r w:rsidRPr="00530625" w:rsidR="0088505C">
              <w:rPr>
                <w:rFonts w:ascii="Arial Narrow" w:hAnsi="Arial Narrow"/>
                <w:szCs w:val="18"/>
              </w:rPr>
              <w:t xml:space="preserve">at </w:t>
            </w:r>
            <w:r w:rsidRPr="00530625">
              <w:rPr>
                <w:rFonts w:ascii="Arial Narrow" w:hAnsi="Arial Narrow"/>
                <w:szCs w:val="18"/>
              </w:rPr>
              <w:t xml:space="preserve">each AETC </w:t>
            </w:r>
            <w:r w:rsidRPr="00530625" w:rsidR="0088505C">
              <w:rPr>
                <w:rFonts w:ascii="Arial Narrow" w:hAnsi="Arial Narrow"/>
                <w:szCs w:val="18"/>
              </w:rPr>
              <w:t>site</w:t>
            </w:r>
            <w:r w:rsidRPr="00530625">
              <w:rPr>
                <w:rFonts w:ascii="Arial Narrow" w:hAnsi="Arial Narrow"/>
                <w:szCs w:val="18"/>
              </w:rPr>
              <w:t xml:space="preserve"> (n=8)</w:t>
            </w:r>
            <w:r w:rsidRPr="00530625">
              <w:rPr>
                <w:rFonts w:ascii="Arial Narrow" w:hAnsi="Arial Narrow"/>
                <w:szCs w:val="18"/>
              </w:rPr>
              <w:t xml:space="preserve">. </w:t>
            </w:r>
          </w:p>
        </w:tc>
      </w:tr>
      <w:tr w14:paraId="7F972E0F" w14:textId="77777777" w:rsidTr="003B3C28">
        <w:tblPrEx>
          <w:tblW w:w="5201" w:type="pct"/>
          <w:tblLayout w:type="fixed"/>
          <w:tblLook w:val="04A0"/>
        </w:tblPrEx>
        <w:trPr>
          <w:trHeight w:val="120"/>
        </w:trPr>
        <w:tc>
          <w:tcPr>
            <w:tcW w:w="1000" w:type="pct"/>
          </w:tcPr>
          <w:p w:rsidR="002C3D04" w:rsidRPr="00530625" w:rsidP="002C3D04" w14:paraId="21F64D79" w14:textId="15ABA11A">
            <w:pPr>
              <w:pStyle w:val="TableTextLeft"/>
              <w:rPr>
                <w:rFonts w:ascii="Arial Narrow" w:hAnsi="Arial Narrow"/>
                <w:b/>
                <w:bCs/>
                <w:szCs w:val="18"/>
              </w:rPr>
            </w:pPr>
            <w:r w:rsidRPr="00530625">
              <w:rPr>
                <w:rFonts w:ascii="Arial Narrow" w:hAnsi="Arial Narrow"/>
                <w:b/>
                <w:bCs/>
                <w:szCs w:val="18"/>
              </w:rPr>
              <w:t>Topics</w:t>
            </w:r>
          </w:p>
        </w:tc>
        <w:tc>
          <w:tcPr>
            <w:tcW w:w="4000" w:type="pct"/>
          </w:tcPr>
          <w:p w:rsidR="002C3D04" w:rsidRPr="00530625" w:rsidP="00844194" w14:paraId="42C4299C" w14:textId="63C09AFE">
            <w:pPr>
              <w:pStyle w:val="TableListNumber"/>
              <w:numPr>
                <w:ilvl w:val="0"/>
                <w:numId w:val="35"/>
              </w:numPr>
              <w:rPr>
                <w:rFonts w:ascii="Arial Narrow" w:hAnsi="Arial Narrow"/>
                <w:szCs w:val="18"/>
              </w:rPr>
            </w:pPr>
            <w:r w:rsidRPr="00530625">
              <w:rPr>
                <w:rFonts w:ascii="Arial Narrow" w:hAnsi="Arial Narrow"/>
                <w:szCs w:val="18"/>
              </w:rPr>
              <w:t>HAB and non-HAB resources were used</w:t>
            </w:r>
          </w:p>
          <w:p w:rsidR="00C70E39" w:rsidRPr="00530625" w:rsidP="00D94109" w14:paraId="71A7BE96" w14:textId="77777777">
            <w:pPr>
              <w:pStyle w:val="TableListNumber"/>
              <w:rPr>
                <w:rFonts w:ascii="Arial Narrow" w:hAnsi="Arial Narrow"/>
                <w:szCs w:val="18"/>
              </w:rPr>
            </w:pPr>
            <w:r w:rsidRPr="00530625">
              <w:rPr>
                <w:rFonts w:ascii="Arial Narrow" w:hAnsi="Arial Narrow"/>
                <w:szCs w:val="18"/>
              </w:rPr>
              <w:t xml:space="preserve">HAB and non-HAB resources’ contributions to </w:t>
            </w:r>
            <w:r w:rsidRPr="00530625">
              <w:rPr>
                <w:rFonts w:ascii="Arial Narrow" w:hAnsi="Arial Narrow"/>
                <w:szCs w:val="18"/>
              </w:rPr>
              <w:t>provider success in the region</w:t>
            </w:r>
          </w:p>
          <w:p w:rsidR="002C3D04" w:rsidRPr="00530625" w:rsidP="00C70E39" w14:paraId="0106DE9F" w14:textId="47E85EF8">
            <w:pPr>
              <w:pStyle w:val="TableListNumber"/>
              <w:rPr>
                <w:rFonts w:ascii="Arial Narrow" w:hAnsi="Arial Narrow"/>
                <w:szCs w:val="18"/>
              </w:rPr>
            </w:pPr>
            <w:r w:rsidRPr="00530625">
              <w:rPr>
                <w:rFonts w:ascii="Arial Narrow" w:hAnsi="Arial Narrow"/>
                <w:szCs w:val="18"/>
              </w:rPr>
              <w:t>Opportunities to strengthen the impact of HAB resources</w:t>
            </w:r>
          </w:p>
        </w:tc>
      </w:tr>
      <w:tr w14:paraId="3AC4C3FA" w14:textId="77777777" w:rsidTr="003B3C28">
        <w:tblPrEx>
          <w:tblW w:w="5201" w:type="pct"/>
          <w:tblLayout w:type="fixed"/>
          <w:tblLook w:val="04A0"/>
        </w:tblPrEx>
        <w:trPr>
          <w:trHeight w:val="120"/>
        </w:trPr>
        <w:tc>
          <w:tcPr>
            <w:tcW w:w="1000" w:type="pct"/>
          </w:tcPr>
          <w:p w:rsidR="002C3D04" w:rsidRPr="00530625" w:rsidP="002C3D04" w14:paraId="65CEED69" w14:textId="0C765892">
            <w:pPr>
              <w:pStyle w:val="TableTextLeft"/>
              <w:rPr>
                <w:rFonts w:ascii="Arial Narrow" w:hAnsi="Arial Narrow"/>
                <w:b/>
                <w:bCs/>
                <w:szCs w:val="18"/>
              </w:rPr>
            </w:pPr>
            <w:r w:rsidRPr="00530625">
              <w:rPr>
                <w:rFonts w:ascii="Arial Narrow" w:hAnsi="Arial Narrow"/>
                <w:b/>
                <w:bCs/>
                <w:szCs w:val="18"/>
              </w:rPr>
              <w:t>Analysis</w:t>
            </w:r>
          </w:p>
        </w:tc>
        <w:tc>
          <w:tcPr>
            <w:tcW w:w="4000" w:type="pct"/>
          </w:tcPr>
          <w:p w:rsidR="002C3D04" w:rsidRPr="00530625" w:rsidP="002C3D04" w14:paraId="4E76B32E" w14:textId="33309D26">
            <w:pPr>
              <w:pStyle w:val="TableTextLeft"/>
              <w:rPr>
                <w:rFonts w:ascii="Arial Narrow" w:hAnsi="Arial Narrow"/>
                <w:szCs w:val="18"/>
              </w:rPr>
            </w:pPr>
            <w:r w:rsidRPr="00530625">
              <w:rPr>
                <w:rFonts w:ascii="Arial Narrow" w:hAnsi="Arial Narrow"/>
                <w:szCs w:val="18"/>
              </w:rPr>
              <w:t>All qualitative data will be entered into NVivo 12 to allow for standardized coding by topic and theme. Dual coding (that is, two independent coders) will be completed for a subset of interview notes to establish reliability within the coding team. Using thematic codebook and NVivo 12 software, we will identify common themes and examine divergence and convergence of themes across interviewee types and other jurisdiction-level characteristics</w:t>
            </w:r>
          </w:p>
        </w:tc>
      </w:tr>
      <w:tr w14:paraId="604FAB18" w14:textId="77777777" w:rsidTr="003B3C28">
        <w:tblPrEx>
          <w:tblW w:w="5201" w:type="pct"/>
          <w:tblLayout w:type="fixed"/>
          <w:tblLook w:val="04A0"/>
        </w:tblPrEx>
        <w:trPr>
          <w:trHeight w:val="120"/>
        </w:trPr>
        <w:tc>
          <w:tcPr>
            <w:tcW w:w="1000" w:type="pct"/>
          </w:tcPr>
          <w:p w:rsidR="007F0004" w:rsidRPr="00530625" w:rsidP="007F0004" w14:paraId="299F269D" w14:textId="6B0998EA">
            <w:pPr>
              <w:pStyle w:val="TableTextLeft"/>
              <w:rPr>
                <w:rFonts w:ascii="Arial Narrow" w:hAnsi="Arial Narrow"/>
                <w:b/>
                <w:bCs/>
                <w:szCs w:val="18"/>
              </w:rPr>
            </w:pPr>
            <w:r w:rsidRPr="00530625">
              <w:rPr>
                <w:rFonts w:ascii="Arial Narrow" w:hAnsi="Arial Narrow"/>
                <w:b/>
                <w:bCs/>
                <w:szCs w:val="18"/>
              </w:rPr>
              <w:t>Precision</w:t>
            </w:r>
          </w:p>
        </w:tc>
        <w:tc>
          <w:tcPr>
            <w:tcW w:w="4000" w:type="pct"/>
          </w:tcPr>
          <w:p w:rsidR="007F0004" w:rsidRPr="00530625" w:rsidP="007F0004" w14:paraId="599911E0" w14:textId="2BD7877D">
            <w:pPr>
              <w:pStyle w:val="TableTextLeft"/>
              <w:rPr>
                <w:rFonts w:ascii="Arial Narrow" w:hAnsi="Arial Narrow"/>
                <w:szCs w:val="18"/>
              </w:rPr>
            </w:pPr>
            <w:r w:rsidRPr="00530625">
              <w:rPr>
                <w:rFonts w:ascii="Arial Narrow" w:hAnsi="Arial Narrow"/>
                <w:szCs w:val="18"/>
              </w:rPr>
              <w:t>Not applicable given qualitative nature of the data collection.</w:t>
            </w:r>
          </w:p>
        </w:tc>
      </w:tr>
      <w:tr w14:paraId="2F1A1FD9" w14:textId="77777777" w:rsidTr="003B3C28">
        <w:tblPrEx>
          <w:tblW w:w="5201" w:type="pct"/>
          <w:tblLayout w:type="fixed"/>
          <w:tblLook w:val="04A0"/>
        </w:tblPrEx>
        <w:trPr>
          <w:trHeight w:val="120"/>
        </w:trPr>
        <w:tc>
          <w:tcPr>
            <w:tcW w:w="1000" w:type="pct"/>
          </w:tcPr>
          <w:p w:rsidR="007F0004" w:rsidRPr="00530625" w:rsidP="007F0004" w14:paraId="6B63A70F" w14:textId="20E0A745">
            <w:pPr>
              <w:pStyle w:val="TableTextLeft"/>
              <w:rPr>
                <w:rFonts w:ascii="Arial Narrow" w:hAnsi="Arial Narrow"/>
                <w:b/>
                <w:bCs/>
                <w:szCs w:val="18"/>
              </w:rPr>
            </w:pPr>
            <w:r w:rsidRPr="00530625">
              <w:rPr>
                <w:rFonts w:ascii="Arial Narrow" w:hAnsi="Arial Narrow"/>
                <w:b/>
                <w:bCs/>
                <w:szCs w:val="18"/>
              </w:rPr>
              <w:t>Generalizability</w:t>
            </w:r>
          </w:p>
        </w:tc>
        <w:tc>
          <w:tcPr>
            <w:tcW w:w="4000" w:type="pct"/>
          </w:tcPr>
          <w:p w:rsidR="007F0004" w:rsidRPr="00530625" w:rsidP="007F0004" w14:paraId="690CE781" w14:textId="06759ADC">
            <w:pPr>
              <w:pStyle w:val="TableTextLeft"/>
              <w:rPr>
                <w:rFonts w:ascii="Arial Narrow" w:hAnsi="Arial Narrow"/>
                <w:szCs w:val="18"/>
              </w:rPr>
            </w:pPr>
            <w:r w:rsidRPr="00530625">
              <w:rPr>
                <w:rFonts w:ascii="Arial Narrow" w:hAnsi="Arial Narrow"/>
                <w:szCs w:val="18"/>
              </w:rPr>
              <w:t>Qualitative findings are not intended to be generalizable to the full population.</w:t>
            </w:r>
          </w:p>
        </w:tc>
      </w:tr>
    </w:tbl>
    <w:p w:rsidR="00CF52C5" w:rsidRPr="006048C5" w:rsidP="003B3C28" w14:paraId="55D5A6E7" w14:textId="759604A2">
      <w:pPr>
        <w:pStyle w:val="ExhibitFootnote"/>
      </w:pPr>
      <w:r>
        <w:t>HAB = HIV/AIDS Bureau; RWHAP = Ryan White HIV/AIDS Program.</w:t>
      </w:r>
    </w:p>
    <w:p w:rsidR="00C23938" w:rsidP="006439F3" w14:paraId="066D240C" w14:textId="4390099D">
      <w:pPr>
        <w:pStyle w:val="H2"/>
      </w:pPr>
      <w:r>
        <w:t>B.</w:t>
      </w:r>
      <w:r>
        <w:tab/>
      </w:r>
      <w:r w:rsidRPr="006048C5" w:rsidR="00831BED">
        <w:t xml:space="preserve">Procedures for the </w:t>
      </w:r>
      <w:r>
        <w:t>collection of i</w:t>
      </w:r>
      <w:r w:rsidRPr="006048C5" w:rsidR="00831BED">
        <w:t>nformation</w:t>
      </w:r>
    </w:p>
    <w:p w:rsidR="00B332FB" w:rsidRPr="00690543" w:rsidP="006439F3" w14:paraId="65297567" w14:textId="2FEBEFD4">
      <w:pPr>
        <w:pStyle w:val="H3"/>
      </w:pPr>
      <w:r>
        <w:t>1.</w:t>
      </w:r>
      <w:r>
        <w:tab/>
      </w:r>
      <w:r w:rsidR="00C70E39">
        <w:t>RUDI-P</w:t>
      </w:r>
      <w:r w:rsidR="00E255F8">
        <w:t>/S</w:t>
      </w:r>
      <w:r w:rsidR="00C70E39">
        <w:t xml:space="preserve"> and RUDI-R Surveys </w:t>
      </w:r>
    </w:p>
    <w:p w:rsidR="0081209A" w:rsidP="006439F3" w14:paraId="2E0DEEBE" w14:textId="38BD7010">
      <w:pPr>
        <w:pStyle w:val="ParagraphContinued"/>
        <w:keepNext/>
        <w:keepLines/>
      </w:pPr>
      <w:r>
        <w:t xml:space="preserve">We will program </w:t>
      </w:r>
      <w:r w:rsidR="00E255F8">
        <w:t xml:space="preserve">and deploy </w:t>
      </w:r>
      <w:r>
        <w:t>t</w:t>
      </w:r>
      <w:r w:rsidRPr="00690543" w:rsidR="00193791">
        <w:t xml:space="preserve">he </w:t>
      </w:r>
      <w:r w:rsidR="00C70E39">
        <w:t>RUDI-P</w:t>
      </w:r>
      <w:r w:rsidR="00E255F8">
        <w:t>/S</w:t>
      </w:r>
      <w:r w:rsidR="00C70E39">
        <w:t xml:space="preserve"> and RUDI-R Survey</w:t>
      </w:r>
      <w:r w:rsidR="00B762C1">
        <w:t>s</w:t>
      </w:r>
      <w:r w:rsidR="00C70E39">
        <w:t xml:space="preserve"> </w:t>
      </w:r>
      <w:r w:rsidRPr="00690543" w:rsidR="00861541">
        <w:t xml:space="preserve">in </w:t>
      </w:r>
      <w:r w:rsidR="0070566D">
        <w:t>QuestionPro</w:t>
      </w:r>
      <w:r w:rsidRPr="00690543" w:rsidR="0070566D">
        <w:t xml:space="preserve"> </w:t>
      </w:r>
      <w:r w:rsidRPr="00690543" w:rsidR="00861541">
        <w:t xml:space="preserve">over a </w:t>
      </w:r>
      <w:r w:rsidR="00DE35D3">
        <w:t>six</w:t>
      </w:r>
      <w:r w:rsidRPr="00690543" w:rsidR="00193791">
        <w:t xml:space="preserve">-week field period. </w:t>
      </w:r>
      <w:r w:rsidR="0070566D">
        <w:t xml:space="preserve">QuestionPro </w:t>
      </w:r>
      <w:r w:rsidRPr="0081209A">
        <w:t>software</w:t>
      </w:r>
      <w:r>
        <w:t xml:space="preserve"> </w:t>
      </w:r>
      <w:r w:rsidRPr="0081209A">
        <w:t>allow</w:t>
      </w:r>
      <w:r w:rsidR="00B762C1">
        <w:t>ed</w:t>
      </w:r>
      <w:r>
        <w:t xml:space="preserve"> us to</w:t>
      </w:r>
      <w:r w:rsidRPr="0081209A">
        <w:t xml:space="preserve"> design </w:t>
      </w:r>
      <w:r w:rsidR="00405ADB">
        <w:t xml:space="preserve">a visually appealing survey with integrated skip logic that </w:t>
      </w:r>
      <w:r w:rsidRPr="0081209A">
        <w:t>guide</w:t>
      </w:r>
      <w:r w:rsidR="00B762C1">
        <w:t>s</w:t>
      </w:r>
      <w:r w:rsidRPr="0081209A">
        <w:t xml:space="preserve"> </w:t>
      </w:r>
      <w:r w:rsidR="00D31A07">
        <w:t xml:space="preserve">each </w:t>
      </w:r>
      <w:r w:rsidRPr="0081209A">
        <w:t>respondent through the survey instrument</w:t>
      </w:r>
      <w:r w:rsidR="00405ADB">
        <w:t xml:space="preserve">, yielding accurate, high quality data. </w:t>
      </w:r>
      <w:r>
        <w:t xml:space="preserve">We </w:t>
      </w:r>
      <w:r w:rsidR="00405ADB">
        <w:t xml:space="preserve">have pilot tested both survey instruments to ensure that they function correctly and </w:t>
      </w:r>
      <w:r w:rsidR="006C09D5">
        <w:t xml:space="preserve">accurately capture </w:t>
      </w:r>
      <w:r w:rsidRPr="0081209A">
        <w:t>data.</w:t>
      </w:r>
    </w:p>
    <w:p w:rsidR="00193791" w:rsidRPr="00690543" w:rsidP="007C67BA" w14:paraId="2DCF44D4" w14:textId="349A355F">
      <w:pPr>
        <w:pStyle w:val="Paragraph"/>
      </w:pPr>
      <w:r>
        <w:t xml:space="preserve">Each survey will take </w:t>
      </w:r>
      <w:r w:rsidR="00405ADB">
        <w:t>1</w:t>
      </w:r>
      <w:r>
        <w:t>5-</w:t>
      </w:r>
      <w:r w:rsidR="00405ADB">
        <w:t xml:space="preserve">20 </w:t>
      </w:r>
      <w:r>
        <w:t>minutes to complete</w:t>
      </w:r>
      <w:r w:rsidR="00B762C1">
        <w:t xml:space="preserve"> and</w:t>
      </w:r>
      <w:r w:rsidR="00405ADB">
        <w:t xml:space="preserve"> </w:t>
      </w:r>
      <w:r w:rsidR="00B762C1">
        <w:t xml:space="preserve">no </w:t>
      </w:r>
      <w:r>
        <w:t xml:space="preserve">one individual will be asked to complete more than one survey. Both surveys </w:t>
      </w:r>
      <w:r w:rsidR="009E386C">
        <w:t>are</w:t>
      </w:r>
      <w:r>
        <w:t xml:space="preserve"> comprised </w:t>
      </w:r>
      <w:r w:rsidRPr="00690543">
        <w:t>primarily of closed-ended questions with</w:t>
      </w:r>
      <w:r w:rsidRPr="00690543" w:rsidR="00B332FB">
        <w:t xml:space="preserve"> a</w:t>
      </w:r>
      <w:r w:rsidR="00A77E40">
        <w:t>n</w:t>
      </w:r>
      <w:r w:rsidRPr="00690543" w:rsidR="00BE66F7">
        <w:t xml:space="preserve"> </w:t>
      </w:r>
      <w:r w:rsidR="009E386C">
        <w:t xml:space="preserve">a few </w:t>
      </w:r>
      <w:r w:rsidRPr="00690543" w:rsidR="00BE66F7">
        <w:t>open-ended question</w:t>
      </w:r>
      <w:r w:rsidR="009E386C">
        <w:t>s</w:t>
      </w:r>
      <w:r w:rsidR="00A77E40">
        <w:t xml:space="preserve"> at the end</w:t>
      </w:r>
      <w:r w:rsidR="00BB2D3A">
        <w:t xml:space="preserve"> to capture their direct suggestions </w:t>
      </w:r>
      <w:r w:rsidR="009E386C">
        <w:t xml:space="preserve">for resources and </w:t>
      </w:r>
      <w:r w:rsidR="00BB2D3A">
        <w:t xml:space="preserve">for relevant </w:t>
      </w:r>
      <w:r w:rsidR="00BB2D3A">
        <w:t>improvements HAB could make</w:t>
      </w:r>
      <w:r w:rsidRPr="00690543" w:rsidR="00B332FB">
        <w:t xml:space="preserve"> (see </w:t>
      </w:r>
      <w:r w:rsidR="009E386C">
        <w:t xml:space="preserve">surveys in </w:t>
      </w:r>
      <w:r w:rsidRPr="00690543" w:rsidR="00B332FB">
        <w:t>Appendi</w:t>
      </w:r>
      <w:r w:rsidR="00351F03">
        <w:t>ces</w:t>
      </w:r>
      <w:r w:rsidRPr="00690543" w:rsidR="00B332FB">
        <w:t xml:space="preserve"> A</w:t>
      </w:r>
      <w:r>
        <w:t xml:space="preserve"> </w:t>
      </w:r>
      <w:r w:rsidR="00FD74CC">
        <w:t>and</w:t>
      </w:r>
      <w:r>
        <w:t xml:space="preserve"> B</w:t>
      </w:r>
      <w:r w:rsidRPr="00690543" w:rsidR="00B332FB">
        <w:t>)</w:t>
      </w:r>
      <w:r w:rsidRPr="00690543" w:rsidR="00BE66F7">
        <w:t xml:space="preserve">. </w:t>
      </w:r>
      <w:r w:rsidRPr="00690543">
        <w:t xml:space="preserve">We will use a </w:t>
      </w:r>
      <w:r>
        <w:t>24</w:t>
      </w:r>
      <w:r w:rsidR="00B36E62">
        <w:t xml:space="preserve">-month </w:t>
      </w:r>
      <w:r w:rsidRPr="00690543">
        <w:t xml:space="preserve">lookback period for </w:t>
      </w:r>
      <w:r w:rsidRPr="00690543" w:rsidR="00B332FB">
        <w:t xml:space="preserve">HAB and non-HAB </w:t>
      </w:r>
      <w:r w:rsidRPr="00690543">
        <w:t xml:space="preserve">resource </w:t>
      </w:r>
      <w:r w:rsidR="00B36E62">
        <w:t xml:space="preserve">access and </w:t>
      </w:r>
      <w:r w:rsidRPr="00690543">
        <w:t xml:space="preserve">use. </w:t>
      </w:r>
      <w:r w:rsidRPr="00690543" w:rsidR="00B332FB">
        <w:t xml:space="preserve">This will allow </w:t>
      </w:r>
      <w:r w:rsidRPr="00690543">
        <w:t>us to focus on current practice pattern</w:t>
      </w:r>
      <w:r w:rsidRPr="00690543" w:rsidR="00B332FB">
        <w:t>s</w:t>
      </w:r>
      <w:r w:rsidRPr="00690543">
        <w:t xml:space="preserve">. </w:t>
      </w:r>
      <w:r w:rsidR="00C94F06">
        <w:t xml:space="preserve">Because of </w:t>
      </w:r>
      <w:r w:rsidRPr="00690543">
        <w:t xml:space="preserve">changes in familiarity with and access to technology, </w:t>
      </w:r>
      <w:r w:rsidR="006C09D5">
        <w:t>and because of</w:t>
      </w:r>
      <w:r w:rsidRPr="00690543">
        <w:t xml:space="preserve"> constantly evolving intervention strategies, we believe provider</w:t>
      </w:r>
      <w:r w:rsidR="006C09D5">
        <w:t>s’</w:t>
      </w:r>
      <w:r w:rsidRPr="00690543">
        <w:t xml:space="preserve"> </w:t>
      </w:r>
      <w:r w:rsidR="00A36622">
        <w:t xml:space="preserve">and recipients’ access to and </w:t>
      </w:r>
      <w:r w:rsidRPr="00690543">
        <w:t xml:space="preserve">use of dissemination resources more than </w:t>
      </w:r>
      <w:r w:rsidR="00A36622">
        <w:t>24</w:t>
      </w:r>
      <w:r w:rsidRPr="00690543" w:rsidR="00A36622">
        <w:t xml:space="preserve"> </w:t>
      </w:r>
      <w:r w:rsidRPr="00690543">
        <w:t xml:space="preserve">months ago would not be helpful for understanding current (or future) </w:t>
      </w:r>
      <w:r w:rsidR="00C94F06">
        <w:t xml:space="preserve">access and </w:t>
      </w:r>
      <w:r w:rsidRPr="00690543">
        <w:t>use patterns.</w:t>
      </w:r>
    </w:p>
    <w:p w:rsidR="002A54A0" w:rsidRPr="00690543" w:rsidP="007C67BA" w14:paraId="336A8CFB" w14:textId="0E7667F6">
      <w:pPr>
        <w:pStyle w:val="Paragraph"/>
        <w:rPr>
          <w:rFonts w:eastAsia="Times New Roman"/>
        </w:rPr>
      </w:pPr>
      <w:r w:rsidRPr="007C67BA">
        <w:rPr>
          <w:rFonts w:eastAsia="Times New Roman"/>
          <w:b/>
          <w:bCs/>
        </w:rPr>
        <w:t xml:space="preserve">Endorsement email. </w:t>
      </w:r>
      <w:r w:rsidRPr="00C37C2D" w:rsidR="00AC4CCD">
        <w:rPr>
          <w:rFonts w:eastAsia="Times New Roman"/>
        </w:rPr>
        <w:t>Ten to 14 days before invitation emails are sent for the survey, all</w:t>
      </w:r>
      <w:r w:rsidRPr="00C37C2D" w:rsidR="001F537A">
        <w:rPr>
          <w:rFonts w:eastAsia="Times New Roman"/>
        </w:rPr>
        <w:t xml:space="preserve"> recipient and providers in the survey census will receive an endorsement email from HAB leadership. </w:t>
      </w:r>
      <w:r w:rsidR="00A36622">
        <w:rPr>
          <w:rFonts w:eastAsia="Times New Roman"/>
        </w:rPr>
        <w:t xml:space="preserve">The email will </w:t>
      </w:r>
      <w:r w:rsidR="00C94F06">
        <w:rPr>
          <w:rFonts w:eastAsia="Times New Roman"/>
        </w:rPr>
        <w:t xml:space="preserve">inform </w:t>
      </w:r>
      <w:r w:rsidRPr="00690543" w:rsidR="0030353F">
        <w:rPr>
          <w:rFonts w:eastAsia="Times New Roman"/>
        </w:rPr>
        <w:t xml:space="preserve">them </w:t>
      </w:r>
      <w:r w:rsidR="00C94F06">
        <w:rPr>
          <w:rFonts w:eastAsia="Times New Roman"/>
        </w:rPr>
        <w:t xml:space="preserve">about </w:t>
      </w:r>
      <w:r w:rsidRPr="00690543" w:rsidR="0030353F">
        <w:rPr>
          <w:rFonts w:eastAsia="Times New Roman"/>
        </w:rPr>
        <w:t>the survey and encourag</w:t>
      </w:r>
      <w:r w:rsidR="00A36622">
        <w:rPr>
          <w:rFonts w:eastAsia="Times New Roman"/>
        </w:rPr>
        <w:t xml:space="preserve">e </w:t>
      </w:r>
      <w:r w:rsidR="00C94F06">
        <w:rPr>
          <w:rFonts w:eastAsia="Times New Roman"/>
        </w:rPr>
        <w:t xml:space="preserve">their </w:t>
      </w:r>
      <w:r w:rsidRPr="00690543" w:rsidR="0030353F">
        <w:rPr>
          <w:rFonts w:eastAsia="Times New Roman"/>
        </w:rPr>
        <w:t>participation</w:t>
      </w:r>
      <w:r w:rsidR="00F14AE3">
        <w:rPr>
          <w:rFonts w:eastAsia="Times New Roman"/>
        </w:rPr>
        <w:t>, legitimizing the data collection effort</w:t>
      </w:r>
      <w:r w:rsidRPr="00690543" w:rsidR="0030353F">
        <w:rPr>
          <w:rFonts w:eastAsia="Times New Roman"/>
        </w:rPr>
        <w:t xml:space="preserve">. </w:t>
      </w:r>
      <w:r w:rsidR="00C94F06">
        <w:rPr>
          <w:rFonts w:eastAsia="Times New Roman"/>
        </w:rPr>
        <w:t>T</w:t>
      </w:r>
      <w:r w:rsidRPr="00690543" w:rsidR="00CE0437">
        <w:rPr>
          <w:rFonts w:eastAsia="Times New Roman"/>
        </w:rPr>
        <w:t xml:space="preserve">he endorsement email </w:t>
      </w:r>
      <w:r w:rsidR="00C94F06">
        <w:rPr>
          <w:rFonts w:eastAsia="Times New Roman"/>
        </w:rPr>
        <w:t>offers two benefits</w:t>
      </w:r>
      <w:r w:rsidRPr="00690543">
        <w:rPr>
          <w:rFonts w:eastAsia="Times New Roman"/>
        </w:rPr>
        <w:t xml:space="preserve">. First, the email alerts </w:t>
      </w:r>
      <w:r w:rsidR="00A36622">
        <w:rPr>
          <w:rFonts w:eastAsia="Times New Roman"/>
        </w:rPr>
        <w:t>recipients</w:t>
      </w:r>
      <w:r w:rsidR="00F14AE3">
        <w:rPr>
          <w:rFonts w:eastAsia="Times New Roman"/>
        </w:rPr>
        <w:t xml:space="preserve"> and </w:t>
      </w:r>
      <w:r w:rsidRPr="00690543">
        <w:rPr>
          <w:rFonts w:eastAsia="Times New Roman"/>
        </w:rPr>
        <w:t>providers</w:t>
      </w:r>
      <w:r w:rsidR="00F14AE3">
        <w:rPr>
          <w:rFonts w:eastAsia="Times New Roman"/>
        </w:rPr>
        <w:t>/s</w:t>
      </w:r>
      <w:r w:rsidR="009E386C">
        <w:rPr>
          <w:rFonts w:eastAsia="Times New Roman"/>
        </w:rPr>
        <w:t>ubrecipients</w:t>
      </w:r>
      <w:r w:rsidRPr="00690543">
        <w:rPr>
          <w:rFonts w:eastAsia="Times New Roman"/>
        </w:rPr>
        <w:t xml:space="preserve"> to the upcoming data collection effort. Second, the email provides an opportunity for </w:t>
      </w:r>
      <w:r w:rsidR="00F14AE3">
        <w:rPr>
          <w:rFonts w:eastAsia="Times New Roman"/>
        </w:rPr>
        <w:t xml:space="preserve">those receiving the email to identify </w:t>
      </w:r>
      <w:r w:rsidRPr="00690543">
        <w:rPr>
          <w:rFonts w:eastAsia="Times New Roman"/>
        </w:rPr>
        <w:t>a more appropriate contact</w:t>
      </w:r>
      <w:r w:rsidR="00F14AE3">
        <w:rPr>
          <w:rFonts w:eastAsia="Times New Roman"/>
        </w:rPr>
        <w:t>, if applicable</w:t>
      </w:r>
      <w:r w:rsidRPr="00690543">
        <w:rPr>
          <w:rFonts w:eastAsia="Times New Roman"/>
        </w:rPr>
        <w:t xml:space="preserve"> </w:t>
      </w:r>
      <w:r w:rsidR="00C94F06">
        <w:rPr>
          <w:rFonts w:eastAsia="Times New Roman"/>
        </w:rPr>
        <w:t>(</w:t>
      </w:r>
      <w:r w:rsidRPr="00690543">
        <w:rPr>
          <w:rFonts w:eastAsia="Times New Roman"/>
        </w:rPr>
        <w:t>or we m</w:t>
      </w:r>
      <w:r w:rsidR="006C09D5">
        <w:rPr>
          <w:rFonts w:eastAsia="Times New Roman"/>
        </w:rPr>
        <w:t>ight</w:t>
      </w:r>
      <w:r w:rsidRPr="00690543">
        <w:rPr>
          <w:rFonts w:eastAsia="Times New Roman"/>
        </w:rPr>
        <w:t xml:space="preserve"> receive an undeliverable notice</w:t>
      </w:r>
      <w:r w:rsidR="00C94F06">
        <w:rPr>
          <w:rFonts w:eastAsia="Times New Roman"/>
        </w:rPr>
        <w:t>),</w:t>
      </w:r>
      <w:r w:rsidRPr="00690543">
        <w:rPr>
          <w:rFonts w:eastAsia="Times New Roman"/>
        </w:rPr>
        <w:t xml:space="preserve"> allowing us to correct the </w:t>
      </w:r>
      <w:r w:rsidR="00C94F06">
        <w:rPr>
          <w:rFonts w:eastAsia="Times New Roman"/>
        </w:rPr>
        <w:t xml:space="preserve">contact information before </w:t>
      </w:r>
      <w:r w:rsidRPr="00690543">
        <w:rPr>
          <w:rFonts w:eastAsia="Times New Roman"/>
        </w:rPr>
        <w:t xml:space="preserve">sending the first </w:t>
      </w:r>
      <w:r w:rsidR="00F14AE3">
        <w:rPr>
          <w:rFonts w:eastAsia="Times New Roman"/>
        </w:rPr>
        <w:t>invitation email</w:t>
      </w:r>
      <w:r w:rsidRPr="00690543">
        <w:rPr>
          <w:rFonts w:eastAsia="Times New Roman"/>
        </w:rPr>
        <w:t xml:space="preserve">. If any </w:t>
      </w:r>
      <w:r w:rsidR="00A36622">
        <w:rPr>
          <w:rFonts w:eastAsia="Times New Roman"/>
        </w:rPr>
        <w:t>recipients</w:t>
      </w:r>
      <w:r w:rsidR="00F14AE3">
        <w:rPr>
          <w:rFonts w:eastAsia="Times New Roman"/>
        </w:rPr>
        <w:t xml:space="preserve"> or </w:t>
      </w:r>
      <w:r w:rsidR="00A36622">
        <w:rPr>
          <w:rFonts w:eastAsia="Times New Roman"/>
        </w:rPr>
        <w:t>providers</w:t>
      </w:r>
      <w:r w:rsidR="00F14AE3">
        <w:rPr>
          <w:rFonts w:eastAsia="Times New Roman"/>
        </w:rPr>
        <w:t>/subrecipients</w:t>
      </w:r>
      <w:r w:rsidR="00A36622">
        <w:rPr>
          <w:rFonts w:eastAsia="Times New Roman"/>
        </w:rPr>
        <w:t xml:space="preserve"> </w:t>
      </w:r>
      <w:r w:rsidRPr="00690543">
        <w:rPr>
          <w:rFonts w:eastAsia="Times New Roman"/>
        </w:rPr>
        <w:t>decline participation at this phase, we will re</w:t>
      </w:r>
      <w:r w:rsidR="00A36622">
        <w:rPr>
          <w:rFonts w:eastAsia="Times New Roman"/>
        </w:rPr>
        <w:t xml:space="preserve">move them from the survey contact list. </w:t>
      </w:r>
    </w:p>
    <w:p w:rsidR="00B402BA" w:rsidRPr="00690543" w:rsidP="007C67BA" w14:paraId="7C151BD8" w14:textId="769E92FB">
      <w:pPr>
        <w:pStyle w:val="Paragraph"/>
      </w:pPr>
      <w:r w:rsidRPr="008F2093">
        <w:rPr>
          <w:b/>
          <w:bCs/>
        </w:rPr>
        <w:t>Invitation email</w:t>
      </w:r>
      <w:r w:rsidRPr="008F2093" w:rsidR="00861541">
        <w:rPr>
          <w:b/>
          <w:bCs/>
        </w:rPr>
        <w:t xml:space="preserve">. </w:t>
      </w:r>
      <w:r w:rsidRPr="00690543" w:rsidR="00861541">
        <w:t xml:space="preserve">We will </w:t>
      </w:r>
      <w:r w:rsidR="0005608A">
        <w:t xml:space="preserve">then </w:t>
      </w:r>
      <w:r w:rsidRPr="00690543" w:rsidR="00861541">
        <w:t xml:space="preserve">send an invitation email to each </w:t>
      </w:r>
      <w:r w:rsidR="0005608A">
        <w:t xml:space="preserve">sampled </w:t>
      </w:r>
      <w:r w:rsidRPr="00690543" w:rsidR="00861541">
        <w:t xml:space="preserve">RWHAP </w:t>
      </w:r>
      <w:r w:rsidR="00A36622">
        <w:t xml:space="preserve">recipient and </w:t>
      </w:r>
      <w:r w:rsidRPr="00690543" w:rsidR="00861541">
        <w:t>provider</w:t>
      </w:r>
      <w:r w:rsidR="00F14AE3">
        <w:t>/subrecipient</w:t>
      </w:r>
      <w:r w:rsidRPr="00690543" w:rsidR="00861541">
        <w:t xml:space="preserve">, using the person listed in the </w:t>
      </w:r>
      <w:r w:rsidR="00A36622">
        <w:t xml:space="preserve">administrative files and </w:t>
      </w:r>
      <w:r w:rsidRPr="00690543" w:rsidR="00861541">
        <w:t>RSR</w:t>
      </w:r>
      <w:r w:rsidR="007F57BA">
        <w:t>/DSR</w:t>
      </w:r>
      <w:r w:rsidR="00A36622">
        <w:t>, respectively,</w:t>
      </w:r>
      <w:r w:rsidRPr="00690543" w:rsidR="00861541">
        <w:t xml:space="preserve"> as the point of contact.</w:t>
      </w:r>
      <w:r w:rsidRPr="00690543" w:rsidR="003F3C1D">
        <w:t xml:space="preserve"> The email will include information about the RUDI </w:t>
      </w:r>
      <w:r w:rsidR="0005608A">
        <w:t>e</w:t>
      </w:r>
      <w:r w:rsidRPr="00690543" w:rsidR="003F3C1D">
        <w:t xml:space="preserve">valuation and highlight the purpose of the survey. </w:t>
      </w:r>
      <w:r w:rsidR="0034772C">
        <w:t>We will emphasize t</w:t>
      </w:r>
      <w:r w:rsidRPr="00690543" w:rsidR="003F3C1D">
        <w:t>he importance of participating</w:t>
      </w:r>
      <w:r w:rsidR="0034772C">
        <w:t xml:space="preserve"> in the survey</w:t>
      </w:r>
      <w:r w:rsidR="006C09D5">
        <w:t xml:space="preserve"> and</w:t>
      </w:r>
      <w:r w:rsidRPr="00690543">
        <w:t xml:space="preserve"> </w:t>
      </w:r>
      <w:r w:rsidR="006C09D5">
        <w:t xml:space="preserve">make </w:t>
      </w:r>
      <w:r w:rsidRPr="00690543">
        <w:t>sur</w:t>
      </w:r>
      <w:r w:rsidR="006C09D5">
        <w:t>e</w:t>
      </w:r>
      <w:r w:rsidRPr="00690543">
        <w:t xml:space="preserve"> providers </w:t>
      </w:r>
      <w:r w:rsidR="006C09D5">
        <w:t>know</w:t>
      </w:r>
      <w:r w:rsidRPr="00690543">
        <w:t xml:space="preserve"> that participation is voluntary. </w:t>
      </w:r>
      <w:r w:rsidR="001D6FDD">
        <w:t>Because</w:t>
      </w:r>
      <w:r w:rsidRPr="00690543" w:rsidR="001D6FDD">
        <w:t xml:space="preserve"> survey </w:t>
      </w:r>
      <w:r w:rsidR="001D6FDD">
        <w:t xml:space="preserve">responses will be </w:t>
      </w:r>
      <w:r w:rsidRPr="00690543" w:rsidR="001D6FDD">
        <w:t>at the organization level</w:t>
      </w:r>
      <w:r w:rsidR="001D6FDD">
        <w:t xml:space="preserve"> (that is, the provider’s site)</w:t>
      </w:r>
      <w:r w:rsidRPr="00690543" w:rsidR="001D6FDD">
        <w:t xml:space="preserve">, </w:t>
      </w:r>
      <w:r w:rsidR="001D6FDD">
        <w:t xml:space="preserve">we include guidance in the email about who is most appropriate to complete the survey – that is, the </w:t>
      </w:r>
      <w:r w:rsidRPr="001D6FDD" w:rsidR="001D6FDD">
        <w:t xml:space="preserve">person most knowledgeable about the resources disseminated by HAB related to interventions or initiatives that </w:t>
      </w:r>
      <w:r w:rsidR="001D6FDD">
        <w:t xml:space="preserve">their </w:t>
      </w:r>
      <w:r w:rsidRPr="001D6FDD" w:rsidR="001D6FDD">
        <w:t xml:space="preserve">organization has used during the past two years. </w:t>
      </w:r>
      <w:r w:rsidRPr="00690543">
        <w:t xml:space="preserve">The invitation email will include a link to the web survey and reference a preferred </w:t>
      </w:r>
      <w:r w:rsidR="0034772C">
        <w:t xml:space="preserve">survey </w:t>
      </w:r>
      <w:r w:rsidRPr="00690543">
        <w:t>complet</w:t>
      </w:r>
      <w:r w:rsidR="0034772C">
        <w:t xml:space="preserve">ion </w:t>
      </w:r>
      <w:r w:rsidRPr="00690543">
        <w:t>date.</w:t>
      </w:r>
      <w:r w:rsidR="00A36622">
        <w:t xml:space="preserve"> Also, we will include links to </w:t>
      </w:r>
      <w:r w:rsidR="00F14AE3">
        <w:t xml:space="preserve">the </w:t>
      </w:r>
      <w:r w:rsidR="00A36622">
        <w:t xml:space="preserve">endorsement </w:t>
      </w:r>
      <w:r w:rsidR="00F14AE3">
        <w:t xml:space="preserve">email </w:t>
      </w:r>
      <w:r w:rsidR="001D6FDD">
        <w:t>f</w:t>
      </w:r>
      <w:r w:rsidR="00A36622">
        <w:t>rom HAB leadership as well as a brief video explaining how the survey results contribute to the overall RUDI evaluation.</w:t>
      </w:r>
    </w:p>
    <w:p w:rsidR="00CC140C" w:rsidRPr="00690543" w:rsidP="007C67BA" w14:paraId="42E0DAD7" w14:textId="1336CB82">
      <w:pPr>
        <w:pStyle w:val="Paragraph"/>
      </w:pPr>
      <w:r w:rsidRPr="008F2093">
        <w:rPr>
          <w:b/>
          <w:bCs/>
        </w:rPr>
        <w:t xml:space="preserve">Reminder emails. </w:t>
      </w:r>
      <w:r w:rsidRPr="00690543">
        <w:t xml:space="preserve">Throughout the </w:t>
      </w:r>
      <w:r w:rsidR="001B1E15">
        <w:t>six</w:t>
      </w:r>
      <w:r w:rsidRPr="00690543">
        <w:t xml:space="preserve">-week data collection period, we will send up to </w:t>
      </w:r>
      <w:r w:rsidR="001B1E15">
        <w:t>five</w:t>
      </w:r>
      <w:r w:rsidRPr="00690543">
        <w:t xml:space="preserve"> reminder emails</w:t>
      </w:r>
      <w:r w:rsidR="00515BC6">
        <w:t xml:space="preserve"> to both recipients and providers</w:t>
      </w:r>
      <w:r w:rsidRPr="00690543">
        <w:t>, each with progressively more urgent language regarding participation and completion.</w:t>
      </w:r>
      <w:r w:rsidRPr="00690543">
        <w:t xml:space="preserve"> </w:t>
      </w:r>
      <w:r w:rsidR="000556EA">
        <w:t>We may tailor the r</w:t>
      </w:r>
      <w:r w:rsidRPr="00690543">
        <w:t xml:space="preserve">eminder emails so that </w:t>
      </w:r>
      <w:r w:rsidR="000556EA">
        <w:t xml:space="preserve">the </w:t>
      </w:r>
      <w:r w:rsidRPr="00690543">
        <w:t xml:space="preserve">wording differs depending on whether the </w:t>
      </w:r>
      <w:r w:rsidR="00515BC6">
        <w:t xml:space="preserve">recipient or </w:t>
      </w:r>
      <w:r w:rsidRPr="00690543">
        <w:t>provider started the survey without completion.</w:t>
      </w:r>
      <w:r w:rsidRPr="00690543" w:rsidR="00BC54FE">
        <w:t xml:space="preserve"> Also, we may tailor emails for specific subgroups of provider</w:t>
      </w:r>
      <w:r w:rsidR="004B32B2">
        <w:t>s</w:t>
      </w:r>
      <w:r w:rsidRPr="00690543" w:rsidR="00BC54FE">
        <w:t xml:space="preserve"> lagging in response</w:t>
      </w:r>
      <w:r w:rsidR="000556EA">
        <w:t xml:space="preserve"> (</w:t>
      </w:r>
      <w:r w:rsidRPr="00690543" w:rsidR="00BC54FE">
        <w:t xml:space="preserve">for example, providers in rural areas or </w:t>
      </w:r>
      <w:r w:rsidR="00515BC6">
        <w:t>recipients with a low number of subrecipients</w:t>
      </w:r>
      <w:r w:rsidR="009B6E45">
        <w:t>)</w:t>
      </w:r>
      <w:r w:rsidRPr="00690543" w:rsidR="002D20B0">
        <w:t xml:space="preserve">. </w:t>
      </w:r>
      <w:r w:rsidR="000556EA">
        <w:t>O</w:t>
      </w:r>
      <w:r w:rsidRPr="00690543" w:rsidR="000556EA">
        <w:t xml:space="preserve">ur daily review of survey responses </w:t>
      </w:r>
      <w:r w:rsidR="000556EA">
        <w:t>will inform t</w:t>
      </w:r>
      <w:r w:rsidRPr="00690543" w:rsidR="00A659A0">
        <w:t>he timing of the reminder emails.</w:t>
      </w:r>
    </w:p>
    <w:p w:rsidR="00647306" w:rsidRPr="00690543" w:rsidP="007C67BA" w14:paraId="1995CF6F" w14:textId="382A0468">
      <w:pPr>
        <w:pStyle w:val="Paragraph"/>
      </w:pPr>
      <w:r w:rsidRPr="008F2093">
        <w:rPr>
          <w:b/>
          <w:bCs/>
        </w:rPr>
        <w:t xml:space="preserve">Last chance email. </w:t>
      </w:r>
      <w:r w:rsidRPr="00690543">
        <w:t>In</w:t>
      </w:r>
      <w:r w:rsidRPr="00690543" w:rsidR="00A659A0">
        <w:t xml:space="preserve"> week </w:t>
      </w:r>
      <w:r w:rsidR="001B1E15">
        <w:t>five</w:t>
      </w:r>
      <w:r w:rsidRPr="00690543" w:rsidR="00A659A0">
        <w:t xml:space="preserve"> or </w:t>
      </w:r>
      <w:r w:rsidR="001B1E15">
        <w:t>six</w:t>
      </w:r>
      <w:r w:rsidRPr="00690543" w:rsidR="00A659A0">
        <w:t xml:space="preserve"> of the data collection period</w:t>
      </w:r>
      <w:r w:rsidRPr="00690543" w:rsidR="002D20B0">
        <w:t>, we will send a last</w:t>
      </w:r>
      <w:r w:rsidR="000556EA">
        <w:t>-</w:t>
      </w:r>
      <w:r w:rsidRPr="00690543" w:rsidR="002D20B0">
        <w:t xml:space="preserve">chance email. This email will serve as a reminder and will include an attached pdf version of the survey instrument. </w:t>
      </w:r>
      <w:r w:rsidR="000556EA">
        <w:t xml:space="preserve">We will give </w:t>
      </w:r>
      <w:r w:rsidR="00515BC6">
        <w:t xml:space="preserve">recipients and </w:t>
      </w:r>
      <w:r w:rsidR="000556EA">
        <w:t>providers</w:t>
      </w:r>
      <w:r w:rsidRPr="00690543" w:rsidR="000556EA">
        <w:t xml:space="preserve"> </w:t>
      </w:r>
      <w:r w:rsidRPr="00690543" w:rsidR="002D20B0">
        <w:t xml:space="preserve">the option of completing the survey </w:t>
      </w:r>
      <w:r w:rsidR="001B1E15">
        <w:t>on paper</w:t>
      </w:r>
      <w:r w:rsidRPr="00690543" w:rsidR="002D20B0">
        <w:t xml:space="preserve"> and faxing or scanning it back to the data collection contractor.</w:t>
      </w:r>
      <w:r w:rsidRPr="00690543" w:rsidR="00690543">
        <w:t xml:space="preserve"> This often results in a small increase in the response rate, particularly with organization</w:t>
      </w:r>
      <w:r w:rsidR="000556EA">
        <w:t>-</w:t>
      </w:r>
      <w:r w:rsidRPr="00690543" w:rsidR="00690543">
        <w:t>level survey</w:t>
      </w:r>
      <w:r w:rsidR="000556EA">
        <w:t>s</w:t>
      </w:r>
      <w:r w:rsidRPr="00690543" w:rsidR="00690543">
        <w:t xml:space="preserve"> </w:t>
      </w:r>
      <w:r w:rsidR="00515BC6">
        <w:t xml:space="preserve">to </w:t>
      </w:r>
      <w:r w:rsidR="001B1E15">
        <w:t>which</w:t>
      </w:r>
      <w:r w:rsidRPr="00690543" w:rsidR="00690543">
        <w:t xml:space="preserve"> multiple </w:t>
      </w:r>
      <w:r w:rsidR="001B1E15">
        <w:t>people</w:t>
      </w:r>
      <w:r w:rsidRPr="00690543" w:rsidR="001B1E15">
        <w:t xml:space="preserve"> </w:t>
      </w:r>
      <w:r w:rsidRPr="00690543" w:rsidR="00690543">
        <w:t>contribute information.</w:t>
      </w:r>
    </w:p>
    <w:p w:rsidR="0012398D" w:rsidRPr="0012398D" w:rsidP="007C67BA" w14:paraId="62F0BBDE" w14:textId="7E616EC8">
      <w:pPr>
        <w:pStyle w:val="Paragraph"/>
      </w:pPr>
      <w:r w:rsidRPr="008F2093">
        <w:rPr>
          <w:b/>
          <w:bCs/>
        </w:rPr>
        <w:t xml:space="preserve">Incentive. </w:t>
      </w:r>
      <w:r w:rsidR="000556EA">
        <w:t xml:space="preserve">We will send </w:t>
      </w:r>
      <w:r w:rsidR="00515BC6">
        <w:t xml:space="preserve">the first </w:t>
      </w:r>
      <w:r w:rsidR="00B70BC5">
        <w:t>560</w:t>
      </w:r>
      <w:r w:rsidR="00515BC6">
        <w:t xml:space="preserve"> RUDI-P respondents and first </w:t>
      </w:r>
      <w:r w:rsidR="00A112AA">
        <w:t>28</w:t>
      </w:r>
      <w:r w:rsidR="00515BC6">
        <w:t xml:space="preserve"> RUDI-R respondents a </w:t>
      </w:r>
      <w:r w:rsidRPr="0012398D" w:rsidR="00193791">
        <w:t xml:space="preserve">$50 </w:t>
      </w:r>
      <w:r w:rsidR="001B1E15">
        <w:t xml:space="preserve">Amazon </w:t>
      </w:r>
      <w:r w:rsidRPr="0012398D" w:rsidR="00193791">
        <w:t xml:space="preserve">gift card </w:t>
      </w:r>
      <w:r w:rsidRPr="0012398D">
        <w:t>as a thank you for participation.</w:t>
      </w:r>
      <w:r w:rsidRPr="0012398D" w:rsidR="00590698">
        <w:t xml:space="preserve"> </w:t>
      </w:r>
      <w:r w:rsidR="00293539">
        <w:t xml:space="preserve">The remaining responders will receive $25. </w:t>
      </w:r>
      <w:r w:rsidR="005C3009">
        <w:t xml:space="preserve">The </w:t>
      </w:r>
      <w:r w:rsidR="00B5352E">
        <w:t xml:space="preserve">recipient or </w:t>
      </w:r>
      <w:r w:rsidR="005C3009">
        <w:t xml:space="preserve">provider </w:t>
      </w:r>
      <w:r w:rsidR="00B5352E">
        <w:t xml:space="preserve">responding to the survey </w:t>
      </w:r>
      <w:r w:rsidR="005C3009">
        <w:t xml:space="preserve">will determine how best to allocate the incentive among staff </w:t>
      </w:r>
      <w:r w:rsidR="004B32B2">
        <w:t xml:space="preserve">who </w:t>
      </w:r>
      <w:r w:rsidR="005C3009">
        <w:t>provid</w:t>
      </w:r>
      <w:r w:rsidR="004B32B2">
        <w:t>ed</w:t>
      </w:r>
      <w:r w:rsidR="005C3009">
        <w:t xml:space="preserve"> input for the survey. </w:t>
      </w:r>
      <w:r w:rsidR="00293539">
        <w:t xml:space="preserve">Research is limited on the impact of incentives on survey response rates among RWHAP providers.  However, in recent studies of school principals and </w:t>
      </w:r>
      <w:r w:rsidR="00293539">
        <w:t>physicians, $50 incentives outperformed incentives of lower amounts.</w:t>
      </w:r>
      <w:r>
        <w:rPr>
          <w:rStyle w:val="FootnoteReference"/>
        </w:rPr>
        <w:footnoteReference w:id="2"/>
      </w:r>
      <w:r w:rsidRPr="00126FF1" w:rsidR="00293539">
        <w:rPr>
          <w:vertAlign w:val="superscript"/>
        </w:rPr>
        <w:t>,</w:t>
      </w:r>
      <w:r>
        <w:rPr>
          <w:rStyle w:val="FootnoteReference"/>
        </w:rPr>
        <w:footnoteReference w:id="3"/>
      </w:r>
      <w:r w:rsidRPr="00FF3F40" w:rsidR="00293539">
        <w:t xml:space="preserve"> </w:t>
      </w:r>
      <w:r w:rsidR="00293539">
        <w:t>Further, in an experiment embedded into the US Panel Study of Income Dynamics, the group that was offered $150 for early response had higher response rates than the group that was offered $75, regardless of completion time.</w:t>
      </w:r>
      <w:r>
        <w:rPr>
          <w:rStyle w:val="FootnoteReference"/>
        </w:rPr>
        <w:footnoteReference w:id="4"/>
      </w:r>
      <w:r w:rsidR="00293539">
        <w:t xml:space="preserve"> </w:t>
      </w:r>
      <w:r w:rsidRPr="0012398D" w:rsidR="00590698">
        <w:t>The survey will</w:t>
      </w:r>
      <w:r w:rsidR="000556EA">
        <w:t xml:space="preserve"> also</w:t>
      </w:r>
      <w:r w:rsidRPr="0012398D" w:rsidR="00590698">
        <w:t xml:space="preserve"> include an option </w:t>
      </w:r>
      <w:r w:rsidRPr="0012398D">
        <w:t>to decline the incentive payment.</w:t>
      </w:r>
    </w:p>
    <w:p w:rsidR="00F84814" w:rsidP="007C67BA" w14:paraId="4F20D235" w14:textId="71D70C29">
      <w:pPr>
        <w:pStyle w:val="Paragraph"/>
      </w:pPr>
      <w:r w:rsidRPr="008F2093">
        <w:rPr>
          <w:b/>
          <w:bCs/>
        </w:rPr>
        <w:t xml:space="preserve">Data management. </w:t>
      </w:r>
      <w:r w:rsidR="00C56AFA">
        <w:t xml:space="preserve">We will transmit </w:t>
      </w:r>
      <w:r w:rsidR="001B1E15">
        <w:t>w</w:t>
      </w:r>
      <w:r w:rsidRPr="0040072A">
        <w:t xml:space="preserve">eb survey data in real time to </w:t>
      </w:r>
      <w:r w:rsidR="00C56AFA">
        <w:t xml:space="preserve">the </w:t>
      </w:r>
      <w:r w:rsidRPr="0040072A">
        <w:t xml:space="preserve">contractor’s </w:t>
      </w:r>
      <w:r w:rsidRPr="0040072A">
        <w:t>secure</w:t>
      </w:r>
      <w:r w:rsidRPr="0040072A">
        <w:t xml:space="preserve"> data </w:t>
      </w:r>
      <w:r w:rsidRPr="0040072A">
        <w:t>server</w:t>
      </w:r>
      <w:r w:rsidRPr="0040072A">
        <w:t xml:space="preserve">. </w:t>
      </w:r>
      <w:r w:rsidR="00C56AFA">
        <w:t>We will generate d</w:t>
      </w:r>
      <w:r w:rsidRPr="0040072A">
        <w:t xml:space="preserve">aily reports so that we can assess </w:t>
      </w:r>
      <w:r w:rsidR="00C56AFA">
        <w:t xml:space="preserve">in a timely and ongoing manner </w:t>
      </w:r>
      <w:r w:rsidRPr="0040072A">
        <w:t xml:space="preserve">the overall response rate </w:t>
      </w:r>
      <w:r w:rsidR="00C56AFA">
        <w:t>a</w:t>
      </w:r>
      <w:r w:rsidR="001B1E15">
        <w:t>nd</w:t>
      </w:r>
      <w:r w:rsidR="00C56AFA">
        <w:t xml:space="preserve"> </w:t>
      </w:r>
      <w:r w:rsidRPr="0040072A">
        <w:t>the response rate for subgroups of providers.</w:t>
      </w:r>
      <w:r w:rsidRPr="0040072A" w:rsidR="00322A33">
        <w:t xml:space="preserve"> This will inform the </w:t>
      </w:r>
      <w:r w:rsidRPr="0040072A" w:rsidR="0076133A">
        <w:t>timing of and language in the reminder emails</w:t>
      </w:r>
      <w:r w:rsidRPr="0040072A" w:rsidR="0040072A">
        <w:t>.</w:t>
      </w:r>
      <w:r w:rsidRPr="0040072A" w:rsidR="0076133A">
        <w:t xml:space="preserve"> </w:t>
      </w:r>
      <w:r w:rsidR="004645E5">
        <w:t>Also, we will review the data for the first 50 RUDI-P/S respondents and the first 5 RUDI-R survey responses. This will allow us to detect any data quality issues in a timely fashion. If any issues are identified, we will close the survey, address the issue(s), and re-open the survey. After than point in time, we will examine data on a weekly basis, ensuring that data are being captured as intended.</w:t>
      </w:r>
    </w:p>
    <w:p w:rsidR="000F41ED" w:rsidRPr="0040072A" w:rsidP="007C67BA" w14:paraId="76922564" w14:textId="0B017850">
      <w:pPr>
        <w:pStyle w:val="Paragraph"/>
      </w:pPr>
      <w:r>
        <w:t>All survey-related correspondence can b</w:t>
      </w:r>
      <w:r w:rsidR="00B62954">
        <w:t>e</w:t>
      </w:r>
      <w:r>
        <w:t xml:space="preserve"> found in Appendix </w:t>
      </w:r>
      <w:r w:rsidR="005B358A">
        <w:t>F</w:t>
      </w:r>
      <w:r>
        <w:t>.</w:t>
      </w:r>
    </w:p>
    <w:p w:rsidR="005565E0" w:rsidRPr="005C3009" w:rsidP="007C67BA" w14:paraId="1CDAC3A6" w14:textId="0A9D5D86">
      <w:pPr>
        <w:pStyle w:val="H3"/>
      </w:pPr>
      <w:r>
        <w:t>2.</w:t>
      </w:r>
      <w:r>
        <w:tab/>
      </w:r>
      <w:r w:rsidRPr="005C3009" w:rsidR="005C3009">
        <w:t xml:space="preserve">Virtual </w:t>
      </w:r>
      <w:r w:rsidR="001B1E15">
        <w:t>s</w:t>
      </w:r>
      <w:r w:rsidRPr="005C3009" w:rsidR="005C3009">
        <w:t xml:space="preserve">ite </w:t>
      </w:r>
      <w:r w:rsidR="001B1E15">
        <w:t>v</w:t>
      </w:r>
      <w:r w:rsidRPr="005C3009" w:rsidR="005C3009">
        <w:t>isit</w:t>
      </w:r>
      <w:r w:rsidR="006549E5">
        <w:t xml:space="preserve"> </w:t>
      </w:r>
      <w:r w:rsidR="001B1E15">
        <w:t>i</w:t>
      </w:r>
      <w:r w:rsidR="006549E5">
        <w:t>nterviews</w:t>
      </w:r>
      <w:r w:rsidR="00707278">
        <w:t xml:space="preserve"> and interviews with recipients and AETC providers</w:t>
      </w:r>
    </w:p>
    <w:p w:rsidR="00E520E8" w:rsidRPr="008408C2" w:rsidP="007C67BA" w14:paraId="71EAE9E7" w14:textId="16F43722">
      <w:pPr>
        <w:pStyle w:val="ParagraphContinued"/>
      </w:pPr>
      <w:r w:rsidRPr="008F2093">
        <w:rPr>
          <w:b/>
          <w:bCs/>
        </w:rPr>
        <w:t xml:space="preserve">Recruitment. </w:t>
      </w:r>
      <w:r w:rsidRPr="008408C2" w:rsidR="001F0811">
        <w:t xml:space="preserve">We will recruit 40 </w:t>
      </w:r>
      <w:r w:rsidRPr="008408C2" w:rsidR="00F94A55">
        <w:t xml:space="preserve">RWHAP providers to participate in </w:t>
      </w:r>
      <w:r w:rsidR="00C56AFA">
        <w:t xml:space="preserve">the virtual site visit </w:t>
      </w:r>
      <w:r w:rsidR="00B77C4A">
        <w:t>interviews</w:t>
      </w:r>
      <w:r w:rsidR="00C837E7">
        <w:t xml:space="preserve"> and 20</w:t>
      </w:r>
      <w:r w:rsidR="008E78E0">
        <w:t xml:space="preserve"> Part A and B</w:t>
      </w:r>
      <w:r w:rsidR="00C837E7">
        <w:t xml:space="preserve"> recipients to participate in individual interviews. All AETC providers will be invited to participate in individual interviews (n=8)</w:t>
      </w:r>
      <w:r w:rsidR="008E78E0">
        <w:t>.</w:t>
      </w:r>
      <w:r w:rsidR="00C837E7">
        <w:t xml:space="preserve"> </w:t>
      </w:r>
      <w:r w:rsidRPr="008408C2" w:rsidR="001F0811">
        <w:t>To recruit sites to participate</w:t>
      </w:r>
      <w:r w:rsidR="008E78E0">
        <w:t xml:space="preserve"> in the virtual site visits</w:t>
      </w:r>
      <w:r w:rsidRPr="008408C2" w:rsidR="001F0811">
        <w:t xml:space="preserve">, we will </w:t>
      </w:r>
      <w:r w:rsidRPr="008408C2" w:rsidR="009C5496">
        <w:t>send providers a</w:t>
      </w:r>
      <w:r w:rsidRPr="008408C2" w:rsidR="00A5723C">
        <w:t xml:space="preserve"> visually appealing email highlighting the </w:t>
      </w:r>
      <w:r w:rsidR="00B77C4A">
        <w:t>purpose of the interview</w:t>
      </w:r>
      <w:r w:rsidR="00D365E8">
        <w:t>s</w:t>
      </w:r>
      <w:r w:rsidR="00B77C4A">
        <w:t xml:space="preserve">, </w:t>
      </w:r>
      <w:r w:rsidRPr="008408C2" w:rsidR="00A5723C">
        <w:t xml:space="preserve">stressing the importance of participating, and </w:t>
      </w:r>
      <w:r w:rsidR="00634012">
        <w:t>outlining the content for the discussion</w:t>
      </w:r>
      <w:r w:rsidR="00C56AFA">
        <w:t xml:space="preserve">. </w:t>
      </w:r>
      <w:r w:rsidR="00D365E8">
        <w:t xml:space="preserve">For RWHAP providers, this </w:t>
      </w:r>
      <w:r w:rsidR="00C56AFA">
        <w:t xml:space="preserve">upfront information will </w:t>
      </w:r>
      <w:r w:rsidR="00634012">
        <w:t xml:space="preserve">help </w:t>
      </w:r>
      <w:r w:rsidR="00C56AFA">
        <w:t>the main point of contact listed on the RSR</w:t>
      </w:r>
      <w:r w:rsidR="007F57BA">
        <w:t>/DSR</w:t>
      </w:r>
      <w:r w:rsidR="00C56AFA">
        <w:t xml:space="preserve"> data file </w:t>
      </w:r>
      <w:r w:rsidR="00634012">
        <w:t xml:space="preserve">identify the </w:t>
      </w:r>
      <w:r w:rsidR="00C56AFA">
        <w:t xml:space="preserve">appropriate staff members </w:t>
      </w:r>
      <w:r w:rsidR="00634012">
        <w:t>for us to interview</w:t>
      </w:r>
      <w:r w:rsidRPr="008408C2" w:rsidR="00A5723C">
        <w:t xml:space="preserve">. As with the survey, we will </w:t>
      </w:r>
      <w:r w:rsidR="00C56AFA">
        <w:t>ask</w:t>
      </w:r>
      <w:r w:rsidRPr="008408C2" w:rsidR="00A5723C">
        <w:t xml:space="preserve"> </w:t>
      </w:r>
      <w:r w:rsidRPr="008408C2" w:rsidR="001F0811">
        <w:t>HAB leaders</w:t>
      </w:r>
      <w:r w:rsidRPr="008408C2" w:rsidR="00A5723C">
        <w:t xml:space="preserve"> </w:t>
      </w:r>
      <w:r w:rsidR="00C56AFA">
        <w:t xml:space="preserve">to </w:t>
      </w:r>
      <w:r w:rsidRPr="008408C2" w:rsidR="00A5723C">
        <w:t xml:space="preserve">send an endorsement email </w:t>
      </w:r>
      <w:r w:rsidR="001B1E15">
        <w:t>about</w:t>
      </w:r>
      <w:r w:rsidRPr="008408C2" w:rsidR="001B1E15">
        <w:t xml:space="preserve"> </w:t>
      </w:r>
      <w:r w:rsidRPr="008408C2" w:rsidR="00A5723C">
        <w:t>two</w:t>
      </w:r>
      <w:r w:rsidR="001B1E15">
        <w:t xml:space="preserve"> </w:t>
      </w:r>
      <w:r w:rsidRPr="008408C2" w:rsidR="00A5723C">
        <w:t xml:space="preserve">weeks </w:t>
      </w:r>
      <w:r w:rsidR="00C56AFA">
        <w:t xml:space="preserve">before </w:t>
      </w:r>
      <w:r w:rsidRPr="008408C2">
        <w:t>sending the recruitment email</w:t>
      </w:r>
      <w:r w:rsidR="00C56AFA">
        <w:t xml:space="preserve"> to emphasize the importance of the data collection effort to </w:t>
      </w:r>
      <w:r w:rsidRPr="006C355A" w:rsidR="006C355A">
        <w:t>Health Resources and Services Administration</w:t>
      </w:r>
      <w:r w:rsidR="00C56AFA">
        <w:t xml:space="preserve"> and encourage participation.</w:t>
      </w:r>
    </w:p>
    <w:p w:rsidR="00E520E8" w:rsidRPr="008408C2" w:rsidP="008F2093" w14:paraId="3F14BE60" w14:textId="0D307E5F">
      <w:pPr>
        <w:pStyle w:val="Paragraph"/>
      </w:pPr>
      <w:r w:rsidRPr="008408C2">
        <w:t>The recruitment email will</w:t>
      </w:r>
      <w:r w:rsidR="00B70BC5">
        <w:t xml:space="preserve"> ask for a simple emailed reply to express interest</w:t>
      </w:r>
      <w:r w:rsidRPr="008408C2">
        <w:t xml:space="preserve">. </w:t>
      </w:r>
      <w:r w:rsidR="000F3086">
        <w:t>P</w:t>
      </w:r>
      <w:r w:rsidRPr="008408C2" w:rsidR="00072263">
        <w:t>roviders interest</w:t>
      </w:r>
      <w:r w:rsidR="009C30F0">
        <w:t>ed</w:t>
      </w:r>
      <w:r w:rsidRPr="008408C2" w:rsidR="00072263">
        <w:t xml:space="preserve"> in participating</w:t>
      </w:r>
      <w:r w:rsidRPr="008408C2" w:rsidR="00430F27">
        <w:t xml:space="preserve"> will</w:t>
      </w:r>
      <w:r w:rsidR="009B6E45">
        <w:t xml:space="preserve"> </w:t>
      </w:r>
      <w:r w:rsidR="00B70BC5">
        <w:t xml:space="preserve">then receive an encouraging email with a request </w:t>
      </w:r>
      <w:r w:rsidR="000F3086">
        <w:t>to identify the best</w:t>
      </w:r>
      <w:r w:rsidRPr="008408C2" w:rsidR="000F3086">
        <w:t xml:space="preserve"> </w:t>
      </w:r>
      <w:r w:rsidRPr="008408C2" w:rsidR="00A86DF5">
        <w:t xml:space="preserve">days and </w:t>
      </w:r>
      <w:r w:rsidRPr="008408C2" w:rsidR="009924E3">
        <w:t xml:space="preserve">times for </w:t>
      </w:r>
      <w:r w:rsidR="000F3086">
        <w:t>the interview</w:t>
      </w:r>
      <w:r w:rsidR="009C30F0">
        <w:t xml:space="preserve"> or interview</w:t>
      </w:r>
      <w:r w:rsidR="000F3086">
        <w:t>s</w:t>
      </w:r>
      <w:r w:rsidR="00141F1F">
        <w:t xml:space="preserve">, as well as which </w:t>
      </w:r>
      <w:r w:rsidRPr="008408C2" w:rsidR="00E31AFC">
        <w:t xml:space="preserve">staff </w:t>
      </w:r>
      <w:r w:rsidR="00141F1F">
        <w:t>are appropriate and w</w:t>
      </w:r>
      <w:r w:rsidRPr="008408C2" w:rsidR="00E31AFC">
        <w:t>illing to participate in interviews</w:t>
      </w:r>
      <w:r w:rsidRPr="008408C2" w:rsidR="00040F00">
        <w:t xml:space="preserve"> and </w:t>
      </w:r>
      <w:r w:rsidR="000F3086">
        <w:t xml:space="preserve">a list of </w:t>
      </w:r>
      <w:r w:rsidR="00634012">
        <w:t xml:space="preserve">topics </w:t>
      </w:r>
      <w:r w:rsidR="000F3086">
        <w:t xml:space="preserve">to be </w:t>
      </w:r>
      <w:r w:rsidR="00634012">
        <w:t>cover</w:t>
      </w:r>
      <w:r w:rsidR="000F3086">
        <w:t>ed</w:t>
      </w:r>
      <w:r w:rsidRPr="008408C2" w:rsidR="00E31AFC">
        <w:t>.</w:t>
      </w:r>
      <w:r w:rsidR="006A0A2E">
        <w:t xml:space="preserve"> </w:t>
      </w:r>
      <w:r w:rsidR="000F3086">
        <w:t xml:space="preserve">We will offer providers who </w:t>
      </w:r>
      <w:r w:rsidR="006A0A2E">
        <w:t xml:space="preserve">opt not to participate </w:t>
      </w:r>
      <w:r w:rsidR="000F3086">
        <w:t xml:space="preserve">in the interviews </w:t>
      </w:r>
      <w:r w:rsidR="006A0A2E">
        <w:t xml:space="preserve">an opportunity to </w:t>
      </w:r>
      <w:r w:rsidR="00141F1F">
        <w:t xml:space="preserve">email us with </w:t>
      </w:r>
      <w:r w:rsidR="006A0A2E">
        <w:t>the</w:t>
      </w:r>
      <w:r w:rsidR="00141F1F">
        <w:t>ir</w:t>
      </w:r>
      <w:r w:rsidR="006A0A2E">
        <w:t xml:space="preserve"> reasons</w:t>
      </w:r>
      <w:r w:rsidR="000F3086">
        <w:t xml:space="preserve"> for nonparticipation; </w:t>
      </w:r>
      <w:r w:rsidR="006A0A2E">
        <w:t xml:space="preserve">this </w:t>
      </w:r>
      <w:r w:rsidR="000F3086">
        <w:t xml:space="preserve">information </w:t>
      </w:r>
      <w:r w:rsidR="006A0A2E">
        <w:t xml:space="preserve">can be </w:t>
      </w:r>
      <w:r w:rsidR="000F3086">
        <w:t xml:space="preserve">helpful </w:t>
      </w:r>
      <w:r w:rsidR="006A0A2E">
        <w:t xml:space="preserve">for future data collection efforts. </w:t>
      </w:r>
      <w:r w:rsidR="00634012">
        <w:t xml:space="preserve">We will </w:t>
      </w:r>
      <w:r w:rsidR="006549E5">
        <w:t xml:space="preserve">include a telephone number with all recruitment materials to </w:t>
      </w:r>
      <w:r w:rsidR="00634012">
        <w:t>allow interested provider</w:t>
      </w:r>
      <w:r w:rsidR="006549E5">
        <w:t>s</w:t>
      </w:r>
      <w:r w:rsidR="00634012">
        <w:t xml:space="preserve"> to </w:t>
      </w:r>
      <w:r w:rsidR="006549E5">
        <w:t>call and complete the brief web-based questionnaire by phone, if preferred.</w:t>
      </w:r>
      <w:r w:rsidR="00634012">
        <w:t xml:space="preserve"> </w:t>
      </w:r>
    </w:p>
    <w:p w:rsidR="00D94562" w:rsidRPr="008408C2" w:rsidP="008F2093" w14:paraId="1D344AC2" w14:textId="5D94394C">
      <w:pPr>
        <w:pStyle w:val="Paragraph"/>
      </w:pPr>
      <w:r w:rsidRPr="008408C2">
        <w:t>We will follow</w:t>
      </w:r>
      <w:r w:rsidR="000F3086">
        <w:t>-</w:t>
      </w:r>
      <w:r w:rsidRPr="008408C2">
        <w:t xml:space="preserve">up </w:t>
      </w:r>
      <w:r w:rsidRPr="008408C2" w:rsidR="000F3086">
        <w:t xml:space="preserve">electronically </w:t>
      </w:r>
      <w:r w:rsidRPr="008408C2">
        <w:t xml:space="preserve">with nonresponding </w:t>
      </w:r>
      <w:r w:rsidRPr="008408C2" w:rsidR="00072263">
        <w:t xml:space="preserve">providers </w:t>
      </w:r>
      <w:r w:rsidRPr="008408C2">
        <w:t xml:space="preserve">every three business days, up to three times, with different messages </w:t>
      </w:r>
      <w:r w:rsidR="000F3086">
        <w:t>each time</w:t>
      </w:r>
      <w:r w:rsidRPr="008408C2">
        <w:t xml:space="preserve">. If </w:t>
      </w:r>
      <w:r w:rsidRPr="008408C2" w:rsidR="00072263">
        <w:t xml:space="preserve">the provider does not </w:t>
      </w:r>
      <w:r w:rsidRPr="008408C2">
        <w:t>respond, we will call once (and</w:t>
      </w:r>
      <w:r w:rsidR="000F3086">
        <w:t>, if necessary,</w:t>
      </w:r>
      <w:r w:rsidRPr="008408C2">
        <w:t xml:space="preserve"> leav</w:t>
      </w:r>
      <w:r w:rsidR="000F3086">
        <w:t>e</w:t>
      </w:r>
      <w:r w:rsidRPr="008408C2">
        <w:t xml:space="preserve"> a voice mail). The phone follow-up </w:t>
      </w:r>
      <w:r w:rsidR="00FE3128">
        <w:t xml:space="preserve">can help us </w:t>
      </w:r>
      <w:r w:rsidRPr="008408C2" w:rsidR="00FE3128">
        <w:t xml:space="preserve">identify a new </w:t>
      </w:r>
      <w:r w:rsidR="00FE3128">
        <w:t>point of contact when</w:t>
      </w:r>
      <w:r w:rsidRPr="008408C2">
        <w:t xml:space="preserve"> </w:t>
      </w:r>
      <w:r w:rsidR="00FE3128">
        <w:t>the</w:t>
      </w:r>
      <w:r w:rsidRPr="008408C2">
        <w:t xml:space="preserve"> listed contact </w:t>
      </w:r>
      <w:r w:rsidR="00FE3128">
        <w:t xml:space="preserve">person </w:t>
      </w:r>
      <w:r w:rsidRPr="008408C2">
        <w:t>no longer works at the clinic.</w:t>
      </w:r>
      <w:r w:rsidRPr="008408C2" w:rsidR="008408C2">
        <w:t xml:space="preserve"> If the provider remains nonresponsive, we will select a matched replacement from the replicate sample.</w:t>
      </w:r>
    </w:p>
    <w:p w:rsidR="000E4B33" w:rsidP="008F2093" w14:paraId="1E5DCE46" w14:textId="3A95BCFC">
      <w:pPr>
        <w:pStyle w:val="Paragraph"/>
      </w:pPr>
      <w:r w:rsidRPr="008F2093">
        <w:rPr>
          <w:b/>
          <w:bCs/>
        </w:rPr>
        <w:t>Scheduling</w:t>
      </w:r>
      <w:r w:rsidRPr="008F2093" w:rsidR="00F24C15">
        <w:rPr>
          <w:b/>
          <w:bCs/>
        </w:rPr>
        <w:t xml:space="preserve"> and preparing for</w:t>
      </w:r>
      <w:r w:rsidRPr="008F2093">
        <w:rPr>
          <w:b/>
          <w:bCs/>
        </w:rPr>
        <w:t xml:space="preserve"> </w:t>
      </w:r>
      <w:r w:rsidRPr="008F2093">
        <w:rPr>
          <w:b/>
          <w:bCs/>
        </w:rPr>
        <w:t>interviews</w:t>
      </w:r>
      <w:r w:rsidRPr="008F2093">
        <w:rPr>
          <w:b/>
          <w:bCs/>
        </w:rPr>
        <w:t xml:space="preserve">. </w:t>
      </w:r>
      <w:r w:rsidR="00FE3128">
        <w:t>After</w:t>
      </w:r>
      <w:r w:rsidRPr="008408C2" w:rsidR="00FE3128">
        <w:t xml:space="preserve"> </w:t>
      </w:r>
      <w:r w:rsidRPr="008408C2" w:rsidR="000542EF">
        <w:t xml:space="preserve">a provider expresses </w:t>
      </w:r>
      <w:r w:rsidR="00FE3128">
        <w:t xml:space="preserve">an </w:t>
      </w:r>
      <w:r w:rsidRPr="008408C2" w:rsidR="000542EF">
        <w:t>interest in participating</w:t>
      </w:r>
      <w:r w:rsidRPr="008408C2" w:rsidR="006E4B2F">
        <w:t xml:space="preserve">, we will reach out within </w:t>
      </w:r>
      <w:r>
        <w:t xml:space="preserve">one business day </w:t>
      </w:r>
      <w:r w:rsidRPr="008408C2" w:rsidR="006E4B2F">
        <w:t xml:space="preserve">to </w:t>
      </w:r>
      <w:r w:rsidR="00FE3128">
        <w:t xml:space="preserve">begin </w:t>
      </w:r>
      <w:r w:rsidRPr="008408C2" w:rsidR="006E4B2F">
        <w:t>schedul</w:t>
      </w:r>
      <w:r w:rsidR="00FE3128">
        <w:t>ing the interviews</w:t>
      </w:r>
      <w:r w:rsidRPr="008408C2" w:rsidR="006E4B2F">
        <w:t xml:space="preserve">. </w:t>
      </w:r>
      <w:r>
        <w:t xml:space="preserve">To </w:t>
      </w:r>
      <w:r w:rsidR="009C30F0">
        <w:t>help</w:t>
      </w:r>
      <w:r>
        <w:t xml:space="preserve"> </w:t>
      </w:r>
      <w:r w:rsidRPr="008408C2">
        <w:t>plan an optimal interview schedule and develop a case-specific data collection plan</w:t>
      </w:r>
      <w:r>
        <w:t xml:space="preserve">, we </w:t>
      </w:r>
      <w:r w:rsidRPr="008408C2" w:rsidR="001F0811">
        <w:t xml:space="preserve">will ask </w:t>
      </w:r>
      <w:r w:rsidR="00FE3128">
        <w:t xml:space="preserve">participating </w:t>
      </w:r>
      <w:r>
        <w:t xml:space="preserve">providers </w:t>
      </w:r>
      <w:r w:rsidR="00FE3128">
        <w:t xml:space="preserve">to provide some </w:t>
      </w:r>
      <w:r w:rsidRPr="008408C2" w:rsidR="001F0811">
        <w:t xml:space="preserve">basic information about the interventions for which </w:t>
      </w:r>
      <w:r w:rsidR="00FE3128">
        <w:t xml:space="preserve">the disseminated materials </w:t>
      </w:r>
      <w:r w:rsidRPr="008408C2" w:rsidR="001F0811">
        <w:t>were used</w:t>
      </w:r>
      <w:r>
        <w:t xml:space="preserve"> </w:t>
      </w:r>
      <w:r w:rsidR="00FE3128">
        <w:t xml:space="preserve">during </w:t>
      </w:r>
      <w:r>
        <w:t xml:space="preserve">the preceding </w:t>
      </w:r>
      <w:r w:rsidR="009B6E45">
        <w:t>12</w:t>
      </w:r>
      <w:r w:rsidR="009A0E2C">
        <w:t xml:space="preserve"> </w:t>
      </w:r>
      <w:r>
        <w:t>months</w:t>
      </w:r>
      <w:r w:rsidR="00FE3128">
        <w:t xml:space="preserve"> (f</w:t>
      </w:r>
      <w:r>
        <w:t xml:space="preserve">or example, </w:t>
      </w:r>
      <w:r w:rsidR="00FE3128">
        <w:t xml:space="preserve">the type of </w:t>
      </w:r>
      <w:r w:rsidR="00F24C15">
        <w:t>interventions implemented and a brief overview of how the</w:t>
      </w:r>
      <w:r w:rsidR="00FE3128">
        <w:t xml:space="preserve">y used the </w:t>
      </w:r>
      <w:r w:rsidR="00F24C15">
        <w:t>resource</w:t>
      </w:r>
      <w:r w:rsidR="00FE3128">
        <w:t xml:space="preserve"> materials</w:t>
      </w:r>
      <w:r>
        <w:t>.</w:t>
      </w:r>
      <w:r w:rsidR="00FE3128">
        <w:t>)</w:t>
      </w:r>
      <w:r>
        <w:t xml:space="preserve"> </w:t>
      </w:r>
      <w:bookmarkStart w:id="19" w:name="_Hlk121916213"/>
    </w:p>
    <w:p w:rsidR="001F0811" w:rsidRPr="008408C2" w:rsidP="008F2093" w14:paraId="65712689" w14:textId="23AD95AE">
      <w:pPr>
        <w:pStyle w:val="Paragraph"/>
      </w:pPr>
      <w:r>
        <w:t>We will schedule t</w:t>
      </w:r>
      <w:r w:rsidR="00B77C4A">
        <w:t>he interview</w:t>
      </w:r>
      <w:r>
        <w:t>s</w:t>
      </w:r>
      <w:r w:rsidR="00B77C4A">
        <w:t xml:space="preserve"> on the </w:t>
      </w:r>
      <w:r w:rsidR="000B0331">
        <w:t xml:space="preserve">days and times that </w:t>
      </w:r>
      <w:r>
        <w:t xml:space="preserve">best </w:t>
      </w:r>
      <w:r w:rsidR="000B0331">
        <w:t xml:space="preserve">meet the needs of the </w:t>
      </w:r>
      <w:r w:rsidR="00B77C4A">
        <w:t xml:space="preserve">provider </w:t>
      </w:r>
      <w:r w:rsidR="000B0331">
        <w:t xml:space="preserve">site (for example, </w:t>
      </w:r>
      <w:r>
        <w:t>some busy clinics m</w:t>
      </w:r>
      <w:r w:rsidR="009C30F0">
        <w:t>ight</w:t>
      </w:r>
      <w:r>
        <w:t xml:space="preserve"> prefer to speak with us during the </w:t>
      </w:r>
      <w:r w:rsidR="000B0331">
        <w:t>early morning</w:t>
      </w:r>
      <w:r>
        <w:t xml:space="preserve"> before </w:t>
      </w:r>
      <w:r w:rsidR="009C30F0">
        <w:t xml:space="preserve">they </w:t>
      </w:r>
      <w:r>
        <w:t xml:space="preserve">begin treating patients </w:t>
      </w:r>
      <w:r w:rsidR="000B0331">
        <w:t xml:space="preserve">or </w:t>
      </w:r>
      <w:r>
        <w:t xml:space="preserve">in the </w:t>
      </w:r>
      <w:r w:rsidR="000B0331">
        <w:t>early evening</w:t>
      </w:r>
      <w:r>
        <w:t xml:space="preserve"> after they finish</w:t>
      </w:r>
      <w:r w:rsidR="000B0331">
        <w:t xml:space="preserve">). We will not ask for more than an hour from any one individual. </w:t>
      </w:r>
    </w:p>
    <w:bookmarkEnd w:id="19"/>
    <w:p w:rsidR="009B13CC" w:rsidRPr="008408C2" w:rsidP="008F2093" w14:paraId="69607682" w14:textId="42C2D147">
      <w:pPr>
        <w:pStyle w:val="Paragraph"/>
      </w:pPr>
      <w:r w:rsidRPr="008F2093">
        <w:rPr>
          <w:b/>
          <w:bCs/>
        </w:rPr>
        <w:t xml:space="preserve">Preparing for the interview. </w:t>
      </w:r>
      <w:r w:rsidR="009C30F0">
        <w:t>Before</w:t>
      </w:r>
      <w:r w:rsidR="00B77C4A">
        <w:t xml:space="preserve"> the interview, we </w:t>
      </w:r>
      <w:r w:rsidRPr="008408C2">
        <w:t xml:space="preserve">will ask the </w:t>
      </w:r>
      <w:r w:rsidR="00B77C4A">
        <w:t xml:space="preserve">provider </w:t>
      </w:r>
      <w:r w:rsidRPr="008408C2">
        <w:t>for any off-the-shelf information they can provide about their interventions to help our team to prepare</w:t>
      </w:r>
      <w:r w:rsidR="00B77C4A">
        <w:t xml:space="preserve">. </w:t>
      </w:r>
      <w:r w:rsidRPr="008408C2">
        <w:t>We will also review</w:t>
      </w:r>
      <w:r w:rsidR="00B77C4A">
        <w:t xml:space="preserve"> </w:t>
      </w:r>
      <w:r w:rsidRPr="008408C2">
        <w:t>the provider’s website and RSR</w:t>
      </w:r>
      <w:r w:rsidR="007F57BA">
        <w:t>/DSR</w:t>
      </w:r>
      <w:r w:rsidRPr="008408C2">
        <w:t xml:space="preserve"> data</w:t>
      </w:r>
      <w:r w:rsidR="008267E8">
        <w:t>, if applicable,</w:t>
      </w:r>
      <w:r w:rsidR="00B77C4A">
        <w:t xml:space="preserve"> </w:t>
      </w:r>
      <w:r w:rsidR="008430FE">
        <w:t xml:space="preserve">so that we understand </w:t>
      </w:r>
      <w:r w:rsidRPr="008408C2">
        <w:t xml:space="preserve">the </w:t>
      </w:r>
      <w:r w:rsidR="008430FE">
        <w:t xml:space="preserve">types of </w:t>
      </w:r>
      <w:r w:rsidRPr="008408C2">
        <w:t xml:space="preserve">services </w:t>
      </w:r>
      <w:r w:rsidR="008430FE">
        <w:t>it provides</w:t>
      </w:r>
      <w:r w:rsidR="003C370B">
        <w:t>, the types of patients it serves,</w:t>
      </w:r>
      <w:r w:rsidR="008430FE">
        <w:t xml:space="preserve"> and </w:t>
      </w:r>
      <w:r w:rsidR="003C370B">
        <w:t xml:space="preserve">the type of </w:t>
      </w:r>
      <w:r w:rsidRPr="008408C2">
        <w:t xml:space="preserve">funding </w:t>
      </w:r>
      <w:r w:rsidR="003C370B">
        <w:t xml:space="preserve">it receives from RWHAP, among other characteristics, </w:t>
      </w:r>
      <w:r w:rsidR="009C30F0">
        <w:t>before</w:t>
      </w:r>
      <w:r w:rsidR="00B77C4A">
        <w:t xml:space="preserve"> the </w:t>
      </w:r>
      <w:r w:rsidRPr="008408C2">
        <w:t xml:space="preserve">interviews. </w:t>
      </w:r>
    </w:p>
    <w:p w:rsidR="001F0811" w:rsidRPr="008408C2" w:rsidP="008F2093" w14:paraId="40E036F4" w14:textId="68CCC7A1">
      <w:pPr>
        <w:pStyle w:val="Paragraph"/>
      </w:pPr>
      <w:r w:rsidRPr="008F2093">
        <w:rPr>
          <w:b/>
          <w:bCs/>
        </w:rPr>
        <w:t xml:space="preserve">Conducting the interviews. </w:t>
      </w:r>
      <w:r w:rsidRPr="00872E76" w:rsidR="008267E8">
        <w:t>For RWHAP provider sites participating in virtual site visits, w</w:t>
      </w:r>
      <w:r w:rsidRPr="00141F1F">
        <w:t>e</w:t>
      </w:r>
      <w:r w:rsidRPr="008408C2">
        <w:t xml:space="preserve"> plan to conduct </w:t>
      </w:r>
      <w:r w:rsidR="000B0331">
        <w:t>one</w:t>
      </w:r>
      <w:r w:rsidRPr="008408C2">
        <w:t xml:space="preserve"> to five interviews per </w:t>
      </w:r>
      <w:r w:rsidR="00831F04">
        <w:t xml:space="preserve">provider </w:t>
      </w:r>
      <w:r w:rsidRPr="008408C2">
        <w:t xml:space="preserve">site, with each interview </w:t>
      </w:r>
      <w:r w:rsidR="001D4D62">
        <w:t xml:space="preserve">lasting </w:t>
      </w:r>
      <w:r w:rsidRPr="008408C2">
        <w:t xml:space="preserve">15 </w:t>
      </w:r>
      <w:r w:rsidR="009C30F0">
        <w:t xml:space="preserve">to </w:t>
      </w:r>
      <w:r w:rsidRPr="008408C2">
        <w:t>60 minutes, depending on the individual’s role</w:t>
      </w:r>
      <w:r w:rsidR="003C370B">
        <w:t xml:space="preserve"> and experience using dissemination materials to improve the delivery of care</w:t>
      </w:r>
      <w:r w:rsidRPr="008408C2">
        <w:t>. After we identify the interviewees, we will suggest an interview schedule that covers all the topics included in our master discussion guide</w:t>
      </w:r>
      <w:r w:rsidR="009B13CC">
        <w:t xml:space="preserve"> (Appendix </w:t>
      </w:r>
      <w:r w:rsidR="00141F1F">
        <w:t>C</w:t>
      </w:r>
      <w:r w:rsidR="009B13CC">
        <w:t>)</w:t>
      </w:r>
      <w:r w:rsidRPr="008408C2">
        <w:t>. We will also allow overlapping questions across respondents</w:t>
      </w:r>
      <w:r w:rsidR="003C370B">
        <w:t xml:space="preserve"> because each m</w:t>
      </w:r>
      <w:r w:rsidR="009C30F0">
        <w:t>ight</w:t>
      </w:r>
      <w:r w:rsidR="009B13CC">
        <w:t xml:space="preserve"> have </w:t>
      </w:r>
      <w:r w:rsidRPr="008408C2">
        <w:t>divergent and valuable perspectives</w:t>
      </w:r>
      <w:r w:rsidR="003C370B">
        <w:t xml:space="preserve"> to share</w:t>
      </w:r>
      <w:r w:rsidRPr="008408C2">
        <w:t xml:space="preserve">. </w:t>
      </w:r>
    </w:p>
    <w:p w:rsidR="001F0811" w:rsidP="008F2093" w14:paraId="1158A3A5" w14:textId="1F9C40D4">
      <w:pPr>
        <w:pStyle w:val="Paragraph"/>
        <w:rPr>
          <w:rFonts w:eastAsia="Garamond"/>
        </w:rPr>
      </w:pPr>
      <w:r>
        <w:t>A</w:t>
      </w:r>
      <w:r w:rsidRPr="008408C2">
        <w:t xml:space="preserve"> two-person team</w:t>
      </w:r>
      <w:r>
        <w:t xml:space="preserve"> (</w:t>
      </w:r>
      <w:r w:rsidRPr="008408C2">
        <w:t>a researcher who will lead the interview and a research associate who will take notes)</w:t>
      </w:r>
      <w:r>
        <w:t xml:space="preserve"> </w:t>
      </w:r>
      <w:r w:rsidRPr="008408C2">
        <w:t>will interview</w:t>
      </w:r>
      <w:r>
        <w:t xml:space="preserve"> people</w:t>
      </w:r>
      <w:r w:rsidRPr="008408C2">
        <w:t xml:space="preserve"> on our Webex </w:t>
      </w:r>
      <w:r w:rsidR="008E06FE">
        <w:t xml:space="preserve">or Zoom </w:t>
      </w:r>
      <w:r w:rsidRPr="008408C2">
        <w:t>platform. We will record the interviews with the permission of the respondent. After we complete the interview, the notetaker will clean the notes</w:t>
      </w:r>
      <w:r w:rsidR="009052E7">
        <w:t xml:space="preserve"> </w:t>
      </w:r>
      <w:r>
        <w:t>and then the researcher will</w:t>
      </w:r>
      <w:r w:rsidR="009052E7">
        <w:t xml:space="preserve"> review</w:t>
      </w:r>
      <w:r>
        <w:t xml:space="preserve"> them</w:t>
      </w:r>
      <w:r w:rsidR="009052E7">
        <w:t xml:space="preserve">. </w:t>
      </w:r>
      <w:r>
        <w:t>When</w:t>
      </w:r>
      <w:r w:rsidR="009052E7">
        <w:t xml:space="preserve"> all interviews at a site are complete, a summary of findings will be drafted wi</w:t>
      </w:r>
      <w:r w:rsidRPr="008408C2">
        <w:rPr>
          <w:rFonts w:eastAsia="Garamond"/>
        </w:rPr>
        <w:t xml:space="preserve">thin </w:t>
      </w:r>
      <w:r>
        <w:rPr>
          <w:rFonts w:eastAsia="Garamond"/>
        </w:rPr>
        <w:t>five</w:t>
      </w:r>
      <w:r w:rsidRPr="008408C2">
        <w:rPr>
          <w:rFonts w:eastAsia="Garamond"/>
        </w:rPr>
        <w:t xml:space="preserve"> business days of the </w:t>
      </w:r>
      <w:r w:rsidR="009052E7">
        <w:rPr>
          <w:rFonts w:eastAsia="Garamond"/>
        </w:rPr>
        <w:t xml:space="preserve">last </w:t>
      </w:r>
      <w:r w:rsidRPr="008408C2">
        <w:rPr>
          <w:rFonts w:eastAsia="Garamond"/>
        </w:rPr>
        <w:t xml:space="preserve">interview. To the extent that the interviews for a given site </w:t>
      </w:r>
      <w:r>
        <w:rPr>
          <w:rFonts w:eastAsia="Garamond"/>
        </w:rPr>
        <w:t>have</w:t>
      </w:r>
      <w:r w:rsidRPr="008408C2">
        <w:rPr>
          <w:rFonts w:eastAsia="Garamond"/>
        </w:rPr>
        <w:t xml:space="preserve"> to occur on different days to accommodate the informants’ schedules, we will add the notes and summary for each interview to the shared folder created for that site as they become available</w:t>
      </w:r>
      <w:r w:rsidR="003D62DE">
        <w:rPr>
          <w:rFonts w:eastAsia="Garamond"/>
        </w:rPr>
        <w:t xml:space="preserve">. </w:t>
      </w:r>
    </w:p>
    <w:p w:rsidR="008267E8" w:rsidRPr="008408C2" w:rsidP="008F2093" w14:paraId="18DD3492" w14:textId="7EB628B0">
      <w:pPr>
        <w:pStyle w:val="Paragraph"/>
        <w:rPr>
          <w:rFonts w:eastAsia="Garamond"/>
        </w:rPr>
      </w:pPr>
      <w:r>
        <w:rPr>
          <w:rFonts w:eastAsia="Garamond"/>
        </w:rPr>
        <w:t>For the individual interviews with RWHAP recipients and AETC providers, one staff member will conduct the interview, with a second taking notes.  As with the virtual site visit interviews, w</w:t>
      </w:r>
      <w:r w:rsidRPr="008408C2">
        <w:t xml:space="preserve">e will </w:t>
      </w:r>
      <w:r w:rsidR="00141F1F">
        <w:t>audio</w:t>
      </w:r>
      <w:r w:rsidR="00176F38">
        <w:t xml:space="preserve"> </w:t>
      </w:r>
      <w:r w:rsidRPr="008408C2">
        <w:t>record the interviews with the permission of the respondent. After we complete the interview, the notetaker will clean the notes</w:t>
      </w:r>
      <w:r>
        <w:t xml:space="preserve"> and then the researcher will review them. </w:t>
      </w:r>
    </w:p>
    <w:p w:rsidR="001F0811" w:rsidP="008F2093" w14:paraId="108ABD99" w14:textId="7379551D">
      <w:pPr>
        <w:pStyle w:val="Paragraph"/>
        <w:rPr>
          <w:rFonts w:eastAsia="Garamond"/>
        </w:rPr>
      </w:pPr>
      <w:r w:rsidRPr="008408C2">
        <w:rPr>
          <w:rFonts w:eastAsia="Garamond"/>
        </w:rPr>
        <w:t>In addition to the qualitative information collected through the interviews, we will collect quantitative information</w:t>
      </w:r>
      <w:r w:rsidR="00C04EA2">
        <w:rPr>
          <w:rFonts w:eastAsia="Garamond"/>
        </w:rPr>
        <w:t>,</w:t>
      </w:r>
      <w:r w:rsidRPr="008408C2">
        <w:rPr>
          <w:rFonts w:eastAsia="Garamond"/>
        </w:rPr>
        <w:t xml:space="preserve"> whe</w:t>
      </w:r>
      <w:r w:rsidR="00752829">
        <w:rPr>
          <w:rFonts w:eastAsia="Garamond"/>
        </w:rPr>
        <w:t>n</w:t>
      </w:r>
      <w:r w:rsidRPr="008408C2">
        <w:rPr>
          <w:rFonts w:eastAsia="Garamond"/>
        </w:rPr>
        <w:t xml:space="preserve"> available</w:t>
      </w:r>
      <w:r w:rsidR="00C04EA2">
        <w:rPr>
          <w:rFonts w:eastAsia="Garamond"/>
        </w:rPr>
        <w:t>,</w:t>
      </w:r>
      <w:r w:rsidRPr="008408C2">
        <w:rPr>
          <w:rFonts w:eastAsia="Garamond"/>
        </w:rPr>
        <w:t xml:space="preserve"> on implementation metrics</w:t>
      </w:r>
      <w:r w:rsidR="009052E7">
        <w:rPr>
          <w:rFonts w:eastAsia="Garamond"/>
        </w:rPr>
        <w:t xml:space="preserve">. This information will </w:t>
      </w:r>
      <w:r w:rsidR="00C04EA2">
        <w:rPr>
          <w:rFonts w:eastAsia="Garamond"/>
        </w:rPr>
        <w:t>add depth to t</w:t>
      </w:r>
      <w:r w:rsidR="00FF0F0C">
        <w:rPr>
          <w:rFonts w:eastAsia="Garamond"/>
        </w:rPr>
        <w:t xml:space="preserve">he </w:t>
      </w:r>
      <w:r w:rsidR="009052E7">
        <w:rPr>
          <w:rFonts w:eastAsia="Garamond"/>
        </w:rPr>
        <w:t>p</w:t>
      </w:r>
      <w:r w:rsidR="00FF0F0C">
        <w:rPr>
          <w:rFonts w:eastAsia="Garamond"/>
        </w:rPr>
        <w:t xml:space="preserve">rovider’s </w:t>
      </w:r>
      <w:r w:rsidRPr="008408C2">
        <w:rPr>
          <w:rFonts w:eastAsia="Garamond"/>
        </w:rPr>
        <w:t>story of how the</w:t>
      </w:r>
      <w:r w:rsidR="00E016C6">
        <w:rPr>
          <w:rFonts w:eastAsia="Garamond"/>
        </w:rPr>
        <w:t>y accessed and used the</w:t>
      </w:r>
      <w:r w:rsidRPr="008408C2">
        <w:rPr>
          <w:rFonts w:eastAsia="Garamond"/>
        </w:rPr>
        <w:t xml:space="preserve"> resources and whether </w:t>
      </w:r>
      <w:r w:rsidR="00153BF4">
        <w:rPr>
          <w:rFonts w:eastAsia="Garamond"/>
        </w:rPr>
        <w:t>quantitative</w:t>
      </w:r>
      <w:r w:rsidR="009052E7">
        <w:rPr>
          <w:rFonts w:eastAsia="Garamond"/>
        </w:rPr>
        <w:t xml:space="preserve"> information was used to </w:t>
      </w:r>
      <w:r w:rsidR="00153BF4">
        <w:rPr>
          <w:rFonts w:eastAsia="Garamond"/>
        </w:rPr>
        <w:t xml:space="preserve">inform </w:t>
      </w:r>
      <w:r w:rsidR="00E016C6">
        <w:rPr>
          <w:rFonts w:eastAsia="Garamond"/>
        </w:rPr>
        <w:t>implementation of the care delivery intervention</w:t>
      </w:r>
      <w:r w:rsidRPr="008408C2">
        <w:rPr>
          <w:rFonts w:eastAsia="Garamond"/>
        </w:rPr>
        <w:t xml:space="preserve">. For example, if </w:t>
      </w:r>
      <w:r w:rsidR="00E016C6">
        <w:rPr>
          <w:rFonts w:eastAsia="Garamond"/>
        </w:rPr>
        <w:t xml:space="preserve">the provider used the dissemination </w:t>
      </w:r>
      <w:r w:rsidRPr="008408C2">
        <w:rPr>
          <w:rFonts w:eastAsia="Garamond"/>
        </w:rPr>
        <w:t xml:space="preserve">resources </w:t>
      </w:r>
      <w:r w:rsidR="00E016C6">
        <w:rPr>
          <w:rFonts w:eastAsia="Garamond"/>
        </w:rPr>
        <w:t>to increase the effectiveness of its</w:t>
      </w:r>
      <w:r w:rsidRPr="008408C2">
        <w:rPr>
          <w:rFonts w:eastAsia="Garamond"/>
        </w:rPr>
        <w:t xml:space="preserve"> outreach </w:t>
      </w:r>
      <w:r w:rsidR="00E016C6">
        <w:rPr>
          <w:rFonts w:eastAsia="Garamond"/>
        </w:rPr>
        <w:t xml:space="preserve">activities </w:t>
      </w:r>
      <w:r w:rsidRPr="008408C2">
        <w:rPr>
          <w:rFonts w:eastAsia="Garamond"/>
        </w:rPr>
        <w:t xml:space="preserve">for a particular population, a useful implementation metric might be how many clients they </w:t>
      </w:r>
      <w:r w:rsidR="00E016C6">
        <w:rPr>
          <w:rFonts w:eastAsia="Garamond"/>
        </w:rPr>
        <w:t>engaged in care</w:t>
      </w:r>
      <w:r w:rsidRPr="008408C2">
        <w:rPr>
          <w:rFonts w:eastAsia="Garamond"/>
        </w:rPr>
        <w:t xml:space="preserve">. </w:t>
      </w:r>
    </w:p>
    <w:p w:rsidR="00CF46E3" w:rsidRPr="008408C2" w:rsidP="008F2093" w14:paraId="10C329C8" w14:textId="77777777">
      <w:pPr>
        <w:pStyle w:val="Paragraph"/>
        <w:rPr>
          <w:rFonts w:eastAsia="Garamond"/>
        </w:rPr>
      </w:pPr>
    </w:p>
    <w:p w:rsidR="008408C2" w:rsidRPr="008408C2" w:rsidP="008F2093" w14:paraId="229EC3ED" w14:textId="4BF76985">
      <w:pPr>
        <w:pStyle w:val="Paragraph"/>
      </w:pPr>
      <w:r w:rsidRPr="008F2093">
        <w:rPr>
          <w:b/>
        </w:rPr>
        <w:t>Compe</w:t>
      </w:r>
      <w:r w:rsidRPr="008F2093" w:rsidR="00C04EA2">
        <w:rPr>
          <w:b/>
        </w:rPr>
        <w:t>n</w:t>
      </w:r>
      <w:r w:rsidRPr="008F2093">
        <w:rPr>
          <w:b/>
        </w:rPr>
        <w:t>sat</w:t>
      </w:r>
      <w:r w:rsidRPr="008F2093" w:rsidR="00C04EA2">
        <w:rPr>
          <w:b/>
        </w:rPr>
        <w:t xml:space="preserve">ing providers. </w:t>
      </w:r>
      <w:bookmarkStart w:id="20" w:name="_Hlk122424576"/>
      <w:r w:rsidRPr="008408C2">
        <w:t xml:space="preserve">The </w:t>
      </w:r>
      <w:r w:rsidR="008267E8">
        <w:t xml:space="preserve">virtual </w:t>
      </w:r>
      <w:r w:rsidR="00AE324D">
        <w:t>interviews</w:t>
      </w:r>
      <w:r w:rsidRPr="008408C2">
        <w:t xml:space="preserve"> will require </w:t>
      </w:r>
      <w:r w:rsidRPr="008408C2" w:rsidR="00752829">
        <w:t>a</w:t>
      </w:r>
      <w:r w:rsidR="00752829">
        <w:t>bout</w:t>
      </w:r>
      <w:r w:rsidRPr="008408C2" w:rsidR="00752829">
        <w:t xml:space="preserve"> </w:t>
      </w:r>
      <w:r w:rsidR="00176F38">
        <w:t>three</w:t>
      </w:r>
      <w:r w:rsidRPr="008408C2">
        <w:t xml:space="preserve"> hours of </w:t>
      </w:r>
      <w:r w:rsidR="00D724CE">
        <w:t xml:space="preserve">staff time per </w:t>
      </w:r>
      <w:r w:rsidR="008267E8">
        <w:t xml:space="preserve">RWHAP </w:t>
      </w:r>
      <w:r w:rsidR="00D724CE">
        <w:t>provider</w:t>
      </w:r>
      <w:r w:rsidR="000807F9">
        <w:t xml:space="preserve"> organization</w:t>
      </w:r>
      <w:r w:rsidRPr="008408C2">
        <w:t>, and we have budgeted a $</w:t>
      </w:r>
      <w:r w:rsidR="000B0331">
        <w:t>380</w:t>
      </w:r>
      <w:r w:rsidRPr="008408C2">
        <w:t xml:space="preserve"> incentive per </w:t>
      </w:r>
      <w:r w:rsidR="00D724CE">
        <w:t xml:space="preserve">provider </w:t>
      </w:r>
      <w:r w:rsidRPr="008408C2">
        <w:t xml:space="preserve">to offset their effort. </w:t>
      </w:r>
      <w:r w:rsidR="00D724CE">
        <w:t xml:space="preserve">Because </w:t>
      </w:r>
      <w:r w:rsidRPr="008408C2">
        <w:t>the $</w:t>
      </w:r>
      <w:r w:rsidR="000B0331">
        <w:t>380</w:t>
      </w:r>
      <w:r w:rsidRPr="008408C2">
        <w:t xml:space="preserve"> incentive cover</w:t>
      </w:r>
      <w:r w:rsidR="00D724CE">
        <w:t>s</w:t>
      </w:r>
      <w:r w:rsidRPr="008408C2">
        <w:t xml:space="preserve"> multiple interviews, we will allocate the $</w:t>
      </w:r>
      <w:r w:rsidR="000B0331">
        <w:t>380</w:t>
      </w:r>
      <w:r w:rsidRPr="008408C2">
        <w:t xml:space="preserve"> across the </w:t>
      </w:r>
      <w:r w:rsidR="00D724CE">
        <w:t xml:space="preserve">individual informants </w:t>
      </w:r>
      <w:r w:rsidRPr="008408C2">
        <w:t xml:space="preserve">proportional to the length of </w:t>
      </w:r>
      <w:r w:rsidR="00D724CE">
        <w:t xml:space="preserve">each </w:t>
      </w:r>
      <w:r w:rsidRPr="008408C2">
        <w:t xml:space="preserve">interview or give the full amount </w:t>
      </w:r>
      <w:r w:rsidR="00D724CE">
        <w:t xml:space="preserve">to </w:t>
      </w:r>
      <w:r w:rsidRPr="008408C2">
        <w:t xml:space="preserve">the </w:t>
      </w:r>
      <w:r w:rsidR="00D724CE">
        <w:t xml:space="preserve">main </w:t>
      </w:r>
      <w:r w:rsidRPr="008408C2">
        <w:t>point of contact</w:t>
      </w:r>
      <w:r w:rsidR="00D724CE">
        <w:t xml:space="preserve"> and </w:t>
      </w:r>
      <w:r w:rsidRPr="008408C2">
        <w:t xml:space="preserve">remind them </w:t>
      </w:r>
      <w:r w:rsidR="00D724CE">
        <w:t xml:space="preserve">they can use </w:t>
      </w:r>
      <w:r w:rsidRPr="008408C2">
        <w:t xml:space="preserve">the gift card </w:t>
      </w:r>
      <w:r w:rsidR="00D724CE">
        <w:t>to compensate the</w:t>
      </w:r>
      <w:r w:rsidRPr="008408C2">
        <w:t xml:space="preserve"> </w:t>
      </w:r>
      <w:r w:rsidR="00752829">
        <w:t>people</w:t>
      </w:r>
      <w:r w:rsidR="00D724CE">
        <w:t xml:space="preserve"> </w:t>
      </w:r>
      <w:r w:rsidRPr="008408C2">
        <w:t xml:space="preserve">who </w:t>
      </w:r>
      <w:r w:rsidR="00D724CE">
        <w:t>participated in the interviews</w:t>
      </w:r>
      <w:r w:rsidRPr="008408C2">
        <w:t xml:space="preserve">. </w:t>
      </w:r>
      <w:bookmarkStart w:id="21" w:name="_Hlk122425200"/>
      <w:r w:rsidR="008569C0">
        <w:t>RWHAP recipients and AETC staff participating in interviews will receive a $125 incentive for their 1</w:t>
      </w:r>
      <w:r w:rsidR="00176F38">
        <w:t xml:space="preserve"> </w:t>
      </w:r>
      <w:r w:rsidR="008569C0">
        <w:t>hour of participation.</w:t>
      </w:r>
      <w:r w:rsidRPr="00293539" w:rsidR="00293539">
        <w:t xml:space="preserve"> </w:t>
      </w:r>
      <w:r w:rsidR="00293539">
        <w:t>The incentives are consistent with the $125 hourly wage for individuals in similar positions (see Exhibit 5, Supporting Statement A). That is, AETC staff participating in a one-hour interview will receive a $125 incentive. For virtual site visits that involve multiple people over multiple hours, a larger incentive is offered. A similar approach was use</w:t>
      </w:r>
      <w:r w:rsidR="0034213C">
        <w:t>d</w:t>
      </w:r>
      <w:r w:rsidR="00293539">
        <w:t xml:space="preserve"> in a 2021 study that involved interviews with leaders in physician practices. Incentives ranged from $500 to $1,500 depending on practice size.</w:t>
      </w:r>
      <w:r>
        <w:rPr>
          <w:rStyle w:val="FootnoteReference"/>
        </w:rPr>
        <w:footnoteReference w:id="5"/>
      </w:r>
    </w:p>
    <w:bookmarkEnd w:id="20"/>
    <w:bookmarkEnd w:id="21"/>
    <w:p w:rsidR="00CE784A" w:rsidP="008F2093" w14:paraId="6C59E4AD" w14:textId="314EB56F">
      <w:pPr>
        <w:pStyle w:val="Paragraph"/>
      </w:pPr>
      <w:r w:rsidRPr="008F2093">
        <w:rPr>
          <w:b/>
          <w:bCs/>
        </w:rPr>
        <w:t xml:space="preserve">Data management. </w:t>
      </w:r>
      <w:r w:rsidR="00752829">
        <w:t>With the interviewees’ verbal consent, w</w:t>
      </w:r>
      <w:r w:rsidR="00D724CE">
        <w:t>e will audio record the i</w:t>
      </w:r>
      <w:r>
        <w:t xml:space="preserve">nterviews. </w:t>
      </w:r>
      <w:r w:rsidR="008E14D6">
        <w:t>We will transcribe the r</w:t>
      </w:r>
      <w:r>
        <w:t>ecordings and</w:t>
      </w:r>
      <w:r w:rsidR="008E14D6">
        <w:t xml:space="preserve"> analyze the </w:t>
      </w:r>
      <w:r>
        <w:t xml:space="preserve">transcripts using </w:t>
      </w:r>
      <w:r w:rsidR="008E14D6">
        <w:t xml:space="preserve">a </w:t>
      </w:r>
      <w:r>
        <w:t>NVivo</w:t>
      </w:r>
      <w:r w:rsidR="008E14D6">
        <w:t>, a qualitative data analysis software</w:t>
      </w:r>
      <w:r w:rsidR="003D62DE">
        <w:t xml:space="preserve">. </w:t>
      </w:r>
      <w:r>
        <w:t xml:space="preserve">If </w:t>
      </w:r>
      <w:r w:rsidR="008E14D6">
        <w:t>the interviewee does not consent to be recorded</w:t>
      </w:r>
      <w:r>
        <w:t xml:space="preserve">, </w:t>
      </w:r>
      <w:r w:rsidR="008E14D6">
        <w:t xml:space="preserve">we will take written </w:t>
      </w:r>
      <w:r>
        <w:t xml:space="preserve">notes </w:t>
      </w:r>
      <w:r w:rsidR="008E14D6">
        <w:t xml:space="preserve">electronically </w:t>
      </w:r>
      <w:r>
        <w:t xml:space="preserve">during the interview. </w:t>
      </w:r>
      <w:r w:rsidR="008E14D6">
        <w:t>We will store the r</w:t>
      </w:r>
      <w:r>
        <w:t>ecordings, transcripts, and notes on a secure server with access limited to project staff.</w:t>
      </w:r>
    </w:p>
    <w:p w:rsidR="0028153F" w:rsidP="0028153F" w14:paraId="1FF7F7BD" w14:textId="77777777">
      <w:pPr>
        <w:pStyle w:val="Paragraph"/>
      </w:pPr>
      <w:r>
        <w:t>Outreach materials and correspondence associated with the virtual site visit interviews and interviews with recipients and AETC providers can be found in Appendix G.</w:t>
      </w:r>
    </w:p>
    <w:p w:rsidR="003B4FF1" w:rsidP="0028153F" w14:paraId="2A0B3CD6" w14:textId="0A0C968B">
      <w:pPr>
        <w:pStyle w:val="H2"/>
      </w:pPr>
      <w:r>
        <w:t>C.</w:t>
      </w:r>
      <w:r>
        <w:tab/>
      </w:r>
      <w:r w:rsidRPr="006048C5" w:rsidR="00831BED">
        <w:t xml:space="preserve">Methods to </w:t>
      </w:r>
      <w:r>
        <w:t>maximize response rates and deal with nonresponse</w:t>
      </w:r>
    </w:p>
    <w:p w:rsidR="008F2093" w:rsidRPr="008F2093" w:rsidP="006439F3" w14:paraId="06540E34" w14:textId="4E8E975B">
      <w:pPr>
        <w:pStyle w:val="H3"/>
      </w:pPr>
      <w:r>
        <w:t>1.</w:t>
      </w:r>
      <w:r>
        <w:tab/>
      </w:r>
      <w:r w:rsidR="00C837E7">
        <w:t>RUDI-R and RUDI-P</w:t>
      </w:r>
      <w:r w:rsidR="00E85031">
        <w:t>/S</w:t>
      </w:r>
      <w:r w:rsidR="00C837E7">
        <w:t xml:space="preserve"> Surveys </w:t>
      </w:r>
    </w:p>
    <w:p w:rsidR="008976EE" w:rsidP="006439F3" w14:paraId="5FB31037" w14:textId="654F908F">
      <w:pPr>
        <w:pStyle w:val="ParagraphContinued"/>
        <w:keepNext/>
        <w:keepLines/>
      </w:pPr>
      <w:r>
        <w:t xml:space="preserve">We will </w:t>
      </w:r>
      <w:r w:rsidR="00752829">
        <w:t xml:space="preserve">use five strategies to </w:t>
      </w:r>
      <w:r>
        <w:t>maximize survey r</w:t>
      </w:r>
      <w:r>
        <w:t xml:space="preserve">esponse rates. First, </w:t>
      </w:r>
      <w:r w:rsidR="008569C0">
        <w:t xml:space="preserve">both </w:t>
      </w:r>
      <w:r>
        <w:t>web survey</w:t>
      </w:r>
      <w:r w:rsidR="008569C0">
        <w:t>s</w:t>
      </w:r>
      <w:r>
        <w:t xml:space="preserve"> will contain primarily closed</w:t>
      </w:r>
      <w:r w:rsidR="00752829">
        <w:t>-</w:t>
      </w:r>
      <w:r>
        <w:t>ended questions</w:t>
      </w:r>
      <w:r w:rsidR="00752829">
        <w:t>,</w:t>
      </w:r>
      <w:r>
        <w:t xml:space="preserve"> and </w:t>
      </w:r>
      <w:r w:rsidR="00416225">
        <w:t xml:space="preserve">surveys will take </w:t>
      </w:r>
      <w:r>
        <w:t>no more than 15</w:t>
      </w:r>
      <w:r w:rsidR="000F41ED">
        <w:t>-20</w:t>
      </w:r>
      <w:r>
        <w:t xml:space="preserve"> minutes to complete. Second, the web survey will have integrated skip logic</w:t>
      </w:r>
      <w:r>
        <w:t>s</w:t>
      </w:r>
      <w:r>
        <w:t xml:space="preserve"> so that respondents are not exposed to or confused by non-applicable questions. Third, </w:t>
      </w:r>
      <w:r>
        <w:t xml:space="preserve">we will run </w:t>
      </w:r>
      <w:r w:rsidRPr="006048C5">
        <w:t xml:space="preserve">response </w:t>
      </w:r>
      <w:r>
        <w:t xml:space="preserve">rate </w:t>
      </w:r>
      <w:r w:rsidRPr="006048C5">
        <w:t xml:space="preserve">reports </w:t>
      </w:r>
      <w:r>
        <w:t xml:space="preserve">daily to </w:t>
      </w:r>
      <w:r w:rsidRPr="006048C5">
        <w:t>assess</w:t>
      </w:r>
      <w:r>
        <w:t xml:space="preserve"> completion</w:t>
      </w:r>
      <w:r w:rsidRPr="006048C5">
        <w:t xml:space="preserve"> and</w:t>
      </w:r>
      <w:r>
        <w:t xml:space="preserve"> identify additional outreach opportunities to encourage participation as needed</w:t>
      </w:r>
      <w:r w:rsidR="0066357E">
        <w:t xml:space="preserve"> (reminder and last chance email)</w:t>
      </w:r>
      <w:r w:rsidR="003D62DE">
        <w:t xml:space="preserve">. </w:t>
      </w:r>
      <w:r>
        <w:t xml:space="preserve">The response rates </w:t>
      </w:r>
      <w:r w:rsidR="000F41ED">
        <w:t xml:space="preserve">and a comparison of respondent vs. non-respondent characteristics (from </w:t>
      </w:r>
      <w:r w:rsidR="000D06FB">
        <w:t xml:space="preserve">the </w:t>
      </w:r>
      <w:r w:rsidR="000F41ED">
        <w:t>RSR</w:t>
      </w:r>
      <w:r w:rsidR="000D06FB">
        <w:t>/DSR files</w:t>
      </w:r>
      <w:r w:rsidR="000F41ED">
        <w:t xml:space="preserve">) </w:t>
      </w:r>
      <w:r>
        <w:t>will</w:t>
      </w:r>
      <w:r w:rsidR="00752829">
        <w:t xml:space="preserve"> let us know whether</w:t>
      </w:r>
      <w:r>
        <w:t xml:space="preserve"> data collection can cease </w:t>
      </w:r>
      <w:r>
        <w:t xml:space="preserve">before </w:t>
      </w:r>
      <w:r>
        <w:t xml:space="preserve">the end of the planned six-week field period. Fourth, </w:t>
      </w:r>
      <w:r>
        <w:t xml:space="preserve">we will offer </w:t>
      </w:r>
      <w:r>
        <w:t xml:space="preserve">an incentive of $50 for survey completion. </w:t>
      </w:r>
      <w:r w:rsidR="001F2158">
        <w:t>Research is limited on the impact of incentives on survey response rates among RWHAP providers.  However, in recent studies of school principals and physicians, $50 incentives outperformed incentives of lower amounts.</w:t>
      </w:r>
      <w:r>
        <w:rPr>
          <w:rStyle w:val="FootnoteReference"/>
        </w:rPr>
        <w:footnoteReference w:id="6"/>
      </w:r>
      <w:r w:rsidRPr="00126FF1" w:rsidR="001F2158">
        <w:rPr>
          <w:vertAlign w:val="superscript"/>
        </w:rPr>
        <w:t>,</w:t>
      </w:r>
      <w:r>
        <w:rPr>
          <w:rStyle w:val="FootnoteReference"/>
        </w:rPr>
        <w:footnoteReference w:id="7"/>
      </w:r>
      <w:r w:rsidRPr="00FF3F40" w:rsidR="001F2158">
        <w:t xml:space="preserve"> </w:t>
      </w:r>
      <w:r w:rsidR="001F2158">
        <w:t>Further, in an experiment embedded into the US Panel Study of Income Dynamics, the group that was offered $150 for early response had higher response rates than the group that was offered $75, regardless of completion time.</w:t>
      </w:r>
      <w:r>
        <w:rPr>
          <w:rStyle w:val="FootnoteReference"/>
        </w:rPr>
        <w:footnoteReference w:id="8"/>
      </w:r>
      <w:r w:rsidR="001F2158">
        <w:t xml:space="preserve"> </w:t>
      </w:r>
      <w:r>
        <w:t xml:space="preserve">Finally, survey topics are relevant to potential respondents’ daily work, which increases the likelihood </w:t>
      </w:r>
      <w:r>
        <w:t xml:space="preserve">that </w:t>
      </w:r>
      <w:r>
        <w:t>staff will participate</w:t>
      </w:r>
      <w:r w:rsidRPr="006048C5">
        <w:t xml:space="preserve">. </w:t>
      </w:r>
    </w:p>
    <w:p w:rsidR="008976EE" w:rsidP="008F2093" w14:paraId="5D72D4B6" w14:textId="53D7505A">
      <w:pPr>
        <w:pStyle w:val="Paragraph"/>
      </w:pPr>
      <w:r>
        <w:t>We anticipate a</w:t>
      </w:r>
      <w:r w:rsidRPr="006048C5">
        <w:t xml:space="preserve"> </w:t>
      </w:r>
      <w:r w:rsidR="00153BF4">
        <w:t xml:space="preserve">minimum </w:t>
      </w:r>
      <w:r w:rsidRPr="006048C5">
        <w:t>response rate</w:t>
      </w:r>
      <w:r>
        <w:t xml:space="preserve"> </w:t>
      </w:r>
      <w:r w:rsidR="00153BF4">
        <w:t xml:space="preserve">of 50 percent </w:t>
      </w:r>
      <w:r>
        <w:t>for</w:t>
      </w:r>
      <w:r w:rsidR="008569C0">
        <w:t xml:space="preserve"> both the RUDI-R and RUDI-P surveys. </w:t>
      </w:r>
      <w:r>
        <w:t>We will perform a</w:t>
      </w:r>
      <w:r w:rsidRPr="003E1430">
        <w:t xml:space="preserve"> nonresponse </w:t>
      </w:r>
      <w:r>
        <w:t xml:space="preserve">bias analysis </w:t>
      </w:r>
      <w:r w:rsidRPr="003E1430">
        <w:t xml:space="preserve">to determine if </w:t>
      </w:r>
      <w:r w:rsidR="00E16FA6">
        <w:t xml:space="preserve">we need to apply </w:t>
      </w:r>
      <w:r w:rsidRPr="003E1430">
        <w:t xml:space="preserve">survey weight adjustments to reduce </w:t>
      </w:r>
      <w:r w:rsidR="00E16FA6">
        <w:t xml:space="preserve">the </w:t>
      </w:r>
      <w:r w:rsidRPr="003E1430">
        <w:t>potential bias</w:t>
      </w:r>
      <w:r w:rsidR="00E16FA6">
        <w:t xml:space="preserve"> in the responses</w:t>
      </w:r>
      <w:r w:rsidR="003D62DE">
        <w:t xml:space="preserve">. </w:t>
      </w:r>
      <w:r w:rsidR="00E16FA6">
        <w:t>We will perform a</w:t>
      </w:r>
      <w:r w:rsidRPr="003E1430">
        <w:t>ll weighting work using SAS</w:t>
      </w:r>
      <w:r w:rsidRPr="008F2093">
        <w:rPr>
          <w:vertAlign w:val="superscript"/>
        </w:rPr>
        <w:t>®</w:t>
      </w:r>
      <w:r w:rsidRPr="003E1430">
        <w:t xml:space="preserve"> software.</w:t>
      </w:r>
    </w:p>
    <w:p w:rsidR="00306264" w:rsidP="00306264" w14:paraId="24C6873F" w14:textId="7D4093ED">
      <w:pPr>
        <w:pStyle w:val="H3"/>
      </w:pPr>
      <w:r>
        <w:t>2.</w:t>
      </w:r>
      <w:r>
        <w:tab/>
      </w:r>
      <w:r w:rsidRPr="008F2093" w:rsidR="00CE784A">
        <w:t>Virtual site visits</w:t>
      </w:r>
      <w:r w:rsidR="00C837E7">
        <w:t>, recipient interviews, AETC interviews</w:t>
      </w:r>
    </w:p>
    <w:p w:rsidR="007735FE" w:rsidP="00306264" w14:paraId="38ACD10B" w14:textId="44664CA5">
      <w:pPr>
        <w:pStyle w:val="ParagraphContinued"/>
      </w:pPr>
      <w:r>
        <w:t>We will minimize n</w:t>
      </w:r>
      <w:r w:rsidR="00B82E5C">
        <w:t xml:space="preserve">onresponse </w:t>
      </w:r>
      <w:r>
        <w:t xml:space="preserve">among the site visit </w:t>
      </w:r>
      <w:r w:rsidR="008569C0">
        <w:t xml:space="preserve">and individual </w:t>
      </w:r>
      <w:r>
        <w:t>interview</w:t>
      </w:r>
      <w:r w:rsidR="008569C0">
        <w:t xml:space="preserve"> participants </w:t>
      </w:r>
      <w:r w:rsidR="00B82E5C">
        <w:t xml:space="preserve">by </w:t>
      </w:r>
      <w:r>
        <w:t>(</w:t>
      </w:r>
      <w:r w:rsidR="009D13B7">
        <w:t xml:space="preserve">1) </w:t>
      </w:r>
      <w:r w:rsidR="00831F04">
        <w:t>providing a letter of support from HAB leaders</w:t>
      </w:r>
      <w:r>
        <w:t>;</w:t>
      </w:r>
      <w:r w:rsidR="00831F04">
        <w:t xml:space="preserve"> </w:t>
      </w:r>
      <w:r>
        <w:t>(</w:t>
      </w:r>
      <w:r w:rsidR="00831F04">
        <w:t xml:space="preserve">2) </w:t>
      </w:r>
      <w:r>
        <w:t xml:space="preserve">providing </w:t>
      </w:r>
      <w:r w:rsidR="00831F04">
        <w:t>clear and compelling recruitment materials</w:t>
      </w:r>
      <w:r w:rsidR="006E3E12">
        <w:t xml:space="preserve"> (and following-up with additional emails to non-responders)</w:t>
      </w:r>
      <w:r>
        <w:t>;</w:t>
      </w:r>
      <w:r w:rsidR="00831F04">
        <w:t xml:space="preserve"> </w:t>
      </w:r>
      <w:r>
        <w:t xml:space="preserve">(3) </w:t>
      </w:r>
      <w:r w:rsidR="00831F04">
        <w:t>offering multiple ways to express interest in participating</w:t>
      </w:r>
      <w:r>
        <w:t>;</w:t>
      </w:r>
      <w:r w:rsidR="00831F04">
        <w:t xml:space="preserve"> </w:t>
      </w:r>
      <w:r>
        <w:t>(4</w:t>
      </w:r>
      <w:r w:rsidR="00DA70BA">
        <w:t xml:space="preserve">) </w:t>
      </w:r>
      <w:r w:rsidR="00831F04">
        <w:t xml:space="preserve">limiting interviews to </w:t>
      </w:r>
      <w:r w:rsidR="00752829">
        <w:t>one</w:t>
      </w:r>
      <w:r w:rsidR="00DA70BA">
        <w:t xml:space="preserve"> hour, with most lasting no longer than 30 minutes</w:t>
      </w:r>
      <w:r>
        <w:t>;</w:t>
      </w:r>
      <w:r w:rsidR="00DA70BA">
        <w:t xml:space="preserve"> </w:t>
      </w:r>
      <w:r>
        <w:t>(5</w:t>
      </w:r>
      <w:r>
        <w:t xml:space="preserve">) scheduling interviews at a </w:t>
      </w:r>
      <w:r>
        <w:t xml:space="preserve">day and </w:t>
      </w:r>
      <w:r>
        <w:t>time convenient for the interviewee</w:t>
      </w:r>
      <w:r>
        <w:t>;</w:t>
      </w:r>
      <w:r>
        <w:t xml:space="preserve"> </w:t>
      </w:r>
      <w:r w:rsidR="00905EF3">
        <w:t xml:space="preserve">and </w:t>
      </w:r>
      <w:r>
        <w:t>(6</w:t>
      </w:r>
      <w:r>
        <w:t>) offering an incentive payment to provider</w:t>
      </w:r>
      <w:r>
        <w:t>s</w:t>
      </w:r>
      <w:r>
        <w:t>.</w:t>
      </w:r>
      <w:r w:rsidR="00935291">
        <w:t xml:space="preserve"> </w:t>
      </w:r>
      <w:r w:rsidR="00752829">
        <w:t>O</w:t>
      </w:r>
      <w:r w:rsidR="00935291">
        <w:t>ffering interviews virtually, rather than in-person, allows greater flexibility for provider participa</w:t>
      </w:r>
      <w:r w:rsidR="00C34E4C">
        <w:t>nts.</w:t>
      </w:r>
    </w:p>
    <w:p w:rsidR="00E85031" w:rsidRPr="00E85031" w:rsidP="00E85031" w14:paraId="53A3E93F" w14:textId="29BA2FC5">
      <w:pPr>
        <w:pStyle w:val="Paragraph"/>
      </w:pPr>
      <w:r>
        <w:t>For all data collections listed above, if response is suboptimal, we may add additional reminder emails, either from HAB or from Mathematica, to further legitimize the survey effort and encourage response.</w:t>
      </w:r>
      <w:r w:rsidR="00CF3F3B">
        <w:t xml:space="preserve"> Any added emails will use the same language as that used in emails contained within Appendix F (survey correspondence) and Appendix G (virtual site visit, recipient, and AETC interview correspondence).  </w:t>
      </w:r>
    </w:p>
    <w:p w:rsidR="00D26F9A" w:rsidRPr="006048C5" w:rsidP="008F2093" w14:paraId="4D4CE108" w14:textId="6F2C3EC4">
      <w:pPr>
        <w:pStyle w:val="H2"/>
      </w:pPr>
      <w:r>
        <w:t>D.</w:t>
      </w:r>
      <w:r>
        <w:tab/>
      </w:r>
      <w:r w:rsidRPr="006048C5" w:rsidR="00831BED">
        <w:t xml:space="preserve">Tests of </w:t>
      </w:r>
      <w:r>
        <w:t>procedures or methods to be u</w:t>
      </w:r>
      <w:r w:rsidRPr="006048C5" w:rsidR="00831BED">
        <w:t xml:space="preserve">ndertaken </w:t>
      </w:r>
    </w:p>
    <w:p w:rsidR="00624B18" w:rsidP="008F2093" w14:paraId="2B9631C3" w14:textId="21AA53C1">
      <w:pPr>
        <w:pStyle w:val="ParagraphContinued"/>
      </w:pPr>
      <w:r w:rsidRPr="00153BF4">
        <w:t xml:space="preserve">We pilot tested </w:t>
      </w:r>
      <w:r w:rsidR="008E06FE">
        <w:t>the RUDI-P/S</w:t>
      </w:r>
      <w:r>
        <w:t xml:space="preserve"> and RUDI-R surveys, the RWHAP provider discussion guide, the Part A and B administrative recipient discussion guide, and the AETC discussion guide. </w:t>
      </w:r>
      <w:r w:rsidR="009E55D3">
        <w:t xml:space="preserve">Pilot test participants were selected from lists provided by HRSA project officers. </w:t>
      </w:r>
      <w:r w:rsidR="006E3E12">
        <w:t xml:space="preserve">Participants were selected so that there was diversity </w:t>
      </w:r>
      <w:r w:rsidR="00FE34EE">
        <w:t>regarding</w:t>
      </w:r>
      <w:r w:rsidR="006E3E12">
        <w:t xml:space="preserve"> </w:t>
      </w:r>
      <w:r w:rsidR="009E55D3">
        <w:t xml:space="preserve">geography, provider type (health department, community-based organization, etc.), and the RWHAP funding source. </w:t>
      </w:r>
      <w:r w:rsidR="00FE34EE">
        <w:t xml:space="preserve">Below, we first describe the </w:t>
      </w:r>
      <w:r>
        <w:t>pilot test process</w:t>
      </w:r>
      <w:r w:rsidR="00FE34EE">
        <w:t xml:space="preserve">. Then, we present the findings and resultant changes made to the survey instruments, discussion guides, and sampling and </w:t>
      </w:r>
      <w:r w:rsidR="000037E3">
        <w:t>interview strategies</w:t>
      </w:r>
      <w:r w:rsidR="00FE34EE">
        <w:t xml:space="preserve">. </w:t>
      </w:r>
    </w:p>
    <w:p w:rsidR="00624B18" w:rsidP="00624B18" w14:paraId="6F1439FC" w14:textId="3116B553">
      <w:pPr>
        <w:pStyle w:val="ListNumber"/>
        <w:numPr>
          <w:ilvl w:val="0"/>
          <w:numId w:val="40"/>
        </w:numPr>
        <w:spacing w:line="259" w:lineRule="auto"/>
      </w:pPr>
      <w:r w:rsidRPr="009E55D3">
        <w:rPr>
          <w:b/>
          <w:bCs/>
        </w:rPr>
        <w:t>RUDI-P</w:t>
      </w:r>
      <w:r w:rsidR="006E3E12">
        <w:rPr>
          <w:b/>
          <w:bCs/>
        </w:rPr>
        <w:t>/S</w:t>
      </w:r>
      <w:r w:rsidRPr="009E55D3">
        <w:rPr>
          <w:b/>
          <w:bCs/>
        </w:rPr>
        <w:t xml:space="preserve"> Survey. </w:t>
      </w:r>
      <w:r w:rsidRPr="009E55D3" w:rsidR="009E55D3">
        <w:t xml:space="preserve">Nine </w:t>
      </w:r>
      <w:r w:rsidR="009E55D3">
        <w:t xml:space="preserve">geographically diverse </w:t>
      </w:r>
      <w:r w:rsidR="006E3E12">
        <w:t xml:space="preserve">RWHAP </w:t>
      </w:r>
      <w:r w:rsidRPr="009E55D3" w:rsidR="009E55D3">
        <w:t>providers</w:t>
      </w:r>
      <w:r w:rsidR="009E55D3">
        <w:t xml:space="preserve"> with differing organizational characteristics </w:t>
      </w:r>
      <w:r w:rsidRPr="009E55D3" w:rsidR="009E55D3">
        <w:t>were asked to</w:t>
      </w:r>
      <w:r w:rsidRPr="009E55D3" w:rsidR="009E55D3">
        <w:rPr>
          <w:b/>
          <w:bCs/>
        </w:rPr>
        <w:t xml:space="preserve"> </w:t>
      </w:r>
      <w:r w:rsidRPr="009E55D3">
        <w:t>pilot test the web-based RUDI-P</w:t>
      </w:r>
      <w:r w:rsidR="006E3E12">
        <w:t>/S</w:t>
      </w:r>
      <w:r w:rsidRPr="009E55D3">
        <w:t xml:space="preserve"> Survey.</w:t>
      </w:r>
      <w:r w:rsidR="009E55D3">
        <w:t xml:space="preserve"> </w:t>
      </w:r>
      <w:r w:rsidRPr="009E55D3">
        <w:t xml:space="preserve">After </w:t>
      </w:r>
      <w:r w:rsidRPr="009E55D3" w:rsidR="009E55D3">
        <w:t xml:space="preserve">each </w:t>
      </w:r>
      <w:r w:rsidRPr="001B243C">
        <w:t>agree</w:t>
      </w:r>
      <w:r>
        <w:t>d</w:t>
      </w:r>
      <w:r w:rsidRPr="001B243C">
        <w:t xml:space="preserve"> to</w:t>
      </w:r>
      <w:r>
        <w:t xml:space="preserve"> participate</w:t>
      </w:r>
      <w:r w:rsidRPr="001B243C">
        <w:t xml:space="preserve">, </w:t>
      </w:r>
      <w:r>
        <w:t xml:space="preserve">we emailed a </w:t>
      </w:r>
      <w:r w:rsidRPr="001B243C">
        <w:t>hyperlink to the survey</w:t>
      </w:r>
      <w:r w:rsidRPr="000E06E2">
        <w:t xml:space="preserve"> </w:t>
      </w:r>
      <w:r>
        <w:t>on a rolling basis</w:t>
      </w:r>
      <w:r w:rsidRPr="001B243C">
        <w:t>.</w:t>
      </w:r>
      <w:r w:rsidRPr="009E01F9">
        <w:t xml:space="preserve"> </w:t>
      </w:r>
      <w:r w:rsidRPr="001B243C">
        <w:t xml:space="preserve">After the first </w:t>
      </w:r>
      <w:r>
        <w:t xml:space="preserve">four </w:t>
      </w:r>
      <w:r w:rsidRPr="001B243C">
        <w:t xml:space="preserve">RWHAP providers completed the survey, we reviewed </w:t>
      </w:r>
      <w:r>
        <w:t>the</w:t>
      </w:r>
      <w:r w:rsidRPr="001B243C">
        <w:t xml:space="preserve"> results and </w:t>
      </w:r>
      <w:r>
        <w:t>made</w:t>
      </w:r>
      <w:r w:rsidRPr="001B243C">
        <w:t xml:space="preserve"> a few changes </w:t>
      </w:r>
      <w:r>
        <w:t>to the survey instrument to</w:t>
      </w:r>
      <w:r w:rsidRPr="001B243C">
        <w:t xml:space="preserve"> improve the quality of the data </w:t>
      </w:r>
      <w:r>
        <w:t xml:space="preserve">collected and </w:t>
      </w:r>
      <w:r w:rsidRPr="001B243C">
        <w:t>user</w:t>
      </w:r>
      <w:r>
        <w:t>s’</w:t>
      </w:r>
      <w:r w:rsidRPr="001B243C">
        <w:t xml:space="preserve"> experience</w:t>
      </w:r>
      <w:r>
        <w:t xml:space="preserve"> completing the survey</w:t>
      </w:r>
      <w:r w:rsidRPr="001B243C">
        <w:t>.</w:t>
      </w:r>
      <w:r>
        <w:t xml:space="preserve"> After making</w:t>
      </w:r>
      <w:r w:rsidRPr="001B243C">
        <w:t xml:space="preserve"> updates, </w:t>
      </w:r>
      <w:r>
        <w:t xml:space="preserve">we emailed </w:t>
      </w:r>
      <w:r w:rsidRPr="001B243C">
        <w:t>the remaining f</w:t>
      </w:r>
      <w:r>
        <w:t>ive</w:t>
      </w:r>
      <w:r w:rsidRPr="001B243C">
        <w:t xml:space="preserve"> providers </w:t>
      </w:r>
      <w:r>
        <w:t xml:space="preserve">a </w:t>
      </w:r>
      <w:r w:rsidRPr="001B243C">
        <w:t xml:space="preserve">hyperlink </w:t>
      </w:r>
      <w:r>
        <w:t xml:space="preserve">to </w:t>
      </w:r>
      <w:r w:rsidRPr="001B243C">
        <w:t>the updated version of the RUDI</w:t>
      </w:r>
      <w:r>
        <w:t>-P</w:t>
      </w:r>
      <w:r w:rsidR="000D06FB">
        <w:t>/S</w:t>
      </w:r>
      <w:r>
        <w:t xml:space="preserve"> </w:t>
      </w:r>
      <w:r w:rsidRPr="001B243C">
        <w:t>Survey</w:t>
      </w:r>
      <w:r>
        <w:t>.</w:t>
      </w:r>
    </w:p>
    <w:p w:rsidR="00624B18" w:rsidRPr="0005715A" w:rsidP="00624B18" w14:paraId="76017E24" w14:textId="407D7630">
      <w:pPr>
        <w:pStyle w:val="ListNumber"/>
        <w:numPr>
          <w:ilvl w:val="0"/>
          <w:numId w:val="40"/>
        </w:numPr>
        <w:spacing w:line="259" w:lineRule="auto"/>
      </w:pPr>
      <w:r w:rsidRPr="009E01F9">
        <w:rPr>
          <w:b/>
          <w:bCs/>
        </w:rPr>
        <w:t>RUDI-R Survey.</w:t>
      </w:r>
      <w:r w:rsidRPr="0005715A">
        <w:t xml:space="preserve"> </w:t>
      </w:r>
      <w:r>
        <w:t>About</w:t>
      </w:r>
      <w:r w:rsidRPr="0005715A">
        <w:t xml:space="preserve"> one week after contacting </w:t>
      </w:r>
      <w:r>
        <w:t xml:space="preserve">the </w:t>
      </w:r>
      <w:r w:rsidRPr="0005715A">
        <w:t xml:space="preserve">providers, we </w:t>
      </w:r>
      <w:r>
        <w:t>reached out</w:t>
      </w:r>
      <w:r w:rsidRPr="0005715A">
        <w:t xml:space="preserve"> to </w:t>
      </w:r>
      <w:r>
        <w:t xml:space="preserve">four Parts A or B recipients </w:t>
      </w:r>
      <w:r w:rsidRPr="0005715A">
        <w:t xml:space="preserve">to </w:t>
      </w:r>
      <w:r>
        <w:t>request t</w:t>
      </w:r>
      <w:r w:rsidRPr="0005715A">
        <w:t>heir assistance in testing the web-based RUDI-R Survey.</w:t>
      </w:r>
      <w:r>
        <w:t xml:space="preserve"> R</w:t>
      </w:r>
      <w:r w:rsidRPr="0005715A">
        <w:t>ecipient recruitment began after provider recruitment</w:t>
      </w:r>
      <w:r>
        <w:t>. Because</w:t>
      </w:r>
      <w:r w:rsidRPr="0005715A">
        <w:t xml:space="preserve"> the </w:t>
      </w:r>
      <w:r>
        <w:t xml:space="preserve">RUDI-P and RUDI-R </w:t>
      </w:r>
      <w:r w:rsidRPr="0005715A">
        <w:t xml:space="preserve">surveys </w:t>
      </w:r>
      <w:r>
        <w:t>had some questions in common</w:t>
      </w:r>
      <w:r w:rsidRPr="0005715A">
        <w:t xml:space="preserve">, we </w:t>
      </w:r>
      <w:r>
        <w:t xml:space="preserve">made several </w:t>
      </w:r>
      <w:r w:rsidRPr="0005715A">
        <w:t xml:space="preserve">changes to the </w:t>
      </w:r>
      <w:r>
        <w:t>RUDI-R S</w:t>
      </w:r>
      <w:r w:rsidRPr="0005715A">
        <w:t xml:space="preserve">urvey that </w:t>
      </w:r>
      <w:r>
        <w:t xml:space="preserve">we had previously made to </w:t>
      </w:r>
      <w:r w:rsidRPr="0005715A">
        <w:t xml:space="preserve">the </w:t>
      </w:r>
      <w:r>
        <w:t>RUDI-P</w:t>
      </w:r>
      <w:r w:rsidR="003D4F67">
        <w:t>/S</w:t>
      </w:r>
      <w:r>
        <w:t xml:space="preserve"> S</w:t>
      </w:r>
      <w:r w:rsidRPr="0005715A">
        <w:t xml:space="preserve">urvey. </w:t>
      </w:r>
      <w:r>
        <w:t>After</w:t>
      </w:r>
      <w:r w:rsidRPr="0005715A">
        <w:t xml:space="preserve"> </w:t>
      </w:r>
      <w:r>
        <w:t>updating the RUDI-R S</w:t>
      </w:r>
      <w:r w:rsidRPr="0005715A">
        <w:t xml:space="preserve">urvey, we </w:t>
      </w:r>
      <w:r>
        <w:t>emailed</w:t>
      </w:r>
      <w:r w:rsidRPr="0005715A">
        <w:t xml:space="preserve"> </w:t>
      </w:r>
      <w:r>
        <w:t xml:space="preserve">the four </w:t>
      </w:r>
      <w:r w:rsidRPr="0005715A">
        <w:t>recipient</w:t>
      </w:r>
      <w:r>
        <w:t>s</w:t>
      </w:r>
      <w:r w:rsidRPr="0005715A">
        <w:t xml:space="preserve"> </w:t>
      </w:r>
      <w:r>
        <w:t>a</w:t>
      </w:r>
      <w:r w:rsidRPr="0005715A">
        <w:t xml:space="preserve"> hyperlink to the survey. </w:t>
      </w:r>
    </w:p>
    <w:p w:rsidR="00624B18" w:rsidP="00624B18" w14:paraId="32512630" w14:textId="038544DA">
      <w:pPr>
        <w:pStyle w:val="ListNumber"/>
        <w:numPr>
          <w:ilvl w:val="0"/>
          <w:numId w:val="40"/>
        </w:numPr>
        <w:spacing w:line="259" w:lineRule="auto"/>
      </w:pPr>
      <w:r>
        <w:rPr>
          <w:b/>
          <w:bCs/>
        </w:rPr>
        <w:t>RWHAP provider</w:t>
      </w:r>
      <w:r w:rsidRPr="009E01F9">
        <w:rPr>
          <w:b/>
          <w:bCs/>
        </w:rPr>
        <w:t xml:space="preserve"> discussion guide.</w:t>
      </w:r>
      <w:r>
        <w:t xml:space="preserve"> We selected five of the nine</w:t>
      </w:r>
      <w:r w:rsidRPr="001B243C">
        <w:t xml:space="preserve"> RWHAP providers</w:t>
      </w:r>
      <w:r>
        <w:t xml:space="preserve"> who completed the RUDI-P</w:t>
      </w:r>
      <w:r w:rsidR="003D4F67">
        <w:t>/S</w:t>
      </w:r>
      <w:r>
        <w:t xml:space="preserve"> Survey</w:t>
      </w:r>
      <w:r w:rsidRPr="001B243C">
        <w:t xml:space="preserve"> </w:t>
      </w:r>
      <w:r>
        <w:t xml:space="preserve">pilot test </w:t>
      </w:r>
      <w:r w:rsidRPr="001B243C">
        <w:t xml:space="preserve">to </w:t>
      </w:r>
      <w:r>
        <w:t xml:space="preserve">also </w:t>
      </w:r>
      <w:r w:rsidRPr="001B243C">
        <w:t>participate in pilot testing the discussion guide</w:t>
      </w:r>
      <w:r>
        <w:t>. These five providers indicated on the RUDI-P</w:t>
      </w:r>
      <w:r w:rsidR="003D4F67">
        <w:t>/S</w:t>
      </w:r>
      <w:r>
        <w:t xml:space="preserve"> Survey that</w:t>
      </w:r>
      <w:r w:rsidRPr="0005715A">
        <w:t xml:space="preserve"> they used </w:t>
      </w:r>
      <w:r>
        <w:t xml:space="preserve">resources from the </w:t>
      </w:r>
      <w:r w:rsidRPr="0005715A">
        <w:t xml:space="preserve">TargetHIV </w:t>
      </w:r>
      <w:r>
        <w:t>website</w:t>
      </w:r>
      <w:r w:rsidRPr="0005715A">
        <w:t xml:space="preserve"> to improve care for people with HIV</w:t>
      </w:r>
      <w:r>
        <w:t>, which was the criteria we intended to use for selecting providers in the evaluation.</w:t>
      </w:r>
      <w:r w:rsidRPr="0005715A">
        <w:t xml:space="preserve"> </w:t>
      </w:r>
    </w:p>
    <w:p w:rsidR="00624B18" w:rsidRPr="009E01F9" w:rsidP="00624B18" w14:paraId="6E32C3B2" w14:textId="77777777">
      <w:pPr>
        <w:pStyle w:val="ListNumber"/>
        <w:numPr>
          <w:ilvl w:val="0"/>
          <w:numId w:val="40"/>
        </w:numPr>
        <w:spacing w:line="259" w:lineRule="auto"/>
        <w:rPr>
          <w:b/>
          <w:bCs/>
        </w:rPr>
      </w:pPr>
      <w:r>
        <w:rPr>
          <w:b/>
          <w:bCs/>
        </w:rPr>
        <w:t>Part A and B administrative r</w:t>
      </w:r>
      <w:r w:rsidRPr="009E01F9">
        <w:rPr>
          <w:b/>
          <w:bCs/>
        </w:rPr>
        <w:t>ecipient discussion guide.</w:t>
      </w:r>
      <w:r w:rsidRPr="00E525EE">
        <w:t xml:space="preserve"> </w:t>
      </w:r>
      <w:r>
        <w:t xml:space="preserve">We pilot tested the recipient discussion guide with three Parts A and B recipients.  </w:t>
      </w:r>
    </w:p>
    <w:p w:rsidR="00624B18" w:rsidRPr="00110DD8" w:rsidP="00624B18" w14:paraId="2C8A6FB6" w14:textId="77777777">
      <w:pPr>
        <w:pStyle w:val="ListNumber"/>
        <w:numPr>
          <w:ilvl w:val="0"/>
          <w:numId w:val="40"/>
        </w:numPr>
        <w:spacing w:line="259" w:lineRule="auto"/>
      </w:pPr>
      <w:r w:rsidRPr="005A44D4">
        <w:rPr>
          <w:b/>
          <w:bCs/>
        </w:rPr>
        <w:t>AETC discussion guide</w:t>
      </w:r>
      <w:r w:rsidRPr="00EA4E95">
        <w:rPr>
          <w:b/>
          <w:bCs/>
        </w:rPr>
        <w:t>.</w:t>
      </w:r>
      <w:r>
        <w:t xml:space="preserve"> We piloted tested the AETC discussion guide with one regional AETC. </w:t>
      </w:r>
    </w:p>
    <w:p w:rsidR="00624B18" w:rsidRPr="00402976" w:rsidP="008F2093" w14:paraId="04C82994" w14:textId="48629A15">
      <w:pPr>
        <w:pStyle w:val="ParagraphContinued"/>
        <w:rPr>
          <w:i/>
          <w:iCs/>
        </w:rPr>
      </w:pPr>
      <w:r w:rsidRPr="00402976">
        <w:rPr>
          <w:i/>
          <w:iCs/>
        </w:rPr>
        <w:t>Pilot test results for the RUDI-P/S and RUDI-R surveys</w:t>
      </w:r>
    </w:p>
    <w:p w:rsidR="009E3332" w:rsidP="008F2093" w14:paraId="1E23DF05" w14:textId="0D20C491">
      <w:pPr>
        <w:pStyle w:val="ParagraphContinued"/>
      </w:pPr>
      <w:r>
        <w:t xml:space="preserve">We pilot tested the </w:t>
      </w:r>
      <w:r w:rsidR="00C35068">
        <w:t xml:space="preserve">RUDI-P/S and RUDI-R surveys to ensure that 1) question wording and response options were appropriate and clear, 2) that the survey was easy to complete technologically, and 3) that the survey burden estimate was accurate. Exhibit </w:t>
      </w:r>
      <w:r w:rsidR="00FE34EE">
        <w:t xml:space="preserve">2 </w:t>
      </w:r>
      <w:r>
        <w:t xml:space="preserve">describes the key </w:t>
      </w:r>
      <w:r w:rsidR="0085467A">
        <w:t xml:space="preserve">findings from pilot testing </w:t>
      </w:r>
      <w:r w:rsidR="00402976">
        <w:t>the survey instruments a</w:t>
      </w:r>
      <w:r w:rsidR="0085467A">
        <w:t xml:space="preserve">nd </w:t>
      </w:r>
      <w:r w:rsidR="00FE34EE">
        <w:t xml:space="preserve">subsequent </w:t>
      </w:r>
      <w:r>
        <w:t xml:space="preserve">changes made to </w:t>
      </w:r>
      <w:r w:rsidR="00402976">
        <w:t xml:space="preserve">improve data quality and </w:t>
      </w:r>
      <w:r>
        <w:t>reduce respondent burden</w:t>
      </w:r>
      <w:r w:rsidR="00402976">
        <w:t>.</w:t>
      </w:r>
    </w:p>
    <w:p w:rsidR="0028153F" w:rsidP="00C35068" w14:paraId="2980F339" w14:textId="77777777">
      <w:pPr>
        <w:pStyle w:val="ExhibitTitle"/>
        <w:rPr>
          <w:bCs/>
        </w:rPr>
      </w:pPr>
      <w:r>
        <w:rPr>
          <w:bCs/>
        </w:rPr>
        <w:br w:type="page"/>
      </w:r>
    </w:p>
    <w:p w:rsidR="00C35068" w:rsidRPr="001815A3" w:rsidP="00C35068" w14:paraId="63D96E54" w14:textId="7E76AABC">
      <w:pPr>
        <w:pStyle w:val="ExhibitTitle"/>
        <w:rPr>
          <w:b w:val="0"/>
          <w:bCs/>
        </w:rPr>
      </w:pPr>
      <w:r w:rsidRPr="001815A3">
        <w:rPr>
          <w:bCs/>
        </w:rPr>
        <w:t xml:space="preserve">Exhibit </w:t>
      </w:r>
      <w:r w:rsidR="00FE34EE">
        <w:rPr>
          <w:bCs/>
        </w:rPr>
        <w:t>2</w:t>
      </w:r>
      <w:r>
        <w:rPr>
          <w:bCs/>
        </w:rPr>
        <w:t>.</w:t>
      </w:r>
      <w:r w:rsidRPr="001815A3">
        <w:rPr>
          <w:bCs/>
        </w:rPr>
        <w:t xml:space="preserve"> </w:t>
      </w:r>
      <w:r>
        <w:rPr>
          <w:bCs/>
        </w:rPr>
        <w:t>Survey</w:t>
      </w:r>
      <w:r w:rsidRPr="001815A3">
        <w:rPr>
          <w:bCs/>
        </w:rPr>
        <w:t xml:space="preserve"> </w:t>
      </w:r>
      <w:r>
        <w:rPr>
          <w:bCs/>
        </w:rPr>
        <w:t>experiences</w:t>
      </w:r>
      <w:r w:rsidRPr="001815A3">
        <w:rPr>
          <w:bCs/>
        </w:rPr>
        <w:t xml:space="preserve"> and </w:t>
      </w:r>
      <w:r w:rsidR="00FE34EE">
        <w:rPr>
          <w:bCs/>
        </w:rPr>
        <w:t xml:space="preserve">subsequent </w:t>
      </w:r>
      <w:r w:rsidRPr="001815A3">
        <w:rPr>
          <w:bCs/>
        </w:rPr>
        <w:t>changes</w:t>
      </w:r>
    </w:p>
    <w:tbl>
      <w:tblPr>
        <w:tblStyle w:val="BaseTable"/>
        <w:tblW w:w="0" w:type="auto"/>
        <w:tblLook w:val="04A0"/>
      </w:tblPr>
      <w:tblGrid>
        <w:gridCol w:w="4051"/>
        <w:gridCol w:w="4949"/>
      </w:tblGrid>
      <w:tr w14:paraId="7BE231A3" w14:textId="77777777" w:rsidTr="00AD0E8E">
        <w:tblPrEx>
          <w:tblW w:w="0" w:type="auto"/>
          <w:tblLook w:val="04A0"/>
        </w:tblPrEx>
        <w:trPr>
          <w:cantSplit/>
          <w:tblHeader/>
        </w:trPr>
        <w:tc>
          <w:tcPr>
            <w:tcW w:w="0" w:type="auto"/>
            <w:tcBorders>
              <w:top w:val="single" w:sz="4" w:space="0" w:color="046B5C" w:themeColor="text2"/>
              <w:right w:val="nil"/>
            </w:tcBorders>
            <w:vAlign w:val="center"/>
          </w:tcPr>
          <w:p w:rsidR="00C35068" w:rsidRPr="00BF0944" w:rsidP="00AD0E8E" w14:paraId="276A8B25" w14:textId="77777777">
            <w:pPr>
              <w:pStyle w:val="TableHeaderLeft"/>
              <w:rPr>
                <w:rFonts w:ascii="Arial Narrow" w:hAnsi="Arial Narrow"/>
              </w:rPr>
            </w:pPr>
            <w:r w:rsidRPr="00BF0944">
              <w:rPr>
                <w:rFonts w:ascii="Arial Narrow" w:hAnsi="Arial Narrow"/>
              </w:rPr>
              <w:t>Experience</w:t>
            </w:r>
          </w:p>
        </w:tc>
        <w:tc>
          <w:tcPr>
            <w:tcW w:w="0" w:type="auto"/>
            <w:tcBorders>
              <w:left w:val="nil"/>
              <w:bottom w:val="nil"/>
            </w:tcBorders>
            <w:vAlign w:val="center"/>
          </w:tcPr>
          <w:p w:rsidR="00C35068" w:rsidRPr="00BF0944" w:rsidP="00AD0E8E" w14:paraId="3D68E33B" w14:textId="70EAC90E">
            <w:pPr>
              <w:pStyle w:val="TableHeaderLeft"/>
              <w:rPr>
                <w:rFonts w:ascii="Arial Narrow" w:hAnsi="Arial Narrow"/>
              </w:rPr>
            </w:pPr>
            <w:r w:rsidRPr="00BF0944">
              <w:rPr>
                <w:rFonts w:ascii="Arial Narrow" w:hAnsi="Arial Narrow"/>
              </w:rPr>
              <w:t>Change</w:t>
            </w:r>
            <w:r w:rsidRPr="00BF0944" w:rsidR="00FE34EE">
              <w:rPr>
                <w:rFonts w:ascii="Arial Narrow" w:hAnsi="Arial Narrow"/>
              </w:rPr>
              <w:t>(s)</w:t>
            </w:r>
          </w:p>
        </w:tc>
      </w:tr>
      <w:tr w14:paraId="28BAECDD" w14:textId="77777777" w:rsidTr="00AD0E8E">
        <w:tblPrEx>
          <w:tblW w:w="0" w:type="auto"/>
          <w:tblLook w:val="04A0"/>
        </w:tblPrEx>
        <w:trPr>
          <w:cantSplit/>
        </w:trPr>
        <w:tc>
          <w:tcPr>
            <w:tcW w:w="0" w:type="auto"/>
            <w:tcBorders>
              <w:top w:val="single" w:sz="4" w:space="0" w:color="046B5C" w:themeColor="text2"/>
            </w:tcBorders>
          </w:tcPr>
          <w:p w:rsidR="00C35068" w:rsidRPr="00BF0944" w:rsidP="00E901B1" w14:paraId="2F9726F0" w14:textId="77777777">
            <w:pPr>
              <w:pStyle w:val="TableListNumber"/>
              <w:numPr>
                <w:ilvl w:val="0"/>
                <w:numId w:val="43"/>
              </w:numPr>
              <w:spacing w:line="240" w:lineRule="atLeast"/>
              <w:rPr>
                <w:rFonts w:ascii="Arial Narrow" w:hAnsi="Arial Narrow"/>
              </w:rPr>
            </w:pPr>
            <w:r w:rsidRPr="00BF0944">
              <w:rPr>
                <w:rFonts w:ascii="Arial Narrow" w:hAnsi="Arial Narrow"/>
              </w:rPr>
              <w:t>Interview participants required examples to understand the meaning ascribed to “resources” and “interventions” in the survey instruments.</w:t>
            </w:r>
          </w:p>
        </w:tc>
        <w:tc>
          <w:tcPr>
            <w:tcW w:w="0" w:type="auto"/>
            <w:tcBorders>
              <w:top w:val="nil"/>
            </w:tcBorders>
          </w:tcPr>
          <w:p w:rsidR="00C35068" w:rsidRPr="00BF0944" w:rsidP="00C35068" w14:paraId="54BD8E3E" w14:textId="77777777">
            <w:pPr>
              <w:pStyle w:val="TableListBullet"/>
              <w:spacing w:line="240" w:lineRule="atLeast"/>
              <w:rPr>
                <w:rFonts w:ascii="Arial Narrow" w:hAnsi="Arial Narrow"/>
              </w:rPr>
            </w:pPr>
            <w:r w:rsidRPr="00BF0944">
              <w:rPr>
                <w:rFonts w:ascii="Arial Narrow" w:hAnsi="Arial Narrow"/>
              </w:rPr>
              <w:t>Added screenshots from the TargetHIV website with circles around content denoting an intervention and a resource.</w:t>
            </w:r>
          </w:p>
          <w:p w:rsidR="00C35068" w:rsidRPr="00BF0944" w:rsidP="00C35068" w14:paraId="0706BE30" w14:textId="77777777">
            <w:pPr>
              <w:pStyle w:val="TableListBullet"/>
              <w:spacing w:line="240" w:lineRule="atLeast"/>
              <w:rPr>
                <w:rFonts w:ascii="Arial Narrow" w:hAnsi="Arial Narrow"/>
              </w:rPr>
            </w:pPr>
            <w:r w:rsidRPr="00BF0944">
              <w:rPr>
                <w:rFonts w:ascii="Arial Narrow" w:hAnsi="Arial Narrow"/>
              </w:rPr>
              <w:t>Because it is more intuitive to think of an intervention and its resources, we reordered the definitions so that intervention precedes resources.</w:t>
            </w:r>
          </w:p>
        </w:tc>
      </w:tr>
      <w:tr w14:paraId="15F8C772" w14:textId="77777777" w:rsidTr="00AD0E8E">
        <w:tblPrEx>
          <w:tblW w:w="0" w:type="auto"/>
          <w:tblLook w:val="04A0"/>
        </w:tblPrEx>
        <w:trPr>
          <w:cantSplit/>
        </w:trPr>
        <w:tc>
          <w:tcPr>
            <w:tcW w:w="0" w:type="auto"/>
          </w:tcPr>
          <w:p w:rsidR="00C35068" w:rsidRPr="00BF0944" w:rsidP="00C35068" w14:paraId="261DA152" w14:textId="77777777">
            <w:pPr>
              <w:pStyle w:val="TableListNumber"/>
              <w:spacing w:line="240" w:lineRule="atLeast"/>
              <w:rPr>
                <w:rFonts w:ascii="Arial Narrow" w:hAnsi="Arial Narrow"/>
              </w:rPr>
            </w:pPr>
            <w:r w:rsidRPr="00BF0944">
              <w:rPr>
                <w:rFonts w:ascii="Arial Narrow" w:hAnsi="Arial Narrow"/>
              </w:rPr>
              <w:t>Reporting multiple interventions was time consuming, and having multiple windows open at one time was challenging for some respondents.</w:t>
            </w:r>
          </w:p>
        </w:tc>
        <w:tc>
          <w:tcPr>
            <w:tcW w:w="0" w:type="auto"/>
          </w:tcPr>
          <w:p w:rsidR="00C35068" w:rsidRPr="00BF0944" w:rsidP="00C35068" w14:paraId="59C281C2" w14:textId="7FF43E40">
            <w:pPr>
              <w:pStyle w:val="TableListBullet"/>
              <w:spacing w:line="240" w:lineRule="atLeast"/>
              <w:rPr>
                <w:rFonts w:ascii="Arial Narrow" w:hAnsi="Arial Narrow"/>
              </w:rPr>
            </w:pPr>
            <w:r w:rsidRPr="00BF0944">
              <w:rPr>
                <w:rFonts w:ascii="Arial Narrow" w:hAnsi="Arial Narrow"/>
              </w:rPr>
              <w:t>Requested detailed information about a single initiative or system-level initiative</w:t>
            </w:r>
            <w:r w:rsidRPr="00BF0944" w:rsidR="00637A42">
              <w:rPr>
                <w:rFonts w:ascii="Arial Narrow" w:hAnsi="Arial Narrow"/>
              </w:rPr>
              <w:t>, rather than two.</w:t>
            </w:r>
          </w:p>
        </w:tc>
      </w:tr>
      <w:tr w14:paraId="6E5B3899" w14:textId="77777777" w:rsidTr="00AD0E8E">
        <w:tblPrEx>
          <w:tblW w:w="0" w:type="auto"/>
          <w:tblLook w:val="04A0"/>
        </w:tblPrEx>
        <w:trPr>
          <w:cantSplit/>
        </w:trPr>
        <w:tc>
          <w:tcPr>
            <w:tcW w:w="0" w:type="auto"/>
          </w:tcPr>
          <w:p w:rsidR="00C35068" w:rsidRPr="00BF0944" w:rsidP="00C35068" w14:paraId="04081D56" w14:textId="77777777">
            <w:pPr>
              <w:pStyle w:val="TableListNumber"/>
              <w:spacing w:line="240" w:lineRule="atLeast"/>
              <w:rPr>
                <w:rFonts w:ascii="Arial Narrow" w:hAnsi="Arial Narrow"/>
              </w:rPr>
            </w:pPr>
            <w:r w:rsidRPr="00BF0944">
              <w:rPr>
                <w:rFonts w:ascii="Arial Narrow" w:hAnsi="Arial Narrow"/>
              </w:rPr>
              <w:t>Providing URLs for interventions necessitated the opening of multiple Internet browser windows. Testers found the process difficult and raised concerns about inadvertent closing of the survey webpage.</w:t>
            </w:r>
          </w:p>
        </w:tc>
        <w:tc>
          <w:tcPr>
            <w:tcW w:w="0" w:type="auto"/>
          </w:tcPr>
          <w:p w:rsidR="00C35068" w:rsidRPr="00BF0944" w:rsidP="00C35068" w14:paraId="465A1334" w14:textId="77777777">
            <w:pPr>
              <w:pStyle w:val="TableListBullet"/>
              <w:spacing w:line="240" w:lineRule="atLeast"/>
              <w:rPr>
                <w:rFonts w:ascii="Arial Narrow" w:hAnsi="Arial Narrow"/>
              </w:rPr>
            </w:pPr>
            <w:r w:rsidRPr="00BF0944">
              <w:rPr>
                <w:rFonts w:ascii="Arial Narrow" w:hAnsi="Arial Narrow"/>
              </w:rPr>
              <w:t>Removed requests for URLs for interventions and resources but still allowed URLs to be provided in “Other (specify)” fields.</w:t>
            </w:r>
          </w:p>
          <w:p w:rsidR="00C35068" w:rsidRPr="00BF0944" w:rsidP="00C35068" w14:paraId="089F9D1E" w14:textId="77777777">
            <w:pPr>
              <w:pStyle w:val="TableListBullet"/>
              <w:spacing w:line="240" w:lineRule="atLeast"/>
              <w:rPr>
                <w:rFonts w:ascii="Arial Narrow" w:hAnsi="Arial Narrow"/>
              </w:rPr>
            </w:pPr>
            <w:r w:rsidRPr="00BF0944">
              <w:rPr>
                <w:rFonts w:ascii="Arial Narrow" w:hAnsi="Arial Narrow"/>
              </w:rPr>
              <w:t>For interventions, added three items on type of intervention, area of HIV continuum addressed, and target population. These data were going to be populated after the survey based on the URL provided by the respondent. With the removal of the URL item, we need to ask respondents these questions.</w:t>
            </w:r>
          </w:p>
        </w:tc>
      </w:tr>
      <w:tr w14:paraId="02BAB151" w14:textId="77777777" w:rsidTr="00AD0E8E">
        <w:tblPrEx>
          <w:tblW w:w="0" w:type="auto"/>
          <w:tblLook w:val="04A0"/>
        </w:tblPrEx>
        <w:trPr>
          <w:cantSplit/>
        </w:trPr>
        <w:tc>
          <w:tcPr>
            <w:tcW w:w="0" w:type="auto"/>
          </w:tcPr>
          <w:p w:rsidR="00C35068" w:rsidRPr="00BF0944" w:rsidP="00C35068" w14:paraId="3C974855" w14:textId="77777777">
            <w:pPr>
              <w:pStyle w:val="TableListNumber"/>
              <w:spacing w:line="240" w:lineRule="atLeast"/>
              <w:rPr>
                <w:rFonts w:ascii="Arial Narrow" w:hAnsi="Arial Narrow"/>
              </w:rPr>
            </w:pPr>
            <w:r w:rsidRPr="00BF0944">
              <w:rPr>
                <w:rFonts w:ascii="Arial Narrow" w:hAnsi="Arial Narrow"/>
              </w:rPr>
              <w:t xml:space="preserve">Reporting multiple resources, including URLs, was time consuming. </w:t>
            </w:r>
          </w:p>
        </w:tc>
        <w:tc>
          <w:tcPr>
            <w:tcW w:w="0" w:type="auto"/>
          </w:tcPr>
          <w:p w:rsidR="00C35068" w:rsidRPr="00BF0944" w:rsidP="00C35068" w14:paraId="12BEBD5F" w14:textId="77777777">
            <w:pPr>
              <w:pStyle w:val="TableListBullet"/>
              <w:spacing w:line="240" w:lineRule="atLeast"/>
              <w:rPr>
                <w:rFonts w:ascii="Arial Narrow" w:hAnsi="Arial Narrow"/>
              </w:rPr>
            </w:pPr>
            <w:r w:rsidRPr="00BF0944">
              <w:rPr>
                <w:rFonts w:ascii="Arial Narrow" w:hAnsi="Arial Narrow"/>
              </w:rPr>
              <w:t>Requested the name of up to two resources along with information about how each resource is valuable.</w:t>
            </w:r>
          </w:p>
          <w:p w:rsidR="00C35068" w:rsidRPr="00BF0944" w:rsidP="00C35068" w14:paraId="3A73ACD8" w14:textId="77777777">
            <w:pPr>
              <w:pStyle w:val="TableListBullet"/>
              <w:spacing w:line="240" w:lineRule="atLeast"/>
              <w:rPr>
                <w:rFonts w:ascii="Arial Narrow" w:hAnsi="Arial Narrow"/>
              </w:rPr>
            </w:pPr>
            <w:r w:rsidRPr="00BF0944">
              <w:rPr>
                <w:rFonts w:ascii="Arial Narrow" w:hAnsi="Arial Narrow"/>
              </w:rPr>
              <w:t>Removed the request for a third resource.</w:t>
            </w:r>
          </w:p>
        </w:tc>
      </w:tr>
      <w:tr w14:paraId="0BC76E52" w14:textId="77777777" w:rsidTr="00AD0E8E">
        <w:tblPrEx>
          <w:tblW w:w="0" w:type="auto"/>
          <w:tblLook w:val="04A0"/>
        </w:tblPrEx>
        <w:trPr>
          <w:cantSplit/>
        </w:trPr>
        <w:tc>
          <w:tcPr>
            <w:tcW w:w="0" w:type="auto"/>
          </w:tcPr>
          <w:p w:rsidR="00C35068" w:rsidRPr="00BF0944" w:rsidP="00C35068" w14:paraId="4F31118B" w14:textId="77777777">
            <w:pPr>
              <w:pStyle w:val="TableListNumber"/>
              <w:spacing w:line="240" w:lineRule="atLeast"/>
              <w:rPr>
                <w:rFonts w:ascii="Arial Narrow" w:hAnsi="Arial Narrow"/>
              </w:rPr>
            </w:pPr>
            <w:r w:rsidRPr="00BF0944">
              <w:rPr>
                <w:rFonts w:ascii="Arial Narrow" w:hAnsi="Arial Narrow"/>
              </w:rPr>
              <w:t>Length of time to complete the survey was excessive. Among the four providers in the first round of RUDI Provider Survey, one respondent took 13 minutes and one took 22 minutes. The remaining two took more than 30 minutes.</w:t>
            </w:r>
          </w:p>
        </w:tc>
        <w:tc>
          <w:tcPr>
            <w:tcW w:w="0" w:type="auto"/>
          </w:tcPr>
          <w:p w:rsidR="00C35068" w:rsidRPr="00BF0944" w:rsidP="00C35068" w14:paraId="287AE647" w14:textId="77777777">
            <w:pPr>
              <w:pStyle w:val="TableListBullet"/>
              <w:spacing w:line="240" w:lineRule="atLeast"/>
              <w:rPr>
                <w:rFonts w:ascii="Arial Narrow" w:hAnsi="Arial Narrow"/>
              </w:rPr>
            </w:pPr>
            <w:r w:rsidRPr="00BF0944">
              <w:rPr>
                <w:rFonts w:ascii="Arial Narrow" w:hAnsi="Arial Narrow"/>
              </w:rPr>
              <w:t>Limited inquiry to one intervention instead of two.</w:t>
            </w:r>
          </w:p>
          <w:p w:rsidR="00C35068" w:rsidRPr="00BF0944" w:rsidP="00C35068" w14:paraId="0DE1080A" w14:textId="77777777">
            <w:pPr>
              <w:pStyle w:val="TableListBullet"/>
              <w:spacing w:line="240" w:lineRule="atLeast"/>
              <w:rPr>
                <w:rFonts w:ascii="Arial Narrow" w:hAnsi="Arial Narrow"/>
              </w:rPr>
            </w:pPr>
            <w:r w:rsidRPr="00BF0944">
              <w:rPr>
                <w:rFonts w:ascii="Arial Narrow" w:hAnsi="Arial Narrow"/>
              </w:rPr>
              <w:t>Requested the name and attributes of up to two resources rather than three.</w:t>
            </w:r>
          </w:p>
          <w:p w:rsidR="00C35068" w:rsidRPr="00BF0944" w:rsidP="00C35068" w14:paraId="5301EA4A" w14:textId="77777777">
            <w:pPr>
              <w:pStyle w:val="TableListBullet"/>
              <w:spacing w:line="240" w:lineRule="atLeast"/>
              <w:rPr>
                <w:rFonts w:ascii="Arial Narrow" w:hAnsi="Arial Narrow"/>
              </w:rPr>
            </w:pPr>
            <w:r w:rsidRPr="00BF0944">
              <w:rPr>
                <w:rFonts w:ascii="Arial Narrow" w:hAnsi="Arial Narrow"/>
              </w:rPr>
              <w:t>Removed requirement to provide URLs for interventions and resources.</w:t>
            </w:r>
          </w:p>
          <w:p w:rsidR="00FE34EE" w:rsidRPr="00BF0944" w:rsidP="00C35068" w14:paraId="0CFE1DBC" w14:textId="504CC34D">
            <w:pPr>
              <w:pStyle w:val="TableListBullet"/>
              <w:spacing w:line="240" w:lineRule="atLeast"/>
              <w:rPr>
                <w:rFonts w:ascii="Arial Narrow" w:hAnsi="Arial Narrow"/>
              </w:rPr>
            </w:pPr>
            <w:r w:rsidRPr="00BF0944">
              <w:rPr>
                <w:rFonts w:ascii="Arial Narrow" w:hAnsi="Arial Narrow"/>
              </w:rPr>
              <w:t>Cross-referenced content in survey with content in discussion guides and removed questions that could be adequately addressed during interviews.</w:t>
            </w:r>
          </w:p>
        </w:tc>
      </w:tr>
    </w:tbl>
    <w:p w:rsidR="00C35068" w:rsidP="00844194" w14:paraId="7F2F3564" w14:textId="7D9F9F0A">
      <w:pPr>
        <w:pStyle w:val="Paragraph"/>
      </w:pPr>
    </w:p>
    <w:p w:rsidR="00402976" w:rsidRPr="00402976" w:rsidP="00402976" w14:paraId="6888F42D" w14:textId="16C19B47">
      <w:pPr>
        <w:pStyle w:val="ParagraphContinued"/>
        <w:rPr>
          <w:i/>
          <w:iCs/>
        </w:rPr>
      </w:pPr>
      <w:r w:rsidRPr="00402976">
        <w:rPr>
          <w:i/>
          <w:iCs/>
        </w:rPr>
        <w:t xml:space="preserve">Pilot test results for the </w:t>
      </w:r>
      <w:r w:rsidR="004001B3">
        <w:rPr>
          <w:i/>
          <w:iCs/>
        </w:rPr>
        <w:t>discussion guides</w:t>
      </w:r>
    </w:p>
    <w:p w:rsidR="00FE34EE" w:rsidP="00FE34EE" w14:paraId="3F3BB276" w14:textId="75A516EE">
      <w:pPr>
        <w:pStyle w:val="ParagraphContinued"/>
      </w:pPr>
      <w:r>
        <w:t xml:space="preserve">We pilot tested the discussion guides to ensure that 1) questions were appropriate and easy to understand, 2) questions were relevant to the respondent’s interaction with and use of resources, and 3) interview burden estimate was accurate. Exhibit </w:t>
      </w:r>
      <w:r>
        <w:t>3</w:t>
      </w:r>
      <w:r>
        <w:t xml:space="preserve"> describes the key findings from pilot testing the discussion guides and changes made to best align questions and reduce respondent burden.</w:t>
      </w:r>
      <w:r w:rsidR="004001B3">
        <w:t xml:space="preserve"> Exhibit </w:t>
      </w:r>
      <w:r>
        <w:t>4</w:t>
      </w:r>
      <w:r w:rsidR="004001B3">
        <w:t xml:space="preserve"> contains information about changes to the strategy used to select participants and schedule interviews.</w:t>
      </w:r>
    </w:p>
    <w:p w:rsidR="004001B3" w:rsidRPr="001815A3" w:rsidP="004001B3" w14:paraId="6AF9C400" w14:textId="1A3CE231">
      <w:pPr>
        <w:pStyle w:val="ExhibitTitle"/>
        <w:rPr>
          <w:b w:val="0"/>
          <w:bCs/>
        </w:rPr>
      </w:pPr>
      <w:r w:rsidRPr="001815A3">
        <w:rPr>
          <w:bCs/>
        </w:rPr>
        <w:t xml:space="preserve">Exhibit </w:t>
      </w:r>
      <w:r>
        <w:rPr>
          <w:bCs/>
        </w:rPr>
        <w:t>3. Discussion guides experiences</w:t>
      </w:r>
      <w:r w:rsidRPr="001815A3">
        <w:rPr>
          <w:bCs/>
        </w:rPr>
        <w:t xml:space="preserve"> and </w:t>
      </w:r>
      <w:r w:rsidR="00FE34EE">
        <w:rPr>
          <w:bCs/>
        </w:rPr>
        <w:t xml:space="preserve">subsequent </w:t>
      </w:r>
      <w:r w:rsidRPr="001815A3">
        <w:rPr>
          <w:bCs/>
        </w:rPr>
        <w:t xml:space="preserve">changes </w:t>
      </w:r>
    </w:p>
    <w:tbl>
      <w:tblPr>
        <w:tblStyle w:val="BaseTable"/>
        <w:tblW w:w="0" w:type="auto"/>
        <w:tblLook w:val="04A0"/>
      </w:tblPr>
      <w:tblGrid>
        <w:gridCol w:w="4584"/>
        <w:gridCol w:w="4416"/>
      </w:tblGrid>
      <w:tr w14:paraId="1ADCD256" w14:textId="77777777" w:rsidTr="00C37C2D">
        <w:tblPrEx>
          <w:tblW w:w="0" w:type="auto"/>
          <w:tblLook w:val="04A0"/>
        </w:tblPrEx>
        <w:trPr>
          <w:trHeight w:val="288"/>
        </w:trPr>
        <w:tc>
          <w:tcPr>
            <w:tcW w:w="4770" w:type="dxa"/>
            <w:tcBorders>
              <w:bottom w:val="nil"/>
              <w:right w:val="nil"/>
            </w:tcBorders>
            <w:vAlign w:val="center"/>
          </w:tcPr>
          <w:p w:rsidR="004001B3" w:rsidRPr="00BF0944" w:rsidP="00AD0E8E" w14:paraId="376041E9" w14:textId="50C0387C">
            <w:pPr>
              <w:pStyle w:val="TableHeaderLeft"/>
              <w:rPr>
                <w:rFonts w:ascii="Arial Narrow" w:hAnsi="Arial Narrow"/>
                <w:szCs w:val="18"/>
              </w:rPr>
            </w:pPr>
            <w:r w:rsidRPr="00BF0944">
              <w:rPr>
                <w:rFonts w:ascii="Arial Narrow" w:hAnsi="Arial Narrow"/>
                <w:szCs w:val="18"/>
              </w:rPr>
              <w:t xml:space="preserve">RUDI PROVIDER DISCUSSION GUIDE </w:t>
            </w:r>
          </w:p>
        </w:tc>
        <w:tc>
          <w:tcPr>
            <w:tcW w:w="4590" w:type="dxa"/>
            <w:tcBorders>
              <w:left w:val="nil"/>
              <w:bottom w:val="nil"/>
            </w:tcBorders>
            <w:vAlign w:val="center"/>
          </w:tcPr>
          <w:p w:rsidR="004001B3" w:rsidRPr="00BF0944" w:rsidP="00AD0E8E" w14:paraId="02CD5905" w14:textId="77777777">
            <w:pPr>
              <w:pStyle w:val="TableHeaderLeft"/>
              <w:rPr>
                <w:rFonts w:ascii="Arial Narrow" w:hAnsi="Arial Narrow"/>
                <w:szCs w:val="18"/>
              </w:rPr>
            </w:pPr>
          </w:p>
        </w:tc>
      </w:tr>
      <w:tr w14:paraId="26C39D68" w14:textId="77777777" w:rsidTr="00C37C2D">
        <w:tblPrEx>
          <w:tblW w:w="0" w:type="auto"/>
          <w:tblLook w:val="04A0"/>
        </w:tblPrEx>
        <w:trPr>
          <w:trHeight w:val="288"/>
          <w:tblHeader/>
        </w:trPr>
        <w:tc>
          <w:tcPr>
            <w:tcW w:w="4770" w:type="dxa"/>
            <w:tcBorders>
              <w:bottom w:val="nil"/>
              <w:right w:val="nil"/>
            </w:tcBorders>
            <w:vAlign w:val="center"/>
          </w:tcPr>
          <w:p w:rsidR="004001B3" w:rsidRPr="00BF0944" w:rsidP="00AD0E8E" w14:paraId="0AE135C8" w14:textId="77777777">
            <w:pPr>
              <w:pStyle w:val="TableHeaderLeft"/>
              <w:rPr>
                <w:rFonts w:ascii="Arial Narrow" w:hAnsi="Arial Narrow"/>
                <w:szCs w:val="18"/>
              </w:rPr>
            </w:pPr>
            <w:bookmarkStart w:id="22" w:name="_Hlk143688310"/>
            <w:r w:rsidRPr="00BF0944">
              <w:rPr>
                <w:rFonts w:ascii="Arial Narrow" w:hAnsi="Arial Narrow"/>
                <w:szCs w:val="18"/>
              </w:rPr>
              <w:t>Experience</w:t>
            </w:r>
          </w:p>
        </w:tc>
        <w:tc>
          <w:tcPr>
            <w:tcW w:w="4590" w:type="dxa"/>
            <w:tcBorders>
              <w:left w:val="nil"/>
              <w:bottom w:val="nil"/>
            </w:tcBorders>
            <w:vAlign w:val="center"/>
          </w:tcPr>
          <w:p w:rsidR="004001B3" w:rsidRPr="00BF0944" w:rsidP="00AD0E8E" w14:paraId="7CD8DDD8" w14:textId="0F463891">
            <w:pPr>
              <w:pStyle w:val="TableHeaderLeft"/>
              <w:rPr>
                <w:rFonts w:ascii="Arial Narrow" w:hAnsi="Arial Narrow"/>
                <w:szCs w:val="18"/>
              </w:rPr>
            </w:pPr>
            <w:r w:rsidRPr="00BF0944">
              <w:rPr>
                <w:rFonts w:ascii="Arial Narrow" w:hAnsi="Arial Narrow"/>
                <w:szCs w:val="18"/>
              </w:rPr>
              <w:t>Change</w:t>
            </w:r>
            <w:r w:rsidRPr="00BF0944" w:rsidR="00FE34EE">
              <w:rPr>
                <w:rFonts w:ascii="Arial Narrow" w:hAnsi="Arial Narrow"/>
                <w:szCs w:val="18"/>
              </w:rPr>
              <w:t>(s)</w:t>
            </w:r>
          </w:p>
        </w:tc>
      </w:tr>
      <w:tr w14:paraId="4E77C9F6" w14:textId="77777777" w:rsidTr="003F6C29">
        <w:tblPrEx>
          <w:tblW w:w="0" w:type="auto"/>
          <w:tblLook w:val="04A0"/>
        </w:tblPrEx>
        <w:trPr>
          <w:trHeight w:val="611"/>
        </w:trPr>
        <w:tc>
          <w:tcPr>
            <w:tcW w:w="4770" w:type="dxa"/>
            <w:tcBorders>
              <w:top w:val="single" w:sz="4" w:space="0" w:color="046B5C" w:themeColor="text2"/>
            </w:tcBorders>
          </w:tcPr>
          <w:p w:rsidR="004001B3" w:rsidRPr="00BF0944" w:rsidP="004001B3" w14:paraId="397A7506" w14:textId="77777777">
            <w:pPr>
              <w:pStyle w:val="TableListNumber"/>
              <w:numPr>
                <w:ilvl w:val="0"/>
                <w:numId w:val="42"/>
              </w:numPr>
              <w:spacing w:line="240" w:lineRule="atLeast"/>
              <w:rPr>
                <w:rFonts w:ascii="Arial Narrow" w:hAnsi="Arial Narrow"/>
                <w:szCs w:val="18"/>
              </w:rPr>
            </w:pPr>
            <w:r w:rsidRPr="00BF0944">
              <w:rPr>
                <w:rFonts w:ascii="Arial Narrow" w:hAnsi="Arial Narrow"/>
                <w:szCs w:val="18"/>
              </w:rPr>
              <w:t xml:space="preserve">A small number of providers who were SPNS recipients did use HAB resources to implement the types of interventions listed on TargetHIV, but their experience with HAB resources were related to the SPNS collaborative infrastructure and support. </w:t>
            </w:r>
          </w:p>
        </w:tc>
        <w:tc>
          <w:tcPr>
            <w:tcW w:w="4590" w:type="dxa"/>
            <w:tcBorders>
              <w:top w:val="nil"/>
            </w:tcBorders>
          </w:tcPr>
          <w:p w:rsidR="004001B3" w:rsidRPr="00BF0944" w:rsidP="004001B3" w14:paraId="29E843A5" w14:textId="77777777">
            <w:pPr>
              <w:pStyle w:val="TableListBullet"/>
              <w:spacing w:line="240" w:lineRule="atLeast"/>
              <w:rPr>
                <w:rFonts w:ascii="Arial Narrow" w:hAnsi="Arial Narrow"/>
                <w:szCs w:val="18"/>
              </w:rPr>
            </w:pPr>
            <w:r w:rsidRPr="00BF0944">
              <w:rPr>
                <w:rFonts w:ascii="Arial Narrow" w:hAnsi="Arial Narrow"/>
                <w:szCs w:val="18"/>
              </w:rPr>
              <w:t>For providers that were or are SPNS grantees, we will also ask about non-SPNS interventions.</w:t>
            </w:r>
          </w:p>
        </w:tc>
      </w:tr>
      <w:tr w14:paraId="4C37D8B2" w14:textId="77777777" w:rsidTr="003F6C29">
        <w:tblPrEx>
          <w:tblW w:w="0" w:type="auto"/>
          <w:tblLook w:val="04A0"/>
        </w:tblPrEx>
        <w:trPr>
          <w:trHeight w:val="548"/>
        </w:trPr>
        <w:tc>
          <w:tcPr>
            <w:tcW w:w="4770" w:type="dxa"/>
            <w:tcBorders>
              <w:bottom w:val="single" w:sz="4" w:space="0" w:color="5B6771" w:themeColor="accent3"/>
            </w:tcBorders>
          </w:tcPr>
          <w:p w:rsidR="004001B3" w:rsidRPr="00BF0944" w:rsidP="004001B3" w14:paraId="648BC4F9" w14:textId="77777777">
            <w:pPr>
              <w:pStyle w:val="TableListNumber"/>
              <w:spacing w:line="240" w:lineRule="atLeast"/>
              <w:rPr>
                <w:rFonts w:ascii="Arial Narrow" w:hAnsi="Arial Narrow"/>
                <w:szCs w:val="18"/>
              </w:rPr>
            </w:pPr>
            <w:r w:rsidRPr="00BF0944">
              <w:rPr>
                <w:rFonts w:ascii="Arial Narrow" w:hAnsi="Arial Narrow"/>
                <w:szCs w:val="18"/>
              </w:rPr>
              <w:t xml:space="preserve">Some providers fully implemented one intervention and provided detailed information on that experience, and others partially implemented one or more interventions and provided more general information on their experiences. </w:t>
            </w:r>
          </w:p>
        </w:tc>
        <w:tc>
          <w:tcPr>
            <w:tcW w:w="4590" w:type="dxa"/>
            <w:tcBorders>
              <w:bottom w:val="single" w:sz="4" w:space="0" w:color="5B6771" w:themeColor="accent3"/>
            </w:tcBorders>
          </w:tcPr>
          <w:p w:rsidR="004001B3" w:rsidRPr="00BF0944" w:rsidP="004001B3" w14:paraId="61105FCB" w14:textId="77777777">
            <w:pPr>
              <w:pStyle w:val="TableListBullet"/>
              <w:spacing w:line="240" w:lineRule="atLeast"/>
              <w:rPr>
                <w:rFonts w:ascii="Arial Narrow" w:hAnsi="Arial Narrow"/>
                <w:szCs w:val="18"/>
              </w:rPr>
            </w:pPr>
            <w:r w:rsidRPr="00BF0944">
              <w:rPr>
                <w:rFonts w:ascii="Arial Narrow" w:hAnsi="Arial Narrow"/>
                <w:szCs w:val="18"/>
              </w:rPr>
              <w:t>Allowed flexibility in the protocol so the interviewer can use the protocol, as written, to gather detailed information about one intervention, if there is sufficient detail, or explore the use of resources for up to three different interventions (TargetHIV or other), with briefer discussions of each.</w:t>
            </w:r>
          </w:p>
        </w:tc>
      </w:tr>
      <w:tr w14:paraId="08B2B221" w14:textId="77777777" w:rsidTr="003F6C29">
        <w:tblPrEx>
          <w:tblW w:w="0" w:type="auto"/>
          <w:tblLook w:val="04A0"/>
        </w:tblPrEx>
        <w:trPr>
          <w:trHeight w:val="548"/>
        </w:trPr>
        <w:tc>
          <w:tcPr>
            <w:tcW w:w="4770" w:type="dxa"/>
            <w:tcBorders>
              <w:top w:val="single" w:sz="4" w:space="0" w:color="5B6771" w:themeColor="accent3"/>
            </w:tcBorders>
          </w:tcPr>
          <w:p w:rsidR="004001B3" w:rsidRPr="00BF0944" w:rsidP="004001B3" w14:paraId="1580F85D" w14:textId="77777777">
            <w:pPr>
              <w:pStyle w:val="TableListNumber"/>
              <w:spacing w:line="240" w:lineRule="atLeast"/>
              <w:rPr>
                <w:rFonts w:ascii="Arial Narrow" w:hAnsi="Arial Narrow"/>
                <w:szCs w:val="18"/>
              </w:rPr>
            </w:pPr>
            <w:r w:rsidRPr="00BF0944">
              <w:rPr>
                <w:rFonts w:ascii="Arial Narrow" w:hAnsi="Arial Narrow"/>
                <w:szCs w:val="18"/>
              </w:rPr>
              <w:t xml:space="preserve">Some providers could not remember the specific intervention resources they used, even if they remembered the intervention. </w:t>
            </w:r>
          </w:p>
        </w:tc>
        <w:tc>
          <w:tcPr>
            <w:tcW w:w="4590" w:type="dxa"/>
            <w:tcBorders>
              <w:top w:val="single" w:sz="4" w:space="0" w:color="5B6771" w:themeColor="accent3"/>
            </w:tcBorders>
          </w:tcPr>
          <w:p w:rsidR="004001B3" w:rsidRPr="00BF0944" w:rsidP="004001B3" w14:paraId="0FC4B725" w14:textId="77777777">
            <w:pPr>
              <w:pStyle w:val="TableListBullet"/>
              <w:spacing w:line="240" w:lineRule="atLeast"/>
              <w:rPr>
                <w:rFonts w:ascii="Arial Narrow" w:hAnsi="Arial Narrow"/>
                <w:szCs w:val="18"/>
              </w:rPr>
            </w:pPr>
            <w:r w:rsidRPr="00BF0944">
              <w:rPr>
                <w:rFonts w:ascii="Arial Narrow" w:hAnsi="Arial Narrow"/>
                <w:szCs w:val="18"/>
              </w:rPr>
              <w:t xml:space="preserve">Plan to look up interventions listed in the survey response on TargetHIV.com and offer examples of intervention resources to help respondents with recall. </w:t>
            </w:r>
          </w:p>
        </w:tc>
      </w:tr>
      <w:tr w14:paraId="4A89794B" w14:textId="77777777" w:rsidTr="003F6C29">
        <w:tblPrEx>
          <w:tblW w:w="0" w:type="auto"/>
          <w:tblLook w:val="04A0"/>
        </w:tblPrEx>
        <w:trPr>
          <w:trHeight w:val="242"/>
        </w:trPr>
        <w:tc>
          <w:tcPr>
            <w:tcW w:w="4770" w:type="dxa"/>
          </w:tcPr>
          <w:p w:rsidR="004001B3" w:rsidRPr="00BF0944" w:rsidP="004001B3" w14:paraId="4A684B7E" w14:textId="77777777">
            <w:pPr>
              <w:pStyle w:val="TableListNumber"/>
              <w:spacing w:line="240" w:lineRule="atLeast"/>
              <w:rPr>
                <w:rFonts w:ascii="Arial Narrow" w:hAnsi="Arial Narrow"/>
                <w:szCs w:val="18"/>
              </w:rPr>
            </w:pPr>
            <w:r w:rsidRPr="00BF0944">
              <w:rPr>
                <w:rFonts w:ascii="Arial Narrow" w:hAnsi="Arial Narrow"/>
                <w:szCs w:val="18"/>
              </w:rPr>
              <w:t>Some providers benefited from receiving definitions and examples of interventions and intervention resources.</w:t>
            </w:r>
          </w:p>
        </w:tc>
        <w:tc>
          <w:tcPr>
            <w:tcW w:w="4590" w:type="dxa"/>
          </w:tcPr>
          <w:p w:rsidR="004001B3" w:rsidRPr="00BF0944" w:rsidP="004001B3" w14:paraId="1E2500C2" w14:textId="3DFB808E">
            <w:pPr>
              <w:pStyle w:val="TableListBullet"/>
              <w:spacing w:line="240" w:lineRule="atLeast"/>
              <w:rPr>
                <w:rFonts w:ascii="Arial Narrow" w:hAnsi="Arial Narrow"/>
                <w:szCs w:val="18"/>
              </w:rPr>
            </w:pPr>
            <w:r w:rsidRPr="00BF0944">
              <w:rPr>
                <w:rFonts w:ascii="Arial Narrow" w:hAnsi="Arial Narrow"/>
                <w:szCs w:val="18"/>
              </w:rPr>
              <w:t>Added screenshots to the survey from the TargetHIV website with content denoting intervention and intervention resource.</w:t>
            </w:r>
          </w:p>
          <w:p w:rsidR="004001B3" w:rsidRPr="00BF0944" w:rsidP="004001B3" w14:paraId="0C9AE01B" w14:textId="77777777">
            <w:pPr>
              <w:pStyle w:val="TableListBullet"/>
              <w:spacing w:line="240" w:lineRule="atLeast"/>
              <w:rPr>
                <w:rFonts w:ascii="Arial Narrow" w:hAnsi="Arial Narrow"/>
                <w:szCs w:val="18"/>
              </w:rPr>
            </w:pPr>
            <w:r w:rsidRPr="00BF0944">
              <w:rPr>
                <w:rFonts w:ascii="Arial Narrow" w:hAnsi="Arial Narrow"/>
                <w:szCs w:val="18"/>
              </w:rPr>
              <w:t>Added “projects” and “strategies” as examples of equivalent terms in the definition.</w:t>
            </w:r>
          </w:p>
          <w:p w:rsidR="004001B3" w:rsidRPr="00BF0944" w:rsidP="004001B3" w14:paraId="2C94262E" w14:textId="77777777">
            <w:pPr>
              <w:pStyle w:val="TableListBullet"/>
              <w:spacing w:line="240" w:lineRule="atLeast"/>
              <w:rPr>
                <w:rFonts w:ascii="Arial Narrow" w:hAnsi="Arial Narrow"/>
                <w:szCs w:val="18"/>
              </w:rPr>
            </w:pPr>
            <w:r w:rsidRPr="00BF0944">
              <w:rPr>
                <w:rFonts w:ascii="Arial Narrow" w:hAnsi="Arial Narrow"/>
                <w:szCs w:val="18"/>
              </w:rPr>
              <w:t>Added additional examples of interventions and intervention resources to the discussion guide, for use by the interviewer.</w:t>
            </w:r>
          </w:p>
        </w:tc>
      </w:tr>
      <w:tr w14:paraId="65459E3E" w14:textId="77777777" w:rsidTr="003F6C29">
        <w:tblPrEx>
          <w:tblW w:w="0" w:type="auto"/>
          <w:tblLook w:val="04A0"/>
        </w:tblPrEx>
        <w:tc>
          <w:tcPr>
            <w:tcW w:w="4770" w:type="dxa"/>
            <w:tcBorders>
              <w:bottom w:val="single" w:sz="4" w:space="0" w:color="046B5C" w:themeColor="text2"/>
            </w:tcBorders>
          </w:tcPr>
          <w:p w:rsidR="004001B3" w:rsidRPr="00BF0944" w:rsidP="004001B3" w14:paraId="16FF1022" w14:textId="77777777">
            <w:pPr>
              <w:pStyle w:val="TableListNumber"/>
              <w:spacing w:line="240" w:lineRule="atLeast"/>
              <w:rPr>
                <w:rFonts w:ascii="Arial Narrow" w:hAnsi="Arial Narrow"/>
                <w:szCs w:val="18"/>
              </w:rPr>
            </w:pPr>
            <w:r w:rsidRPr="00BF0944">
              <w:rPr>
                <w:rFonts w:ascii="Arial Narrow" w:hAnsi="Arial Narrow"/>
                <w:szCs w:val="18"/>
              </w:rPr>
              <w:t>Interviewers needed to shorten or reword a couple questions to make them easier to ask and understand.</w:t>
            </w:r>
          </w:p>
        </w:tc>
        <w:tc>
          <w:tcPr>
            <w:tcW w:w="4590" w:type="dxa"/>
            <w:tcBorders>
              <w:bottom w:val="single" w:sz="4" w:space="0" w:color="046B5C" w:themeColor="text2"/>
            </w:tcBorders>
          </w:tcPr>
          <w:p w:rsidR="000037E3" w:rsidRPr="00BF0944" w:rsidP="003F6C29" w14:paraId="521AB2AE" w14:textId="543270A1">
            <w:pPr>
              <w:pStyle w:val="TableListBullet"/>
              <w:spacing w:line="240" w:lineRule="atLeast"/>
              <w:rPr>
                <w:rFonts w:ascii="Arial Narrow" w:hAnsi="Arial Narrow"/>
                <w:szCs w:val="18"/>
              </w:rPr>
            </w:pPr>
            <w:r w:rsidRPr="00BF0944">
              <w:rPr>
                <w:rFonts w:ascii="Arial Narrow" w:hAnsi="Arial Narrow"/>
                <w:szCs w:val="18"/>
              </w:rPr>
              <w:t xml:space="preserve">Reworded Question 8 and Question 9 </w:t>
            </w:r>
          </w:p>
        </w:tc>
      </w:tr>
      <w:tr w14:paraId="5C8EE373" w14:textId="77777777" w:rsidTr="00BF0944">
        <w:tblPrEx>
          <w:tblW w:w="0" w:type="auto"/>
          <w:tblLook w:val="04A0"/>
        </w:tblPrEx>
        <w:trPr>
          <w:trHeight w:val="239"/>
        </w:trPr>
        <w:tc>
          <w:tcPr>
            <w:tcW w:w="9360" w:type="dxa"/>
            <w:gridSpan w:val="2"/>
            <w:tcBorders>
              <w:top w:val="single" w:sz="4" w:space="0" w:color="046B5C" w:themeColor="text2"/>
              <w:bottom w:val="nil"/>
            </w:tcBorders>
            <w:shd w:val="clear" w:color="auto" w:fill="046B5C" w:themeFill="text2"/>
          </w:tcPr>
          <w:p w:rsidR="00E901B1" w:rsidRPr="00BF0944" w:rsidP="000037E3" w14:paraId="417264B9" w14:textId="63EA6B36">
            <w:pPr>
              <w:pStyle w:val="TableHeaderLeft"/>
              <w:rPr>
                <w:rFonts w:ascii="Arial Narrow" w:hAnsi="Arial Narrow"/>
                <w:b/>
                <w:bCs/>
                <w:szCs w:val="18"/>
              </w:rPr>
            </w:pPr>
            <w:r w:rsidRPr="00BF0944">
              <w:rPr>
                <w:rFonts w:ascii="Arial Narrow" w:hAnsi="Arial Narrow"/>
                <w:b/>
                <w:bCs/>
                <w:szCs w:val="18"/>
              </w:rPr>
              <w:t xml:space="preserve">RUDI PART A </w:t>
            </w:r>
            <w:r w:rsidR="00FD74CC">
              <w:rPr>
                <w:rFonts w:ascii="Arial Narrow" w:hAnsi="Arial Narrow"/>
                <w:b/>
                <w:bCs/>
                <w:szCs w:val="18"/>
              </w:rPr>
              <w:t>and</w:t>
            </w:r>
            <w:r w:rsidRPr="00BF0944">
              <w:rPr>
                <w:rFonts w:ascii="Arial Narrow" w:hAnsi="Arial Narrow"/>
                <w:b/>
                <w:bCs/>
                <w:szCs w:val="18"/>
              </w:rPr>
              <w:t xml:space="preserve"> PART B ADMINISTRATIVE RECIPIENT DISCUSSION GUIDE</w:t>
            </w:r>
          </w:p>
        </w:tc>
      </w:tr>
      <w:tr w14:paraId="274C7D78" w14:textId="77777777" w:rsidTr="003F6C29">
        <w:tblPrEx>
          <w:tblW w:w="0" w:type="auto"/>
          <w:tblLook w:val="04A0"/>
        </w:tblPrEx>
        <w:trPr>
          <w:trHeight w:val="239"/>
        </w:trPr>
        <w:tc>
          <w:tcPr>
            <w:tcW w:w="4770" w:type="dxa"/>
            <w:tcBorders>
              <w:top w:val="nil"/>
              <w:bottom w:val="nil"/>
              <w:right w:val="nil"/>
            </w:tcBorders>
            <w:shd w:val="clear" w:color="auto" w:fill="046B5C" w:themeFill="text2"/>
          </w:tcPr>
          <w:p w:rsidR="004001B3" w:rsidRPr="00BF0944" w:rsidP="000037E3" w14:paraId="0C7B0DB2" w14:textId="77777777">
            <w:pPr>
              <w:pStyle w:val="TableHeaderLeft"/>
              <w:rPr>
                <w:rFonts w:ascii="Arial Narrow" w:hAnsi="Arial Narrow"/>
                <w:b/>
                <w:bCs/>
                <w:szCs w:val="18"/>
              </w:rPr>
            </w:pPr>
            <w:bookmarkStart w:id="23" w:name="_Hlk145424125"/>
            <w:bookmarkStart w:id="24" w:name="_Hlk143689630"/>
            <w:bookmarkEnd w:id="22"/>
            <w:r w:rsidRPr="00BF0944">
              <w:rPr>
                <w:rFonts w:ascii="Arial Narrow" w:hAnsi="Arial Narrow"/>
                <w:b/>
                <w:bCs/>
                <w:szCs w:val="18"/>
              </w:rPr>
              <w:t>Experience</w:t>
            </w:r>
          </w:p>
        </w:tc>
        <w:tc>
          <w:tcPr>
            <w:tcW w:w="4590" w:type="dxa"/>
            <w:tcBorders>
              <w:top w:val="nil"/>
              <w:left w:val="nil"/>
              <w:bottom w:val="nil"/>
            </w:tcBorders>
            <w:shd w:val="clear" w:color="auto" w:fill="046B5C" w:themeFill="text2"/>
          </w:tcPr>
          <w:p w:rsidR="004001B3" w:rsidRPr="00BF0944" w:rsidP="000037E3" w14:paraId="67C90EDF" w14:textId="0C7BFF92">
            <w:pPr>
              <w:pStyle w:val="TableHeaderLeft"/>
              <w:rPr>
                <w:rFonts w:ascii="Arial Narrow" w:hAnsi="Arial Narrow"/>
                <w:b/>
                <w:bCs/>
                <w:szCs w:val="18"/>
              </w:rPr>
            </w:pPr>
            <w:r w:rsidRPr="00BF0944">
              <w:rPr>
                <w:rFonts w:ascii="Arial Narrow" w:hAnsi="Arial Narrow"/>
                <w:b/>
                <w:bCs/>
                <w:szCs w:val="18"/>
              </w:rPr>
              <w:t>Change</w:t>
            </w:r>
            <w:r w:rsidRPr="00BF0944" w:rsidR="00BF0944">
              <w:rPr>
                <w:rFonts w:ascii="Arial Narrow" w:hAnsi="Arial Narrow"/>
                <w:b/>
                <w:bCs/>
                <w:szCs w:val="18"/>
              </w:rPr>
              <w:t>(s)</w:t>
            </w:r>
          </w:p>
        </w:tc>
      </w:tr>
      <w:bookmarkEnd w:id="23"/>
      <w:tr w14:paraId="4F0C0F89" w14:textId="77777777" w:rsidTr="003F6C29">
        <w:tblPrEx>
          <w:tblW w:w="0" w:type="auto"/>
          <w:tblLook w:val="04A0"/>
        </w:tblPrEx>
        <w:trPr>
          <w:trHeight w:val="611"/>
        </w:trPr>
        <w:tc>
          <w:tcPr>
            <w:tcW w:w="4770" w:type="dxa"/>
            <w:tcBorders>
              <w:top w:val="single" w:sz="4" w:space="0" w:color="046B5C" w:themeColor="text2"/>
            </w:tcBorders>
          </w:tcPr>
          <w:p w:rsidR="004001B3" w:rsidRPr="00BF0944" w:rsidP="00E901B1" w14:paraId="3C76331F" w14:textId="77777777">
            <w:pPr>
              <w:pStyle w:val="TableListNumber"/>
              <w:numPr>
                <w:ilvl w:val="0"/>
                <w:numId w:val="44"/>
              </w:numPr>
              <w:spacing w:line="240" w:lineRule="atLeast"/>
              <w:rPr>
                <w:rFonts w:ascii="Arial Narrow" w:hAnsi="Arial Narrow"/>
                <w:szCs w:val="18"/>
              </w:rPr>
            </w:pPr>
            <w:r w:rsidRPr="00BF0944">
              <w:rPr>
                <w:rFonts w:ascii="Arial Narrow" w:hAnsi="Arial Narrow"/>
                <w:szCs w:val="18"/>
              </w:rPr>
              <w:t>A respondent explained that he thinks of providers as organizations that have a physician on staff and provide clinical care. He referred to those that provided wraparound services such as case management as subrecipients.</w:t>
            </w:r>
          </w:p>
        </w:tc>
        <w:tc>
          <w:tcPr>
            <w:tcW w:w="4590" w:type="dxa"/>
            <w:tcBorders>
              <w:top w:val="nil"/>
            </w:tcBorders>
          </w:tcPr>
          <w:p w:rsidR="004001B3" w:rsidRPr="00BF0944" w:rsidP="00AD0E8E" w14:paraId="1D93ED87" w14:textId="77777777">
            <w:pPr>
              <w:pStyle w:val="TableListBullet"/>
              <w:spacing w:line="240" w:lineRule="atLeast"/>
              <w:rPr>
                <w:rFonts w:ascii="Arial Narrow" w:hAnsi="Arial Narrow"/>
                <w:szCs w:val="18"/>
              </w:rPr>
            </w:pPr>
            <w:r w:rsidRPr="00BF0944">
              <w:rPr>
                <w:rFonts w:ascii="Arial Narrow" w:hAnsi="Arial Narrow"/>
                <w:szCs w:val="18"/>
              </w:rPr>
              <w:t xml:space="preserve">Updated references to “providers” in recruitment materials and survey instruments to “providers and subrecipients.” Discussion guide questions still use the term provider as shorthand. But the term is defined to include subrecipients in the introduction. </w:t>
            </w:r>
          </w:p>
        </w:tc>
      </w:tr>
      <w:tr w14:paraId="05288E20" w14:textId="77777777" w:rsidTr="003F6C29">
        <w:tblPrEx>
          <w:tblW w:w="0" w:type="auto"/>
          <w:tblLook w:val="04A0"/>
        </w:tblPrEx>
        <w:trPr>
          <w:trHeight w:val="611"/>
        </w:trPr>
        <w:tc>
          <w:tcPr>
            <w:tcW w:w="4770" w:type="dxa"/>
            <w:tcBorders>
              <w:top w:val="single" w:sz="4" w:space="0" w:color="046B5C" w:themeColor="text2"/>
            </w:tcBorders>
          </w:tcPr>
          <w:p w:rsidR="004001B3" w:rsidRPr="00BF0944" w:rsidP="00AD0E8E" w14:paraId="1CBCDD27" w14:textId="77777777">
            <w:pPr>
              <w:pStyle w:val="TableListNumber"/>
              <w:spacing w:line="240" w:lineRule="atLeast"/>
              <w:rPr>
                <w:rFonts w:ascii="Arial Narrow" w:eastAsia="Times New Roman" w:hAnsi="Arial Narrow"/>
                <w:szCs w:val="18"/>
              </w:rPr>
            </w:pPr>
            <w:r w:rsidRPr="00BF0944">
              <w:rPr>
                <w:rFonts w:ascii="Arial Narrow" w:hAnsi="Arial Narrow"/>
                <w:szCs w:val="18"/>
              </w:rPr>
              <w:t>To answer questions, some recipients benefited from receiving definitions and examples of “intervention,” “intervention resources,” and “system-level initiatives.” One respondent assumed too narrow of a definition of those terms when responding to questions (for example, they assumed intervention included only evidence-based interventions). Another respondent did not understand what we were asking for when we referenced system-level initiatives.</w:t>
            </w:r>
          </w:p>
        </w:tc>
        <w:tc>
          <w:tcPr>
            <w:tcW w:w="4590" w:type="dxa"/>
            <w:tcBorders>
              <w:top w:val="nil"/>
            </w:tcBorders>
          </w:tcPr>
          <w:p w:rsidR="004001B3" w:rsidRPr="00BF0944" w:rsidP="00AD0E8E" w14:paraId="147CE79B" w14:textId="77777777">
            <w:pPr>
              <w:pStyle w:val="TableListBullet"/>
              <w:spacing w:line="240" w:lineRule="atLeast"/>
              <w:rPr>
                <w:rFonts w:ascii="Arial Narrow" w:hAnsi="Arial Narrow"/>
                <w:szCs w:val="18"/>
              </w:rPr>
            </w:pPr>
            <w:r w:rsidRPr="00BF0944">
              <w:rPr>
                <w:rFonts w:ascii="Arial Narrow" w:hAnsi="Arial Narrow"/>
                <w:szCs w:val="18"/>
              </w:rPr>
              <w:t>Added screenshots to the survey from the TargetHIV website with circles around content denoting an intervention and an intervention resource.</w:t>
            </w:r>
          </w:p>
          <w:p w:rsidR="004001B3" w:rsidRPr="00BF0944" w:rsidP="00AD0E8E" w14:paraId="16CDCEE6" w14:textId="77777777">
            <w:pPr>
              <w:pStyle w:val="TableListBullet"/>
              <w:spacing w:line="240" w:lineRule="atLeast"/>
              <w:rPr>
                <w:rFonts w:ascii="Arial Narrow" w:hAnsi="Arial Narrow"/>
                <w:szCs w:val="18"/>
              </w:rPr>
            </w:pPr>
            <w:r w:rsidRPr="00BF0944">
              <w:rPr>
                <w:rFonts w:ascii="Arial Narrow" w:hAnsi="Arial Narrow"/>
                <w:szCs w:val="18"/>
              </w:rPr>
              <w:t>Added “projects” and “strategies” as examples of equivalent terms in the definition.</w:t>
            </w:r>
          </w:p>
          <w:p w:rsidR="004001B3" w:rsidRPr="00BF0944" w:rsidP="00AD0E8E" w14:paraId="7086F9C2" w14:textId="77777777">
            <w:pPr>
              <w:pStyle w:val="TableListBullet"/>
              <w:spacing w:line="240" w:lineRule="atLeast"/>
              <w:rPr>
                <w:rFonts w:ascii="Arial Narrow" w:hAnsi="Arial Narrow"/>
                <w:szCs w:val="18"/>
              </w:rPr>
            </w:pPr>
            <w:r w:rsidRPr="00BF0944">
              <w:rPr>
                <w:rFonts w:ascii="Arial Narrow" w:hAnsi="Arial Narrow"/>
                <w:szCs w:val="18"/>
              </w:rPr>
              <w:t>Added definition of “system-level initiatives” and examples of system-level initiatives to the discussion guide.</w:t>
            </w:r>
          </w:p>
        </w:tc>
      </w:tr>
      <w:tr w14:paraId="204B2D54" w14:textId="77777777" w:rsidTr="003F6C29">
        <w:tblPrEx>
          <w:tblW w:w="0" w:type="auto"/>
          <w:tblLook w:val="04A0"/>
        </w:tblPrEx>
        <w:tc>
          <w:tcPr>
            <w:tcW w:w="4770" w:type="dxa"/>
          </w:tcPr>
          <w:p w:rsidR="004001B3" w:rsidRPr="00BF0944" w:rsidP="00AD0E8E" w14:paraId="7FE124D5" w14:textId="77777777">
            <w:pPr>
              <w:pStyle w:val="TableListNumber"/>
              <w:spacing w:line="240" w:lineRule="atLeast"/>
              <w:rPr>
                <w:rFonts w:ascii="Arial Narrow" w:hAnsi="Arial Narrow"/>
                <w:szCs w:val="18"/>
              </w:rPr>
            </w:pPr>
            <w:r w:rsidRPr="00BF0944">
              <w:rPr>
                <w:rFonts w:ascii="Arial Narrow" w:hAnsi="Arial Narrow"/>
                <w:szCs w:val="18"/>
              </w:rPr>
              <w:t xml:space="preserve">The question “Did your subrecipients have a specific care delivery need they were trying to address?” assumes the subrecipients originated a request for resources, but some recipients identified processes they wanted their subrecipients to implement to improve care and pushed that information down. </w:t>
            </w:r>
          </w:p>
        </w:tc>
        <w:tc>
          <w:tcPr>
            <w:tcW w:w="4590" w:type="dxa"/>
          </w:tcPr>
          <w:p w:rsidR="004001B3" w:rsidRPr="00BF0944" w:rsidP="00AD0E8E" w14:paraId="7B4EFCF5" w14:textId="77777777">
            <w:pPr>
              <w:pStyle w:val="TableListBullet"/>
              <w:spacing w:line="240" w:lineRule="atLeast"/>
              <w:rPr>
                <w:rFonts w:ascii="Arial Narrow" w:hAnsi="Arial Narrow"/>
                <w:szCs w:val="18"/>
              </w:rPr>
            </w:pPr>
            <w:r w:rsidRPr="00BF0944">
              <w:rPr>
                <w:rFonts w:ascii="Arial Narrow" w:hAnsi="Arial Narrow"/>
                <w:szCs w:val="18"/>
              </w:rPr>
              <w:t>Reworded the question to remove the assumption that the subrecipients sought the resources (that is, “What aspect of care were the resources trying to address?”).</w:t>
            </w:r>
          </w:p>
        </w:tc>
      </w:tr>
      <w:tr w14:paraId="5010E278" w14:textId="77777777" w:rsidTr="003F6C29">
        <w:tblPrEx>
          <w:tblW w:w="0" w:type="auto"/>
          <w:tblLook w:val="04A0"/>
        </w:tblPrEx>
        <w:tc>
          <w:tcPr>
            <w:tcW w:w="4770" w:type="dxa"/>
            <w:tcBorders>
              <w:bottom w:val="single" w:sz="4" w:space="0" w:color="046B5C" w:themeColor="text2"/>
            </w:tcBorders>
          </w:tcPr>
          <w:p w:rsidR="004001B3" w:rsidRPr="00BF0944" w:rsidP="00AD0E8E" w14:paraId="7F16BFC3" w14:textId="77777777">
            <w:pPr>
              <w:pStyle w:val="TableListNumber"/>
              <w:spacing w:line="240" w:lineRule="atLeast"/>
              <w:rPr>
                <w:rFonts w:ascii="Arial Narrow" w:hAnsi="Arial Narrow"/>
                <w:szCs w:val="18"/>
              </w:rPr>
            </w:pPr>
            <w:r w:rsidRPr="00BF0944">
              <w:rPr>
                <w:rFonts w:ascii="Arial Narrow" w:hAnsi="Arial Narrow"/>
                <w:szCs w:val="18"/>
              </w:rPr>
              <w:t>For the discussion of non-HAB resources used, we found that the discussion guide missed an opportunity to ask about why the recipient might choose to use HAB versus non-HAB resources. We tested a question on that topic during an interview and it resulted in a good discussion of the pros and cons of resources from different sources.</w:t>
            </w:r>
          </w:p>
        </w:tc>
        <w:tc>
          <w:tcPr>
            <w:tcW w:w="4590" w:type="dxa"/>
            <w:tcBorders>
              <w:bottom w:val="single" w:sz="4" w:space="0" w:color="046B5C" w:themeColor="text2"/>
            </w:tcBorders>
          </w:tcPr>
          <w:p w:rsidR="004001B3" w:rsidRPr="00BF0944" w:rsidP="00AD0E8E" w14:paraId="26C78A49" w14:textId="77777777">
            <w:pPr>
              <w:pStyle w:val="TableListBullet"/>
              <w:spacing w:line="240" w:lineRule="atLeast"/>
              <w:rPr>
                <w:rFonts w:ascii="Arial Narrow" w:hAnsi="Arial Narrow"/>
                <w:szCs w:val="18"/>
              </w:rPr>
            </w:pPr>
            <w:r w:rsidRPr="00BF0944">
              <w:rPr>
                <w:rFonts w:ascii="Arial Narrow" w:hAnsi="Arial Narrow"/>
                <w:szCs w:val="18"/>
              </w:rPr>
              <w:t>Added question to the discussion guide about when and why recipients choose to use resources from HAB versus other sources.</w:t>
            </w:r>
          </w:p>
        </w:tc>
      </w:tr>
      <w:tr w14:paraId="52966C94" w14:textId="77777777" w:rsidTr="00BF0944">
        <w:tblPrEx>
          <w:tblW w:w="0" w:type="auto"/>
          <w:tblLook w:val="04A0"/>
        </w:tblPrEx>
        <w:trPr>
          <w:trHeight w:val="239"/>
        </w:trPr>
        <w:tc>
          <w:tcPr>
            <w:tcW w:w="9360" w:type="dxa"/>
            <w:gridSpan w:val="2"/>
            <w:tcBorders>
              <w:top w:val="single" w:sz="4" w:space="0" w:color="046B5C" w:themeColor="text2"/>
              <w:bottom w:val="nil"/>
            </w:tcBorders>
            <w:shd w:val="clear" w:color="auto" w:fill="046B5C" w:themeFill="text2"/>
          </w:tcPr>
          <w:p w:rsidR="000037E3" w:rsidRPr="00BF0944" w:rsidP="00AD0E8E" w14:paraId="38E8B5E2" w14:textId="24DF9894">
            <w:pPr>
              <w:pStyle w:val="TableHeaderLeft"/>
              <w:rPr>
                <w:rFonts w:ascii="Arial Narrow" w:hAnsi="Arial Narrow"/>
                <w:szCs w:val="18"/>
              </w:rPr>
            </w:pPr>
            <w:r w:rsidRPr="00BF0944">
              <w:rPr>
                <w:rFonts w:ascii="Arial Narrow" w:hAnsi="Arial Narrow"/>
                <w:b/>
                <w:bCs/>
                <w:szCs w:val="18"/>
              </w:rPr>
              <w:t>RUDI AETC DISCUSSION GUIDE</w:t>
            </w:r>
          </w:p>
        </w:tc>
      </w:tr>
      <w:tr w14:paraId="0BC85B0D" w14:textId="77777777" w:rsidTr="003F6C29">
        <w:tblPrEx>
          <w:tblW w:w="0" w:type="auto"/>
          <w:tblLook w:val="04A0"/>
        </w:tblPrEx>
        <w:trPr>
          <w:trHeight w:val="239"/>
        </w:trPr>
        <w:tc>
          <w:tcPr>
            <w:tcW w:w="4770" w:type="dxa"/>
            <w:tcBorders>
              <w:top w:val="nil"/>
              <w:bottom w:val="nil"/>
              <w:right w:val="nil"/>
            </w:tcBorders>
            <w:shd w:val="clear" w:color="auto" w:fill="046B5C" w:themeFill="text2"/>
          </w:tcPr>
          <w:p w:rsidR="000037E3" w:rsidRPr="00BF0944" w:rsidP="000037E3" w14:paraId="68EEDDE2" w14:textId="5EC9848D">
            <w:pPr>
              <w:pStyle w:val="TableHeaderLeft"/>
              <w:rPr>
                <w:rFonts w:ascii="Arial Narrow" w:hAnsi="Arial Narrow"/>
                <w:szCs w:val="18"/>
              </w:rPr>
            </w:pPr>
            <w:r w:rsidRPr="00BF0944">
              <w:rPr>
                <w:rFonts w:ascii="Arial Narrow" w:hAnsi="Arial Narrow"/>
                <w:b/>
                <w:bCs/>
                <w:szCs w:val="18"/>
              </w:rPr>
              <w:t>Experience</w:t>
            </w:r>
          </w:p>
        </w:tc>
        <w:tc>
          <w:tcPr>
            <w:tcW w:w="4590" w:type="dxa"/>
            <w:tcBorders>
              <w:top w:val="nil"/>
              <w:left w:val="nil"/>
              <w:bottom w:val="nil"/>
            </w:tcBorders>
            <w:shd w:val="clear" w:color="auto" w:fill="046B5C" w:themeFill="text2"/>
          </w:tcPr>
          <w:p w:rsidR="000037E3" w:rsidRPr="00BF0944" w:rsidP="000037E3" w14:paraId="2EC30CA1" w14:textId="207BDFFE">
            <w:pPr>
              <w:pStyle w:val="TableHeaderLeft"/>
              <w:rPr>
                <w:rFonts w:ascii="Arial Narrow" w:hAnsi="Arial Narrow"/>
                <w:szCs w:val="18"/>
              </w:rPr>
            </w:pPr>
            <w:r w:rsidRPr="00BF0944">
              <w:rPr>
                <w:rFonts w:ascii="Arial Narrow" w:hAnsi="Arial Narrow"/>
                <w:b/>
                <w:bCs/>
                <w:szCs w:val="18"/>
              </w:rPr>
              <w:t>Change</w:t>
            </w:r>
            <w:r w:rsidRPr="00BF0944" w:rsidR="00BF0944">
              <w:rPr>
                <w:rFonts w:ascii="Arial Narrow" w:hAnsi="Arial Narrow"/>
                <w:b/>
                <w:bCs/>
                <w:szCs w:val="18"/>
              </w:rPr>
              <w:t>(s)</w:t>
            </w:r>
          </w:p>
        </w:tc>
      </w:tr>
      <w:tr w14:paraId="7B8C4803" w14:textId="77777777" w:rsidTr="003F6C29">
        <w:tblPrEx>
          <w:tblW w:w="0" w:type="auto"/>
          <w:tblLook w:val="04A0"/>
        </w:tblPrEx>
        <w:trPr>
          <w:trHeight w:val="611"/>
        </w:trPr>
        <w:tc>
          <w:tcPr>
            <w:tcW w:w="4770" w:type="dxa"/>
            <w:tcBorders>
              <w:top w:val="single" w:sz="4" w:space="0" w:color="046B5C" w:themeColor="text2"/>
            </w:tcBorders>
          </w:tcPr>
          <w:p w:rsidR="004001B3" w:rsidRPr="00BF0944" w:rsidP="00BF0944" w14:paraId="2059BE0B" w14:textId="61FA7D80">
            <w:pPr>
              <w:pStyle w:val="TableListNumber"/>
              <w:numPr>
                <w:ilvl w:val="0"/>
                <w:numId w:val="48"/>
              </w:numPr>
              <w:spacing w:line="240" w:lineRule="atLeast"/>
              <w:rPr>
                <w:rFonts w:ascii="Arial Narrow" w:hAnsi="Arial Narrow"/>
                <w:szCs w:val="18"/>
              </w:rPr>
            </w:pPr>
            <w:r w:rsidRPr="00BF0944">
              <w:rPr>
                <w:rFonts w:ascii="Arial Narrow" w:hAnsi="Arial Narrow"/>
                <w:szCs w:val="18"/>
              </w:rPr>
              <w:t xml:space="preserve">We </w:t>
            </w:r>
            <w:r w:rsidR="00512E76">
              <w:rPr>
                <w:rFonts w:ascii="Arial Narrow" w:hAnsi="Arial Narrow"/>
                <w:szCs w:val="18"/>
              </w:rPr>
              <w:t xml:space="preserve">found there might not be one person who can respond to both the </w:t>
            </w:r>
            <w:r w:rsidRPr="00BF0944">
              <w:rPr>
                <w:rFonts w:ascii="Arial Narrow" w:hAnsi="Arial Narrow"/>
                <w:szCs w:val="18"/>
              </w:rPr>
              <w:t>main topics in the discussion guide: (1) information flows from HAB to AETC and (2) information flows from AETC to providers. The AETC respondent said that the AETC regional central office is mostly administrative, and it might be appropriate to include staff from an AETC partner site that has provided training to clinics.</w:t>
            </w:r>
          </w:p>
        </w:tc>
        <w:tc>
          <w:tcPr>
            <w:tcW w:w="4590" w:type="dxa"/>
            <w:tcBorders>
              <w:top w:val="nil"/>
            </w:tcBorders>
          </w:tcPr>
          <w:p w:rsidR="004001B3" w:rsidRPr="00BF0944" w:rsidP="00AD0E8E" w14:paraId="2DDC67F1" w14:textId="77777777">
            <w:pPr>
              <w:pStyle w:val="TableListBullet"/>
              <w:spacing w:line="240" w:lineRule="atLeast"/>
              <w:rPr>
                <w:rFonts w:ascii="Arial Narrow" w:hAnsi="Arial Narrow"/>
                <w:szCs w:val="18"/>
              </w:rPr>
            </w:pPr>
            <w:r w:rsidRPr="00BF0944">
              <w:rPr>
                <w:rFonts w:ascii="Arial Narrow" w:hAnsi="Arial Narrow"/>
                <w:szCs w:val="18"/>
              </w:rPr>
              <w:t xml:space="preserve">Updated introductory email to AETC to ensure we include the right people in the interview. We will start with the program director and ask about including staff that have provided training. This could be staff at the AETC partner site or the central office’s staff member who works with the Practice Transformation sites (that is, regional and local AETCs involved in projects to improve patient outcomes by integrating principles of the patient-centered medical home model and integrated HIV care and behavioral health services). </w:t>
            </w:r>
          </w:p>
        </w:tc>
      </w:tr>
    </w:tbl>
    <w:p w:rsidR="00D46B9E" w:rsidRPr="005D058D" w:rsidP="00D46B9E" w14:paraId="7C19B8D8" w14:textId="14313000">
      <w:pPr>
        <w:pStyle w:val="ExhibitFootnote"/>
      </w:pPr>
      <w:r w:rsidRPr="007D6F90">
        <w:t>HAB = HIV/AIDS Bureau; RUDI-P/S = Rapid Uptake of Disseminated Interventions Provider and Subrecipient Survey</w:t>
      </w:r>
      <w:r>
        <w:t>;</w:t>
      </w:r>
      <w:r w:rsidRPr="007D6F90">
        <w:t xml:space="preserve"> </w:t>
      </w:r>
      <w:r w:rsidRPr="00D46B9E">
        <w:rPr>
          <w:bCs/>
        </w:rPr>
        <w:t>RUDI-R = Rapid Uptake of Disseminated Interventions Parts A and B Administrative Recipient Survey</w:t>
      </w:r>
      <w:r>
        <w:rPr>
          <w:bCs/>
        </w:rPr>
        <w:t>;</w:t>
      </w:r>
      <w:r w:rsidRPr="007D6F90">
        <w:t xml:space="preserve"> RWHAP = Ryan White HIV/AIDS Program</w:t>
      </w:r>
      <w:r w:rsidR="004C3908">
        <w:t xml:space="preserve">; </w:t>
      </w:r>
      <w:r w:rsidRPr="005D058D">
        <w:t xml:space="preserve">AETC = AIDS Educational Training Centers; HAB = </w:t>
      </w:r>
      <w:r>
        <w:t>HIV/AIDS Bureau</w:t>
      </w:r>
      <w:r w:rsidRPr="005D058D">
        <w:t>; RUDI = Rapid Uptake of Disseminated Interventions.</w:t>
      </w:r>
    </w:p>
    <w:p w:rsidR="00D417F4" w:rsidP="004001B3" w14:paraId="48877D8E" w14:textId="77777777">
      <w:pPr>
        <w:pStyle w:val="ExhibitTitle"/>
        <w:rPr>
          <w:bCs/>
        </w:rPr>
      </w:pPr>
    </w:p>
    <w:p w:rsidR="004001B3" w:rsidRPr="0086377F" w:rsidP="004001B3" w14:paraId="06E06A53" w14:textId="32282105">
      <w:pPr>
        <w:pStyle w:val="ExhibitTitle"/>
        <w:rPr>
          <w:b w:val="0"/>
          <w:bCs/>
        </w:rPr>
      </w:pPr>
      <w:r w:rsidRPr="0086377F">
        <w:rPr>
          <w:bCs/>
        </w:rPr>
        <w:t xml:space="preserve">Exhibit </w:t>
      </w:r>
      <w:r w:rsidR="00FE34EE">
        <w:rPr>
          <w:bCs/>
        </w:rPr>
        <w:t>4</w:t>
      </w:r>
      <w:r w:rsidRPr="0086377F">
        <w:rPr>
          <w:bCs/>
        </w:rPr>
        <w:t>. Changes in sampling strategy and interview schedule</w:t>
      </w:r>
    </w:p>
    <w:tbl>
      <w:tblPr>
        <w:tblStyle w:val="BaseTable"/>
        <w:tblW w:w="5000" w:type="pct"/>
        <w:tblLook w:val="04A0"/>
      </w:tblPr>
      <w:tblGrid>
        <w:gridCol w:w="3721"/>
        <w:gridCol w:w="5279"/>
      </w:tblGrid>
      <w:tr w14:paraId="1BDE88B2" w14:textId="77777777" w:rsidTr="00BF0944">
        <w:tblPrEx>
          <w:tblW w:w="5000" w:type="pct"/>
          <w:tblLook w:val="04A0"/>
        </w:tblPrEx>
        <w:trPr>
          <w:trHeight w:val="288"/>
        </w:trPr>
        <w:tc>
          <w:tcPr>
            <w:tcW w:w="2067" w:type="pct"/>
            <w:tcBorders>
              <w:bottom w:val="nil"/>
              <w:right w:val="nil"/>
            </w:tcBorders>
            <w:vAlign w:val="center"/>
          </w:tcPr>
          <w:p w:rsidR="00E901B1" w:rsidRPr="00BF0944" w:rsidP="00AD0E8E" w14:paraId="6223CF0E" w14:textId="5182E69E">
            <w:pPr>
              <w:pStyle w:val="TableHeaderLeft"/>
              <w:rPr>
                <w:rFonts w:ascii="Arial Narrow" w:hAnsi="Arial Narrow"/>
                <w:szCs w:val="18"/>
              </w:rPr>
            </w:pPr>
            <w:r w:rsidRPr="00BF0944">
              <w:rPr>
                <w:rFonts w:ascii="Arial Narrow" w:hAnsi="Arial Narrow"/>
                <w:szCs w:val="18"/>
              </w:rPr>
              <w:t>RUDI PROVIDERS AND SUBRECIPIENTS</w:t>
            </w:r>
          </w:p>
        </w:tc>
        <w:tc>
          <w:tcPr>
            <w:tcW w:w="2933" w:type="pct"/>
            <w:tcBorders>
              <w:left w:val="nil"/>
              <w:bottom w:val="nil"/>
            </w:tcBorders>
            <w:vAlign w:val="center"/>
          </w:tcPr>
          <w:p w:rsidR="00E901B1" w:rsidRPr="00BF0944" w:rsidP="00AD0E8E" w14:paraId="12CB49E5" w14:textId="77777777">
            <w:pPr>
              <w:pStyle w:val="TableHeaderLeft"/>
              <w:rPr>
                <w:rFonts w:ascii="Arial Narrow" w:hAnsi="Arial Narrow"/>
                <w:szCs w:val="18"/>
              </w:rPr>
            </w:pPr>
          </w:p>
        </w:tc>
      </w:tr>
      <w:tr w14:paraId="17E26759" w14:textId="77777777" w:rsidTr="00BF0944">
        <w:tblPrEx>
          <w:tblW w:w="5000" w:type="pct"/>
          <w:tblLook w:val="04A0"/>
        </w:tblPrEx>
        <w:trPr>
          <w:trHeight w:val="288"/>
          <w:tblHeader/>
        </w:trPr>
        <w:tc>
          <w:tcPr>
            <w:tcW w:w="2067" w:type="pct"/>
            <w:tcBorders>
              <w:bottom w:val="nil"/>
              <w:right w:val="nil"/>
            </w:tcBorders>
            <w:vAlign w:val="center"/>
          </w:tcPr>
          <w:p w:rsidR="004001B3" w:rsidRPr="00BF0944" w:rsidP="00AD0E8E" w14:paraId="6A5B9EBC" w14:textId="77777777">
            <w:pPr>
              <w:pStyle w:val="TableHeaderLeft"/>
              <w:rPr>
                <w:rFonts w:ascii="Arial Narrow" w:hAnsi="Arial Narrow"/>
                <w:szCs w:val="18"/>
              </w:rPr>
            </w:pPr>
            <w:bookmarkStart w:id="25" w:name="_Hlk145424339"/>
            <w:bookmarkEnd w:id="24"/>
            <w:r w:rsidRPr="00BF0944">
              <w:rPr>
                <w:rFonts w:ascii="Arial Narrow" w:hAnsi="Arial Narrow"/>
                <w:szCs w:val="18"/>
              </w:rPr>
              <w:t>Experience</w:t>
            </w:r>
          </w:p>
        </w:tc>
        <w:tc>
          <w:tcPr>
            <w:tcW w:w="2933" w:type="pct"/>
            <w:tcBorders>
              <w:left w:val="nil"/>
              <w:bottom w:val="nil"/>
            </w:tcBorders>
            <w:vAlign w:val="center"/>
          </w:tcPr>
          <w:p w:rsidR="004001B3" w:rsidRPr="00BF0944" w:rsidP="00AD0E8E" w14:paraId="57E56F0F" w14:textId="356F1329">
            <w:pPr>
              <w:pStyle w:val="TableHeaderLeft"/>
              <w:rPr>
                <w:rFonts w:ascii="Arial Narrow" w:hAnsi="Arial Narrow"/>
                <w:szCs w:val="18"/>
              </w:rPr>
            </w:pPr>
            <w:r w:rsidRPr="00BF0944">
              <w:rPr>
                <w:rFonts w:ascii="Arial Narrow" w:hAnsi="Arial Narrow"/>
                <w:szCs w:val="18"/>
              </w:rPr>
              <w:t>Change</w:t>
            </w:r>
            <w:r w:rsidRPr="00BF0944" w:rsidR="00BF0944">
              <w:rPr>
                <w:rFonts w:ascii="Arial Narrow" w:hAnsi="Arial Narrow"/>
                <w:szCs w:val="18"/>
              </w:rPr>
              <w:t>(s)</w:t>
            </w:r>
          </w:p>
        </w:tc>
      </w:tr>
      <w:bookmarkEnd w:id="25"/>
      <w:tr w14:paraId="5045B731" w14:textId="77777777" w:rsidTr="00BF0944">
        <w:tblPrEx>
          <w:tblW w:w="5000" w:type="pct"/>
          <w:tblLook w:val="04A0"/>
        </w:tblPrEx>
        <w:trPr>
          <w:trHeight w:val="611"/>
        </w:trPr>
        <w:tc>
          <w:tcPr>
            <w:tcW w:w="2067" w:type="pct"/>
            <w:tcBorders>
              <w:top w:val="single" w:sz="4" w:space="0" w:color="046B5C" w:themeColor="text2"/>
            </w:tcBorders>
          </w:tcPr>
          <w:p w:rsidR="004001B3" w:rsidRPr="00BF0944" w:rsidP="00BF0944" w14:paraId="63A36D17" w14:textId="77777777">
            <w:pPr>
              <w:pStyle w:val="TableListNumber"/>
              <w:numPr>
                <w:ilvl w:val="0"/>
                <w:numId w:val="49"/>
              </w:numPr>
              <w:spacing w:line="240" w:lineRule="atLeast"/>
              <w:rPr>
                <w:rFonts w:ascii="Arial Narrow" w:hAnsi="Arial Narrow"/>
                <w:szCs w:val="18"/>
              </w:rPr>
            </w:pPr>
            <w:r w:rsidRPr="00BF0944">
              <w:rPr>
                <w:rFonts w:ascii="Arial Narrow" w:hAnsi="Arial Narrow"/>
                <w:szCs w:val="18"/>
              </w:rPr>
              <w:t xml:space="preserve">Some providers reported using HAB resources but not for the implementation of interventions listed in TargetHIV. </w:t>
            </w:r>
          </w:p>
          <w:p w:rsidR="004001B3" w:rsidRPr="00BF0944" w:rsidP="00AD0E8E" w14:paraId="0F9CE832" w14:textId="77777777">
            <w:pPr>
              <w:pStyle w:val="TableTextIndent"/>
              <w:rPr>
                <w:rFonts w:ascii="Arial Narrow" w:hAnsi="Arial Narrow"/>
                <w:szCs w:val="18"/>
              </w:rPr>
            </w:pPr>
          </w:p>
          <w:p w:rsidR="004001B3" w:rsidRPr="00BF0944" w:rsidP="00AD0E8E" w14:paraId="11847BAB" w14:textId="77777777">
            <w:pPr>
              <w:pStyle w:val="TableTextIndent"/>
              <w:rPr>
                <w:rFonts w:ascii="Arial Narrow" w:hAnsi="Arial Narrow"/>
                <w:szCs w:val="18"/>
              </w:rPr>
            </w:pPr>
            <w:r w:rsidRPr="00BF0944">
              <w:rPr>
                <w:rFonts w:ascii="Arial Narrow" w:hAnsi="Arial Narrow"/>
                <w:szCs w:val="18"/>
              </w:rPr>
              <w:t>These providers indicated that they used HAB resources more generally (for example, to stay informed on current practices for HIV care) and told us how future resources and dissemination efforts could be more helpful with implementation.</w:t>
            </w:r>
          </w:p>
        </w:tc>
        <w:tc>
          <w:tcPr>
            <w:tcW w:w="2933" w:type="pct"/>
            <w:tcBorders>
              <w:top w:val="single" w:sz="4" w:space="0" w:color="5B6771" w:themeColor="accent3"/>
            </w:tcBorders>
          </w:tcPr>
          <w:p w:rsidR="004001B3" w:rsidRPr="00BF0944" w:rsidP="004001B3" w14:paraId="2288F6C3" w14:textId="77777777">
            <w:pPr>
              <w:pStyle w:val="TableListBullet"/>
              <w:spacing w:line="240" w:lineRule="atLeast"/>
              <w:rPr>
                <w:rFonts w:ascii="Arial Narrow" w:hAnsi="Arial Narrow"/>
                <w:szCs w:val="18"/>
              </w:rPr>
            </w:pPr>
            <w:r w:rsidRPr="00BF0944">
              <w:rPr>
                <w:rFonts w:ascii="Arial Narrow" w:hAnsi="Arial Narrow"/>
                <w:szCs w:val="18"/>
              </w:rPr>
              <w:t>Changed plans for identifying RWHAP providers for the virtual site visits. Using RUDI-P/S survey responses, we will identify three groups of providers that might have different and equally useful thoughts to share about their experience accessing and using disseminated materials:</w:t>
            </w:r>
          </w:p>
          <w:p w:rsidR="004001B3" w:rsidRPr="00BF0944" w:rsidP="004001B3" w14:paraId="7B6F4DAF" w14:textId="77777777">
            <w:pPr>
              <w:pStyle w:val="TableListBullet2"/>
              <w:spacing w:line="240" w:lineRule="atLeast"/>
              <w:rPr>
                <w:rFonts w:ascii="Arial Narrow" w:hAnsi="Arial Narrow"/>
                <w:szCs w:val="18"/>
              </w:rPr>
            </w:pPr>
            <w:r w:rsidRPr="00BF0944">
              <w:rPr>
                <w:rFonts w:ascii="Arial Narrow" w:hAnsi="Arial Narrow"/>
                <w:szCs w:val="18"/>
              </w:rPr>
              <w:t xml:space="preserve">Group 1: Providers that accessed and used resources disseminated through TargetHIV to implement an intervention. </w:t>
            </w:r>
          </w:p>
          <w:p w:rsidR="004001B3" w:rsidRPr="00BF0944" w:rsidP="004001B3" w14:paraId="78043146" w14:textId="77777777">
            <w:pPr>
              <w:pStyle w:val="TableListBullet2"/>
              <w:spacing w:line="240" w:lineRule="atLeast"/>
              <w:rPr>
                <w:rFonts w:ascii="Arial Narrow" w:hAnsi="Arial Narrow"/>
                <w:szCs w:val="18"/>
              </w:rPr>
            </w:pPr>
            <w:r w:rsidRPr="00BF0944">
              <w:rPr>
                <w:rFonts w:ascii="Arial Narrow" w:hAnsi="Arial Narrow"/>
                <w:szCs w:val="18"/>
              </w:rPr>
              <w:t>Group 2: Providers that did not use resources on TargetHIV but accessed and used a resource from another site or channel to implement an intervention.</w:t>
            </w:r>
          </w:p>
          <w:p w:rsidR="004001B3" w:rsidRPr="00BF0944" w:rsidP="004001B3" w14:paraId="53E350A0" w14:textId="77777777">
            <w:pPr>
              <w:pStyle w:val="TableListBullet2"/>
              <w:spacing w:line="240" w:lineRule="atLeast"/>
              <w:rPr>
                <w:rFonts w:ascii="Arial Narrow" w:hAnsi="Arial Narrow"/>
                <w:szCs w:val="18"/>
              </w:rPr>
            </w:pPr>
            <w:r w:rsidRPr="00BF0944">
              <w:rPr>
                <w:rFonts w:ascii="Arial Narrow" w:hAnsi="Arial Narrow"/>
                <w:szCs w:val="18"/>
              </w:rPr>
              <w:t>Group 3: Providers that accessed a resource on TargetHIV but did not use a resource from TargetHIV or another site to implement an intervention.</w:t>
            </w:r>
          </w:p>
          <w:p w:rsidR="004001B3" w:rsidRPr="00BF0944" w:rsidP="004001B3" w14:paraId="5298F040" w14:textId="77777777">
            <w:pPr>
              <w:pStyle w:val="TableListBullet"/>
              <w:spacing w:line="240" w:lineRule="atLeast"/>
              <w:rPr>
                <w:rFonts w:ascii="Arial Narrow" w:hAnsi="Arial Narrow"/>
                <w:szCs w:val="18"/>
              </w:rPr>
            </w:pPr>
            <w:r w:rsidRPr="00BF0944">
              <w:rPr>
                <w:rFonts w:ascii="Arial Narrow" w:hAnsi="Arial Narrow"/>
                <w:szCs w:val="18"/>
              </w:rPr>
              <w:t>Plan to adapt the master discussion guide for each virtual site visit to reflect the appropriate group perspective. The interviewer will remove sections that do not apply to a specific group. For example, the interviewer would drop the section on implementation and intervention outcomes for Group 3 providers.</w:t>
            </w:r>
          </w:p>
        </w:tc>
      </w:tr>
      <w:tr w14:paraId="7448C4DD" w14:textId="77777777" w:rsidTr="00BF0944">
        <w:tblPrEx>
          <w:tblW w:w="5000" w:type="pct"/>
          <w:tblLook w:val="04A0"/>
        </w:tblPrEx>
        <w:trPr>
          <w:trHeight w:val="611"/>
        </w:trPr>
        <w:tc>
          <w:tcPr>
            <w:tcW w:w="2067" w:type="pct"/>
            <w:tcBorders>
              <w:top w:val="single" w:sz="4" w:space="0" w:color="046B5C" w:themeColor="text2"/>
            </w:tcBorders>
          </w:tcPr>
          <w:p w:rsidR="004001B3" w:rsidRPr="00BF0944" w:rsidP="004001B3" w14:paraId="1D91BAE1" w14:textId="77777777">
            <w:pPr>
              <w:pStyle w:val="TableListNumber"/>
              <w:spacing w:line="240" w:lineRule="atLeast"/>
              <w:rPr>
                <w:rFonts w:ascii="Arial Narrow" w:hAnsi="Arial Narrow"/>
                <w:szCs w:val="18"/>
              </w:rPr>
            </w:pPr>
            <w:r w:rsidRPr="00BF0944">
              <w:rPr>
                <w:rFonts w:ascii="Arial Narrow" w:hAnsi="Arial Narrow"/>
                <w:szCs w:val="18"/>
              </w:rPr>
              <w:t>Providers offered a general response when asked about the intervention listed in the survey. For example, one respondent entered “Ending the HIV Epidemic (EHE)” in the survey rather than a specific intervention.</w:t>
            </w:r>
          </w:p>
        </w:tc>
        <w:tc>
          <w:tcPr>
            <w:tcW w:w="2933" w:type="pct"/>
            <w:tcBorders>
              <w:top w:val="nil"/>
            </w:tcBorders>
          </w:tcPr>
          <w:p w:rsidR="004001B3" w:rsidRPr="00BF0944" w:rsidP="004001B3" w14:paraId="7ABB08AD" w14:textId="2C16D980">
            <w:pPr>
              <w:pStyle w:val="TableListBullet"/>
              <w:spacing w:line="240" w:lineRule="atLeast"/>
              <w:rPr>
                <w:rFonts w:ascii="Arial Narrow" w:hAnsi="Arial Narrow"/>
                <w:szCs w:val="18"/>
              </w:rPr>
            </w:pPr>
            <w:r w:rsidRPr="00BF0944">
              <w:rPr>
                <w:rFonts w:ascii="Arial Narrow" w:hAnsi="Arial Narrow"/>
                <w:szCs w:val="18"/>
              </w:rPr>
              <w:t>We will sample virtual site visit</w:t>
            </w:r>
            <w:r w:rsidR="003D4F67">
              <w:rPr>
                <w:rFonts w:ascii="Arial Narrow" w:hAnsi="Arial Narrow"/>
                <w:szCs w:val="18"/>
              </w:rPr>
              <w:t xml:space="preserve"> provider</w:t>
            </w:r>
            <w:r w:rsidRPr="00BF0944">
              <w:rPr>
                <w:rFonts w:ascii="Arial Narrow" w:hAnsi="Arial Narrow"/>
                <w:szCs w:val="18"/>
              </w:rPr>
              <w:t>s from different groups as noted above. For Group 1, we will make sure the interventions they list are recognizable TargetHIV interventions before selecting them for an introductory call.</w:t>
            </w:r>
          </w:p>
        </w:tc>
      </w:tr>
      <w:tr w14:paraId="35505F6E" w14:textId="77777777" w:rsidTr="00BF0944">
        <w:tblPrEx>
          <w:tblW w:w="5000" w:type="pct"/>
          <w:tblLook w:val="04A0"/>
        </w:tblPrEx>
        <w:tc>
          <w:tcPr>
            <w:tcW w:w="2067" w:type="pct"/>
          </w:tcPr>
          <w:p w:rsidR="004001B3" w:rsidRPr="00BF0944" w:rsidP="004001B3" w14:paraId="26B54168" w14:textId="77777777">
            <w:pPr>
              <w:pStyle w:val="TableListNumber"/>
              <w:spacing w:line="240" w:lineRule="atLeast"/>
              <w:rPr>
                <w:rFonts w:ascii="Arial Narrow" w:hAnsi="Arial Narrow"/>
                <w:szCs w:val="18"/>
              </w:rPr>
            </w:pPr>
            <w:r w:rsidRPr="00BF0944">
              <w:rPr>
                <w:rFonts w:ascii="Arial Narrow" w:hAnsi="Arial Narrow"/>
                <w:szCs w:val="18"/>
              </w:rPr>
              <w:t xml:space="preserve">When providers receive RWHAP funds from multiple parts (A to F), staff working on different funding streams might have different experiences with TargetHIV interventions and resources. </w:t>
            </w:r>
          </w:p>
        </w:tc>
        <w:tc>
          <w:tcPr>
            <w:tcW w:w="2933" w:type="pct"/>
          </w:tcPr>
          <w:p w:rsidR="004001B3" w:rsidRPr="00BF0944" w:rsidP="004001B3" w14:paraId="129AF4A5" w14:textId="77777777">
            <w:pPr>
              <w:pStyle w:val="TableListBullet"/>
              <w:spacing w:line="240" w:lineRule="atLeast"/>
              <w:rPr>
                <w:rFonts w:ascii="Arial Narrow" w:hAnsi="Arial Narrow"/>
                <w:szCs w:val="18"/>
              </w:rPr>
            </w:pPr>
            <w:r w:rsidRPr="00BF0944">
              <w:rPr>
                <w:rFonts w:ascii="Arial Narrow" w:hAnsi="Arial Narrow"/>
                <w:szCs w:val="18"/>
              </w:rPr>
              <w:t>Changed the introductory call to clarify that the people we seek to interview are as follows:</w:t>
            </w:r>
          </w:p>
          <w:p w:rsidR="004001B3" w:rsidRPr="00BF0944" w:rsidP="004001B3" w14:paraId="5DA82AD1" w14:textId="77CD0608">
            <w:pPr>
              <w:pStyle w:val="TableListBullet2"/>
              <w:spacing w:line="240" w:lineRule="atLeast"/>
              <w:rPr>
                <w:rFonts w:ascii="Arial Narrow" w:hAnsi="Arial Narrow"/>
                <w:szCs w:val="18"/>
              </w:rPr>
            </w:pPr>
            <w:r w:rsidRPr="00BF0944">
              <w:rPr>
                <w:rFonts w:ascii="Arial Narrow" w:hAnsi="Arial Narrow"/>
                <w:szCs w:val="18"/>
              </w:rPr>
              <w:t>For Group</w:t>
            </w:r>
            <w:r w:rsidR="003D4F67">
              <w:rPr>
                <w:rFonts w:ascii="Arial Narrow" w:hAnsi="Arial Narrow"/>
                <w:szCs w:val="18"/>
              </w:rPr>
              <w:t>s</w:t>
            </w:r>
            <w:r w:rsidRPr="00BF0944">
              <w:rPr>
                <w:rFonts w:ascii="Arial Narrow" w:hAnsi="Arial Narrow"/>
                <w:szCs w:val="18"/>
              </w:rPr>
              <w:t xml:space="preserve"> 1 and 2, staff knowledgeable about the specific interventions available via TargetHIV as evidenced in their survey responses. Interviewing staff with specific knowledge about the interventions listed in the survey will allow for more cohesive virtual site visit conversations. </w:t>
            </w:r>
          </w:p>
          <w:p w:rsidR="004001B3" w:rsidRPr="00BF0944" w:rsidP="004001B3" w14:paraId="177F7BB4" w14:textId="77777777">
            <w:pPr>
              <w:pStyle w:val="TableListBullet2"/>
              <w:spacing w:line="240" w:lineRule="atLeast"/>
              <w:rPr>
                <w:rFonts w:ascii="Arial Narrow" w:hAnsi="Arial Narrow"/>
                <w:szCs w:val="18"/>
              </w:rPr>
            </w:pPr>
            <w:r w:rsidRPr="00BF0944">
              <w:rPr>
                <w:rFonts w:ascii="Arial Narrow" w:hAnsi="Arial Narrow"/>
                <w:szCs w:val="18"/>
              </w:rPr>
              <w:t>For Group 3, staff with greatest understanding of how staff use TargetHIV and other HAB websites (if not to implement interventions) and their needs for future HAB resources and dissemination pathways.</w:t>
            </w:r>
          </w:p>
          <w:p w:rsidR="004001B3" w:rsidRPr="00BF0944" w:rsidP="004001B3" w14:paraId="10B971D3" w14:textId="77777777">
            <w:pPr>
              <w:pStyle w:val="ListParagraph"/>
              <w:numPr>
                <w:ilvl w:val="0"/>
                <w:numId w:val="41"/>
              </w:numPr>
              <w:spacing w:after="20" w:line="240" w:lineRule="auto"/>
              <w:ind w:left="385"/>
              <w:rPr>
                <w:rFonts w:ascii="Arial Narrow" w:hAnsi="Arial Narrow" w:cstheme="majorHAnsi"/>
                <w:sz w:val="18"/>
                <w:szCs w:val="18"/>
              </w:rPr>
            </w:pPr>
            <w:r w:rsidRPr="00BF0944">
              <w:rPr>
                <w:rFonts w:ascii="Arial Narrow" w:hAnsi="Arial Narrow" w:cstheme="majorHAnsi"/>
                <w:sz w:val="18"/>
                <w:szCs w:val="18"/>
              </w:rPr>
              <w:t>When speaking with a subrecipient with multiple funds about the support they receive from their RWHAP recipient, we will include the name of the specific RWHAP recipient we are interested in.</w:t>
            </w:r>
          </w:p>
        </w:tc>
      </w:tr>
      <w:tr w14:paraId="4B045960" w14:textId="77777777" w:rsidTr="00BF0944">
        <w:tblPrEx>
          <w:tblW w:w="5000" w:type="pct"/>
          <w:tblLook w:val="04A0"/>
        </w:tblPrEx>
        <w:tc>
          <w:tcPr>
            <w:tcW w:w="5000" w:type="pct"/>
            <w:gridSpan w:val="2"/>
            <w:shd w:val="clear" w:color="auto" w:fill="046B5C" w:themeFill="text2"/>
          </w:tcPr>
          <w:p w:rsidR="00E901B1" w:rsidRPr="00BF0944" w:rsidP="00BF0944" w14:paraId="5D957DB4" w14:textId="5B1DF072">
            <w:pPr>
              <w:pStyle w:val="TableHeaderLeft"/>
              <w:rPr>
                <w:rFonts w:ascii="Arial Narrow" w:hAnsi="Arial Narrow"/>
                <w:b/>
                <w:bCs/>
                <w:szCs w:val="18"/>
              </w:rPr>
            </w:pPr>
            <w:bookmarkStart w:id="26" w:name="_Hlk145424515"/>
            <w:r>
              <w:rPr>
                <w:rFonts w:ascii="Arial Narrow" w:hAnsi="Arial Narrow"/>
                <w:b/>
                <w:bCs/>
                <w:szCs w:val="18"/>
              </w:rPr>
              <w:t>R</w:t>
            </w:r>
            <w:r w:rsidRPr="00BF0944">
              <w:rPr>
                <w:rFonts w:ascii="Arial Narrow" w:hAnsi="Arial Narrow"/>
                <w:b/>
                <w:bCs/>
                <w:szCs w:val="18"/>
              </w:rPr>
              <w:t>UDI PART A AND B ADMINISTRATIVE RECIPIENTS</w:t>
            </w:r>
          </w:p>
        </w:tc>
      </w:tr>
      <w:tr w14:paraId="606CFD15" w14:textId="77777777" w:rsidTr="00BF0944">
        <w:tblPrEx>
          <w:tblW w:w="5000" w:type="pct"/>
          <w:tblLook w:val="04A0"/>
        </w:tblPrEx>
        <w:tc>
          <w:tcPr>
            <w:tcW w:w="5000" w:type="pct"/>
            <w:gridSpan w:val="2"/>
            <w:shd w:val="clear" w:color="auto" w:fill="046B5C" w:themeFill="text2"/>
          </w:tcPr>
          <w:tbl>
            <w:tblPr>
              <w:tblStyle w:val="BaseTable"/>
              <w:tblW w:w="5000" w:type="pct"/>
              <w:tblLook w:val="04A0"/>
            </w:tblPr>
            <w:tblGrid>
              <w:gridCol w:w="4311"/>
              <w:gridCol w:w="4573"/>
            </w:tblGrid>
            <w:tr w14:paraId="2043CBE8" w14:textId="77777777" w:rsidTr="0021617B">
              <w:tblPrEx>
                <w:tblW w:w="5000" w:type="pct"/>
                <w:tblLook w:val="04A0"/>
              </w:tblPrEx>
              <w:trPr>
                <w:trHeight w:val="288"/>
                <w:tblHeader/>
              </w:trPr>
              <w:tc>
                <w:tcPr>
                  <w:tcW w:w="2426" w:type="pct"/>
                  <w:tcBorders>
                    <w:bottom w:val="nil"/>
                    <w:right w:val="nil"/>
                  </w:tcBorders>
                  <w:vAlign w:val="center"/>
                </w:tcPr>
                <w:p w:rsidR="00BF0944" w:rsidRPr="00BF0944" w:rsidP="00BF0944" w14:paraId="7A1DCFF2" w14:textId="77777777">
                  <w:pPr>
                    <w:pStyle w:val="TableHeaderLeft"/>
                    <w:rPr>
                      <w:rFonts w:ascii="Arial Narrow" w:hAnsi="Arial Narrow"/>
                      <w:szCs w:val="18"/>
                    </w:rPr>
                  </w:pPr>
                  <w:r w:rsidRPr="00BF0944">
                    <w:rPr>
                      <w:rFonts w:ascii="Arial Narrow" w:hAnsi="Arial Narrow"/>
                      <w:szCs w:val="18"/>
                    </w:rPr>
                    <w:t>Experience</w:t>
                  </w:r>
                </w:p>
              </w:tc>
              <w:tc>
                <w:tcPr>
                  <w:tcW w:w="2574" w:type="pct"/>
                  <w:tcBorders>
                    <w:left w:val="nil"/>
                    <w:bottom w:val="nil"/>
                  </w:tcBorders>
                  <w:vAlign w:val="center"/>
                </w:tcPr>
                <w:p w:rsidR="00BF0944" w:rsidRPr="00BF0944" w:rsidP="00BF0944" w14:paraId="64BF76F7" w14:textId="21F710FF">
                  <w:pPr>
                    <w:pStyle w:val="TableHeaderLeft"/>
                    <w:rPr>
                      <w:rFonts w:ascii="Arial Narrow" w:hAnsi="Arial Narrow"/>
                      <w:szCs w:val="18"/>
                    </w:rPr>
                  </w:pPr>
                  <w:r w:rsidRPr="00BF0944">
                    <w:rPr>
                      <w:rFonts w:ascii="Arial Narrow" w:hAnsi="Arial Narrow"/>
                      <w:szCs w:val="18"/>
                    </w:rPr>
                    <w:t>Change(s)</w:t>
                  </w:r>
                </w:p>
              </w:tc>
            </w:tr>
          </w:tbl>
          <w:p w:rsidR="00BF0944" w:rsidRPr="00BF0944" w:rsidP="00BF0944" w14:paraId="01C43D36" w14:textId="77777777">
            <w:pPr>
              <w:pStyle w:val="TableHeaderLeft"/>
              <w:rPr>
                <w:rFonts w:ascii="Arial Narrow" w:hAnsi="Arial Narrow"/>
                <w:b/>
                <w:bCs/>
                <w:szCs w:val="18"/>
              </w:rPr>
            </w:pPr>
          </w:p>
        </w:tc>
      </w:tr>
      <w:tr w14:paraId="1B2956D5" w14:textId="77777777" w:rsidTr="00BF0944">
        <w:tblPrEx>
          <w:tblW w:w="5000" w:type="pct"/>
          <w:tblLook w:val="04A0"/>
        </w:tblPrEx>
        <w:trPr>
          <w:trHeight w:val="2114"/>
        </w:trPr>
        <w:tc>
          <w:tcPr>
            <w:tcW w:w="2067" w:type="pct"/>
            <w:tcBorders>
              <w:top w:val="nil"/>
            </w:tcBorders>
          </w:tcPr>
          <w:p w:rsidR="004001B3" w:rsidRPr="00BF0944" w:rsidP="00AD0E8E" w14:paraId="543AC194" w14:textId="331FF459">
            <w:pPr>
              <w:pStyle w:val="TableTextLeft"/>
              <w:rPr>
                <w:rFonts w:ascii="Arial Narrow" w:hAnsi="Arial Narrow"/>
                <w:szCs w:val="18"/>
              </w:rPr>
            </w:pPr>
            <w:bookmarkStart w:id="27" w:name="_Hlk145516299"/>
            <w:r w:rsidRPr="00BF0944">
              <w:rPr>
                <w:rFonts w:ascii="Arial Narrow" w:hAnsi="Arial Narrow"/>
                <w:szCs w:val="18"/>
              </w:rPr>
              <w:t xml:space="preserve">During our interviews, we found that there might not be one person in the organization that can speak about both </w:t>
            </w:r>
            <w:r>
              <w:rPr>
                <w:rFonts w:ascii="Arial Narrow" w:hAnsi="Arial Narrow"/>
                <w:szCs w:val="18"/>
              </w:rPr>
              <w:t xml:space="preserve">of these key </w:t>
            </w:r>
            <w:r w:rsidRPr="00BF0944">
              <w:rPr>
                <w:rFonts w:ascii="Arial Narrow" w:hAnsi="Arial Narrow"/>
                <w:szCs w:val="18"/>
              </w:rPr>
              <w:t>topics</w:t>
            </w:r>
            <w:r>
              <w:rPr>
                <w:rFonts w:ascii="Arial Narrow" w:hAnsi="Arial Narrow"/>
                <w:szCs w:val="18"/>
              </w:rPr>
              <w:t xml:space="preserve">: </w:t>
            </w:r>
            <w:r w:rsidRPr="00BF0944">
              <w:rPr>
                <w:rFonts w:ascii="Arial Narrow" w:hAnsi="Arial Narrow"/>
                <w:szCs w:val="18"/>
              </w:rPr>
              <w:t xml:space="preserve">(1) information flows from HAB to recipient and from recipient to subrecipient and (2) recipient use of HAB resources to implement system-level interventions. </w:t>
            </w:r>
          </w:p>
        </w:tc>
        <w:tc>
          <w:tcPr>
            <w:tcW w:w="2933" w:type="pct"/>
            <w:tcBorders>
              <w:top w:val="nil"/>
            </w:tcBorders>
          </w:tcPr>
          <w:p w:rsidR="004001B3" w:rsidRPr="00BF0944" w:rsidP="004001B3" w14:paraId="6D2134F0" w14:textId="1112A4BC">
            <w:pPr>
              <w:pStyle w:val="TableListBullet"/>
              <w:spacing w:line="240" w:lineRule="atLeast"/>
              <w:rPr>
                <w:rFonts w:ascii="Arial Narrow" w:hAnsi="Arial Narrow"/>
                <w:szCs w:val="18"/>
              </w:rPr>
            </w:pPr>
            <w:r w:rsidRPr="00BF0944">
              <w:rPr>
                <w:rFonts w:ascii="Arial Narrow" w:hAnsi="Arial Narrow"/>
                <w:szCs w:val="18"/>
              </w:rPr>
              <w:t>Updated introductory email to recipients selected for interviews to specifically identify these two areas we will need to cover in our interview</w:t>
            </w:r>
            <w:r w:rsidR="000B6443">
              <w:rPr>
                <w:rFonts w:ascii="Arial Narrow" w:hAnsi="Arial Narrow"/>
                <w:szCs w:val="18"/>
              </w:rPr>
              <w:t>, and invite them to list up to two others who may join them on the interview to contribute to the topics listed</w:t>
            </w:r>
          </w:p>
          <w:p w:rsidR="004001B3" w:rsidRPr="00BF0944" w:rsidP="004001B3" w14:paraId="2DF8C3CA" w14:textId="77777777">
            <w:pPr>
              <w:pStyle w:val="TableListBullet"/>
              <w:spacing w:line="240" w:lineRule="atLeast"/>
              <w:rPr>
                <w:rFonts w:ascii="Arial Narrow" w:hAnsi="Arial Narrow"/>
                <w:szCs w:val="18"/>
              </w:rPr>
            </w:pPr>
            <w:r w:rsidRPr="00BF0944">
              <w:rPr>
                <w:rFonts w:ascii="Arial Narrow" w:hAnsi="Arial Narrow"/>
                <w:szCs w:val="18"/>
              </w:rPr>
              <w:t xml:space="preserve">Included an item in the survey to ask whether the respondent used input from others to complete the survey. This will signal to the team that the recipient might require an interview that includes more than one person. </w:t>
            </w:r>
          </w:p>
          <w:p w:rsidR="004001B3" w:rsidRPr="00BF0944" w:rsidP="004001B3" w14:paraId="3B7BE5BD" w14:textId="77777777">
            <w:pPr>
              <w:pStyle w:val="TableListBullet"/>
              <w:spacing w:line="240" w:lineRule="atLeast"/>
              <w:rPr>
                <w:rFonts w:ascii="Arial Narrow" w:hAnsi="Arial Narrow"/>
                <w:szCs w:val="18"/>
              </w:rPr>
            </w:pPr>
            <w:r w:rsidRPr="00BF0944">
              <w:rPr>
                <w:rFonts w:ascii="Arial Narrow" w:hAnsi="Arial Narrow"/>
                <w:szCs w:val="18"/>
              </w:rPr>
              <w:t>Added a question to the discussion guide about the structure of the organization to better understand how information flows in the organization and who might best be able to answer our interview questions.</w:t>
            </w:r>
          </w:p>
        </w:tc>
      </w:tr>
    </w:tbl>
    <w:bookmarkEnd w:id="26"/>
    <w:bookmarkEnd w:id="27"/>
    <w:p w:rsidR="004001B3" w:rsidRPr="005D058D" w:rsidP="004001B3" w14:paraId="1BF4F4AF" w14:textId="77777777">
      <w:pPr>
        <w:pStyle w:val="ExhibitFootnote"/>
        <w:rPr>
          <w:b/>
        </w:rPr>
      </w:pPr>
      <w:r w:rsidRPr="005D058D">
        <w:t xml:space="preserve">HAB = </w:t>
      </w:r>
      <w:r>
        <w:t>HIV/AIDS Bureau</w:t>
      </w:r>
      <w:r w:rsidRPr="005D058D">
        <w:t>.</w:t>
      </w:r>
    </w:p>
    <w:p w:rsidR="00326D0E" w:rsidP="006439F3" w14:paraId="091C8425" w14:textId="02B815E0">
      <w:pPr>
        <w:pStyle w:val="H2"/>
        <w:spacing w:after="160"/>
      </w:pPr>
      <w:bookmarkStart w:id="28" w:name="_Toc128543497"/>
      <w:bookmarkStart w:id="29" w:name="_Toc129770689"/>
      <w:bookmarkStart w:id="30" w:name="_Toc232589391"/>
      <w:r>
        <w:t>E.</w:t>
      </w:r>
      <w:r>
        <w:tab/>
      </w:r>
      <w:r w:rsidRPr="006048C5" w:rsidR="00831BED">
        <w:t xml:space="preserve">Individuals </w:t>
      </w:r>
      <w:r>
        <w:t>consulted on statistical aspects and individuals collecting and/or analyzing d</w:t>
      </w:r>
      <w:r w:rsidRPr="006048C5" w:rsidR="00831BED">
        <w:t>ata</w:t>
      </w:r>
      <w:bookmarkEnd w:id="28"/>
      <w:bookmarkEnd w:id="29"/>
      <w:bookmarkEnd w:id="30"/>
    </w:p>
    <w:p w:rsidR="009A5744" w:rsidRPr="00775EF8" w:rsidP="00CF3F3B" w14:paraId="07FC81A0" w14:textId="07DB8DC1">
      <w:pPr>
        <w:pStyle w:val="Paragraph"/>
      </w:pPr>
      <w:r>
        <w:t xml:space="preserve">HRSA has contracted with Mathematica to </w:t>
      </w:r>
      <w:r w:rsidR="00C8044A">
        <w:t xml:space="preserve">perform the following tasks: </w:t>
      </w:r>
      <w:r>
        <w:t xml:space="preserve">design the RUDI evaluation, develop data collection instruments, </w:t>
      </w:r>
      <w:r w:rsidR="00C8044A">
        <w:t xml:space="preserve">conduct pilot testing, </w:t>
      </w:r>
      <w:r>
        <w:t xml:space="preserve">collect </w:t>
      </w:r>
      <w:r w:rsidR="00C8044A">
        <w:t>quantitative and qualitative d</w:t>
      </w:r>
      <w:r>
        <w:t xml:space="preserve">ata, and conduct data analyses. </w:t>
      </w:r>
      <w:r>
        <w:t xml:space="preserve">Engaging </w:t>
      </w:r>
      <w:r>
        <w:t xml:space="preserve">Mathematica will ensure </w:t>
      </w:r>
      <w:r>
        <w:t xml:space="preserve">that 1) the RUDI evaluation </w:t>
      </w:r>
      <w:r w:rsidR="00C8044A">
        <w:t xml:space="preserve">is </w:t>
      </w:r>
      <w:r>
        <w:t xml:space="preserve">conducted using appropriate methods and 2) </w:t>
      </w:r>
      <w:r>
        <w:t xml:space="preserve">information generated </w:t>
      </w:r>
      <w:r w:rsidR="00C8044A">
        <w:t xml:space="preserve">through </w:t>
      </w:r>
      <w:r>
        <w:t xml:space="preserve">the RUDI evaluation is unbiased and of high quality. </w:t>
      </w:r>
    </w:p>
    <w:p w:rsidR="009A5744" w:rsidP="009A5744" w14:paraId="6CF37C98" w14:textId="77777777">
      <w:pPr>
        <w:pStyle w:val="Paragraph"/>
        <w:keepNext/>
        <w:keepLines/>
        <w:sectPr w:rsidSect="008E3FA6">
          <w:headerReference w:type="default" r:id="rId6"/>
          <w:footerReference w:type="even" r:id="rId7"/>
          <w:footerReference w:type="default" r:id="rId8"/>
          <w:type w:val="continuous"/>
          <w:pgSz w:w="12240" w:h="15840" w:code="1"/>
          <w:pgMar w:top="1440" w:right="1440" w:bottom="1008" w:left="1800" w:header="720" w:footer="576" w:gutter="0"/>
          <w:pgNumType w:start="15"/>
          <w:cols w:space="720"/>
        </w:sectPr>
      </w:pPr>
    </w:p>
    <w:p w:rsidR="00731D17" w:rsidP="00731D17" w14:paraId="08C92933" w14:textId="35302AAB">
      <w:pPr>
        <w:pStyle w:val="ParagraphContinued"/>
      </w:pPr>
      <w:r>
        <w:t xml:space="preserve">In addition to the </w:t>
      </w:r>
      <w:r w:rsidR="004A4256">
        <w:t>Contracting Officer’s Representative</w:t>
      </w:r>
      <w:r>
        <w:t xml:space="preserve">, Mathematica </w:t>
      </w:r>
      <w:r w:rsidRPr="00FF3F40">
        <w:t xml:space="preserve">consulted </w:t>
      </w:r>
      <w:r w:rsidR="004A4256">
        <w:t>17 HAB staff for f</w:t>
      </w:r>
      <w:r w:rsidRPr="00FF3F40">
        <w:t xml:space="preserve">or feedback on the overall </w:t>
      </w:r>
      <w:r>
        <w:t xml:space="preserve">design of the RUDI </w:t>
      </w:r>
      <w:r w:rsidRPr="00FF3F40">
        <w:t xml:space="preserve">evaluation, the content of the </w:t>
      </w:r>
      <w:r>
        <w:t>RUDI</w:t>
      </w:r>
      <w:r w:rsidRPr="00FF3F40">
        <w:t xml:space="preserve"> Survey, the virtual site visit interview protocol, and the approach to integrating secondary data into the evaluation</w:t>
      </w:r>
      <w:r w:rsidR="00CF3F3B">
        <w:t>.</w:t>
      </w:r>
    </w:p>
    <w:p w:rsidR="00CF3F3B" w:rsidP="00CF3F3B" w14:paraId="6EAA6A46" w14:textId="77777777">
      <w:pPr>
        <w:pStyle w:val="Paragraph"/>
      </w:pPr>
      <w:r>
        <w:t>We also presented the RUDI evaluation approach and solicit</w:t>
      </w:r>
      <w:r w:rsidR="000B6443">
        <w:t>ed</w:t>
      </w:r>
      <w:r>
        <w:t xml:space="preserve"> input at HAB division meetings, with a total of 83 participations from the following HAB divisions including: Office of Program Support (n=12), Division of Policy and Data (n=28), Division of Community HIV/AIDS Programs (n=43). An additional 38 HAB staff attended division meetings, but their specific division with</w:t>
      </w:r>
      <w:r w:rsidR="007A7A05">
        <w:t>in</w:t>
      </w:r>
      <w:r>
        <w:t xml:space="preserve"> HAB was not provided.</w:t>
      </w:r>
      <w:r w:rsidRPr="00CF3F3B">
        <w:t xml:space="preserve"> </w:t>
      </w:r>
    </w:p>
    <w:p w:rsidR="00CF3F3B" w:rsidP="00CF3F3B" w14:paraId="7EE5C43A" w14:textId="07695339">
      <w:pPr>
        <w:pStyle w:val="Paragraph"/>
      </w:pPr>
      <w:r w:rsidRPr="00CF3F3B">
        <w:t>HAB staff were consulted because they possessed important knowledge about RWHAP staff including how they engage (or do not engage) with resources and how best to interface with staff on data collection activities included in the RUDI Evaluation. These collections were not subject to PRA because feedback was gathered from federal employees and not of members of the public.</w:t>
      </w:r>
    </w:p>
    <w:p w:rsidR="00D30667" w:rsidRPr="00775EF8" w:rsidP="00E901B1" w14:paraId="13A603F6" w14:textId="4FA5D59D">
      <w:pPr>
        <w:pStyle w:val="Paragraph"/>
        <w:rPr>
          <w:color w:val="FF0000"/>
        </w:rPr>
      </w:pPr>
    </w:p>
    <w:sectPr w:rsidSect="00872C1B">
      <w:type w:val="continuous"/>
      <w:pgSz w:w="12240" w:h="15840" w:code="1"/>
      <w:pgMar w:top="1440" w:right="1440" w:bottom="1008" w:left="1800" w:header="72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762" w:rsidP="00EB0BA1" w14:paraId="74CEB4F6" w14:textId="59FE9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140A">
      <w:rPr>
        <w:rStyle w:val="PageNumber"/>
        <w:noProof/>
      </w:rPr>
      <w:t>4</w:t>
    </w:r>
    <w:r>
      <w:rPr>
        <w:rStyle w:val="PageNumber"/>
      </w:rPr>
      <w:fldChar w:fldCharType="end"/>
    </w:r>
  </w:p>
  <w:p w:rsidR="00814762" w14:paraId="39013F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762" w:rsidRPr="003E59EB" w:rsidP="00EB0BA1" w14:paraId="7490C500" w14:textId="3AF7E2AA">
    <w:pPr>
      <w:pStyle w:val="Footer"/>
      <w:framePr w:wrap="around" w:vAnchor="text" w:hAnchor="margin" w:xAlign="center" w:y="1"/>
      <w:rPr>
        <w:rStyle w:val="PageNumber"/>
        <w:rFonts w:ascii="Times New Roman" w:hAnsi="Times New Roman"/>
        <w:b/>
      </w:rPr>
    </w:pPr>
    <w:r w:rsidRPr="003E59EB">
      <w:rPr>
        <w:rStyle w:val="PageNumber"/>
        <w:rFonts w:ascii="Times New Roman" w:hAnsi="Times New Roman"/>
        <w:b/>
      </w:rPr>
      <w:fldChar w:fldCharType="begin"/>
    </w:r>
    <w:r w:rsidRPr="003E59EB">
      <w:rPr>
        <w:rStyle w:val="PageNumber"/>
        <w:rFonts w:ascii="Times New Roman" w:hAnsi="Times New Roman"/>
      </w:rPr>
      <w:instrText xml:space="preserve">PAGE  </w:instrText>
    </w:r>
    <w:r w:rsidRPr="003E59EB">
      <w:rPr>
        <w:rStyle w:val="PageNumber"/>
        <w:rFonts w:ascii="Times New Roman" w:hAnsi="Times New Roman"/>
        <w:b/>
      </w:rPr>
      <w:fldChar w:fldCharType="separate"/>
    </w:r>
    <w:r w:rsidR="003E59EB">
      <w:rPr>
        <w:rStyle w:val="PageNumber"/>
        <w:rFonts w:ascii="Times New Roman" w:hAnsi="Times New Roman"/>
        <w:noProof/>
      </w:rPr>
      <w:t>6</w:t>
    </w:r>
    <w:r w:rsidRPr="003E59EB">
      <w:rPr>
        <w:rStyle w:val="PageNumber"/>
        <w:rFonts w:ascii="Times New Roman" w:hAnsi="Times New Roman"/>
        <w:b/>
      </w:rPr>
      <w:fldChar w:fldCharType="end"/>
    </w:r>
  </w:p>
  <w:p w:rsidR="00814762" w:rsidRPr="00825F9B" w:rsidP="00312971" w14:paraId="70E278A0" w14:textId="067A6002">
    <w:pPr>
      <w:pStyle w:val="Footer"/>
      <w:ind w:right="-1080"/>
    </w:pPr>
    <w:r>
      <w:t>Mathematica</w:t>
    </w:r>
    <w:r w:rsidRPr="00312971">
      <w:rPr>
        <w:vertAlign w:val="superscript"/>
      </w:rPr>
      <w:t>®</w:t>
    </w:r>
    <w:r>
      <w:t xml:space="preserve"> Inc.</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3387" w14:paraId="1195B0F9" w14:textId="77777777">
      <w:r>
        <w:separator/>
      </w:r>
    </w:p>
  </w:footnote>
  <w:footnote w:type="continuationSeparator" w:id="1">
    <w:p w:rsidR="00FF3387" w14:paraId="0AF4419C" w14:textId="77777777">
      <w:r>
        <w:continuationSeparator/>
      </w:r>
    </w:p>
  </w:footnote>
  <w:footnote w:id="2">
    <w:p w:rsidR="00293539" w:rsidRPr="00DB49FA" w:rsidP="00293539" w14:paraId="624BD2E1" w14:textId="77777777">
      <w:pPr>
        <w:pStyle w:val="FootnoteText"/>
        <w:rPr>
          <w:sz w:val="18"/>
          <w:szCs w:val="18"/>
        </w:rPr>
      </w:pPr>
      <w:r w:rsidRPr="00DB49FA">
        <w:rPr>
          <w:rStyle w:val="FootnoteReference"/>
          <w:sz w:val="18"/>
          <w:szCs w:val="18"/>
        </w:rPr>
        <w:footnoteRef/>
      </w:r>
      <w:r w:rsidRPr="00DB49FA">
        <w:rPr>
          <w:sz w:val="18"/>
          <w:szCs w:val="18"/>
        </w:rPr>
        <w:t xml:space="preserve"> Coopersmith, J., Vogel, L. K., Bruursema, T., &amp; Feeney, K. (2016). Effects of incentive amount and type of web survey response rates. Survey Practice, 9(1).</w:t>
      </w:r>
    </w:p>
  </w:footnote>
  <w:footnote w:id="3">
    <w:p w:rsidR="00293539" w:rsidP="00293539" w14:paraId="11E5D9C8" w14:textId="77777777">
      <w:pPr>
        <w:pStyle w:val="FootnoteText"/>
      </w:pPr>
      <w:r>
        <w:rPr>
          <w:rStyle w:val="FootnoteReference"/>
        </w:rPr>
        <w:footnoteRef/>
      </w:r>
      <w:r>
        <w:t xml:space="preserve"> </w:t>
      </w:r>
      <w:r w:rsidRPr="00DB49FA">
        <w:rPr>
          <w:sz w:val="18"/>
          <w:szCs w:val="18"/>
        </w:rPr>
        <w:t>Keating, N. L., Zaslavsky, A. M., Goldstein, J., West, D. W., &amp; Ayanian, J. Z. (2008). Randomized trial of $20 versus $50 incentives to increase physician survey response rates. Medical Care, 46(8), 878-881.</w:t>
      </w:r>
    </w:p>
  </w:footnote>
  <w:footnote w:id="4">
    <w:p w:rsidR="00293539" w:rsidP="00293539" w14:paraId="39E0918B" w14:textId="77777777">
      <w:pPr>
        <w:pStyle w:val="FootnoteText"/>
      </w:pPr>
      <w:r>
        <w:rPr>
          <w:rStyle w:val="FootnoteReference"/>
        </w:rPr>
        <w:footnoteRef/>
      </w:r>
      <w:r>
        <w:t xml:space="preserve"> </w:t>
      </w:r>
      <w:r w:rsidRPr="007B74C2">
        <w:rPr>
          <w:sz w:val="18"/>
          <w:szCs w:val="18"/>
        </w:rPr>
        <w:t>Mcgonagle, K. A., Sastry, N., &amp; Freedman, V. A. (2022). The Effects of a Targeted “Early Bird” Incentive Strategy on Response Rates, Fieldwork Effort, and Costs in a National Panel Study. Journal of Survey Statistics and Methodology, smab042.</w:t>
      </w:r>
    </w:p>
  </w:footnote>
  <w:footnote w:id="5">
    <w:p w:rsidR="00293539" w:rsidP="00293539" w14:paraId="37BEE4E1" w14:textId="77777777">
      <w:pPr>
        <w:pStyle w:val="FootnoteText"/>
      </w:pPr>
      <w:r>
        <w:rPr>
          <w:rStyle w:val="FootnoteReference"/>
        </w:rPr>
        <w:footnoteRef/>
      </w:r>
      <w:r>
        <w:t xml:space="preserve"> </w:t>
      </w:r>
      <w:r w:rsidRPr="00DA3E21">
        <w:rPr>
          <w:sz w:val="18"/>
          <w:szCs w:val="18"/>
        </w:rPr>
        <w:t>Khullar, D., Bond, A. M., Qian, Y., O’Donnell, E., Gans, D. N., &amp; Casalino, L. P. (2021). Physician practice leaders’ perceptions of Medicare’s Merit-based Incentive Payment System (MIPS). Journal of General Internal Medicine, 1-7.</w:t>
      </w:r>
    </w:p>
  </w:footnote>
  <w:footnote w:id="6">
    <w:p w:rsidR="001F2158" w:rsidRPr="00DB49FA" w:rsidP="001F2158" w14:paraId="58ECE41C" w14:textId="77777777">
      <w:pPr>
        <w:pStyle w:val="FootnoteText"/>
        <w:rPr>
          <w:sz w:val="18"/>
          <w:szCs w:val="18"/>
        </w:rPr>
      </w:pPr>
      <w:r w:rsidRPr="00DB49FA">
        <w:rPr>
          <w:rStyle w:val="FootnoteReference"/>
          <w:sz w:val="18"/>
          <w:szCs w:val="18"/>
        </w:rPr>
        <w:footnoteRef/>
      </w:r>
      <w:r w:rsidRPr="00DB49FA">
        <w:rPr>
          <w:sz w:val="18"/>
          <w:szCs w:val="18"/>
        </w:rPr>
        <w:t xml:space="preserve"> Coopersmith, J., Vogel, L. K., Bruursema, T., &amp; Feeney, K. (2016). Effects of incentive amount and type of web survey response rates. Survey Practice, 9(1).</w:t>
      </w:r>
    </w:p>
  </w:footnote>
  <w:footnote w:id="7">
    <w:p w:rsidR="001F2158" w:rsidP="001F2158" w14:paraId="12F7EE8D" w14:textId="77777777">
      <w:pPr>
        <w:pStyle w:val="FootnoteText"/>
      </w:pPr>
      <w:r>
        <w:rPr>
          <w:rStyle w:val="FootnoteReference"/>
        </w:rPr>
        <w:footnoteRef/>
      </w:r>
      <w:r>
        <w:t xml:space="preserve"> </w:t>
      </w:r>
      <w:r w:rsidRPr="00DB49FA">
        <w:rPr>
          <w:sz w:val="18"/>
          <w:szCs w:val="18"/>
        </w:rPr>
        <w:t>Keating, N. L., Zaslavsky, A. M., Goldstein, J., West, D. W., &amp; Ayanian, J. Z. (2008). Randomized trial of $20 versus $50 incentives to increase physician survey response rates. Medical Care, 46(8), 878-881.</w:t>
      </w:r>
    </w:p>
  </w:footnote>
  <w:footnote w:id="8">
    <w:p w:rsidR="001F2158" w:rsidP="001F2158" w14:paraId="4C874BAC" w14:textId="77777777">
      <w:pPr>
        <w:pStyle w:val="FootnoteText"/>
      </w:pPr>
      <w:r>
        <w:rPr>
          <w:rStyle w:val="FootnoteReference"/>
        </w:rPr>
        <w:footnoteRef/>
      </w:r>
      <w:r>
        <w:t xml:space="preserve"> </w:t>
      </w:r>
      <w:r w:rsidRPr="007B74C2">
        <w:rPr>
          <w:sz w:val="18"/>
          <w:szCs w:val="18"/>
        </w:rPr>
        <w:t>Mcgonagle, K. A., Sastry, N., &amp; Freedman, V. A. (2022). The Effects of a Targeted “Early Bird” Incentive Strategy on Response Rates, Fieldwork Effort, and Costs in a National Panel Study. Journal of Survey Statistics and Methodology, smab042.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3C5" w14:paraId="5A5ECD35" w14:textId="1D9934F3">
    <w:pPr>
      <w:pStyle w:val="Header"/>
    </w:pPr>
    <w:r w:rsidRPr="00312971">
      <w:rPr>
        <w:b/>
        <w:bCs/>
      </w:rPr>
      <w:t>Rapid Uptake of Disseminated Interventions (RUDI) Evaluation</w:t>
    </w:r>
    <w:r w:rsidRPr="00312971" w:rsidR="00312971">
      <w:rPr>
        <w:b/>
        <w:bCs/>
      </w:rPr>
      <w:t xml:space="preserve">: </w:t>
    </w:r>
    <w:r w:rsidR="00312971">
      <w:t>Supporting Statement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B17CAB"/>
    <w:multiLevelType w:val="hybridMultilevel"/>
    <w:tmpl w:val="08C86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C53CFC"/>
    <w:multiLevelType w:val="hybridMultilevel"/>
    <w:tmpl w:val="B3D8FB7E"/>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B1D6077"/>
    <w:multiLevelType w:val="hybridMultilevel"/>
    <w:tmpl w:val="5FC8D180"/>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F72EF0"/>
    <w:multiLevelType w:val="multilevel"/>
    <w:tmpl w:val="C59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A570AE7"/>
    <w:multiLevelType w:val="hybridMultilevel"/>
    <w:tmpl w:val="E8746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DD67CD1"/>
    <w:multiLevelType w:val="hybridMultilevel"/>
    <w:tmpl w:val="72D4C69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4">
    <w:nsid w:val="42631A83"/>
    <w:multiLevelType w:val="hybridMultilevel"/>
    <w:tmpl w:val="C716096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530FAC"/>
    <w:multiLevelType w:val="hybridMultilevel"/>
    <w:tmpl w:val="B3BCB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431342D"/>
    <w:multiLevelType w:val="multilevel"/>
    <w:tmpl w:val="A718BA52"/>
    <w:lvl w:ilvl="0">
      <w:start w:val="1"/>
      <w:numFmt w:val="decimal"/>
      <w:pStyle w:val="RefNumbers"/>
      <w:lvlText w:val="%1."/>
      <w:lvlJc w:val="left"/>
      <w:pPr>
        <w:tabs>
          <w:tab w:val="num" w:pos="720"/>
        </w:tabs>
        <w:ind w:left="720" w:hanging="720"/>
      </w:pPr>
    </w:lvl>
    <w:lvl w:ilvl="1">
      <w:start w:val="1"/>
      <w:numFmt w:val="decimal"/>
      <w:pStyle w:val="AbtHeadBOutlined"/>
      <w:lvlText w:val="%2."/>
      <w:lvlJc w:val="left"/>
      <w:pPr>
        <w:tabs>
          <w:tab w:val="num" w:pos="1440"/>
        </w:tabs>
        <w:ind w:left="1440" w:hanging="720"/>
      </w:pPr>
    </w:lvl>
    <w:lvl w:ilvl="2">
      <w:start w:val="1"/>
      <w:numFmt w:val="decimal"/>
      <w:pStyle w:val="AbtHeadCOutlined"/>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16A30E7"/>
    <w:multiLevelType w:val="hybridMultilevel"/>
    <w:tmpl w:val="6B40F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59766EA"/>
    <w:multiLevelType w:val="hybridMultilevel"/>
    <w:tmpl w:val="CA942AB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338192720">
    <w:abstractNumId w:val="9"/>
  </w:num>
  <w:num w:numId="2" w16cid:durableId="784496576">
    <w:abstractNumId w:val="30"/>
  </w:num>
  <w:num w:numId="3" w16cid:durableId="17843070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7913906">
    <w:abstractNumId w:val="10"/>
  </w:num>
  <w:num w:numId="5" w16cid:durableId="139613588">
    <w:abstractNumId w:val="35"/>
  </w:num>
  <w:num w:numId="6" w16cid:durableId="1287154460">
    <w:abstractNumId w:val="22"/>
  </w:num>
  <w:num w:numId="7" w16cid:durableId="1610887684">
    <w:abstractNumId w:val="29"/>
  </w:num>
  <w:num w:numId="8" w16cid:durableId="122425026">
    <w:abstractNumId w:val="8"/>
  </w:num>
  <w:num w:numId="9" w16cid:durableId="1576547449">
    <w:abstractNumId w:val="19"/>
  </w:num>
  <w:num w:numId="10" w16cid:durableId="1358921211">
    <w:abstractNumId w:val="7"/>
  </w:num>
  <w:num w:numId="11" w16cid:durableId="1756052807">
    <w:abstractNumId w:val="6"/>
  </w:num>
  <w:num w:numId="12" w16cid:durableId="140318725">
    <w:abstractNumId w:val="5"/>
  </w:num>
  <w:num w:numId="13" w16cid:durableId="737359598">
    <w:abstractNumId w:val="4"/>
  </w:num>
  <w:num w:numId="14" w16cid:durableId="2013793360">
    <w:abstractNumId w:val="3"/>
  </w:num>
  <w:num w:numId="15" w16cid:durableId="31466527">
    <w:abstractNumId w:val="2"/>
  </w:num>
  <w:num w:numId="16" w16cid:durableId="1723560055">
    <w:abstractNumId w:val="1"/>
  </w:num>
  <w:num w:numId="17" w16cid:durableId="1306549534">
    <w:abstractNumId w:val="0"/>
  </w:num>
  <w:num w:numId="18" w16cid:durableId="583996938">
    <w:abstractNumId w:val="16"/>
  </w:num>
  <w:num w:numId="19" w16cid:durableId="1003699671">
    <w:abstractNumId w:val="32"/>
  </w:num>
  <w:num w:numId="20" w16cid:durableId="889878083">
    <w:abstractNumId w:val="14"/>
  </w:num>
  <w:num w:numId="21" w16cid:durableId="763648643">
    <w:abstractNumId w:val="13"/>
  </w:num>
  <w:num w:numId="22" w16cid:durableId="662315722">
    <w:abstractNumId w:val="27"/>
  </w:num>
  <w:num w:numId="23" w16cid:durableId="324019614">
    <w:abstractNumId w:val="31"/>
  </w:num>
  <w:num w:numId="24" w16cid:durableId="1383021295">
    <w:abstractNumId w:val="20"/>
  </w:num>
  <w:num w:numId="25" w16cid:durableId="901863657">
    <w:abstractNumId w:val="11"/>
  </w:num>
  <w:num w:numId="26" w16cid:durableId="2096054114">
    <w:abstractNumId w:val="33"/>
  </w:num>
  <w:num w:numId="27" w16cid:durableId="1599946659">
    <w:abstractNumId w:val="26"/>
  </w:num>
  <w:num w:numId="28" w16cid:durableId="147938411">
    <w:abstractNumId w:val="28"/>
  </w:num>
  <w:num w:numId="29" w16cid:durableId="829247300">
    <w:abstractNumId w:val="21"/>
  </w:num>
  <w:num w:numId="30" w16cid:durableId="1591813700">
    <w:abstractNumId w:val="14"/>
    <w:lvlOverride w:ilvl="0">
      <w:startOverride w:val="1"/>
    </w:lvlOverride>
  </w:num>
  <w:num w:numId="31" w16cid:durableId="1072896335">
    <w:abstractNumId w:val="24"/>
  </w:num>
  <w:num w:numId="32" w16cid:durableId="1232734775">
    <w:abstractNumId w:val="34"/>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3" w16cid:durableId="1833330813">
    <w:abstractNumId w:val="14"/>
    <w:lvlOverride w:ilvl="0">
      <w:startOverride w:val="1"/>
    </w:lvlOverride>
  </w:num>
  <w:num w:numId="34" w16cid:durableId="1300576560">
    <w:abstractNumId w:val="14"/>
    <w:lvlOverride w:ilvl="0">
      <w:startOverride w:val="1"/>
    </w:lvlOverride>
  </w:num>
  <w:num w:numId="35" w16cid:durableId="1299460149">
    <w:abstractNumId w:val="14"/>
    <w:lvlOverride w:ilvl="0">
      <w:startOverride w:val="1"/>
    </w:lvlOverride>
  </w:num>
  <w:num w:numId="36" w16cid:durableId="1718042866">
    <w:abstractNumId w:val="25"/>
  </w:num>
  <w:num w:numId="37" w16cid:durableId="1558663691">
    <w:abstractNumId w:val="18"/>
  </w:num>
  <w:num w:numId="38" w16cid:durableId="1848323571">
    <w:abstractNumId w:val="12"/>
  </w:num>
  <w:num w:numId="39" w16cid:durableId="349766377">
    <w:abstractNumId w:val="17"/>
  </w:num>
  <w:num w:numId="40" w16cid:durableId="790897915">
    <w:abstractNumId w:val="8"/>
    <w:lvlOverride w:ilvl="0">
      <w:startOverride w:val="1"/>
    </w:lvlOverride>
  </w:num>
  <w:num w:numId="41" w16cid:durableId="953370109">
    <w:abstractNumId w:val="36"/>
  </w:num>
  <w:num w:numId="42" w16cid:durableId="1122190085">
    <w:abstractNumId w:val="14"/>
    <w:lvlOverride w:ilvl="0">
      <w:startOverride w:val="1"/>
    </w:lvlOverride>
  </w:num>
  <w:num w:numId="43" w16cid:durableId="454520498">
    <w:abstractNumId w:val="14"/>
    <w:lvlOverride w:ilvl="0">
      <w:startOverride w:val="1"/>
    </w:lvlOverride>
  </w:num>
  <w:num w:numId="44" w16cid:durableId="1093549181">
    <w:abstractNumId w:val="14"/>
    <w:lvlOverride w:ilvl="0">
      <w:startOverride w:val="1"/>
    </w:lvlOverride>
  </w:num>
  <w:num w:numId="45" w16cid:durableId="774011054">
    <w:abstractNumId w:val="23"/>
  </w:num>
  <w:num w:numId="46" w16cid:durableId="1847398953">
    <w:abstractNumId w:val="37"/>
  </w:num>
  <w:num w:numId="47" w16cid:durableId="236865198">
    <w:abstractNumId w:val="15"/>
  </w:num>
  <w:num w:numId="48" w16cid:durableId="777680431">
    <w:abstractNumId w:val="14"/>
    <w:lvlOverride w:ilvl="0">
      <w:startOverride w:val="1"/>
    </w:lvlOverride>
  </w:num>
  <w:num w:numId="49" w16cid:durableId="205529352">
    <w:abstractNumId w:val="14"/>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ttachedTemplate r:id="rId1"/>
  <w:linkStyles/>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drawingGridHorizontalSpacing w:val="110"/>
  <w:drawingGridVerticalSpacing w:val="299"/>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802"/>
    <w:rsid w:val="00000567"/>
    <w:rsid w:val="0000109E"/>
    <w:rsid w:val="0000174B"/>
    <w:rsid w:val="00002885"/>
    <w:rsid w:val="000037E3"/>
    <w:rsid w:val="00003DEE"/>
    <w:rsid w:val="00004349"/>
    <w:rsid w:val="00005D28"/>
    <w:rsid w:val="000073D6"/>
    <w:rsid w:val="0001146D"/>
    <w:rsid w:val="00011758"/>
    <w:rsid w:val="00013DA0"/>
    <w:rsid w:val="0001581A"/>
    <w:rsid w:val="00023D8D"/>
    <w:rsid w:val="0002471D"/>
    <w:rsid w:val="00025B61"/>
    <w:rsid w:val="00026E56"/>
    <w:rsid w:val="00031738"/>
    <w:rsid w:val="000340A2"/>
    <w:rsid w:val="00035248"/>
    <w:rsid w:val="00036E50"/>
    <w:rsid w:val="00037930"/>
    <w:rsid w:val="00037CC6"/>
    <w:rsid w:val="00040050"/>
    <w:rsid w:val="00040F00"/>
    <w:rsid w:val="0004383E"/>
    <w:rsid w:val="0004391C"/>
    <w:rsid w:val="00044A9A"/>
    <w:rsid w:val="00044BE3"/>
    <w:rsid w:val="0004726F"/>
    <w:rsid w:val="00051BA0"/>
    <w:rsid w:val="0005241E"/>
    <w:rsid w:val="0005321F"/>
    <w:rsid w:val="00054096"/>
    <w:rsid w:val="000542EF"/>
    <w:rsid w:val="000556EA"/>
    <w:rsid w:val="00055BDD"/>
    <w:rsid w:val="0005608A"/>
    <w:rsid w:val="000561DD"/>
    <w:rsid w:val="0005715A"/>
    <w:rsid w:val="000609DF"/>
    <w:rsid w:val="00061648"/>
    <w:rsid w:val="00064FD4"/>
    <w:rsid w:val="00065347"/>
    <w:rsid w:val="0006777B"/>
    <w:rsid w:val="00067E59"/>
    <w:rsid w:val="0007065F"/>
    <w:rsid w:val="00072263"/>
    <w:rsid w:val="000728B1"/>
    <w:rsid w:val="00073364"/>
    <w:rsid w:val="00074DD9"/>
    <w:rsid w:val="0007530B"/>
    <w:rsid w:val="00080384"/>
    <w:rsid w:val="000807F9"/>
    <w:rsid w:val="00080830"/>
    <w:rsid w:val="00081EED"/>
    <w:rsid w:val="00082F39"/>
    <w:rsid w:val="0008377D"/>
    <w:rsid w:val="00087A4C"/>
    <w:rsid w:val="00091A54"/>
    <w:rsid w:val="00092167"/>
    <w:rsid w:val="0009250E"/>
    <w:rsid w:val="00092D3B"/>
    <w:rsid w:val="000937DB"/>
    <w:rsid w:val="00094D62"/>
    <w:rsid w:val="00095D55"/>
    <w:rsid w:val="00096529"/>
    <w:rsid w:val="0009655B"/>
    <w:rsid w:val="0009662A"/>
    <w:rsid w:val="00096DFD"/>
    <w:rsid w:val="00097F13"/>
    <w:rsid w:val="000A0C75"/>
    <w:rsid w:val="000A1C2D"/>
    <w:rsid w:val="000A2B68"/>
    <w:rsid w:val="000A4F88"/>
    <w:rsid w:val="000B0331"/>
    <w:rsid w:val="000B0DCF"/>
    <w:rsid w:val="000B0FC8"/>
    <w:rsid w:val="000B1653"/>
    <w:rsid w:val="000B212D"/>
    <w:rsid w:val="000B3CB1"/>
    <w:rsid w:val="000B4E0F"/>
    <w:rsid w:val="000B6443"/>
    <w:rsid w:val="000B6973"/>
    <w:rsid w:val="000C0CF5"/>
    <w:rsid w:val="000C1DF2"/>
    <w:rsid w:val="000C2229"/>
    <w:rsid w:val="000C4635"/>
    <w:rsid w:val="000C470D"/>
    <w:rsid w:val="000C5651"/>
    <w:rsid w:val="000C56F6"/>
    <w:rsid w:val="000C5F37"/>
    <w:rsid w:val="000C761C"/>
    <w:rsid w:val="000D06FB"/>
    <w:rsid w:val="000D2079"/>
    <w:rsid w:val="000D47AB"/>
    <w:rsid w:val="000D4944"/>
    <w:rsid w:val="000D5496"/>
    <w:rsid w:val="000D7FE5"/>
    <w:rsid w:val="000E06E2"/>
    <w:rsid w:val="000E4B33"/>
    <w:rsid w:val="000E4D4E"/>
    <w:rsid w:val="000E6110"/>
    <w:rsid w:val="000E6BBE"/>
    <w:rsid w:val="000E7A9A"/>
    <w:rsid w:val="000F288B"/>
    <w:rsid w:val="000F3086"/>
    <w:rsid w:val="000F41ED"/>
    <w:rsid w:val="000F44FD"/>
    <w:rsid w:val="001001B0"/>
    <w:rsid w:val="001005F5"/>
    <w:rsid w:val="00101D13"/>
    <w:rsid w:val="0010420E"/>
    <w:rsid w:val="001047E6"/>
    <w:rsid w:val="0010560B"/>
    <w:rsid w:val="00110DD8"/>
    <w:rsid w:val="001115FA"/>
    <w:rsid w:val="001136C8"/>
    <w:rsid w:val="00113EE1"/>
    <w:rsid w:val="00116F56"/>
    <w:rsid w:val="00117BFA"/>
    <w:rsid w:val="001218DC"/>
    <w:rsid w:val="001219F7"/>
    <w:rsid w:val="00122228"/>
    <w:rsid w:val="0012398D"/>
    <w:rsid w:val="001256DA"/>
    <w:rsid w:val="00125FED"/>
    <w:rsid w:val="00126FF1"/>
    <w:rsid w:val="001272D4"/>
    <w:rsid w:val="00127A00"/>
    <w:rsid w:val="00130175"/>
    <w:rsid w:val="00130C9D"/>
    <w:rsid w:val="00132ABC"/>
    <w:rsid w:val="00132C27"/>
    <w:rsid w:val="00134981"/>
    <w:rsid w:val="00135EB6"/>
    <w:rsid w:val="00135FD6"/>
    <w:rsid w:val="001360C5"/>
    <w:rsid w:val="00137942"/>
    <w:rsid w:val="00141F1F"/>
    <w:rsid w:val="00142C44"/>
    <w:rsid w:val="001430F7"/>
    <w:rsid w:val="00143798"/>
    <w:rsid w:val="001466E1"/>
    <w:rsid w:val="0014777F"/>
    <w:rsid w:val="00147B0A"/>
    <w:rsid w:val="00151B9D"/>
    <w:rsid w:val="0015247C"/>
    <w:rsid w:val="00153B2E"/>
    <w:rsid w:val="00153BF4"/>
    <w:rsid w:val="0015598B"/>
    <w:rsid w:val="00160D86"/>
    <w:rsid w:val="001644CF"/>
    <w:rsid w:val="00165DE7"/>
    <w:rsid w:val="00166D31"/>
    <w:rsid w:val="001737DA"/>
    <w:rsid w:val="00174266"/>
    <w:rsid w:val="00174644"/>
    <w:rsid w:val="001755D2"/>
    <w:rsid w:val="00176F38"/>
    <w:rsid w:val="001815A3"/>
    <w:rsid w:val="00181E77"/>
    <w:rsid w:val="00182494"/>
    <w:rsid w:val="0018326D"/>
    <w:rsid w:val="00184C96"/>
    <w:rsid w:val="00184FA9"/>
    <w:rsid w:val="00186205"/>
    <w:rsid w:val="00186C29"/>
    <w:rsid w:val="00190BAF"/>
    <w:rsid w:val="00193791"/>
    <w:rsid w:val="001942F8"/>
    <w:rsid w:val="00194500"/>
    <w:rsid w:val="001961E3"/>
    <w:rsid w:val="001977F8"/>
    <w:rsid w:val="00197E77"/>
    <w:rsid w:val="001A1B68"/>
    <w:rsid w:val="001A2AF3"/>
    <w:rsid w:val="001A4F0F"/>
    <w:rsid w:val="001A52FF"/>
    <w:rsid w:val="001A6173"/>
    <w:rsid w:val="001A67AC"/>
    <w:rsid w:val="001A6CCD"/>
    <w:rsid w:val="001B0D83"/>
    <w:rsid w:val="001B0DCA"/>
    <w:rsid w:val="001B1728"/>
    <w:rsid w:val="001B1E15"/>
    <w:rsid w:val="001B243C"/>
    <w:rsid w:val="001B3CFB"/>
    <w:rsid w:val="001B48D2"/>
    <w:rsid w:val="001B5280"/>
    <w:rsid w:val="001C0087"/>
    <w:rsid w:val="001C0B9A"/>
    <w:rsid w:val="001C1459"/>
    <w:rsid w:val="001C6171"/>
    <w:rsid w:val="001D0F37"/>
    <w:rsid w:val="001D40F1"/>
    <w:rsid w:val="001D4997"/>
    <w:rsid w:val="001D4D62"/>
    <w:rsid w:val="001D535E"/>
    <w:rsid w:val="001D60A0"/>
    <w:rsid w:val="001D631A"/>
    <w:rsid w:val="001D6FDD"/>
    <w:rsid w:val="001D766B"/>
    <w:rsid w:val="001E05B8"/>
    <w:rsid w:val="001E0A25"/>
    <w:rsid w:val="001E1C62"/>
    <w:rsid w:val="001E7F2E"/>
    <w:rsid w:val="001F0811"/>
    <w:rsid w:val="001F2158"/>
    <w:rsid w:val="001F270A"/>
    <w:rsid w:val="001F4456"/>
    <w:rsid w:val="001F537A"/>
    <w:rsid w:val="001F662A"/>
    <w:rsid w:val="001F74AF"/>
    <w:rsid w:val="00200BEA"/>
    <w:rsid w:val="002014CE"/>
    <w:rsid w:val="00203FFD"/>
    <w:rsid w:val="00204290"/>
    <w:rsid w:val="002049A3"/>
    <w:rsid w:val="002063F1"/>
    <w:rsid w:val="00210093"/>
    <w:rsid w:val="0021029A"/>
    <w:rsid w:val="002108EE"/>
    <w:rsid w:val="00214009"/>
    <w:rsid w:val="0021432F"/>
    <w:rsid w:val="00215A22"/>
    <w:rsid w:val="00217708"/>
    <w:rsid w:val="00217802"/>
    <w:rsid w:val="002209D3"/>
    <w:rsid w:val="00225CA9"/>
    <w:rsid w:val="00227DC2"/>
    <w:rsid w:val="00231528"/>
    <w:rsid w:val="00232E9B"/>
    <w:rsid w:val="00233E7C"/>
    <w:rsid w:val="00237B92"/>
    <w:rsid w:val="002430F2"/>
    <w:rsid w:val="00243E37"/>
    <w:rsid w:val="002445D8"/>
    <w:rsid w:val="002445DF"/>
    <w:rsid w:val="002447A2"/>
    <w:rsid w:val="00244F32"/>
    <w:rsid w:val="00246798"/>
    <w:rsid w:val="00252BFB"/>
    <w:rsid w:val="00252D28"/>
    <w:rsid w:val="002543D1"/>
    <w:rsid w:val="002565ED"/>
    <w:rsid w:val="0026142B"/>
    <w:rsid w:val="0026203D"/>
    <w:rsid w:val="00263D77"/>
    <w:rsid w:val="00266116"/>
    <w:rsid w:val="00266C56"/>
    <w:rsid w:val="00267651"/>
    <w:rsid w:val="00267D00"/>
    <w:rsid w:val="002722C7"/>
    <w:rsid w:val="00273C2D"/>
    <w:rsid w:val="00274625"/>
    <w:rsid w:val="0028153F"/>
    <w:rsid w:val="00281E76"/>
    <w:rsid w:val="00281F9B"/>
    <w:rsid w:val="00283131"/>
    <w:rsid w:val="00286585"/>
    <w:rsid w:val="00287CB7"/>
    <w:rsid w:val="00290332"/>
    <w:rsid w:val="00293539"/>
    <w:rsid w:val="002949A5"/>
    <w:rsid w:val="00296713"/>
    <w:rsid w:val="00297B96"/>
    <w:rsid w:val="002A1620"/>
    <w:rsid w:val="002A19F6"/>
    <w:rsid w:val="002A1CCC"/>
    <w:rsid w:val="002A1DAE"/>
    <w:rsid w:val="002A2D83"/>
    <w:rsid w:val="002A340D"/>
    <w:rsid w:val="002A54A0"/>
    <w:rsid w:val="002B0A61"/>
    <w:rsid w:val="002B1975"/>
    <w:rsid w:val="002B4B21"/>
    <w:rsid w:val="002B506C"/>
    <w:rsid w:val="002B7615"/>
    <w:rsid w:val="002B7D8C"/>
    <w:rsid w:val="002B7DB1"/>
    <w:rsid w:val="002C0739"/>
    <w:rsid w:val="002C35ED"/>
    <w:rsid w:val="002C3824"/>
    <w:rsid w:val="002C39BB"/>
    <w:rsid w:val="002C3B30"/>
    <w:rsid w:val="002C3D04"/>
    <w:rsid w:val="002C4620"/>
    <w:rsid w:val="002C6694"/>
    <w:rsid w:val="002C6FA9"/>
    <w:rsid w:val="002C7500"/>
    <w:rsid w:val="002D00B7"/>
    <w:rsid w:val="002D19D5"/>
    <w:rsid w:val="002D20B0"/>
    <w:rsid w:val="002D3460"/>
    <w:rsid w:val="002D51CB"/>
    <w:rsid w:val="002D644E"/>
    <w:rsid w:val="002D66BA"/>
    <w:rsid w:val="002D7520"/>
    <w:rsid w:val="002E06D0"/>
    <w:rsid w:val="002E29A6"/>
    <w:rsid w:val="002E3644"/>
    <w:rsid w:val="002E6409"/>
    <w:rsid w:val="002E7083"/>
    <w:rsid w:val="00301EF1"/>
    <w:rsid w:val="0030265E"/>
    <w:rsid w:val="0030353F"/>
    <w:rsid w:val="00306264"/>
    <w:rsid w:val="00311D8B"/>
    <w:rsid w:val="00312971"/>
    <w:rsid w:val="00312A27"/>
    <w:rsid w:val="00312F0E"/>
    <w:rsid w:val="00316F40"/>
    <w:rsid w:val="00316F72"/>
    <w:rsid w:val="00317354"/>
    <w:rsid w:val="00320755"/>
    <w:rsid w:val="00321445"/>
    <w:rsid w:val="00321F73"/>
    <w:rsid w:val="0032204A"/>
    <w:rsid w:val="00322A33"/>
    <w:rsid w:val="00322B77"/>
    <w:rsid w:val="00322DF1"/>
    <w:rsid w:val="00326B4C"/>
    <w:rsid w:val="00326D0E"/>
    <w:rsid w:val="00326D79"/>
    <w:rsid w:val="00330071"/>
    <w:rsid w:val="003312E3"/>
    <w:rsid w:val="00331573"/>
    <w:rsid w:val="003317E4"/>
    <w:rsid w:val="003323C5"/>
    <w:rsid w:val="00332E41"/>
    <w:rsid w:val="003338FB"/>
    <w:rsid w:val="00333F93"/>
    <w:rsid w:val="003363DC"/>
    <w:rsid w:val="003419D8"/>
    <w:rsid w:val="0034213C"/>
    <w:rsid w:val="0034320E"/>
    <w:rsid w:val="003471FA"/>
    <w:rsid w:val="0034772C"/>
    <w:rsid w:val="0035055F"/>
    <w:rsid w:val="00351473"/>
    <w:rsid w:val="00351962"/>
    <w:rsid w:val="00351F03"/>
    <w:rsid w:val="003523D2"/>
    <w:rsid w:val="003529BD"/>
    <w:rsid w:val="00353B42"/>
    <w:rsid w:val="00353F41"/>
    <w:rsid w:val="003547BA"/>
    <w:rsid w:val="003601A1"/>
    <w:rsid w:val="00360FA8"/>
    <w:rsid w:val="00362AA4"/>
    <w:rsid w:val="003641D4"/>
    <w:rsid w:val="0036625A"/>
    <w:rsid w:val="00370596"/>
    <w:rsid w:val="00370FCC"/>
    <w:rsid w:val="00373469"/>
    <w:rsid w:val="003744A8"/>
    <w:rsid w:val="00375D31"/>
    <w:rsid w:val="0037622C"/>
    <w:rsid w:val="00380028"/>
    <w:rsid w:val="00381E2F"/>
    <w:rsid w:val="00385287"/>
    <w:rsid w:val="00385ED8"/>
    <w:rsid w:val="0038653B"/>
    <w:rsid w:val="00386F89"/>
    <w:rsid w:val="0038748A"/>
    <w:rsid w:val="00387C92"/>
    <w:rsid w:val="003906F5"/>
    <w:rsid w:val="00391A9A"/>
    <w:rsid w:val="00391CC0"/>
    <w:rsid w:val="003942C0"/>
    <w:rsid w:val="003943BA"/>
    <w:rsid w:val="003962D2"/>
    <w:rsid w:val="003974CE"/>
    <w:rsid w:val="003A0B33"/>
    <w:rsid w:val="003A11CD"/>
    <w:rsid w:val="003A1CD7"/>
    <w:rsid w:val="003A4AF3"/>
    <w:rsid w:val="003A5FE3"/>
    <w:rsid w:val="003A6A35"/>
    <w:rsid w:val="003A7BAF"/>
    <w:rsid w:val="003B0A14"/>
    <w:rsid w:val="003B10CA"/>
    <w:rsid w:val="003B1739"/>
    <w:rsid w:val="003B1DF2"/>
    <w:rsid w:val="003B282D"/>
    <w:rsid w:val="003B3C28"/>
    <w:rsid w:val="003B4940"/>
    <w:rsid w:val="003B4FF1"/>
    <w:rsid w:val="003B50C6"/>
    <w:rsid w:val="003B5921"/>
    <w:rsid w:val="003B65DC"/>
    <w:rsid w:val="003B7376"/>
    <w:rsid w:val="003C01B3"/>
    <w:rsid w:val="003C1902"/>
    <w:rsid w:val="003C1BDF"/>
    <w:rsid w:val="003C243C"/>
    <w:rsid w:val="003C326B"/>
    <w:rsid w:val="003C370B"/>
    <w:rsid w:val="003C372D"/>
    <w:rsid w:val="003C50DD"/>
    <w:rsid w:val="003C5895"/>
    <w:rsid w:val="003C6C47"/>
    <w:rsid w:val="003C707A"/>
    <w:rsid w:val="003C73DA"/>
    <w:rsid w:val="003D0DC6"/>
    <w:rsid w:val="003D22D9"/>
    <w:rsid w:val="003D4F67"/>
    <w:rsid w:val="003D62DE"/>
    <w:rsid w:val="003D6BFF"/>
    <w:rsid w:val="003D6DA8"/>
    <w:rsid w:val="003D6DC8"/>
    <w:rsid w:val="003E0A8D"/>
    <w:rsid w:val="003E1430"/>
    <w:rsid w:val="003E18E2"/>
    <w:rsid w:val="003E230D"/>
    <w:rsid w:val="003E273D"/>
    <w:rsid w:val="003E2DAB"/>
    <w:rsid w:val="003E3076"/>
    <w:rsid w:val="003E3F50"/>
    <w:rsid w:val="003E59EB"/>
    <w:rsid w:val="003F09FE"/>
    <w:rsid w:val="003F0A20"/>
    <w:rsid w:val="003F1162"/>
    <w:rsid w:val="003F13A6"/>
    <w:rsid w:val="003F1CFD"/>
    <w:rsid w:val="003F3C1D"/>
    <w:rsid w:val="003F3EFE"/>
    <w:rsid w:val="003F4DCA"/>
    <w:rsid w:val="003F5DA1"/>
    <w:rsid w:val="003F6839"/>
    <w:rsid w:val="003F6C29"/>
    <w:rsid w:val="003F6FDC"/>
    <w:rsid w:val="004001B3"/>
    <w:rsid w:val="00400500"/>
    <w:rsid w:val="0040072A"/>
    <w:rsid w:val="00400CD8"/>
    <w:rsid w:val="00400EB1"/>
    <w:rsid w:val="004018BD"/>
    <w:rsid w:val="004022BF"/>
    <w:rsid w:val="004023F7"/>
    <w:rsid w:val="00402976"/>
    <w:rsid w:val="004037AC"/>
    <w:rsid w:val="00405004"/>
    <w:rsid w:val="00405ADB"/>
    <w:rsid w:val="00406170"/>
    <w:rsid w:val="00407265"/>
    <w:rsid w:val="00412291"/>
    <w:rsid w:val="0041268A"/>
    <w:rsid w:val="0041355D"/>
    <w:rsid w:val="004146B7"/>
    <w:rsid w:val="00416225"/>
    <w:rsid w:val="00423FC7"/>
    <w:rsid w:val="00424D13"/>
    <w:rsid w:val="00424F8F"/>
    <w:rsid w:val="004275B0"/>
    <w:rsid w:val="004301CB"/>
    <w:rsid w:val="00430F27"/>
    <w:rsid w:val="00432421"/>
    <w:rsid w:val="00433635"/>
    <w:rsid w:val="004355E2"/>
    <w:rsid w:val="004356A4"/>
    <w:rsid w:val="00436528"/>
    <w:rsid w:val="00440A5F"/>
    <w:rsid w:val="00445A4D"/>
    <w:rsid w:val="00446190"/>
    <w:rsid w:val="004517BD"/>
    <w:rsid w:val="00452669"/>
    <w:rsid w:val="004566CC"/>
    <w:rsid w:val="004574BF"/>
    <w:rsid w:val="00461045"/>
    <w:rsid w:val="00461977"/>
    <w:rsid w:val="004621FF"/>
    <w:rsid w:val="004644F1"/>
    <w:rsid w:val="004645E5"/>
    <w:rsid w:val="004658CA"/>
    <w:rsid w:val="004658E1"/>
    <w:rsid w:val="004668C0"/>
    <w:rsid w:val="00470BCB"/>
    <w:rsid w:val="00470E50"/>
    <w:rsid w:val="00472173"/>
    <w:rsid w:val="00472889"/>
    <w:rsid w:val="0047288A"/>
    <w:rsid w:val="00474821"/>
    <w:rsid w:val="004749AE"/>
    <w:rsid w:val="00475640"/>
    <w:rsid w:val="004760EF"/>
    <w:rsid w:val="00476DC6"/>
    <w:rsid w:val="004829E0"/>
    <w:rsid w:val="00484977"/>
    <w:rsid w:val="00484E57"/>
    <w:rsid w:val="00491AE5"/>
    <w:rsid w:val="004934C9"/>
    <w:rsid w:val="004946A1"/>
    <w:rsid w:val="004947B4"/>
    <w:rsid w:val="00494EDE"/>
    <w:rsid w:val="00495BBE"/>
    <w:rsid w:val="00495D5F"/>
    <w:rsid w:val="00496DAB"/>
    <w:rsid w:val="004A0FCC"/>
    <w:rsid w:val="004A2281"/>
    <w:rsid w:val="004A4256"/>
    <w:rsid w:val="004A4AC8"/>
    <w:rsid w:val="004A4B3F"/>
    <w:rsid w:val="004A56E0"/>
    <w:rsid w:val="004A75F5"/>
    <w:rsid w:val="004B32B2"/>
    <w:rsid w:val="004B5CE9"/>
    <w:rsid w:val="004B7050"/>
    <w:rsid w:val="004B70E8"/>
    <w:rsid w:val="004C24D2"/>
    <w:rsid w:val="004C2607"/>
    <w:rsid w:val="004C2AC2"/>
    <w:rsid w:val="004C334F"/>
    <w:rsid w:val="004C3908"/>
    <w:rsid w:val="004C4F42"/>
    <w:rsid w:val="004C62AB"/>
    <w:rsid w:val="004C62CC"/>
    <w:rsid w:val="004C77BA"/>
    <w:rsid w:val="004D06FC"/>
    <w:rsid w:val="004D0EF1"/>
    <w:rsid w:val="004D1F53"/>
    <w:rsid w:val="004D323E"/>
    <w:rsid w:val="004D3992"/>
    <w:rsid w:val="004D49FE"/>
    <w:rsid w:val="004D508B"/>
    <w:rsid w:val="004E13CF"/>
    <w:rsid w:val="004E1773"/>
    <w:rsid w:val="004E38B9"/>
    <w:rsid w:val="004E40C7"/>
    <w:rsid w:val="004E51EA"/>
    <w:rsid w:val="004E56B2"/>
    <w:rsid w:val="004E77D6"/>
    <w:rsid w:val="004F02F6"/>
    <w:rsid w:val="004F16DF"/>
    <w:rsid w:val="004F4827"/>
    <w:rsid w:val="004F6E7F"/>
    <w:rsid w:val="004F7390"/>
    <w:rsid w:val="004F771A"/>
    <w:rsid w:val="00500E42"/>
    <w:rsid w:val="005023BF"/>
    <w:rsid w:val="00502D68"/>
    <w:rsid w:val="00504014"/>
    <w:rsid w:val="00506716"/>
    <w:rsid w:val="00506B93"/>
    <w:rsid w:val="00507D11"/>
    <w:rsid w:val="00512E76"/>
    <w:rsid w:val="00512EDA"/>
    <w:rsid w:val="0051364D"/>
    <w:rsid w:val="005138C4"/>
    <w:rsid w:val="00515BC6"/>
    <w:rsid w:val="00516E08"/>
    <w:rsid w:val="005214C8"/>
    <w:rsid w:val="00521D2D"/>
    <w:rsid w:val="00524385"/>
    <w:rsid w:val="005255C3"/>
    <w:rsid w:val="00525AC7"/>
    <w:rsid w:val="005271D9"/>
    <w:rsid w:val="005275D4"/>
    <w:rsid w:val="005302EF"/>
    <w:rsid w:val="0053056C"/>
    <w:rsid w:val="00530625"/>
    <w:rsid w:val="00530D3E"/>
    <w:rsid w:val="0053171F"/>
    <w:rsid w:val="0053256C"/>
    <w:rsid w:val="00532687"/>
    <w:rsid w:val="00532C5A"/>
    <w:rsid w:val="005343A0"/>
    <w:rsid w:val="00541DD9"/>
    <w:rsid w:val="00544AB2"/>
    <w:rsid w:val="005453FB"/>
    <w:rsid w:val="00545831"/>
    <w:rsid w:val="00547DAA"/>
    <w:rsid w:val="00550316"/>
    <w:rsid w:val="0055142F"/>
    <w:rsid w:val="005515EC"/>
    <w:rsid w:val="00552E5D"/>
    <w:rsid w:val="00553133"/>
    <w:rsid w:val="00553DCC"/>
    <w:rsid w:val="00554BCB"/>
    <w:rsid w:val="00556583"/>
    <w:rsid w:val="005565E0"/>
    <w:rsid w:val="00556949"/>
    <w:rsid w:val="00556BB6"/>
    <w:rsid w:val="005640FD"/>
    <w:rsid w:val="005662FB"/>
    <w:rsid w:val="00571876"/>
    <w:rsid w:val="00572635"/>
    <w:rsid w:val="00581F2F"/>
    <w:rsid w:val="00583301"/>
    <w:rsid w:val="005835E7"/>
    <w:rsid w:val="00583A6B"/>
    <w:rsid w:val="00584068"/>
    <w:rsid w:val="00586584"/>
    <w:rsid w:val="00586D38"/>
    <w:rsid w:val="00590698"/>
    <w:rsid w:val="005929FD"/>
    <w:rsid w:val="00593CC9"/>
    <w:rsid w:val="0059500F"/>
    <w:rsid w:val="00595E9E"/>
    <w:rsid w:val="00596C5A"/>
    <w:rsid w:val="0059767A"/>
    <w:rsid w:val="005976FF"/>
    <w:rsid w:val="005A2293"/>
    <w:rsid w:val="005A3189"/>
    <w:rsid w:val="005A44D4"/>
    <w:rsid w:val="005A5935"/>
    <w:rsid w:val="005B2690"/>
    <w:rsid w:val="005B2E91"/>
    <w:rsid w:val="005B3550"/>
    <w:rsid w:val="005B358A"/>
    <w:rsid w:val="005B45D6"/>
    <w:rsid w:val="005B5177"/>
    <w:rsid w:val="005C12EE"/>
    <w:rsid w:val="005C3009"/>
    <w:rsid w:val="005C323B"/>
    <w:rsid w:val="005C407B"/>
    <w:rsid w:val="005C4528"/>
    <w:rsid w:val="005C4FCF"/>
    <w:rsid w:val="005C55EE"/>
    <w:rsid w:val="005C70FA"/>
    <w:rsid w:val="005C7C2F"/>
    <w:rsid w:val="005D058D"/>
    <w:rsid w:val="005D34F3"/>
    <w:rsid w:val="005D3500"/>
    <w:rsid w:val="005E3E0F"/>
    <w:rsid w:val="005E5FD2"/>
    <w:rsid w:val="005E67B8"/>
    <w:rsid w:val="005F0AA1"/>
    <w:rsid w:val="005F1200"/>
    <w:rsid w:val="005F1DAC"/>
    <w:rsid w:val="005F4310"/>
    <w:rsid w:val="005F51A5"/>
    <w:rsid w:val="005F5347"/>
    <w:rsid w:val="005F7201"/>
    <w:rsid w:val="0060081C"/>
    <w:rsid w:val="006010A7"/>
    <w:rsid w:val="00602465"/>
    <w:rsid w:val="006025A9"/>
    <w:rsid w:val="00603747"/>
    <w:rsid w:val="006048C5"/>
    <w:rsid w:val="006053B3"/>
    <w:rsid w:val="006073DA"/>
    <w:rsid w:val="00607A3E"/>
    <w:rsid w:val="00607E28"/>
    <w:rsid w:val="00607F9C"/>
    <w:rsid w:val="0061380D"/>
    <w:rsid w:val="00614133"/>
    <w:rsid w:val="00616224"/>
    <w:rsid w:val="006202FE"/>
    <w:rsid w:val="0062182A"/>
    <w:rsid w:val="006234CF"/>
    <w:rsid w:val="006239C1"/>
    <w:rsid w:val="00624B18"/>
    <w:rsid w:val="00624C11"/>
    <w:rsid w:val="00625BE5"/>
    <w:rsid w:val="006324C2"/>
    <w:rsid w:val="00632A1E"/>
    <w:rsid w:val="00632E80"/>
    <w:rsid w:val="00634012"/>
    <w:rsid w:val="00635CDB"/>
    <w:rsid w:val="00636314"/>
    <w:rsid w:val="00637A42"/>
    <w:rsid w:val="006403D5"/>
    <w:rsid w:val="00640E02"/>
    <w:rsid w:val="0064108A"/>
    <w:rsid w:val="006411B2"/>
    <w:rsid w:val="00641F3F"/>
    <w:rsid w:val="00642021"/>
    <w:rsid w:val="006426B4"/>
    <w:rsid w:val="0064320A"/>
    <w:rsid w:val="00643247"/>
    <w:rsid w:val="006434A7"/>
    <w:rsid w:val="006439F3"/>
    <w:rsid w:val="0064617D"/>
    <w:rsid w:val="0064713D"/>
    <w:rsid w:val="00647306"/>
    <w:rsid w:val="00650848"/>
    <w:rsid w:val="00650B5C"/>
    <w:rsid w:val="00650E1A"/>
    <w:rsid w:val="00653108"/>
    <w:rsid w:val="00653C5A"/>
    <w:rsid w:val="0065452F"/>
    <w:rsid w:val="006549E5"/>
    <w:rsid w:val="00660FFA"/>
    <w:rsid w:val="00661B2D"/>
    <w:rsid w:val="0066357E"/>
    <w:rsid w:val="006659D7"/>
    <w:rsid w:val="00666502"/>
    <w:rsid w:val="0066712A"/>
    <w:rsid w:val="006717E4"/>
    <w:rsid w:val="0067335B"/>
    <w:rsid w:val="00674013"/>
    <w:rsid w:val="00676941"/>
    <w:rsid w:val="00676D08"/>
    <w:rsid w:val="00681AC2"/>
    <w:rsid w:val="00681D78"/>
    <w:rsid w:val="00684135"/>
    <w:rsid w:val="00685810"/>
    <w:rsid w:val="00686180"/>
    <w:rsid w:val="006865E5"/>
    <w:rsid w:val="006866BC"/>
    <w:rsid w:val="00687278"/>
    <w:rsid w:val="00690259"/>
    <w:rsid w:val="00690543"/>
    <w:rsid w:val="006909B1"/>
    <w:rsid w:val="00691E73"/>
    <w:rsid w:val="00694A3A"/>
    <w:rsid w:val="006951F7"/>
    <w:rsid w:val="00695CE0"/>
    <w:rsid w:val="006A0A2E"/>
    <w:rsid w:val="006A11EC"/>
    <w:rsid w:val="006A1208"/>
    <w:rsid w:val="006A19C3"/>
    <w:rsid w:val="006A2A3E"/>
    <w:rsid w:val="006A3D5C"/>
    <w:rsid w:val="006A7832"/>
    <w:rsid w:val="006B1ADB"/>
    <w:rsid w:val="006B3137"/>
    <w:rsid w:val="006B531F"/>
    <w:rsid w:val="006B56C2"/>
    <w:rsid w:val="006B5E2D"/>
    <w:rsid w:val="006B6A71"/>
    <w:rsid w:val="006B6F3E"/>
    <w:rsid w:val="006B7400"/>
    <w:rsid w:val="006C09D5"/>
    <w:rsid w:val="006C2572"/>
    <w:rsid w:val="006C2F92"/>
    <w:rsid w:val="006C355A"/>
    <w:rsid w:val="006C4E8F"/>
    <w:rsid w:val="006C5BC9"/>
    <w:rsid w:val="006C7109"/>
    <w:rsid w:val="006C7547"/>
    <w:rsid w:val="006C7D6A"/>
    <w:rsid w:val="006D0099"/>
    <w:rsid w:val="006D071F"/>
    <w:rsid w:val="006D2869"/>
    <w:rsid w:val="006D60A8"/>
    <w:rsid w:val="006D622E"/>
    <w:rsid w:val="006D6443"/>
    <w:rsid w:val="006E05AF"/>
    <w:rsid w:val="006E0775"/>
    <w:rsid w:val="006E0EAE"/>
    <w:rsid w:val="006E2B84"/>
    <w:rsid w:val="006E2D5E"/>
    <w:rsid w:val="006E305F"/>
    <w:rsid w:val="006E33B0"/>
    <w:rsid w:val="006E3E12"/>
    <w:rsid w:val="006E41F6"/>
    <w:rsid w:val="006E4B2F"/>
    <w:rsid w:val="006E6679"/>
    <w:rsid w:val="006E66B7"/>
    <w:rsid w:val="006E6F48"/>
    <w:rsid w:val="006F3D95"/>
    <w:rsid w:val="006F628F"/>
    <w:rsid w:val="006F6705"/>
    <w:rsid w:val="0070021F"/>
    <w:rsid w:val="00700CFB"/>
    <w:rsid w:val="00701067"/>
    <w:rsid w:val="0070130D"/>
    <w:rsid w:val="00702536"/>
    <w:rsid w:val="0070566D"/>
    <w:rsid w:val="0070689D"/>
    <w:rsid w:val="00707278"/>
    <w:rsid w:val="00713047"/>
    <w:rsid w:val="00713F9D"/>
    <w:rsid w:val="0071400F"/>
    <w:rsid w:val="0071498A"/>
    <w:rsid w:val="00715487"/>
    <w:rsid w:val="0071606E"/>
    <w:rsid w:val="007165D5"/>
    <w:rsid w:val="00717C7C"/>
    <w:rsid w:val="0072262E"/>
    <w:rsid w:val="00723056"/>
    <w:rsid w:val="00723E48"/>
    <w:rsid w:val="00724224"/>
    <w:rsid w:val="00725DAA"/>
    <w:rsid w:val="00727A02"/>
    <w:rsid w:val="00730BEC"/>
    <w:rsid w:val="00730C88"/>
    <w:rsid w:val="00731D17"/>
    <w:rsid w:val="00734448"/>
    <w:rsid w:val="00734DA1"/>
    <w:rsid w:val="007372B2"/>
    <w:rsid w:val="00740C2A"/>
    <w:rsid w:val="00741910"/>
    <w:rsid w:val="00741CD0"/>
    <w:rsid w:val="007423A1"/>
    <w:rsid w:val="00743FDD"/>
    <w:rsid w:val="00747283"/>
    <w:rsid w:val="007472B1"/>
    <w:rsid w:val="00752829"/>
    <w:rsid w:val="007534B8"/>
    <w:rsid w:val="00753EB7"/>
    <w:rsid w:val="007576E6"/>
    <w:rsid w:val="0076133A"/>
    <w:rsid w:val="00762BD8"/>
    <w:rsid w:val="00765E24"/>
    <w:rsid w:val="007664E4"/>
    <w:rsid w:val="007677A3"/>
    <w:rsid w:val="00771096"/>
    <w:rsid w:val="007735FE"/>
    <w:rsid w:val="007738AC"/>
    <w:rsid w:val="00774176"/>
    <w:rsid w:val="00774305"/>
    <w:rsid w:val="00774DAF"/>
    <w:rsid w:val="00775EF8"/>
    <w:rsid w:val="00775F69"/>
    <w:rsid w:val="00776CF5"/>
    <w:rsid w:val="0077762B"/>
    <w:rsid w:val="00777B23"/>
    <w:rsid w:val="007801D8"/>
    <w:rsid w:val="00783B3A"/>
    <w:rsid w:val="00783B86"/>
    <w:rsid w:val="00784C33"/>
    <w:rsid w:val="007851A5"/>
    <w:rsid w:val="00785446"/>
    <w:rsid w:val="00785A33"/>
    <w:rsid w:val="00786527"/>
    <w:rsid w:val="0078781B"/>
    <w:rsid w:val="007901C8"/>
    <w:rsid w:val="00790FBB"/>
    <w:rsid w:val="00792459"/>
    <w:rsid w:val="00793C08"/>
    <w:rsid w:val="00793D19"/>
    <w:rsid w:val="0079407E"/>
    <w:rsid w:val="00795E83"/>
    <w:rsid w:val="00797251"/>
    <w:rsid w:val="007A029C"/>
    <w:rsid w:val="007A0674"/>
    <w:rsid w:val="007A0A32"/>
    <w:rsid w:val="007A1194"/>
    <w:rsid w:val="007A2494"/>
    <w:rsid w:val="007A2581"/>
    <w:rsid w:val="007A4AF8"/>
    <w:rsid w:val="007A62B1"/>
    <w:rsid w:val="007A63B8"/>
    <w:rsid w:val="007A6B19"/>
    <w:rsid w:val="007A701C"/>
    <w:rsid w:val="007A7A05"/>
    <w:rsid w:val="007A7D9B"/>
    <w:rsid w:val="007B0281"/>
    <w:rsid w:val="007B059C"/>
    <w:rsid w:val="007B297C"/>
    <w:rsid w:val="007B307A"/>
    <w:rsid w:val="007B3BD2"/>
    <w:rsid w:val="007B4042"/>
    <w:rsid w:val="007B459F"/>
    <w:rsid w:val="007B4B84"/>
    <w:rsid w:val="007B4D07"/>
    <w:rsid w:val="007B4D1D"/>
    <w:rsid w:val="007B62AD"/>
    <w:rsid w:val="007B7274"/>
    <w:rsid w:val="007B74C2"/>
    <w:rsid w:val="007B783C"/>
    <w:rsid w:val="007C0617"/>
    <w:rsid w:val="007C34F3"/>
    <w:rsid w:val="007C38C5"/>
    <w:rsid w:val="007C513F"/>
    <w:rsid w:val="007C67BA"/>
    <w:rsid w:val="007C72BB"/>
    <w:rsid w:val="007D3E5D"/>
    <w:rsid w:val="007D4729"/>
    <w:rsid w:val="007D5D84"/>
    <w:rsid w:val="007D61CF"/>
    <w:rsid w:val="007D6F90"/>
    <w:rsid w:val="007F0004"/>
    <w:rsid w:val="007F0944"/>
    <w:rsid w:val="007F14CD"/>
    <w:rsid w:val="007F188D"/>
    <w:rsid w:val="007F18BA"/>
    <w:rsid w:val="007F2ED0"/>
    <w:rsid w:val="007F532F"/>
    <w:rsid w:val="007F57BA"/>
    <w:rsid w:val="007F6655"/>
    <w:rsid w:val="007F7DA6"/>
    <w:rsid w:val="00800D0E"/>
    <w:rsid w:val="00801078"/>
    <w:rsid w:val="0080143E"/>
    <w:rsid w:val="00801B61"/>
    <w:rsid w:val="00803BC9"/>
    <w:rsid w:val="00804133"/>
    <w:rsid w:val="00804BFE"/>
    <w:rsid w:val="0080605C"/>
    <w:rsid w:val="0081209A"/>
    <w:rsid w:val="0081214C"/>
    <w:rsid w:val="00813A02"/>
    <w:rsid w:val="00814762"/>
    <w:rsid w:val="0081610A"/>
    <w:rsid w:val="00816833"/>
    <w:rsid w:val="00820B89"/>
    <w:rsid w:val="00821B02"/>
    <w:rsid w:val="0082358F"/>
    <w:rsid w:val="00825F9B"/>
    <w:rsid w:val="00825FE5"/>
    <w:rsid w:val="008267E8"/>
    <w:rsid w:val="00826B41"/>
    <w:rsid w:val="008279FF"/>
    <w:rsid w:val="00831BED"/>
    <w:rsid w:val="00831F04"/>
    <w:rsid w:val="00832030"/>
    <w:rsid w:val="0083386C"/>
    <w:rsid w:val="00833CE9"/>
    <w:rsid w:val="008342A8"/>
    <w:rsid w:val="008351FA"/>
    <w:rsid w:val="00837400"/>
    <w:rsid w:val="0083747A"/>
    <w:rsid w:val="008408C2"/>
    <w:rsid w:val="008411A7"/>
    <w:rsid w:val="0084169E"/>
    <w:rsid w:val="0084178A"/>
    <w:rsid w:val="008430FE"/>
    <w:rsid w:val="00844194"/>
    <w:rsid w:val="00845A7C"/>
    <w:rsid w:val="00847786"/>
    <w:rsid w:val="00847D6F"/>
    <w:rsid w:val="008513FA"/>
    <w:rsid w:val="008517C3"/>
    <w:rsid w:val="00853503"/>
    <w:rsid w:val="00853B81"/>
    <w:rsid w:val="0085467A"/>
    <w:rsid w:val="008553B3"/>
    <w:rsid w:val="008569C0"/>
    <w:rsid w:val="00861541"/>
    <w:rsid w:val="0086377F"/>
    <w:rsid w:val="00864768"/>
    <w:rsid w:val="008652EA"/>
    <w:rsid w:val="00870380"/>
    <w:rsid w:val="00871210"/>
    <w:rsid w:val="008727B0"/>
    <w:rsid w:val="00872C1B"/>
    <w:rsid w:val="00872E76"/>
    <w:rsid w:val="0087391F"/>
    <w:rsid w:val="00873F54"/>
    <w:rsid w:val="008742CB"/>
    <w:rsid w:val="00875D4D"/>
    <w:rsid w:val="00876EAD"/>
    <w:rsid w:val="00880A04"/>
    <w:rsid w:val="008838CA"/>
    <w:rsid w:val="0088505C"/>
    <w:rsid w:val="00886210"/>
    <w:rsid w:val="00887F16"/>
    <w:rsid w:val="0089276E"/>
    <w:rsid w:val="00892B19"/>
    <w:rsid w:val="00894B51"/>
    <w:rsid w:val="008955EE"/>
    <w:rsid w:val="0089588D"/>
    <w:rsid w:val="00896896"/>
    <w:rsid w:val="00896F7E"/>
    <w:rsid w:val="008976EE"/>
    <w:rsid w:val="00897A1E"/>
    <w:rsid w:val="008A19E7"/>
    <w:rsid w:val="008A3E91"/>
    <w:rsid w:val="008A4897"/>
    <w:rsid w:val="008A6236"/>
    <w:rsid w:val="008B14A6"/>
    <w:rsid w:val="008B2E07"/>
    <w:rsid w:val="008B353A"/>
    <w:rsid w:val="008B4DBD"/>
    <w:rsid w:val="008B4EA4"/>
    <w:rsid w:val="008B5AEE"/>
    <w:rsid w:val="008C0535"/>
    <w:rsid w:val="008C080F"/>
    <w:rsid w:val="008C3851"/>
    <w:rsid w:val="008C5003"/>
    <w:rsid w:val="008C5160"/>
    <w:rsid w:val="008C720F"/>
    <w:rsid w:val="008D0BB2"/>
    <w:rsid w:val="008D140A"/>
    <w:rsid w:val="008D332F"/>
    <w:rsid w:val="008D4C4C"/>
    <w:rsid w:val="008D51A9"/>
    <w:rsid w:val="008D5F10"/>
    <w:rsid w:val="008D7B89"/>
    <w:rsid w:val="008D7DD7"/>
    <w:rsid w:val="008E06FE"/>
    <w:rsid w:val="008E14D6"/>
    <w:rsid w:val="008E16A0"/>
    <w:rsid w:val="008E364C"/>
    <w:rsid w:val="008E3FA6"/>
    <w:rsid w:val="008E47DA"/>
    <w:rsid w:val="008E4C05"/>
    <w:rsid w:val="008E53B1"/>
    <w:rsid w:val="008E53B3"/>
    <w:rsid w:val="008E5719"/>
    <w:rsid w:val="008E7001"/>
    <w:rsid w:val="008E78E0"/>
    <w:rsid w:val="008E7F24"/>
    <w:rsid w:val="008F2093"/>
    <w:rsid w:val="008F2116"/>
    <w:rsid w:val="008F3847"/>
    <w:rsid w:val="008F3D81"/>
    <w:rsid w:val="008F6E58"/>
    <w:rsid w:val="008F7334"/>
    <w:rsid w:val="008F73A4"/>
    <w:rsid w:val="008F7724"/>
    <w:rsid w:val="008F7874"/>
    <w:rsid w:val="009052E7"/>
    <w:rsid w:val="00905D2C"/>
    <w:rsid w:val="00905EF3"/>
    <w:rsid w:val="00906CED"/>
    <w:rsid w:val="00910520"/>
    <w:rsid w:val="00910E2B"/>
    <w:rsid w:val="0091164B"/>
    <w:rsid w:val="00914479"/>
    <w:rsid w:val="009173EF"/>
    <w:rsid w:val="0091799F"/>
    <w:rsid w:val="00920F13"/>
    <w:rsid w:val="009241A0"/>
    <w:rsid w:val="009254AB"/>
    <w:rsid w:val="00926CE4"/>
    <w:rsid w:val="009276B9"/>
    <w:rsid w:val="009278AE"/>
    <w:rsid w:val="009302B8"/>
    <w:rsid w:val="00933262"/>
    <w:rsid w:val="00933423"/>
    <w:rsid w:val="009336DE"/>
    <w:rsid w:val="00934315"/>
    <w:rsid w:val="00934D61"/>
    <w:rsid w:val="00935291"/>
    <w:rsid w:val="00936791"/>
    <w:rsid w:val="00941556"/>
    <w:rsid w:val="00942256"/>
    <w:rsid w:val="009423AA"/>
    <w:rsid w:val="00942A72"/>
    <w:rsid w:val="00942F00"/>
    <w:rsid w:val="00943644"/>
    <w:rsid w:val="009441C8"/>
    <w:rsid w:val="00944715"/>
    <w:rsid w:val="0094609E"/>
    <w:rsid w:val="00946955"/>
    <w:rsid w:val="009501B1"/>
    <w:rsid w:val="00951545"/>
    <w:rsid w:val="0095154F"/>
    <w:rsid w:val="00951EE9"/>
    <w:rsid w:val="00953EF7"/>
    <w:rsid w:val="009557AA"/>
    <w:rsid w:val="00956822"/>
    <w:rsid w:val="00957D98"/>
    <w:rsid w:val="009604DC"/>
    <w:rsid w:val="009612DA"/>
    <w:rsid w:val="009649DB"/>
    <w:rsid w:val="00965029"/>
    <w:rsid w:val="00966AFD"/>
    <w:rsid w:val="00970F23"/>
    <w:rsid w:val="009724E8"/>
    <w:rsid w:val="00973989"/>
    <w:rsid w:val="00973EAC"/>
    <w:rsid w:val="00974CDA"/>
    <w:rsid w:val="00974E32"/>
    <w:rsid w:val="009750D2"/>
    <w:rsid w:val="00975925"/>
    <w:rsid w:val="009769CE"/>
    <w:rsid w:val="0098019E"/>
    <w:rsid w:val="00980BDE"/>
    <w:rsid w:val="0098450D"/>
    <w:rsid w:val="00987784"/>
    <w:rsid w:val="009924E3"/>
    <w:rsid w:val="00994724"/>
    <w:rsid w:val="00994F7E"/>
    <w:rsid w:val="009A0D79"/>
    <w:rsid w:val="009A0E2C"/>
    <w:rsid w:val="009A1E47"/>
    <w:rsid w:val="009A271E"/>
    <w:rsid w:val="009A446A"/>
    <w:rsid w:val="009A4684"/>
    <w:rsid w:val="009A521F"/>
    <w:rsid w:val="009A5744"/>
    <w:rsid w:val="009A6C2D"/>
    <w:rsid w:val="009B0B59"/>
    <w:rsid w:val="009B0C6A"/>
    <w:rsid w:val="009B13CC"/>
    <w:rsid w:val="009B1716"/>
    <w:rsid w:val="009B38E6"/>
    <w:rsid w:val="009B437F"/>
    <w:rsid w:val="009B43F5"/>
    <w:rsid w:val="009B6E45"/>
    <w:rsid w:val="009C1ED0"/>
    <w:rsid w:val="009C2EA3"/>
    <w:rsid w:val="009C30F0"/>
    <w:rsid w:val="009C3A1D"/>
    <w:rsid w:val="009C4BD3"/>
    <w:rsid w:val="009C5496"/>
    <w:rsid w:val="009C611E"/>
    <w:rsid w:val="009D0D5F"/>
    <w:rsid w:val="009D13B7"/>
    <w:rsid w:val="009D3A3F"/>
    <w:rsid w:val="009D51CD"/>
    <w:rsid w:val="009D6DBA"/>
    <w:rsid w:val="009E01F9"/>
    <w:rsid w:val="009E3332"/>
    <w:rsid w:val="009E386C"/>
    <w:rsid w:val="009E4055"/>
    <w:rsid w:val="009E4B10"/>
    <w:rsid w:val="009E55D3"/>
    <w:rsid w:val="009F0476"/>
    <w:rsid w:val="009F2034"/>
    <w:rsid w:val="009F21F2"/>
    <w:rsid w:val="009F6748"/>
    <w:rsid w:val="009F761B"/>
    <w:rsid w:val="00A0016C"/>
    <w:rsid w:val="00A00C53"/>
    <w:rsid w:val="00A039C8"/>
    <w:rsid w:val="00A060A5"/>
    <w:rsid w:val="00A07E03"/>
    <w:rsid w:val="00A102F0"/>
    <w:rsid w:val="00A10B5D"/>
    <w:rsid w:val="00A112AA"/>
    <w:rsid w:val="00A1759B"/>
    <w:rsid w:val="00A175CF"/>
    <w:rsid w:val="00A21608"/>
    <w:rsid w:val="00A22492"/>
    <w:rsid w:val="00A22F0D"/>
    <w:rsid w:val="00A236A8"/>
    <w:rsid w:val="00A24219"/>
    <w:rsid w:val="00A2502E"/>
    <w:rsid w:val="00A2641E"/>
    <w:rsid w:val="00A26DE4"/>
    <w:rsid w:val="00A30167"/>
    <w:rsid w:val="00A31686"/>
    <w:rsid w:val="00A31C71"/>
    <w:rsid w:val="00A31DD4"/>
    <w:rsid w:val="00A34867"/>
    <w:rsid w:val="00A3497D"/>
    <w:rsid w:val="00A36622"/>
    <w:rsid w:val="00A36737"/>
    <w:rsid w:val="00A37E41"/>
    <w:rsid w:val="00A43B16"/>
    <w:rsid w:val="00A4427D"/>
    <w:rsid w:val="00A44413"/>
    <w:rsid w:val="00A44D99"/>
    <w:rsid w:val="00A458B9"/>
    <w:rsid w:val="00A501D4"/>
    <w:rsid w:val="00A5039D"/>
    <w:rsid w:val="00A5265C"/>
    <w:rsid w:val="00A52D56"/>
    <w:rsid w:val="00A53A46"/>
    <w:rsid w:val="00A53DF5"/>
    <w:rsid w:val="00A54524"/>
    <w:rsid w:val="00A559C8"/>
    <w:rsid w:val="00A5723C"/>
    <w:rsid w:val="00A5742A"/>
    <w:rsid w:val="00A614A7"/>
    <w:rsid w:val="00A633E4"/>
    <w:rsid w:val="00A63EA8"/>
    <w:rsid w:val="00A63FF9"/>
    <w:rsid w:val="00A646D4"/>
    <w:rsid w:val="00A64901"/>
    <w:rsid w:val="00A65990"/>
    <w:rsid w:val="00A659A0"/>
    <w:rsid w:val="00A66084"/>
    <w:rsid w:val="00A679BB"/>
    <w:rsid w:val="00A67BD8"/>
    <w:rsid w:val="00A724CA"/>
    <w:rsid w:val="00A74D3D"/>
    <w:rsid w:val="00A7510B"/>
    <w:rsid w:val="00A75ACB"/>
    <w:rsid w:val="00A77027"/>
    <w:rsid w:val="00A7748D"/>
    <w:rsid w:val="00A77E40"/>
    <w:rsid w:val="00A82AF0"/>
    <w:rsid w:val="00A86944"/>
    <w:rsid w:val="00A86DF5"/>
    <w:rsid w:val="00A87F42"/>
    <w:rsid w:val="00A9187E"/>
    <w:rsid w:val="00A92AA9"/>
    <w:rsid w:val="00A94FFC"/>
    <w:rsid w:val="00A95327"/>
    <w:rsid w:val="00AA07D0"/>
    <w:rsid w:val="00AA0A39"/>
    <w:rsid w:val="00AA1E80"/>
    <w:rsid w:val="00AA2630"/>
    <w:rsid w:val="00AA4F12"/>
    <w:rsid w:val="00AA52EB"/>
    <w:rsid w:val="00AA5AF4"/>
    <w:rsid w:val="00AA6B59"/>
    <w:rsid w:val="00AA6DAF"/>
    <w:rsid w:val="00AA799E"/>
    <w:rsid w:val="00AB130E"/>
    <w:rsid w:val="00AB17CC"/>
    <w:rsid w:val="00AB17F5"/>
    <w:rsid w:val="00AB28B7"/>
    <w:rsid w:val="00AB3F44"/>
    <w:rsid w:val="00AB53AB"/>
    <w:rsid w:val="00AB5666"/>
    <w:rsid w:val="00AB7234"/>
    <w:rsid w:val="00AC4054"/>
    <w:rsid w:val="00AC4CCD"/>
    <w:rsid w:val="00AC649B"/>
    <w:rsid w:val="00AD07C0"/>
    <w:rsid w:val="00AD0E8E"/>
    <w:rsid w:val="00AD2409"/>
    <w:rsid w:val="00AD25DE"/>
    <w:rsid w:val="00AD6B28"/>
    <w:rsid w:val="00AE324D"/>
    <w:rsid w:val="00AE492B"/>
    <w:rsid w:val="00AE5981"/>
    <w:rsid w:val="00AE5C90"/>
    <w:rsid w:val="00AF188E"/>
    <w:rsid w:val="00AF3078"/>
    <w:rsid w:val="00AF4F19"/>
    <w:rsid w:val="00AF4F65"/>
    <w:rsid w:val="00AF68F5"/>
    <w:rsid w:val="00B0001B"/>
    <w:rsid w:val="00B01C19"/>
    <w:rsid w:val="00B03CD4"/>
    <w:rsid w:val="00B04AE7"/>
    <w:rsid w:val="00B05547"/>
    <w:rsid w:val="00B05F76"/>
    <w:rsid w:val="00B10361"/>
    <w:rsid w:val="00B11DE3"/>
    <w:rsid w:val="00B12B6C"/>
    <w:rsid w:val="00B16A2B"/>
    <w:rsid w:val="00B21802"/>
    <w:rsid w:val="00B228FD"/>
    <w:rsid w:val="00B23882"/>
    <w:rsid w:val="00B23EEC"/>
    <w:rsid w:val="00B241AF"/>
    <w:rsid w:val="00B25862"/>
    <w:rsid w:val="00B26562"/>
    <w:rsid w:val="00B323C8"/>
    <w:rsid w:val="00B332FB"/>
    <w:rsid w:val="00B346F9"/>
    <w:rsid w:val="00B349DE"/>
    <w:rsid w:val="00B36E62"/>
    <w:rsid w:val="00B402BA"/>
    <w:rsid w:val="00B43DCF"/>
    <w:rsid w:val="00B4526E"/>
    <w:rsid w:val="00B454CE"/>
    <w:rsid w:val="00B457F1"/>
    <w:rsid w:val="00B50976"/>
    <w:rsid w:val="00B50A88"/>
    <w:rsid w:val="00B51CF9"/>
    <w:rsid w:val="00B5352E"/>
    <w:rsid w:val="00B54349"/>
    <w:rsid w:val="00B560BE"/>
    <w:rsid w:val="00B562E3"/>
    <w:rsid w:val="00B606CB"/>
    <w:rsid w:val="00B613B1"/>
    <w:rsid w:val="00B62954"/>
    <w:rsid w:val="00B65E2A"/>
    <w:rsid w:val="00B706C2"/>
    <w:rsid w:val="00B70BC5"/>
    <w:rsid w:val="00B70CB9"/>
    <w:rsid w:val="00B70E0B"/>
    <w:rsid w:val="00B7173F"/>
    <w:rsid w:val="00B72677"/>
    <w:rsid w:val="00B729EE"/>
    <w:rsid w:val="00B735DE"/>
    <w:rsid w:val="00B73BDD"/>
    <w:rsid w:val="00B740F9"/>
    <w:rsid w:val="00B74646"/>
    <w:rsid w:val="00B74E76"/>
    <w:rsid w:val="00B754D6"/>
    <w:rsid w:val="00B75507"/>
    <w:rsid w:val="00B75E7A"/>
    <w:rsid w:val="00B762C1"/>
    <w:rsid w:val="00B775B4"/>
    <w:rsid w:val="00B7767C"/>
    <w:rsid w:val="00B77C4A"/>
    <w:rsid w:val="00B81CFF"/>
    <w:rsid w:val="00B82847"/>
    <w:rsid w:val="00B82E5C"/>
    <w:rsid w:val="00B837C6"/>
    <w:rsid w:val="00B83CF3"/>
    <w:rsid w:val="00B863F9"/>
    <w:rsid w:val="00B86950"/>
    <w:rsid w:val="00B87FAD"/>
    <w:rsid w:val="00B93BC8"/>
    <w:rsid w:val="00B94047"/>
    <w:rsid w:val="00B95D3E"/>
    <w:rsid w:val="00B968C9"/>
    <w:rsid w:val="00BA0735"/>
    <w:rsid w:val="00BA17AA"/>
    <w:rsid w:val="00BA5EEE"/>
    <w:rsid w:val="00BA637D"/>
    <w:rsid w:val="00BA774D"/>
    <w:rsid w:val="00BA7DD1"/>
    <w:rsid w:val="00BB0303"/>
    <w:rsid w:val="00BB2D3A"/>
    <w:rsid w:val="00BB3593"/>
    <w:rsid w:val="00BB5062"/>
    <w:rsid w:val="00BB6C17"/>
    <w:rsid w:val="00BB71FB"/>
    <w:rsid w:val="00BB7EAD"/>
    <w:rsid w:val="00BC067E"/>
    <w:rsid w:val="00BC350A"/>
    <w:rsid w:val="00BC40DC"/>
    <w:rsid w:val="00BC4992"/>
    <w:rsid w:val="00BC54FE"/>
    <w:rsid w:val="00BC5A4C"/>
    <w:rsid w:val="00BC5C21"/>
    <w:rsid w:val="00BC6DA1"/>
    <w:rsid w:val="00BC7F3A"/>
    <w:rsid w:val="00BD0809"/>
    <w:rsid w:val="00BD0CC6"/>
    <w:rsid w:val="00BD12D4"/>
    <w:rsid w:val="00BD5D58"/>
    <w:rsid w:val="00BE36DC"/>
    <w:rsid w:val="00BE3742"/>
    <w:rsid w:val="00BE5424"/>
    <w:rsid w:val="00BE5BF1"/>
    <w:rsid w:val="00BE66F7"/>
    <w:rsid w:val="00BF0944"/>
    <w:rsid w:val="00BF1B25"/>
    <w:rsid w:val="00BF1BFE"/>
    <w:rsid w:val="00BF3CC7"/>
    <w:rsid w:val="00BF4233"/>
    <w:rsid w:val="00BF53D5"/>
    <w:rsid w:val="00BF72CC"/>
    <w:rsid w:val="00BF74BD"/>
    <w:rsid w:val="00BF7BFD"/>
    <w:rsid w:val="00C01304"/>
    <w:rsid w:val="00C022E6"/>
    <w:rsid w:val="00C02353"/>
    <w:rsid w:val="00C02708"/>
    <w:rsid w:val="00C0374D"/>
    <w:rsid w:val="00C04EA2"/>
    <w:rsid w:val="00C05D9A"/>
    <w:rsid w:val="00C06752"/>
    <w:rsid w:val="00C07241"/>
    <w:rsid w:val="00C11030"/>
    <w:rsid w:val="00C11107"/>
    <w:rsid w:val="00C11283"/>
    <w:rsid w:val="00C11587"/>
    <w:rsid w:val="00C126D9"/>
    <w:rsid w:val="00C1275F"/>
    <w:rsid w:val="00C13E19"/>
    <w:rsid w:val="00C14326"/>
    <w:rsid w:val="00C14C42"/>
    <w:rsid w:val="00C155A9"/>
    <w:rsid w:val="00C15979"/>
    <w:rsid w:val="00C163E7"/>
    <w:rsid w:val="00C16B41"/>
    <w:rsid w:val="00C17672"/>
    <w:rsid w:val="00C234C3"/>
    <w:rsid w:val="00C23938"/>
    <w:rsid w:val="00C25376"/>
    <w:rsid w:val="00C25EAD"/>
    <w:rsid w:val="00C27F3B"/>
    <w:rsid w:val="00C30C76"/>
    <w:rsid w:val="00C31D80"/>
    <w:rsid w:val="00C32445"/>
    <w:rsid w:val="00C32CDB"/>
    <w:rsid w:val="00C3383C"/>
    <w:rsid w:val="00C33E5E"/>
    <w:rsid w:val="00C34E4C"/>
    <w:rsid w:val="00C35068"/>
    <w:rsid w:val="00C3526C"/>
    <w:rsid w:val="00C35D29"/>
    <w:rsid w:val="00C35DE2"/>
    <w:rsid w:val="00C37B83"/>
    <w:rsid w:val="00C37C2D"/>
    <w:rsid w:val="00C42120"/>
    <w:rsid w:val="00C44D18"/>
    <w:rsid w:val="00C472FC"/>
    <w:rsid w:val="00C5185B"/>
    <w:rsid w:val="00C51F2D"/>
    <w:rsid w:val="00C52752"/>
    <w:rsid w:val="00C537E0"/>
    <w:rsid w:val="00C545FF"/>
    <w:rsid w:val="00C56468"/>
    <w:rsid w:val="00C56AFA"/>
    <w:rsid w:val="00C56EA2"/>
    <w:rsid w:val="00C570AC"/>
    <w:rsid w:val="00C60BC1"/>
    <w:rsid w:val="00C61BA8"/>
    <w:rsid w:val="00C63FFA"/>
    <w:rsid w:val="00C64BA5"/>
    <w:rsid w:val="00C65038"/>
    <w:rsid w:val="00C651F0"/>
    <w:rsid w:val="00C6595C"/>
    <w:rsid w:val="00C65ACE"/>
    <w:rsid w:val="00C6612F"/>
    <w:rsid w:val="00C66E97"/>
    <w:rsid w:val="00C70E39"/>
    <w:rsid w:val="00C71482"/>
    <w:rsid w:val="00C734D1"/>
    <w:rsid w:val="00C73B34"/>
    <w:rsid w:val="00C74452"/>
    <w:rsid w:val="00C75F0C"/>
    <w:rsid w:val="00C8044A"/>
    <w:rsid w:val="00C81C22"/>
    <w:rsid w:val="00C837E7"/>
    <w:rsid w:val="00C87983"/>
    <w:rsid w:val="00C87F30"/>
    <w:rsid w:val="00C9220F"/>
    <w:rsid w:val="00C9307B"/>
    <w:rsid w:val="00C9393B"/>
    <w:rsid w:val="00C94F06"/>
    <w:rsid w:val="00C954C9"/>
    <w:rsid w:val="00C95CE8"/>
    <w:rsid w:val="00CA0765"/>
    <w:rsid w:val="00CA7255"/>
    <w:rsid w:val="00CA7FF4"/>
    <w:rsid w:val="00CB099D"/>
    <w:rsid w:val="00CB2292"/>
    <w:rsid w:val="00CB27FE"/>
    <w:rsid w:val="00CB3766"/>
    <w:rsid w:val="00CB3C94"/>
    <w:rsid w:val="00CB6168"/>
    <w:rsid w:val="00CB631D"/>
    <w:rsid w:val="00CB7ABE"/>
    <w:rsid w:val="00CC140C"/>
    <w:rsid w:val="00CC1538"/>
    <w:rsid w:val="00CC1D06"/>
    <w:rsid w:val="00CC1FDD"/>
    <w:rsid w:val="00CC27FC"/>
    <w:rsid w:val="00CC30DF"/>
    <w:rsid w:val="00CC33C3"/>
    <w:rsid w:val="00CC3472"/>
    <w:rsid w:val="00CC4A7B"/>
    <w:rsid w:val="00CC7705"/>
    <w:rsid w:val="00CC7879"/>
    <w:rsid w:val="00CC7E0D"/>
    <w:rsid w:val="00CD040E"/>
    <w:rsid w:val="00CD0C67"/>
    <w:rsid w:val="00CD0D8B"/>
    <w:rsid w:val="00CD57B5"/>
    <w:rsid w:val="00CD5895"/>
    <w:rsid w:val="00CD59AC"/>
    <w:rsid w:val="00CD7145"/>
    <w:rsid w:val="00CD72E6"/>
    <w:rsid w:val="00CE0437"/>
    <w:rsid w:val="00CE1DC2"/>
    <w:rsid w:val="00CE2787"/>
    <w:rsid w:val="00CE3375"/>
    <w:rsid w:val="00CE60FC"/>
    <w:rsid w:val="00CE784A"/>
    <w:rsid w:val="00CE7D79"/>
    <w:rsid w:val="00CF3F3B"/>
    <w:rsid w:val="00CF46E3"/>
    <w:rsid w:val="00CF52C5"/>
    <w:rsid w:val="00CF6BCB"/>
    <w:rsid w:val="00D0108C"/>
    <w:rsid w:val="00D012CD"/>
    <w:rsid w:val="00D02E65"/>
    <w:rsid w:val="00D06EFE"/>
    <w:rsid w:val="00D07E95"/>
    <w:rsid w:val="00D1586A"/>
    <w:rsid w:val="00D2067D"/>
    <w:rsid w:val="00D2079D"/>
    <w:rsid w:val="00D2147D"/>
    <w:rsid w:val="00D25353"/>
    <w:rsid w:val="00D26F9A"/>
    <w:rsid w:val="00D2796A"/>
    <w:rsid w:val="00D30667"/>
    <w:rsid w:val="00D30E4B"/>
    <w:rsid w:val="00D31A07"/>
    <w:rsid w:val="00D349A9"/>
    <w:rsid w:val="00D3564E"/>
    <w:rsid w:val="00D365E8"/>
    <w:rsid w:val="00D3705E"/>
    <w:rsid w:val="00D40B76"/>
    <w:rsid w:val="00D417F4"/>
    <w:rsid w:val="00D44373"/>
    <w:rsid w:val="00D450BA"/>
    <w:rsid w:val="00D46B9E"/>
    <w:rsid w:val="00D50574"/>
    <w:rsid w:val="00D50C4C"/>
    <w:rsid w:val="00D519E6"/>
    <w:rsid w:val="00D51AB2"/>
    <w:rsid w:val="00D52F64"/>
    <w:rsid w:val="00D553D5"/>
    <w:rsid w:val="00D55A89"/>
    <w:rsid w:val="00D56862"/>
    <w:rsid w:val="00D57148"/>
    <w:rsid w:val="00D60C31"/>
    <w:rsid w:val="00D61657"/>
    <w:rsid w:val="00D616BF"/>
    <w:rsid w:val="00D61774"/>
    <w:rsid w:val="00D62E24"/>
    <w:rsid w:val="00D640D3"/>
    <w:rsid w:val="00D64513"/>
    <w:rsid w:val="00D64A4D"/>
    <w:rsid w:val="00D662FC"/>
    <w:rsid w:val="00D66E52"/>
    <w:rsid w:val="00D67AC4"/>
    <w:rsid w:val="00D7037B"/>
    <w:rsid w:val="00D7082F"/>
    <w:rsid w:val="00D719C7"/>
    <w:rsid w:val="00D724CE"/>
    <w:rsid w:val="00D730DC"/>
    <w:rsid w:val="00D73958"/>
    <w:rsid w:val="00D753A5"/>
    <w:rsid w:val="00D7778C"/>
    <w:rsid w:val="00D821B3"/>
    <w:rsid w:val="00D83094"/>
    <w:rsid w:val="00D86A9C"/>
    <w:rsid w:val="00D87011"/>
    <w:rsid w:val="00D911B8"/>
    <w:rsid w:val="00D91BC4"/>
    <w:rsid w:val="00D91FB0"/>
    <w:rsid w:val="00D94109"/>
    <w:rsid w:val="00D94562"/>
    <w:rsid w:val="00D9566B"/>
    <w:rsid w:val="00D96918"/>
    <w:rsid w:val="00D969B0"/>
    <w:rsid w:val="00D96A04"/>
    <w:rsid w:val="00D9708C"/>
    <w:rsid w:val="00D97134"/>
    <w:rsid w:val="00D974B5"/>
    <w:rsid w:val="00DA049B"/>
    <w:rsid w:val="00DA0E34"/>
    <w:rsid w:val="00DA1380"/>
    <w:rsid w:val="00DA2094"/>
    <w:rsid w:val="00DA2FF1"/>
    <w:rsid w:val="00DA3E21"/>
    <w:rsid w:val="00DA4EC6"/>
    <w:rsid w:val="00DA5FE4"/>
    <w:rsid w:val="00DA6FE6"/>
    <w:rsid w:val="00DA70BA"/>
    <w:rsid w:val="00DB0D8E"/>
    <w:rsid w:val="00DB196F"/>
    <w:rsid w:val="00DB49FA"/>
    <w:rsid w:val="00DB5560"/>
    <w:rsid w:val="00DB7E08"/>
    <w:rsid w:val="00DC053A"/>
    <w:rsid w:val="00DC1403"/>
    <w:rsid w:val="00DC2322"/>
    <w:rsid w:val="00DC24D6"/>
    <w:rsid w:val="00DC42BC"/>
    <w:rsid w:val="00DC4E62"/>
    <w:rsid w:val="00DC7844"/>
    <w:rsid w:val="00DC79B0"/>
    <w:rsid w:val="00DD00BE"/>
    <w:rsid w:val="00DD022A"/>
    <w:rsid w:val="00DD0293"/>
    <w:rsid w:val="00DD0AE9"/>
    <w:rsid w:val="00DD2CD4"/>
    <w:rsid w:val="00DD4E2C"/>
    <w:rsid w:val="00DD4ECA"/>
    <w:rsid w:val="00DD6931"/>
    <w:rsid w:val="00DD734A"/>
    <w:rsid w:val="00DE22C0"/>
    <w:rsid w:val="00DE35D3"/>
    <w:rsid w:val="00DE3C6A"/>
    <w:rsid w:val="00DE3DC0"/>
    <w:rsid w:val="00DE3FA9"/>
    <w:rsid w:val="00DE42A8"/>
    <w:rsid w:val="00DE6AE4"/>
    <w:rsid w:val="00DF2392"/>
    <w:rsid w:val="00DF28D6"/>
    <w:rsid w:val="00DF302F"/>
    <w:rsid w:val="00DF415D"/>
    <w:rsid w:val="00DF598D"/>
    <w:rsid w:val="00DF5CE5"/>
    <w:rsid w:val="00E016B0"/>
    <w:rsid w:val="00E016C6"/>
    <w:rsid w:val="00E031E5"/>
    <w:rsid w:val="00E03CBD"/>
    <w:rsid w:val="00E04223"/>
    <w:rsid w:val="00E0573B"/>
    <w:rsid w:val="00E067BA"/>
    <w:rsid w:val="00E10E61"/>
    <w:rsid w:val="00E12B43"/>
    <w:rsid w:val="00E14165"/>
    <w:rsid w:val="00E149E6"/>
    <w:rsid w:val="00E154A7"/>
    <w:rsid w:val="00E15519"/>
    <w:rsid w:val="00E16FA6"/>
    <w:rsid w:val="00E20C53"/>
    <w:rsid w:val="00E255F8"/>
    <w:rsid w:val="00E25B7B"/>
    <w:rsid w:val="00E275F1"/>
    <w:rsid w:val="00E30338"/>
    <w:rsid w:val="00E3037D"/>
    <w:rsid w:val="00E30697"/>
    <w:rsid w:val="00E31AFC"/>
    <w:rsid w:val="00E31B48"/>
    <w:rsid w:val="00E32221"/>
    <w:rsid w:val="00E336BF"/>
    <w:rsid w:val="00E33A71"/>
    <w:rsid w:val="00E33FC7"/>
    <w:rsid w:val="00E359F4"/>
    <w:rsid w:val="00E366F2"/>
    <w:rsid w:val="00E36DF1"/>
    <w:rsid w:val="00E37A5E"/>
    <w:rsid w:val="00E40F44"/>
    <w:rsid w:val="00E414E8"/>
    <w:rsid w:val="00E42065"/>
    <w:rsid w:val="00E44234"/>
    <w:rsid w:val="00E44A1E"/>
    <w:rsid w:val="00E47F72"/>
    <w:rsid w:val="00E520E8"/>
    <w:rsid w:val="00E525EE"/>
    <w:rsid w:val="00E538FA"/>
    <w:rsid w:val="00E540D5"/>
    <w:rsid w:val="00E544EA"/>
    <w:rsid w:val="00E5474D"/>
    <w:rsid w:val="00E54EDC"/>
    <w:rsid w:val="00E5623E"/>
    <w:rsid w:val="00E56795"/>
    <w:rsid w:val="00E60068"/>
    <w:rsid w:val="00E65E8F"/>
    <w:rsid w:val="00E721E9"/>
    <w:rsid w:val="00E73016"/>
    <w:rsid w:val="00E73468"/>
    <w:rsid w:val="00E74927"/>
    <w:rsid w:val="00E770B0"/>
    <w:rsid w:val="00E812E2"/>
    <w:rsid w:val="00E820E8"/>
    <w:rsid w:val="00E829F6"/>
    <w:rsid w:val="00E82C08"/>
    <w:rsid w:val="00E8408E"/>
    <w:rsid w:val="00E85031"/>
    <w:rsid w:val="00E8554E"/>
    <w:rsid w:val="00E85A10"/>
    <w:rsid w:val="00E85E26"/>
    <w:rsid w:val="00E8710C"/>
    <w:rsid w:val="00E901B1"/>
    <w:rsid w:val="00E90D2B"/>
    <w:rsid w:val="00E92676"/>
    <w:rsid w:val="00EA04DA"/>
    <w:rsid w:val="00EA2198"/>
    <w:rsid w:val="00EA23E6"/>
    <w:rsid w:val="00EA4E95"/>
    <w:rsid w:val="00EA50AC"/>
    <w:rsid w:val="00EA711A"/>
    <w:rsid w:val="00EA7FEE"/>
    <w:rsid w:val="00EB0BA1"/>
    <w:rsid w:val="00EB145C"/>
    <w:rsid w:val="00EB1CBD"/>
    <w:rsid w:val="00EB1E30"/>
    <w:rsid w:val="00EB25E5"/>
    <w:rsid w:val="00EB4158"/>
    <w:rsid w:val="00EB4B80"/>
    <w:rsid w:val="00EB52F8"/>
    <w:rsid w:val="00EB6922"/>
    <w:rsid w:val="00EB6D43"/>
    <w:rsid w:val="00EC0B83"/>
    <w:rsid w:val="00EC125A"/>
    <w:rsid w:val="00EC2664"/>
    <w:rsid w:val="00EC2ECE"/>
    <w:rsid w:val="00EC67AE"/>
    <w:rsid w:val="00ED134A"/>
    <w:rsid w:val="00ED189B"/>
    <w:rsid w:val="00ED295A"/>
    <w:rsid w:val="00ED2A0C"/>
    <w:rsid w:val="00ED3053"/>
    <w:rsid w:val="00ED51D7"/>
    <w:rsid w:val="00ED6470"/>
    <w:rsid w:val="00ED6CEE"/>
    <w:rsid w:val="00EE0486"/>
    <w:rsid w:val="00EE08AB"/>
    <w:rsid w:val="00EE184A"/>
    <w:rsid w:val="00EE2E97"/>
    <w:rsid w:val="00EE44A9"/>
    <w:rsid w:val="00EE6EEF"/>
    <w:rsid w:val="00EE735C"/>
    <w:rsid w:val="00EF157D"/>
    <w:rsid w:val="00EF2B15"/>
    <w:rsid w:val="00EF54F7"/>
    <w:rsid w:val="00EF6308"/>
    <w:rsid w:val="00EF6771"/>
    <w:rsid w:val="00EF693B"/>
    <w:rsid w:val="00EF6D43"/>
    <w:rsid w:val="00F00F05"/>
    <w:rsid w:val="00F0263F"/>
    <w:rsid w:val="00F061A4"/>
    <w:rsid w:val="00F11F52"/>
    <w:rsid w:val="00F14AE3"/>
    <w:rsid w:val="00F14C40"/>
    <w:rsid w:val="00F15816"/>
    <w:rsid w:val="00F16899"/>
    <w:rsid w:val="00F23E09"/>
    <w:rsid w:val="00F24AA9"/>
    <w:rsid w:val="00F24C15"/>
    <w:rsid w:val="00F26674"/>
    <w:rsid w:val="00F271A0"/>
    <w:rsid w:val="00F315AF"/>
    <w:rsid w:val="00F32254"/>
    <w:rsid w:val="00F35865"/>
    <w:rsid w:val="00F35875"/>
    <w:rsid w:val="00F40C2C"/>
    <w:rsid w:val="00F42202"/>
    <w:rsid w:val="00F42A3B"/>
    <w:rsid w:val="00F42D72"/>
    <w:rsid w:val="00F435BC"/>
    <w:rsid w:val="00F44345"/>
    <w:rsid w:val="00F46A33"/>
    <w:rsid w:val="00F46AFE"/>
    <w:rsid w:val="00F46F89"/>
    <w:rsid w:val="00F475ED"/>
    <w:rsid w:val="00F47E84"/>
    <w:rsid w:val="00F5028A"/>
    <w:rsid w:val="00F562F6"/>
    <w:rsid w:val="00F564F4"/>
    <w:rsid w:val="00F5682A"/>
    <w:rsid w:val="00F57677"/>
    <w:rsid w:val="00F6750D"/>
    <w:rsid w:val="00F708AB"/>
    <w:rsid w:val="00F70915"/>
    <w:rsid w:val="00F74B33"/>
    <w:rsid w:val="00F74B77"/>
    <w:rsid w:val="00F754F1"/>
    <w:rsid w:val="00F8361A"/>
    <w:rsid w:val="00F840AD"/>
    <w:rsid w:val="00F84761"/>
    <w:rsid w:val="00F84814"/>
    <w:rsid w:val="00F85256"/>
    <w:rsid w:val="00F86E1F"/>
    <w:rsid w:val="00F87878"/>
    <w:rsid w:val="00F90BDB"/>
    <w:rsid w:val="00F91082"/>
    <w:rsid w:val="00F921F9"/>
    <w:rsid w:val="00F938D8"/>
    <w:rsid w:val="00F93B91"/>
    <w:rsid w:val="00F945E1"/>
    <w:rsid w:val="00F94A55"/>
    <w:rsid w:val="00F96465"/>
    <w:rsid w:val="00F965E4"/>
    <w:rsid w:val="00F975A6"/>
    <w:rsid w:val="00F97AD4"/>
    <w:rsid w:val="00FA2E46"/>
    <w:rsid w:val="00FA6BD8"/>
    <w:rsid w:val="00FA7ABF"/>
    <w:rsid w:val="00FB13C5"/>
    <w:rsid w:val="00FB21BB"/>
    <w:rsid w:val="00FB3722"/>
    <w:rsid w:val="00FB4784"/>
    <w:rsid w:val="00FB54AA"/>
    <w:rsid w:val="00FC1A64"/>
    <w:rsid w:val="00FC204D"/>
    <w:rsid w:val="00FC261C"/>
    <w:rsid w:val="00FC36FB"/>
    <w:rsid w:val="00FC562A"/>
    <w:rsid w:val="00FC5A36"/>
    <w:rsid w:val="00FC79AF"/>
    <w:rsid w:val="00FC7BB6"/>
    <w:rsid w:val="00FD5740"/>
    <w:rsid w:val="00FD602B"/>
    <w:rsid w:val="00FD74CC"/>
    <w:rsid w:val="00FE1B68"/>
    <w:rsid w:val="00FE3128"/>
    <w:rsid w:val="00FE34EE"/>
    <w:rsid w:val="00FE362D"/>
    <w:rsid w:val="00FE3E57"/>
    <w:rsid w:val="00FE695C"/>
    <w:rsid w:val="00FE74B4"/>
    <w:rsid w:val="00FF0F0C"/>
    <w:rsid w:val="00FF1C27"/>
    <w:rsid w:val="00FF3387"/>
    <w:rsid w:val="00FF3F40"/>
    <w:rsid w:val="00FF5022"/>
    <w:rsid w:val="00FF5D7B"/>
  </w:rsids>
  <w:docVars>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625DF0"/>
  <w15:chartTrackingRefBased/>
  <w15:docId w15:val="{C0B6DF83-3108-487D-ABBF-6C22345D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semiHidden="1" w:unhideWhenUsed="1"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atentStyles>
  <w:style w:type="paragraph" w:default="1" w:styleId="Normal">
    <w:name w:val="Normal"/>
    <w:rsid w:val="004829E0"/>
    <w:pPr>
      <w:spacing w:after="160" w:line="264" w:lineRule="auto"/>
    </w:pPr>
    <w:rPr>
      <w:rFonts w:asciiTheme="minorHAnsi" w:eastAsiaTheme="minorHAnsi" w:hAnsiTheme="minorHAnsi" w:cstheme="minorBidi"/>
      <w:sz w:val="22"/>
      <w:szCs w:val="22"/>
    </w:rPr>
  </w:style>
  <w:style w:type="paragraph" w:styleId="Heading1">
    <w:name w:val="heading 1"/>
    <w:basedOn w:val="Normal"/>
    <w:next w:val="Normal"/>
    <w:link w:val="Heading1Char"/>
    <w:rsid w:val="004829E0"/>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rsid w:val="004829E0"/>
    <w:pPr>
      <w:keepNext/>
      <w:keepLines/>
      <w:numPr>
        <w:ilvl w:val="1"/>
        <w:numId w:val="22"/>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rsid w:val="004829E0"/>
    <w:pPr>
      <w:keepNext/>
      <w:keepLines/>
      <w:numPr>
        <w:ilvl w:val="2"/>
        <w:numId w:val="22"/>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rsid w:val="004829E0"/>
    <w:pPr>
      <w:keepNext/>
      <w:keepLines/>
      <w:numPr>
        <w:ilvl w:val="3"/>
        <w:numId w:val="22"/>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rsid w:val="004829E0"/>
    <w:pPr>
      <w:keepNext/>
      <w:keepLines/>
      <w:numPr>
        <w:ilvl w:val="4"/>
        <w:numId w:val="22"/>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rsid w:val="004829E0"/>
    <w:pPr>
      <w:keepNext/>
      <w:keepLines/>
      <w:numPr>
        <w:ilvl w:val="5"/>
        <w:numId w:val="22"/>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rsid w:val="004829E0"/>
    <w:pPr>
      <w:keepNext/>
      <w:keepLines/>
      <w:numPr>
        <w:ilvl w:val="6"/>
        <w:numId w:val="22"/>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rsid w:val="004829E0"/>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4829E0"/>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829E0"/>
    <w:pPr>
      <w:tabs>
        <w:tab w:val="right" w:pos="10080"/>
      </w:tabs>
      <w:spacing w:after="0" w:line="240" w:lineRule="auto"/>
      <w:ind w:left="-720" w:right="-720"/>
    </w:pPr>
    <w:rPr>
      <w:rFonts w:asciiTheme="majorHAnsi" w:hAnsiTheme="majorHAnsi"/>
      <w:sz w:val="20"/>
    </w:rPr>
  </w:style>
  <w:style w:type="paragraph" w:customStyle="1" w:styleId="AbtHeadA">
    <w:name w:val="AbtHead A"/>
    <w:basedOn w:val="Normal"/>
    <w:next w:val="BodyText"/>
    <w:qFormat/>
    <w:pPr>
      <w:keepNext/>
      <w:keepLines/>
      <w:spacing w:after="360"/>
      <w:outlineLvl w:val="0"/>
    </w:pPr>
    <w:rPr>
      <w:rFonts w:ascii="Arial" w:hAnsi="Arial"/>
      <w:b/>
      <w:sz w:val="36"/>
    </w:rPr>
  </w:style>
  <w:style w:type="paragraph" w:customStyle="1" w:styleId="full-govpro">
    <w:name w:val="full-govpro"/>
    <w:qFormat/>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4829E0"/>
  </w:style>
  <w:style w:type="paragraph" w:customStyle="1" w:styleId="AbtHeadB">
    <w:name w:val="AbtHead B"/>
    <w:basedOn w:val="Normal"/>
    <w:next w:val="BodyText"/>
    <w:qFormat/>
    <w:pPr>
      <w:keepNext/>
      <w:keepLines/>
      <w:spacing w:after="280"/>
      <w:ind w:left="720" w:hanging="720"/>
      <w:outlineLvl w:val="1"/>
    </w:pPr>
    <w:rPr>
      <w:rFonts w:ascii="Arial" w:hAnsi="Arial"/>
      <w:b/>
      <w:sz w:val="28"/>
    </w:rPr>
  </w:style>
  <w:style w:type="paragraph" w:customStyle="1" w:styleId="AbtHeadC">
    <w:name w:val="AbtHead C"/>
    <w:basedOn w:val="Normal"/>
    <w:next w:val="BodyText"/>
    <w:qFormat/>
    <w:pPr>
      <w:keepNext/>
      <w:keepLines/>
      <w:spacing w:after="240"/>
      <w:outlineLvl w:val="2"/>
    </w:pPr>
    <w:rPr>
      <w:rFonts w:ascii="Arial" w:hAnsi="Arial"/>
      <w:b/>
      <w:sz w:val="20"/>
    </w:rPr>
  </w:style>
  <w:style w:type="paragraph" w:customStyle="1" w:styleId="RefNumbers">
    <w:name w:val="Ref Numbers"/>
    <w:basedOn w:val="BodyText"/>
    <w:qFormat/>
    <w:pPr>
      <w:numPr>
        <w:numId w:val="2"/>
      </w:numPr>
      <w:spacing w:after="240"/>
    </w:pPr>
  </w:style>
  <w:style w:type="paragraph" w:customStyle="1" w:styleId="AbtHeadAOutlined">
    <w:name w:val="AbtHead A Outlined"/>
    <w:basedOn w:val="AbtHeadA"/>
    <w:next w:val="BodyText"/>
    <w:qFormat/>
    <w:pPr>
      <w:tabs>
        <w:tab w:val="num" w:pos="720"/>
      </w:tabs>
      <w:ind w:left="720" w:hanging="720"/>
    </w:pPr>
  </w:style>
  <w:style w:type="paragraph" w:customStyle="1" w:styleId="AbtHeadD">
    <w:name w:val="AbtHead D"/>
    <w:basedOn w:val="Normal"/>
    <w:next w:val="BodyText"/>
    <w:qFormat/>
    <w:pPr>
      <w:keepNext/>
      <w:keepLines/>
      <w:outlineLvl w:val="3"/>
    </w:pPr>
    <w:rPr>
      <w:b/>
      <w:i/>
    </w:rPr>
  </w:style>
  <w:style w:type="paragraph" w:styleId="Header">
    <w:name w:val="header"/>
    <w:basedOn w:val="Normal"/>
    <w:link w:val="HeaderChar"/>
    <w:rsid w:val="004829E0"/>
    <w:pPr>
      <w:pBdr>
        <w:bottom w:val="single" w:sz="6" w:space="6" w:color="auto"/>
      </w:pBdr>
      <w:tabs>
        <w:tab w:val="right" w:pos="10080"/>
      </w:tabs>
      <w:spacing w:after="0" w:line="240" w:lineRule="auto"/>
      <w:ind w:left="-720" w:right="-720"/>
    </w:pPr>
    <w:rPr>
      <w:rFonts w:asciiTheme="majorHAnsi" w:hAnsiTheme="majorHAnsi"/>
      <w:sz w:val="20"/>
    </w:rPr>
  </w:style>
  <w:style w:type="paragraph" w:styleId="TOC1">
    <w:name w:val="toc 1"/>
    <w:basedOn w:val="Normal"/>
    <w:next w:val="Normal"/>
    <w:rsid w:val="004829E0"/>
    <w:pPr>
      <w:tabs>
        <w:tab w:val="right" w:leader="dot" w:pos="9360"/>
      </w:tabs>
      <w:spacing w:before="160"/>
      <w:ind w:left="432" w:right="720" w:hanging="432"/>
    </w:pPr>
    <w:rPr>
      <w:rFonts w:asciiTheme="majorHAnsi" w:hAnsiTheme="majorHAnsi"/>
    </w:rPr>
  </w:style>
  <w:style w:type="character" w:styleId="CommentReference">
    <w:name w:val="annotation reference"/>
    <w:basedOn w:val="DefaultParagraphFont"/>
    <w:qFormat/>
    <w:rsid w:val="004829E0"/>
    <w:rPr>
      <w:sz w:val="16"/>
      <w:szCs w:val="16"/>
    </w:rPr>
  </w:style>
  <w:style w:type="paragraph" w:styleId="TOC2">
    <w:name w:val="toc 2"/>
    <w:basedOn w:val="Normal"/>
    <w:next w:val="Normal"/>
    <w:rsid w:val="004829E0"/>
    <w:pPr>
      <w:tabs>
        <w:tab w:val="right" w:leader="dot" w:pos="9360"/>
      </w:tabs>
      <w:spacing w:before="160"/>
      <w:ind w:left="864" w:right="720" w:hanging="432"/>
    </w:pPr>
    <w:rPr>
      <w:rFonts w:asciiTheme="majorHAnsi" w:hAnsiTheme="majorHAnsi"/>
    </w:rPr>
  </w:style>
  <w:style w:type="paragraph" w:styleId="TOC3">
    <w:name w:val="toc 3"/>
    <w:basedOn w:val="Normal"/>
    <w:next w:val="Normal"/>
    <w:rsid w:val="004829E0"/>
    <w:pPr>
      <w:tabs>
        <w:tab w:val="right" w:leader="dot" w:pos="9360"/>
      </w:tabs>
      <w:spacing w:after="100"/>
      <w:ind w:left="1296" w:hanging="432"/>
    </w:pPr>
    <w:rPr>
      <w:rFonts w:asciiTheme="majorHAnsi" w:hAnsiTheme="majorHAnsi"/>
    </w:rPr>
  </w:style>
  <w:style w:type="paragraph" w:styleId="TOC4">
    <w:name w:val="toc 4"/>
    <w:basedOn w:val="Normal"/>
    <w:next w:val="Normal"/>
    <w:rsid w:val="004829E0"/>
    <w:pPr>
      <w:spacing w:after="100"/>
      <w:ind w:left="1728" w:hanging="432"/>
    </w:pPr>
    <w:rPr>
      <w:rFonts w:asciiTheme="majorHAnsi" w:hAnsiTheme="majorHAnsi"/>
    </w:rPr>
  </w:style>
  <w:style w:type="paragraph" w:styleId="TOC5">
    <w:name w:val="toc 5"/>
    <w:basedOn w:val="Normal"/>
    <w:next w:val="Normal"/>
    <w:rsid w:val="004829E0"/>
    <w:pPr>
      <w:spacing w:after="100"/>
      <w:ind w:left="880"/>
    </w:pPr>
    <w:rPr>
      <w:rFonts w:asciiTheme="majorHAnsi" w:hAnsiTheme="majorHAnsi"/>
    </w:rPr>
  </w:style>
  <w:style w:type="paragraph" w:styleId="TOC6">
    <w:name w:val="toc 6"/>
    <w:basedOn w:val="Normal"/>
    <w:next w:val="Normal"/>
    <w:rsid w:val="004829E0"/>
    <w:pPr>
      <w:spacing w:after="100"/>
      <w:ind w:left="1100"/>
    </w:pPr>
    <w:rPr>
      <w:rFonts w:asciiTheme="majorHAnsi" w:hAnsiTheme="majorHAnsi"/>
    </w:rPr>
  </w:style>
  <w:style w:type="paragraph" w:styleId="TOC7">
    <w:name w:val="toc 7"/>
    <w:basedOn w:val="Normal"/>
    <w:next w:val="Normal"/>
    <w:rsid w:val="004829E0"/>
    <w:pPr>
      <w:spacing w:after="100"/>
      <w:ind w:left="1320"/>
    </w:pPr>
    <w:rPr>
      <w:rFonts w:asciiTheme="majorHAnsi" w:hAnsiTheme="majorHAnsi"/>
    </w:rPr>
  </w:style>
  <w:style w:type="paragraph" w:styleId="TOC8">
    <w:name w:val="toc 8"/>
    <w:basedOn w:val="Normal"/>
    <w:next w:val="Normal"/>
    <w:rsid w:val="004829E0"/>
    <w:pPr>
      <w:spacing w:before="160"/>
      <w:ind w:left="1267" w:right="1440" w:hanging="1267"/>
    </w:pPr>
    <w:rPr>
      <w:rFonts w:asciiTheme="majorHAnsi" w:hAnsiTheme="majorHAnsi"/>
    </w:rPr>
  </w:style>
  <w:style w:type="paragraph" w:styleId="TOC9">
    <w:name w:val="toc 9"/>
    <w:basedOn w:val="Normal"/>
    <w:next w:val="Normal"/>
    <w:rsid w:val="004829E0"/>
    <w:pPr>
      <w:spacing w:before="160"/>
      <w:ind w:left="720" w:right="720" w:hanging="720"/>
    </w:pPr>
    <w:rPr>
      <w:rFonts w:asciiTheme="majorHAnsi" w:hAnsiTheme="majorHAnsi"/>
    </w:rPr>
  </w:style>
  <w:style w:type="character" w:customStyle="1" w:styleId="AbtHeadE">
    <w:name w:val="AbtHead E"/>
    <w:qFormat/>
    <w:rPr>
      <w:rFonts w:ascii="Arial" w:hAnsi="Arial"/>
      <w:b/>
      <w:sz w:val="20"/>
    </w:rPr>
  </w:style>
  <w:style w:type="paragraph" w:customStyle="1" w:styleId="Table">
    <w:name w:val="Table"/>
    <w:basedOn w:val="Normal"/>
    <w:qFormat/>
    <w:rPr>
      <w:rFonts w:ascii="Arial" w:hAnsi="Arial"/>
      <w:sz w:val="20"/>
    </w:rPr>
  </w:style>
  <w:style w:type="paragraph" w:styleId="BodyText">
    <w:name w:val="Body Text"/>
    <w:basedOn w:val="Normal"/>
    <w:link w:val="BodyTextChar"/>
    <w:rsid w:val="004829E0"/>
    <w:pPr>
      <w:spacing w:after="120"/>
    </w:pPr>
  </w:style>
  <w:style w:type="paragraph" w:styleId="FootnoteText">
    <w:name w:val="footnote text"/>
    <w:basedOn w:val="Normal"/>
    <w:link w:val="FootnoteTextChar"/>
    <w:qFormat/>
    <w:rsid w:val="004829E0"/>
    <w:pPr>
      <w:spacing w:after="0" w:line="240" w:lineRule="auto"/>
    </w:pPr>
    <w:rPr>
      <w:sz w:val="20"/>
      <w:szCs w:val="20"/>
    </w:rPr>
  </w:style>
  <w:style w:type="paragraph" w:customStyle="1" w:styleId="AbtHeadBOutlined">
    <w:name w:val="AbtHead B Outlined"/>
    <w:basedOn w:val="AbtHeadB"/>
    <w:next w:val="BodyText"/>
    <w:qFormat/>
    <w:pPr>
      <w:numPr>
        <w:ilvl w:val="1"/>
        <w:numId w:val="3"/>
      </w:numPr>
    </w:pPr>
  </w:style>
  <w:style w:type="paragraph" w:customStyle="1" w:styleId="AbtHeadCOutlined">
    <w:name w:val="AbtHead C Outlined"/>
    <w:basedOn w:val="AbtHeadC"/>
    <w:next w:val="BodyText"/>
    <w:qFormat/>
    <w:pPr>
      <w:numPr>
        <w:ilvl w:val="2"/>
        <w:numId w:val="3"/>
      </w:numPr>
    </w:pPr>
  </w:style>
  <w:style w:type="paragraph" w:styleId="Index1">
    <w:name w:val="index 1"/>
    <w:basedOn w:val="Normal"/>
    <w:next w:val="Normal"/>
    <w:autoRedefine/>
    <w:rsid w:val="004829E0"/>
    <w:pPr>
      <w:spacing w:after="0" w:line="240" w:lineRule="auto"/>
      <w:ind w:left="200" w:hanging="200"/>
    </w:pPr>
  </w:style>
  <w:style w:type="paragraph" w:styleId="Index2">
    <w:name w:val="index 2"/>
    <w:basedOn w:val="Normal"/>
    <w:next w:val="Normal"/>
    <w:autoRedefine/>
    <w:rsid w:val="004829E0"/>
    <w:pPr>
      <w:spacing w:after="0" w:line="240" w:lineRule="auto"/>
      <w:ind w:left="440" w:hanging="220"/>
    </w:pPr>
  </w:style>
  <w:style w:type="paragraph" w:styleId="Index3">
    <w:name w:val="index 3"/>
    <w:basedOn w:val="Normal"/>
    <w:next w:val="Normal"/>
    <w:autoRedefine/>
    <w:rsid w:val="004829E0"/>
    <w:pPr>
      <w:spacing w:after="0" w:line="240" w:lineRule="auto"/>
      <w:ind w:left="660" w:hanging="220"/>
    </w:pPr>
  </w:style>
  <w:style w:type="paragraph" w:customStyle="1" w:styleId="Numbers">
    <w:name w:val="Numbers"/>
    <w:basedOn w:val="BodyText"/>
    <w:qFormat/>
    <w:pPr>
      <w:tabs>
        <w:tab w:val="num" w:pos="360"/>
      </w:tabs>
      <w:ind w:left="360" w:hanging="360"/>
    </w:pPr>
  </w:style>
  <w:style w:type="paragraph" w:customStyle="1" w:styleId="Bullets">
    <w:name w:val="Bullets"/>
    <w:basedOn w:val="BodyText"/>
    <w:link w:val="BulletsCharChar"/>
    <w:qFormat/>
    <w:pPr>
      <w:tabs>
        <w:tab w:val="num" w:pos="720"/>
      </w:tabs>
      <w:ind w:left="720" w:hanging="720"/>
    </w:pPr>
  </w:style>
  <w:style w:type="character" w:styleId="FootnoteReference">
    <w:name w:val="footnote reference"/>
    <w:basedOn w:val="DefaultParagraphFont"/>
    <w:qFormat/>
    <w:rsid w:val="004829E0"/>
    <w:rPr>
      <w:vertAlign w:val="superscript"/>
    </w:rPr>
  </w:style>
  <w:style w:type="character" w:customStyle="1" w:styleId="AbtHeadE-Remove">
    <w:name w:val="AbtHead E - Remove"/>
    <w:basedOn w:val="DefaultParagraphFont"/>
    <w:qFormat/>
  </w:style>
  <w:style w:type="character" w:styleId="Hyperlink">
    <w:name w:val="Hyperlink"/>
    <w:basedOn w:val="DefaultParagraphFont"/>
    <w:unhideWhenUsed/>
    <w:rsid w:val="004829E0"/>
    <w:rPr>
      <w:color w:val="0563C1" w:themeColor="hyperlink"/>
      <w:u w:val="single"/>
    </w:rPr>
  </w:style>
  <w:style w:type="character" w:styleId="FollowedHyperlink">
    <w:name w:val="FollowedHyperlink"/>
    <w:basedOn w:val="DefaultParagraphFont"/>
    <w:rsid w:val="004829E0"/>
    <w:rPr>
      <w:color w:val="954F72" w:themeColor="followedHyperlink"/>
      <w:u w:val="single"/>
    </w:rPr>
  </w:style>
  <w:style w:type="paragraph" w:styleId="BalloonText">
    <w:name w:val="Balloon Text"/>
    <w:basedOn w:val="Normal"/>
    <w:link w:val="BalloonTextChar"/>
    <w:rsid w:val="004829E0"/>
    <w:pPr>
      <w:spacing w:after="0" w:line="240" w:lineRule="auto"/>
    </w:pPr>
    <w:rPr>
      <w:rFonts w:ascii="Segoe UI" w:hAnsi="Segoe UI" w:cs="Segoe UI"/>
      <w:sz w:val="18"/>
      <w:szCs w:val="18"/>
    </w:rPr>
  </w:style>
  <w:style w:type="paragraph" w:styleId="NormalWeb">
    <w:name w:val="Normal (Web)"/>
    <w:basedOn w:val="Normal"/>
    <w:rsid w:val="004829E0"/>
    <w:rPr>
      <w:rFonts w:ascii="Times New Roman" w:hAnsi="Times New Roman" w:cs="Times New Roman"/>
      <w:sz w:val="24"/>
      <w:szCs w:val="24"/>
    </w:rPr>
  </w:style>
  <w:style w:type="table" w:styleId="TableGrid">
    <w:name w:val="Table Grid"/>
    <w:basedOn w:val="TableNormal"/>
    <w:rsid w:val="004829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4829E0"/>
    <w:rPr>
      <w:rFonts w:asciiTheme="minorHAnsi" w:eastAsiaTheme="minorHAnsi" w:hAnsiTheme="minorHAnsi" w:cstheme="minorBidi"/>
      <w:sz w:val="22"/>
      <w:szCs w:val="22"/>
    </w:rPr>
  </w:style>
  <w:style w:type="paragraph" w:styleId="CommentText">
    <w:name w:val="annotation text"/>
    <w:basedOn w:val="Normal"/>
    <w:link w:val="CommentTextChar"/>
    <w:qFormat/>
    <w:rsid w:val="004829E0"/>
    <w:pPr>
      <w:spacing w:line="240" w:lineRule="auto"/>
    </w:pPr>
    <w:rPr>
      <w:szCs w:val="20"/>
    </w:rPr>
  </w:style>
  <w:style w:type="character" w:customStyle="1" w:styleId="CommentTextChar">
    <w:name w:val="Comment Text Char"/>
    <w:basedOn w:val="DefaultParagraphFont"/>
    <w:link w:val="CommentText"/>
    <w:rsid w:val="004829E0"/>
    <w:rPr>
      <w:rFonts w:asciiTheme="minorHAnsi" w:eastAsiaTheme="minorHAnsi" w:hAnsiTheme="minorHAnsi" w:cstheme="minorBidi"/>
      <w:sz w:val="22"/>
    </w:rPr>
  </w:style>
  <w:style w:type="paragraph" w:styleId="CommentSubject">
    <w:name w:val="annotation subject"/>
    <w:basedOn w:val="CommentText"/>
    <w:next w:val="CommentText"/>
    <w:link w:val="CommentSubjectChar"/>
    <w:rsid w:val="004829E0"/>
    <w:rPr>
      <w:b/>
      <w:bCs/>
    </w:rPr>
  </w:style>
  <w:style w:type="character" w:customStyle="1" w:styleId="CommentSubjectChar">
    <w:name w:val="Comment Subject Char"/>
    <w:basedOn w:val="CommentTextChar"/>
    <w:link w:val="CommentSubject"/>
    <w:rsid w:val="004829E0"/>
    <w:rPr>
      <w:rFonts w:asciiTheme="minorHAnsi" w:eastAsiaTheme="minorHAnsi" w:hAnsiTheme="minorHAnsi" w:cstheme="minorBidi"/>
      <w:b/>
      <w:bCs/>
      <w:sz w:val="22"/>
    </w:rPr>
  </w:style>
  <w:style w:type="paragraph" w:styleId="NoSpacing">
    <w:name w:val="No Spacing"/>
    <w:rsid w:val="004829E0"/>
    <w:pPr>
      <w:spacing w:line="264" w:lineRule="auto"/>
    </w:pPr>
    <w:rPr>
      <w:rFonts w:asciiTheme="minorHAnsi" w:eastAsiaTheme="minorHAnsi" w:hAnsiTheme="minorHAnsi" w:cstheme="minorBidi"/>
      <w:sz w:val="22"/>
      <w:szCs w:val="22"/>
    </w:rPr>
  </w:style>
  <w:style w:type="paragraph" w:styleId="ListParagraph">
    <w:name w:val="List Paragraph"/>
    <w:aliases w:val="Primary Bullet List"/>
    <w:basedOn w:val="Normal"/>
    <w:link w:val="ListParagraphChar"/>
    <w:qFormat/>
    <w:rsid w:val="004829E0"/>
    <w:pPr>
      <w:ind w:left="1267" w:hanging="1267"/>
      <w:contextualSpacing/>
    </w:pPr>
  </w:style>
  <w:style w:type="paragraph" w:customStyle="1" w:styleId="ExhibitTextNumbering">
    <w:name w:val="ExhibitTextNumbering"/>
    <w:basedOn w:val="Bullets"/>
    <w:qFormat/>
    <w:rsid w:val="00EE6EEF"/>
    <w:pPr>
      <w:tabs>
        <w:tab w:val="clear" w:pos="720"/>
      </w:tabs>
    </w:pPr>
    <w:rPr>
      <w:rFonts w:ascii="Arial Narrow" w:eastAsia="Calibri" w:hAnsi="Arial Narrow"/>
      <w:sz w:val="20"/>
    </w:rPr>
  </w:style>
  <w:style w:type="paragraph" w:styleId="Revision">
    <w:name w:val="Revision"/>
    <w:hidden/>
    <w:uiPriority w:val="99"/>
    <w:semiHidden/>
    <w:rsid w:val="004829E0"/>
    <w:rPr>
      <w:rFonts w:asciiTheme="minorHAnsi" w:eastAsiaTheme="minorHAnsi" w:hAnsiTheme="minorHAnsi" w:cstheme="minorBidi"/>
      <w:szCs w:val="22"/>
    </w:rPr>
  </w:style>
  <w:style w:type="character" w:customStyle="1" w:styleId="BulletsCharChar">
    <w:name w:val="Bullets Char Char"/>
    <w:link w:val="Bullets"/>
    <w:locked/>
    <w:rsid w:val="00DA5FE4"/>
    <w:rPr>
      <w:sz w:val="22"/>
    </w:rPr>
  </w:style>
  <w:style w:type="character" w:customStyle="1" w:styleId="BulletsChar">
    <w:name w:val="Bullets Char"/>
    <w:qFormat/>
    <w:rsid w:val="00887F16"/>
    <w:rPr>
      <w:sz w:val="22"/>
      <w:lang w:val="en"/>
    </w:rPr>
  </w:style>
  <w:style w:type="character" w:customStyle="1" w:styleId="Heading2Char">
    <w:name w:val="Heading 2 Char"/>
    <w:basedOn w:val="DefaultParagraphFont"/>
    <w:link w:val="Heading2"/>
    <w:rsid w:val="004829E0"/>
    <w:rPr>
      <w:rFonts w:asciiTheme="majorHAnsi" w:eastAsiaTheme="majorEastAsia" w:hAnsiTheme="majorHAnsi" w:cstheme="majorBidi"/>
      <w:color w:val="081E36" w:themeColor="accent1" w:themeShade="BF"/>
      <w:sz w:val="26"/>
      <w:szCs w:val="26"/>
    </w:rPr>
  </w:style>
  <w:style w:type="character" w:customStyle="1" w:styleId="HeaderChar">
    <w:name w:val="Header Char"/>
    <w:basedOn w:val="DefaultParagraphFont"/>
    <w:link w:val="Header"/>
    <w:rsid w:val="004829E0"/>
    <w:rPr>
      <w:rFonts w:asciiTheme="majorHAnsi" w:eastAsiaTheme="minorHAnsi" w:hAnsiTheme="majorHAnsi" w:cstheme="minorBidi"/>
      <w:szCs w:val="22"/>
    </w:rPr>
  </w:style>
  <w:style w:type="character" w:customStyle="1" w:styleId="ListParagraphChar">
    <w:name w:val="List Paragraph Char"/>
    <w:aliases w:val="Primary Bullet List Char"/>
    <w:link w:val="ListParagraph"/>
    <w:locked/>
    <w:rsid w:val="003E1430"/>
    <w:rPr>
      <w:rFonts w:asciiTheme="minorHAnsi" w:eastAsiaTheme="minorHAnsi" w:hAnsiTheme="minorHAnsi" w:cstheme="minorBidi"/>
      <w:sz w:val="22"/>
      <w:szCs w:val="22"/>
    </w:rPr>
  </w:style>
  <w:style w:type="table" w:customStyle="1" w:styleId="TableGrid1">
    <w:name w:val="Table Grid1"/>
    <w:basedOn w:val="TableNormal"/>
    <w:next w:val="TableGrid"/>
    <w:rsid w:val="005E5F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Fi">
    <w:name w:val="Body Text Fi"/>
    <w:qFormat/>
    <w:rsid w:val="00F42202"/>
  </w:style>
  <w:style w:type="paragraph" w:customStyle="1" w:styleId="BulletsLast">
    <w:name w:val="BulletsLast"/>
    <w:basedOn w:val="Bullets"/>
    <w:qFormat/>
    <w:rsid w:val="003D6DC8"/>
    <w:pPr>
      <w:tabs>
        <w:tab w:val="left" w:pos="360"/>
        <w:tab w:val="clear" w:pos="720"/>
        <w:tab w:val="num" w:pos="2160"/>
      </w:tabs>
      <w:spacing w:after="240" w:line="240" w:lineRule="auto"/>
      <w:ind w:left="2160"/>
    </w:pPr>
    <w:rPr>
      <w:lang w:val="en"/>
    </w:rPr>
  </w:style>
  <w:style w:type="paragraph" w:customStyle="1" w:styleId="Paragraph">
    <w:name w:val="Paragraph"/>
    <w:basedOn w:val="Normal"/>
    <w:link w:val="ParagraphChar"/>
    <w:qFormat/>
    <w:rsid w:val="004829E0"/>
  </w:style>
  <w:style w:type="paragraph" w:customStyle="1" w:styleId="ParagraphContinued">
    <w:name w:val="Paragraph Continued"/>
    <w:basedOn w:val="Paragraph"/>
    <w:next w:val="Paragraph"/>
    <w:qFormat/>
    <w:rsid w:val="004829E0"/>
    <w:pPr>
      <w:spacing w:before="160"/>
    </w:pPr>
  </w:style>
  <w:style w:type="paragraph" w:styleId="ListBullet">
    <w:name w:val="List Bullet"/>
    <w:basedOn w:val="Normal"/>
    <w:qFormat/>
    <w:rsid w:val="004829E0"/>
    <w:pPr>
      <w:numPr>
        <w:numId w:val="1"/>
      </w:numPr>
      <w:spacing w:after="80"/>
    </w:pPr>
  </w:style>
  <w:style w:type="paragraph" w:customStyle="1" w:styleId="H3">
    <w:name w:val="H3"/>
    <w:basedOn w:val="H1"/>
    <w:next w:val="ParagraphContinued"/>
    <w:link w:val="H3Char"/>
    <w:qFormat/>
    <w:rsid w:val="004829E0"/>
    <w:pPr>
      <w:outlineLvl w:val="3"/>
    </w:pPr>
    <w:rPr>
      <w:rFonts w:asciiTheme="minorHAnsi" w:hAnsiTheme="minorHAnsi"/>
      <w:color w:val="000000" w:themeColor="text1"/>
      <w:sz w:val="22"/>
    </w:rPr>
  </w:style>
  <w:style w:type="character" w:customStyle="1" w:styleId="FootnoteTextChar">
    <w:name w:val="Footnote Text Char"/>
    <w:basedOn w:val="DefaultParagraphFont"/>
    <w:link w:val="FootnoteText"/>
    <w:rsid w:val="004829E0"/>
    <w:rPr>
      <w:rFonts w:asciiTheme="minorHAnsi" w:eastAsiaTheme="minorHAnsi" w:hAnsiTheme="minorHAnsi" w:cstheme="minorBidi"/>
    </w:rPr>
  </w:style>
  <w:style w:type="character" w:customStyle="1" w:styleId="ParagraphChar">
    <w:name w:val="Paragraph Char"/>
    <w:basedOn w:val="DefaultParagraphFont"/>
    <w:link w:val="Paragraph"/>
    <w:rsid w:val="00193791"/>
    <w:rPr>
      <w:rFonts w:asciiTheme="minorHAnsi" w:eastAsiaTheme="minorHAnsi" w:hAnsiTheme="minorHAnsi" w:cstheme="minorBidi"/>
      <w:sz w:val="22"/>
      <w:szCs w:val="22"/>
    </w:rPr>
  </w:style>
  <w:style w:type="character" w:customStyle="1" w:styleId="H3Char">
    <w:name w:val="H3 Char"/>
    <w:basedOn w:val="DefaultParagraphFont"/>
    <w:link w:val="H3"/>
    <w:rsid w:val="00193791"/>
    <w:rPr>
      <w:rFonts w:asciiTheme="minorHAnsi" w:eastAsiaTheme="majorEastAsia" w:hAnsiTheme="minorHAnsi" w:cstheme="majorBidi"/>
      <w:b/>
      <w:color w:val="000000" w:themeColor="text1"/>
      <w:sz w:val="22"/>
      <w:szCs w:val="32"/>
    </w:rPr>
  </w:style>
  <w:style w:type="paragraph" w:customStyle="1" w:styleId="H4">
    <w:name w:val="H4"/>
    <w:basedOn w:val="H1"/>
    <w:next w:val="ParagraphContinued"/>
    <w:qFormat/>
    <w:rsid w:val="004829E0"/>
    <w:pPr>
      <w:outlineLvl w:val="4"/>
    </w:pPr>
    <w:rPr>
      <w:rFonts w:asciiTheme="minorHAnsi" w:hAnsiTheme="minorHAnsi"/>
      <w:b w:val="0"/>
      <w:i/>
      <w:color w:val="000000" w:themeColor="text1"/>
      <w:sz w:val="22"/>
    </w:rPr>
  </w:style>
  <w:style w:type="character" w:customStyle="1" w:styleId="RunIn">
    <w:name w:val="Run In"/>
    <w:basedOn w:val="DefaultParagraphFont"/>
    <w:rsid w:val="004829E0"/>
    <w:rPr>
      <w:b/>
      <w:color w:val="0B2949" w:themeColor="accent1"/>
    </w:rPr>
  </w:style>
  <w:style w:type="character" w:styleId="UnresolvedMention">
    <w:name w:val="Unresolved Mention"/>
    <w:basedOn w:val="DefaultParagraphFont"/>
    <w:rsid w:val="004829E0"/>
    <w:rPr>
      <w:color w:val="605E5C"/>
      <w:shd w:val="clear" w:color="auto" w:fill="E1DFDD"/>
    </w:rPr>
  </w:style>
  <w:style w:type="character" w:customStyle="1" w:styleId="Heading6Char">
    <w:name w:val="Heading 6 Char"/>
    <w:basedOn w:val="DefaultParagraphFont"/>
    <w:link w:val="Heading6"/>
    <w:rsid w:val="004829E0"/>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rsid w:val="004829E0"/>
    <w:rPr>
      <w:rFonts w:asciiTheme="majorHAnsi" w:eastAsiaTheme="majorEastAsia" w:hAnsiTheme="majorHAnsi" w:cstheme="majorBidi"/>
      <w:i/>
      <w:iCs/>
      <w:color w:val="051424" w:themeColor="accent1" w:themeShade="7F"/>
      <w:sz w:val="22"/>
      <w:szCs w:val="22"/>
    </w:rPr>
  </w:style>
  <w:style w:type="character" w:customStyle="1" w:styleId="Heading9Char">
    <w:name w:val="Heading 9 Char"/>
    <w:basedOn w:val="DefaultParagraphFont"/>
    <w:link w:val="Heading9"/>
    <w:rsid w:val="004829E0"/>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4829E0"/>
    <w:pPr>
      <w:spacing w:before="40" w:after="20" w:line="264" w:lineRule="auto"/>
    </w:pPr>
    <w:rPr>
      <w:rFonts w:asciiTheme="majorHAnsi" w:eastAsiaTheme="minorHAnsi" w:hAnsiTheme="majorHAnsi" w:cstheme="minorBidi"/>
      <w:color w:val="000000" w:themeColor="text1"/>
      <w:sz w:val="18"/>
      <w:szCs w:val="22"/>
    </w:rPr>
  </w:style>
  <w:style w:type="character" w:customStyle="1" w:styleId="Heading1Char">
    <w:name w:val="Heading 1 Char"/>
    <w:basedOn w:val="DefaultParagraphFont"/>
    <w:link w:val="Heading1"/>
    <w:rsid w:val="004829E0"/>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4829E0"/>
    <w:pPr>
      <w:ind w:left="432" w:hanging="432"/>
      <w:outlineLvl w:val="1"/>
    </w:pPr>
    <w:rPr>
      <w:b/>
      <w:color w:val="046B5C" w:themeColor="text2"/>
      <w:sz w:val="28"/>
    </w:rPr>
  </w:style>
  <w:style w:type="paragraph" w:styleId="ListNumber">
    <w:name w:val="List Number"/>
    <w:basedOn w:val="Normal"/>
    <w:qFormat/>
    <w:rsid w:val="004829E0"/>
    <w:pPr>
      <w:numPr>
        <w:numId w:val="8"/>
      </w:numPr>
      <w:adjustRightInd w:val="0"/>
      <w:spacing w:after="80"/>
    </w:pPr>
  </w:style>
  <w:style w:type="character" w:customStyle="1" w:styleId="BalloonTextChar">
    <w:name w:val="Balloon Text Char"/>
    <w:basedOn w:val="DefaultParagraphFont"/>
    <w:link w:val="BalloonText"/>
    <w:rsid w:val="004829E0"/>
    <w:rPr>
      <w:rFonts w:ascii="Segoe UI" w:hAnsi="Segoe UI" w:eastAsiaTheme="minorHAnsi" w:cs="Segoe UI"/>
      <w:sz w:val="18"/>
      <w:szCs w:val="18"/>
    </w:rPr>
  </w:style>
  <w:style w:type="table" w:styleId="GridTable2Accent1">
    <w:name w:val="Grid Table 2 Accent 1"/>
    <w:basedOn w:val="TableNormal"/>
    <w:rsid w:val="004829E0"/>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character" w:customStyle="1" w:styleId="FooterChar">
    <w:name w:val="Footer Char"/>
    <w:basedOn w:val="DefaultParagraphFont"/>
    <w:link w:val="Footer"/>
    <w:rsid w:val="004829E0"/>
    <w:rPr>
      <w:rFonts w:asciiTheme="majorHAnsi" w:eastAsiaTheme="minorHAnsi" w:hAnsiTheme="majorHAnsi" w:cstheme="minorBidi"/>
      <w:szCs w:val="22"/>
    </w:rPr>
  </w:style>
  <w:style w:type="paragraph" w:styleId="Title">
    <w:name w:val="Title"/>
    <w:basedOn w:val="Normal"/>
    <w:next w:val="Paragraph"/>
    <w:link w:val="TitleChar"/>
    <w:rsid w:val="004829E0"/>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4829E0"/>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4829E0"/>
    <w:pPr>
      <w:numPr>
        <w:numId w:val="14"/>
      </w:numPr>
      <w:adjustRightInd w:val="0"/>
      <w:spacing w:after="80"/>
    </w:pPr>
  </w:style>
  <w:style w:type="paragraph" w:styleId="ListBullet2">
    <w:name w:val="List Bullet 2"/>
    <w:basedOn w:val="Normal"/>
    <w:qFormat/>
    <w:rsid w:val="004829E0"/>
    <w:pPr>
      <w:numPr>
        <w:numId w:val="10"/>
      </w:numPr>
      <w:spacing w:after="80"/>
    </w:pPr>
  </w:style>
  <w:style w:type="paragraph" w:styleId="List">
    <w:name w:val="List"/>
    <w:basedOn w:val="Normal"/>
    <w:rsid w:val="004829E0"/>
    <w:pPr>
      <w:numPr>
        <w:numId w:val="9"/>
      </w:numPr>
      <w:spacing w:after="80"/>
    </w:pPr>
  </w:style>
  <w:style w:type="paragraph" w:styleId="ListContinue">
    <w:name w:val="List Continue"/>
    <w:basedOn w:val="Normal"/>
    <w:qFormat/>
    <w:rsid w:val="004829E0"/>
    <w:pPr>
      <w:spacing w:after="80"/>
      <w:ind w:left="360"/>
    </w:pPr>
  </w:style>
  <w:style w:type="character" w:styleId="Emphasis">
    <w:name w:val="Emphasis"/>
    <w:basedOn w:val="DefaultParagraphFont"/>
    <w:rsid w:val="004829E0"/>
    <w:rPr>
      <w:i/>
      <w:iCs/>
    </w:rPr>
  </w:style>
  <w:style w:type="paragraph" w:styleId="Caption">
    <w:name w:val="caption"/>
    <w:basedOn w:val="TableTextLeft"/>
    <w:next w:val="Normal"/>
    <w:rsid w:val="004829E0"/>
    <w:pPr>
      <w:spacing w:before="240" w:after="60"/>
    </w:pPr>
    <w:rPr>
      <w:b/>
      <w:bCs/>
      <w:sz w:val="20"/>
      <w:szCs w:val="20"/>
    </w:rPr>
  </w:style>
  <w:style w:type="paragraph" w:styleId="ListContinue2">
    <w:name w:val="List Continue 2"/>
    <w:basedOn w:val="Normal"/>
    <w:qFormat/>
    <w:rsid w:val="004829E0"/>
    <w:pPr>
      <w:spacing w:after="80"/>
      <w:ind w:left="720"/>
    </w:pPr>
  </w:style>
  <w:style w:type="paragraph" w:customStyle="1" w:styleId="Acknowledgment">
    <w:name w:val="Acknowledgment"/>
    <w:basedOn w:val="H1"/>
    <w:next w:val="ParagraphContinued"/>
    <w:rsid w:val="004829E0"/>
    <w:rPr>
      <w:b w:val="0"/>
      <w:bCs/>
    </w:rPr>
  </w:style>
  <w:style w:type="paragraph" w:styleId="ListBullet3">
    <w:name w:val="List Bullet 3"/>
    <w:basedOn w:val="Normal"/>
    <w:qFormat/>
    <w:rsid w:val="004829E0"/>
    <w:pPr>
      <w:numPr>
        <w:numId w:val="11"/>
      </w:numPr>
      <w:spacing w:after="80"/>
    </w:pPr>
  </w:style>
  <w:style w:type="paragraph" w:styleId="NoteHeading">
    <w:name w:val="Note Heading"/>
    <w:basedOn w:val="H1"/>
    <w:next w:val="Notes"/>
    <w:link w:val="NoteHeadingChar"/>
    <w:rsid w:val="004829E0"/>
    <w:pPr>
      <w:ind w:left="0" w:firstLine="0"/>
      <w:outlineLvl w:val="9"/>
    </w:pPr>
    <w:rPr>
      <w:color w:val="0B2949" w:themeColor="accent1"/>
      <w:sz w:val="20"/>
    </w:rPr>
  </w:style>
  <w:style w:type="character" w:customStyle="1" w:styleId="NoteHeadingChar">
    <w:name w:val="Note Heading Char"/>
    <w:basedOn w:val="DefaultParagraphFont"/>
    <w:link w:val="NoteHeading"/>
    <w:rsid w:val="004829E0"/>
    <w:rPr>
      <w:rFonts w:asciiTheme="majorHAnsi" w:eastAsiaTheme="majorEastAsia" w:hAnsiTheme="majorHAnsi" w:cstheme="majorBidi"/>
      <w:b/>
      <w:color w:val="0B2949" w:themeColor="accent1"/>
      <w:szCs w:val="32"/>
    </w:rPr>
  </w:style>
  <w:style w:type="paragraph" w:customStyle="1" w:styleId="Anchor">
    <w:name w:val="Anchor"/>
    <w:rsid w:val="004829E0"/>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2"/>
    <w:rsid w:val="004829E0"/>
    <w:pPr>
      <w:ind w:left="0" w:firstLine="0"/>
      <w:jc w:val="center"/>
    </w:pPr>
    <w:rPr>
      <w:bCs/>
    </w:rPr>
  </w:style>
  <w:style w:type="paragraph" w:customStyle="1" w:styleId="AttachmentTitle">
    <w:name w:val="Attachment Title"/>
    <w:basedOn w:val="H1"/>
    <w:next w:val="H2"/>
    <w:rsid w:val="004829E0"/>
    <w:pPr>
      <w:jc w:val="center"/>
    </w:pPr>
    <w:rPr>
      <w:bCs/>
    </w:rPr>
  </w:style>
  <w:style w:type="paragraph" w:customStyle="1" w:styleId="Banner">
    <w:name w:val="Banner"/>
    <w:basedOn w:val="H1"/>
    <w:rsid w:val="004829E0"/>
    <w:pPr>
      <w:shd w:val="clear" w:color="auto" w:fill="FFFFFF" w:themeFill="background1"/>
    </w:pPr>
    <w:rPr>
      <w:b w:val="0"/>
      <w:bCs/>
      <w:color w:val="0B2949" w:themeColor="accent1"/>
    </w:rPr>
  </w:style>
  <w:style w:type="paragraph" w:styleId="Bibliography">
    <w:name w:val="Bibliography"/>
    <w:basedOn w:val="Normal"/>
    <w:rsid w:val="004829E0"/>
  </w:style>
  <w:style w:type="paragraph" w:styleId="BlockText">
    <w:name w:val="Block Text"/>
    <w:basedOn w:val="Normal"/>
    <w:rsid w:val="004829E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rsid w:val="004829E0"/>
    <w:pPr>
      <w:spacing w:after="120" w:line="480" w:lineRule="auto"/>
    </w:pPr>
  </w:style>
  <w:style w:type="character" w:customStyle="1" w:styleId="BodyText2Char">
    <w:name w:val="Body Text 2 Char"/>
    <w:basedOn w:val="DefaultParagraphFont"/>
    <w:link w:val="BodyText2"/>
    <w:rsid w:val="004829E0"/>
    <w:rPr>
      <w:rFonts w:asciiTheme="minorHAnsi" w:eastAsiaTheme="minorHAnsi" w:hAnsiTheme="minorHAnsi" w:cstheme="minorBidi"/>
      <w:sz w:val="22"/>
      <w:szCs w:val="22"/>
    </w:rPr>
  </w:style>
  <w:style w:type="paragraph" w:styleId="BodyText3">
    <w:name w:val="Body Text 3"/>
    <w:basedOn w:val="Normal"/>
    <w:link w:val="BodyText3Char"/>
    <w:rsid w:val="004829E0"/>
    <w:pPr>
      <w:spacing w:after="120"/>
    </w:pPr>
    <w:rPr>
      <w:sz w:val="16"/>
      <w:szCs w:val="16"/>
    </w:rPr>
  </w:style>
  <w:style w:type="character" w:customStyle="1" w:styleId="BodyText3Char">
    <w:name w:val="Body Text 3 Char"/>
    <w:basedOn w:val="DefaultParagraphFont"/>
    <w:link w:val="BodyText3"/>
    <w:rsid w:val="004829E0"/>
    <w:rPr>
      <w:rFonts w:asciiTheme="minorHAnsi" w:eastAsiaTheme="minorHAnsi" w:hAnsiTheme="minorHAnsi" w:cstheme="minorBidi"/>
      <w:sz w:val="16"/>
      <w:szCs w:val="16"/>
    </w:rPr>
  </w:style>
  <w:style w:type="paragraph" w:styleId="BodyTextFirstIndent">
    <w:name w:val="Body Text First Indent"/>
    <w:basedOn w:val="BodyText"/>
    <w:link w:val="BodyTextFirstIndentChar"/>
    <w:rsid w:val="004829E0"/>
    <w:pPr>
      <w:spacing w:after="160"/>
      <w:ind w:firstLine="360"/>
    </w:pPr>
  </w:style>
  <w:style w:type="character" w:customStyle="1" w:styleId="BodyTextFirstIndentChar">
    <w:name w:val="Body Text First Indent Char"/>
    <w:basedOn w:val="BodyTextChar"/>
    <w:link w:val="BodyTextFirstIndent"/>
    <w:rsid w:val="004829E0"/>
    <w:rPr>
      <w:rFonts w:asciiTheme="minorHAnsi" w:eastAsiaTheme="minorHAnsi" w:hAnsiTheme="minorHAnsi" w:cstheme="minorBidi"/>
      <w:sz w:val="22"/>
      <w:szCs w:val="22"/>
    </w:rPr>
  </w:style>
  <w:style w:type="paragraph" w:styleId="BodyTextIndent">
    <w:name w:val="Body Text Indent"/>
    <w:basedOn w:val="Normal"/>
    <w:link w:val="BodyTextIndentChar"/>
    <w:rsid w:val="004829E0"/>
    <w:pPr>
      <w:spacing w:after="120"/>
      <w:ind w:left="360"/>
    </w:pPr>
  </w:style>
  <w:style w:type="character" w:customStyle="1" w:styleId="BodyTextIndentChar">
    <w:name w:val="Body Text Indent Char"/>
    <w:basedOn w:val="DefaultParagraphFont"/>
    <w:link w:val="BodyTextIndent"/>
    <w:rsid w:val="004829E0"/>
    <w:rPr>
      <w:rFonts w:asciiTheme="minorHAnsi" w:eastAsiaTheme="minorHAnsi" w:hAnsiTheme="minorHAnsi" w:cstheme="minorBidi"/>
      <w:sz w:val="22"/>
      <w:szCs w:val="22"/>
    </w:rPr>
  </w:style>
  <w:style w:type="paragraph" w:styleId="BodyTextFirstIndent2">
    <w:name w:val="Body Text First Indent 2"/>
    <w:basedOn w:val="BodyTextIndent"/>
    <w:link w:val="BodyTextFirstIndent2Char"/>
    <w:rsid w:val="004829E0"/>
    <w:pPr>
      <w:spacing w:after="160"/>
      <w:ind w:firstLine="360"/>
    </w:pPr>
  </w:style>
  <w:style w:type="character" w:customStyle="1" w:styleId="BodyTextFirstIndent2Char">
    <w:name w:val="Body Text First Indent 2 Char"/>
    <w:basedOn w:val="BodyTextIndentChar"/>
    <w:link w:val="BodyTextFirstIndent2"/>
    <w:rsid w:val="004829E0"/>
    <w:rPr>
      <w:rFonts w:asciiTheme="minorHAnsi" w:eastAsiaTheme="minorHAnsi" w:hAnsiTheme="minorHAnsi" w:cstheme="minorBidi"/>
      <w:sz w:val="22"/>
      <w:szCs w:val="22"/>
    </w:rPr>
  </w:style>
  <w:style w:type="paragraph" w:styleId="BodyTextIndent2">
    <w:name w:val="Body Text Indent 2"/>
    <w:basedOn w:val="Normal"/>
    <w:link w:val="BodyTextIndent2Char"/>
    <w:rsid w:val="004829E0"/>
    <w:pPr>
      <w:spacing w:after="120" w:line="480" w:lineRule="auto"/>
      <w:ind w:left="360"/>
    </w:pPr>
  </w:style>
  <w:style w:type="character" w:customStyle="1" w:styleId="BodyTextIndent2Char">
    <w:name w:val="Body Text Indent 2 Char"/>
    <w:basedOn w:val="DefaultParagraphFont"/>
    <w:link w:val="BodyTextIndent2"/>
    <w:rsid w:val="004829E0"/>
    <w:rPr>
      <w:rFonts w:asciiTheme="minorHAnsi" w:eastAsiaTheme="minorHAnsi" w:hAnsiTheme="minorHAnsi" w:cstheme="minorBidi"/>
      <w:sz w:val="22"/>
      <w:szCs w:val="22"/>
    </w:rPr>
  </w:style>
  <w:style w:type="paragraph" w:styleId="BodyTextIndent3">
    <w:name w:val="Body Text Indent 3"/>
    <w:basedOn w:val="Normal"/>
    <w:link w:val="BodyTextIndent3Char"/>
    <w:rsid w:val="004829E0"/>
    <w:pPr>
      <w:spacing w:after="120"/>
      <w:ind w:left="360"/>
    </w:pPr>
    <w:rPr>
      <w:sz w:val="16"/>
      <w:szCs w:val="16"/>
    </w:rPr>
  </w:style>
  <w:style w:type="character" w:customStyle="1" w:styleId="BodyTextIndent3Char">
    <w:name w:val="Body Text Indent 3 Char"/>
    <w:basedOn w:val="DefaultParagraphFont"/>
    <w:link w:val="BodyTextIndent3"/>
    <w:rsid w:val="004829E0"/>
    <w:rPr>
      <w:rFonts w:asciiTheme="minorHAnsi" w:eastAsiaTheme="minorHAnsi" w:hAnsiTheme="minorHAnsi" w:cstheme="minorBidi"/>
      <w:sz w:val="16"/>
      <w:szCs w:val="16"/>
    </w:rPr>
  </w:style>
  <w:style w:type="character" w:styleId="BookTitle">
    <w:name w:val="Book Title"/>
    <w:basedOn w:val="DefaultParagraphFont"/>
    <w:rsid w:val="004829E0"/>
    <w:rPr>
      <w:b/>
      <w:bCs/>
      <w:i/>
      <w:iCs/>
      <w:spacing w:val="5"/>
    </w:rPr>
  </w:style>
  <w:style w:type="paragraph" w:customStyle="1" w:styleId="Blank">
    <w:name w:val="Blank"/>
    <w:basedOn w:val="Normal"/>
    <w:rsid w:val="004829E0"/>
    <w:pPr>
      <w:spacing w:before="5120" w:after="0"/>
      <w:jc w:val="center"/>
    </w:pPr>
    <w:rPr>
      <w:b/>
      <w:bCs/>
    </w:rPr>
  </w:style>
  <w:style w:type="paragraph" w:customStyle="1" w:styleId="Byline">
    <w:name w:val="Byline"/>
    <w:basedOn w:val="Normal"/>
    <w:rsid w:val="004829E0"/>
    <w:pPr>
      <w:spacing w:after="0"/>
      <w:jc w:val="right"/>
    </w:pPr>
    <w:rPr>
      <w:rFonts w:asciiTheme="majorHAnsi" w:hAnsiTheme="majorHAnsi"/>
      <w:bCs/>
    </w:rPr>
  </w:style>
  <w:style w:type="paragraph" w:customStyle="1" w:styleId="Callout">
    <w:name w:val="Callout"/>
    <w:basedOn w:val="Normal"/>
    <w:rsid w:val="004829E0"/>
    <w:pPr>
      <w:ind w:left="720" w:right="720"/>
    </w:pPr>
    <w:rPr>
      <w:bCs/>
      <w:color w:val="000000" w:themeColor="text1"/>
    </w:rPr>
  </w:style>
  <w:style w:type="paragraph" w:styleId="Date">
    <w:name w:val="Date"/>
    <w:basedOn w:val="Normal"/>
    <w:next w:val="Normal"/>
    <w:link w:val="DateChar"/>
    <w:rsid w:val="004829E0"/>
    <w:rPr>
      <w:rFonts w:asciiTheme="majorHAnsi" w:hAnsiTheme="majorHAnsi"/>
      <w:b/>
    </w:rPr>
  </w:style>
  <w:style w:type="character" w:customStyle="1" w:styleId="DateChar">
    <w:name w:val="Date Char"/>
    <w:basedOn w:val="DefaultParagraphFont"/>
    <w:link w:val="Date"/>
    <w:rsid w:val="004829E0"/>
    <w:rPr>
      <w:rFonts w:asciiTheme="majorHAnsi" w:eastAsiaTheme="minorHAnsi" w:hAnsiTheme="majorHAnsi" w:cstheme="minorBidi"/>
      <w:b/>
      <w:sz w:val="22"/>
      <w:szCs w:val="22"/>
    </w:rPr>
  </w:style>
  <w:style w:type="paragraph" w:customStyle="1" w:styleId="CoverTitle">
    <w:name w:val="Cover Title"/>
    <w:rsid w:val="004829E0"/>
    <w:pPr>
      <w:spacing w:before="920" w:after="240"/>
      <w:outlineLvl w:val="0"/>
    </w:pPr>
    <w:rPr>
      <w:rFonts w:asciiTheme="majorHAnsi" w:eastAsiaTheme="minorHAnsi" w:hAnsiTheme="majorHAnsi" w:cstheme="minorBidi"/>
      <w:b/>
      <w:bCs/>
      <w:color w:val="FFFFFF" w:themeColor="background1"/>
      <w:spacing w:val="5"/>
      <w:sz w:val="48"/>
      <w:szCs w:val="22"/>
    </w:rPr>
  </w:style>
  <w:style w:type="paragraph" w:customStyle="1" w:styleId="CoverDate">
    <w:name w:val="Cover Date"/>
    <w:rsid w:val="004829E0"/>
    <w:pPr>
      <w:spacing w:before="1200" w:after="240" w:line="264" w:lineRule="auto"/>
    </w:pPr>
    <w:rPr>
      <w:rFonts w:asciiTheme="majorHAnsi" w:eastAsiaTheme="minorHAnsi" w:hAnsiTheme="majorHAnsi" w:cstheme="minorBidi"/>
      <w:b/>
      <w:bCs/>
      <w:color w:val="0B2949" w:themeColor="accent1"/>
      <w:sz w:val="24"/>
      <w:szCs w:val="22"/>
    </w:rPr>
  </w:style>
  <w:style w:type="paragraph" w:styleId="ListNumber3">
    <w:name w:val="List Number 3"/>
    <w:basedOn w:val="Normal"/>
    <w:qFormat/>
    <w:rsid w:val="004829E0"/>
    <w:pPr>
      <w:numPr>
        <w:numId w:val="15"/>
      </w:numPr>
      <w:adjustRightInd w:val="0"/>
      <w:spacing w:after="80"/>
    </w:pPr>
  </w:style>
  <w:style w:type="paragraph" w:styleId="ListNumber4">
    <w:name w:val="List Number 4"/>
    <w:basedOn w:val="Normal"/>
    <w:rsid w:val="004829E0"/>
    <w:pPr>
      <w:numPr>
        <w:numId w:val="16"/>
      </w:numPr>
      <w:contextualSpacing/>
    </w:pPr>
  </w:style>
  <w:style w:type="paragraph" w:customStyle="1" w:styleId="CoverSubtitle">
    <w:name w:val="Cover Subtitle"/>
    <w:rsid w:val="004829E0"/>
    <w:rPr>
      <w:rFonts w:asciiTheme="majorHAnsi" w:eastAsiaTheme="minorHAnsi" w:hAnsiTheme="majorHAnsi" w:cstheme="minorBidi"/>
      <w:color w:val="FFFFFF" w:themeColor="background1"/>
      <w:spacing w:val="5"/>
      <w:sz w:val="36"/>
      <w:szCs w:val="22"/>
    </w:rPr>
  </w:style>
  <w:style w:type="paragraph" w:customStyle="1" w:styleId="CoverText">
    <w:name w:val="Cover Text"/>
    <w:rsid w:val="004829E0"/>
    <w:pPr>
      <w:spacing w:after="300" w:line="276" w:lineRule="auto"/>
      <w:contextualSpacing/>
    </w:pPr>
    <w:rPr>
      <w:rFonts w:asciiTheme="minorHAnsi" w:eastAsiaTheme="minorHAnsi" w:hAnsiTheme="minorHAnsi" w:cstheme="minorBidi"/>
      <w:color w:val="0B2949" w:themeColor="accent1"/>
      <w:sz w:val="22"/>
      <w:szCs w:val="22"/>
    </w:rPr>
  </w:style>
  <w:style w:type="paragraph" w:customStyle="1" w:styleId="CoverHead">
    <w:name w:val="Cover Head"/>
    <w:basedOn w:val="CoverDate"/>
    <w:rsid w:val="004829E0"/>
    <w:pPr>
      <w:spacing w:before="0" w:after="90" w:line="276" w:lineRule="auto"/>
    </w:pPr>
    <w:rPr>
      <w:rFonts w:asciiTheme="minorHAnsi" w:hAnsiTheme="minorHAnsi"/>
      <w:sz w:val="22"/>
    </w:rPr>
  </w:style>
  <w:style w:type="paragraph" w:customStyle="1" w:styleId="CoverAuthor">
    <w:name w:val="Cover Author"/>
    <w:basedOn w:val="CoverDate"/>
    <w:rsid w:val="004829E0"/>
    <w:pPr>
      <w:spacing w:before="240"/>
    </w:pPr>
    <w:rPr>
      <w:b w:val="0"/>
    </w:rPr>
  </w:style>
  <w:style w:type="paragraph" w:styleId="DocumentMap">
    <w:name w:val="Document Map"/>
    <w:basedOn w:val="Normal"/>
    <w:link w:val="DocumentMapChar"/>
    <w:rsid w:val="004829E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4829E0"/>
    <w:rPr>
      <w:rFonts w:ascii="Segoe UI" w:hAnsi="Segoe UI" w:eastAsiaTheme="minorHAnsi" w:cs="Segoe UI"/>
      <w:sz w:val="16"/>
      <w:szCs w:val="16"/>
    </w:rPr>
  </w:style>
  <w:style w:type="character" w:styleId="EndnoteReference">
    <w:name w:val="endnote reference"/>
    <w:basedOn w:val="DefaultParagraphFont"/>
    <w:rsid w:val="004829E0"/>
    <w:rPr>
      <w:vertAlign w:val="superscript"/>
    </w:rPr>
  </w:style>
  <w:style w:type="paragraph" w:customStyle="1" w:styleId="Addressee">
    <w:name w:val="Addressee"/>
    <w:basedOn w:val="Normal"/>
    <w:rsid w:val="004829E0"/>
    <w:pPr>
      <w:tabs>
        <w:tab w:val="left" w:pos="576"/>
      </w:tabs>
      <w:spacing w:before="240"/>
      <w:ind w:left="576" w:hanging="576"/>
    </w:pPr>
  </w:style>
  <w:style w:type="paragraph" w:customStyle="1" w:styleId="PubinfoAuthor">
    <w:name w:val="Pubinfo Author"/>
    <w:basedOn w:val="Pubinfo"/>
    <w:rsid w:val="004829E0"/>
    <w:pPr>
      <w:spacing w:after="0"/>
    </w:pPr>
  </w:style>
  <w:style w:type="paragraph" w:customStyle="1" w:styleId="ExhibitFootnote">
    <w:name w:val="Exhibit Footnote"/>
    <w:basedOn w:val="TableTextLeft"/>
    <w:qFormat/>
    <w:rsid w:val="004829E0"/>
    <w:pPr>
      <w:spacing w:after="60"/>
    </w:pPr>
  </w:style>
  <w:style w:type="paragraph" w:styleId="Closing">
    <w:name w:val="Closing"/>
    <w:basedOn w:val="Normal"/>
    <w:link w:val="ClosingChar"/>
    <w:rsid w:val="004829E0"/>
    <w:pPr>
      <w:spacing w:after="240" w:line="240" w:lineRule="auto"/>
      <w:ind w:left="4320"/>
      <w:contextualSpacing/>
    </w:pPr>
  </w:style>
  <w:style w:type="character" w:customStyle="1" w:styleId="ClosingChar">
    <w:name w:val="Closing Char"/>
    <w:basedOn w:val="DefaultParagraphFont"/>
    <w:link w:val="Closing"/>
    <w:rsid w:val="004829E0"/>
    <w:rPr>
      <w:rFonts w:asciiTheme="minorHAnsi" w:eastAsiaTheme="minorHAnsi" w:hAnsiTheme="minorHAnsi" w:cstheme="minorBidi"/>
      <w:sz w:val="22"/>
      <w:szCs w:val="22"/>
    </w:rPr>
  </w:style>
  <w:style w:type="paragraph" w:customStyle="1" w:styleId="ESH1">
    <w:name w:val="ES H1"/>
    <w:basedOn w:val="H1"/>
    <w:next w:val="ESParagraphContinued"/>
    <w:rsid w:val="004829E0"/>
  </w:style>
  <w:style w:type="paragraph" w:customStyle="1" w:styleId="ESH2">
    <w:name w:val="ES H2"/>
    <w:basedOn w:val="ESH1"/>
    <w:next w:val="ESParagraphContinued"/>
    <w:rsid w:val="004829E0"/>
    <w:pPr>
      <w:outlineLvl w:val="2"/>
    </w:pPr>
    <w:rPr>
      <w:b w:val="0"/>
      <w:sz w:val="24"/>
    </w:rPr>
  </w:style>
  <w:style w:type="paragraph" w:customStyle="1" w:styleId="ESListBullet">
    <w:name w:val="ES List Bullet"/>
    <w:basedOn w:val="ESParagraph"/>
    <w:rsid w:val="004829E0"/>
    <w:pPr>
      <w:numPr>
        <w:numId w:val="18"/>
      </w:numPr>
    </w:pPr>
  </w:style>
  <w:style w:type="paragraph" w:customStyle="1" w:styleId="ESListNumber">
    <w:name w:val="ES List Number"/>
    <w:basedOn w:val="ESParagraph"/>
    <w:rsid w:val="004829E0"/>
    <w:pPr>
      <w:numPr>
        <w:numId w:val="19"/>
      </w:numPr>
    </w:pPr>
  </w:style>
  <w:style w:type="paragraph" w:customStyle="1" w:styleId="ESParagraph">
    <w:name w:val="ES Paragraph"/>
    <w:basedOn w:val="Normal"/>
    <w:rsid w:val="004829E0"/>
    <w:rPr>
      <w:rFonts w:asciiTheme="majorHAnsi" w:hAnsiTheme="majorHAnsi"/>
      <w:color w:val="000000" w:themeColor="text1"/>
    </w:rPr>
  </w:style>
  <w:style w:type="paragraph" w:customStyle="1" w:styleId="ESParagraphContinued">
    <w:name w:val="ES Paragraph Continued"/>
    <w:basedOn w:val="ESParagraph"/>
    <w:next w:val="ESParagraph"/>
    <w:rsid w:val="004829E0"/>
    <w:pPr>
      <w:spacing w:before="160"/>
    </w:pPr>
  </w:style>
  <w:style w:type="paragraph" w:customStyle="1" w:styleId="ExhibitSource">
    <w:name w:val="Exhibit Source"/>
    <w:basedOn w:val="TableTextLeft"/>
    <w:rsid w:val="004829E0"/>
    <w:pPr>
      <w:spacing w:after="60"/>
      <w:ind w:left="792" w:hanging="792"/>
    </w:pPr>
  </w:style>
  <w:style w:type="paragraph" w:customStyle="1" w:styleId="ExhibitSignificance">
    <w:name w:val="Exhibit Significance"/>
    <w:basedOn w:val="TableTextLeft"/>
    <w:rsid w:val="004829E0"/>
    <w:pPr>
      <w:tabs>
        <w:tab w:val="right" w:pos="180"/>
        <w:tab w:val="left" w:pos="270"/>
      </w:tabs>
      <w:spacing w:after="60"/>
      <w:ind w:left="270" w:hanging="270"/>
    </w:pPr>
  </w:style>
  <w:style w:type="paragraph" w:customStyle="1" w:styleId="ExhibitTitle">
    <w:name w:val="Exhibit Title"/>
    <w:basedOn w:val="TableTextLeft"/>
    <w:qFormat/>
    <w:rsid w:val="004829E0"/>
    <w:pPr>
      <w:keepNext/>
      <w:keepLines/>
      <w:spacing w:after="40"/>
    </w:pPr>
    <w:rPr>
      <w:b/>
      <w:sz w:val="20"/>
    </w:rPr>
  </w:style>
  <w:style w:type="paragraph" w:customStyle="1" w:styleId="FAQQuestion">
    <w:name w:val="FAQ Question"/>
    <w:basedOn w:val="H1"/>
    <w:next w:val="ParagraphContinued"/>
    <w:rsid w:val="004829E0"/>
    <w:rPr>
      <w:color w:val="0B2949" w:themeColor="accent1"/>
    </w:rPr>
  </w:style>
  <w:style w:type="paragraph" w:customStyle="1" w:styleId="Feature1">
    <w:name w:val="Feature1"/>
    <w:basedOn w:val="Normal"/>
    <w:rsid w:val="004829E0"/>
    <w:pPr>
      <w:spacing w:after="0"/>
    </w:pPr>
  </w:style>
  <w:style w:type="paragraph" w:customStyle="1" w:styleId="Feature1Title">
    <w:name w:val="Feature1 Title"/>
    <w:basedOn w:val="H1"/>
    <w:next w:val="Feature1"/>
    <w:rsid w:val="004829E0"/>
  </w:style>
  <w:style w:type="paragraph" w:customStyle="1" w:styleId="Feature1ListBullet">
    <w:name w:val="Feature1 List Bullet"/>
    <w:basedOn w:val="Feature1"/>
    <w:rsid w:val="004829E0"/>
  </w:style>
  <w:style w:type="paragraph" w:customStyle="1" w:styleId="Feature1ListNumber">
    <w:name w:val="Feature1 List Number"/>
    <w:basedOn w:val="Feature1"/>
    <w:rsid w:val="004829E0"/>
  </w:style>
  <w:style w:type="paragraph" w:customStyle="1" w:styleId="Feature1Head">
    <w:name w:val="Feature1 Head"/>
    <w:basedOn w:val="Feature1Title"/>
    <w:next w:val="Feature1"/>
    <w:rsid w:val="004829E0"/>
    <w:pPr>
      <w:spacing w:after="80" w:line="240" w:lineRule="auto"/>
      <w:ind w:left="0" w:firstLine="0"/>
      <w:outlineLvl w:val="9"/>
    </w:pPr>
  </w:style>
  <w:style w:type="paragraph" w:customStyle="1" w:styleId="Feature2">
    <w:name w:val="Feature2"/>
    <w:basedOn w:val="Normal"/>
    <w:rsid w:val="004829E0"/>
    <w:pPr>
      <w:spacing w:after="0"/>
    </w:pPr>
  </w:style>
  <w:style w:type="paragraph" w:customStyle="1" w:styleId="Feature2Title">
    <w:name w:val="Feature2 Title"/>
    <w:basedOn w:val="H1"/>
    <w:rsid w:val="004829E0"/>
  </w:style>
  <w:style w:type="paragraph" w:customStyle="1" w:styleId="Feature2Head">
    <w:name w:val="Feature2 Head"/>
    <w:basedOn w:val="Feature2Title"/>
    <w:next w:val="Feature2"/>
    <w:rsid w:val="004829E0"/>
  </w:style>
  <w:style w:type="paragraph" w:customStyle="1" w:styleId="Feature2ListBullet">
    <w:name w:val="Feature2 List Bullet"/>
    <w:basedOn w:val="Feature2"/>
    <w:rsid w:val="004829E0"/>
  </w:style>
  <w:style w:type="paragraph" w:customStyle="1" w:styleId="Feature2ListNumber">
    <w:name w:val="Feature2 List Number"/>
    <w:basedOn w:val="Feature2"/>
    <w:rsid w:val="004829E0"/>
  </w:style>
  <w:style w:type="paragraph" w:customStyle="1" w:styleId="Feature1ListHead">
    <w:name w:val="Feature1 List Head"/>
    <w:basedOn w:val="Feature1"/>
    <w:next w:val="Feature1ListBullet"/>
    <w:rsid w:val="004829E0"/>
    <w:rPr>
      <w:b/>
    </w:rPr>
  </w:style>
  <w:style w:type="paragraph" w:customStyle="1" w:styleId="Feature2ListHead">
    <w:name w:val="Feature2 List Head"/>
    <w:basedOn w:val="Feature2"/>
    <w:next w:val="Feature2ListBullet"/>
    <w:rsid w:val="004829E0"/>
    <w:rPr>
      <w:b/>
    </w:rPr>
  </w:style>
  <w:style w:type="paragraph" w:customStyle="1" w:styleId="FigureTitle">
    <w:name w:val="Figure Title"/>
    <w:basedOn w:val="ExhibitTitle"/>
    <w:qFormat/>
    <w:rsid w:val="004829E0"/>
  </w:style>
  <w:style w:type="paragraph" w:customStyle="1" w:styleId="H2">
    <w:name w:val="H2"/>
    <w:basedOn w:val="H1"/>
    <w:next w:val="ParagraphContinued"/>
    <w:qFormat/>
    <w:rsid w:val="004829E0"/>
    <w:pPr>
      <w:outlineLvl w:val="2"/>
    </w:pPr>
    <w:rPr>
      <w:b w:val="0"/>
      <w:sz w:val="24"/>
    </w:rPr>
  </w:style>
  <w:style w:type="paragraph" w:styleId="IndexHeading">
    <w:name w:val="index heading"/>
    <w:basedOn w:val="Normal"/>
    <w:next w:val="Index1"/>
    <w:rsid w:val="004829E0"/>
    <w:rPr>
      <w:rFonts w:asciiTheme="majorHAnsi" w:eastAsiaTheme="majorEastAsia" w:hAnsiTheme="majorHAnsi" w:cstheme="majorBidi"/>
      <w:b/>
      <w:bCs/>
    </w:rPr>
  </w:style>
  <w:style w:type="paragraph" w:customStyle="1" w:styleId="Introduction">
    <w:name w:val="Introduction"/>
    <w:basedOn w:val="Normal"/>
    <w:rsid w:val="004829E0"/>
    <w:pPr>
      <w:spacing w:after="0"/>
    </w:pPr>
    <w:rPr>
      <w:rFonts w:asciiTheme="majorHAnsi" w:hAnsiTheme="majorHAnsi"/>
      <w:color w:val="000000" w:themeColor="text1"/>
    </w:rPr>
  </w:style>
  <w:style w:type="paragraph" w:styleId="Macro">
    <w:name w:val="macro"/>
    <w:link w:val="MacroTextChar"/>
    <w:rsid w:val="004829E0"/>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rPr>
  </w:style>
  <w:style w:type="character" w:customStyle="1" w:styleId="MacroTextChar">
    <w:name w:val="Macro Text Char"/>
    <w:basedOn w:val="DefaultParagraphFont"/>
    <w:link w:val="Macro"/>
    <w:rsid w:val="004829E0"/>
    <w:rPr>
      <w:rFonts w:ascii="Consolas" w:hAnsi="Consolas" w:eastAsiaTheme="minorHAnsi" w:cstheme="minorBidi"/>
    </w:rPr>
  </w:style>
  <w:style w:type="paragraph" w:customStyle="1" w:styleId="Notes">
    <w:name w:val="Notes"/>
    <w:basedOn w:val="Normal"/>
    <w:rsid w:val="004829E0"/>
    <w:rPr>
      <w:color w:val="046B5C" w:themeColor="text2"/>
    </w:rPr>
  </w:style>
  <w:style w:type="paragraph" w:customStyle="1" w:styleId="Pubinfo">
    <w:name w:val="Pubinfo"/>
    <w:basedOn w:val="Normal"/>
    <w:rsid w:val="004829E0"/>
    <w:rPr>
      <w:b/>
    </w:rPr>
  </w:style>
  <w:style w:type="paragraph" w:customStyle="1" w:styleId="PubinfoCategory">
    <w:name w:val="Pubinfo Category"/>
    <w:basedOn w:val="Pubinfo"/>
    <w:rsid w:val="004829E0"/>
  </w:style>
  <w:style w:type="paragraph" w:customStyle="1" w:styleId="PubinfoDate">
    <w:name w:val="Pubinfo Date"/>
    <w:basedOn w:val="PubinfoCategory"/>
    <w:rsid w:val="004829E0"/>
  </w:style>
  <w:style w:type="paragraph" w:customStyle="1" w:styleId="PubinfoHead">
    <w:name w:val="Pubinfo Head"/>
    <w:basedOn w:val="Pubinfo"/>
    <w:rsid w:val="004829E0"/>
  </w:style>
  <w:style w:type="paragraph" w:customStyle="1" w:styleId="PubinfoList">
    <w:name w:val="Pubinfo List"/>
    <w:basedOn w:val="Pubinfo"/>
    <w:rsid w:val="004829E0"/>
  </w:style>
  <w:style w:type="paragraph" w:customStyle="1" w:styleId="PubinfoNumber">
    <w:name w:val="Pubinfo Number"/>
    <w:basedOn w:val="Pubinfo"/>
    <w:rsid w:val="004829E0"/>
  </w:style>
  <w:style w:type="paragraph" w:styleId="Quote">
    <w:name w:val="Quote"/>
    <w:basedOn w:val="Normal"/>
    <w:link w:val="QuoteChar"/>
    <w:rsid w:val="004829E0"/>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4829E0"/>
    <w:rPr>
      <w:rFonts w:asciiTheme="majorHAnsi" w:eastAsiaTheme="minorHAnsi" w:hAnsiTheme="majorHAnsi" w:cstheme="minorBidi"/>
      <w:i/>
      <w:iCs/>
      <w:color w:val="444D54" w:themeColor="accent3" w:themeShade="BF"/>
      <w:sz w:val="24"/>
      <w:szCs w:val="21"/>
    </w:rPr>
  </w:style>
  <w:style w:type="paragraph" w:customStyle="1" w:styleId="QuoteAttribution">
    <w:name w:val="Quote Attribution"/>
    <w:basedOn w:val="Quote"/>
    <w:rsid w:val="004829E0"/>
    <w:pPr>
      <w:spacing w:before="0" w:after="160"/>
      <w:jc w:val="right"/>
    </w:pPr>
    <w:rPr>
      <w:i w:val="0"/>
      <w:sz w:val="20"/>
    </w:rPr>
  </w:style>
  <w:style w:type="paragraph" w:styleId="Subtitle">
    <w:name w:val="Subtitle"/>
    <w:basedOn w:val="Normal"/>
    <w:next w:val="Normal"/>
    <w:link w:val="SubtitleChar"/>
    <w:rsid w:val="004829E0"/>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4829E0"/>
    <w:rPr>
      <w:rFonts w:asciiTheme="majorHAnsi" w:eastAsiaTheme="minorEastAsia" w:hAnsiTheme="majorHAnsi" w:cstheme="minorBidi"/>
      <w:color w:val="046B5C" w:themeColor="text2"/>
      <w:spacing w:val="15"/>
      <w:sz w:val="36"/>
      <w:szCs w:val="22"/>
    </w:rPr>
  </w:style>
  <w:style w:type="paragraph" w:customStyle="1" w:styleId="SidebarTitle">
    <w:name w:val="Sidebar Title"/>
    <w:basedOn w:val="H1"/>
    <w:next w:val="Sidebar"/>
    <w:rsid w:val="004829E0"/>
    <w:pPr>
      <w:ind w:left="0" w:firstLine="0"/>
    </w:pPr>
    <w:rPr>
      <w:color w:val="0B2949" w:themeColor="accent1"/>
      <w:sz w:val="22"/>
    </w:rPr>
  </w:style>
  <w:style w:type="paragraph" w:customStyle="1" w:styleId="SidebarHead">
    <w:name w:val="Sidebar Head"/>
    <w:basedOn w:val="SidebarTitle"/>
    <w:next w:val="Sidebar"/>
    <w:rsid w:val="004829E0"/>
    <w:pPr>
      <w:spacing w:before="100" w:after="80"/>
    </w:pPr>
  </w:style>
  <w:style w:type="paragraph" w:customStyle="1" w:styleId="TableTextRight">
    <w:name w:val="Table Text Right"/>
    <w:basedOn w:val="TableTextLeft"/>
    <w:rsid w:val="004829E0"/>
    <w:pPr>
      <w:jc w:val="right"/>
    </w:pPr>
  </w:style>
  <w:style w:type="paragraph" w:customStyle="1" w:styleId="TableTextDecimal">
    <w:name w:val="Table Text Decimal"/>
    <w:basedOn w:val="TableTextLeft"/>
    <w:rsid w:val="004829E0"/>
    <w:pPr>
      <w:tabs>
        <w:tab w:val="decimal" w:pos="576"/>
      </w:tabs>
    </w:pPr>
  </w:style>
  <w:style w:type="paragraph" w:customStyle="1" w:styleId="TableRowHead">
    <w:name w:val="Table Row Head"/>
    <w:basedOn w:val="TableTextLeft"/>
    <w:rsid w:val="004829E0"/>
    <w:pPr>
      <w:keepNext/>
    </w:pPr>
    <w:rPr>
      <w:b/>
      <w:color w:val="auto"/>
    </w:rPr>
  </w:style>
  <w:style w:type="paragraph" w:customStyle="1" w:styleId="TableListNumber">
    <w:name w:val="Table List Number"/>
    <w:basedOn w:val="TableTextLeft"/>
    <w:qFormat/>
    <w:rsid w:val="004829E0"/>
    <w:pPr>
      <w:numPr>
        <w:numId w:val="20"/>
      </w:numPr>
    </w:pPr>
  </w:style>
  <w:style w:type="paragraph" w:customStyle="1" w:styleId="TableListBullet">
    <w:name w:val="Table List Bullet"/>
    <w:basedOn w:val="TableTextLeft"/>
    <w:qFormat/>
    <w:rsid w:val="004829E0"/>
    <w:pPr>
      <w:numPr>
        <w:numId w:val="21"/>
      </w:numPr>
    </w:pPr>
  </w:style>
  <w:style w:type="paragraph" w:customStyle="1" w:styleId="TableHeaderCenter">
    <w:name w:val="Table Header Center"/>
    <w:basedOn w:val="TableTextLeft"/>
    <w:rsid w:val="004829E0"/>
    <w:pPr>
      <w:keepNext/>
      <w:jc w:val="center"/>
    </w:pPr>
    <w:rPr>
      <w:color w:val="FFFFFF" w:themeColor="background1"/>
    </w:rPr>
  </w:style>
  <w:style w:type="paragraph" w:customStyle="1" w:styleId="TableHeaderLeft">
    <w:name w:val="Table Header Left"/>
    <w:basedOn w:val="TableTextLeft"/>
    <w:qFormat/>
    <w:rsid w:val="004829E0"/>
    <w:pPr>
      <w:keepNext/>
    </w:pPr>
    <w:rPr>
      <w:color w:val="FFFFFF" w:themeColor="background1"/>
    </w:rPr>
  </w:style>
  <w:style w:type="paragraph" w:customStyle="1" w:styleId="TableTitle">
    <w:name w:val="Table Title"/>
    <w:basedOn w:val="ExhibitTitle"/>
    <w:qFormat/>
    <w:rsid w:val="004829E0"/>
  </w:style>
  <w:style w:type="paragraph" w:customStyle="1" w:styleId="TableTextCentered">
    <w:name w:val="Table Text Centered"/>
    <w:basedOn w:val="TableTextLeft"/>
    <w:rsid w:val="004829E0"/>
    <w:pPr>
      <w:jc w:val="center"/>
    </w:pPr>
  </w:style>
  <w:style w:type="paragraph" w:styleId="TOCHeading">
    <w:name w:val="TOC Heading"/>
    <w:next w:val="TOC1"/>
    <w:rsid w:val="004829E0"/>
    <w:pPr>
      <w:spacing w:after="240" w:line="264" w:lineRule="auto"/>
    </w:pPr>
    <w:rPr>
      <w:rFonts w:asciiTheme="majorHAnsi" w:eastAsiaTheme="minorHAnsi" w:hAnsiTheme="majorHAnsi" w:cstheme="minorBidi"/>
      <w:b/>
      <w:sz w:val="28"/>
      <w:szCs w:val="22"/>
    </w:rPr>
  </w:style>
  <w:style w:type="paragraph" w:styleId="List2">
    <w:name w:val="List 2"/>
    <w:basedOn w:val="Normal"/>
    <w:rsid w:val="004829E0"/>
    <w:pPr>
      <w:numPr>
        <w:ilvl w:val="1"/>
        <w:numId w:val="9"/>
      </w:numPr>
      <w:contextualSpacing/>
    </w:pPr>
  </w:style>
  <w:style w:type="paragraph" w:styleId="List3">
    <w:name w:val="List 3"/>
    <w:basedOn w:val="Normal"/>
    <w:rsid w:val="004829E0"/>
    <w:pPr>
      <w:numPr>
        <w:ilvl w:val="2"/>
        <w:numId w:val="9"/>
      </w:numPr>
      <w:contextualSpacing/>
    </w:pPr>
  </w:style>
  <w:style w:type="paragraph" w:customStyle="1" w:styleId="ListAlpha">
    <w:name w:val="List Alpha"/>
    <w:basedOn w:val="List"/>
    <w:qFormat/>
    <w:rsid w:val="004829E0"/>
    <w:pPr>
      <w:numPr>
        <w:numId w:val="27"/>
      </w:numPr>
    </w:pPr>
  </w:style>
  <w:style w:type="paragraph" w:customStyle="1" w:styleId="ListAlpha2">
    <w:name w:val="List Alpha 2"/>
    <w:basedOn w:val="List2"/>
    <w:qFormat/>
    <w:rsid w:val="004829E0"/>
    <w:pPr>
      <w:numPr>
        <w:ilvl w:val="0"/>
        <w:numId w:val="28"/>
      </w:numPr>
      <w:spacing w:after="80"/>
      <w:contextualSpacing w:val="0"/>
    </w:pPr>
  </w:style>
  <w:style w:type="paragraph" w:customStyle="1" w:styleId="ListAlpha3">
    <w:name w:val="List Alpha 3"/>
    <w:basedOn w:val="List3"/>
    <w:qFormat/>
    <w:rsid w:val="004829E0"/>
    <w:pPr>
      <w:numPr>
        <w:ilvl w:val="0"/>
        <w:numId w:val="29"/>
      </w:numPr>
      <w:spacing w:after="80"/>
      <w:contextualSpacing w:val="0"/>
    </w:pPr>
  </w:style>
  <w:style w:type="paragraph" w:styleId="List4">
    <w:name w:val="List 4"/>
    <w:basedOn w:val="Normal"/>
    <w:rsid w:val="004829E0"/>
    <w:pPr>
      <w:numPr>
        <w:ilvl w:val="3"/>
        <w:numId w:val="9"/>
      </w:numPr>
      <w:contextualSpacing/>
    </w:pPr>
  </w:style>
  <w:style w:type="paragraph" w:customStyle="1" w:styleId="Outline1">
    <w:name w:val="Outline 1"/>
    <w:basedOn w:val="List"/>
    <w:rsid w:val="004829E0"/>
    <w:pPr>
      <w:numPr>
        <w:numId w:val="0"/>
      </w:numPr>
      <w:spacing w:after="0"/>
    </w:pPr>
  </w:style>
  <w:style w:type="paragraph" w:customStyle="1" w:styleId="Outline2">
    <w:name w:val="Outline 2"/>
    <w:basedOn w:val="List2"/>
    <w:rsid w:val="004829E0"/>
    <w:pPr>
      <w:numPr>
        <w:numId w:val="23"/>
      </w:numPr>
      <w:spacing w:after="0"/>
    </w:pPr>
  </w:style>
  <w:style w:type="paragraph" w:customStyle="1" w:styleId="Outline3">
    <w:name w:val="Outline 3"/>
    <w:basedOn w:val="List3"/>
    <w:rsid w:val="004829E0"/>
    <w:pPr>
      <w:numPr>
        <w:numId w:val="23"/>
      </w:numPr>
      <w:spacing w:after="0"/>
    </w:pPr>
  </w:style>
  <w:style w:type="paragraph" w:customStyle="1" w:styleId="Outline4">
    <w:name w:val="Outline 4"/>
    <w:basedOn w:val="List4"/>
    <w:rsid w:val="004829E0"/>
    <w:pPr>
      <w:numPr>
        <w:ilvl w:val="0"/>
        <w:numId w:val="0"/>
      </w:numPr>
      <w:spacing w:after="0"/>
      <w:ind w:left="1440" w:hanging="360"/>
    </w:pPr>
  </w:style>
  <w:style w:type="character" w:customStyle="1" w:styleId="BoldItalic">
    <w:name w:val="Bold Italic"/>
    <w:basedOn w:val="DefaultParagraphFont"/>
    <w:rsid w:val="004829E0"/>
    <w:rPr>
      <w:b/>
      <w:i/>
    </w:rPr>
  </w:style>
  <w:style w:type="character" w:customStyle="1" w:styleId="BoldUnderline">
    <w:name w:val="Bold Underline"/>
    <w:basedOn w:val="DefaultParagraphFont"/>
    <w:rsid w:val="004829E0"/>
    <w:rPr>
      <w:b/>
      <w:u w:val="single"/>
    </w:rPr>
  </w:style>
  <w:style w:type="character" w:customStyle="1" w:styleId="Default">
    <w:name w:val="Default"/>
    <w:basedOn w:val="DefaultParagraphFont"/>
    <w:rsid w:val="004829E0"/>
  </w:style>
  <w:style w:type="character" w:customStyle="1" w:styleId="HighlightBlue">
    <w:name w:val="Highlight Blue"/>
    <w:basedOn w:val="DefaultParagraphFont"/>
    <w:rsid w:val="004829E0"/>
    <w:rPr>
      <w:bdr w:val="none" w:sz="0" w:space="0" w:color="auto"/>
      <w:shd w:val="clear" w:color="auto" w:fill="D9E8F9" w:themeFill="accent1" w:themeFillTint="1A"/>
    </w:rPr>
  </w:style>
  <w:style w:type="character" w:customStyle="1" w:styleId="HighlightYellow">
    <w:name w:val="Highlight Yellow"/>
    <w:basedOn w:val="DefaultParagraphFont"/>
    <w:rsid w:val="004829E0"/>
    <w:rPr>
      <w:bdr w:val="none" w:sz="0" w:space="0" w:color="auto"/>
      <w:shd w:val="clear" w:color="auto" w:fill="FCF0D1" w:themeFill="accent4" w:themeFillTint="33"/>
    </w:rPr>
  </w:style>
  <w:style w:type="character" w:customStyle="1" w:styleId="TableTextTight">
    <w:name w:val="Table Text Tight"/>
    <w:basedOn w:val="DefaultParagraphFont"/>
    <w:rsid w:val="004829E0"/>
    <w:rPr>
      <w:sz w:val="16"/>
    </w:rPr>
  </w:style>
  <w:style w:type="character" w:customStyle="1" w:styleId="TitleSubtitle">
    <w:name w:val="Title_Subtitle"/>
    <w:basedOn w:val="DefaultParagraphFont"/>
    <w:rsid w:val="004829E0"/>
    <w:rPr>
      <w:b/>
    </w:rPr>
  </w:style>
  <w:style w:type="table" w:customStyle="1" w:styleId="AlternateTable">
    <w:name w:val="Alternate Table"/>
    <w:basedOn w:val="TableNormal"/>
    <w:rsid w:val="004829E0"/>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rsid w:val="004829E0"/>
    <w:rPr>
      <w:color w:val="808080"/>
    </w:rPr>
  </w:style>
  <w:style w:type="paragraph" w:customStyle="1" w:styleId="TableTextDecimalWide">
    <w:name w:val="Table Text Decimal Wide"/>
    <w:basedOn w:val="TableTextDecimal"/>
    <w:rsid w:val="004829E0"/>
    <w:pPr>
      <w:tabs>
        <w:tab w:val="clear" w:pos="576"/>
        <w:tab w:val="decimal" w:pos="864"/>
      </w:tabs>
    </w:pPr>
  </w:style>
  <w:style w:type="paragraph" w:customStyle="1" w:styleId="TableTextDecimalNarrow">
    <w:name w:val="Table Text Decimal Narrow"/>
    <w:basedOn w:val="TableTextDecimalWide"/>
    <w:rsid w:val="004829E0"/>
    <w:pPr>
      <w:tabs>
        <w:tab w:val="decimal" w:pos="360"/>
        <w:tab w:val="clear" w:pos="864"/>
      </w:tabs>
    </w:pPr>
  </w:style>
  <w:style w:type="paragraph" w:styleId="ListBullet4">
    <w:name w:val="List Bullet 4"/>
    <w:basedOn w:val="Normal"/>
    <w:rsid w:val="004829E0"/>
    <w:pPr>
      <w:numPr>
        <w:numId w:val="12"/>
      </w:numPr>
      <w:contextualSpacing/>
    </w:pPr>
  </w:style>
  <w:style w:type="paragraph" w:customStyle="1" w:styleId="TitleRule">
    <w:name w:val="Title Rule"/>
    <w:basedOn w:val="Normal"/>
    <w:rsid w:val="004829E0"/>
    <w:pPr>
      <w:keepNext/>
      <w:spacing w:before="240" w:after="80"/>
    </w:pPr>
  </w:style>
  <w:style w:type="paragraph" w:styleId="ListBullet5">
    <w:name w:val="List Bullet 5"/>
    <w:basedOn w:val="Normal"/>
    <w:qFormat/>
    <w:rsid w:val="004829E0"/>
    <w:pPr>
      <w:numPr>
        <w:numId w:val="13"/>
      </w:numPr>
      <w:contextualSpacing/>
    </w:pPr>
  </w:style>
  <w:style w:type="paragraph" w:styleId="ListNumber5">
    <w:name w:val="List Number 5"/>
    <w:basedOn w:val="Normal"/>
    <w:rsid w:val="004829E0"/>
    <w:pPr>
      <w:numPr>
        <w:numId w:val="17"/>
      </w:numPr>
      <w:contextualSpacing/>
    </w:pPr>
  </w:style>
  <w:style w:type="paragraph" w:customStyle="1" w:styleId="Sidebar">
    <w:name w:val="Sidebar"/>
    <w:basedOn w:val="Normal"/>
    <w:rsid w:val="004829E0"/>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rsid w:val="004829E0"/>
    <w:pPr>
      <w:numPr>
        <w:numId w:val="26"/>
      </w:numPr>
    </w:pPr>
  </w:style>
  <w:style w:type="paragraph" w:customStyle="1" w:styleId="SidebarListNumber">
    <w:name w:val="Sidebar List Number"/>
    <w:basedOn w:val="Sidebar"/>
    <w:rsid w:val="004829E0"/>
    <w:pPr>
      <w:numPr>
        <w:numId w:val="32"/>
      </w:numPr>
      <w:adjustRightInd w:val="0"/>
      <w:spacing w:line="264" w:lineRule="auto"/>
    </w:pPr>
  </w:style>
  <w:style w:type="paragraph" w:customStyle="1" w:styleId="TableListBullet2">
    <w:name w:val="Table List Bullet 2"/>
    <w:basedOn w:val="TableListBullet"/>
    <w:qFormat/>
    <w:rsid w:val="004829E0"/>
    <w:pPr>
      <w:numPr>
        <w:numId w:val="24"/>
      </w:numPr>
    </w:pPr>
  </w:style>
  <w:style w:type="character" w:customStyle="1" w:styleId="Heading3Char">
    <w:name w:val="Heading 3 Char"/>
    <w:basedOn w:val="DefaultParagraphFont"/>
    <w:link w:val="Heading3"/>
    <w:rsid w:val="004829E0"/>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4829E0"/>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rsid w:val="004829E0"/>
    <w:rPr>
      <w:rFonts w:asciiTheme="majorHAnsi" w:eastAsiaTheme="majorEastAsia" w:hAnsiTheme="majorHAnsi" w:cstheme="majorBidi"/>
      <w:color w:val="081E36" w:themeColor="accent1" w:themeShade="BF"/>
      <w:sz w:val="22"/>
      <w:szCs w:val="22"/>
    </w:rPr>
  </w:style>
  <w:style w:type="character" w:customStyle="1" w:styleId="Heading8Char">
    <w:name w:val="Heading 8 Char"/>
    <w:basedOn w:val="DefaultParagraphFont"/>
    <w:link w:val="Heading8"/>
    <w:rsid w:val="004829E0"/>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rsid w:val="004829E0"/>
    <w:pPr>
      <w:numPr>
        <w:numId w:val="25"/>
      </w:numPr>
    </w:pPr>
  </w:style>
  <w:style w:type="paragraph" w:styleId="ListContinue3">
    <w:name w:val="List Continue 3"/>
    <w:basedOn w:val="Normal"/>
    <w:qFormat/>
    <w:rsid w:val="004829E0"/>
    <w:pPr>
      <w:spacing w:after="80"/>
      <w:ind w:left="1080"/>
    </w:pPr>
  </w:style>
  <w:style w:type="paragraph" w:styleId="List5">
    <w:name w:val="List 5"/>
    <w:basedOn w:val="Normal"/>
    <w:rsid w:val="004829E0"/>
    <w:pPr>
      <w:numPr>
        <w:ilvl w:val="4"/>
        <w:numId w:val="9"/>
      </w:numPr>
      <w:contextualSpacing/>
    </w:pPr>
  </w:style>
  <w:style w:type="character" w:customStyle="1" w:styleId="H1Char">
    <w:name w:val="H1 Char"/>
    <w:basedOn w:val="DefaultParagraphFont"/>
    <w:link w:val="H1"/>
    <w:rsid w:val="004829E0"/>
    <w:rPr>
      <w:rFonts w:asciiTheme="majorHAnsi" w:eastAsiaTheme="majorEastAsia" w:hAnsiTheme="majorHAnsi" w:cstheme="majorBidi"/>
      <w:b/>
      <w:color w:val="046B5C" w:themeColor="text2"/>
      <w:sz w:val="28"/>
      <w:szCs w:val="32"/>
    </w:rPr>
  </w:style>
  <w:style w:type="paragraph" w:customStyle="1" w:styleId="ListHead">
    <w:name w:val="List Head"/>
    <w:basedOn w:val="Paragraph"/>
    <w:rsid w:val="004829E0"/>
    <w:pPr>
      <w:spacing w:before="240" w:after="0"/>
    </w:pPr>
    <w:rPr>
      <w:b/>
    </w:rPr>
  </w:style>
  <w:style w:type="character" w:customStyle="1" w:styleId="Bold">
    <w:name w:val="Bold"/>
    <w:basedOn w:val="DefaultParagraphFont"/>
    <w:rsid w:val="004829E0"/>
    <w:rPr>
      <w:b/>
    </w:rPr>
  </w:style>
  <w:style w:type="character" w:customStyle="1" w:styleId="Italic">
    <w:name w:val="Italic"/>
    <w:basedOn w:val="DefaultParagraphFont"/>
    <w:rsid w:val="004829E0"/>
    <w:rPr>
      <w:i/>
    </w:rPr>
  </w:style>
  <w:style w:type="paragraph" w:customStyle="1" w:styleId="mathematicaorg">
    <w:name w:val="mathematica.org"/>
    <w:link w:val="mathematicaorgChar"/>
    <w:rsid w:val="004829E0"/>
    <w:pPr>
      <w:jc w:val="right"/>
    </w:pPr>
    <w:rPr>
      <w:rFonts w:asciiTheme="majorHAnsi" w:hAnsiTheme="majorHAnsi"/>
      <w:noProof/>
      <w:spacing w:val="-2"/>
      <w:sz w:val="18"/>
      <w:szCs w:val="19"/>
    </w:rPr>
  </w:style>
  <w:style w:type="table" w:customStyle="1" w:styleId="CoverTable">
    <w:name w:val="Cover Table"/>
    <w:basedOn w:val="TableNormal"/>
    <w:rsid w:val="004829E0"/>
    <w:rPr>
      <w:rFonts w:asciiTheme="minorHAnsi" w:eastAsiaTheme="minorEastAsia" w:hAnsiTheme="minorHAnsi" w:cstheme="minorBidi"/>
      <w:sz w:val="22"/>
      <w:szCs w:val="24"/>
    </w:rPr>
    <w:tblPr/>
    <w:tcPr>
      <w:noWrap/>
      <w:tcMar>
        <w:left w:w="0" w:type="dxa"/>
        <w:right w:w="0" w:type="dxa"/>
      </w:tcMar>
    </w:tcPr>
  </w:style>
  <w:style w:type="paragraph" w:customStyle="1" w:styleId="CoverRFP">
    <w:name w:val="Cover RFP"/>
    <w:basedOn w:val="CoverDate"/>
    <w:rsid w:val="004829E0"/>
    <w:pPr>
      <w:spacing w:before="3000" w:line="252" w:lineRule="auto"/>
    </w:pPr>
    <w:rPr>
      <w:rFonts w:eastAsia="Times New Roman" w:cs="Times New Roman"/>
      <w:bCs w:val="0"/>
      <w:spacing w:val="2"/>
      <w:szCs w:val="20"/>
    </w:rPr>
  </w:style>
  <w:style w:type="numbering" w:customStyle="1" w:styleId="Feature20">
    <w:name w:val="Feature 2"/>
    <w:semiHidden/>
    <w:rsid w:val="004829E0"/>
    <w:pPr>
      <w:numPr>
        <w:numId w:val="4"/>
      </w:numPr>
    </w:pPr>
  </w:style>
  <w:style w:type="paragraph" w:customStyle="1" w:styleId="Covertextborder">
    <w:name w:val="Cover text border"/>
    <w:rsid w:val="004829E0"/>
    <w:pPr>
      <w:pBdr>
        <w:bottom w:val="single" w:sz="36" w:space="1" w:color="F1B51C" w:themeColor="accent4"/>
      </w:pBdr>
      <w:spacing w:before="120" w:after="240"/>
      <w:ind w:right="6480"/>
    </w:pPr>
    <w:rPr>
      <w:rFonts w:ascii="Arial" w:hAnsi="Arial" w:eastAsiaTheme="minorHAnsi" w:cs="Arial"/>
      <w:color w:val="0B2949" w:themeColor="accent1"/>
      <w:spacing w:val="2"/>
      <w:sz w:val="8"/>
      <w:szCs w:val="4"/>
    </w:rPr>
  </w:style>
  <w:style w:type="paragraph" w:customStyle="1" w:styleId="CoverRFPNumber">
    <w:name w:val="Cover RFP Number"/>
    <w:rsid w:val="004829E0"/>
    <w:pPr>
      <w:widowControl w:val="0"/>
      <w:spacing w:before="1600" w:line="252" w:lineRule="auto"/>
    </w:pPr>
    <w:rPr>
      <w:rFonts w:ascii="Arial" w:hAnsi="Arial" w:eastAsiaTheme="minorHAnsi" w:cs="Arial"/>
      <w:b/>
      <w:color w:val="0B2949" w:themeColor="accent1"/>
      <w:spacing w:val="2"/>
      <w:sz w:val="24"/>
      <w:szCs w:val="24"/>
    </w:rPr>
  </w:style>
  <w:style w:type="paragraph" w:customStyle="1" w:styleId="CoverProposalVolume">
    <w:name w:val="Cover Proposal Volume"/>
    <w:rsid w:val="004829E0"/>
    <w:pPr>
      <w:spacing w:line="252" w:lineRule="auto"/>
    </w:pPr>
    <w:rPr>
      <w:rFonts w:ascii="Arial" w:hAnsi="Arial" w:eastAsiaTheme="minorHAnsi" w:cs="Arial"/>
      <w:b/>
      <w:color w:val="0B2949" w:themeColor="accent1"/>
      <w:spacing w:val="2"/>
      <w:sz w:val="24"/>
      <w:szCs w:val="24"/>
    </w:rPr>
  </w:style>
  <w:style w:type="paragraph" w:customStyle="1" w:styleId="Reference">
    <w:name w:val="Reference"/>
    <w:basedOn w:val="ListContinue"/>
    <w:rsid w:val="004829E0"/>
    <w:pPr>
      <w:keepLines/>
      <w:ind w:hanging="360"/>
    </w:pPr>
  </w:style>
  <w:style w:type="paragraph" w:customStyle="1" w:styleId="Disclaimer">
    <w:name w:val="Disclaimer"/>
    <w:basedOn w:val="Footer"/>
    <w:rsid w:val="004829E0"/>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rsid w:val="004829E0"/>
    <w:rPr>
      <w:vertAlign w:val="subscript"/>
    </w:rPr>
  </w:style>
  <w:style w:type="paragraph" w:styleId="Salutation">
    <w:name w:val="Salutation"/>
    <w:basedOn w:val="Normal"/>
    <w:next w:val="Paragraph"/>
    <w:link w:val="SalutationChar"/>
    <w:rsid w:val="004829E0"/>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829E0"/>
    <w:rPr>
      <w:rFonts w:asciiTheme="minorHAnsi" w:eastAsiaTheme="minorHAnsi" w:hAnsiTheme="minorHAnsi" w:cstheme="minorBidi"/>
      <w:sz w:val="22"/>
      <w:szCs w:val="22"/>
    </w:rPr>
  </w:style>
  <w:style w:type="numbering" w:styleId="111111">
    <w:name w:val="Outline List 2"/>
    <w:basedOn w:val="NoList"/>
    <w:semiHidden/>
    <w:unhideWhenUsed/>
    <w:rsid w:val="004829E0"/>
    <w:pPr>
      <w:numPr>
        <w:numId w:val="5"/>
      </w:numPr>
    </w:pPr>
  </w:style>
  <w:style w:type="character" w:customStyle="1" w:styleId="Superscript">
    <w:name w:val="Superscript"/>
    <w:basedOn w:val="DefaultParagraphFont"/>
    <w:rsid w:val="004829E0"/>
    <w:rPr>
      <w:vertAlign w:val="superscript"/>
    </w:rPr>
  </w:style>
  <w:style w:type="character" w:customStyle="1" w:styleId="Underline">
    <w:name w:val="Underline"/>
    <w:basedOn w:val="DefaultParagraphFont"/>
    <w:rsid w:val="004829E0"/>
    <w:rPr>
      <w:u w:val="single"/>
    </w:rPr>
  </w:style>
  <w:style w:type="paragraph" w:styleId="EndnoteText">
    <w:name w:val="endnote text"/>
    <w:basedOn w:val="Normal"/>
    <w:link w:val="EndnoteTextChar"/>
    <w:rsid w:val="004829E0"/>
    <w:pPr>
      <w:spacing w:after="0"/>
    </w:pPr>
    <w:rPr>
      <w:sz w:val="20"/>
      <w:szCs w:val="20"/>
    </w:rPr>
  </w:style>
  <w:style w:type="character" w:customStyle="1" w:styleId="EndnoteTextChar">
    <w:name w:val="Endnote Text Char"/>
    <w:basedOn w:val="DefaultParagraphFont"/>
    <w:link w:val="EndnoteText"/>
    <w:rsid w:val="004829E0"/>
    <w:rPr>
      <w:rFonts w:asciiTheme="minorHAnsi" w:eastAsiaTheme="minorHAnsi" w:hAnsiTheme="minorHAnsi" w:cstheme="minorBidi"/>
    </w:rPr>
  </w:style>
  <w:style w:type="numbering" w:styleId="1ai">
    <w:name w:val="Outline List 1"/>
    <w:basedOn w:val="NoList"/>
    <w:semiHidden/>
    <w:unhideWhenUsed/>
    <w:rsid w:val="004829E0"/>
    <w:pPr>
      <w:numPr>
        <w:numId w:val="6"/>
      </w:numPr>
    </w:pPr>
  </w:style>
  <w:style w:type="numbering" w:styleId="ArticleSection">
    <w:name w:val="Outline List 3"/>
    <w:basedOn w:val="NoList"/>
    <w:semiHidden/>
    <w:unhideWhenUsed/>
    <w:rsid w:val="004829E0"/>
    <w:pPr>
      <w:numPr>
        <w:numId w:val="7"/>
      </w:numPr>
    </w:pPr>
  </w:style>
  <w:style w:type="table" w:styleId="ColorfulGrid">
    <w:name w:val="Colorful Grid"/>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829E0"/>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829E0"/>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829E0"/>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829E0"/>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829E0"/>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829E0"/>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829E0"/>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rsid w:val="004829E0"/>
    <w:pPr>
      <w:spacing w:after="0" w:line="240" w:lineRule="auto"/>
    </w:pPr>
  </w:style>
  <w:style w:type="character" w:customStyle="1" w:styleId="E-mailSignatureChar">
    <w:name w:val="E-mail Signature Char"/>
    <w:basedOn w:val="DefaultParagraphFont"/>
    <w:link w:val="E-mailSignature"/>
    <w:rsid w:val="004829E0"/>
    <w:rPr>
      <w:rFonts w:asciiTheme="minorHAnsi" w:eastAsiaTheme="minorHAnsi" w:hAnsiTheme="minorHAnsi" w:cstheme="minorBidi"/>
      <w:sz w:val="22"/>
      <w:szCs w:val="22"/>
    </w:rPr>
  </w:style>
  <w:style w:type="paragraph" w:styleId="EnvelopeAddress">
    <w:name w:val="envelope address"/>
    <w:basedOn w:val="Normal"/>
    <w:rsid w:val="004829E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4829E0"/>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829E0"/>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829E0"/>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829E0"/>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829E0"/>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829E0"/>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829E0"/>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829E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829E0"/>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829E0"/>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829E0"/>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829E0"/>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829E0"/>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829E0"/>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829E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829E0"/>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829E0"/>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829E0"/>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829E0"/>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829E0"/>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829E0"/>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rsid w:val="004829E0"/>
    <w:rPr>
      <w:color w:val="2B579A"/>
      <w:shd w:val="clear" w:color="auto" w:fill="E1DFDD"/>
    </w:rPr>
  </w:style>
  <w:style w:type="character" w:styleId="HTMLAcronym">
    <w:name w:val="HTML Acronym"/>
    <w:basedOn w:val="DefaultParagraphFont"/>
    <w:rsid w:val="004829E0"/>
  </w:style>
  <w:style w:type="paragraph" w:styleId="HTMLAddress">
    <w:name w:val="HTML Address"/>
    <w:basedOn w:val="Normal"/>
    <w:link w:val="HTMLAddressChar"/>
    <w:rsid w:val="004829E0"/>
    <w:pPr>
      <w:spacing w:after="0" w:line="240" w:lineRule="auto"/>
    </w:pPr>
    <w:rPr>
      <w:i/>
      <w:iCs/>
    </w:rPr>
  </w:style>
  <w:style w:type="character" w:customStyle="1" w:styleId="HTMLAddressChar">
    <w:name w:val="HTML Address Char"/>
    <w:basedOn w:val="DefaultParagraphFont"/>
    <w:link w:val="HTMLAddress"/>
    <w:rsid w:val="004829E0"/>
    <w:rPr>
      <w:rFonts w:asciiTheme="minorHAnsi" w:eastAsiaTheme="minorHAnsi" w:hAnsiTheme="minorHAnsi" w:cstheme="minorBidi"/>
      <w:i/>
      <w:iCs/>
      <w:sz w:val="22"/>
      <w:szCs w:val="22"/>
    </w:rPr>
  </w:style>
  <w:style w:type="character" w:styleId="HTMLCite">
    <w:name w:val="HTML Cite"/>
    <w:basedOn w:val="DefaultParagraphFont"/>
    <w:rsid w:val="004829E0"/>
    <w:rPr>
      <w:i/>
      <w:iCs/>
    </w:rPr>
  </w:style>
  <w:style w:type="character" w:styleId="HTMLCode">
    <w:name w:val="HTML Code"/>
    <w:basedOn w:val="DefaultParagraphFont"/>
    <w:rsid w:val="004829E0"/>
    <w:rPr>
      <w:rFonts w:ascii="Consolas" w:hAnsi="Consolas"/>
      <w:sz w:val="20"/>
      <w:szCs w:val="20"/>
    </w:rPr>
  </w:style>
  <w:style w:type="character" w:styleId="HTMLDefinition">
    <w:name w:val="HTML Definition"/>
    <w:basedOn w:val="DefaultParagraphFont"/>
    <w:rsid w:val="004829E0"/>
    <w:rPr>
      <w:i/>
      <w:iCs/>
    </w:rPr>
  </w:style>
  <w:style w:type="character" w:styleId="HTMLKeyboard">
    <w:name w:val="HTML Keyboard"/>
    <w:basedOn w:val="DefaultParagraphFont"/>
    <w:rsid w:val="004829E0"/>
    <w:rPr>
      <w:rFonts w:ascii="Consolas" w:hAnsi="Consolas"/>
      <w:sz w:val="20"/>
      <w:szCs w:val="20"/>
    </w:rPr>
  </w:style>
  <w:style w:type="paragraph" w:styleId="HTMLPreformatted">
    <w:name w:val="HTML Preformatted"/>
    <w:basedOn w:val="Normal"/>
    <w:link w:val="HTMLPreformattedChar"/>
    <w:rsid w:val="004829E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4829E0"/>
    <w:rPr>
      <w:rFonts w:ascii="Consolas" w:hAnsi="Consolas" w:eastAsiaTheme="minorHAnsi" w:cstheme="minorBidi"/>
    </w:rPr>
  </w:style>
  <w:style w:type="character" w:styleId="HTMLSample">
    <w:name w:val="HTML Sample"/>
    <w:basedOn w:val="DefaultParagraphFont"/>
    <w:rsid w:val="004829E0"/>
    <w:rPr>
      <w:rFonts w:ascii="Consolas" w:hAnsi="Consolas"/>
      <w:sz w:val="24"/>
      <w:szCs w:val="24"/>
    </w:rPr>
  </w:style>
  <w:style w:type="character" w:styleId="HTMLTypewriter">
    <w:name w:val="HTML Typewriter"/>
    <w:basedOn w:val="DefaultParagraphFont"/>
    <w:unhideWhenUsed/>
    <w:rsid w:val="004829E0"/>
    <w:rPr>
      <w:rFonts w:ascii="Consolas" w:hAnsi="Consolas"/>
      <w:sz w:val="20"/>
      <w:szCs w:val="20"/>
    </w:rPr>
  </w:style>
  <w:style w:type="character" w:styleId="HTMLVariable">
    <w:name w:val="HTML Variable"/>
    <w:basedOn w:val="DefaultParagraphFont"/>
    <w:unhideWhenUsed/>
    <w:rsid w:val="004829E0"/>
    <w:rPr>
      <w:i/>
      <w:iCs/>
    </w:rPr>
  </w:style>
  <w:style w:type="paragraph" w:styleId="Index4">
    <w:name w:val="index 4"/>
    <w:basedOn w:val="Normal"/>
    <w:next w:val="Normal"/>
    <w:autoRedefine/>
    <w:rsid w:val="004829E0"/>
    <w:pPr>
      <w:spacing w:after="0" w:line="240" w:lineRule="auto"/>
      <w:ind w:left="880" w:hanging="220"/>
    </w:pPr>
  </w:style>
  <w:style w:type="paragraph" w:styleId="Index5">
    <w:name w:val="index 5"/>
    <w:basedOn w:val="Normal"/>
    <w:next w:val="Normal"/>
    <w:autoRedefine/>
    <w:rsid w:val="004829E0"/>
    <w:pPr>
      <w:spacing w:after="0" w:line="240" w:lineRule="auto"/>
      <w:ind w:left="1100" w:hanging="220"/>
    </w:pPr>
  </w:style>
  <w:style w:type="paragraph" w:styleId="Index6">
    <w:name w:val="index 6"/>
    <w:basedOn w:val="Normal"/>
    <w:next w:val="Normal"/>
    <w:autoRedefine/>
    <w:rsid w:val="004829E0"/>
    <w:pPr>
      <w:spacing w:after="0" w:line="240" w:lineRule="auto"/>
      <w:ind w:left="1320" w:hanging="220"/>
    </w:pPr>
  </w:style>
  <w:style w:type="paragraph" w:styleId="Index7">
    <w:name w:val="index 7"/>
    <w:basedOn w:val="Normal"/>
    <w:next w:val="Normal"/>
    <w:autoRedefine/>
    <w:rsid w:val="004829E0"/>
    <w:pPr>
      <w:spacing w:after="0" w:line="240" w:lineRule="auto"/>
      <w:ind w:left="1540" w:hanging="220"/>
    </w:pPr>
  </w:style>
  <w:style w:type="paragraph" w:styleId="Index8">
    <w:name w:val="index 8"/>
    <w:basedOn w:val="Normal"/>
    <w:next w:val="Normal"/>
    <w:autoRedefine/>
    <w:rsid w:val="004829E0"/>
    <w:pPr>
      <w:spacing w:after="0" w:line="240" w:lineRule="auto"/>
      <w:ind w:left="1760" w:hanging="220"/>
    </w:pPr>
  </w:style>
  <w:style w:type="paragraph" w:styleId="Index9">
    <w:name w:val="index 9"/>
    <w:basedOn w:val="Normal"/>
    <w:next w:val="Normal"/>
    <w:autoRedefine/>
    <w:rsid w:val="004829E0"/>
    <w:pPr>
      <w:spacing w:after="0" w:line="240" w:lineRule="auto"/>
      <w:ind w:left="1980" w:hanging="220"/>
    </w:pPr>
  </w:style>
  <w:style w:type="character" w:styleId="IntenseEmphasis">
    <w:name w:val="Intense Emphasis"/>
    <w:basedOn w:val="DefaultParagraphFont"/>
    <w:rsid w:val="004829E0"/>
    <w:rPr>
      <w:i/>
      <w:iCs/>
      <w:color w:val="0B2949" w:themeColor="accent1"/>
    </w:rPr>
  </w:style>
  <w:style w:type="paragraph" w:styleId="IntenseQuote">
    <w:name w:val="Intense Quote"/>
    <w:basedOn w:val="Normal"/>
    <w:next w:val="Normal"/>
    <w:link w:val="IntenseQuoteChar"/>
    <w:rsid w:val="004829E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4829E0"/>
    <w:rPr>
      <w:rFonts w:asciiTheme="minorHAnsi" w:eastAsiaTheme="minorHAnsi" w:hAnsiTheme="minorHAnsi" w:cstheme="minorBidi"/>
      <w:i/>
      <w:iCs/>
      <w:color w:val="0B2949" w:themeColor="accent1"/>
      <w:sz w:val="22"/>
      <w:szCs w:val="22"/>
    </w:rPr>
  </w:style>
  <w:style w:type="character" w:styleId="IntenseReference">
    <w:name w:val="Intense Reference"/>
    <w:basedOn w:val="DefaultParagraphFont"/>
    <w:rsid w:val="004829E0"/>
    <w:rPr>
      <w:b/>
      <w:bCs/>
      <w:smallCaps/>
      <w:color w:val="0B2949" w:themeColor="accent1"/>
      <w:spacing w:val="5"/>
    </w:rPr>
  </w:style>
  <w:style w:type="table" w:styleId="LightGrid">
    <w:name w:val="Light Grid"/>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829E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829E0"/>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829E0"/>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829E0"/>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829E0"/>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829E0"/>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829E0"/>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rsid w:val="004829E0"/>
  </w:style>
  <w:style w:type="paragraph" w:styleId="ListContinue4">
    <w:name w:val="List Continue 4"/>
    <w:basedOn w:val="Normal"/>
    <w:rsid w:val="004829E0"/>
    <w:pPr>
      <w:spacing w:after="120"/>
      <w:ind w:left="1440"/>
      <w:contextualSpacing/>
    </w:pPr>
  </w:style>
  <w:style w:type="paragraph" w:styleId="ListContinue5">
    <w:name w:val="List Continue 5"/>
    <w:basedOn w:val="Normal"/>
    <w:rsid w:val="004829E0"/>
    <w:pPr>
      <w:spacing w:after="120"/>
      <w:ind w:left="1800"/>
      <w:contextualSpacing/>
    </w:pPr>
  </w:style>
  <w:style w:type="table" w:styleId="ListTable1Light">
    <w:name w:val="List Table 1 Light"/>
    <w:basedOn w:val="TableNormal"/>
    <w:rsid w:val="004829E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829E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829E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829E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829E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829E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829E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829E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829E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829E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829E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829E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829E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829E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829E0"/>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829E0"/>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829E0"/>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829E0"/>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829E0"/>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829E0"/>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829E0"/>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829E0"/>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829E0"/>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829E0"/>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829E0"/>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829E0"/>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829E0"/>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829E0"/>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829E0"/>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829E0"/>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829E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rsid w:val="004829E0"/>
    <w:rPr>
      <w:color w:val="2B579A"/>
      <w:shd w:val="clear" w:color="auto" w:fill="E1DFDD"/>
    </w:rPr>
  </w:style>
  <w:style w:type="paragraph" w:styleId="MessageHeader">
    <w:name w:val="Message Header"/>
    <w:basedOn w:val="Normal"/>
    <w:link w:val="MessageHeaderChar"/>
    <w:rsid w:val="004829E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829E0"/>
    <w:rPr>
      <w:rFonts w:asciiTheme="majorHAnsi" w:eastAsiaTheme="majorEastAsia" w:hAnsiTheme="majorHAnsi" w:cstheme="majorBidi"/>
      <w:sz w:val="24"/>
      <w:szCs w:val="24"/>
      <w:shd w:val="pct20" w:color="auto" w:fill="auto"/>
    </w:rPr>
  </w:style>
  <w:style w:type="paragraph" w:styleId="NormalIndent">
    <w:name w:val="Normal Indent"/>
    <w:basedOn w:val="Normal"/>
    <w:rsid w:val="004829E0"/>
    <w:pPr>
      <w:ind w:left="720"/>
    </w:pPr>
  </w:style>
  <w:style w:type="table" w:styleId="PlainTable1">
    <w:name w:val="Plain Table 1"/>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829E0"/>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829E0"/>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829E0"/>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829E0"/>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4829E0"/>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4829E0"/>
    <w:rPr>
      <w:rFonts w:ascii="Consolas" w:hAnsi="Consolas" w:eastAsiaTheme="minorHAnsi" w:cstheme="minorBidi"/>
      <w:sz w:val="21"/>
      <w:szCs w:val="21"/>
    </w:rPr>
  </w:style>
  <w:style w:type="paragraph" w:styleId="Signature">
    <w:name w:val="Signature"/>
    <w:basedOn w:val="Normal"/>
    <w:link w:val="SignatureChar"/>
    <w:rsid w:val="004829E0"/>
    <w:pPr>
      <w:spacing w:after="0" w:line="240" w:lineRule="auto"/>
      <w:ind w:left="4320"/>
    </w:pPr>
  </w:style>
  <w:style w:type="character" w:customStyle="1" w:styleId="SignatureChar">
    <w:name w:val="Signature Char"/>
    <w:basedOn w:val="DefaultParagraphFont"/>
    <w:link w:val="Signature"/>
    <w:rsid w:val="004829E0"/>
    <w:rPr>
      <w:rFonts w:asciiTheme="minorHAnsi" w:eastAsiaTheme="minorHAnsi" w:hAnsiTheme="minorHAnsi" w:cstheme="minorBidi"/>
      <w:sz w:val="22"/>
      <w:szCs w:val="22"/>
    </w:rPr>
  </w:style>
  <w:style w:type="character" w:styleId="SmartHyperlink">
    <w:name w:val="Smart Hyperlink"/>
    <w:basedOn w:val="DefaultParagraphFont"/>
    <w:rsid w:val="004829E0"/>
    <w:rPr>
      <w:u w:val="dotted"/>
    </w:rPr>
  </w:style>
  <w:style w:type="character" w:styleId="Strong">
    <w:name w:val="Strong"/>
    <w:basedOn w:val="DefaultParagraphFont"/>
    <w:rsid w:val="004829E0"/>
    <w:rPr>
      <w:b/>
      <w:bCs/>
    </w:rPr>
  </w:style>
  <w:style w:type="character" w:styleId="SubtleEmphasis">
    <w:name w:val="Subtle Emphasis"/>
    <w:basedOn w:val="DefaultParagraphFont"/>
    <w:rsid w:val="004829E0"/>
    <w:rPr>
      <w:i/>
      <w:iCs/>
      <w:color w:val="404040" w:themeColor="text1" w:themeTint="BF"/>
    </w:rPr>
  </w:style>
  <w:style w:type="character" w:styleId="SubtleReference">
    <w:name w:val="Subtle Reference"/>
    <w:basedOn w:val="DefaultParagraphFont"/>
    <w:rsid w:val="004829E0"/>
    <w:rPr>
      <w:smallCaps/>
      <w:color w:val="5A5A5A" w:themeColor="text1" w:themeTint="A5"/>
    </w:rPr>
  </w:style>
  <w:style w:type="table" w:styleId="Table3Deffects1">
    <w:name w:val="Table 3D effects 1"/>
    <w:basedOn w:val="TableNormal"/>
    <w:unhideWhenUsed/>
    <w:rsid w:val="004829E0"/>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829E0"/>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829E0"/>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829E0"/>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829E0"/>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829E0"/>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829E0"/>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829E0"/>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829E0"/>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829E0"/>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829E0"/>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829E0"/>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829E0"/>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829E0"/>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829E0"/>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829E0"/>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4829E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829E0"/>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829E0"/>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829E0"/>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829E0"/>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829E0"/>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829E0"/>
    <w:pPr>
      <w:spacing w:after="0"/>
      <w:ind w:left="220" w:hanging="220"/>
    </w:pPr>
  </w:style>
  <w:style w:type="paragraph" w:styleId="TableofFigures">
    <w:name w:val="table of figures"/>
    <w:basedOn w:val="Normal"/>
    <w:next w:val="Normal"/>
    <w:rsid w:val="004829E0"/>
    <w:pPr>
      <w:spacing w:after="0"/>
    </w:pPr>
  </w:style>
  <w:style w:type="table" w:styleId="TableProfessional">
    <w:name w:val="Table Professional"/>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829E0"/>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829E0"/>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829E0"/>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829E0"/>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829E0"/>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829E0"/>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829E0"/>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4829E0"/>
    <w:pPr>
      <w:spacing w:before="120"/>
    </w:pPr>
    <w:rPr>
      <w:rFonts w:asciiTheme="majorHAnsi" w:eastAsiaTheme="majorEastAsia" w:hAnsiTheme="majorHAnsi" w:cstheme="majorBidi"/>
      <w:b/>
      <w:bCs/>
      <w:sz w:val="24"/>
      <w:szCs w:val="24"/>
    </w:rPr>
  </w:style>
  <w:style w:type="character" w:styleId="SmartLink">
    <w:name w:val="Smart Link"/>
    <w:basedOn w:val="DefaultParagraphFont"/>
    <w:unhideWhenUsed/>
    <w:rsid w:val="004829E0"/>
    <w:rPr>
      <w:color w:val="0563C1" w:themeColor="hyperlink"/>
      <w:u w:val="single"/>
      <w:shd w:val="clear" w:color="auto" w:fill="E1DFDD"/>
    </w:rPr>
  </w:style>
  <w:style w:type="character" w:customStyle="1" w:styleId="SmartLinkError">
    <w:name w:val="Smart Link Error"/>
    <w:basedOn w:val="DefaultParagraphFont"/>
    <w:unhideWhenUsed/>
    <w:rsid w:val="004829E0"/>
    <w:rPr>
      <w:color w:val="FF0000"/>
    </w:rPr>
  </w:style>
  <w:style w:type="paragraph" w:customStyle="1" w:styleId="FootnoteSep">
    <w:name w:val="Footnote Sep"/>
    <w:basedOn w:val="Normal"/>
    <w:rsid w:val="004829E0"/>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rsid w:val="004829E0"/>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rsid w:val="004829E0"/>
    <w:pPr>
      <w:spacing w:line="252" w:lineRule="auto"/>
      <w:ind w:left="-720"/>
    </w:pPr>
    <w:rPr>
      <w:b/>
      <w:bCs w:val="0"/>
      <w:smallCaps/>
    </w:rPr>
  </w:style>
  <w:style w:type="table" w:customStyle="1" w:styleId="SidebarDots">
    <w:name w:val="Sidebar Dots"/>
    <w:basedOn w:val="TableNormal"/>
    <w:rsid w:val="004829E0"/>
    <w:rPr>
      <w:rFonts w:asciiTheme="majorHAnsi" w:eastAsiaTheme="minorHAnsi" w:hAnsiTheme="majorHAnsi" w:cstheme="minorBidi"/>
      <w:szCs w:val="22"/>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4829E0"/>
    <w:pPr>
      <w:ind w:left="216"/>
    </w:pPr>
  </w:style>
  <w:style w:type="paragraph" w:customStyle="1" w:styleId="TableTextIndent2">
    <w:name w:val="Table Text Indent 2"/>
    <w:basedOn w:val="TableTextLeft"/>
    <w:rsid w:val="004829E0"/>
    <w:pPr>
      <w:ind w:left="432"/>
    </w:pPr>
  </w:style>
  <w:style w:type="table" w:customStyle="1" w:styleId="BaseTable">
    <w:name w:val="Base Table"/>
    <w:basedOn w:val="TableNormal"/>
    <w:rsid w:val="004829E0"/>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829E0"/>
    <w:rPr>
      <w:rFonts w:asciiTheme="majorHAnsi" w:hAnsiTheme="majorHAnsi"/>
      <w:noProof/>
      <w:spacing w:val="-2"/>
      <w:sz w:val="18"/>
      <w:szCs w:val="19"/>
    </w:rPr>
  </w:style>
  <w:style w:type="paragraph" w:customStyle="1" w:styleId="Title2">
    <w:name w:val="Title 2"/>
    <w:basedOn w:val="Title"/>
    <w:rsid w:val="004829E0"/>
    <w:pPr>
      <w:spacing w:before="1080"/>
    </w:pPr>
    <w:rPr>
      <w:b/>
    </w:rPr>
  </w:style>
  <w:style w:type="table" w:customStyle="1" w:styleId="MathUVerticals">
    <w:name w:val="MathU Verticals"/>
    <w:basedOn w:val="TableNormal"/>
    <w:rsid w:val="00731D17"/>
    <w:pPr>
      <w:spacing w:before="40" w:after="20"/>
    </w:pPr>
    <w:rPr>
      <w:rFonts w:ascii="Arial" w:hAnsi="Arial"/>
      <w:sz w:val="18"/>
      <w:szCs w:val="22"/>
    </w:rPr>
    <w:tblPr>
      <w:tblBorders>
        <w:bottom w:val="single" w:sz="4" w:space="0" w:color="046B5C"/>
        <w:insideH w:val="single" w:sz="4" w:space="0" w:color="5B6771"/>
        <w:insideV w:val="single" w:sz="4" w:space="0" w:color="5B6771"/>
      </w:tblBorders>
      <w:tblCellMar>
        <w:left w:w="58" w:type="dxa"/>
        <w:right w:w="58" w:type="dxa"/>
      </w:tblCellMar>
    </w:tbl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CBD5F-BC1C-43A9-A024-64242722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16</Pages>
  <Words>8261</Words>
  <Characters>45662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Administrator</dc:creator>
  <cp:keywords>Single-Sided body Templates</cp:keywords>
  <cp:lastModifiedBy>Kirsten Barrett</cp:lastModifiedBy>
  <cp:revision>3</cp:revision>
  <cp:lastPrinted>2017-04-03T18:22:00Z</cp:lastPrinted>
  <dcterms:created xsi:type="dcterms:W3CDTF">2023-10-20T17:46:00Z</dcterms:created>
  <dcterms:modified xsi:type="dcterms:W3CDTF">2023-10-20T18:19:00Z</dcterms:modified>
  <cp:category>Templates</cp:category>
</cp:coreProperties>
</file>