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B39" w:rsidRPr="00973AB9" w:rsidP="00792EF4" w14:paraId="3D606808" w14:textId="0EDC166F">
      <w:pPr>
        <w:pStyle w:val="NoSpacing"/>
        <w:jc w:val="center"/>
        <w:rPr>
          <w:rFonts w:ascii="Times New Roman" w:hAnsi="Times New Roman" w:cs="Times New Roman"/>
          <w:sz w:val="24"/>
          <w:szCs w:val="24"/>
        </w:rPr>
      </w:pPr>
      <w:r w:rsidRPr="00973AB9">
        <w:rPr>
          <w:rStyle w:val="normaltextrun"/>
          <w:rFonts w:ascii="Times New Roman" w:hAnsi="Times New Roman" w:cs="Times New Roman"/>
          <w:b/>
          <w:bCs/>
          <w:sz w:val="24"/>
          <w:szCs w:val="24"/>
        </w:rPr>
        <w:t>SUPPORTING STATEMENT</w:t>
      </w:r>
    </w:p>
    <w:p w:rsidR="00907B39" w:rsidRPr="00973AB9" w:rsidP="00792EF4" w14:paraId="3683CAA1" w14:textId="2C554D35">
      <w:pPr>
        <w:pStyle w:val="NoSpacing"/>
        <w:jc w:val="center"/>
        <w:rPr>
          <w:rFonts w:ascii="Times New Roman" w:hAnsi="Times New Roman" w:cs="Times New Roman"/>
          <w:sz w:val="24"/>
          <w:szCs w:val="24"/>
        </w:rPr>
      </w:pPr>
      <w:r w:rsidRPr="00973AB9">
        <w:rPr>
          <w:rStyle w:val="normaltextrun"/>
          <w:rFonts w:ascii="Times New Roman" w:hAnsi="Times New Roman" w:cs="Times New Roman"/>
          <w:b/>
          <w:bCs/>
          <w:sz w:val="24"/>
          <w:szCs w:val="24"/>
        </w:rPr>
        <w:t>U.S. Department of Commerce</w:t>
      </w:r>
    </w:p>
    <w:p w:rsidR="00907B39" w:rsidRPr="00973AB9" w:rsidP="00792EF4" w14:paraId="79016684" w14:textId="5F7FBC86">
      <w:pPr>
        <w:pStyle w:val="NoSpacing"/>
        <w:jc w:val="center"/>
        <w:rPr>
          <w:rFonts w:ascii="Times New Roman" w:hAnsi="Times New Roman" w:cs="Times New Roman"/>
          <w:sz w:val="24"/>
          <w:szCs w:val="24"/>
        </w:rPr>
      </w:pPr>
      <w:r w:rsidRPr="00973AB9">
        <w:rPr>
          <w:rStyle w:val="normaltextrun"/>
          <w:rFonts w:ascii="Times New Roman" w:hAnsi="Times New Roman" w:cs="Times New Roman"/>
          <w:b/>
          <w:bCs/>
          <w:sz w:val="24"/>
          <w:szCs w:val="24"/>
        </w:rPr>
        <w:t>U.S. Census Bureau</w:t>
      </w:r>
    </w:p>
    <w:p w:rsidR="00907B39" w:rsidRPr="00973AB9" w:rsidP="00792EF4" w14:paraId="45C6C299" w14:textId="42704B74">
      <w:pPr>
        <w:pStyle w:val="NoSpacing"/>
        <w:jc w:val="center"/>
        <w:rPr>
          <w:rFonts w:ascii="Times New Roman" w:hAnsi="Times New Roman" w:cs="Times New Roman"/>
          <w:sz w:val="24"/>
          <w:szCs w:val="24"/>
        </w:rPr>
      </w:pPr>
      <w:r w:rsidRPr="00973AB9">
        <w:rPr>
          <w:rStyle w:val="normaltextrun"/>
          <w:rFonts w:ascii="Times New Roman" w:hAnsi="Times New Roman" w:cs="Times New Roman"/>
          <w:b/>
          <w:bCs/>
          <w:sz w:val="24"/>
          <w:szCs w:val="24"/>
        </w:rPr>
        <w:t>Annual Integrated Economic Survey (AIES)</w:t>
      </w:r>
    </w:p>
    <w:p w:rsidR="00907B39" w:rsidRPr="00973AB9" w:rsidP="00792EF4" w14:paraId="7524501B" w14:textId="1F0FAA3B">
      <w:pPr>
        <w:pStyle w:val="NoSpacing"/>
        <w:jc w:val="center"/>
        <w:rPr>
          <w:rFonts w:ascii="Times New Roman" w:hAnsi="Times New Roman" w:cs="Times New Roman"/>
          <w:sz w:val="24"/>
          <w:szCs w:val="24"/>
        </w:rPr>
      </w:pPr>
      <w:r w:rsidRPr="00973AB9">
        <w:rPr>
          <w:rStyle w:val="normaltextrun"/>
          <w:rFonts w:ascii="Times New Roman" w:hAnsi="Times New Roman" w:cs="Times New Roman"/>
          <w:b/>
          <w:bCs/>
          <w:sz w:val="24"/>
          <w:szCs w:val="24"/>
        </w:rPr>
        <w:t>OMB Control No. 0607-</w:t>
      </w:r>
      <w:r w:rsidR="00846C09">
        <w:rPr>
          <w:rStyle w:val="normaltextrun"/>
          <w:rFonts w:ascii="Times New Roman" w:hAnsi="Times New Roman" w:cs="Times New Roman"/>
          <w:b/>
          <w:bCs/>
          <w:sz w:val="24"/>
          <w:szCs w:val="24"/>
        </w:rPr>
        <w:t>1024</w:t>
      </w:r>
    </w:p>
    <w:p w:rsidR="00907B39" w:rsidRPr="00973AB9" w:rsidP="00907B39" w14:paraId="0D220490" w14:textId="77777777">
      <w:pPr>
        <w:pStyle w:val="paragraph"/>
        <w:jc w:val="center"/>
        <w:textAlignment w:val="baseline"/>
      </w:pPr>
      <w:r w:rsidRPr="00973AB9">
        <w:rPr>
          <w:rStyle w:val="eop"/>
        </w:rPr>
        <w:t> </w:t>
      </w:r>
    </w:p>
    <w:p w:rsidR="00907B39" w:rsidP="00907B39" w14:paraId="6D15B963" w14:textId="0A36BC92">
      <w:pPr>
        <w:pStyle w:val="paragraph"/>
        <w:textAlignment w:val="baseline"/>
        <w:rPr>
          <w:rStyle w:val="eop"/>
          <w:color w:val="000000"/>
        </w:rPr>
      </w:pPr>
      <w:r w:rsidRPr="00973AB9">
        <w:rPr>
          <w:rStyle w:val="normaltextrun"/>
          <w:b/>
          <w:bCs/>
          <w:color w:val="000000"/>
        </w:rPr>
        <w:t>PART B: Collections of Information Employing Statistical Methods</w:t>
      </w:r>
      <w:r w:rsidRPr="00973AB9">
        <w:rPr>
          <w:rStyle w:val="eop"/>
          <w:color w:val="000000"/>
        </w:rPr>
        <w:t> </w:t>
      </w:r>
    </w:p>
    <w:p w:rsidR="00493DDD" w:rsidRPr="00BF05E6" w:rsidP="00493DDD" w14:paraId="067A7490" w14:textId="77777777">
      <w:pPr>
        <w:pStyle w:val="Body1"/>
        <w:rPr>
          <w:bCs/>
          <w:szCs w:val="24"/>
        </w:rPr>
      </w:pPr>
      <w:bookmarkStart w:id="0" w:name="_Hlk147242295"/>
      <w:r w:rsidRPr="00AA0445">
        <w:rPr>
          <w:bCs/>
          <w:szCs w:val="24"/>
          <w:highlight w:val="darkGray"/>
        </w:rPr>
        <w:t xml:space="preserve">This revision request documents </w:t>
      </w:r>
      <w:r>
        <w:rPr>
          <w:bCs/>
          <w:szCs w:val="24"/>
          <w:highlight w:val="darkGray"/>
        </w:rPr>
        <w:t>the modifications that transpired between the</w:t>
      </w:r>
      <w:r w:rsidRPr="00AA0445">
        <w:rPr>
          <w:bCs/>
          <w:szCs w:val="24"/>
          <w:highlight w:val="darkGray"/>
        </w:rPr>
        <w:t xml:space="preserve"> </w:t>
      </w:r>
      <w:r>
        <w:rPr>
          <w:bCs/>
          <w:szCs w:val="24"/>
          <w:highlight w:val="darkGray"/>
        </w:rPr>
        <w:t xml:space="preserve">U.S. </w:t>
      </w:r>
      <w:r w:rsidRPr="00AA0445">
        <w:rPr>
          <w:bCs/>
          <w:szCs w:val="24"/>
          <w:highlight w:val="darkGray"/>
        </w:rPr>
        <w:t xml:space="preserve">Census Bureau </w:t>
      </w:r>
      <w:r>
        <w:rPr>
          <w:bCs/>
          <w:szCs w:val="24"/>
          <w:highlight w:val="darkGray"/>
        </w:rPr>
        <w:t>obtaining</w:t>
      </w:r>
      <w:r w:rsidRPr="00AA0445">
        <w:rPr>
          <w:bCs/>
          <w:szCs w:val="24"/>
          <w:highlight w:val="darkGray"/>
        </w:rPr>
        <w:t xml:space="preserve"> OMB clearance and </w:t>
      </w:r>
      <w:r>
        <w:rPr>
          <w:bCs/>
          <w:szCs w:val="24"/>
          <w:highlight w:val="darkGray"/>
        </w:rPr>
        <w:t>the present moment</w:t>
      </w:r>
      <w:r w:rsidRPr="00AA0445">
        <w:rPr>
          <w:bCs/>
          <w:szCs w:val="24"/>
          <w:highlight w:val="darkGray"/>
        </w:rPr>
        <w:t>.  The revised portions of this document are highlighted in gray</w:t>
      </w:r>
      <w:bookmarkEnd w:id="0"/>
      <w:r w:rsidRPr="00AA0445">
        <w:rPr>
          <w:bCs/>
          <w:szCs w:val="24"/>
          <w:highlight w:val="darkGray"/>
        </w:rPr>
        <w:t>.</w:t>
      </w:r>
    </w:p>
    <w:p w:rsidR="00907B39" w:rsidRPr="00AF25E9" w:rsidP="00792EF4" w14:paraId="75956202"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AF25E9">
        <w:rPr>
          <w:rFonts w:ascii="Times New Roman" w:eastAsia="Times New Roman" w:hAnsi="Times New Roman" w:cs="Times New Roman"/>
          <w:b/>
          <w:bCs/>
          <w:color w:val="000000"/>
          <w:sz w:val="24"/>
          <w:szCs w:val="24"/>
        </w:rPr>
        <w:t>1. Universe and Respondent Selection</w:t>
      </w:r>
      <w:r w:rsidRPr="00AF25E9">
        <w:rPr>
          <w:rFonts w:ascii="Times New Roman" w:eastAsia="Times New Roman" w:hAnsi="Times New Roman" w:cs="Times New Roman"/>
          <w:color w:val="000000"/>
          <w:sz w:val="24"/>
          <w:szCs w:val="24"/>
        </w:rPr>
        <w:t> </w:t>
      </w:r>
    </w:p>
    <w:p w:rsidR="00401E4A" w:rsidP="00401E4A" w14:paraId="1279DD58" w14:textId="5F3DD662">
      <w:pPr>
        <w:spacing w:line="240" w:lineRule="auto"/>
        <w:contextualSpacing/>
        <w:rPr>
          <w:rStyle w:val="cf01"/>
        </w:rPr>
      </w:pPr>
      <w:r w:rsidRPr="00AF25E9">
        <w:rPr>
          <w:rStyle w:val="cf01"/>
          <w:rFonts w:ascii="Times New Roman" w:hAnsi="Times New Roman" w:cs="Times New Roman"/>
          <w:sz w:val="24"/>
          <w:szCs w:val="24"/>
          <w:highlight w:val="darkGray"/>
        </w:rPr>
        <w:t>The target population of the AIES covers all domestic, private sector, non-farm employer businesses in the United States (50 states and the District of Columbia) as defined by the 2017 North American Industry Classification System (NAICS).  Exclusions are foreign operations of U.S. businesses headquartered in the U.S. territories and most government operations (including the U.S. Postal Service), agricultural production companies and private households.</w:t>
      </w:r>
      <w:r>
        <w:rPr>
          <w:rStyle w:val="cf01"/>
        </w:rPr>
        <w:t> </w:t>
      </w:r>
    </w:p>
    <w:p w:rsidR="00AF25E9" w:rsidRPr="00973AB9" w:rsidP="00401E4A" w14:paraId="625647F7" w14:textId="77777777">
      <w:pPr>
        <w:spacing w:line="240" w:lineRule="auto"/>
        <w:contextualSpacing/>
        <w:rPr>
          <w:rFonts w:ascii="Times New Roman" w:hAnsi="Times New Roman" w:cs="Times New Roman"/>
          <w:sz w:val="24"/>
          <w:szCs w:val="24"/>
        </w:rPr>
      </w:pPr>
    </w:p>
    <w:p w:rsidR="00EE2830" w:rsidRPr="00973AB9" w14:paraId="3532DF3E" w14:textId="6D983475">
      <w:pPr>
        <w:rPr>
          <w:rFonts w:ascii="Times New Roman" w:hAnsi="Times New Roman" w:cs="Times New Roman"/>
          <w:sz w:val="24"/>
          <w:szCs w:val="24"/>
        </w:rPr>
      </w:pPr>
      <w:r w:rsidRPr="00973AB9">
        <w:rPr>
          <w:rFonts w:ascii="Times New Roman" w:hAnsi="Times New Roman" w:cs="Times New Roman"/>
          <w:sz w:val="24"/>
          <w:szCs w:val="24"/>
        </w:rPr>
        <w:t xml:space="preserve">The Annual Integrated Economic Survey (AIES) is selected from a frame of approximately 5.4 million companies constructed from the Business Register, </w:t>
      </w:r>
      <w:r w:rsidRPr="00973AB9">
        <w:rPr>
          <w:rFonts w:ascii="Times New Roman" w:hAnsi="Times New Roman" w:cs="Times New Roman"/>
          <w:color w:val="000000"/>
          <w:sz w:val="24"/>
          <w:szCs w:val="24"/>
        </w:rPr>
        <w:t>which is the Census Bureau’s master business list</w:t>
      </w:r>
      <w:r w:rsidRPr="00973AB9">
        <w:rPr>
          <w:rFonts w:ascii="Times New Roman" w:hAnsi="Times New Roman" w:cs="Times New Roman"/>
          <w:sz w:val="24"/>
          <w:szCs w:val="24"/>
        </w:rPr>
        <w:t xml:space="preserve">. </w:t>
      </w:r>
      <w:r w:rsidRPr="00973AB9" w:rsidR="00E175D7">
        <w:rPr>
          <w:rFonts w:ascii="Times New Roman" w:hAnsi="Times New Roman" w:cs="Times New Roman"/>
          <w:sz w:val="24"/>
          <w:szCs w:val="24"/>
        </w:rPr>
        <w:t xml:space="preserve">In </w:t>
      </w:r>
      <w:r w:rsidR="00C2076B">
        <w:rPr>
          <w:rFonts w:ascii="Times New Roman" w:hAnsi="Times New Roman" w:cs="Times New Roman"/>
          <w:sz w:val="24"/>
          <w:szCs w:val="24"/>
        </w:rPr>
        <w:t xml:space="preserve">the </w:t>
      </w:r>
      <w:r w:rsidRPr="00973AB9" w:rsidR="00E175D7">
        <w:rPr>
          <w:rFonts w:ascii="Times New Roman" w:hAnsi="Times New Roman" w:cs="Times New Roman"/>
          <w:sz w:val="24"/>
          <w:szCs w:val="24"/>
        </w:rPr>
        <w:t xml:space="preserve">AIES, the company is the ultimate sampling unit (USU).  </w:t>
      </w:r>
      <w:r w:rsidRPr="00973AB9">
        <w:rPr>
          <w:rFonts w:ascii="Times New Roman" w:hAnsi="Times New Roman" w:cs="Times New Roman"/>
          <w:sz w:val="24"/>
          <w:szCs w:val="24"/>
        </w:rPr>
        <w:t xml:space="preserve">Approximately </w:t>
      </w:r>
      <w:r w:rsidRPr="00973AB9" w:rsidR="005D2671">
        <w:rPr>
          <w:rFonts w:ascii="Times New Roman" w:hAnsi="Times New Roman" w:cs="Times New Roman"/>
          <w:sz w:val="24"/>
          <w:szCs w:val="24"/>
        </w:rPr>
        <w:t>384,9</w:t>
      </w:r>
      <w:r w:rsidR="00B7165C">
        <w:rPr>
          <w:rFonts w:ascii="Times New Roman" w:hAnsi="Times New Roman" w:cs="Times New Roman"/>
          <w:sz w:val="24"/>
          <w:szCs w:val="24"/>
        </w:rPr>
        <w:t>40</w:t>
      </w:r>
      <w:r w:rsidRPr="00973AB9">
        <w:rPr>
          <w:rFonts w:ascii="Times New Roman" w:hAnsi="Times New Roman" w:cs="Times New Roman"/>
          <w:sz w:val="24"/>
          <w:szCs w:val="24"/>
        </w:rPr>
        <w:t xml:space="preserve"> companies will be included in the sample.  Of the sampled companies, approximately </w:t>
      </w:r>
      <w:r w:rsidRPr="00973AB9" w:rsidR="005D2671">
        <w:rPr>
          <w:rFonts w:ascii="Times New Roman" w:hAnsi="Times New Roman" w:cs="Times New Roman"/>
          <w:sz w:val="24"/>
          <w:szCs w:val="24"/>
        </w:rPr>
        <w:t>36,500</w:t>
      </w:r>
      <w:r w:rsidRPr="00973AB9">
        <w:rPr>
          <w:rFonts w:ascii="Times New Roman" w:hAnsi="Times New Roman" w:cs="Times New Roman"/>
          <w:sz w:val="24"/>
          <w:szCs w:val="24"/>
        </w:rPr>
        <w:t xml:space="preserve"> are self-representing (included with probability = 1), based on the diversity of the</w:t>
      </w:r>
      <w:r w:rsidRPr="00973AB9" w:rsidR="00343837">
        <w:rPr>
          <w:rFonts w:ascii="Times New Roman" w:hAnsi="Times New Roman" w:cs="Times New Roman"/>
          <w:sz w:val="24"/>
          <w:szCs w:val="24"/>
        </w:rPr>
        <w:t>ir</w:t>
      </w:r>
      <w:r w:rsidRPr="00973AB9">
        <w:rPr>
          <w:rFonts w:ascii="Times New Roman" w:hAnsi="Times New Roman" w:cs="Times New Roman"/>
          <w:sz w:val="24"/>
          <w:szCs w:val="24"/>
        </w:rPr>
        <w:t xml:space="preserve"> operations. The remaining companies on the frame are stratified within sector by geographic category with</w:t>
      </w:r>
      <w:r w:rsidRPr="00973AB9" w:rsidR="00E175D7">
        <w:rPr>
          <w:rFonts w:ascii="Times New Roman" w:hAnsi="Times New Roman" w:cs="Times New Roman"/>
          <w:sz w:val="24"/>
          <w:szCs w:val="24"/>
        </w:rPr>
        <w:t>in</w:t>
      </w:r>
      <w:r w:rsidRPr="00973AB9">
        <w:rPr>
          <w:rFonts w:ascii="Times New Roman" w:hAnsi="Times New Roman" w:cs="Times New Roman"/>
          <w:sz w:val="24"/>
          <w:szCs w:val="24"/>
        </w:rPr>
        <w:t xml:space="preserve"> 3-digit industry (NAICS) classification. This is an unequal probability sample, with company inclusion probabilities accounting for contribution(s) to both national and subnational estimates of annual payroll.</w:t>
      </w:r>
    </w:p>
    <w:p w:rsidR="00943326" w:rsidRPr="00973AB9" w14:paraId="104181A6" w14:textId="2D685306">
      <w:pPr>
        <w:rPr>
          <w:rFonts w:ascii="Times New Roman" w:hAnsi="Times New Roman" w:cs="Times New Roman"/>
          <w:sz w:val="24"/>
          <w:szCs w:val="24"/>
        </w:rPr>
      </w:pPr>
      <w:r w:rsidRPr="00973AB9">
        <w:rPr>
          <w:rFonts w:ascii="Times New Roman" w:hAnsi="Times New Roman" w:cs="Times New Roman"/>
          <w:sz w:val="24"/>
          <w:szCs w:val="24"/>
        </w:rPr>
        <w:t xml:space="preserve">The measure-of-size (MOS) variable used for the AIES sample design is based on the administrative annual payroll, which is available for </w:t>
      </w:r>
      <w:r w:rsidRPr="00973AB9">
        <w:rPr>
          <w:rFonts w:ascii="Times New Roman" w:hAnsi="Times New Roman" w:cs="Times New Roman"/>
          <w:sz w:val="24"/>
          <w:szCs w:val="24"/>
        </w:rPr>
        <w:t>the majority of</w:t>
      </w:r>
      <w:r w:rsidRPr="00973AB9">
        <w:rPr>
          <w:rFonts w:ascii="Times New Roman" w:hAnsi="Times New Roman" w:cs="Times New Roman"/>
          <w:sz w:val="24"/>
          <w:szCs w:val="24"/>
        </w:rPr>
        <w:t xml:space="preserve"> establishments on the AIES sampling frame and is generally positively correlated with the AIES key data items.  </w:t>
      </w:r>
      <w:r w:rsidRPr="00973AB9" w:rsidR="00E175D7">
        <w:rPr>
          <w:rFonts w:ascii="Times New Roman" w:hAnsi="Times New Roman" w:cs="Times New Roman"/>
          <w:sz w:val="24"/>
          <w:szCs w:val="24"/>
        </w:rPr>
        <w:t xml:space="preserve">The company-level MOS is determined by summing the establishment values within the company.  </w:t>
      </w:r>
      <w:r w:rsidRPr="00973AB9">
        <w:rPr>
          <w:rFonts w:ascii="Times New Roman" w:hAnsi="Times New Roman" w:cs="Times New Roman"/>
          <w:sz w:val="24"/>
          <w:szCs w:val="24"/>
        </w:rPr>
        <w:t>Each company on the frame is assigned to a single sampling stratum and has a single sampling MOS.  Each non-self-representing company on the sampling frame has a sampling industry, defined as its most detailed unique NAICS code.</w:t>
      </w:r>
    </w:p>
    <w:p w:rsidR="00943326" w:rsidRPr="00973AB9" w14:paraId="5379E845" w14:textId="72D4CA5F">
      <w:pPr>
        <w:rPr>
          <w:rFonts w:ascii="Times New Roman" w:hAnsi="Times New Roman" w:cs="Times New Roman"/>
          <w:sz w:val="24"/>
          <w:szCs w:val="24"/>
        </w:rPr>
      </w:pPr>
      <w:r w:rsidRPr="00973AB9">
        <w:rPr>
          <w:rFonts w:ascii="Times New Roman" w:hAnsi="Times New Roman" w:cs="Times New Roman"/>
          <w:sz w:val="24"/>
          <w:szCs w:val="24"/>
        </w:rPr>
        <w:t>To minimize erroneous industry classifications in the sample design, in-scope companies are classified as certainty using the complexity criteria described in the following table:</w:t>
      </w:r>
    </w:p>
    <w:p w:rsidR="00E21F22" w:rsidP="00943326" w14:paraId="0459858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21F22" w:rsidP="00943326" w14:paraId="1D0D18D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21F22" w:rsidP="00943326" w14:paraId="620104F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43326" w:rsidRPr="00973AB9" w:rsidP="00943326" w14:paraId="4A6DF098" w14:textId="3AAEE12B">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Table 1:  AIES Designation of Initial Certainty Stratum by Complexity </w:t>
      </w:r>
    </w:p>
    <w:tbl>
      <w:tblPr>
        <w:tblStyle w:val="PlainTable2"/>
        <w:tblW w:w="0" w:type="auto"/>
        <w:tblLook w:val="0420"/>
      </w:tblPr>
      <w:tblGrid>
        <w:gridCol w:w="2403"/>
        <w:gridCol w:w="2132"/>
        <w:gridCol w:w="2546"/>
        <w:gridCol w:w="1676"/>
      </w:tblGrid>
      <w:tr w14:paraId="087317F2" w14:textId="77777777" w:rsidTr="00846CE9">
        <w:tblPrEx>
          <w:tblW w:w="0" w:type="auto"/>
          <w:tblLook w:val="0420"/>
        </w:tblPrEx>
        <w:trPr>
          <w:trHeight w:val="615"/>
        </w:trPr>
        <w:tc>
          <w:tcPr>
            <w:tcW w:w="0" w:type="auto"/>
            <w:hideMark/>
          </w:tcPr>
          <w:p w:rsidR="00943326" w:rsidRPr="00973AB9" w:rsidP="00846CE9" w14:paraId="76B3DB9F" w14:textId="77777777">
            <w:pP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Company operates in</w:t>
            </w:r>
          </w:p>
        </w:tc>
        <w:tc>
          <w:tcPr>
            <w:tcW w:w="0" w:type="auto"/>
            <w:hideMark/>
          </w:tcPr>
          <w:p w:rsidR="00943326" w:rsidRPr="00973AB9" w:rsidP="00846CE9" w14:paraId="6CFD4BE2"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Number of Sectors</w:t>
            </w:r>
          </w:p>
        </w:tc>
        <w:tc>
          <w:tcPr>
            <w:tcW w:w="0" w:type="auto"/>
            <w:hideMark/>
          </w:tcPr>
          <w:p w:rsidR="00943326" w:rsidRPr="00973AB9" w:rsidP="00846CE9" w14:paraId="4C55174F"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Number of Industries*</w:t>
            </w:r>
          </w:p>
        </w:tc>
        <w:tc>
          <w:tcPr>
            <w:tcW w:w="0" w:type="auto"/>
            <w:hideMark/>
          </w:tcPr>
          <w:p w:rsidR="00943326" w:rsidRPr="00973AB9" w:rsidP="00846CE9" w14:paraId="776C156D"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 xml:space="preserve">Number of </w:t>
            </w:r>
          </w:p>
          <w:p w:rsidR="00943326" w:rsidRPr="00973AB9" w:rsidP="00846CE9" w14:paraId="087EEDBD"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States</w:t>
            </w:r>
          </w:p>
        </w:tc>
      </w:tr>
      <w:tr w14:paraId="213E6565" w14:textId="77777777" w:rsidTr="00846CE9">
        <w:tblPrEx>
          <w:tblW w:w="0" w:type="auto"/>
          <w:tblLook w:val="0420"/>
        </w:tblPrEx>
        <w:tc>
          <w:tcPr>
            <w:tcW w:w="0" w:type="auto"/>
            <w:vMerge w:val="restart"/>
          </w:tcPr>
          <w:p w:rsidR="00943326" w:rsidRPr="00973AB9" w:rsidP="00846CE9" w14:paraId="426A5FCD" w14:textId="77777777">
            <w:pPr>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Certainty</w:t>
            </w:r>
          </w:p>
        </w:tc>
        <w:tc>
          <w:tcPr>
            <w:tcW w:w="0" w:type="auto"/>
            <w:hideMark/>
          </w:tcPr>
          <w:p w:rsidR="00943326" w:rsidRPr="00973AB9" w:rsidP="00846CE9" w14:paraId="05EA20DB"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2 or more</w:t>
            </w:r>
          </w:p>
        </w:tc>
        <w:tc>
          <w:tcPr>
            <w:tcW w:w="0" w:type="auto"/>
            <w:hideMark/>
          </w:tcPr>
          <w:p w:rsidR="00943326" w:rsidRPr="00973AB9" w:rsidP="00846CE9" w14:paraId="01FB1BD3"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2 or more</w:t>
            </w:r>
          </w:p>
        </w:tc>
        <w:tc>
          <w:tcPr>
            <w:tcW w:w="0" w:type="auto"/>
            <w:hideMark/>
          </w:tcPr>
          <w:p w:rsidR="00943326" w:rsidRPr="00973AB9" w:rsidP="00846CE9" w14:paraId="19670BDA"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Not considered</w:t>
            </w:r>
          </w:p>
        </w:tc>
      </w:tr>
      <w:tr w14:paraId="4A1898C6" w14:textId="77777777" w:rsidTr="00846CE9">
        <w:tblPrEx>
          <w:tblW w:w="0" w:type="auto"/>
          <w:tblLook w:val="0420"/>
        </w:tblPrEx>
        <w:tc>
          <w:tcPr>
            <w:tcW w:w="0" w:type="auto"/>
            <w:vMerge/>
          </w:tcPr>
          <w:p w:rsidR="00943326" w:rsidRPr="00973AB9" w:rsidP="00846CE9" w14:paraId="71C48AD6" w14:textId="77777777">
            <w:pPr>
              <w:rPr>
                <w:rFonts w:ascii="Times New Roman" w:eastAsia="Times New Roman" w:hAnsi="Times New Roman" w:cs="Times New Roman"/>
                <w:sz w:val="24"/>
                <w:szCs w:val="24"/>
              </w:rPr>
            </w:pPr>
          </w:p>
        </w:tc>
        <w:tc>
          <w:tcPr>
            <w:tcW w:w="0" w:type="auto"/>
            <w:hideMark/>
          </w:tcPr>
          <w:p w:rsidR="00943326" w:rsidRPr="00973AB9" w:rsidP="00846CE9" w14:paraId="1C0F27F5"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c>
          <w:tcPr>
            <w:tcW w:w="0" w:type="auto"/>
            <w:hideMark/>
          </w:tcPr>
          <w:p w:rsidR="00943326" w:rsidRPr="00973AB9" w:rsidP="00846CE9" w14:paraId="0C7CB15B"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3 or more</w:t>
            </w:r>
          </w:p>
        </w:tc>
        <w:tc>
          <w:tcPr>
            <w:tcW w:w="0" w:type="auto"/>
            <w:hideMark/>
          </w:tcPr>
          <w:p w:rsidR="00943326" w:rsidRPr="00973AB9" w:rsidP="00846CE9" w14:paraId="26ACB140"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Not considered</w:t>
            </w:r>
          </w:p>
        </w:tc>
      </w:tr>
      <w:tr w14:paraId="5590ACF7" w14:textId="77777777" w:rsidTr="00846CE9">
        <w:tblPrEx>
          <w:tblW w:w="0" w:type="auto"/>
          <w:tblLook w:val="0420"/>
        </w:tblPrEx>
        <w:tc>
          <w:tcPr>
            <w:tcW w:w="0" w:type="auto"/>
            <w:vMerge/>
            <w:hideMark/>
          </w:tcPr>
          <w:p w:rsidR="00943326" w:rsidRPr="00973AB9" w:rsidP="00846CE9" w14:paraId="2CA9CA6F" w14:textId="77777777">
            <w:pPr>
              <w:rPr>
                <w:rFonts w:ascii="Times New Roman" w:eastAsia="Times New Roman" w:hAnsi="Times New Roman" w:cs="Times New Roman"/>
                <w:sz w:val="24"/>
                <w:szCs w:val="24"/>
              </w:rPr>
            </w:pPr>
          </w:p>
        </w:tc>
        <w:tc>
          <w:tcPr>
            <w:tcW w:w="0" w:type="auto"/>
            <w:hideMark/>
          </w:tcPr>
          <w:p w:rsidR="00943326" w:rsidRPr="00973AB9" w:rsidP="00846CE9" w14:paraId="08C7CA63"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c>
          <w:tcPr>
            <w:tcW w:w="0" w:type="auto"/>
            <w:hideMark/>
          </w:tcPr>
          <w:p w:rsidR="00943326" w:rsidRPr="00973AB9" w:rsidP="00846CE9" w14:paraId="73ABE512"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 xml:space="preserve">2 </w:t>
            </w:r>
          </w:p>
        </w:tc>
        <w:tc>
          <w:tcPr>
            <w:tcW w:w="0" w:type="auto"/>
            <w:hideMark/>
          </w:tcPr>
          <w:p w:rsidR="00943326" w:rsidRPr="00973AB9" w:rsidP="00846CE9" w14:paraId="247FCAB8"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2+</w:t>
            </w:r>
          </w:p>
        </w:tc>
      </w:tr>
      <w:tr w14:paraId="1264351F" w14:textId="77777777" w:rsidTr="00846CE9">
        <w:tblPrEx>
          <w:tblW w:w="0" w:type="auto"/>
          <w:tblLook w:val="0420"/>
        </w:tblPrEx>
        <w:tc>
          <w:tcPr>
            <w:tcW w:w="0" w:type="auto"/>
            <w:vMerge/>
          </w:tcPr>
          <w:p w:rsidR="00943326" w:rsidRPr="00973AB9" w:rsidP="00846CE9" w14:paraId="2A485B72" w14:textId="77777777">
            <w:pPr>
              <w:rPr>
                <w:rFonts w:ascii="Times New Roman" w:eastAsia="Times New Roman" w:hAnsi="Times New Roman" w:cs="Times New Roman"/>
                <w:sz w:val="24"/>
                <w:szCs w:val="24"/>
              </w:rPr>
            </w:pPr>
          </w:p>
        </w:tc>
        <w:tc>
          <w:tcPr>
            <w:tcW w:w="0" w:type="auto"/>
          </w:tcPr>
          <w:p w:rsidR="00943326" w:rsidRPr="00973AB9" w:rsidP="00846CE9" w14:paraId="34E8E47B" w14:textId="77777777">
            <w:pPr>
              <w:jc w:val="center"/>
              <w:rPr>
                <w:rFonts w:ascii="Times New Roman" w:eastAsia="Times New Roman" w:hAnsi="Times New Roman" w:cs="Times New Roman"/>
                <w:kern w:val="24"/>
                <w:sz w:val="24"/>
                <w:szCs w:val="24"/>
              </w:rPr>
            </w:pPr>
            <w:r w:rsidRPr="00973AB9">
              <w:rPr>
                <w:rFonts w:ascii="Times New Roman" w:eastAsia="Times New Roman" w:hAnsi="Times New Roman" w:cs="Times New Roman"/>
                <w:kern w:val="24"/>
                <w:sz w:val="24"/>
                <w:szCs w:val="24"/>
              </w:rPr>
              <w:t>1</w:t>
            </w:r>
          </w:p>
        </w:tc>
        <w:tc>
          <w:tcPr>
            <w:tcW w:w="0" w:type="auto"/>
          </w:tcPr>
          <w:p w:rsidR="00943326" w:rsidRPr="00973AB9" w:rsidP="00846CE9" w14:paraId="659201C5" w14:textId="77777777">
            <w:pPr>
              <w:jc w:val="center"/>
              <w:rPr>
                <w:rFonts w:ascii="Times New Roman" w:eastAsia="Times New Roman" w:hAnsi="Times New Roman" w:cs="Times New Roman"/>
                <w:kern w:val="24"/>
                <w:sz w:val="24"/>
                <w:szCs w:val="24"/>
              </w:rPr>
            </w:pPr>
            <w:r w:rsidRPr="00973AB9">
              <w:rPr>
                <w:rFonts w:ascii="Times New Roman" w:eastAsia="Times New Roman" w:hAnsi="Times New Roman" w:cs="Times New Roman"/>
                <w:kern w:val="24"/>
                <w:sz w:val="24"/>
                <w:szCs w:val="24"/>
              </w:rPr>
              <w:t>2</w:t>
            </w:r>
          </w:p>
        </w:tc>
        <w:tc>
          <w:tcPr>
            <w:tcW w:w="0" w:type="auto"/>
          </w:tcPr>
          <w:p w:rsidR="00943326" w:rsidRPr="00973AB9" w:rsidP="00846CE9" w14:paraId="2D5AE086" w14:textId="77777777">
            <w:pPr>
              <w:jc w:val="center"/>
              <w:rPr>
                <w:rFonts w:ascii="Times New Roman" w:eastAsia="Times New Roman" w:hAnsi="Times New Roman" w:cs="Times New Roman"/>
                <w:kern w:val="24"/>
                <w:sz w:val="24"/>
                <w:szCs w:val="24"/>
              </w:rPr>
            </w:pPr>
            <w:r w:rsidRPr="00973AB9">
              <w:rPr>
                <w:rFonts w:ascii="Times New Roman" w:eastAsia="Times New Roman" w:hAnsi="Times New Roman" w:cs="Times New Roman"/>
                <w:kern w:val="24"/>
                <w:sz w:val="24"/>
                <w:szCs w:val="24"/>
              </w:rPr>
              <w:t xml:space="preserve">1 </w:t>
            </w:r>
          </w:p>
        </w:tc>
      </w:tr>
      <w:tr w14:paraId="51E098B8" w14:textId="77777777" w:rsidTr="00846CE9">
        <w:tblPrEx>
          <w:tblW w:w="0" w:type="auto"/>
          <w:tblLook w:val="0420"/>
        </w:tblPrEx>
        <w:tc>
          <w:tcPr>
            <w:tcW w:w="0" w:type="auto"/>
            <w:vMerge w:val="restart"/>
            <w:hideMark/>
          </w:tcPr>
          <w:p w:rsidR="00943326" w:rsidRPr="00973AB9" w:rsidP="00846CE9" w14:paraId="2956A1D5" w14:textId="77777777">
            <w:pPr>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Noncertainty</w:t>
            </w:r>
          </w:p>
        </w:tc>
        <w:tc>
          <w:tcPr>
            <w:tcW w:w="0" w:type="auto"/>
            <w:hideMark/>
          </w:tcPr>
          <w:p w:rsidR="00943326" w:rsidRPr="00973AB9" w:rsidP="00846CE9" w14:paraId="7B8B2B5D"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c>
          <w:tcPr>
            <w:tcW w:w="0" w:type="auto"/>
            <w:hideMark/>
          </w:tcPr>
          <w:p w:rsidR="00943326" w:rsidRPr="00973AB9" w:rsidP="00846CE9" w14:paraId="250B7776"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2**</w:t>
            </w:r>
          </w:p>
        </w:tc>
        <w:tc>
          <w:tcPr>
            <w:tcW w:w="0" w:type="auto"/>
            <w:hideMark/>
          </w:tcPr>
          <w:p w:rsidR="00943326" w:rsidRPr="00973AB9" w:rsidP="00846CE9" w14:paraId="43F2BA44"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r>
      <w:tr w14:paraId="62608154" w14:textId="77777777" w:rsidTr="00846CE9">
        <w:tblPrEx>
          <w:tblW w:w="0" w:type="auto"/>
          <w:tblLook w:val="0420"/>
        </w:tblPrEx>
        <w:tc>
          <w:tcPr>
            <w:tcW w:w="0" w:type="auto"/>
            <w:vMerge/>
            <w:hideMark/>
          </w:tcPr>
          <w:p w:rsidR="00943326" w:rsidRPr="00973AB9" w:rsidP="00846CE9" w14:paraId="304FB8C4" w14:textId="77777777">
            <w:pPr>
              <w:rPr>
                <w:rFonts w:ascii="Times New Roman" w:eastAsia="Times New Roman" w:hAnsi="Times New Roman" w:cs="Times New Roman"/>
                <w:sz w:val="24"/>
                <w:szCs w:val="24"/>
              </w:rPr>
            </w:pPr>
          </w:p>
        </w:tc>
        <w:tc>
          <w:tcPr>
            <w:tcW w:w="0" w:type="auto"/>
            <w:hideMark/>
          </w:tcPr>
          <w:p w:rsidR="00943326" w:rsidRPr="00973AB9" w:rsidP="00846CE9" w14:paraId="7D6FFC95"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c>
          <w:tcPr>
            <w:tcW w:w="0" w:type="auto"/>
            <w:hideMark/>
          </w:tcPr>
          <w:p w:rsidR="00943326" w:rsidRPr="00973AB9" w:rsidP="00846CE9" w14:paraId="4C39E7F9"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c>
          <w:tcPr>
            <w:tcW w:w="0" w:type="auto"/>
            <w:hideMark/>
          </w:tcPr>
          <w:p w:rsidR="00943326" w:rsidRPr="00973AB9" w:rsidP="00846CE9" w14:paraId="6485216F" w14:textId="77777777">
            <w:pPr>
              <w:jc w:val="center"/>
              <w:rPr>
                <w:rFonts w:ascii="Times New Roman" w:eastAsia="Times New Roman" w:hAnsi="Times New Roman" w:cs="Times New Roman"/>
                <w:sz w:val="24"/>
                <w:szCs w:val="24"/>
              </w:rPr>
            </w:pPr>
            <w:r w:rsidRPr="00973AB9">
              <w:rPr>
                <w:rFonts w:ascii="Times New Roman" w:eastAsia="Times New Roman" w:hAnsi="Times New Roman" w:cs="Times New Roman"/>
                <w:kern w:val="24"/>
                <w:sz w:val="24"/>
                <w:szCs w:val="24"/>
              </w:rPr>
              <w:t>1+</w:t>
            </w:r>
          </w:p>
        </w:tc>
      </w:tr>
    </w:tbl>
    <w:p w:rsidR="00943326" w:rsidRPr="00973AB9" w:rsidP="00943326" w14:paraId="2B4E63D6"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 4-digit NAICS industry </w:t>
      </w:r>
    </w:p>
    <w:p w:rsidR="00943326" w:rsidRPr="00973AB9" w:rsidP="00943326" w14:paraId="7958C6EE" w14:textId="42FB9E7E">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**Sectors 44</w:t>
      </w:r>
      <w:r w:rsidRPr="00973AB9" w:rsidR="00E175D7">
        <w:rPr>
          <w:rFonts w:ascii="Times New Roman" w:eastAsia="Times New Roman" w:hAnsi="Times New Roman" w:cs="Times New Roman"/>
          <w:color w:val="000000"/>
          <w:sz w:val="24"/>
          <w:szCs w:val="24"/>
        </w:rPr>
        <w:t>-</w:t>
      </w:r>
      <w:r w:rsidRPr="00973AB9">
        <w:rPr>
          <w:rFonts w:ascii="Times New Roman" w:eastAsia="Times New Roman" w:hAnsi="Times New Roman" w:cs="Times New Roman"/>
          <w:color w:val="000000"/>
          <w:sz w:val="24"/>
          <w:szCs w:val="24"/>
        </w:rPr>
        <w:t>45, 62 (selected pairs of industries)</w:t>
      </w:r>
    </w:p>
    <w:p w:rsidR="00943326" w:rsidRPr="00973AB9" w:rsidP="00943326" w14:paraId="59A69A2E"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973AB9" w:rsidP="00E175D7" w14:paraId="4267490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To determine the </w:t>
      </w:r>
      <w:r w:rsidRPr="00973AB9">
        <w:rPr>
          <w:rFonts w:ascii="Times New Roman" w:eastAsia="Times New Roman" w:hAnsi="Times New Roman" w:cs="Times New Roman"/>
          <w:i/>
          <w:iCs/>
          <w:color w:val="000000"/>
          <w:sz w:val="24"/>
          <w:szCs w:val="24"/>
        </w:rPr>
        <w:t>initial</w:t>
      </w:r>
      <w:r w:rsidRPr="00973AB9">
        <w:rPr>
          <w:rFonts w:ascii="Times New Roman" w:eastAsia="Times New Roman" w:hAnsi="Times New Roman" w:cs="Times New Roman"/>
          <w:color w:val="000000"/>
          <w:sz w:val="24"/>
          <w:szCs w:val="24"/>
        </w:rPr>
        <w:t xml:space="preserve"> sector allocations of companies in each sector frame, let</w:t>
      </w:r>
    </w:p>
    <w:p w:rsidR="00E175D7" w:rsidRPr="00973AB9" w:rsidP="00E175D7" w14:paraId="0F68E6D7" w14:textId="77777777">
      <w:pPr>
        <w:shd w:val="clear" w:color="auto" w:fill="FFFFFF" w:themeFill="background1"/>
        <w:spacing w:after="0" w:line="240" w:lineRule="auto"/>
        <w:textAlignment w:val="baseline"/>
        <w:rPr>
          <w:rFonts w:ascii="Times New Roman" w:eastAsia="Times New Roman" w:hAnsi="Times New Roman" w:cs="Times New Roman"/>
          <w:i/>
          <w:iCs/>
          <w:color w:val="000000"/>
          <w:sz w:val="24"/>
          <w:szCs w:val="24"/>
        </w:rPr>
      </w:pPr>
    </w:p>
    <w:p w:rsidR="00E175D7" w:rsidRPr="00973AB9" w:rsidP="00E175D7" w14:paraId="466C7084" w14:textId="0A61FCC8">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oMath>
      <w:r w:rsidRPr="00973AB9">
        <w:rPr>
          <w:rFonts w:ascii="Times New Roman" w:eastAsia="Times New Roman" w:hAnsi="Times New Roman" w:cs="Times New Roman"/>
          <w:color w:val="000000"/>
          <w:sz w:val="24"/>
          <w:szCs w:val="24"/>
        </w:rPr>
        <w:t xml:space="preserve"> = total number of companies on </w:t>
      </w:r>
      <w:r w:rsidR="00582B26">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AIES frame that are eligible for sampling (noncertainty)</w:t>
      </w:r>
    </w:p>
    <w:p w:rsidR="00E175D7" w:rsidRPr="00973AB9" w:rsidP="00E175D7" w14:paraId="49254A73" w14:textId="60A95DEA">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oMath>
      <w:r w:rsidRPr="00973AB9">
        <w:rPr>
          <w:rFonts w:ascii="Times New Roman" w:eastAsia="Times New Roman" w:hAnsi="Times New Roman" w:cs="Times New Roman"/>
          <w:color w:val="000000"/>
          <w:sz w:val="24"/>
          <w:szCs w:val="24"/>
        </w:rPr>
        <w:t xml:space="preserve"> = total number of companies in sector </w:t>
      </w:r>
      <w:r w:rsidRPr="00973AB9">
        <w:rPr>
          <w:rFonts w:ascii="Times New Roman" w:eastAsia="Times New Roman" w:hAnsi="Times New Roman" w:cs="Times New Roman"/>
          <w:i/>
          <w:iCs/>
          <w:color w:val="000000"/>
          <w:sz w:val="24"/>
          <w:szCs w:val="24"/>
        </w:rPr>
        <w:t xml:space="preserve">s </w:t>
      </w:r>
      <w:r w:rsidRPr="00973AB9">
        <w:rPr>
          <w:rFonts w:ascii="Times New Roman" w:eastAsia="Times New Roman" w:hAnsi="Times New Roman" w:cs="Times New Roman"/>
          <w:color w:val="000000"/>
          <w:sz w:val="24"/>
          <w:szCs w:val="24"/>
        </w:rPr>
        <w:t xml:space="preserve">on </w:t>
      </w:r>
      <w:r w:rsidR="00582B26">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 xml:space="preserve">AIES frame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oMath>
      <w:r w:rsidRPr="00973AB9">
        <w:rPr>
          <w:rFonts w:ascii="Times New Roman" w:eastAsia="Times New Roman" w:hAnsi="Times New Roman" w:cs="Times New Roman"/>
          <w:color w:val="000000"/>
          <w:sz w:val="24"/>
          <w:szCs w:val="24"/>
        </w:rPr>
        <w:t xml:space="preserve"> that are eligible for sampling</w:t>
      </w:r>
    </w:p>
    <w:p w:rsidR="00E175D7" w:rsidRPr="00973AB9" w:rsidP="00E175D7" w14:paraId="36A5F718"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oMath>
      <w:r w:rsidRPr="00973AB9">
        <w:rPr>
          <w:rFonts w:ascii="Times New Roman" w:eastAsia="Times New Roman" w:hAnsi="Times New Roman" w:cs="Times New Roman"/>
          <w:color w:val="000000"/>
          <w:sz w:val="24"/>
          <w:szCs w:val="24"/>
        </w:rPr>
        <w:t xml:space="preserve">= total number of eligible agriculture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11</m:t>
            </m:r>
          </m:sub>
        </m:sSub>
      </m:oMath>
    </w:p>
    <w:p w:rsidR="00E175D7" w:rsidRPr="00973AB9" w:rsidP="00E175D7" w14:paraId="18051AFA"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oMath>
      <w:r w:rsidRPr="00973AB9">
        <w:rPr>
          <w:rFonts w:ascii="Times New Roman" w:eastAsia="Times New Roman" w:hAnsi="Times New Roman" w:cs="Times New Roman"/>
          <w:color w:val="000000"/>
          <w:sz w:val="24"/>
          <w:szCs w:val="24"/>
        </w:rPr>
        <w:t>= total number of eligible mining,</w:t>
      </w:r>
      <w:r w:rsidRPr="00973AB9">
        <w:rPr>
          <w:rFonts w:ascii="Times New Roman" w:hAnsi="Times New Roman" w:cs="Times New Roman"/>
          <w:sz w:val="24"/>
          <w:szCs w:val="24"/>
        </w:rPr>
        <w:t xml:space="preserve"> quarrying, &amp; oil &amp; gas extraction</w:t>
      </w:r>
      <w:r w:rsidRPr="00973AB9">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21</m:t>
            </m:r>
          </m:sub>
        </m:sSub>
      </m:oMath>
    </w:p>
    <w:p w:rsidR="00E175D7" w:rsidRPr="00973AB9" w:rsidP="00E175D7" w14:paraId="16E8B8B2"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oMath>
      <w:r w:rsidRPr="00973AB9">
        <w:rPr>
          <w:rFonts w:ascii="Times New Roman" w:eastAsia="Times New Roman" w:hAnsi="Times New Roman" w:cs="Times New Roman"/>
          <w:color w:val="000000"/>
          <w:sz w:val="24"/>
          <w:szCs w:val="24"/>
        </w:rPr>
        <w:t xml:space="preserve">= total number of eligible construction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23</m:t>
            </m:r>
          </m:sub>
        </m:sSub>
      </m:oMath>
    </w:p>
    <w:p w:rsidR="00E175D7" w:rsidRPr="00973AB9" w:rsidP="00E175D7" w14:paraId="79025043"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31-33</m:t>
            </m:r>
          </m:sub>
        </m:sSub>
      </m:oMath>
      <w:r w:rsidRPr="00973AB9">
        <w:rPr>
          <w:rFonts w:ascii="Times New Roman" w:eastAsia="Times New Roman" w:hAnsi="Times New Roman" w:cs="Times New Roman"/>
          <w:color w:val="000000"/>
          <w:sz w:val="24"/>
          <w:szCs w:val="24"/>
        </w:rPr>
        <w:t xml:space="preserve">= total number of eligible manufacturing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31-33</m:t>
            </m:r>
          </m:sub>
        </m:sSub>
      </m:oMath>
    </w:p>
    <w:p w:rsidR="00E175D7" w:rsidRPr="00973AB9" w:rsidP="00E175D7" w14:paraId="68CE251B" w14:textId="1A9F868D">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oMath>
      <w:r w:rsidRPr="00973AB9">
        <w:rPr>
          <w:rFonts w:ascii="Times New Roman" w:eastAsia="Times New Roman" w:hAnsi="Times New Roman" w:cs="Times New Roman"/>
          <w:color w:val="000000"/>
          <w:sz w:val="24"/>
          <w:szCs w:val="24"/>
        </w:rPr>
        <w:t>= total number of eligible m</w:t>
      </w:r>
      <w:r w:rsidRPr="00973AB9">
        <w:rPr>
          <w:rFonts w:ascii="Times New Roman" w:hAnsi="Times New Roman" w:cs="Times New Roman"/>
          <w:sz w:val="24"/>
          <w:szCs w:val="24"/>
        </w:rPr>
        <w:t>anagement of companies &amp; enterprises</w:t>
      </w:r>
      <w:r w:rsidRPr="00973AB9">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55</m:t>
            </m:r>
          </m:sub>
        </m:sSub>
      </m:oMath>
    </w:p>
    <w:p w:rsidR="00E175D7" w:rsidRPr="00973AB9" w:rsidP="00E175D7" w14:paraId="477265EF" w14:textId="352B48B0">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n</m:t>
        </m:r>
      </m:oMath>
      <w:r w:rsidRPr="00973AB9">
        <w:rPr>
          <w:rFonts w:ascii="Times New Roman" w:eastAsia="Times New Roman" w:hAnsi="Times New Roman" w:cs="Times New Roman"/>
          <w:color w:val="000000"/>
          <w:sz w:val="24"/>
          <w:szCs w:val="24"/>
        </w:rPr>
        <w:t xml:space="preserve"> = initial total number of companies to be sampled in </w:t>
      </w:r>
      <w:r w:rsidR="00582B26">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AIES excluding those in sectors 11, 21, 23, 31-33, and 55.</w:t>
      </w:r>
    </w:p>
    <w:p w:rsidR="00E175D7" w:rsidRPr="00973AB9" w:rsidP="00E175D7" w14:paraId="0ABD5599"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973AB9" w:rsidP="00E175D7" w14:paraId="1C8984E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The initial allocations of companies in the agriculture (11), mining,</w:t>
      </w:r>
      <w:r w:rsidRPr="00973AB9">
        <w:rPr>
          <w:rFonts w:ascii="Times New Roman" w:hAnsi="Times New Roman" w:cs="Times New Roman"/>
          <w:sz w:val="24"/>
          <w:szCs w:val="24"/>
        </w:rPr>
        <w:t xml:space="preserve"> quarrying, &amp; oil &amp; gas extraction</w:t>
      </w:r>
      <w:r w:rsidRPr="00973AB9">
        <w:rPr>
          <w:rFonts w:ascii="Times New Roman" w:eastAsia="Times New Roman" w:hAnsi="Times New Roman" w:cs="Times New Roman"/>
          <w:color w:val="000000"/>
          <w:sz w:val="24"/>
          <w:szCs w:val="24"/>
        </w:rPr>
        <w:t xml:space="preserve"> (21), construction (23), manufacturing (31-33), and management (55) sectors </w:t>
      </w:r>
      <w:r w:rsidRPr="00973AB9">
        <w:rPr>
          <w:rFonts w:ascii="Times New Roman" w:eastAsia="Times New Roman" w:hAnsi="Times New Roman" w:cs="Times New Roman"/>
          <w:color w:val="000000"/>
          <w:sz w:val="24"/>
          <w:szCs w:val="24"/>
        </w:rPr>
        <w:t>are</w:t>
      </w:r>
      <w:r w:rsidRPr="00973AB9">
        <w:rPr>
          <w:rFonts w:ascii="Times New Roman" w:eastAsia="Times New Roman" w:hAnsi="Times New Roman" w:cs="Times New Roman"/>
          <w:color w:val="000000"/>
          <w:sz w:val="24"/>
          <w:szCs w:val="24"/>
        </w:rPr>
        <w:t xml:space="preserve"> </w:t>
      </w:r>
    </w:p>
    <w:p w:rsidR="00E175D7" w:rsidRPr="00973AB9" w:rsidP="00E175D7" w14:paraId="62BC8634" w14:textId="7E2497FB">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oMath>
      <w:r w:rsidRPr="00973AB9">
        <w:rPr>
          <w:rFonts w:ascii="Times New Roman" w:eastAsia="Times New Roman" w:hAnsi="Times New Roman" w:cs="Times New Roman"/>
          <w:color w:val="000000"/>
          <w:sz w:val="24"/>
          <w:szCs w:val="24"/>
        </w:rPr>
        <w:t xml:space="preserve"> = 250</w:t>
      </w:r>
    </w:p>
    <w:p w:rsidR="00E175D7" w:rsidRPr="00973AB9" w:rsidP="00E175D7" w14:paraId="7575757E" w14:textId="33CC24B3">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oMath>
      <w:r w:rsidRPr="00973AB9">
        <w:rPr>
          <w:rFonts w:ascii="Times New Roman" w:eastAsia="Times New Roman" w:hAnsi="Times New Roman" w:cs="Times New Roman"/>
          <w:color w:val="000000"/>
          <w:sz w:val="24"/>
          <w:szCs w:val="24"/>
        </w:rPr>
        <w:t xml:space="preserve"> = 850</w:t>
      </w:r>
    </w:p>
    <w:p w:rsidR="00E175D7" w:rsidRPr="00973AB9" w:rsidP="00E175D7" w14:paraId="36296599"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oMath>
      <w:r w:rsidRPr="00973AB9">
        <w:rPr>
          <w:rFonts w:ascii="Times New Roman" w:eastAsia="Times New Roman" w:hAnsi="Times New Roman" w:cs="Times New Roman"/>
          <w:color w:val="000000"/>
          <w:sz w:val="24"/>
          <w:szCs w:val="24"/>
        </w:rPr>
        <w:t xml:space="preserve"> = 3,500</w:t>
      </w:r>
    </w:p>
    <w:p w:rsidR="00E175D7" w:rsidRPr="00973AB9" w:rsidP="00E175D7" w14:paraId="6D2B7E1D"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31-33</m:t>
            </m:r>
          </m:sub>
        </m:sSub>
      </m:oMath>
      <w:r w:rsidRPr="00973AB9">
        <w:rPr>
          <w:rFonts w:ascii="Times New Roman" w:eastAsia="Times New Roman" w:hAnsi="Times New Roman" w:cs="Times New Roman"/>
          <w:color w:val="000000"/>
          <w:sz w:val="24"/>
          <w:szCs w:val="24"/>
        </w:rPr>
        <w:t xml:space="preserve"> = 30,000</w:t>
      </w:r>
    </w:p>
    <w:p w:rsidR="00E175D7" w:rsidRPr="00973AB9" w:rsidP="00E175D7" w14:paraId="38920F14" w14:textId="195DBD70">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oMath>
      <w:r w:rsidRPr="00973AB9">
        <w:rPr>
          <w:rFonts w:ascii="Times New Roman" w:eastAsia="Times New Roman" w:hAnsi="Times New Roman" w:cs="Times New Roman"/>
          <w:color w:val="000000"/>
          <w:sz w:val="24"/>
          <w:szCs w:val="24"/>
        </w:rPr>
        <w:t xml:space="preserve"> = 100</w:t>
      </w:r>
    </w:p>
    <w:p w:rsidR="00E175D7" w:rsidRPr="00973AB9" w:rsidP="00E175D7" w14:paraId="56594583" w14:textId="77777777">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w:p>
    <w:p w:rsidR="00E175D7" w:rsidRPr="00973AB9" w:rsidP="00E175D7" w14:paraId="39CC84DD" w14:textId="39612465">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The values for allocations in agriculture (11), mining (21), construction (23), and m</w:t>
      </w:r>
      <w:r w:rsidRPr="00973AB9">
        <w:rPr>
          <w:rFonts w:ascii="Times New Roman" w:hAnsi="Times New Roman" w:cs="Times New Roman"/>
          <w:sz w:val="24"/>
          <w:szCs w:val="24"/>
        </w:rPr>
        <w:t>anagement of companies &amp; enterprises</w:t>
      </w:r>
      <w:r w:rsidRPr="00973AB9">
        <w:rPr>
          <w:rFonts w:ascii="Times New Roman" w:eastAsia="Times New Roman" w:hAnsi="Times New Roman" w:cs="Times New Roman"/>
          <w:color w:val="000000"/>
          <w:sz w:val="24"/>
          <w:szCs w:val="24"/>
        </w:rPr>
        <w:t xml:space="preserve"> (55) sectors are their respective sample sizes from the Annual Capital Expenditures Survey (ACES). Historically, the Annual Survey of Manufactures (ASM) has published state level estimates for manufacturing (31-33) sector. The relatively large allocation for this sector should yield domain estimates of comparable – or higher – reliability for </w:t>
      </w:r>
      <w:r w:rsidR="00872298">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AIES than their ASM counterparts, while also accounting for the elimination of the previous survey’s nonmail component.</w:t>
      </w:r>
    </w:p>
    <w:p w:rsidR="00E175D7" w:rsidRPr="00973AB9" w:rsidP="00E175D7" w14:paraId="7611D6B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973AB9" w:rsidP="00E175D7" w14:paraId="3C7D2E25" w14:textId="11273DAA">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The initial sector level allocations for the other sectors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973AB9">
        <w:rPr>
          <w:rFonts w:ascii="Times New Roman" w:eastAsia="Times New Roman" w:hAnsi="Times New Roman" w:cs="Times New Roman"/>
          <w:color w:val="000000"/>
          <w:sz w:val="24"/>
          <w:szCs w:val="24"/>
        </w:rPr>
        <w:t xml:space="preserve"> are obtained with proportional allocation, with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=n</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num>
              <m:den>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den>
            </m:f>
          </m:e>
        </m:d>
      </m:oMath>
      <w:r w:rsidRPr="00973AB9">
        <w:rPr>
          <w:rFonts w:ascii="Times New Roman" w:eastAsia="Times New Roman" w:hAnsi="Times New Roman" w:cs="Times New Roman"/>
          <w:color w:val="000000"/>
          <w:sz w:val="24"/>
          <w:szCs w:val="24"/>
        </w:rPr>
        <w:t xml:space="preserve">, where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31-33</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r>
          <w:rPr>
            <w:rFonts w:ascii="Cambria Math" w:eastAsia="Times New Roman" w:hAnsi="Cambria Math" w:cs="Times New Roman"/>
            <w:color w:val="000000"/>
            <w:sz w:val="24"/>
            <w:szCs w:val="24"/>
          </w:rPr>
          <m:t>.</m:t>
        </m:r>
      </m:oMath>
      <w:r w:rsidRPr="00973AB9">
        <w:rPr>
          <w:rFonts w:ascii="Times New Roman" w:eastAsia="Times New Roman" w:hAnsi="Times New Roman" w:cs="Times New Roman"/>
          <w:color w:val="000000"/>
          <w:sz w:val="24"/>
          <w:szCs w:val="24"/>
        </w:rPr>
        <w:t xml:space="preserve"> Initial allocations may be further increased as needed to attain targeted coefficient of variation</w:t>
      </w:r>
      <w:r w:rsidR="00D334D6">
        <w:rPr>
          <w:rFonts w:ascii="Times New Roman" w:eastAsia="Times New Roman" w:hAnsi="Times New Roman" w:cs="Times New Roman"/>
          <w:color w:val="000000"/>
          <w:sz w:val="24"/>
          <w:szCs w:val="24"/>
        </w:rPr>
        <w:t>s</w:t>
      </w:r>
      <w:r w:rsidRPr="00973AB9">
        <w:rPr>
          <w:rFonts w:ascii="Times New Roman" w:eastAsia="Times New Roman" w:hAnsi="Times New Roman" w:cs="Times New Roman"/>
          <w:color w:val="000000"/>
          <w:sz w:val="24"/>
          <w:szCs w:val="24"/>
        </w:rPr>
        <w:t xml:space="preserve"> (</w:t>
      </w:r>
      <w:r w:rsidR="00D334D6">
        <w:rPr>
          <w:rFonts w:ascii="Times New Roman" w:eastAsia="Times New Roman" w:hAnsi="Times New Roman" w:cs="Times New Roman"/>
          <w:color w:val="000000"/>
          <w:sz w:val="24"/>
          <w:szCs w:val="24"/>
        </w:rPr>
        <w:t>CV</w:t>
      </w:r>
      <w:r w:rsidRPr="00973AB9">
        <w:rPr>
          <w:rFonts w:ascii="Times New Roman" w:eastAsia="Times New Roman" w:hAnsi="Times New Roman" w:cs="Times New Roman"/>
          <w:color w:val="000000"/>
          <w:sz w:val="24"/>
          <w:szCs w:val="24"/>
        </w:rPr>
        <w:t xml:space="preserve">) of 2% or lower on the frame analysis variables for each national tabulation industry level and targeted </w:t>
      </w:r>
      <w:r w:rsidR="00D334D6">
        <w:rPr>
          <w:rFonts w:ascii="Times New Roman" w:eastAsia="Times New Roman" w:hAnsi="Times New Roman" w:cs="Times New Roman"/>
          <w:color w:val="000000"/>
          <w:sz w:val="24"/>
          <w:szCs w:val="24"/>
        </w:rPr>
        <w:t>CV’s</w:t>
      </w:r>
      <w:r w:rsidR="00C2076B">
        <w:rPr>
          <w:rFonts w:ascii="Times New Roman" w:eastAsia="Times New Roman" w:hAnsi="Times New Roman" w:cs="Times New Roman"/>
          <w:color w:val="000000"/>
          <w:sz w:val="24"/>
          <w:szCs w:val="24"/>
        </w:rPr>
        <w:t xml:space="preserve"> of </w:t>
      </w:r>
      <w:r w:rsidRPr="00973AB9">
        <w:rPr>
          <w:rFonts w:ascii="Times New Roman" w:eastAsia="Times New Roman" w:hAnsi="Times New Roman" w:cs="Times New Roman"/>
          <w:color w:val="000000"/>
          <w:sz w:val="24"/>
          <w:szCs w:val="24"/>
        </w:rPr>
        <w:t>15% or lower for geographic industry estimates.</w:t>
      </w:r>
    </w:p>
    <w:p w:rsidR="00943326" w:rsidRPr="00973AB9" w:rsidP="00943326" w14:paraId="155D82F8"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p>
    <w:p w:rsidR="00943326" w:rsidRPr="00973AB9" w:rsidP="00943326" w14:paraId="3F761493" w14:textId="44FBBB45">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Let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IC</m:t>
            </m:r>
          </m:sub>
        </m:sSub>
      </m:oMath>
      <w:r w:rsidRPr="00973AB9">
        <w:rPr>
          <w:rFonts w:ascii="Times New Roman" w:eastAsia="Times New Roman" w:hAnsi="Times New Roman" w:cs="Times New Roman"/>
          <w:color w:val="000000"/>
          <w:sz w:val="24"/>
          <w:szCs w:val="24"/>
        </w:rPr>
        <w:t xml:space="preserve"> be the set of companies on the AIES frame that are included in the initial certainty complexity stratum, so that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973AB9">
        <w:rPr>
          <w:rFonts w:ascii="Times New Roman" w:eastAsia="Times New Roman" w:hAnsi="Times New Roman" w:cs="Times New Roman"/>
          <w:color w:val="000000"/>
          <w:sz w:val="24"/>
          <w:szCs w:val="24"/>
        </w:rPr>
        <w:t xml:space="preserve"> is comprised of the remaining companies on the AIES frame. </w:t>
      </w:r>
      <w:r w:rsidRPr="00973AB9" w:rsidR="00F24C18">
        <w:rPr>
          <w:rFonts w:ascii="Times New Roman" w:eastAsia="Times New Roman" w:hAnsi="Times New Roman" w:cs="Times New Roman"/>
          <w:color w:val="000000"/>
          <w:sz w:val="24"/>
          <w:szCs w:val="24"/>
        </w:rPr>
        <w:t xml:space="preserve">The remaining companies are split into </w:t>
      </w:r>
      <w:r w:rsidR="00323DB5">
        <w:rPr>
          <w:rFonts w:ascii="Times New Roman" w:eastAsia="Times New Roman" w:hAnsi="Times New Roman" w:cs="Times New Roman"/>
          <w:color w:val="000000"/>
          <w:sz w:val="24"/>
          <w:szCs w:val="24"/>
        </w:rPr>
        <w:t>19</w:t>
      </w:r>
      <w:r w:rsidRPr="00973AB9">
        <w:rPr>
          <w:rFonts w:ascii="Times New Roman" w:eastAsia="Times New Roman" w:hAnsi="Times New Roman" w:cs="Times New Roman"/>
          <w:color w:val="000000"/>
          <w:sz w:val="24"/>
          <w:szCs w:val="24"/>
        </w:rPr>
        <w:t xml:space="preserve"> separate sector (2-digit NAICS) frames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973AB9">
        <w:rPr>
          <w:rFonts w:ascii="Times New Roman" w:eastAsia="Times New Roman" w:hAnsi="Times New Roman" w:cs="Times New Roman"/>
          <w:color w:val="000000"/>
          <w:sz w:val="24"/>
          <w:szCs w:val="24"/>
        </w:rPr>
        <w:t xml:space="preserve"> from the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973AB9">
        <w:rPr>
          <w:rFonts w:ascii="Times New Roman" w:eastAsia="Times New Roman" w:hAnsi="Times New Roman" w:cs="Times New Roman"/>
          <w:color w:val="000000"/>
          <w:sz w:val="24"/>
          <w:szCs w:val="24"/>
        </w:rPr>
        <w:t>.</w:t>
      </w:r>
      <w:r w:rsidRPr="00973AB9" w:rsidR="00F24C18">
        <w:rPr>
          <w:rFonts w:ascii="Times New Roman" w:eastAsia="Times New Roman" w:hAnsi="Times New Roman" w:cs="Times New Roman"/>
          <w:color w:val="000000"/>
          <w:sz w:val="24"/>
          <w:szCs w:val="24"/>
        </w:rPr>
        <w:t xml:space="preserve"> </w:t>
      </w:r>
      <w:r w:rsidRPr="00973AB9">
        <w:rPr>
          <w:rFonts w:ascii="Times New Roman" w:eastAsia="Times New Roman" w:hAnsi="Times New Roman" w:cs="Times New Roman"/>
          <w:color w:val="000000"/>
          <w:sz w:val="24"/>
          <w:szCs w:val="24"/>
        </w:rPr>
        <w:t xml:space="preserve"> </w:t>
      </w:r>
    </w:p>
    <w:p w:rsidR="00886101" w:rsidRPr="00973AB9" w:rsidP="00943326" w14:paraId="1674FCBB" w14:textId="2110456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675D9787" w14:textId="27036203">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The within-sector stratification procedure is applied to all sectors except agriculture (11), mining (21), construction (23)</w:t>
      </w:r>
      <w:r w:rsidRPr="00973AB9" w:rsidR="00E175D7">
        <w:rPr>
          <w:rFonts w:ascii="Times New Roman" w:eastAsia="Times New Roman" w:hAnsi="Times New Roman" w:cs="Times New Roman"/>
          <w:color w:val="000000"/>
          <w:sz w:val="24"/>
          <w:szCs w:val="24"/>
        </w:rPr>
        <w:t>, and management of companies and enterprises (55)</w:t>
      </w:r>
      <w:r w:rsidRPr="00973AB9">
        <w:rPr>
          <w:rFonts w:ascii="Times New Roman" w:eastAsia="Times New Roman" w:hAnsi="Times New Roman" w:cs="Times New Roman"/>
          <w:color w:val="000000"/>
          <w:sz w:val="24"/>
          <w:szCs w:val="24"/>
        </w:rPr>
        <w:t>. As these sectors do not have geographic publication requirements, their initial strata are defined by 3-digit NAICS.</w:t>
      </w:r>
    </w:p>
    <w:p w:rsidR="00886101" w:rsidRPr="00973AB9" w:rsidP="00886101" w14:paraId="0C8B076A"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4CA81A2A" w14:textId="712AEF63">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For the remaining sectors, the noncertainty USUs (companies) are stratified into</w:t>
      </w:r>
      <w:r w:rsidRPr="00973AB9" w:rsidR="00886DB8">
        <w:rPr>
          <w:rFonts w:ascii="Times New Roman" w:eastAsia="Times New Roman" w:hAnsi="Times New Roman" w:cs="Times New Roman"/>
          <w:color w:val="000000"/>
          <w:sz w:val="24"/>
          <w:szCs w:val="24"/>
        </w:rPr>
        <w:t>:</w:t>
      </w:r>
    </w:p>
    <w:p w:rsidR="00886101" w:rsidRPr="00973AB9" w:rsidP="00886101" w14:paraId="6800A0F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7B2CDAAE" w14:textId="30CBF3BD">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A single diverse company stratum (1) comprising companies that operate in two different 4-digit NAICS industries and one state (sectors 44</w:t>
      </w:r>
      <w:r w:rsidRPr="00973AB9" w:rsidR="00E175D7">
        <w:rPr>
          <w:rFonts w:ascii="Times New Roman" w:eastAsia="Times New Roman" w:hAnsi="Times New Roman" w:cs="Times New Roman"/>
          <w:color w:val="000000"/>
          <w:sz w:val="24"/>
          <w:szCs w:val="24"/>
        </w:rPr>
        <w:t>-</w:t>
      </w:r>
      <w:r w:rsidRPr="00973AB9">
        <w:rPr>
          <w:rFonts w:ascii="Times New Roman" w:eastAsia="Times New Roman" w:hAnsi="Times New Roman" w:cs="Times New Roman"/>
          <w:color w:val="000000"/>
          <w:sz w:val="24"/>
          <w:szCs w:val="24"/>
        </w:rPr>
        <w:t>45 and 62 only)</w:t>
      </w:r>
    </w:p>
    <w:p w:rsidR="00886101" w:rsidP="00886101" w14:paraId="02CE3E13" w14:textId="278C22C9">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One multi-state stratum per 3-digit NAICS industry</w:t>
      </w:r>
      <w:r>
        <w:rPr>
          <w:rStyle w:val="FootnoteReference"/>
          <w:rFonts w:ascii="Times New Roman" w:eastAsia="Times New Roman" w:hAnsi="Times New Roman" w:cs="Times New Roman"/>
          <w:color w:val="000000"/>
          <w:sz w:val="24"/>
          <w:szCs w:val="24"/>
        </w:rPr>
        <w:footnoteReference w:id="2"/>
      </w:r>
      <w:r w:rsidRPr="00973AB9">
        <w:rPr>
          <w:rFonts w:ascii="Times New Roman" w:eastAsia="Times New Roman" w:hAnsi="Times New Roman" w:cs="Times New Roman"/>
          <w:color w:val="000000"/>
          <w:sz w:val="24"/>
          <w:szCs w:val="24"/>
        </w:rPr>
        <w:t xml:space="preserve">  comprising companies that operate in one 3-digit NAICS industry and 2 or more </w:t>
      </w:r>
      <w:r w:rsidRPr="00973AB9">
        <w:rPr>
          <w:rFonts w:ascii="Times New Roman" w:eastAsia="Times New Roman" w:hAnsi="Times New Roman" w:cs="Times New Roman"/>
          <w:color w:val="000000"/>
          <w:sz w:val="24"/>
          <w:szCs w:val="24"/>
        </w:rPr>
        <w:t>states</w:t>
      </w:r>
    </w:p>
    <w:p w:rsidR="00886101" w:rsidRPr="00580ABC" w:rsidP="00580ABC" w14:paraId="3814F6BA" w14:textId="089AD90F">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580ABC">
        <w:rPr>
          <w:rFonts w:ascii="Times New Roman" w:eastAsia="Times New Roman" w:hAnsi="Times New Roman" w:cs="Times New Roman"/>
          <w:color w:val="000000"/>
          <w:sz w:val="24"/>
          <w:szCs w:val="24"/>
        </w:rPr>
        <w:t>Twenty-seven geographic substrata</w:t>
      </w:r>
      <w:r w:rsidRPr="00580ABC">
        <w:rPr>
          <w:rFonts w:ascii="Times New Roman" w:eastAsia="Times New Roman" w:hAnsi="Times New Roman" w:cs="Times New Roman"/>
          <w:color w:val="000000"/>
          <w:sz w:val="24"/>
          <w:szCs w:val="24"/>
        </w:rPr>
        <w:t xml:space="preserve"> per 3-digit NAICS industry comprising companies that solely operate in the identified 3-digit NAICS industry and the geographic substratum</w:t>
      </w:r>
      <w:r w:rsidRPr="00580ABC">
        <w:rPr>
          <w:rFonts w:ascii="Times New Roman" w:eastAsia="Times New Roman" w:hAnsi="Times New Roman" w:cs="Times New Roman"/>
          <w:color w:val="000000"/>
          <w:sz w:val="24"/>
          <w:szCs w:val="24"/>
        </w:rPr>
        <w:t>: see table 2</w:t>
      </w:r>
      <w:r w:rsidRPr="00580ABC">
        <w:rPr>
          <w:rFonts w:ascii="Times New Roman" w:eastAsia="Times New Roman" w:hAnsi="Times New Roman" w:cs="Times New Roman"/>
          <w:color w:val="000000"/>
          <w:sz w:val="24"/>
          <w:szCs w:val="24"/>
        </w:rPr>
        <w:t xml:space="preserve">. </w:t>
      </w:r>
    </w:p>
    <w:p w:rsidR="00184F7F" w:rsidRPr="00973AB9" w:rsidP="00886101" w14:paraId="7512BDA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174A06DA" w14:textId="5D04982C">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Table 2: </w:t>
      </w:r>
      <w:r w:rsidRPr="00973AB9" w:rsidR="00D50965">
        <w:rPr>
          <w:rFonts w:ascii="Times New Roman" w:eastAsia="Times New Roman" w:hAnsi="Times New Roman" w:cs="Times New Roman"/>
          <w:color w:val="000000"/>
          <w:sz w:val="24"/>
          <w:szCs w:val="24"/>
        </w:rPr>
        <w:t>Geographic Strata</w:t>
      </w:r>
      <w:r w:rsidRPr="00973AB9">
        <w:rPr>
          <w:rFonts w:ascii="Times New Roman" w:eastAsia="Times New Roman" w:hAnsi="Times New Roman" w:cs="Times New Roman"/>
          <w:color w:val="000000"/>
          <w:sz w:val="24"/>
          <w:szCs w:val="24"/>
        </w:rPr>
        <w:t xml:space="preserve"> for </w:t>
      </w:r>
      <w:r w:rsidR="00872298">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AIES Sampling Design</w:t>
      </w:r>
      <w:r w:rsidRPr="0050284A" w:rsidR="0050284A">
        <w:rPr>
          <w:rFonts w:ascii="Times New Roman" w:eastAsia="Times New Roman" w:hAnsi="Times New Roman" w:cs="Times New Roman"/>
          <w:color w:val="000000"/>
          <w:sz w:val="24"/>
          <w:szCs w:val="24"/>
          <w:vertAlign w:val="superscript"/>
        </w:rPr>
        <w:t xml:space="preserve">1, </w:t>
      </w:r>
      <w:r>
        <w:rPr>
          <w:rStyle w:val="FootnoteReference"/>
          <w:rFonts w:ascii="Times New Roman" w:eastAsia="Times New Roman" w:hAnsi="Times New Roman" w:cs="Times New Roman"/>
          <w:color w:val="000000"/>
          <w:sz w:val="24"/>
          <w:szCs w:val="24"/>
        </w:rPr>
        <w:footnoteReference w:id="3"/>
      </w:r>
      <w:r w:rsidRPr="00451B75" w:rsidR="00785BAB">
        <w:rPr>
          <w:rFonts w:ascii="Times New Roman" w:eastAsia="Times New Roman" w:hAnsi="Times New Roman" w:cs="Times New Roman"/>
          <w:color w:val="000000"/>
          <w:sz w:val="24"/>
          <w:szCs w:val="24"/>
          <w:vertAlign w:val="superscript"/>
        </w:rPr>
        <w:t>, 3</w:t>
      </w:r>
    </w:p>
    <w:tbl>
      <w:tblPr>
        <w:tblStyle w:val="PlainTable2"/>
        <w:tblW w:w="0" w:type="auto"/>
        <w:tblLook w:val="04A0"/>
      </w:tblPr>
      <w:tblGrid>
        <w:gridCol w:w="1355"/>
        <w:gridCol w:w="918"/>
        <w:gridCol w:w="3915"/>
        <w:gridCol w:w="3172"/>
      </w:tblGrid>
      <w:tr w14:paraId="3402BDE0" w14:textId="797D1256" w:rsidTr="00D50965">
        <w:tblPrEx>
          <w:tblW w:w="0" w:type="auto"/>
          <w:tblLook w:val="04A0"/>
        </w:tblPrEx>
        <w:tc>
          <w:tcPr>
            <w:tcW w:w="1355" w:type="dxa"/>
          </w:tcPr>
          <w:p w:rsidR="00D50965" w:rsidRPr="00973AB9" w:rsidP="00846CE9" w14:paraId="0DF5A567"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Region</w:t>
            </w:r>
          </w:p>
        </w:tc>
        <w:tc>
          <w:tcPr>
            <w:tcW w:w="918" w:type="dxa"/>
          </w:tcPr>
          <w:p w:rsidR="00D50965" w:rsidRPr="00973AB9" w:rsidP="00846CE9" w14:paraId="23D7097B"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Total States</w:t>
            </w:r>
          </w:p>
        </w:tc>
        <w:tc>
          <w:tcPr>
            <w:tcW w:w="3915" w:type="dxa"/>
          </w:tcPr>
          <w:p w:rsidR="00D50965" w:rsidRPr="00973AB9" w:rsidP="00846CE9" w14:paraId="0B937BD8"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Direct Use States</w:t>
            </w:r>
          </w:p>
        </w:tc>
        <w:tc>
          <w:tcPr>
            <w:tcW w:w="3172" w:type="dxa"/>
          </w:tcPr>
          <w:p w:rsidR="00D50965" w:rsidRPr="00973AB9" w:rsidP="00846CE9" w14:paraId="4E356D4B" w14:textId="2343486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States Included in Balance of Region</w:t>
            </w:r>
          </w:p>
        </w:tc>
      </w:tr>
      <w:tr w14:paraId="69B2B423" w14:textId="72AEC06B" w:rsidTr="00D50965">
        <w:tblPrEx>
          <w:tblW w:w="0" w:type="auto"/>
          <w:tblLook w:val="04A0"/>
        </w:tblPrEx>
        <w:tc>
          <w:tcPr>
            <w:tcW w:w="1355" w:type="dxa"/>
          </w:tcPr>
          <w:p w:rsidR="00D50965" w:rsidRPr="00973AB9" w:rsidP="00846CE9" w14:paraId="683AFAE3"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Northeast</w:t>
            </w:r>
          </w:p>
        </w:tc>
        <w:tc>
          <w:tcPr>
            <w:tcW w:w="918" w:type="dxa"/>
          </w:tcPr>
          <w:p w:rsidR="00D50965" w:rsidRPr="00973AB9" w:rsidP="00846CE9" w14:paraId="39B7BF5D"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9</w:t>
            </w:r>
          </w:p>
        </w:tc>
        <w:tc>
          <w:tcPr>
            <w:tcW w:w="3915" w:type="dxa"/>
          </w:tcPr>
          <w:p w:rsidR="00D50965" w:rsidRPr="00973AB9" w:rsidP="00846CE9" w14:paraId="59353803" w14:textId="270A563D">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Massachusetts, New York, New Jersey, Pennsylvania</w:t>
            </w:r>
          </w:p>
        </w:tc>
        <w:tc>
          <w:tcPr>
            <w:tcW w:w="3172" w:type="dxa"/>
          </w:tcPr>
          <w:p w:rsidR="00D50965" w:rsidRPr="00973AB9" w:rsidP="00846CE9" w14:paraId="3518B179" w14:textId="5621FF71">
            <w:pPr>
              <w:textAlignment w:val="baseline"/>
              <w:rPr>
                <w:rFonts w:ascii="Times New Roman" w:eastAsia="Times New Roman" w:hAnsi="Times New Roman" w:cs="Times New Roman"/>
                <w:color w:val="000000"/>
                <w:sz w:val="24"/>
                <w:szCs w:val="24"/>
              </w:rPr>
            </w:pPr>
            <w:r w:rsidRPr="008E283F">
              <w:rPr>
                <w:rFonts w:ascii="Times New Roman" w:eastAsia="Times New Roman" w:hAnsi="Times New Roman" w:cs="Times New Roman"/>
                <w:color w:val="000000"/>
                <w:sz w:val="24"/>
                <w:szCs w:val="24"/>
                <w:highlight w:val="darkGray"/>
              </w:rPr>
              <w:t>C</w:t>
            </w:r>
            <w:r w:rsidRPr="008E283F">
              <w:rPr>
                <w:rFonts w:eastAsia="Times New Roman"/>
                <w:highlight w:val="darkGray"/>
              </w:rPr>
              <w:t>onnecticut,</w:t>
            </w:r>
            <w:r>
              <w:rPr>
                <w:rFonts w:eastAsia="Times New Roman"/>
              </w:rPr>
              <w:t xml:space="preserve"> </w:t>
            </w:r>
            <w:r w:rsidRPr="00973AB9">
              <w:rPr>
                <w:rFonts w:ascii="Times New Roman" w:eastAsia="Times New Roman" w:hAnsi="Times New Roman" w:cs="Times New Roman"/>
                <w:color w:val="000000"/>
                <w:sz w:val="24"/>
                <w:szCs w:val="24"/>
              </w:rPr>
              <w:t>Maine, New Hampshire, Rhode Island, Vermont</w:t>
            </w:r>
          </w:p>
        </w:tc>
      </w:tr>
      <w:tr w14:paraId="71D37EE8" w14:textId="0F5D3851" w:rsidTr="00D50965">
        <w:tblPrEx>
          <w:tblW w:w="0" w:type="auto"/>
          <w:tblLook w:val="04A0"/>
        </w:tblPrEx>
        <w:tc>
          <w:tcPr>
            <w:tcW w:w="1355" w:type="dxa"/>
          </w:tcPr>
          <w:p w:rsidR="00D50965" w:rsidRPr="00973AB9" w:rsidP="00846CE9" w14:paraId="07B595E2"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Midwest</w:t>
            </w:r>
          </w:p>
        </w:tc>
        <w:tc>
          <w:tcPr>
            <w:tcW w:w="918" w:type="dxa"/>
          </w:tcPr>
          <w:p w:rsidR="00D50965" w:rsidRPr="00973AB9" w:rsidP="00846CE9" w14:paraId="5C43B98B"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12</w:t>
            </w:r>
          </w:p>
        </w:tc>
        <w:tc>
          <w:tcPr>
            <w:tcW w:w="3915" w:type="dxa"/>
          </w:tcPr>
          <w:p w:rsidR="00D50965" w:rsidRPr="00973AB9" w:rsidP="00846CE9" w14:paraId="2D31FD69"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Illinois, Indiana, Michigan, Minnesota, Missouri, Ohio, Wisconsin</w:t>
            </w:r>
          </w:p>
        </w:tc>
        <w:tc>
          <w:tcPr>
            <w:tcW w:w="3172" w:type="dxa"/>
          </w:tcPr>
          <w:p w:rsidR="00D50965" w:rsidRPr="00973AB9" w:rsidP="00846CE9" w14:paraId="0646283D" w14:textId="3A55E8B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Iowa, Kansas, Nebraska, North Dakota, South Dakota</w:t>
            </w:r>
          </w:p>
        </w:tc>
      </w:tr>
      <w:tr w14:paraId="0B3BF0F5" w14:textId="4C825119" w:rsidTr="00D50965">
        <w:tblPrEx>
          <w:tblW w:w="0" w:type="auto"/>
          <w:tblLook w:val="04A0"/>
        </w:tblPrEx>
        <w:tc>
          <w:tcPr>
            <w:tcW w:w="1355" w:type="dxa"/>
          </w:tcPr>
          <w:p w:rsidR="00D50965" w:rsidRPr="00973AB9" w:rsidP="00846CE9" w14:paraId="59B87B59"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South</w:t>
            </w:r>
          </w:p>
        </w:tc>
        <w:tc>
          <w:tcPr>
            <w:tcW w:w="918" w:type="dxa"/>
          </w:tcPr>
          <w:p w:rsidR="00D50965" w:rsidRPr="00973AB9" w:rsidP="00846CE9" w14:paraId="1560E2EC"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16</w:t>
            </w:r>
          </w:p>
        </w:tc>
        <w:tc>
          <w:tcPr>
            <w:tcW w:w="3915" w:type="dxa"/>
          </w:tcPr>
          <w:p w:rsidR="00D50965" w:rsidRPr="00973AB9" w:rsidP="00846CE9" w14:paraId="40EE2631" w14:textId="3567C8D3">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Florida, Georgia, Maryland, North Carolina, Tennessee, Texas, Virginia</w:t>
            </w:r>
          </w:p>
        </w:tc>
        <w:tc>
          <w:tcPr>
            <w:tcW w:w="3172" w:type="dxa"/>
          </w:tcPr>
          <w:p w:rsidR="00D50965" w:rsidRPr="00973AB9" w:rsidP="00846CE9" w14:paraId="3E6E1AFA" w14:textId="30E9F6F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Alabama, Arkansas, Delaware, District of Columbia, Kentucky, Louisiana, Mississippi, </w:t>
            </w:r>
            <w:r w:rsidRPr="00973AB9">
              <w:rPr>
                <w:rFonts w:ascii="Times New Roman" w:eastAsia="Times New Roman" w:hAnsi="Times New Roman" w:cs="Times New Roman"/>
                <w:color w:val="000000"/>
                <w:sz w:val="24"/>
                <w:szCs w:val="24"/>
              </w:rPr>
              <w:t xml:space="preserve">Oklahoma, </w:t>
            </w:r>
            <w:r w:rsidRPr="008E283F" w:rsidR="00CC2385">
              <w:rPr>
                <w:rFonts w:ascii="Times New Roman" w:eastAsia="Times New Roman" w:hAnsi="Times New Roman" w:cs="Times New Roman"/>
                <w:color w:val="000000"/>
                <w:sz w:val="24"/>
                <w:szCs w:val="24"/>
                <w:highlight w:val="darkGray"/>
              </w:rPr>
              <w:t>S</w:t>
            </w:r>
            <w:r w:rsidRPr="008E283F" w:rsidR="00CC2385">
              <w:rPr>
                <w:rFonts w:eastAsia="Times New Roman"/>
                <w:highlight w:val="darkGray"/>
              </w:rPr>
              <w:t>outh Carolina,</w:t>
            </w:r>
            <w:r w:rsidR="00CC2385">
              <w:rPr>
                <w:rFonts w:eastAsia="Times New Roman"/>
              </w:rPr>
              <w:t xml:space="preserve"> </w:t>
            </w:r>
            <w:r w:rsidRPr="00973AB9">
              <w:rPr>
                <w:rFonts w:ascii="Times New Roman" w:eastAsia="Times New Roman" w:hAnsi="Times New Roman" w:cs="Times New Roman"/>
                <w:color w:val="000000"/>
                <w:sz w:val="24"/>
                <w:szCs w:val="24"/>
              </w:rPr>
              <w:t>West Virginia</w:t>
            </w:r>
          </w:p>
        </w:tc>
      </w:tr>
      <w:tr w14:paraId="03861B45" w14:textId="210DBC11" w:rsidTr="00D50965">
        <w:tblPrEx>
          <w:tblW w:w="0" w:type="auto"/>
          <w:tblLook w:val="04A0"/>
        </w:tblPrEx>
        <w:tc>
          <w:tcPr>
            <w:tcW w:w="1355" w:type="dxa"/>
          </w:tcPr>
          <w:p w:rsidR="00D50965" w:rsidRPr="00973AB9" w:rsidP="00846CE9" w14:paraId="1597A19A"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West</w:t>
            </w:r>
          </w:p>
        </w:tc>
        <w:tc>
          <w:tcPr>
            <w:tcW w:w="918" w:type="dxa"/>
          </w:tcPr>
          <w:p w:rsidR="00D50965" w:rsidRPr="00973AB9" w:rsidP="00846CE9" w14:paraId="751F4611" w14:textId="7777777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13</w:t>
            </w:r>
          </w:p>
        </w:tc>
        <w:tc>
          <w:tcPr>
            <w:tcW w:w="3915" w:type="dxa"/>
          </w:tcPr>
          <w:p w:rsidR="00D50965" w:rsidRPr="00973AB9" w:rsidP="00846CE9" w14:paraId="4BCFF210" w14:textId="185D246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Arizona, California, Colorado, Oregon, Washington</w:t>
            </w:r>
          </w:p>
        </w:tc>
        <w:tc>
          <w:tcPr>
            <w:tcW w:w="3172" w:type="dxa"/>
          </w:tcPr>
          <w:p w:rsidR="00D50965" w:rsidRPr="00973AB9" w:rsidP="00846CE9" w14:paraId="26F4AA73" w14:textId="20ADA9BF">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Alaska, Hawaii, Idaho, Montana, </w:t>
            </w:r>
            <w:r w:rsidRPr="008E283F" w:rsidR="00CC2385">
              <w:rPr>
                <w:rFonts w:ascii="Times New Roman" w:eastAsia="Times New Roman" w:hAnsi="Times New Roman" w:cs="Times New Roman"/>
                <w:color w:val="000000"/>
                <w:sz w:val="24"/>
                <w:szCs w:val="24"/>
                <w:highlight w:val="darkGray"/>
              </w:rPr>
              <w:t>N</w:t>
            </w:r>
            <w:r w:rsidRPr="008E283F" w:rsidR="00CC2385">
              <w:rPr>
                <w:rFonts w:eastAsia="Times New Roman"/>
                <w:highlight w:val="darkGray"/>
              </w:rPr>
              <w:t>evada,</w:t>
            </w:r>
            <w:r w:rsidR="00CC2385">
              <w:rPr>
                <w:rFonts w:eastAsia="Times New Roman"/>
              </w:rPr>
              <w:t xml:space="preserve"> </w:t>
            </w:r>
            <w:r w:rsidRPr="00973AB9">
              <w:rPr>
                <w:rFonts w:ascii="Times New Roman" w:eastAsia="Times New Roman" w:hAnsi="Times New Roman" w:cs="Times New Roman"/>
                <w:color w:val="000000"/>
                <w:sz w:val="24"/>
                <w:szCs w:val="24"/>
              </w:rPr>
              <w:t>New Mexico, Utah, Wyoming</w:t>
            </w:r>
          </w:p>
        </w:tc>
      </w:tr>
    </w:tbl>
    <w:p w:rsidR="00886101" w:rsidRPr="00973AB9" w:rsidP="00886101" w14:paraId="4AD0D62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506B0" w:rsidRPr="00973AB9" w:rsidP="00886101" w14:paraId="0736F35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506B0" w:rsidRPr="00973AB9" w:rsidP="00886101" w14:paraId="3CFDAF5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C76CC5" w:rsidP="00886101" w14:paraId="3541D86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48B520FD" w14:textId="31AC2CDD">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Figure 1 illustrates the initial stratification procedure.</w:t>
      </w:r>
    </w:p>
    <w:p w:rsidR="00886101" w:rsidRPr="00973AB9" w:rsidP="00886101" w14:paraId="67BF5CEE" w14:textId="4A19A25F">
      <w:pPr>
        <w:keepNext/>
        <w:shd w:val="clear" w:color="auto" w:fill="FFFFFF" w:themeFill="background1"/>
        <w:spacing w:after="0" w:line="240" w:lineRule="auto"/>
        <w:textAlignment w:val="baseline"/>
        <w:rPr>
          <w:rFonts w:ascii="Times New Roman" w:hAnsi="Times New Roman" w:cs="Times New Roman"/>
          <w:sz w:val="24"/>
          <w:szCs w:val="24"/>
        </w:rPr>
      </w:pPr>
    </w:p>
    <w:p w:rsidR="00886101" w:rsidRPr="00973AB9" w:rsidP="00886101" w14:paraId="08439ED2" w14:textId="2F99FF74">
      <w:pPr>
        <w:shd w:val="clear" w:color="auto" w:fill="FFFFFF" w:themeFill="background1"/>
        <w:spacing w:after="0" w:line="240" w:lineRule="auto"/>
        <w:textAlignment w:val="baseline"/>
        <w:rPr>
          <w:rFonts w:ascii="Times New Roman" w:hAnsi="Times New Roman" w:cs="Times New Roman"/>
          <w:i/>
          <w:iCs/>
          <w:sz w:val="24"/>
          <w:szCs w:val="24"/>
        </w:rPr>
      </w:pPr>
      <w:r w:rsidRPr="00973AB9">
        <w:rPr>
          <w:rFonts w:ascii="Times New Roman" w:eastAsia="Times New Roman" w:hAnsi="Times New Roman" w:cs="Times New Roman"/>
          <w:noProof/>
          <w:color w:val="000000"/>
          <w:sz w:val="24"/>
          <w:szCs w:val="24"/>
        </w:rPr>
        <w:drawing>
          <wp:inline distT="0" distB="0" distL="0" distR="0">
            <wp:extent cx="5943600" cy="37242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943600" cy="3724275"/>
                    </a:xfrm>
                    <a:prstGeom prst="rect">
                      <a:avLst/>
                    </a:prstGeom>
                    <a:ln>
                      <a:solidFill>
                        <a:schemeClr val="tx1"/>
                      </a:solidFill>
                    </a:ln>
                  </pic:spPr>
                </pic:pic>
              </a:graphicData>
            </a:graphic>
          </wp:inline>
        </w:drawing>
      </w:r>
      <w:r w:rsidRPr="00973AB9">
        <w:rPr>
          <w:rFonts w:ascii="Times New Roman" w:hAnsi="Times New Roman" w:cs="Times New Roman"/>
          <w:i/>
          <w:iCs/>
          <w:sz w:val="24"/>
          <w:szCs w:val="24"/>
        </w:rPr>
        <w:t xml:space="preserve">Figure 1:  AIES Stratification Within Sector for all sectors but </w:t>
      </w:r>
      <w:r w:rsidRPr="00973AB9" w:rsidR="00D50965">
        <w:rPr>
          <w:rFonts w:ascii="Times New Roman" w:hAnsi="Times New Roman" w:cs="Times New Roman"/>
          <w:i/>
          <w:iCs/>
          <w:sz w:val="24"/>
          <w:szCs w:val="24"/>
        </w:rPr>
        <w:t>agriculture (</w:t>
      </w:r>
      <w:r w:rsidRPr="00973AB9">
        <w:rPr>
          <w:rFonts w:ascii="Times New Roman" w:hAnsi="Times New Roman" w:cs="Times New Roman"/>
          <w:i/>
          <w:iCs/>
          <w:sz w:val="24"/>
          <w:szCs w:val="24"/>
        </w:rPr>
        <w:t>11</w:t>
      </w:r>
      <w:r w:rsidRPr="00973AB9" w:rsidR="00D50965">
        <w:rPr>
          <w:rFonts w:ascii="Times New Roman" w:hAnsi="Times New Roman" w:cs="Times New Roman"/>
          <w:i/>
          <w:iCs/>
          <w:sz w:val="24"/>
          <w:szCs w:val="24"/>
        </w:rPr>
        <w:t>)</w:t>
      </w:r>
      <w:r w:rsidRPr="00973AB9">
        <w:rPr>
          <w:rFonts w:ascii="Times New Roman" w:hAnsi="Times New Roman" w:cs="Times New Roman"/>
          <w:i/>
          <w:iCs/>
          <w:sz w:val="24"/>
          <w:szCs w:val="24"/>
        </w:rPr>
        <w:t xml:space="preserve">, </w:t>
      </w:r>
      <w:r w:rsidRPr="00973AB9" w:rsidR="00D50965">
        <w:rPr>
          <w:rFonts w:ascii="Times New Roman" w:hAnsi="Times New Roman" w:cs="Times New Roman"/>
          <w:i/>
          <w:iCs/>
          <w:sz w:val="24"/>
          <w:szCs w:val="24"/>
        </w:rPr>
        <w:t>mining (</w:t>
      </w:r>
      <w:r w:rsidRPr="00973AB9">
        <w:rPr>
          <w:rFonts w:ascii="Times New Roman" w:hAnsi="Times New Roman" w:cs="Times New Roman"/>
          <w:i/>
          <w:iCs/>
          <w:sz w:val="24"/>
          <w:szCs w:val="24"/>
        </w:rPr>
        <w:t>21</w:t>
      </w:r>
      <w:r w:rsidRPr="00973AB9" w:rsidR="00D50965">
        <w:rPr>
          <w:rFonts w:ascii="Times New Roman" w:hAnsi="Times New Roman" w:cs="Times New Roman"/>
          <w:i/>
          <w:iCs/>
          <w:sz w:val="24"/>
          <w:szCs w:val="24"/>
        </w:rPr>
        <w:t>)</w:t>
      </w:r>
      <w:r w:rsidRPr="00973AB9">
        <w:rPr>
          <w:rFonts w:ascii="Times New Roman" w:hAnsi="Times New Roman" w:cs="Times New Roman"/>
          <w:i/>
          <w:iCs/>
          <w:sz w:val="24"/>
          <w:szCs w:val="24"/>
        </w:rPr>
        <w:t xml:space="preserve">, </w:t>
      </w:r>
      <w:r w:rsidRPr="00973AB9" w:rsidR="00D50965">
        <w:rPr>
          <w:rFonts w:ascii="Times New Roman" w:hAnsi="Times New Roman" w:cs="Times New Roman"/>
          <w:i/>
          <w:iCs/>
          <w:sz w:val="24"/>
          <w:szCs w:val="24"/>
        </w:rPr>
        <w:t>construction (</w:t>
      </w:r>
      <w:r w:rsidRPr="00973AB9">
        <w:rPr>
          <w:rFonts w:ascii="Times New Roman" w:hAnsi="Times New Roman" w:cs="Times New Roman"/>
          <w:i/>
          <w:iCs/>
          <w:sz w:val="24"/>
          <w:szCs w:val="24"/>
        </w:rPr>
        <w:t>23</w:t>
      </w:r>
      <w:r w:rsidRPr="00973AB9" w:rsidR="00D50965">
        <w:rPr>
          <w:rFonts w:ascii="Times New Roman" w:hAnsi="Times New Roman" w:cs="Times New Roman"/>
          <w:i/>
          <w:iCs/>
          <w:sz w:val="24"/>
          <w:szCs w:val="24"/>
        </w:rPr>
        <w:t>)</w:t>
      </w:r>
      <w:r w:rsidRPr="00973AB9">
        <w:rPr>
          <w:rFonts w:ascii="Times New Roman" w:hAnsi="Times New Roman" w:cs="Times New Roman"/>
          <w:i/>
          <w:iCs/>
          <w:sz w:val="24"/>
          <w:szCs w:val="24"/>
        </w:rPr>
        <w:t xml:space="preserve">, and </w:t>
      </w:r>
      <w:r w:rsidRPr="00973AB9" w:rsidR="00D50965">
        <w:rPr>
          <w:rFonts w:ascii="Times New Roman" w:hAnsi="Times New Roman" w:cs="Times New Roman"/>
          <w:i/>
          <w:iCs/>
          <w:sz w:val="24"/>
          <w:szCs w:val="24"/>
        </w:rPr>
        <w:t>management (55)</w:t>
      </w:r>
      <w:r w:rsidRPr="00973AB9">
        <w:rPr>
          <w:rFonts w:ascii="Times New Roman" w:hAnsi="Times New Roman" w:cs="Times New Roman"/>
          <w:i/>
          <w:iCs/>
          <w:sz w:val="24"/>
          <w:szCs w:val="24"/>
        </w:rPr>
        <w:t xml:space="preserve">. </w:t>
      </w:r>
      <w:r w:rsidRPr="00973AB9" w:rsidR="00D50965">
        <w:rPr>
          <w:rFonts w:ascii="Times New Roman" w:hAnsi="Times New Roman" w:cs="Times New Roman"/>
          <w:i/>
          <w:iCs/>
          <w:sz w:val="24"/>
          <w:szCs w:val="24"/>
        </w:rPr>
        <w:t>The Zero MOS contains all companies in the sector with a MOS value of zero.  There are 28 geographic strata corresponding to each broad stratum: a single multi-state stratum (labeled &gt;1 state) and 27 single geographic area strata.  The 2 industries stratum is used only in retail (44-45) and health care (62)</w:t>
      </w:r>
      <w:r w:rsidRPr="00973AB9">
        <w:rPr>
          <w:rFonts w:ascii="Times New Roman" w:hAnsi="Times New Roman" w:cs="Times New Roman"/>
          <w:i/>
          <w:iCs/>
          <w:sz w:val="24"/>
          <w:szCs w:val="24"/>
        </w:rPr>
        <w:t>.</w:t>
      </w:r>
    </w:p>
    <w:p w:rsidR="00886101" w:rsidRPr="00973AB9" w:rsidP="00886101" w14:paraId="0DCFF8DB" w14:textId="7E8AAC3E">
      <w:pPr>
        <w:shd w:val="clear" w:color="auto" w:fill="FFFFFF" w:themeFill="background1"/>
        <w:spacing w:after="0" w:line="240" w:lineRule="auto"/>
        <w:textAlignment w:val="baseline"/>
        <w:rPr>
          <w:rFonts w:ascii="Times New Roman" w:hAnsi="Times New Roman" w:cs="Times New Roman"/>
          <w:sz w:val="24"/>
          <w:szCs w:val="24"/>
        </w:rPr>
      </w:pPr>
    </w:p>
    <w:p w:rsidR="00886101" w:rsidRPr="00973AB9" w:rsidP="00886101" w14:paraId="73971832" w14:textId="4E64938F">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Because </w:t>
      </w:r>
      <w:r w:rsidR="00467148">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 xml:space="preserve">AIES is ultimately a multipurpose sample, it is not possible to optimize for a single data item. Instead, </w:t>
      </w:r>
      <w:r w:rsidR="00467148">
        <w:rPr>
          <w:rFonts w:ascii="Times New Roman" w:eastAsia="Times New Roman" w:hAnsi="Times New Roman" w:cs="Times New Roman"/>
          <w:color w:val="000000"/>
          <w:sz w:val="24"/>
          <w:szCs w:val="24"/>
        </w:rPr>
        <w:t xml:space="preserve">the </w:t>
      </w:r>
      <w:r w:rsidRPr="00973AB9">
        <w:rPr>
          <w:rFonts w:ascii="Times New Roman" w:eastAsia="Times New Roman" w:hAnsi="Times New Roman" w:cs="Times New Roman"/>
          <w:color w:val="000000"/>
          <w:sz w:val="24"/>
          <w:szCs w:val="24"/>
        </w:rPr>
        <w:t xml:space="preserve">AIES utilizes stratified sequential sampling, also known as </w:t>
      </w:r>
      <w:r w:rsidRPr="00973AB9">
        <w:rPr>
          <w:rFonts w:ascii="Times New Roman" w:eastAsia="Times New Roman" w:hAnsi="Times New Roman" w:cs="Times New Roman"/>
          <w:color w:val="000000"/>
          <w:sz w:val="24"/>
          <w:szCs w:val="24"/>
        </w:rPr>
        <w:t>Chromy’s</w:t>
      </w:r>
      <w:r w:rsidRPr="00973AB9">
        <w:rPr>
          <w:rFonts w:ascii="Times New Roman" w:eastAsia="Times New Roman" w:hAnsi="Times New Roman" w:cs="Times New Roman"/>
          <w:color w:val="000000"/>
          <w:sz w:val="24"/>
          <w:szCs w:val="24"/>
        </w:rPr>
        <w:t xml:space="preserve"> method, which is available from PROC SURVEYSELECT</w:t>
      </w:r>
      <w:r w:rsidRPr="00973AB9" w:rsidR="00D50965">
        <w:rPr>
          <w:rFonts w:ascii="Times New Roman" w:eastAsia="Times New Roman" w:hAnsi="Times New Roman" w:cs="Times New Roman"/>
          <w:color w:val="000000"/>
          <w:sz w:val="24"/>
          <w:szCs w:val="24"/>
        </w:rPr>
        <w:t xml:space="preserve"> in SAS®</w:t>
      </w:r>
      <w:r w:rsidRPr="00973AB9">
        <w:rPr>
          <w:rFonts w:ascii="Times New Roman" w:eastAsia="Times New Roman" w:hAnsi="Times New Roman" w:cs="Times New Roman"/>
          <w:color w:val="000000"/>
          <w:sz w:val="24"/>
          <w:szCs w:val="24"/>
        </w:rPr>
        <w:t xml:space="preserve">.  </w:t>
      </w:r>
    </w:p>
    <w:p w:rsidR="00886101" w:rsidRPr="00973AB9" w:rsidP="00886101" w14:paraId="06882B8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28FEB9B1" w14:textId="2DCE743A">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Stratified sequential </w:t>
      </w:r>
      <w:r w:rsidRPr="00FF30F1">
        <w:rPr>
          <w:rFonts w:ascii="Times New Roman" w:eastAsia="Times New Roman" w:hAnsi="Times New Roman" w:cs="Times New Roman"/>
          <w:color w:val="000000"/>
          <w:sz w:val="24"/>
          <w:szCs w:val="24"/>
        </w:rPr>
        <w:t>sampling is a without-replacement</w:t>
      </w:r>
      <w:r w:rsidRPr="00973AB9">
        <w:rPr>
          <w:rFonts w:ascii="Times New Roman" w:eastAsia="Times New Roman" w:hAnsi="Times New Roman" w:cs="Times New Roman"/>
          <w:color w:val="000000"/>
          <w:sz w:val="24"/>
          <w:szCs w:val="24"/>
        </w:rPr>
        <w:t xml:space="preserve"> PPS sampling method that allows for a within-strata sort. Within each AIES sampling stratum, the USUs (companies) are sorted by national industry tabulation NAICS (4-digit, 5-digit, or 6-digit)</w:t>
      </w:r>
      <w:r w:rsidRPr="00973AB9" w:rsidR="00E02311">
        <w:rPr>
          <w:rFonts w:ascii="Times New Roman" w:eastAsia="Times New Roman" w:hAnsi="Times New Roman" w:cs="Times New Roman"/>
          <w:color w:val="000000"/>
          <w:sz w:val="24"/>
          <w:szCs w:val="24"/>
        </w:rPr>
        <w:t xml:space="preserve"> and state,</w:t>
      </w:r>
      <w:r w:rsidRPr="00973AB9">
        <w:rPr>
          <w:rFonts w:ascii="Times New Roman" w:eastAsia="Times New Roman" w:hAnsi="Times New Roman" w:cs="Times New Roman"/>
          <w:color w:val="000000"/>
          <w:sz w:val="24"/>
          <w:szCs w:val="24"/>
        </w:rPr>
        <w:t xml:space="preserve"> providing implicit stratification. Because the USU probabilities of selection are a monot</w:t>
      </w:r>
      <w:r w:rsidRPr="00973AB9" w:rsidR="00401E4A">
        <w:rPr>
          <w:rFonts w:ascii="Times New Roman" w:eastAsia="Times New Roman" w:hAnsi="Times New Roman" w:cs="Times New Roman"/>
          <w:color w:val="000000"/>
          <w:sz w:val="24"/>
          <w:szCs w:val="24"/>
        </w:rPr>
        <w:t>on</w:t>
      </w:r>
      <w:r w:rsidRPr="00973AB9">
        <w:rPr>
          <w:rFonts w:ascii="Times New Roman" w:eastAsia="Times New Roman" w:hAnsi="Times New Roman" w:cs="Times New Roman"/>
          <w:color w:val="000000"/>
          <w:sz w:val="24"/>
          <w:szCs w:val="24"/>
        </w:rPr>
        <w:t xml:space="preserve">ically increasing </w:t>
      </w:r>
      <w:r w:rsidRPr="00973AB9">
        <w:rPr>
          <w:rFonts w:ascii="Times New Roman" w:eastAsia="Times New Roman" w:hAnsi="Times New Roman" w:cs="Times New Roman"/>
          <w:color w:val="000000"/>
          <w:sz w:val="24"/>
          <w:szCs w:val="24"/>
        </w:rPr>
        <w:t>function, the AIES sampling procedure includes a second-level sort on the USU annual payroll, which should help insure a representative sample in terms of unit size within stratum.</w:t>
      </w:r>
    </w:p>
    <w:p w:rsidR="00140481" w:rsidP="00886101" w14:paraId="70901926"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973AB9" w:rsidP="00886101" w14:paraId="01C10A24" w14:textId="33CA3CED">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 xml:space="preserve">An approximation of the </w:t>
      </w:r>
      <w:r w:rsidRPr="00973AB9">
        <w:rPr>
          <w:rFonts w:ascii="Times New Roman" w:eastAsia="Times New Roman" w:hAnsi="Times New Roman" w:cs="Times New Roman"/>
          <w:color w:val="000000"/>
          <w:sz w:val="24"/>
          <w:szCs w:val="24"/>
        </w:rPr>
        <w:t>AIES sample</w:t>
      </w:r>
      <w:r w:rsidR="00C229E1">
        <w:rPr>
          <w:rFonts w:ascii="Times New Roman" w:eastAsia="Times New Roman" w:hAnsi="Times New Roman" w:cs="Times New Roman"/>
          <w:color w:val="000000"/>
          <w:sz w:val="24"/>
          <w:szCs w:val="24"/>
        </w:rPr>
        <w:t xml:space="preserve"> size</w:t>
      </w:r>
      <w:r w:rsidRPr="00973AB9">
        <w:rPr>
          <w:rFonts w:ascii="Times New Roman" w:eastAsia="Times New Roman" w:hAnsi="Times New Roman" w:cs="Times New Roman"/>
          <w:color w:val="000000"/>
          <w:sz w:val="24"/>
          <w:szCs w:val="24"/>
        </w:rPr>
        <w:t xml:space="preserve"> is </w:t>
      </w:r>
      <w:r w:rsidRPr="00973AB9">
        <w:rPr>
          <w:rFonts w:ascii="Times New Roman" w:eastAsia="Times New Roman" w:hAnsi="Times New Roman" w:cs="Times New Roman"/>
          <w:color w:val="000000"/>
          <w:sz w:val="24"/>
          <w:szCs w:val="24"/>
        </w:rPr>
        <w:t>presented in</w:t>
      </w:r>
      <w:r w:rsidRPr="00973AB9" w:rsidR="00B62AA0">
        <w:rPr>
          <w:rFonts w:ascii="Times New Roman" w:eastAsia="Times New Roman" w:hAnsi="Times New Roman" w:cs="Times New Roman"/>
          <w:color w:val="000000"/>
          <w:sz w:val="24"/>
          <w:szCs w:val="24"/>
        </w:rPr>
        <w:t xml:space="preserve"> Table 3:</w:t>
      </w:r>
    </w:p>
    <w:p w:rsidR="00B62AA0" w:rsidRPr="00973AB9" w:rsidP="00886101" w14:paraId="3CC763B2" w14:textId="32F6DD56">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Table 3 AIES Allocation</w:t>
      </w:r>
    </w:p>
    <w:tbl>
      <w:tblPr>
        <w:tblStyle w:val="TableGrid"/>
        <w:tblW w:w="0" w:type="auto"/>
        <w:tblLook w:val="04A0"/>
      </w:tblPr>
      <w:tblGrid>
        <w:gridCol w:w="4675"/>
        <w:gridCol w:w="4675"/>
      </w:tblGrid>
      <w:tr w14:paraId="6C1EB5D6" w14:textId="77777777" w:rsidTr="00B62AA0">
        <w:tblPrEx>
          <w:tblW w:w="0" w:type="auto"/>
          <w:tblLook w:val="04A0"/>
        </w:tblPrEx>
        <w:tc>
          <w:tcPr>
            <w:tcW w:w="4675" w:type="dxa"/>
          </w:tcPr>
          <w:p w:rsidR="00B62AA0" w:rsidRPr="00973AB9" w:rsidP="00886101" w14:paraId="21BCF13A" w14:textId="4A87456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Sector</w:t>
            </w:r>
          </w:p>
        </w:tc>
        <w:tc>
          <w:tcPr>
            <w:tcW w:w="4675" w:type="dxa"/>
          </w:tcPr>
          <w:p w:rsidR="00B62AA0" w:rsidRPr="00973AB9" w:rsidP="00886101" w14:paraId="687F0639" w14:textId="3DDF3EB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Total</w:t>
            </w:r>
          </w:p>
        </w:tc>
      </w:tr>
      <w:tr w14:paraId="4011E7C9" w14:textId="77777777" w:rsidTr="00B62AA0">
        <w:tblPrEx>
          <w:tblW w:w="0" w:type="auto"/>
          <w:tblLook w:val="04A0"/>
        </w:tblPrEx>
        <w:tc>
          <w:tcPr>
            <w:tcW w:w="4675" w:type="dxa"/>
          </w:tcPr>
          <w:p w:rsidR="00B62AA0" w:rsidRPr="00973AB9" w:rsidP="00886101" w14:paraId="7132B99E" w14:textId="495AE179">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Complex Certainties</w:t>
            </w:r>
          </w:p>
        </w:tc>
        <w:tc>
          <w:tcPr>
            <w:tcW w:w="4675" w:type="dxa"/>
          </w:tcPr>
          <w:p w:rsidR="00B62AA0" w:rsidRPr="00973AB9" w:rsidP="00886101" w14:paraId="4207CB60" w14:textId="228CBC2E">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36,500</w:t>
            </w:r>
          </w:p>
        </w:tc>
      </w:tr>
      <w:tr w14:paraId="41B7C83D" w14:textId="77777777" w:rsidTr="00B62AA0">
        <w:tblPrEx>
          <w:tblW w:w="0" w:type="auto"/>
          <w:tblLook w:val="04A0"/>
        </w:tblPrEx>
        <w:tc>
          <w:tcPr>
            <w:tcW w:w="4675" w:type="dxa"/>
          </w:tcPr>
          <w:p w:rsidR="00B62AA0" w:rsidRPr="00973AB9" w:rsidP="00886101" w14:paraId="09F5CF8E" w14:textId="39B6EE2B">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11/21/23/55</w:t>
            </w:r>
          </w:p>
        </w:tc>
        <w:tc>
          <w:tcPr>
            <w:tcW w:w="4675" w:type="dxa"/>
          </w:tcPr>
          <w:p w:rsidR="00B62AA0" w:rsidRPr="00973AB9" w:rsidP="00886101" w14:paraId="362843A4" w14:textId="507DC27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w:t>
            </w:r>
            <w:r w:rsidR="00E71C43">
              <w:rPr>
                <w:rFonts w:ascii="Times New Roman" w:eastAsia="Times New Roman" w:hAnsi="Times New Roman" w:cs="Times New Roman"/>
                <w:color w:val="000000"/>
                <w:sz w:val="24"/>
                <w:szCs w:val="24"/>
              </w:rPr>
              <w:t>140</w:t>
            </w:r>
          </w:p>
        </w:tc>
      </w:tr>
      <w:tr w14:paraId="409CA408" w14:textId="77777777" w:rsidTr="00B62AA0">
        <w:tblPrEx>
          <w:tblW w:w="0" w:type="auto"/>
          <w:tblLook w:val="04A0"/>
        </w:tblPrEx>
        <w:tc>
          <w:tcPr>
            <w:tcW w:w="4675" w:type="dxa"/>
          </w:tcPr>
          <w:p w:rsidR="00B62AA0" w:rsidRPr="00973AB9" w:rsidP="00886101" w14:paraId="4289A7F3" w14:textId="3B0D4668">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22</w:t>
            </w:r>
          </w:p>
        </w:tc>
        <w:tc>
          <w:tcPr>
            <w:tcW w:w="4675" w:type="dxa"/>
          </w:tcPr>
          <w:p w:rsidR="00B62AA0" w:rsidRPr="00973AB9" w:rsidP="00886101" w14:paraId="35FCDC4F" w14:textId="25CC7F06">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950</w:t>
            </w:r>
          </w:p>
        </w:tc>
      </w:tr>
      <w:tr w14:paraId="3B156E93" w14:textId="77777777" w:rsidTr="00B62AA0">
        <w:tblPrEx>
          <w:tblW w:w="0" w:type="auto"/>
          <w:tblLook w:val="04A0"/>
        </w:tblPrEx>
        <w:tc>
          <w:tcPr>
            <w:tcW w:w="4675" w:type="dxa"/>
          </w:tcPr>
          <w:p w:rsidR="00B62AA0" w:rsidRPr="00973AB9" w:rsidP="00886101" w14:paraId="544D9EDF" w14:textId="7C299BF5">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31-33</w:t>
            </w:r>
          </w:p>
        </w:tc>
        <w:tc>
          <w:tcPr>
            <w:tcW w:w="4675" w:type="dxa"/>
          </w:tcPr>
          <w:p w:rsidR="00B62AA0" w:rsidRPr="00973AB9" w:rsidP="00886101" w14:paraId="40D4B44B" w14:textId="256CF1F9">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33,100</w:t>
            </w:r>
          </w:p>
        </w:tc>
      </w:tr>
      <w:tr w14:paraId="1A1B812C" w14:textId="77777777" w:rsidTr="00B62AA0">
        <w:tblPrEx>
          <w:tblW w:w="0" w:type="auto"/>
          <w:tblLook w:val="04A0"/>
        </w:tblPrEx>
        <w:tc>
          <w:tcPr>
            <w:tcW w:w="4675" w:type="dxa"/>
          </w:tcPr>
          <w:p w:rsidR="00B62AA0" w:rsidRPr="00973AB9" w:rsidP="00886101" w14:paraId="403FC243" w14:textId="35D55786">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42</w:t>
            </w:r>
          </w:p>
        </w:tc>
        <w:tc>
          <w:tcPr>
            <w:tcW w:w="4675" w:type="dxa"/>
          </w:tcPr>
          <w:p w:rsidR="00B62AA0" w:rsidRPr="00973AB9" w:rsidP="00886101" w14:paraId="690C5B68" w14:textId="5F8BA9A8">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17,800</w:t>
            </w:r>
          </w:p>
        </w:tc>
      </w:tr>
      <w:tr w14:paraId="14D2939A" w14:textId="77777777" w:rsidTr="00B62AA0">
        <w:tblPrEx>
          <w:tblW w:w="0" w:type="auto"/>
          <w:tblLook w:val="04A0"/>
        </w:tblPrEx>
        <w:tc>
          <w:tcPr>
            <w:tcW w:w="4675" w:type="dxa"/>
          </w:tcPr>
          <w:p w:rsidR="00B62AA0" w:rsidRPr="00973AB9" w:rsidP="00886101" w14:paraId="2C37270A" w14:textId="242E6B8C">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44-45</w:t>
            </w:r>
          </w:p>
        </w:tc>
        <w:tc>
          <w:tcPr>
            <w:tcW w:w="4675" w:type="dxa"/>
          </w:tcPr>
          <w:p w:rsidR="00B62AA0" w:rsidRPr="00973AB9" w:rsidP="00886101" w14:paraId="5AE16AFF" w14:textId="42D1BAA3">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38,700</w:t>
            </w:r>
          </w:p>
        </w:tc>
      </w:tr>
      <w:tr w14:paraId="64C01B06" w14:textId="77777777" w:rsidTr="00B62AA0">
        <w:tblPrEx>
          <w:tblW w:w="0" w:type="auto"/>
          <w:tblLook w:val="04A0"/>
        </w:tblPrEx>
        <w:tc>
          <w:tcPr>
            <w:tcW w:w="4675" w:type="dxa"/>
          </w:tcPr>
          <w:p w:rsidR="00B62AA0" w:rsidRPr="00973AB9" w:rsidP="00886101" w14:paraId="6D75420D" w14:textId="3BFC44B4">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48-49</w:t>
            </w:r>
          </w:p>
        </w:tc>
        <w:tc>
          <w:tcPr>
            <w:tcW w:w="4675" w:type="dxa"/>
          </w:tcPr>
          <w:p w:rsidR="00B62AA0" w:rsidRPr="00973AB9" w:rsidP="00886101" w14:paraId="4673D506" w14:textId="1CC297E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13,000</w:t>
            </w:r>
          </w:p>
        </w:tc>
      </w:tr>
      <w:tr w14:paraId="0F74414E" w14:textId="77777777" w:rsidTr="00B62AA0">
        <w:tblPrEx>
          <w:tblW w:w="0" w:type="auto"/>
          <w:tblLook w:val="04A0"/>
        </w:tblPrEx>
        <w:tc>
          <w:tcPr>
            <w:tcW w:w="4675" w:type="dxa"/>
          </w:tcPr>
          <w:p w:rsidR="00B62AA0" w:rsidRPr="00973AB9" w:rsidP="00886101" w14:paraId="050D5E39" w14:textId="05828E4F">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51</w:t>
            </w:r>
          </w:p>
        </w:tc>
        <w:tc>
          <w:tcPr>
            <w:tcW w:w="4675" w:type="dxa"/>
          </w:tcPr>
          <w:p w:rsidR="00B62AA0" w:rsidRPr="00973AB9" w:rsidP="00886101" w14:paraId="6CE45A97" w14:textId="112BD6B3">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5,200</w:t>
            </w:r>
          </w:p>
        </w:tc>
      </w:tr>
      <w:tr w14:paraId="55118AB0" w14:textId="77777777" w:rsidTr="00B62AA0">
        <w:tblPrEx>
          <w:tblW w:w="0" w:type="auto"/>
          <w:tblLook w:val="04A0"/>
        </w:tblPrEx>
        <w:tc>
          <w:tcPr>
            <w:tcW w:w="4675" w:type="dxa"/>
          </w:tcPr>
          <w:p w:rsidR="00B62AA0" w:rsidRPr="00973AB9" w:rsidP="00886101" w14:paraId="3F606FBC" w14:textId="00CC58D8">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52</w:t>
            </w:r>
          </w:p>
        </w:tc>
        <w:tc>
          <w:tcPr>
            <w:tcW w:w="4675" w:type="dxa"/>
          </w:tcPr>
          <w:p w:rsidR="00B62AA0" w:rsidRPr="00973AB9" w:rsidP="00886101" w14:paraId="71AB5610" w14:textId="4D896AFA">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15,000</w:t>
            </w:r>
          </w:p>
        </w:tc>
      </w:tr>
      <w:tr w14:paraId="34779727" w14:textId="77777777" w:rsidTr="00B62AA0">
        <w:tblPrEx>
          <w:tblW w:w="0" w:type="auto"/>
          <w:tblLook w:val="04A0"/>
        </w:tblPrEx>
        <w:tc>
          <w:tcPr>
            <w:tcW w:w="4675" w:type="dxa"/>
          </w:tcPr>
          <w:p w:rsidR="00B62AA0" w:rsidRPr="00973AB9" w:rsidP="00886101" w14:paraId="0178492B" w14:textId="5C4E1B4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53</w:t>
            </w:r>
          </w:p>
        </w:tc>
        <w:tc>
          <w:tcPr>
            <w:tcW w:w="4675" w:type="dxa"/>
          </w:tcPr>
          <w:p w:rsidR="00B62AA0" w:rsidRPr="00973AB9" w:rsidP="00886101" w14:paraId="7E9BA78C" w14:textId="39476034">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20,500</w:t>
            </w:r>
          </w:p>
        </w:tc>
      </w:tr>
      <w:tr w14:paraId="5D4BE8CE" w14:textId="77777777" w:rsidTr="00B62AA0">
        <w:tblPrEx>
          <w:tblW w:w="0" w:type="auto"/>
          <w:tblLook w:val="04A0"/>
        </w:tblPrEx>
        <w:tc>
          <w:tcPr>
            <w:tcW w:w="4675" w:type="dxa"/>
          </w:tcPr>
          <w:p w:rsidR="00B62AA0" w:rsidRPr="00973AB9" w:rsidP="00886101" w14:paraId="7237FE42" w14:textId="5DDA34BF">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54</w:t>
            </w:r>
          </w:p>
        </w:tc>
        <w:tc>
          <w:tcPr>
            <w:tcW w:w="4675" w:type="dxa"/>
          </w:tcPr>
          <w:p w:rsidR="00B62AA0" w:rsidRPr="00973AB9" w:rsidP="00886101" w14:paraId="692220A9" w14:textId="1D74CEB4">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50,300</w:t>
            </w:r>
          </w:p>
        </w:tc>
      </w:tr>
      <w:tr w14:paraId="06061B09" w14:textId="77777777" w:rsidTr="00B62AA0">
        <w:tblPrEx>
          <w:tblW w:w="0" w:type="auto"/>
          <w:tblLook w:val="04A0"/>
        </w:tblPrEx>
        <w:tc>
          <w:tcPr>
            <w:tcW w:w="4675" w:type="dxa"/>
          </w:tcPr>
          <w:p w:rsidR="00B62AA0" w:rsidRPr="00973AB9" w:rsidP="00886101" w14:paraId="3509331F" w14:textId="648719EC">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56</w:t>
            </w:r>
          </w:p>
        </w:tc>
        <w:tc>
          <w:tcPr>
            <w:tcW w:w="4675" w:type="dxa"/>
          </w:tcPr>
          <w:p w:rsidR="00B62AA0" w:rsidRPr="00973AB9" w:rsidP="00886101" w14:paraId="3CFB0BF2" w14:textId="1890A2F5">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21,000</w:t>
            </w:r>
          </w:p>
        </w:tc>
      </w:tr>
      <w:tr w14:paraId="466A6EF4" w14:textId="77777777" w:rsidTr="00B62AA0">
        <w:tblPrEx>
          <w:tblW w:w="0" w:type="auto"/>
          <w:tblLook w:val="04A0"/>
        </w:tblPrEx>
        <w:tc>
          <w:tcPr>
            <w:tcW w:w="4675" w:type="dxa"/>
          </w:tcPr>
          <w:p w:rsidR="00B62AA0" w:rsidRPr="00973AB9" w:rsidP="00886101" w14:paraId="79204CD4" w14:textId="3F0B5213">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61</w:t>
            </w:r>
          </w:p>
        </w:tc>
        <w:tc>
          <w:tcPr>
            <w:tcW w:w="4675" w:type="dxa"/>
          </w:tcPr>
          <w:p w:rsidR="00B62AA0" w:rsidRPr="00973AB9" w:rsidP="00886101" w14:paraId="6730639D" w14:textId="2C229FC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5,650</w:t>
            </w:r>
          </w:p>
        </w:tc>
      </w:tr>
      <w:tr w14:paraId="17446678" w14:textId="77777777" w:rsidTr="00B62AA0">
        <w:tblPrEx>
          <w:tblW w:w="0" w:type="auto"/>
          <w:tblLook w:val="04A0"/>
        </w:tblPrEx>
        <w:tc>
          <w:tcPr>
            <w:tcW w:w="4675" w:type="dxa"/>
          </w:tcPr>
          <w:p w:rsidR="00B62AA0" w:rsidRPr="00973AB9" w:rsidP="00886101" w14:paraId="49E6B874" w14:textId="625EFFA1">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62</w:t>
            </w:r>
          </w:p>
        </w:tc>
        <w:tc>
          <w:tcPr>
            <w:tcW w:w="4675" w:type="dxa"/>
          </w:tcPr>
          <w:p w:rsidR="00B62AA0" w:rsidRPr="00973AB9" w:rsidP="00886101" w14:paraId="333F1CE6" w14:textId="34276762">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40,300</w:t>
            </w:r>
          </w:p>
        </w:tc>
      </w:tr>
      <w:tr w14:paraId="7A4A591C" w14:textId="77777777" w:rsidTr="00B62AA0">
        <w:tblPrEx>
          <w:tblW w:w="0" w:type="auto"/>
          <w:tblLook w:val="04A0"/>
        </w:tblPrEx>
        <w:tc>
          <w:tcPr>
            <w:tcW w:w="4675" w:type="dxa"/>
          </w:tcPr>
          <w:p w:rsidR="00B62AA0" w:rsidRPr="00973AB9" w:rsidP="00886101" w14:paraId="09443E37" w14:textId="4B00F509">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71</w:t>
            </w:r>
          </w:p>
        </w:tc>
        <w:tc>
          <w:tcPr>
            <w:tcW w:w="4675" w:type="dxa"/>
          </w:tcPr>
          <w:p w:rsidR="00B62AA0" w:rsidRPr="00973AB9" w:rsidP="00886101" w14:paraId="1A1387B8" w14:textId="1FABFB6C">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8,200</w:t>
            </w:r>
          </w:p>
        </w:tc>
      </w:tr>
      <w:tr w14:paraId="199536B6" w14:textId="77777777" w:rsidTr="00B62AA0">
        <w:tblPrEx>
          <w:tblW w:w="0" w:type="auto"/>
          <w:tblLook w:val="04A0"/>
        </w:tblPrEx>
        <w:tc>
          <w:tcPr>
            <w:tcW w:w="4675" w:type="dxa"/>
          </w:tcPr>
          <w:p w:rsidR="00B62AA0" w:rsidRPr="00973AB9" w:rsidP="00886101" w14:paraId="2FC144AC" w14:textId="740E4C93">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72</w:t>
            </w:r>
          </w:p>
        </w:tc>
        <w:tc>
          <w:tcPr>
            <w:tcW w:w="4675" w:type="dxa"/>
          </w:tcPr>
          <w:p w:rsidR="00B62AA0" w:rsidRPr="00973AB9" w:rsidP="00886101" w14:paraId="24743801" w14:textId="29D9D82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34,200</w:t>
            </w:r>
          </w:p>
        </w:tc>
      </w:tr>
      <w:tr w14:paraId="6A55D552" w14:textId="77777777" w:rsidTr="00B62AA0">
        <w:tblPrEx>
          <w:tblW w:w="0" w:type="auto"/>
          <w:tblLook w:val="04A0"/>
        </w:tblPrEx>
        <w:tc>
          <w:tcPr>
            <w:tcW w:w="4675" w:type="dxa"/>
          </w:tcPr>
          <w:p w:rsidR="00B62AA0" w:rsidRPr="00973AB9" w:rsidP="00886101" w14:paraId="7630D9D5" w14:textId="7787EA5A">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81</w:t>
            </w:r>
          </w:p>
        </w:tc>
        <w:tc>
          <w:tcPr>
            <w:tcW w:w="4675" w:type="dxa"/>
          </w:tcPr>
          <w:p w:rsidR="00B62AA0" w:rsidRPr="00973AB9" w:rsidP="00886101" w14:paraId="4B21CA2C" w14:textId="01B92027">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39,400</w:t>
            </w:r>
          </w:p>
        </w:tc>
      </w:tr>
      <w:tr w14:paraId="2AFF54D3" w14:textId="77777777" w:rsidTr="00B62AA0">
        <w:tblPrEx>
          <w:tblW w:w="0" w:type="auto"/>
          <w:tblLook w:val="04A0"/>
        </w:tblPrEx>
        <w:tc>
          <w:tcPr>
            <w:tcW w:w="4675" w:type="dxa"/>
          </w:tcPr>
          <w:p w:rsidR="00B62AA0" w:rsidRPr="00973AB9" w:rsidP="00886101" w14:paraId="7910873B" w14:textId="2EDAF904">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Total</w:t>
            </w:r>
          </w:p>
        </w:tc>
        <w:tc>
          <w:tcPr>
            <w:tcW w:w="4675" w:type="dxa"/>
          </w:tcPr>
          <w:p w:rsidR="00B62AA0" w:rsidRPr="00973AB9" w:rsidP="00886101" w14:paraId="0A20E50A" w14:textId="5F6D1B0F">
            <w:pPr>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384,9</w:t>
            </w:r>
            <w:r w:rsidR="00E71C43">
              <w:rPr>
                <w:rFonts w:ascii="Times New Roman" w:eastAsia="Times New Roman" w:hAnsi="Times New Roman" w:cs="Times New Roman"/>
                <w:color w:val="000000"/>
                <w:sz w:val="24"/>
                <w:szCs w:val="24"/>
              </w:rPr>
              <w:t>40</w:t>
            </w:r>
          </w:p>
        </w:tc>
      </w:tr>
    </w:tbl>
    <w:p w:rsidR="00B62AA0" w:rsidRPr="00973AB9" w:rsidP="00886101" w14:paraId="4395F4D9" w14:textId="02AABF1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07B39" w:rsidP="00886101" w14:paraId="47000A8C" w14:textId="1EB4DE4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793860">
        <w:rPr>
          <w:rFonts w:ascii="Times New Roman" w:eastAsia="Times New Roman" w:hAnsi="Times New Roman" w:cs="Times New Roman"/>
          <w:color w:val="000000"/>
          <w:sz w:val="24"/>
          <w:szCs w:val="24"/>
          <w:highlight w:val="darkGray"/>
        </w:rPr>
        <w:t>In addition to the AIES sample, we plan to add approximately 1</w:t>
      </w:r>
      <w:r w:rsidR="00793860">
        <w:rPr>
          <w:rFonts w:ascii="Times New Roman" w:eastAsia="Times New Roman" w:hAnsi="Times New Roman" w:cs="Times New Roman"/>
          <w:color w:val="000000"/>
          <w:sz w:val="24"/>
          <w:szCs w:val="24"/>
          <w:highlight w:val="darkGray"/>
        </w:rPr>
        <w:t>,</w:t>
      </w:r>
      <w:r w:rsidRPr="00793860">
        <w:rPr>
          <w:rFonts w:ascii="Times New Roman" w:eastAsia="Times New Roman" w:hAnsi="Times New Roman" w:cs="Times New Roman"/>
          <w:color w:val="000000"/>
          <w:sz w:val="24"/>
          <w:szCs w:val="24"/>
          <w:highlight w:val="darkGray"/>
        </w:rPr>
        <w:t xml:space="preserve">000 large, multiunit </w:t>
      </w:r>
      <w:r w:rsidRPr="00793860" w:rsidR="00AC68B2">
        <w:rPr>
          <w:rFonts w:ascii="Times New Roman" w:eastAsia="Times New Roman" w:hAnsi="Times New Roman" w:cs="Times New Roman"/>
          <w:color w:val="000000"/>
          <w:sz w:val="24"/>
          <w:szCs w:val="24"/>
          <w:highlight w:val="darkGray"/>
        </w:rPr>
        <w:t xml:space="preserve">companies </w:t>
      </w:r>
      <w:r w:rsidRPr="00793860">
        <w:rPr>
          <w:rFonts w:ascii="Times New Roman" w:eastAsia="Times New Roman" w:hAnsi="Times New Roman" w:cs="Times New Roman"/>
          <w:color w:val="000000"/>
          <w:sz w:val="24"/>
          <w:szCs w:val="24"/>
          <w:highlight w:val="darkGray"/>
        </w:rPr>
        <w:t xml:space="preserve">(primarily covering out-of-scope enterprises) to collection activities to </w:t>
      </w:r>
      <w:r w:rsidRPr="00793860">
        <w:rPr>
          <w:rFonts w:ascii="Times New Roman" w:eastAsia="Times New Roman" w:hAnsi="Times New Roman" w:cs="Times New Roman"/>
          <w:sz w:val="24"/>
          <w:szCs w:val="24"/>
          <w:highlight w:val="darkGray"/>
        </w:rPr>
        <w:t>update and maintain a centralized, multipurpose Business Register (BR).</w:t>
      </w:r>
    </w:p>
    <w:p w:rsidR="001F3301" w:rsidRPr="00793860" w:rsidP="00886101" w14:paraId="285B7DD5"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2AA0" w:rsidRPr="00973AB9" w:rsidP="00886101" w14:paraId="6B71C43F" w14:textId="67A18695">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973AB9">
        <w:rPr>
          <w:rFonts w:ascii="Times New Roman" w:eastAsia="Times New Roman" w:hAnsi="Times New Roman" w:cs="Times New Roman"/>
          <w:b/>
          <w:bCs/>
          <w:color w:val="000000"/>
          <w:sz w:val="24"/>
          <w:szCs w:val="24"/>
        </w:rPr>
        <w:t>Response Rates</w:t>
      </w:r>
    </w:p>
    <w:p w:rsidR="00401E4A" w:rsidRPr="00973AB9" w:rsidP="00886101" w14:paraId="2D09C3FA" w14:textId="173EE65B">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75E31" w:rsidRPr="00327782" w:rsidP="00975E31" w14:paraId="56337C93" w14:textId="2F0AD075">
      <w:pPr>
        <w:rPr>
          <w:rFonts w:ascii="Times New Roman" w:hAnsi="Times New Roman" w:cs="Times New Roman"/>
          <w:sz w:val="24"/>
          <w:szCs w:val="24"/>
        </w:rPr>
      </w:pPr>
      <w:r w:rsidRPr="00973AB9">
        <w:rPr>
          <w:rFonts w:ascii="Times New Roman" w:hAnsi="Times New Roman" w:cs="Times New Roman"/>
          <w:color w:val="000000"/>
          <w:sz w:val="24"/>
          <w:szCs w:val="24"/>
        </w:rPr>
        <w:t xml:space="preserve">This survey is designed to replace a suite of </w:t>
      </w:r>
      <w:r w:rsidRPr="00973AB9" w:rsidR="00737346">
        <w:rPr>
          <w:rFonts w:ascii="Times New Roman" w:hAnsi="Times New Roman" w:cs="Times New Roman"/>
          <w:color w:val="000000"/>
          <w:sz w:val="24"/>
          <w:szCs w:val="24"/>
        </w:rPr>
        <w:t>seven</w:t>
      </w:r>
      <w:r w:rsidRPr="00973AB9">
        <w:rPr>
          <w:rFonts w:ascii="Times New Roman" w:hAnsi="Times New Roman" w:cs="Times New Roman"/>
          <w:color w:val="000000"/>
          <w:sz w:val="24"/>
          <w:szCs w:val="24"/>
        </w:rPr>
        <w:t xml:space="preserve"> independently designed surveys.  </w:t>
      </w:r>
      <w:r w:rsidRPr="00973AB9" w:rsidR="003E2692">
        <w:rPr>
          <w:rFonts w:ascii="Times New Roman" w:hAnsi="Times New Roman" w:cs="Times New Roman"/>
          <w:color w:val="000000"/>
          <w:sz w:val="24"/>
          <w:szCs w:val="24"/>
        </w:rPr>
        <w:t>T</w:t>
      </w:r>
      <w:r w:rsidRPr="00973AB9" w:rsidR="003E2692">
        <w:rPr>
          <w:rFonts w:ascii="Times New Roman" w:hAnsi="Times New Roman" w:cs="Times New Roman"/>
          <w:sz w:val="24"/>
          <w:szCs w:val="24"/>
        </w:rPr>
        <w:t xml:space="preserve">he survey unit response rate is expected to </w:t>
      </w:r>
      <w:r w:rsidRPr="00973AB9">
        <w:rPr>
          <w:rFonts w:ascii="Times New Roman" w:hAnsi="Times New Roman" w:cs="Times New Roman"/>
          <w:sz w:val="24"/>
          <w:szCs w:val="24"/>
        </w:rPr>
        <w:t>fall in the range of those surveys of approximately 50 – 70%</w:t>
      </w:r>
      <w:r w:rsidRPr="00973AB9" w:rsidR="003E2692">
        <w:rPr>
          <w:rFonts w:ascii="Times New Roman" w:hAnsi="Times New Roman" w:cs="Times New Roman"/>
          <w:sz w:val="24"/>
          <w:szCs w:val="24"/>
        </w:rPr>
        <w:t xml:space="preserve">. The reporting unit response rate (URR) is the ratio of the number of active, in-scope </w:t>
      </w:r>
      <w:r w:rsidRPr="00973AB9">
        <w:rPr>
          <w:rFonts w:ascii="Times New Roman" w:hAnsi="Times New Roman" w:cs="Times New Roman"/>
          <w:sz w:val="24"/>
          <w:szCs w:val="24"/>
        </w:rPr>
        <w:t xml:space="preserve">companies </w:t>
      </w:r>
      <w:r w:rsidRPr="00973AB9" w:rsidR="003E2692">
        <w:rPr>
          <w:rFonts w:ascii="Times New Roman" w:hAnsi="Times New Roman" w:cs="Times New Roman"/>
          <w:sz w:val="24"/>
          <w:szCs w:val="24"/>
        </w:rPr>
        <w:t xml:space="preserve">that provided sufficient data to be considered a respondent to the total number of active, in-scope businesses in the sample, times </w:t>
      </w:r>
      <w:r w:rsidRPr="00F155A3" w:rsidR="003E2692">
        <w:rPr>
          <w:rFonts w:ascii="Times New Roman" w:hAnsi="Times New Roman" w:cs="Times New Roman"/>
          <w:sz w:val="24"/>
          <w:szCs w:val="24"/>
        </w:rPr>
        <w:t>100 percent</w:t>
      </w:r>
      <w:r w:rsidRPr="00973AB9" w:rsidR="003E2692">
        <w:rPr>
          <w:rFonts w:ascii="Times New Roman" w:hAnsi="Times New Roman" w:cs="Times New Roman"/>
          <w:sz w:val="24"/>
          <w:szCs w:val="24"/>
        </w:rPr>
        <w:t xml:space="preserve">. The URR assesses the risk of nonresponse bias. </w:t>
      </w:r>
      <w:r>
        <w:rPr>
          <w:rFonts w:ascii="Times New Roman" w:hAnsi="Times New Roman" w:cs="Times New Roman"/>
          <w:sz w:val="24"/>
          <w:szCs w:val="24"/>
        </w:rPr>
        <w:t xml:space="preserve"> </w:t>
      </w:r>
      <w:r w:rsidR="00153B53">
        <w:rPr>
          <w:rFonts w:ascii="Times New Roman" w:hAnsi="Times New Roman" w:cs="Times New Roman"/>
          <w:sz w:val="24"/>
          <w:szCs w:val="24"/>
          <w:highlight w:val="darkGray"/>
        </w:rPr>
        <w:t>S</w:t>
      </w:r>
      <w:r w:rsidRPr="008E283F">
        <w:rPr>
          <w:rFonts w:ascii="Times New Roman" w:hAnsi="Times New Roman" w:cs="Times New Roman"/>
          <w:sz w:val="24"/>
          <w:szCs w:val="24"/>
          <w:highlight w:val="darkGray"/>
        </w:rPr>
        <w:t>imilar metric</w:t>
      </w:r>
      <w:r w:rsidR="00153B53">
        <w:rPr>
          <w:rFonts w:ascii="Times New Roman" w:hAnsi="Times New Roman" w:cs="Times New Roman"/>
          <w:sz w:val="24"/>
          <w:szCs w:val="24"/>
          <w:highlight w:val="darkGray"/>
        </w:rPr>
        <w:t>s</w:t>
      </w:r>
      <w:r w:rsidRPr="008E283F">
        <w:rPr>
          <w:rFonts w:ascii="Times New Roman" w:hAnsi="Times New Roman" w:cs="Times New Roman"/>
          <w:sz w:val="24"/>
          <w:szCs w:val="24"/>
          <w:highlight w:val="darkGray"/>
        </w:rPr>
        <w:t xml:space="preserve"> about nonresponse bias </w:t>
      </w:r>
      <w:r w:rsidR="00153B53">
        <w:rPr>
          <w:rFonts w:ascii="Times New Roman" w:hAnsi="Times New Roman" w:cs="Times New Roman"/>
          <w:sz w:val="24"/>
          <w:szCs w:val="24"/>
          <w:highlight w:val="darkGray"/>
        </w:rPr>
        <w:t>are the total</w:t>
      </w:r>
      <w:r w:rsidR="00793860">
        <w:rPr>
          <w:rFonts w:ascii="Times New Roman" w:hAnsi="Times New Roman" w:cs="Times New Roman"/>
          <w:sz w:val="24"/>
          <w:szCs w:val="24"/>
          <w:highlight w:val="darkGray"/>
        </w:rPr>
        <w:t xml:space="preserve"> </w:t>
      </w:r>
      <w:r w:rsidR="00153B53">
        <w:rPr>
          <w:rFonts w:ascii="Times New Roman" w:hAnsi="Times New Roman" w:cs="Times New Roman"/>
          <w:sz w:val="24"/>
          <w:szCs w:val="24"/>
          <w:highlight w:val="darkGray"/>
        </w:rPr>
        <w:t xml:space="preserve">quantity response rate (TQRR) and/or </w:t>
      </w:r>
      <w:r w:rsidRPr="008E283F">
        <w:rPr>
          <w:rFonts w:ascii="Times New Roman" w:hAnsi="Times New Roman" w:cs="Times New Roman"/>
          <w:sz w:val="24"/>
          <w:szCs w:val="24"/>
          <w:highlight w:val="darkGray"/>
        </w:rPr>
        <w:t>the imputation rate (IR)</w:t>
      </w:r>
      <w:r w:rsidR="00153B53">
        <w:rPr>
          <w:rFonts w:ascii="Times New Roman" w:hAnsi="Times New Roman" w:cs="Times New Roman"/>
          <w:sz w:val="24"/>
          <w:szCs w:val="24"/>
          <w:highlight w:val="darkGray"/>
        </w:rPr>
        <w:t>. These metrics measure</w:t>
      </w:r>
      <w:r w:rsidRPr="008E283F">
        <w:rPr>
          <w:rFonts w:ascii="Times New Roman" w:hAnsi="Times New Roman" w:cs="Times New Roman"/>
          <w:sz w:val="24"/>
          <w:szCs w:val="24"/>
          <w:highlight w:val="darkGray"/>
        </w:rPr>
        <w:t xml:space="preserve"> the proportion of the total estimate coming from</w:t>
      </w:r>
      <w:r w:rsidR="00153B53">
        <w:rPr>
          <w:rFonts w:ascii="Times New Roman" w:hAnsi="Times New Roman" w:cs="Times New Roman"/>
          <w:sz w:val="24"/>
          <w:szCs w:val="24"/>
          <w:highlight w:val="darkGray"/>
        </w:rPr>
        <w:t xml:space="preserve"> reported or</w:t>
      </w:r>
      <w:r w:rsidRPr="008E283F">
        <w:rPr>
          <w:rFonts w:ascii="Times New Roman" w:hAnsi="Times New Roman" w:cs="Times New Roman"/>
          <w:sz w:val="24"/>
          <w:szCs w:val="24"/>
          <w:highlight w:val="darkGray"/>
        </w:rPr>
        <w:t xml:space="preserve"> imputed, sample-weight-adjusted data values. </w:t>
      </w:r>
      <w:r w:rsidR="00153B53">
        <w:rPr>
          <w:rFonts w:ascii="Times New Roman" w:hAnsi="Times New Roman" w:cs="Times New Roman"/>
          <w:sz w:val="24"/>
          <w:szCs w:val="24"/>
          <w:highlight w:val="darkGray"/>
        </w:rPr>
        <w:t>A</w:t>
      </w:r>
      <w:r w:rsidRPr="008E283F">
        <w:rPr>
          <w:rFonts w:ascii="Times New Roman" w:hAnsi="Times New Roman" w:cs="Times New Roman"/>
          <w:sz w:val="24"/>
          <w:szCs w:val="24"/>
          <w:highlight w:val="darkGray"/>
        </w:rPr>
        <w:t xml:space="preserve"> separate </w:t>
      </w:r>
      <w:r w:rsidR="00153B53">
        <w:rPr>
          <w:rFonts w:ascii="Times New Roman" w:hAnsi="Times New Roman" w:cs="Times New Roman"/>
          <w:sz w:val="24"/>
          <w:szCs w:val="24"/>
          <w:highlight w:val="darkGray"/>
        </w:rPr>
        <w:t>metric can be</w:t>
      </w:r>
      <w:r w:rsidRPr="008E283F">
        <w:rPr>
          <w:rFonts w:ascii="Times New Roman" w:hAnsi="Times New Roman" w:cs="Times New Roman"/>
          <w:sz w:val="24"/>
          <w:szCs w:val="24"/>
          <w:highlight w:val="darkGray"/>
        </w:rPr>
        <w:t xml:space="preserve"> computed for each item collected in AIES, whereas there is only one unit response rate for the survey. TQRR</w:t>
      </w:r>
      <w:r w:rsidR="00153B53">
        <w:rPr>
          <w:rFonts w:ascii="Times New Roman" w:hAnsi="Times New Roman" w:cs="Times New Roman"/>
          <w:sz w:val="24"/>
          <w:szCs w:val="24"/>
          <w:highlight w:val="darkGray"/>
        </w:rPr>
        <w:t xml:space="preserve">/IR can be used to gain insight into the quality of item-level estimates versus the overall URR. </w:t>
      </w:r>
      <w:r w:rsidRPr="008E283F">
        <w:rPr>
          <w:rFonts w:ascii="Times New Roman" w:hAnsi="Times New Roman" w:cs="Times New Roman"/>
          <w:sz w:val="24"/>
          <w:szCs w:val="24"/>
          <w:highlight w:val="darkGray"/>
        </w:rPr>
        <w:t xml:space="preserve"> </w:t>
      </w:r>
    </w:p>
    <w:p w:rsidR="003E2692" w:rsidRPr="00973AB9" w:rsidP="00886101" w14:paraId="631800EE" w14:textId="103EFCAE">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21F22" w:rsidP="00886101" w14:paraId="78268293" w14:textId="77777777">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p>
    <w:p w:rsidR="00401E4A" w:rsidRPr="00973AB9" w:rsidP="00886101" w14:paraId="01EB9BB6" w14:textId="07DE59C5">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973AB9">
        <w:rPr>
          <w:rFonts w:ascii="Times New Roman" w:eastAsia="Times New Roman" w:hAnsi="Times New Roman" w:cs="Times New Roman"/>
          <w:b/>
          <w:bCs/>
          <w:color w:val="000000"/>
          <w:sz w:val="24"/>
          <w:szCs w:val="24"/>
        </w:rPr>
        <w:t>Non-Response and Estimation</w:t>
      </w:r>
    </w:p>
    <w:p w:rsidR="00401E4A" w:rsidRPr="00973AB9" w:rsidP="00886101" w14:paraId="487F1DC3" w14:textId="76F855DE">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973AB9" w:rsidP="00886101" w14:paraId="30032960" w14:textId="3A8AB54A">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Data are imputed using survey data and administrative data as input for unit non-response, item non-response, and for responses that fail computer or analyst edits.</w:t>
      </w:r>
    </w:p>
    <w:p w:rsidR="00401E4A" w:rsidRPr="00973AB9" w:rsidP="00886101" w14:paraId="7659A548" w14:textId="6826AD58">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973AB9" w:rsidP="00886101" w14:paraId="2ED50247" w14:textId="140872DB">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73AB9">
        <w:rPr>
          <w:rFonts w:ascii="Times New Roman" w:eastAsia="Times New Roman" w:hAnsi="Times New Roman" w:cs="Times New Roman"/>
          <w:color w:val="000000"/>
          <w:sz w:val="24"/>
          <w:szCs w:val="24"/>
        </w:rPr>
        <w:t>Totals are computed as the sum of weighted data (reported and imputed) for all selected sampling units that meet the sample canvass and tabulation criteria given above</w:t>
      </w:r>
      <w:r w:rsidRPr="00C76CC5">
        <w:rPr>
          <w:rFonts w:ascii="Times New Roman" w:eastAsia="Times New Roman" w:hAnsi="Times New Roman" w:cs="Times New Roman"/>
          <w:color w:val="000000"/>
          <w:sz w:val="24"/>
          <w:szCs w:val="24"/>
          <w:highlight w:val="darkGray"/>
        </w:rPr>
        <w:t xml:space="preserve">.  The </w:t>
      </w:r>
      <w:r w:rsidRPr="00C76CC5" w:rsidR="00C76CC5">
        <w:rPr>
          <w:rFonts w:ascii="Times New Roman" w:eastAsia="Times New Roman" w:hAnsi="Times New Roman" w:cs="Times New Roman"/>
          <w:color w:val="000000"/>
          <w:sz w:val="24"/>
          <w:szCs w:val="24"/>
          <w:highlight w:val="darkGray"/>
        </w:rPr>
        <w:t xml:space="preserve">sampling </w:t>
      </w:r>
      <w:r w:rsidRPr="00C76CC5">
        <w:rPr>
          <w:rFonts w:ascii="Times New Roman" w:eastAsia="Times New Roman" w:hAnsi="Times New Roman" w:cs="Times New Roman"/>
          <w:color w:val="000000"/>
          <w:sz w:val="24"/>
          <w:szCs w:val="24"/>
          <w:highlight w:val="darkGray"/>
        </w:rPr>
        <w:t xml:space="preserve">weight for a given sampling unit is the reciprocal of </w:t>
      </w:r>
      <w:r w:rsidRPr="00C76CC5" w:rsidR="003E2692">
        <w:rPr>
          <w:rFonts w:ascii="Times New Roman" w:eastAsia="Times New Roman" w:hAnsi="Times New Roman" w:cs="Times New Roman"/>
          <w:color w:val="000000"/>
          <w:sz w:val="24"/>
          <w:szCs w:val="24"/>
          <w:highlight w:val="darkGray"/>
        </w:rPr>
        <w:t xml:space="preserve">its probability of </w:t>
      </w:r>
      <w:r w:rsidRPr="00C76CC5" w:rsidR="00C229E1">
        <w:rPr>
          <w:rFonts w:ascii="Times New Roman" w:eastAsia="Times New Roman" w:hAnsi="Times New Roman" w:cs="Times New Roman"/>
          <w:color w:val="000000"/>
          <w:sz w:val="24"/>
          <w:szCs w:val="24"/>
          <w:highlight w:val="darkGray"/>
        </w:rPr>
        <w:t xml:space="preserve">inclusion </w:t>
      </w:r>
      <w:r w:rsidRPr="00C76CC5" w:rsidR="003E2692">
        <w:rPr>
          <w:rFonts w:ascii="Times New Roman" w:eastAsia="Times New Roman" w:hAnsi="Times New Roman" w:cs="Times New Roman"/>
          <w:color w:val="000000"/>
          <w:sz w:val="24"/>
          <w:szCs w:val="24"/>
          <w:highlight w:val="darkGray"/>
        </w:rPr>
        <w:t xml:space="preserve">into the sample.  </w:t>
      </w:r>
      <w:r w:rsidRPr="00C76CC5" w:rsidR="00C76CC5">
        <w:rPr>
          <w:rFonts w:ascii="Times New Roman" w:eastAsia="Times New Roman" w:hAnsi="Times New Roman" w:cs="Times New Roman"/>
          <w:color w:val="000000"/>
          <w:sz w:val="24"/>
          <w:szCs w:val="24"/>
          <w:highlight w:val="darkGray"/>
        </w:rPr>
        <w:t>Measures of variation will be provided in the form of coefficients of variation and standard errors.</w:t>
      </w:r>
    </w:p>
    <w:p w:rsidR="00401E4A" w:rsidRPr="00973AB9" w:rsidP="00886101" w14:paraId="4B076D49"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973AB9" w:rsidP="00886101" w14:paraId="1F01B782" w14:textId="5D4B2B19">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973AB9">
        <w:rPr>
          <w:rFonts w:ascii="Times New Roman" w:eastAsia="Times New Roman" w:hAnsi="Times New Roman" w:cs="Times New Roman"/>
          <w:b/>
          <w:bCs/>
          <w:color w:val="000000"/>
          <w:sz w:val="24"/>
          <w:szCs w:val="24"/>
        </w:rPr>
        <w:t>Benchmarking</w:t>
      </w:r>
    </w:p>
    <w:p w:rsidR="00664960" w:rsidRPr="00973AB9" w14:paraId="17EE8276" w14:textId="77777777">
      <w:pPr>
        <w:rPr>
          <w:rFonts w:ascii="Times New Roman" w:hAnsi="Times New Roman" w:cs="Times New Roman"/>
          <w:sz w:val="24"/>
          <w:szCs w:val="24"/>
        </w:rPr>
      </w:pPr>
    </w:p>
    <w:p w:rsidR="00886101" w:rsidRPr="00973AB9" w14:paraId="25FC5483" w14:textId="0B0D4A78">
      <w:pPr>
        <w:rPr>
          <w:rFonts w:ascii="Times New Roman" w:hAnsi="Times New Roman" w:cs="Times New Roman"/>
          <w:sz w:val="24"/>
          <w:szCs w:val="24"/>
        </w:rPr>
      </w:pPr>
      <w:r w:rsidRPr="00973AB9">
        <w:rPr>
          <w:rFonts w:ascii="Times New Roman" w:hAnsi="Times New Roman" w:cs="Times New Roman"/>
          <w:sz w:val="24"/>
          <w:szCs w:val="24"/>
        </w:rPr>
        <w:t>Published estimates from the AIES will be benchmarked to the Economic Census.</w:t>
      </w:r>
    </w:p>
    <w:p w:rsidR="007E4EFA" w:rsidRPr="00973AB9" w:rsidP="00826C5D" w14:paraId="407EA013" w14:textId="07CD46B7">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2. Procedures for Collecting Information</w:t>
      </w:r>
      <w:r w:rsidRPr="00973AB9">
        <w:rPr>
          <w:rFonts w:ascii="Times New Roman" w:eastAsia="Times New Roman" w:hAnsi="Times New Roman" w:cs="Times New Roman"/>
          <w:sz w:val="24"/>
          <w:szCs w:val="24"/>
        </w:rPr>
        <w:t> </w:t>
      </w:r>
    </w:p>
    <w:p w:rsidR="00C631AA" w:rsidRPr="00973AB9" w:rsidP="00BA3602" w14:paraId="2014618C" w14:textId="1CDA4800">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 xml:space="preserve">In the past, the Census Bureau has conducted numerous annual surveys that were often differentiated by type of business (i.e., retail, service, wholesale). In Survey Year 2023 (SY23/Year 1), we will be integrating seven existing annual business surveys into one streamlined single survey called the Annual Integrated Economic Survey (AIES). In Survey Year 2022 (SY22/Year 0), we will conduct a </w:t>
      </w:r>
      <w:r w:rsidRPr="00973AB9">
        <w:rPr>
          <w:rFonts w:ascii="Times New Roman" w:eastAsia="Times New Roman" w:hAnsi="Times New Roman" w:cs="Times New Roman"/>
          <w:sz w:val="24"/>
          <w:szCs w:val="24"/>
        </w:rPr>
        <w:t xml:space="preserve">Dress Rehearsal to test and refine our methods prior to the full implementation in SY23. </w:t>
      </w:r>
      <w:r w:rsidRPr="00973AB9">
        <w:rPr>
          <w:rFonts w:ascii="Times New Roman" w:eastAsia="Times New Roman" w:hAnsi="Times New Roman" w:cs="Times New Roman"/>
          <w:color w:val="242424"/>
          <w:sz w:val="24"/>
          <w:szCs w:val="24"/>
        </w:rPr>
        <w:t>The AIES survey request will replace requests that respondents would have been asked to participate in for the following surveys: </w:t>
      </w:r>
    </w:p>
    <w:p w:rsidR="00C631AA" w:rsidRPr="00973AB9" w:rsidP="00C631AA" w14:paraId="49147EA4"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Annual Retail Trade Survey (ARTS) </w:t>
      </w:r>
    </w:p>
    <w:p w:rsidR="00C631AA" w:rsidRPr="00973AB9" w:rsidP="00C631AA" w14:paraId="0106FCA8"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Annual Wholesale Trade Survey (AWTS) </w:t>
      </w:r>
    </w:p>
    <w:p w:rsidR="00C631AA" w:rsidRPr="00973AB9" w:rsidP="00C631AA" w14:paraId="1DE7A512"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Service Annual Survey (SAS) </w:t>
      </w:r>
    </w:p>
    <w:p w:rsidR="00C631AA" w:rsidRPr="00973AB9" w:rsidP="00C631AA" w14:paraId="19137D74"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Annual Survey of Manufactures (ASM) </w:t>
      </w:r>
    </w:p>
    <w:p w:rsidR="00C631AA" w:rsidRPr="00973AB9" w:rsidP="00C631AA" w14:paraId="5740BC38"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Annual Capital Expenditures Survey (ACES) </w:t>
      </w:r>
    </w:p>
    <w:p w:rsidR="00C631AA" w:rsidRPr="00973AB9" w:rsidP="00C631AA" w14:paraId="1B122DB8"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Manufacturers' Unfilled Orders Survey (M3UFO) </w:t>
      </w:r>
    </w:p>
    <w:p w:rsidR="00C631AA" w:rsidRPr="00973AB9" w:rsidP="00BA3602" w14:paraId="1EF4DCB7" w14:textId="0FEA27B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Report of Organization  </w:t>
      </w:r>
    </w:p>
    <w:p w:rsidR="00C631AA" w:rsidRPr="00973AB9" w:rsidP="00BA3602" w14:paraId="32C42608" w14:textId="61116282">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 xml:space="preserve">Survey Year 2021 (SY21) was the final collection for </w:t>
      </w:r>
      <w:r w:rsidRPr="00973AB9" w:rsidR="003726D0">
        <w:rPr>
          <w:rFonts w:ascii="Times New Roman" w:eastAsia="Times New Roman" w:hAnsi="Times New Roman" w:cs="Times New Roman"/>
          <w:sz w:val="24"/>
          <w:szCs w:val="24"/>
        </w:rPr>
        <w:t>the Report of Organization</w:t>
      </w:r>
      <w:r w:rsidRPr="00973AB9">
        <w:rPr>
          <w:rFonts w:ascii="Times New Roman" w:eastAsia="Times New Roman" w:hAnsi="Times New Roman" w:cs="Times New Roman"/>
          <w:sz w:val="24"/>
          <w:szCs w:val="24"/>
        </w:rPr>
        <w:t xml:space="preserve"> and ASM. SY22 (with data collection during calendar year 2023) will be the final collection for the other five surveys (ARTS, AWTS, SAS, ACES, and M3UFO). During calendar year 2023, we will also be conducting the 2022 Economic Census and the AIES Dress Rehearsal. Coordinating SY22 collection activities with messaging to increase awareness of the AIES will be vital to successfully communicating this significant change to how we collect our data without negatively affecting the collections for the legacy surveys or the 2022 Economic Census. </w:t>
      </w:r>
    </w:p>
    <w:p w:rsidR="00E21F22" w:rsidP="00BA3602" w14:paraId="47AACB85"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E21F22" w:rsidP="00BA3602" w14:paraId="6921BE97"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C631AA" w:rsidRPr="00973AB9" w:rsidP="00BA3602" w14:paraId="29F3DAAC" w14:textId="575B6AEC">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The table below shows the number of firms for the AIES Dress Rehearsal in SY22 (Year 0) and the full implementation in SY23 (Year 1). </w:t>
      </w:r>
    </w:p>
    <w:tbl>
      <w:tblPr>
        <w:tblW w:w="0" w:type="auto"/>
        <w:tblInd w:w="27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40"/>
        <w:gridCol w:w="1440"/>
      </w:tblGrid>
      <w:tr w14:paraId="2D2D78ED" w14:textId="77777777" w:rsidTr="00BA3602">
        <w:tblPrEx>
          <w:tblW w:w="0" w:type="auto"/>
          <w:tblInd w:w="27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573"/>
        </w:trPr>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631AA" w:rsidRPr="00973AB9" w:rsidP="00C631AA" w14:paraId="0B18C331"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SY22/</w:t>
            </w:r>
            <w:r w:rsidRPr="00973AB9">
              <w:rPr>
                <w:rFonts w:ascii="Times New Roman" w:eastAsia="Times New Roman" w:hAnsi="Times New Roman" w:cs="Times New Roman"/>
                <w:sz w:val="24"/>
                <w:szCs w:val="24"/>
              </w:rPr>
              <w:t> </w:t>
            </w:r>
          </w:p>
          <w:p w:rsidR="00C631AA" w:rsidRPr="00973AB9" w:rsidP="00C631AA" w14:paraId="5004E5F3"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Year 0</w:t>
            </w:r>
            <w:r w:rsidRPr="00973AB9">
              <w:rPr>
                <w:rFonts w:ascii="Times New Roman" w:eastAsia="Times New Roman" w:hAnsi="Times New Roman" w:cs="Times New Roman"/>
                <w:sz w:val="24"/>
                <w:szCs w:val="24"/>
              </w:rPr>
              <w:t> </w:t>
            </w:r>
          </w:p>
        </w:tc>
        <w:tc>
          <w:tcPr>
            <w:tcW w:w="1440" w:type="dxa"/>
            <w:tcBorders>
              <w:top w:val="single" w:sz="6" w:space="0" w:color="auto"/>
              <w:left w:val="nil"/>
              <w:bottom w:val="single" w:sz="6" w:space="0" w:color="auto"/>
              <w:right w:val="single" w:sz="6" w:space="0" w:color="auto"/>
            </w:tcBorders>
            <w:shd w:val="clear" w:color="auto" w:fill="auto"/>
            <w:vAlign w:val="bottom"/>
            <w:hideMark/>
          </w:tcPr>
          <w:p w:rsidR="00C631AA" w:rsidRPr="00973AB9" w:rsidP="00C631AA" w14:paraId="66F66920"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SY23/</w:t>
            </w:r>
            <w:r w:rsidRPr="00973AB9">
              <w:rPr>
                <w:rFonts w:ascii="Times New Roman" w:eastAsia="Times New Roman" w:hAnsi="Times New Roman" w:cs="Times New Roman"/>
                <w:sz w:val="24"/>
                <w:szCs w:val="24"/>
              </w:rPr>
              <w:t> </w:t>
            </w:r>
          </w:p>
          <w:p w:rsidR="00C631AA" w:rsidRPr="00973AB9" w:rsidP="00C631AA" w14:paraId="162BE644" w14:textId="77777777">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Year 1</w:t>
            </w:r>
            <w:r w:rsidRPr="00973AB9">
              <w:rPr>
                <w:rFonts w:ascii="Times New Roman" w:eastAsia="Times New Roman" w:hAnsi="Times New Roman" w:cs="Times New Roman"/>
                <w:sz w:val="24"/>
                <w:szCs w:val="24"/>
              </w:rPr>
              <w:t> </w:t>
            </w:r>
          </w:p>
        </w:tc>
      </w:tr>
      <w:tr w14:paraId="260298C0" w14:textId="77777777" w:rsidTr="00BA3602">
        <w:tblPrEx>
          <w:tblW w:w="0" w:type="auto"/>
          <w:tblInd w:w="2707" w:type="dxa"/>
          <w:tblCellMar>
            <w:top w:w="15" w:type="dxa"/>
            <w:left w:w="15" w:type="dxa"/>
            <w:bottom w:w="15" w:type="dxa"/>
            <w:right w:w="15" w:type="dxa"/>
          </w:tblCellMar>
          <w:tblLook w:val="04A0"/>
        </w:tblPrEx>
        <w:trPr>
          <w:trHeight w:val="300"/>
        </w:trPr>
        <w:tc>
          <w:tcPr>
            <w:tcW w:w="1440" w:type="dxa"/>
            <w:tcBorders>
              <w:top w:val="nil"/>
              <w:left w:val="single" w:sz="6" w:space="0" w:color="auto"/>
              <w:bottom w:val="single" w:sz="6" w:space="0" w:color="auto"/>
              <w:right w:val="single" w:sz="6" w:space="0" w:color="auto"/>
            </w:tcBorders>
            <w:shd w:val="clear" w:color="auto" w:fill="auto"/>
            <w:vAlign w:val="bottom"/>
            <w:hideMark/>
          </w:tcPr>
          <w:p w:rsidR="00C631AA" w:rsidRPr="00973AB9" w:rsidP="00C631AA" w14:paraId="4484D4BE" w14:textId="2D392CED">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8,</w:t>
            </w:r>
            <w:r w:rsidR="00F0504B">
              <w:rPr>
                <w:rFonts w:ascii="Times New Roman" w:eastAsia="Times New Roman" w:hAnsi="Times New Roman" w:cs="Times New Roman"/>
                <w:sz w:val="24"/>
                <w:szCs w:val="24"/>
              </w:rPr>
              <w:t>470</w:t>
            </w:r>
            <w:r w:rsidRPr="00973AB9">
              <w:rPr>
                <w:rFonts w:ascii="Times New Roman" w:eastAsia="Times New Roman" w:hAnsi="Times New Roman" w:cs="Times New Roman"/>
                <w:sz w:val="24"/>
                <w:szCs w:val="24"/>
              </w:rPr>
              <w:t> </w:t>
            </w:r>
          </w:p>
        </w:tc>
        <w:tc>
          <w:tcPr>
            <w:tcW w:w="1440" w:type="dxa"/>
            <w:tcBorders>
              <w:top w:val="nil"/>
              <w:left w:val="nil"/>
              <w:bottom w:val="single" w:sz="6" w:space="0" w:color="auto"/>
              <w:right w:val="single" w:sz="6" w:space="0" w:color="auto"/>
            </w:tcBorders>
            <w:shd w:val="clear" w:color="auto" w:fill="auto"/>
            <w:vAlign w:val="bottom"/>
            <w:hideMark/>
          </w:tcPr>
          <w:p w:rsidR="00C631AA" w:rsidRPr="00973AB9" w:rsidP="00C631AA" w14:paraId="36E26327" w14:textId="66C4261B">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384,9</w:t>
            </w:r>
            <w:r w:rsidR="00F0504B">
              <w:rPr>
                <w:rFonts w:ascii="Times New Roman" w:eastAsia="Times New Roman" w:hAnsi="Times New Roman" w:cs="Times New Roman"/>
                <w:sz w:val="24"/>
                <w:szCs w:val="24"/>
              </w:rPr>
              <w:t>40</w:t>
            </w:r>
            <w:r w:rsidRPr="00973AB9">
              <w:rPr>
                <w:rFonts w:ascii="Times New Roman" w:eastAsia="Times New Roman" w:hAnsi="Times New Roman" w:cs="Times New Roman"/>
                <w:sz w:val="24"/>
                <w:szCs w:val="24"/>
              </w:rPr>
              <w:t> </w:t>
            </w:r>
          </w:p>
        </w:tc>
      </w:tr>
    </w:tbl>
    <w:p w:rsidR="00C631AA" w:rsidRPr="00973AB9" w:rsidP="00BA3602" w14:paraId="4CAABF76" w14:textId="70E1DD1B">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The initial letter to firms identifies the survey name, due date, instructions for accessing the electronic survey instrument, authority for collection, and burden estimate. It also provides a website with information for respondents and a telephone number for those needing assistance. When we have an email address for the respondent, we will also send out the initial survey request by email. We will periodically follow-up with nonrespondents via mail, email, and phone.  </w:t>
      </w:r>
    </w:p>
    <w:p w:rsidR="00C631AA" w:rsidRPr="00973AB9" w:rsidP="00BA3602" w14:paraId="4D7FF72B"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Electronic reporting will be the only advertised reporting option. Nevertheless, the Census Bureau will accept data submitted through other methods. For example, if a firm does not have access to the internet, we can arrange for the business to provide data to an analyst via phone. </w:t>
      </w:r>
    </w:p>
    <w:p w:rsidR="00C631AA" w:rsidRPr="00973AB9" w:rsidP="00826C5D" w14:paraId="691E9B11"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826C5D" w:rsidRPr="00973AB9" w:rsidP="00826C5D" w14:paraId="146ED9C1" w14:textId="2D1467C2">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3. Methods to Maximize Response</w:t>
      </w:r>
      <w:r w:rsidRPr="00973AB9">
        <w:rPr>
          <w:rFonts w:ascii="Times New Roman" w:eastAsia="Times New Roman" w:hAnsi="Times New Roman" w:cs="Times New Roman"/>
          <w:sz w:val="24"/>
          <w:szCs w:val="24"/>
        </w:rPr>
        <w:t> </w:t>
      </w:r>
    </w:p>
    <w:p w:rsidR="00EA6E38" w:rsidRPr="00973AB9" w:rsidP="00BA3602" w14:paraId="5935F5BD"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color w:val="242424"/>
          <w:sz w:val="24"/>
          <w:szCs w:val="24"/>
        </w:rPr>
        <w:t>Our intention is for the redesigned survey to be easier to complete (reducing respondent burden), resulting in better and more timely data, and allowing the Census Bureau to operate more efficiently to reduce costs.  </w:t>
      </w:r>
    </w:p>
    <w:p w:rsidR="00EA6E38" w:rsidRPr="00973AB9" w:rsidP="00BA3602" w14:paraId="06213BAA"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To increase awareness of the AIES both during and shortly after the legacy surveys conclude collection for SY22, we will be contacting respondents and non-respondents for each of the legacy surveys to inform them that the legacy survey will be discontinued and communicate the upcoming AIES via email (respondents only) and paper (both respondents and nonrespondents). For the AIES Dress Rehearsal, an advance notice will be sent to the contacts from the legacy surveys to introduce changes in our data collection and inform firms that they will receive the new AIES survey instead of the SY22 legacy annual surveys.  </w:t>
      </w:r>
    </w:p>
    <w:p w:rsidR="00EA6E38" w:rsidRPr="00973AB9" w:rsidP="00BA3602" w14:paraId="43FAAF1E" w14:textId="0F4974F5">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After the AIES initial letter, firms are given at least 30 business days to respond and are given extension dates upon request. Approximately a week before the AIES due date, respondents will receive a due date reminder. Shortly after the due date, we will periodically follow-up with delinquent cases via mail, email, or phone.  </w:t>
      </w:r>
    </w:p>
    <w:p w:rsidR="00EA6E38" w:rsidRPr="00973AB9" w:rsidP="00BA3602" w14:paraId="031CDAE2"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We provide a website with information for respondents and a telephone number and secure messaging for those needing assistance. For selected large and complex companies, account managers provide tailored customer service and work with companies to ensure timely and accurate reporting. </w:t>
      </w:r>
    </w:p>
    <w:p w:rsidR="00EA6E38" w:rsidRPr="00973AB9" w:rsidP="00826C5D" w14:paraId="02DD59B8"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907B39" w:rsidRPr="00973AB9" w:rsidP="00907B39" w14:paraId="144DE785" w14:textId="537C2FC6">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b/>
          <w:bCs/>
          <w:sz w:val="24"/>
          <w:szCs w:val="24"/>
        </w:rPr>
        <w:t>4. Tests of Procedures or Methods</w:t>
      </w:r>
      <w:r w:rsidRPr="00973AB9">
        <w:rPr>
          <w:rFonts w:ascii="Times New Roman" w:eastAsia="Times New Roman" w:hAnsi="Times New Roman" w:cs="Times New Roman"/>
          <w:sz w:val="24"/>
          <w:szCs w:val="24"/>
        </w:rPr>
        <w:t> </w:t>
      </w:r>
    </w:p>
    <w:p w:rsidR="00E65622" w:rsidRPr="00973AB9" w:rsidP="00BA3602" w14:paraId="640C4B54" w14:textId="77777777">
      <w:pPr>
        <w:rPr>
          <w:rFonts w:ascii="Times New Roman" w:hAnsi="Times New Roman" w:cs="Times New Roman"/>
          <w:b/>
          <w:bCs/>
          <w:sz w:val="24"/>
          <w:szCs w:val="24"/>
        </w:rPr>
      </w:pPr>
      <w:r w:rsidRPr="00973AB9">
        <w:rPr>
          <w:rFonts w:ascii="Times New Roman" w:hAnsi="Times New Roman" w:cs="Times New Roman"/>
          <w:b/>
          <w:bCs/>
          <w:sz w:val="24"/>
          <w:szCs w:val="24"/>
        </w:rPr>
        <w:t>Record Keeping Study</w:t>
      </w:r>
    </w:p>
    <w:p w:rsidR="00E65622" w:rsidRPr="00973AB9" w:rsidP="00E65622" w14:paraId="46B2B2E0" w14:textId="708416F5">
      <w:pPr>
        <w:rPr>
          <w:rFonts w:ascii="Times New Roman" w:hAnsi="Times New Roman" w:cs="Times New Roman"/>
          <w:sz w:val="24"/>
          <w:szCs w:val="24"/>
        </w:rPr>
      </w:pPr>
      <w:r w:rsidRPr="00973AB9">
        <w:rPr>
          <w:rFonts w:ascii="Times New Roman" w:hAnsi="Times New Roman" w:cs="Times New Roman"/>
          <w:sz w:val="24"/>
          <w:szCs w:val="24"/>
        </w:rPr>
        <w:t xml:space="preserve">A first step in respondent-centered research in support of the development of the AIES was a series of 29 interviews with medium-sized companies across various industries exploring their record keeping practices.  These interviews explored the link between financial records and company organizational and management practices.  First, researchers asked respondents to describe in their own words what their business does or makes, and then to indicate the North American Industry Classification System (NAICS) most appropriate for their business.  Next, researchers explored companies’ reporting of four key variables (sales/receipts/revenues; inventory; expenses, focusing on payroll and employment; and capital expenditures); in some cases, respondents were shown specific questionnaires from the annual surveys they had received – and to which they had responded.  They were asked to explain their general response process, how they gathered data from multiple sources, and whether they needed to manipulate the data </w:t>
      </w:r>
      <w:r w:rsidRPr="00973AB9">
        <w:rPr>
          <w:rFonts w:ascii="Times New Roman" w:hAnsi="Times New Roman" w:cs="Times New Roman"/>
          <w:sz w:val="24"/>
          <w:szCs w:val="24"/>
        </w:rPr>
        <w:t>in order to</w:t>
      </w:r>
      <w:r w:rsidRPr="00973AB9">
        <w:rPr>
          <w:rFonts w:ascii="Times New Roman" w:hAnsi="Times New Roman" w:cs="Times New Roman"/>
          <w:sz w:val="24"/>
          <w:szCs w:val="24"/>
        </w:rPr>
        <w:t xml:space="preserve"> provide answers to what they thought the questions were asking.  Researchers probed apparent discrepancies between respondents’ reporting practices and the question’s intent.</w:t>
      </w:r>
    </w:p>
    <w:p w:rsidR="00E65622" w:rsidRPr="00973AB9" w:rsidP="00E65622" w14:paraId="508521A7" w14:textId="77777777">
      <w:pPr>
        <w:rPr>
          <w:rFonts w:ascii="Times New Roman" w:hAnsi="Times New Roman" w:cs="Times New Roman"/>
          <w:sz w:val="24"/>
          <w:szCs w:val="24"/>
        </w:rPr>
      </w:pPr>
      <w:r w:rsidRPr="00973AB9">
        <w:rPr>
          <w:rFonts w:ascii="Times New Roman" w:hAnsi="Times New Roman" w:cs="Times New Roman"/>
          <w:sz w:val="24"/>
          <w:szCs w:val="24"/>
        </w:rPr>
        <w:t>Major findings from the Record Keeping Study shed light on how companies’ practices translate into response processes for Census Bureau surveys.  This includes three major findings: first, industry classification is challenging and unnatural for respondents, and companies can struggle to fit within the NAICS classification system.  Second, businesses varied in their operating units, and this impacted the level and detail at which they keep their records, which can negatively or positively impact response.  Finally, consolidated financial records are a mainstay for businesses, and act as an ‘anchor’ for most detailed information that respondents provide.</w:t>
      </w:r>
    </w:p>
    <w:p w:rsidR="00E65622" w:rsidRPr="00973AB9" w:rsidP="00E65622" w14:paraId="1E68DB30" w14:textId="77777777">
      <w:pPr>
        <w:rPr>
          <w:rFonts w:ascii="Times New Roman" w:hAnsi="Times New Roman" w:cs="Times New Roman"/>
          <w:sz w:val="24"/>
          <w:szCs w:val="24"/>
        </w:rPr>
      </w:pPr>
    </w:p>
    <w:p w:rsidR="00E65622" w:rsidRPr="00973AB9" w:rsidP="00BA3602" w14:paraId="37AD79E9" w14:textId="77777777">
      <w:pPr>
        <w:rPr>
          <w:rFonts w:ascii="Times New Roman" w:hAnsi="Times New Roman" w:cs="Times New Roman"/>
          <w:b/>
          <w:bCs/>
          <w:sz w:val="24"/>
          <w:szCs w:val="24"/>
        </w:rPr>
      </w:pPr>
      <w:r w:rsidRPr="00973AB9">
        <w:rPr>
          <w:rFonts w:ascii="Times New Roman" w:hAnsi="Times New Roman" w:cs="Times New Roman"/>
          <w:b/>
          <w:bCs/>
          <w:sz w:val="24"/>
          <w:szCs w:val="24"/>
        </w:rPr>
        <w:t>Data Accessibility Study</w:t>
      </w:r>
    </w:p>
    <w:p w:rsidR="00E65622" w:rsidRPr="00973AB9" w:rsidP="00E65622" w14:paraId="152A9F56" w14:textId="3274169E">
      <w:pPr>
        <w:rPr>
          <w:rFonts w:ascii="Times New Roman" w:hAnsi="Times New Roman" w:cs="Times New Roman"/>
          <w:sz w:val="24"/>
          <w:szCs w:val="24"/>
        </w:rPr>
      </w:pPr>
      <w:r w:rsidRPr="00973AB9">
        <w:rPr>
          <w:rFonts w:ascii="Times New Roman" w:hAnsi="Times New Roman" w:cs="Times New Roman"/>
          <w:sz w:val="24"/>
          <w:szCs w:val="24"/>
        </w:rPr>
        <w:t>Following the Record Keeping Study, Census Bureau researchers engaged in an additional 30 in-depth interviews with medium sized businesses across various industries about the accessibility of their data at various levels of the business.  These interviews first established definitions and equivalencies of response units (for example, what is the company term that means the same as ‘establishment’?).  Then, respondents were asked about ‘general’ and ‘specific’ industry classifications (akin to the four- and six-digit NAICS classifications).  Finally, respondents were asked to use a four-point color coded scale ranging from green (very accessible) to red (not at all accessible) to categorize data for specific topics (e.g., revenue, expenses, and payroll) at specific levels (e.g., company-wide, by establishment, or at the general and specific industry levels).</w:t>
      </w:r>
    </w:p>
    <w:p w:rsidR="00E65622" w:rsidRPr="00973AB9" w:rsidP="00E65622" w14:paraId="1F2F68DB" w14:textId="77777777">
      <w:pPr>
        <w:rPr>
          <w:rFonts w:ascii="Times New Roman" w:hAnsi="Times New Roman" w:cs="Times New Roman"/>
          <w:sz w:val="24"/>
          <w:szCs w:val="24"/>
        </w:rPr>
      </w:pPr>
      <w:r w:rsidRPr="00973AB9">
        <w:rPr>
          <w:rFonts w:ascii="Times New Roman" w:hAnsi="Times New Roman" w:cs="Times New Roman"/>
          <w:sz w:val="24"/>
          <w:szCs w:val="24"/>
        </w:rPr>
        <w:t xml:space="preserve">This set of interviewing further detailed what data are available at what levels.  Respondents still struggled with their NAICS classification, noting that the categories could be too broad or, conversely, not encompassing enough to accurately describe the </w:t>
      </w:r>
      <w:r w:rsidRPr="00973AB9">
        <w:rPr>
          <w:rFonts w:ascii="Times New Roman" w:hAnsi="Times New Roman" w:cs="Times New Roman"/>
          <w:sz w:val="24"/>
          <w:szCs w:val="24"/>
        </w:rPr>
        <w:t>company as a whole</w:t>
      </w:r>
      <w:r w:rsidRPr="00973AB9">
        <w:rPr>
          <w:rFonts w:ascii="Times New Roman" w:hAnsi="Times New Roman" w:cs="Times New Roman"/>
          <w:sz w:val="24"/>
          <w:szCs w:val="24"/>
        </w:rPr>
        <w:t xml:space="preserve">.  At the same time, researchers noted that company-level data are the most accessible regardless of size and sector of the business, and that more granular levels of data can be increasingly challenging </w:t>
      </w:r>
      <w:r w:rsidRPr="00973AB9">
        <w:rPr>
          <w:rFonts w:ascii="Times New Roman" w:hAnsi="Times New Roman" w:cs="Times New Roman"/>
          <w:sz w:val="24"/>
          <w:szCs w:val="24"/>
        </w:rPr>
        <w:t>to report, with respondents struggling most to report information by industry.  Note that this interviewing also asked about the availability of data at the state level, and that many respondents indicated that to provide response by state, they would first have to output data by establishment and sum up to the state level.</w:t>
      </w:r>
    </w:p>
    <w:p w:rsidR="00E65622" w:rsidRPr="00973AB9" w:rsidP="00E65622" w14:paraId="78D65F63" w14:textId="77777777">
      <w:pPr>
        <w:rPr>
          <w:rFonts w:ascii="Times New Roman" w:hAnsi="Times New Roman" w:cs="Times New Roman"/>
          <w:sz w:val="24"/>
          <w:szCs w:val="24"/>
        </w:rPr>
      </w:pPr>
    </w:p>
    <w:p w:rsidR="00E65622" w:rsidRPr="00973AB9" w:rsidP="00BA3602" w14:paraId="53166441" w14:textId="77777777">
      <w:pPr>
        <w:rPr>
          <w:rFonts w:ascii="Times New Roman" w:hAnsi="Times New Roman" w:cs="Times New Roman"/>
          <w:b/>
          <w:bCs/>
          <w:sz w:val="24"/>
          <w:szCs w:val="24"/>
        </w:rPr>
      </w:pPr>
      <w:r w:rsidRPr="00973AB9">
        <w:rPr>
          <w:rFonts w:ascii="Times New Roman" w:hAnsi="Times New Roman" w:cs="Times New Roman"/>
          <w:b/>
          <w:bCs/>
          <w:sz w:val="24"/>
          <w:szCs w:val="24"/>
        </w:rPr>
        <w:t>Coordinated Collection Respondent and Non-Respondent Debriefings</w:t>
      </w:r>
    </w:p>
    <w:p w:rsidR="00E65622" w:rsidRPr="00973AB9" w:rsidP="00E65622" w14:paraId="1D11053B" w14:textId="63CE640C">
      <w:pPr>
        <w:rPr>
          <w:rFonts w:ascii="Times New Roman" w:hAnsi="Times New Roman" w:cs="Times New Roman"/>
          <w:sz w:val="24"/>
          <w:szCs w:val="24"/>
        </w:rPr>
      </w:pPr>
      <w:r w:rsidRPr="00973AB9">
        <w:rPr>
          <w:rFonts w:ascii="Times New Roman" w:hAnsi="Times New Roman" w:cs="Times New Roman"/>
          <w:sz w:val="24"/>
          <w:szCs w:val="24"/>
        </w:rPr>
        <w:t xml:space="preserve">In preparation for the integrated survey, staff at the Census Bureau began a program of consolidating company contacts across the disparate current annual surveys to identify one primary contact for </w:t>
      </w:r>
      <w:r w:rsidR="00467148">
        <w:rPr>
          <w:rFonts w:ascii="Times New Roman" w:hAnsi="Times New Roman" w:cs="Times New Roman"/>
          <w:sz w:val="24"/>
          <w:szCs w:val="24"/>
        </w:rPr>
        <w:t xml:space="preserve">the </w:t>
      </w:r>
      <w:r w:rsidRPr="00973AB9">
        <w:rPr>
          <w:rFonts w:ascii="Times New Roman" w:hAnsi="Times New Roman" w:cs="Times New Roman"/>
          <w:sz w:val="24"/>
          <w:szCs w:val="24"/>
        </w:rPr>
        <w:t xml:space="preserve">AIES.  To better understand how contact consolidation might impact response processes, researchers conducted two rounds of debriefing interviews.  The first was 35 interviews with responding companies across various sizes and industries, during which Census Bureau researchers asked questions about communication materials and challenges.  The second round was 19 interviews with non-responding companies of various sizes and industries to understand where response may have broken down.  </w:t>
      </w:r>
    </w:p>
    <w:p w:rsidR="00E65622" w:rsidRPr="00973AB9" w:rsidP="00E65622" w14:paraId="31026653" w14:textId="20E4BEDC">
      <w:pPr>
        <w:rPr>
          <w:rFonts w:ascii="Times New Roman" w:hAnsi="Times New Roman" w:cs="Times New Roman"/>
          <w:sz w:val="24"/>
          <w:szCs w:val="24"/>
        </w:rPr>
      </w:pPr>
      <w:r w:rsidRPr="00973AB9">
        <w:rPr>
          <w:rFonts w:ascii="Times New Roman" w:hAnsi="Times New Roman" w:cs="Times New Roman"/>
          <w:sz w:val="24"/>
          <w:szCs w:val="24"/>
        </w:rPr>
        <w:t xml:space="preserve">From the respondent debriefing interviews, several major findings informed the contact strategy for the AIES.  Researchers noted that many respondents did not receive – or do not remember receiving – many of the communications that the Census Bureau sent in support of consolidating contacts.  Some of this may be related to the COVID-19 global pandemic, both because respondents may have been working remotely and not received the contact, or because of the general inconsistencies in mail delivery during the pandemic.  Researchers also noted that respondents generally received Census Bureau communications positively (especially the online Respondent Portal that they use to complete surveys), but that respondents’ experiences with reaching out for support from the Census Bureau can be mixed.  Non-respondent debriefings identified barriers to response, including company-related issues like staffing shortages and data being </w:t>
      </w:r>
      <w:r w:rsidRPr="00973AB9">
        <w:rPr>
          <w:rFonts w:ascii="Times New Roman" w:hAnsi="Times New Roman" w:cs="Times New Roman"/>
          <w:sz w:val="24"/>
          <w:szCs w:val="24"/>
        </w:rPr>
        <w:t>uncentralized</w:t>
      </w:r>
      <w:r w:rsidRPr="00973AB9">
        <w:rPr>
          <w:rFonts w:ascii="Times New Roman" w:hAnsi="Times New Roman" w:cs="Times New Roman"/>
          <w:sz w:val="24"/>
          <w:szCs w:val="24"/>
        </w:rPr>
        <w:t xml:space="preserve">, surveys that do not reflect current company structure, and communication shortfalls from the Census Bureau.  </w:t>
      </w:r>
    </w:p>
    <w:p w:rsidR="00E65622" w:rsidRPr="00973AB9" w:rsidP="00E65622" w14:paraId="441C5957" w14:textId="77777777">
      <w:pPr>
        <w:rPr>
          <w:rFonts w:ascii="Times New Roman" w:hAnsi="Times New Roman" w:cs="Times New Roman"/>
          <w:sz w:val="24"/>
          <w:szCs w:val="24"/>
        </w:rPr>
      </w:pPr>
    </w:p>
    <w:p w:rsidR="00E65622" w:rsidRPr="00973AB9" w:rsidP="00BA3602" w14:paraId="0E9C3A9F" w14:textId="77777777">
      <w:pPr>
        <w:rPr>
          <w:rFonts w:ascii="Times New Roman" w:hAnsi="Times New Roman" w:cs="Times New Roman"/>
          <w:b/>
          <w:bCs/>
          <w:sz w:val="24"/>
          <w:szCs w:val="24"/>
        </w:rPr>
      </w:pPr>
      <w:r w:rsidRPr="00973AB9">
        <w:rPr>
          <w:rFonts w:ascii="Times New Roman" w:hAnsi="Times New Roman" w:cs="Times New Roman"/>
          <w:b/>
          <w:bCs/>
          <w:sz w:val="24"/>
          <w:szCs w:val="24"/>
        </w:rPr>
        <w:t>Survey Structure Interviewing</w:t>
      </w:r>
    </w:p>
    <w:p w:rsidR="00E65622" w:rsidRPr="00973AB9" w:rsidP="00E65622" w14:paraId="1A819B57" w14:textId="518A5714">
      <w:pPr>
        <w:rPr>
          <w:rFonts w:ascii="Times New Roman" w:hAnsi="Times New Roman" w:cs="Times New Roman"/>
          <w:sz w:val="24"/>
          <w:szCs w:val="24"/>
        </w:rPr>
      </w:pPr>
      <w:r w:rsidRPr="00973AB9">
        <w:rPr>
          <w:rFonts w:ascii="Times New Roman" w:hAnsi="Times New Roman" w:cs="Times New Roman"/>
          <w:sz w:val="24"/>
          <w:szCs w:val="24"/>
        </w:rPr>
        <w:t xml:space="preserve">To start to build out the survey flow for </w:t>
      </w:r>
      <w:r w:rsidR="00467148">
        <w:rPr>
          <w:rFonts w:ascii="Times New Roman" w:hAnsi="Times New Roman" w:cs="Times New Roman"/>
          <w:sz w:val="24"/>
          <w:szCs w:val="24"/>
        </w:rPr>
        <w:t xml:space="preserve">the </w:t>
      </w:r>
      <w:r w:rsidRPr="00973AB9">
        <w:rPr>
          <w:rFonts w:ascii="Times New Roman" w:hAnsi="Times New Roman" w:cs="Times New Roman"/>
          <w:sz w:val="24"/>
          <w:szCs w:val="24"/>
        </w:rPr>
        <w:t xml:space="preserve">AIES, Census Bureau researchers conducted 39 interviews with companies across various industries focused on preliminary ‘mock ups’ of survey screens designed to give respondents an overview of each module and the survey at large.  Respondents were asked about their record keeping practices and preferences for reporting (e.g., using a spreadsheet or the traditional page-by-page response). Finally, respondents were asked to reflect on the concept of </w:t>
      </w:r>
      <w:r w:rsidR="00426590">
        <w:rPr>
          <w:rFonts w:ascii="Times New Roman" w:hAnsi="Times New Roman" w:cs="Times New Roman"/>
          <w:sz w:val="24"/>
          <w:szCs w:val="24"/>
        </w:rPr>
        <w:t xml:space="preserve">the </w:t>
      </w:r>
      <w:r w:rsidRPr="00973AB9">
        <w:rPr>
          <w:rFonts w:ascii="Times New Roman" w:hAnsi="Times New Roman" w:cs="Times New Roman"/>
          <w:sz w:val="24"/>
          <w:szCs w:val="24"/>
        </w:rPr>
        <w:t>AIES as a whole, their</w:t>
      </w:r>
      <w:r w:rsidRPr="00973AB9">
        <w:rPr>
          <w:rFonts w:ascii="Times New Roman" w:hAnsi="Times New Roman" w:cs="Times New Roman"/>
          <w:sz w:val="24"/>
          <w:szCs w:val="24"/>
        </w:rPr>
        <w:t xml:space="preserve"> thoughts about the overall design, and their thoughts on its effect on their burden.</w:t>
      </w:r>
    </w:p>
    <w:p w:rsidR="00E65622" w:rsidRPr="00973AB9" w:rsidP="00E65622" w14:paraId="79310735" w14:textId="5939C374">
      <w:pPr>
        <w:rPr>
          <w:rFonts w:ascii="Times New Roman" w:hAnsi="Times New Roman" w:cs="Times New Roman"/>
          <w:sz w:val="24"/>
          <w:szCs w:val="24"/>
        </w:rPr>
      </w:pPr>
      <w:r w:rsidRPr="00973AB9">
        <w:rPr>
          <w:rFonts w:ascii="Times New Roman" w:hAnsi="Times New Roman" w:cs="Times New Roman"/>
          <w:sz w:val="24"/>
          <w:szCs w:val="24"/>
        </w:rPr>
        <w:t xml:space="preserve">For this interviewing, Census Bureau researchers noted that </w:t>
      </w:r>
      <w:r w:rsidR="00426590">
        <w:rPr>
          <w:rFonts w:ascii="Times New Roman" w:hAnsi="Times New Roman" w:cs="Times New Roman"/>
          <w:sz w:val="24"/>
          <w:szCs w:val="24"/>
        </w:rPr>
        <w:t xml:space="preserve">the </w:t>
      </w:r>
      <w:r w:rsidRPr="00973AB9">
        <w:rPr>
          <w:rFonts w:ascii="Times New Roman" w:hAnsi="Times New Roman" w:cs="Times New Roman"/>
          <w:sz w:val="24"/>
          <w:szCs w:val="24"/>
        </w:rPr>
        <w:t xml:space="preserve">AIES introduces complexities for response both at the units of collection (company, establishment, and industry) and by the various topics mixed into one survey.  Again, the issue of NAICS classification ‘fitting’ a business generally – and more specifically the classification of specific industries – was noted as </w:t>
      </w:r>
      <w:r w:rsidRPr="00973AB9">
        <w:rPr>
          <w:rFonts w:ascii="Times New Roman" w:hAnsi="Times New Roman" w:cs="Times New Roman"/>
          <w:sz w:val="24"/>
          <w:szCs w:val="24"/>
        </w:rPr>
        <w:t xml:space="preserve">a space where respondents sometimes struggled.  Most respondents indicated wanting to use the downloadable spreadsheet option, to gather their data first and then enter it into the survey, and to submit data across all survey sections at one time, instead of section by section.  Respondents also stressed their reliance on others within the company to complete the survey, and that they were open to using survey previews (as PDFs or otherwise) to </w:t>
      </w:r>
      <w:r w:rsidRPr="00973AB9">
        <w:rPr>
          <w:rFonts w:ascii="Times New Roman" w:hAnsi="Times New Roman" w:cs="Times New Roman"/>
          <w:sz w:val="24"/>
          <w:szCs w:val="24"/>
        </w:rPr>
        <w:t>make a plan</w:t>
      </w:r>
      <w:r w:rsidRPr="00973AB9">
        <w:rPr>
          <w:rFonts w:ascii="Times New Roman" w:hAnsi="Times New Roman" w:cs="Times New Roman"/>
          <w:sz w:val="24"/>
          <w:szCs w:val="24"/>
        </w:rPr>
        <w:t xml:space="preserve"> for data collection and/or to email to other departments or locations for response.</w:t>
      </w:r>
    </w:p>
    <w:p w:rsidR="00E65622" w:rsidRPr="00973AB9" w:rsidP="00E65622" w14:paraId="68EE7BB4" w14:textId="77777777">
      <w:pPr>
        <w:rPr>
          <w:rFonts w:ascii="Times New Roman" w:hAnsi="Times New Roman" w:cs="Times New Roman"/>
          <w:sz w:val="24"/>
          <w:szCs w:val="24"/>
        </w:rPr>
      </w:pPr>
    </w:p>
    <w:p w:rsidR="00E65622" w:rsidRPr="00973AB9" w:rsidP="00BA3602" w14:paraId="200CA78C" w14:textId="77777777">
      <w:pPr>
        <w:rPr>
          <w:rFonts w:ascii="Times New Roman" w:hAnsi="Times New Roman" w:cs="Times New Roman"/>
          <w:b/>
          <w:bCs/>
          <w:sz w:val="24"/>
          <w:szCs w:val="24"/>
        </w:rPr>
      </w:pPr>
      <w:r w:rsidRPr="00973AB9">
        <w:rPr>
          <w:rFonts w:ascii="Times New Roman" w:hAnsi="Times New Roman" w:cs="Times New Roman"/>
          <w:b/>
          <w:bCs/>
          <w:sz w:val="24"/>
          <w:szCs w:val="24"/>
        </w:rPr>
        <w:t>AIES Pilot Phase I</w:t>
      </w:r>
    </w:p>
    <w:p w:rsidR="00E65622" w:rsidRPr="00973AB9" w:rsidP="00E65622" w14:paraId="208462B4" w14:textId="280004C6">
      <w:pPr>
        <w:rPr>
          <w:rFonts w:ascii="Times New Roman" w:hAnsi="Times New Roman" w:cs="Times New Roman"/>
          <w:sz w:val="24"/>
          <w:szCs w:val="24"/>
        </w:rPr>
      </w:pPr>
      <w:r w:rsidRPr="00973AB9">
        <w:rPr>
          <w:rFonts w:ascii="Times New Roman" w:hAnsi="Times New Roman" w:cs="Times New Roman"/>
          <w:sz w:val="24"/>
          <w:szCs w:val="24"/>
        </w:rPr>
        <w:t xml:space="preserve">With this qualitative research in mind, Census Bureau researchers determined that the next research step was to induce independent response from the field for the integrated survey.  78 companies from across the country in various industries were invited to participate in Phase I of the AIES Pilot, and from that, 62 companies (79 percent) provided at least some response data to the survey.  In addition to the online survey, </w:t>
      </w:r>
      <w:r w:rsidR="00DE2070">
        <w:rPr>
          <w:rFonts w:ascii="Times New Roman" w:hAnsi="Times New Roman" w:cs="Times New Roman"/>
          <w:sz w:val="24"/>
          <w:szCs w:val="24"/>
        </w:rPr>
        <w:t>10</w:t>
      </w:r>
      <w:r w:rsidRPr="00973AB9">
        <w:rPr>
          <w:rFonts w:ascii="Times New Roman" w:hAnsi="Times New Roman" w:cs="Times New Roman"/>
          <w:sz w:val="24"/>
          <w:szCs w:val="24"/>
        </w:rPr>
        <w:t xml:space="preserve"> companies participated in debriefing interviews asking about response processes for the integrated instrument, 15 companies completed a Response Analysis Survey (a short survey with questions centered on real and perceived response burden), and 11 companies called while 52 companies wrote emails requesting additional information, asking questions, or otherwise reaching out for support.</w:t>
      </w:r>
    </w:p>
    <w:p w:rsidR="00E65622" w:rsidRPr="00973AB9" w:rsidP="00E65622" w14:paraId="11CB59C0" w14:textId="041BB961">
      <w:pPr>
        <w:rPr>
          <w:rFonts w:ascii="Times New Roman" w:hAnsi="Times New Roman" w:cs="Times New Roman"/>
          <w:sz w:val="24"/>
          <w:szCs w:val="24"/>
        </w:rPr>
      </w:pPr>
      <w:r w:rsidRPr="00973AB9">
        <w:rPr>
          <w:rFonts w:ascii="Times New Roman" w:hAnsi="Times New Roman" w:cs="Times New Roman"/>
          <w:sz w:val="24"/>
          <w:szCs w:val="24"/>
        </w:rPr>
        <w:t>Major findings for the first phase of the pilot were focused on response process and resultant data.  For response process, researchers note</w:t>
      </w:r>
      <w:r w:rsidRPr="00973AB9" w:rsidR="00184F7F">
        <w:rPr>
          <w:rFonts w:ascii="Times New Roman" w:hAnsi="Times New Roman" w:cs="Times New Roman"/>
          <w:sz w:val="24"/>
          <w:szCs w:val="24"/>
        </w:rPr>
        <w:t>d</w:t>
      </w:r>
      <w:r w:rsidRPr="00973AB9">
        <w:rPr>
          <w:rFonts w:ascii="Times New Roman" w:hAnsi="Times New Roman" w:cs="Times New Roman"/>
          <w:sz w:val="24"/>
          <w:szCs w:val="24"/>
        </w:rPr>
        <w:t xml:space="preserve"> that respondents used a hybrid response process whereby the most accessible data (company-wide) were reported using a traditional page-by-page online survey, but establishment and industry data were reported using a respond-by-spreadsheet survey.  Many respondents mentioned the benefits to responding by spreadsheet, but that the spreadsheet must be designed to capture data holistically across the company.  Finally, investigations into response burden for the </w:t>
      </w:r>
      <w:r w:rsidR="00F51949">
        <w:rPr>
          <w:rFonts w:ascii="Times New Roman" w:hAnsi="Times New Roman" w:cs="Times New Roman"/>
          <w:sz w:val="24"/>
          <w:szCs w:val="24"/>
        </w:rPr>
        <w:t>collection</w:t>
      </w:r>
      <w:r w:rsidRPr="00973AB9">
        <w:rPr>
          <w:rFonts w:ascii="Times New Roman" w:hAnsi="Times New Roman" w:cs="Times New Roman"/>
          <w:sz w:val="24"/>
          <w:szCs w:val="24"/>
        </w:rPr>
        <w:t xml:space="preserve"> instrument were mixed, with some respondents saying it took about the same amount of time or resources or less than the current annual surveys and others saying it took them more time or resources to complete the pilot survey.</w:t>
      </w:r>
    </w:p>
    <w:p w:rsidR="00E65622" w:rsidRPr="00973AB9" w:rsidP="00E65622" w14:paraId="413EE3BB" w14:textId="77777777">
      <w:pPr>
        <w:rPr>
          <w:rFonts w:ascii="Times New Roman" w:hAnsi="Times New Roman" w:cs="Times New Roman"/>
          <w:sz w:val="24"/>
          <w:szCs w:val="24"/>
        </w:rPr>
      </w:pPr>
    </w:p>
    <w:p w:rsidR="00E65622" w:rsidRPr="00973AB9" w:rsidP="00BA3602" w14:paraId="24B353A1" w14:textId="77777777">
      <w:pPr>
        <w:rPr>
          <w:rFonts w:ascii="Times New Roman" w:hAnsi="Times New Roman" w:cs="Times New Roman"/>
          <w:b/>
          <w:bCs/>
          <w:sz w:val="24"/>
          <w:szCs w:val="24"/>
        </w:rPr>
      </w:pPr>
      <w:r w:rsidRPr="00973AB9">
        <w:rPr>
          <w:rFonts w:ascii="Times New Roman" w:hAnsi="Times New Roman" w:cs="Times New Roman"/>
          <w:b/>
          <w:bCs/>
          <w:sz w:val="24"/>
          <w:szCs w:val="24"/>
        </w:rPr>
        <w:t>AIES Pilot Phase II</w:t>
      </w:r>
    </w:p>
    <w:p w:rsidR="00E65622" w:rsidRPr="00973AB9" w:rsidP="00E65622" w14:paraId="0E9C0109" w14:textId="03190F41">
      <w:pPr>
        <w:rPr>
          <w:rFonts w:ascii="Times New Roman" w:hAnsi="Times New Roman" w:cs="Times New Roman"/>
          <w:sz w:val="24"/>
          <w:szCs w:val="24"/>
        </w:rPr>
      </w:pPr>
      <w:r w:rsidRPr="001361BE">
        <w:rPr>
          <w:rFonts w:ascii="Times New Roman" w:hAnsi="Times New Roman" w:cs="Times New Roman"/>
          <w:sz w:val="24"/>
          <w:szCs w:val="24"/>
          <w:highlight w:val="darkGray"/>
        </w:rPr>
        <w:t xml:space="preserve">With the richness of the data from Phase I of the AIES Pilot, Census Bureau researchers determined that the next step would be to reproduce the pilot, with more and larger businesses, and updated with findings from </w:t>
      </w:r>
      <w:r w:rsidRPr="001361BE">
        <w:rPr>
          <w:rFonts w:ascii="Times New Roman" w:hAnsi="Times New Roman" w:cs="Times New Roman"/>
          <w:sz w:val="24"/>
          <w:szCs w:val="24"/>
          <w:highlight w:val="darkGray"/>
        </w:rPr>
        <w:t>all of</w:t>
      </w:r>
      <w:r w:rsidRPr="001361BE">
        <w:rPr>
          <w:rFonts w:ascii="Times New Roman" w:hAnsi="Times New Roman" w:cs="Times New Roman"/>
          <w:sz w:val="24"/>
          <w:szCs w:val="24"/>
          <w:highlight w:val="darkGray"/>
        </w:rPr>
        <w:t xml:space="preserve"> the preceding research.  This research seeks to reengage the 62 businesses that provided any response data to the phase I pilot as well as an additional </w:t>
      </w:r>
      <w:r w:rsidRPr="001361BE" w:rsidR="001D6440">
        <w:rPr>
          <w:rFonts w:ascii="Times New Roman" w:hAnsi="Times New Roman" w:cs="Times New Roman"/>
          <w:sz w:val="24"/>
          <w:szCs w:val="24"/>
          <w:highlight w:val="darkGray"/>
        </w:rPr>
        <w:t>827</w:t>
      </w:r>
      <w:r w:rsidRPr="001361BE">
        <w:rPr>
          <w:rFonts w:ascii="Times New Roman" w:hAnsi="Times New Roman" w:cs="Times New Roman"/>
          <w:sz w:val="24"/>
          <w:szCs w:val="24"/>
          <w:highlight w:val="darkGray"/>
        </w:rPr>
        <w:t xml:space="preserve"> companies from across the country, varying in size and industry.  As in Phase I, the Phase II pilot feature</w:t>
      </w:r>
      <w:r w:rsidRPr="001361BE" w:rsidR="001361BE">
        <w:rPr>
          <w:rFonts w:ascii="Times New Roman" w:hAnsi="Times New Roman" w:cs="Times New Roman"/>
          <w:sz w:val="24"/>
          <w:szCs w:val="24"/>
          <w:highlight w:val="darkGray"/>
        </w:rPr>
        <w:t>s</w:t>
      </w:r>
      <w:r w:rsidRPr="001361BE">
        <w:rPr>
          <w:rFonts w:ascii="Times New Roman" w:hAnsi="Times New Roman" w:cs="Times New Roman"/>
          <w:sz w:val="24"/>
          <w:szCs w:val="24"/>
          <w:highlight w:val="darkGray"/>
        </w:rPr>
        <w:t xml:space="preserve"> an updated respond-by-spreadsheet </w:t>
      </w:r>
      <w:r w:rsidRPr="001361BE" w:rsidR="001D6440">
        <w:rPr>
          <w:rFonts w:ascii="Times New Roman" w:hAnsi="Times New Roman" w:cs="Times New Roman"/>
          <w:sz w:val="24"/>
          <w:szCs w:val="24"/>
          <w:highlight w:val="darkGray"/>
        </w:rPr>
        <w:t xml:space="preserve">design </w:t>
      </w:r>
      <w:r w:rsidRPr="001361BE">
        <w:rPr>
          <w:rFonts w:ascii="Times New Roman" w:hAnsi="Times New Roman" w:cs="Times New Roman"/>
          <w:sz w:val="24"/>
          <w:szCs w:val="24"/>
          <w:highlight w:val="darkGray"/>
        </w:rPr>
        <w:t>that reflects the need for holistic collection across the company, as well as debriefing interviews, a repeat of the Response Analysis Survey, and cataloguing contact from the field as an additional source of feedback on the harmonized survey</w:t>
      </w:r>
      <w:r w:rsidRPr="00973AB9">
        <w:rPr>
          <w:rFonts w:ascii="Times New Roman" w:hAnsi="Times New Roman" w:cs="Times New Roman"/>
          <w:sz w:val="24"/>
          <w:szCs w:val="24"/>
        </w:rPr>
        <w:t xml:space="preserve">.  </w:t>
      </w:r>
    </w:p>
    <w:p w:rsidR="00E65622" w:rsidRPr="001361BE" w:rsidP="00E65622" w14:paraId="38A112A0" w14:textId="2282FE08">
      <w:pPr>
        <w:rPr>
          <w:rFonts w:ascii="Times New Roman" w:hAnsi="Times New Roman" w:cs="Times New Roman"/>
          <w:sz w:val="24"/>
          <w:szCs w:val="24"/>
          <w:highlight w:val="darkGray"/>
        </w:rPr>
      </w:pPr>
      <w:r w:rsidRPr="001361BE">
        <w:rPr>
          <w:rFonts w:ascii="Times New Roman" w:hAnsi="Times New Roman" w:cs="Times New Roman"/>
          <w:sz w:val="24"/>
          <w:szCs w:val="24"/>
          <w:highlight w:val="darkGray"/>
        </w:rPr>
        <w:t xml:space="preserve">The </w:t>
      </w:r>
      <w:r w:rsidRPr="001361BE">
        <w:rPr>
          <w:rFonts w:ascii="Times New Roman" w:hAnsi="Times New Roman" w:cs="Times New Roman"/>
          <w:sz w:val="24"/>
          <w:szCs w:val="24"/>
          <w:highlight w:val="darkGray"/>
        </w:rPr>
        <w:t xml:space="preserve">AIES Pilot Phase II </w:t>
      </w:r>
      <w:r w:rsidRPr="001361BE" w:rsidR="004C6180">
        <w:rPr>
          <w:rFonts w:ascii="Times New Roman" w:hAnsi="Times New Roman" w:cs="Times New Roman"/>
          <w:sz w:val="24"/>
          <w:szCs w:val="24"/>
          <w:highlight w:val="darkGray"/>
        </w:rPr>
        <w:t>research</w:t>
      </w:r>
      <w:r w:rsidRPr="001361BE" w:rsidR="001D6440">
        <w:rPr>
          <w:rFonts w:ascii="Times New Roman" w:hAnsi="Times New Roman" w:cs="Times New Roman"/>
          <w:sz w:val="24"/>
          <w:szCs w:val="24"/>
          <w:highlight w:val="darkGray"/>
        </w:rPr>
        <w:t xml:space="preserve"> field period</w:t>
      </w:r>
      <w:r w:rsidRPr="001361BE" w:rsidR="004C6180">
        <w:rPr>
          <w:rFonts w:ascii="Times New Roman" w:hAnsi="Times New Roman" w:cs="Times New Roman"/>
          <w:sz w:val="24"/>
          <w:szCs w:val="24"/>
          <w:highlight w:val="darkGray"/>
        </w:rPr>
        <w:t xml:space="preserve"> </w:t>
      </w:r>
      <w:r w:rsidRPr="001361BE" w:rsidR="009439D9">
        <w:rPr>
          <w:rFonts w:ascii="Times New Roman" w:hAnsi="Times New Roman" w:cs="Times New Roman"/>
          <w:sz w:val="24"/>
          <w:szCs w:val="24"/>
          <w:highlight w:val="darkGray"/>
        </w:rPr>
        <w:t>began</w:t>
      </w:r>
      <w:r w:rsidRPr="001361BE">
        <w:rPr>
          <w:rFonts w:ascii="Times New Roman" w:hAnsi="Times New Roman" w:cs="Times New Roman"/>
          <w:sz w:val="24"/>
          <w:szCs w:val="24"/>
          <w:highlight w:val="darkGray"/>
        </w:rPr>
        <w:t xml:space="preserve"> data collection in February 2023 and </w:t>
      </w:r>
      <w:r w:rsidRPr="001361BE" w:rsidR="001D6440">
        <w:rPr>
          <w:rFonts w:ascii="Times New Roman" w:hAnsi="Times New Roman" w:cs="Times New Roman"/>
          <w:sz w:val="24"/>
          <w:szCs w:val="24"/>
          <w:highlight w:val="darkGray"/>
        </w:rPr>
        <w:t>ran</w:t>
      </w:r>
      <w:r w:rsidRPr="001361BE">
        <w:rPr>
          <w:rFonts w:ascii="Times New Roman" w:hAnsi="Times New Roman" w:cs="Times New Roman"/>
          <w:sz w:val="24"/>
          <w:szCs w:val="24"/>
          <w:highlight w:val="darkGray"/>
        </w:rPr>
        <w:t xml:space="preserve"> through </w:t>
      </w:r>
      <w:r w:rsidRPr="001361BE" w:rsidR="001D6440">
        <w:rPr>
          <w:rFonts w:ascii="Times New Roman" w:hAnsi="Times New Roman" w:cs="Times New Roman"/>
          <w:sz w:val="24"/>
          <w:szCs w:val="24"/>
          <w:highlight w:val="darkGray"/>
        </w:rPr>
        <w:t>April 17, 2023</w:t>
      </w:r>
      <w:r w:rsidRPr="001361BE">
        <w:rPr>
          <w:rFonts w:ascii="Times New Roman" w:hAnsi="Times New Roman" w:cs="Times New Roman"/>
          <w:sz w:val="24"/>
          <w:szCs w:val="24"/>
          <w:highlight w:val="darkGray"/>
        </w:rPr>
        <w:t xml:space="preserve">.  </w:t>
      </w:r>
      <w:r w:rsidRPr="001361BE" w:rsidR="001D6440">
        <w:rPr>
          <w:rFonts w:ascii="Times New Roman" w:hAnsi="Times New Roman" w:cs="Times New Roman"/>
          <w:sz w:val="24"/>
          <w:szCs w:val="24"/>
          <w:highlight w:val="darkGray"/>
        </w:rPr>
        <w:t>Note that close out was late September, meaning that data will still be accepted through that date, but will not be considered for research findings.</w:t>
      </w:r>
    </w:p>
    <w:p w:rsidR="001D6440" w:rsidRPr="00973AB9" w:rsidP="00E65622" w14:paraId="3DAF42D9" w14:textId="4146FCEF">
      <w:pPr>
        <w:rPr>
          <w:rFonts w:ascii="Times New Roman" w:hAnsi="Times New Roman" w:cs="Times New Roman"/>
          <w:sz w:val="24"/>
          <w:szCs w:val="24"/>
        </w:rPr>
      </w:pPr>
      <w:r w:rsidRPr="001361BE">
        <w:rPr>
          <w:rFonts w:ascii="Times New Roman" w:hAnsi="Times New Roman" w:cs="Times New Roman"/>
          <w:sz w:val="24"/>
          <w:szCs w:val="24"/>
          <w:highlight w:val="darkGray"/>
        </w:rPr>
        <w:t xml:space="preserve">Findings from this round of research are categorized into three topics.  First, the Phase II pilot tested specific features of the response spreadsheet, finding that respondents reacted positively to having all locations </w:t>
      </w:r>
      <w:r w:rsidR="001361BE">
        <w:rPr>
          <w:rFonts w:ascii="Times New Roman" w:hAnsi="Times New Roman" w:cs="Times New Roman"/>
          <w:sz w:val="24"/>
          <w:szCs w:val="24"/>
          <w:highlight w:val="darkGray"/>
        </w:rPr>
        <w:t>displayed</w:t>
      </w:r>
      <w:r w:rsidRPr="001361BE">
        <w:rPr>
          <w:rFonts w:ascii="Times New Roman" w:hAnsi="Times New Roman" w:cs="Times New Roman"/>
          <w:sz w:val="24"/>
          <w:szCs w:val="24"/>
          <w:highlight w:val="darkGray"/>
        </w:rPr>
        <w:t xml:space="preserve"> in one list, the inclusion of </w:t>
      </w:r>
      <w:r w:rsidRPr="001361BE" w:rsidR="00491596">
        <w:rPr>
          <w:rFonts w:ascii="Times New Roman" w:hAnsi="Times New Roman" w:cs="Times New Roman"/>
          <w:sz w:val="24"/>
          <w:szCs w:val="24"/>
          <w:highlight w:val="darkGray"/>
        </w:rPr>
        <w:t>auto summing</w:t>
      </w:r>
      <w:r w:rsidRPr="001361BE">
        <w:rPr>
          <w:rFonts w:ascii="Times New Roman" w:hAnsi="Times New Roman" w:cs="Times New Roman"/>
          <w:sz w:val="24"/>
          <w:szCs w:val="24"/>
          <w:highlight w:val="darkGray"/>
        </w:rPr>
        <w:t xml:space="preserve"> between units reduced item missingness, and giving a choice between location and industry reporting needs additional refinement.  Second, the Phase II pilot provided additional information about respondent burden, finding that the scope and length of the survey continues to be challenging, and that burden will be negatively impacted by respondent learning curve as they adjust to the new survey.  Finally, the Phase II pilot further explored responded messaging, finding that </w:t>
      </w:r>
      <w:r w:rsidRPr="001361BE" w:rsidR="00FB1A04">
        <w:rPr>
          <w:rFonts w:ascii="Times New Roman" w:hAnsi="Times New Roman" w:cs="Times New Roman"/>
          <w:sz w:val="24"/>
          <w:szCs w:val="24"/>
          <w:highlight w:val="darkGray"/>
        </w:rPr>
        <w:t>respondents are using the available response support materials and that contact strategies need additional refining.</w:t>
      </w:r>
    </w:p>
    <w:p w:rsidR="00182087" w:rsidP="00BA3602" w14:paraId="5D2E09BA" w14:textId="77777777">
      <w:pPr>
        <w:rPr>
          <w:rFonts w:ascii="Times New Roman" w:hAnsi="Times New Roman" w:cs="Times New Roman"/>
          <w:b/>
          <w:bCs/>
          <w:sz w:val="24"/>
          <w:szCs w:val="24"/>
        </w:rPr>
      </w:pPr>
    </w:p>
    <w:p w:rsidR="00E65622" w:rsidRPr="00973AB9" w:rsidP="00BA3602" w14:paraId="3B249B3E" w14:textId="08A5D6CC">
      <w:pPr>
        <w:rPr>
          <w:rFonts w:ascii="Times New Roman" w:hAnsi="Times New Roman" w:cs="Times New Roman"/>
          <w:b/>
          <w:bCs/>
          <w:sz w:val="24"/>
          <w:szCs w:val="24"/>
        </w:rPr>
      </w:pPr>
      <w:r w:rsidRPr="00973AB9">
        <w:rPr>
          <w:rFonts w:ascii="Times New Roman" w:hAnsi="Times New Roman" w:cs="Times New Roman"/>
          <w:b/>
          <w:bCs/>
          <w:sz w:val="24"/>
          <w:szCs w:val="24"/>
        </w:rPr>
        <w:t>Usability Testing</w:t>
      </w:r>
    </w:p>
    <w:p w:rsidR="00E65622" w:rsidRPr="00973AB9" w:rsidP="00E65622" w14:paraId="06647132" w14:textId="1422D43E">
      <w:pPr>
        <w:rPr>
          <w:rFonts w:ascii="Times New Roman" w:hAnsi="Times New Roman" w:cs="Times New Roman"/>
          <w:sz w:val="24"/>
          <w:szCs w:val="24"/>
        </w:rPr>
      </w:pPr>
      <w:r w:rsidRPr="00973AB9">
        <w:rPr>
          <w:rFonts w:ascii="Times New Roman" w:hAnsi="Times New Roman" w:cs="Times New Roman"/>
          <w:sz w:val="24"/>
          <w:szCs w:val="24"/>
        </w:rPr>
        <w:t xml:space="preserve">Once the online survey instrument has been programmed and internally tested, Census Bureau researchers will engage in up to three rounds of usability testing with companies varying in size, industry classification, and complexity.  This research is </w:t>
      </w:r>
      <w:r w:rsidR="00BA6632">
        <w:rPr>
          <w:rFonts w:ascii="Times New Roman" w:hAnsi="Times New Roman" w:cs="Times New Roman"/>
          <w:sz w:val="24"/>
          <w:szCs w:val="24"/>
        </w:rPr>
        <w:t>being conducted</w:t>
      </w:r>
      <w:r w:rsidRPr="00973AB9" w:rsidR="00BA6632">
        <w:rPr>
          <w:rFonts w:ascii="Times New Roman" w:hAnsi="Times New Roman" w:cs="Times New Roman"/>
          <w:sz w:val="24"/>
          <w:szCs w:val="24"/>
        </w:rPr>
        <w:t xml:space="preserve"> </w:t>
      </w:r>
      <w:r w:rsidRPr="00973AB9">
        <w:rPr>
          <w:rFonts w:ascii="Times New Roman" w:hAnsi="Times New Roman" w:cs="Times New Roman"/>
          <w:sz w:val="24"/>
          <w:szCs w:val="24"/>
        </w:rPr>
        <w:t xml:space="preserve">under the Census Bureau’s Generic Clearance for Census Bureau Questionnaire Pretesting Research (OMB Control Number 0607-0725) and is planned to include interviewing with up to 30 companies.  This testing will focus on three aspects of survey response, including: response support materials like help screens and survey previews; interaction with the online respond-by-spreadsheet design; and the survey flow, including content and logic checks, submission, and other aspects of response.  This research is scheduled to begin in </w:t>
      </w:r>
      <w:r w:rsidRPr="00021209" w:rsidR="00BA6632">
        <w:rPr>
          <w:rFonts w:ascii="Times New Roman" w:hAnsi="Times New Roman" w:cs="Times New Roman"/>
          <w:sz w:val="24"/>
          <w:szCs w:val="24"/>
          <w:highlight w:val="darkGray"/>
        </w:rPr>
        <w:t>fall</w:t>
      </w:r>
      <w:r w:rsidRPr="00973AB9" w:rsidR="00BA6632">
        <w:rPr>
          <w:rFonts w:ascii="Times New Roman" w:hAnsi="Times New Roman" w:cs="Times New Roman"/>
          <w:sz w:val="24"/>
          <w:szCs w:val="24"/>
        </w:rPr>
        <w:t xml:space="preserve"> </w:t>
      </w:r>
      <w:r w:rsidRPr="00973AB9">
        <w:rPr>
          <w:rFonts w:ascii="Times New Roman" w:hAnsi="Times New Roman" w:cs="Times New Roman"/>
          <w:sz w:val="24"/>
          <w:szCs w:val="24"/>
        </w:rPr>
        <w:t>2023 and conclude with enough time to consider findings for the 2024 production survey design, as well as inform research considerations for post-launch instrument refinement.</w:t>
      </w:r>
    </w:p>
    <w:p w:rsidR="00E65622" w:rsidRPr="00973AB9" w:rsidP="00E65622" w14:paraId="56572C35" w14:textId="77777777">
      <w:pPr>
        <w:rPr>
          <w:rFonts w:ascii="Times New Roman" w:hAnsi="Times New Roman" w:cs="Times New Roman"/>
          <w:sz w:val="24"/>
          <w:szCs w:val="24"/>
        </w:rPr>
      </w:pPr>
    </w:p>
    <w:p w:rsidR="00530A81" w:rsidRPr="00973AB9" w:rsidP="00530A81" w14:paraId="4B8E37AB" w14:textId="5869373C">
      <w:pPr>
        <w:rPr>
          <w:rFonts w:ascii="Times New Roman" w:hAnsi="Times New Roman" w:cs="Times New Roman"/>
          <w:sz w:val="24"/>
          <w:szCs w:val="24"/>
        </w:rPr>
      </w:pPr>
      <w:r w:rsidRPr="00973AB9">
        <w:rPr>
          <w:rFonts w:ascii="Times New Roman" w:hAnsi="Times New Roman" w:cs="Times New Roman"/>
          <w:sz w:val="24"/>
          <w:szCs w:val="24"/>
        </w:rPr>
        <w:t xml:space="preserve">Additional detail regarding the Census Bureau’s respondent-centered formative research </w:t>
      </w:r>
      <w:r w:rsidR="00AB5C6C">
        <w:rPr>
          <w:rFonts w:ascii="Times New Roman" w:hAnsi="Times New Roman" w:cs="Times New Roman"/>
          <w:sz w:val="24"/>
          <w:szCs w:val="24"/>
        </w:rPr>
        <w:t>is</w:t>
      </w:r>
      <w:r w:rsidRPr="00973AB9">
        <w:rPr>
          <w:rFonts w:ascii="Times New Roman" w:hAnsi="Times New Roman" w:cs="Times New Roman"/>
          <w:sz w:val="24"/>
          <w:szCs w:val="24"/>
        </w:rPr>
        <w:t xml:space="preserve"> provided in Attachment H</w:t>
      </w:r>
      <w:r w:rsidR="002B4648">
        <w:rPr>
          <w:rFonts w:ascii="Times New Roman" w:hAnsi="Times New Roman" w:cs="Times New Roman"/>
          <w:sz w:val="24"/>
          <w:szCs w:val="24"/>
        </w:rPr>
        <w:t xml:space="preserve"> </w:t>
      </w:r>
      <w:r w:rsidRPr="002B4648" w:rsidR="002B4648">
        <w:rPr>
          <w:rFonts w:ascii="Times New Roman" w:hAnsi="Times New Roman" w:cs="Times New Roman"/>
          <w:sz w:val="24"/>
          <w:szCs w:val="24"/>
          <w:highlight w:val="darkGray"/>
        </w:rPr>
        <w:t>and unit harmonization studies for the AIES in Attachment L</w:t>
      </w:r>
    </w:p>
    <w:p w:rsidR="00E65622" w:rsidRPr="00973AB9" w:rsidP="00907B39" w14:paraId="5E41941F"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p>
    <w:p w:rsidR="00907B39" w:rsidRPr="00973AB9" w:rsidP="00907B39" w14:paraId="1D36672F" w14:textId="072B407F">
      <w:pPr>
        <w:spacing w:before="100" w:beforeAutospacing="1" w:after="100" w:afterAutospacing="1" w:line="240" w:lineRule="auto"/>
        <w:textAlignment w:val="baseline"/>
        <w:rPr>
          <w:rFonts w:ascii="Times New Roman" w:eastAsia="Times New Roman" w:hAnsi="Times New Roman" w:cs="Times New Roman"/>
          <w:sz w:val="24"/>
          <w:szCs w:val="24"/>
        </w:rPr>
      </w:pPr>
      <w:r w:rsidRPr="00973AB9">
        <w:rPr>
          <w:rFonts w:ascii="Times New Roman" w:eastAsia="Times New Roman" w:hAnsi="Times New Roman" w:cs="Times New Roman"/>
          <w:sz w:val="24"/>
          <w:szCs w:val="24"/>
        </w:rPr>
        <w:t> </w:t>
      </w:r>
      <w:r w:rsidRPr="00973AB9">
        <w:rPr>
          <w:rFonts w:ascii="Times New Roman" w:eastAsia="Times New Roman" w:hAnsi="Times New Roman" w:cs="Times New Roman"/>
          <w:b/>
          <w:bCs/>
          <w:sz w:val="24"/>
          <w:szCs w:val="24"/>
        </w:rPr>
        <w:t>5. Contacts for Statistical Aspects and Data Collection</w:t>
      </w:r>
      <w:r w:rsidRPr="00973AB9">
        <w:rPr>
          <w:rFonts w:ascii="Times New Roman" w:eastAsia="Times New Roman" w:hAnsi="Times New Roman" w:cs="Times New Roman"/>
          <w:sz w:val="24"/>
          <w:szCs w:val="24"/>
        </w:rPr>
        <w:t> </w:t>
      </w:r>
    </w:p>
    <w:p w:rsidR="008A2DFA" w:rsidRPr="00973AB9" w:rsidP="008A2DFA" w14:paraId="22D1ADE0" w14:textId="3438319D">
      <w:pPr>
        <w:pStyle w:val="NoSpacing"/>
        <w:rPr>
          <w:rFonts w:ascii="Times New Roman" w:hAnsi="Times New Roman" w:cs="Times New Roman"/>
          <w:sz w:val="24"/>
          <w:szCs w:val="24"/>
        </w:rPr>
      </w:pPr>
      <w:r w:rsidRPr="00973AB9">
        <w:rPr>
          <w:rFonts w:ascii="Times New Roman" w:hAnsi="Times New Roman" w:cs="Times New Roman"/>
          <w:sz w:val="24"/>
          <w:szCs w:val="24"/>
        </w:rPr>
        <w:t xml:space="preserve">For questions regarding the planning and implementation of this survey, please contact Blynda Metcalf, Product Owner of the Annual Integrated Economic Survey (Associate Directorate for Economic Programs, U.S. Census Bureau) at 301-763-4781 or </w:t>
      </w:r>
      <w:hyperlink r:id="rId6" w:history="1">
        <w:r w:rsidRPr="00973AB9">
          <w:rPr>
            <w:rStyle w:val="Hyperlink"/>
            <w:rFonts w:ascii="Times New Roman" w:hAnsi="Times New Roman" w:cs="Times New Roman"/>
            <w:sz w:val="24"/>
            <w:szCs w:val="24"/>
          </w:rPr>
          <w:t>Blynda.K.Metcalf@census.gov</w:t>
        </w:r>
      </w:hyperlink>
    </w:p>
    <w:p w:rsidR="008A2DFA" w:rsidRPr="00973AB9" w:rsidP="008A2DFA" w14:paraId="27854028" w14:textId="5751F039">
      <w:pPr>
        <w:pStyle w:val="NoSpacing"/>
        <w:rPr>
          <w:rFonts w:ascii="Times New Roman" w:hAnsi="Times New Roman" w:cs="Times New Roman"/>
          <w:sz w:val="24"/>
          <w:szCs w:val="24"/>
        </w:rPr>
      </w:pPr>
    </w:p>
    <w:p w:rsidR="008A2DFA" w:rsidRPr="00973AB9" w:rsidP="008A2DFA" w14:paraId="7D799A03" w14:textId="4D0B2F83">
      <w:pPr>
        <w:pStyle w:val="NoSpacing"/>
        <w:rPr>
          <w:rFonts w:ascii="Times New Roman" w:hAnsi="Times New Roman" w:cs="Times New Roman"/>
          <w:sz w:val="24"/>
          <w:szCs w:val="24"/>
        </w:rPr>
      </w:pPr>
      <w:r w:rsidRPr="00973AB9">
        <w:rPr>
          <w:rFonts w:ascii="Times New Roman" w:hAnsi="Times New Roman" w:cs="Times New Roman"/>
          <w:sz w:val="24"/>
          <w:szCs w:val="24"/>
        </w:rPr>
        <w:t xml:space="preserve">For inquiries about the methodology for this survey, please contact James Hunt, Methodology Director (Economic Statistical Methods Division, U.S. Census Bureau) at 301-763-6599 or </w:t>
      </w:r>
      <w:hyperlink r:id="rId7" w:history="1">
        <w:r w:rsidRPr="00973AB9">
          <w:rPr>
            <w:rStyle w:val="Hyperlink"/>
            <w:rFonts w:ascii="Times New Roman" w:hAnsi="Times New Roman" w:cs="Times New Roman"/>
            <w:sz w:val="24"/>
            <w:szCs w:val="24"/>
          </w:rPr>
          <w:t>James.W.Hunt@census.gov</w:t>
        </w:r>
      </w:hyperlink>
    </w:p>
    <w:p w:rsidR="008A2DFA" w:rsidRPr="00973AB9" w:rsidP="00792EF4" w14:paraId="62D2E939" w14:textId="77777777">
      <w:pPr>
        <w:pStyle w:val="NoSpacing"/>
        <w:rPr>
          <w:rFonts w:ascii="Times New Roman" w:hAnsi="Times New Roman" w:cs="Times New Roman"/>
          <w:sz w:val="24"/>
          <w:szCs w:val="24"/>
        </w:rPr>
      </w:pPr>
    </w:p>
    <w:p w:rsidR="00907B39" w:rsidRPr="00973AB9" w:rsidP="00792EF4" w14:paraId="571AC027" w14:textId="65DFCD4E">
      <w:pPr>
        <w:spacing w:before="100" w:beforeAutospacing="1" w:after="100" w:afterAutospacing="1" w:line="240" w:lineRule="auto"/>
        <w:textAlignment w:val="baseline"/>
        <w:rPr>
          <w:rFonts w:ascii="Times New Roman" w:hAnsi="Times New Roman" w:cs="Times New Roman"/>
          <w:sz w:val="24"/>
          <w:szCs w:val="24"/>
        </w:rPr>
      </w:pPr>
      <w:r w:rsidRPr="00973AB9">
        <w:rPr>
          <w:rFonts w:ascii="Times New Roman" w:eastAsia="Times New Roman" w:hAnsi="Times New Roman" w:cs="Times New Roman"/>
          <w:sz w:val="24"/>
          <w:szCs w:val="24"/>
        </w:rPr>
        <w:t> </w:t>
      </w:r>
      <w:r w:rsidRPr="00973AB9">
        <w:rPr>
          <w:rFonts w:ascii="Times New Roman" w:hAnsi="Times New Roman" w:cs="Times New Roman"/>
          <w:sz w:val="24"/>
          <w:szCs w:val="24"/>
        </w:rPr>
        <w:t>LIST OF ATTACHMENTS </w:t>
      </w:r>
    </w:p>
    <w:p w:rsidR="00907B39" w:rsidRPr="00973AB9" w:rsidP="00907B39" w14:paraId="384A8C75" w14:textId="431C85BD">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Legal Citation</w:t>
      </w:r>
      <w:r w:rsidRPr="00973AB9" w:rsidR="00021F98">
        <w:rPr>
          <w:rFonts w:ascii="Times New Roman" w:hAnsi="Times New Roman" w:cs="Times New Roman"/>
          <w:sz w:val="24"/>
          <w:szCs w:val="24"/>
        </w:rPr>
        <w:t xml:space="preserve"> – Title 13 U.S.C</w:t>
      </w:r>
    </w:p>
    <w:p w:rsidR="00117CEB" w:rsidRPr="00973AB9" w:rsidP="00792EF4" w14:paraId="6C016FC3" w14:textId="7359736F">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 xml:space="preserve">Electronic Instrument </w:t>
      </w:r>
      <w:r w:rsidRPr="00973AB9" w:rsidR="00FC0603">
        <w:rPr>
          <w:rFonts w:ascii="Times New Roman" w:hAnsi="Times New Roman" w:cs="Times New Roman"/>
          <w:sz w:val="24"/>
          <w:szCs w:val="24"/>
        </w:rPr>
        <w:t>Selected Screen Shots</w:t>
      </w:r>
    </w:p>
    <w:p w:rsidR="00117CEB" w:rsidRPr="00973AB9" w:rsidP="00792EF4" w14:paraId="7AE9332C" w14:textId="2820B9DE">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Dress Rehearsal Debriefing Protocol</w:t>
      </w:r>
    </w:p>
    <w:p w:rsidR="00117CEB" w:rsidRPr="00973AB9" w:rsidP="00792EF4" w14:paraId="5CF7607A" w14:textId="1EEC2BAB">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Letters</w:t>
      </w:r>
      <w:r w:rsidR="00126CA6">
        <w:rPr>
          <w:rFonts w:ascii="Times New Roman" w:hAnsi="Times New Roman" w:cs="Times New Roman"/>
          <w:sz w:val="24"/>
          <w:szCs w:val="24"/>
        </w:rPr>
        <w:t xml:space="preserve"> </w:t>
      </w:r>
      <w:r w:rsidRPr="00126CA6" w:rsidR="00126CA6">
        <w:rPr>
          <w:rFonts w:ascii="Times New Roman" w:hAnsi="Times New Roman" w:cs="Times New Roman"/>
          <w:sz w:val="24"/>
          <w:szCs w:val="24"/>
          <w:highlight w:val="darkGray"/>
        </w:rPr>
        <w:t>for the Dress Rehearsal</w:t>
      </w:r>
    </w:p>
    <w:p w:rsidR="00907B39" w:rsidRPr="00973AB9" w:rsidP="00792EF4" w14:paraId="27098DDA" w14:textId="653220F8">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 xml:space="preserve">Summary of </w:t>
      </w:r>
      <w:r w:rsidR="00582B26">
        <w:rPr>
          <w:rFonts w:ascii="Times New Roman" w:hAnsi="Times New Roman" w:cs="Times New Roman"/>
          <w:sz w:val="24"/>
          <w:szCs w:val="24"/>
        </w:rPr>
        <w:t xml:space="preserve">the </w:t>
      </w:r>
      <w:r w:rsidRPr="00973AB9">
        <w:rPr>
          <w:rFonts w:ascii="Times New Roman" w:hAnsi="Times New Roman" w:cs="Times New Roman"/>
          <w:sz w:val="24"/>
          <w:szCs w:val="24"/>
        </w:rPr>
        <w:t>AIES Content</w:t>
      </w:r>
    </w:p>
    <w:p w:rsidR="00907B39" w:rsidRPr="00973AB9" w:rsidP="00792EF4" w14:paraId="34939D37" w14:textId="634C69DE">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2023 AIES Draft Content</w:t>
      </w:r>
    </w:p>
    <w:p w:rsidR="00117CEB" w:rsidRPr="00973AB9" w:rsidP="00792EF4" w14:paraId="4C7BE08E" w14:textId="206A31DC">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 xml:space="preserve">Consultations with </w:t>
      </w:r>
      <w:r w:rsidRPr="00973AB9">
        <w:rPr>
          <w:rFonts w:ascii="Times New Roman" w:hAnsi="Times New Roman" w:cs="Times New Roman"/>
          <w:sz w:val="24"/>
          <w:szCs w:val="24"/>
        </w:rPr>
        <w:t xml:space="preserve">Key </w:t>
      </w:r>
      <w:r w:rsidR="00A365EB">
        <w:rPr>
          <w:rFonts w:ascii="Times New Roman" w:hAnsi="Times New Roman" w:cs="Times New Roman"/>
          <w:sz w:val="24"/>
          <w:szCs w:val="24"/>
        </w:rPr>
        <w:t xml:space="preserve">Federal </w:t>
      </w:r>
      <w:r w:rsidRPr="00973AB9">
        <w:rPr>
          <w:rFonts w:ascii="Times New Roman" w:hAnsi="Times New Roman" w:cs="Times New Roman"/>
          <w:sz w:val="24"/>
          <w:szCs w:val="24"/>
        </w:rPr>
        <w:t>Stakeholder</w:t>
      </w:r>
      <w:r w:rsidR="00A365EB">
        <w:rPr>
          <w:rFonts w:ascii="Times New Roman" w:hAnsi="Times New Roman" w:cs="Times New Roman"/>
          <w:sz w:val="24"/>
          <w:szCs w:val="24"/>
        </w:rPr>
        <w:t>s</w:t>
      </w:r>
    </w:p>
    <w:p w:rsidR="00117CEB" w:rsidRPr="00973AB9" w:rsidP="00792EF4" w14:paraId="3F519F23" w14:textId="23A2345A">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Respondent-Centered Formative Research</w:t>
      </w:r>
      <w:r w:rsidRPr="00973AB9" w:rsidR="00C452A8">
        <w:rPr>
          <w:rFonts w:ascii="Times New Roman" w:hAnsi="Times New Roman" w:cs="Times New Roman"/>
          <w:sz w:val="24"/>
          <w:szCs w:val="24"/>
        </w:rPr>
        <w:t xml:space="preserve"> Overview</w:t>
      </w:r>
    </w:p>
    <w:p w:rsidR="00FC0603" w:rsidRPr="00973AB9" w:rsidP="00792EF4" w14:paraId="6756FE93" w14:textId="250785E3">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 xml:space="preserve">Dress Rehearsal </w:t>
      </w:r>
      <w:r w:rsidR="00A365EB">
        <w:rPr>
          <w:rFonts w:ascii="Times New Roman" w:hAnsi="Times New Roman" w:cs="Times New Roman"/>
          <w:sz w:val="24"/>
          <w:szCs w:val="24"/>
        </w:rPr>
        <w:t xml:space="preserve">Sample Size and </w:t>
      </w:r>
      <w:r w:rsidRPr="00973AB9">
        <w:rPr>
          <w:rFonts w:ascii="Times New Roman" w:hAnsi="Times New Roman" w:cs="Times New Roman"/>
          <w:sz w:val="24"/>
          <w:szCs w:val="24"/>
        </w:rPr>
        <w:t>Burden Estimate</w:t>
      </w:r>
      <w:r w:rsidR="00A365EB">
        <w:rPr>
          <w:rFonts w:ascii="Times New Roman" w:hAnsi="Times New Roman" w:cs="Times New Roman"/>
          <w:sz w:val="24"/>
          <w:szCs w:val="24"/>
        </w:rPr>
        <w:t>s</w:t>
      </w:r>
    </w:p>
    <w:p w:rsidR="00464BD1" w:rsidP="00464BD1" w14:paraId="4BF6F946" w14:textId="2EAEE9C2">
      <w:pPr>
        <w:pStyle w:val="NoSpacing"/>
        <w:numPr>
          <w:ilvl w:val="0"/>
          <w:numId w:val="8"/>
        </w:numPr>
        <w:rPr>
          <w:rFonts w:ascii="Times New Roman" w:hAnsi="Times New Roman" w:cs="Times New Roman"/>
          <w:sz w:val="24"/>
          <w:szCs w:val="24"/>
        </w:rPr>
      </w:pPr>
      <w:r w:rsidRPr="00973AB9">
        <w:rPr>
          <w:rFonts w:ascii="Times New Roman" w:hAnsi="Times New Roman" w:cs="Times New Roman"/>
          <w:sz w:val="24"/>
          <w:szCs w:val="24"/>
        </w:rPr>
        <w:t xml:space="preserve">AIES </w:t>
      </w:r>
      <w:r w:rsidR="00A365EB">
        <w:rPr>
          <w:rFonts w:ascii="Times New Roman" w:hAnsi="Times New Roman" w:cs="Times New Roman"/>
          <w:sz w:val="24"/>
          <w:szCs w:val="24"/>
        </w:rPr>
        <w:t xml:space="preserve">Sample Size and </w:t>
      </w:r>
      <w:r w:rsidRPr="00973AB9">
        <w:rPr>
          <w:rFonts w:ascii="Times New Roman" w:hAnsi="Times New Roman" w:cs="Times New Roman"/>
          <w:sz w:val="24"/>
          <w:szCs w:val="24"/>
        </w:rPr>
        <w:t>Burden Estimate</w:t>
      </w:r>
      <w:r w:rsidR="00A365EB">
        <w:rPr>
          <w:rFonts w:ascii="Times New Roman" w:hAnsi="Times New Roman" w:cs="Times New Roman"/>
          <w:sz w:val="24"/>
          <w:szCs w:val="24"/>
        </w:rPr>
        <w:t>s</w:t>
      </w:r>
    </w:p>
    <w:p w:rsidR="00464BD1" w:rsidP="00464BD1" w14:paraId="074A9178" w14:textId="3BF1BCE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30-Day Notice Comments Received</w:t>
      </w:r>
    </w:p>
    <w:p w:rsidR="00464BD1" w:rsidRPr="00126CA6" w:rsidP="00464BD1" w14:paraId="43E91581" w14:textId="2AEC12E4">
      <w:pPr>
        <w:pStyle w:val="NoSpacing"/>
        <w:numPr>
          <w:ilvl w:val="0"/>
          <w:numId w:val="8"/>
        </w:numPr>
        <w:rPr>
          <w:rFonts w:ascii="Times New Roman" w:hAnsi="Times New Roman" w:cs="Times New Roman"/>
          <w:sz w:val="24"/>
          <w:szCs w:val="24"/>
          <w:highlight w:val="darkGray"/>
        </w:rPr>
      </w:pPr>
      <w:r w:rsidRPr="00126CA6">
        <w:rPr>
          <w:rFonts w:ascii="Times New Roman" w:hAnsi="Times New Roman" w:cs="Times New Roman"/>
          <w:sz w:val="24"/>
          <w:szCs w:val="24"/>
          <w:highlight w:val="darkGray"/>
        </w:rPr>
        <w:t>Unit Harmonization Studies for the Annual Integrated Economic Survey</w:t>
      </w:r>
    </w:p>
    <w:p w:rsidR="00126CA6" w:rsidRPr="00126CA6" w:rsidP="00464BD1" w14:paraId="3D9D8527" w14:textId="785F149C">
      <w:pPr>
        <w:pStyle w:val="NoSpacing"/>
        <w:numPr>
          <w:ilvl w:val="0"/>
          <w:numId w:val="8"/>
        </w:numPr>
        <w:rPr>
          <w:rFonts w:ascii="Times New Roman" w:hAnsi="Times New Roman" w:cs="Times New Roman"/>
          <w:sz w:val="24"/>
          <w:szCs w:val="24"/>
          <w:highlight w:val="darkGray"/>
        </w:rPr>
      </w:pPr>
      <w:r w:rsidRPr="00126CA6">
        <w:rPr>
          <w:rFonts w:ascii="Times New Roman" w:hAnsi="Times New Roman" w:cs="Times New Roman"/>
          <w:sz w:val="24"/>
          <w:szCs w:val="24"/>
          <w:highlight w:val="darkGray"/>
        </w:rPr>
        <w:t xml:space="preserve">Letters for </w:t>
      </w:r>
      <w:r w:rsidR="00806A04">
        <w:rPr>
          <w:rFonts w:ascii="Times New Roman" w:hAnsi="Times New Roman" w:cs="Times New Roman"/>
          <w:sz w:val="24"/>
          <w:szCs w:val="24"/>
          <w:highlight w:val="darkGray"/>
        </w:rPr>
        <w:t xml:space="preserve">the </w:t>
      </w:r>
      <w:r w:rsidRPr="00126CA6">
        <w:rPr>
          <w:rFonts w:ascii="Times New Roman" w:hAnsi="Times New Roman" w:cs="Times New Roman"/>
          <w:sz w:val="24"/>
          <w:szCs w:val="24"/>
          <w:highlight w:val="darkGray"/>
        </w:rPr>
        <w:t>Production AIES</w:t>
      </w:r>
    </w:p>
    <w:p w:rsidR="00886101" w:rsidRPr="00973AB9" w14:paraId="589561B4" w14:textId="77777777">
      <w:pPr>
        <w:rPr>
          <w:rFonts w:ascii="Times New Roman" w:hAnsi="Times New Roman" w:cs="Times New Roman"/>
          <w:sz w:val="24"/>
          <w:szCs w:val="24"/>
        </w:rPr>
      </w:pPr>
    </w:p>
    <w:p w:rsidR="00943326" w:rsidRPr="00973AB9" w14:paraId="0EB41BA4" w14:textId="77777777">
      <w:pPr>
        <w:rPr>
          <w:rFonts w:ascii="Times New Roman" w:hAnsi="Times New Roman" w:cs="Times New Roman"/>
          <w:sz w:val="24"/>
          <w:szCs w:val="24"/>
        </w:rPr>
      </w:pPr>
    </w:p>
    <w:p w:rsidR="00943326" w:rsidRPr="00973AB9" w14:paraId="3A1CEDB7" w14:textId="77777777">
      <w:pPr>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254779"/>
      <w:docPartObj>
        <w:docPartGallery w:val="Page Numbers (Bottom of Page)"/>
        <w:docPartUnique/>
      </w:docPartObj>
    </w:sdtPr>
    <w:sdtEndPr>
      <w:rPr>
        <w:noProof/>
      </w:rPr>
    </w:sdtEndPr>
    <w:sdtContent>
      <w:p w:rsidR="00E709BE" w14:paraId="435B3AF2" w14:textId="7D6C59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09BE" w14:paraId="288327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2632" w:rsidP="00886101" w14:paraId="15785592" w14:textId="77777777">
      <w:pPr>
        <w:spacing w:after="0" w:line="240" w:lineRule="auto"/>
      </w:pPr>
      <w:r>
        <w:separator/>
      </w:r>
    </w:p>
  </w:footnote>
  <w:footnote w:type="continuationSeparator" w:id="1">
    <w:p w:rsidR="00F32632" w:rsidP="00886101" w14:paraId="38709D45" w14:textId="77777777">
      <w:pPr>
        <w:spacing w:after="0" w:line="240" w:lineRule="auto"/>
      </w:pPr>
      <w:r>
        <w:continuationSeparator/>
      </w:r>
    </w:p>
  </w:footnote>
  <w:footnote w:id="2">
    <w:p w:rsidR="00886101" w:rsidP="00886101" w14:paraId="60EF77F0" w14:textId="77777777">
      <w:pPr>
        <w:pStyle w:val="FootnoteText"/>
      </w:pPr>
      <w:r>
        <w:rPr>
          <w:rStyle w:val="FootnoteReference"/>
        </w:rPr>
        <w:footnoteRef/>
      </w:r>
      <w:r>
        <w:t xml:space="preserve">  Services industries incorporate taxable and tax-exempt categories into the strata definitions, essentially doubling the number of strata for these industries. Wholesale trade industries incorporate type of operation category into the strata definitions, essentially tripling the number of strata for these industries.</w:t>
      </w:r>
    </w:p>
  </w:footnote>
  <w:footnote w:id="3">
    <w:p w:rsidR="00C229E1" w:rsidP="00F24C18" w14:paraId="7F53C40F" w14:textId="4E4D7858">
      <w:pPr>
        <w:pStyle w:val="FootnoteText"/>
      </w:pPr>
      <w:r>
        <w:rPr>
          <w:rStyle w:val="FootnoteReference"/>
        </w:rPr>
        <w:footnoteRef/>
      </w:r>
      <w:r>
        <w:t xml:space="preserve"> </w:t>
      </w:r>
      <w:r>
        <w:t xml:space="preserve">Each Direct Use state defines a separate geographic substrata.  The combined </w:t>
      </w:r>
      <w:r w:rsidRPr="004C2A81">
        <w:rPr>
          <w:i/>
          <w:iCs/>
        </w:rPr>
        <w:t>Balance of Region</w:t>
      </w:r>
      <w:r>
        <w:t xml:space="preserve"> states for each region define one geographic substrata.</w:t>
      </w:r>
    </w:p>
    <w:p w:rsidR="00F24C18" w:rsidRPr="001A15BB" w:rsidP="00F24C18" w14:paraId="6E6DF008" w14:textId="6B072FAF">
      <w:pPr>
        <w:pStyle w:val="FootnoteText"/>
        <w:rPr>
          <w:rFonts w:cstheme="minorHAnsi"/>
        </w:rPr>
      </w:pPr>
      <w:r w:rsidRPr="004C2A81">
        <w:rPr>
          <w:vertAlign w:val="superscript"/>
        </w:rPr>
        <w:t xml:space="preserve">3 </w:t>
      </w:r>
      <w:r>
        <w:t xml:space="preserve">Substrata determined after </w:t>
      </w:r>
      <w:r w:rsidRPr="001A15BB">
        <w:rPr>
          <w:rFonts w:cstheme="minorHAnsi"/>
        </w:rPr>
        <w:t xml:space="preserve">analysis of </w:t>
      </w:r>
      <w:r w:rsidRPr="001A15BB">
        <w:rPr>
          <w:rFonts w:eastAsia="Times New Roman" w:cstheme="minorHAnsi"/>
          <w:color w:val="000000"/>
        </w:rPr>
        <w:t>(1) Business register establishment counts, (2) 2020 decennial census population counts, and (3) Annual Business Survey cell suppression counts.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C20EB"/>
    <w:multiLevelType w:val="hybridMultilevel"/>
    <w:tmpl w:val="725466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235DB"/>
    <w:multiLevelType w:val="multilevel"/>
    <w:tmpl w:val="877AC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D64C8"/>
    <w:multiLevelType w:val="hybridMultilevel"/>
    <w:tmpl w:val="20EA11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15C49"/>
    <w:multiLevelType w:val="hybridMultilevel"/>
    <w:tmpl w:val="3770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C82FB1"/>
    <w:multiLevelType w:val="multilevel"/>
    <w:tmpl w:val="96E2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4168D"/>
    <w:multiLevelType w:val="hybridMultilevel"/>
    <w:tmpl w:val="A12E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127333"/>
    <w:multiLevelType w:val="multilevel"/>
    <w:tmpl w:val="9104C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2660F"/>
    <w:multiLevelType w:val="multilevel"/>
    <w:tmpl w:val="489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792074"/>
    <w:multiLevelType w:val="multilevel"/>
    <w:tmpl w:val="67C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43E7C"/>
    <w:multiLevelType w:val="hybridMultilevel"/>
    <w:tmpl w:val="CFEAE96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
    <w:nsid w:val="6A00471F"/>
    <w:multiLevelType w:val="hybridMultilevel"/>
    <w:tmpl w:val="610697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C87B3A"/>
    <w:multiLevelType w:val="multilevel"/>
    <w:tmpl w:val="8BBE9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B270D3"/>
    <w:multiLevelType w:val="multilevel"/>
    <w:tmpl w:val="46CA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9449670">
    <w:abstractNumId w:val="9"/>
  </w:num>
  <w:num w:numId="2" w16cid:durableId="599608605">
    <w:abstractNumId w:val="10"/>
  </w:num>
  <w:num w:numId="3" w16cid:durableId="1527672583">
    <w:abstractNumId w:val="4"/>
  </w:num>
  <w:num w:numId="4" w16cid:durableId="1092701879">
    <w:abstractNumId w:val="12"/>
  </w:num>
  <w:num w:numId="5" w16cid:durableId="1424449010">
    <w:abstractNumId w:val="11"/>
  </w:num>
  <w:num w:numId="6" w16cid:durableId="275332790">
    <w:abstractNumId w:val="1"/>
  </w:num>
  <w:num w:numId="7" w16cid:durableId="955453880">
    <w:abstractNumId w:val="6"/>
  </w:num>
  <w:num w:numId="8" w16cid:durableId="15272752">
    <w:abstractNumId w:val="0"/>
  </w:num>
  <w:num w:numId="9" w16cid:durableId="469978762">
    <w:abstractNumId w:val="2"/>
  </w:num>
  <w:num w:numId="10" w16cid:durableId="385035225">
    <w:abstractNumId w:val="3"/>
  </w:num>
  <w:num w:numId="11" w16cid:durableId="1676759622">
    <w:abstractNumId w:val="7"/>
  </w:num>
  <w:num w:numId="12" w16cid:durableId="93717987">
    <w:abstractNumId w:val="8"/>
  </w:num>
  <w:num w:numId="13" w16cid:durableId="1665938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30"/>
    <w:rsid w:val="00021209"/>
    <w:rsid w:val="00021F98"/>
    <w:rsid w:val="000634C1"/>
    <w:rsid w:val="000D55B9"/>
    <w:rsid w:val="000E70F6"/>
    <w:rsid w:val="00117CEB"/>
    <w:rsid w:val="00126CA6"/>
    <w:rsid w:val="001361BE"/>
    <w:rsid w:val="00140481"/>
    <w:rsid w:val="00153B53"/>
    <w:rsid w:val="00182087"/>
    <w:rsid w:val="00184F7F"/>
    <w:rsid w:val="001A15BB"/>
    <w:rsid w:val="001D6440"/>
    <w:rsid w:val="001E6D84"/>
    <w:rsid w:val="001F3301"/>
    <w:rsid w:val="00261A9B"/>
    <w:rsid w:val="00296972"/>
    <w:rsid w:val="002B4648"/>
    <w:rsid w:val="002B55ED"/>
    <w:rsid w:val="002B70AD"/>
    <w:rsid w:val="00323DB5"/>
    <w:rsid w:val="00327782"/>
    <w:rsid w:val="0033609C"/>
    <w:rsid w:val="00343837"/>
    <w:rsid w:val="0034432F"/>
    <w:rsid w:val="003726D0"/>
    <w:rsid w:val="003C1934"/>
    <w:rsid w:val="003D4F75"/>
    <w:rsid w:val="003E2692"/>
    <w:rsid w:val="00401E4A"/>
    <w:rsid w:val="00426590"/>
    <w:rsid w:val="00451B75"/>
    <w:rsid w:val="00464BD1"/>
    <w:rsid w:val="00467148"/>
    <w:rsid w:val="00491596"/>
    <w:rsid w:val="00493DDD"/>
    <w:rsid w:val="004C2A81"/>
    <w:rsid w:val="004C6180"/>
    <w:rsid w:val="0050284A"/>
    <w:rsid w:val="00530A81"/>
    <w:rsid w:val="005723DD"/>
    <w:rsid w:val="00580ABC"/>
    <w:rsid w:val="00582B26"/>
    <w:rsid w:val="005B39E2"/>
    <w:rsid w:val="005D2671"/>
    <w:rsid w:val="00664960"/>
    <w:rsid w:val="006A2FA6"/>
    <w:rsid w:val="00737346"/>
    <w:rsid w:val="00737D0A"/>
    <w:rsid w:val="00743C1A"/>
    <w:rsid w:val="00785BAB"/>
    <w:rsid w:val="00792EF4"/>
    <w:rsid w:val="00793860"/>
    <w:rsid w:val="007E4EFA"/>
    <w:rsid w:val="00806A04"/>
    <w:rsid w:val="00826C5D"/>
    <w:rsid w:val="00837334"/>
    <w:rsid w:val="00846C09"/>
    <w:rsid w:val="00846CE9"/>
    <w:rsid w:val="00872298"/>
    <w:rsid w:val="00886101"/>
    <w:rsid w:val="00886DB8"/>
    <w:rsid w:val="008A2DFA"/>
    <w:rsid w:val="008B6024"/>
    <w:rsid w:val="008C6E84"/>
    <w:rsid w:val="008E283F"/>
    <w:rsid w:val="009022F0"/>
    <w:rsid w:val="00907B39"/>
    <w:rsid w:val="00912368"/>
    <w:rsid w:val="00943326"/>
    <w:rsid w:val="009439D9"/>
    <w:rsid w:val="00973AB9"/>
    <w:rsid w:val="00975E31"/>
    <w:rsid w:val="009A58EE"/>
    <w:rsid w:val="009D1627"/>
    <w:rsid w:val="00A11C5B"/>
    <w:rsid w:val="00A365EB"/>
    <w:rsid w:val="00AA0445"/>
    <w:rsid w:val="00AB5C6C"/>
    <w:rsid w:val="00AC68B2"/>
    <w:rsid w:val="00AF25E9"/>
    <w:rsid w:val="00B436FA"/>
    <w:rsid w:val="00B62AA0"/>
    <w:rsid w:val="00B7165C"/>
    <w:rsid w:val="00B94383"/>
    <w:rsid w:val="00BA1476"/>
    <w:rsid w:val="00BA3602"/>
    <w:rsid w:val="00BA6632"/>
    <w:rsid w:val="00BC3242"/>
    <w:rsid w:val="00BC6958"/>
    <w:rsid w:val="00BE01E3"/>
    <w:rsid w:val="00BF05E6"/>
    <w:rsid w:val="00C011A2"/>
    <w:rsid w:val="00C2076B"/>
    <w:rsid w:val="00C229E1"/>
    <w:rsid w:val="00C23822"/>
    <w:rsid w:val="00C244FB"/>
    <w:rsid w:val="00C452A8"/>
    <w:rsid w:val="00C631AA"/>
    <w:rsid w:val="00C76CC5"/>
    <w:rsid w:val="00C82D51"/>
    <w:rsid w:val="00C8652B"/>
    <w:rsid w:val="00C9206B"/>
    <w:rsid w:val="00CC2385"/>
    <w:rsid w:val="00CC76FD"/>
    <w:rsid w:val="00CE585F"/>
    <w:rsid w:val="00D334D6"/>
    <w:rsid w:val="00D402AF"/>
    <w:rsid w:val="00D50965"/>
    <w:rsid w:val="00D65106"/>
    <w:rsid w:val="00DA0316"/>
    <w:rsid w:val="00DE2070"/>
    <w:rsid w:val="00E02311"/>
    <w:rsid w:val="00E175D7"/>
    <w:rsid w:val="00E17DA6"/>
    <w:rsid w:val="00E21F22"/>
    <w:rsid w:val="00E506B0"/>
    <w:rsid w:val="00E65622"/>
    <w:rsid w:val="00E709BE"/>
    <w:rsid w:val="00E71C43"/>
    <w:rsid w:val="00E73D99"/>
    <w:rsid w:val="00E9357D"/>
    <w:rsid w:val="00EA6E38"/>
    <w:rsid w:val="00EE2830"/>
    <w:rsid w:val="00F0504B"/>
    <w:rsid w:val="00F155A3"/>
    <w:rsid w:val="00F24C18"/>
    <w:rsid w:val="00F32632"/>
    <w:rsid w:val="00F51949"/>
    <w:rsid w:val="00F6365E"/>
    <w:rsid w:val="00F73E68"/>
    <w:rsid w:val="00FB1A04"/>
    <w:rsid w:val="00FB6F32"/>
    <w:rsid w:val="00FC0603"/>
    <w:rsid w:val="00FF30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5F05E"/>
  <w15:chartTrackingRefBased/>
  <w15:docId w15:val="{809758E5-F003-4411-B294-9C681690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26"/>
    <w:pPr>
      <w:ind w:left="720"/>
      <w:contextualSpacing/>
    </w:pPr>
  </w:style>
  <w:style w:type="table" w:styleId="PlainTable2">
    <w:name w:val="Plain Table 2"/>
    <w:basedOn w:val="TableNormal"/>
    <w:uiPriority w:val="42"/>
    <w:rsid w:val="009433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86101"/>
    <w:rPr>
      <w:sz w:val="16"/>
      <w:szCs w:val="16"/>
    </w:rPr>
  </w:style>
  <w:style w:type="paragraph" w:styleId="CommentText">
    <w:name w:val="annotation text"/>
    <w:basedOn w:val="Normal"/>
    <w:link w:val="CommentTextChar"/>
    <w:uiPriority w:val="99"/>
    <w:semiHidden/>
    <w:unhideWhenUsed/>
    <w:rsid w:val="00886101"/>
    <w:pPr>
      <w:spacing w:line="240" w:lineRule="auto"/>
    </w:pPr>
    <w:rPr>
      <w:sz w:val="20"/>
      <w:szCs w:val="20"/>
    </w:rPr>
  </w:style>
  <w:style w:type="character" w:customStyle="1" w:styleId="CommentTextChar">
    <w:name w:val="Comment Text Char"/>
    <w:basedOn w:val="DefaultParagraphFont"/>
    <w:link w:val="CommentText"/>
    <w:uiPriority w:val="99"/>
    <w:semiHidden/>
    <w:rsid w:val="00886101"/>
    <w:rPr>
      <w:sz w:val="20"/>
      <w:szCs w:val="20"/>
    </w:rPr>
  </w:style>
  <w:style w:type="paragraph" w:styleId="FootnoteText">
    <w:name w:val="footnote text"/>
    <w:basedOn w:val="Normal"/>
    <w:link w:val="FootnoteTextChar"/>
    <w:uiPriority w:val="99"/>
    <w:semiHidden/>
    <w:unhideWhenUsed/>
    <w:rsid w:val="00886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101"/>
    <w:rPr>
      <w:sz w:val="20"/>
      <w:szCs w:val="20"/>
    </w:rPr>
  </w:style>
  <w:style w:type="character" w:styleId="FootnoteReference">
    <w:name w:val="footnote reference"/>
    <w:basedOn w:val="DefaultParagraphFont"/>
    <w:uiPriority w:val="99"/>
    <w:semiHidden/>
    <w:unhideWhenUsed/>
    <w:rsid w:val="00886101"/>
    <w:rPr>
      <w:vertAlign w:val="superscript"/>
    </w:rPr>
  </w:style>
  <w:style w:type="table" w:styleId="TableGrid">
    <w:name w:val="Table Grid"/>
    <w:basedOn w:val="TableNormal"/>
    <w:uiPriority w:val="39"/>
    <w:rsid w:val="00B6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2311"/>
    <w:rPr>
      <w:b/>
      <w:bCs/>
    </w:rPr>
  </w:style>
  <w:style w:type="character" w:customStyle="1" w:styleId="CommentSubjectChar">
    <w:name w:val="Comment Subject Char"/>
    <w:basedOn w:val="CommentTextChar"/>
    <w:link w:val="CommentSubject"/>
    <w:uiPriority w:val="99"/>
    <w:semiHidden/>
    <w:rsid w:val="00E02311"/>
    <w:rPr>
      <w:b/>
      <w:bCs/>
      <w:sz w:val="20"/>
      <w:szCs w:val="20"/>
    </w:rPr>
  </w:style>
  <w:style w:type="paragraph" w:customStyle="1" w:styleId="paragraph">
    <w:name w:val="paragraph"/>
    <w:basedOn w:val="Normal"/>
    <w:rsid w:val="0090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7B39"/>
  </w:style>
  <w:style w:type="character" w:customStyle="1" w:styleId="eop">
    <w:name w:val="eop"/>
    <w:basedOn w:val="DefaultParagraphFont"/>
    <w:rsid w:val="00907B39"/>
  </w:style>
  <w:style w:type="paragraph" w:styleId="NoSpacing">
    <w:name w:val="No Spacing"/>
    <w:uiPriority w:val="1"/>
    <w:qFormat/>
    <w:rsid w:val="00907B39"/>
    <w:pPr>
      <w:spacing w:after="0" w:line="240" w:lineRule="auto"/>
    </w:pPr>
  </w:style>
  <w:style w:type="character" w:styleId="Hyperlink">
    <w:name w:val="Hyperlink"/>
    <w:basedOn w:val="DefaultParagraphFont"/>
    <w:uiPriority w:val="99"/>
    <w:unhideWhenUsed/>
    <w:rsid w:val="008A2DFA"/>
    <w:rPr>
      <w:color w:val="0563C1" w:themeColor="hyperlink"/>
      <w:u w:val="single"/>
    </w:rPr>
  </w:style>
  <w:style w:type="character" w:styleId="UnresolvedMention">
    <w:name w:val="Unresolved Mention"/>
    <w:basedOn w:val="DefaultParagraphFont"/>
    <w:uiPriority w:val="99"/>
    <w:semiHidden/>
    <w:unhideWhenUsed/>
    <w:rsid w:val="008A2DFA"/>
    <w:rPr>
      <w:color w:val="605E5C"/>
      <w:shd w:val="clear" w:color="auto" w:fill="E1DFDD"/>
    </w:rPr>
  </w:style>
  <w:style w:type="paragraph" w:styleId="Revision">
    <w:name w:val="Revision"/>
    <w:hidden/>
    <w:uiPriority w:val="99"/>
    <w:semiHidden/>
    <w:rsid w:val="00D65106"/>
    <w:pPr>
      <w:spacing w:after="0" w:line="240" w:lineRule="auto"/>
    </w:pPr>
  </w:style>
  <w:style w:type="paragraph" w:styleId="Header">
    <w:name w:val="header"/>
    <w:basedOn w:val="Normal"/>
    <w:link w:val="HeaderChar"/>
    <w:uiPriority w:val="99"/>
    <w:unhideWhenUsed/>
    <w:rsid w:val="00E7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BE"/>
  </w:style>
  <w:style w:type="paragraph" w:styleId="Footer">
    <w:name w:val="footer"/>
    <w:basedOn w:val="Normal"/>
    <w:link w:val="FooterChar"/>
    <w:uiPriority w:val="99"/>
    <w:unhideWhenUsed/>
    <w:rsid w:val="00E7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BE"/>
  </w:style>
  <w:style w:type="character" w:customStyle="1" w:styleId="xxxcontentpasted0">
    <w:name w:val="x_x_x_contentpasted0"/>
    <w:basedOn w:val="DefaultParagraphFont"/>
    <w:rsid w:val="00E73D99"/>
  </w:style>
  <w:style w:type="paragraph" w:customStyle="1" w:styleId="Body1">
    <w:name w:val="Body 1"/>
    <w:rsid w:val="00493DDD"/>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cf01">
    <w:name w:val="cf01"/>
    <w:basedOn w:val="DefaultParagraphFont"/>
    <w:rsid w:val="00AF25E9"/>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yperlink" Target="mailto:Blynda.K.Metcalf@census.gov" TargetMode="External" /><Relationship Id="rId7" Type="http://schemas.openxmlformats.org/officeDocument/2006/relationships/hyperlink" Target="mailto:James.W.Hunt@censu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 Hunt (CENSUS/ESMD FED)</dc:creator>
  <cp:lastModifiedBy>Thomas J Smith (CENSUS/EMD FED)</cp:lastModifiedBy>
  <cp:revision>5</cp:revision>
  <dcterms:created xsi:type="dcterms:W3CDTF">2023-10-12T21:47:00Z</dcterms:created>
  <dcterms:modified xsi:type="dcterms:W3CDTF">2023-10-13T12:46:00Z</dcterms:modified>
</cp:coreProperties>
</file>