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08E" w:rsidP="00AD381B" w14:paraId="45D53638" w14:textId="77777777">
      <w:pPr>
        <w:pStyle w:val="Heading1"/>
        <w:rPr>
          <w:b/>
          <w:bCs/>
          <w:sz w:val="24"/>
          <w:szCs w:val="24"/>
        </w:rPr>
      </w:pPr>
    </w:p>
    <w:p w:rsidR="00043C32" w:rsidRPr="00F74288" w:rsidP="00AD381B" w14:paraId="64280E54" w14:textId="5DD8161D">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5C6D9E" w:rsidP="005C6D9E" w14:paraId="64280E56" w14:textId="4BEC4355">
      <w:pPr>
        <w:tabs>
          <w:tab w:val="left" w:pos="0"/>
        </w:tabs>
        <w:suppressAutoHyphens/>
        <w:jc w:val="center"/>
        <w:rPr>
          <w:rFonts w:asciiTheme="minorHAnsi" w:hAnsiTheme="minorHAnsi" w:cstheme="minorHAnsi"/>
          <w:iCs/>
          <w:szCs w:val="24"/>
        </w:rPr>
      </w:pPr>
      <w:r>
        <w:rPr>
          <w:rFonts w:asciiTheme="minorHAnsi" w:hAnsiTheme="minorHAnsi" w:cstheme="minorHAnsi"/>
          <w:iCs/>
          <w:szCs w:val="24"/>
        </w:rPr>
        <w:t xml:space="preserve">Gainful Employment </w:t>
      </w:r>
      <w:r w:rsidRPr="005C6D9E">
        <w:rPr>
          <w:rFonts w:asciiTheme="minorHAnsi" w:hAnsiTheme="minorHAnsi" w:cstheme="minorHAnsi"/>
          <w:iCs/>
          <w:szCs w:val="24"/>
        </w:rPr>
        <w:t xml:space="preserve">Student </w:t>
      </w:r>
      <w:r>
        <w:rPr>
          <w:rFonts w:asciiTheme="minorHAnsi" w:hAnsiTheme="minorHAnsi" w:cstheme="minorHAnsi"/>
          <w:iCs/>
          <w:szCs w:val="24"/>
        </w:rPr>
        <w:t>W</w:t>
      </w:r>
      <w:r w:rsidRPr="005C6D9E">
        <w:rPr>
          <w:rFonts w:asciiTheme="minorHAnsi" w:hAnsiTheme="minorHAnsi" w:cstheme="minorHAnsi"/>
          <w:iCs/>
          <w:szCs w:val="24"/>
        </w:rPr>
        <w:t xml:space="preserve">arnings and </w:t>
      </w:r>
      <w:r>
        <w:rPr>
          <w:rFonts w:asciiTheme="minorHAnsi" w:hAnsiTheme="minorHAnsi" w:cstheme="minorHAnsi"/>
          <w:iCs/>
          <w:szCs w:val="24"/>
        </w:rPr>
        <w:t>A</w:t>
      </w:r>
      <w:r w:rsidRPr="005C6D9E">
        <w:rPr>
          <w:rFonts w:asciiTheme="minorHAnsi" w:hAnsiTheme="minorHAnsi" w:cstheme="minorHAnsi"/>
          <w:iCs/>
          <w:szCs w:val="24"/>
        </w:rPr>
        <w:t>cknowledgments</w:t>
      </w:r>
    </w:p>
    <w:p w:rsidR="005C6D9E" w:rsidRPr="00AD381B" w:rsidP="00AD381B" w14:paraId="0F1ECD41"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7C700A" w:rsidP="00B11436" w14:paraId="5182F308" w14:textId="268DB6EB">
      <w:pPr>
        <w:pStyle w:val="ListParagraph"/>
        <w:suppressAutoHyphens/>
        <w:contextualSpacing w:val="0"/>
        <w:rPr>
          <w:rFonts w:asciiTheme="minorHAnsi" w:hAnsiTheme="minorHAnsi" w:cstheme="minorHAnsi"/>
        </w:rPr>
      </w:pPr>
      <w:r w:rsidRPr="006A5BE8">
        <w:rPr>
          <w:rFonts w:asciiTheme="minorHAnsi" w:hAnsiTheme="minorHAnsi" w:cstheme="minorHAnsi"/>
          <w:szCs w:val="24"/>
        </w:rPr>
        <w:t xml:space="preserve">On </w:t>
      </w:r>
      <w:r>
        <w:rPr>
          <w:rFonts w:asciiTheme="minorHAnsi" w:hAnsiTheme="minorHAnsi" w:cstheme="minorHAnsi"/>
          <w:szCs w:val="24"/>
        </w:rPr>
        <w:t>January 18, 2022</w:t>
      </w:r>
      <w:r w:rsidRPr="006A5BE8">
        <w:rPr>
          <w:rFonts w:asciiTheme="minorHAnsi" w:hAnsiTheme="minorHAnsi" w:cstheme="minorHAnsi"/>
          <w:szCs w:val="24"/>
        </w:rPr>
        <w:t xml:space="preserve">, the Department convened a negotiated rulemaking committee, the </w:t>
      </w:r>
      <w:r>
        <w:rPr>
          <w:rFonts w:asciiTheme="minorHAnsi" w:hAnsiTheme="minorHAnsi" w:cstheme="minorHAnsi"/>
          <w:szCs w:val="24"/>
        </w:rPr>
        <w:t xml:space="preserve">Institutional and Programmatic Eligibility </w:t>
      </w:r>
      <w:r w:rsidRPr="006A5BE8">
        <w:rPr>
          <w:rFonts w:asciiTheme="minorHAnsi" w:hAnsiTheme="minorHAnsi" w:cstheme="minorHAnsi"/>
          <w:szCs w:val="24"/>
        </w:rPr>
        <w:t xml:space="preserve"> Committee, to consider proposed regulations for the Federal Student Aid programs authorized under title IV of the </w:t>
      </w:r>
      <w:r>
        <w:rPr>
          <w:rFonts w:asciiTheme="minorHAnsi" w:hAnsiTheme="minorHAnsi" w:cstheme="minorHAnsi"/>
          <w:szCs w:val="24"/>
        </w:rPr>
        <w:t>Higher Education Act of 1965, as amended, (</w:t>
      </w:r>
      <w:r w:rsidRPr="005D119B">
        <w:rPr>
          <w:rFonts w:asciiTheme="minorHAnsi" w:hAnsiTheme="minorHAnsi" w:cstheme="minorHAnsi"/>
          <w:szCs w:val="24"/>
        </w:rPr>
        <w:t>HEA</w:t>
      </w:r>
      <w:r w:rsidRPr="007B69FA">
        <w:rPr>
          <w:rFonts w:asciiTheme="minorHAnsi" w:hAnsiTheme="minorHAnsi" w:cstheme="minorHAnsi"/>
          <w:szCs w:val="24"/>
        </w:rPr>
        <w:t>)</w:t>
      </w:r>
      <w:r w:rsidRPr="006A5BE8">
        <w:rPr>
          <w:rFonts w:asciiTheme="minorHAnsi" w:hAnsiTheme="minorHAnsi" w:cstheme="minorHAnsi"/>
          <w:szCs w:val="24"/>
        </w:rPr>
        <w:t xml:space="preserve">. </w:t>
      </w:r>
      <w:r w:rsidRPr="0012466B">
        <w:rPr>
          <w:rFonts w:asciiTheme="minorHAnsi" w:hAnsiTheme="minorHAnsi" w:cstheme="minorHAnsi"/>
          <w:szCs w:val="24"/>
        </w:rPr>
        <w:t xml:space="preserve"> </w:t>
      </w:r>
      <w:r>
        <w:rPr>
          <w:rFonts w:asciiTheme="minorHAnsi" w:hAnsiTheme="minorHAnsi" w:cstheme="minorHAnsi"/>
          <w:szCs w:val="24"/>
        </w:rPr>
        <w:t>Through the Notice of Proposed Rulemaking (NPRM)</w:t>
      </w:r>
      <w:r w:rsidR="00AA3F05">
        <w:rPr>
          <w:rFonts w:asciiTheme="minorHAnsi" w:hAnsiTheme="minorHAnsi" w:cstheme="minorHAnsi"/>
          <w:szCs w:val="24"/>
        </w:rPr>
        <w:t xml:space="preserve"> published on May 19, 2023,</w:t>
      </w:r>
      <w:r>
        <w:rPr>
          <w:rFonts w:asciiTheme="minorHAnsi" w:hAnsiTheme="minorHAnsi" w:cstheme="minorHAnsi"/>
          <w:szCs w:val="24"/>
        </w:rPr>
        <w:t xml:space="preserve"> docket number </w:t>
      </w:r>
      <w:r w:rsidRPr="00564132">
        <w:rPr>
          <w:rFonts w:asciiTheme="minorHAnsi" w:hAnsiTheme="minorHAnsi" w:cstheme="minorHAnsi"/>
          <w:szCs w:val="24"/>
        </w:rPr>
        <w:t>ED-2022-OPE-0062</w:t>
      </w:r>
      <w:r>
        <w:rPr>
          <w:rFonts w:asciiTheme="minorHAnsi" w:hAnsiTheme="minorHAnsi" w:cstheme="minorHAnsi"/>
          <w:szCs w:val="24"/>
        </w:rPr>
        <w:t>, t</w:t>
      </w:r>
      <w:r w:rsidRPr="0012466B">
        <w:rPr>
          <w:rFonts w:asciiTheme="minorHAnsi" w:hAnsiTheme="minorHAnsi" w:cstheme="minorHAnsi"/>
          <w:szCs w:val="24"/>
        </w:rPr>
        <w:t>he Secretary</w:t>
      </w:r>
      <w:r w:rsidRPr="0012466B">
        <w:rPr>
          <w:rFonts w:asciiTheme="minorHAnsi" w:hAnsiTheme="minorHAnsi" w:cstheme="minorHAnsi"/>
        </w:rPr>
        <w:t xml:space="preserve"> </w:t>
      </w:r>
      <w:r w:rsidRPr="00510E61">
        <w:rPr>
          <w:rFonts w:asciiTheme="minorHAnsi" w:hAnsiTheme="minorHAnsi" w:cstheme="minorHAnsi"/>
        </w:rPr>
        <w:t>propos</w:t>
      </w:r>
      <w:r>
        <w:rPr>
          <w:rFonts w:asciiTheme="minorHAnsi" w:hAnsiTheme="minorHAnsi" w:cstheme="minorHAnsi"/>
        </w:rPr>
        <w:t>e</w:t>
      </w:r>
      <w:r w:rsidR="00AA3F05">
        <w:rPr>
          <w:rFonts w:asciiTheme="minorHAnsi" w:hAnsiTheme="minorHAnsi" w:cstheme="minorHAnsi"/>
        </w:rPr>
        <w:t>d</w:t>
      </w:r>
      <w:r w:rsidRPr="00510E61">
        <w:rPr>
          <w:rFonts w:asciiTheme="minorHAnsi" w:hAnsiTheme="minorHAnsi" w:cstheme="minorHAnsi"/>
        </w:rPr>
        <w:t xml:space="preserve"> new regulations to promote transparency, competence, stability, and effective outcomes for students in the provision of postsecondary education.</w:t>
      </w:r>
    </w:p>
    <w:p w:rsidR="00B11436" w:rsidP="00AD381B" w14:paraId="0D9D1DBE" w14:textId="5F8ACBFA">
      <w:pPr>
        <w:pStyle w:val="ListParagraph"/>
        <w:suppressAutoHyphens/>
        <w:spacing w:line="240" w:lineRule="exact"/>
        <w:contextualSpacing w:val="0"/>
        <w:rPr>
          <w:rFonts w:asciiTheme="minorHAnsi" w:hAnsiTheme="minorHAnsi" w:cstheme="minorHAnsi"/>
        </w:rPr>
      </w:pPr>
    </w:p>
    <w:p w:rsidR="00B11436" w:rsidRPr="008B55C2" w:rsidP="00F21ED1" w14:paraId="0A431C76" w14:textId="5F56B496">
      <w:pPr>
        <w:ind w:left="720"/>
        <w:rPr>
          <w:rFonts w:asciiTheme="minorHAnsi" w:hAnsiTheme="minorHAnsi" w:cstheme="minorHAnsi"/>
          <w:szCs w:val="24"/>
        </w:rPr>
      </w:pPr>
      <w:r>
        <w:rPr>
          <w:rFonts w:asciiTheme="minorHAnsi" w:hAnsiTheme="minorHAnsi" w:cstheme="minorHAnsi"/>
          <w:szCs w:val="24"/>
        </w:rPr>
        <w:t>The Final Rule</w:t>
      </w:r>
      <w:r w:rsidRPr="00F2296E">
        <w:rPr>
          <w:rFonts w:asciiTheme="minorHAnsi" w:hAnsiTheme="minorHAnsi" w:cstheme="minorHAnsi"/>
          <w:szCs w:val="24"/>
        </w:rPr>
        <w:t xml:space="preserve"> under new § 668.</w:t>
      </w:r>
      <w:r>
        <w:rPr>
          <w:rFonts w:asciiTheme="minorHAnsi" w:hAnsiTheme="minorHAnsi" w:cstheme="minorHAnsi"/>
          <w:szCs w:val="24"/>
        </w:rPr>
        <w:t>605</w:t>
      </w:r>
      <w:r w:rsidRPr="00F2296E">
        <w:rPr>
          <w:rFonts w:asciiTheme="minorHAnsi" w:hAnsiTheme="minorHAnsi" w:cstheme="minorHAnsi"/>
          <w:szCs w:val="24"/>
        </w:rPr>
        <w:t xml:space="preserve"> </w:t>
      </w:r>
      <w:r w:rsidRPr="008B55C2">
        <w:rPr>
          <w:rFonts w:asciiTheme="minorHAnsi" w:hAnsiTheme="minorHAnsi" w:cstheme="minorHAnsi"/>
          <w:szCs w:val="24"/>
        </w:rPr>
        <w:t>require</w:t>
      </w:r>
      <w:r>
        <w:rPr>
          <w:rFonts w:asciiTheme="minorHAnsi" w:hAnsiTheme="minorHAnsi" w:cstheme="minorHAnsi"/>
          <w:szCs w:val="24"/>
        </w:rPr>
        <w:t>s</w:t>
      </w:r>
      <w:r w:rsidR="00F21ED1">
        <w:rPr>
          <w:rFonts w:asciiTheme="minorHAnsi" w:hAnsiTheme="minorHAnsi" w:cstheme="minorHAnsi"/>
          <w:szCs w:val="24"/>
        </w:rPr>
        <w:t xml:space="preserve"> institutions to provide </w:t>
      </w:r>
      <w:r w:rsidRPr="008B55C2">
        <w:rPr>
          <w:rFonts w:asciiTheme="minorHAnsi" w:hAnsiTheme="minorHAnsi" w:cstheme="minorHAnsi"/>
          <w:szCs w:val="24"/>
        </w:rPr>
        <w:t xml:space="preserve">warnings to current and prospective students if a </w:t>
      </w:r>
      <w:r w:rsidR="00F21ED1">
        <w:rPr>
          <w:rFonts w:asciiTheme="minorHAnsi" w:hAnsiTheme="minorHAnsi" w:cstheme="minorHAnsi"/>
          <w:szCs w:val="24"/>
        </w:rPr>
        <w:t>Gainful Employment (</w:t>
      </w:r>
      <w:r w:rsidRPr="008B55C2">
        <w:rPr>
          <w:rFonts w:asciiTheme="minorHAnsi" w:hAnsiTheme="minorHAnsi" w:cstheme="minorHAnsi"/>
          <w:szCs w:val="24"/>
        </w:rPr>
        <w:t>GE</w:t>
      </w:r>
      <w:r w:rsidR="00F21ED1">
        <w:rPr>
          <w:rFonts w:asciiTheme="minorHAnsi" w:hAnsiTheme="minorHAnsi" w:cstheme="minorHAnsi"/>
          <w:szCs w:val="24"/>
        </w:rPr>
        <w:t>)</w:t>
      </w:r>
      <w:r w:rsidRPr="008B55C2">
        <w:rPr>
          <w:rFonts w:asciiTheme="minorHAnsi" w:hAnsiTheme="minorHAnsi" w:cstheme="minorHAnsi"/>
          <w:szCs w:val="24"/>
        </w:rPr>
        <w:t xml:space="preserve"> program is at risk of a loss of title IV, HEA eligibility, specif</w:t>
      </w:r>
      <w:r>
        <w:rPr>
          <w:rFonts w:asciiTheme="minorHAnsi" w:hAnsiTheme="minorHAnsi" w:cstheme="minorHAnsi"/>
          <w:szCs w:val="24"/>
        </w:rPr>
        <w:t>ies</w:t>
      </w:r>
      <w:r w:rsidRPr="008B55C2">
        <w:rPr>
          <w:rFonts w:asciiTheme="minorHAnsi" w:hAnsiTheme="minorHAnsi" w:cstheme="minorHAnsi"/>
          <w:szCs w:val="24"/>
        </w:rPr>
        <w:t xml:space="preserve"> the content and delivery requirements for such notifications, and provide</w:t>
      </w:r>
      <w:r>
        <w:rPr>
          <w:rFonts w:asciiTheme="minorHAnsi" w:hAnsiTheme="minorHAnsi" w:cstheme="minorHAnsi"/>
          <w:szCs w:val="24"/>
        </w:rPr>
        <w:t>s</w:t>
      </w:r>
      <w:r w:rsidRPr="008B55C2">
        <w:rPr>
          <w:rFonts w:asciiTheme="minorHAnsi" w:hAnsiTheme="minorHAnsi" w:cstheme="minorHAnsi"/>
          <w:szCs w:val="24"/>
        </w:rPr>
        <w:t xml:space="preserve"> that students must acknowledge having seen the warning before the institution may disburse any title IV, HEA funds.</w:t>
      </w:r>
      <w:r w:rsidR="00F21ED1">
        <w:rPr>
          <w:rFonts w:asciiTheme="minorHAnsi" w:hAnsiTheme="minorHAnsi" w:cstheme="minorHAnsi"/>
          <w:szCs w:val="24"/>
        </w:rPr>
        <w:t xml:space="preserve">  </w:t>
      </w:r>
      <w:r w:rsidRPr="008B55C2" w:rsidR="00F21ED1">
        <w:rPr>
          <w:rFonts w:asciiTheme="minorHAnsi" w:hAnsiTheme="minorHAnsi" w:cstheme="minorHAnsi"/>
          <w:szCs w:val="24"/>
        </w:rPr>
        <w:t xml:space="preserve">In addition to providing the English-language warnings, the institution </w:t>
      </w:r>
      <w:r w:rsidR="001425EA">
        <w:rPr>
          <w:rFonts w:asciiTheme="minorHAnsi" w:hAnsiTheme="minorHAnsi" w:cstheme="minorHAnsi"/>
          <w:szCs w:val="24"/>
        </w:rPr>
        <w:t>will</w:t>
      </w:r>
      <w:r w:rsidRPr="008B55C2" w:rsidR="001425EA">
        <w:rPr>
          <w:rFonts w:asciiTheme="minorHAnsi" w:hAnsiTheme="minorHAnsi" w:cstheme="minorHAnsi"/>
          <w:szCs w:val="24"/>
        </w:rPr>
        <w:t xml:space="preserve"> </w:t>
      </w:r>
      <w:r w:rsidRPr="008B55C2" w:rsidR="00F21ED1">
        <w:rPr>
          <w:rFonts w:asciiTheme="minorHAnsi" w:hAnsiTheme="minorHAnsi" w:cstheme="minorHAnsi"/>
          <w:szCs w:val="24"/>
        </w:rPr>
        <w:t>be required to provide accurate translations of the English-language warning into the primary languages of current and prospective students with limited English proficiency.</w:t>
      </w:r>
      <w:r>
        <w:rPr>
          <w:rFonts w:asciiTheme="minorHAnsi" w:hAnsiTheme="minorHAnsi" w:cstheme="minorHAnsi"/>
          <w:szCs w:val="24"/>
        </w:rPr>
        <w:t xml:space="preserve">  </w:t>
      </w:r>
      <w:r w:rsidR="00FE508E">
        <w:rPr>
          <w:rFonts w:asciiTheme="minorHAnsi" w:hAnsiTheme="minorHAnsi" w:cstheme="minorHAnsi"/>
          <w:szCs w:val="24"/>
        </w:rPr>
        <w:t>Updates</w:t>
      </w:r>
      <w:r>
        <w:rPr>
          <w:rFonts w:asciiTheme="minorHAnsi" w:hAnsiTheme="minorHAnsi" w:cstheme="minorHAnsi"/>
          <w:szCs w:val="24"/>
        </w:rPr>
        <w:t xml:space="preserve"> to the regulations since the NPRM has changed the estimated burden for this collection as identified in the NPRM.  </w:t>
      </w:r>
    </w:p>
    <w:p w:rsidR="00F21ED1" w:rsidP="00F21ED1" w14:paraId="16AF580B" w14:textId="77777777">
      <w:pPr>
        <w:tabs>
          <w:tab w:val="left" w:pos="2709"/>
        </w:tabs>
        <w:suppressAutoHyphens/>
        <w:rPr>
          <w:rFonts w:asciiTheme="minorHAnsi" w:hAnsiTheme="minorHAnsi" w:cstheme="minorHAnsi"/>
          <w:szCs w:val="24"/>
        </w:rPr>
      </w:pPr>
    </w:p>
    <w:p w:rsidR="00B11436" w:rsidRPr="00EE4EAF" w:rsidP="00F21ED1" w14:paraId="2459231E" w14:textId="1B60DFDD">
      <w:pPr>
        <w:tabs>
          <w:tab w:val="left" w:pos="2709"/>
        </w:tabs>
        <w:suppressAutoHyphens/>
        <w:ind w:left="720"/>
        <w:rPr>
          <w:rFonts w:asciiTheme="minorHAnsi" w:hAnsiTheme="minorHAnsi" w:cstheme="minorHAnsi"/>
          <w:szCs w:val="24"/>
        </w:rPr>
      </w:pPr>
      <w:r>
        <w:rPr>
          <w:rFonts w:asciiTheme="minorHAnsi" w:hAnsiTheme="minorHAnsi" w:cstheme="minorHAnsi"/>
          <w:szCs w:val="24"/>
        </w:rPr>
        <w:t>This is a request for a new collection</w:t>
      </w:r>
      <w:r w:rsidRPr="001425EA" w:rsidR="001425EA">
        <w:rPr>
          <w:rFonts w:asciiTheme="minorHAnsi" w:hAnsiTheme="minorHAnsi" w:cstheme="minorHAnsi"/>
          <w:szCs w:val="24"/>
        </w:rPr>
        <w:t xml:space="preserve"> </w:t>
      </w:r>
      <w:r w:rsidR="001425EA">
        <w:rPr>
          <w:rFonts w:asciiTheme="minorHAnsi" w:hAnsiTheme="minorHAnsi" w:cstheme="minorHAnsi"/>
          <w:szCs w:val="24"/>
        </w:rPr>
        <w:t>designated 1845-0173 by OMB during the NPRM stage of this information collection filing</w:t>
      </w:r>
      <w:r>
        <w:rPr>
          <w:rFonts w:asciiTheme="minorHAnsi" w:hAnsiTheme="minorHAnsi" w:cstheme="minorHAnsi"/>
          <w:szCs w:val="24"/>
        </w:rPr>
        <w:t>.</w:t>
      </w:r>
    </w:p>
    <w:p w:rsidR="00B11436" w:rsidRPr="00AD381B" w:rsidP="00AD381B" w14:paraId="6AC01A5F"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62747E" w:rsidP="0062747E" w14:paraId="08977014" w14:textId="42814819">
      <w:pPr>
        <w:suppressAutoHyphens/>
        <w:ind w:left="720"/>
        <w:rPr>
          <w:rFonts w:asciiTheme="minorHAnsi" w:hAnsiTheme="minorHAnsi" w:cstheme="minorHAnsi"/>
          <w:szCs w:val="24"/>
        </w:rPr>
      </w:pPr>
      <w:r>
        <w:rPr>
          <w:rFonts w:asciiTheme="minorHAnsi" w:hAnsiTheme="minorHAnsi" w:cstheme="minorHAnsi"/>
          <w:szCs w:val="24"/>
        </w:rPr>
        <w:t xml:space="preserve">This information </w:t>
      </w:r>
      <w:r w:rsidR="001425EA">
        <w:rPr>
          <w:rFonts w:asciiTheme="minorHAnsi" w:hAnsiTheme="minorHAnsi" w:cstheme="minorHAnsi"/>
          <w:szCs w:val="24"/>
        </w:rPr>
        <w:t xml:space="preserve">will </w:t>
      </w:r>
      <w:r>
        <w:rPr>
          <w:rFonts w:asciiTheme="minorHAnsi" w:hAnsiTheme="minorHAnsi" w:cstheme="minorHAnsi"/>
          <w:szCs w:val="24"/>
        </w:rPr>
        <w:t xml:space="preserve">be reviewed and acknowledged by students who wish to enter or continue in a GE program which has been determined by Department </w:t>
      </w:r>
      <w:r w:rsidR="00917AF0">
        <w:rPr>
          <w:rFonts w:asciiTheme="minorHAnsi" w:hAnsiTheme="minorHAnsi" w:cstheme="minorHAnsi"/>
          <w:szCs w:val="24"/>
        </w:rPr>
        <w:t>to be at risk of losing title IV, HEA student aid funding eligibility</w:t>
      </w:r>
      <w:r>
        <w:rPr>
          <w:rFonts w:asciiTheme="minorHAnsi" w:hAnsiTheme="minorHAnsi" w:cstheme="minorHAnsi"/>
          <w:szCs w:val="24"/>
        </w:rPr>
        <w:t xml:space="preserve">.  The students </w:t>
      </w:r>
      <w:r w:rsidR="001425EA">
        <w:rPr>
          <w:rFonts w:asciiTheme="minorHAnsi" w:hAnsiTheme="minorHAnsi" w:cstheme="minorHAnsi"/>
          <w:szCs w:val="24"/>
        </w:rPr>
        <w:t xml:space="preserve">will </w:t>
      </w:r>
      <w:r w:rsidR="00917AF0">
        <w:rPr>
          <w:rFonts w:asciiTheme="minorHAnsi" w:hAnsiTheme="minorHAnsi" w:cstheme="minorHAnsi"/>
          <w:szCs w:val="24"/>
        </w:rPr>
        <w:t>be provided the required</w:t>
      </w:r>
      <w:r w:rsidR="009C5D7D">
        <w:rPr>
          <w:rFonts w:asciiTheme="minorHAnsi" w:hAnsiTheme="minorHAnsi" w:cstheme="minorHAnsi"/>
          <w:szCs w:val="24"/>
        </w:rPr>
        <w:t xml:space="preserve"> notice</w:t>
      </w:r>
      <w:r w:rsidR="00917AF0">
        <w:rPr>
          <w:rFonts w:asciiTheme="minorHAnsi" w:hAnsiTheme="minorHAnsi" w:cstheme="minorHAnsi"/>
          <w:szCs w:val="24"/>
        </w:rPr>
        <w:t xml:space="preserve"> and then </w:t>
      </w:r>
      <w:r>
        <w:rPr>
          <w:rFonts w:asciiTheme="minorHAnsi" w:hAnsiTheme="minorHAnsi" w:cstheme="minorHAnsi"/>
          <w:szCs w:val="24"/>
        </w:rPr>
        <w:t>directed by their institution to a Department maintained website to view the required program information.  While at the Department’s webpage, the student will be directed to acknowledge the information provided in order to receive any title IV, HEA federal student aid program funds to which the student is otherwise entitled.</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5F4E11" w:rsidP="00AD381B" w14:paraId="50B84318" w14:textId="43424DE7">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 xml:space="preserve">There is nothing in the regulations that </w:t>
      </w:r>
      <w:r w:rsidR="001425EA">
        <w:rPr>
          <w:rFonts w:asciiTheme="minorHAnsi" w:hAnsiTheme="minorHAnsi" w:cstheme="minorHAnsi"/>
          <w:szCs w:val="24"/>
        </w:rPr>
        <w:t xml:space="preserve"> </w:t>
      </w:r>
      <w:r>
        <w:rPr>
          <w:rFonts w:asciiTheme="minorHAnsi" w:hAnsiTheme="minorHAnsi" w:cstheme="minorHAnsi"/>
          <w:szCs w:val="24"/>
        </w:rPr>
        <w:t>prohibit</w:t>
      </w:r>
      <w:r w:rsidR="001425EA">
        <w:rPr>
          <w:rFonts w:asciiTheme="minorHAnsi" w:hAnsiTheme="minorHAnsi" w:cstheme="minorHAnsi"/>
          <w:szCs w:val="24"/>
        </w:rPr>
        <w:t>s</w:t>
      </w:r>
      <w:r>
        <w:rPr>
          <w:rFonts w:asciiTheme="minorHAnsi" w:hAnsiTheme="minorHAnsi" w:cstheme="minorHAnsi"/>
          <w:szCs w:val="24"/>
        </w:rPr>
        <w:t xml:space="preserve"> or restrict</w:t>
      </w:r>
      <w:r w:rsidR="001425EA">
        <w:rPr>
          <w:rFonts w:asciiTheme="minorHAnsi" w:hAnsiTheme="minorHAnsi" w:cstheme="minorHAnsi"/>
          <w:szCs w:val="24"/>
        </w:rPr>
        <w:t>s</w:t>
      </w:r>
      <w:r>
        <w:rPr>
          <w:rFonts w:asciiTheme="minorHAnsi" w:hAnsiTheme="minorHAnsi" w:cstheme="minorHAnsi"/>
          <w:szCs w:val="24"/>
        </w:rPr>
        <w:t xml:space="preserve"> the use of technology by institutions to provide the required warnings or direct students to the Department’s disclosure website.</w:t>
      </w:r>
    </w:p>
    <w:p w:rsidR="00917AF0" w:rsidP="00AD381B" w14:paraId="09125BD0"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917AF0" w:rsidRPr="00EF4C67" w:rsidP="00917AF0" w14:paraId="065F5D2C" w14:textId="51D6487C">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 or system.</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917AF0" w:rsidRPr="00FB6309" w:rsidP="00917AF0" w14:paraId="4B950AE6" w14:textId="69159F48">
      <w:pPr>
        <w:tabs>
          <w:tab w:val="left" w:pos="0"/>
        </w:tabs>
        <w:suppressAutoHyphens/>
        <w:ind w:left="720"/>
        <w:rPr>
          <w:rFonts w:asciiTheme="minorHAnsi" w:hAnsiTheme="minorHAnsi" w:cstheme="minorHAnsi"/>
          <w:szCs w:val="24"/>
        </w:rPr>
      </w:pPr>
      <w:bookmarkStart w:id="0" w:name="_Hlk134791749"/>
      <w:r>
        <w:rPr>
          <w:rFonts w:asciiTheme="minorHAnsi" w:hAnsiTheme="minorHAnsi" w:cstheme="minorHAnsi"/>
          <w:szCs w:val="24"/>
        </w:rPr>
        <w:t xml:space="preserve">The Department does not believe the </w:t>
      </w:r>
      <w:r w:rsidR="001425EA">
        <w:rPr>
          <w:rFonts w:asciiTheme="minorHAnsi" w:hAnsiTheme="minorHAnsi" w:cstheme="minorHAnsi"/>
          <w:szCs w:val="24"/>
        </w:rPr>
        <w:t xml:space="preserve">final </w:t>
      </w:r>
      <w:r>
        <w:rPr>
          <w:rFonts w:asciiTheme="minorHAnsi" w:hAnsiTheme="minorHAnsi" w:cstheme="minorHAnsi"/>
          <w:szCs w:val="24"/>
        </w:rPr>
        <w:t xml:space="preserve">regulations will adversely impact any institution that may meet the small entity designation.  </w:t>
      </w:r>
      <w:bookmarkEnd w:id="0"/>
      <w:r>
        <w:rPr>
          <w:rFonts w:asciiTheme="minorHAnsi" w:hAnsiTheme="minorHAnsi" w:cstheme="minorHAnsi"/>
          <w:szCs w:val="24"/>
        </w:rPr>
        <w:t xml:space="preserve">The Department will administer and maintain the acknowledgement and disclosure website and thus decrease the burden of development and maintenance for the institutions.  Additionally the ability to provide information </w:t>
      </w:r>
      <w:r w:rsidR="00D137D9">
        <w:rPr>
          <w:rFonts w:asciiTheme="minorHAnsi" w:hAnsiTheme="minorHAnsi" w:cstheme="minorHAnsi"/>
          <w:szCs w:val="24"/>
        </w:rPr>
        <w:t xml:space="preserve">electronically </w:t>
      </w:r>
      <w:r w:rsidR="001425EA">
        <w:rPr>
          <w:rFonts w:asciiTheme="minorHAnsi" w:hAnsiTheme="minorHAnsi" w:cstheme="minorHAnsi"/>
          <w:szCs w:val="24"/>
        </w:rPr>
        <w:t xml:space="preserve">will </w:t>
      </w:r>
      <w:r w:rsidR="00D137D9">
        <w:rPr>
          <w:rFonts w:asciiTheme="minorHAnsi" w:hAnsiTheme="minorHAnsi" w:cstheme="minorHAnsi"/>
          <w:szCs w:val="24"/>
        </w:rPr>
        <w:t>reduce any burden on small businesses.</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65EA8" w:rsidRPr="00FB6309" w:rsidP="00565EA8" w14:paraId="6CF14F6E" w14:textId="7083610F">
      <w:pPr>
        <w:pStyle w:val="BodyTextIndent"/>
        <w:rPr>
          <w:rFonts w:asciiTheme="minorHAnsi" w:hAnsiTheme="minorHAnsi" w:cstheme="minorHAnsi"/>
        </w:rPr>
      </w:pPr>
      <w:r>
        <w:rPr>
          <w:rFonts w:asciiTheme="minorHAnsi" w:hAnsiTheme="minorHAnsi" w:cstheme="minorHAnsi"/>
        </w:rPr>
        <w:t xml:space="preserve">If the requirements in these regulations do not occur, eligible students </w:t>
      </w:r>
      <w:r w:rsidR="001425EA">
        <w:rPr>
          <w:rFonts w:asciiTheme="minorHAnsi" w:hAnsiTheme="minorHAnsi" w:cstheme="minorHAnsi"/>
        </w:rPr>
        <w:t xml:space="preserve">will </w:t>
      </w:r>
      <w:r>
        <w:rPr>
          <w:rFonts w:asciiTheme="minorHAnsi" w:hAnsiTheme="minorHAnsi" w:cstheme="minorHAnsi"/>
        </w:rPr>
        <w:t>be denied crucial information about their program of study and potentially remain in a program that they may not be able to complete.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65EA8" w:rsidRPr="00FB6309" w:rsidP="00565EA8" w14:paraId="54D4FCFD"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565EA8" w:rsidP="00565EA8" w14:paraId="091D5E4E" w14:textId="2188B7BA">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developed these regulations after conducting negotiated rulemaking with affected entities and other interested parties.  The public comment period for this information collection </w:t>
      </w:r>
      <w:r w:rsidR="009C5D7D">
        <w:rPr>
          <w:rFonts w:asciiTheme="minorHAnsi" w:hAnsiTheme="minorHAnsi" w:cstheme="minorHAnsi"/>
          <w:szCs w:val="24"/>
        </w:rPr>
        <w:t xml:space="preserve">ran </w:t>
      </w:r>
      <w:r>
        <w:rPr>
          <w:rFonts w:asciiTheme="minorHAnsi" w:hAnsiTheme="minorHAnsi" w:cstheme="minorHAnsi"/>
          <w:szCs w:val="24"/>
        </w:rPr>
        <w:t>concurrently with the Notice of Proposed Rulemaking.</w:t>
      </w:r>
    </w:p>
    <w:p w:rsidR="009C5D7D" w:rsidP="00565EA8" w14:paraId="3A327EB2" w14:textId="7C1B6466">
      <w:pPr>
        <w:tabs>
          <w:tab w:val="left" w:pos="-720"/>
        </w:tabs>
        <w:suppressAutoHyphens/>
        <w:ind w:left="720"/>
        <w:rPr>
          <w:rFonts w:asciiTheme="minorHAnsi" w:hAnsiTheme="minorHAnsi" w:cstheme="minorHAnsi"/>
          <w:szCs w:val="24"/>
        </w:rPr>
      </w:pPr>
    </w:p>
    <w:p w:rsidR="009C5D7D" w:rsidRPr="00FB6309" w:rsidP="009C5D7D" w14:paraId="6A845C55"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There were no specific comments related to the burden for this information collection.  Changes have been made to the estimated burden based on regulatory language changes based in part on public comments received.  </w:t>
      </w:r>
    </w:p>
    <w:p w:rsidR="009C5D7D" w:rsidRPr="00FB6309" w:rsidP="00565EA8" w14:paraId="41E7928B" w14:textId="77777777">
      <w:pPr>
        <w:tabs>
          <w:tab w:val="left" w:pos="-720"/>
        </w:tabs>
        <w:suppressAutoHyphens/>
        <w:ind w:left="720"/>
        <w:rPr>
          <w:rFonts w:asciiTheme="minorHAnsi" w:hAnsiTheme="minorHAnsi" w:cstheme="minorHAnsi"/>
          <w:szCs w:val="24"/>
        </w:rPr>
      </w:pP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565EA8" w:rsidRPr="00FB6309" w:rsidP="00565EA8" w14:paraId="282D417D"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565EA8" w:rsidP="00565EA8" w14:paraId="41120395"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565EA8" w:rsidRPr="00FB6309" w:rsidP="00565EA8" w14:paraId="002C3081" w14:textId="60DF87A6">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FE508E" w:rsidP="00FE508E" w14:paraId="62C8DB98" w14:textId="55300F53">
      <w:pPr>
        <w:ind w:left="720"/>
        <w:rPr>
          <w:rFonts w:asciiTheme="minorHAnsi" w:hAnsiTheme="minorHAnsi" w:cstheme="minorHAnsi"/>
          <w:szCs w:val="24"/>
        </w:rPr>
      </w:pPr>
    </w:p>
    <w:p w:rsidR="00FE508E" w:rsidP="00FE508E" w14:paraId="682A96D7" w14:textId="0D814719">
      <w:pPr>
        <w:ind w:left="720"/>
        <w:rPr>
          <w:rFonts w:asciiTheme="minorHAnsi" w:hAnsiTheme="minorHAnsi" w:cstheme="minorHAnsi"/>
          <w:szCs w:val="24"/>
        </w:rPr>
      </w:pPr>
      <w:r w:rsidRPr="00591712">
        <w:rPr>
          <w:rFonts w:asciiTheme="minorHAnsi" w:hAnsiTheme="minorHAnsi" w:cstheme="minorHAnsi"/>
          <w:szCs w:val="24"/>
        </w:rPr>
        <w:t xml:space="preserve">The final regulatory language in </w:t>
      </w:r>
      <w:r w:rsidRPr="00591712">
        <w:rPr>
          <w:rFonts w:asciiTheme="minorHAnsi" w:eastAsiaTheme="minorEastAsia" w:hAnsiTheme="minorHAnsi" w:cstheme="minorHAnsi"/>
          <w:szCs w:val="24"/>
        </w:rPr>
        <w:t xml:space="preserve">§ </w:t>
      </w:r>
      <w:r w:rsidRPr="00591712">
        <w:rPr>
          <w:rFonts w:asciiTheme="minorHAnsi" w:hAnsiTheme="minorHAnsi" w:cstheme="minorHAnsi"/>
          <w:szCs w:val="24"/>
        </w:rPr>
        <w:t xml:space="preserve">668.605 will add burden to institutions.  The changes in </w:t>
      </w:r>
      <w:r w:rsidRPr="00591712">
        <w:rPr>
          <w:rFonts w:asciiTheme="minorHAnsi" w:eastAsiaTheme="minorEastAsia" w:hAnsiTheme="minorHAnsi" w:cstheme="minorHAnsi"/>
          <w:szCs w:val="24"/>
        </w:rPr>
        <w:t xml:space="preserve">§ </w:t>
      </w:r>
      <w:r w:rsidRPr="00591712">
        <w:rPr>
          <w:rFonts w:asciiTheme="minorHAnsi" w:hAnsiTheme="minorHAnsi" w:cstheme="minorHAnsi"/>
          <w:szCs w:val="24"/>
        </w:rPr>
        <w:t xml:space="preserve">668.605 will require institutions to provide warning notices to enrolled and prospective students that a GE program has unacceptable D/E rates or an unacceptable earnings premium measure for the year in which the D/E rates or earnings premium measure were most recently calculated by the Department along with warnings about the potential loss of title IV, HEA eligibility. </w:t>
      </w:r>
    </w:p>
    <w:p w:rsidR="00FE508E" w:rsidP="00962E6A" w14:paraId="64B9EDE1" w14:textId="77777777">
      <w:pPr>
        <w:rPr>
          <w:rFonts w:asciiTheme="minorHAnsi" w:hAnsiTheme="minorHAnsi" w:cstheme="minorHAnsi"/>
          <w:szCs w:val="24"/>
        </w:rPr>
      </w:pPr>
    </w:p>
    <w:p w:rsidR="00FE508E" w:rsidP="00FE508E" w14:paraId="4CAFFE16" w14:textId="77777777">
      <w:pPr>
        <w:ind w:left="720"/>
        <w:rPr>
          <w:rFonts w:asciiTheme="minorHAnsi" w:hAnsiTheme="minorHAnsi" w:cstheme="minorHAnsi"/>
          <w:szCs w:val="24"/>
        </w:rPr>
      </w:pPr>
      <w:r w:rsidRPr="00591712">
        <w:rPr>
          <w:rFonts w:asciiTheme="minorHAnsi" w:hAnsiTheme="minorHAnsi" w:cstheme="minorHAnsi"/>
          <w:szCs w:val="24"/>
        </w:rPr>
        <w:t xml:space="preserve">We believe that most institutions will develop the warning and make it available electronically to current and prospective students.  We believe that this action will require an estimated 1 hour per affected program.  </w:t>
      </w:r>
    </w:p>
    <w:p w:rsidR="00FE508E" w:rsidP="00FE508E" w14:paraId="7655BA9C" w14:textId="77777777">
      <w:pPr>
        <w:ind w:left="720"/>
        <w:rPr>
          <w:rFonts w:asciiTheme="minorHAnsi" w:hAnsiTheme="minorHAnsi" w:cstheme="minorHAnsi"/>
          <w:szCs w:val="24"/>
        </w:rPr>
      </w:pPr>
    </w:p>
    <w:p w:rsidR="00FE508E" w:rsidP="00FE508E" w14:paraId="235224CD" w14:textId="77777777">
      <w:pPr>
        <w:ind w:left="720"/>
        <w:rPr>
          <w:rFonts w:asciiTheme="minorHAnsi" w:hAnsiTheme="minorHAnsi" w:cstheme="minorHAnsi"/>
          <w:szCs w:val="24"/>
        </w:rPr>
      </w:pPr>
      <w:r w:rsidRPr="00591712">
        <w:rPr>
          <w:rFonts w:asciiTheme="minorHAnsi" w:hAnsiTheme="minorHAnsi" w:cstheme="minorHAnsi"/>
          <w:szCs w:val="24"/>
        </w:rPr>
        <w:t xml:space="preserve">We estimate that it will take private institutions 9 hours (9 programs x 1 hour = 9) to develop and deliver the required warning based on the information provided by the Department.  </w:t>
      </w:r>
    </w:p>
    <w:p w:rsidR="00FE508E" w:rsidP="00FE508E" w14:paraId="2F680C31" w14:textId="77777777">
      <w:pPr>
        <w:ind w:left="720"/>
        <w:rPr>
          <w:rFonts w:asciiTheme="minorHAnsi" w:hAnsiTheme="minorHAnsi" w:cstheme="minorHAnsi"/>
          <w:szCs w:val="24"/>
        </w:rPr>
      </w:pPr>
    </w:p>
    <w:p w:rsidR="00FE508E" w:rsidP="00FE508E" w14:paraId="67CE7D21" w14:textId="77777777">
      <w:pPr>
        <w:ind w:left="720"/>
        <w:rPr>
          <w:rFonts w:asciiTheme="minorHAnsi" w:hAnsiTheme="minorHAnsi" w:cstheme="minorHAnsi"/>
          <w:szCs w:val="24"/>
        </w:rPr>
      </w:pPr>
      <w:r w:rsidRPr="00591712">
        <w:rPr>
          <w:rFonts w:asciiTheme="minorHAnsi" w:hAnsiTheme="minorHAnsi" w:cstheme="minorHAnsi"/>
          <w:szCs w:val="24"/>
        </w:rPr>
        <w:t xml:space="preserve">We estimate that it will take proprietary institutions 71 hours (71 programs x 1 hour = 71) to develop and deliver the required warning based on the information provided by the Department.  </w:t>
      </w:r>
    </w:p>
    <w:p w:rsidR="00FE508E" w:rsidP="00FE508E" w14:paraId="397C315F" w14:textId="77777777">
      <w:pPr>
        <w:ind w:left="720"/>
        <w:rPr>
          <w:rFonts w:asciiTheme="minorHAnsi" w:hAnsiTheme="minorHAnsi" w:cstheme="minorHAnsi"/>
          <w:szCs w:val="24"/>
        </w:rPr>
      </w:pPr>
    </w:p>
    <w:p w:rsidR="00FE508E" w:rsidP="00FE508E" w14:paraId="44E9A7C6" w14:textId="19CF1C45">
      <w:pPr>
        <w:ind w:left="720"/>
        <w:rPr>
          <w:rFonts w:asciiTheme="minorHAnsi" w:hAnsiTheme="minorHAnsi" w:cstheme="minorHAnsi"/>
          <w:szCs w:val="24"/>
        </w:rPr>
      </w:pPr>
      <w:r w:rsidRPr="00591712">
        <w:rPr>
          <w:rFonts w:asciiTheme="minorHAnsi" w:hAnsiTheme="minorHAnsi" w:cstheme="minorHAnsi"/>
          <w:szCs w:val="24"/>
        </w:rPr>
        <w:t>We estimate that it will take public institutions 2 hours (2 programs x 1 hour = 2) to develop and deliver the required warning based on the information provided by the Department.</w:t>
      </w:r>
    </w:p>
    <w:p w:rsidR="00FE508E" w:rsidRPr="00591712" w:rsidP="00962E6A" w14:paraId="1275C933" w14:textId="77777777">
      <w:pPr>
        <w:ind w:left="720"/>
        <w:rPr>
          <w:rFonts w:asciiTheme="minorHAnsi" w:hAnsiTheme="minorHAnsi" w:cstheme="minorHAnsi"/>
          <w:szCs w:val="24"/>
        </w:rPr>
      </w:pPr>
    </w:p>
    <w:p w:rsidR="00FE508E" w:rsidP="00FE508E" w14:paraId="52D61F76" w14:textId="5F5B2451">
      <w:pPr>
        <w:ind w:left="720"/>
        <w:rPr>
          <w:rFonts w:asciiTheme="minorHAnsi" w:hAnsiTheme="minorHAnsi" w:cstheme="minorHAnsi"/>
          <w:szCs w:val="24"/>
        </w:rPr>
      </w:pPr>
      <w:r w:rsidRPr="00591712">
        <w:rPr>
          <w:rFonts w:asciiTheme="minorHAnsi" w:hAnsiTheme="minorHAnsi" w:cstheme="minorHAnsi"/>
          <w:szCs w:val="24"/>
        </w:rPr>
        <w:t xml:space="preserve">The changes in </w:t>
      </w:r>
      <w:r w:rsidRPr="00591712">
        <w:rPr>
          <w:rFonts w:asciiTheme="minorHAnsi" w:eastAsiaTheme="minorEastAsia" w:hAnsiTheme="minorHAnsi" w:cstheme="minorHAnsi"/>
          <w:szCs w:val="24"/>
        </w:rPr>
        <w:t xml:space="preserve">§ </w:t>
      </w:r>
      <w:r w:rsidRPr="00591712">
        <w:rPr>
          <w:rFonts w:asciiTheme="minorHAnsi" w:hAnsiTheme="minorHAnsi" w:cstheme="minorHAnsi"/>
          <w:szCs w:val="24"/>
        </w:rPr>
        <w:t xml:space="preserve">668.605 (d) will require institutions to provide alternatives to the English-language warning notices to enrolled and prospective students with limited English proficiency. We believe that this action will require an estimated </w:t>
      </w:r>
      <w:r>
        <w:rPr>
          <w:rFonts w:asciiTheme="minorHAnsi" w:hAnsiTheme="minorHAnsi" w:cstheme="minorHAnsi"/>
          <w:szCs w:val="24"/>
        </w:rPr>
        <w:t>8</w:t>
      </w:r>
      <w:r w:rsidRPr="00591712">
        <w:rPr>
          <w:rFonts w:asciiTheme="minorHAnsi" w:hAnsiTheme="minorHAnsi" w:cstheme="minorHAnsi"/>
          <w:szCs w:val="24"/>
        </w:rPr>
        <w:t xml:space="preserve"> hour</w:t>
      </w:r>
      <w:r>
        <w:rPr>
          <w:rFonts w:asciiTheme="minorHAnsi" w:hAnsiTheme="minorHAnsi" w:cstheme="minorHAnsi"/>
          <w:szCs w:val="24"/>
        </w:rPr>
        <w:t>s</w:t>
      </w:r>
      <w:r w:rsidRPr="00591712">
        <w:rPr>
          <w:rFonts w:asciiTheme="minorHAnsi" w:hAnsiTheme="minorHAnsi" w:cstheme="minorHAnsi"/>
          <w:szCs w:val="24"/>
        </w:rPr>
        <w:t xml:space="preserve"> per affected program.  </w:t>
      </w:r>
    </w:p>
    <w:p w:rsidR="00FE508E" w:rsidRPr="00591712" w:rsidP="00962E6A" w14:paraId="7BEF8173" w14:textId="77777777">
      <w:pPr>
        <w:ind w:left="720"/>
        <w:rPr>
          <w:rFonts w:asciiTheme="minorHAnsi" w:hAnsiTheme="minorHAnsi" w:cstheme="minorHAnsi"/>
          <w:szCs w:val="24"/>
        </w:rPr>
      </w:pPr>
    </w:p>
    <w:p w:rsidR="00FE508E" w:rsidP="00FE508E" w14:paraId="4710E62F" w14:textId="77777777">
      <w:pPr>
        <w:ind w:left="720"/>
        <w:rPr>
          <w:rFonts w:asciiTheme="minorHAnsi" w:hAnsiTheme="minorHAnsi" w:cstheme="minorHAnsi"/>
          <w:szCs w:val="24"/>
        </w:rPr>
      </w:pPr>
      <w:r w:rsidRPr="00591712">
        <w:rPr>
          <w:rFonts w:asciiTheme="minorHAnsi" w:hAnsiTheme="minorHAnsi" w:cstheme="minorHAnsi"/>
          <w:szCs w:val="24"/>
        </w:rPr>
        <w:t xml:space="preserve">We estimate that it will take private institutions 72 hours (9 programs x 8 hours = 72) to develop and deliver the required alternate language the required warning based on the information provided by the Department.  </w:t>
      </w:r>
    </w:p>
    <w:p w:rsidR="00FE508E" w:rsidP="00FE508E" w14:paraId="6C91FF95" w14:textId="77777777">
      <w:pPr>
        <w:ind w:left="720"/>
        <w:rPr>
          <w:rFonts w:asciiTheme="minorHAnsi" w:hAnsiTheme="minorHAnsi" w:cstheme="minorHAnsi"/>
          <w:szCs w:val="24"/>
        </w:rPr>
      </w:pPr>
    </w:p>
    <w:p w:rsidR="00FE508E" w:rsidP="00FE508E" w14:paraId="44A1F8B5" w14:textId="77777777">
      <w:pPr>
        <w:ind w:left="720"/>
        <w:rPr>
          <w:rFonts w:asciiTheme="minorHAnsi" w:hAnsiTheme="minorHAnsi" w:cstheme="minorHAnsi"/>
          <w:szCs w:val="24"/>
        </w:rPr>
      </w:pPr>
      <w:r w:rsidRPr="00591712">
        <w:rPr>
          <w:rFonts w:asciiTheme="minorHAnsi" w:hAnsiTheme="minorHAnsi" w:cstheme="minorHAnsi"/>
          <w:szCs w:val="24"/>
        </w:rPr>
        <w:t xml:space="preserve">We estimate that it will take proprietary institutions 568 hours (71 programs x 8 hours = 568) to develop and deliver the required alternate language the required warning based on the information provided by the Department.  </w:t>
      </w:r>
    </w:p>
    <w:p w:rsidR="00FE508E" w:rsidP="00FE508E" w14:paraId="34CF9917" w14:textId="77777777">
      <w:pPr>
        <w:ind w:left="720"/>
        <w:rPr>
          <w:rFonts w:asciiTheme="minorHAnsi" w:hAnsiTheme="minorHAnsi" w:cstheme="minorHAnsi"/>
          <w:szCs w:val="24"/>
        </w:rPr>
      </w:pPr>
    </w:p>
    <w:p w:rsidR="00FE508E" w:rsidP="00FE508E" w14:paraId="7B81C51C" w14:textId="2FC9D875">
      <w:pPr>
        <w:ind w:left="720"/>
        <w:rPr>
          <w:rFonts w:asciiTheme="minorHAnsi" w:hAnsiTheme="minorHAnsi" w:cstheme="minorHAnsi"/>
          <w:szCs w:val="24"/>
        </w:rPr>
      </w:pPr>
      <w:r w:rsidRPr="00591712">
        <w:rPr>
          <w:rFonts w:asciiTheme="minorHAnsi" w:hAnsiTheme="minorHAnsi" w:cstheme="minorHAnsi"/>
          <w:szCs w:val="24"/>
        </w:rPr>
        <w:t>We estimate that it will take public institutions 16 hours (2 programs x 8 hours = 16) to develop and deliver the required warning based on the information provided by the Department.</w:t>
      </w:r>
    </w:p>
    <w:p w:rsidR="00FE508E" w:rsidRPr="00591712" w:rsidP="00962E6A" w14:paraId="6D81BE9E" w14:textId="77777777">
      <w:pPr>
        <w:ind w:left="720"/>
        <w:rPr>
          <w:rFonts w:asciiTheme="minorHAnsi" w:hAnsiTheme="minorHAnsi" w:cstheme="minorHAnsi"/>
          <w:szCs w:val="24"/>
        </w:rPr>
      </w:pPr>
    </w:p>
    <w:p w:rsidR="00FE508E" w:rsidP="00FE508E" w14:paraId="7DF7607E" w14:textId="77777777">
      <w:pPr>
        <w:ind w:left="720"/>
        <w:rPr>
          <w:rFonts w:asciiTheme="minorHAnsi" w:hAnsiTheme="minorHAnsi" w:cstheme="minorHAnsi"/>
          <w:szCs w:val="24"/>
        </w:rPr>
      </w:pPr>
      <w:r w:rsidRPr="00591712">
        <w:rPr>
          <w:rFonts w:asciiTheme="minorHAnsi" w:hAnsiTheme="minorHAnsi" w:cstheme="minorHAnsi"/>
          <w:szCs w:val="24"/>
        </w:rPr>
        <w:t xml:space="preserve">The final changes in </w:t>
      </w:r>
      <w:r w:rsidRPr="00591712">
        <w:rPr>
          <w:rFonts w:asciiTheme="minorHAnsi" w:eastAsiaTheme="minorEastAsia" w:hAnsiTheme="minorHAnsi" w:cstheme="minorHAnsi"/>
          <w:szCs w:val="24"/>
        </w:rPr>
        <w:t xml:space="preserve">§ </w:t>
      </w:r>
      <w:r w:rsidRPr="00591712">
        <w:rPr>
          <w:rFonts w:asciiTheme="minorHAnsi" w:hAnsiTheme="minorHAnsi" w:cstheme="minorHAnsi"/>
          <w:szCs w:val="24"/>
        </w:rPr>
        <w:t xml:space="preserve">668.605 (e) will require institutions to provide the warning notices to students enrolled in the GE programs with failing metrics.  </w:t>
      </w:r>
    </w:p>
    <w:p w:rsidR="00FE508E" w:rsidP="00FE508E" w14:paraId="0BD70232" w14:textId="77777777">
      <w:pPr>
        <w:ind w:left="720"/>
        <w:rPr>
          <w:rFonts w:asciiTheme="minorHAnsi" w:hAnsiTheme="minorHAnsi" w:cstheme="minorHAnsi"/>
          <w:szCs w:val="24"/>
        </w:rPr>
      </w:pPr>
    </w:p>
    <w:p w:rsidR="00FE508E" w:rsidP="00FE508E" w14:paraId="3C73BBCF" w14:textId="19C73F60">
      <w:pPr>
        <w:ind w:left="720"/>
        <w:rPr>
          <w:rFonts w:asciiTheme="minorHAnsi" w:hAnsiTheme="minorHAnsi" w:cstheme="minorHAnsi"/>
          <w:szCs w:val="24"/>
        </w:rPr>
      </w:pPr>
      <w:r w:rsidRPr="00591712">
        <w:rPr>
          <w:rFonts w:asciiTheme="minorHAnsi" w:hAnsiTheme="minorHAnsi" w:cstheme="minorHAnsi"/>
          <w:szCs w:val="24"/>
        </w:rPr>
        <w:t>We estimate that it will take the 60,700 students 10 minutes to read the warning and go to the program information website to acknowledge receiving the information for a total of 10,319 hours (60,700 students x .17 hours = 10,319).</w:t>
      </w:r>
    </w:p>
    <w:p w:rsidR="00FE508E" w:rsidP="00FE508E" w14:paraId="09B602FD" w14:textId="77777777">
      <w:pPr>
        <w:ind w:left="720"/>
        <w:rPr>
          <w:rFonts w:asciiTheme="minorHAnsi" w:hAnsiTheme="minorHAnsi" w:cstheme="minorHAnsi"/>
          <w:szCs w:val="24"/>
        </w:rPr>
      </w:pPr>
    </w:p>
    <w:p w:rsidR="00FE508E" w:rsidP="00FE508E" w14:paraId="781BF0F8" w14:textId="77777777">
      <w:pPr>
        <w:ind w:left="720"/>
        <w:rPr>
          <w:rFonts w:asciiTheme="minorHAnsi" w:hAnsiTheme="minorHAnsi" w:cstheme="minorHAnsi"/>
          <w:szCs w:val="24"/>
        </w:rPr>
      </w:pPr>
      <w:r w:rsidRPr="00591712">
        <w:rPr>
          <w:rFonts w:asciiTheme="minorHAnsi" w:hAnsiTheme="minorHAnsi" w:cstheme="minorHAnsi"/>
          <w:szCs w:val="24"/>
        </w:rPr>
        <w:t xml:space="preserve">The changes in </w:t>
      </w:r>
      <w:r w:rsidRPr="00591712">
        <w:rPr>
          <w:rFonts w:asciiTheme="minorHAnsi" w:eastAsiaTheme="minorEastAsia" w:hAnsiTheme="minorHAnsi" w:cstheme="minorHAnsi"/>
          <w:szCs w:val="24"/>
        </w:rPr>
        <w:t xml:space="preserve">§ </w:t>
      </w:r>
      <w:r w:rsidRPr="00591712">
        <w:rPr>
          <w:rFonts w:asciiTheme="minorHAnsi" w:hAnsiTheme="minorHAnsi" w:cstheme="minorHAnsi"/>
          <w:szCs w:val="24"/>
        </w:rPr>
        <w:t xml:space="preserve">668.605 (f) will require institutions to provide the warning notices to prospective students who express interest in the effected GE programs.  </w:t>
      </w:r>
    </w:p>
    <w:p w:rsidR="00FE508E" w:rsidP="00FE508E" w14:paraId="28D76640" w14:textId="77777777">
      <w:pPr>
        <w:ind w:left="720"/>
        <w:rPr>
          <w:rFonts w:asciiTheme="minorHAnsi" w:hAnsiTheme="minorHAnsi" w:cstheme="minorHAnsi"/>
          <w:szCs w:val="24"/>
        </w:rPr>
      </w:pPr>
    </w:p>
    <w:p w:rsidR="00FE508E" w:rsidP="00FE508E" w14:paraId="3EF8B8C2" w14:textId="6C8E4419">
      <w:pPr>
        <w:ind w:left="720"/>
        <w:rPr>
          <w:rFonts w:asciiTheme="minorHAnsi" w:hAnsiTheme="minorHAnsi" w:cstheme="minorHAnsi"/>
          <w:szCs w:val="24"/>
        </w:rPr>
      </w:pPr>
      <w:r w:rsidRPr="00591712">
        <w:rPr>
          <w:rFonts w:asciiTheme="minorHAnsi" w:hAnsiTheme="minorHAnsi" w:cstheme="minorHAnsi"/>
          <w:szCs w:val="24"/>
        </w:rPr>
        <w:t>We estimate that it will take the 69,805 prospective students 10 minutes to read the warning and go to the program information website to acknowledge receiving the information for a total of 11,867 hours (69,805 students x .17 hours = 11,867).</w:t>
      </w:r>
    </w:p>
    <w:p w:rsidR="00FE508E" w:rsidP="00FE508E" w14:paraId="018559D4" w14:textId="77777777">
      <w:pPr>
        <w:rPr>
          <w:rFonts w:asciiTheme="minorHAnsi" w:hAnsiTheme="minorHAnsi" w:cstheme="minorHAnsi"/>
          <w:szCs w:val="24"/>
        </w:rPr>
      </w:pPr>
    </w:p>
    <w:p w:rsidR="00FE508E" w:rsidRPr="00591712" w:rsidP="00962E6A" w14:paraId="66D4CC08" w14:textId="15ABF93D">
      <w:pPr>
        <w:ind w:left="720"/>
        <w:rPr>
          <w:rFonts w:asciiTheme="minorHAnsi" w:hAnsiTheme="minorHAnsi" w:cstheme="minorHAnsi"/>
          <w:szCs w:val="24"/>
        </w:rPr>
      </w:pPr>
      <w:r w:rsidRPr="00591712">
        <w:rPr>
          <w:rFonts w:asciiTheme="minorHAnsi" w:hAnsiTheme="minorHAnsi" w:cstheme="minorHAnsi"/>
          <w:szCs w:val="24"/>
        </w:rPr>
        <w:t xml:space="preserve">The total estimated increase in burden to OMB Control Number 1845-0173 for </w:t>
      </w:r>
      <w:r w:rsidRPr="00591712">
        <w:rPr>
          <w:rFonts w:asciiTheme="minorHAnsi" w:eastAsiaTheme="minorEastAsia" w:hAnsiTheme="minorHAnsi" w:cstheme="minorHAnsi"/>
          <w:szCs w:val="24"/>
        </w:rPr>
        <w:t xml:space="preserve">§ </w:t>
      </w:r>
      <w:r w:rsidRPr="00591712">
        <w:rPr>
          <w:rFonts w:asciiTheme="minorHAnsi" w:hAnsiTheme="minorHAnsi" w:cstheme="minorHAnsi"/>
          <w:szCs w:val="24"/>
        </w:rPr>
        <w:t>668.605 is 22,924 hours with a total rounded estimated cost of $529,322.</w:t>
      </w:r>
    </w:p>
    <w:p w:rsidR="00565EA8" w:rsidP="00EF4C67" w14:paraId="7948659D" w14:textId="4ACFA06E">
      <w:pPr>
        <w:tabs>
          <w:tab w:val="left" w:pos="-720"/>
        </w:tabs>
        <w:suppressAutoHyphens/>
        <w:ind w:left="1080"/>
        <w:rPr>
          <w:rFonts w:asciiTheme="minorHAnsi" w:hAnsiTheme="minorHAnsi" w:cstheme="minorHAnsi"/>
          <w:szCs w:val="24"/>
        </w:rPr>
      </w:pPr>
    </w:p>
    <w:p w:rsidR="00565EA8" w:rsidRPr="00AF10E0" w:rsidP="00565EA8" w14:paraId="1723D4B2" w14:textId="42816702">
      <w:pPr>
        <w:pStyle w:val="ListParagraph"/>
        <w:tabs>
          <w:tab w:val="left" w:pos="-720"/>
        </w:tabs>
        <w:suppressAutoHyphens/>
        <w:rPr>
          <w:rFonts w:asciiTheme="minorHAnsi" w:hAnsiTheme="minorHAnsi" w:cstheme="minorHAnsi"/>
          <w:szCs w:val="24"/>
        </w:rPr>
      </w:pPr>
      <w:bookmarkStart w:id="1" w:name="_Hlk118704198"/>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w:t>
      </w:r>
      <w:r>
        <w:rPr>
          <w:rFonts w:asciiTheme="minorHAnsi" w:hAnsiTheme="minorHAnsi" w:cstheme="minorHAnsi"/>
        </w:rPr>
        <w:t>For individuals we have used the median hourly wage for all occupations, $22</w:t>
      </w:r>
      <w:r w:rsidR="00FE508E">
        <w:rPr>
          <w:rFonts w:asciiTheme="minorHAnsi" w:hAnsiTheme="minorHAnsi" w:cstheme="minorHAnsi"/>
        </w:rPr>
        <w:t>.</w:t>
      </w:r>
      <w:r w:rsidR="00C336E5">
        <w:rPr>
          <w:rFonts w:asciiTheme="minorHAnsi" w:hAnsiTheme="minorHAnsi" w:cstheme="minorHAnsi"/>
        </w:rPr>
        <w:t>26</w:t>
      </w:r>
      <w:r>
        <w:rPr>
          <w:rFonts w:asciiTheme="minorHAnsi" w:hAnsiTheme="minorHAnsi" w:cstheme="minorHAnsi"/>
        </w:rPr>
        <w:t xml:space="preserve"> per hour according to BLS.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xml:space="preserve"> .  </w:t>
      </w:r>
      <w:bookmarkEnd w:id="1"/>
      <w:r>
        <w:rPr>
          <w:rFonts w:asciiTheme="minorHAnsi" w:hAnsiTheme="minorHAnsi" w:cstheme="minorHAnsi"/>
        </w:rPr>
        <w:t>For institutions we have used the median hourly wage for Education Administrators, Postsecondary, $</w:t>
      </w:r>
      <w:r w:rsidR="00C336E5">
        <w:rPr>
          <w:rFonts w:asciiTheme="minorHAnsi" w:hAnsiTheme="minorHAnsi" w:cstheme="minorHAnsi"/>
        </w:rPr>
        <w:t>48.05</w:t>
      </w:r>
      <w:r>
        <w:rPr>
          <w:rFonts w:asciiTheme="minorHAnsi" w:hAnsiTheme="minorHAnsi" w:cstheme="minorHAnsi"/>
        </w:rPr>
        <w:t xml:space="preserve"> per hour according to BLS. </w:t>
      </w:r>
      <w:hyperlink r:id="rId11"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565EA8" w:rsidP="00EF4C67" w14:paraId="1A4A7953" w14:textId="77777777">
      <w:pPr>
        <w:tabs>
          <w:tab w:val="left" w:pos="-720"/>
        </w:tabs>
        <w:suppressAutoHyphens/>
        <w:ind w:left="1080"/>
        <w:rPr>
          <w:rFonts w:asciiTheme="minorHAnsi" w:hAnsiTheme="minorHAnsi" w:cstheme="minorHAnsi"/>
          <w:szCs w:val="24"/>
        </w:rPr>
      </w:pPr>
    </w:p>
    <w:p w:rsidR="00565EA8" w:rsidRPr="00FB6309" w:rsidP="00962E6A" w14:paraId="4F63AF27" w14:textId="77777777">
      <w:pPr>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0255" w:type="dxa"/>
        <w:tblLayout w:type="fixed"/>
        <w:tblLook w:val="0020"/>
      </w:tblPr>
      <w:tblGrid>
        <w:gridCol w:w="1345"/>
        <w:gridCol w:w="1275"/>
        <w:gridCol w:w="1245"/>
        <w:gridCol w:w="1335"/>
        <w:gridCol w:w="1725"/>
        <w:gridCol w:w="1530"/>
        <w:gridCol w:w="1800"/>
      </w:tblGrid>
      <w:tr w14:paraId="30194A75" w14:textId="77777777" w:rsidTr="00314A28">
        <w:tblPrEx>
          <w:tblW w:w="1025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725"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305E78">
        <w:tblPrEx>
          <w:tblW w:w="10255" w:type="dxa"/>
          <w:tblLayout w:type="fixed"/>
          <w:tblLook w:val="0020"/>
        </w:tblPrEx>
        <w:tc>
          <w:tcPr>
            <w:tcW w:w="1345" w:type="dxa"/>
          </w:tcPr>
          <w:p w:rsidR="00314A28" w:rsidRPr="009C37AF" w:rsidP="00314A28"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vAlign w:val="bottom"/>
          </w:tcPr>
          <w:p w:rsidR="00314A28" w:rsidRPr="00B938DC" w:rsidP="00314A28" w14:paraId="55A5A72E" w14:textId="35793197">
            <w:pPr>
              <w:jc w:val="right"/>
              <w:rPr>
                <w:rFonts w:asciiTheme="minorHAnsi" w:hAnsiTheme="minorHAnsi" w:cstheme="minorHAnsi"/>
                <w:szCs w:val="24"/>
              </w:rPr>
            </w:pPr>
            <w:r>
              <w:rPr>
                <w:rFonts w:asciiTheme="minorHAnsi" w:hAnsiTheme="minorHAnsi" w:cstheme="minorHAnsi"/>
                <w:color w:val="000000"/>
                <w:szCs w:val="24"/>
              </w:rPr>
              <w:t>130,505</w:t>
            </w:r>
          </w:p>
        </w:tc>
        <w:tc>
          <w:tcPr>
            <w:tcW w:w="1245" w:type="dxa"/>
            <w:vAlign w:val="bottom"/>
          </w:tcPr>
          <w:p w:rsidR="00314A28" w:rsidRPr="00B938DC" w:rsidP="00314A28" w14:paraId="4F0B7217" w14:textId="78ED5A65">
            <w:pPr>
              <w:jc w:val="right"/>
              <w:rPr>
                <w:rFonts w:asciiTheme="minorHAnsi" w:hAnsiTheme="minorHAnsi" w:cstheme="minorHAnsi"/>
                <w:szCs w:val="24"/>
              </w:rPr>
            </w:pPr>
            <w:r>
              <w:rPr>
                <w:rFonts w:asciiTheme="minorHAnsi" w:hAnsiTheme="minorHAnsi" w:cstheme="minorHAnsi"/>
                <w:color w:val="000000"/>
                <w:szCs w:val="24"/>
              </w:rPr>
              <w:t>130,505</w:t>
            </w:r>
          </w:p>
        </w:tc>
        <w:tc>
          <w:tcPr>
            <w:tcW w:w="1335" w:type="dxa"/>
            <w:vAlign w:val="bottom"/>
          </w:tcPr>
          <w:p w:rsidR="00314A28" w:rsidRPr="00B938DC" w:rsidP="00314A28" w14:paraId="0524C928" w14:textId="219D0D42">
            <w:pPr>
              <w:jc w:val="right"/>
              <w:rPr>
                <w:rFonts w:asciiTheme="minorHAnsi" w:hAnsiTheme="minorHAnsi" w:cstheme="minorHAnsi"/>
                <w:szCs w:val="24"/>
              </w:rPr>
            </w:pPr>
            <w:r>
              <w:rPr>
                <w:rFonts w:asciiTheme="minorHAnsi" w:hAnsiTheme="minorHAnsi" w:cstheme="minorHAnsi"/>
                <w:szCs w:val="24"/>
              </w:rPr>
              <w:t>.17</w:t>
            </w:r>
          </w:p>
        </w:tc>
        <w:tc>
          <w:tcPr>
            <w:tcW w:w="1725" w:type="dxa"/>
            <w:vAlign w:val="bottom"/>
          </w:tcPr>
          <w:p w:rsidR="00314A28" w:rsidRPr="00B938DC" w:rsidP="00314A28" w14:paraId="6F45AD1D" w14:textId="4472188A">
            <w:pPr>
              <w:jc w:val="right"/>
              <w:rPr>
                <w:rFonts w:asciiTheme="minorHAnsi" w:hAnsiTheme="minorHAnsi" w:cstheme="minorHAnsi"/>
                <w:szCs w:val="24"/>
              </w:rPr>
            </w:pPr>
            <w:r>
              <w:rPr>
                <w:rFonts w:asciiTheme="minorHAnsi" w:hAnsiTheme="minorHAnsi" w:cstheme="minorHAnsi"/>
                <w:color w:val="000000"/>
                <w:szCs w:val="24"/>
              </w:rPr>
              <w:t>22,186</w:t>
            </w:r>
          </w:p>
        </w:tc>
        <w:tc>
          <w:tcPr>
            <w:tcW w:w="1530" w:type="dxa"/>
            <w:vAlign w:val="bottom"/>
          </w:tcPr>
          <w:p w:rsidR="00314A28" w:rsidRPr="00B938DC" w:rsidP="00314A28" w14:paraId="5F0F2A78" w14:textId="73806F66">
            <w:pPr>
              <w:jc w:val="right"/>
              <w:rPr>
                <w:rFonts w:asciiTheme="minorHAnsi" w:hAnsiTheme="minorHAnsi" w:cstheme="minorHAnsi"/>
                <w:szCs w:val="24"/>
              </w:rPr>
            </w:pPr>
            <w:r>
              <w:rPr>
                <w:rFonts w:asciiTheme="minorHAnsi" w:hAnsiTheme="minorHAnsi" w:cstheme="minorHAnsi"/>
                <w:szCs w:val="24"/>
              </w:rPr>
              <w:t>$22.</w:t>
            </w:r>
            <w:r w:rsidR="00C336E5">
              <w:rPr>
                <w:rFonts w:asciiTheme="minorHAnsi" w:hAnsiTheme="minorHAnsi" w:cstheme="minorHAnsi"/>
                <w:szCs w:val="24"/>
              </w:rPr>
              <w:t>26</w:t>
            </w:r>
          </w:p>
        </w:tc>
        <w:tc>
          <w:tcPr>
            <w:tcW w:w="1800" w:type="dxa"/>
            <w:vAlign w:val="bottom"/>
          </w:tcPr>
          <w:p w:rsidR="00314A28" w:rsidRPr="00B938DC" w:rsidP="00314A28" w14:paraId="63DD1E06" w14:textId="0122F987">
            <w:pPr>
              <w:jc w:val="right"/>
              <w:rPr>
                <w:rFonts w:asciiTheme="minorHAnsi" w:hAnsiTheme="minorHAnsi" w:cstheme="minorHAnsi"/>
                <w:szCs w:val="24"/>
              </w:rPr>
            </w:pPr>
            <w:r>
              <w:rPr>
                <w:rFonts w:asciiTheme="minorHAnsi" w:hAnsiTheme="minorHAnsi" w:cstheme="minorHAnsi"/>
                <w:color w:val="000000"/>
                <w:szCs w:val="24"/>
              </w:rPr>
              <w:t>$</w:t>
            </w:r>
            <w:r w:rsidR="00C336E5">
              <w:rPr>
                <w:rFonts w:asciiTheme="minorHAnsi" w:hAnsiTheme="minorHAnsi" w:cstheme="minorHAnsi"/>
                <w:color w:val="000000"/>
                <w:szCs w:val="24"/>
              </w:rPr>
              <w:t>493,860</w:t>
            </w:r>
          </w:p>
        </w:tc>
      </w:tr>
      <w:tr w14:paraId="0E729D89" w14:textId="77777777" w:rsidTr="00305E78">
        <w:tblPrEx>
          <w:tblW w:w="10255" w:type="dxa"/>
          <w:tblLayout w:type="fixed"/>
          <w:tblLook w:val="0020"/>
        </w:tblPrEx>
        <w:tc>
          <w:tcPr>
            <w:tcW w:w="1345" w:type="dxa"/>
          </w:tcPr>
          <w:p w:rsidR="00314A28" w:rsidRPr="009C37AF" w:rsidP="00314A28"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vAlign w:val="bottom"/>
          </w:tcPr>
          <w:p w:rsidR="00314A28" w:rsidRPr="00B938DC" w:rsidP="00314A28" w14:paraId="2DD92A89" w14:textId="313B44C2">
            <w:pPr>
              <w:jc w:val="right"/>
              <w:rPr>
                <w:rFonts w:asciiTheme="minorHAnsi" w:hAnsiTheme="minorHAnsi" w:cstheme="minorHAnsi"/>
                <w:szCs w:val="24"/>
              </w:rPr>
            </w:pPr>
            <w:r>
              <w:rPr>
                <w:rFonts w:asciiTheme="minorHAnsi" w:hAnsiTheme="minorHAnsi" w:cstheme="minorHAnsi"/>
                <w:color w:val="000000"/>
                <w:szCs w:val="24"/>
              </w:rPr>
              <w:t>9</w:t>
            </w:r>
          </w:p>
        </w:tc>
        <w:tc>
          <w:tcPr>
            <w:tcW w:w="1245" w:type="dxa"/>
            <w:vAlign w:val="bottom"/>
          </w:tcPr>
          <w:p w:rsidR="00314A28" w:rsidRPr="00B938DC" w:rsidP="00314A28" w14:paraId="7F418FD3" w14:textId="5367FAF0">
            <w:pPr>
              <w:jc w:val="right"/>
              <w:rPr>
                <w:rFonts w:asciiTheme="minorHAnsi" w:hAnsiTheme="minorHAnsi" w:cstheme="minorHAnsi"/>
                <w:szCs w:val="24"/>
              </w:rPr>
            </w:pPr>
            <w:r>
              <w:rPr>
                <w:rFonts w:asciiTheme="minorHAnsi" w:hAnsiTheme="minorHAnsi" w:cstheme="minorHAnsi"/>
                <w:color w:val="000000"/>
                <w:szCs w:val="24"/>
              </w:rPr>
              <w:t>18</w:t>
            </w:r>
          </w:p>
        </w:tc>
        <w:tc>
          <w:tcPr>
            <w:tcW w:w="1335" w:type="dxa"/>
            <w:vAlign w:val="bottom"/>
          </w:tcPr>
          <w:p w:rsidR="00314A28" w:rsidRPr="00B938DC" w:rsidP="00314A28" w14:paraId="11378B7D" w14:textId="27B1B1D2">
            <w:pPr>
              <w:jc w:val="right"/>
              <w:rPr>
                <w:rFonts w:asciiTheme="minorHAnsi" w:hAnsiTheme="minorHAnsi" w:cstheme="minorHAnsi"/>
                <w:szCs w:val="24"/>
              </w:rPr>
            </w:pPr>
            <w:r>
              <w:rPr>
                <w:rFonts w:asciiTheme="minorHAnsi" w:hAnsiTheme="minorHAnsi" w:cstheme="minorHAnsi"/>
                <w:szCs w:val="24"/>
              </w:rPr>
              <w:t>See above</w:t>
            </w:r>
          </w:p>
        </w:tc>
        <w:tc>
          <w:tcPr>
            <w:tcW w:w="1725" w:type="dxa"/>
            <w:vAlign w:val="bottom"/>
          </w:tcPr>
          <w:p w:rsidR="00314A28" w:rsidRPr="00B938DC" w:rsidP="00314A28" w14:paraId="1AEEFB60" w14:textId="29CBC40C">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color w:val="000000"/>
                <w:szCs w:val="24"/>
              </w:rPr>
              <w:t>81</w:t>
            </w:r>
          </w:p>
        </w:tc>
        <w:tc>
          <w:tcPr>
            <w:tcW w:w="1530" w:type="dxa"/>
            <w:vAlign w:val="bottom"/>
          </w:tcPr>
          <w:p w:rsidR="00314A28" w:rsidRPr="00B938DC" w:rsidP="00314A28" w14:paraId="5D2E57DB" w14:textId="4DC14A0A">
            <w:pPr>
              <w:jc w:val="right"/>
              <w:rPr>
                <w:rFonts w:asciiTheme="minorHAnsi" w:hAnsiTheme="minorHAnsi" w:cstheme="minorHAnsi"/>
                <w:szCs w:val="24"/>
              </w:rPr>
            </w:pPr>
            <w:r>
              <w:rPr>
                <w:rFonts w:asciiTheme="minorHAnsi" w:hAnsiTheme="minorHAnsi" w:cstheme="minorHAnsi"/>
                <w:szCs w:val="24"/>
              </w:rPr>
              <w:t>$</w:t>
            </w:r>
            <w:r w:rsidR="00C336E5">
              <w:rPr>
                <w:rFonts w:asciiTheme="minorHAnsi" w:hAnsiTheme="minorHAnsi" w:cstheme="minorHAnsi"/>
                <w:szCs w:val="24"/>
              </w:rPr>
              <w:t>48.05</w:t>
            </w:r>
          </w:p>
        </w:tc>
        <w:tc>
          <w:tcPr>
            <w:tcW w:w="1800" w:type="dxa"/>
            <w:vAlign w:val="bottom"/>
          </w:tcPr>
          <w:p w:rsidR="00314A28" w:rsidRPr="00B938DC" w:rsidP="00314A28" w14:paraId="55ED5F6C" w14:textId="3B59E349">
            <w:pPr>
              <w:jc w:val="right"/>
              <w:rPr>
                <w:rFonts w:asciiTheme="minorHAnsi" w:hAnsiTheme="minorHAnsi" w:cstheme="minorHAnsi"/>
                <w:szCs w:val="24"/>
              </w:rPr>
            </w:pPr>
            <w:r w:rsidRPr="00A376F4">
              <w:rPr>
                <w:rFonts w:asciiTheme="minorHAnsi" w:hAnsiTheme="minorHAnsi" w:cstheme="minorHAnsi"/>
                <w:color w:val="000000"/>
                <w:szCs w:val="24"/>
              </w:rPr>
              <w:t>$</w:t>
            </w:r>
            <w:r w:rsidR="00C336E5">
              <w:rPr>
                <w:rFonts w:asciiTheme="minorHAnsi" w:hAnsiTheme="minorHAnsi" w:cstheme="minorHAnsi"/>
                <w:color w:val="000000"/>
                <w:szCs w:val="24"/>
              </w:rPr>
              <w:t>3,893</w:t>
            </w:r>
          </w:p>
        </w:tc>
      </w:tr>
      <w:tr w14:paraId="3613CD1F" w14:textId="77777777" w:rsidTr="00305E78">
        <w:tblPrEx>
          <w:tblW w:w="10255" w:type="dxa"/>
          <w:tblLayout w:type="fixed"/>
          <w:tblLook w:val="0020"/>
        </w:tblPrEx>
        <w:tc>
          <w:tcPr>
            <w:tcW w:w="1345" w:type="dxa"/>
          </w:tcPr>
          <w:p w:rsidR="00314A28" w:rsidRPr="009C37AF" w:rsidP="00314A28"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vAlign w:val="bottom"/>
          </w:tcPr>
          <w:p w:rsidR="00314A28" w:rsidRPr="00B938DC" w:rsidP="00314A28" w14:paraId="5E785442" w14:textId="04398178">
            <w:pPr>
              <w:jc w:val="right"/>
              <w:rPr>
                <w:rFonts w:asciiTheme="minorHAnsi" w:hAnsiTheme="minorHAnsi" w:cstheme="minorHAnsi"/>
                <w:szCs w:val="24"/>
              </w:rPr>
            </w:pPr>
            <w:r>
              <w:rPr>
                <w:rFonts w:asciiTheme="minorHAnsi" w:hAnsiTheme="minorHAnsi" w:cstheme="minorHAnsi"/>
                <w:color w:val="000000"/>
                <w:szCs w:val="24"/>
              </w:rPr>
              <w:t>71</w:t>
            </w:r>
          </w:p>
        </w:tc>
        <w:tc>
          <w:tcPr>
            <w:tcW w:w="1245" w:type="dxa"/>
            <w:vAlign w:val="bottom"/>
          </w:tcPr>
          <w:p w:rsidR="00314A28" w:rsidRPr="00B938DC" w:rsidP="00314A28" w14:paraId="49455BBE" w14:textId="77C79B7B">
            <w:pPr>
              <w:jc w:val="right"/>
              <w:rPr>
                <w:rFonts w:asciiTheme="minorHAnsi" w:hAnsiTheme="minorHAnsi" w:cstheme="minorHAnsi"/>
                <w:szCs w:val="24"/>
              </w:rPr>
            </w:pPr>
            <w:r>
              <w:rPr>
                <w:rFonts w:asciiTheme="minorHAnsi" w:hAnsiTheme="minorHAnsi" w:cstheme="minorHAnsi"/>
                <w:color w:val="000000"/>
                <w:szCs w:val="24"/>
              </w:rPr>
              <w:t>142</w:t>
            </w:r>
          </w:p>
        </w:tc>
        <w:tc>
          <w:tcPr>
            <w:tcW w:w="1335" w:type="dxa"/>
            <w:vAlign w:val="bottom"/>
          </w:tcPr>
          <w:p w:rsidR="00314A28" w:rsidRPr="00B938DC" w:rsidP="00314A28" w14:paraId="04DD53DB" w14:textId="7491A8CD">
            <w:pPr>
              <w:jc w:val="right"/>
              <w:rPr>
                <w:rFonts w:asciiTheme="minorHAnsi" w:hAnsiTheme="minorHAnsi" w:cstheme="minorHAnsi"/>
                <w:szCs w:val="24"/>
              </w:rPr>
            </w:pPr>
            <w:r>
              <w:rPr>
                <w:rFonts w:asciiTheme="minorHAnsi" w:hAnsiTheme="minorHAnsi" w:cstheme="minorHAnsi"/>
                <w:szCs w:val="24"/>
              </w:rPr>
              <w:t>See above</w:t>
            </w:r>
          </w:p>
        </w:tc>
        <w:tc>
          <w:tcPr>
            <w:tcW w:w="1725" w:type="dxa"/>
            <w:vAlign w:val="bottom"/>
          </w:tcPr>
          <w:p w:rsidR="00314A28" w:rsidRPr="00B938DC" w:rsidP="00314A28" w14:paraId="39E6A524" w14:textId="7E3CC1B6">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color w:val="000000"/>
                <w:szCs w:val="24"/>
              </w:rPr>
              <w:t>639</w:t>
            </w:r>
          </w:p>
        </w:tc>
        <w:tc>
          <w:tcPr>
            <w:tcW w:w="1530" w:type="dxa"/>
            <w:vAlign w:val="bottom"/>
          </w:tcPr>
          <w:p w:rsidR="00314A28" w:rsidRPr="00B938DC" w:rsidP="00314A28" w14:paraId="605A32D6" w14:textId="3C00C7E8">
            <w:pPr>
              <w:jc w:val="right"/>
              <w:rPr>
                <w:rFonts w:asciiTheme="minorHAnsi" w:hAnsiTheme="minorHAnsi" w:cstheme="minorHAnsi"/>
                <w:szCs w:val="24"/>
              </w:rPr>
            </w:pPr>
            <w:r>
              <w:rPr>
                <w:rFonts w:asciiTheme="minorHAnsi" w:hAnsiTheme="minorHAnsi" w:cstheme="minorHAnsi"/>
                <w:szCs w:val="24"/>
              </w:rPr>
              <w:t>$</w:t>
            </w:r>
            <w:r w:rsidR="00C336E5">
              <w:rPr>
                <w:rFonts w:asciiTheme="minorHAnsi" w:hAnsiTheme="minorHAnsi" w:cstheme="minorHAnsi"/>
                <w:szCs w:val="24"/>
              </w:rPr>
              <w:t>48.05</w:t>
            </w:r>
          </w:p>
        </w:tc>
        <w:tc>
          <w:tcPr>
            <w:tcW w:w="1800" w:type="dxa"/>
            <w:vAlign w:val="bottom"/>
          </w:tcPr>
          <w:p w:rsidR="00314A28" w:rsidRPr="00B938DC" w:rsidP="00314A28" w14:paraId="7F5D36FF" w14:textId="13F9C5C7">
            <w:pPr>
              <w:jc w:val="right"/>
              <w:rPr>
                <w:rFonts w:asciiTheme="minorHAnsi" w:hAnsiTheme="minorHAnsi" w:cstheme="minorHAnsi"/>
                <w:szCs w:val="24"/>
              </w:rPr>
            </w:pPr>
            <w:r w:rsidRPr="00A376F4">
              <w:rPr>
                <w:rFonts w:asciiTheme="minorHAnsi" w:hAnsiTheme="minorHAnsi" w:cstheme="minorHAnsi"/>
                <w:color w:val="000000"/>
                <w:szCs w:val="24"/>
              </w:rPr>
              <w:t>$</w:t>
            </w:r>
            <w:r w:rsidR="00C336E5">
              <w:rPr>
                <w:rFonts w:asciiTheme="minorHAnsi" w:hAnsiTheme="minorHAnsi" w:cstheme="minorHAnsi"/>
                <w:color w:val="000000"/>
                <w:szCs w:val="24"/>
              </w:rPr>
              <w:t>30,704</w:t>
            </w:r>
          </w:p>
        </w:tc>
      </w:tr>
      <w:tr w14:paraId="17134648" w14:textId="77777777" w:rsidTr="00305E78">
        <w:tblPrEx>
          <w:tblW w:w="10255" w:type="dxa"/>
          <w:tblLayout w:type="fixed"/>
          <w:tblLook w:val="0020"/>
        </w:tblPrEx>
        <w:tc>
          <w:tcPr>
            <w:tcW w:w="1345" w:type="dxa"/>
          </w:tcPr>
          <w:p w:rsidR="00314A28" w:rsidRPr="009C37AF" w:rsidP="00314A28"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vAlign w:val="bottom"/>
          </w:tcPr>
          <w:p w:rsidR="00314A28" w:rsidRPr="00B938DC" w:rsidP="00314A28" w14:paraId="44D0EC38" w14:textId="16090C95">
            <w:pPr>
              <w:jc w:val="right"/>
              <w:rPr>
                <w:rFonts w:asciiTheme="minorHAnsi" w:hAnsiTheme="minorHAnsi" w:cstheme="minorHAnsi"/>
                <w:szCs w:val="24"/>
              </w:rPr>
            </w:pPr>
            <w:r>
              <w:rPr>
                <w:rFonts w:asciiTheme="minorHAnsi" w:hAnsiTheme="minorHAnsi" w:cstheme="minorHAnsi"/>
                <w:color w:val="000000"/>
                <w:szCs w:val="24"/>
              </w:rPr>
              <w:t>2</w:t>
            </w:r>
          </w:p>
        </w:tc>
        <w:tc>
          <w:tcPr>
            <w:tcW w:w="1245" w:type="dxa"/>
            <w:vAlign w:val="bottom"/>
          </w:tcPr>
          <w:p w:rsidR="00314A28" w:rsidRPr="00B938DC" w:rsidP="00314A28" w14:paraId="1E02F8B0" w14:textId="33DCCF29">
            <w:pPr>
              <w:jc w:val="right"/>
              <w:rPr>
                <w:rFonts w:asciiTheme="minorHAnsi" w:hAnsiTheme="minorHAnsi" w:cstheme="minorHAnsi"/>
                <w:szCs w:val="24"/>
              </w:rPr>
            </w:pPr>
            <w:r>
              <w:rPr>
                <w:rFonts w:asciiTheme="minorHAnsi" w:hAnsiTheme="minorHAnsi" w:cstheme="minorHAnsi"/>
                <w:color w:val="000000"/>
                <w:szCs w:val="24"/>
              </w:rPr>
              <w:t>4</w:t>
            </w:r>
          </w:p>
        </w:tc>
        <w:tc>
          <w:tcPr>
            <w:tcW w:w="1335" w:type="dxa"/>
            <w:vAlign w:val="bottom"/>
          </w:tcPr>
          <w:p w:rsidR="00314A28" w:rsidRPr="00B938DC" w:rsidP="00314A28" w14:paraId="730B3154" w14:textId="1305A7A7">
            <w:pPr>
              <w:jc w:val="right"/>
              <w:rPr>
                <w:rFonts w:asciiTheme="minorHAnsi" w:hAnsiTheme="minorHAnsi" w:cstheme="minorHAnsi"/>
                <w:szCs w:val="24"/>
              </w:rPr>
            </w:pPr>
            <w:r>
              <w:rPr>
                <w:rFonts w:asciiTheme="minorHAnsi" w:hAnsiTheme="minorHAnsi" w:cstheme="minorHAnsi"/>
                <w:szCs w:val="24"/>
              </w:rPr>
              <w:t>See above</w:t>
            </w:r>
          </w:p>
        </w:tc>
        <w:tc>
          <w:tcPr>
            <w:tcW w:w="1725" w:type="dxa"/>
            <w:vAlign w:val="bottom"/>
          </w:tcPr>
          <w:p w:rsidR="00314A28" w:rsidRPr="00B938DC" w:rsidP="00314A28" w14:paraId="0F7068F7" w14:textId="1B30C979">
            <w:pPr>
              <w:jc w:val="right"/>
              <w:rPr>
                <w:rFonts w:asciiTheme="minorHAnsi" w:hAnsiTheme="minorHAnsi" w:cstheme="minorHAnsi"/>
                <w:szCs w:val="24"/>
              </w:rPr>
            </w:pPr>
            <w:r>
              <w:rPr>
                <w:rFonts w:asciiTheme="minorHAnsi" w:hAnsiTheme="minorHAnsi" w:cstheme="minorHAnsi"/>
                <w:color w:val="000000"/>
                <w:szCs w:val="24"/>
              </w:rPr>
              <w:t>18</w:t>
            </w:r>
          </w:p>
        </w:tc>
        <w:tc>
          <w:tcPr>
            <w:tcW w:w="1530" w:type="dxa"/>
            <w:vAlign w:val="bottom"/>
          </w:tcPr>
          <w:p w:rsidR="00314A28" w:rsidRPr="00B938DC" w:rsidP="00314A28" w14:paraId="66779289" w14:textId="0501E35B">
            <w:pPr>
              <w:jc w:val="right"/>
              <w:rPr>
                <w:rFonts w:asciiTheme="minorHAnsi" w:hAnsiTheme="minorHAnsi" w:cstheme="minorHAnsi"/>
                <w:szCs w:val="24"/>
              </w:rPr>
            </w:pPr>
            <w:r>
              <w:rPr>
                <w:rFonts w:asciiTheme="minorHAnsi" w:hAnsiTheme="minorHAnsi" w:cstheme="minorHAnsi"/>
                <w:szCs w:val="24"/>
              </w:rPr>
              <w:t>$</w:t>
            </w:r>
            <w:r w:rsidR="00C336E5">
              <w:rPr>
                <w:rFonts w:asciiTheme="minorHAnsi" w:hAnsiTheme="minorHAnsi" w:cstheme="minorHAnsi"/>
                <w:szCs w:val="24"/>
              </w:rPr>
              <w:t>48.05</w:t>
            </w:r>
          </w:p>
        </w:tc>
        <w:tc>
          <w:tcPr>
            <w:tcW w:w="1800" w:type="dxa"/>
            <w:vAlign w:val="bottom"/>
          </w:tcPr>
          <w:p w:rsidR="00314A28" w:rsidRPr="00B938DC" w:rsidP="00314A28" w14:paraId="143D8490" w14:textId="7A0700AF">
            <w:pPr>
              <w:jc w:val="right"/>
              <w:rPr>
                <w:rFonts w:asciiTheme="minorHAnsi" w:hAnsiTheme="minorHAnsi" w:cstheme="minorHAnsi"/>
                <w:szCs w:val="24"/>
              </w:rPr>
            </w:pPr>
            <w:r w:rsidRPr="00A376F4">
              <w:rPr>
                <w:rFonts w:asciiTheme="minorHAnsi" w:hAnsiTheme="minorHAnsi" w:cstheme="minorHAnsi"/>
                <w:color w:val="000000"/>
                <w:szCs w:val="24"/>
              </w:rPr>
              <w:t>$</w:t>
            </w:r>
            <w:r w:rsidR="00C336E5">
              <w:rPr>
                <w:rFonts w:asciiTheme="minorHAnsi" w:hAnsiTheme="minorHAnsi" w:cstheme="minorHAnsi"/>
                <w:color w:val="000000"/>
                <w:szCs w:val="24"/>
              </w:rPr>
              <w:t>865</w:t>
            </w:r>
          </w:p>
        </w:tc>
      </w:tr>
      <w:tr w14:paraId="3DEE77D3" w14:textId="77777777" w:rsidTr="00305E78">
        <w:tblPrEx>
          <w:tblW w:w="10255" w:type="dxa"/>
          <w:tblLayout w:type="fixed"/>
          <w:tblLook w:val="0020"/>
        </w:tblPrEx>
        <w:tc>
          <w:tcPr>
            <w:tcW w:w="1345" w:type="dxa"/>
          </w:tcPr>
          <w:p w:rsidR="00314A28" w:rsidRPr="00442E07" w:rsidP="00314A28" w14:paraId="597BF3F3" w14:textId="77777777">
            <w:pPr>
              <w:rPr>
                <w:rFonts w:ascii="Times New Roman" w:hAnsi="Times New Roman"/>
                <w:szCs w:val="24"/>
              </w:rPr>
            </w:pPr>
            <w:r>
              <w:rPr>
                <w:rFonts w:ascii="Times New Roman" w:hAnsi="Times New Roman"/>
                <w:szCs w:val="24"/>
              </w:rPr>
              <w:t>Annualized Totals</w:t>
            </w:r>
          </w:p>
        </w:tc>
        <w:tc>
          <w:tcPr>
            <w:tcW w:w="1275" w:type="dxa"/>
            <w:vAlign w:val="bottom"/>
          </w:tcPr>
          <w:p w:rsidR="00314A28" w:rsidRPr="00B938DC" w:rsidP="00314A28" w14:paraId="224C2C47" w14:textId="4EBF82B1">
            <w:pPr>
              <w:jc w:val="right"/>
              <w:rPr>
                <w:rFonts w:asciiTheme="minorHAnsi" w:hAnsiTheme="minorHAnsi" w:cstheme="minorHAnsi"/>
                <w:szCs w:val="24"/>
              </w:rPr>
            </w:pPr>
            <w:r>
              <w:rPr>
                <w:rFonts w:asciiTheme="minorHAnsi" w:hAnsiTheme="minorHAnsi" w:cstheme="minorHAnsi"/>
                <w:color w:val="000000"/>
                <w:szCs w:val="24"/>
              </w:rPr>
              <w:t>130,587</w:t>
            </w:r>
          </w:p>
        </w:tc>
        <w:tc>
          <w:tcPr>
            <w:tcW w:w="1245" w:type="dxa"/>
            <w:vAlign w:val="bottom"/>
          </w:tcPr>
          <w:p w:rsidR="00314A28" w:rsidRPr="00B938DC" w:rsidP="00314A28" w14:paraId="5F4B54EA" w14:textId="2FA8BC88">
            <w:pPr>
              <w:jc w:val="right"/>
              <w:rPr>
                <w:rFonts w:asciiTheme="minorHAnsi" w:hAnsiTheme="minorHAnsi" w:cstheme="minorHAnsi"/>
                <w:szCs w:val="24"/>
              </w:rPr>
            </w:pPr>
            <w:r>
              <w:rPr>
                <w:rFonts w:asciiTheme="minorHAnsi" w:hAnsiTheme="minorHAnsi" w:cstheme="minorHAnsi"/>
                <w:color w:val="000000"/>
                <w:szCs w:val="24"/>
              </w:rPr>
              <w:t>130,669</w:t>
            </w:r>
          </w:p>
        </w:tc>
        <w:tc>
          <w:tcPr>
            <w:tcW w:w="1335" w:type="dxa"/>
            <w:vAlign w:val="bottom"/>
          </w:tcPr>
          <w:p w:rsidR="00314A28" w:rsidRPr="00B938DC" w:rsidP="00314A28" w14:paraId="68058CE4" w14:textId="6CFDE000">
            <w:pPr>
              <w:jc w:val="right"/>
              <w:rPr>
                <w:rFonts w:asciiTheme="minorHAnsi" w:hAnsiTheme="minorHAnsi" w:cstheme="minorHAnsi"/>
                <w:szCs w:val="24"/>
              </w:rPr>
            </w:pPr>
          </w:p>
        </w:tc>
        <w:tc>
          <w:tcPr>
            <w:tcW w:w="1725" w:type="dxa"/>
            <w:vAlign w:val="bottom"/>
          </w:tcPr>
          <w:p w:rsidR="00314A28" w:rsidRPr="00B938DC" w:rsidP="00314A28" w14:paraId="37FAF8A5" w14:textId="07591E9C">
            <w:pPr>
              <w:jc w:val="right"/>
              <w:rPr>
                <w:rFonts w:asciiTheme="minorHAnsi" w:hAnsiTheme="minorHAnsi" w:cstheme="minorHAnsi"/>
                <w:szCs w:val="24"/>
              </w:rPr>
            </w:pPr>
            <w:r>
              <w:rPr>
                <w:rFonts w:asciiTheme="minorHAnsi" w:hAnsiTheme="minorHAnsi" w:cstheme="minorHAnsi"/>
                <w:color w:val="000000"/>
                <w:szCs w:val="24"/>
              </w:rPr>
              <w:t>22,924</w:t>
            </w:r>
          </w:p>
        </w:tc>
        <w:tc>
          <w:tcPr>
            <w:tcW w:w="1530" w:type="dxa"/>
            <w:vAlign w:val="bottom"/>
          </w:tcPr>
          <w:p w:rsidR="00314A28" w:rsidRPr="00B938DC" w:rsidP="00314A28" w14:paraId="3221A869" w14:textId="3993CE46">
            <w:pPr>
              <w:jc w:val="right"/>
              <w:rPr>
                <w:rFonts w:asciiTheme="minorHAnsi" w:hAnsiTheme="minorHAnsi" w:cstheme="minorHAnsi"/>
                <w:szCs w:val="24"/>
              </w:rPr>
            </w:pPr>
          </w:p>
        </w:tc>
        <w:tc>
          <w:tcPr>
            <w:tcW w:w="1800" w:type="dxa"/>
            <w:vAlign w:val="bottom"/>
          </w:tcPr>
          <w:p w:rsidR="00314A28" w:rsidRPr="00B938DC" w:rsidP="00314A28" w14:paraId="50468F26" w14:textId="190C87FD">
            <w:pPr>
              <w:jc w:val="right"/>
              <w:rPr>
                <w:rFonts w:asciiTheme="minorHAnsi" w:hAnsiTheme="minorHAnsi" w:cstheme="minorHAnsi"/>
                <w:szCs w:val="24"/>
              </w:rPr>
            </w:pPr>
            <w:r w:rsidRPr="00A376F4">
              <w:rPr>
                <w:rFonts w:asciiTheme="minorHAnsi" w:hAnsiTheme="minorHAnsi" w:cstheme="minorHAnsi"/>
                <w:color w:val="000000"/>
                <w:szCs w:val="24"/>
              </w:rPr>
              <w:t>$</w:t>
            </w:r>
            <w:r w:rsidR="00C336E5">
              <w:rPr>
                <w:rFonts w:asciiTheme="minorHAnsi" w:hAnsiTheme="minorHAnsi" w:cstheme="minorHAnsi"/>
                <w:color w:val="000000"/>
                <w:szCs w:val="24"/>
              </w:rPr>
              <w:t>529,322</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6B40D9" w:rsidRPr="00FB6309" w:rsidP="006B40D9" w14:paraId="6B3D09DE"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6B40D9" w:rsidRPr="00FB6309" w:rsidP="006B40D9" w14:paraId="49D0D8DB" w14:textId="64051F45">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DD615E">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C336E5">
              <w:rPr>
                <w:rFonts w:asciiTheme="minorHAnsi" w:hAnsiTheme="minorHAnsi" w:cstheme="minorHAnsi"/>
                <w:bCs/>
                <w:szCs w:val="24"/>
              </w:rPr>
              <w:t>22,924</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150BB4AB">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C336E5">
              <w:rPr>
                <w:rFonts w:asciiTheme="minorHAnsi" w:hAnsiTheme="minorHAnsi" w:cstheme="minorHAnsi"/>
                <w:bCs/>
                <w:szCs w:val="24"/>
              </w:rPr>
              <w:t>130,669</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BB03CE" w:rsidRPr="00FB6309" w:rsidP="00BB03CE" w14:paraId="6566D56D" w14:textId="346B2E54">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This is a request for a new collection with an increase in burden due </w:t>
      </w:r>
      <w:r>
        <w:rPr>
          <w:rFonts w:asciiTheme="minorHAnsi" w:hAnsiTheme="minorHAnsi" w:cstheme="minorHAnsi"/>
          <w:szCs w:val="24"/>
        </w:rPr>
        <w:t>to</w:t>
      </w:r>
      <w:r w:rsidR="001425EA">
        <w:rPr>
          <w:rFonts w:asciiTheme="minorHAnsi" w:hAnsiTheme="minorHAnsi" w:cstheme="minorHAnsi"/>
          <w:szCs w:val="24"/>
        </w:rPr>
        <w:t>the</w:t>
      </w:r>
      <w:r>
        <w:rPr>
          <w:rFonts w:asciiTheme="minorHAnsi" w:hAnsiTheme="minorHAnsi" w:cstheme="minorHAnsi"/>
          <w:szCs w:val="24"/>
        </w:rPr>
        <w:t xml:space="preserve"> regulation.  The Department is requesting an increase of </w:t>
      </w:r>
      <w:r w:rsidR="00C336E5">
        <w:rPr>
          <w:rFonts w:asciiTheme="minorHAnsi" w:hAnsiTheme="minorHAnsi" w:cstheme="minorHAnsi"/>
          <w:szCs w:val="24"/>
        </w:rPr>
        <w:t>22,924</w:t>
      </w:r>
      <w:r>
        <w:rPr>
          <w:rFonts w:asciiTheme="minorHAnsi" w:hAnsiTheme="minorHAnsi" w:cstheme="minorHAnsi"/>
          <w:szCs w:val="24"/>
        </w:rPr>
        <w:t xml:space="preserve"> hours for </w:t>
      </w:r>
      <w:r w:rsidR="00C336E5">
        <w:rPr>
          <w:rFonts w:asciiTheme="minorHAnsi" w:hAnsiTheme="minorHAnsi" w:cstheme="minorHAnsi"/>
          <w:color w:val="000000"/>
          <w:szCs w:val="24"/>
        </w:rPr>
        <w:t>130,587</w:t>
      </w:r>
      <w:r>
        <w:rPr>
          <w:rFonts w:asciiTheme="minorHAnsi" w:hAnsiTheme="minorHAnsi" w:cstheme="minorHAnsi"/>
          <w:szCs w:val="24"/>
        </w:rPr>
        <w:t xml:space="preserve"> respondents and </w:t>
      </w:r>
      <w:r w:rsidR="00C336E5">
        <w:rPr>
          <w:rFonts w:asciiTheme="minorHAnsi" w:hAnsiTheme="minorHAnsi" w:cstheme="minorHAnsi"/>
          <w:szCs w:val="24"/>
        </w:rPr>
        <w:t>130,669</w:t>
      </w:r>
      <w:r>
        <w:rPr>
          <w:rFonts w:asciiTheme="minorHAnsi" w:hAnsiTheme="minorHAnsi" w:cstheme="minorHAnsi"/>
          <w:szCs w:val="24"/>
        </w:rPr>
        <w:t xml:space="preserve"> responses.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6B40D9" w:rsidRPr="00FB6309" w:rsidP="006B40D9" w14:paraId="1AD18871"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6B40D9" w:rsidRPr="00FB6309" w:rsidP="006B40D9" w14:paraId="7E182997"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6B40D9" w:rsidRPr="00AA5138" w:rsidP="006B40D9" w14:paraId="4547AF3C"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AA5138" w14:paraId="1D395179" w14:textId="16CE8D86">
      <w:pPr>
        <w:tabs>
          <w:tab w:val="left" w:pos="-720"/>
        </w:tabs>
        <w:suppressAutoHyphens/>
        <w:ind w:left="720"/>
        <w:rPr>
          <w:rFonts w:ascii="Times New Roman" w:hAnsi="Times New Roman"/>
          <w:bCs/>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26F77AF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5C6D9E">
      <w:rPr>
        <w:rFonts w:ascii="Times New Roman" w:hAnsi="Times New Roman"/>
        <w:szCs w:val="24"/>
      </w:rPr>
      <w:t>1845</w:t>
    </w:r>
    <w:r w:rsidR="007C700A">
      <w:rPr>
        <w:rFonts w:ascii="Times New Roman" w:hAnsi="Times New Roman"/>
        <w:szCs w:val="24"/>
      </w:rPr>
      <w:t>-</w:t>
    </w:r>
    <w:r w:rsidR="00AA3F05">
      <w:rPr>
        <w:rFonts w:ascii="Times New Roman" w:hAnsi="Times New Roman"/>
        <w:szCs w:val="24"/>
      </w:rPr>
      <w:t>0173</w:t>
    </w:r>
    <w:r w:rsidR="00E22FD3">
      <w:rPr>
        <w:rFonts w:ascii="Times New Roman" w:hAnsi="Times New Roman"/>
        <w:szCs w:val="24"/>
      </w:rPr>
      <w:tab/>
    </w:r>
    <w:r w:rsidRPr="00C875E8">
      <w:rPr>
        <w:rFonts w:ascii="Times New Roman" w:hAnsi="Times New Roman"/>
        <w:szCs w:val="24"/>
      </w:rPr>
      <w:t xml:space="preserve">Revised: </w:t>
    </w:r>
    <w:r w:rsidR="00AA3F05">
      <w:rPr>
        <w:rFonts w:ascii="Times New Roman" w:hAnsi="Times New Roman"/>
        <w:szCs w:val="24"/>
      </w:rPr>
      <w:t>9/25</w:t>
    </w:r>
    <w:r w:rsidR="007C700A">
      <w:rPr>
        <w:rFonts w:ascii="Times New Roman" w:hAnsi="Times New Roman"/>
        <w:szCs w:val="24"/>
      </w:rPr>
      <w:t>/</w:t>
    </w:r>
    <w:r w:rsidR="005C6D9E">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2466B"/>
    <w:rsid w:val="001425EA"/>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05E78"/>
    <w:rsid w:val="00314A28"/>
    <w:rsid w:val="0032078A"/>
    <w:rsid w:val="0032539E"/>
    <w:rsid w:val="003772A6"/>
    <w:rsid w:val="00386054"/>
    <w:rsid w:val="003860E4"/>
    <w:rsid w:val="003B1545"/>
    <w:rsid w:val="00412915"/>
    <w:rsid w:val="00442E07"/>
    <w:rsid w:val="00457D59"/>
    <w:rsid w:val="004A0196"/>
    <w:rsid w:val="00510E61"/>
    <w:rsid w:val="0052073E"/>
    <w:rsid w:val="00534B4A"/>
    <w:rsid w:val="00564132"/>
    <w:rsid w:val="00565EA8"/>
    <w:rsid w:val="00575DDA"/>
    <w:rsid w:val="00581C11"/>
    <w:rsid w:val="00591712"/>
    <w:rsid w:val="005C6D9E"/>
    <w:rsid w:val="005D119B"/>
    <w:rsid w:val="005D28E6"/>
    <w:rsid w:val="005F4E11"/>
    <w:rsid w:val="00616E9C"/>
    <w:rsid w:val="0062747E"/>
    <w:rsid w:val="0068567A"/>
    <w:rsid w:val="006A292A"/>
    <w:rsid w:val="006A38F7"/>
    <w:rsid w:val="006A4EBB"/>
    <w:rsid w:val="006A5BE8"/>
    <w:rsid w:val="006B40D9"/>
    <w:rsid w:val="006B4172"/>
    <w:rsid w:val="00713B69"/>
    <w:rsid w:val="00755D99"/>
    <w:rsid w:val="00756FD3"/>
    <w:rsid w:val="00765392"/>
    <w:rsid w:val="00790E3E"/>
    <w:rsid w:val="007A4F77"/>
    <w:rsid w:val="007A5F49"/>
    <w:rsid w:val="007B69FA"/>
    <w:rsid w:val="007C0A4C"/>
    <w:rsid w:val="007C700A"/>
    <w:rsid w:val="007F6104"/>
    <w:rsid w:val="00800D30"/>
    <w:rsid w:val="00807D1A"/>
    <w:rsid w:val="00834A62"/>
    <w:rsid w:val="00861EBD"/>
    <w:rsid w:val="00874EFE"/>
    <w:rsid w:val="00882126"/>
    <w:rsid w:val="008933F1"/>
    <w:rsid w:val="008B55C2"/>
    <w:rsid w:val="008D0601"/>
    <w:rsid w:val="008D1F11"/>
    <w:rsid w:val="008E5919"/>
    <w:rsid w:val="00905951"/>
    <w:rsid w:val="00912D2C"/>
    <w:rsid w:val="00916EE4"/>
    <w:rsid w:val="00917AF0"/>
    <w:rsid w:val="00920F63"/>
    <w:rsid w:val="009243F3"/>
    <w:rsid w:val="0093366B"/>
    <w:rsid w:val="00934185"/>
    <w:rsid w:val="00946126"/>
    <w:rsid w:val="00952DF9"/>
    <w:rsid w:val="0095421D"/>
    <w:rsid w:val="00960C86"/>
    <w:rsid w:val="00962E6A"/>
    <w:rsid w:val="009767AF"/>
    <w:rsid w:val="00981F58"/>
    <w:rsid w:val="00986D0A"/>
    <w:rsid w:val="009C37AF"/>
    <w:rsid w:val="009C5D7D"/>
    <w:rsid w:val="009E3E86"/>
    <w:rsid w:val="00A118A2"/>
    <w:rsid w:val="00A23F26"/>
    <w:rsid w:val="00A376F4"/>
    <w:rsid w:val="00A4001C"/>
    <w:rsid w:val="00A40AAB"/>
    <w:rsid w:val="00A46D01"/>
    <w:rsid w:val="00A70816"/>
    <w:rsid w:val="00A73590"/>
    <w:rsid w:val="00A7636D"/>
    <w:rsid w:val="00A9138E"/>
    <w:rsid w:val="00AA3F05"/>
    <w:rsid w:val="00AA5138"/>
    <w:rsid w:val="00AC1C89"/>
    <w:rsid w:val="00AD381B"/>
    <w:rsid w:val="00AF10E0"/>
    <w:rsid w:val="00AF5B5B"/>
    <w:rsid w:val="00AF5D1A"/>
    <w:rsid w:val="00B017F9"/>
    <w:rsid w:val="00B07213"/>
    <w:rsid w:val="00B10A05"/>
    <w:rsid w:val="00B11436"/>
    <w:rsid w:val="00B17570"/>
    <w:rsid w:val="00B54167"/>
    <w:rsid w:val="00B62E06"/>
    <w:rsid w:val="00B632BF"/>
    <w:rsid w:val="00B64B1D"/>
    <w:rsid w:val="00B6729C"/>
    <w:rsid w:val="00B938DC"/>
    <w:rsid w:val="00B9671B"/>
    <w:rsid w:val="00BA1D31"/>
    <w:rsid w:val="00BB03CE"/>
    <w:rsid w:val="00BC1A67"/>
    <w:rsid w:val="00C164D3"/>
    <w:rsid w:val="00C20670"/>
    <w:rsid w:val="00C224FD"/>
    <w:rsid w:val="00C336E5"/>
    <w:rsid w:val="00C50C60"/>
    <w:rsid w:val="00C77079"/>
    <w:rsid w:val="00C86713"/>
    <w:rsid w:val="00C875E8"/>
    <w:rsid w:val="00C92035"/>
    <w:rsid w:val="00CC2A72"/>
    <w:rsid w:val="00CC3FB5"/>
    <w:rsid w:val="00CD2067"/>
    <w:rsid w:val="00CD47BC"/>
    <w:rsid w:val="00D137D9"/>
    <w:rsid w:val="00D34984"/>
    <w:rsid w:val="00D36C35"/>
    <w:rsid w:val="00D75313"/>
    <w:rsid w:val="00E16ACD"/>
    <w:rsid w:val="00E17134"/>
    <w:rsid w:val="00E22FD3"/>
    <w:rsid w:val="00E25EBC"/>
    <w:rsid w:val="00E66550"/>
    <w:rsid w:val="00E877BF"/>
    <w:rsid w:val="00EA1767"/>
    <w:rsid w:val="00EB0929"/>
    <w:rsid w:val="00EB0FA5"/>
    <w:rsid w:val="00EB62C8"/>
    <w:rsid w:val="00EC01DD"/>
    <w:rsid w:val="00EC35E3"/>
    <w:rsid w:val="00ED7195"/>
    <w:rsid w:val="00EE4EAF"/>
    <w:rsid w:val="00EF4C67"/>
    <w:rsid w:val="00F0414F"/>
    <w:rsid w:val="00F070F3"/>
    <w:rsid w:val="00F21ED1"/>
    <w:rsid w:val="00F2296E"/>
    <w:rsid w:val="00F27AAF"/>
    <w:rsid w:val="00F31BEC"/>
    <w:rsid w:val="00F33699"/>
    <w:rsid w:val="00F5782B"/>
    <w:rsid w:val="00F73131"/>
    <w:rsid w:val="00F74288"/>
    <w:rsid w:val="00FA48B5"/>
    <w:rsid w:val="00FB6309"/>
    <w:rsid w:val="00FC669D"/>
    <w:rsid w:val="00FD4F0B"/>
    <w:rsid w:val="00FE02FC"/>
    <w:rsid w:val="00FE1BAE"/>
    <w:rsid w:val="00FE508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AA3F0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2023-09-26T18:33:00Z</dcterms:created>
  <dcterms:modified xsi:type="dcterms:W3CDTF">2023-09-26T18:33:00Z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