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2DA8" w:rsidRPr="00B70542" w:rsidP="00B70542" w14:paraId="10496BB0" w14:textId="20D6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14:ligatures w14:val="none"/>
        </w:rPr>
      </w:pPr>
      <w:r w:rsidRPr="00B70542">
        <w:rPr>
          <w:rFonts w:ascii="Times New Roman" w:eastAsia="Times New Roman" w:hAnsi="Times New Roman" w:cs="Times New Roman"/>
          <w:b/>
          <w:spacing w:val="1"/>
          <w:kern w:val="0"/>
          <w:position w:val="-1"/>
          <w:sz w:val="24"/>
          <w:szCs w:val="24"/>
          <w14:ligatures w14:val="none"/>
        </w:rPr>
        <w:t>Justification for a Non-Substantive Change</w:t>
      </w:r>
    </w:p>
    <w:p w:rsidR="005E2DA8" w:rsidRPr="00B70542" w:rsidP="00B70542" w14:paraId="6BB5061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7054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>(C</w:t>
      </w:r>
      <w:r w:rsidRPr="00B705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</w:t>
      </w:r>
      <w:r w:rsidRPr="00B7054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>S</w:t>
      </w:r>
      <w:r w:rsidRPr="00B7054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>-</w:t>
      </w:r>
      <w:r w:rsidRPr="00B70542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>10831</w:t>
      </w:r>
      <w:r w:rsidRPr="00B705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OMB 0938</w:t>
      </w:r>
      <w:r w:rsidRPr="00B7054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>-1441</w:t>
      </w:r>
      <w:r w:rsidRPr="00B705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:rsidR="005E2DA8" w:rsidRPr="00B70542" w:rsidP="00B70542" w14:paraId="1AB89C2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4F3E7D" w:rsidRPr="00B70542" w:rsidP="00B70542" w14:paraId="0C6C2624" w14:textId="1DA02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</w:pP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On page 2</w:t>
      </w: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of </w:t>
      </w:r>
      <w:r w:rsidR="00D6117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our </w:t>
      </w: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Application to Enroll and </w:t>
      </w:r>
      <w:r w:rsidR="00D6117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our </w:t>
      </w: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Direct Reimbursement Request</w:t>
      </w: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, we </w:t>
      </w:r>
      <w:r w:rsidR="00D6117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propose to </w:t>
      </w: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clarify the Post Office Box instruction in the permanent residence street address field to match the cover page instructions for individuals experiencing homelessness whose Post Office Box may be considered a permanent residence street address. </w:t>
      </w:r>
      <w:r w:rsidRPr="00B70542" w:rsid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The </w:t>
      </w:r>
      <w:r w:rsidR="00D6117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change </w:t>
      </w:r>
      <w:r w:rsidRPr="00B70542" w:rsid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is non-substantive.</w:t>
      </w:r>
    </w:p>
    <w:p w:rsidR="004F3E7D" w:rsidRPr="00B70542" w:rsidP="00B70542" w14:paraId="134DE67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</w:pPr>
    </w:p>
    <w:p w:rsidR="00B70542" w:rsidRPr="00B70542" w:rsidP="00B70542" w14:paraId="7017DF37" w14:textId="44CAB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42">
        <w:rPr>
          <w:rFonts w:ascii="Times New Roman" w:hAnsi="Times New Roman" w:cs="Times New Roman"/>
          <w:sz w:val="24"/>
          <w:szCs w:val="24"/>
        </w:rPr>
        <w:t>Track Change versions of both documents are included in this collection of information request along with clean versions of the revised documents. The following table crosswalks the change:</w:t>
      </w:r>
    </w:p>
    <w:p w:rsidR="00B70542" w:rsidRPr="00B70542" w:rsidP="00B70542" w14:paraId="079ECAEE" w14:textId="55DE0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0"/>
        <w:gridCol w:w="4670"/>
      </w:tblGrid>
      <w:tr w14:paraId="42129B61" w14:textId="77777777" w:rsidTr="00B7054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42" w:rsidRPr="00A643B3" w:rsidP="00B70542" w14:paraId="71DBD2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3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Original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42" w:rsidRPr="00A643B3" w:rsidP="00B70542" w14:paraId="19252BEB" w14:textId="7A0D5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Revised</w:t>
            </w:r>
          </w:p>
        </w:tc>
      </w:tr>
      <w:tr w14:paraId="69D7C449" w14:textId="77777777" w:rsidTr="00B7054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42" w:rsidRPr="00A643B3" w:rsidP="00B70542" w14:paraId="5EDFBD3D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3B3">
              <w:rPr>
                <w:rFonts w:ascii="Times New Roman" w:hAnsi="Times New Roman" w:cs="Times New Roman"/>
                <w:sz w:val="20"/>
                <w:szCs w:val="20"/>
              </w:rPr>
              <w:t>“Permanent Residence street address (Don’t enter a P.O. Box):”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42" w:rsidRPr="00A643B3" w:rsidP="00B70542" w14:paraId="486BC7A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3B3">
              <w:rPr>
                <w:rFonts w:ascii="Times New Roman" w:hAnsi="Times New Roman" w:cs="Times New Roman"/>
                <w:sz w:val="20"/>
                <w:szCs w:val="20"/>
              </w:rPr>
              <w:t>“Permanent Residence street address (Don’t enter a P.O. Box. Note: For individuals experiencing homelessness, a P.O. Box may be considered your permanent residence address.):”</w:t>
            </w:r>
          </w:p>
        </w:tc>
      </w:tr>
    </w:tbl>
    <w:p w:rsidR="004F3E7D" w:rsidRPr="00B70542" w:rsidP="00B70542" w14:paraId="611F8D9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</w:pPr>
    </w:p>
    <w:p w:rsidR="00AD7A1E" w:rsidRPr="00B70542" w:rsidP="00B70542" w14:paraId="33C8B309" w14:textId="0E760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</w:pP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The change </w:t>
      </w:r>
      <w:r w:rsidRPr="00B70542" w:rsid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has no impact on our currently </w:t>
      </w:r>
      <w:r w:rsidRP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approved burden estimates.</w:t>
      </w:r>
      <w:r w:rsidRPr="00B70542" w:rsid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6B42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Similarly, o</w:t>
      </w:r>
      <w:r w:rsidRPr="00B70542" w:rsid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ur currently approved Supporting Statement is attached with</w:t>
      </w:r>
      <w:r w:rsidR="006B42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out</w:t>
      </w:r>
      <w:r w:rsidRPr="00B70542" w:rsidR="00B7054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change.</w:t>
      </w:r>
    </w:p>
    <w:p w:rsidR="005E2DA8" w:rsidRPr="00B70542" w:rsidP="00B70542" w14:paraId="44F6B41C" w14:textId="35893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D7"/>
    <w:rsid w:val="00015A86"/>
    <w:rsid w:val="001504F4"/>
    <w:rsid w:val="001A58BB"/>
    <w:rsid w:val="001E5DDA"/>
    <w:rsid w:val="004206D7"/>
    <w:rsid w:val="004F3E7D"/>
    <w:rsid w:val="005E2DA8"/>
    <w:rsid w:val="006B420A"/>
    <w:rsid w:val="006F4AE5"/>
    <w:rsid w:val="007A0DEF"/>
    <w:rsid w:val="00996B5D"/>
    <w:rsid w:val="00A56CC1"/>
    <w:rsid w:val="00A643B3"/>
    <w:rsid w:val="00AD7A1E"/>
    <w:rsid w:val="00B225C3"/>
    <w:rsid w:val="00B70542"/>
    <w:rsid w:val="00D6117C"/>
    <w:rsid w:val="00E270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DE6B0"/>
  <w15:chartTrackingRefBased/>
  <w15:docId w15:val="{C0F3EC82-9B21-4076-8408-209E0F00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Marie (CMS/CM)</dc:creator>
  <cp:lastModifiedBy>Bryman, Mitch (CMS/OSORA)</cp:lastModifiedBy>
  <cp:revision>7</cp:revision>
  <dcterms:created xsi:type="dcterms:W3CDTF">2023-09-26T18:18:00Z</dcterms:created>
  <dcterms:modified xsi:type="dcterms:W3CDTF">2023-09-27T18:58:00Z</dcterms:modified>
</cp:coreProperties>
</file>