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1839" w:rsidP="0034267A" w14:paraId="4C121AD4" w14:textId="0BFB240E">
      <w:pPr>
        <w:pStyle w:val="Default"/>
        <w:jc w:val="center"/>
      </w:pPr>
      <w:r w:rsidRPr="00BD75CA">
        <w:t>U</w:t>
      </w:r>
      <w:r w:rsidR="0090735D">
        <w:t>nited</w:t>
      </w:r>
      <w:r w:rsidRPr="00BD75CA">
        <w:t xml:space="preserve"> S</w:t>
      </w:r>
      <w:r w:rsidR="0090735D">
        <w:t>tates</w:t>
      </w:r>
      <w:r w:rsidRPr="00BD75CA">
        <w:t xml:space="preserve"> </w:t>
      </w:r>
      <w:r>
        <w:t>F</w:t>
      </w:r>
      <w:r w:rsidR="0090735D">
        <w:t xml:space="preserve">ood and </w:t>
      </w:r>
      <w:r>
        <w:t>D</w:t>
      </w:r>
      <w:r w:rsidR="0090735D">
        <w:t>rug</w:t>
      </w:r>
      <w:r>
        <w:t xml:space="preserve"> A</w:t>
      </w:r>
      <w:r w:rsidR="0090735D">
        <w:t>dministration</w:t>
      </w:r>
    </w:p>
    <w:p w:rsidR="00BD75CA" w:rsidRPr="00BD75CA" w:rsidP="0034267A" w14:paraId="62251AE3" w14:textId="77777777">
      <w:pPr>
        <w:pStyle w:val="Default"/>
        <w:jc w:val="center"/>
      </w:pPr>
    </w:p>
    <w:p w:rsidR="00D07B62" w:rsidRPr="00DB20BA" w:rsidP="0034267A" w14:paraId="0A237139" w14:textId="74107ED3">
      <w:pPr>
        <w:pStyle w:val="Default"/>
        <w:jc w:val="center"/>
        <w:rPr>
          <w:bCs/>
        </w:rPr>
      </w:pPr>
      <w:bookmarkStart w:id="0" w:name="_Hlk58393751"/>
      <w:bookmarkStart w:id="1" w:name="_Hlk83280757"/>
      <w:r w:rsidRPr="00DB20BA">
        <w:rPr>
          <w:bCs/>
        </w:rPr>
        <w:t>Standardized Reporting Forms for</w:t>
      </w:r>
      <w:r w:rsidRPr="00DB20BA" w:rsidR="009815B2">
        <w:rPr>
          <w:bCs/>
        </w:rPr>
        <w:t xml:space="preserve"> FDA</w:t>
      </w:r>
      <w:r w:rsidRPr="00DB20BA">
        <w:rPr>
          <w:bCs/>
        </w:rPr>
        <w:t xml:space="preserve"> Federally Funded</w:t>
      </w:r>
    </w:p>
    <w:p w:rsidR="003808BC" w:rsidRPr="00DB20BA" w:rsidP="0034267A" w14:paraId="3A57E47D" w14:textId="3727BA50">
      <w:pPr>
        <w:pStyle w:val="Default"/>
        <w:jc w:val="center"/>
        <w:rPr>
          <w:bCs/>
        </w:rPr>
      </w:pPr>
      <w:r w:rsidRPr="00DB20BA">
        <w:rPr>
          <w:bCs/>
        </w:rPr>
        <w:t xml:space="preserve"> Public Health Projects </w:t>
      </w:r>
      <w:r w:rsidRPr="00DB20BA" w:rsidR="006A45F6">
        <w:rPr>
          <w:bCs/>
        </w:rPr>
        <w:t xml:space="preserve">and Agreements </w:t>
      </w:r>
      <w:bookmarkEnd w:id="0"/>
    </w:p>
    <w:bookmarkEnd w:id="1"/>
    <w:p w:rsidR="0026221D" w:rsidRPr="00CF7223" w:rsidP="0034267A" w14:paraId="37050D5F" w14:textId="77777777">
      <w:pPr>
        <w:pStyle w:val="Default"/>
        <w:jc w:val="center"/>
        <w:rPr>
          <w:bCs/>
        </w:rPr>
      </w:pPr>
    </w:p>
    <w:p w:rsidR="00D61839" w:rsidRPr="00DB20BA" w:rsidP="0034267A" w14:paraId="19AC574C" w14:textId="23B987E4">
      <w:pPr>
        <w:pStyle w:val="Default"/>
        <w:jc w:val="center"/>
        <w:rPr>
          <w:bCs/>
        </w:rPr>
      </w:pPr>
      <w:r w:rsidRPr="00DB20BA">
        <w:rPr>
          <w:bCs/>
        </w:rPr>
        <w:t>OMB Control No. 0910-</w:t>
      </w:r>
      <w:r w:rsidRPr="00DB20BA" w:rsidR="00A20187">
        <w:rPr>
          <w:bCs/>
        </w:rPr>
        <w:t>0909</w:t>
      </w:r>
      <w:r w:rsidR="00CF7223">
        <w:rPr>
          <w:bCs/>
        </w:rPr>
        <w:t>-</w:t>
      </w:r>
      <w:r w:rsidR="00947410">
        <w:rPr>
          <w:bCs/>
        </w:rPr>
        <w:t>-</w:t>
      </w:r>
      <w:r w:rsidR="00CF7223">
        <w:rPr>
          <w:bCs/>
        </w:rPr>
        <w:t xml:space="preserve"> R</w:t>
      </w:r>
      <w:r w:rsidR="00947410">
        <w:rPr>
          <w:bCs/>
        </w:rPr>
        <w:t>evision</w:t>
      </w:r>
    </w:p>
    <w:p w:rsidR="003D5E09" w:rsidP="0034267A" w14:paraId="1B5388BB" w14:textId="77777777">
      <w:pPr>
        <w:pStyle w:val="Default"/>
        <w:rPr>
          <w:bCs/>
        </w:rPr>
      </w:pPr>
    </w:p>
    <w:p w:rsidR="0090735D" w:rsidP="00DB20BA" w14:paraId="6B3C30C9" w14:textId="5A872346">
      <w:pPr>
        <w:pStyle w:val="Default"/>
        <w:jc w:val="center"/>
        <w:rPr>
          <w:bCs/>
        </w:rPr>
      </w:pPr>
      <w:r w:rsidRPr="003D7CBD">
        <w:rPr>
          <w:bCs/>
        </w:rPr>
        <w:t>SUPPORTING STATEMENT</w:t>
      </w:r>
    </w:p>
    <w:p w:rsidR="0090735D" w:rsidP="0034267A" w14:paraId="2DAAD7BE" w14:textId="77777777">
      <w:pPr>
        <w:pStyle w:val="Default"/>
        <w:rPr>
          <w:bCs/>
        </w:rPr>
      </w:pPr>
    </w:p>
    <w:p w:rsidR="00D61839" w:rsidRPr="00BD75CA" w:rsidP="0034267A" w14:paraId="584F136A" w14:textId="061B5C0F">
      <w:pPr>
        <w:pStyle w:val="Default"/>
      </w:pPr>
      <w:r>
        <w:rPr>
          <w:b/>
        </w:rPr>
        <w:t>Part A</w:t>
      </w:r>
      <w:r w:rsidR="0090735D">
        <w:rPr>
          <w:b/>
        </w:rPr>
        <w:t xml:space="preserve">: </w:t>
      </w:r>
      <w:r>
        <w:rPr>
          <w:b/>
        </w:rPr>
        <w:t xml:space="preserve"> </w:t>
      </w:r>
      <w:r w:rsidR="0026221D">
        <w:rPr>
          <w:b/>
        </w:rPr>
        <w:t>Justification</w:t>
      </w:r>
      <w:r>
        <w:rPr>
          <w:b/>
        </w:rPr>
        <w:t>:</w:t>
      </w:r>
    </w:p>
    <w:p w:rsidR="003D7CBD" w:rsidP="0034267A" w14:paraId="4118B573" w14:textId="77777777">
      <w:pPr>
        <w:pStyle w:val="Default"/>
        <w:rPr>
          <w:b/>
          <w:bCs/>
        </w:rPr>
      </w:pPr>
    </w:p>
    <w:p w:rsidR="00085FE1" w:rsidP="00870070" w14:paraId="00509DBE" w14:textId="28E8CA92">
      <w:pPr>
        <w:pStyle w:val="Default"/>
      </w:pPr>
      <w:r w:rsidRPr="00BD75CA">
        <w:rPr>
          <w:u w:val="single"/>
        </w:rPr>
        <w:t>1. Circumstances Making Collection of Information Necessary</w:t>
      </w:r>
      <w:bookmarkStart w:id="2" w:name="_Hlk56601352"/>
    </w:p>
    <w:p w:rsidR="00085FE1" w:rsidP="0034267A" w14:paraId="0DC70981" w14:textId="77777777">
      <w:pPr>
        <w:pStyle w:val="Default"/>
      </w:pPr>
    </w:p>
    <w:p w:rsidR="008E2AA1" w:rsidP="0034267A" w14:paraId="63D4A97C" w14:textId="0413075C">
      <w:pPr>
        <w:pStyle w:val="Default"/>
      </w:pPr>
      <w:r w:rsidRPr="008E2AA1">
        <w:t xml:space="preserve">This information collection supports federally funded public health projects administered by </w:t>
      </w:r>
      <w:r>
        <w:t>the Food and Drug Administration (the agency, us or we)</w:t>
      </w:r>
      <w:r w:rsidRPr="008E2AA1">
        <w:t xml:space="preserve">.  As part of FDA’s efforts to protect the public health, we work collaboratively with State partners to enhance oversight of FDA-regulated products.  </w:t>
      </w:r>
      <w:r w:rsidRPr="00BD75CA" w:rsidR="005A7274">
        <w:t xml:space="preserve">Consistent with applicable regulations, </w:t>
      </w:r>
      <w:r>
        <w:t>we</w:t>
      </w:r>
      <w:r w:rsidRPr="00BD75CA" w:rsidR="00A815AA">
        <w:t xml:space="preserve"> </w:t>
      </w:r>
      <w:r w:rsidRPr="00BD75CA" w:rsidR="005A7274">
        <w:t>collect information related to an awardee’s progress in completing agreed-upon performance metrics.</w:t>
      </w:r>
      <w:r w:rsidR="00EE671C">
        <w:t xml:space="preserve">  </w:t>
      </w:r>
      <w:r w:rsidRPr="00BD75CA" w:rsidR="003736B2">
        <w:t>The authority for collecting such information is</w:t>
      </w:r>
      <w:r w:rsidRPr="00BD75CA" w:rsidR="00C43A74">
        <w:t xml:space="preserve"> found in</w:t>
      </w:r>
      <w:r w:rsidRPr="00BD75CA" w:rsidR="003736B2">
        <w:t xml:space="preserve"> </w:t>
      </w:r>
      <w:hyperlink r:id="rId5" w:history="1">
        <w:r w:rsidRPr="00BD75CA" w:rsidR="00C43A74">
          <w:rPr>
            <w:rStyle w:val="Hyperlink"/>
            <w:bCs/>
            <w:iCs/>
          </w:rPr>
          <w:t>2 CFR 200.301</w:t>
        </w:r>
      </w:hyperlink>
      <w:r w:rsidRPr="00BD75CA" w:rsidR="00E87FCE">
        <w:t>.</w:t>
      </w:r>
      <w:r w:rsidR="00EE671C">
        <w:t xml:space="preserve"> </w:t>
      </w:r>
      <w:r w:rsidRPr="00BD75CA" w:rsidR="004F110F">
        <w:t>Similarly</w:t>
      </w:r>
      <w:r w:rsidRPr="00BD75CA" w:rsidR="006C0BAF">
        <w:t>, F</w:t>
      </w:r>
      <w:r w:rsidR="00F75CB5">
        <w:t xml:space="preserve">ederal Acquisition </w:t>
      </w:r>
      <w:r w:rsidRPr="00BD75CA" w:rsidR="006C0BAF">
        <w:t>R</w:t>
      </w:r>
      <w:r w:rsidR="00F75CB5">
        <w:t>egulation</w:t>
      </w:r>
      <w:r w:rsidRPr="00BD75CA" w:rsidR="006C0BAF">
        <w:t xml:space="preserve"> Part 42 Contract Administration and Audit Services, </w:t>
      </w:r>
      <w:r w:rsidR="00A5617A">
        <w:t>s</w:t>
      </w:r>
      <w:r w:rsidRPr="00BD75CA" w:rsidR="006C0BAF">
        <w:t xml:space="preserve">ubpart </w:t>
      </w:r>
      <w:hyperlink r:id="rId6" w:anchor="FAR_Subpart_42_15" w:history="1">
        <w:r w:rsidRPr="00BD75CA" w:rsidR="006C0BAF">
          <w:rPr>
            <w:rStyle w:val="Hyperlink"/>
          </w:rPr>
          <w:t>42.15</w:t>
        </w:r>
      </w:hyperlink>
      <w:r w:rsidRPr="00BD75CA" w:rsidR="006C0BAF">
        <w:t xml:space="preserve"> - </w:t>
      </w:r>
      <w:r w:rsidRPr="00A5617A" w:rsidR="006C0BAF">
        <w:rPr>
          <w:i/>
          <w:iCs/>
        </w:rPr>
        <w:t>Contractor Performance Information</w:t>
      </w:r>
      <w:r w:rsidR="00A5617A">
        <w:t>,</w:t>
      </w:r>
      <w:r w:rsidRPr="00A5617A" w:rsidR="006C0BAF">
        <w:t xml:space="preserve"> </w:t>
      </w:r>
      <w:r w:rsidRPr="00BD75CA" w:rsidR="008D77DB">
        <w:t xml:space="preserve">requires agencies collect sufficient data to support past performance evaluations </w:t>
      </w:r>
      <w:r w:rsidRPr="00BD75CA" w:rsidR="006C0BAF">
        <w:t>for contracts.</w:t>
      </w:r>
      <w:r w:rsidRPr="00BD75CA" w:rsidR="008D77DB">
        <w:t xml:space="preserve"> </w:t>
      </w:r>
    </w:p>
    <w:p w:rsidR="008E2AA1" w:rsidP="0034267A" w14:paraId="27508BB8" w14:textId="77777777">
      <w:pPr>
        <w:pStyle w:val="Default"/>
      </w:pPr>
    </w:p>
    <w:p w:rsidR="00E54CA3" w:rsidP="00E54CA3" w14:paraId="46CEC422" w14:textId="37088B88">
      <w:pPr>
        <w:pStyle w:val="Default"/>
      </w:pPr>
      <w:r>
        <w:t xml:space="preserve">The lack of specificity of </w:t>
      </w:r>
      <w:r w:rsidR="004605BB">
        <w:t xml:space="preserve">the </w:t>
      </w:r>
      <w:r>
        <w:t xml:space="preserve">reporting mechanisms to the FDA’s program specific data needs imposed a substantial burden on award recipients and FDA internal stakeholders conducting program evaluations. Specific indicators of this burden include turnover in award coordinators responsible for reporting at recipient state regulatory agencies, numerous follow-ups needed for each reporting cycle by the FDA’s funded program managers to get the information to complete their programmatic assessments, and disproportionate hours spent reviewing reports and attempting to extract key program data with poor or unusable results. </w:t>
      </w:r>
    </w:p>
    <w:p w:rsidR="00E54CA3" w:rsidP="00E54CA3" w14:paraId="148E431D" w14:textId="72B00E08">
      <w:pPr>
        <w:pStyle w:val="Default"/>
      </w:pPr>
      <w:r>
        <w:t xml:space="preserve"> </w:t>
      </w:r>
    </w:p>
    <w:p w:rsidR="00E54CA3" w:rsidP="00E54CA3" w14:paraId="30B17C30" w14:textId="77777777">
      <w:pPr>
        <w:pStyle w:val="Default"/>
      </w:pPr>
      <w:r>
        <w:t xml:space="preserve">Generalized report forms used previously required a substantial time investment for state agency staff to cross-reference program requirements with more ambiguous data entry fields and seek assistance from FDA staff to understand requirements. Despite this level of effort, FDA program staff still received tens of thousands of pages of extraneous information that was not relevant or useful for their assessments. Turnover for state program coordinators magnified this burden on both sides. </w:t>
      </w:r>
    </w:p>
    <w:p w:rsidR="00E54CA3" w:rsidP="00E54CA3" w14:paraId="23F6104F" w14:textId="77777777">
      <w:pPr>
        <w:pStyle w:val="Default"/>
      </w:pPr>
    </w:p>
    <w:p w:rsidR="00E54CA3" w:rsidRPr="00BD75CA" w:rsidP="00E54CA3" w14:paraId="54C94F45" w14:textId="6A6E089C">
      <w:pPr>
        <w:pStyle w:val="Default"/>
      </w:pPr>
      <w:r>
        <w:t>High level</w:t>
      </w:r>
      <w:r>
        <w:t xml:space="preserve"> generalized reports further contributed to sub-optimal data quality because they lack programmatic specificity and structure. Without specific questions and guidance, FDA has seen the identical questions answered via widely different approaches across awardees within the same program. Every reporting cycle there were numerous instances of submitted reports that had to be sent back to awardees. In addition, regardless of the original format, attachments uploaded to the eRA Commons system are converted to a flattened PDF, which prevented any form of aggregation except manual recognition and extraction of needed data elements by individual FDA program staff. These factors limited the reliability of within and cross-program analyses and FDA’s ability to respond to inquiries on program effectiveness. Cumulative spending reports using the SF-425 that do not distinguish spending by tracks within an </w:t>
      </w:r>
      <w:r>
        <w:t xml:space="preserve">agreement or spending by major expense type limit </w:t>
      </w:r>
      <w:r w:rsidR="00343B5A">
        <w:t>Return on Investment (</w:t>
      </w:r>
      <w:r>
        <w:t>ROI</w:t>
      </w:r>
      <w:r w:rsidR="00343B5A">
        <w:t>)</w:t>
      </w:r>
      <w:r>
        <w:t>/</w:t>
      </w:r>
      <w:r w:rsidR="00343B5A">
        <w:t>Return on Value (</w:t>
      </w:r>
      <w:r>
        <w:t>ROV</w:t>
      </w:r>
      <w:r w:rsidR="00343B5A">
        <w:t>)</w:t>
      </w:r>
      <w:r>
        <w:t xml:space="preserve"> analysis, program evaluations, and identification of successful funding applications. The FDA tried to work within the constraints of existing data collection mechanisms for years with limited success to satisfy questions on how public health funds are being invested or achieving desired results under these programs using the pre-existing mechanisms.</w:t>
      </w:r>
    </w:p>
    <w:p w:rsidR="0034267A" w:rsidP="0034267A" w14:paraId="2AB5D3BD" w14:textId="77777777">
      <w:pPr>
        <w:pStyle w:val="Default"/>
      </w:pPr>
    </w:p>
    <w:p w:rsidR="00B465E0" w:rsidP="00B465E0" w14:paraId="2A8C995B" w14:textId="73C05F35">
      <w:pPr>
        <w:pStyle w:val="Default"/>
      </w:pPr>
      <w:r w:rsidRPr="00BD75CA">
        <w:t xml:space="preserve">Related to, but distinct from performance and progress measures and metrics, </w:t>
      </w:r>
      <w:r w:rsidR="00CC18E1">
        <w:t xml:space="preserve">FDA </w:t>
      </w:r>
      <w:r w:rsidR="00E3625F">
        <w:t xml:space="preserve">is </w:t>
      </w:r>
      <w:r w:rsidRPr="00BD75CA">
        <w:t>seek</w:t>
      </w:r>
      <w:r w:rsidR="00E3625F">
        <w:t xml:space="preserve">ing </w:t>
      </w:r>
      <w:r w:rsidRPr="00BD75CA">
        <w:t xml:space="preserve">to increase its efficiency in </w:t>
      </w:r>
      <w:r w:rsidR="00741D08">
        <w:t xml:space="preserve">analyzing and </w:t>
      </w:r>
      <w:r w:rsidRPr="00BD75CA">
        <w:t>evaluating program effectiveness</w:t>
      </w:r>
      <w:r w:rsidR="0024755A">
        <w:t xml:space="preserve"> and</w:t>
      </w:r>
      <w:r w:rsidRPr="00BD75CA">
        <w:t xml:space="preserve"> </w:t>
      </w:r>
      <w:r w:rsidR="001B5976">
        <w:t>ROI/ROV</w:t>
      </w:r>
      <w:r w:rsidRPr="00BD75CA">
        <w:t xml:space="preserve"> for </w:t>
      </w:r>
      <w:r w:rsidR="00635A77">
        <w:t xml:space="preserve">the </w:t>
      </w:r>
      <w:r w:rsidRPr="00BD75CA">
        <w:t xml:space="preserve">federal partnership projects </w:t>
      </w:r>
      <w:r w:rsidR="00635A77">
        <w:t xml:space="preserve">it </w:t>
      </w:r>
      <w:r w:rsidRPr="00BD75CA">
        <w:t>administers.</w:t>
      </w:r>
      <w:r w:rsidR="00635A77">
        <w:t xml:space="preserve">  </w:t>
      </w:r>
      <w:r w:rsidR="00C4183F">
        <w:t>This effort aligns with</w:t>
      </w:r>
      <w:r w:rsidR="002676B0">
        <w:t xml:space="preserve"> HHS specific performance measurement </w:t>
      </w:r>
      <w:r w:rsidR="00C4183F">
        <w:t xml:space="preserve">requirements </w:t>
      </w:r>
      <w:r w:rsidR="002676B0">
        <w:t>described in</w:t>
      </w:r>
      <w:r w:rsidR="0034267A">
        <w:t xml:space="preserve"> </w:t>
      </w:r>
      <w:r w:rsidR="00466D88">
        <w:t>45 CFR 75.301</w:t>
      </w:r>
      <w:r w:rsidR="00BC4AA0">
        <w:t xml:space="preserve">. </w:t>
      </w:r>
    </w:p>
    <w:p w:rsidR="00B465E0" w:rsidP="00B465E0" w14:paraId="02AFB4CB" w14:textId="77777777">
      <w:pPr>
        <w:pStyle w:val="Default"/>
      </w:pPr>
    </w:p>
    <w:p w:rsidR="00DC4A8F" w:rsidP="00B465E0" w14:paraId="447CF638" w14:textId="77777777">
      <w:pPr>
        <w:pStyle w:val="Default"/>
      </w:pPr>
      <w:r>
        <w:t xml:space="preserve">To increase our efficiency in evaluating program effectiveness and return-on-investment ROI/ ROV for the federally funded projects that we administer, we developed and established the use of digital forms under a pilot project information collection that contain tailored, standardized questions to capture data elements necessary to measure/track ROI/ROV, best practices, and program effectiveness.  Forms are submitted by email and aggregated into dynamic reports by program for FDA evaluators allowing for quick comparison of program data between report periods and comparable metrics to evaluate program success or lack of performance in a timely manner.  </w:t>
      </w:r>
    </w:p>
    <w:p w:rsidR="00800FD6" w:rsidP="0034267A" w14:paraId="35A64A31" w14:textId="77777777">
      <w:pPr>
        <w:pStyle w:val="Default"/>
      </w:pPr>
    </w:p>
    <w:p w:rsidR="0043609E" w:rsidP="0043609E" w14:paraId="4409C374" w14:textId="43C1B674">
      <w:pPr>
        <w:pStyle w:val="Default"/>
      </w:pPr>
      <w:r>
        <w:t xml:space="preserve">The following </w:t>
      </w:r>
      <w:r w:rsidR="00461F34">
        <w:t xml:space="preserve">digital </w:t>
      </w:r>
      <w:r>
        <w:t xml:space="preserve">forms </w:t>
      </w:r>
      <w:r w:rsidR="00461F34">
        <w:t xml:space="preserve">were established under the pilot </w:t>
      </w:r>
      <w:r w:rsidR="00005783">
        <w:t xml:space="preserve">project </w:t>
      </w:r>
      <w:r w:rsidR="00461F34">
        <w:t xml:space="preserve">and </w:t>
      </w:r>
      <w:r>
        <w:t>are currently included under this collection:</w:t>
      </w:r>
    </w:p>
    <w:p w:rsidR="0043609E" w:rsidP="0043609E" w14:paraId="459C1E85" w14:textId="77777777">
      <w:pPr>
        <w:pStyle w:val="Default"/>
      </w:pPr>
    </w:p>
    <w:p w:rsidR="0043609E" w:rsidP="0043609E" w14:paraId="114BA4F1" w14:textId="77777777">
      <w:pPr>
        <w:pStyle w:val="Default"/>
      </w:pPr>
      <w:r>
        <w:t>•</w:t>
      </w:r>
      <w:r>
        <w:tab/>
        <w:t>Animal Feed Regulatory Standards (AFRPS) Program Report</w:t>
      </w:r>
    </w:p>
    <w:p w:rsidR="0043609E" w:rsidP="0043609E" w14:paraId="1E03761D" w14:textId="77777777">
      <w:pPr>
        <w:pStyle w:val="Default"/>
      </w:pPr>
      <w:r>
        <w:t>•</w:t>
      </w:r>
      <w:r>
        <w:tab/>
        <w:t>Animal Food Contract Quarterly Summary Report</w:t>
      </w:r>
    </w:p>
    <w:p w:rsidR="0043609E" w:rsidP="0043609E" w14:paraId="05D6F1BB" w14:textId="77777777">
      <w:pPr>
        <w:pStyle w:val="Default"/>
      </w:pPr>
      <w:r>
        <w:t>•</w:t>
      </w:r>
      <w:r>
        <w:tab/>
        <w:t>Animal Food Safety Inspection Audit Form</w:t>
      </w:r>
    </w:p>
    <w:p w:rsidR="0043609E" w:rsidP="0043609E" w14:paraId="22045971" w14:textId="77777777">
      <w:pPr>
        <w:pStyle w:val="Default"/>
      </w:pPr>
      <w:r>
        <w:t>•</w:t>
      </w:r>
      <w:r>
        <w:tab/>
        <w:t xml:space="preserve">Corrective Action Plan for Program and Individual Performance Deficiencies </w:t>
      </w:r>
    </w:p>
    <w:p w:rsidR="0043609E" w:rsidP="0043609E" w14:paraId="1BE81AF8" w14:textId="77777777">
      <w:pPr>
        <w:pStyle w:val="Default"/>
      </w:pPr>
      <w:r>
        <w:t>•</w:t>
      </w:r>
      <w:r>
        <w:tab/>
        <w:t>Egg Contract Quarterly Summary Report</w:t>
      </w:r>
    </w:p>
    <w:p w:rsidR="0043609E" w:rsidP="0043609E" w14:paraId="325F6A8B" w14:textId="77777777">
      <w:pPr>
        <w:pStyle w:val="Default"/>
      </w:pPr>
      <w:r>
        <w:t>•</w:t>
      </w:r>
      <w:r>
        <w:tab/>
        <w:t>Emergency Response Course Preregistration Workbook</w:t>
      </w:r>
    </w:p>
    <w:p w:rsidR="0043609E" w:rsidP="0043609E" w14:paraId="11873728" w14:textId="77777777">
      <w:pPr>
        <w:pStyle w:val="Default"/>
      </w:pPr>
      <w:r>
        <w:t>•</w:t>
      </w:r>
      <w:r>
        <w:tab/>
        <w:t>FDA 3610 Field Inspection Audit</w:t>
      </w:r>
    </w:p>
    <w:p w:rsidR="0043609E" w:rsidP="0043609E" w14:paraId="0B5BB926" w14:textId="77777777">
      <w:pPr>
        <w:pStyle w:val="Default"/>
      </w:pPr>
      <w:r>
        <w:t>•</w:t>
      </w:r>
      <w:r>
        <w:tab/>
        <w:t>Flexible Funding Model (FFM) Program Report</w:t>
      </w:r>
    </w:p>
    <w:p w:rsidR="0043609E" w:rsidP="0043609E" w14:paraId="58DAA272" w14:textId="77777777">
      <w:pPr>
        <w:pStyle w:val="Default"/>
      </w:pPr>
      <w:r>
        <w:t>•</w:t>
      </w:r>
      <w:r>
        <w:tab/>
        <w:t>Food Protection Task Force (FPTF) Program Report</w:t>
      </w:r>
    </w:p>
    <w:p w:rsidR="0043609E" w:rsidP="003C0F50" w14:paraId="5696DFBB" w14:textId="77777777">
      <w:pPr>
        <w:pStyle w:val="Default"/>
        <w:ind w:left="720" w:hanging="720"/>
      </w:pPr>
      <w:r>
        <w:t>•</w:t>
      </w:r>
      <w:r>
        <w:tab/>
        <w:t>General Program Report Form (non-specific for new cooperative agreement and grant programs)</w:t>
      </w:r>
    </w:p>
    <w:p w:rsidR="0043609E" w:rsidP="0043609E" w14:paraId="7511ED7C" w14:textId="77777777">
      <w:pPr>
        <w:pStyle w:val="Default"/>
      </w:pPr>
      <w:r>
        <w:t>•</w:t>
      </w:r>
      <w:r>
        <w:tab/>
        <w:t>Human Food Contract Quarterly Summary Report</w:t>
      </w:r>
    </w:p>
    <w:p w:rsidR="0043609E" w:rsidP="0043609E" w14:paraId="4BD0A51C" w14:textId="77777777">
      <w:pPr>
        <w:pStyle w:val="Default"/>
      </w:pPr>
      <w:r>
        <w:t>•</w:t>
      </w:r>
      <w:r>
        <w:tab/>
        <w:t>Laboratory Flexible Funding Model (LFFM) Program Report</w:t>
      </w:r>
    </w:p>
    <w:p w:rsidR="0043609E" w:rsidP="0043609E" w14:paraId="1E5AEEC7" w14:textId="77777777">
      <w:pPr>
        <w:pStyle w:val="Default"/>
      </w:pPr>
      <w:r>
        <w:t>•</w:t>
      </w:r>
      <w:r>
        <w:tab/>
        <w:t>LFFM Instructions QTR LFFM Chem_LFFM HAF Results Sheet</w:t>
      </w:r>
    </w:p>
    <w:p w:rsidR="0043609E" w:rsidP="0043609E" w14:paraId="21870656" w14:textId="77777777">
      <w:pPr>
        <w:pStyle w:val="Default"/>
      </w:pPr>
      <w:r>
        <w:t>•</w:t>
      </w:r>
      <w:r>
        <w:tab/>
        <w:t>LFFM Instructions QTR Data Template Micro HAF Product Testing</w:t>
      </w:r>
    </w:p>
    <w:p w:rsidR="0043609E" w:rsidP="0043609E" w14:paraId="540AD401" w14:textId="77777777">
      <w:pPr>
        <w:pStyle w:val="Default"/>
      </w:pPr>
      <w:r>
        <w:t>•</w:t>
      </w:r>
      <w:r>
        <w:tab/>
        <w:t xml:space="preserve">LFFM Instructions Sample and Activity Plan Proposal </w:t>
      </w:r>
    </w:p>
    <w:p w:rsidR="0043609E" w:rsidP="0043609E" w14:paraId="3E73FE22" w14:textId="77777777">
      <w:pPr>
        <w:pStyle w:val="Default"/>
      </w:pPr>
      <w:r>
        <w:t>•</w:t>
      </w:r>
      <w:r>
        <w:tab/>
        <w:t>LFFM ORS Capability Inquiry Template</w:t>
      </w:r>
    </w:p>
    <w:p w:rsidR="0043609E" w:rsidP="0043609E" w14:paraId="02E93B0B" w14:textId="77777777">
      <w:pPr>
        <w:pStyle w:val="Default"/>
      </w:pPr>
      <w:r>
        <w:t>•</w:t>
      </w:r>
      <w:r>
        <w:tab/>
        <w:t>LFFM QTR Chem_LFFM_HAF_Results_Sheet</w:t>
      </w:r>
    </w:p>
    <w:p w:rsidR="0043609E" w:rsidP="0043609E" w14:paraId="488ABC8F" w14:textId="77777777">
      <w:pPr>
        <w:pStyle w:val="Default"/>
      </w:pPr>
      <w:r>
        <w:t>•</w:t>
      </w:r>
      <w:r>
        <w:tab/>
        <w:t>LFFM QTR Data Template Micro HAF Product Testing</w:t>
      </w:r>
    </w:p>
    <w:p w:rsidR="0043609E" w:rsidP="0043609E" w14:paraId="0D709033" w14:textId="77777777">
      <w:pPr>
        <w:pStyle w:val="Default"/>
      </w:pPr>
      <w:r>
        <w:t>•</w:t>
      </w:r>
      <w:r>
        <w:tab/>
        <w:t>LFFM Sample and Activity Plan_Proposal Template</w:t>
      </w:r>
    </w:p>
    <w:p w:rsidR="0043609E" w:rsidP="0043609E" w14:paraId="32589B44" w14:textId="77777777">
      <w:pPr>
        <w:pStyle w:val="Default"/>
      </w:pPr>
      <w:r>
        <w:t>•</w:t>
      </w:r>
      <w:r>
        <w:tab/>
        <w:t>LFFM_SRP-Lab Agreement Template_HAF Tracks</w:t>
      </w:r>
    </w:p>
    <w:p w:rsidR="0043609E" w:rsidP="0043609E" w14:paraId="0C495606" w14:textId="77777777">
      <w:pPr>
        <w:pStyle w:val="Default"/>
      </w:pPr>
      <w:r>
        <w:t>•</w:t>
      </w:r>
      <w:r>
        <w:tab/>
        <w:t>Manufactured Food Course Preregistration Workbook</w:t>
      </w:r>
    </w:p>
    <w:p w:rsidR="0043609E" w:rsidP="0043609E" w14:paraId="7475E13E" w14:textId="77777777">
      <w:pPr>
        <w:pStyle w:val="Default"/>
      </w:pPr>
      <w:r>
        <w:t>•</w:t>
      </w:r>
      <w:r>
        <w:tab/>
        <w:t>Medical Devices Contract Quarterly Summary Report</w:t>
      </w:r>
    </w:p>
    <w:p w:rsidR="0043609E" w:rsidP="0043609E" w14:paraId="694F0926" w14:textId="77777777">
      <w:pPr>
        <w:pStyle w:val="Default"/>
      </w:pPr>
      <w:r>
        <w:t>•</w:t>
      </w:r>
      <w:r>
        <w:tab/>
        <w:t>MQSA MEU and Spending Update Report</w:t>
      </w:r>
    </w:p>
    <w:p w:rsidR="0043609E" w:rsidP="0043609E" w14:paraId="181ED9F0" w14:textId="77777777">
      <w:pPr>
        <w:pStyle w:val="Default"/>
      </w:pPr>
      <w:r>
        <w:t>•</w:t>
      </w:r>
      <w:r>
        <w:tab/>
        <w:t>Produce CAP_Project Plan outline</w:t>
      </w:r>
    </w:p>
    <w:p w:rsidR="0043609E" w:rsidP="0043609E" w14:paraId="729B8B93" w14:textId="77777777">
      <w:pPr>
        <w:pStyle w:val="Default"/>
      </w:pPr>
      <w:r>
        <w:t>•</w:t>
      </w:r>
      <w:r>
        <w:tab/>
        <w:t>Produce CAP Assessment Template</w:t>
      </w:r>
    </w:p>
    <w:p w:rsidR="0043609E" w:rsidP="0043609E" w14:paraId="544679DE" w14:textId="77777777">
      <w:pPr>
        <w:pStyle w:val="Default"/>
      </w:pPr>
      <w:r>
        <w:t>•</w:t>
      </w:r>
      <w:r>
        <w:tab/>
        <w:t>Produce Course Preregistration Workbook</w:t>
      </w:r>
    </w:p>
    <w:p w:rsidR="0043609E" w:rsidP="0043609E" w14:paraId="2EBE100B" w14:textId="77777777">
      <w:pPr>
        <w:pStyle w:val="Default"/>
      </w:pPr>
      <w:r>
        <w:t>•</w:t>
      </w:r>
      <w:r>
        <w:tab/>
        <w:t>Produce Educational Needs Assessment Submission Template</w:t>
      </w:r>
    </w:p>
    <w:p w:rsidR="0043609E" w:rsidP="0043609E" w14:paraId="4C7A3A08" w14:textId="77777777">
      <w:pPr>
        <w:pStyle w:val="Default"/>
      </w:pPr>
      <w:r>
        <w:t>•</w:t>
      </w:r>
      <w:r>
        <w:tab/>
        <w:t>Produce Inspection Aggregate Data Workbook</w:t>
      </w:r>
    </w:p>
    <w:p w:rsidR="0043609E" w:rsidP="0043609E" w14:paraId="08111C0D" w14:textId="77777777">
      <w:pPr>
        <w:pStyle w:val="Default"/>
      </w:pPr>
      <w:r>
        <w:t>•</w:t>
      </w:r>
      <w:r>
        <w:tab/>
        <w:t>Produce Instructions Inspection Aggregate Data</w:t>
      </w:r>
    </w:p>
    <w:p w:rsidR="0043609E" w:rsidP="0043609E" w14:paraId="136DDBB8" w14:textId="77777777">
      <w:pPr>
        <w:pStyle w:val="Default"/>
      </w:pPr>
      <w:r>
        <w:t>•</w:t>
      </w:r>
      <w:r>
        <w:tab/>
        <w:t>Produce Inventory &amp; Education Aggregate Data workbook</w:t>
      </w:r>
    </w:p>
    <w:p w:rsidR="0043609E" w:rsidP="0043609E" w14:paraId="7892CFC6" w14:textId="77777777">
      <w:pPr>
        <w:pStyle w:val="Default"/>
      </w:pPr>
      <w:r>
        <w:t>•</w:t>
      </w:r>
      <w:r>
        <w:tab/>
        <w:t>Produce Instructions Inventory &amp; Education Aggregate Data</w:t>
      </w:r>
    </w:p>
    <w:p w:rsidR="0043609E" w:rsidP="0043609E" w14:paraId="3339C608" w14:textId="77777777">
      <w:pPr>
        <w:pStyle w:val="Default"/>
      </w:pPr>
      <w:r>
        <w:t>•</w:t>
      </w:r>
      <w:r>
        <w:tab/>
        <w:t>Produce Program Report</w:t>
      </w:r>
    </w:p>
    <w:p w:rsidR="0043609E" w:rsidP="0043609E" w14:paraId="4A6EF859" w14:textId="77777777">
      <w:pPr>
        <w:pStyle w:val="Default"/>
      </w:pPr>
      <w:r>
        <w:t>•</w:t>
      </w:r>
      <w:r>
        <w:tab/>
        <w:t>Request for Audit Reduction</w:t>
      </w:r>
    </w:p>
    <w:p w:rsidR="0043609E" w:rsidP="0043609E" w14:paraId="1E3A4733" w14:textId="77777777">
      <w:pPr>
        <w:pStyle w:val="Default"/>
      </w:pPr>
      <w:r>
        <w:t>•</w:t>
      </w:r>
      <w:r>
        <w:tab/>
        <w:t>Scientific Conference Program Report</w:t>
      </w:r>
    </w:p>
    <w:p w:rsidR="0043609E" w:rsidP="0043609E" w14:paraId="3CCA3357" w14:textId="77777777">
      <w:pPr>
        <w:pStyle w:val="Default"/>
      </w:pPr>
      <w:r>
        <w:t>•</w:t>
      </w:r>
      <w:r>
        <w:tab/>
        <w:t>State Implementation Agreement and Year End Evaluation</w:t>
      </w:r>
    </w:p>
    <w:p w:rsidR="001E4395" w:rsidP="0043609E" w14:paraId="16800B60" w14:textId="26BB75D2">
      <w:pPr>
        <w:pStyle w:val="Default"/>
      </w:pPr>
      <w:r>
        <w:t>•</w:t>
      </w:r>
      <w:r>
        <w:tab/>
        <w:t>Veterinary Medicine Course Preregistration Workbook</w:t>
      </w:r>
      <w:r w:rsidR="00F10B41">
        <w:t xml:space="preserve"> </w:t>
      </w:r>
    </w:p>
    <w:p w:rsidR="00DC4A8F" w:rsidP="0043609E" w14:paraId="00A3BD41" w14:textId="2AE21947">
      <w:pPr>
        <w:pStyle w:val="Default"/>
      </w:pPr>
    </w:p>
    <w:p w:rsidR="009815B2" w:rsidP="00831815" w14:paraId="092ECA0F" w14:textId="4761836A">
      <w:pPr>
        <w:pStyle w:val="Default"/>
      </w:pPr>
      <w:r>
        <w:t>As a result of the success of this pilot, FDA plans to use tailored forms for program performance metrics including ROI/ROV, identification of best practices, and program effectiveness data collection efforts for its current and newly funded public health projects moving forward.</w:t>
      </w:r>
      <w:r w:rsidR="00F10B41">
        <w:t xml:space="preserve"> </w:t>
      </w:r>
      <w:r w:rsidR="0034267A">
        <w:t xml:space="preserve">We </w:t>
      </w:r>
      <w:r w:rsidR="006363DB">
        <w:t xml:space="preserve">are </w:t>
      </w:r>
      <w:r w:rsidR="0034267A">
        <w:t>therefore request</w:t>
      </w:r>
      <w:r w:rsidR="006363DB">
        <w:t>ing</w:t>
      </w:r>
      <w:r w:rsidR="0034267A">
        <w:t xml:space="preserve"> OMB approval </w:t>
      </w:r>
      <w:r w:rsidR="005B670D">
        <w:t xml:space="preserve">and conclusion of the </w:t>
      </w:r>
      <w:r w:rsidR="006363DB">
        <w:t xml:space="preserve">pilot </w:t>
      </w:r>
      <w:r w:rsidR="005B670D">
        <w:t xml:space="preserve">phase of this </w:t>
      </w:r>
      <w:r w:rsidR="006363DB">
        <w:t>project</w:t>
      </w:r>
      <w:r w:rsidR="00831815">
        <w:t>.</w:t>
      </w:r>
      <w:r w:rsidR="003736B2">
        <w:t xml:space="preserve"> </w:t>
      </w:r>
    </w:p>
    <w:p w:rsidR="009815B2" w:rsidP="00831815" w14:paraId="73F585AD" w14:textId="77777777">
      <w:pPr>
        <w:pStyle w:val="Default"/>
      </w:pPr>
    </w:p>
    <w:p w:rsidR="00831815" w:rsidRPr="00BD75CA" w:rsidP="00831815" w14:paraId="71B67616" w14:textId="530EA5A5">
      <w:pPr>
        <w:pStyle w:val="Default"/>
        <w:rPr>
          <w:u w:val="single"/>
        </w:rPr>
      </w:pPr>
      <w:r w:rsidRPr="00BD75CA">
        <w:rPr>
          <w:u w:val="single"/>
        </w:rPr>
        <w:t>2. Purpose and Use of the Information Collected</w:t>
      </w:r>
    </w:p>
    <w:p w:rsidR="00831815" w:rsidP="00831815" w14:paraId="7FDD276B" w14:textId="77777777">
      <w:pPr>
        <w:pStyle w:val="Default"/>
      </w:pPr>
    </w:p>
    <w:p w:rsidR="005E22CA" w:rsidP="00831815" w14:paraId="71C9C004" w14:textId="7233FDED">
      <w:pPr>
        <w:pStyle w:val="Default"/>
      </w:pPr>
      <w:r w:rsidRPr="00752C3A">
        <w:t>Respondents to the information collection are State, local, Tribal and Territorial governments who are recipients of FDA-funded projects who submit required information to FDA.</w:t>
      </w:r>
      <w:r>
        <w:t xml:space="preserve">  </w:t>
      </w:r>
    </w:p>
    <w:p w:rsidR="005E22CA" w:rsidP="00831815" w14:paraId="07C891D8" w14:textId="77777777">
      <w:pPr>
        <w:pStyle w:val="Default"/>
      </w:pPr>
    </w:p>
    <w:p w:rsidR="005E22CA" w:rsidP="005E22CA" w14:paraId="6C56D81E" w14:textId="5AD8EE26">
      <w:pPr>
        <w:pStyle w:val="Default"/>
      </w:pPr>
      <w:r w:rsidRPr="009056BE">
        <w:t xml:space="preserve">Data resulting from the collection will be used to monitor awardee progress towards project goals and objectives, for quality improvement, and to respond to inquiries from the Department of Health and Human Services, Congress, and other sources. Monitoring and assessment of program activities allows FDA to effectively oversee the use of Federal funds. This information collection allows FDA to monitor the increased emphasis on partnerships and programmatic collaboration and is expected to enhance program impact and maximize the use of Federal funds using ROI/ROV metrics specific to the funding purpose of each program. Examples </w:t>
      </w:r>
      <w:r w:rsidRPr="009056BE" w:rsidR="009E3B3B">
        <w:t>include</w:t>
      </w:r>
      <w:r w:rsidRPr="009056BE">
        <w:t xml:space="preserve"> uniformity in regulatory staff trained under standardized food safety training programs, illumination of specific efforts or programs making outstanding contributions to public health or identification of funded projects that are failing to achieve their original purpose in time to correct course, and facilitating collaborative efforts and sharing of ideas or success stories that further public health on a national basis.</w:t>
      </w:r>
      <w:r w:rsidRPr="00537F1F">
        <w:t xml:space="preserve">   </w:t>
      </w:r>
    </w:p>
    <w:p w:rsidR="001633BF" w:rsidP="00831815" w14:paraId="68063047" w14:textId="77777777">
      <w:pPr>
        <w:pStyle w:val="Default"/>
      </w:pPr>
    </w:p>
    <w:bookmarkEnd w:id="2"/>
    <w:p w:rsidR="00733E27" w:rsidP="00831815" w14:paraId="485000B5" w14:textId="45D70E1F">
      <w:pPr>
        <w:pStyle w:val="Default"/>
      </w:pPr>
      <w:r>
        <w:t>R</w:t>
      </w:r>
      <w:r w:rsidRPr="00BD75CA" w:rsidR="00831815">
        <w:t xml:space="preserve">espondents complete approximately 2 to 4 reports </w:t>
      </w:r>
      <w:r w:rsidR="00831815">
        <w:t xml:space="preserve">that include </w:t>
      </w:r>
      <w:r w:rsidRPr="00BD75CA" w:rsidR="00831815">
        <w:t>specific questions regarding project updates</w:t>
      </w:r>
      <w:r w:rsidR="00831815">
        <w:t xml:space="preserve">.  </w:t>
      </w:r>
      <w:r w:rsidRPr="00BD75CA" w:rsidR="00831815">
        <w:t xml:space="preserve">For some projects, an initial report </w:t>
      </w:r>
      <w:r w:rsidR="000D58CA">
        <w:t xml:space="preserve">is </w:t>
      </w:r>
      <w:r w:rsidR="00831815">
        <w:t xml:space="preserve">to </w:t>
      </w:r>
      <w:r w:rsidRPr="00BD75CA" w:rsidR="00831815">
        <w:t xml:space="preserve">be </w:t>
      </w:r>
      <w:r w:rsidR="00831815">
        <w:t xml:space="preserve">submitted </w:t>
      </w:r>
      <w:r w:rsidRPr="00BD75CA" w:rsidR="00831815">
        <w:t>annually.</w:t>
      </w:r>
      <w:r w:rsidR="00831815">
        <w:t xml:space="preserve">  </w:t>
      </w:r>
      <w:r w:rsidRPr="00BD75CA" w:rsidR="00831815">
        <w:t xml:space="preserve">The initial report </w:t>
      </w:r>
      <w:r>
        <w:t xml:space="preserve">is </w:t>
      </w:r>
      <w:r w:rsidRPr="00BD75CA" w:rsidR="00831815">
        <w:t>not used to capture progress</w:t>
      </w:r>
      <w:r w:rsidR="00831815">
        <w:t xml:space="preserve"> but</w:t>
      </w:r>
      <w:r w:rsidRPr="00BD75CA" w:rsidR="00831815">
        <w:t xml:space="preserve"> ask the awardee for an </w:t>
      </w:r>
      <w:r>
        <w:t>action</w:t>
      </w:r>
      <w:r w:rsidRPr="00BD75CA" w:rsidR="00831815">
        <w:t xml:space="preserve"> plan used to set-up targeted report forms for that year.</w:t>
      </w:r>
      <w:r w:rsidR="00831815">
        <w:t xml:space="preserve">  Historically, this was accomplished by email or phone communication between the </w:t>
      </w:r>
      <w:r w:rsidR="00537F1F">
        <w:t xml:space="preserve">FDA </w:t>
      </w:r>
      <w:r w:rsidR="00831815">
        <w:t>program staff and participants</w:t>
      </w:r>
      <w:r>
        <w:t>.</w:t>
      </w:r>
      <w:r w:rsidR="00831815">
        <w:t xml:space="preserve"> </w:t>
      </w:r>
      <w:r>
        <w:t>T</w:t>
      </w:r>
      <w:r w:rsidR="00831815">
        <w:t>he initial report provide</w:t>
      </w:r>
      <w:r>
        <w:t>s</w:t>
      </w:r>
      <w:r w:rsidR="00831815">
        <w:t xml:space="preserve"> a standardized format to communicate this information.  </w:t>
      </w:r>
    </w:p>
    <w:p w:rsidR="00870070" w:rsidP="0034267A" w14:paraId="6B04980A" w14:textId="107956E7">
      <w:pPr>
        <w:pStyle w:val="Default"/>
      </w:pPr>
    </w:p>
    <w:p w:rsidR="00870070" w:rsidP="00870070" w14:paraId="1A54989F" w14:textId="7935F5FF">
      <w:pPr>
        <w:pStyle w:val="Default"/>
      </w:pPr>
      <w:r>
        <w:t xml:space="preserve">The pilot phase was considered a success after receiving positive feedback under proposed metrics from FDA data users for FDA administered funded public health projects. Specific feedback included a drastic increase in data quality received that provided itemized, uniform data for desired metrics. Significant reductions in the number of report follow-ups necessary to request additional information or clarify responses when compared to the prior unstructured </w:t>
      </w:r>
      <w:r>
        <w:t>narrative format. The pilot also facilitated the ability to aggregate reporting data quickly into a useful format for programmatic review (which was not possible with narrative reports) and respond effectively to data call requests, greatly decreasing staff response times for these requests. As a result of these forms, project managers are getting the key data points needed to evaluate return-on-investment and return-on-value (ROI/ROV) that were not being reported or reported inconsistently across programs.</w:t>
      </w:r>
    </w:p>
    <w:p w:rsidR="003B45B5" w:rsidP="00870070" w14:paraId="262B3FB5" w14:textId="6206D150">
      <w:pPr>
        <w:pStyle w:val="Default"/>
      </w:pPr>
    </w:p>
    <w:p w:rsidR="003B45B5" w:rsidP="003B45B5" w14:paraId="08B2A595" w14:textId="541F8A1D">
      <w:pPr>
        <w:pStyle w:val="Default"/>
      </w:pPr>
      <w:r>
        <w:t xml:space="preserve">Feedback from FDA internal and external stakeholders during the pilot phase confirm </w:t>
      </w:r>
      <w:r w:rsidRPr="00B84A51">
        <w:t xml:space="preserve">the use of standardized forms will reduce the time </w:t>
      </w:r>
      <w:r>
        <w:t xml:space="preserve">needed </w:t>
      </w:r>
      <w:r w:rsidRPr="00B84A51">
        <w:t xml:space="preserve">by awardees </w:t>
      </w:r>
      <w:r>
        <w:t xml:space="preserve">to complete and submit required </w:t>
      </w:r>
      <w:r w:rsidRPr="00B84A51">
        <w:t>progress reports and related performance data</w:t>
      </w:r>
      <w:r>
        <w:t>,</w:t>
      </w:r>
      <w:r w:rsidRPr="00B84A51">
        <w:t xml:space="preserve"> as well as </w:t>
      </w:r>
      <w:r>
        <w:t xml:space="preserve">facilitate review </w:t>
      </w:r>
      <w:r w:rsidRPr="00B84A51">
        <w:t xml:space="preserve">of </w:t>
      </w:r>
      <w:r>
        <w:t xml:space="preserve">the requisite information.  Targeted questions eliminate ambiguity in responses and allow categorical and quantitative review and evaluation of the </w:t>
      </w:r>
      <w:r w:rsidRPr="00B84A51">
        <w:t xml:space="preserve">reporting data </w:t>
      </w:r>
      <w:r>
        <w:t>and facilitates FDA</w:t>
      </w:r>
      <w:r w:rsidRPr="00B84A51">
        <w:t xml:space="preserve">’s ability to </w:t>
      </w:r>
      <w:r>
        <w:t xml:space="preserve">establish and employ best </w:t>
      </w:r>
      <w:r w:rsidRPr="00B84A51">
        <w:t xml:space="preserve">practices for future program and funding decisions </w:t>
      </w:r>
      <w:r>
        <w:t xml:space="preserve">for the </w:t>
      </w:r>
      <w:r w:rsidRPr="00B84A51">
        <w:t>public health projects</w:t>
      </w:r>
      <w:r>
        <w:t xml:space="preserve"> it administers</w:t>
      </w:r>
      <w:r w:rsidRPr="00B84A51">
        <w:t>.</w:t>
      </w:r>
      <w:r w:rsidRPr="00EC0B2A">
        <w:t xml:space="preserve"> </w:t>
      </w:r>
    </w:p>
    <w:p w:rsidR="003B45B5" w:rsidP="003B45B5" w14:paraId="59025E43" w14:textId="54C71404">
      <w:pPr>
        <w:pStyle w:val="Default"/>
      </w:pPr>
    </w:p>
    <w:p w:rsidR="0088370E" w:rsidP="00D40C58" w14:paraId="693F79B0" w14:textId="1B206BDF">
      <w:pPr>
        <w:pStyle w:val="Default"/>
      </w:pPr>
      <w:r w:rsidRPr="009D76F9">
        <w:t xml:space="preserve">Standardization of data elements and field designations </w:t>
      </w:r>
      <w:r>
        <w:t>has enabled</w:t>
      </w:r>
      <w:r w:rsidRPr="00537F1F">
        <w:t xml:space="preserve"> implementation of an easy-to-use data analysis dashboard for internal use and </w:t>
      </w:r>
      <w:r>
        <w:t xml:space="preserve">has </w:t>
      </w:r>
      <w:r w:rsidRPr="00537F1F">
        <w:t>greatly reduce</w:t>
      </w:r>
      <w:r>
        <w:t>d</w:t>
      </w:r>
      <w:r w:rsidRPr="00537F1F">
        <w:t xml:space="preserve"> burden of review activities for project managers as well.  </w:t>
      </w:r>
      <w:r>
        <w:t>This</w:t>
      </w:r>
      <w:r w:rsidRPr="00537F1F">
        <w:t xml:space="preserve"> system eliminate</w:t>
      </w:r>
      <w:r>
        <w:t>s</w:t>
      </w:r>
      <w:r w:rsidRPr="00537F1F">
        <w:t xml:space="preserve"> the need to manually search long narratives for specific indicators of awardee progress toward required performance metrics because applicable progress narratives will be linked as the awardee enters information in a specified data entry field.  The reduction in review time </w:t>
      </w:r>
      <w:r>
        <w:t>has</w:t>
      </w:r>
      <w:r w:rsidRPr="00537F1F">
        <w:t xml:space="preserve"> improve</w:t>
      </w:r>
      <w:r>
        <w:t>d</w:t>
      </w:r>
      <w:r w:rsidRPr="00537F1F">
        <w:t xml:space="preserve"> project managers’ response times to awardees and greatly reduce</w:t>
      </w:r>
      <w:r>
        <w:t>d the</w:t>
      </w:r>
      <w:r w:rsidRPr="00537F1F">
        <w:t xml:space="preserve"> incidences of requesting additional information due to missed performance metrics (e.g., metrics not addressed in the report by mistake or missed during the review).</w:t>
      </w:r>
    </w:p>
    <w:p w:rsidR="006937C9" w:rsidP="0034267A" w14:paraId="2D1E75C0" w14:textId="77777777">
      <w:pPr>
        <w:pStyle w:val="Default"/>
      </w:pPr>
    </w:p>
    <w:p w:rsidR="00EB4765" w:rsidRPr="00BD75CA" w:rsidP="0034267A" w14:paraId="5B46C532" w14:textId="38A500DA">
      <w:pPr>
        <w:pStyle w:val="Default"/>
        <w:rPr>
          <w:u w:val="single"/>
        </w:rPr>
      </w:pPr>
      <w:r w:rsidRPr="00BD75CA">
        <w:rPr>
          <w:u w:val="single"/>
        </w:rPr>
        <w:t>3. Use of Improved Information Technology and Burden Reduction</w:t>
      </w:r>
    </w:p>
    <w:p w:rsidR="00FE5801" w:rsidP="0034267A" w14:paraId="05C57856" w14:textId="77777777">
      <w:pPr>
        <w:pStyle w:val="Default"/>
      </w:pPr>
    </w:p>
    <w:p w:rsidR="00FE5801" w:rsidP="0034267A" w14:paraId="180509E8" w14:textId="31C20C28">
      <w:pPr>
        <w:pStyle w:val="Default"/>
      </w:pPr>
      <w:r>
        <w:t>Previous</w:t>
      </w:r>
      <w:r w:rsidRPr="00BD75CA">
        <w:t>ly</w:t>
      </w:r>
      <w:r w:rsidRPr="00BD75CA" w:rsidR="003736B2">
        <w:t>,</w:t>
      </w:r>
      <w:r w:rsidR="00EE0F53">
        <w:t xml:space="preserve"> project</w:t>
      </w:r>
      <w:r w:rsidRPr="00BD75CA" w:rsidR="003736B2">
        <w:t xml:space="preserve"> performance data </w:t>
      </w:r>
      <w:r w:rsidR="00FA19DA">
        <w:t>was</w:t>
      </w:r>
      <w:r w:rsidRPr="00BD75CA" w:rsidR="003736B2">
        <w:t xml:space="preserve"> </w:t>
      </w:r>
      <w:r w:rsidR="00EE0F53">
        <w:t xml:space="preserve">reported </w:t>
      </w:r>
      <w:r w:rsidRPr="00BD75CA" w:rsidR="003736B2">
        <w:t xml:space="preserve">in </w:t>
      </w:r>
      <w:r w:rsidRPr="00BD75CA" w:rsidR="00B750EF">
        <w:t xml:space="preserve">free text and </w:t>
      </w:r>
      <w:r w:rsidRPr="00BD75CA" w:rsidR="003736B2">
        <w:t xml:space="preserve">narrative form </w:t>
      </w:r>
      <w:r w:rsidR="009869C7">
        <w:t xml:space="preserve">in </w:t>
      </w:r>
      <w:r w:rsidR="001633BF">
        <w:t>PDF</w:t>
      </w:r>
      <w:r w:rsidR="009869C7">
        <w:t xml:space="preserve"> </w:t>
      </w:r>
      <w:r w:rsidR="00EE0F53">
        <w:t xml:space="preserve">submitted by </w:t>
      </w:r>
      <w:r w:rsidR="006A2AA6">
        <w:t xml:space="preserve">email </w:t>
      </w:r>
      <w:r w:rsidR="00807A5D">
        <w:t xml:space="preserve">at the Mid-Year, </w:t>
      </w:r>
      <w:r w:rsidR="006A2AA6">
        <w:t xml:space="preserve">or in the case of the </w:t>
      </w:r>
      <w:r w:rsidR="00807A5D">
        <w:t>A</w:t>
      </w:r>
      <w:r w:rsidR="006A2AA6">
        <w:t>nnual</w:t>
      </w:r>
      <w:r w:rsidR="00807A5D">
        <w:t>/End of Year</w:t>
      </w:r>
      <w:r w:rsidR="006A2AA6">
        <w:t xml:space="preserve"> </w:t>
      </w:r>
      <w:r w:rsidR="00807A5D">
        <w:t>R</w:t>
      </w:r>
      <w:r w:rsidR="006A2AA6">
        <w:t>eport via eRA Commons using the Research Performance Progress Report (RPPR)</w:t>
      </w:r>
      <w:r w:rsidR="00C67907">
        <w:t>,</w:t>
      </w:r>
      <w:r w:rsidR="006A2AA6">
        <w:t xml:space="preserve"> </w:t>
      </w:r>
      <w:r w:rsidRPr="00044D79" w:rsidR="00044D79">
        <w:t>OMB 0970-0334</w:t>
      </w:r>
      <w:r w:rsidR="00044D79">
        <w:t xml:space="preserve"> </w:t>
      </w:r>
      <w:r w:rsidR="006A2AA6">
        <w:t>and Federal Financial Report (FFR) SF-425</w:t>
      </w:r>
      <w:r w:rsidRPr="00BD75CA" w:rsidR="006A2AA6">
        <w:t>.</w:t>
      </w:r>
      <w:r w:rsidR="00CE32ED">
        <w:t xml:space="preserve">  </w:t>
      </w:r>
      <w:r>
        <w:t>This collection</w:t>
      </w:r>
      <w:r w:rsidR="007913C6">
        <w:t xml:space="preserve"> </w:t>
      </w:r>
      <w:r w:rsidR="00BE4680">
        <w:t>utilize</w:t>
      </w:r>
      <w:r>
        <w:t>s</w:t>
      </w:r>
      <w:r w:rsidRPr="00BD75CA" w:rsidR="003736B2">
        <w:t xml:space="preserve"> </w:t>
      </w:r>
      <w:r w:rsidRPr="00BD75CA" w:rsidR="007A13D4">
        <w:t xml:space="preserve">digital </w:t>
      </w:r>
      <w:r w:rsidRPr="00BD75CA" w:rsidR="003736B2">
        <w:t>forms</w:t>
      </w:r>
      <w:r w:rsidR="006A2AA6">
        <w:t xml:space="preserve"> in MS Excel or fillable pdf</w:t>
      </w:r>
      <w:r w:rsidR="00044D79">
        <w:t xml:space="preserve"> format</w:t>
      </w:r>
      <w:r w:rsidRPr="00BD75CA" w:rsidR="003736B2">
        <w:t xml:space="preserve"> </w:t>
      </w:r>
      <w:r w:rsidRPr="00BD75CA" w:rsidR="003343D5">
        <w:t>with</w:t>
      </w:r>
      <w:r w:rsidRPr="00BD75CA" w:rsidR="003736B2">
        <w:t xml:space="preserve"> </w:t>
      </w:r>
      <w:r w:rsidRPr="00BD75CA" w:rsidR="00C84791">
        <w:t>standardized</w:t>
      </w:r>
      <w:r w:rsidRPr="00BD75CA" w:rsidR="003736B2">
        <w:t xml:space="preserve"> reporting element</w:t>
      </w:r>
      <w:r w:rsidRPr="00BD75CA" w:rsidR="003343D5">
        <w:t>s</w:t>
      </w:r>
      <w:r w:rsidRPr="00BD75CA" w:rsidR="003736B2">
        <w:t xml:space="preserve"> </w:t>
      </w:r>
      <w:r w:rsidRPr="00BD75CA" w:rsidR="00C84791">
        <w:t>common</w:t>
      </w:r>
      <w:r w:rsidRPr="00BD75CA" w:rsidR="00B6665E">
        <w:t xml:space="preserve"> to all </w:t>
      </w:r>
      <w:r w:rsidRPr="00BD75CA" w:rsidR="003736B2">
        <w:t>awardees</w:t>
      </w:r>
      <w:r w:rsidRPr="00BD75CA" w:rsidR="00C84791">
        <w:t>.</w:t>
      </w:r>
      <w:r w:rsidRPr="00BD75CA" w:rsidR="003736B2">
        <w:t xml:space="preserve"> </w:t>
      </w:r>
      <w:r w:rsidR="00955B89">
        <w:t xml:space="preserve"> </w:t>
      </w:r>
      <w:r w:rsidRPr="00BD75CA" w:rsidR="00C84791">
        <w:t xml:space="preserve">These forms </w:t>
      </w:r>
      <w:r w:rsidR="00D106E3">
        <w:t xml:space="preserve">are intended to capture </w:t>
      </w:r>
      <w:r w:rsidRPr="00BD75CA" w:rsidR="00C84791">
        <w:t>specific</w:t>
      </w:r>
      <w:r w:rsidR="00D106E3">
        <w:t xml:space="preserve"> data</w:t>
      </w:r>
      <w:r w:rsidRPr="00BD75CA" w:rsidR="00C84791">
        <w:t xml:space="preserve"> needed </w:t>
      </w:r>
      <w:r w:rsidRPr="00BD75CA" w:rsidR="003736B2">
        <w:t xml:space="preserve">to </w:t>
      </w:r>
      <w:r w:rsidRPr="00BD75CA" w:rsidR="007B3FB8">
        <w:t xml:space="preserve">document progress </w:t>
      </w:r>
      <w:r w:rsidRPr="00BD75CA" w:rsidR="003834CB">
        <w:t>planned</w:t>
      </w:r>
      <w:r w:rsidRPr="00BD75CA" w:rsidR="003736B2">
        <w:t xml:space="preserve"> </w:t>
      </w:r>
      <w:r w:rsidRPr="00BD75CA" w:rsidR="003834CB">
        <w:t>and linked to specific performance elements for</w:t>
      </w:r>
      <w:r w:rsidRPr="00BD75CA" w:rsidR="00C84791">
        <w:t xml:space="preserve"> an</w:t>
      </w:r>
      <w:r w:rsidRPr="00BD75CA" w:rsidR="003736B2">
        <w:t xml:space="preserve"> </w:t>
      </w:r>
      <w:r w:rsidRPr="00BD75CA" w:rsidR="00C84791">
        <w:t>individual</w:t>
      </w:r>
      <w:r w:rsidRPr="00BD75CA" w:rsidR="003343D5">
        <w:t xml:space="preserve"> </w:t>
      </w:r>
      <w:r w:rsidRPr="00BD75CA" w:rsidR="007B3FB8">
        <w:t>award</w:t>
      </w:r>
      <w:r w:rsidRPr="00BD75CA" w:rsidR="003736B2">
        <w:t xml:space="preserve"> at the beginning of each budget year.</w:t>
      </w:r>
      <w:r w:rsidR="00A45B69">
        <w:t xml:space="preserve">  </w:t>
      </w:r>
      <w:r w:rsidRPr="00BD75CA" w:rsidR="003834CB">
        <w:t xml:space="preserve">Planned </w:t>
      </w:r>
      <w:r w:rsidRPr="00BD75CA" w:rsidR="00AD266F">
        <w:t>progress</w:t>
      </w:r>
      <w:r w:rsidR="006A34BA">
        <w:t xml:space="preserve"> under action</w:t>
      </w:r>
      <w:r w:rsidRPr="00BD75CA" w:rsidR="00AD266F">
        <w:t xml:space="preserve"> </w:t>
      </w:r>
      <w:r w:rsidRPr="00BD75CA" w:rsidR="003834CB">
        <w:t>items</w:t>
      </w:r>
      <w:r w:rsidRPr="00BD75CA" w:rsidR="00340965">
        <w:t xml:space="preserve"> from </w:t>
      </w:r>
      <w:r w:rsidRPr="00BD75CA" w:rsidR="003834CB">
        <w:t>standardized</w:t>
      </w:r>
      <w:r w:rsidRPr="00BD75CA" w:rsidR="003343D5">
        <w:t xml:space="preserve"> form</w:t>
      </w:r>
      <w:r w:rsidRPr="00BD75CA" w:rsidR="003834CB">
        <w:t>s</w:t>
      </w:r>
      <w:r w:rsidRPr="00BD75CA" w:rsidR="003343D5">
        <w:t xml:space="preserve"> </w:t>
      </w:r>
      <w:r>
        <w:t>are</w:t>
      </w:r>
      <w:r w:rsidRPr="00BD75CA" w:rsidR="003343D5">
        <w:t xml:space="preserve"> captured in an aggregate </w:t>
      </w:r>
      <w:r w:rsidRPr="00BD75CA" w:rsidR="00340965">
        <w:t xml:space="preserve">data management </w:t>
      </w:r>
      <w:r w:rsidRPr="00BD75CA" w:rsidR="003343D5">
        <w:t xml:space="preserve">dashboard for easy review and extraction by </w:t>
      </w:r>
      <w:r w:rsidRPr="00BD75CA" w:rsidR="003834CB">
        <w:t>project</w:t>
      </w:r>
      <w:r w:rsidRPr="00BD75CA" w:rsidR="003343D5">
        <w:t xml:space="preserve"> managers.</w:t>
      </w:r>
      <w:r w:rsidR="00A45B69">
        <w:t xml:space="preserve">  </w:t>
      </w:r>
      <w:r w:rsidRPr="00BD75CA" w:rsidR="003834CB">
        <w:t xml:space="preserve">Planned items </w:t>
      </w:r>
      <w:r w:rsidRPr="00BD75CA" w:rsidR="00940AD4">
        <w:t xml:space="preserve">may </w:t>
      </w:r>
      <w:r w:rsidRPr="00BD75CA" w:rsidR="007E5566">
        <w:t>also</w:t>
      </w:r>
      <w:r w:rsidRPr="00BD75CA" w:rsidR="003343D5">
        <w:t xml:space="preserve"> be used to pre-</w:t>
      </w:r>
      <w:r w:rsidR="00D6150A">
        <w:t xml:space="preserve">populate data fields </w:t>
      </w:r>
      <w:r w:rsidR="00560345">
        <w:t xml:space="preserve">in subsequent </w:t>
      </w:r>
      <w:r w:rsidRPr="00BD75CA" w:rsidR="003834CB">
        <w:t xml:space="preserve">progress </w:t>
      </w:r>
      <w:r w:rsidRPr="00BD75CA" w:rsidR="00340965">
        <w:t>reports</w:t>
      </w:r>
      <w:r w:rsidRPr="00BD75CA" w:rsidR="003834CB">
        <w:t xml:space="preserve"> </w:t>
      </w:r>
      <w:r w:rsidRPr="00BD75CA" w:rsidR="003343D5">
        <w:t xml:space="preserve">for </w:t>
      </w:r>
      <w:r w:rsidRPr="00BD75CA" w:rsidR="003834CB">
        <w:t xml:space="preserve">easy reference by </w:t>
      </w:r>
      <w:r w:rsidR="00560345">
        <w:t>respondents.</w:t>
      </w:r>
      <w:r w:rsidR="007748DF">
        <w:t xml:space="preserve"> </w:t>
      </w:r>
      <w:r w:rsidRPr="00BD75CA" w:rsidR="00B6665E">
        <w:t xml:space="preserve">This </w:t>
      </w:r>
      <w:r w:rsidRPr="00BD75CA" w:rsidR="00B750EF">
        <w:t xml:space="preserve">approach </w:t>
      </w:r>
      <w:r w:rsidRPr="00BD75CA" w:rsidR="00B6665E">
        <w:t>reduce</w:t>
      </w:r>
      <w:r w:rsidR="006A34BA">
        <w:t>s</w:t>
      </w:r>
      <w:r w:rsidRPr="00BD75CA" w:rsidR="00B6665E">
        <w:t xml:space="preserve"> the time </w:t>
      </w:r>
      <w:r w:rsidRPr="00BD75CA" w:rsidR="009376A2">
        <w:t xml:space="preserve">and effort </w:t>
      </w:r>
      <w:r w:rsidRPr="00BD75CA" w:rsidR="00B6665E">
        <w:t>burden for awardee</w:t>
      </w:r>
      <w:r w:rsidRPr="00BD75CA" w:rsidR="009376A2">
        <w:t>s</w:t>
      </w:r>
      <w:r w:rsidRPr="00BD75CA" w:rsidR="00B6665E">
        <w:t xml:space="preserve"> </w:t>
      </w:r>
      <w:r w:rsidRPr="00BD75CA" w:rsidR="009376A2">
        <w:t xml:space="preserve">by </w:t>
      </w:r>
      <w:r w:rsidRPr="00BD75CA" w:rsidR="00314F95">
        <w:t>providing previously planned progress</w:t>
      </w:r>
      <w:r w:rsidR="006A34BA">
        <w:t xml:space="preserve"> action</w:t>
      </w:r>
      <w:r w:rsidRPr="00BD75CA" w:rsidR="00314F95">
        <w:t xml:space="preserve"> items and a standard structure with labeled </w:t>
      </w:r>
      <w:r w:rsidRPr="00BD75CA" w:rsidR="00113A4C">
        <w:t>data</w:t>
      </w:r>
      <w:r w:rsidRPr="00BD75CA" w:rsidR="00314F95">
        <w:t xml:space="preserve"> fields for project progress</w:t>
      </w:r>
      <w:r w:rsidRPr="00BD75CA" w:rsidR="00113A4C">
        <w:t xml:space="preserve"> and performance</w:t>
      </w:r>
      <w:r w:rsidRPr="00BD75CA" w:rsidR="00314F95">
        <w:t xml:space="preserve"> report</w:t>
      </w:r>
      <w:r w:rsidRPr="00BD75CA" w:rsidR="00C84791">
        <w:t xml:space="preserve"> data</w:t>
      </w:r>
      <w:r w:rsidRPr="00BD75CA" w:rsidR="00314F95">
        <w:t xml:space="preserve"> that clearly connect progress narratives to the applicable performance metrics for </w:t>
      </w:r>
      <w:r w:rsidRPr="00BD75CA" w:rsidR="00C84791">
        <w:t>an</w:t>
      </w:r>
      <w:r w:rsidRPr="00BD75CA" w:rsidR="00314F95">
        <w:t xml:space="preserve"> award.</w:t>
      </w:r>
      <w:r w:rsidR="007748DF">
        <w:t xml:space="preserve">  </w:t>
      </w:r>
      <w:r w:rsidRPr="00BD75CA" w:rsidR="00314F95">
        <w:t>The addition of</w:t>
      </w:r>
      <w:r w:rsidRPr="00BD75CA" w:rsidR="009376A2">
        <w:t xml:space="preserve"> </w:t>
      </w:r>
      <w:r w:rsidRPr="00BD75CA" w:rsidR="00314F95">
        <w:t>drop-down menu</w:t>
      </w:r>
      <w:r w:rsidRPr="00BD75CA" w:rsidR="009376A2">
        <w:t xml:space="preserve">s for </w:t>
      </w:r>
      <w:r w:rsidRPr="00BD75CA" w:rsidR="00314F95">
        <w:t xml:space="preserve">data capture </w:t>
      </w:r>
      <w:r w:rsidRPr="00BD75CA" w:rsidR="00113A4C">
        <w:t xml:space="preserve">when </w:t>
      </w:r>
      <w:r w:rsidRPr="00BD75CA" w:rsidR="006937C9">
        <w:t>possible,</w:t>
      </w:r>
      <w:r w:rsidRPr="00BD75CA" w:rsidR="00314F95">
        <w:t xml:space="preserve"> also</w:t>
      </w:r>
      <w:r w:rsidRPr="00BD75CA" w:rsidR="009376A2">
        <w:t xml:space="preserve"> reduce</w:t>
      </w:r>
      <w:r w:rsidR="006A34BA">
        <w:t>s</w:t>
      </w:r>
      <w:r w:rsidRPr="00BD75CA" w:rsidR="009376A2">
        <w:t xml:space="preserve"> the dependence on </w:t>
      </w:r>
      <w:r w:rsidRPr="00BD75CA" w:rsidR="00314F95">
        <w:t xml:space="preserve">free-form </w:t>
      </w:r>
      <w:r w:rsidRPr="00BD75CA" w:rsidR="009376A2">
        <w:t xml:space="preserve">narrative text </w:t>
      </w:r>
      <w:r w:rsidRPr="00BD75CA" w:rsidR="00314F95">
        <w:t>and</w:t>
      </w:r>
      <w:r w:rsidRPr="00BD75CA" w:rsidR="009376A2">
        <w:t xml:space="preserve"> further standardize</w:t>
      </w:r>
      <w:r w:rsidR="006A34BA">
        <w:t>s</w:t>
      </w:r>
      <w:r w:rsidRPr="00BD75CA" w:rsidR="009376A2">
        <w:t xml:space="preserve"> </w:t>
      </w:r>
      <w:r w:rsidRPr="00BD75CA" w:rsidR="00113A4C">
        <w:t>progress data</w:t>
      </w:r>
      <w:r w:rsidRPr="00BD75CA" w:rsidR="009376A2">
        <w:t>.</w:t>
      </w:r>
      <w:r w:rsidRPr="00BD75CA" w:rsidR="00B750EF">
        <w:t xml:space="preserve"> </w:t>
      </w:r>
    </w:p>
    <w:p w:rsidR="005E2D41" w:rsidP="0034267A" w14:paraId="551B7541" w14:textId="77777777">
      <w:pPr>
        <w:pStyle w:val="Default"/>
      </w:pPr>
    </w:p>
    <w:p w:rsidR="00EC7492" w:rsidP="0034267A" w14:paraId="54E8D505" w14:textId="3FEB2221">
      <w:pPr>
        <w:pStyle w:val="Default"/>
      </w:pPr>
      <w:r w:rsidRPr="006937C9">
        <w:t>Each progress report form</w:t>
      </w:r>
      <w:r w:rsidRPr="006937C9" w:rsidR="00340965">
        <w:t xml:space="preserve"> include</w:t>
      </w:r>
      <w:r w:rsidRPr="006937C9" w:rsidR="006A34BA">
        <w:t>s</w:t>
      </w:r>
      <w:r w:rsidRPr="006937C9" w:rsidR="00340965">
        <w:t xml:space="preserve"> a customizable section </w:t>
      </w:r>
      <w:r w:rsidRPr="006937C9" w:rsidR="006A34BA">
        <w:t xml:space="preserve">specific to that </w:t>
      </w:r>
      <w:r w:rsidRPr="006937C9">
        <w:t>public health project</w:t>
      </w:r>
      <w:r w:rsidRPr="006937C9" w:rsidR="00340965">
        <w:t xml:space="preserve"> to ensure that </w:t>
      </w:r>
      <w:r w:rsidRPr="006937C9">
        <w:t>project</w:t>
      </w:r>
      <w:r w:rsidRPr="006937C9" w:rsidR="00340965">
        <w:t xml:space="preserve"> managers have the flexibility to ensure the performance data </w:t>
      </w:r>
      <w:r w:rsidRPr="006937C9" w:rsidR="007008BF">
        <w:t xml:space="preserve">types </w:t>
      </w:r>
      <w:r w:rsidRPr="006937C9" w:rsidR="009376A2">
        <w:t>unique</w:t>
      </w:r>
      <w:r w:rsidRPr="006937C9" w:rsidR="00340965">
        <w:t xml:space="preserve"> to t</w:t>
      </w:r>
      <w:r w:rsidRPr="006937C9">
        <w:t>hat project</w:t>
      </w:r>
      <w:r w:rsidRPr="006937C9" w:rsidR="00340965">
        <w:t xml:space="preserve"> </w:t>
      </w:r>
      <w:r w:rsidRPr="006937C9" w:rsidR="009376A2">
        <w:t>award</w:t>
      </w:r>
      <w:r w:rsidRPr="006937C9" w:rsidR="00340965">
        <w:t xml:space="preserve"> will be captured</w:t>
      </w:r>
      <w:r w:rsidRPr="006937C9" w:rsidR="009376A2">
        <w:t>.</w:t>
      </w:r>
      <w:r w:rsidRPr="009056BE" w:rsidR="009376A2">
        <w:t xml:space="preserve"> </w:t>
      </w:r>
      <w:r w:rsidRPr="009056BE" w:rsidR="00EE6E9E">
        <w:t>P</w:t>
      </w:r>
      <w:r w:rsidRPr="009056BE" w:rsidR="00345D26">
        <w:t xml:space="preserve">ublic health </w:t>
      </w:r>
      <w:r w:rsidRPr="009056BE" w:rsidR="00EE6E9E">
        <w:t xml:space="preserve">funding applications are frequently informed by current risks and significant </w:t>
      </w:r>
      <w:r w:rsidRPr="009056BE" w:rsidR="00351335">
        <w:t xml:space="preserve">public health </w:t>
      </w:r>
      <w:r w:rsidRPr="009056BE" w:rsidR="00EE6E9E">
        <w:t xml:space="preserve">events </w:t>
      </w:r>
      <w:r w:rsidRPr="009056BE" w:rsidR="00351335">
        <w:t xml:space="preserve">that require quick and efficient application of </w:t>
      </w:r>
      <w:r w:rsidRPr="009056BE" w:rsidR="00351335">
        <w:t xml:space="preserve">funding and prompt development of </w:t>
      </w:r>
      <w:r w:rsidRPr="009056BE" w:rsidR="009056BE">
        <w:t xml:space="preserve">specific </w:t>
      </w:r>
      <w:r w:rsidRPr="009056BE" w:rsidR="00351335">
        <w:t>program metrics to monitor effectiveness. Often</w:t>
      </w:r>
      <w:r w:rsidRPr="009056BE" w:rsidR="00EE6E9E">
        <w:t xml:space="preserve"> </w:t>
      </w:r>
      <w:r w:rsidRPr="009056BE" w:rsidR="00537F1F">
        <w:t xml:space="preserve">these </w:t>
      </w:r>
      <w:r w:rsidRPr="009056BE" w:rsidR="00EE6E9E">
        <w:t xml:space="preserve">programs have </w:t>
      </w:r>
      <w:r w:rsidRPr="009056BE" w:rsidR="00351335">
        <w:t xml:space="preserve">short lifecycles and </w:t>
      </w:r>
      <w:r w:rsidRPr="009056BE" w:rsidR="00EE6E9E">
        <w:t>very specific goals compared to other types of fun</w:t>
      </w:r>
      <w:r w:rsidRPr="009056BE" w:rsidR="00351335">
        <w:t>ded</w:t>
      </w:r>
      <w:r w:rsidRPr="009056BE" w:rsidR="00EE6E9E">
        <w:t xml:space="preserve"> projects necessitating </w:t>
      </w:r>
      <w:r w:rsidRPr="009056BE" w:rsidR="00A17FFA">
        <w:t>tailored questions for efficient monitoring of program performance</w:t>
      </w:r>
      <w:r w:rsidRPr="009056BE" w:rsidR="00351335">
        <w:t xml:space="preserve">. </w:t>
      </w:r>
      <w:r w:rsidRPr="009056BE">
        <w:t xml:space="preserve">Customized </w:t>
      </w:r>
      <w:r w:rsidRPr="009056BE" w:rsidR="009376A2">
        <w:t xml:space="preserve">sections </w:t>
      </w:r>
      <w:r w:rsidRPr="009056BE">
        <w:t>will still include</w:t>
      </w:r>
      <w:r w:rsidRPr="009056BE" w:rsidR="009376A2">
        <w:t xml:space="preserve"> </w:t>
      </w:r>
      <w:r w:rsidRPr="009056BE">
        <w:t>labeled data</w:t>
      </w:r>
      <w:r w:rsidRPr="009056BE" w:rsidR="009376A2">
        <w:t xml:space="preserve"> fields </w:t>
      </w:r>
      <w:r w:rsidRPr="009056BE">
        <w:t xml:space="preserve">and standard drop-down menus </w:t>
      </w:r>
      <w:r w:rsidRPr="009056BE" w:rsidR="009376A2">
        <w:t>as opposed to free text when possible</w:t>
      </w:r>
      <w:r w:rsidRPr="009056BE" w:rsidR="00340965">
        <w:t>.</w:t>
      </w:r>
      <w:r w:rsidRPr="009056BE" w:rsidR="002C4F75">
        <w:t xml:space="preserve"> </w:t>
      </w:r>
    </w:p>
    <w:p w:rsidR="005E2D41" w:rsidRPr="00BD75CA" w:rsidP="0034267A" w14:paraId="3B797F3B" w14:textId="77777777">
      <w:pPr>
        <w:pStyle w:val="Default"/>
      </w:pPr>
    </w:p>
    <w:p w:rsidR="004D6FA4" w:rsidRPr="00BD75CA" w:rsidP="0034267A" w14:paraId="01822DF9" w14:textId="30B89EA2">
      <w:pPr>
        <w:pStyle w:val="Default"/>
        <w:rPr>
          <w:u w:val="single"/>
        </w:rPr>
      </w:pPr>
      <w:r>
        <w:rPr>
          <w:u w:val="single"/>
        </w:rPr>
        <w:t>4</w:t>
      </w:r>
      <w:r w:rsidRPr="00BD75CA">
        <w:rPr>
          <w:u w:val="single"/>
        </w:rPr>
        <w:t>. Efforts to Identify Duplication and Use of Similar Information</w:t>
      </w:r>
    </w:p>
    <w:p w:rsidR="005E2D41" w:rsidP="0034267A" w14:paraId="4DC8913C" w14:textId="77777777">
      <w:pPr>
        <w:pStyle w:val="Default"/>
      </w:pPr>
    </w:p>
    <w:p w:rsidR="00545F81" w:rsidP="0034267A" w14:paraId="6F5F0FB0" w14:textId="4C1B2814">
      <w:pPr>
        <w:pStyle w:val="Default"/>
      </w:pPr>
      <w:r>
        <w:t>We</w:t>
      </w:r>
      <w:r w:rsidR="006F5521">
        <w:t xml:space="preserve"> are unaware of duplicative information collection.</w:t>
      </w:r>
      <w:r w:rsidR="00BB1358">
        <w:t xml:space="preserve">  </w:t>
      </w:r>
      <w:r w:rsidR="00C67907">
        <w:t xml:space="preserve">The RPPR and other forms available from </w:t>
      </w:r>
      <w:r w:rsidRPr="00044D79" w:rsidR="00C67907">
        <w:t>OMB</w:t>
      </w:r>
      <w:r w:rsidR="00B2379A">
        <w:t xml:space="preserve"> control number</w:t>
      </w:r>
      <w:r w:rsidRPr="00044D79" w:rsidR="00C67907">
        <w:t xml:space="preserve"> 0970-0334</w:t>
      </w:r>
      <w:r w:rsidR="00C67907">
        <w:t xml:space="preserve"> </w:t>
      </w:r>
      <w:r w:rsidR="0007030F">
        <w:t xml:space="preserve">are designed to measure grant or agreement performance </w:t>
      </w:r>
      <w:r w:rsidR="00DD27CD">
        <w:t xml:space="preserve">in a high level, general </w:t>
      </w:r>
      <w:r w:rsidR="00B27B47">
        <w:t>perspective</w:t>
      </w:r>
      <w:r w:rsidR="00DD27CD">
        <w:t xml:space="preserve"> </w:t>
      </w:r>
      <w:r w:rsidR="0007030F">
        <w:t xml:space="preserve">and do not </w:t>
      </w:r>
      <w:r w:rsidR="00C67907">
        <w:t xml:space="preserve">capture </w:t>
      </w:r>
      <w:r w:rsidR="0007030F">
        <w:t xml:space="preserve">data needed to evaluate </w:t>
      </w:r>
      <w:r w:rsidR="00C67907">
        <w:t xml:space="preserve">ROI/ROV and program effectiveness metrics </w:t>
      </w:r>
      <w:r w:rsidR="00E51A31">
        <w:t xml:space="preserve">FDA </w:t>
      </w:r>
      <w:r w:rsidR="00C67907">
        <w:t>must assess</w:t>
      </w:r>
      <w:r w:rsidR="00CD7DB2">
        <w:t>.</w:t>
      </w:r>
      <w:r w:rsidR="00BB1358">
        <w:t xml:space="preserve">  </w:t>
      </w:r>
      <w:r w:rsidR="00CD7DB2">
        <w:t>The format of data submitted using broadly focused generalized questions and free text narrative response structure for both, s</w:t>
      </w:r>
      <w:r w:rsidR="00C67907">
        <w:t xml:space="preserve">ubmissions across </w:t>
      </w:r>
      <w:r w:rsidR="00CD7DB2">
        <w:t>a single program and</w:t>
      </w:r>
      <w:r w:rsidR="00C67907">
        <w:t xml:space="preserve"> even within a single </w:t>
      </w:r>
      <w:r w:rsidR="00CD7DB2">
        <w:t xml:space="preserve">recipient </w:t>
      </w:r>
      <w:r w:rsidR="00C67907">
        <w:t xml:space="preserve">project </w:t>
      </w:r>
      <w:r w:rsidR="00CD7DB2">
        <w:t>is completely inconsistent, preventing uniform data collection and confidence in aggregation for analysis.</w:t>
      </w:r>
      <w:r w:rsidR="00BB1358">
        <w:t xml:space="preserve">  </w:t>
      </w:r>
      <w:r w:rsidR="00CD7DB2">
        <w:t xml:space="preserve">The eRA Commons system is </w:t>
      </w:r>
      <w:r w:rsidR="00466D88">
        <w:t xml:space="preserve">also </w:t>
      </w:r>
      <w:r w:rsidR="00CD7DB2">
        <w:t xml:space="preserve">restricted to flattened </w:t>
      </w:r>
      <w:r w:rsidR="007C29F3">
        <w:t xml:space="preserve">PDF </w:t>
      </w:r>
      <w:r w:rsidR="00466D88">
        <w:t xml:space="preserve">data </w:t>
      </w:r>
      <w:r w:rsidR="00CD7DB2">
        <w:t xml:space="preserve">outputs, requiring numerous project managers and many hours to review and manually extract </w:t>
      </w:r>
      <w:r w:rsidR="00466D88">
        <w:t>data needed for their assessments.</w:t>
      </w:r>
      <w:r w:rsidR="00BB1358">
        <w:t xml:space="preserve">  </w:t>
      </w:r>
      <w:r w:rsidR="006A34BA">
        <w:t xml:space="preserve">The </w:t>
      </w:r>
      <w:r w:rsidR="005B4D11">
        <w:t xml:space="preserve">customized reporting forms instruments </w:t>
      </w:r>
      <w:r w:rsidR="006A34BA">
        <w:t>in this collection</w:t>
      </w:r>
      <w:r w:rsidR="005B4D11">
        <w:t xml:space="preserve"> better </w:t>
      </w:r>
      <w:r w:rsidR="00466D88">
        <w:t xml:space="preserve">allow </w:t>
      </w:r>
      <w:r w:rsidR="00305A0F">
        <w:t xml:space="preserve">FDA </w:t>
      </w:r>
      <w:r w:rsidR="005B4D11">
        <w:t xml:space="preserve">to meet its </w:t>
      </w:r>
      <w:r w:rsidR="00466D88">
        <w:t xml:space="preserve">programmatic evaluation needs </w:t>
      </w:r>
      <w:r w:rsidR="00C0123B">
        <w:t xml:space="preserve">with regard to budget </w:t>
      </w:r>
      <w:r w:rsidR="00466D88">
        <w:t>funding cycle</w:t>
      </w:r>
      <w:r w:rsidR="00C0123B">
        <w:t>s</w:t>
      </w:r>
      <w:r w:rsidR="00466D88">
        <w:t>.</w:t>
      </w:r>
      <w:r w:rsidR="006F5521">
        <w:t xml:space="preserve"> </w:t>
      </w:r>
    </w:p>
    <w:p w:rsidR="005E2D41" w:rsidRPr="00BD75CA" w:rsidP="0034267A" w14:paraId="049F11BA" w14:textId="77777777">
      <w:pPr>
        <w:pStyle w:val="Default"/>
      </w:pPr>
    </w:p>
    <w:p w:rsidR="00EB4765" w:rsidRPr="00BD75CA" w:rsidP="0034267A" w14:paraId="68144C85" w14:textId="77777777">
      <w:pPr>
        <w:pStyle w:val="Default"/>
        <w:rPr>
          <w:u w:val="single"/>
        </w:rPr>
      </w:pPr>
      <w:r w:rsidRPr="00BD75CA">
        <w:rPr>
          <w:u w:val="single"/>
        </w:rPr>
        <w:t>5. Impact on Small Businesses or Other Small Entities</w:t>
      </w:r>
    </w:p>
    <w:p w:rsidR="005E2D41" w:rsidP="0034267A" w14:paraId="3E2EFC9C" w14:textId="77777777">
      <w:pPr>
        <w:pStyle w:val="Default"/>
      </w:pPr>
    </w:p>
    <w:p w:rsidR="00CD00AE" w:rsidP="0034267A" w14:paraId="53940F3A" w14:textId="77777777">
      <w:pPr>
        <w:pStyle w:val="Default"/>
      </w:pPr>
      <w:r>
        <w:t xml:space="preserve">No undue burden is imposed </w:t>
      </w:r>
      <w:r w:rsidR="00503C5D">
        <w:t xml:space="preserve">on small entities as a result of </w:t>
      </w:r>
      <w:r>
        <w:t>the information collection.</w:t>
      </w:r>
    </w:p>
    <w:p w:rsidR="00EB4765" w:rsidRPr="00BD75CA" w:rsidP="0034267A" w14:paraId="3BFF00F8" w14:textId="0C8E8BC0">
      <w:pPr>
        <w:pStyle w:val="Default"/>
      </w:pPr>
      <w:r w:rsidRPr="00BD75CA">
        <w:t xml:space="preserve"> </w:t>
      </w:r>
    </w:p>
    <w:p w:rsidR="00EB4765" w:rsidRPr="00BD75CA" w:rsidP="0034267A" w14:paraId="40D50F9F" w14:textId="77777777">
      <w:pPr>
        <w:pStyle w:val="Default"/>
        <w:rPr>
          <w:u w:val="single"/>
        </w:rPr>
      </w:pPr>
      <w:r w:rsidRPr="00BD75CA">
        <w:rPr>
          <w:u w:val="single"/>
        </w:rPr>
        <w:t>6. Consequences of Collecting Information Less Frequently</w:t>
      </w:r>
    </w:p>
    <w:p w:rsidR="00CD00AE" w:rsidP="0034267A" w14:paraId="46FC40D9" w14:textId="77777777">
      <w:pPr>
        <w:pStyle w:val="Default"/>
      </w:pPr>
    </w:p>
    <w:p w:rsidR="00837F94" w:rsidRPr="00837F94" w:rsidP="00837F94" w14:paraId="74E6E9EA" w14:textId="77777777">
      <w:pPr>
        <w:rPr>
          <w:rFonts w:ascii="Times New Roman" w:hAnsi="Times New Roman" w:cs="Times New Roman"/>
          <w:color w:val="000000"/>
          <w:sz w:val="24"/>
          <w:szCs w:val="24"/>
        </w:rPr>
      </w:pPr>
      <w:r w:rsidRPr="00837F94">
        <w:rPr>
          <w:rFonts w:ascii="Times New Roman" w:hAnsi="Times New Roman" w:cs="Times New Roman"/>
          <w:color w:val="000000"/>
          <w:sz w:val="24"/>
          <w:szCs w:val="24"/>
        </w:rPr>
        <w:t>The information collection schedule is consistent with statutory and regulatory requirements.</w:t>
      </w:r>
    </w:p>
    <w:p w:rsidR="00EB4765" w:rsidRPr="00BD75CA" w:rsidP="0034267A" w14:paraId="0004C786" w14:textId="77777777">
      <w:pPr>
        <w:pStyle w:val="Default"/>
        <w:rPr>
          <w:u w:val="single"/>
        </w:rPr>
      </w:pPr>
      <w:r w:rsidRPr="00BD75CA">
        <w:rPr>
          <w:u w:val="single"/>
        </w:rPr>
        <w:t>7. Special Circumstances Relating to the Guidelines in 5 CFR 1320.5</w:t>
      </w:r>
    </w:p>
    <w:p w:rsidR="00CD00AE" w:rsidP="0034267A" w14:paraId="56F9D567" w14:textId="77777777">
      <w:pPr>
        <w:pStyle w:val="Default"/>
      </w:pPr>
    </w:p>
    <w:p w:rsidR="00456F5D" w:rsidRPr="00BD75CA" w:rsidP="0034267A" w14:paraId="181B1FBC" w14:textId="5C88CFC5">
      <w:pPr>
        <w:pStyle w:val="Default"/>
      </w:pPr>
      <w:r w:rsidRPr="00BD75CA">
        <w:t>Federally funded public health project managers are charged with ensuring federal monies are used for their intended purpose</w:t>
      </w:r>
      <w:r w:rsidRPr="00BD75CA" w:rsidR="00E758F1">
        <w:t xml:space="preserve"> and achieving the desired ROI and ROV goals</w:t>
      </w:r>
      <w:r w:rsidRPr="00BD75CA">
        <w:t>.</w:t>
      </w:r>
      <w:r w:rsidR="00066F87">
        <w:t xml:space="preserve">  </w:t>
      </w:r>
      <w:r w:rsidRPr="00BD75CA">
        <w:t>The only time</w:t>
      </w:r>
      <w:r w:rsidRPr="00BD75CA" w:rsidR="00C1615D">
        <w:t>s</w:t>
      </w:r>
      <w:r w:rsidRPr="00BD75CA">
        <w:t xml:space="preserve"> </w:t>
      </w:r>
      <w:r w:rsidR="006A34BA">
        <w:t xml:space="preserve">this collection </w:t>
      </w:r>
      <w:r w:rsidRPr="00BD75CA">
        <w:t>may</w:t>
      </w:r>
      <w:r w:rsidRPr="00BD75CA" w:rsidR="00516BD7">
        <w:t xml:space="preserve"> require participants to report the information more often than quarterly</w:t>
      </w:r>
      <w:r w:rsidRPr="00BD75CA">
        <w:t xml:space="preserve"> or</w:t>
      </w:r>
      <w:r w:rsidRPr="00BD75CA" w:rsidR="00516BD7">
        <w:t xml:space="preserve"> provide a written response in less than 30 days</w:t>
      </w:r>
      <w:r w:rsidRPr="00BD75CA">
        <w:t xml:space="preserve"> would be for those projects </w:t>
      </w:r>
      <w:r w:rsidRPr="00BD75CA" w:rsidR="00F6741F">
        <w:t xml:space="preserve">where </w:t>
      </w:r>
      <w:r w:rsidRPr="00BD75CA">
        <w:t xml:space="preserve">the data collected via the digitized forms </w:t>
      </w:r>
      <w:r w:rsidRPr="00BD75CA" w:rsidR="00F6741F">
        <w:t xml:space="preserve">is </w:t>
      </w:r>
      <w:r w:rsidRPr="00BD75CA">
        <w:t xml:space="preserve">found to be </w:t>
      </w:r>
      <w:r w:rsidRPr="00BD75CA" w:rsidR="00F6741F">
        <w:t xml:space="preserve">incomplete </w:t>
      </w:r>
      <w:r w:rsidRPr="00BD75CA">
        <w:t>at the time of review.</w:t>
      </w:r>
      <w:r w:rsidR="00066F87">
        <w:t xml:space="preserve">  </w:t>
      </w:r>
      <w:r w:rsidRPr="00BD75CA">
        <w:t>While expected to be rare, the project manager may send a follow-up questionnaire to collect additional data needed to complete their review.</w:t>
      </w:r>
      <w:r w:rsidRPr="00BD75CA" w:rsidR="000C3C0A">
        <w:t xml:space="preserve"> </w:t>
      </w:r>
    </w:p>
    <w:p w:rsidR="00CD00AE" w:rsidP="0034267A" w14:paraId="4F62CEB9" w14:textId="77777777">
      <w:pPr>
        <w:pStyle w:val="Default"/>
      </w:pPr>
    </w:p>
    <w:p w:rsidR="00EA056A" w:rsidP="0034267A" w14:paraId="7ED4CD01" w14:textId="6119D2F5">
      <w:pPr>
        <w:pStyle w:val="Default"/>
      </w:pPr>
      <w:r w:rsidRPr="00BD75CA">
        <w:t>There are no other special circumstances associated with this information collection.</w:t>
      </w:r>
      <w:r w:rsidRPr="00BD75CA" w:rsidR="00516BD7">
        <w:t xml:space="preserve"> </w:t>
      </w:r>
    </w:p>
    <w:p w:rsidR="00CD00AE" w:rsidP="0034267A" w14:paraId="7A97BCE0" w14:textId="77777777">
      <w:pPr>
        <w:pStyle w:val="Default"/>
      </w:pPr>
    </w:p>
    <w:p w:rsidR="0026487D" w:rsidP="0034267A" w14:paraId="2EAAFB98" w14:textId="1CA17F27">
      <w:pPr>
        <w:pStyle w:val="Default"/>
      </w:pPr>
      <w:r w:rsidRPr="00CD00AE">
        <w:rPr>
          <w:u w:val="single"/>
        </w:rPr>
        <w:t xml:space="preserve">8. </w:t>
      </w:r>
      <w:r w:rsidRPr="00CD00AE" w:rsidR="00A66EA5">
        <w:rPr>
          <w:u w:val="single"/>
        </w:rPr>
        <w:t xml:space="preserve"> </w:t>
      </w:r>
      <w:r w:rsidRPr="00CD00AE">
        <w:rPr>
          <w:u w:val="single"/>
        </w:rPr>
        <w:t>Comments</w:t>
      </w:r>
      <w:r w:rsidRPr="0026487D">
        <w:rPr>
          <w:u w:val="single"/>
        </w:rPr>
        <w:t xml:space="preserve"> in Response to the Federal Register Notice and Efforts to Consult Outside the Agency</w:t>
      </w:r>
      <w:r w:rsidR="00A66EA5">
        <w:rPr>
          <w:u w:val="single"/>
        </w:rPr>
        <w:t>.</w:t>
      </w:r>
      <w:r w:rsidRPr="0026487D">
        <w:t xml:space="preserve"> </w:t>
      </w:r>
    </w:p>
    <w:p w:rsidR="00A66EA5" w:rsidP="0034267A" w14:paraId="1B28683D" w14:textId="77777777">
      <w:pPr>
        <w:pStyle w:val="Default"/>
      </w:pPr>
    </w:p>
    <w:p w:rsidR="00E33869" w:rsidP="0034267A" w14:paraId="71FCB9E9" w14:textId="66287EC4">
      <w:pPr>
        <w:pStyle w:val="Default"/>
      </w:pPr>
      <w:r w:rsidRPr="00BD75CA">
        <w:t xml:space="preserve">In accordance with 5 CFR 1320.8(d), </w:t>
      </w:r>
      <w:r w:rsidR="00A66EA5">
        <w:t xml:space="preserve">we </w:t>
      </w:r>
      <w:r w:rsidRPr="00BD75CA">
        <w:t>published a 60</w:t>
      </w:r>
      <w:r w:rsidR="00AD3D16">
        <w:t>-</w:t>
      </w:r>
      <w:r w:rsidRPr="00BD75CA">
        <w:t xml:space="preserve">day notice </w:t>
      </w:r>
      <w:r w:rsidR="00A66EA5">
        <w:t xml:space="preserve">soliciting </w:t>
      </w:r>
      <w:r w:rsidRPr="00BD75CA">
        <w:t xml:space="preserve">public comment in the </w:t>
      </w:r>
      <w:r w:rsidRPr="0090735D" w:rsidR="00A66EA5">
        <w:rPr>
          <w:u w:val="single"/>
        </w:rPr>
        <w:t>Federal Register</w:t>
      </w:r>
      <w:r w:rsidRPr="0090735D" w:rsidR="00A66EA5">
        <w:t xml:space="preserve"> </w:t>
      </w:r>
      <w:r w:rsidRPr="0090735D">
        <w:t>of</w:t>
      </w:r>
      <w:r w:rsidRPr="00BD75CA" w:rsidR="000D783A">
        <w:rPr>
          <w:i/>
        </w:rPr>
        <w:t xml:space="preserve"> </w:t>
      </w:r>
      <w:r w:rsidRPr="00BD75CA" w:rsidR="000D783A">
        <w:rPr>
          <w:iCs/>
        </w:rPr>
        <w:t>July 29, 2021 (86 FR 40853)</w:t>
      </w:r>
      <w:r w:rsidRPr="00BD75CA">
        <w:rPr>
          <w:iCs/>
        </w:rPr>
        <w:t>.</w:t>
      </w:r>
      <w:r w:rsidR="00A66EA5">
        <w:rPr>
          <w:i/>
        </w:rPr>
        <w:t xml:space="preserve">  </w:t>
      </w:r>
      <w:r w:rsidRPr="00BD75CA" w:rsidR="000D783A">
        <w:t>No comments were received.</w:t>
      </w:r>
      <w:r w:rsidRPr="0098258A" w:rsidR="0098258A">
        <w:t xml:space="preserve"> </w:t>
      </w:r>
      <w:r w:rsidR="002E3198">
        <w:t>A</w:t>
      </w:r>
      <w:r w:rsidRPr="0098258A" w:rsidR="0098258A">
        <w:t xml:space="preserve">dditional comments were received from internal and external stakeholders through our solicitation of feedback external to the PRA public comment opportunity.  </w:t>
      </w:r>
    </w:p>
    <w:p w:rsidR="00E758F1" w:rsidP="0034267A" w14:paraId="66268F07" w14:textId="1A86F30B">
      <w:pPr>
        <w:pStyle w:val="Default"/>
      </w:pPr>
      <w:r w:rsidRPr="0098258A">
        <w:t>Upon our review, these comments were generally supportive of the piloted forms, and many contained suggestions for additional technical improvements.  At the same time, none of the comments suggested any change to our estimated burden and we have therefore retained those currently submitted.  While we are not making changes to the forms with this submission</w:t>
      </w:r>
      <w:r w:rsidR="00B344DE">
        <w:t xml:space="preserve"> other than to add PRA Statements, </w:t>
      </w:r>
      <w:r w:rsidRPr="0098258A">
        <w:t>we plan to implement changes based on the feedback received as part of the continuous improvement process for the information collection over the next few years.</w:t>
      </w:r>
      <w:r w:rsidRPr="00CE61F9" w:rsidR="00CE61F9">
        <w:t xml:space="preserve"> </w:t>
      </w:r>
      <w:r w:rsidR="00CE61F9">
        <w:t xml:space="preserve"> </w:t>
      </w:r>
      <w:r w:rsidRPr="00CE61F9" w:rsidR="00CE61F9">
        <w:t>Prior to implementation, such modifications will be submitted to OMB for approval, and they will be made available for public review and comment during the standard information collection extension/revision approval process.</w:t>
      </w:r>
    </w:p>
    <w:p w:rsidR="0007030F" w:rsidP="0034267A" w14:paraId="281ED2EA" w14:textId="418E10F5">
      <w:pPr>
        <w:pStyle w:val="Default"/>
      </w:pPr>
    </w:p>
    <w:p w:rsidR="0007030F" w:rsidP="0007030F" w14:paraId="20A71EA1" w14:textId="29D53584">
      <w:pPr>
        <w:pStyle w:val="Default"/>
      </w:pPr>
      <w:r>
        <w:t>FDA</w:t>
      </w:r>
      <w:r>
        <w:t xml:space="preserve"> received the following information from internal and external stakeholders to date by soliciting feedback external to the PRA public comment opportunity:</w:t>
      </w:r>
    </w:p>
    <w:p w:rsidR="0007030F" w:rsidP="0007030F" w14:paraId="464EBAB7" w14:textId="27E7D0D9">
      <w:pPr>
        <w:pStyle w:val="Default"/>
        <w:numPr>
          <w:ilvl w:val="0"/>
          <w:numId w:val="6"/>
        </w:numPr>
      </w:pPr>
      <w:r>
        <w:t>FDA</w:t>
      </w:r>
      <w:r>
        <w:t xml:space="preserve"> program reviewers:</w:t>
      </w:r>
    </w:p>
    <w:p w:rsidR="0007030F" w:rsidP="0007030F" w14:paraId="555DE01C" w14:textId="77777777">
      <w:pPr>
        <w:pStyle w:val="Default"/>
        <w:numPr>
          <w:ilvl w:val="1"/>
          <w:numId w:val="6"/>
        </w:numPr>
      </w:pPr>
      <w:r>
        <w:t>The new forms have successfully provided useable program effectiveness data for their evaluation without the need for follow-up.</w:t>
      </w:r>
    </w:p>
    <w:p w:rsidR="0007030F" w:rsidP="0007030F" w14:paraId="0D6B8604" w14:textId="77777777">
      <w:pPr>
        <w:pStyle w:val="Default"/>
        <w:numPr>
          <w:ilvl w:val="1"/>
          <w:numId w:val="6"/>
        </w:numPr>
      </w:pPr>
      <w:r>
        <w:t>Reports that do not use the templates fail to address required program report criteria and lack consistency to generate aggregated reports.</w:t>
      </w:r>
    </w:p>
    <w:p w:rsidR="0007030F" w:rsidP="0007030F" w14:paraId="7100F3E2" w14:textId="2384AC36">
      <w:pPr>
        <w:pStyle w:val="Default"/>
        <w:numPr>
          <w:ilvl w:val="1"/>
          <w:numId w:val="6"/>
        </w:numPr>
      </w:pPr>
      <w:r>
        <w:t>Reports that use eRA Commons to submit (</w:t>
      </w:r>
      <w:r w:rsidR="006937C9">
        <w:t>i.e.,</w:t>
      </w:r>
      <w:r>
        <w:t xml:space="preserve"> End of Year report) are in flattened pdf form require many more hours,</w:t>
      </w:r>
      <w:r w:rsidR="003C2BD5">
        <w:t xml:space="preserve"> </w:t>
      </w:r>
      <w:r>
        <w:t>days, and weeks to review and confirm requirements are met compared to reports submitted using new templates.</w:t>
      </w:r>
    </w:p>
    <w:p w:rsidR="0007030F" w:rsidP="0007030F" w14:paraId="4C991A4A" w14:textId="77777777">
      <w:pPr>
        <w:pStyle w:val="Default"/>
        <w:numPr>
          <w:ilvl w:val="1"/>
          <w:numId w:val="6"/>
        </w:numPr>
      </w:pPr>
      <w:r>
        <w:t xml:space="preserve">New forms allow for quick data aggregation (within a day in some cases). </w:t>
      </w:r>
    </w:p>
    <w:p w:rsidR="0007030F" w:rsidP="0007030F" w14:paraId="28926605" w14:textId="77777777">
      <w:pPr>
        <w:pStyle w:val="Default"/>
        <w:numPr>
          <w:ilvl w:val="1"/>
          <w:numId w:val="6"/>
        </w:numPr>
      </w:pPr>
      <w:r>
        <w:t>Aggregated reports allow for more efficient review because data can be filtered and reviewed by specific criteria or tracks depending on reviewing assignment, numerical data can be quantified and visualized using chart functions.</w:t>
      </w:r>
    </w:p>
    <w:p w:rsidR="0007030F" w:rsidP="0007030F" w14:paraId="13609F31" w14:textId="77777777">
      <w:pPr>
        <w:pStyle w:val="Default"/>
        <w:numPr>
          <w:ilvl w:val="1"/>
          <w:numId w:val="6"/>
        </w:numPr>
      </w:pPr>
      <w:r>
        <w:t>Need to be able to document expenses by track and major category for a project to answer questions about how the money is spent and inform ROI/ROV.</w:t>
      </w:r>
    </w:p>
    <w:p w:rsidR="003C2BD5" w:rsidRPr="003C2BD5" w:rsidP="003C2BD5" w14:paraId="50348E98" w14:textId="54D4CC7C">
      <w:pPr>
        <w:pStyle w:val="ListParagraph"/>
        <w:numPr>
          <w:ilvl w:val="1"/>
          <w:numId w:val="6"/>
        </w:numPr>
        <w:rPr>
          <w:rFonts w:ascii="Times New Roman" w:hAnsi="Times New Roman" w:cs="Times New Roman"/>
          <w:color w:val="000000"/>
          <w:sz w:val="24"/>
          <w:szCs w:val="24"/>
        </w:rPr>
      </w:pPr>
      <w:r>
        <w:rPr>
          <w:rFonts w:ascii="Times New Roman" w:hAnsi="Times New Roman" w:cs="Times New Roman"/>
          <w:color w:val="000000"/>
          <w:sz w:val="24"/>
          <w:szCs w:val="24"/>
        </w:rPr>
        <w:t>Data quality has g</w:t>
      </w:r>
      <w:r w:rsidRPr="003C2BD5">
        <w:rPr>
          <w:rFonts w:ascii="Times New Roman" w:hAnsi="Times New Roman" w:cs="Times New Roman"/>
          <w:color w:val="000000"/>
          <w:sz w:val="24"/>
          <w:szCs w:val="24"/>
        </w:rPr>
        <w:t xml:space="preserve">reatly increased –getting more of the specific datapoints and information </w:t>
      </w:r>
      <w:r>
        <w:rPr>
          <w:rFonts w:ascii="Times New Roman" w:hAnsi="Times New Roman" w:cs="Times New Roman"/>
          <w:color w:val="000000"/>
          <w:sz w:val="24"/>
          <w:szCs w:val="24"/>
        </w:rPr>
        <w:t>needed</w:t>
      </w:r>
      <w:r w:rsidRPr="003C2BD5">
        <w:rPr>
          <w:rFonts w:ascii="Times New Roman" w:hAnsi="Times New Roman" w:cs="Times New Roman"/>
          <w:color w:val="000000"/>
          <w:sz w:val="24"/>
          <w:szCs w:val="24"/>
        </w:rPr>
        <w:t>, and less superfluous/tangentially related information to sift through. The direct questions we want answered a</w:t>
      </w:r>
      <w:r>
        <w:rPr>
          <w:rFonts w:ascii="Times New Roman" w:hAnsi="Times New Roman" w:cs="Times New Roman"/>
          <w:color w:val="000000"/>
          <w:sz w:val="24"/>
          <w:szCs w:val="24"/>
        </w:rPr>
        <w:t>re</w:t>
      </w:r>
      <w:r w:rsidRPr="003C2BD5">
        <w:rPr>
          <w:rFonts w:ascii="Times New Roman" w:hAnsi="Times New Roman" w:cs="Times New Roman"/>
          <w:color w:val="000000"/>
          <w:sz w:val="24"/>
          <w:szCs w:val="24"/>
        </w:rPr>
        <w:t xml:space="preserve"> clear and answered. </w:t>
      </w:r>
      <w:r>
        <w:rPr>
          <w:rFonts w:ascii="Times New Roman" w:hAnsi="Times New Roman" w:cs="Times New Roman"/>
          <w:color w:val="000000"/>
          <w:sz w:val="24"/>
          <w:szCs w:val="24"/>
        </w:rPr>
        <w:t>Now h</w:t>
      </w:r>
      <w:r w:rsidRPr="003C2BD5">
        <w:rPr>
          <w:rFonts w:ascii="Times New Roman" w:hAnsi="Times New Roman" w:cs="Times New Roman"/>
          <w:color w:val="000000"/>
          <w:sz w:val="24"/>
          <w:szCs w:val="24"/>
        </w:rPr>
        <w:t>ave itemization of things that used to be narrative (trainings, presentations, PTs/exercises, milestones hit for projects, equipment/method implemented, etc.)</w:t>
      </w:r>
    </w:p>
    <w:p w:rsidR="003C2BD5" w:rsidP="003C2BD5" w14:paraId="22DE560A" w14:textId="4E3E05F4">
      <w:pPr>
        <w:pStyle w:val="ListParagraph"/>
        <w:numPr>
          <w:ilvl w:val="1"/>
          <w:numId w:val="6"/>
        </w:numPr>
        <w:rPr>
          <w:rFonts w:ascii="Times New Roman" w:hAnsi="Times New Roman" w:cs="Times New Roman"/>
          <w:color w:val="000000"/>
          <w:sz w:val="24"/>
          <w:szCs w:val="24"/>
        </w:rPr>
      </w:pPr>
      <w:r>
        <w:rPr>
          <w:rFonts w:ascii="Times New Roman" w:hAnsi="Times New Roman" w:cs="Times New Roman"/>
          <w:color w:val="000000"/>
          <w:sz w:val="24"/>
          <w:szCs w:val="24"/>
        </w:rPr>
        <w:t>P</w:t>
      </w:r>
      <w:r w:rsidRPr="003C2BD5">
        <w:rPr>
          <w:rFonts w:ascii="Times New Roman" w:hAnsi="Times New Roman" w:cs="Times New Roman"/>
          <w:color w:val="000000"/>
          <w:sz w:val="24"/>
          <w:szCs w:val="24"/>
        </w:rPr>
        <w:t>reviously could not aggregate our data at all. Now we can and it has changed things so much for the better.</w:t>
      </w:r>
    </w:p>
    <w:p w:rsidR="003C2BD5" w:rsidP="003C2BD5" w14:paraId="0694B304" w14:textId="239319C1">
      <w:pPr>
        <w:pStyle w:val="ListParagraph"/>
        <w:numPr>
          <w:ilvl w:val="1"/>
          <w:numId w:val="6"/>
        </w:numPr>
        <w:rPr>
          <w:rFonts w:ascii="Times New Roman" w:hAnsi="Times New Roman" w:cs="Times New Roman"/>
          <w:color w:val="000000"/>
          <w:sz w:val="24"/>
          <w:szCs w:val="24"/>
        </w:rPr>
      </w:pPr>
      <w:r w:rsidRPr="003C2BD5">
        <w:rPr>
          <w:rFonts w:ascii="Times New Roman" w:hAnsi="Times New Roman" w:cs="Times New Roman"/>
          <w:color w:val="000000"/>
          <w:sz w:val="24"/>
          <w:szCs w:val="24"/>
        </w:rPr>
        <w:t xml:space="preserve">As a result of the new forms project managers are finally getting key data points needed to evaluate </w:t>
      </w:r>
      <w:r>
        <w:rPr>
          <w:rFonts w:ascii="Times New Roman" w:hAnsi="Times New Roman" w:cs="Times New Roman"/>
          <w:color w:val="000000"/>
          <w:sz w:val="24"/>
          <w:szCs w:val="24"/>
        </w:rPr>
        <w:t>ROI/ROV</w:t>
      </w:r>
      <w:r w:rsidRPr="003C2BD5">
        <w:rPr>
          <w:rFonts w:ascii="Times New Roman" w:hAnsi="Times New Roman" w:cs="Times New Roman"/>
          <w:color w:val="000000"/>
          <w:sz w:val="24"/>
          <w:szCs w:val="24"/>
        </w:rPr>
        <w:t xml:space="preserve"> that were not being reported at all or inconsistently across programs.</w:t>
      </w:r>
    </w:p>
    <w:p w:rsidR="0007030F" w:rsidRPr="00F4366C" w:rsidP="00537F1F" w14:paraId="7CC7D850" w14:textId="6D67CEA4">
      <w:pPr>
        <w:pStyle w:val="ListParagraph"/>
        <w:numPr>
          <w:ilvl w:val="1"/>
          <w:numId w:val="6"/>
        </w:numPr>
      </w:pPr>
      <w:r w:rsidRPr="003C2BD5">
        <w:rPr>
          <w:rFonts w:ascii="Times New Roman" w:hAnsi="Times New Roman" w:cs="Times New Roman"/>
          <w:color w:val="000000"/>
          <w:sz w:val="24"/>
          <w:szCs w:val="24"/>
        </w:rPr>
        <w:t xml:space="preserve">Using the metric of “total months devoted” to project and “months funded by CAP” appears to be helpful indicator to demonstrate effort from state and association partners and their commitment to public health. Managers want to apply this metric to other </w:t>
      </w:r>
      <w:r w:rsidRPr="003C2BD5" w:rsidR="006937C9">
        <w:rPr>
          <w:rFonts w:ascii="Times New Roman" w:hAnsi="Times New Roman" w:cs="Times New Roman"/>
          <w:color w:val="000000"/>
          <w:sz w:val="24"/>
          <w:szCs w:val="24"/>
        </w:rPr>
        <w:t>programs.</w:t>
      </w:r>
    </w:p>
    <w:p w:rsidR="0007030F" w:rsidP="0007030F" w14:paraId="1AD39E55" w14:textId="77777777">
      <w:pPr>
        <w:pStyle w:val="Default"/>
        <w:numPr>
          <w:ilvl w:val="0"/>
          <w:numId w:val="6"/>
        </w:numPr>
      </w:pPr>
      <w:r>
        <w:t>Participants from programs using comparable forms not subject to the PRA or for established collections.</w:t>
      </w:r>
    </w:p>
    <w:p w:rsidR="0007030F" w:rsidP="0007030F" w14:paraId="436DE3C4" w14:textId="0CBF1E66">
      <w:pPr>
        <w:pStyle w:val="Default"/>
        <w:numPr>
          <w:ilvl w:val="1"/>
          <w:numId w:val="6"/>
        </w:numPr>
      </w:pPr>
      <w:r>
        <w:t>The forms reduce or remove the ambiguity from reporting requirements.</w:t>
      </w:r>
    </w:p>
    <w:p w:rsidR="0007030F" w:rsidP="0007030F" w14:paraId="1AFDF677" w14:textId="626CF718">
      <w:pPr>
        <w:pStyle w:val="Default"/>
        <w:numPr>
          <w:ilvl w:val="1"/>
          <w:numId w:val="6"/>
        </w:numPr>
      </w:pPr>
      <w:r>
        <w:t>There was a learning curve, just like any new form, but once they got used to working in the MS Excel format they liked it.</w:t>
      </w:r>
    </w:p>
    <w:p w:rsidR="0007030F" w:rsidP="0007030F" w14:paraId="09502D09" w14:textId="1D415C3F">
      <w:pPr>
        <w:pStyle w:val="Default"/>
        <w:numPr>
          <w:ilvl w:val="1"/>
          <w:numId w:val="6"/>
        </w:numPr>
      </w:pPr>
      <w:r>
        <w:t>Noticed a couple cases where we asked for the same information in a different way for different programs. Could improve consistency in how we ask for some data across forms for those participating in multiple programs.</w:t>
      </w:r>
    </w:p>
    <w:p w:rsidR="004D21A0" w:rsidP="0007030F" w14:paraId="6F7CB17A" w14:textId="20BF983D">
      <w:pPr>
        <w:pStyle w:val="Default"/>
        <w:numPr>
          <w:ilvl w:val="1"/>
          <w:numId w:val="6"/>
        </w:numPr>
      </w:pPr>
      <w:r>
        <w:t>Some data requested is not something they routinely track for their program.</w:t>
      </w:r>
    </w:p>
    <w:p w:rsidR="0007030F" w:rsidP="0007030F" w14:paraId="69C7BB94" w14:textId="02081FF8">
      <w:pPr>
        <w:pStyle w:val="Default"/>
        <w:numPr>
          <w:ilvl w:val="1"/>
          <w:numId w:val="6"/>
        </w:numPr>
      </w:pPr>
      <w:r>
        <w:t>Would like to see a frequently asked questions or job aid developed for using the MS Excel forms that include things like helpful short keys and avoiding errors.</w:t>
      </w:r>
    </w:p>
    <w:p w:rsidR="0007030F" w:rsidP="0007030F" w14:paraId="2E7413C1" w14:textId="568CC336">
      <w:pPr>
        <w:pStyle w:val="Default"/>
        <w:numPr>
          <w:ilvl w:val="1"/>
          <w:numId w:val="6"/>
        </w:numPr>
      </w:pPr>
      <w:r>
        <w:t>The forms will reduce their reporting burden for OP required reports but also be implemented and used for the state agency for program evaluation and recordkeeping purposes.</w:t>
      </w:r>
    </w:p>
    <w:p w:rsidR="002A4150" w:rsidP="0007030F" w14:paraId="7129E0BB" w14:textId="0A25C2B5">
      <w:pPr>
        <w:pStyle w:val="Default"/>
        <w:numPr>
          <w:ilvl w:val="1"/>
          <w:numId w:val="6"/>
        </w:numPr>
      </w:pPr>
      <w:r>
        <w:t>Pr</w:t>
      </w:r>
      <w:r w:rsidR="00A17FFA">
        <w:t>i</w:t>
      </w:r>
      <w:r>
        <w:t>or</w:t>
      </w:r>
      <w:r>
        <w:t xml:space="preserve"> methods for reporting were longer and repetitive.</w:t>
      </w:r>
    </w:p>
    <w:p w:rsidR="002A4150" w:rsidP="0007030F" w14:paraId="01BF02F5" w14:textId="11C7FE36">
      <w:pPr>
        <w:pStyle w:val="Default"/>
        <w:numPr>
          <w:ilvl w:val="1"/>
          <w:numId w:val="6"/>
        </w:numPr>
      </w:pPr>
      <w:r>
        <w:t>Would prefer more instructions in some area such as expectations for estimating a percent complete for action items.</w:t>
      </w:r>
    </w:p>
    <w:p w:rsidR="002A4150" w:rsidP="0007030F" w14:paraId="40701D15" w14:textId="65AB4EBA">
      <w:pPr>
        <w:pStyle w:val="Default"/>
        <w:numPr>
          <w:ilvl w:val="1"/>
          <w:numId w:val="6"/>
        </w:numPr>
      </w:pPr>
      <w:r>
        <w:t xml:space="preserve">The forms [in this collection] are a good mix of fields with drop-downs/boxes to check and text boxes for narratives. Feels </w:t>
      </w:r>
      <w:r w:rsidR="00A17FFA">
        <w:t>it’s</w:t>
      </w:r>
      <w:r>
        <w:t xml:space="preserve"> enough to tell a story while making data meaningful.</w:t>
      </w:r>
    </w:p>
    <w:p w:rsidR="003C2BD5" w:rsidP="003C2BD5" w14:paraId="303BC686" w14:textId="77777777">
      <w:pPr>
        <w:pStyle w:val="Default"/>
        <w:numPr>
          <w:ilvl w:val="1"/>
          <w:numId w:val="6"/>
        </w:numPr>
      </w:pPr>
      <w:r>
        <w:t>Would prefer some text fields to be larger, so they can provide more narrative data.</w:t>
      </w:r>
    </w:p>
    <w:p w:rsidR="003C2BD5" w:rsidP="003C2BD5" w14:paraId="3784198E" w14:textId="793A3778">
      <w:pPr>
        <w:pStyle w:val="Default"/>
        <w:numPr>
          <w:ilvl w:val="1"/>
          <w:numId w:val="6"/>
        </w:numPr>
      </w:pPr>
      <w:r>
        <w:t>Would like clarification on some instruction fields.</w:t>
      </w:r>
    </w:p>
    <w:p w:rsidR="00E33869" w:rsidP="001F64A9" w14:paraId="496EFE97" w14:textId="77777777">
      <w:pPr>
        <w:pStyle w:val="Default"/>
        <w:ind w:left="1440"/>
      </w:pPr>
    </w:p>
    <w:p w:rsidR="0007030F" w:rsidP="0007030F" w14:paraId="362697AC" w14:textId="77777777">
      <w:pPr>
        <w:pStyle w:val="Default"/>
        <w:numPr>
          <w:ilvl w:val="0"/>
          <w:numId w:val="6"/>
        </w:numPr>
      </w:pPr>
      <w:r>
        <w:t>Participants representing programs for which draft forms were shared soliciting feedback referencing the published Federal Register Notices for public comment for this collection:</w:t>
      </w:r>
    </w:p>
    <w:p w:rsidR="0007030F" w:rsidP="0007030F" w14:paraId="0195830C" w14:textId="77777777">
      <w:pPr>
        <w:pStyle w:val="Default"/>
        <w:numPr>
          <w:ilvl w:val="1"/>
          <w:numId w:val="6"/>
        </w:numPr>
      </w:pPr>
      <w:r>
        <w:t>Like the pre-population of administrative information such as agreement number and performance period dates, would like more of that where possible.</w:t>
      </w:r>
    </w:p>
    <w:p w:rsidR="0007030F" w:rsidP="0007030F" w14:paraId="5FD10381" w14:textId="77777777">
      <w:pPr>
        <w:pStyle w:val="Default"/>
        <w:numPr>
          <w:ilvl w:val="1"/>
          <w:numId w:val="6"/>
        </w:numPr>
      </w:pPr>
      <w:r>
        <w:t>Would prefer that fields with pre-populated data from the previous report remain editable so they can fix mistakes at the subsequent submission if needed.</w:t>
      </w:r>
    </w:p>
    <w:p w:rsidR="0007030F" w:rsidP="0007030F" w14:paraId="708042C7" w14:textId="77777777">
      <w:pPr>
        <w:pStyle w:val="Default"/>
        <w:numPr>
          <w:ilvl w:val="1"/>
          <w:numId w:val="6"/>
        </w:numPr>
      </w:pPr>
      <w:r>
        <w:t>The excel forms can be difficult to review for internal approval due to display limitations for longer entries.</w:t>
      </w:r>
    </w:p>
    <w:p w:rsidR="0007030F" w:rsidP="0007030F" w14:paraId="038ECC93" w14:textId="77777777">
      <w:pPr>
        <w:pStyle w:val="Default"/>
        <w:numPr>
          <w:ilvl w:val="1"/>
          <w:numId w:val="6"/>
        </w:numPr>
      </w:pPr>
      <w:r>
        <w:t>Printing excel forms does not work well without adjusting settings.</w:t>
      </w:r>
    </w:p>
    <w:p w:rsidR="0007030F" w:rsidP="0007030F" w14:paraId="184AD5AF" w14:textId="77777777">
      <w:pPr>
        <w:pStyle w:val="Default"/>
        <w:numPr>
          <w:ilvl w:val="1"/>
          <w:numId w:val="6"/>
        </w:numPr>
      </w:pPr>
      <w:r>
        <w:t>Spell check is not automatic in MS Excel.</w:t>
      </w:r>
    </w:p>
    <w:p w:rsidR="0007030F" w:rsidP="0007030F" w14:paraId="09F4497C" w14:textId="03CB6480">
      <w:pPr>
        <w:pStyle w:val="Default"/>
        <w:numPr>
          <w:ilvl w:val="1"/>
          <w:numId w:val="6"/>
        </w:numPr>
      </w:pPr>
      <w:r>
        <w:t>Some individuals had trouble copying information into the template.</w:t>
      </w:r>
    </w:p>
    <w:p w:rsidR="00F4366C" w:rsidRPr="00F4366C" w:rsidP="00537F1F" w14:paraId="2CDB34EE" w14:textId="2E484BA7">
      <w:pPr>
        <w:pStyle w:val="ListParagraph"/>
        <w:numPr>
          <w:ilvl w:val="1"/>
          <w:numId w:val="6"/>
        </w:numPr>
        <w:spacing w:after="0"/>
      </w:pPr>
      <w:r w:rsidRPr="00F4366C">
        <w:rPr>
          <w:rFonts w:ascii="Times New Roman" w:hAnsi="Times New Roman" w:cs="Times New Roman"/>
          <w:color w:val="000000"/>
          <w:sz w:val="24"/>
          <w:szCs w:val="24"/>
        </w:rPr>
        <w:t>Would like text to be visible for printing and less restrictions on formatting so they can format text as needed to show within the cell.</w:t>
      </w:r>
    </w:p>
    <w:p w:rsidR="0007030F" w:rsidP="0007030F" w14:paraId="7BB3C248" w14:textId="50165086">
      <w:pPr>
        <w:pStyle w:val="Default"/>
        <w:numPr>
          <w:ilvl w:val="1"/>
          <w:numId w:val="6"/>
        </w:numPr>
      </w:pPr>
      <w:r>
        <w:t xml:space="preserve">For some projects the individuals </w:t>
      </w:r>
      <w:r w:rsidR="006937C9">
        <w:t xml:space="preserve">completing the </w:t>
      </w:r>
      <w:r>
        <w:t>report are different by track. In this case would like to fill out and submit multiple copies of the form from a single agency to avoid waiting for different individuals to complete their sections.</w:t>
      </w:r>
    </w:p>
    <w:p w:rsidR="0007030F" w:rsidP="0007030F" w14:paraId="3A3132C0" w14:textId="77777777">
      <w:pPr>
        <w:pStyle w:val="Default"/>
      </w:pPr>
    </w:p>
    <w:p w:rsidR="00EB4765" w:rsidRPr="00BD75CA" w:rsidP="0034267A" w14:paraId="53CC68D1" w14:textId="77777777">
      <w:pPr>
        <w:pStyle w:val="Default"/>
        <w:rPr>
          <w:u w:val="single"/>
        </w:rPr>
      </w:pPr>
      <w:r w:rsidRPr="00BD75CA">
        <w:rPr>
          <w:u w:val="single"/>
        </w:rPr>
        <w:t>9. Explanation of Any Payment or Gift to Respondents</w:t>
      </w:r>
    </w:p>
    <w:p w:rsidR="00CD00AE" w:rsidP="0034267A" w14:paraId="713A14A6" w14:textId="77777777">
      <w:pPr>
        <w:pStyle w:val="Default"/>
      </w:pPr>
    </w:p>
    <w:p w:rsidR="00D40C58" w:rsidRPr="00D40C58" w:rsidP="0034267A" w14:paraId="4856610C" w14:textId="6645995F">
      <w:pPr>
        <w:pStyle w:val="Default"/>
      </w:pPr>
      <w:r>
        <w:t xml:space="preserve">There are no incentives, payments or gifts </w:t>
      </w:r>
      <w:r w:rsidRPr="00BD75CA" w:rsidR="003736B2">
        <w:t xml:space="preserve">associated with this </w:t>
      </w:r>
      <w:r w:rsidR="001D46EA">
        <w:t>information collection.</w:t>
      </w:r>
    </w:p>
    <w:p w:rsidR="00D40C58" w:rsidP="0034267A" w14:paraId="0C2C50B2" w14:textId="77777777">
      <w:pPr>
        <w:pStyle w:val="Default"/>
        <w:rPr>
          <w:u w:val="single"/>
        </w:rPr>
      </w:pPr>
    </w:p>
    <w:p w:rsidR="00D40C58" w:rsidP="0034267A" w14:paraId="3393F1DA" w14:textId="77777777">
      <w:pPr>
        <w:pStyle w:val="Default"/>
        <w:rPr>
          <w:u w:val="single"/>
        </w:rPr>
      </w:pPr>
    </w:p>
    <w:p w:rsidR="00D40C58" w:rsidP="0034267A" w14:paraId="421D43F2" w14:textId="77777777">
      <w:pPr>
        <w:pStyle w:val="Default"/>
        <w:rPr>
          <w:u w:val="single"/>
        </w:rPr>
      </w:pPr>
    </w:p>
    <w:p w:rsidR="00D40C58" w:rsidP="0034267A" w14:paraId="43954641" w14:textId="77777777">
      <w:pPr>
        <w:pStyle w:val="Default"/>
        <w:rPr>
          <w:u w:val="single"/>
        </w:rPr>
      </w:pPr>
    </w:p>
    <w:p w:rsidR="00D40C58" w:rsidP="0034267A" w14:paraId="4D3CF230" w14:textId="77777777">
      <w:pPr>
        <w:pStyle w:val="Default"/>
        <w:rPr>
          <w:u w:val="single"/>
        </w:rPr>
      </w:pPr>
    </w:p>
    <w:p w:rsidR="00D40C58" w:rsidP="0034267A" w14:paraId="1F821411" w14:textId="77777777">
      <w:pPr>
        <w:pStyle w:val="Default"/>
        <w:rPr>
          <w:u w:val="single"/>
        </w:rPr>
      </w:pPr>
    </w:p>
    <w:p w:rsidR="00D40C58" w:rsidP="0034267A" w14:paraId="6750D3EC" w14:textId="77777777">
      <w:pPr>
        <w:pStyle w:val="Default"/>
        <w:rPr>
          <w:u w:val="single"/>
        </w:rPr>
      </w:pPr>
    </w:p>
    <w:p w:rsidR="00D40C58" w:rsidP="0034267A" w14:paraId="5C49B0D9" w14:textId="77777777">
      <w:pPr>
        <w:pStyle w:val="Default"/>
        <w:rPr>
          <w:u w:val="single"/>
        </w:rPr>
      </w:pPr>
    </w:p>
    <w:p w:rsidR="0091761E" w:rsidRPr="0091761E" w:rsidP="0034267A" w14:paraId="20C845C2" w14:textId="22DEE6D1">
      <w:pPr>
        <w:pStyle w:val="Default"/>
        <w:rPr>
          <w:u w:val="single"/>
        </w:rPr>
      </w:pPr>
      <w:r w:rsidRPr="00430AEF">
        <w:rPr>
          <w:u w:val="single"/>
        </w:rPr>
        <w:t>10.</w:t>
      </w:r>
      <w:r>
        <w:rPr>
          <w:u w:val="single"/>
        </w:rPr>
        <w:t xml:space="preserve">  </w:t>
      </w:r>
      <w:r w:rsidRPr="00430AEF">
        <w:rPr>
          <w:u w:val="single"/>
        </w:rPr>
        <w:t>Assurance of Confidentiality Provided to Respondents</w:t>
      </w:r>
      <w:r w:rsidRPr="00BD75CA" w:rsidR="001928E8">
        <w:rPr>
          <w:u w:val="single"/>
        </w:rPr>
        <w:t xml:space="preserve"> </w:t>
      </w:r>
    </w:p>
    <w:p w:rsidR="00CD00AE" w:rsidP="0034267A" w14:paraId="5035977D" w14:textId="77777777">
      <w:pPr>
        <w:autoSpaceDE w:val="0"/>
        <w:autoSpaceDN w:val="0"/>
        <w:adjustRightInd w:val="0"/>
        <w:spacing w:after="0" w:line="240" w:lineRule="auto"/>
        <w:rPr>
          <w:rFonts w:ascii="Times New Roman" w:hAnsi="Times New Roman" w:cs="Times New Roman"/>
          <w:sz w:val="24"/>
          <w:szCs w:val="24"/>
        </w:rPr>
      </w:pPr>
    </w:p>
    <w:p w:rsidR="008B04FC" w:rsidRPr="00946AE5" w:rsidP="008B04FC" w14:paraId="5199D6E8" w14:textId="459DA2B2">
      <w:pPr>
        <w:autoSpaceDE w:val="0"/>
        <w:autoSpaceDN w:val="0"/>
        <w:adjustRightInd w:val="0"/>
        <w:spacing w:after="0" w:line="240" w:lineRule="auto"/>
        <w:rPr>
          <w:rFonts w:ascii="Times New Roman" w:hAnsi="Times New Roman" w:cs="Times New Roman"/>
          <w:sz w:val="24"/>
          <w:szCs w:val="24"/>
        </w:rPr>
      </w:pPr>
      <w:r w:rsidRPr="00946AE5">
        <w:rPr>
          <w:rFonts w:ascii="Times New Roman" w:hAnsi="Times New Roman" w:cs="Times New Roman"/>
          <w:sz w:val="24"/>
          <w:szCs w:val="24"/>
        </w:rPr>
        <w:t>In preparing this Supporting Statement, we consulted our Privacy Office to ensure appropriate identification and handling of information collected.</w:t>
      </w:r>
    </w:p>
    <w:p w:rsidR="008B04FC" w:rsidRPr="00946AE5" w:rsidP="008B04FC" w14:paraId="4B776CB7" w14:textId="77777777">
      <w:pPr>
        <w:autoSpaceDE w:val="0"/>
        <w:autoSpaceDN w:val="0"/>
        <w:adjustRightInd w:val="0"/>
        <w:spacing w:after="0" w:line="240" w:lineRule="auto"/>
        <w:rPr>
          <w:rFonts w:ascii="Times New Roman" w:hAnsi="Times New Roman" w:cs="Times New Roman"/>
          <w:sz w:val="24"/>
          <w:szCs w:val="24"/>
        </w:rPr>
      </w:pPr>
    </w:p>
    <w:p w:rsidR="008B04FC" w:rsidRPr="00946AE5" w:rsidP="008B04FC" w14:paraId="4BDAB28A" w14:textId="0AE9AB63">
      <w:pPr>
        <w:autoSpaceDE w:val="0"/>
        <w:autoSpaceDN w:val="0"/>
        <w:adjustRightInd w:val="0"/>
        <w:spacing w:after="0" w:line="240" w:lineRule="auto"/>
        <w:rPr>
          <w:rFonts w:ascii="Times New Roman" w:hAnsi="Times New Roman" w:cs="Times New Roman"/>
          <w:sz w:val="24"/>
          <w:szCs w:val="24"/>
        </w:rPr>
      </w:pPr>
      <w:r w:rsidRPr="00946AE5">
        <w:rPr>
          <w:rFonts w:ascii="Times New Roman" w:hAnsi="Times New Roman" w:cs="Times New Roman"/>
          <w:sz w:val="24"/>
          <w:szCs w:val="24"/>
        </w:rPr>
        <w:t>This ICR collects personally identifiable information (PII).  PII is collected in the context of the subject individuals’ professional capacity and the FDA-related work they perform for their employer (e.g., point of contact at a regulated entity).  The PII submitted is name, job title, workplace email address, and workplace telephone number. FDA determined that although PII is collected, the collection is not subject to the Privacy Act of 1974 and the particular notice and other requirements of the Act do not apply. Specifically, the contractor or FDA does not use name or any other personal identifier to retrieve records from the information collected. Through appropriate form and webpage design, FDA limited submission fields and minimized the PII collected to protect the privacy of the individuals.</w:t>
      </w:r>
    </w:p>
    <w:p w:rsidR="008B04FC" w:rsidRPr="00946AE5" w:rsidP="008B04FC" w14:paraId="41609AF4" w14:textId="77777777">
      <w:pPr>
        <w:autoSpaceDE w:val="0"/>
        <w:autoSpaceDN w:val="0"/>
        <w:adjustRightInd w:val="0"/>
        <w:spacing w:after="0" w:line="240" w:lineRule="auto"/>
        <w:rPr>
          <w:rFonts w:ascii="Times New Roman" w:hAnsi="Times New Roman" w:cs="Times New Roman"/>
          <w:sz w:val="24"/>
          <w:szCs w:val="24"/>
        </w:rPr>
      </w:pPr>
    </w:p>
    <w:p w:rsidR="008B04FC" w:rsidRPr="00946AE5" w:rsidP="008B04FC" w14:paraId="02211B50" w14:textId="20004682">
      <w:pPr>
        <w:autoSpaceDE w:val="0"/>
        <w:autoSpaceDN w:val="0"/>
        <w:adjustRightInd w:val="0"/>
        <w:spacing w:after="0" w:line="240" w:lineRule="auto"/>
        <w:rPr>
          <w:rFonts w:ascii="Times New Roman" w:hAnsi="Times New Roman" w:cs="Times New Roman"/>
          <w:sz w:val="24"/>
          <w:szCs w:val="24"/>
        </w:rPr>
      </w:pPr>
      <w:r w:rsidRPr="00946AE5">
        <w:rPr>
          <w:rFonts w:ascii="Times New Roman" w:hAnsi="Times New Roman" w:cs="Times New Roman"/>
          <w:sz w:val="24"/>
          <w:szCs w:val="24"/>
        </w:rPr>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1F64A9" w:rsidP="0034267A" w14:paraId="3927FD3B" w14:textId="77777777">
      <w:pPr>
        <w:pStyle w:val="Default"/>
      </w:pPr>
    </w:p>
    <w:p w:rsidR="001F64A9" w:rsidRPr="001F64A9" w:rsidP="0034267A" w14:paraId="6863CEA3" w14:textId="3B2F7B87">
      <w:pPr>
        <w:pStyle w:val="Default"/>
      </w:pPr>
      <w:r w:rsidRPr="001F64A9">
        <w:rPr>
          <w:shd w:val="clear" w:color="auto" w:fill="FFFFFF"/>
        </w:rPr>
        <w:t>Data will be kept private to the extent allowed by law</w:t>
      </w:r>
      <w:r>
        <w:rPr>
          <w:shd w:val="clear" w:color="auto" w:fill="FFFFFF"/>
        </w:rPr>
        <w:t>.</w:t>
      </w:r>
    </w:p>
    <w:p w:rsidR="001F64A9" w:rsidP="0034267A" w14:paraId="45FAE859" w14:textId="77777777">
      <w:pPr>
        <w:pStyle w:val="Default"/>
      </w:pPr>
    </w:p>
    <w:p w:rsidR="00EB4765" w:rsidRPr="00BD75CA" w:rsidP="0034267A" w14:paraId="58BE9F87" w14:textId="77777777">
      <w:pPr>
        <w:pStyle w:val="Default"/>
        <w:rPr>
          <w:u w:val="single"/>
        </w:rPr>
      </w:pPr>
      <w:r w:rsidRPr="00BD75CA">
        <w:rPr>
          <w:u w:val="single"/>
        </w:rPr>
        <w:t>11. Justification for Sensitive Questions</w:t>
      </w:r>
    </w:p>
    <w:p w:rsidR="00CD00AE" w:rsidP="0034267A" w14:paraId="4B8D9DD8" w14:textId="77777777">
      <w:pPr>
        <w:pStyle w:val="Default"/>
      </w:pPr>
    </w:p>
    <w:p w:rsidR="00EB4765" w:rsidRPr="00BD75CA" w:rsidP="0034267A" w14:paraId="23FAF27C" w14:textId="659F7A1D">
      <w:pPr>
        <w:pStyle w:val="Default"/>
      </w:pPr>
      <w:r>
        <w:t>The collection of information does not involve sensitive questions</w:t>
      </w:r>
      <w:r w:rsidRPr="00BD75CA" w:rsidR="003736B2">
        <w:t>.</w:t>
      </w:r>
    </w:p>
    <w:p w:rsidR="00CD00AE" w:rsidP="0034267A" w14:paraId="70FEAF9D" w14:textId="77777777">
      <w:pPr>
        <w:pStyle w:val="Default"/>
      </w:pPr>
    </w:p>
    <w:p w:rsidR="00247762" w:rsidRPr="00BD75CA" w:rsidP="0034267A" w14:paraId="6FDF6CA5" w14:textId="41B251F3">
      <w:pPr>
        <w:pStyle w:val="Default"/>
        <w:rPr>
          <w:u w:val="single"/>
        </w:rPr>
      </w:pPr>
      <w:r w:rsidRPr="00BD75CA">
        <w:rPr>
          <w:u w:val="single"/>
        </w:rPr>
        <w:t>12. Estimates of Annualized Hour Burden and Costs</w:t>
      </w:r>
    </w:p>
    <w:p w:rsidR="00CD00AE" w:rsidP="0034267A" w14:paraId="274F9CF3" w14:textId="3444DA77">
      <w:pPr>
        <w:pStyle w:val="Default"/>
      </w:pPr>
    </w:p>
    <w:p w:rsidR="006C1ABE" w:rsidP="0034267A" w14:paraId="6BCD5ABE" w14:textId="041FB008">
      <w:pPr>
        <w:pStyle w:val="Default"/>
        <w:rPr>
          <w:i/>
          <w:iCs/>
        </w:rPr>
      </w:pPr>
      <w:r>
        <w:tab/>
      </w:r>
      <w:r w:rsidRPr="00C4554C" w:rsidR="009F6886">
        <w:rPr>
          <w:i/>
          <w:iCs/>
        </w:rPr>
        <w:t>12a. Annualized Hour Burden Estimate</w:t>
      </w:r>
      <w:bookmarkStart w:id="3" w:name="_Hlk56601939"/>
      <w:r w:rsidR="00CD00AE">
        <w:rPr>
          <w:i/>
          <w:iCs/>
        </w:rPr>
        <w:t>:</w:t>
      </w:r>
    </w:p>
    <w:p w:rsidR="00FF43ED" w:rsidP="00FF43ED" w14:paraId="102A6D78" w14:textId="77777777">
      <w:pPr>
        <w:pStyle w:val="Default"/>
      </w:pPr>
    </w:p>
    <w:tbl>
      <w:tblPr>
        <w:tblW w:w="53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3"/>
        <w:gridCol w:w="1643"/>
        <w:gridCol w:w="1538"/>
        <w:gridCol w:w="1407"/>
        <w:gridCol w:w="1524"/>
        <w:gridCol w:w="1377"/>
      </w:tblGrid>
      <w:tr w14:paraId="5BBDD7C7" w14:textId="77777777" w:rsidTr="0089291E">
        <w:tblPrEx>
          <w:tblW w:w="53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19"/>
          <w:tblHeader/>
        </w:trPr>
        <w:tc>
          <w:tcPr>
            <w:tcW w:w="5000" w:type="pct"/>
            <w:gridSpan w:val="6"/>
            <w:tcBorders>
              <w:top w:val="nil"/>
              <w:left w:val="nil"/>
              <w:right w:val="nil"/>
            </w:tcBorders>
            <w:shd w:val="clear" w:color="auto" w:fill="auto"/>
          </w:tcPr>
          <w:p w:rsidR="00FF43ED" w:rsidRPr="00D40C58" w:rsidP="00D40C58" w14:paraId="46B653E8" w14:textId="77777777">
            <w:pPr>
              <w:keepNext/>
              <w:spacing w:after="0" w:line="240" w:lineRule="auto"/>
              <w:jc w:val="center"/>
              <w:rPr>
                <w:rFonts w:ascii="Times New Roman" w:hAnsi="Times New Roman" w:cs="Times New Roman"/>
                <w:sz w:val="24"/>
                <w:szCs w:val="24"/>
              </w:rPr>
            </w:pPr>
            <w:r w:rsidRPr="00D40C58">
              <w:rPr>
                <w:rFonts w:ascii="Times New Roman" w:hAnsi="Times New Roman" w:cs="Times New Roman"/>
                <w:sz w:val="24"/>
                <w:szCs w:val="24"/>
              </w:rPr>
              <w:t>Table 1. – Estimated Annual Reporting Burden</w:t>
            </w:r>
            <w:r w:rsidRPr="00D40C58">
              <w:rPr>
                <w:rFonts w:ascii="Times New Roman" w:hAnsi="Times New Roman" w:cs="Times New Roman"/>
                <w:sz w:val="24"/>
                <w:szCs w:val="24"/>
                <w:vertAlign w:val="superscript"/>
              </w:rPr>
              <w:t>1</w:t>
            </w:r>
          </w:p>
        </w:tc>
      </w:tr>
      <w:tr w14:paraId="7917FBBE" w14:textId="77777777" w:rsidTr="0089291E">
        <w:tblPrEx>
          <w:tblW w:w="5391" w:type="pct"/>
          <w:tblLook w:val="01E0"/>
        </w:tblPrEx>
        <w:trPr>
          <w:cantSplit/>
          <w:trHeight w:val="19"/>
          <w:tblHeader/>
        </w:trPr>
        <w:tc>
          <w:tcPr>
            <w:tcW w:w="1290" w:type="pct"/>
            <w:shd w:val="clear" w:color="auto" w:fill="auto"/>
          </w:tcPr>
          <w:p w:rsidR="00FF43ED" w:rsidRPr="00D40C58" w:rsidP="00D40C58" w14:paraId="1D0BC7BC" w14:textId="77777777">
            <w:pPr>
              <w:spacing w:after="0" w:line="240" w:lineRule="auto"/>
              <w:jc w:val="center"/>
              <w:rPr>
                <w:rFonts w:ascii="Times New Roman" w:hAnsi="Times New Roman" w:cs="Times New Roman"/>
                <w:sz w:val="24"/>
                <w:szCs w:val="24"/>
              </w:rPr>
            </w:pPr>
            <w:r w:rsidRPr="00D40C58">
              <w:rPr>
                <w:rFonts w:ascii="Times New Roman" w:hAnsi="Times New Roman" w:cs="Times New Roman"/>
                <w:sz w:val="24"/>
                <w:szCs w:val="24"/>
              </w:rPr>
              <w:t>Awardee Activity</w:t>
            </w:r>
          </w:p>
        </w:tc>
        <w:tc>
          <w:tcPr>
            <w:tcW w:w="814" w:type="pct"/>
            <w:shd w:val="clear" w:color="auto" w:fill="auto"/>
          </w:tcPr>
          <w:p w:rsidR="00FF43ED" w:rsidRPr="00D40C58" w:rsidP="00D40C58" w14:paraId="67FA33FD" w14:textId="77777777">
            <w:pPr>
              <w:spacing w:after="0" w:line="240" w:lineRule="auto"/>
              <w:jc w:val="center"/>
              <w:rPr>
                <w:rFonts w:ascii="Times New Roman" w:hAnsi="Times New Roman" w:cs="Times New Roman"/>
                <w:sz w:val="24"/>
                <w:szCs w:val="24"/>
              </w:rPr>
            </w:pPr>
            <w:r w:rsidRPr="00D40C58">
              <w:rPr>
                <w:rFonts w:ascii="Times New Roman" w:hAnsi="Times New Roman" w:cs="Times New Roman"/>
                <w:sz w:val="24"/>
                <w:szCs w:val="24"/>
              </w:rPr>
              <w:t>No. of Respondents</w:t>
            </w:r>
          </w:p>
        </w:tc>
        <w:tc>
          <w:tcPr>
            <w:tcW w:w="762" w:type="pct"/>
            <w:shd w:val="clear" w:color="auto" w:fill="auto"/>
          </w:tcPr>
          <w:p w:rsidR="00FF43ED" w:rsidRPr="00D40C58" w:rsidP="00D40C58" w14:paraId="04A94FB3" w14:textId="77777777">
            <w:pPr>
              <w:spacing w:after="0" w:line="240" w:lineRule="auto"/>
              <w:jc w:val="center"/>
              <w:rPr>
                <w:rFonts w:ascii="Times New Roman" w:hAnsi="Times New Roman" w:cs="Times New Roman"/>
                <w:sz w:val="24"/>
                <w:szCs w:val="24"/>
              </w:rPr>
            </w:pPr>
            <w:r w:rsidRPr="00D40C58">
              <w:rPr>
                <w:rFonts w:ascii="Times New Roman" w:hAnsi="Times New Roman" w:cs="Times New Roman"/>
                <w:bCs/>
                <w:sz w:val="24"/>
                <w:szCs w:val="24"/>
              </w:rPr>
              <w:t>No. of Responses per Respondent</w:t>
            </w:r>
          </w:p>
        </w:tc>
        <w:tc>
          <w:tcPr>
            <w:tcW w:w="697" w:type="pct"/>
            <w:shd w:val="clear" w:color="auto" w:fill="auto"/>
          </w:tcPr>
          <w:p w:rsidR="00FF43ED" w:rsidRPr="00D40C58" w:rsidP="00D40C58" w14:paraId="6E6330E2" w14:textId="77777777">
            <w:pPr>
              <w:spacing w:after="0" w:line="240" w:lineRule="auto"/>
              <w:jc w:val="center"/>
              <w:rPr>
                <w:rFonts w:ascii="Times New Roman" w:hAnsi="Times New Roman" w:cs="Times New Roman"/>
                <w:sz w:val="24"/>
                <w:szCs w:val="24"/>
              </w:rPr>
            </w:pPr>
            <w:r w:rsidRPr="00D40C58">
              <w:rPr>
                <w:rFonts w:ascii="Times New Roman" w:hAnsi="Times New Roman" w:cs="Times New Roman"/>
                <w:sz w:val="24"/>
                <w:szCs w:val="24"/>
              </w:rPr>
              <w:t>Total Annual Responses</w:t>
            </w:r>
          </w:p>
        </w:tc>
        <w:tc>
          <w:tcPr>
            <w:tcW w:w="755" w:type="pct"/>
            <w:shd w:val="clear" w:color="auto" w:fill="auto"/>
          </w:tcPr>
          <w:p w:rsidR="00FF43ED" w:rsidRPr="00D40C58" w:rsidP="00D40C58" w14:paraId="6E574A68" w14:textId="77777777">
            <w:pPr>
              <w:spacing w:after="0" w:line="240" w:lineRule="auto"/>
              <w:jc w:val="center"/>
              <w:rPr>
                <w:rFonts w:ascii="Times New Roman" w:hAnsi="Times New Roman" w:cs="Times New Roman"/>
                <w:sz w:val="24"/>
                <w:szCs w:val="24"/>
              </w:rPr>
            </w:pPr>
            <w:r w:rsidRPr="00D40C58">
              <w:rPr>
                <w:rFonts w:ascii="Times New Roman" w:hAnsi="Times New Roman" w:cs="Times New Roman"/>
                <w:bCs/>
                <w:sz w:val="24"/>
                <w:szCs w:val="24"/>
              </w:rPr>
              <w:t>Average Burden per Response</w:t>
            </w:r>
          </w:p>
        </w:tc>
        <w:tc>
          <w:tcPr>
            <w:tcW w:w="682" w:type="pct"/>
            <w:shd w:val="clear" w:color="auto" w:fill="auto"/>
          </w:tcPr>
          <w:p w:rsidR="00FF43ED" w:rsidRPr="00D40C58" w:rsidP="00D40C58" w14:paraId="25CE5ECF" w14:textId="77777777">
            <w:pPr>
              <w:spacing w:after="0" w:line="240" w:lineRule="auto"/>
              <w:jc w:val="center"/>
              <w:rPr>
                <w:rFonts w:ascii="Times New Roman" w:hAnsi="Times New Roman" w:cs="Times New Roman"/>
                <w:sz w:val="24"/>
                <w:szCs w:val="24"/>
              </w:rPr>
            </w:pPr>
            <w:r w:rsidRPr="00D40C58">
              <w:rPr>
                <w:rFonts w:ascii="Times New Roman" w:hAnsi="Times New Roman" w:cs="Times New Roman"/>
                <w:sz w:val="24"/>
                <w:szCs w:val="24"/>
              </w:rPr>
              <w:t>Total Hours</w:t>
            </w:r>
          </w:p>
        </w:tc>
      </w:tr>
      <w:tr w14:paraId="7D56E14A" w14:textId="77777777" w:rsidTr="0089291E">
        <w:tblPrEx>
          <w:tblW w:w="5391" w:type="pct"/>
          <w:tblLook w:val="01E0"/>
        </w:tblPrEx>
        <w:trPr>
          <w:cantSplit/>
          <w:trHeight w:val="19"/>
        </w:trPr>
        <w:tc>
          <w:tcPr>
            <w:tcW w:w="1290" w:type="pct"/>
            <w:shd w:val="clear" w:color="auto" w:fill="auto"/>
          </w:tcPr>
          <w:p w:rsidR="00FF43ED" w:rsidRPr="00D40C58" w:rsidP="00D40C58" w14:paraId="2821B258" w14:textId="77777777">
            <w:pPr>
              <w:spacing w:after="0" w:line="240" w:lineRule="auto"/>
              <w:rPr>
                <w:rFonts w:ascii="Times New Roman" w:hAnsi="Times New Roman" w:cs="Times New Roman"/>
                <w:sz w:val="24"/>
                <w:szCs w:val="24"/>
              </w:rPr>
            </w:pPr>
            <w:r w:rsidRPr="00D40C58">
              <w:rPr>
                <w:rFonts w:ascii="Times New Roman" w:hAnsi="Times New Roman" w:cs="Times New Roman"/>
                <w:sz w:val="24"/>
                <w:szCs w:val="24"/>
              </w:rPr>
              <w:t>Initial Report; Update Reports; Supplement Reports (if applicable)</w:t>
            </w:r>
          </w:p>
        </w:tc>
        <w:tc>
          <w:tcPr>
            <w:tcW w:w="814" w:type="pct"/>
            <w:shd w:val="clear" w:color="auto" w:fill="auto"/>
          </w:tcPr>
          <w:p w:rsidR="00FF43ED" w:rsidRPr="00D40C58" w:rsidP="00D40C58" w14:paraId="2FC3996F" w14:textId="77777777">
            <w:pPr>
              <w:spacing w:after="0" w:line="240" w:lineRule="auto"/>
              <w:jc w:val="right"/>
              <w:rPr>
                <w:rFonts w:ascii="Times New Roman" w:hAnsi="Times New Roman" w:cs="Times New Roman"/>
                <w:sz w:val="24"/>
                <w:szCs w:val="24"/>
              </w:rPr>
            </w:pPr>
            <w:r w:rsidRPr="00D40C58">
              <w:rPr>
                <w:rFonts w:ascii="Times New Roman" w:hAnsi="Times New Roman" w:cs="Times New Roman"/>
                <w:sz w:val="24"/>
                <w:szCs w:val="24"/>
              </w:rPr>
              <w:t>330</w:t>
            </w:r>
          </w:p>
        </w:tc>
        <w:tc>
          <w:tcPr>
            <w:tcW w:w="762" w:type="pct"/>
            <w:shd w:val="clear" w:color="auto" w:fill="auto"/>
          </w:tcPr>
          <w:p w:rsidR="00FF43ED" w:rsidRPr="00D40C58" w:rsidP="00D40C58" w14:paraId="7DE20B64" w14:textId="77777777">
            <w:pPr>
              <w:spacing w:after="0" w:line="240" w:lineRule="auto"/>
              <w:jc w:val="right"/>
              <w:rPr>
                <w:rFonts w:ascii="Times New Roman" w:hAnsi="Times New Roman" w:cs="Times New Roman"/>
                <w:sz w:val="24"/>
                <w:szCs w:val="24"/>
              </w:rPr>
            </w:pPr>
            <w:r w:rsidRPr="00D40C58">
              <w:rPr>
                <w:rFonts w:ascii="Times New Roman" w:hAnsi="Times New Roman" w:cs="Times New Roman"/>
                <w:sz w:val="24"/>
                <w:szCs w:val="24"/>
              </w:rPr>
              <w:t>3.303</w:t>
            </w:r>
          </w:p>
        </w:tc>
        <w:tc>
          <w:tcPr>
            <w:tcW w:w="697" w:type="pct"/>
            <w:shd w:val="clear" w:color="auto" w:fill="auto"/>
          </w:tcPr>
          <w:p w:rsidR="00FF43ED" w:rsidRPr="00D40C58" w:rsidP="00D40C58" w14:paraId="63DBF3E3" w14:textId="77777777">
            <w:pPr>
              <w:spacing w:after="0" w:line="240" w:lineRule="auto"/>
              <w:jc w:val="right"/>
              <w:rPr>
                <w:rFonts w:ascii="Times New Roman" w:hAnsi="Times New Roman" w:cs="Times New Roman"/>
                <w:sz w:val="24"/>
                <w:szCs w:val="24"/>
              </w:rPr>
            </w:pPr>
            <w:r w:rsidRPr="00D40C58">
              <w:rPr>
                <w:rFonts w:ascii="Times New Roman" w:hAnsi="Times New Roman" w:cs="Times New Roman"/>
                <w:sz w:val="24"/>
                <w:szCs w:val="24"/>
              </w:rPr>
              <w:t>1,090</w:t>
            </w:r>
          </w:p>
        </w:tc>
        <w:tc>
          <w:tcPr>
            <w:tcW w:w="755" w:type="pct"/>
            <w:shd w:val="clear" w:color="auto" w:fill="auto"/>
          </w:tcPr>
          <w:p w:rsidR="00FF43ED" w:rsidRPr="00D40C58" w:rsidP="00D40C58" w14:paraId="08282F59" w14:textId="77777777">
            <w:pPr>
              <w:spacing w:after="0" w:line="240" w:lineRule="auto"/>
              <w:jc w:val="right"/>
              <w:rPr>
                <w:rFonts w:ascii="Times New Roman" w:hAnsi="Times New Roman" w:cs="Times New Roman"/>
                <w:sz w:val="24"/>
                <w:szCs w:val="24"/>
              </w:rPr>
            </w:pPr>
            <w:r w:rsidRPr="00D40C58">
              <w:rPr>
                <w:rFonts w:ascii="Times New Roman" w:hAnsi="Times New Roman" w:cs="Times New Roman"/>
                <w:sz w:val="24"/>
                <w:szCs w:val="24"/>
              </w:rPr>
              <w:t xml:space="preserve">28.17 hours </w:t>
            </w:r>
          </w:p>
          <w:p w:rsidR="00FF43ED" w:rsidRPr="00D40C58" w:rsidP="00D40C58" w14:paraId="08AD21AF" w14:textId="77777777">
            <w:pPr>
              <w:spacing w:after="0" w:line="240" w:lineRule="auto"/>
              <w:jc w:val="right"/>
              <w:rPr>
                <w:rFonts w:ascii="Times New Roman" w:hAnsi="Times New Roman" w:cs="Times New Roman"/>
                <w:sz w:val="24"/>
                <w:szCs w:val="24"/>
              </w:rPr>
            </w:pPr>
            <w:r w:rsidRPr="00D40C58">
              <w:rPr>
                <w:rFonts w:ascii="Times New Roman" w:hAnsi="Times New Roman" w:cs="Times New Roman"/>
                <w:sz w:val="24"/>
                <w:szCs w:val="24"/>
              </w:rPr>
              <w:t>(28 hours and 10 minutes)</w:t>
            </w:r>
          </w:p>
        </w:tc>
        <w:tc>
          <w:tcPr>
            <w:tcW w:w="682" w:type="pct"/>
            <w:shd w:val="clear" w:color="auto" w:fill="auto"/>
          </w:tcPr>
          <w:p w:rsidR="00FF43ED" w:rsidRPr="00D40C58" w:rsidP="00D40C58" w14:paraId="74F1DA76" w14:textId="77777777">
            <w:pPr>
              <w:spacing w:after="0" w:line="240" w:lineRule="auto"/>
              <w:jc w:val="right"/>
              <w:rPr>
                <w:rFonts w:ascii="Times New Roman" w:hAnsi="Times New Roman" w:cs="Times New Roman"/>
                <w:sz w:val="24"/>
                <w:szCs w:val="24"/>
              </w:rPr>
            </w:pPr>
            <w:r w:rsidRPr="00D40C58">
              <w:rPr>
                <w:rFonts w:ascii="Times New Roman" w:hAnsi="Times New Roman" w:cs="Times New Roman"/>
                <w:sz w:val="24"/>
                <w:szCs w:val="24"/>
              </w:rPr>
              <w:t>30,700</w:t>
            </w:r>
          </w:p>
        </w:tc>
      </w:tr>
    </w:tbl>
    <w:p w:rsidR="00FF43ED" w:rsidRPr="00D40C58" w:rsidP="00D40C58" w14:paraId="090DE0FA" w14:textId="77777777">
      <w:pPr>
        <w:spacing w:after="0" w:line="240" w:lineRule="auto"/>
        <w:rPr>
          <w:rFonts w:ascii="Times New Roman" w:hAnsi="Times New Roman" w:cs="Times New Roman"/>
          <w:sz w:val="24"/>
          <w:szCs w:val="24"/>
        </w:rPr>
      </w:pPr>
      <w:r w:rsidRPr="00D40C58">
        <w:rPr>
          <w:rFonts w:ascii="Times New Roman" w:hAnsi="Times New Roman" w:cs="Times New Roman"/>
          <w:sz w:val="24"/>
          <w:szCs w:val="24"/>
          <w:vertAlign w:val="superscript"/>
        </w:rPr>
        <w:t>1</w:t>
      </w:r>
      <w:r w:rsidRPr="00D40C58">
        <w:rPr>
          <w:rFonts w:ascii="Times New Roman" w:hAnsi="Times New Roman" w:cs="Times New Roman"/>
          <w:sz w:val="24"/>
          <w:szCs w:val="24"/>
        </w:rPr>
        <w:t xml:space="preserve"> There are no capital costs or operating and maintenance costs associated with this collection of information.</w:t>
      </w:r>
    </w:p>
    <w:p w:rsidR="00FF43ED" w:rsidP="00FF43ED" w14:paraId="747C8B7E" w14:textId="77777777">
      <w:pPr>
        <w:jc w:val="center"/>
      </w:pPr>
    </w:p>
    <w:p w:rsidR="00FF43ED" w:rsidP="00FF43ED" w14:paraId="69005536" w14:textId="1765FAAA">
      <w:pPr>
        <w:spacing w:after="0" w:line="240" w:lineRule="auto"/>
        <w:ind w:firstLine="720"/>
        <w:rPr>
          <w:rFonts w:ascii="Times New Roman" w:hAnsi="Times New Roman" w:cs="Times New Roman"/>
          <w:sz w:val="24"/>
          <w:szCs w:val="24"/>
        </w:rPr>
      </w:pPr>
      <w:r w:rsidRPr="00D40C58">
        <w:rPr>
          <w:rFonts w:ascii="Times New Roman" w:hAnsi="Times New Roman" w:cs="Times New Roman"/>
          <w:sz w:val="24"/>
          <w:szCs w:val="24"/>
        </w:rPr>
        <w:t xml:space="preserve">We estimate that 330 respondents will participate in FDA funded projects and agreements annually and will submit 2 to 4 reports within a single yearlong budget period (Table 1). To ensure adequate reporting will be achieved over the course of these projects, the option for a supplement report is included in the estimated reporting burden; however, the need for these </w:t>
      </w:r>
      <w:r w:rsidRPr="00D40C58">
        <w:rPr>
          <w:rFonts w:ascii="Times New Roman" w:hAnsi="Times New Roman" w:cs="Times New Roman"/>
          <w:sz w:val="24"/>
          <w:szCs w:val="24"/>
        </w:rPr>
        <w:t>reports will be determined on a case-by-case basis with the FDA project manager.  The estimated burden for each of the individual reporting activities was calculated based on the annual number of submissions and distributed among respondents.</w:t>
      </w:r>
    </w:p>
    <w:p w:rsidR="00FF43ED" w:rsidRPr="00D40C58" w:rsidP="00D40C58" w14:paraId="3E4E053A" w14:textId="77777777">
      <w:pPr>
        <w:spacing w:after="0" w:line="240" w:lineRule="auto"/>
        <w:ind w:firstLine="720"/>
        <w:rPr>
          <w:rFonts w:ascii="Times New Roman" w:hAnsi="Times New Roman" w:cs="Times New Roman"/>
          <w:sz w:val="24"/>
          <w:szCs w:val="24"/>
        </w:rPr>
      </w:pPr>
    </w:p>
    <w:tbl>
      <w:tblPr>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8"/>
        <w:gridCol w:w="1642"/>
        <w:gridCol w:w="1549"/>
        <w:gridCol w:w="1152"/>
        <w:gridCol w:w="2017"/>
        <w:gridCol w:w="1139"/>
        <w:gridCol w:w="20"/>
      </w:tblGrid>
      <w:tr w14:paraId="2A161212" w14:textId="77777777" w:rsidTr="0089291E">
        <w:tblPrEx>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16" w:type="dxa"/>
          <w:trHeight w:val="231"/>
          <w:tblHeader/>
        </w:trPr>
        <w:tc>
          <w:tcPr>
            <w:tcW w:w="4984" w:type="pct"/>
            <w:gridSpan w:val="6"/>
            <w:tcBorders>
              <w:top w:val="nil"/>
              <w:left w:val="nil"/>
              <w:right w:val="nil"/>
            </w:tcBorders>
            <w:shd w:val="clear" w:color="auto" w:fill="auto"/>
          </w:tcPr>
          <w:p w:rsidR="00FF43ED" w:rsidRPr="00D40C58" w:rsidP="00D40C58" w14:paraId="4CD1DCF2" w14:textId="77777777">
            <w:pPr>
              <w:spacing w:after="0" w:line="240" w:lineRule="auto"/>
              <w:jc w:val="center"/>
              <w:rPr>
                <w:rFonts w:ascii="Times New Roman" w:hAnsi="Times New Roman" w:cs="Times New Roman"/>
                <w:sz w:val="24"/>
                <w:szCs w:val="24"/>
              </w:rPr>
            </w:pPr>
            <w:r w:rsidRPr="00D40C58">
              <w:rPr>
                <w:rFonts w:ascii="Times New Roman" w:hAnsi="Times New Roman" w:cs="Times New Roman"/>
                <w:sz w:val="24"/>
                <w:szCs w:val="24"/>
              </w:rPr>
              <w:t>Table 2. – Estimated Annual Recordkeeping Burden</w:t>
            </w:r>
            <w:r w:rsidRPr="00D40C58">
              <w:rPr>
                <w:rFonts w:ascii="Times New Roman" w:hAnsi="Times New Roman" w:cs="Times New Roman"/>
                <w:sz w:val="24"/>
                <w:szCs w:val="24"/>
                <w:vertAlign w:val="superscript"/>
              </w:rPr>
              <w:t>1</w:t>
            </w:r>
          </w:p>
        </w:tc>
      </w:tr>
      <w:tr w14:paraId="2E7E8023" w14:textId="77777777" w:rsidTr="0089291E">
        <w:tblPrEx>
          <w:tblW w:w="9727" w:type="dxa"/>
          <w:tblLook w:val="01E0"/>
        </w:tblPrEx>
        <w:trPr>
          <w:trHeight w:val="665"/>
          <w:tblHeader/>
        </w:trPr>
        <w:tc>
          <w:tcPr>
            <w:tcW w:w="1159" w:type="pct"/>
            <w:shd w:val="clear" w:color="auto" w:fill="auto"/>
          </w:tcPr>
          <w:p w:rsidR="00FF43ED" w:rsidRPr="00D40C58" w:rsidP="00D40C58" w14:paraId="2BC0146E" w14:textId="77777777">
            <w:pPr>
              <w:spacing w:after="0" w:line="240" w:lineRule="auto"/>
              <w:jc w:val="center"/>
              <w:rPr>
                <w:rFonts w:ascii="Times New Roman" w:hAnsi="Times New Roman" w:cs="Times New Roman"/>
                <w:sz w:val="24"/>
                <w:szCs w:val="24"/>
              </w:rPr>
            </w:pPr>
            <w:r w:rsidRPr="00D40C58">
              <w:rPr>
                <w:rFonts w:ascii="Times New Roman" w:hAnsi="Times New Roman" w:cs="Times New Roman"/>
                <w:sz w:val="24"/>
                <w:szCs w:val="24"/>
              </w:rPr>
              <w:t>Awardee Activity</w:t>
            </w:r>
          </w:p>
        </w:tc>
        <w:tc>
          <w:tcPr>
            <w:tcW w:w="722" w:type="pct"/>
            <w:shd w:val="clear" w:color="auto" w:fill="auto"/>
          </w:tcPr>
          <w:p w:rsidR="00FF43ED" w:rsidRPr="00D40C58" w:rsidP="00D40C58" w14:paraId="02DC9C47" w14:textId="77777777">
            <w:pPr>
              <w:spacing w:after="0" w:line="240" w:lineRule="auto"/>
              <w:jc w:val="center"/>
              <w:rPr>
                <w:rFonts w:ascii="Times New Roman" w:hAnsi="Times New Roman" w:cs="Times New Roman"/>
                <w:sz w:val="24"/>
                <w:szCs w:val="24"/>
              </w:rPr>
            </w:pPr>
            <w:r w:rsidRPr="00D40C58">
              <w:rPr>
                <w:rFonts w:ascii="Times New Roman" w:hAnsi="Times New Roman" w:cs="Times New Roman"/>
                <w:sz w:val="24"/>
                <w:szCs w:val="24"/>
              </w:rPr>
              <w:t>No. of Recordkeepers</w:t>
            </w:r>
          </w:p>
        </w:tc>
        <w:tc>
          <w:tcPr>
            <w:tcW w:w="805" w:type="pct"/>
            <w:shd w:val="clear" w:color="auto" w:fill="auto"/>
          </w:tcPr>
          <w:p w:rsidR="00FF43ED" w:rsidRPr="00D40C58" w:rsidP="00D40C58" w14:paraId="6463FAE0" w14:textId="77777777">
            <w:pPr>
              <w:spacing w:after="0" w:line="240" w:lineRule="auto"/>
              <w:jc w:val="center"/>
              <w:rPr>
                <w:rFonts w:ascii="Times New Roman" w:hAnsi="Times New Roman" w:cs="Times New Roman"/>
                <w:sz w:val="24"/>
                <w:szCs w:val="24"/>
              </w:rPr>
            </w:pPr>
            <w:r w:rsidRPr="00D40C58">
              <w:rPr>
                <w:rFonts w:ascii="Times New Roman" w:hAnsi="Times New Roman" w:cs="Times New Roman"/>
                <w:bCs/>
                <w:sz w:val="24"/>
                <w:szCs w:val="24"/>
              </w:rPr>
              <w:t>No. of Records per Recordkeeper</w:t>
            </w:r>
          </w:p>
        </w:tc>
        <w:tc>
          <w:tcPr>
            <w:tcW w:w="628" w:type="pct"/>
            <w:shd w:val="clear" w:color="auto" w:fill="auto"/>
          </w:tcPr>
          <w:p w:rsidR="00FF43ED" w:rsidRPr="00D40C58" w:rsidP="00D40C58" w14:paraId="6A9C4E39" w14:textId="77777777">
            <w:pPr>
              <w:spacing w:after="0" w:line="240" w:lineRule="auto"/>
              <w:jc w:val="center"/>
              <w:rPr>
                <w:rFonts w:ascii="Times New Roman" w:hAnsi="Times New Roman" w:cs="Times New Roman"/>
                <w:sz w:val="24"/>
                <w:szCs w:val="24"/>
              </w:rPr>
            </w:pPr>
            <w:r w:rsidRPr="00D40C58">
              <w:rPr>
                <w:rFonts w:ascii="Times New Roman" w:hAnsi="Times New Roman" w:cs="Times New Roman"/>
                <w:sz w:val="24"/>
                <w:szCs w:val="24"/>
              </w:rPr>
              <w:t>Total Annual Records</w:t>
            </w:r>
          </w:p>
        </w:tc>
        <w:tc>
          <w:tcPr>
            <w:tcW w:w="1061" w:type="pct"/>
            <w:shd w:val="clear" w:color="auto" w:fill="auto"/>
          </w:tcPr>
          <w:p w:rsidR="00FF43ED" w:rsidRPr="00D40C58" w:rsidP="00D40C58" w14:paraId="0971D24D" w14:textId="77777777">
            <w:pPr>
              <w:spacing w:after="0" w:line="240" w:lineRule="auto"/>
              <w:jc w:val="center"/>
              <w:rPr>
                <w:rFonts w:ascii="Times New Roman" w:hAnsi="Times New Roman" w:cs="Times New Roman"/>
                <w:sz w:val="24"/>
                <w:szCs w:val="24"/>
              </w:rPr>
            </w:pPr>
            <w:r w:rsidRPr="00D40C58">
              <w:rPr>
                <w:rFonts w:ascii="Times New Roman" w:hAnsi="Times New Roman" w:cs="Times New Roman"/>
                <w:bCs/>
                <w:sz w:val="24"/>
                <w:szCs w:val="24"/>
              </w:rPr>
              <w:t xml:space="preserve">Average Burden per Recordkeeping </w:t>
            </w:r>
          </w:p>
        </w:tc>
        <w:tc>
          <w:tcPr>
            <w:tcW w:w="625" w:type="pct"/>
            <w:gridSpan w:val="2"/>
            <w:shd w:val="clear" w:color="auto" w:fill="auto"/>
          </w:tcPr>
          <w:p w:rsidR="00FF43ED" w:rsidRPr="00D40C58" w:rsidP="00D40C58" w14:paraId="6E9D9588" w14:textId="77777777">
            <w:pPr>
              <w:spacing w:after="0" w:line="240" w:lineRule="auto"/>
              <w:jc w:val="center"/>
              <w:rPr>
                <w:rFonts w:ascii="Times New Roman" w:hAnsi="Times New Roman" w:cs="Times New Roman"/>
                <w:sz w:val="24"/>
                <w:szCs w:val="24"/>
              </w:rPr>
            </w:pPr>
            <w:r w:rsidRPr="00D40C58">
              <w:rPr>
                <w:rFonts w:ascii="Times New Roman" w:hAnsi="Times New Roman" w:cs="Times New Roman"/>
                <w:sz w:val="24"/>
                <w:szCs w:val="24"/>
              </w:rPr>
              <w:t>Total Hours</w:t>
            </w:r>
          </w:p>
        </w:tc>
      </w:tr>
      <w:tr w14:paraId="019A7E72" w14:textId="77777777" w:rsidTr="0089291E">
        <w:tblPrEx>
          <w:tblW w:w="9727" w:type="dxa"/>
          <w:tblLook w:val="01E0"/>
        </w:tblPrEx>
        <w:trPr>
          <w:trHeight w:val="413"/>
        </w:trPr>
        <w:tc>
          <w:tcPr>
            <w:tcW w:w="1159" w:type="pct"/>
            <w:shd w:val="clear" w:color="auto" w:fill="auto"/>
          </w:tcPr>
          <w:p w:rsidR="00FF43ED" w:rsidRPr="00D40C58" w:rsidP="00D40C58" w14:paraId="460690C3" w14:textId="77777777">
            <w:pPr>
              <w:keepNext/>
              <w:spacing w:after="0" w:line="240" w:lineRule="auto"/>
              <w:rPr>
                <w:rFonts w:ascii="Times New Roman" w:hAnsi="Times New Roman" w:cs="Times New Roman"/>
                <w:sz w:val="24"/>
                <w:szCs w:val="24"/>
              </w:rPr>
            </w:pPr>
            <w:r w:rsidRPr="00D40C58">
              <w:rPr>
                <w:rFonts w:ascii="Times New Roman" w:hAnsi="Times New Roman" w:cs="Times New Roman"/>
                <w:sz w:val="24"/>
                <w:szCs w:val="24"/>
              </w:rPr>
              <w:t>Initial Report, Updated Reports, or Supplement Reports (if applicable)</w:t>
            </w:r>
          </w:p>
        </w:tc>
        <w:tc>
          <w:tcPr>
            <w:tcW w:w="722" w:type="pct"/>
            <w:shd w:val="clear" w:color="auto" w:fill="auto"/>
          </w:tcPr>
          <w:p w:rsidR="00FF43ED" w:rsidRPr="00D40C58" w:rsidP="00D40C58" w14:paraId="04EC5EB6" w14:textId="77777777">
            <w:pPr>
              <w:keepNext/>
              <w:spacing w:after="0" w:line="240" w:lineRule="auto"/>
              <w:jc w:val="right"/>
              <w:rPr>
                <w:rFonts w:ascii="Times New Roman" w:hAnsi="Times New Roman" w:cs="Times New Roman"/>
                <w:sz w:val="24"/>
                <w:szCs w:val="24"/>
              </w:rPr>
            </w:pPr>
            <w:r w:rsidRPr="00D40C58">
              <w:rPr>
                <w:rFonts w:ascii="Times New Roman" w:hAnsi="Times New Roman" w:cs="Times New Roman"/>
                <w:sz w:val="24"/>
                <w:szCs w:val="24"/>
              </w:rPr>
              <w:t>330</w:t>
            </w:r>
          </w:p>
        </w:tc>
        <w:tc>
          <w:tcPr>
            <w:tcW w:w="805" w:type="pct"/>
            <w:shd w:val="clear" w:color="auto" w:fill="auto"/>
          </w:tcPr>
          <w:p w:rsidR="00FF43ED" w:rsidRPr="00D40C58" w:rsidP="00D40C58" w14:paraId="7AFA25BC" w14:textId="77777777">
            <w:pPr>
              <w:keepNext/>
              <w:spacing w:after="0" w:line="240" w:lineRule="auto"/>
              <w:jc w:val="right"/>
              <w:rPr>
                <w:rFonts w:ascii="Times New Roman" w:hAnsi="Times New Roman" w:cs="Times New Roman"/>
                <w:sz w:val="24"/>
                <w:szCs w:val="24"/>
              </w:rPr>
            </w:pPr>
            <w:r w:rsidRPr="00D40C58">
              <w:rPr>
                <w:rFonts w:ascii="Times New Roman" w:hAnsi="Times New Roman" w:cs="Times New Roman"/>
                <w:sz w:val="24"/>
                <w:szCs w:val="24"/>
              </w:rPr>
              <w:t>3.303</w:t>
            </w:r>
          </w:p>
        </w:tc>
        <w:tc>
          <w:tcPr>
            <w:tcW w:w="628" w:type="pct"/>
            <w:shd w:val="clear" w:color="auto" w:fill="auto"/>
          </w:tcPr>
          <w:p w:rsidR="00FF43ED" w:rsidRPr="00D40C58" w:rsidP="00D40C58" w14:paraId="69869149" w14:textId="77777777">
            <w:pPr>
              <w:keepNext/>
              <w:spacing w:after="0" w:line="240" w:lineRule="auto"/>
              <w:jc w:val="right"/>
              <w:rPr>
                <w:rFonts w:ascii="Times New Roman" w:hAnsi="Times New Roman" w:cs="Times New Roman"/>
                <w:sz w:val="24"/>
                <w:szCs w:val="24"/>
              </w:rPr>
            </w:pPr>
            <w:r w:rsidRPr="00D40C58">
              <w:rPr>
                <w:rFonts w:ascii="Times New Roman" w:hAnsi="Times New Roman" w:cs="Times New Roman"/>
                <w:sz w:val="24"/>
                <w:szCs w:val="24"/>
              </w:rPr>
              <w:t>1,090</w:t>
            </w:r>
          </w:p>
          <w:p w:rsidR="00FF43ED" w:rsidRPr="00D40C58" w:rsidP="00D40C58" w14:paraId="6A807E40" w14:textId="77777777">
            <w:pPr>
              <w:keepNext/>
              <w:spacing w:after="0" w:line="240" w:lineRule="auto"/>
              <w:jc w:val="right"/>
              <w:rPr>
                <w:rFonts w:ascii="Times New Roman" w:hAnsi="Times New Roman" w:cs="Times New Roman"/>
                <w:sz w:val="24"/>
                <w:szCs w:val="24"/>
              </w:rPr>
            </w:pPr>
          </w:p>
        </w:tc>
        <w:tc>
          <w:tcPr>
            <w:tcW w:w="1061" w:type="pct"/>
            <w:shd w:val="clear" w:color="auto" w:fill="auto"/>
          </w:tcPr>
          <w:p w:rsidR="00FF43ED" w:rsidRPr="00D40C58" w:rsidP="00D40C58" w14:paraId="5E784A32" w14:textId="77777777">
            <w:pPr>
              <w:spacing w:after="0" w:line="240" w:lineRule="auto"/>
              <w:jc w:val="right"/>
              <w:rPr>
                <w:rFonts w:ascii="Times New Roman" w:hAnsi="Times New Roman" w:cs="Times New Roman"/>
                <w:sz w:val="24"/>
                <w:szCs w:val="24"/>
              </w:rPr>
            </w:pPr>
            <w:r w:rsidRPr="00D40C58">
              <w:rPr>
                <w:rFonts w:ascii="Times New Roman" w:hAnsi="Times New Roman" w:cs="Times New Roman"/>
                <w:sz w:val="24"/>
                <w:szCs w:val="24"/>
              </w:rPr>
              <w:t xml:space="preserve">0.5 hours </w:t>
            </w:r>
          </w:p>
          <w:p w:rsidR="00FF43ED" w:rsidRPr="00D40C58" w:rsidP="00D40C58" w14:paraId="47C33E0D" w14:textId="77777777">
            <w:pPr>
              <w:spacing w:after="0" w:line="240" w:lineRule="auto"/>
              <w:jc w:val="right"/>
              <w:rPr>
                <w:rFonts w:ascii="Times New Roman" w:hAnsi="Times New Roman" w:cs="Times New Roman"/>
                <w:sz w:val="24"/>
                <w:szCs w:val="24"/>
              </w:rPr>
            </w:pPr>
            <w:r w:rsidRPr="00D40C58">
              <w:rPr>
                <w:rFonts w:ascii="Times New Roman" w:hAnsi="Times New Roman" w:cs="Times New Roman"/>
                <w:sz w:val="24"/>
                <w:szCs w:val="24"/>
              </w:rPr>
              <w:t xml:space="preserve">(30 minutes) </w:t>
            </w:r>
          </w:p>
          <w:p w:rsidR="00FF43ED" w:rsidRPr="00D40C58" w:rsidP="00D40C58" w14:paraId="2830430E" w14:textId="77777777">
            <w:pPr>
              <w:spacing w:after="0" w:line="240" w:lineRule="auto"/>
              <w:jc w:val="right"/>
              <w:rPr>
                <w:rFonts w:ascii="Times New Roman" w:hAnsi="Times New Roman" w:cs="Times New Roman"/>
                <w:sz w:val="24"/>
                <w:szCs w:val="24"/>
              </w:rPr>
            </w:pPr>
          </w:p>
        </w:tc>
        <w:tc>
          <w:tcPr>
            <w:tcW w:w="625" w:type="pct"/>
            <w:gridSpan w:val="2"/>
            <w:shd w:val="clear" w:color="auto" w:fill="auto"/>
          </w:tcPr>
          <w:p w:rsidR="00FF43ED" w:rsidRPr="00D40C58" w:rsidP="00D40C58" w14:paraId="5E892AC1" w14:textId="77777777">
            <w:pPr>
              <w:keepNext/>
              <w:spacing w:after="0" w:line="240" w:lineRule="auto"/>
              <w:jc w:val="right"/>
              <w:rPr>
                <w:rFonts w:ascii="Times New Roman" w:hAnsi="Times New Roman" w:cs="Times New Roman"/>
                <w:sz w:val="24"/>
                <w:szCs w:val="24"/>
              </w:rPr>
            </w:pPr>
            <w:r w:rsidRPr="00D40C58">
              <w:rPr>
                <w:rFonts w:ascii="Times New Roman" w:hAnsi="Times New Roman" w:cs="Times New Roman"/>
                <w:sz w:val="24"/>
                <w:szCs w:val="24"/>
              </w:rPr>
              <w:t>545</w:t>
            </w:r>
          </w:p>
          <w:p w:rsidR="00FF43ED" w:rsidRPr="00D40C58" w:rsidP="00D40C58" w14:paraId="4F3A1092" w14:textId="77777777">
            <w:pPr>
              <w:keepNext/>
              <w:spacing w:after="0" w:line="240" w:lineRule="auto"/>
              <w:jc w:val="right"/>
              <w:rPr>
                <w:rFonts w:ascii="Times New Roman" w:hAnsi="Times New Roman" w:cs="Times New Roman"/>
                <w:sz w:val="24"/>
                <w:szCs w:val="24"/>
              </w:rPr>
            </w:pPr>
          </w:p>
        </w:tc>
      </w:tr>
    </w:tbl>
    <w:p w:rsidR="00FF43ED" w:rsidP="00D40C58" w14:paraId="7A8D88FA" w14:textId="3A892441">
      <w:pPr>
        <w:spacing w:after="0" w:line="240" w:lineRule="auto"/>
        <w:rPr>
          <w:color w:val="000000"/>
          <w:sz w:val="24"/>
          <w:szCs w:val="24"/>
        </w:rPr>
      </w:pPr>
      <w:r w:rsidRPr="00D40C58">
        <w:rPr>
          <w:rFonts w:ascii="Times New Roman" w:hAnsi="Times New Roman" w:cs="Times New Roman"/>
          <w:sz w:val="24"/>
          <w:szCs w:val="24"/>
          <w:vertAlign w:val="superscript"/>
        </w:rPr>
        <w:t>1</w:t>
      </w:r>
      <w:r w:rsidRPr="00D40C58">
        <w:rPr>
          <w:rFonts w:ascii="Times New Roman" w:hAnsi="Times New Roman" w:cs="Times New Roman"/>
          <w:sz w:val="24"/>
          <w:szCs w:val="24"/>
        </w:rPr>
        <w:t xml:space="preserve"> There are no capital costs or operating and maintenance costs associated with this collection of information.</w:t>
      </w:r>
    </w:p>
    <w:p w:rsidR="00D40C58" w:rsidP="00FF43ED" w14:paraId="413493EA" w14:textId="77777777">
      <w:pPr>
        <w:spacing w:after="0" w:line="240" w:lineRule="auto"/>
        <w:ind w:firstLine="720"/>
        <w:rPr>
          <w:rFonts w:ascii="Times New Roman" w:hAnsi="Times New Roman" w:cs="Times New Roman"/>
          <w:color w:val="000000"/>
          <w:sz w:val="24"/>
          <w:szCs w:val="24"/>
        </w:rPr>
      </w:pPr>
    </w:p>
    <w:p w:rsidR="00FF43ED" w:rsidP="00FF43ED" w14:paraId="7AA8C3D5" w14:textId="1852F2AD">
      <w:pPr>
        <w:spacing w:after="0" w:line="240" w:lineRule="auto"/>
        <w:ind w:firstLine="720"/>
        <w:rPr>
          <w:rFonts w:ascii="Times New Roman" w:hAnsi="Times New Roman" w:cs="Times New Roman"/>
          <w:sz w:val="24"/>
          <w:szCs w:val="24"/>
        </w:rPr>
      </w:pPr>
      <w:r w:rsidRPr="00D40C58">
        <w:rPr>
          <w:rFonts w:ascii="Times New Roman" w:hAnsi="Times New Roman" w:cs="Times New Roman"/>
          <w:color w:val="000000"/>
          <w:sz w:val="24"/>
          <w:szCs w:val="24"/>
        </w:rPr>
        <w:t xml:space="preserve">Recordkeeping activities include storing and maintaining records related to submitting a request to participate in the project and compiling reports. Respondents should use current record retention capabilities for electronic or paper storage to achieve these activities. We assume it will take 0.5 hour/year to ensure the documents related to submitting a request to participate in the program are retained properly according to their existing recordkeeping policies, but no less than 3 years, as recommended by FDA (Table 2).  </w:t>
      </w:r>
      <w:r w:rsidRPr="00D40C58">
        <w:rPr>
          <w:rFonts w:ascii="Times New Roman" w:hAnsi="Times New Roman" w:cs="Times New Roman"/>
          <w:sz w:val="24"/>
          <w:szCs w:val="24"/>
        </w:rPr>
        <w:t>The estimated burden for each of the individual reporting activities was calculated based on the annual number of submissions and distributed among respondents.</w:t>
      </w:r>
    </w:p>
    <w:p w:rsidR="00FF43ED" w:rsidRPr="00D40C58" w:rsidP="00D40C58" w14:paraId="2087A6F2" w14:textId="77777777">
      <w:pPr>
        <w:spacing w:after="0" w:line="240" w:lineRule="auto"/>
        <w:ind w:firstLine="720"/>
        <w:rPr>
          <w:rFonts w:ascii="Times New Roman" w:hAnsi="Times New Roman" w:cs="Times New Roman"/>
          <w:sz w:val="24"/>
          <w:szCs w:val="24"/>
        </w:rPr>
      </w:pPr>
    </w:p>
    <w:tbl>
      <w:tblPr>
        <w:tblW w:w="5048"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1"/>
        <w:gridCol w:w="1349"/>
        <w:gridCol w:w="1353"/>
        <w:gridCol w:w="1531"/>
        <w:gridCol w:w="1799"/>
        <w:gridCol w:w="1257"/>
      </w:tblGrid>
      <w:tr w14:paraId="0A42DF2B" w14:textId="77777777" w:rsidTr="0089291E">
        <w:tblPrEx>
          <w:tblW w:w="5048"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51"/>
          <w:tblHeader/>
        </w:trPr>
        <w:tc>
          <w:tcPr>
            <w:tcW w:w="5000" w:type="pct"/>
            <w:gridSpan w:val="6"/>
            <w:tcBorders>
              <w:top w:val="nil"/>
              <w:left w:val="nil"/>
              <w:right w:val="nil"/>
            </w:tcBorders>
          </w:tcPr>
          <w:p w:rsidR="00FF43ED" w:rsidRPr="00D40C58" w:rsidP="00D40C58" w14:paraId="376DCC49" w14:textId="77777777">
            <w:pPr>
              <w:spacing w:after="0" w:line="240" w:lineRule="auto"/>
              <w:jc w:val="center"/>
              <w:rPr>
                <w:rFonts w:ascii="Times New Roman" w:hAnsi="Times New Roman" w:cs="Times New Roman"/>
                <w:sz w:val="24"/>
                <w:szCs w:val="24"/>
              </w:rPr>
            </w:pPr>
            <w:r w:rsidRPr="00D40C58">
              <w:rPr>
                <w:rFonts w:ascii="Times New Roman" w:hAnsi="Times New Roman" w:cs="Times New Roman"/>
                <w:sz w:val="24"/>
                <w:szCs w:val="24"/>
              </w:rPr>
              <w:t>Table 3. – Estimated Annual Third-Party Disclosure Burden</w:t>
            </w:r>
            <w:r w:rsidRPr="00D40C58">
              <w:rPr>
                <w:rFonts w:ascii="Times New Roman" w:hAnsi="Times New Roman" w:cs="Times New Roman"/>
                <w:sz w:val="24"/>
                <w:szCs w:val="24"/>
                <w:vertAlign w:val="superscript"/>
              </w:rPr>
              <w:t>1</w:t>
            </w:r>
          </w:p>
        </w:tc>
      </w:tr>
      <w:tr w14:paraId="1AA29E56" w14:textId="77777777" w:rsidTr="0089291E">
        <w:tblPrEx>
          <w:tblW w:w="5048" w:type="pct"/>
          <w:tblInd w:w="-90" w:type="dxa"/>
          <w:tblLayout w:type="fixed"/>
          <w:tblLook w:val="01E0"/>
        </w:tblPrEx>
        <w:trPr>
          <w:cantSplit/>
          <w:trHeight w:val="998"/>
          <w:tblHeader/>
        </w:trPr>
        <w:tc>
          <w:tcPr>
            <w:tcW w:w="1143" w:type="pct"/>
          </w:tcPr>
          <w:p w:rsidR="00FF43ED" w:rsidRPr="00D40C58" w:rsidP="00D40C58" w14:paraId="42783582" w14:textId="77777777">
            <w:pPr>
              <w:spacing w:after="0" w:line="240" w:lineRule="auto"/>
              <w:jc w:val="center"/>
              <w:rPr>
                <w:rFonts w:ascii="Times New Roman" w:hAnsi="Times New Roman" w:cs="Times New Roman"/>
                <w:sz w:val="24"/>
                <w:szCs w:val="24"/>
              </w:rPr>
            </w:pPr>
            <w:r w:rsidRPr="00D40C58">
              <w:rPr>
                <w:rFonts w:ascii="Times New Roman" w:hAnsi="Times New Roman" w:cs="Times New Roman"/>
                <w:sz w:val="24"/>
                <w:szCs w:val="24"/>
              </w:rPr>
              <w:t>Awardee-entity Activity</w:t>
            </w:r>
          </w:p>
        </w:tc>
        <w:tc>
          <w:tcPr>
            <w:tcW w:w="714" w:type="pct"/>
          </w:tcPr>
          <w:p w:rsidR="00FF43ED" w:rsidRPr="00D40C58" w:rsidP="00D40C58" w14:paraId="18A9A19B" w14:textId="77777777">
            <w:pPr>
              <w:spacing w:after="0" w:line="240" w:lineRule="auto"/>
              <w:jc w:val="center"/>
              <w:rPr>
                <w:rFonts w:ascii="Times New Roman" w:hAnsi="Times New Roman" w:cs="Times New Roman"/>
                <w:sz w:val="24"/>
                <w:szCs w:val="24"/>
              </w:rPr>
            </w:pPr>
            <w:r w:rsidRPr="00D40C58">
              <w:rPr>
                <w:rFonts w:ascii="Times New Roman" w:hAnsi="Times New Roman" w:cs="Times New Roman"/>
                <w:sz w:val="24"/>
                <w:szCs w:val="24"/>
              </w:rPr>
              <w:t>No. of Respondents</w:t>
            </w:r>
          </w:p>
        </w:tc>
        <w:tc>
          <w:tcPr>
            <w:tcW w:w="716" w:type="pct"/>
          </w:tcPr>
          <w:p w:rsidR="00FF43ED" w:rsidRPr="00D40C58" w:rsidP="00D40C58" w14:paraId="3EA987EF" w14:textId="77777777">
            <w:pPr>
              <w:spacing w:after="0" w:line="240" w:lineRule="auto"/>
              <w:jc w:val="center"/>
              <w:rPr>
                <w:rFonts w:ascii="Times New Roman" w:hAnsi="Times New Roman" w:cs="Times New Roman"/>
                <w:sz w:val="24"/>
                <w:szCs w:val="24"/>
              </w:rPr>
            </w:pPr>
            <w:r w:rsidRPr="00D40C58">
              <w:rPr>
                <w:rFonts w:ascii="Times New Roman" w:hAnsi="Times New Roman" w:cs="Times New Roman"/>
                <w:bCs/>
                <w:sz w:val="24"/>
                <w:szCs w:val="24"/>
              </w:rPr>
              <w:t>No. of Disclosures per Respondent</w:t>
            </w:r>
          </w:p>
        </w:tc>
        <w:tc>
          <w:tcPr>
            <w:tcW w:w="810" w:type="pct"/>
          </w:tcPr>
          <w:p w:rsidR="00FF43ED" w:rsidRPr="00D40C58" w:rsidP="00D40C58" w14:paraId="08D0A063" w14:textId="77777777">
            <w:pPr>
              <w:spacing w:after="0" w:line="240" w:lineRule="auto"/>
              <w:jc w:val="center"/>
              <w:rPr>
                <w:rFonts w:ascii="Times New Roman" w:hAnsi="Times New Roman" w:cs="Times New Roman"/>
                <w:sz w:val="24"/>
                <w:szCs w:val="24"/>
              </w:rPr>
            </w:pPr>
            <w:r w:rsidRPr="00D40C58">
              <w:rPr>
                <w:rFonts w:ascii="Times New Roman" w:hAnsi="Times New Roman" w:cs="Times New Roman"/>
                <w:sz w:val="24"/>
                <w:szCs w:val="24"/>
              </w:rPr>
              <w:t>Total Annual Disclosures</w:t>
            </w:r>
          </w:p>
        </w:tc>
        <w:tc>
          <w:tcPr>
            <w:tcW w:w="952" w:type="pct"/>
          </w:tcPr>
          <w:p w:rsidR="00FF43ED" w:rsidRPr="00D40C58" w:rsidP="00D40C58" w14:paraId="46A5B128" w14:textId="77777777">
            <w:pPr>
              <w:spacing w:after="0" w:line="240" w:lineRule="auto"/>
              <w:jc w:val="center"/>
              <w:rPr>
                <w:rFonts w:ascii="Times New Roman" w:hAnsi="Times New Roman" w:cs="Times New Roman"/>
                <w:sz w:val="24"/>
                <w:szCs w:val="24"/>
              </w:rPr>
            </w:pPr>
            <w:r w:rsidRPr="00D40C58">
              <w:rPr>
                <w:rFonts w:ascii="Times New Roman" w:hAnsi="Times New Roman" w:cs="Times New Roman"/>
                <w:bCs/>
                <w:sz w:val="24"/>
                <w:szCs w:val="24"/>
              </w:rPr>
              <w:t>Average Burden per Disclosure</w:t>
            </w:r>
          </w:p>
        </w:tc>
        <w:tc>
          <w:tcPr>
            <w:tcW w:w="665" w:type="pct"/>
          </w:tcPr>
          <w:p w:rsidR="00FF43ED" w:rsidRPr="00D40C58" w:rsidP="00D40C58" w14:paraId="5D8A3867" w14:textId="77777777">
            <w:pPr>
              <w:spacing w:after="0" w:line="240" w:lineRule="auto"/>
              <w:jc w:val="center"/>
              <w:rPr>
                <w:rFonts w:ascii="Times New Roman" w:hAnsi="Times New Roman" w:cs="Times New Roman"/>
                <w:sz w:val="24"/>
                <w:szCs w:val="24"/>
              </w:rPr>
            </w:pPr>
            <w:r w:rsidRPr="00D40C58">
              <w:rPr>
                <w:rFonts w:ascii="Times New Roman" w:hAnsi="Times New Roman" w:cs="Times New Roman"/>
                <w:sz w:val="24"/>
                <w:szCs w:val="24"/>
              </w:rPr>
              <w:t>Total Hours</w:t>
            </w:r>
          </w:p>
        </w:tc>
      </w:tr>
      <w:tr w14:paraId="37BC901D" w14:textId="77777777" w:rsidTr="0089291E">
        <w:tblPrEx>
          <w:tblW w:w="5048" w:type="pct"/>
          <w:tblInd w:w="-90" w:type="dxa"/>
          <w:tblLayout w:type="fixed"/>
          <w:tblLook w:val="01E0"/>
        </w:tblPrEx>
        <w:trPr>
          <w:cantSplit/>
          <w:trHeight w:val="350"/>
        </w:trPr>
        <w:tc>
          <w:tcPr>
            <w:tcW w:w="1143" w:type="pct"/>
          </w:tcPr>
          <w:p w:rsidR="00FF43ED" w:rsidRPr="00D40C58" w:rsidP="00D40C58" w14:paraId="6BA117B1" w14:textId="77777777">
            <w:pPr>
              <w:spacing w:after="0" w:line="240" w:lineRule="auto"/>
              <w:rPr>
                <w:rFonts w:ascii="Times New Roman" w:hAnsi="Times New Roman" w:cs="Times New Roman"/>
                <w:sz w:val="24"/>
                <w:szCs w:val="24"/>
              </w:rPr>
            </w:pPr>
            <w:r w:rsidRPr="00D40C58">
              <w:rPr>
                <w:rFonts w:ascii="Times New Roman" w:hAnsi="Times New Roman" w:cs="Times New Roman"/>
                <w:sz w:val="24"/>
                <w:szCs w:val="24"/>
              </w:rPr>
              <w:t>Coordination with partnering entities related to Initial Report, Update Reports, and Supplement Report (if applicable)</w:t>
            </w:r>
          </w:p>
        </w:tc>
        <w:tc>
          <w:tcPr>
            <w:tcW w:w="714" w:type="pct"/>
          </w:tcPr>
          <w:p w:rsidR="00FF43ED" w:rsidRPr="00D40C58" w:rsidP="00D40C58" w14:paraId="1E16C1F6" w14:textId="77777777">
            <w:pPr>
              <w:spacing w:after="0" w:line="240" w:lineRule="auto"/>
              <w:jc w:val="right"/>
              <w:rPr>
                <w:rFonts w:ascii="Times New Roman" w:hAnsi="Times New Roman" w:cs="Times New Roman"/>
                <w:sz w:val="24"/>
                <w:szCs w:val="24"/>
              </w:rPr>
            </w:pPr>
            <w:r w:rsidRPr="00D40C58">
              <w:rPr>
                <w:rFonts w:ascii="Times New Roman" w:hAnsi="Times New Roman" w:cs="Times New Roman"/>
                <w:sz w:val="24"/>
                <w:szCs w:val="24"/>
              </w:rPr>
              <w:t>200</w:t>
            </w:r>
          </w:p>
          <w:p w:rsidR="00FF43ED" w:rsidRPr="00D40C58" w:rsidP="00D40C58" w14:paraId="6A1BBA21" w14:textId="77777777">
            <w:pPr>
              <w:spacing w:after="0" w:line="240" w:lineRule="auto"/>
              <w:jc w:val="right"/>
              <w:rPr>
                <w:rFonts w:ascii="Times New Roman" w:hAnsi="Times New Roman" w:cs="Times New Roman"/>
                <w:sz w:val="24"/>
                <w:szCs w:val="24"/>
              </w:rPr>
            </w:pPr>
          </w:p>
        </w:tc>
        <w:tc>
          <w:tcPr>
            <w:tcW w:w="716" w:type="pct"/>
          </w:tcPr>
          <w:p w:rsidR="00FF43ED" w:rsidRPr="00D40C58" w:rsidP="00D40C58" w14:paraId="44C073EE" w14:textId="77777777">
            <w:pPr>
              <w:spacing w:after="0" w:line="240" w:lineRule="auto"/>
              <w:jc w:val="right"/>
              <w:rPr>
                <w:rFonts w:ascii="Times New Roman" w:hAnsi="Times New Roman" w:cs="Times New Roman"/>
                <w:sz w:val="24"/>
                <w:szCs w:val="24"/>
              </w:rPr>
            </w:pPr>
            <w:r w:rsidRPr="00D40C58">
              <w:rPr>
                <w:rFonts w:ascii="Times New Roman" w:hAnsi="Times New Roman" w:cs="Times New Roman"/>
                <w:sz w:val="24"/>
                <w:szCs w:val="24"/>
              </w:rPr>
              <w:t>7</w:t>
            </w:r>
          </w:p>
          <w:p w:rsidR="00FF43ED" w:rsidRPr="00D40C58" w:rsidP="00D40C58" w14:paraId="262C598A" w14:textId="77777777">
            <w:pPr>
              <w:spacing w:after="0" w:line="240" w:lineRule="auto"/>
              <w:jc w:val="right"/>
              <w:rPr>
                <w:rFonts w:ascii="Times New Roman" w:hAnsi="Times New Roman" w:cs="Times New Roman"/>
                <w:sz w:val="24"/>
                <w:szCs w:val="24"/>
              </w:rPr>
            </w:pPr>
          </w:p>
        </w:tc>
        <w:tc>
          <w:tcPr>
            <w:tcW w:w="810" w:type="pct"/>
          </w:tcPr>
          <w:p w:rsidR="00FF43ED" w:rsidRPr="00D40C58" w:rsidP="00D40C58" w14:paraId="0E73C213" w14:textId="77777777">
            <w:pPr>
              <w:spacing w:after="0" w:line="240" w:lineRule="auto"/>
              <w:jc w:val="right"/>
              <w:rPr>
                <w:rFonts w:ascii="Times New Roman" w:hAnsi="Times New Roman" w:cs="Times New Roman"/>
                <w:sz w:val="24"/>
                <w:szCs w:val="24"/>
              </w:rPr>
            </w:pPr>
            <w:r w:rsidRPr="00D40C58">
              <w:rPr>
                <w:rFonts w:ascii="Times New Roman" w:hAnsi="Times New Roman" w:cs="Times New Roman"/>
                <w:sz w:val="24"/>
                <w:szCs w:val="24"/>
              </w:rPr>
              <w:t>1,400</w:t>
            </w:r>
          </w:p>
        </w:tc>
        <w:tc>
          <w:tcPr>
            <w:tcW w:w="952" w:type="pct"/>
          </w:tcPr>
          <w:p w:rsidR="00FF43ED" w:rsidRPr="00D40C58" w:rsidP="00D40C58" w14:paraId="09E91C8F" w14:textId="77777777">
            <w:pPr>
              <w:spacing w:after="0" w:line="240" w:lineRule="auto"/>
              <w:jc w:val="right"/>
              <w:rPr>
                <w:rFonts w:ascii="Times New Roman" w:hAnsi="Times New Roman" w:cs="Times New Roman"/>
                <w:sz w:val="24"/>
                <w:szCs w:val="24"/>
              </w:rPr>
            </w:pPr>
            <w:r w:rsidRPr="00D40C58">
              <w:rPr>
                <w:rFonts w:ascii="Times New Roman" w:hAnsi="Times New Roman" w:cs="Times New Roman"/>
                <w:sz w:val="24"/>
                <w:szCs w:val="24"/>
              </w:rPr>
              <w:t xml:space="preserve">8 </w:t>
            </w:r>
          </w:p>
          <w:p w:rsidR="00FF43ED" w:rsidRPr="00D40C58" w:rsidP="00D40C58" w14:paraId="4EF962A1" w14:textId="77777777">
            <w:pPr>
              <w:spacing w:after="0" w:line="240" w:lineRule="auto"/>
              <w:jc w:val="right"/>
              <w:rPr>
                <w:rFonts w:ascii="Times New Roman" w:hAnsi="Times New Roman" w:cs="Times New Roman"/>
                <w:sz w:val="24"/>
                <w:szCs w:val="24"/>
              </w:rPr>
            </w:pPr>
          </w:p>
        </w:tc>
        <w:tc>
          <w:tcPr>
            <w:tcW w:w="665" w:type="pct"/>
          </w:tcPr>
          <w:p w:rsidR="00FF43ED" w:rsidRPr="00D40C58" w:rsidP="00D40C58" w14:paraId="50499BAB" w14:textId="77777777">
            <w:pPr>
              <w:spacing w:after="0" w:line="240" w:lineRule="auto"/>
              <w:jc w:val="right"/>
              <w:rPr>
                <w:rFonts w:ascii="Times New Roman" w:hAnsi="Times New Roman" w:cs="Times New Roman"/>
                <w:sz w:val="24"/>
                <w:szCs w:val="24"/>
              </w:rPr>
            </w:pPr>
            <w:r w:rsidRPr="00D40C58">
              <w:rPr>
                <w:rFonts w:ascii="Times New Roman" w:hAnsi="Times New Roman" w:cs="Times New Roman"/>
                <w:sz w:val="24"/>
                <w:szCs w:val="24"/>
              </w:rPr>
              <w:t>11,200</w:t>
            </w:r>
          </w:p>
          <w:p w:rsidR="00FF43ED" w:rsidRPr="00D40C58" w:rsidP="00D40C58" w14:paraId="32E5DF84" w14:textId="77777777">
            <w:pPr>
              <w:spacing w:after="0" w:line="240" w:lineRule="auto"/>
              <w:jc w:val="right"/>
              <w:rPr>
                <w:rFonts w:ascii="Times New Roman" w:hAnsi="Times New Roman" w:cs="Times New Roman"/>
                <w:sz w:val="24"/>
                <w:szCs w:val="24"/>
              </w:rPr>
            </w:pPr>
          </w:p>
        </w:tc>
      </w:tr>
    </w:tbl>
    <w:p w:rsidR="00FF43ED" w:rsidP="00D40C58" w14:paraId="6526A570" w14:textId="3A40AA67">
      <w:pPr>
        <w:spacing w:after="0" w:line="240" w:lineRule="auto"/>
        <w:rPr>
          <w:sz w:val="24"/>
        </w:rPr>
      </w:pPr>
      <w:r w:rsidRPr="00D40C58">
        <w:rPr>
          <w:rFonts w:ascii="Times New Roman" w:hAnsi="Times New Roman" w:cs="Times New Roman"/>
          <w:sz w:val="24"/>
          <w:szCs w:val="24"/>
          <w:vertAlign w:val="superscript"/>
        </w:rPr>
        <w:t>1</w:t>
      </w:r>
      <w:r w:rsidRPr="00D40C58">
        <w:rPr>
          <w:rFonts w:ascii="Times New Roman" w:hAnsi="Times New Roman" w:cs="Times New Roman"/>
          <w:sz w:val="24"/>
          <w:szCs w:val="24"/>
        </w:rPr>
        <w:t xml:space="preserve"> There are no capital costs or operating and maintenance costs associated with this collection of information.</w:t>
      </w:r>
    </w:p>
    <w:p w:rsidR="00D40C58" w:rsidP="00D40C58" w14:paraId="578EB217" w14:textId="77777777">
      <w:pPr>
        <w:spacing w:after="0" w:line="240" w:lineRule="auto"/>
        <w:ind w:firstLine="720"/>
        <w:rPr>
          <w:rFonts w:ascii="Times New Roman" w:hAnsi="Times New Roman" w:cs="Times New Roman"/>
          <w:sz w:val="24"/>
        </w:rPr>
      </w:pPr>
    </w:p>
    <w:p w:rsidR="00837F94" w:rsidRPr="00D40C58" w:rsidP="00D40C58" w14:paraId="5968F3C2" w14:textId="545B8F20">
      <w:pPr>
        <w:spacing w:after="0" w:line="240" w:lineRule="auto"/>
        <w:ind w:firstLine="720"/>
        <w:rPr>
          <w:rFonts w:ascii="Times New Roman" w:hAnsi="Times New Roman" w:cs="Times New Roman"/>
          <w:sz w:val="24"/>
          <w:szCs w:val="24"/>
        </w:rPr>
      </w:pPr>
      <w:r w:rsidRPr="00D40C58">
        <w:rPr>
          <w:rFonts w:ascii="Times New Roman" w:hAnsi="Times New Roman" w:cs="Times New Roman"/>
          <w:sz w:val="24"/>
        </w:rPr>
        <w:t xml:space="preserve">For those funded projects that involve a participant composed of partnering entities in the program, FDA is taking into consideration the time that partnering entities will spend coordinating with each other. We estimate that 200 respondents will work with their respective partnering entities and the average number of partnering entities will be 2. We assume each respondent will spend 8 hours coordinating with each partnering entity on each response for an estimated 7 response or reports each (Table 3).  </w:t>
      </w:r>
      <w:r w:rsidRPr="00D40C58">
        <w:rPr>
          <w:rFonts w:ascii="Times New Roman" w:hAnsi="Times New Roman" w:cs="Times New Roman"/>
          <w:sz w:val="24"/>
          <w:szCs w:val="24"/>
        </w:rPr>
        <w:t>The estimated burden for each of the individual reporting activities was calculated based on the annual number of submissions and distributed among respondents.</w:t>
      </w:r>
    </w:p>
    <w:p w:rsidR="00837F94" w:rsidRPr="00FF43ED" w:rsidP="00FF43ED" w14:paraId="15105DF0" w14:textId="7302BCF0">
      <w:pPr>
        <w:autoSpaceDE w:val="0"/>
        <w:autoSpaceDN w:val="0"/>
        <w:adjustRightInd w:val="0"/>
        <w:spacing w:after="0" w:line="240" w:lineRule="auto"/>
        <w:rPr>
          <w:rFonts w:ascii="Times New Roman" w:hAnsi="Times New Roman" w:cs="Times New Roman"/>
          <w:sz w:val="24"/>
          <w:szCs w:val="24"/>
        </w:rPr>
      </w:pPr>
      <w:r w:rsidRPr="00FF43ED">
        <w:rPr>
          <w:rFonts w:ascii="Times New Roman" w:hAnsi="Times New Roman" w:cs="Times New Roman"/>
          <w:sz w:val="24"/>
          <w:szCs w:val="24"/>
        </w:rPr>
        <w:t xml:space="preserve">The burden total for this collection is </w:t>
      </w:r>
      <w:r w:rsidRPr="00FF43ED" w:rsidR="00CF7223">
        <w:rPr>
          <w:rFonts w:ascii="Times New Roman" w:hAnsi="Times New Roman" w:cs="Times New Roman"/>
          <w:sz w:val="24"/>
          <w:szCs w:val="24"/>
        </w:rPr>
        <w:t>42,445</w:t>
      </w:r>
      <w:r w:rsidRPr="00FF43ED">
        <w:rPr>
          <w:rFonts w:ascii="Times New Roman" w:hAnsi="Times New Roman" w:cs="Times New Roman"/>
          <w:sz w:val="24"/>
          <w:szCs w:val="24"/>
        </w:rPr>
        <w:t xml:space="preserve"> hours.</w:t>
      </w:r>
    </w:p>
    <w:p w:rsidR="001E05C3" w:rsidRPr="00BD75CA" w:rsidP="0034267A" w14:paraId="47C08EF4" w14:textId="77777777">
      <w:pPr>
        <w:autoSpaceDE w:val="0"/>
        <w:autoSpaceDN w:val="0"/>
        <w:adjustRightInd w:val="0"/>
        <w:spacing w:after="0" w:line="240" w:lineRule="auto"/>
        <w:rPr>
          <w:rFonts w:ascii="Times New Roman" w:hAnsi="Times New Roman" w:cs="Times New Roman"/>
          <w:sz w:val="24"/>
          <w:szCs w:val="24"/>
        </w:rPr>
      </w:pPr>
    </w:p>
    <w:bookmarkEnd w:id="3"/>
    <w:p w:rsidR="00D40C58" w:rsidP="003C0F50" w14:paraId="645DE2C6" w14:textId="77777777">
      <w:pPr>
        <w:rPr>
          <w:szCs w:val="24"/>
        </w:rPr>
      </w:pPr>
      <w:r>
        <w:rPr>
          <w:szCs w:val="24"/>
        </w:rPr>
        <w:tab/>
      </w:r>
    </w:p>
    <w:p w:rsidR="00D40C58" w:rsidP="003C0F50" w14:paraId="07FEB6CF" w14:textId="77777777">
      <w:pPr>
        <w:rPr>
          <w:szCs w:val="24"/>
        </w:rPr>
      </w:pPr>
    </w:p>
    <w:p w:rsidR="00AF4D29" w:rsidRPr="00E319BD" w:rsidP="00D40C58" w14:paraId="16817A4F" w14:textId="00D1B44E">
      <w:pPr>
        <w:ind w:firstLine="720"/>
        <w:rPr>
          <w:rFonts w:ascii="Times New Roman" w:hAnsi="Times New Roman" w:cs="Times New Roman"/>
          <w:i/>
          <w:iCs/>
          <w:color w:val="000000"/>
          <w:sz w:val="24"/>
          <w:szCs w:val="24"/>
        </w:rPr>
      </w:pPr>
      <w:r w:rsidRPr="00E319BD">
        <w:rPr>
          <w:rFonts w:ascii="Times New Roman" w:hAnsi="Times New Roman" w:cs="Times New Roman"/>
          <w:i/>
          <w:iCs/>
          <w:color w:val="000000"/>
          <w:sz w:val="24"/>
          <w:szCs w:val="24"/>
        </w:rPr>
        <w:t>12b. Annualized Cost Burden Estimate:</w:t>
      </w:r>
    </w:p>
    <w:p w:rsidR="00AF4D29" w:rsidRPr="00BD75CA" w:rsidP="0034267A" w14:paraId="62B57F2E" w14:textId="64D8A93A">
      <w:pPr>
        <w:pStyle w:val="BodyText2"/>
        <w:rPr>
          <w:szCs w:val="24"/>
        </w:rPr>
      </w:pPr>
      <w:r w:rsidRPr="00BD75CA">
        <w:rPr>
          <w:szCs w:val="24"/>
        </w:rPr>
        <w:t xml:space="preserve">The annualized cost to all participants for the hour burden for the collection and reporting of information is </w:t>
      </w:r>
      <w:r w:rsidRPr="00BD75CA" w:rsidR="00426EAC">
        <w:rPr>
          <w:szCs w:val="24"/>
        </w:rPr>
        <w:t xml:space="preserve">estimated at </w:t>
      </w:r>
      <w:r w:rsidRPr="00BD75CA">
        <w:rPr>
          <w:szCs w:val="24"/>
        </w:rPr>
        <w:t>$</w:t>
      </w:r>
      <w:r w:rsidR="007C11B5">
        <w:rPr>
          <w:szCs w:val="24"/>
        </w:rPr>
        <w:t>997,457</w:t>
      </w:r>
      <w:r w:rsidRPr="00BD75CA" w:rsidR="00330E55">
        <w:rPr>
          <w:szCs w:val="24"/>
        </w:rPr>
        <w:t xml:space="preserve"> </w:t>
      </w:r>
      <w:r w:rsidRPr="00BD75CA">
        <w:rPr>
          <w:szCs w:val="24"/>
        </w:rPr>
        <w:t>(</w:t>
      </w:r>
      <w:r w:rsidR="00B115F9">
        <w:rPr>
          <w:szCs w:val="24"/>
        </w:rPr>
        <w:t>42,445</w:t>
      </w:r>
      <w:r w:rsidRPr="00BD75CA" w:rsidR="00330E55">
        <w:rPr>
          <w:szCs w:val="24"/>
        </w:rPr>
        <w:t xml:space="preserve"> hours</w:t>
      </w:r>
      <w:r w:rsidRPr="00BD75CA">
        <w:rPr>
          <w:szCs w:val="24"/>
        </w:rPr>
        <w:t xml:space="preserve"> x </w:t>
      </w:r>
      <w:r w:rsidRPr="00BD75CA" w:rsidR="00330E55">
        <w:rPr>
          <w:szCs w:val="24"/>
        </w:rPr>
        <w:t>$23.</w:t>
      </w:r>
      <w:r w:rsidR="001555A0">
        <w:rPr>
          <w:szCs w:val="24"/>
        </w:rPr>
        <w:t>50</w:t>
      </w:r>
      <w:r w:rsidRPr="00BD75CA" w:rsidR="001555A0">
        <w:rPr>
          <w:szCs w:val="24"/>
        </w:rPr>
        <w:t xml:space="preserve"> </w:t>
      </w:r>
      <w:r w:rsidRPr="00BD75CA" w:rsidR="00330E55">
        <w:rPr>
          <w:szCs w:val="24"/>
        </w:rPr>
        <w:t>per hour</w:t>
      </w:r>
      <w:r w:rsidRPr="00BD75CA">
        <w:rPr>
          <w:szCs w:val="24"/>
        </w:rPr>
        <w:t>)</w:t>
      </w:r>
      <w:r w:rsidRPr="00BD75CA" w:rsidR="00426EAC">
        <w:rPr>
          <w:szCs w:val="24"/>
        </w:rPr>
        <w:t>.</w:t>
      </w:r>
      <w:r w:rsidR="00B923F1">
        <w:rPr>
          <w:szCs w:val="24"/>
        </w:rPr>
        <w:t xml:space="preserve">  </w:t>
      </w:r>
      <w:r w:rsidRPr="00BD75CA" w:rsidR="00426EAC">
        <w:rPr>
          <w:szCs w:val="24"/>
        </w:rPr>
        <w:t>The hourly wage estimate is the average of mean wages received by Agricultural and Food Science Technicians</w:t>
      </w:r>
      <w:r w:rsidRPr="00BD75CA" w:rsidR="00D779DE">
        <w:rPr>
          <w:szCs w:val="24"/>
        </w:rPr>
        <w:t xml:space="preserve"> </w:t>
      </w:r>
      <w:r w:rsidRPr="00BD75CA" w:rsidR="00BB23FE">
        <w:rPr>
          <w:szCs w:val="24"/>
        </w:rPr>
        <w:t xml:space="preserve">at </w:t>
      </w:r>
      <w:r w:rsidRPr="00BD75CA" w:rsidR="00D779DE">
        <w:rPr>
          <w:szCs w:val="24"/>
        </w:rPr>
        <w:t>$22.</w:t>
      </w:r>
      <w:r w:rsidR="0097588D">
        <w:rPr>
          <w:szCs w:val="24"/>
        </w:rPr>
        <w:t>18</w:t>
      </w:r>
      <w:r w:rsidRPr="00BD75CA" w:rsidR="00426EAC">
        <w:rPr>
          <w:szCs w:val="24"/>
        </w:rPr>
        <w:t>, Biological Technicians</w:t>
      </w:r>
      <w:r w:rsidRPr="00BD75CA" w:rsidR="00BB23FE">
        <w:rPr>
          <w:szCs w:val="24"/>
        </w:rPr>
        <w:t xml:space="preserve"> at $23.</w:t>
      </w:r>
      <w:r w:rsidR="00726488">
        <w:rPr>
          <w:szCs w:val="24"/>
        </w:rPr>
        <w:t>87</w:t>
      </w:r>
      <w:r w:rsidRPr="00BD75CA" w:rsidR="00426EAC">
        <w:rPr>
          <w:szCs w:val="24"/>
        </w:rPr>
        <w:t xml:space="preserve">, and Chemical Technicians </w:t>
      </w:r>
      <w:r w:rsidRPr="00BD75CA" w:rsidR="00BB23FE">
        <w:rPr>
          <w:szCs w:val="24"/>
        </w:rPr>
        <w:t>at $2</w:t>
      </w:r>
      <w:r w:rsidR="00726488">
        <w:rPr>
          <w:szCs w:val="24"/>
        </w:rPr>
        <w:t>4.44</w:t>
      </w:r>
      <w:r w:rsidRPr="00BD75CA" w:rsidR="00BB23FE">
        <w:rPr>
          <w:szCs w:val="24"/>
        </w:rPr>
        <w:t xml:space="preserve"> </w:t>
      </w:r>
      <w:r w:rsidRPr="00BD75CA">
        <w:rPr>
          <w:szCs w:val="24"/>
        </w:rPr>
        <w:t>(</w:t>
      </w:r>
      <w:r w:rsidRPr="00BD75CA" w:rsidR="00426EAC">
        <w:rPr>
          <w:szCs w:val="24"/>
        </w:rPr>
        <w:t xml:space="preserve">May </w:t>
      </w:r>
      <w:r w:rsidRPr="00BD75CA" w:rsidR="00294CFE">
        <w:rPr>
          <w:szCs w:val="24"/>
        </w:rPr>
        <w:t>202</w:t>
      </w:r>
      <w:r w:rsidR="00294CFE">
        <w:rPr>
          <w:szCs w:val="24"/>
        </w:rPr>
        <w:t>2</w:t>
      </w:r>
      <w:r w:rsidRPr="00BD75CA" w:rsidR="00294CFE">
        <w:rPr>
          <w:szCs w:val="24"/>
        </w:rPr>
        <w:t xml:space="preserve"> </w:t>
      </w:r>
      <w:r w:rsidRPr="00BD75CA" w:rsidR="00426EAC">
        <w:rPr>
          <w:szCs w:val="24"/>
        </w:rPr>
        <w:t>National Occupational Employment and Wage Estimates United States</w:t>
      </w:r>
      <w:r w:rsidRPr="00BD75CA">
        <w:rPr>
          <w:szCs w:val="24"/>
        </w:rPr>
        <w:t>)</w:t>
      </w:r>
      <w:r w:rsidRPr="00BD75CA" w:rsidR="00426EAC">
        <w:rPr>
          <w:szCs w:val="24"/>
        </w:rPr>
        <w:t xml:space="preserve"> who represent the primary roles expected to contribute effort in compiling report information</w:t>
      </w:r>
      <w:r w:rsidRPr="00BD75CA">
        <w:rPr>
          <w:szCs w:val="24"/>
        </w:rPr>
        <w:t>.</w:t>
      </w:r>
      <w:r w:rsidR="00B923F1">
        <w:rPr>
          <w:szCs w:val="24"/>
        </w:rPr>
        <w:t xml:space="preserve">  </w:t>
      </w:r>
      <w:r w:rsidRPr="00BD75CA">
        <w:rPr>
          <w:szCs w:val="24"/>
        </w:rPr>
        <w:t xml:space="preserve">See </w:t>
      </w:r>
      <w:hyperlink r:id="rId7" w:history="1">
        <w:r w:rsidRPr="00BD75CA">
          <w:rPr>
            <w:rStyle w:val="Hyperlink"/>
            <w:szCs w:val="24"/>
          </w:rPr>
          <w:t>http://www.bls.gov/oes/current/oes_nat.htm</w:t>
        </w:r>
      </w:hyperlink>
      <w:r w:rsidRPr="00BD75CA">
        <w:rPr>
          <w:szCs w:val="24"/>
        </w:rPr>
        <w:t>.</w:t>
      </w:r>
    </w:p>
    <w:p w:rsidR="00AF4D29" w:rsidRPr="00BD75CA" w:rsidP="0034267A" w14:paraId="67DCE2D3" w14:textId="77777777">
      <w:pPr>
        <w:autoSpaceDE w:val="0"/>
        <w:autoSpaceDN w:val="0"/>
        <w:adjustRightInd w:val="0"/>
        <w:spacing w:after="0" w:line="240" w:lineRule="auto"/>
        <w:rPr>
          <w:rFonts w:ascii="Times New Roman" w:hAnsi="Times New Roman" w:cs="Times New Roman"/>
          <w:color w:val="000000"/>
          <w:sz w:val="24"/>
          <w:szCs w:val="24"/>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340"/>
        <w:gridCol w:w="2610"/>
        <w:gridCol w:w="2790"/>
      </w:tblGrid>
      <w:tr w14:paraId="52CEACE4" w14:textId="77777777" w:rsidTr="00B923F1">
        <w:tblPrEx>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080" w:type="dxa"/>
            <w:gridSpan w:val="4"/>
            <w:shd w:val="clear" w:color="auto" w:fill="auto"/>
          </w:tcPr>
          <w:p w:rsidR="00AF4D29" w:rsidRPr="00BD75CA" w:rsidP="00925473" w14:paraId="1FF69C16" w14:textId="34DE790C">
            <w:pPr>
              <w:autoSpaceDE w:val="0"/>
              <w:autoSpaceDN w:val="0"/>
              <w:adjustRightInd w:val="0"/>
              <w:spacing w:after="0" w:line="240" w:lineRule="auto"/>
              <w:jc w:val="center"/>
              <w:rPr>
                <w:rFonts w:ascii="Times New Roman" w:hAnsi="Times New Roman" w:cs="Times New Roman"/>
                <w:sz w:val="24"/>
                <w:szCs w:val="24"/>
              </w:rPr>
            </w:pPr>
            <w:r w:rsidRPr="00BD75CA">
              <w:rPr>
                <w:rFonts w:ascii="Times New Roman" w:hAnsi="Times New Roman" w:cs="Times New Roman"/>
                <w:sz w:val="24"/>
                <w:szCs w:val="24"/>
              </w:rPr>
              <w:t xml:space="preserve">Table </w:t>
            </w:r>
            <w:r w:rsidRPr="00BD75CA" w:rsidR="003A5F0A">
              <w:rPr>
                <w:rFonts w:ascii="Times New Roman" w:hAnsi="Times New Roman" w:cs="Times New Roman"/>
                <w:sz w:val="24"/>
                <w:szCs w:val="24"/>
              </w:rPr>
              <w:t xml:space="preserve">4. </w:t>
            </w:r>
            <w:r w:rsidR="003A5F0A">
              <w:rPr>
                <w:rFonts w:ascii="Times New Roman" w:hAnsi="Times New Roman" w:cs="Times New Roman"/>
                <w:sz w:val="24"/>
                <w:szCs w:val="24"/>
              </w:rPr>
              <w:t xml:space="preserve">– </w:t>
            </w:r>
            <w:r w:rsidRPr="00BD75CA">
              <w:rPr>
                <w:rFonts w:ascii="Times New Roman" w:hAnsi="Times New Roman" w:cs="Times New Roman"/>
                <w:sz w:val="24"/>
                <w:szCs w:val="24"/>
              </w:rPr>
              <w:t>Estimated Annual Burden Cost</w:t>
            </w:r>
          </w:p>
        </w:tc>
      </w:tr>
      <w:tr w14:paraId="2FC3CA52" w14:textId="77777777" w:rsidTr="00B923F1">
        <w:tblPrEx>
          <w:tblW w:w="10080" w:type="dxa"/>
          <w:tblInd w:w="-5" w:type="dxa"/>
          <w:tblLook w:val="01E0"/>
        </w:tblPrEx>
        <w:tc>
          <w:tcPr>
            <w:tcW w:w="2340" w:type="dxa"/>
            <w:shd w:val="clear" w:color="auto" w:fill="auto"/>
          </w:tcPr>
          <w:p w:rsidR="00AF4D29" w:rsidRPr="00BD75CA" w:rsidP="0034267A" w14:paraId="5DCB89CF"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Activity</w:t>
            </w:r>
          </w:p>
        </w:tc>
        <w:tc>
          <w:tcPr>
            <w:tcW w:w="2340" w:type="dxa"/>
            <w:shd w:val="clear" w:color="auto" w:fill="auto"/>
          </w:tcPr>
          <w:p w:rsidR="00AF4D29" w:rsidRPr="00BD75CA" w:rsidP="0034267A" w14:paraId="6472A203"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Total Burden Hours</w:t>
            </w:r>
          </w:p>
        </w:tc>
        <w:tc>
          <w:tcPr>
            <w:tcW w:w="2610" w:type="dxa"/>
            <w:shd w:val="clear" w:color="auto" w:fill="auto"/>
          </w:tcPr>
          <w:p w:rsidR="00AF4D29" w:rsidRPr="00BD75CA" w:rsidP="0034267A" w14:paraId="1CBE48CD"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Hourly Wage Rate</w:t>
            </w:r>
          </w:p>
        </w:tc>
        <w:tc>
          <w:tcPr>
            <w:tcW w:w="2790" w:type="dxa"/>
            <w:shd w:val="clear" w:color="auto" w:fill="auto"/>
          </w:tcPr>
          <w:p w:rsidR="00AF4D29" w:rsidRPr="00BD75CA" w:rsidP="0034267A" w14:paraId="4AFB8FAD"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Total Respondent Costs</w:t>
            </w:r>
          </w:p>
        </w:tc>
      </w:tr>
      <w:tr w14:paraId="003FE1EB" w14:textId="77777777" w:rsidTr="00B923F1">
        <w:tblPrEx>
          <w:tblW w:w="10080" w:type="dxa"/>
          <w:tblInd w:w="-5" w:type="dxa"/>
          <w:tblLook w:val="01E0"/>
        </w:tblPrEx>
        <w:tc>
          <w:tcPr>
            <w:tcW w:w="2340" w:type="dxa"/>
            <w:shd w:val="clear" w:color="auto" w:fill="auto"/>
          </w:tcPr>
          <w:p w:rsidR="00AF4D29" w:rsidRPr="00BD75CA" w:rsidP="0034267A" w14:paraId="053589E7"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Initial Report</w:t>
            </w:r>
          </w:p>
        </w:tc>
        <w:tc>
          <w:tcPr>
            <w:tcW w:w="2340" w:type="dxa"/>
            <w:shd w:val="clear" w:color="auto" w:fill="auto"/>
          </w:tcPr>
          <w:p w:rsidR="00AF4D29" w:rsidRPr="00BD75CA" w:rsidP="0034267A" w14:paraId="71F81BC9" w14:textId="25EEF46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6,665</w:t>
            </w:r>
          </w:p>
        </w:tc>
        <w:tc>
          <w:tcPr>
            <w:tcW w:w="2610" w:type="dxa"/>
            <w:shd w:val="clear" w:color="auto" w:fill="auto"/>
          </w:tcPr>
          <w:p w:rsidR="00AF4D29" w:rsidRPr="00BD75CA" w:rsidP="0034267A" w14:paraId="564EE90D" w14:textId="55D693A1">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$23.</w:t>
            </w:r>
            <w:r w:rsidR="001E05C3">
              <w:rPr>
                <w:rFonts w:ascii="Times New Roman" w:hAnsi="Times New Roman" w:cs="Times New Roman"/>
                <w:sz w:val="24"/>
                <w:szCs w:val="24"/>
              </w:rPr>
              <w:t>50</w:t>
            </w:r>
          </w:p>
        </w:tc>
        <w:tc>
          <w:tcPr>
            <w:tcW w:w="2790" w:type="dxa"/>
            <w:shd w:val="clear" w:color="auto" w:fill="auto"/>
          </w:tcPr>
          <w:p w:rsidR="00AF4D29" w:rsidRPr="00BD75CA" w:rsidP="0034267A" w14:paraId="2C4F7B74" w14:textId="2E8B771E">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002777C7">
              <w:rPr>
                <w:rFonts w:ascii="Times New Roman" w:hAnsi="Times New Roman" w:cs="Times New Roman"/>
                <w:sz w:val="24"/>
                <w:szCs w:val="24"/>
              </w:rPr>
              <w:t>156</w:t>
            </w:r>
            <w:r w:rsidR="00F871DC">
              <w:rPr>
                <w:rFonts w:ascii="Times New Roman" w:hAnsi="Times New Roman" w:cs="Times New Roman"/>
                <w:sz w:val="24"/>
                <w:szCs w:val="24"/>
              </w:rPr>
              <w:t>,</w:t>
            </w:r>
            <w:r w:rsidR="002777C7">
              <w:rPr>
                <w:rFonts w:ascii="Times New Roman" w:hAnsi="Times New Roman" w:cs="Times New Roman"/>
                <w:sz w:val="24"/>
                <w:szCs w:val="24"/>
              </w:rPr>
              <w:t>627</w:t>
            </w:r>
          </w:p>
        </w:tc>
      </w:tr>
      <w:tr w14:paraId="772C9EB3" w14:textId="77777777" w:rsidTr="00B923F1">
        <w:tblPrEx>
          <w:tblW w:w="10080" w:type="dxa"/>
          <w:tblInd w:w="-5" w:type="dxa"/>
          <w:tblLook w:val="01E0"/>
        </w:tblPrEx>
        <w:tc>
          <w:tcPr>
            <w:tcW w:w="2340" w:type="dxa"/>
            <w:tcBorders>
              <w:top w:val="single" w:sz="4" w:space="0" w:color="auto"/>
              <w:left w:val="single" w:sz="4" w:space="0" w:color="auto"/>
              <w:bottom w:val="single" w:sz="4" w:space="0" w:color="auto"/>
              <w:right w:val="single" w:sz="4" w:space="0" w:color="auto"/>
            </w:tcBorders>
            <w:shd w:val="clear" w:color="auto" w:fill="auto"/>
          </w:tcPr>
          <w:p w:rsidR="00AF4D29" w:rsidRPr="00BD75CA" w:rsidP="0034267A" w14:paraId="2DCAA081" w14:textId="4FBB3D7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Update</w:t>
            </w:r>
            <w:r w:rsidRPr="00BD75CA">
              <w:rPr>
                <w:rFonts w:ascii="Times New Roman" w:hAnsi="Times New Roman" w:cs="Times New Roman"/>
                <w:sz w:val="24"/>
                <w:szCs w:val="24"/>
              </w:rPr>
              <w:t xml:space="preserve"> Report</w:t>
            </w:r>
            <w:r w:rsidRPr="00BD75CA" w:rsidR="00BB23FE">
              <w:rPr>
                <w:rFonts w:ascii="Times New Roman" w:hAnsi="Times New Roman" w:cs="Times New Roman"/>
                <w:sz w:val="24"/>
                <w:szCs w:val="24"/>
              </w:rPr>
              <w:t>s</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F4D29" w:rsidRPr="00BD75CA" w:rsidP="0034267A" w14:paraId="517C4E2E" w14:textId="1D74BD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sidR="00844AE6">
              <w:rPr>
                <w:rFonts w:ascii="Times New Roman" w:hAnsi="Times New Roman" w:cs="Times New Roman"/>
                <w:sz w:val="24"/>
                <w:szCs w:val="24"/>
              </w:rPr>
              <w:t>3</w:t>
            </w:r>
            <w:r>
              <w:rPr>
                <w:rFonts w:ascii="Times New Roman" w:hAnsi="Times New Roman" w:cs="Times New Roman"/>
                <w:sz w:val="24"/>
                <w:szCs w:val="24"/>
              </w:rPr>
              <w:t>,130</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AF4D29" w:rsidRPr="00BD75CA" w:rsidP="0034267A" w14:paraId="28D0105B" w14:textId="37659024">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$23.</w:t>
            </w:r>
            <w:r w:rsidR="001E05C3">
              <w:rPr>
                <w:rFonts w:ascii="Times New Roman" w:hAnsi="Times New Roman" w:cs="Times New Roman"/>
                <w:sz w:val="24"/>
                <w:szCs w:val="24"/>
              </w:rPr>
              <w:t>50</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AF4D29" w:rsidRPr="00BD75CA" w:rsidP="0034267A" w14:paraId="51103E23" w14:textId="10773A85">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006C106F">
              <w:rPr>
                <w:rFonts w:ascii="Times New Roman" w:hAnsi="Times New Roman" w:cs="Times New Roman"/>
                <w:sz w:val="24"/>
                <w:szCs w:val="24"/>
              </w:rPr>
              <w:t>778</w:t>
            </w:r>
            <w:r w:rsidR="00844AE6">
              <w:rPr>
                <w:rFonts w:ascii="Times New Roman" w:hAnsi="Times New Roman" w:cs="Times New Roman"/>
                <w:sz w:val="24"/>
                <w:szCs w:val="24"/>
              </w:rPr>
              <w:t>,</w:t>
            </w:r>
            <w:r w:rsidR="006C106F">
              <w:rPr>
                <w:rFonts w:ascii="Times New Roman" w:hAnsi="Times New Roman" w:cs="Times New Roman"/>
                <w:sz w:val="24"/>
                <w:szCs w:val="24"/>
              </w:rPr>
              <w:t>555</w:t>
            </w:r>
          </w:p>
        </w:tc>
      </w:tr>
      <w:tr w14:paraId="0D27DA99" w14:textId="77777777" w:rsidTr="00B923F1">
        <w:tblPrEx>
          <w:tblW w:w="10080" w:type="dxa"/>
          <w:tblInd w:w="-5" w:type="dxa"/>
          <w:tblLook w:val="01E0"/>
        </w:tblPrEx>
        <w:tc>
          <w:tcPr>
            <w:tcW w:w="2340" w:type="dxa"/>
            <w:shd w:val="clear" w:color="auto" w:fill="auto"/>
          </w:tcPr>
          <w:p w:rsidR="00AF4D29" w:rsidRPr="00BD75CA" w:rsidP="0034267A" w14:paraId="0DF1646D"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Supplement Report</w:t>
            </w:r>
          </w:p>
        </w:tc>
        <w:tc>
          <w:tcPr>
            <w:tcW w:w="2340" w:type="dxa"/>
            <w:shd w:val="clear" w:color="auto" w:fill="auto"/>
          </w:tcPr>
          <w:p w:rsidR="00AF4D29" w:rsidRPr="00BD75CA" w:rsidP="0034267A" w14:paraId="00A65AE8" w14:textId="59583FC6">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2,650</w:t>
            </w:r>
          </w:p>
        </w:tc>
        <w:tc>
          <w:tcPr>
            <w:tcW w:w="2610" w:type="dxa"/>
            <w:shd w:val="clear" w:color="auto" w:fill="auto"/>
          </w:tcPr>
          <w:p w:rsidR="00AF4D29" w:rsidRPr="00BD75CA" w:rsidP="0034267A" w14:paraId="08FA1754" w14:textId="490CBC8F">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$23.</w:t>
            </w:r>
            <w:r w:rsidR="001E05C3">
              <w:rPr>
                <w:rFonts w:ascii="Times New Roman" w:hAnsi="Times New Roman" w:cs="Times New Roman"/>
                <w:sz w:val="24"/>
                <w:szCs w:val="24"/>
              </w:rPr>
              <w:t>50</w:t>
            </w:r>
          </w:p>
        </w:tc>
        <w:tc>
          <w:tcPr>
            <w:tcW w:w="2790" w:type="dxa"/>
            <w:shd w:val="clear" w:color="auto" w:fill="auto"/>
          </w:tcPr>
          <w:p w:rsidR="00AF4D29" w:rsidRPr="00BD75CA" w:rsidP="0034267A" w14:paraId="7D5DA8F6" w14:textId="08AA954A">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Pr="00BD75CA" w:rsidR="00BC666B">
              <w:rPr>
                <w:rFonts w:ascii="Times New Roman" w:hAnsi="Times New Roman" w:cs="Times New Roman"/>
                <w:sz w:val="24"/>
                <w:szCs w:val="24"/>
              </w:rPr>
              <w:t>6</w:t>
            </w:r>
            <w:r w:rsidR="002777C7">
              <w:rPr>
                <w:rFonts w:ascii="Times New Roman" w:hAnsi="Times New Roman" w:cs="Times New Roman"/>
                <w:sz w:val="24"/>
                <w:szCs w:val="24"/>
              </w:rPr>
              <w:t>2,275</w:t>
            </w:r>
          </w:p>
        </w:tc>
      </w:tr>
      <w:tr w14:paraId="54E28095" w14:textId="77777777" w:rsidTr="00B923F1">
        <w:tblPrEx>
          <w:tblW w:w="10080" w:type="dxa"/>
          <w:tblInd w:w="-5" w:type="dxa"/>
          <w:tblLook w:val="01E0"/>
        </w:tblPrEx>
        <w:tc>
          <w:tcPr>
            <w:tcW w:w="7290" w:type="dxa"/>
            <w:gridSpan w:val="3"/>
            <w:shd w:val="clear" w:color="auto" w:fill="auto"/>
          </w:tcPr>
          <w:p w:rsidR="00AF4D29" w:rsidRPr="00BD75CA" w:rsidP="0034267A" w14:paraId="4CF9C6C5"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Total</w:t>
            </w:r>
          </w:p>
        </w:tc>
        <w:tc>
          <w:tcPr>
            <w:tcW w:w="2790" w:type="dxa"/>
            <w:shd w:val="clear" w:color="auto" w:fill="auto"/>
          </w:tcPr>
          <w:p w:rsidR="00AF4D29" w:rsidRPr="00BD75CA" w:rsidP="0034267A" w14:paraId="254B4D55" w14:textId="6614FE49">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001E05C3">
              <w:rPr>
                <w:rFonts w:ascii="Times New Roman" w:hAnsi="Times New Roman" w:cs="Times New Roman"/>
                <w:sz w:val="24"/>
                <w:szCs w:val="24"/>
              </w:rPr>
              <w:t>997,457</w:t>
            </w:r>
          </w:p>
        </w:tc>
      </w:tr>
    </w:tbl>
    <w:p w:rsidR="00116B51" w:rsidRPr="00BD75CA" w:rsidP="0034267A" w14:paraId="0E8AAE6F" w14:textId="77777777">
      <w:pPr>
        <w:autoSpaceDE w:val="0"/>
        <w:autoSpaceDN w:val="0"/>
        <w:adjustRightInd w:val="0"/>
        <w:spacing w:after="0" w:line="240" w:lineRule="auto"/>
        <w:rPr>
          <w:rFonts w:ascii="Times New Roman" w:hAnsi="Times New Roman" w:cs="Times New Roman"/>
          <w:sz w:val="24"/>
          <w:szCs w:val="24"/>
        </w:rPr>
      </w:pPr>
    </w:p>
    <w:p w:rsidR="00426EAC" w:rsidRPr="00BD75CA" w:rsidP="0034267A" w14:paraId="42CA96CB" w14:textId="77777777">
      <w:pPr>
        <w:autoSpaceDE w:val="0"/>
        <w:autoSpaceDN w:val="0"/>
        <w:adjustRightInd w:val="0"/>
        <w:spacing w:after="0" w:line="240" w:lineRule="auto"/>
        <w:rPr>
          <w:rFonts w:ascii="Times New Roman" w:hAnsi="Times New Roman" w:cs="Times New Roman"/>
          <w:sz w:val="24"/>
          <w:szCs w:val="24"/>
          <w:u w:val="single"/>
        </w:rPr>
      </w:pPr>
      <w:r w:rsidRPr="00BD75CA">
        <w:rPr>
          <w:rFonts w:ascii="Times New Roman" w:hAnsi="Times New Roman" w:cs="Times New Roman"/>
          <w:sz w:val="24"/>
          <w:szCs w:val="24"/>
          <w:u w:val="single"/>
        </w:rPr>
        <w:t>13. Estimates of Other Total Annual Cost Burden to Respondents and/or Recordkeepers/Capital</w:t>
      </w:r>
      <w:r w:rsidRPr="00BD75CA" w:rsidR="00116B51">
        <w:rPr>
          <w:rFonts w:ascii="Times New Roman" w:hAnsi="Times New Roman" w:cs="Times New Roman"/>
          <w:sz w:val="24"/>
          <w:szCs w:val="24"/>
          <w:u w:val="single"/>
        </w:rPr>
        <w:t xml:space="preserve"> </w:t>
      </w:r>
      <w:r w:rsidRPr="00BD75CA">
        <w:rPr>
          <w:rFonts w:ascii="Times New Roman" w:hAnsi="Times New Roman" w:cs="Times New Roman"/>
          <w:sz w:val="24"/>
          <w:szCs w:val="24"/>
          <w:u w:val="single"/>
        </w:rPr>
        <w:t>Costs</w:t>
      </w:r>
    </w:p>
    <w:p w:rsidR="00426EAC" w:rsidRPr="00BD75CA" w:rsidP="0034267A" w14:paraId="7107CE13" w14:textId="77777777">
      <w:pPr>
        <w:autoSpaceDE w:val="0"/>
        <w:autoSpaceDN w:val="0"/>
        <w:adjustRightInd w:val="0"/>
        <w:spacing w:after="0" w:line="240" w:lineRule="auto"/>
        <w:rPr>
          <w:rFonts w:ascii="Times New Roman" w:hAnsi="Times New Roman" w:cs="Times New Roman"/>
          <w:sz w:val="24"/>
          <w:szCs w:val="24"/>
        </w:rPr>
      </w:pPr>
    </w:p>
    <w:p w:rsidR="00EB4765" w:rsidRPr="00BD75CA" w:rsidP="0034267A" w14:paraId="79BEC47D" w14:textId="3A6DD75E">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There are no capital</w:t>
      </w:r>
      <w:r w:rsidR="00E911EE">
        <w:rPr>
          <w:rFonts w:ascii="Times New Roman" w:hAnsi="Times New Roman" w:cs="Times New Roman"/>
          <w:sz w:val="24"/>
          <w:szCs w:val="24"/>
        </w:rPr>
        <w:t xml:space="preserve"> costs or operating and</w:t>
      </w:r>
      <w:r w:rsidRPr="00BD75CA">
        <w:rPr>
          <w:rFonts w:ascii="Times New Roman" w:hAnsi="Times New Roman" w:cs="Times New Roman"/>
          <w:sz w:val="24"/>
          <w:szCs w:val="24"/>
        </w:rPr>
        <w:t xml:space="preserve"> maintenance costs associated with this </w:t>
      </w:r>
      <w:r w:rsidR="003D3657">
        <w:rPr>
          <w:rFonts w:ascii="Times New Roman" w:hAnsi="Times New Roman" w:cs="Times New Roman"/>
          <w:sz w:val="24"/>
          <w:szCs w:val="24"/>
        </w:rPr>
        <w:t>collection</w:t>
      </w:r>
      <w:r w:rsidR="00E911EE">
        <w:rPr>
          <w:rFonts w:ascii="Times New Roman" w:hAnsi="Times New Roman" w:cs="Times New Roman"/>
          <w:sz w:val="24"/>
          <w:szCs w:val="24"/>
        </w:rPr>
        <w:t xml:space="preserve"> of information</w:t>
      </w:r>
      <w:r w:rsidRPr="00BD75CA">
        <w:rPr>
          <w:rFonts w:ascii="Times New Roman" w:hAnsi="Times New Roman" w:cs="Times New Roman"/>
          <w:sz w:val="24"/>
          <w:szCs w:val="24"/>
        </w:rPr>
        <w:t xml:space="preserve">. </w:t>
      </w:r>
    </w:p>
    <w:p w:rsidR="008878A4" w:rsidP="0034267A" w14:paraId="14A3F844" w14:textId="77777777">
      <w:pPr>
        <w:pStyle w:val="Default"/>
        <w:rPr>
          <w:u w:val="single"/>
        </w:rPr>
      </w:pPr>
    </w:p>
    <w:p w:rsidR="00EB4765" w:rsidRPr="00BD75CA" w:rsidP="0034267A" w14:paraId="519EF1C0" w14:textId="21BAC1A7">
      <w:pPr>
        <w:pStyle w:val="Default"/>
        <w:rPr>
          <w:u w:val="single"/>
        </w:rPr>
      </w:pPr>
      <w:r w:rsidRPr="00BD75CA">
        <w:rPr>
          <w:u w:val="single"/>
        </w:rPr>
        <w:t>14. Annualized Cost to the Federal Government</w:t>
      </w:r>
    </w:p>
    <w:p w:rsidR="008878A4" w:rsidP="0034267A" w14:paraId="237C9D9A" w14:textId="77777777">
      <w:pPr>
        <w:autoSpaceDE w:val="0"/>
        <w:autoSpaceDN w:val="0"/>
        <w:adjustRightInd w:val="0"/>
        <w:spacing w:after="0" w:line="240" w:lineRule="auto"/>
        <w:rPr>
          <w:rFonts w:ascii="Times New Roman" w:hAnsi="Times New Roman" w:cs="Times New Roman"/>
          <w:sz w:val="24"/>
          <w:szCs w:val="24"/>
        </w:rPr>
      </w:pPr>
    </w:p>
    <w:p w:rsidR="00EB4765" w:rsidRPr="00BD75CA" w:rsidP="0034267A" w14:paraId="59AD25EB" w14:textId="5BAA41E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FDA</w:t>
      </w:r>
      <w:r w:rsidRPr="00BD75CA">
        <w:rPr>
          <w:rFonts w:ascii="Times New Roman" w:hAnsi="Times New Roman" w:cs="Times New Roman"/>
          <w:sz w:val="24"/>
          <w:szCs w:val="24"/>
        </w:rPr>
        <w:t xml:space="preserve"> </w:t>
      </w:r>
      <w:r w:rsidRPr="00BD75CA" w:rsidR="005D160A">
        <w:rPr>
          <w:rFonts w:ascii="Times New Roman" w:hAnsi="Times New Roman" w:cs="Times New Roman"/>
          <w:sz w:val="24"/>
          <w:szCs w:val="24"/>
        </w:rPr>
        <w:t xml:space="preserve">intends to </w:t>
      </w:r>
      <w:r w:rsidRPr="00BD75CA" w:rsidR="00826797">
        <w:rPr>
          <w:rFonts w:ascii="Times New Roman" w:hAnsi="Times New Roman" w:cs="Times New Roman"/>
          <w:sz w:val="24"/>
          <w:szCs w:val="24"/>
        </w:rPr>
        <w:t>communicate</w:t>
      </w:r>
      <w:r w:rsidRPr="00BD75CA" w:rsidR="005D160A">
        <w:rPr>
          <w:rFonts w:ascii="Times New Roman" w:hAnsi="Times New Roman" w:cs="Times New Roman"/>
          <w:sz w:val="24"/>
          <w:szCs w:val="24"/>
        </w:rPr>
        <w:t xml:space="preserve"> with all </w:t>
      </w:r>
      <w:r w:rsidR="00772FCC">
        <w:rPr>
          <w:rFonts w:ascii="Times New Roman" w:hAnsi="Times New Roman" w:cs="Times New Roman"/>
          <w:sz w:val="24"/>
          <w:szCs w:val="24"/>
        </w:rPr>
        <w:t xml:space="preserve">funded </w:t>
      </w:r>
      <w:r w:rsidRPr="00BD75CA" w:rsidR="005D160A">
        <w:rPr>
          <w:rFonts w:ascii="Times New Roman" w:hAnsi="Times New Roman" w:cs="Times New Roman"/>
          <w:sz w:val="24"/>
          <w:szCs w:val="24"/>
        </w:rPr>
        <w:t xml:space="preserve">project participants to ensure the </w:t>
      </w:r>
      <w:r w:rsidR="00772FCC">
        <w:rPr>
          <w:rFonts w:ascii="Times New Roman" w:hAnsi="Times New Roman" w:cs="Times New Roman"/>
          <w:sz w:val="24"/>
          <w:szCs w:val="24"/>
        </w:rPr>
        <w:t>tailored forms</w:t>
      </w:r>
      <w:r w:rsidRPr="00BD75CA" w:rsidR="00772FCC">
        <w:rPr>
          <w:rFonts w:ascii="Times New Roman" w:hAnsi="Times New Roman" w:cs="Times New Roman"/>
          <w:sz w:val="24"/>
          <w:szCs w:val="24"/>
        </w:rPr>
        <w:t xml:space="preserve"> </w:t>
      </w:r>
      <w:r w:rsidR="00772FCC">
        <w:rPr>
          <w:rFonts w:ascii="Times New Roman" w:hAnsi="Times New Roman" w:cs="Times New Roman"/>
          <w:sz w:val="24"/>
          <w:szCs w:val="24"/>
        </w:rPr>
        <w:t>for each</w:t>
      </w:r>
      <w:r w:rsidRPr="00BD75CA" w:rsidR="005D160A">
        <w:rPr>
          <w:rFonts w:ascii="Times New Roman" w:hAnsi="Times New Roman" w:cs="Times New Roman"/>
          <w:sz w:val="24"/>
          <w:szCs w:val="24"/>
        </w:rPr>
        <w:t xml:space="preserve"> project(s) will </w:t>
      </w:r>
      <w:r w:rsidR="00772FCC">
        <w:rPr>
          <w:rFonts w:ascii="Times New Roman" w:hAnsi="Times New Roman" w:cs="Times New Roman"/>
          <w:sz w:val="24"/>
          <w:szCs w:val="24"/>
        </w:rPr>
        <w:t xml:space="preserve">continue to </w:t>
      </w:r>
      <w:r w:rsidRPr="00BD75CA" w:rsidR="005D160A">
        <w:rPr>
          <w:rFonts w:ascii="Times New Roman" w:hAnsi="Times New Roman" w:cs="Times New Roman"/>
          <w:sz w:val="24"/>
          <w:szCs w:val="24"/>
        </w:rPr>
        <w:t xml:space="preserve">be </w:t>
      </w:r>
      <w:r w:rsidR="00772FCC">
        <w:rPr>
          <w:rFonts w:ascii="Times New Roman" w:hAnsi="Times New Roman" w:cs="Times New Roman"/>
          <w:sz w:val="24"/>
          <w:szCs w:val="24"/>
        </w:rPr>
        <w:t>relevant to the programmatic data including ROI/ROV</w:t>
      </w:r>
      <w:r w:rsidRPr="00BD75CA" w:rsidR="005D160A">
        <w:rPr>
          <w:rFonts w:ascii="Times New Roman" w:hAnsi="Times New Roman" w:cs="Times New Roman"/>
          <w:sz w:val="24"/>
          <w:szCs w:val="24"/>
        </w:rPr>
        <w:t>.</w:t>
      </w:r>
      <w:r w:rsidR="00FF1683">
        <w:rPr>
          <w:rFonts w:ascii="Times New Roman" w:hAnsi="Times New Roman" w:cs="Times New Roman"/>
          <w:sz w:val="24"/>
          <w:szCs w:val="24"/>
        </w:rPr>
        <w:t xml:space="preserve">  </w:t>
      </w:r>
      <w:r>
        <w:rPr>
          <w:rFonts w:ascii="Times New Roman" w:hAnsi="Times New Roman" w:cs="Times New Roman"/>
          <w:sz w:val="24"/>
          <w:szCs w:val="24"/>
        </w:rPr>
        <w:t>FDA</w:t>
      </w:r>
      <w:r w:rsidRPr="00BD75CA" w:rsidR="005D160A">
        <w:rPr>
          <w:rFonts w:ascii="Times New Roman" w:hAnsi="Times New Roman" w:cs="Times New Roman"/>
          <w:sz w:val="24"/>
          <w:szCs w:val="24"/>
        </w:rPr>
        <w:t xml:space="preserve"> will work with participants to develop an appropriate schedule for the submission of </w:t>
      </w:r>
      <w:r w:rsidRPr="00BD75CA" w:rsidR="009727AD">
        <w:rPr>
          <w:rFonts w:ascii="Times New Roman" w:hAnsi="Times New Roman" w:cs="Times New Roman"/>
          <w:sz w:val="24"/>
          <w:szCs w:val="24"/>
        </w:rPr>
        <w:t xml:space="preserve">update </w:t>
      </w:r>
      <w:r w:rsidRPr="00BD75CA" w:rsidR="005D160A">
        <w:rPr>
          <w:rFonts w:ascii="Times New Roman" w:hAnsi="Times New Roman" w:cs="Times New Roman"/>
          <w:sz w:val="24"/>
          <w:szCs w:val="24"/>
        </w:rPr>
        <w:t xml:space="preserve">reports based on the design and duration of the </w:t>
      </w:r>
      <w:r w:rsidR="00772FCC">
        <w:rPr>
          <w:rFonts w:ascii="Times New Roman" w:hAnsi="Times New Roman" w:cs="Times New Roman"/>
          <w:sz w:val="24"/>
          <w:szCs w:val="24"/>
        </w:rPr>
        <w:t>funded</w:t>
      </w:r>
      <w:r w:rsidRPr="00BD75CA" w:rsidR="00772FCC">
        <w:rPr>
          <w:rFonts w:ascii="Times New Roman" w:hAnsi="Times New Roman" w:cs="Times New Roman"/>
          <w:sz w:val="24"/>
          <w:szCs w:val="24"/>
        </w:rPr>
        <w:t xml:space="preserve"> </w:t>
      </w:r>
      <w:r w:rsidRPr="00BD75CA" w:rsidR="005D160A">
        <w:rPr>
          <w:rFonts w:ascii="Times New Roman" w:hAnsi="Times New Roman" w:cs="Times New Roman"/>
          <w:sz w:val="24"/>
          <w:szCs w:val="24"/>
        </w:rPr>
        <w:t>project.</w:t>
      </w:r>
    </w:p>
    <w:p w:rsidR="00826797" w:rsidRPr="00BD75CA" w:rsidP="0034267A" w14:paraId="62949A09" w14:textId="4E6C329A">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The annualized government cost estimate is $</w:t>
      </w:r>
      <w:r w:rsidR="00B707FB">
        <w:rPr>
          <w:rFonts w:ascii="Times New Roman" w:hAnsi="Times New Roman" w:cs="Times New Roman"/>
          <w:sz w:val="24"/>
          <w:szCs w:val="24"/>
        </w:rPr>
        <w:t>49,690</w:t>
      </w:r>
      <w:r w:rsidR="00DE3E48">
        <w:rPr>
          <w:rFonts w:ascii="Times New Roman" w:hAnsi="Times New Roman" w:cs="Times New Roman"/>
          <w:sz w:val="24"/>
          <w:szCs w:val="24"/>
        </w:rPr>
        <w:t>.32</w:t>
      </w:r>
      <w:r w:rsidRPr="00BD75CA">
        <w:rPr>
          <w:rFonts w:ascii="Times New Roman" w:hAnsi="Times New Roman" w:cs="Times New Roman"/>
          <w:sz w:val="24"/>
          <w:szCs w:val="24"/>
        </w:rPr>
        <w:t xml:space="preserve"> as shown in Table 5, which will be supported by existing </w:t>
      </w:r>
      <w:r w:rsidR="007C29F3">
        <w:rPr>
          <w:rFonts w:ascii="Times New Roman" w:hAnsi="Times New Roman" w:cs="Times New Roman"/>
          <w:sz w:val="24"/>
          <w:szCs w:val="24"/>
        </w:rPr>
        <w:t>FDA</w:t>
      </w:r>
      <w:r w:rsidRPr="00BD75CA">
        <w:rPr>
          <w:rFonts w:ascii="Times New Roman" w:hAnsi="Times New Roman" w:cs="Times New Roman"/>
          <w:sz w:val="24"/>
          <w:szCs w:val="24"/>
        </w:rPr>
        <w:t xml:space="preserve"> program budgets.</w:t>
      </w:r>
    </w:p>
    <w:p w:rsidR="00826797" w:rsidRPr="00BD75CA" w:rsidP="0034267A" w14:paraId="79E63A29" w14:textId="77777777">
      <w:pPr>
        <w:autoSpaceDE w:val="0"/>
        <w:autoSpaceDN w:val="0"/>
        <w:adjustRightInd w:val="0"/>
        <w:spacing w:after="0" w:line="240" w:lineRule="auto"/>
        <w:rPr>
          <w:rFonts w:ascii="Times New Roman" w:hAnsi="Times New Roman" w:cs="Times New Roman"/>
          <w:sz w:val="24"/>
          <w:szCs w:val="24"/>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0"/>
        <w:gridCol w:w="2700"/>
        <w:gridCol w:w="2610"/>
        <w:gridCol w:w="2070"/>
      </w:tblGrid>
      <w:tr w14:paraId="3C1B9736" w14:textId="77777777" w:rsidTr="00E12ED3">
        <w:tblPrEx>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810" w:type="dxa"/>
            <w:gridSpan w:val="4"/>
            <w:shd w:val="clear" w:color="auto" w:fill="auto"/>
          </w:tcPr>
          <w:p w:rsidR="005D160A" w:rsidRPr="00BD75CA" w:rsidP="00B2197C" w14:paraId="10523082" w14:textId="0D185925">
            <w:pPr>
              <w:autoSpaceDE w:val="0"/>
              <w:autoSpaceDN w:val="0"/>
              <w:adjustRightInd w:val="0"/>
              <w:spacing w:after="0" w:line="240" w:lineRule="auto"/>
              <w:jc w:val="center"/>
              <w:rPr>
                <w:rFonts w:ascii="Times New Roman" w:hAnsi="Times New Roman" w:cs="Times New Roman"/>
                <w:sz w:val="24"/>
                <w:szCs w:val="24"/>
              </w:rPr>
            </w:pPr>
            <w:r w:rsidRPr="00BD75CA">
              <w:rPr>
                <w:rFonts w:ascii="Times New Roman" w:hAnsi="Times New Roman" w:cs="Times New Roman"/>
                <w:sz w:val="24"/>
                <w:szCs w:val="24"/>
              </w:rPr>
              <w:t xml:space="preserve">Table </w:t>
            </w:r>
            <w:r w:rsidRPr="00BD75CA" w:rsidR="003A5F0A">
              <w:rPr>
                <w:rFonts w:ascii="Times New Roman" w:hAnsi="Times New Roman" w:cs="Times New Roman"/>
                <w:sz w:val="24"/>
                <w:szCs w:val="24"/>
              </w:rPr>
              <w:t xml:space="preserve">5. </w:t>
            </w:r>
            <w:r w:rsidR="003A5F0A">
              <w:rPr>
                <w:rFonts w:ascii="Times New Roman" w:hAnsi="Times New Roman" w:cs="Times New Roman"/>
                <w:sz w:val="24"/>
                <w:szCs w:val="24"/>
              </w:rPr>
              <w:t xml:space="preserve">– </w:t>
            </w:r>
            <w:r w:rsidRPr="00BD75CA">
              <w:rPr>
                <w:rFonts w:ascii="Times New Roman" w:hAnsi="Times New Roman" w:cs="Times New Roman"/>
                <w:sz w:val="24"/>
                <w:szCs w:val="24"/>
              </w:rPr>
              <w:t>Estimated Government Costs</w:t>
            </w:r>
            <w:r w:rsidRPr="00BD75CA" w:rsidR="00BB66DA">
              <w:rPr>
                <w:rFonts w:ascii="Times New Roman" w:hAnsi="Times New Roman" w:cs="Times New Roman"/>
                <w:sz w:val="24"/>
                <w:szCs w:val="24"/>
              </w:rPr>
              <w:t xml:space="preserve"> </w:t>
            </w:r>
            <w:r w:rsidR="00DE3E48">
              <w:rPr>
                <w:rFonts w:ascii="Times New Roman" w:hAnsi="Times New Roman" w:cs="Times New Roman"/>
                <w:sz w:val="24"/>
                <w:szCs w:val="24"/>
              </w:rPr>
              <w:t>(</w:t>
            </w:r>
            <w:r w:rsidRPr="00BD75CA" w:rsidR="00BB66DA">
              <w:rPr>
                <w:rFonts w:ascii="Times New Roman" w:hAnsi="Times New Roman" w:cs="Times New Roman"/>
                <w:sz w:val="24"/>
                <w:szCs w:val="24"/>
              </w:rPr>
              <w:t xml:space="preserve">Using the </w:t>
            </w:r>
            <w:r w:rsidRPr="00BD75CA" w:rsidR="004E3BD0">
              <w:rPr>
                <w:rFonts w:ascii="Times New Roman" w:hAnsi="Times New Roman" w:cs="Times New Roman"/>
                <w:sz w:val="24"/>
                <w:szCs w:val="24"/>
              </w:rPr>
              <w:t>202</w:t>
            </w:r>
            <w:r w:rsidR="004E3BD0">
              <w:rPr>
                <w:rFonts w:ascii="Times New Roman" w:hAnsi="Times New Roman" w:cs="Times New Roman"/>
                <w:sz w:val="24"/>
                <w:szCs w:val="24"/>
              </w:rPr>
              <w:t>3</w:t>
            </w:r>
            <w:r w:rsidRPr="00BD75CA" w:rsidR="004E3BD0">
              <w:rPr>
                <w:rFonts w:ascii="Times New Roman" w:hAnsi="Times New Roman" w:cs="Times New Roman"/>
                <w:sz w:val="24"/>
                <w:szCs w:val="24"/>
              </w:rPr>
              <w:t xml:space="preserve"> </w:t>
            </w:r>
            <w:r w:rsidRPr="00BD75CA" w:rsidR="00BB66DA">
              <w:rPr>
                <w:rFonts w:ascii="Times New Roman" w:hAnsi="Times New Roman" w:cs="Times New Roman"/>
                <w:sz w:val="24"/>
                <w:szCs w:val="24"/>
              </w:rPr>
              <w:t>Salary Tables</w:t>
            </w:r>
            <w:r w:rsidR="00DE3E48">
              <w:rPr>
                <w:rFonts w:ascii="Times New Roman" w:hAnsi="Times New Roman" w:cs="Times New Roman"/>
                <w:sz w:val="24"/>
                <w:szCs w:val="24"/>
              </w:rPr>
              <w:t>)</w:t>
            </w:r>
          </w:p>
        </w:tc>
      </w:tr>
      <w:tr w14:paraId="15DFEF01" w14:textId="77777777" w:rsidTr="00E12ED3">
        <w:tblPrEx>
          <w:tblW w:w="9810" w:type="dxa"/>
          <w:tblInd w:w="-5" w:type="dxa"/>
          <w:tblLook w:val="01E0"/>
        </w:tblPrEx>
        <w:tc>
          <w:tcPr>
            <w:tcW w:w="2430" w:type="dxa"/>
            <w:shd w:val="clear" w:color="auto" w:fill="auto"/>
          </w:tcPr>
          <w:p w:rsidR="005D160A" w:rsidRPr="00BD75CA" w:rsidP="0034267A" w14:paraId="0984BE00"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Government Personnel</w:t>
            </w:r>
          </w:p>
        </w:tc>
        <w:tc>
          <w:tcPr>
            <w:tcW w:w="2700" w:type="dxa"/>
            <w:shd w:val="clear" w:color="auto" w:fill="auto"/>
          </w:tcPr>
          <w:p w:rsidR="005D160A" w:rsidRPr="00BD75CA" w:rsidP="0034267A" w14:paraId="4479AF23"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Effort Commitment</w:t>
            </w:r>
          </w:p>
        </w:tc>
        <w:tc>
          <w:tcPr>
            <w:tcW w:w="2610" w:type="dxa"/>
            <w:shd w:val="clear" w:color="auto" w:fill="auto"/>
          </w:tcPr>
          <w:p w:rsidR="005D160A" w:rsidRPr="00BD75CA" w:rsidP="0034267A" w14:paraId="0B40A0D8"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Average Annual Salary</w:t>
            </w:r>
          </w:p>
        </w:tc>
        <w:tc>
          <w:tcPr>
            <w:tcW w:w="2070" w:type="dxa"/>
            <w:shd w:val="clear" w:color="auto" w:fill="auto"/>
          </w:tcPr>
          <w:p w:rsidR="005D160A" w:rsidRPr="00BD75CA" w:rsidP="0034267A" w14:paraId="49672AC0"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Total Costs</w:t>
            </w:r>
          </w:p>
        </w:tc>
      </w:tr>
      <w:tr w14:paraId="526D7A33" w14:textId="77777777" w:rsidTr="00E12ED3">
        <w:tblPrEx>
          <w:tblW w:w="9810" w:type="dxa"/>
          <w:tblInd w:w="-5" w:type="dxa"/>
          <w:tblLook w:val="01E0"/>
        </w:tblPrEx>
        <w:tc>
          <w:tcPr>
            <w:tcW w:w="2430" w:type="dxa"/>
            <w:shd w:val="clear" w:color="auto" w:fill="auto"/>
          </w:tcPr>
          <w:p w:rsidR="005D160A" w:rsidRPr="00BD75CA" w:rsidP="0034267A" w14:paraId="4AE0B861"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GS-11</w:t>
            </w:r>
            <w:r w:rsidRPr="00BD75CA" w:rsidR="00BB66DA">
              <w:rPr>
                <w:rFonts w:ascii="Times New Roman" w:hAnsi="Times New Roman" w:cs="Times New Roman"/>
                <w:sz w:val="24"/>
                <w:szCs w:val="24"/>
              </w:rPr>
              <w:t xml:space="preserve"> (1)</w:t>
            </w:r>
          </w:p>
        </w:tc>
        <w:tc>
          <w:tcPr>
            <w:tcW w:w="2700" w:type="dxa"/>
            <w:shd w:val="clear" w:color="auto" w:fill="auto"/>
          </w:tcPr>
          <w:p w:rsidR="005D160A" w:rsidRPr="00BD75CA" w:rsidP="0034267A" w14:paraId="2A0E31DD"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25%</w:t>
            </w:r>
          </w:p>
        </w:tc>
        <w:tc>
          <w:tcPr>
            <w:tcW w:w="2610" w:type="dxa"/>
            <w:shd w:val="clear" w:color="auto" w:fill="auto"/>
          </w:tcPr>
          <w:p w:rsidR="005D160A" w:rsidRPr="00BD75CA" w:rsidP="0034267A" w14:paraId="7D9BAFD7" w14:textId="564362B3">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Pr="00BD75CA" w:rsidR="00BB66DA">
              <w:rPr>
                <w:rFonts w:ascii="Times New Roman" w:hAnsi="Times New Roman" w:cs="Times New Roman"/>
                <w:sz w:val="24"/>
                <w:szCs w:val="24"/>
              </w:rPr>
              <w:t>6</w:t>
            </w:r>
            <w:r w:rsidR="004E3BD0">
              <w:rPr>
                <w:rFonts w:ascii="Times New Roman" w:hAnsi="Times New Roman" w:cs="Times New Roman"/>
                <w:sz w:val="24"/>
                <w:szCs w:val="24"/>
              </w:rPr>
              <w:t>9,107</w:t>
            </w:r>
          </w:p>
        </w:tc>
        <w:tc>
          <w:tcPr>
            <w:tcW w:w="2070" w:type="dxa"/>
            <w:shd w:val="clear" w:color="auto" w:fill="auto"/>
          </w:tcPr>
          <w:p w:rsidR="005D160A" w:rsidRPr="00BD75CA" w:rsidP="0034267A" w14:paraId="58B5D306" w14:textId="722E4A89">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Pr="004E3BD0" w:rsidR="004E3BD0">
              <w:rPr>
                <w:rFonts w:ascii="Times New Roman" w:hAnsi="Times New Roman" w:cs="Times New Roman"/>
                <w:sz w:val="24"/>
                <w:szCs w:val="24"/>
              </w:rPr>
              <w:t>17,276.75</w:t>
            </w:r>
          </w:p>
        </w:tc>
      </w:tr>
      <w:tr w14:paraId="34F4E8AF" w14:textId="77777777" w:rsidTr="00E12ED3">
        <w:tblPrEx>
          <w:tblW w:w="9810" w:type="dxa"/>
          <w:tblInd w:w="-5" w:type="dxa"/>
          <w:tblLook w:val="01E0"/>
        </w:tblPrEx>
        <w:tc>
          <w:tcPr>
            <w:tcW w:w="2430" w:type="dxa"/>
            <w:tcBorders>
              <w:top w:val="single" w:sz="4" w:space="0" w:color="auto"/>
              <w:left w:val="single" w:sz="4" w:space="0" w:color="auto"/>
              <w:bottom w:val="single" w:sz="4" w:space="0" w:color="auto"/>
              <w:right w:val="single" w:sz="4" w:space="0" w:color="auto"/>
            </w:tcBorders>
            <w:shd w:val="clear" w:color="auto" w:fill="auto"/>
          </w:tcPr>
          <w:p w:rsidR="005D160A" w:rsidRPr="00BD75CA" w:rsidP="0034267A" w14:paraId="4CF5DB61"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GS-13</w:t>
            </w:r>
            <w:r w:rsidRPr="00BD75CA" w:rsidR="00BB66DA">
              <w:rPr>
                <w:rFonts w:ascii="Times New Roman" w:hAnsi="Times New Roman" w:cs="Times New Roman"/>
                <w:sz w:val="24"/>
                <w:szCs w:val="24"/>
              </w:rPr>
              <w:t xml:space="preserve"> (9 @ 3% each)</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5D160A" w:rsidRPr="00BD75CA" w:rsidP="0034267A" w14:paraId="0EEE04D0"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27%</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5D160A" w:rsidRPr="00BD75CA" w:rsidP="0034267A" w14:paraId="5C3B5A9B" w14:textId="74EE5DFB">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Pr="00BD75CA" w:rsidR="00BB66DA">
              <w:rPr>
                <w:rFonts w:ascii="Times New Roman" w:hAnsi="Times New Roman" w:cs="Times New Roman"/>
                <w:sz w:val="24"/>
                <w:szCs w:val="24"/>
              </w:rPr>
              <w:t>9</w:t>
            </w:r>
            <w:r w:rsidR="004E3BD0">
              <w:rPr>
                <w:rFonts w:ascii="Times New Roman" w:hAnsi="Times New Roman" w:cs="Times New Roman"/>
                <w:sz w:val="24"/>
                <w:szCs w:val="24"/>
              </w:rPr>
              <w:t>8,496</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5D160A" w:rsidRPr="00BD75CA" w:rsidP="0034267A" w14:paraId="6C0FCB3E" w14:textId="77985BE5">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Pr="004E3BD0" w:rsidR="004E3BD0">
              <w:rPr>
                <w:rFonts w:ascii="Times New Roman" w:hAnsi="Times New Roman" w:cs="Times New Roman"/>
                <w:sz w:val="24"/>
                <w:szCs w:val="24"/>
              </w:rPr>
              <w:t>26,593.92</w:t>
            </w:r>
          </w:p>
        </w:tc>
      </w:tr>
      <w:tr w14:paraId="02DEFB34" w14:textId="77777777" w:rsidTr="00E12ED3">
        <w:tblPrEx>
          <w:tblW w:w="9810" w:type="dxa"/>
          <w:tblInd w:w="-5" w:type="dxa"/>
          <w:tblLook w:val="01E0"/>
        </w:tblPrEx>
        <w:tc>
          <w:tcPr>
            <w:tcW w:w="2430" w:type="dxa"/>
            <w:tcBorders>
              <w:top w:val="single" w:sz="4" w:space="0" w:color="auto"/>
              <w:left w:val="single" w:sz="4" w:space="0" w:color="auto"/>
              <w:bottom w:val="single" w:sz="4" w:space="0" w:color="auto"/>
              <w:right w:val="single" w:sz="4" w:space="0" w:color="auto"/>
            </w:tcBorders>
            <w:shd w:val="clear" w:color="auto" w:fill="auto"/>
          </w:tcPr>
          <w:p w:rsidR="005D160A" w:rsidRPr="00BD75CA" w:rsidP="0034267A" w14:paraId="328F4F6D"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GS-14</w:t>
            </w:r>
            <w:r w:rsidRPr="00BD75CA" w:rsidR="00BB66DA">
              <w:rPr>
                <w:rFonts w:ascii="Times New Roman" w:hAnsi="Times New Roman" w:cs="Times New Roman"/>
                <w:sz w:val="24"/>
                <w:szCs w:val="24"/>
              </w:rPr>
              <w:t xml:space="preserve"> (1)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5D160A" w:rsidRPr="00BD75CA" w:rsidP="0034267A" w14:paraId="3EE6D7DF"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5%</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5D160A" w:rsidRPr="00BD75CA" w:rsidP="0034267A" w14:paraId="38F46698" w14:textId="2B0A47D2">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Pr="00BD75CA" w:rsidR="00BB66DA">
              <w:rPr>
                <w:rFonts w:ascii="Times New Roman" w:hAnsi="Times New Roman" w:cs="Times New Roman"/>
                <w:sz w:val="24"/>
                <w:szCs w:val="24"/>
              </w:rPr>
              <w:t>1</w:t>
            </w:r>
            <w:r w:rsidR="004E3BD0">
              <w:rPr>
                <w:rFonts w:ascii="Times New Roman" w:hAnsi="Times New Roman" w:cs="Times New Roman"/>
                <w:sz w:val="24"/>
                <w:szCs w:val="24"/>
              </w:rPr>
              <w:t>16,393</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5D160A" w:rsidRPr="00BD75CA" w:rsidP="0034267A" w14:paraId="1310B43B" w14:textId="4471FEDB">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Pr="004E3BD0" w:rsidR="004E3BD0">
              <w:rPr>
                <w:rFonts w:ascii="Times New Roman" w:hAnsi="Times New Roman" w:cs="Times New Roman"/>
                <w:sz w:val="24"/>
                <w:szCs w:val="24"/>
              </w:rPr>
              <w:t>5,819.65</w:t>
            </w:r>
          </w:p>
        </w:tc>
      </w:tr>
      <w:tr w14:paraId="021C6669" w14:textId="77777777" w:rsidTr="00E12ED3">
        <w:tblPrEx>
          <w:tblW w:w="9810" w:type="dxa"/>
          <w:tblInd w:w="-5" w:type="dxa"/>
          <w:tblLook w:val="01E0"/>
        </w:tblPrEx>
        <w:tc>
          <w:tcPr>
            <w:tcW w:w="7740" w:type="dxa"/>
            <w:gridSpan w:val="3"/>
            <w:shd w:val="clear" w:color="auto" w:fill="auto"/>
          </w:tcPr>
          <w:p w:rsidR="005D160A" w:rsidRPr="00BD75CA" w:rsidP="0034267A" w14:paraId="3F579D1B"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Total</w:t>
            </w:r>
          </w:p>
        </w:tc>
        <w:tc>
          <w:tcPr>
            <w:tcW w:w="2070" w:type="dxa"/>
            <w:shd w:val="clear" w:color="auto" w:fill="auto"/>
          </w:tcPr>
          <w:p w:rsidR="005D160A" w:rsidRPr="00BD75CA" w:rsidP="0034267A" w14:paraId="1F32FCE3" w14:textId="644B00E8">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Pr="004E3BD0" w:rsidR="004E3BD0">
              <w:rPr>
                <w:rFonts w:ascii="Times New Roman" w:hAnsi="Times New Roman" w:cs="Times New Roman"/>
                <w:sz w:val="24"/>
                <w:szCs w:val="24"/>
              </w:rPr>
              <w:t>49,690.32</w:t>
            </w:r>
          </w:p>
        </w:tc>
      </w:tr>
    </w:tbl>
    <w:p w:rsidR="00247762" w:rsidRPr="00BD75CA" w:rsidP="0034267A" w14:paraId="2E920B96" w14:textId="77777777">
      <w:pPr>
        <w:pStyle w:val="Default"/>
      </w:pPr>
    </w:p>
    <w:p w:rsidR="00CB7B87" w:rsidRPr="00BD75CA" w:rsidP="0034267A" w14:paraId="4125A775" w14:textId="64F15F0C">
      <w:pPr>
        <w:pStyle w:val="Default"/>
        <w:rPr>
          <w:u w:val="single"/>
        </w:rPr>
      </w:pPr>
      <w:r w:rsidRPr="00BD75CA">
        <w:rPr>
          <w:u w:val="single"/>
        </w:rPr>
        <w:t>15. Explanation for Program Changes or Adjustments</w:t>
      </w:r>
    </w:p>
    <w:p w:rsidR="00983AFA" w:rsidP="0034267A" w14:paraId="5650C446" w14:textId="77777777">
      <w:pPr>
        <w:pStyle w:val="Default"/>
      </w:pPr>
    </w:p>
    <w:p w:rsidR="00CB7B87" w:rsidRPr="00BD75CA" w:rsidP="0034267A" w14:paraId="1AD8472C" w14:textId="03906A75">
      <w:pPr>
        <w:pStyle w:val="Default"/>
      </w:pPr>
      <w:r w:rsidRPr="00983AFA">
        <w:t xml:space="preserve">We are requesting OMB approval for conclusion of the pilot project and continued use of the forms for programmatic data collection needs. There are no adjustments or revisions to the </w:t>
      </w:r>
      <w:r w:rsidRPr="00983AFA">
        <w:t>estimated burden. However, this request results in an adjustment decrease in the number of responses, to correct data-entry errors in the database related to the previous submission to OMB.</w:t>
      </w:r>
    </w:p>
    <w:p w:rsidR="00D40C58" w:rsidP="0034267A" w14:paraId="4A523508" w14:textId="77777777">
      <w:pPr>
        <w:pStyle w:val="Default"/>
        <w:rPr>
          <w:u w:val="single"/>
        </w:rPr>
      </w:pPr>
    </w:p>
    <w:p w:rsidR="00CB7B87" w:rsidRPr="00BD75CA" w:rsidP="0034267A" w14:paraId="0A0A0130" w14:textId="0FBFC0C0">
      <w:pPr>
        <w:pStyle w:val="Default"/>
        <w:rPr>
          <w:u w:val="single"/>
        </w:rPr>
      </w:pPr>
      <w:r w:rsidRPr="00BD75CA">
        <w:rPr>
          <w:u w:val="single"/>
        </w:rPr>
        <w:t>16. Plans for Tabulation and Publication and Project Time Schedule</w:t>
      </w:r>
    </w:p>
    <w:p w:rsidR="00B04897" w:rsidP="0034267A" w14:paraId="30A82AAC" w14:textId="77777777">
      <w:pPr>
        <w:pStyle w:val="Default"/>
      </w:pPr>
    </w:p>
    <w:p w:rsidR="00247762" w:rsidRPr="00BD75CA" w:rsidP="0034267A" w14:paraId="23C61E16" w14:textId="55AB0CA9">
      <w:pPr>
        <w:pStyle w:val="Default"/>
      </w:pPr>
      <w:r w:rsidRPr="00BD75CA">
        <w:t>T</w:t>
      </w:r>
      <w:r w:rsidR="00E911EE">
        <w:t>his information collected will not be published or tabulated</w:t>
      </w:r>
      <w:r w:rsidRPr="00BD75CA">
        <w:t>.</w:t>
      </w:r>
    </w:p>
    <w:p w:rsidR="000C498C" w:rsidP="0034267A" w14:paraId="5566E0E7" w14:textId="77777777">
      <w:pPr>
        <w:pStyle w:val="Default"/>
      </w:pPr>
    </w:p>
    <w:p w:rsidR="008A657F" w:rsidRPr="00BD75CA" w:rsidP="0034267A" w14:paraId="31A38D5A" w14:textId="734F901A">
      <w:pPr>
        <w:pStyle w:val="Default"/>
        <w:rPr>
          <w:u w:val="single"/>
        </w:rPr>
      </w:pPr>
      <w:r w:rsidRPr="00BD75CA">
        <w:rPr>
          <w:u w:val="single"/>
        </w:rPr>
        <w:t>17. Reason(s) Display of OMB Expiration Date is Inappropriate</w:t>
      </w:r>
    </w:p>
    <w:p w:rsidR="000C498C" w:rsidP="0034267A" w14:paraId="3D26DF9B" w14:textId="77777777">
      <w:pPr>
        <w:pStyle w:val="Default"/>
      </w:pPr>
    </w:p>
    <w:p w:rsidR="00247762" w:rsidRPr="00BD75CA" w:rsidP="0034267A" w14:paraId="10337376" w14:textId="2F3BED47">
      <w:pPr>
        <w:pStyle w:val="Default"/>
      </w:pPr>
      <w:r>
        <w:t>FDA will display the OMB expiration date as required by 5 CFR 1320.8</w:t>
      </w:r>
      <w:r w:rsidRPr="00BD75CA" w:rsidR="003736B2">
        <w:t>.</w:t>
      </w:r>
    </w:p>
    <w:p w:rsidR="00247762" w:rsidRPr="00BD75CA" w:rsidP="0034267A" w14:paraId="7B77410F" w14:textId="77777777">
      <w:pPr>
        <w:pStyle w:val="Default"/>
      </w:pPr>
    </w:p>
    <w:p w:rsidR="008A657F" w:rsidRPr="00BD75CA" w:rsidP="0034267A" w14:paraId="41F327D6" w14:textId="5CC69E7B">
      <w:pPr>
        <w:pStyle w:val="Default"/>
        <w:rPr>
          <w:u w:val="single"/>
        </w:rPr>
      </w:pPr>
      <w:r w:rsidRPr="00BD75CA">
        <w:rPr>
          <w:u w:val="single"/>
        </w:rPr>
        <w:t>18. Exceptions to Certification for Paperwork Reduction Act Submissions</w:t>
      </w:r>
    </w:p>
    <w:p w:rsidR="008A657F" w:rsidRPr="00BD75CA" w:rsidP="0034267A" w14:paraId="4ABAC5E6" w14:textId="77777777">
      <w:pPr>
        <w:pStyle w:val="Default"/>
      </w:pPr>
    </w:p>
    <w:p w:rsidR="00247762" w:rsidRPr="00BD75CA" w:rsidP="0034267A" w14:paraId="2907DD1A" w14:textId="5FD02D62">
      <w:pPr>
        <w:pStyle w:val="Default"/>
      </w:pPr>
      <w:r w:rsidRPr="00BD75CA">
        <w:t>There are no exceptions to the certification.</w:t>
      </w:r>
    </w:p>
    <w:p w:rsidR="00BB66DA" w:rsidRPr="00BD75CA" w:rsidP="0034267A" w14:paraId="2DBA03A4" w14:textId="77777777">
      <w:pPr>
        <w:spacing w:after="0"/>
        <w:rPr>
          <w:rFonts w:ascii="Times New Roman" w:hAnsi="Times New Roman" w:cs="Times New Roman"/>
          <w:sz w:val="24"/>
          <w:szCs w:val="24"/>
        </w:rPr>
      </w:pPr>
    </w:p>
    <w:sectPr w:rsidSect="003D5E09">
      <w:headerReference w:type="default" r:id="rId8"/>
      <w:pgSz w:w="12240" w:h="16340"/>
      <w:pgMar w:top="1440" w:right="1440" w:bottom="1440" w:left="1440" w:header="720" w:footer="72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1278711"/>
      <w:docPartObj>
        <w:docPartGallery w:val="Page Numbers (Top of Page)"/>
        <w:docPartUnique/>
      </w:docPartObj>
    </w:sdtPr>
    <w:sdtEndPr>
      <w:rPr>
        <w:noProof/>
      </w:rPr>
    </w:sdtEndPr>
    <w:sdtContent>
      <w:p w:rsidR="0027141C" w14:paraId="5DA1C1E5" w14:textId="77777777">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rsidR="0027141C" w14:paraId="526EEDC9" w14:textId="4D2D4AF7">
        <w:pPr>
          <w:pStyle w:val="Header"/>
          <w:jc w:val="right"/>
        </w:pPr>
      </w:p>
    </w:sdtContent>
  </w:sdt>
  <w:p w:rsidR="0027141C" w14:paraId="6932F14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356C04"/>
    <w:multiLevelType w:val="hybridMultilevel"/>
    <w:tmpl w:val="13E497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3365055"/>
    <w:multiLevelType w:val="hybridMultilevel"/>
    <w:tmpl w:val="2AC058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66D3D43"/>
    <w:multiLevelType w:val="hybridMultilevel"/>
    <w:tmpl w:val="5630D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7717490"/>
    <w:multiLevelType w:val="hybridMultilevel"/>
    <w:tmpl w:val="5BCAB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F341327"/>
    <w:multiLevelType w:val="hybridMultilevel"/>
    <w:tmpl w:val="58681B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9CA43A9"/>
    <w:multiLevelType w:val="hybridMultilevel"/>
    <w:tmpl w:val="EDA0BF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514613001">
    <w:abstractNumId w:val="4"/>
  </w:num>
  <w:num w:numId="2" w16cid:durableId="11467775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5896118">
    <w:abstractNumId w:val="2"/>
  </w:num>
  <w:num w:numId="4" w16cid:durableId="2051997990">
    <w:abstractNumId w:val="5"/>
  </w:num>
  <w:num w:numId="5" w16cid:durableId="639188243">
    <w:abstractNumId w:val="0"/>
  </w:num>
  <w:num w:numId="6" w16cid:durableId="1882664410">
    <w:abstractNumId w:val="3"/>
  </w:num>
  <w:num w:numId="7" w16cid:durableId="1479540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765"/>
    <w:rsid w:val="00003E5F"/>
    <w:rsid w:val="0000486D"/>
    <w:rsid w:val="00005783"/>
    <w:rsid w:val="000057A5"/>
    <w:rsid w:val="000069F7"/>
    <w:rsid w:val="0001254E"/>
    <w:rsid w:val="00013B7C"/>
    <w:rsid w:val="00015E81"/>
    <w:rsid w:val="00016B77"/>
    <w:rsid w:val="000204CA"/>
    <w:rsid w:val="00022863"/>
    <w:rsid w:val="000238BD"/>
    <w:rsid w:val="00026141"/>
    <w:rsid w:val="00030E3E"/>
    <w:rsid w:val="00034B6E"/>
    <w:rsid w:val="00042F74"/>
    <w:rsid w:val="000436FF"/>
    <w:rsid w:val="0004428A"/>
    <w:rsid w:val="00044D79"/>
    <w:rsid w:val="000454CB"/>
    <w:rsid w:val="000524B7"/>
    <w:rsid w:val="00060DA1"/>
    <w:rsid w:val="00061116"/>
    <w:rsid w:val="00062359"/>
    <w:rsid w:val="0006633A"/>
    <w:rsid w:val="00066F87"/>
    <w:rsid w:val="0007030F"/>
    <w:rsid w:val="00073223"/>
    <w:rsid w:val="0007745D"/>
    <w:rsid w:val="000831C2"/>
    <w:rsid w:val="000848A2"/>
    <w:rsid w:val="000850F3"/>
    <w:rsid w:val="00085FE1"/>
    <w:rsid w:val="00095ECC"/>
    <w:rsid w:val="000B3BF5"/>
    <w:rsid w:val="000B5E53"/>
    <w:rsid w:val="000C1BE1"/>
    <w:rsid w:val="000C3C0A"/>
    <w:rsid w:val="000C4425"/>
    <w:rsid w:val="000C498C"/>
    <w:rsid w:val="000C7366"/>
    <w:rsid w:val="000D26AF"/>
    <w:rsid w:val="000D58CA"/>
    <w:rsid w:val="000D783A"/>
    <w:rsid w:val="000E4145"/>
    <w:rsid w:val="000F5D1F"/>
    <w:rsid w:val="000F6AE6"/>
    <w:rsid w:val="0010394B"/>
    <w:rsid w:val="001128B5"/>
    <w:rsid w:val="00113A4C"/>
    <w:rsid w:val="00116B51"/>
    <w:rsid w:val="00117F29"/>
    <w:rsid w:val="0012066E"/>
    <w:rsid w:val="0012083F"/>
    <w:rsid w:val="00123101"/>
    <w:rsid w:val="00125401"/>
    <w:rsid w:val="001256A4"/>
    <w:rsid w:val="00133077"/>
    <w:rsid w:val="00134F69"/>
    <w:rsid w:val="0014288B"/>
    <w:rsid w:val="00151B69"/>
    <w:rsid w:val="001555A0"/>
    <w:rsid w:val="00160561"/>
    <w:rsid w:val="00162B43"/>
    <w:rsid w:val="001633BF"/>
    <w:rsid w:val="00184510"/>
    <w:rsid w:val="001928E8"/>
    <w:rsid w:val="00194E9C"/>
    <w:rsid w:val="001B066E"/>
    <w:rsid w:val="001B067F"/>
    <w:rsid w:val="001B090B"/>
    <w:rsid w:val="001B30ED"/>
    <w:rsid w:val="001B5976"/>
    <w:rsid w:val="001C0CEA"/>
    <w:rsid w:val="001C1CC3"/>
    <w:rsid w:val="001C71BC"/>
    <w:rsid w:val="001D24F1"/>
    <w:rsid w:val="001D366C"/>
    <w:rsid w:val="001D46EA"/>
    <w:rsid w:val="001E05C3"/>
    <w:rsid w:val="001E4395"/>
    <w:rsid w:val="001E78B6"/>
    <w:rsid w:val="001E7D4D"/>
    <w:rsid w:val="001F5C8D"/>
    <w:rsid w:val="001F64A9"/>
    <w:rsid w:val="00201C5B"/>
    <w:rsid w:val="00203BA7"/>
    <w:rsid w:val="0021177D"/>
    <w:rsid w:val="00211CCF"/>
    <w:rsid w:val="002154DB"/>
    <w:rsid w:val="00235BDD"/>
    <w:rsid w:val="0024299E"/>
    <w:rsid w:val="0024755A"/>
    <w:rsid w:val="00247762"/>
    <w:rsid w:val="00251E2D"/>
    <w:rsid w:val="00252DDE"/>
    <w:rsid w:val="0025449A"/>
    <w:rsid w:val="002565D7"/>
    <w:rsid w:val="00257103"/>
    <w:rsid w:val="0026221D"/>
    <w:rsid w:val="002625C8"/>
    <w:rsid w:val="0026487D"/>
    <w:rsid w:val="002676B0"/>
    <w:rsid w:val="0027141C"/>
    <w:rsid w:val="00272EF7"/>
    <w:rsid w:val="0027390D"/>
    <w:rsid w:val="002777C7"/>
    <w:rsid w:val="00281134"/>
    <w:rsid w:val="00287DF9"/>
    <w:rsid w:val="00294C0F"/>
    <w:rsid w:val="00294CFE"/>
    <w:rsid w:val="002959E9"/>
    <w:rsid w:val="002A4150"/>
    <w:rsid w:val="002B1A83"/>
    <w:rsid w:val="002C4F75"/>
    <w:rsid w:val="002C656F"/>
    <w:rsid w:val="002C7EE5"/>
    <w:rsid w:val="002D0B72"/>
    <w:rsid w:val="002D54AD"/>
    <w:rsid w:val="002E1D77"/>
    <w:rsid w:val="002E2C6E"/>
    <w:rsid w:val="002E3198"/>
    <w:rsid w:val="002F28BC"/>
    <w:rsid w:val="002F5170"/>
    <w:rsid w:val="00302A0B"/>
    <w:rsid w:val="00304B86"/>
    <w:rsid w:val="00305A0F"/>
    <w:rsid w:val="00314C58"/>
    <w:rsid w:val="00314F95"/>
    <w:rsid w:val="00321B3F"/>
    <w:rsid w:val="0033078F"/>
    <w:rsid w:val="00330AFC"/>
    <w:rsid w:val="00330E55"/>
    <w:rsid w:val="003343D5"/>
    <w:rsid w:val="00335947"/>
    <w:rsid w:val="00340965"/>
    <w:rsid w:val="003411A8"/>
    <w:rsid w:val="0034267A"/>
    <w:rsid w:val="00343B5A"/>
    <w:rsid w:val="00345D26"/>
    <w:rsid w:val="00351335"/>
    <w:rsid w:val="003532E5"/>
    <w:rsid w:val="0035367D"/>
    <w:rsid w:val="00353807"/>
    <w:rsid w:val="00354888"/>
    <w:rsid w:val="00357114"/>
    <w:rsid w:val="0036031A"/>
    <w:rsid w:val="00362A61"/>
    <w:rsid w:val="00370EFA"/>
    <w:rsid w:val="00371F8B"/>
    <w:rsid w:val="003736B2"/>
    <w:rsid w:val="003736EA"/>
    <w:rsid w:val="003808BC"/>
    <w:rsid w:val="003834CB"/>
    <w:rsid w:val="003A3CE8"/>
    <w:rsid w:val="003A5F0A"/>
    <w:rsid w:val="003B45B5"/>
    <w:rsid w:val="003C0F50"/>
    <w:rsid w:val="003C2BD5"/>
    <w:rsid w:val="003D24C1"/>
    <w:rsid w:val="003D3657"/>
    <w:rsid w:val="003D5E09"/>
    <w:rsid w:val="003D65D9"/>
    <w:rsid w:val="003D6DFA"/>
    <w:rsid w:val="003D7CBD"/>
    <w:rsid w:val="003E3E07"/>
    <w:rsid w:val="004008F7"/>
    <w:rsid w:val="00403953"/>
    <w:rsid w:val="00426B23"/>
    <w:rsid w:val="00426EAC"/>
    <w:rsid w:val="0042700B"/>
    <w:rsid w:val="00430AEF"/>
    <w:rsid w:val="00430FA1"/>
    <w:rsid w:val="0043609E"/>
    <w:rsid w:val="00436725"/>
    <w:rsid w:val="00436B6B"/>
    <w:rsid w:val="00437749"/>
    <w:rsid w:val="00443624"/>
    <w:rsid w:val="004440C4"/>
    <w:rsid w:val="00445E04"/>
    <w:rsid w:val="00453BB0"/>
    <w:rsid w:val="00456F5D"/>
    <w:rsid w:val="004605BB"/>
    <w:rsid w:val="00461F34"/>
    <w:rsid w:val="00466D88"/>
    <w:rsid w:val="004671FD"/>
    <w:rsid w:val="00473E80"/>
    <w:rsid w:val="00482375"/>
    <w:rsid w:val="00485E8E"/>
    <w:rsid w:val="00496D85"/>
    <w:rsid w:val="004A4A52"/>
    <w:rsid w:val="004B34B2"/>
    <w:rsid w:val="004B522E"/>
    <w:rsid w:val="004C04DD"/>
    <w:rsid w:val="004C6ECB"/>
    <w:rsid w:val="004C71E5"/>
    <w:rsid w:val="004D20E5"/>
    <w:rsid w:val="004D21A0"/>
    <w:rsid w:val="004D6FA4"/>
    <w:rsid w:val="004D72AC"/>
    <w:rsid w:val="004E3BD0"/>
    <w:rsid w:val="004E7A2B"/>
    <w:rsid w:val="004E7C17"/>
    <w:rsid w:val="004F110F"/>
    <w:rsid w:val="00500CD7"/>
    <w:rsid w:val="00503C5D"/>
    <w:rsid w:val="0050790F"/>
    <w:rsid w:val="00516BD7"/>
    <w:rsid w:val="005177D1"/>
    <w:rsid w:val="0052614E"/>
    <w:rsid w:val="00532031"/>
    <w:rsid w:val="0053246C"/>
    <w:rsid w:val="00533DF9"/>
    <w:rsid w:val="005372AD"/>
    <w:rsid w:val="00537F1F"/>
    <w:rsid w:val="005426DD"/>
    <w:rsid w:val="00545F81"/>
    <w:rsid w:val="005501F3"/>
    <w:rsid w:val="00555F63"/>
    <w:rsid w:val="00557AEB"/>
    <w:rsid w:val="00560345"/>
    <w:rsid w:val="00562818"/>
    <w:rsid w:val="0057156D"/>
    <w:rsid w:val="00584AF9"/>
    <w:rsid w:val="00595C53"/>
    <w:rsid w:val="005A5ACA"/>
    <w:rsid w:val="005A7274"/>
    <w:rsid w:val="005B1E6C"/>
    <w:rsid w:val="005B43B8"/>
    <w:rsid w:val="005B4D11"/>
    <w:rsid w:val="005B670D"/>
    <w:rsid w:val="005C072D"/>
    <w:rsid w:val="005D160A"/>
    <w:rsid w:val="005D39DC"/>
    <w:rsid w:val="005D5A98"/>
    <w:rsid w:val="005D77A3"/>
    <w:rsid w:val="005E0CC2"/>
    <w:rsid w:val="005E22CA"/>
    <w:rsid w:val="005E2D41"/>
    <w:rsid w:val="005F26F2"/>
    <w:rsid w:val="005F6A04"/>
    <w:rsid w:val="00601FDA"/>
    <w:rsid w:val="00602747"/>
    <w:rsid w:val="0061109E"/>
    <w:rsid w:val="00616E95"/>
    <w:rsid w:val="00621D8F"/>
    <w:rsid w:val="00635A77"/>
    <w:rsid w:val="006363DB"/>
    <w:rsid w:val="00654EEF"/>
    <w:rsid w:val="006601AE"/>
    <w:rsid w:val="00664503"/>
    <w:rsid w:val="00667474"/>
    <w:rsid w:val="00687AAE"/>
    <w:rsid w:val="00687B97"/>
    <w:rsid w:val="006937C9"/>
    <w:rsid w:val="00694ABE"/>
    <w:rsid w:val="00697E72"/>
    <w:rsid w:val="006A0921"/>
    <w:rsid w:val="006A175D"/>
    <w:rsid w:val="006A2AA6"/>
    <w:rsid w:val="006A2ED6"/>
    <w:rsid w:val="006A3377"/>
    <w:rsid w:val="006A34BA"/>
    <w:rsid w:val="006A45F6"/>
    <w:rsid w:val="006C0BAF"/>
    <w:rsid w:val="006C0C0A"/>
    <w:rsid w:val="006C106F"/>
    <w:rsid w:val="006C1ABE"/>
    <w:rsid w:val="006D60AE"/>
    <w:rsid w:val="006F5521"/>
    <w:rsid w:val="007008BF"/>
    <w:rsid w:val="00706976"/>
    <w:rsid w:val="00706F0D"/>
    <w:rsid w:val="00714125"/>
    <w:rsid w:val="00720F2A"/>
    <w:rsid w:val="007255EC"/>
    <w:rsid w:val="00726488"/>
    <w:rsid w:val="00726A84"/>
    <w:rsid w:val="007309E4"/>
    <w:rsid w:val="00733E27"/>
    <w:rsid w:val="007345AB"/>
    <w:rsid w:val="00741D08"/>
    <w:rsid w:val="0074649D"/>
    <w:rsid w:val="00752C3A"/>
    <w:rsid w:val="007656F2"/>
    <w:rsid w:val="007668D0"/>
    <w:rsid w:val="00766D0E"/>
    <w:rsid w:val="00772FCC"/>
    <w:rsid w:val="007748DF"/>
    <w:rsid w:val="0077530F"/>
    <w:rsid w:val="00780B77"/>
    <w:rsid w:val="0078560B"/>
    <w:rsid w:val="007913C6"/>
    <w:rsid w:val="00795590"/>
    <w:rsid w:val="00797203"/>
    <w:rsid w:val="007A13D4"/>
    <w:rsid w:val="007B1DD6"/>
    <w:rsid w:val="007B38CB"/>
    <w:rsid w:val="007B3FB8"/>
    <w:rsid w:val="007B6026"/>
    <w:rsid w:val="007C10C0"/>
    <w:rsid w:val="007C11B5"/>
    <w:rsid w:val="007C29F3"/>
    <w:rsid w:val="007C5358"/>
    <w:rsid w:val="007D3917"/>
    <w:rsid w:val="007D5EFB"/>
    <w:rsid w:val="007E2F92"/>
    <w:rsid w:val="007E44F2"/>
    <w:rsid w:val="007E5566"/>
    <w:rsid w:val="007E5DBC"/>
    <w:rsid w:val="007F2A6C"/>
    <w:rsid w:val="007F634E"/>
    <w:rsid w:val="00800855"/>
    <w:rsid w:val="00800FD6"/>
    <w:rsid w:val="008014DD"/>
    <w:rsid w:val="00804FF0"/>
    <w:rsid w:val="00806EBF"/>
    <w:rsid w:val="00807A5D"/>
    <w:rsid w:val="00810678"/>
    <w:rsid w:val="00826797"/>
    <w:rsid w:val="00831815"/>
    <w:rsid w:val="00837F94"/>
    <w:rsid w:val="00844AE6"/>
    <w:rsid w:val="008546E0"/>
    <w:rsid w:val="00855016"/>
    <w:rsid w:val="00857ACC"/>
    <w:rsid w:val="00861626"/>
    <w:rsid w:val="00870070"/>
    <w:rsid w:val="008700E0"/>
    <w:rsid w:val="00870C40"/>
    <w:rsid w:val="008775FB"/>
    <w:rsid w:val="00882AFF"/>
    <w:rsid w:val="0088370E"/>
    <w:rsid w:val="00884774"/>
    <w:rsid w:val="008847B9"/>
    <w:rsid w:val="008878A4"/>
    <w:rsid w:val="008A32BA"/>
    <w:rsid w:val="008A38F1"/>
    <w:rsid w:val="008A3F82"/>
    <w:rsid w:val="008A657F"/>
    <w:rsid w:val="008B04FC"/>
    <w:rsid w:val="008B5428"/>
    <w:rsid w:val="008B7C8F"/>
    <w:rsid w:val="008D444E"/>
    <w:rsid w:val="008D6378"/>
    <w:rsid w:val="008D77DB"/>
    <w:rsid w:val="008E2AA1"/>
    <w:rsid w:val="008E7822"/>
    <w:rsid w:val="008F1262"/>
    <w:rsid w:val="009015A1"/>
    <w:rsid w:val="009056BE"/>
    <w:rsid w:val="0090735D"/>
    <w:rsid w:val="0091761E"/>
    <w:rsid w:val="00925473"/>
    <w:rsid w:val="00932B0D"/>
    <w:rsid w:val="00936CBD"/>
    <w:rsid w:val="009376A2"/>
    <w:rsid w:val="00940AD4"/>
    <w:rsid w:val="00946750"/>
    <w:rsid w:val="00946AE5"/>
    <w:rsid w:val="00947260"/>
    <w:rsid w:val="00947410"/>
    <w:rsid w:val="00955B89"/>
    <w:rsid w:val="00955D5E"/>
    <w:rsid w:val="00956519"/>
    <w:rsid w:val="00956C4C"/>
    <w:rsid w:val="0097270E"/>
    <w:rsid w:val="009727AD"/>
    <w:rsid w:val="00974198"/>
    <w:rsid w:val="0097588D"/>
    <w:rsid w:val="009815B2"/>
    <w:rsid w:val="0098258A"/>
    <w:rsid w:val="00983AFA"/>
    <w:rsid w:val="00984F07"/>
    <w:rsid w:val="009851CB"/>
    <w:rsid w:val="009869C7"/>
    <w:rsid w:val="00991893"/>
    <w:rsid w:val="009928E7"/>
    <w:rsid w:val="009A2888"/>
    <w:rsid w:val="009A6BD6"/>
    <w:rsid w:val="009C089F"/>
    <w:rsid w:val="009C2E3C"/>
    <w:rsid w:val="009C79BE"/>
    <w:rsid w:val="009D6F32"/>
    <w:rsid w:val="009D76F9"/>
    <w:rsid w:val="009E3B3B"/>
    <w:rsid w:val="009E76BD"/>
    <w:rsid w:val="009F599C"/>
    <w:rsid w:val="009F6886"/>
    <w:rsid w:val="00A053BB"/>
    <w:rsid w:val="00A0565D"/>
    <w:rsid w:val="00A11C01"/>
    <w:rsid w:val="00A120EE"/>
    <w:rsid w:val="00A140B7"/>
    <w:rsid w:val="00A17FFA"/>
    <w:rsid w:val="00A2008A"/>
    <w:rsid w:val="00A20187"/>
    <w:rsid w:val="00A252EA"/>
    <w:rsid w:val="00A25574"/>
    <w:rsid w:val="00A32C35"/>
    <w:rsid w:val="00A418CF"/>
    <w:rsid w:val="00A437ED"/>
    <w:rsid w:val="00A4593C"/>
    <w:rsid w:val="00A45B69"/>
    <w:rsid w:val="00A55819"/>
    <w:rsid w:val="00A5617A"/>
    <w:rsid w:val="00A60CEC"/>
    <w:rsid w:val="00A65FAE"/>
    <w:rsid w:val="00A66EA5"/>
    <w:rsid w:val="00A72F58"/>
    <w:rsid w:val="00A770ED"/>
    <w:rsid w:val="00A80E22"/>
    <w:rsid w:val="00A80F55"/>
    <w:rsid w:val="00A815AA"/>
    <w:rsid w:val="00A836E4"/>
    <w:rsid w:val="00A91D6C"/>
    <w:rsid w:val="00A92ABC"/>
    <w:rsid w:val="00A932FB"/>
    <w:rsid w:val="00A9655E"/>
    <w:rsid w:val="00A97ADE"/>
    <w:rsid w:val="00AA4D9D"/>
    <w:rsid w:val="00AB634C"/>
    <w:rsid w:val="00AC7538"/>
    <w:rsid w:val="00AD266F"/>
    <w:rsid w:val="00AD3D16"/>
    <w:rsid w:val="00AD47DC"/>
    <w:rsid w:val="00AD59A2"/>
    <w:rsid w:val="00AD6BA1"/>
    <w:rsid w:val="00AE3879"/>
    <w:rsid w:val="00AF3E25"/>
    <w:rsid w:val="00AF4D29"/>
    <w:rsid w:val="00B00E9F"/>
    <w:rsid w:val="00B010B1"/>
    <w:rsid w:val="00B04897"/>
    <w:rsid w:val="00B06ACA"/>
    <w:rsid w:val="00B115F9"/>
    <w:rsid w:val="00B2197C"/>
    <w:rsid w:val="00B2379A"/>
    <w:rsid w:val="00B27B47"/>
    <w:rsid w:val="00B3066D"/>
    <w:rsid w:val="00B30F61"/>
    <w:rsid w:val="00B344DE"/>
    <w:rsid w:val="00B34903"/>
    <w:rsid w:val="00B34EF7"/>
    <w:rsid w:val="00B465E0"/>
    <w:rsid w:val="00B6665E"/>
    <w:rsid w:val="00B67B1E"/>
    <w:rsid w:val="00B707FB"/>
    <w:rsid w:val="00B72B33"/>
    <w:rsid w:val="00B7333D"/>
    <w:rsid w:val="00B750EF"/>
    <w:rsid w:val="00B75847"/>
    <w:rsid w:val="00B763F6"/>
    <w:rsid w:val="00B77943"/>
    <w:rsid w:val="00B84A51"/>
    <w:rsid w:val="00B91802"/>
    <w:rsid w:val="00B923F1"/>
    <w:rsid w:val="00B94E09"/>
    <w:rsid w:val="00B96806"/>
    <w:rsid w:val="00B97747"/>
    <w:rsid w:val="00B97932"/>
    <w:rsid w:val="00BA1DA9"/>
    <w:rsid w:val="00BA267C"/>
    <w:rsid w:val="00BA28F1"/>
    <w:rsid w:val="00BB1358"/>
    <w:rsid w:val="00BB19C1"/>
    <w:rsid w:val="00BB23FE"/>
    <w:rsid w:val="00BB5B09"/>
    <w:rsid w:val="00BB66DA"/>
    <w:rsid w:val="00BC067A"/>
    <w:rsid w:val="00BC43CF"/>
    <w:rsid w:val="00BC4AA0"/>
    <w:rsid w:val="00BC666B"/>
    <w:rsid w:val="00BC6C28"/>
    <w:rsid w:val="00BD2FEA"/>
    <w:rsid w:val="00BD40AE"/>
    <w:rsid w:val="00BD75CA"/>
    <w:rsid w:val="00BE409C"/>
    <w:rsid w:val="00BE4680"/>
    <w:rsid w:val="00BE4F13"/>
    <w:rsid w:val="00BF41DC"/>
    <w:rsid w:val="00C00865"/>
    <w:rsid w:val="00C0123B"/>
    <w:rsid w:val="00C0659A"/>
    <w:rsid w:val="00C11C4B"/>
    <w:rsid w:val="00C1322C"/>
    <w:rsid w:val="00C151F0"/>
    <w:rsid w:val="00C1615D"/>
    <w:rsid w:val="00C32CBE"/>
    <w:rsid w:val="00C35A17"/>
    <w:rsid w:val="00C4183F"/>
    <w:rsid w:val="00C43A74"/>
    <w:rsid w:val="00C440E2"/>
    <w:rsid w:val="00C4554C"/>
    <w:rsid w:val="00C538A1"/>
    <w:rsid w:val="00C54A79"/>
    <w:rsid w:val="00C613C0"/>
    <w:rsid w:val="00C67907"/>
    <w:rsid w:val="00C72B01"/>
    <w:rsid w:val="00C7789C"/>
    <w:rsid w:val="00C8396C"/>
    <w:rsid w:val="00C84791"/>
    <w:rsid w:val="00C92387"/>
    <w:rsid w:val="00CA30D5"/>
    <w:rsid w:val="00CB2A8F"/>
    <w:rsid w:val="00CB62FE"/>
    <w:rsid w:val="00CB78C0"/>
    <w:rsid w:val="00CB7B87"/>
    <w:rsid w:val="00CC04BC"/>
    <w:rsid w:val="00CC18E1"/>
    <w:rsid w:val="00CC4500"/>
    <w:rsid w:val="00CD00AE"/>
    <w:rsid w:val="00CD7DB2"/>
    <w:rsid w:val="00CE32ED"/>
    <w:rsid w:val="00CE4E64"/>
    <w:rsid w:val="00CE61F9"/>
    <w:rsid w:val="00CF7223"/>
    <w:rsid w:val="00D07B62"/>
    <w:rsid w:val="00D106E3"/>
    <w:rsid w:val="00D119B7"/>
    <w:rsid w:val="00D124AD"/>
    <w:rsid w:val="00D13BBF"/>
    <w:rsid w:val="00D25480"/>
    <w:rsid w:val="00D26E0D"/>
    <w:rsid w:val="00D324B9"/>
    <w:rsid w:val="00D34294"/>
    <w:rsid w:val="00D37A25"/>
    <w:rsid w:val="00D40C58"/>
    <w:rsid w:val="00D45CAB"/>
    <w:rsid w:val="00D53739"/>
    <w:rsid w:val="00D6150A"/>
    <w:rsid w:val="00D61839"/>
    <w:rsid w:val="00D706E2"/>
    <w:rsid w:val="00D779DE"/>
    <w:rsid w:val="00D9476D"/>
    <w:rsid w:val="00DA56F4"/>
    <w:rsid w:val="00DB17AF"/>
    <w:rsid w:val="00DB20BA"/>
    <w:rsid w:val="00DB2272"/>
    <w:rsid w:val="00DB2383"/>
    <w:rsid w:val="00DB7B65"/>
    <w:rsid w:val="00DC1397"/>
    <w:rsid w:val="00DC301F"/>
    <w:rsid w:val="00DC4A8F"/>
    <w:rsid w:val="00DD1D9A"/>
    <w:rsid w:val="00DD27CD"/>
    <w:rsid w:val="00DD6EC9"/>
    <w:rsid w:val="00DE3E48"/>
    <w:rsid w:val="00DE7CF0"/>
    <w:rsid w:val="00DF781B"/>
    <w:rsid w:val="00E04AA9"/>
    <w:rsid w:val="00E05FB8"/>
    <w:rsid w:val="00E07503"/>
    <w:rsid w:val="00E0787C"/>
    <w:rsid w:val="00E127B0"/>
    <w:rsid w:val="00E12ED3"/>
    <w:rsid w:val="00E2799E"/>
    <w:rsid w:val="00E3187B"/>
    <w:rsid w:val="00E319BD"/>
    <w:rsid w:val="00E33869"/>
    <w:rsid w:val="00E34938"/>
    <w:rsid w:val="00E3625F"/>
    <w:rsid w:val="00E37BDD"/>
    <w:rsid w:val="00E51A31"/>
    <w:rsid w:val="00E54CA3"/>
    <w:rsid w:val="00E577E4"/>
    <w:rsid w:val="00E61FC5"/>
    <w:rsid w:val="00E72490"/>
    <w:rsid w:val="00E758F1"/>
    <w:rsid w:val="00E8022A"/>
    <w:rsid w:val="00E83E6A"/>
    <w:rsid w:val="00E87FCE"/>
    <w:rsid w:val="00E911EE"/>
    <w:rsid w:val="00E92DAC"/>
    <w:rsid w:val="00E95161"/>
    <w:rsid w:val="00E95F51"/>
    <w:rsid w:val="00EA056A"/>
    <w:rsid w:val="00EA5A0F"/>
    <w:rsid w:val="00EB1903"/>
    <w:rsid w:val="00EB239E"/>
    <w:rsid w:val="00EB43D0"/>
    <w:rsid w:val="00EB4765"/>
    <w:rsid w:val="00EC0B2A"/>
    <w:rsid w:val="00EC2D43"/>
    <w:rsid w:val="00EC63C1"/>
    <w:rsid w:val="00EC6FC6"/>
    <w:rsid w:val="00EC7492"/>
    <w:rsid w:val="00ED64CF"/>
    <w:rsid w:val="00EE06BF"/>
    <w:rsid w:val="00EE0F53"/>
    <w:rsid w:val="00EE671C"/>
    <w:rsid w:val="00EE678A"/>
    <w:rsid w:val="00EE6E9E"/>
    <w:rsid w:val="00EF39EE"/>
    <w:rsid w:val="00F04D8E"/>
    <w:rsid w:val="00F05E43"/>
    <w:rsid w:val="00F10B41"/>
    <w:rsid w:val="00F17D7B"/>
    <w:rsid w:val="00F218D9"/>
    <w:rsid w:val="00F329EA"/>
    <w:rsid w:val="00F4366C"/>
    <w:rsid w:val="00F473EB"/>
    <w:rsid w:val="00F54D52"/>
    <w:rsid w:val="00F66BB3"/>
    <w:rsid w:val="00F6741F"/>
    <w:rsid w:val="00F75CB5"/>
    <w:rsid w:val="00F77DCC"/>
    <w:rsid w:val="00F81FFE"/>
    <w:rsid w:val="00F83C75"/>
    <w:rsid w:val="00F85C1A"/>
    <w:rsid w:val="00F86E06"/>
    <w:rsid w:val="00F871DC"/>
    <w:rsid w:val="00F917C2"/>
    <w:rsid w:val="00F94513"/>
    <w:rsid w:val="00FA19DA"/>
    <w:rsid w:val="00FA4DB0"/>
    <w:rsid w:val="00FB1D9E"/>
    <w:rsid w:val="00FB7EC3"/>
    <w:rsid w:val="00FC4F8A"/>
    <w:rsid w:val="00FC6939"/>
    <w:rsid w:val="00FD11BA"/>
    <w:rsid w:val="00FD1A92"/>
    <w:rsid w:val="00FD3F53"/>
    <w:rsid w:val="00FD585B"/>
    <w:rsid w:val="00FD5DEA"/>
    <w:rsid w:val="00FE2C36"/>
    <w:rsid w:val="00FE5801"/>
    <w:rsid w:val="00FE6851"/>
    <w:rsid w:val="00FF1683"/>
    <w:rsid w:val="00FF43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D4B1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44D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476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61839"/>
    <w:pPr>
      <w:spacing w:after="0" w:line="240" w:lineRule="auto"/>
    </w:pPr>
    <w:rPr>
      <w:rFonts w:ascii="Lucida Grande" w:hAnsi="Lucida Grande" w:eastAsiaTheme="minorEastAsia" w:cs="Lucida Grande"/>
      <w:sz w:val="18"/>
      <w:szCs w:val="18"/>
    </w:rPr>
  </w:style>
  <w:style w:type="character" w:customStyle="1" w:styleId="BalloonTextChar">
    <w:name w:val="Balloon Text Char"/>
    <w:basedOn w:val="DefaultParagraphFont"/>
    <w:link w:val="BalloonText"/>
    <w:uiPriority w:val="99"/>
    <w:semiHidden/>
    <w:rsid w:val="00D61839"/>
    <w:rPr>
      <w:rFonts w:ascii="Lucida Grande" w:hAnsi="Lucida Grande" w:eastAsiaTheme="minorEastAsia" w:cs="Lucida Grande"/>
      <w:sz w:val="18"/>
      <w:szCs w:val="18"/>
    </w:rPr>
  </w:style>
  <w:style w:type="character" w:styleId="Hyperlink">
    <w:name w:val="Hyperlink"/>
    <w:basedOn w:val="DefaultParagraphFont"/>
    <w:unhideWhenUsed/>
    <w:rsid w:val="005D39DC"/>
    <w:rPr>
      <w:color w:val="0563C1" w:themeColor="hyperlink"/>
      <w:u w:val="single"/>
    </w:rPr>
  </w:style>
  <w:style w:type="character" w:styleId="UnresolvedMention">
    <w:name w:val="Unresolved Mention"/>
    <w:basedOn w:val="DefaultParagraphFont"/>
    <w:uiPriority w:val="99"/>
    <w:semiHidden/>
    <w:unhideWhenUsed/>
    <w:rsid w:val="005D39DC"/>
    <w:rPr>
      <w:color w:val="605E5C"/>
      <w:shd w:val="clear" w:color="auto" w:fill="E1DFDD"/>
    </w:rPr>
  </w:style>
  <w:style w:type="character" w:styleId="FollowedHyperlink">
    <w:name w:val="FollowedHyperlink"/>
    <w:basedOn w:val="DefaultParagraphFont"/>
    <w:uiPriority w:val="99"/>
    <w:semiHidden/>
    <w:unhideWhenUsed/>
    <w:rsid w:val="007656F2"/>
    <w:rPr>
      <w:color w:val="954F72" w:themeColor="followedHyperlink"/>
      <w:u w:val="single"/>
    </w:rPr>
  </w:style>
  <w:style w:type="character" w:styleId="CommentReference">
    <w:name w:val="annotation reference"/>
    <w:basedOn w:val="DefaultParagraphFont"/>
    <w:uiPriority w:val="99"/>
    <w:semiHidden/>
    <w:unhideWhenUsed/>
    <w:rsid w:val="009F6886"/>
    <w:rPr>
      <w:sz w:val="16"/>
      <w:szCs w:val="16"/>
    </w:rPr>
  </w:style>
  <w:style w:type="paragraph" w:styleId="CommentText">
    <w:name w:val="annotation text"/>
    <w:basedOn w:val="Normal"/>
    <w:link w:val="CommentTextChar"/>
    <w:uiPriority w:val="99"/>
    <w:semiHidden/>
    <w:unhideWhenUsed/>
    <w:rsid w:val="009F6886"/>
    <w:pPr>
      <w:spacing w:line="240" w:lineRule="auto"/>
    </w:pPr>
    <w:rPr>
      <w:sz w:val="20"/>
      <w:szCs w:val="20"/>
    </w:rPr>
  </w:style>
  <w:style w:type="character" w:customStyle="1" w:styleId="CommentTextChar">
    <w:name w:val="Comment Text Char"/>
    <w:basedOn w:val="DefaultParagraphFont"/>
    <w:link w:val="CommentText"/>
    <w:uiPriority w:val="99"/>
    <w:semiHidden/>
    <w:rsid w:val="009F6886"/>
    <w:rPr>
      <w:sz w:val="20"/>
      <w:szCs w:val="20"/>
    </w:rPr>
  </w:style>
  <w:style w:type="paragraph" w:styleId="CommentSubject">
    <w:name w:val="annotation subject"/>
    <w:basedOn w:val="CommentText"/>
    <w:next w:val="CommentText"/>
    <w:link w:val="CommentSubjectChar"/>
    <w:uiPriority w:val="99"/>
    <w:semiHidden/>
    <w:unhideWhenUsed/>
    <w:rsid w:val="009F6886"/>
    <w:rPr>
      <w:b/>
      <w:bCs/>
    </w:rPr>
  </w:style>
  <w:style w:type="character" w:customStyle="1" w:styleId="CommentSubjectChar">
    <w:name w:val="Comment Subject Char"/>
    <w:basedOn w:val="CommentTextChar"/>
    <w:link w:val="CommentSubject"/>
    <w:uiPriority w:val="99"/>
    <w:semiHidden/>
    <w:rsid w:val="009F6886"/>
    <w:rPr>
      <w:b/>
      <w:bCs/>
      <w:sz w:val="20"/>
      <w:szCs w:val="20"/>
    </w:rPr>
  </w:style>
  <w:style w:type="paragraph" w:styleId="BodyText2">
    <w:name w:val="Body Text 2"/>
    <w:basedOn w:val="Normal"/>
    <w:link w:val="BodyText2Char"/>
    <w:rsid w:val="00AF4D29"/>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AF4D29"/>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semiHidden/>
    <w:rsid w:val="00044D7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C7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538"/>
  </w:style>
  <w:style w:type="paragraph" w:styleId="Footer">
    <w:name w:val="footer"/>
    <w:basedOn w:val="Normal"/>
    <w:link w:val="FooterChar"/>
    <w:uiPriority w:val="99"/>
    <w:unhideWhenUsed/>
    <w:rsid w:val="00AC7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538"/>
  </w:style>
  <w:style w:type="paragraph" w:styleId="Revision">
    <w:name w:val="Revision"/>
    <w:hidden/>
    <w:uiPriority w:val="99"/>
    <w:semiHidden/>
    <w:rsid w:val="00085FE1"/>
    <w:pPr>
      <w:spacing w:after="0" w:line="240" w:lineRule="auto"/>
    </w:pPr>
  </w:style>
  <w:style w:type="paragraph" w:styleId="ListParagraph">
    <w:name w:val="List Paragraph"/>
    <w:basedOn w:val="Normal"/>
    <w:uiPriority w:val="34"/>
    <w:qFormat/>
    <w:rsid w:val="00085F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law.cornell.edu/cfr/text/2/200.301" TargetMode="External" /><Relationship Id="rId6" Type="http://schemas.openxmlformats.org/officeDocument/2006/relationships/hyperlink" Target="https://www.acquisition.gov/far/part-42" TargetMode="External" /><Relationship Id="rId7" Type="http://schemas.openxmlformats.org/officeDocument/2006/relationships/hyperlink" Target="http://www.bls.gov/oes/current/oes_nat.htm"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4D269-865A-45E5-AEF5-5FFA93580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4377</Words>
  <Characters>24955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2024-01-10T20:26:00Z</dcterms:created>
  <dcterms:modified xsi:type="dcterms:W3CDTF">2024-01-10T20:52:00Z</dcterms:modified>
</cp:coreProperties>
</file>