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4FDD" w:rsidRPr="006A1262" w:rsidP="009E4FDD" w14:paraId="3DDE4D4A" w14:textId="3D16ECD3">
      <w:pPr>
        <w:spacing w:after="184"/>
        <w:jc w:val="center"/>
        <w:rPr>
          <w:b/>
          <w:sz w:val="32"/>
          <w:szCs w:val="32"/>
        </w:rPr>
      </w:pPr>
      <w:r>
        <w:rPr>
          <w:b/>
          <w:sz w:val="32"/>
          <w:szCs w:val="32"/>
        </w:rPr>
        <w:t xml:space="preserve"> </w:t>
      </w:r>
      <w:r w:rsidRPr="006A1262">
        <w:rPr>
          <w:b/>
          <w:sz w:val="32"/>
          <w:szCs w:val="32"/>
        </w:rPr>
        <w:t>Supporting Statement Part B</w:t>
      </w:r>
    </w:p>
    <w:p w:rsidR="009E4FDD" w:rsidRPr="006A1262" w:rsidP="009E4FDD" w14:paraId="1447D2A6" w14:textId="47722D41">
      <w:pPr>
        <w:spacing w:after="184"/>
        <w:jc w:val="center"/>
        <w:rPr>
          <w:b/>
          <w:sz w:val="32"/>
          <w:szCs w:val="32"/>
        </w:rPr>
      </w:pPr>
      <w:r w:rsidRPr="006A1262">
        <w:rPr>
          <w:b/>
          <w:sz w:val="32"/>
          <w:szCs w:val="32"/>
        </w:rPr>
        <w:t>Healthy Start Evaluation</w:t>
      </w:r>
      <w:r w:rsidRPr="006A1262" w:rsidR="0087112C">
        <w:rPr>
          <w:b/>
          <w:sz w:val="32"/>
          <w:szCs w:val="32"/>
        </w:rPr>
        <w:t xml:space="preserve"> and </w:t>
      </w:r>
      <w:r w:rsidRPr="006A1262" w:rsidR="00C27D60">
        <w:rPr>
          <w:b/>
          <w:sz w:val="32"/>
          <w:szCs w:val="32"/>
        </w:rPr>
        <w:t>Capacity Building Support</w:t>
      </w:r>
    </w:p>
    <w:p w:rsidR="009E4FDD" w:rsidRPr="006A1262" w:rsidP="009E4FDD" w14:paraId="2268D7B7" w14:textId="77777777">
      <w:pPr>
        <w:spacing w:before="144" w:line="360" w:lineRule="exact"/>
        <w:jc w:val="center"/>
        <w:rPr>
          <w:b/>
          <w:sz w:val="32"/>
          <w:szCs w:val="32"/>
        </w:rPr>
      </w:pPr>
      <w:r w:rsidRPr="006A1262">
        <w:rPr>
          <w:b/>
          <w:sz w:val="32"/>
          <w:szCs w:val="32"/>
        </w:rPr>
        <w:t xml:space="preserve">OMB Control </w:t>
      </w:r>
      <w:r w:rsidRPr="006A1262">
        <w:rPr>
          <w:b/>
          <w:sz w:val="32"/>
          <w:szCs w:val="32"/>
          <w:highlight w:val="yellow"/>
        </w:rPr>
        <w:t xml:space="preserve">No. </w:t>
      </w:r>
      <w:r w:rsidRPr="006A1262" w:rsidR="0068278D">
        <w:rPr>
          <w:b/>
          <w:sz w:val="32"/>
          <w:szCs w:val="32"/>
          <w:highlight w:val="yellow"/>
        </w:rPr>
        <w:t>xxxx</w:t>
      </w:r>
      <w:r w:rsidRPr="006A1262">
        <w:rPr>
          <w:b/>
          <w:sz w:val="32"/>
          <w:szCs w:val="32"/>
          <w:highlight w:val="yellow"/>
        </w:rPr>
        <w:t>-</w:t>
      </w:r>
      <w:r w:rsidRPr="006A1262" w:rsidR="0068278D">
        <w:rPr>
          <w:b/>
          <w:sz w:val="32"/>
          <w:szCs w:val="32"/>
          <w:highlight w:val="yellow"/>
        </w:rPr>
        <w:t>xxxx</w:t>
      </w:r>
    </w:p>
    <w:p w:rsidR="00AC72D8" w:rsidRPr="006A1262" w:rsidP="009E4FDD" w14:paraId="2B283DCE" w14:textId="77777777">
      <w:pPr>
        <w:tabs>
          <w:tab w:val="center" w:pos="4680"/>
        </w:tabs>
        <w:spacing w:before="120"/>
        <w:jc w:val="center"/>
        <w:rPr>
          <w:b/>
          <w:bCs/>
          <w:sz w:val="32"/>
          <w:szCs w:val="32"/>
        </w:rPr>
        <w:sectPr w:rsidSect="002B393E">
          <w:endnotePr>
            <w:numFmt w:val="decimal"/>
          </w:endnotePr>
          <w:pgSz w:w="12240" w:h="15840" w:code="1"/>
          <w:pgMar w:top="1440" w:right="1440" w:bottom="1440" w:left="1440" w:header="720" w:footer="720" w:gutter="0"/>
          <w:cols w:space="720"/>
          <w:vAlign w:val="center"/>
          <w:noEndnote/>
        </w:sectPr>
      </w:pPr>
    </w:p>
    <w:p w:rsidR="001568CA" w:rsidRPr="008364D2" w:rsidP="00AC72D8" w14:paraId="10307016" w14:textId="5C43A3B7">
      <w:pPr>
        <w:pStyle w:val="Heading2"/>
        <w:rPr>
          <w:rFonts w:ascii="Times New Roman" w:hAnsi="Times New Roman"/>
          <w:b/>
          <w:sz w:val="24"/>
          <w:szCs w:val="24"/>
        </w:rPr>
      </w:pPr>
      <w:r w:rsidRPr="008364D2">
        <w:rPr>
          <w:rFonts w:ascii="Times New Roman" w:hAnsi="Times New Roman"/>
          <w:b/>
          <w:sz w:val="24"/>
          <w:szCs w:val="24"/>
        </w:rPr>
        <w:t>B.</w:t>
      </w:r>
      <w:r w:rsidRPr="008364D2">
        <w:rPr>
          <w:rFonts w:ascii="Times New Roman" w:hAnsi="Times New Roman"/>
          <w:b/>
          <w:sz w:val="24"/>
          <w:szCs w:val="24"/>
        </w:rPr>
        <w:tab/>
      </w:r>
      <w:r w:rsidRPr="008364D2" w:rsidR="002B393E">
        <w:rPr>
          <w:rFonts w:ascii="Times New Roman" w:hAnsi="Times New Roman"/>
          <w:b/>
          <w:sz w:val="24"/>
          <w:szCs w:val="24"/>
        </w:rPr>
        <w:t xml:space="preserve">Collection of </w:t>
      </w:r>
      <w:r w:rsidRPr="008364D2" w:rsidR="00FC557F">
        <w:rPr>
          <w:rFonts w:ascii="Times New Roman" w:hAnsi="Times New Roman"/>
          <w:b/>
          <w:sz w:val="24"/>
          <w:szCs w:val="24"/>
        </w:rPr>
        <w:t xml:space="preserve">Information Employing Statistical Methods </w:t>
      </w:r>
    </w:p>
    <w:p w:rsidR="00B52E83" w:rsidRPr="008364D2" w:rsidP="00B52E83" w14:paraId="5D0AC633" w14:textId="3F245A74">
      <w:pPr>
        <w:pStyle w:val="NormalSS"/>
        <w:ind w:firstLine="0"/>
      </w:pPr>
      <w:r w:rsidRPr="008364D2">
        <w:tab/>
      </w:r>
      <w:r w:rsidR="176DAA71">
        <w:t xml:space="preserve">In this </w:t>
      </w:r>
      <w:r w:rsidR="632CA663">
        <w:t xml:space="preserve">Supporting </w:t>
      </w:r>
      <w:r w:rsidR="176DAA71">
        <w:t xml:space="preserve">Statement B, we </w:t>
      </w:r>
      <w:r w:rsidRPr="008364D2" w:rsidR="586FD784">
        <w:t xml:space="preserve">present information about </w:t>
      </w:r>
      <w:r w:rsidR="632CA663">
        <w:t xml:space="preserve">our statistical methods and how we determined the methods we will use for the </w:t>
      </w:r>
      <w:r w:rsidR="74603D59">
        <w:t xml:space="preserve">evaluation of the </w:t>
      </w:r>
      <w:r w:rsidR="632CA663">
        <w:t>Healthy Start Program</w:t>
      </w:r>
      <w:r w:rsidR="74603D59">
        <w:t xml:space="preserve">. </w:t>
      </w:r>
      <w:r w:rsidRPr="004F040D" w:rsidR="586FD784">
        <w:t xml:space="preserve">As noted in Supporting Statement A, the goal of this </w:t>
      </w:r>
      <w:r w:rsidR="74603D59">
        <w:t xml:space="preserve">evaluation is </w:t>
      </w:r>
      <w:r w:rsidRPr="004F040D" w:rsidR="586FD784">
        <w:t>to use data to conduct ongoing performance monitoring</w:t>
      </w:r>
      <w:r w:rsidR="5231F9BB">
        <w:t>;</w:t>
      </w:r>
      <w:r w:rsidRPr="004F040D" w:rsidR="586FD784">
        <w:t xml:space="preserve"> obtain credible evidence of </w:t>
      </w:r>
      <w:r w:rsidRPr="004F040D" w:rsidR="536D6279">
        <w:t xml:space="preserve">program effects and </w:t>
      </w:r>
      <w:r w:rsidRPr="004F040D" w:rsidR="586FD784">
        <w:t>outcomes</w:t>
      </w:r>
      <w:r w:rsidR="5231F9BB">
        <w:t>;</w:t>
      </w:r>
      <w:r w:rsidRPr="004F040D" w:rsidR="586FD784">
        <w:t xml:space="preserve"> meet needs for accountability</w:t>
      </w:r>
      <w:r w:rsidR="5231F9BB">
        <w:t>;</w:t>
      </w:r>
      <w:r w:rsidRPr="004F040D" w:rsidR="586FD784">
        <w:t xml:space="preserve"> </w:t>
      </w:r>
      <w:r w:rsidRPr="004F040D" w:rsidR="536D6279">
        <w:t>a</w:t>
      </w:r>
      <w:r w:rsidRPr="004F040D" w:rsidR="586FD784">
        <w:t>nd identify best and promising practices to support sustainability, replication, and dissemination</w:t>
      </w:r>
      <w:r w:rsidRPr="004F040D" w:rsidR="536D6279">
        <w:t xml:space="preserve"> of the program</w:t>
      </w:r>
      <w:r w:rsidRPr="004F040D" w:rsidR="586FD784">
        <w:t>.</w:t>
      </w:r>
      <w:r w:rsidRPr="008364D2" w:rsidR="586FD784">
        <w:t xml:space="preserve"> </w:t>
      </w:r>
    </w:p>
    <w:p w:rsidR="00BA1757" w:rsidRPr="008364D2" w:rsidP="00AC72D8" w14:paraId="2D48B218" w14:textId="72A620B5">
      <w:pPr>
        <w:pStyle w:val="Heading3"/>
        <w:rPr>
          <w:szCs w:val="24"/>
        </w:rPr>
      </w:pPr>
      <w:r w:rsidRPr="008364D2">
        <w:rPr>
          <w:szCs w:val="24"/>
          <w:u w:val="none"/>
        </w:rPr>
        <w:t>1.</w:t>
      </w:r>
      <w:r w:rsidRPr="008364D2">
        <w:rPr>
          <w:szCs w:val="24"/>
          <w:u w:val="none"/>
        </w:rPr>
        <w:tab/>
      </w:r>
      <w:r w:rsidRPr="008364D2">
        <w:rPr>
          <w:szCs w:val="24"/>
        </w:rPr>
        <w:t xml:space="preserve">Respondent </w:t>
      </w:r>
      <w:r w:rsidRPr="008364D2" w:rsidR="00FC557F">
        <w:rPr>
          <w:szCs w:val="24"/>
        </w:rPr>
        <w:t xml:space="preserve">Universe </w:t>
      </w:r>
      <w:r w:rsidR="00FC557F">
        <w:rPr>
          <w:szCs w:val="24"/>
        </w:rPr>
        <w:t>a</w:t>
      </w:r>
      <w:r w:rsidRPr="008364D2" w:rsidR="00FC557F">
        <w:rPr>
          <w:szCs w:val="24"/>
        </w:rPr>
        <w:t>nd Sampling Methods</w:t>
      </w:r>
    </w:p>
    <w:p w:rsidR="00195CCB" w:rsidRPr="008364D2" w:rsidP="006B11F6" w14:paraId="58E4FBBD" w14:textId="0BCD532D">
      <w:pPr>
        <w:pStyle w:val="NormalSS"/>
      </w:pPr>
      <w:r>
        <w:t xml:space="preserve">The respondent universe and sampling methods </w:t>
      </w:r>
      <w:r w:rsidR="446C1629">
        <w:t xml:space="preserve">are </w:t>
      </w:r>
      <w:r>
        <w:t>described below by data collection activity</w:t>
      </w:r>
      <w:r w:rsidR="4D8F354B">
        <w:t xml:space="preserve"> and summarized in Table B-1.</w:t>
      </w:r>
      <w:r w:rsidR="398ED521">
        <w:t xml:space="preserve"> Expected response rates for the data collection activities</w:t>
      </w:r>
      <w:r w:rsidR="03E8F2D0">
        <w:t>,</w:t>
      </w:r>
      <w:r w:rsidR="398ED521">
        <w:t xml:space="preserve"> as a whole</w:t>
      </w:r>
      <w:r w:rsidR="132D1B8F">
        <w:t>,</w:t>
      </w:r>
      <w:r w:rsidR="398ED521">
        <w:t xml:space="preserve"> are</w:t>
      </w:r>
      <w:r w:rsidR="398ED521">
        <w:t xml:space="preserve"> expected to meet or exceed </w:t>
      </w:r>
      <w:r w:rsidR="004C399D">
        <w:t>40</w:t>
      </w:r>
      <w:r w:rsidR="398ED521">
        <w:t>% (see Section B.3 for additional information).</w:t>
      </w:r>
      <w:r w:rsidR="5572ABF8">
        <w:t xml:space="preserve"> Data collection instruments are included in </w:t>
      </w:r>
      <w:r w:rsidRPr="006A1262" w:rsidR="5572ABF8">
        <w:t>Attachments</w:t>
      </w:r>
      <w:r w:rsidRPr="00BE48EE" w:rsidR="00BE48EE">
        <w:t xml:space="preserve"> </w:t>
      </w:r>
      <w:r w:rsidRPr="006A1262" w:rsidR="00BE48EE">
        <w:t>B1–B5</w:t>
      </w:r>
      <w:r w:rsidRPr="006A1262" w:rsidR="5572ABF8">
        <w:t>.</w:t>
      </w:r>
      <w:r w:rsidR="5572ABF8">
        <w:t xml:space="preserve">    </w:t>
      </w:r>
      <w:r w:rsidR="398ED521">
        <w:t xml:space="preserve">  </w:t>
      </w:r>
    </w:p>
    <w:p w:rsidR="009879E4" w:rsidP="008364D2" w14:paraId="39F87AF3" w14:textId="039E25E5">
      <w:pPr>
        <w:pStyle w:val="NormalSS"/>
        <w:spacing w:after="0"/>
        <w:ind w:firstLine="0"/>
        <w:rPr>
          <w:b/>
        </w:rPr>
      </w:pPr>
      <w:r>
        <w:rPr>
          <w:b/>
        </w:rPr>
        <w:t>Healthy Start Monitoring and Evaluation Data System</w:t>
      </w:r>
    </w:p>
    <w:p w:rsidR="00EB2109" w:rsidP="008364D2" w14:paraId="65206BA0" w14:textId="4040D4A6">
      <w:pPr>
        <w:pStyle w:val="NormalSS"/>
        <w:spacing w:after="0"/>
        <w:ind w:firstLine="0"/>
      </w:pPr>
      <w:r>
        <w:rPr>
          <w:b/>
        </w:rPr>
        <w:tab/>
      </w:r>
      <w:r w:rsidRPr="00A26FD2" w:rsidR="00CF2ADD">
        <w:rPr>
          <w:bCs/>
        </w:rPr>
        <w:t>Healthy Start Monitoring and Evaluation Data System (</w:t>
      </w:r>
      <w:r w:rsidR="00CF2ADD">
        <w:t>HSMED) data (</w:t>
      </w:r>
      <w:r w:rsidRPr="00E0498A" w:rsidR="007E5A6E">
        <w:t>OMB No. 0915-0338</w:t>
      </w:r>
      <w:r w:rsidR="007E5A6E">
        <w:t xml:space="preserve">) </w:t>
      </w:r>
      <w:r w:rsidR="00CF2ADD">
        <w:t>includes information about participant demographics</w:t>
      </w:r>
      <w:r w:rsidR="0061673D">
        <w:t>;</w:t>
      </w:r>
      <w:r w:rsidR="00CF2ADD">
        <w:t xml:space="preserve"> health care access and utilization</w:t>
      </w:r>
      <w:r w:rsidR="0061673D">
        <w:t>;</w:t>
      </w:r>
      <w:r w:rsidR="00CF2ADD">
        <w:t xml:space="preserve"> personal well-being</w:t>
      </w:r>
      <w:r w:rsidR="0061673D">
        <w:t>;</w:t>
      </w:r>
      <w:r w:rsidR="00CF2ADD">
        <w:t xml:space="preserve"> health behaviors</w:t>
      </w:r>
      <w:r w:rsidR="0061673D">
        <w:t>;</w:t>
      </w:r>
      <w:r w:rsidR="00CF2ADD">
        <w:t xml:space="preserve"> pregnancy and childbirth history</w:t>
      </w:r>
      <w:r w:rsidR="0061673D">
        <w:t>;</w:t>
      </w:r>
      <w:r w:rsidR="00CF2ADD">
        <w:t xml:space="preserve"> mother and child health history</w:t>
      </w:r>
      <w:r w:rsidR="0061673D">
        <w:t>;</w:t>
      </w:r>
      <w:r w:rsidR="00CF2ADD">
        <w:t xml:space="preserve"> home life</w:t>
      </w:r>
      <w:r w:rsidR="0061673D">
        <w:t>;</w:t>
      </w:r>
      <w:r w:rsidR="00CF2ADD">
        <w:t xml:space="preserve"> </w:t>
      </w:r>
      <w:r w:rsidR="001C2D99">
        <w:t>parenting practices</w:t>
      </w:r>
      <w:r w:rsidR="0061673D">
        <w:t>;</w:t>
      </w:r>
      <w:r w:rsidR="001C2D99">
        <w:t xml:space="preserve"> </w:t>
      </w:r>
      <w:r w:rsidR="00CF2ADD">
        <w:t>and pregnancy outcomes such</w:t>
      </w:r>
      <w:r w:rsidR="00B86357">
        <w:t>,</w:t>
      </w:r>
      <w:r w:rsidR="00CF2ADD">
        <w:t xml:space="preserve"> as low birthweight, preterm birth, and infant mortality</w:t>
      </w:r>
      <w:r w:rsidR="00B86357">
        <w:t>,</w:t>
      </w:r>
      <w:r w:rsidR="00CF2ADD">
        <w:t xml:space="preserve"> for all participants across all 101 grantees. </w:t>
      </w:r>
      <w:r w:rsidR="00233B1C">
        <w:t>We also collect information on enrollment date</w:t>
      </w:r>
      <w:r w:rsidR="00320796">
        <w:t xml:space="preserve"> and</w:t>
      </w:r>
      <w:r w:rsidR="00233B1C">
        <w:t xml:space="preserve"> </w:t>
      </w:r>
      <w:r w:rsidR="00872561">
        <w:t>time in the program</w:t>
      </w:r>
      <w:r w:rsidR="00320796">
        <w:t xml:space="preserve">. </w:t>
      </w:r>
      <w:r w:rsidR="00CF2ADD">
        <w:t xml:space="preserve">HSMED </w:t>
      </w:r>
      <w:r w:rsidR="00B95B49">
        <w:t>data will be</w:t>
      </w:r>
      <w:r w:rsidR="00CF2ADD">
        <w:t xml:space="preserve"> used to examine associations between exposure to the HS program and pregnancy outcomes and to analyze black/white disparities in outcomes.</w:t>
      </w:r>
      <w:r w:rsidR="00662069">
        <w:t xml:space="preserve"> </w:t>
      </w:r>
      <w:r w:rsidR="00336F50">
        <w:t xml:space="preserve">OMB approval for HSMED data is not being sought through this package. </w:t>
      </w:r>
    </w:p>
    <w:p w:rsidR="00CF2ADD" w:rsidP="008364D2" w14:paraId="2EB1D152" w14:textId="77777777">
      <w:pPr>
        <w:pStyle w:val="NormalSS"/>
        <w:spacing w:after="0"/>
        <w:ind w:firstLine="0"/>
        <w:rPr>
          <w:b/>
        </w:rPr>
      </w:pPr>
    </w:p>
    <w:p w:rsidR="006B62CF" w:rsidRPr="008364D2" w:rsidP="008364D2" w14:paraId="0B70619E" w14:textId="663FD5C3">
      <w:pPr>
        <w:pStyle w:val="NormalSS"/>
        <w:spacing w:after="0"/>
        <w:ind w:firstLine="0"/>
        <w:rPr>
          <w:b/>
        </w:rPr>
      </w:pPr>
      <w:r w:rsidRPr="008364D2">
        <w:rPr>
          <w:b/>
        </w:rPr>
        <w:t xml:space="preserve">Healthy Start </w:t>
      </w:r>
      <w:r w:rsidRPr="008364D2" w:rsidR="000D3343">
        <w:rPr>
          <w:b/>
        </w:rPr>
        <w:t>P</w:t>
      </w:r>
      <w:r w:rsidRPr="008364D2">
        <w:rPr>
          <w:b/>
        </w:rPr>
        <w:t xml:space="preserve">rogram </w:t>
      </w:r>
      <w:r w:rsidRPr="008364D2" w:rsidR="000D3343">
        <w:rPr>
          <w:b/>
        </w:rPr>
        <w:t>S</w:t>
      </w:r>
      <w:r w:rsidRPr="008364D2">
        <w:rPr>
          <w:b/>
        </w:rPr>
        <w:t>urvey</w:t>
      </w:r>
    </w:p>
    <w:p w:rsidR="006B62CF" w:rsidRPr="008364D2" w:rsidP="00B82924" w14:paraId="715DA477" w14:textId="16690E3E">
      <w:pPr>
        <w:pStyle w:val="NormalSS"/>
      </w:pPr>
      <w:r>
        <w:t xml:space="preserve">All Healthy Start </w:t>
      </w:r>
      <w:r w:rsidR="0053021D">
        <w:t xml:space="preserve">(HS) </w:t>
      </w:r>
      <w:r w:rsidR="46598095">
        <w:t>programs</w:t>
      </w:r>
      <w:r>
        <w:t xml:space="preserve"> will be asked to complete the </w:t>
      </w:r>
      <w:r w:rsidR="6EC06506">
        <w:t>Healthy Start Program Survey</w:t>
      </w:r>
      <w:r w:rsidR="32CA3CA6">
        <w:t xml:space="preserve"> to ensure that consistent information is collected about implementation across the </w:t>
      </w:r>
      <w:r w:rsidR="29FC6181">
        <w:t>sites</w:t>
      </w:r>
      <w:r w:rsidR="32CA3CA6">
        <w:t xml:space="preserve"> and </w:t>
      </w:r>
      <w:r w:rsidR="1F92CA51">
        <w:t xml:space="preserve">to </w:t>
      </w:r>
      <w:r w:rsidR="32CA3CA6">
        <w:t>enable analysis of variation in implementation to contribute to implementation</w:t>
      </w:r>
      <w:r w:rsidR="2B04ACD9">
        <w:t xml:space="preserve"> and utilization</w:t>
      </w:r>
      <w:r w:rsidR="32CA3CA6">
        <w:t xml:space="preserve"> studies</w:t>
      </w:r>
      <w:r>
        <w:t xml:space="preserve">. </w:t>
      </w:r>
      <w:r w:rsidR="41F8A36E">
        <w:t>One-hundred</w:t>
      </w:r>
      <w:r>
        <w:t xml:space="preserve"> </w:t>
      </w:r>
      <w:r w:rsidR="6EC06506">
        <w:t>and on</w:t>
      </w:r>
      <w:r w:rsidR="36D7EE31">
        <w:t>e</w:t>
      </w:r>
      <w:r w:rsidR="6EC06506">
        <w:t xml:space="preserve"> </w:t>
      </w:r>
      <w:r>
        <w:t xml:space="preserve">Healthy Start </w:t>
      </w:r>
      <w:r w:rsidR="46598095">
        <w:t>programs</w:t>
      </w:r>
      <w:r>
        <w:t xml:space="preserve"> </w:t>
      </w:r>
      <w:r w:rsidR="41F8A36E">
        <w:t>are</w:t>
      </w:r>
      <w:r>
        <w:t xml:space="preserve"> funded for the grant period of </w:t>
      </w:r>
      <w:r w:rsidR="36D7EE31">
        <w:t>April 1,</w:t>
      </w:r>
      <w:r w:rsidR="74D5E039">
        <w:t xml:space="preserve"> </w:t>
      </w:r>
      <w:r w:rsidR="36D7EE31">
        <w:t>2019</w:t>
      </w:r>
      <w:r w:rsidR="36D7EE31">
        <w:t xml:space="preserve"> through March 3</w:t>
      </w:r>
      <w:r w:rsidR="05C33215">
        <w:t>1</w:t>
      </w:r>
      <w:r w:rsidR="36D7EE31">
        <w:t>, 2024</w:t>
      </w:r>
      <w:r>
        <w:t xml:space="preserve">. </w:t>
      </w:r>
      <w:r w:rsidR="46598095">
        <w:t>Program</w:t>
      </w:r>
      <w:r>
        <w:t xml:space="preserve"> directo</w:t>
      </w:r>
      <w:r w:rsidR="2D3CCC48">
        <w:t xml:space="preserve">rs are </w:t>
      </w:r>
      <w:r w:rsidR="74603D59">
        <w:t>expected to</w:t>
      </w:r>
      <w:r w:rsidR="2D3CCC48">
        <w:t xml:space="preserve"> take the lead i</w:t>
      </w:r>
      <w:r>
        <w:t xml:space="preserve">n responding to the survey but may delegate sections of the survey to other </w:t>
      </w:r>
      <w:r w:rsidR="46598095">
        <w:t>program</w:t>
      </w:r>
      <w:r>
        <w:t xml:space="preserve"> staff. </w:t>
      </w:r>
    </w:p>
    <w:p w:rsidR="008E7925" w:rsidRPr="008364D2" w:rsidP="008364D2" w14:paraId="307B60AB" w14:textId="77777777">
      <w:pPr>
        <w:pStyle w:val="Heading4"/>
        <w:spacing w:after="0"/>
      </w:pPr>
      <w:r w:rsidRPr="008364D2">
        <w:t>Healthy Start</w:t>
      </w:r>
      <w:r w:rsidRPr="008364D2">
        <w:t xml:space="preserve"> </w:t>
      </w:r>
      <w:r w:rsidRPr="008364D2" w:rsidR="000D3343">
        <w:t xml:space="preserve">Network </w:t>
      </w:r>
      <w:r w:rsidRPr="008364D2">
        <w:t>S</w:t>
      </w:r>
      <w:r w:rsidRPr="008364D2">
        <w:t>urvey</w:t>
      </w:r>
    </w:p>
    <w:p w:rsidR="00701048" w:rsidRPr="008364D2" w:rsidP="00B26D7B" w14:paraId="08384848" w14:textId="5C073E1F">
      <w:pPr>
        <w:pStyle w:val="NormalSS"/>
      </w:pPr>
      <w:r>
        <w:t xml:space="preserve">The Healthy Start Network Survey will be </w:t>
      </w:r>
      <w:r w:rsidR="602D988B">
        <w:t xml:space="preserve">administered </w:t>
      </w:r>
      <w:r w:rsidR="5DD79AEB">
        <w:t>in</w:t>
      </w:r>
      <w:r w:rsidR="602D988B">
        <w:t xml:space="preserve"> </w:t>
      </w:r>
      <w:r>
        <w:t xml:space="preserve">a </w:t>
      </w:r>
      <w:r w:rsidR="3F3B0D94">
        <w:t>subset</w:t>
      </w:r>
      <w:r>
        <w:t xml:space="preserve"> of 15 Healthy Start </w:t>
      </w:r>
      <w:r w:rsidR="46598095">
        <w:t>programs</w:t>
      </w:r>
      <w:r w:rsidR="4C934685">
        <w:t xml:space="preserve"> that will constitute c</w:t>
      </w:r>
      <w:r>
        <w:t xml:space="preserve">ase </w:t>
      </w:r>
      <w:r w:rsidR="00B9405C">
        <w:t xml:space="preserve">study sites </w:t>
      </w:r>
      <w:r>
        <w:t>for the evaluation</w:t>
      </w:r>
      <w:r w:rsidR="0098269C">
        <w:t xml:space="preserve"> </w:t>
      </w:r>
      <w:r w:rsidRPr="003B2047" w:rsidR="003B2047">
        <w:t xml:space="preserve">to elicit common findings from different HS programs that have performed well, have higher levels of participation, in a diversity of settings, and may have more lessons learned regarding implementation successes and challenges than less experienced </w:t>
      </w:r>
      <w:r w:rsidRPr="003B2047" w:rsidR="003B2047">
        <w:t>programs.</w:t>
      </w:r>
      <w:r w:rsidRPr="0098269C" w:rsidR="0098269C">
        <w:t>.</w:t>
      </w:r>
      <w:r>
        <w:t xml:space="preserve"> </w:t>
      </w:r>
      <w:r w:rsidR="27D74281">
        <w:t xml:space="preserve">Every Healthy Start </w:t>
      </w:r>
      <w:r w:rsidR="46598095">
        <w:t>program</w:t>
      </w:r>
      <w:r w:rsidR="27D74281">
        <w:t xml:space="preserve"> is required to develop a Community Action Network</w:t>
      </w:r>
      <w:r w:rsidR="4C934685">
        <w:t xml:space="preserve"> (CAN)</w:t>
      </w:r>
      <w:r w:rsidR="27D74281">
        <w:t>,</w:t>
      </w:r>
      <w:r w:rsidR="5DD79AEB">
        <w:t xml:space="preserve"> which includes local organizations in the community with an interest in improving maternal and child health. The</w:t>
      </w:r>
      <w:r>
        <w:t xml:space="preserve"> 15 case study </w:t>
      </w:r>
      <w:r w:rsidR="4C934685">
        <w:t>pro</w:t>
      </w:r>
      <w:r w:rsidR="23B3E66F">
        <w:t xml:space="preserve">grams </w:t>
      </w:r>
      <w:r>
        <w:t xml:space="preserve">will be selected based on criteria that includes experienced grantees </w:t>
      </w:r>
      <w:r w:rsidR="18447971">
        <w:t xml:space="preserve">that have </w:t>
      </w:r>
      <w:r w:rsidR="00391C24">
        <w:t>well-</w:t>
      </w:r>
      <w:r>
        <w:t xml:space="preserve">established </w:t>
      </w:r>
      <w:r w:rsidR="27D74281">
        <w:t>CANs</w:t>
      </w:r>
      <w:r>
        <w:t xml:space="preserve"> </w:t>
      </w:r>
      <w:r w:rsidR="18447971">
        <w:t>along w</w:t>
      </w:r>
      <w:r w:rsidR="27D74281">
        <w:t>ith</w:t>
      </w:r>
      <w:r>
        <w:t xml:space="preserve"> </w:t>
      </w:r>
      <w:r w:rsidR="639EDEEF">
        <w:t>a su</w:t>
      </w:r>
      <w:r w:rsidR="42DB6B1C">
        <w:t xml:space="preserve">ccessful </w:t>
      </w:r>
      <w:r w:rsidR="639EDEEF">
        <w:t>record of</w:t>
      </w:r>
      <w:r w:rsidR="42DB6B1C">
        <w:t xml:space="preserve"> reaching Healthy Start benchmarks</w:t>
      </w:r>
      <w:r w:rsidR="00C35BC1">
        <w:t xml:space="preserve"> and </w:t>
      </w:r>
      <w:r w:rsidR="00C35BC1">
        <w:t>a sufficient number of</w:t>
      </w:r>
      <w:r w:rsidR="00C35BC1">
        <w:t xml:space="preserve"> CAN members</w:t>
      </w:r>
      <w:r w:rsidR="008261CC">
        <w:t xml:space="preserve"> and HS participants</w:t>
      </w:r>
      <w:r w:rsidR="00C35BC1">
        <w:t xml:space="preserve"> as reported in the data submitted </w:t>
      </w:r>
      <w:r w:rsidR="00A04770">
        <w:t xml:space="preserve">separately </w:t>
      </w:r>
      <w:r w:rsidR="00C35BC1">
        <w:t>to HRSA</w:t>
      </w:r>
      <w:r w:rsidR="008261CC">
        <w:t xml:space="preserve">’s data </w:t>
      </w:r>
      <w:r w:rsidR="008261CC">
        <w:t>systems</w:t>
      </w:r>
      <w:r>
        <w:rPr>
          <w:rStyle w:val="FootnoteReference"/>
        </w:rPr>
        <w:footnoteReference w:id="2"/>
      </w:r>
      <w:r w:rsidR="42DB6B1C">
        <w:t xml:space="preserve"> in the </w:t>
      </w:r>
      <w:r w:rsidR="5EA5D53A">
        <w:t>calendar</w:t>
      </w:r>
      <w:r w:rsidR="639EDEEF">
        <w:t xml:space="preserve"> year</w:t>
      </w:r>
      <w:r w:rsidR="52CCAD52">
        <w:t xml:space="preserve"> </w:t>
      </w:r>
      <w:r w:rsidR="3A60767B">
        <w:t xml:space="preserve">preceding </w:t>
      </w:r>
      <w:r w:rsidR="2E6284E6">
        <w:t>selection of the</w:t>
      </w:r>
      <w:r w:rsidR="52CCAD52">
        <w:t xml:space="preserve"> </w:t>
      </w:r>
      <w:r w:rsidR="398ED521">
        <w:t xml:space="preserve">case study </w:t>
      </w:r>
      <w:r w:rsidR="52CCAD52">
        <w:t>sites</w:t>
      </w:r>
      <w:r w:rsidR="639EDEEF">
        <w:t>.</w:t>
      </w:r>
      <w:r w:rsidR="208A5053">
        <w:t xml:space="preserve"> Criteria </w:t>
      </w:r>
      <w:r w:rsidR="00E328C4">
        <w:t xml:space="preserve">will help promote </w:t>
      </w:r>
      <w:r w:rsidR="00E92D93">
        <w:t xml:space="preserve">a </w:t>
      </w:r>
      <w:r w:rsidR="3B955ED8">
        <w:t xml:space="preserve">diversity </w:t>
      </w:r>
      <w:r w:rsidR="00E92D93">
        <w:t xml:space="preserve">of settings </w:t>
      </w:r>
      <w:r w:rsidR="27E1F3C5">
        <w:t xml:space="preserve">across organizations </w:t>
      </w:r>
      <w:r w:rsidR="00C06D29">
        <w:t xml:space="preserve">and </w:t>
      </w:r>
      <w:r w:rsidR="208A5053">
        <w:t xml:space="preserve">will include </w:t>
      </w:r>
      <w:r w:rsidR="4EB4D350">
        <w:t xml:space="preserve">a mix of geography (e.g., </w:t>
      </w:r>
      <w:r w:rsidR="208A5053">
        <w:t>urban</w:t>
      </w:r>
      <w:r w:rsidR="4EB4D350">
        <w:t>, rural)</w:t>
      </w:r>
      <w:r w:rsidR="2BE960DE">
        <w:t xml:space="preserve">, facility type (e.g., </w:t>
      </w:r>
      <w:r w:rsidR="208A5053">
        <w:t>health departments</w:t>
      </w:r>
      <w:r w:rsidR="6F68179C">
        <w:t xml:space="preserve">, non-profits), </w:t>
      </w:r>
      <w:r w:rsidR="0F43348F">
        <w:t xml:space="preserve">and participant population (e.g., </w:t>
      </w:r>
      <w:r w:rsidR="2B9C4BF1">
        <w:t xml:space="preserve">African American, Hispanic, tribal), </w:t>
      </w:r>
      <w:r w:rsidR="0D2B4B91">
        <w:t>as well as other possible factors</w:t>
      </w:r>
      <w:r w:rsidR="208A5053">
        <w:t xml:space="preserve">.  </w:t>
      </w:r>
      <w:r w:rsidR="457179E7">
        <w:t xml:space="preserve">The </w:t>
      </w:r>
      <w:r w:rsidR="5DD79AEB">
        <w:t>Healthy Start Network S</w:t>
      </w:r>
      <w:r w:rsidR="457179E7">
        <w:t xml:space="preserve">urvey will be fielded to </w:t>
      </w:r>
      <w:r w:rsidR="000524AE">
        <w:t>approximately</w:t>
      </w:r>
      <w:r w:rsidR="61937752">
        <w:t xml:space="preserve"> </w:t>
      </w:r>
      <w:r w:rsidR="457179E7">
        <w:t xml:space="preserve">40 </w:t>
      </w:r>
      <w:r w:rsidR="5EA5D53A">
        <w:t xml:space="preserve">members </w:t>
      </w:r>
      <w:r w:rsidR="457179E7">
        <w:t xml:space="preserve">in each CAN for a total of 600 </w:t>
      </w:r>
      <w:r w:rsidR="18447971">
        <w:t xml:space="preserve">eligible survey respondents </w:t>
      </w:r>
      <w:r w:rsidR="457179E7">
        <w:t xml:space="preserve">across the </w:t>
      </w:r>
      <w:r w:rsidR="639EDEEF">
        <w:t xml:space="preserve">15 case study </w:t>
      </w:r>
      <w:r w:rsidR="625B178C">
        <w:t>sites</w:t>
      </w:r>
      <w:r w:rsidR="457179E7">
        <w:t xml:space="preserve">. </w:t>
      </w:r>
    </w:p>
    <w:p w:rsidR="004D22D4" w:rsidRPr="008364D2" w:rsidP="008364D2" w14:paraId="281E2ED4" w14:textId="77777777">
      <w:pPr>
        <w:pStyle w:val="Heading4"/>
        <w:spacing w:after="0"/>
      </w:pPr>
      <w:r w:rsidRPr="008364D2">
        <w:t>Healthy Start Participant Survey</w:t>
      </w:r>
    </w:p>
    <w:p w:rsidR="004D22D4" w:rsidRPr="008364D2" w:rsidP="00BF7ED9" w14:paraId="28F73DA1" w14:textId="1CE712F7">
      <w:pPr>
        <w:ind w:firstLine="432"/>
        <w:rPr>
          <w:sz w:val="24"/>
        </w:rPr>
      </w:pPr>
      <w:r w:rsidRPr="008364D2">
        <w:rPr>
          <w:sz w:val="24"/>
        </w:rPr>
        <w:t xml:space="preserve">The Healthy Start Participant Survey will </w:t>
      </w:r>
      <w:r w:rsidRPr="008364D2" w:rsidR="005045ED">
        <w:rPr>
          <w:sz w:val="24"/>
        </w:rPr>
        <w:t xml:space="preserve">be administered </w:t>
      </w:r>
      <w:r w:rsidRPr="008364D2" w:rsidR="005A6241">
        <w:rPr>
          <w:sz w:val="24"/>
        </w:rPr>
        <w:t>in</w:t>
      </w:r>
      <w:r w:rsidRPr="008364D2" w:rsidR="005045ED">
        <w:rPr>
          <w:sz w:val="24"/>
        </w:rPr>
        <w:t xml:space="preserve"> the</w:t>
      </w:r>
      <w:r w:rsidRPr="008364D2" w:rsidR="006D5904">
        <w:rPr>
          <w:sz w:val="24"/>
        </w:rPr>
        <w:t xml:space="preserve"> </w:t>
      </w:r>
      <w:r w:rsidRPr="008364D2" w:rsidR="005A6241">
        <w:rPr>
          <w:sz w:val="24"/>
        </w:rPr>
        <w:t xml:space="preserve">subset of </w:t>
      </w:r>
      <w:r w:rsidRPr="008364D2" w:rsidR="006D5904">
        <w:rPr>
          <w:sz w:val="24"/>
        </w:rPr>
        <w:t xml:space="preserve">15 Healthy Start </w:t>
      </w:r>
      <w:r w:rsidRPr="008364D2" w:rsidR="006267F3">
        <w:rPr>
          <w:sz w:val="24"/>
        </w:rPr>
        <w:t>programs</w:t>
      </w:r>
      <w:r w:rsidRPr="008364D2" w:rsidR="006D5904">
        <w:rPr>
          <w:sz w:val="24"/>
        </w:rPr>
        <w:t xml:space="preserve"> that constitute </w:t>
      </w:r>
      <w:r w:rsidRPr="008364D2" w:rsidR="007A2B8A">
        <w:rPr>
          <w:sz w:val="24"/>
        </w:rPr>
        <w:t xml:space="preserve">the </w:t>
      </w:r>
      <w:r w:rsidRPr="008364D2" w:rsidR="006D5904">
        <w:rPr>
          <w:sz w:val="24"/>
        </w:rPr>
        <w:t>case stud</w:t>
      </w:r>
      <w:r w:rsidR="00B9405C">
        <w:rPr>
          <w:sz w:val="24"/>
        </w:rPr>
        <w:t>y sites as described in the Healthy Start Network Survey above</w:t>
      </w:r>
      <w:r w:rsidRPr="008364D2" w:rsidR="006D5904">
        <w:rPr>
          <w:sz w:val="24"/>
        </w:rPr>
        <w:t xml:space="preserve">. </w:t>
      </w:r>
      <w:r w:rsidRPr="008364D2" w:rsidR="007A2B8A">
        <w:rPr>
          <w:sz w:val="24"/>
        </w:rPr>
        <w:t>The survey</w:t>
      </w:r>
      <w:r w:rsidRPr="008364D2" w:rsidR="006D5904">
        <w:rPr>
          <w:sz w:val="24"/>
        </w:rPr>
        <w:t xml:space="preserve"> will be fielded </w:t>
      </w:r>
      <w:r w:rsidRPr="008364D2" w:rsidR="007A2B8A">
        <w:rPr>
          <w:sz w:val="24"/>
        </w:rPr>
        <w:t>to</w:t>
      </w:r>
      <w:r w:rsidR="008F48D8">
        <w:rPr>
          <w:sz w:val="24"/>
        </w:rPr>
        <w:t xml:space="preserve"> approximately</w:t>
      </w:r>
      <w:r w:rsidRPr="008364D2">
        <w:rPr>
          <w:sz w:val="24"/>
        </w:rPr>
        <w:t xml:space="preserve"> 50 currently enrolled </w:t>
      </w:r>
      <w:r w:rsidR="009237FB">
        <w:rPr>
          <w:sz w:val="24"/>
        </w:rPr>
        <w:t xml:space="preserve">and active </w:t>
      </w:r>
      <w:r w:rsidRPr="008364D2" w:rsidR="009E74F3">
        <w:rPr>
          <w:sz w:val="24"/>
        </w:rPr>
        <w:t xml:space="preserve">adult </w:t>
      </w:r>
      <w:r w:rsidRPr="008364D2">
        <w:rPr>
          <w:sz w:val="24"/>
        </w:rPr>
        <w:t>participants (women and male partners/fathers of child</w:t>
      </w:r>
      <w:r w:rsidR="008364D2">
        <w:rPr>
          <w:sz w:val="24"/>
        </w:rPr>
        <w:t>)</w:t>
      </w:r>
      <w:r w:rsidRPr="008364D2">
        <w:rPr>
          <w:sz w:val="24"/>
        </w:rPr>
        <w:t xml:space="preserve"> </w:t>
      </w:r>
      <w:r w:rsidRPr="008364D2" w:rsidR="009E74F3">
        <w:rPr>
          <w:sz w:val="24"/>
        </w:rPr>
        <w:t xml:space="preserve">who </w:t>
      </w:r>
      <w:r w:rsidR="008364D2">
        <w:rPr>
          <w:sz w:val="24"/>
        </w:rPr>
        <w:t>receive</w:t>
      </w:r>
      <w:r w:rsidRPr="008364D2" w:rsidR="009E74F3">
        <w:rPr>
          <w:sz w:val="24"/>
        </w:rPr>
        <w:t xml:space="preserve"> Healthy Start services </w:t>
      </w:r>
      <w:r w:rsidRPr="008364D2" w:rsidR="006267F3">
        <w:rPr>
          <w:sz w:val="24"/>
        </w:rPr>
        <w:t xml:space="preserve">in each program </w:t>
      </w:r>
      <w:r w:rsidRPr="008364D2">
        <w:rPr>
          <w:sz w:val="24"/>
        </w:rPr>
        <w:t>for a total of 7</w:t>
      </w:r>
      <w:r w:rsidRPr="008364D2" w:rsidR="00CD17CC">
        <w:rPr>
          <w:sz w:val="24"/>
        </w:rPr>
        <w:t>5</w:t>
      </w:r>
      <w:r w:rsidRPr="008364D2">
        <w:rPr>
          <w:sz w:val="24"/>
        </w:rPr>
        <w:t xml:space="preserve">0 </w:t>
      </w:r>
      <w:r w:rsidRPr="008364D2" w:rsidR="006F4326">
        <w:rPr>
          <w:sz w:val="24"/>
        </w:rPr>
        <w:t xml:space="preserve">eligible survey respondents </w:t>
      </w:r>
      <w:r w:rsidRPr="008364D2">
        <w:rPr>
          <w:sz w:val="24"/>
        </w:rPr>
        <w:t xml:space="preserve">across the </w:t>
      </w:r>
      <w:r w:rsidRPr="008364D2" w:rsidR="006D5904">
        <w:rPr>
          <w:sz w:val="24"/>
        </w:rPr>
        <w:t xml:space="preserve">15 case study </w:t>
      </w:r>
      <w:r w:rsidRPr="008364D2" w:rsidR="006267F3">
        <w:rPr>
          <w:sz w:val="24"/>
        </w:rPr>
        <w:t>sites</w:t>
      </w:r>
      <w:r w:rsidRPr="008364D2">
        <w:rPr>
          <w:sz w:val="24"/>
        </w:rPr>
        <w:t>.</w:t>
      </w:r>
      <w:r w:rsidRPr="008364D2" w:rsidR="007F5798">
        <w:rPr>
          <w:sz w:val="24"/>
        </w:rPr>
        <w:t xml:space="preserve"> </w:t>
      </w:r>
    </w:p>
    <w:p w:rsidR="000C3147" w:rsidRPr="008364D2" w:rsidP="00566DB7" w14:paraId="30040F53" w14:textId="77777777">
      <w:pPr>
        <w:pStyle w:val="Heading4"/>
        <w:rPr>
          <w:color w:val="FF0000"/>
        </w:rPr>
      </w:pPr>
    </w:p>
    <w:p w:rsidR="00CE4EA0" w:rsidRPr="008364D2" w:rsidP="008364D2" w14:paraId="26CCA1B8" w14:textId="772C2846">
      <w:pPr>
        <w:pStyle w:val="Heading4"/>
        <w:spacing w:after="0"/>
      </w:pPr>
      <w:r w:rsidRPr="008364D2">
        <w:t xml:space="preserve">Healthy Start </w:t>
      </w:r>
      <w:r w:rsidRPr="008364D2" w:rsidR="00EE5D16">
        <w:t>Stakeholder Interview Guide</w:t>
      </w:r>
    </w:p>
    <w:p w:rsidR="00091D9D" w:rsidRPr="008364D2" w:rsidP="00B26D7B" w14:paraId="1364DD06" w14:textId="67CF5031">
      <w:pPr>
        <w:pStyle w:val="NormalSS"/>
      </w:pPr>
      <w:r w:rsidRPr="008364D2">
        <w:t>The</w:t>
      </w:r>
      <w:r w:rsidRPr="008364D2" w:rsidR="00EE5D16">
        <w:t xml:space="preserve"> Healthy Start Stakeholder Interview Guide will </w:t>
      </w:r>
      <w:r w:rsidRPr="008364D2" w:rsidR="001E3CC6">
        <w:t xml:space="preserve">also </w:t>
      </w:r>
      <w:r w:rsidRPr="008364D2" w:rsidR="00EE5D16">
        <w:t xml:space="preserve">be </w:t>
      </w:r>
      <w:r w:rsidRPr="008364D2" w:rsidR="005A6241">
        <w:t>administered</w:t>
      </w:r>
      <w:r w:rsidRPr="008364D2" w:rsidR="00EE5D16">
        <w:t xml:space="preserve"> in </w:t>
      </w:r>
      <w:r w:rsidRPr="008364D2" w:rsidR="005A6241">
        <w:t>the</w:t>
      </w:r>
      <w:r w:rsidRPr="008364D2" w:rsidR="00EE5D16">
        <w:t xml:space="preserve"> </w:t>
      </w:r>
      <w:r w:rsidRPr="008364D2" w:rsidR="00073A6A">
        <w:t>subset</w:t>
      </w:r>
      <w:r w:rsidRPr="008364D2" w:rsidR="00EE5D16">
        <w:t xml:space="preserve"> of Healthy Start </w:t>
      </w:r>
      <w:r w:rsidRPr="008364D2" w:rsidR="006267F3">
        <w:t>programs</w:t>
      </w:r>
      <w:r w:rsidRPr="008364D2" w:rsidR="00EE5D16">
        <w:t xml:space="preserve"> that </w:t>
      </w:r>
      <w:r w:rsidRPr="008364D2" w:rsidR="003B281B">
        <w:t xml:space="preserve">will </w:t>
      </w:r>
      <w:r w:rsidRPr="008364D2" w:rsidR="00EE5D16">
        <w:t xml:space="preserve">constitute the </w:t>
      </w:r>
      <w:r w:rsidRPr="008364D2">
        <w:t xml:space="preserve">15 </w:t>
      </w:r>
      <w:r w:rsidRPr="008364D2" w:rsidR="005963C1">
        <w:t xml:space="preserve">case </w:t>
      </w:r>
      <w:r w:rsidRPr="008364D2" w:rsidR="005A6241">
        <w:t>stud</w:t>
      </w:r>
      <w:r w:rsidR="00B9405C">
        <w:t>y sites</w:t>
      </w:r>
      <w:r w:rsidRPr="008364D2" w:rsidR="005963C1">
        <w:t>. During site visits</w:t>
      </w:r>
      <w:r w:rsidRPr="008364D2" w:rsidR="005A6241">
        <w:t xml:space="preserve"> to each of the 15 case study communities</w:t>
      </w:r>
      <w:r w:rsidRPr="008364D2" w:rsidR="005963C1">
        <w:t xml:space="preserve">, </w:t>
      </w:r>
      <w:r w:rsidR="00EA649E">
        <w:t>up</w:t>
      </w:r>
      <w:r w:rsidRPr="008364D2" w:rsidR="00EA649E">
        <w:t xml:space="preserve"> </w:t>
      </w:r>
      <w:r w:rsidRPr="008364D2" w:rsidR="00CF457E">
        <w:t xml:space="preserve">to 10 key informant interviews </w:t>
      </w:r>
      <w:r w:rsidRPr="008364D2" w:rsidR="001608C4">
        <w:t xml:space="preserve">with stakeholders </w:t>
      </w:r>
      <w:r w:rsidRPr="008364D2" w:rsidR="00CF457E">
        <w:t>will be conducted</w:t>
      </w:r>
      <w:r w:rsidRPr="008364D2" w:rsidR="001C23E2">
        <w:t xml:space="preserve"> </w:t>
      </w:r>
      <w:r w:rsidRPr="008364D2" w:rsidR="00CF457E">
        <w:t>for a total o</w:t>
      </w:r>
      <w:r w:rsidRPr="008364D2" w:rsidR="005A6241">
        <w:t>f 150 interviews</w:t>
      </w:r>
      <w:r w:rsidRPr="008364D2" w:rsidR="00CF457E">
        <w:t xml:space="preserve">. The number of key informant interviews that can be scheduled within the allotted time will depend on </w:t>
      </w:r>
      <w:r w:rsidRPr="008364D2" w:rsidR="00BF47E8">
        <w:t>coordination</w:t>
      </w:r>
      <w:r w:rsidRPr="008364D2" w:rsidR="00CF457E">
        <w:t xml:space="preserve"> and the amount of travel time required between interviews. </w:t>
      </w:r>
    </w:p>
    <w:p w:rsidR="0014268C" w:rsidRPr="008364D2" w:rsidP="00B26D7B" w14:paraId="1F7FE61B" w14:textId="55A4D5C0">
      <w:pPr>
        <w:pStyle w:val="NormalSS"/>
      </w:pPr>
      <w:r w:rsidRPr="008364D2">
        <w:t>The program director at each Healthy Start site will be asked to identify staff members who have regular interactions with Healthy Start participants.</w:t>
      </w:r>
      <w:r w:rsidRPr="008364D2" w:rsidR="006561E4">
        <w:t xml:space="preserve"> </w:t>
      </w:r>
      <w:r w:rsidRPr="008364D2" w:rsidR="001C23E2">
        <w:t>The stakeholder interviews will be conducted with Healthy Start administrative and service staff (e.g., program director, CAN coordinator, case managers</w:t>
      </w:r>
      <w:r w:rsidR="008364D2">
        <w:t xml:space="preserve"> for women and for fathers/male partners</w:t>
      </w:r>
      <w:r w:rsidRPr="008364D2" w:rsidR="001C23E2">
        <w:t xml:space="preserve">, </w:t>
      </w:r>
      <w:r w:rsidR="008364D2">
        <w:t>data/evaluation team member</w:t>
      </w:r>
      <w:r w:rsidR="0021481B">
        <w:t>s,</w:t>
      </w:r>
      <w:r w:rsidR="008364D2">
        <w:t xml:space="preserve"> </w:t>
      </w:r>
      <w:r w:rsidRPr="008364D2" w:rsidR="001C23E2">
        <w:t>fatherhood coordinator</w:t>
      </w:r>
      <w:r w:rsidRPr="008364D2" w:rsidR="00A321E2">
        <w:t xml:space="preserve">, </w:t>
      </w:r>
      <w:r w:rsidRPr="008364D2" w:rsidR="006267F3">
        <w:t xml:space="preserve">and </w:t>
      </w:r>
      <w:r w:rsidR="00EA649E">
        <w:t>other identified Healthy Start staff</w:t>
      </w:r>
      <w:r w:rsidRPr="008364D2" w:rsidR="001C23E2">
        <w:t>).</w:t>
      </w:r>
    </w:p>
    <w:p w:rsidR="00A75E64" w:rsidRPr="008364D2" w:rsidP="00EE5D16" w14:paraId="1FA96FAD" w14:textId="40247D96">
      <w:pPr>
        <w:pStyle w:val="NormalSS"/>
        <w:ind w:firstLine="0"/>
        <w:rPr>
          <w:b/>
        </w:rPr>
      </w:pPr>
      <w:r w:rsidRPr="008364D2">
        <w:rPr>
          <w:b/>
        </w:rPr>
        <w:tab/>
        <w:t>Table B</w:t>
      </w:r>
      <w:r w:rsidR="0066691E">
        <w:rPr>
          <w:b/>
        </w:rPr>
        <w:t>.</w:t>
      </w:r>
      <w:r w:rsidRPr="008364D2">
        <w:rPr>
          <w:b/>
        </w:rPr>
        <w:t>1. Potential Respondent Universe and Sample</w:t>
      </w:r>
    </w:p>
    <w:tbl>
      <w:tblPr>
        <w:tblStyle w:val="TableGrid2"/>
        <w:tblW w:w="0" w:type="auto"/>
        <w:tblInd w:w="558" w:type="dxa"/>
        <w:tblLook w:val="04A0"/>
      </w:tblPr>
      <w:tblGrid>
        <w:gridCol w:w="4500"/>
        <w:gridCol w:w="4027"/>
      </w:tblGrid>
      <w:tr w14:paraId="622E8179" w14:textId="77777777" w:rsidTr="00CD17CC">
        <w:tblPrEx>
          <w:tblW w:w="0" w:type="auto"/>
          <w:tblInd w:w="558" w:type="dxa"/>
          <w:tblLook w:val="04A0"/>
        </w:tblPrEx>
        <w:tc>
          <w:tcPr>
            <w:tcW w:w="4500" w:type="dxa"/>
          </w:tcPr>
          <w:p w:rsidR="00DD327D" w:rsidRPr="008364D2" w:rsidP="00DD327D" w14:paraId="75FC00EE" w14:textId="77777777">
            <w:pPr>
              <w:spacing w:before="120"/>
              <w:rPr>
                <w:b/>
                <w:bCs/>
                <w:sz w:val="24"/>
              </w:rPr>
            </w:pPr>
            <w:r w:rsidRPr="008364D2">
              <w:rPr>
                <w:b/>
                <w:bCs/>
                <w:sz w:val="24"/>
              </w:rPr>
              <w:t>Form Name</w:t>
            </w:r>
          </w:p>
        </w:tc>
        <w:tc>
          <w:tcPr>
            <w:tcW w:w="4027" w:type="dxa"/>
          </w:tcPr>
          <w:p w:rsidR="00DD327D" w:rsidRPr="008364D2" w:rsidP="00DD327D" w14:paraId="5FBC9F0C" w14:textId="77777777">
            <w:pPr>
              <w:spacing w:before="120"/>
              <w:rPr>
                <w:b/>
                <w:bCs/>
                <w:sz w:val="24"/>
              </w:rPr>
            </w:pPr>
            <w:r w:rsidRPr="008364D2">
              <w:rPr>
                <w:b/>
                <w:bCs/>
                <w:sz w:val="24"/>
              </w:rPr>
              <w:t>Number of Entities in the Universe</w:t>
            </w:r>
          </w:p>
        </w:tc>
      </w:tr>
      <w:tr w14:paraId="48E3A34B" w14:textId="77777777" w:rsidTr="00CD17CC">
        <w:tblPrEx>
          <w:tblW w:w="0" w:type="auto"/>
          <w:tblInd w:w="558" w:type="dxa"/>
          <w:tblLook w:val="04A0"/>
        </w:tblPrEx>
        <w:tc>
          <w:tcPr>
            <w:tcW w:w="4500" w:type="dxa"/>
          </w:tcPr>
          <w:p w:rsidR="00DD327D" w:rsidRPr="008364D2" w:rsidP="00DD327D" w14:paraId="2D29F14D" w14:textId="74324FCB">
            <w:pPr>
              <w:spacing w:before="120"/>
              <w:rPr>
                <w:sz w:val="24"/>
              </w:rPr>
            </w:pPr>
            <w:r w:rsidRPr="008364D2">
              <w:rPr>
                <w:sz w:val="24"/>
              </w:rPr>
              <w:t>Healthy Start Program Survey</w:t>
            </w:r>
          </w:p>
        </w:tc>
        <w:tc>
          <w:tcPr>
            <w:tcW w:w="4027" w:type="dxa"/>
          </w:tcPr>
          <w:p w:rsidR="00DD327D" w:rsidRPr="008364D2" w:rsidP="003B281B" w14:paraId="3D1AD17E" w14:textId="7976AEEE">
            <w:pPr>
              <w:spacing w:before="120"/>
              <w:rPr>
                <w:sz w:val="24"/>
              </w:rPr>
            </w:pPr>
            <w:r w:rsidRPr="008364D2">
              <w:rPr>
                <w:b/>
                <w:sz w:val="24"/>
              </w:rPr>
              <w:t>101</w:t>
            </w:r>
            <w:r w:rsidRPr="008364D2">
              <w:rPr>
                <w:sz w:val="24"/>
              </w:rPr>
              <w:t xml:space="preserve"> </w:t>
            </w:r>
            <w:r w:rsidRPr="008364D2" w:rsidR="006909B5">
              <w:rPr>
                <w:sz w:val="24"/>
              </w:rPr>
              <w:t>individuals (</w:t>
            </w:r>
            <w:r w:rsidRPr="008364D2" w:rsidR="006F7435">
              <w:rPr>
                <w:sz w:val="24"/>
              </w:rPr>
              <w:t>1 from each of the 101</w:t>
            </w:r>
            <w:r w:rsidRPr="008364D2">
              <w:rPr>
                <w:sz w:val="24"/>
              </w:rPr>
              <w:t>Healthy Start-funded projects</w:t>
            </w:r>
            <w:r w:rsidRPr="008364D2" w:rsidR="006F7435">
              <w:rPr>
                <w:sz w:val="24"/>
              </w:rPr>
              <w:t>) who</w:t>
            </w:r>
            <w:r w:rsidRPr="008364D2">
              <w:rPr>
                <w:sz w:val="24"/>
              </w:rPr>
              <w:t xml:space="preserve"> are </w:t>
            </w:r>
            <w:r w:rsidRPr="008364D2" w:rsidR="006F7435">
              <w:rPr>
                <w:sz w:val="24"/>
              </w:rPr>
              <w:t xml:space="preserve">in the </w:t>
            </w:r>
            <w:r w:rsidRPr="008364D2" w:rsidR="003B281B">
              <w:rPr>
                <w:sz w:val="24"/>
              </w:rPr>
              <w:t>Program Director</w:t>
            </w:r>
            <w:r w:rsidRPr="008364D2" w:rsidR="006F7435">
              <w:rPr>
                <w:sz w:val="24"/>
              </w:rPr>
              <w:t xml:space="preserve"> role are e</w:t>
            </w:r>
            <w:r w:rsidRPr="008364D2">
              <w:rPr>
                <w:sz w:val="24"/>
              </w:rPr>
              <w:t>ligible to be surveyed.</w:t>
            </w:r>
            <w:r w:rsidRPr="008364D2" w:rsidR="006909B5">
              <w:rPr>
                <w:sz w:val="24"/>
              </w:rPr>
              <w:t xml:space="preserve"> </w:t>
            </w:r>
            <w:r w:rsidRPr="008364D2" w:rsidR="00FE50FF">
              <w:rPr>
                <w:sz w:val="24"/>
              </w:rPr>
              <w:t>Based on similar surveys in previous evaluations, w</w:t>
            </w:r>
            <w:r w:rsidRPr="008364D2" w:rsidR="006909B5">
              <w:rPr>
                <w:sz w:val="24"/>
              </w:rPr>
              <w:t>e expect a response rate of 95%.</w:t>
            </w:r>
          </w:p>
        </w:tc>
      </w:tr>
      <w:tr w14:paraId="0996F046" w14:textId="77777777" w:rsidTr="00CD17CC">
        <w:tblPrEx>
          <w:tblW w:w="0" w:type="auto"/>
          <w:tblInd w:w="558" w:type="dxa"/>
          <w:tblLook w:val="04A0"/>
        </w:tblPrEx>
        <w:tc>
          <w:tcPr>
            <w:tcW w:w="4500" w:type="dxa"/>
          </w:tcPr>
          <w:p w:rsidR="00DD327D" w:rsidRPr="008364D2" w:rsidP="00DD327D" w14:paraId="5FFC49E3" w14:textId="45AA7C8C">
            <w:pPr>
              <w:spacing w:before="120"/>
              <w:rPr>
                <w:sz w:val="24"/>
              </w:rPr>
            </w:pPr>
            <w:r w:rsidRPr="008364D2">
              <w:rPr>
                <w:sz w:val="24"/>
              </w:rPr>
              <w:t>Healthy Start Network Survey</w:t>
            </w:r>
          </w:p>
        </w:tc>
        <w:tc>
          <w:tcPr>
            <w:tcW w:w="4027" w:type="dxa"/>
          </w:tcPr>
          <w:p w:rsidR="00DD327D" w:rsidRPr="008364D2" w:rsidP="00BF1D53" w14:paraId="6CAB7AE7" w14:textId="055B76DF">
            <w:pPr>
              <w:spacing w:before="120"/>
              <w:rPr>
                <w:sz w:val="24"/>
              </w:rPr>
            </w:pPr>
            <w:r>
              <w:rPr>
                <w:bCs/>
                <w:sz w:val="24"/>
              </w:rPr>
              <w:t>Convenience sample of u</w:t>
            </w:r>
            <w:r w:rsidRPr="00907730" w:rsidR="0069457E">
              <w:rPr>
                <w:bCs/>
                <w:sz w:val="24"/>
              </w:rPr>
              <w:t>p to</w:t>
            </w:r>
            <w:r w:rsidR="0069457E">
              <w:rPr>
                <w:b/>
                <w:sz w:val="24"/>
              </w:rPr>
              <w:t xml:space="preserve"> </w:t>
            </w:r>
            <w:r w:rsidRPr="008364D2" w:rsidR="00DD3968">
              <w:rPr>
                <w:b/>
                <w:sz w:val="24"/>
              </w:rPr>
              <w:t>600</w:t>
            </w:r>
            <w:r w:rsidRPr="008364D2" w:rsidR="00DD3968">
              <w:rPr>
                <w:sz w:val="24"/>
              </w:rPr>
              <w:t xml:space="preserve"> </w:t>
            </w:r>
            <w:r w:rsidRPr="008364D2" w:rsidR="005674F2">
              <w:rPr>
                <w:sz w:val="24"/>
              </w:rPr>
              <w:t>active members</w:t>
            </w:r>
            <w:r w:rsidRPr="008364D2" w:rsidR="00DD3968">
              <w:rPr>
                <w:sz w:val="24"/>
              </w:rPr>
              <w:t xml:space="preserve"> that constitute the Community Action Networks</w:t>
            </w:r>
            <w:r w:rsidRPr="008364D2" w:rsidR="003D68F3">
              <w:rPr>
                <w:sz w:val="24"/>
              </w:rPr>
              <w:t xml:space="preserve"> (CAN)</w:t>
            </w:r>
            <w:r w:rsidRPr="008364D2" w:rsidR="00DD3968">
              <w:rPr>
                <w:sz w:val="24"/>
              </w:rPr>
              <w:t xml:space="preserve"> in the 15 case study sites are eligible to </w:t>
            </w:r>
            <w:r w:rsidRPr="008364D2" w:rsidR="00DD3968">
              <w:rPr>
                <w:sz w:val="24"/>
              </w:rPr>
              <w:t>be surveyed</w:t>
            </w:r>
            <w:r w:rsidR="00172252">
              <w:rPr>
                <w:sz w:val="24"/>
              </w:rPr>
              <w:t xml:space="preserve">. </w:t>
            </w:r>
            <w:r w:rsidRPr="008364D2" w:rsidR="003B281B">
              <w:rPr>
                <w:sz w:val="24"/>
              </w:rPr>
              <w:t>Healthy Start programs across the country</w:t>
            </w:r>
            <w:r w:rsidRPr="008364D2" w:rsidR="003D68F3">
              <w:rPr>
                <w:sz w:val="24"/>
              </w:rPr>
              <w:t xml:space="preserve"> vary in </w:t>
            </w:r>
            <w:r w:rsidRPr="008364D2" w:rsidR="00D6428E">
              <w:rPr>
                <w:sz w:val="24"/>
              </w:rPr>
              <w:t>the</w:t>
            </w:r>
            <w:r w:rsidRPr="008364D2" w:rsidR="003D68F3">
              <w:rPr>
                <w:sz w:val="24"/>
              </w:rPr>
              <w:t xml:space="preserve"> </w:t>
            </w:r>
            <w:r w:rsidRPr="008364D2" w:rsidR="005674F2">
              <w:rPr>
                <w:sz w:val="24"/>
              </w:rPr>
              <w:t>members</w:t>
            </w:r>
            <w:r w:rsidR="0029087C">
              <w:rPr>
                <w:sz w:val="24"/>
              </w:rPr>
              <w:t xml:space="preserve"> who </w:t>
            </w:r>
            <w:r w:rsidRPr="008364D2" w:rsidR="00D6428E">
              <w:rPr>
                <w:sz w:val="24"/>
              </w:rPr>
              <w:t>constitute the CAN</w:t>
            </w:r>
            <w:r w:rsidRPr="008364D2" w:rsidR="00D069B1">
              <w:rPr>
                <w:sz w:val="24"/>
              </w:rPr>
              <w:t>,</w:t>
            </w:r>
            <w:r w:rsidRPr="008364D2" w:rsidR="00D6428E">
              <w:rPr>
                <w:sz w:val="24"/>
              </w:rPr>
              <w:t xml:space="preserve"> but </w:t>
            </w:r>
            <w:r w:rsidR="00912A54">
              <w:rPr>
                <w:sz w:val="24"/>
              </w:rPr>
              <w:t xml:space="preserve">they </w:t>
            </w:r>
            <w:r w:rsidR="00172252">
              <w:rPr>
                <w:sz w:val="24"/>
              </w:rPr>
              <w:t xml:space="preserve">are typically composed of diverse membership and represent different sectors of the community, including 25% of members who are HS participants or people with lived experience </w:t>
            </w:r>
            <w:r w:rsidR="00172252">
              <w:rPr>
                <w:sz w:val="24"/>
              </w:rPr>
              <w:t>similar to</w:t>
            </w:r>
            <w:r w:rsidR="00172252">
              <w:rPr>
                <w:sz w:val="24"/>
              </w:rPr>
              <w:t xml:space="preserve"> that of HS participants. W</w:t>
            </w:r>
            <w:r w:rsidRPr="008364D2" w:rsidR="003B281B">
              <w:rPr>
                <w:sz w:val="24"/>
              </w:rPr>
              <w:t>e estimate</w:t>
            </w:r>
            <w:r w:rsidRPr="008364D2" w:rsidR="00D6428E">
              <w:rPr>
                <w:sz w:val="24"/>
              </w:rPr>
              <w:t xml:space="preserve"> that </w:t>
            </w:r>
            <w:r w:rsidR="00EF41F3">
              <w:rPr>
                <w:sz w:val="24"/>
              </w:rPr>
              <w:t xml:space="preserve">including </w:t>
            </w:r>
            <w:r w:rsidR="0096732B">
              <w:rPr>
                <w:sz w:val="24"/>
              </w:rPr>
              <w:t>members</w:t>
            </w:r>
            <w:r w:rsidRPr="008364D2" w:rsidR="0096732B">
              <w:rPr>
                <w:sz w:val="24"/>
              </w:rPr>
              <w:t xml:space="preserve"> </w:t>
            </w:r>
            <w:r w:rsidR="009243D5">
              <w:rPr>
                <w:sz w:val="24"/>
              </w:rPr>
              <w:t>who</w:t>
            </w:r>
            <w:r w:rsidRPr="008364D2" w:rsidR="009243D5">
              <w:rPr>
                <w:sz w:val="24"/>
              </w:rPr>
              <w:t xml:space="preserve"> </w:t>
            </w:r>
            <w:r w:rsidRPr="008364D2" w:rsidR="00D6428E">
              <w:rPr>
                <w:sz w:val="24"/>
              </w:rPr>
              <w:t xml:space="preserve">have actively participated in the CAN </w:t>
            </w:r>
            <w:r w:rsidRPr="008364D2" w:rsidR="00D069B1">
              <w:rPr>
                <w:sz w:val="24"/>
              </w:rPr>
              <w:t>in the past year</w:t>
            </w:r>
            <w:r w:rsidRPr="008364D2" w:rsidR="003B281B">
              <w:rPr>
                <w:sz w:val="24"/>
              </w:rPr>
              <w:t xml:space="preserve"> by attending at least two meetings</w:t>
            </w:r>
            <w:r w:rsidRPr="008364D2" w:rsidR="00D069B1">
              <w:rPr>
                <w:sz w:val="24"/>
              </w:rPr>
              <w:t xml:space="preserve"> </w:t>
            </w:r>
            <w:r w:rsidRPr="008364D2" w:rsidR="00D6428E">
              <w:rPr>
                <w:sz w:val="24"/>
              </w:rPr>
              <w:t xml:space="preserve">will </w:t>
            </w:r>
            <w:r w:rsidR="00AA77E5">
              <w:rPr>
                <w:sz w:val="24"/>
              </w:rPr>
              <w:t>result in</w:t>
            </w:r>
            <w:r w:rsidR="00C27E79">
              <w:rPr>
                <w:sz w:val="24"/>
              </w:rPr>
              <w:t xml:space="preserve"> approximately </w:t>
            </w:r>
            <w:r w:rsidRPr="008364D2" w:rsidR="00D6428E">
              <w:rPr>
                <w:sz w:val="24"/>
              </w:rPr>
              <w:t xml:space="preserve">40 </w:t>
            </w:r>
            <w:r w:rsidR="00C27E79">
              <w:rPr>
                <w:sz w:val="24"/>
              </w:rPr>
              <w:t xml:space="preserve">eligible members </w:t>
            </w:r>
            <w:r w:rsidRPr="008364D2" w:rsidR="00D6428E">
              <w:rPr>
                <w:sz w:val="24"/>
              </w:rPr>
              <w:t>at each</w:t>
            </w:r>
            <w:r w:rsidRPr="008364D2" w:rsidR="00D069B1">
              <w:rPr>
                <w:sz w:val="24"/>
              </w:rPr>
              <w:t xml:space="preserve"> of the 15 case study</w:t>
            </w:r>
            <w:r w:rsidRPr="008364D2" w:rsidR="00D6428E">
              <w:rPr>
                <w:sz w:val="24"/>
              </w:rPr>
              <w:t xml:space="preserve"> site</w:t>
            </w:r>
            <w:r w:rsidRPr="008364D2" w:rsidR="00D069B1">
              <w:rPr>
                <w:sz w:val="24"/>
              </w:rPr>
              <w:t>s</w:t>
            </w:r>
            <w:r w:rsidRPr="008364D2" w:rsidR="00D6428E">
              <w:rPr>
                <w:sz w:val="24"/>
              </w:rPr>
              <w:t>.</w:t>
            </w:r>
            <w:r w:rsidRPr="008364D2" w:rsidR="003D68F3">
              <w:rPr>
                <w:sz w:val="24"/>
              </w:rPr>
              <w:t xml:space="preserve"> </w:t>
            </w:r>
            <w:r w:rsidRPr="008364D2" w:rsidR="00FE50FF">
              <w:rPr>
                <w:sz w:val="24"/>
              </w:rPr>
              <w:t>Based on experience with other network surveys, w</w:t>
            </w:r>
            <w:r w:rsidRPr="008364D2" w:rsidR="006909B5">
              <w:rPr>
                <w:sz w:val="24"/>
              </w:rPr>
              <w:t xml:space="preserve">e expect a response rate between </w:t>
            </w:r>
            <w:r w:rsidR="00562A99">
              <w:rPr>
                <w:sz w:val="24"/>
              </w:rPr>
              <w:t>5</w:t>
            </w:r>
            <w:r w:rsidR="00BF1D53">
              <w:rPr>
                <w:sz w:val="24"/>
              </w:rPr>
              <w:t>0</w:t>
            </w:r>
            <w:r w:rsidRPr="008364D2" w:rsidR="006909B5">
              <w:rPr>
                <w:sz w:val="24"/>
              </w:rPr>
              <w:t xml:space="preserve">% to </w:t>
            </w:r>
            <w:r w:rsidR="00BF1D53">
              <w:rPr>
                <w:sz w:val="24"/>
              </w:rPr>
              <w:t>70</w:t>
            </w:r>
            <w:r w:rsidRPr="008364D2" w:rsidR="006909B5">
              <w:rPr>
                <w:sz w:val="24"/>
              </w:rPr>
              <w:t>%.</w:t>
            </w:r>
          </w:p>
        </w:tc>
      </w:tr>
      <w:tr w14:paraId="44242E80" w14:textId="77777777" w:rsidTr="00CD17CC">
        <w:tblPrEx>
          <w:tblW w:w="0" w:type="auto"/>
          <w:tblInd w:w="558" w:type="dxa"/>
          <w:tblLook w:val="04A0"/>
        </w:tblPrEx>
        <w:tc>
          <w:tcPr>
            <w:tcW w:w="4500" w:type="dxa"/>
          </w:tcPr>
          <w:p w:rsidR="00DD327D" w:rsidRPr="008364D2" w:rsidP="00DD327D" w14:paraId="7E8C66BF" w14:textId="5EEB75C6">
            <w:pPr>
              <w:spacing w:before="120"/>
              <w:rPr>
                <w:sz w:val="24"/>
              </w:rPr>
            </w:pPr>
            <w:r w:rsidRPr="008364D2">
              <w:rPr>
                <w:sz w:val="24"/>
              </w:rPr>
              <w:t>Healthy Start Participant Survey</w:t>
            </w:r>
          </w:p>
        </w:tc>
        <w:tc>
          <w:tcPr>
            <w:tcW w:w="4027" w:type="dxa"/>
          </w:tcPr>
          <w:p w:rsidR="00DD327D" w:rsidRPr="008364D2" w:rsidP="00A04770" w14:paraId="6B4EABDD" w14:textId="47E419A0">
            <w:pPr>
              <w:spacing w:before="120"/>
              <w:rPr>
                <w:sz w:val="24"/>
              </w:rPr>
            </w:pPr>
            <w:r>
              <w:rPr>
                <w:bCs/>
                <w:sz w:val="24"/>
              </w:rPr>
              <w:t>Convenience sample of u</w:t>
            </w:r>
            <w:r w:rsidRPr="00E34342" w:rsidR="0069457E">
              <w:rPr>
                <w:bCs/>
                <w:sz w:val="24"/>
              </w:rPr>
              <w:t>p to</w:t>
            </w:r>
            <w:r w:rsidR="0069457E">
              <w:rPr>
                <w:b/>
                <w:sz w:val="24"/>
              </w:rPr>
              <w:t xml:space="preserve"> </w:t>
            </w:r>
            <w:r w:rsidRPr="008364D2" w:rsidR="00D6428E">
              <w:rPr>
                <w:b/>
                <w:sz w:val="24"/>
              </w:rPr>
              <w:t>750</w:t>
            </w:r>
            <w:r w:rsidRPr="008364D2" w:rsidR="00D6428E">
              <w:rPr>
                <w:sz w:val="24"/>
              </w:rPr>
              <w:t xml:space="preserve"> potential participants </w:t>
            </w:r>
            <w:r w:rsidR="007E504A">
              <w:rPr>
                <w:sz w:val="24"/>
              </w:rPr>
              <w:t xml:space="preserve">who currently receive services </w:t>
            </w:r>
            <w:r w:rsidRPr="008364D2" w:rsidR="00D6428E">
              <w:rPr>
                <w:sz w:val="24"/>
              </w:rPr>
              <w:t xml:space="preserve">in the 15 case study sites will be eligible for this survey. </w:t>
            </w:r>
            <w:r w:rsidRPr="008364D2" w:rsidR="004F2BE8">
              <w:rPr>
                <w:sz w:val="24"/>
              </w:rPr>
              <w:t xml:space="preserve">Each Healthy Start program </w:t>
            </w:r>
            <w:r w:rsidRPr="008364D2" w:rsidR="005F7FAD">
              <w:rPr>
                <w:sz w:val="24"/>
              </w:rPr>
              <w:t>is</w:t>
            </w:r>
            <w:r w:rsidRPr="008364D2" w:rsidR="004F2BE8">
              <w:rPr>
                <w:sz w:val="24"/>
              </w:rPr>
              <w:t xml:space="preserve"> expected to serve</w:t>
            </w:r>
            <w:r w:rsidRPr="008364D2" w:rsidR="005F7FAD">
              <w:rPr>
                <w:sz w:val="24"/>
              </w:rPr>
              <w:t xml:space="preserve"> 300 pregnant women; 300 infants/children up to 18 months, preconception women, and </w:t>
            </w:r>
            <w:r w:rsidRPr="008364D2" w:rsidR="005F7FAD">
              <w:rPr>
                <w:sz w:val="24"/>
              </w:rPr>
              <w:t>interconception</w:t>
            </w:r>
            <w:r w:rsidRPr="008364D2" w:rsidR="005F7FAD">
              <w:rPr>
                <w:sz w:val="24"/>
              </w:rPr>
              <w:t xml:space="preserve"> women (combined); and 100 fathers/male partners affiliated with Healthy Start women/ infants/ children, per calendar year. </w:t>
            </w:r>
            <w:r w:rsidRPr="008364D2" w:rsidR="00D6428E">
              <w:rPr>
                <w:sz w:val="24"/>
              </w:rPr>
              <w:t>We</w:t>
            </w:r>
            <w:r w:rsidRPr="008364D2" w:rsidR="00B25AF3">
              <w:rPr>
                <w:sz w:val="24"/>
              </w:rPr>
              <w:t xml:space="preserve"> have restricted eligibility to</w:t>
            </w:r>
            <w:r w:rsidRPr="008364D2" w:rsidR="00D6428E">
              <w:rPr>
                <w:sz w:val="24"/>
              </w:rPr>
              <w:t xml:space="preserve"> </w:t>
            </w:r>
            <w:r w:rsidRPr="008364D2" w:rsidR="00B25AF3">
              <w:rPr>
                <w:sz w:val="24"/>
              </w:rPr>
              <w:t xml:space="preserve">include </w:t>
            </w:r>
            <w:r w:rsidRPr="008364D2" w:rsidR="005F7FAD">
              <w:rPr>
                <w:sz w:val="24"/>
              </w:rPr>
              <w:t>only adult participants who are</w:t>
            </w:r>
            <w:r w:rsidRPr="008364D2" w:rsidR="00B25AF3">
              <w:rPr>
                <w:sz w:val="24"/>
              </w:rPr>
              <w:t xml:space="preserve"> </w:t>
            </w:r>
            <w:r w:rsidRPr="008364D2" w:rsidR="00D6428E">
              <w:rPr>
                <w:sz w:val="24"/>
              </w:rPr>
              <w:t xml:space="preserve">currently </w:t>
            </w:r>
            <w:r w:rsidRPr="008364D2" w:rsidR="00B25AF3">
              <w:rPr>
                <w:sz w:val="24"/>
              </w:rPr>
              <w:t xml:space="preserve">enrolled </w:t>
            </w:r>
            <w:r w:rsidRPr="008364D2" w:rsidR="00697211">
              <w:rPr>
                <w:sz w:val="24"/>
              </w:rPr>
              <w:t>in</w:t>
            </w:r>
            <w:r w:rsidRPr="008364D2" w:rsidR="005F7FAD">
              <w:rPr>
                <w:sz w:val="24"/>
              </w:rPr>
              <w:t xml:space="preserve"> the program. This leads</w:t>
            </w:r>
            <w:r w:rsidRPr="008364D2" w:rsidR="002F7A30">
              <w:rPr>
                <w:sz w:val="24"/>
              </w:rPr>
              <w:t xml:space="preserve"> us</w:t>
            </w:r>
            <w:r w:rsidRPr="008364D2" w:rsidR="005F7FAD">
              <w:rPr>
                <w:sz w:val="24"/>
              </w:rPr>
              <w:t xml:space="preserve"> to </w:t>
            </w:r>
            <w:r w:rsidRPr="008364D2" w:rsidR="00D6428E">
              <w:rPr>
                <w:sz w:val="24"/>
              </w:rPr>
              <w:t xml:space="preserve">estimate </w:t>
            </w:r>
            <w:r w:rsidR="00394658">
              <w:rPr>
                <w:sz w:val="24"/>
              </w:rPr>
              <w:t>approximately</w:t>
            </w:r>
            <w:r w:rsidRPr="008364D2" w:rsidR="00D6428E">
              <w:rPr>
                <w:sz w:val="24"/>
              </w:rPr>
              <w:t xml:space="preserve"> 50 </w:t>
            </w:r>
            <w:r w:rsidRPr="008364D2" w:rsidR="002F7A30">
              <w:rPr>
                <w:sz w:val="24"/>
              </w:rPr>
              <w:t xml:space="preserve">eligible </w:t>
            </w:r>
            <w:r w:rsidRPr="008364D2" w:rsidR="00D6428E">
              <w:rPr>
                <w:sz w:val="24"/>
              </w:rPr>
              <w:t>participants in each of the 15 case study sites</w:t>
            </w:r>
            <w:r w:rsidRPr="008364D2" w:rsidR="00A668A2">
              <w:rPr>
                <w:sz w:val="24"/>
              </w:rPr>
              <w:t xml:space="preserve">. </w:t>
            </w:r>
            <w:r w:rsidRPr="008364D2" w:rsidR="00FE50FF">
              <w:rPr>
                <w:sz w:val="24"/>
              </w:rPr>
              <w:t>Based on our proposed multi-method approach to assisting participants via email or telephone if they are unable to use the web survey, w</w:t>
            </w:r>
            <w:r w:rsidRPr="008364D2" w:rsidR="006909B5">
              <w:rPr>
                <w:sz w:val="24"/>
              </w:rPr>
              <w:t xml:space="preserve">e expect a response rate of </w:t>
            </w:r>
            <w:r w:rsidR="00C22F73">
              <w:rPr>
                <w:sz w:val="24"/>
              </w:rPr>
              <w:t>40-</w:t>
            </w:r>
            <w:r w:rsidR="00A04770">
              <w:rPr>
                <w:sz w:val="24"/>
              </w:rPr>
              <w:t>60</w:t>
            </w:r>
            <w:r w:rsidRPr="008364D2" w:rsidR="006909B5">
              <w:rPr>
                <w:sz w:val="24"/>
              </w:rPr>
              <w:t>%.</w:t>
            </w:r>
          </w:p>
        </w:tc>
      </w:tr>
      <w:tr w14:paraId="5F9AD861" w14:textId="77777777" w:rsidTr="00CD17CC">
        <w:tblPrEx>
          <w:tblW w:w="0" w:type="auto"/>
          <w:tblInd w:w="558" w:type="dxa"/>
          <w:tblLook w:val="04A0"/>
        </w:tblPrEx>
        <w:tc>
          <w:tcPr>
            <w:tcW w:w="4500" w:type="dxa"/>
          </w:tcPr>
          <w:p w:rsidR="00DD327D" w:rsidRPr="008364D2" w:rsidP="00DD327D" w14:paraId="3B18D006" w14:textId="2DBD7381">
            <w:pPr>
              <w:spacing w:before="120"/>
              <w:rPr>
                <w:sz w:val="24"/>
              </w:rPr>
            </w:pPr>
            <w:r w:rsidRPr="008364D2">
              <w:rPr>
                <w:sz w:val="24"/>
              </w:rPr>
              <w:t>Healthy Start Stakeholder Interview Guide</w:t>
            </w:r>
          </w:p>
        </w:tc>
        <w:tc>
          <w:tcPr>
            <w:tcW w:w="4027" w:type="dxa"/>
          </w:tcPr>
          <w:p w:rsidR="00DD327D" w:rsidRPr="008364D2" w:rsidP="00811721" w14:paraId="41F142C2" w14:textId="69390F56">
            <w:pPr>
              <w:spacing w:before="120"/>
              <w:rPr>
                <w:sz w:val="24"/>
              </w:rPr>
            </w:pPr>
            <w:r>
              <w:rPr>
                <w:sz w:val="24"/>
              </w:rPr>
              <w:t>Convenience sample of u</w:t>
            </w:r>
            <w:r w:rsidRPr="008364D2" w:rsidR="0049457E">
              <w:rPr>
                <w:sz w:val="24"/>
              </w:rPr>
              <w:t xml:space="preserve">p to </w:t>
            </w:r>
            <w:r w:rsidRPr="008364D2" w:rsidR="0049457E">
              <w:rPr>
                <w:b/>
                <w:sz w:val="24"/>
              </w:rPr>
              <w:t>150</w:t>
            </w:r>
            <w:r w:rsidRPr="008364D2" w:rsidR="0049457E">
              <w:rPr>
                <w:sz w:val="24"/>
              </w:rPr>
              <w:t xml:space="preserve"> key informant</w:t>
            </w:r>
            <w:r w:rsidRPr="008364D2" w:rsidR="00D069B1">
              <w:rPr>
                <w:sz w:val="24"/>
              </w:rPr>
              <w:t>s will be eligible for</w:t>
            </w:r>
            <w:r w:rsidRPr="008364D2" w:rsidR="0049457E">
              <w:rPr>
                <w:sz w:val="24"/>
              </w:rPr>
              <w:t xml:space="preserve"> interviews </w:t>
            </w:r>
            <w:r w:rsidRPr="008364D2" w:rsidR="002F7A30">
              <w:rPr>
                <w:sz w:val="24"/>
              </w:rPr>
              <w:t xml:space="preserve">involving </w:t>
            </w:r>
            <w:r w:rsidRPr="008364D2" w:rsidR="00811721">
              <w:rPr>
                <w:sz w:val="24"/>
              </w:rPr>
              <w:t>5-</w:t>
            </w:r>
            <w:r w:rsidRPr="008364D2" w:rsidR="0049457E">
              <w:rPr>
                <w:sz w:val="24"/>
              </w:rPr>
              <w:t xml:space="preserve">10 </w:t>
            </w:r>
            <w:r w:rsidRPr="008364D2" w:rsidR="00D069B1">
              <w:rPr>
                <w:sz w:val="24"/>
              </w:rPr>
              <w:t xml:space="preserve">administrative and service staff </w:t>
            </w:r>
            <w:r w:rsidRPr="008364D2" w:rsidR="0049457E">
              <w:rPr>
                <w:sz w:val="24"/>
              </w:rPr>
              <w:t>in each of the 15 sites.</w:t>
            </w:r>
            <w:r w:rsidRPr="008364D2" w:rsidR="006909B5">
              <w:rPr>
                <w:sz w:val="24"/>
              </w:rPr>
              <w:t xml:space="preserve"> </w:t>
            </w:r>
            <w:r w:rsidRPr="008364D2" w:rsidR="00FE50FF">
              <w:rPr>
                <w:sz w:val="24"/>
              </w:rPr>
              <w:t xml:space="preserve">Based on experience </w:t>
            </w:r>
            <w:r w:rsidRPr="008364D2" w:rsidR="00FE50FF">
              <w:rPr>
                <w:sz w:val="24"/>
              </w:rPr>
              <w:t>with similar activities and a typically high level of motivati</w:t>
            </w:r>
            <w:r w:rsidRPr="008364D2" w:rsidR="00C76708">
              <w:rPr>
                <w:sz w:val="24"/>
              </w:rPr>
              <w:t>on from Healthy Start staff</w:t>
            </w:r>
            <w:r w:rsidR="008B25F5">
              <w:rPr>
                <w:sz w:val="24"/>
              </w:rPr>
              <w:t xml:space="preserve"> w</w:t>
            </w:r>
            <w:r w:rsidR="001249C0">
              <w:rPr>
                <w:sz w:val="24"/>
              </w:rPr>
              <w:t>ith heavy workloads</w:t>
            </w:r>
            <w:r w:rsidRPr="008364D2" w:rsidR="00811721">
              <w:rPr>
                <w:sz w:val="24"/>
              </w:rPr>
              <w:t>,</w:t>
            </w:r>
            <w:r w:rsidRPr="008364D2" w:rsidR="00FE50FF">
              <w:rPr>
                <w:sz w:val="24"/>
              </w:rPr>
              <w:t xml:space="preserve"> w</w:t>
            </w:r>
            <w:r w:rsidRPr="008364D2" w:rsidR="006909B5">
              <w:rPr>
                <w:sz w:val="24"/>
              </w:rPr>
              <w:t xml:space="preserve">e expect a response rate of </w:t>
            </w:r>
            <w:r w:rsidR="001249C0">
              <w:rPr>
                <w:sz w:val="24"/>
              </w:rPr>
              <w:t>70-80</w:t>
            </w:r>
            <w:r w:rsidRPr="008364D2" w:rsidR="00FE50FF">
              <w:rPr>
                <w:sz w:val="24"/>
              </w:rPr>
              <w:t>%.</w:t>
            </w:r>
          </w:p>
        </w:tc>
      </w:tr>
    </w:tbl>
    <w:p w:rsidR="00DD327D" w:rsidP="00B26D7B" w14:paraId="1805FF55" w14:textId="5D5D3B92">
      <w:pPr>
        <w:pStyle w:val="NormalSS"/>
      </w:pPr>
    </w:p>
    <w:p w:rsidR="00EF0769" w:rsidP="00EF0769" w14:paraId="5CC33B09" w14:textId="768A25DB">
      <w:pPr>
        <w:pStyle w:val="NormalSS"/>
        <w:ind w:firstLine="0"/>
      </w:pPr>
      <w:r>
        <w:t xml:space="preserve">In addition to these four instruments, the evaluation will also use secondary data to for which clearance is not requested. These include data on </w:t>
      </w:r>
      <w:r w:rsidR="00BF1D53">
        <w:t xml:space="preserve">HS </w:t>
      </w:r>
      <w:r>
        <w:t>grantees’ performance measures reported to</w:t>
      </w:r>
      <w:r w:rsidRPr="00EF0769">
        <w:t xml:space="preserve"> </w:t>
      </w:r>
      <w:r w:rsidR="00BF1D53">
        <w:t>HRSA’s</w:t>
      </w:r>
      <w:r w:rsidRPr="00EF0769">
        <w:t xml:space="preserve"> Discretionary Grants Information System (DGIS)</w:t>
      </w:r>
      <w:r w:rsidR="00BF1D53">
        <w:t>;</w:t>
      </w:r>
      <w:r w:rsidRPr="00EF0769">
        <w:t xml:space="preserve"> </w:t>
      </w:r>
      <w:r w:rsidR="00BF1D53">
        <w:t xml:space="preserve">HS participant data that grantees report to the </w:t>
      </w:r>
      <w:r w:rsidRPr="00EF0769" w:rsidR="00BF1D53">
        <w:t xml:space="preserve">Healthy Start Monitoring and Evaluation Data </w:t>
      </w:r>
      <w:r w:rsidR="00BF1D53">
        <w:t xml:space="preserve">system </w:t>
      </w:r>
      <w:r w:rsidRPr="00EF0769" w:rsidR="00BF1D53">
        <w:t>(HSMED)</w:t>
      </w:r>
      <w:r w:rsidR="00BF1D53">
        <w:t xml:space="preserve">; </w:t>
      </w:r>
      <w:r w:rsidR="003130C8">
        <w:t xml:space="preserve">additional participant </w:t>
      </w:r>
      <w:r w:rsidRPr="00EF0769">
        <w:t>data from up to nine HS grantees that collect</w:t>
      </w:r>
      <w:r w:rsidR="00DE051B">
        <w:t>,</w:t>
      </w:r>
      <w:r w:rsidRPr="00EF0769">
        <w:t xml:space="preserve"> but do not report to HSMED, additional data on the types and quantities of HS services received by HS participants</w:t>
      </w:r>
      <w:r w:rsidR="00BF1D53">
        <w:t>; and</w:t>
      </w:r>
      <w:r w:rsidRPr="00BF1D53" w:rsidR="00BF1D53">
        <w:t xml:space="preserve"> </w:t>
      </w:r>
      <w:r w:rsidRPr="00EF0769" w:rsidR="00BF1D53">
        <w:t>vital records data obtained from one state</w:t>
      </w:r>
      <w:r w:rsidR="00BF1D53">
        <w:t xml:space="preserve">. All the data </w:t>
      </w:r>
      <w:r w:rsidR="00DE051B">
        <w:t xml:space="preserve">obtained </w:t>
      </w:r>
      <w:r w:rsidR="00BF1D53">
        <w:t xml:space="preserve">from these secondary sources will be statistically analyzed to answer some of the evaluation questions </w:t>
      </w:r>
      <w:r w:rsidR="003130C8">
        <w:t xml:space="preserve">on the extent to which </w:t>
      </w:r>
      <w:r w:rsidR="000278AF">
        <w:t>HS grantees meet program benchmarks (data from DGIS) and the extent to which HS</w:t>
      </w:r>
      <w:r w:rsidR="003130C8">
        <w:t xml:space="preserve"> improves health outcomes for women and children (data from HSMED, additional participant data from up to nine grantees, and vital records data from one state)</w:t>
      </w:r>
      <w:r w:rsidR="000278AF">
        <w:t>. The analysis of these data is</w:t>
      </w:r>
      <w:r w:rsidR="003130C8">
        <w:t xml:space="preserve"> </w:t>
      </w:r>
      <w:r w:rsidR="00BF1D53">
        <w:t>described in Supporting Statement A.</w:t>
      </w:r>
    </w:p>
    <w:p w:rsidR="00723FB3" w:rsidRPr="00723FB3" w:rsidP="00723FB3" w14:paraId="4C9D2A60" w14:textId="24ED23D1">
      <w:pPr>
        <w:pStyle w:val="NormalSS"/>
        <w:rPr>
          <w:b/>
        </w:rPr>
      </w:pPr>
      <w:r>
        <w:rPr>
          <w:b/>
        </w:rPr>
        <w:t xml:space="preserve">Rationale for the Evaluation Design and </w:t>
      </w:r>
      <w:r w:rsidR="00D6670B">
        <w:rPr>
          <w:b/>
        </w:rPr>
        <w:t xml:space="preserve">Limitations of the Evaluation </w:t>
      </w:r>
    </w:p>
    <w:p w:rsidR="00E03692" w:rsidRPr="00723FB3" w:rsidP="00E03692" w14:paraId="3247DE57" w14:textId="0214390A">
      <w:pPr>
        <w:pStyle w:val="NormalSS"/>
      </w:pPr>
      <w:r w:rsidRPr="00814CB3">
        <w:t xml:space="preserve">The </w:t>
      </w:r>
      <w:r>
        <w:t xml:space="preserve">overall </w:t>
      </w:r>
      <w:r w:rsidRPr="00814CB3">
        <w:t xml:space="preserve">evaluation </w:t>
      </w:r>
      <w:r>
        <w:t xml:space="preserve">design </w:t>
      </w:r>
      <w:r w:rsidRPr="00814CB3">
        <w:t xml:space="preserve">plan has been conceptualized as a comprehensive assessment of </w:t>
      </w:r>
      <w:r w:rsidR="00A74CBB">
        <w:t>HS</w:t>
      </w:r>
      <w:r w:rsidRPr="00814CB3">
        <w:t xml:space="preserve"> activities across grantee programs and attempts to capture individual -, organizational-, community-, and larger social-level factors to help explain program implementation processes, and </w:t>
      </w:r>
      <w:r>
        <w:t>their</w:t>
      </w:r>
      <w:r w:rsidRPr="00814CB3">
        <w:t xml:space="preserve"> </w:t>
      </w:r>
      <w:r>
        <w:t>association</w:t>
      </w:r>
      <w:r w:rsidRPr="00814CB3">
        <w:t xml:space="preserve"> </w:t>
      </w:r>
      <w:r>
        <w:t>with</w:t>
      </w:r>
      <w:r w:rsidRPr="00814CB3">
        <w:t xml:space="preserve"> service utilization, participant behaviors (e.g.</w:t>
      </w:r>
      <w:r>
        <w:t>,</w:t>
      </w:r>
      <w:r w:rsidRPr="00814CB3">
        <w:t xml:space="preserve"> parenting practices), and health outcomes of participants. The evaluation also will </w:t>
      </w:r>
      <w:bookmarkStart w:id="0" w:name="_Hlk141800756"/>
      <w:r w:rsidRPr="00814CB3">
        <w:t xml:space="preserve">examine best practices </w:t>
      </w:r>
      <w:r w:rsidRPr="00484A6F">
        <w:t>shown by some grantees that may be applicable to other HS communities</w:t>
      </w:r>
      <w:bookmarkEnd w:id="0"/>
      <w:r w:rsidRPr="00814CB3">
        <w:t>.</w:t>
      </w:r>
      <w:r w:rsidRPr="00FB3058">
        <w:t xml:space="preserve"> </w:t>
      </w:r>
      <w:r>
        <w:t>W</w:t>
      </w:r>
      <w:r w:rsidRPr="00723FB3">
        <w:t xml:space="preserve">e recognize that evaluations of community-based programs such as HS have </w:t>
      </w:r>
      <w:r>
        <w:t>challenges because</w:t>
      </w:r>
      <w:r w:rsidRPr="00723FB3">
        <w:t xml:space="preserve"> we cannot attribute </w:t>
      </w:r>
      <w:r>
        <w:t xml:space="preserve">program </w:t>
      </w:r>
      <w:r w:rsidRPr="00723FB3">
        <w:t>outcomes to the contribution of HS alone. This is because HS programs in their respective communities do not operate in isolation. HS grantees may participate in multi-sectoral activities, receive funding from other sources, and do similar work, which cannot be isolated from the work they do for HS. Furthermore, HS programs adapt to the needs of their community and are not uniform in their approaches, interventions, or definitions across the country. HS participants too may receive similar or complementary inputs from other prog</w:t>
      </w:r>
      <w:r>
        <w:t>rams in the community</w:t>
      </w:r>
      <w:r w:rsidRPr="00723FB3">
        <w:t xml:space="preserve">. </w:t>
      </w:r>
    </w:p>
    <w:p w:rsidR="00E03692" w:rsidP="00E03692" w14:paraId="19C2BAE2" w14:textId="4F2F1843">
      <w:pPr>
        <w:ind w:firstLine="720"/>
        <w:rPr>
          <w:sz w:val="24"/>
        </w:rPr>
      </w:pPr>
      <w:r w:rsidRPr="00217B95">
        <w:rPr>
          <w:sz w:val="24"/>
        </w:rPr>
        <w:t>The current HS</w:t>
      </w:r>
      <w:r w:rsidRPr="00C1113B">
        <w:rPr>
          <w:sz w:val="24"/>
        </w:rPr>
        <w:t xml:space="preserve"> outcome evaluation design builds on the lessons learned from the challenges of the previous HS evaluation completed in 2020. The previous design used a matched analysis for HS on a national level and used three maternal and child health-related data sources (the HS client data, vital records of live births and infant deaths, and the CDC Pregnancy Risk Assessment Monitoring System or PRAMS). Although a comprehensive evaluation that addressed several important topics, it experienced limitations related to data quality; time-consuming data linkage processes; lack of baseline data that made it difficult to account for preexisting risk factors; and the variability in the duration of services provided to individual clients during this time. Together, these factors limited the evaluation’s ability to attribute observed differences to the program. </w:t>
      </w:r>
      <w:r>
        <w:rPr>
          <w:sz w:val="24"/>
        </w:rPr>
        <w:t>The previous matched design also imposed a burden on grantees</w:t>
      </w:r>
      <w:r w:rsidR="00A02C9D">
        <w:rPr>
          <w:sz w:val="24"/>
        </w:rPr>
        <w:t>,</w:t>
      </w:r>
      <w:r>
        <w:rPr>
          <w:sz w:val="24"/>
        </w:rPr>
        <w:t xml:space="preserve"> who had to participate in lengthy data use agreements with CDC/PRAMS, </w:t>
      </w:r>
      <w:r w:rsidR="00A02C9D">
        <w:rPr>
          <w:sz w:val="24"/>
        </w:rPr>
        <w:t>vital records office (</w:t>
      </w:r>
      <w:r>
        <w:rPr>
          <w:sz w:val="24"/>
        </w:rPr>
        <w:t>VRO</w:t>
      </w:r>
      <w:r w:rsidR="00A02C9D">
        <w:rPr>
          <w:sz w:val="24"/>
        </w:rPr>
        <w:t>)</w:t>
      </w:r>
      <w:r>
        <w:rPr>
          <w:sz w:val="24"/>
        </w:rPr>
        <w:t xml:space="preserve"> and HRSA</w:t>
      </w:r>
      <w:r w:rsidR="00A02C9D">
        <w:rPr>
          <w:sz w:val="24"/>
        </w:rPr>
        <w:t>,</w:t>
      </w:r>
      <w:r>
        <w:rPr>
          <w:sz w:val="24"/>
        </w:rPr>
        <w:t xml:space="preserve"> and assist with obtaining consent from each HS participant to match </w:t>
      </w:r>
      <w:r>
        <w:rPr>
          <w:sz w:val="24"/>
        </w:rPr>
        <w:t xml:space="preserve">her personal identifying information with other data sources. </w:t>
      </w:r>
      <w:r w:rsidRPr="00C1113B">
        <w:rPr>
          <w:sz w:val="24"/>
        </w:rPr>
        <w:t>Taking the</w:t>
      </w:r>
      <w:r>
        <w:rPr>
          <w:sz w:val="24"/>
        </w:rPr>
        <w:t>se</w:t>
      </w:r>
      <w:r w:rsidRPr="00C1113B">
        <w:rPr>
          <w:sz w:val="24"/>
        </w:rPr>
        <w:t xml:space="preserve"> challenges</w:t>
      </w:r>
      <w:r>
        <w:rPr>
          <w:sz w:val="24"/>
        </w:rPr>
        <w:t xml:space="preserve"> </w:t>
      </w:r>
      <w:r w:rsidRPr="00C1113B">
        <w:rPr>
          <w:sz w:val="24"/>
        </w:rPr>
        <w:t>into consideration</w:t>
      </w:r>
      <w:r>
        <w:rPr>
          <w:sz w:val="24"/>
        </w:rPr>
        <w:t>,</w:t>
      </w:r>
      <w:r w:rsidRPr="00C1113B">
        <w:rPr>
          <w:sz w:val="24"/>
        </w:rPr>
        <w:t xml:space="preserve"> </w:t>
      </w:r>
      <w:r>
        <w:rPr>
          <w:sz w:val="24"/>
        </w:rPr>
        <w:t>we have proposed the</w:t>
      </w:r>
      <w:r w:rsidRPr="00C1113B">
        <w:rPr>
          <w:sz w:val="24"/>
        </w:rPr>
        <w:t xml:space="preserve"> current outcome evaluation design</w:t>
      </w:r>
      <w:r>
        <w:rPr>
          <w:sz w:val="24"/>
        </w:rPr>
        <w:t xml:space="preserve"> (described below)</w:t>
      </w:r>
      <w:r w:rsidRPr="00C1113B">
        <w:rPr>
          <w:sz w:val="24"/>
        </w:rPr>
        <w:t>, which makes the role of baseline data less crucial and utilizes a comparison group analysis that will use publicly available vital records data</w:t>
      </w:r>
      <w:r>
        <w:rPr>
          <w:sz w:val="24"/>
        </w:rPr>
        <w:t xml:space="preserve"> from one state</w:t>
      </w:r>
      <w:r w:rsidRPr="00C1113B">
        <w:rPr>
          <w:sz w:val="24"/>
        </w:rPr>
        <w:t xml:space="preserve"> that do not have to be linked to HS participant data at the individual level.</w:t>
      </w:r>
      <w:r>
        <w:rPr>
          <w:sz w:val="24"/>
        </w:rPr>
        <w:t xml:space="preserve"> Therefore, it does not impose a burden on grantees to obtain </w:t>
      </w:r>
      <w:r w:rsidR="00A02C9D">
        <w:rPr>
          <w:sz w:val="24"/>
        </w:rPr>
        <w:t xml:space="preserve">additional </w:t>
      </w:r>
      <w:r>
        <w:rPr>
          <w:sz w:val="24"/>
        </w:rPr>
        <w:t>participant consent or engage in data sharing agreements</w:t>
      </w:r>
      <w:r w:rsidR="007D2212">
        <w:rPr>
          <w:sz w:val="24"/>
        </w:rPr>
        <w:t xml:space="preserve"> with other agencies</w:t>
      </w:r>
      <w:r>
        <w:rPr>
          <w:sz w:val="24"/>
        </w:rPr>
        <w:t xml:space="preserve">. </w:t>
      </w:r>
      <w:r w:rsidRPr="00C1113B">
        <w:rPr>
          <w:sz w:val="24"/>
        </w:rPr>
        <w:t xml:space="preserve"> </w:t>
      </w:r>
      <w:r>
        <w:rPr>
          <w:sz w:val="24"/>
        </w:rPr>
        <w:t xml:space="preserve">We have proposed to use </w:t>
      </w:r>
      <w:r w:rsidRPr="001805F0">
        <w:rPr>
          <w:sz w:val="24"/>
        </w:rPr>
        <w:t xml:space="preserve">a dosage analysis in which dosage refers to the level of exposure (e.g., duration or </w:t>
      </w:r>
      <w:r>
        <w:rPr>
          <w:sz w:val="24"/>
        </w:rPr>
        <w:t>amount</w:t>
      </w:r>
      <w:r w:rsidRPr="001805F0">
        <w:rPr>
          <w:sz w:val="24"/>
        </w:rPr>
        <w:t xml:space="preserve">) to HS activities and services. </w:t>
      </w:r>
      <w:r>
        <w:rPr>
          <w:sz w:val="24"/>
        </w:rPr>
        <w:t>Dosage analysis</w:t>
      </w:r>
      <w:r w:rsidRPr="00FB3058">
        <w:rPr>
          <w:sz w:val="24"/>
        </w:rPr>
        <w:t xml:space="preserve"> makes it possible to apply standard regression </w:t>
      </w:r>
      <w:r w:rsidRPr="003B7BDF">
        <w:rPr>
          <w:sz w:val="24"/>
        </w:rPr>
        <w:t>with duration</w:t>
      </w:r>
      <w:r>
        <w:rPr>
          <w:sz w:val="24"/>
        </w:rPr>
        <w:t>/</w:t>
      </w:r>
      <w:r w:rsidR="00A02C9D">
        <w:rPr>
          <w:sz w:val="24"/>
        </w:rPr>
        <w:t>amount</w:t>
      </w:r>
      <w:r w:rsidRPr="003B7BDF">
        <w:rPr>
          <w:sz w:val="24"/>
        </w:rPr>
        <w:t xml:space="preserve"> as the covariate and the target outcomes as dependent variables</w:t>
      </w:r>
      <w:r>
        <w:rPr>
          <w:sz w:val="24"/>
        </w:rPr>
        <w:t>. It</w:t>
      </w:r>
      <w:r w:rsidRPr="00FB3058">
        <w:rPr>
          <w:sz w:val="24"/>
        </w:rPr>
        <w:t xml:space="preserve"> estimate</w:t>
      </w:r>
      <w:r>
        <w:rPr>
          <w:sz w:val="24"/>
        </w:rPr>
        <w:t>s</w:t>
      </w:r>
      <w:r w:rsidRPr="00FB3058">
        <w:rPr>
          <w:sz w:val="24"/>
        </w:rPr>
        <w:t xml:space="preserve"> the effects of the intervention within the HS participant population without the need for an external control group.</w:t>
      </w:r>
      <w:r>
        <w:rPr>
          <w:sz w:val="24"/>
        </w:rPr>
        <w:t xml:space="preserve"> We are supplementing the basic dosage analysis with additional analysis using a smaller sample with limited variables to strengthen and </w:t>
      </w:r>
      <w:r w:rsidR="007D2212">
        <w:rPr>
          <w:sz w:val="24"/>
        </w:rPr>
        <w:t>support</w:t>
      </w:r>
      <w:r>
        <w:rPr>
          <w:sz w:val="24"/>
        </w:rPr>
        <w:t xml:space="preserve"> the dosage model.</w:t>
      </w:r>
    </w:p>
    <w:p w:rsidR="00E03692" w:rsidRPr="001805F0" w:rsidP="007D2212" w14:paraId="5E8837F5" w14:textId="77777777">
      <w:pPr>
        <w:spacing w:before="240"/>
        <w:ind w:firstLine="432"/>
        <w:rPr>
          <w:sz w:val="24"/>
        </w:rPr>
      </w:pPr>
      <w:r>
        <w:rPr>
          <w:sz w:val="24"/>
        </w:rPr>
        <w:t>Dosage analysis</w:t>
      </w:r>
      <w:r w:rsidRPr="00C1113B">
        <w:rPr>
          <w:sz w:val="24"/>
        </w:rPr>
        <w:t xml:space="preserve"> </w:t>
      </w:r>
      <w:r>
        <w:rPr>
          <w:sz w:val="24"/>
        </w:rPr>
        <w:t>will measure</w:t>
      </w:r>
      <w:r w:rsidRPr="00C1113B">
        <w:rPr>
          <w:sz w:val="24"/>
        </w:rPr>
        <w:t xml:space="preserve"> the association of </w:t>
      </w:r>
      <w:r>
        <w:rPr>
          <w:sz w:val="24"/>
        </w:rPr>
        <w:t xml:space="preserve">the </w:t>
      </w:r>
      <w:r w:rsidRPr="00C1113B">
        <w:rPr>
          <w:sz w:val="24"/>
        </w:rPr>
        <w:t xml:space="preserve">HS </w:t>
      </w:r>
      <w:r>
        <w:rPr>
          <w:sz w:val="24"/>
        </w:rPr>
        <w:t xml:space="preserve">program </w:t>
      </w:r>
      <w:r w:rsidRPr="00C1113B">
        <w:rPr>
          <w:sz w:val="24"/>
        </w:rPr>
        <w:t>with important health outcomes for mothers and infants</w:t>
      </w:r>
      <w:r>
        <w:rPr>
          <w:sz w:val="24"/>
        </w:rPr>
        <w:t>. It</w:t>
      </w:r>
      <w:r w:rsidRPr="00787CCD">
        <w:rPr>
          <w:sz w:val="24"/>
        </w:rPr>
        <w:t xml:space="preserve"> hypothesizes that desirable outcomes for HS participants and their children rise steadily with the amount of program “dosage” received—i.e., the amount of interaction and/or services the HS program supplies to that mother.  It then uses a regression analysis to capture the trend in this relationship, tracking movement from mothers with high doses to mothers with lower doses.</w:t>
      </w:r>
      <w:r>
        <w:rPr>
          <w:sz w:val="24"/>
        </w:rPr>
        <w:t xml:space="preserve">  </w:t>
      </w:r>
      <w:r w:rsidRPr="00787CCD">
        <w:rPr>
          <w:sz w:val="24"/>
        </w:rPr>
        <w:t>Once the movement of the outcome with a given dosage change is “discovered,” the model can be used to project each HS participant’s expected outcome at 0 dosage—e.g., what a particular mother’s depression score or a particular newborn’s birth weight would have been had she received no HS inputs. This projected outcome at 0 then serves as a “counterfactual” against which to measure the impact of the HS program on that mother or child—defined as her/his actual outcome minus her/his predicted outcome at 0 dosage.</w:t>
      </w:r>
      <w:r w:rsidRPr="00092CE0">
        <w:t xml:space="preserve"> </w:t>
      </w:r>
      <w:r w:rsidRPr="00092CE0">
        <w:rPr>
          <w:sz w:val="24"/>
        </w:rPr>
        <w:t>The primary reason for using the dosage analysis</w:t>
      </w:r>
      <w:r>
        <w:rPr>
          <w:sz w:val="24"/>
        </w:rPr>
        <w:t xml:space="preserve"> methodology is</w:t>
      </w:r>
      <w:r w:rsidRPr="00092CE0">
        <w:rPr>
          <w:sz w:val="24"/>
        </w:rPr>
        <w:t xml:space="preserve"> because of the difficulty in obtaining data that can be used to construct effective post-hoc </w:t>
      </w:r>
      <w:r w:rsidRPr="001805F0">
        <w:rPr>
          <w:sz w:val="24"/>
        </w:rPr>
        <w:t xml:space="preserve">control groups across the full program. The outcome evaluation will estimate a series of dosage models. The ideal dosage model would include every interaction of the participant with HS, but participant data reported in HRSA’s HSMED does not record every interaction. Therefore, the outcome evaluation will begin by approximating the ideal dosage analysis by using time spent participating in the HS program as a proxy for the quantities of all types of program inputs (interactions and services) received.  </w:t>
      </w:r>
      <w:r w:rsidRPr="00FE6EC4">
        <w:rPr>
          <w:sz w:val="24"/>
        </w:rPr>
        <w:t>The regression model will depend on the specific outcome</w:t>
      </w:r>
      <w:r>
        <w:rPr>
          <w:sz w:val="24"/>
        </w:rPr>
        <w:t>/dependent</w:t>
      </w:r>
      <w:r w:rsidRPr="00FE6EC4">
        <w:rPr>
          <w:sz w:val="24"/>
        </w:rPr>
        <w:t xml:space="preserve"> variable being modeled, but we expect that we will be able to stay within the class of generalized linear models (linear regression, logistic regression, Poisson regression, etc.).</w:t>
      </w:r>
      <w:r w:rsidRPr="001805F0">
        <w:rPr>
          <w:sz w:val="24"/>
        </w:rPr>
        <w:t xml:space="preserve"> </w:t>
      </w:r>
    </w:p>
    <w:p w:rsidR="00E03692" w:rsidP="00CA38C9" w14:paraId="2AD79343" w14:textId="4E48F185">
      <w:pPr>
        <w:pStyle w:val="NormalSS"/>
        <w:spacing w:before="240"/>
      </w:pPr>
      <w:r>
        <w:t>The initial, basic dosage analysis will capture</w:t>
      </w:r>
      <w:r w:rsidRPr="00723FB3">
        <w:t xml:space="preserve"> the extent to which outcomes (e.g., preterm birth, low birthweight, and infant death) rise or fall as one moves from participants with long durations of HS services to recipients with shorter durations. </w:t>
      </w:r>
      <w:r w:rsidR="00341180">
        <w:t xml:space="preserve">Duration is determined from the date of a participant’s enrollment in HS to her estimated date of delivery. </w:t>
      </w:r>
      <w:r w:rsidRPr="00EF04C1">
        <w:t>The model will hold constant measured background characteristics of participants and any measurable factors that likely affect both duration in the program and the outcome of interest, withou</w:t>
      </w:r>
      <w:r>
        <w:t>t the former causing the latter (</w:t>
      </w:r>
      <w:r w:rsidRPr="00723FB3">
        <w:t xml:space="preserve">e.g., age at pregnancy, educational attainment, race/ethnicity, income, insurance, timing of entry into prenatal, poor prior pregnancy outcome, preventive care, usual source of care, pre-pregnancy medical conditions, and substance use). </w:t>
      </w:r>
      <w:r w:rsidRPr="00EF04C1">
        <w:t>After controlling for these factors, the trend in outcomes with duration derived by the model can be projected to give each HS participant’s expected outcome had that participant received no HS services (dosage=0</w:t>
      </w:r>
      <w:r>
        <w:t>).</w:t>
      </w:r>
    </w:p>
    <w:p w:rsidR="00E03692" w:rsidRPr="00723FB3" w:rsidP="00E03692" w14:paraId="2B394257" w14:textId="1B010F58">
      <w:pPr>
        <w:pStyle w:val="NormalSS"/>
      </w:pPr>
      <w:r>
        <w:t>W</w:t>
      </w:r>
      <w:r w:rsidRPr="007E3500">
        <w:t xml:space="preserve">e are supplementing </w:t>
      </w:r>
      <w:r>
        <w:t>the basic dosage analysis</w:t>
      </w:r>
      <w:r w:rsidRPr="007E3500">
        <w:t xml:space="preserve"> with additional analys</w:t>
      </w:r>
      <w:r w:rsidR="004C125E">
        <w:t>e</w:t>
      </w:r>
      <w:r w:rsidRPr="007E3500">
        <w:t xml:space="preserve">s, which are only possible on a smaller sample </w:t>
      </w:r>
      <w:r w:rsidR="00CC404C">
        <w:t xml:space="preserve">of grantees who </w:t>
      </w:r>
      <w:r w:rsidR="00C366AF">
        <w:t xml:space="preserve">regularly </w:t>
      </w:r>
      <w:r w:rsidR="00072C0D">
        <w:t>able to collect</w:t>
      </w:r>
      <w:r w:rsidR="00CC404C">
        <w:t xml:space="preserve"> </w:t>
      </w:r>
      <w:r w:rsidR="00DF5B48">
        <w:t xml:space="preserve">the </w:t>
      </w:r>
      <w:r w:rsidR="009B4BA0">
        <w:t>additional</w:t>
      </w:r>
      <w:r w:rsidR="00CC404C">
        <w:t xml:space="preserve"> data, </w:t>
      </w:r>
      <w:r w:rsidRPr="007E3500">
        <w:t>and with limited variables.</w:t>
      </w:r>
      <w:r>
        <w:t xml:space="preserve"> Therefore, an enhanced dosage model </w:t>
      </w:r>
      <w:r w:rsidRPr="002655F9">
        <w:t xml:space="preserve">will </w:t>
      </w:r>
      <w:r>
        <w:t xml:space="preserve">be used to </w:t>
      </w:r>
      <w:r w:rsidRPr="002655F9">
        <w:t xml:space="preserve">strengthen inferences about HS </w:t>
      </w:r>
      <w:r>
        <w:t>association with outcomes</w:t>
      </w:r>
      <w:r w:rsidRPr="002655F9">
        <w:t xml:space="preserve"> by going beyond treating duration of program participation as the sole aspect of women’s HS experiences to influence program impacts.</w:t>
      </w:r>
      <w:r>
        <w:t xml:space="preserve"> The evaluation will use </w:t>
      </w:r>
      <w:r w:rsidRPr="00723FB3">
        <w:t xml:space="preserve">data from </w:t>
      </w:r>
      <w:r>
        <w:t xml:space="preserve">up to nine </w:t>
      </w:r>
      <w:r w:rsidRPr="00723FB3">
        <w:t>grantees that collect participant data on the type and quantity of HS services to be able to reasonably measure HS inputs (e.g., number of prenatal visits arranged by HS, the number of prenatal depression support/services visits received from HS, and number of prenatal mental health counseling service sessions received from HS). The results of the basic and enhanced dosage analyses will be compared to determine the extent to which the information provided by the additional participant data from grantees is necessary to obtain an</w:t>
      </w:r>
      <w:r>
        <w:t xml:space="preserve"> </w:t>
      </w:r>
      <w:r w:rsidRPr="00217B95">
        <w:t>a</w:t>
      </w:r>
      <w:r>
        <w:t>pproximate</w:t>
      </w:r>
      <w:r w:rsidRPr="00217B95">
        <w:t xml:space="preserve"> </w:t>
      </w:r>
      <w:r w:rsidRPr="00723FB3">
        <w:t xml:space="preserve">representation of HS program dosage. </w:t>
      </w:r>
    </w:p>
    <w:p w:rsidR="00C43E58" w:rsidP="00E33AB5" w14:paraId="5706D41B" w14:textId="5FE4978D">
      <w:pPr>
        <w:ind w:firstLine="432"/>
        <w:rPr>
          <w:sz w:val="24"/>
        </w:rPr>
      </w:pPr>
      <w:r>
        <w:rPr>
          <w:sz w:val="24"/>
        </w:rPr>
        <w:t xml:space="preserve">We are proposing to conduct a </w:t>
      </w:r>
      <w:r w:rsidR="00341C2A">
        <w:rPr>
          <w:sz w:val="24"/>
        </w:rPr>
        <w:t>parallel</w:t>
      </w:r>
      <w:r>
        <w:rPr>
          <w:sz w:val="24"/>
        </w:rPr>
        <w:t xml:space="preserve"> analysis using propensity score matching (PSM) to provide support for the dosage model. However, </w:t>
      </w:r>
      <w:r w:rsidR="00341180">
        <w:rPr>
          <w:sz w:val="24"/>
        </w:rPr>
        <w:t>this analysis</w:t>
      </w:r>
      <w:r>
        <w:rPr>
          <w:sz w:val="24"/>
        </w:rPr>
        <w:t xml:space="preserve"> only makes it possible to look at a single outcome. T</w:t>
      </w:r>
      <w:r w:rsidRPr="003B6FEA">
        <w:rPr>
          <w:sz w:val="24"/>
        </w:rPr>
        <w:t>he outcome study will</w:t>
      </w:r>
      <w:r>
        <w:rPr>
          <w:sz w:val="24"/>
        </w:rPr>
        <w:t>, therefore,</w:t>
      </w:r>
      <w:r w:rsidRPr="003B6FEA">
        <w:rPr>
          <w:sz w:val="24"/>
        </w:rPr>
        <w:t xml:space="preserve"> also check the reliability of its dosage modeling approaches in one state for one central outcome</w:t>
      </w:r>
      <w:r>
        <w:rPr>
          <w:sz w:val="24"/>
        </w:rPr>
        <w:t xml:space="preserve">, a 0/1 indicator of </w:t>
      </w:r>
      <w:r w:rsidRPr="003B6FEA">
        <w:rPr>
          <w:sz w:val="24"/>
        </w:rPr>
        <w:t>full-term versus preterm birth</w:t>
      </w:r>
      <w:r>
        <w:rPr>
          <w:sz w:val="24"/>
        </w:rPr>
        <w:t xml:space="preserve">. </w:t>
      </w:r>
      <w:r w:rsidRPr="00644D22" w:rsidR="00644D22">
        <w:rPr>
          <w:sz w:val="24"/>
        </w:rPr>
        <w:t>The previous evaluation taught us that it is not feasible to obtain data use agreements with all states. This parallel analysis limits the number of data use agreements required while helping to ensure the consistency of the basic dosage model.</w:t>
      </w:r>
      <w:r w:rsidR="00644D22">
        <w:rPr>
          <w:sz w:val="24"/>
        </w:rPr>
        <w:t xml:space="preserve"> </w:t>
      </w:r>
      <w:r w:rsidRPr="002655F9">
        <w:rPr>
          <w:sz w:val="24"/>
        </w:rPr>
        <w:t>Reliability checks will use a comparison group methodology, choosing comparison groups from</w:t>
      </w:r>
      <w:r w:rsidR="00CA38C9">
        <w:rPr>
          <w:sz w:val="24"/>
        </w:rPr>
        <w:t xml:space="preserve"> </w:t>
      </w:r>
      <w:r w:rsidR="000419AD">
        <w:rPr>
          <w:sz w:val="24"/>
        </w:rPr>
        <w:t>VRO</w:t>
      </w:r>
      <w:r w:rsidRPr="002655F9">
        <w:rPr>
          <w:sz w:val="24"/>
        </w:rPr>
        <w:t xml:space="preserve"> data using PSM</w:t>
      </w:r>
      <w:r>
        <w:rPr>
          <w:sz w:val="24"/>
        </w:rPr>
        <w:t>.</w:t>
      </w:r>
      <w:r w:rsidRPr="003B6FEA">
        <w:rPr>
          <w:sz w:val="24"/>
        </w:rPr>
        <w:t xml:space="preserve"> Creating a counterfactual in this manner and contrasting the resulting impact findings to the original dosage model results will test the original methodology where its greatest risk of bias lies—in the possibility that some of the trend in outcomes modeled as dosage in fact results from differences in the types of mothers and children being compared. </w:t>
      </w:r>
      <w:r w:rsidRPr="002655F9">
        <w:rPr>
          <w:sz w:val="24"/>
        </w:rPr>
        <w:t xml:space="preserve">Impact estimates based on a vital records comparison group will not </w:t>
      </w:r>
      <w:r>
        <w:rPr>
          <w:sz w:val="24"/>
        </w:rPr>
        <w:t xml:space="preserve">include the dosage covariate </w:t>
      </w:r>
      <w:r w:rsidRPr="002655F9">
        <w:rPr>
          <w:sz w:val="24"/>
        </w:rPr>
        <w:t>and potential confounding factors. Moreover, the VRO system can supply a large sample of mothers who do not participate in HS as potential comparison group members.</w:t>
      </w:r>
      <w:r w:rsidRPr="003B6FEA">
        <w:rPr>
          <w:sz w:val="24"/>
        </w:rPr>
        <w:t xml:space="preserve"> </w:t>
      </w:r>
    </w:p>
    <w:p w:rsidR="00FD7B07" w:rsidP="00E03692" w14:paraId="077AFB8D" w14:textId="77777777">
      <w:pPr>
        <w:ind w:firstLine="432"/>
        <w:rPr>
          <w:sz w:val="24"/>
        </w:rPr>
      </w:pPr>
    </w:p>
    <w:p w:rsidR="00E03692" w:rsidRPr="003B6FEA" w:rsidP="00E03692" w14:paraId="4EB2C4A5" w14:textId="7FE4CC35">
      <w:pPr>
        <w:ind w:firstLine="432"/>
        <w:rPr>
          <w:sz w:val="24"/>
        </w:rPr>
      </w:pPr>
      <w:r w:rsidRPr="003B6FEA">
        <w:rPr>
          <w:sz w:val="24"/>
        </w:rPr>
        <w:t xml:space="preserve">Controlling for background characteristics should minimize this risk but there will likely be </w:t>
      </w:r>
      <w:r w:rsidR="001C2D99">
        <w:rPr>
          <w:sz w:val="24"/>
        </w:rPr>
        <w:t xml:space="preserve">other </w:t>
      </w:r>
      <w:r w:rsidRPr="003B6FEA">
        <w:rPr>
          <w:sz w:val="24"/>
        </w:rPr>
        <w:t xml:space="preserve">unmeasured characteristics of the mothers and infants that matter to outcomes and could create bias. To address this, the evaluation will, in one state, create alternative impact estimates that do not depend on the outcome-dosage relationship. </w:t>
      </w:r>
      <w:r w:rsidRPr="00923734">
        <w:rPr>
          <w:sz w:val="24"/>
        </w:rPr>
        <w:t>These will be comparison group findings from a state where a large sample of mothers who do not participate in HS can be obtained from vital records data.</w:t>
      </w:r>
      <w:r w:rsidRPr="003B6FEA">
        <w:rPr>
          <w:sz w:val="24"/>
        </w:rPr>
        <w:t xml:space="preserve">  Based on documentation of the HSMED and VRO data files, this analysis will use six predictor variables: woman’s age; race; woman’s educational attainment; infant death in a prior pregnancy; preterm birth in prior pregnancy; twins or multiples in current pregnancy. Even with alignment of these six variables, bias could still arise in the comparison group-based impact estimates. </w:t>
      </w:r>
      <w:r>
        <w:rPr>
          <w:sz w:val="24"/>
        </w:rPr>
        <w:t>For example,</w:t>
      </w:r>
      <w:r w:rsidRPr="003B6FEA">
        <w:rPr>
          <w:sz w:val="24"/>
        </w:rPr>
        <w:t xml:space="preserve"> </w:t>
      </w:r>
      <w:r>
        <w:rPr>
          <w:sz w:val="24"/>
        </w:rPr>
        <w:t xml:space="preserve">HS participants likely on average exceed </w:t>
      </w:r>
      <w:r>
        <w:rPr>
          <w:sz w:val="24"/>
        </w:rPr>
        <w:t>non HS</w:t>
      </w:r>
      <w:r>
        <w:rPr>
          <w:sz w:val="24"/>
        </w:rPr>
        <w:t xml:space="preserve"> mothers from VRO in their motivation to obtain good natal outcomes leading </w:t>
      </w:r>
      <w:r w:rsidR="00A4364D">
        <w:rPr>
          <w:sz w:val="24"/>
        </w:rPr>
        <w:t xml:space="preserve">to </w:t>
      </w:r>
      <w:r>
        <w:rPr>
          <w:sz w:val="24"/>
        </w:rPr>
        <w:t xml:space="preserve">more favorable outcomes – the upper bound of the impact estimate. Or, because the set of mothers in the VRO encompasses </w:t>
      </w:r>
      <w:r w:rsidRPr="00923734">
        <w:rPr>
          <w:sz w:val="24"/>
        </w:rPr>
        <w:t xml:space="preserve">substantially fewer </w:t>
      </w:r>
      <w:r>
        <w:rPr>
          <w:sz w:val="24"/>
        </w:rPr>
        <w:t>high risk</w:t>
      </w:r>
      <w:r>
        <w:rPr>
          <w:sz w:val="24"/>
        </w:rPr>
        <w:t xml:space="preserve"> groups, the outcomes for HS women may be less favorable – the lower bound estimate of impact.</w:t>
      </w:r>
      <w:r w:rsidR="00E74F48">
        <w:rPr>
          <w:sz w:val="24"/>
        </w:rPr>
        <w:t xml:space="preserve"> </w:t>
      </w:r>
      <w:r w:rsidRPr="003B6FEA">
        <w:rPr>
          <w:sz w:val="24"/>
        </w:rPr>
        <w:t>Two versions of this analysis should be undertaken, one where the bias, should it occur, is positive and the other where the bias is negative. Then, should findings from the dosage analysis fall between these results, the dosage approach and its model will</w:t>
      </w:r>
      <w:r w:rsidR="00341180">
        <w:rPr>
          <w:sz w:val="24"/>
        </w:rPr>
        <w:t xml:space="preserve"> be supported.</w:t>
      </w:r>
      <w:r w:rsidRPr="003B6FEA">
        <w:rPr>
          <w:sz w:val="24"/>
        </w:rPr>
        <w:t xml:space="preserve"> If the dosage model findings are incompatible with the bounds of the comparison analysis, a switch will be made to the next-best dosage model, and if necessary, a </w:t>
      </w:r>
      <w:r w:rsidRPr="003B6FEA">
        <w:rPr>
          <w:sz w:val="24"/>
        </w:rPr>
        <w:t xml:space="preserve">third-best model. The first successful model can then be implemented in all states using exclusively HS participant data. Obtaining impact assessments based on vital records from multiple states may be further beneficial for the </w:t>
      </w:r>
      <w:r>
        <w:rPr>
          <w:sz w:val="24"/>
        </w:rPr>
        <w:t>support</w:t>
      </w:r>
      <w:r w:rsidRPr="003B6FEA">
        <w:rPr>
          <w:sz w:val="24"/>
        </w:rPr>
        <w:t xml:space="preserve"> of the </w:t>
      </w:r>
      <w:r>
        <w:rPr>
          <w:sz w:val="24"/>
        </w:rPr>
        <w:t xml:space="preserve">basic </w:t>
      </w:r>
      <w:r w:rsidRPr="003B6FEA">
        <w:rPr>
          <w:sz w:val="24"/>
        </w:rPr>
        <w:t>dosage model, but given the additional resources and time needed for obtaining such VRO data, we did not consider it cost-effective and essential.</w:t>
      </w:r>
      <w:r>
        <w:rPr>
          <w:sz w:val="24"/>
        </w:rPr>
        <w:t xml:space="preserve"> </w:t>
      </w:r>
    </w:p>
    <w:p w:rsidR="00E03692" w:rsidRPr="00466547" w:rsidP="000419AD" w14:paraId="3B2EBAE5" w14:textId="4A8C6CA3">
      <w:pPr>
        <w:spacing w:before="240"/>
        <w:ind w:firstLine="432"/>
        <w:rPr>
          <w:sz w:val="24"/>
        </w:rPr>
      </w:pPr>
      <w:r>
        <w:rPr>
          <w:sz w:val="24"/>
        </w:rPr>
        <w:t xml:space="preserve">In addition to the outcome component, </w:t>
      </w:r>
      <w:r w:rsidRPr="00466547">
        <w:rPr>
          <w:sz w:val="24"/>
        </w:rPr>
        <w:t>an attempt has been made to capture some of the unique contributions of HS programs with additional methods such as the case study approach</w:t>
      </w:r>
      <w:r w:rsidR="0081378A">
        <w:t>.</w:t>
      </w:r>
      <w:r w:rsidRPr="00466547">
        <w:rPr>
          <w:sz w:val="24"/>
        </w:rPr>
        <w:t xml:space="preserve"> In the case study approach, we will use a small sample of up to 15 selected grantee programs that have a larger number of participants and established Community Action Networks to </w:t>
      </w:r>
      <w:r w:rsidRPr="006D085D">
        <w:rPr>
          <w:sz w:val="24"/>
        </w:rPr>
        <w:t>examine best practices shown by some grantees that may be applicable to other HS communities</w:t>
      </w:r>
      <w:r w:rsidRPr="00723FB3" w:rsidR="000419AD">
        <w:t xml:space="preserve">. </w:t>
      </w:r>
      <w:r w:rsidRPr="00466547">
        <w:rPr>
          <w:sz w:val="24"/>
        </w:rPr>
        <w:t>The rationale for selecting these grantees is because they are evaluable</w:t>
      </w:r>
      <w:r>
        <w:rPr>
          <w:sz w:val="24"/>
        </w:rPr>
        <w:t>,</w:t>
      </w:r>
      <w:r w:rsidRPr="00466547">
        <w:rPr>
          <w:sz w:val="24"/>
        </w:rPr>
        <w:t xml:space="preserve"> as they can contribute the data needed for this component of the evaluation.</w:t>
      </w:r>
      <w:r w:rsidR="000419AD">
        <w:rPr>
          <w:sz w:val="24"/>
        </w:rPr>
        <w:t xml:space="preserve"> </w:t>
      </w:r>
      <w:r w:rsidRPr="000419AD" w:rsidR="000419AD">
        <w:rPr>
          <w:sz w:val="24"/>
        </w:rPr>
        <w:t xml:space="preserve">While </w:t>
      </w:r>
      <w:r w:rsidR="006D640A">
        <w:rPr>
          <w:sz w:val="24"/>
        </w:rPr>
        <w:t>the case study approach</w:t>
      </w:r>
      <w:r w:rsidRPr="000419AD" w:rsidR="000419AD">
        <w:rPr>
          <w:sz w:val="24"/>
        </w:rPr>
        <w:t xml:space="preserve"> may limit generalizability, the goal is to identify successful strategies and processes of addressing challenges in program implementation that can be shared and adopted by less experienced grantees.</w:t>
      </w:r>
    </w:p>
    <w:p w:rsidR="00E03692" w:rsidRPr="00466547" w:rsidP="000419AD" w14:paraId="0AC4AB93" w14:textId="77777777">
      <w:pPr>
        <w:spacing w:before="240"/>
        <w:ind w:firstLine="432"/>
        <w:rPr>
          <w:sz w:val="24"/>
        </w:rPr>
      </w:pPr>
      <w:r w:rsidRPr="00466547">
        <w:rPr>
          <w:sz w:val="24"/>
        </w:rPr>
        <w:t xml:space="preserve">This comprehensive assessment is subject to some data limitations that may be challenging for the evaluation, including: (1) program data on HS participants collected by grantees may be subject to missing or incomplete data; (2) grantees may be unwilling to participate in the different data collection activities (surveys and interviews for case studies, additional participant data for enhanced dosage analysis) due to such factors as staff turnover and lack of staff resources; and (3) the inability of the evaluation contractor (due to the contract with HRSA) to provide monetary incentives to boost survey response rates. </w:t>
      </w:r>
    </w:p>
    <w:p w:rsidR="00723FB3" w:rsidRPr="00723FB3" w:rsidP="006D640A" w14:paraId="029118D9" w14:textId="5F96E5F2">
      <w:pPr>
        <w:pStyle w:val="NormalSS"/>
        <w:spacing w:before="240"/>
      </w:pPr>
      <w:r w:rsidRPr="00466547">
        <w:t xml:space="preserve">We will mitigate these challenges using a variety of strategies. To address missing or incomplete data, we will develop decision rules that specify the data elements that are included (and not included). To maximize participation of the </w:t>
      </w:r>
      <w:r w:rsidRPr="00466547">
        <w:t>Healthy</w:t>
      </w:r>
      <w:r w:rsidRPr="00466547">
        <w:t xml:space="preserve"> Start sites in the evaluation, the evaluation contractor has been engaging with the grantees to obtain their input in the evaluation and share findings at different meetings to highlight the importance of their contributions to this evaluation. Going forward, the evaluation contractor will continue to work with the grantees and be available to </w:t>
      </w:r>
      <w:r w:rsidRPr="00466547">
        <w:t>provide assistance</w:t>
      </w:r>
      <w:r w:rsidRPr="00466547">
        <w:t>. The assistance will include a dedicated toll-free telephone number and email address to answer questions and concerns with the goal to minimize burden as much as possible</w:t>
      </w:r>
      <w:r w:rsidR="0081378A">
        <w:t>.</w:t>
      </w:r>
    </w:p>
    <w:p w:rsidR="00BA1757" w:rsidRPr="008364D2" w:rsidP="00566DB7" w14:paraId="29C4303C" w14:textId="713E9BE3">
      <w:pPr>
        <w:pStyle w:val="Heading3"/>
        <w:rPr>
          <w:szCs w:val="24"/>
        </w:rPr>
      </w:pPr>
      <w:r w:rsidRPr="008364D2">
        <w:rPr>
          <w:szCs w:val="24"/>
          <w:u w:val="none"/>
        </w:rPr>
        <w:t>2.</w:t>
      </w:r>
      <w:r w:rsidRPr="008364D2" w:rsidR="00566DB7">
        <w:rPr>
          <w:szCs w:val="24"/>
          <w:u w:val="none"/>
        </w:rPr>
        <w:tab/>
      </w:r>
      <w:r w:rsidRPr="008364D2" w:rsidR="002345C1">
        <w:rPr>
          <w:szCs w:val="24"/>
        </w:rPr>
        <w:t xml:space="preserve">Procedures for the </w:t>
      </w:r>
      <w:r w:rsidR="00FC557F">
        <w:rPr>
          <w:szCs w:val="24"/>
        </w:rPr>
        <w:t>C</w:t>
      </w:r>
      <w:r w:rsidRPr="008364D2">
        <w:rPr>
          <w:szCs w:val="24"/>
        </w:rPr>
        <w:t xml:space="preserve">ollection of </w:t>
      </w:r>
      <w:r w:rsidR="00FC557F">
        <w:rPr>
          <w:szCs w:val="24"/>
        </w:rPr>
        <w:t>I</w:t>
      </w:r>
      <w:r w:rsidRPr="008364D2">
        <w:rPr>
          <w:szCs w:val="24"/>
        </w:rPr>
        <w:t>nformation</w:t>
      </w:r>
    </w:p>
    <w:p w:rsidR="006C3D62" w:rsidRPr="008364D2" w:rsidP="00394658" w14:paraId="453EAA3A" w14:textId="5E67F0A4">
      <w:pPr>
        <w:pStyle w:val="Heading4"/>
        <w:spacing w:before="240" w:after="0"/>
      </w:pPr>
      <w:r w:rsidRPr="008364D2">
        <w:t>Healt</w:t>
      </w:r>
      <w:r w:rsidRPr="008364D2" w:rsidR="00AA50FA">
        <w:t xml:space="preserve">hy Start </w:t>
      </w:r>
      <w:r w:rsidRPr="008364D2" w:rsidR="00D07301">
        <w:t>P</w:t>
      </w:r>
      <w:r w:rsidRPr="008364D2">
        <w:t xml:space="preserve">rogram </w:t>
      </w:r>
      <w:r w:rsidRPr="008364D2" w:rsidR="00D07301">
        <w:t>S</w:t>
      </w:r>
      <w:r w:rsidRPr="008364D2">
        <w:t>urvey</w:t>
      </w:r>
    </w:p>
    <w:p w:rsidR="006C3D62" w:rsidRPr="008364D2" w:rsidP="00B26D7B" w14:paraId="10154A11" w14:textId="734F6A4C">
      <w:pPr>
        <w:pStyle w:val="NormalSS"/>
      </w:pPr>
      <w:r>
        <w:t>The Healthy Start Program Survey will be conducted with all Healthy Start grantees</w:t>
      </w:r>
      <w:r w:rsidR="3225D6A1">
        <w:t xml:space="preserve"> </w:t>
      </w:r>
      <w:r w:rsidR="4BA3DF45">
        <w:t xml:space="preserve">over </w:t>
      </w:r>
      <w:r w:rsidR="6380731D">
        <w:t xml:space="preserve">a period of </w:t>
      </w:r>
      <w:r w:rsidR="4BA3DF45">
        <w:t>two</w:t>
      </w:r>
      <w:r w:rsidR="6095BC3F">
        <w:t xml:space="preserve"> </w:t>
      </w:r>
      <w:r w:rsidR="4BA3DF45">
        <w:t>month</w:t>
      </w:r>
      <w:r w:rsidR="6E56C629">
        <w:t>s</w:t>
      </w:r>
      <w:r w:rsidR="4BA3DF45">
        <w:t xml:space="preserve"> </w:t>
      </w:r>
      <w:r w:rsidR="52ACA56F">
        <w:t>in the</w:t>
      </w:r>
      <w:r w:rsidR="47237111">
        <w:t xml:space="preserve"> </w:t>
      </w:r>
      <w:r w:rsidR="72807FE9">
        <w:t>second year of the evaluation</w:t>
      </w:r>
      <w:r>
        <w:t xml:space="preserve">. The survey is designed to be self-administered through a web-based application by Healthy Start staff. The web-based application will allow respondents to stop and save the survey and return to it later, reducing burden as they may complete it at their convenience. In addition, internal skip patterns and range checks will be programmed into the survey to ensure </w:t>
      </w:r>
      <w:r w:rsidR="4BA3DF45">
        <w:t xml:space="preserve">the accuracy of data and </w:t>
      </w:r>
      <w:r>
        <w:t>that respondents do not answer questions unnecessar</w:t>
      </w:r>
      <w:r w:rsidR="4BA3DF45">
        <w:t>il</w:t>
      </w:r>
      <w:r>
        <w:t>y. All Healthy Start project directors will be emailed a link to the survey for completion. Once they complete the survey, they wi</w:t>
      </w:r>
      <w:r w:rsidR="3225D6A1">
        <w:t>ll click on</w:t>
      </w:r>
      <w:r>
        <w:t xml:space="preserve"> a submit button</w:t>
      </w:r>
      <w:r w:rsidR="3225D6A1">
        <w:t>.</w:t>
      </w:r>
      <w:r>
        <w:t xml:space="preserve"> </w:t>
      </w:r>
      <w:r w:rsidR="3225D6A1">
        <w:t>The web-</w:t>
      </w:r>
      <w:r w:rsidR="3225D6A1">
        <w:t xml:space="preserve">based application will flag incomplete surveys weekly and grantees will receive email reminders to complete the survey. </w:t>
      </w:r>
    </w:p>
    <w:p w:rsidR="006C3D62" w:rsidRPr="008364D2" w:rsidP="00E20CCF" w14:paraId="1BC71D3C" w14:textId="5E0B8C55">
      <w:pPr>
        <w:pStyle w:val="Heading4"/>
        <w:spacing w:after="0"/>
      </w:pPr>
      <w:r w:rsidRPr="008364D2">
        <w:t>Healthy Start</w:t>
      </w:r>
      <w:r w:rsidRPr="008364D2">
        <w:t xml:space="preserve"> Network </w:t>
      </w:r>
      <w:r w:rsidRPr="008364D2" w:rsidR="00D07301">
        <w:t>S</w:t>
      </w:r>
      <w:r w:rsidRPr="008364D2">
        <w:t>urvey</w:t>
      </w:r>
    </w:p>
    <w:p w:rsidR="00A050E4" w:rsidRPr="008364D2" w:rsidP="00B26D7B" w14:paraId="40B93CF8" w14:textId="0871051E">
      <w:pPr>
        <w:pStyle w:val="NormalSS"/>
        <w:rPr>
          <w:color w:val="FF0000"/>
        </w:rPr>
      </w:pPr>
      <w:r w:rsidRPr="008364D2">
        <w:t xml:space="preserve">The </w:t>
      </w:r>
      <w:r w:rsidRPr="008364D2" w:rsidR="0095227A">
        <w:t xml:space="preserve">Healthy Start Network </w:t>
      </w:r>
      <w:r w:rsidRPr="008364D2">
        <w:t xml:space="preserve">Survey will be conducted </w:t>
      </w:r>
      <w:r w:rsidRPr="008364D2" w:rsidR="006A6525">
        <w:t xml:space="preserve">over a </w:t>
      </w:r>
      <w:r w:rsidRPr="008364D2" w:rsidR="0099785D">
        <w:t>t</w:t>
      </w:r>
      <w:r w:rsidR="0099785D">
        <w:t>hree</w:t>
      </w:r>
      <w:r w:rsidRPr="008364D2" w:rsidR="006A6525">
        <w:t xml:space="preserve">-month period at </w:t>
      </w:r>
      <w:r w:rsidRPr="008364D2" w:rsidR="001608C4">
        <w:t xml:space="preserve">15 </w:t>
      </w:r>
      <w:r w:rsidRPr="008364D2" w:rsidR="006A6525">
        <w:t xml:space="preserve">Healthy Start sites selected for </w:t>
      </w:r>
      <w:r w:rsidRPr="008364D2" w:rsidR="001608C4">
        <w:t>case stud</w:t>
      </w:r>
      <w:r w:rsidRPr="008364D2" w:rsidR="006A6525">
        <w:t xml:space="preserve">ies. Each case study site will be asked to provide names </w:t>
      </w:r>
      <w:r w:rsidRPr="008364D2" w:rsidR="00811721">
        <w:t xml:space="preserve">and email addresses </w:t>
      </w:r>
      <w:r w:rsidRPr="008364D2" w:rsidR="006A6525">
        <w:t xml:space="preserve">of </w:t>
      </w:r>
      <w:r w:rsidR="0099785D">
        <w:t>their</w:t>
      </w:r>
      <w:r w:rsidRPr="008364D2" w:rsidR="0095227A">
        <w:t xml:space="preserve"> </w:t>
      </w:r>
      <w:r w:rsidRPr="008364D2" w:rsidR="00207520">
        <w:t xml:space="preserve">active </w:t>
      </w:r>
      <w:r w:rsidRPr="008364D2">
        <w:t xml:space="preserve">CAN </w:t>
      </w:r>
      <w:r w:rsidRPr="008364D2" w:rsidR="00811721">
        <w:t>members.</w:t>
      </w:r>
      <w:r w:rsidRPr="008364D2" w:rsidR="00207520">
        <w:t xml:space="preserve">  </w:t>
      </w:r>
      <w:r w:rsidRPr="008364D2" w:rsidR="006A6525">
        <w:t>The survey will be fielded in</w:t>
      </w:r>
      <w:r w:rsidRPr="008364D2" w:rsidR="0095227A">
        <w:t xml:space="preserve"> the </w:t>
      </w:r>
      <w:r w:rsidRPr="008364D2" w:rsidR="00DF7505">
        <w:t>third year of the evaluation</w:t>
      </w:r>
      <w:r w:rsidRPr="008364D2" w:rsidR="000969EB">
        <w:t xml:space="preserve"> </w:t>
      </w:r>
      <w:r w:rsidRPr="008364D2" w:rsidR="006A6525">
        <w:t>to</w:t>
      </w:r>
      <w:r w:rsidRPr="008364D2" w:rsidR="000969EB">
        <w:t xml:space="preserve"> a total of 600 respondents</w:t>
      </w:r>
      <w:r w:rsidRPr="008364D2" w:rsidR="0095227A">
        <w:t xml:space="preserve">. </w:t>
      </w:r>
      <w:r w:rsidRPr="008364D2">
        <w:t xml:space="preserve">The survey is designed to be self-administered through a web-based application by </w:t>
      </w:r>
      <w:r w:rsidRPr="008364D2" w:rsidR="008536B6">
        <w:t>CAN members</w:t>
      </w:r>
      <w:r w:rsidRPr="008364D2">
        <w:t xml:space="preserve">. The survey will take approximately </w:t>
      </w:r>
      <w:r w:rsidRPr="008364D2" w:rsidR="00811721">
        <w:t>2</w:t>
      </w:r>
      <w:r w:rsidRPr="008364D2" w:rsidR="000969EB">
        <w:t>0</w:t>
      </w:r>
      <w:r w:rsidRPr="008364D2" w:rsidR="008536B6">
        <w:t xml:space="preserve"> minutes to complete</w:t>
      </w:r>
      <w:r w:rsidRPr="008364D2">
        <w:t>.</w:t>
      </w:r>
      <w:r w:rsidRPr="008364D2">
        <w:rPr>
          <w:color w:val="FF0000"/>
        </w:rPr>
        <w:t xml:space="preserve"> </w:t>
      </w:r>
      <w:r w:rsidRPr="008364D2">
        <w:t>The web-based application will allow respondents to stop</w:t>
      </w:r>
      <w:r w:rsidRPr="008364D2" w:rsidR="00BC0564">
        <w:t xml:space="preserve">, </w:t>
      </w:r>
      <w:r w:rsidRPr="008364D2">
        <w:t>save the survey</w:t>
      </w:r>
      <w:r w:rsidRPr="008364D2" w:rsidR="00BC0564">
        <w:t>,</w:t>
      </w:r>
      <w:r w:rsidRPr="008364D2">
        <w:t xml:space="preserve"> and return to it </w:t>
      </w:r>
      <w:r w:rsidRPr="008364D2">
        <w:t>at a later time</w:t>
      </w:r>
      <w:r w:rsidRPr="008364D2" w:rsidR="00551E9E">
        <w:t>,</w:t>
      </w:r>
      <w:r w:rsidRPr="008364D2" w:rsidR="00BC0564">
        <w:t xml:space="preserve"> thus</w:t>
      </w:r>
      <w:r w:rsidRPr="008364D2">
        <w:t xml:space="preserve"> reducing burden as they may complete it at their convenience. In addition, internal skip patterns and range checks will be programmed into the survey to ensure </w:t>
      </w:r>
      <w:r w:rsidRPr="008364D2" w:rsidR="00BC0564">
        <w:t xml:space="preserve">the accuracy of data and </w:t>
      </w:r>
      <w:r w:rsidRPr="008364D2">
        <w:t>that respondents do not answer questions unnecessar</w:t>
      </w:r>
      <w:r w:rsidRPr="008364D2" w:rsidR="00BC0564">
        <w:t>il</w:t>
      </w:r>
      <w:r w:rsidRPr="008364D2">
        <w:t xml:space="preserve">y. </w:t>
      </w:r>
      <w:r w:rsidRPr="008364D2" w:rsidR="008536B6">
        <w:t>Active CAN members</w:t>
      </w:r>
      <w:r w:rsidRPr="008364D2">
        <w:t xml:space="preserve"> will be emailed a link to the survey for completion. </w:t>
      </w:r>
      <w:r w:rsidRPr="008364D2" w:rsidR="008536B6">
        <w:t>Once CAN members</w:t>
      </w:r>
      <w:r w:rsidRPr="008364D2">
        <w:t xml:space="preserve"> complete the survey, they will click on a submit button and </w:t>
      </w:r>
      <w:r w:rsidRPr="008364D2" w:rsidR="004301DE">
        <w:t>web programming staff</w:t>
      </w:r>
      <w:r w:rsidRPr="008364D2">
        <w:t xml:space="preserve"> will be informed that the </w:t>
      </w:r>
      <w:r w:rsidRPr="008364D2" w:rsidR="008536B6">
        <w:t xml:space="preserve">CAN member </w:t>
      </w:r>
      <w:r w:rsidRPr="008364D2">
        <w:t>completed the survey. The web-based application will flag incomp</w:t>
      </w:r>
      <w:r w:rsidRPr="008364D2" w:rsidR="008536B6">
        <w:t>lete surveys weekly</w:t>
      </w:r>
      <w:r w:rsidRPr="008364D2" w:rsidR="00551E9E">
        <w:t>,</w:t>
      </w:r>
      <w:r w:rsidRPr="008364D2" w:rsidR="008536B6">
        <w:t xml:space="preserve"> and CAN members</w:t>
      </w:r>
      <w:r w:rsidRPr="008364D2">
        <w:t xml:space="preserve"> will receive email reminders to complete the survey. </w:t>
      </w:r>
    </w:p>
    <w:p w:rsidR="000E355E" w:rsidRPr="008364D2" w:rsidP="00426E53" w14:paraId="7461ECA5" w14:textId="11D09263">
      <w:pPr>
        <w:pStyle w:val="Heading4"/>
        <w:spacing w:after="0"/>
      </w:pPr>
      <w:r w:rsidRPr="008364D2">
        <w:t>Healthy Start Participant Survey</w:t>
      </w:r>
    </w:p>
    <w:p w:rsidR="006A6525" w:rsidRPr="008364D2" w:rsidP="006A6525" w14:paraId="098CA9FF" w14:textId="0653466A">
      <w:pPr>
        <w:ind w:firstLine="432"/>
        <w:rPr>
          <w:sz w:val="24"/>
        </w:rPr>
      </w:pPr>
      <w:r w:rsidRPr="008364D2">
        <w:rPr>
          <w:sz w:val="24"/>
        </w:rPr>
        <w:t xml:space="preserve">The Healthy Start Participant Survey will be conducted </w:t>
      </w:r>
      <w:r w:rsidRPr="008364D2" w:rsidR="006F4326">
        <w:rPr>
          <w:sz w:val="24"/>
        </w:rPr>
        <w:t>over a two-month period at</w:t>
      </w:r>
      <w:r w:rsidRPr="008364D2">
        <w:rPr>
          <w:sz w:val="24"/>
        </w:rPr>
        <w:t xml:space="preserve"> the15 </w:t>
      </w:r>
      <w:r w:rsidRPr="008364D2" w:rsidR="006F4326">
        <w:rPr>
          <w:sz w:val="24"/>
        </w:rPr>
        <w:t xml:space="preserve">Healthy Start sites selected for the case studies. </w:t>
      </w:r>
      <w:r w:rsidRPr="008364D2" w:rsidR="00273F81">
        <w:rPr>
          <w:sz w:val="24"/>
        </w:rPr>
        <w:t xml:space="preserve">The survey will be fielded in the </w:t>
      </w:r>
      <w:r w:rsidRPr="008364D2" w:rsidR="00777AF5">
        <w:rPr>
          <w:sz w:val="24"/>
        </w:rPr>
        <w:t>third year of the evaluation</w:t>
      </w:r>
      <w:r w:rsidRPr="008364D2" w:rsidR="00273F81">
        <w:rPr>
          <w:sz w:val="24"/>
        </w:rPr>
        <w:t xml:space="preserve"> to a total of 750 Healthy Start participants. </w:t>
      </w:r>
      <w:r w:rsidRPr="008364D2" w:rsidR="006F4326">
        <w:rPr>
          <w:sz w:val="24"/>
        </w:rPr>
        <w:t xml:space="preserve">The </w:t>
      </w:r>
      <w:r w:rsidRPr="008364D2" w:rsidR="006F0947">
        <w:rPr>
          <w:sz w:val="24"/>
        </w:rPr>
        <w:t>project</w:t>
      </w:r>
      <w:r w:rsidRPr="008364D2" w:rsidR="006F4326">
        <w:rPr>
          <w:sz w:val="24"/>
        </w:rPr>
        <w:t xml:space="preserve"> directors at the 15 case study sites will be</w:t>
      </w:r>
      <w:r w:rsidRPr="008364D2" w:rsidR="00273F81">
        <w:rPr>
          <w:sz w:val="24"/>
        </w:rPr>
        <w:t xml:space="preserve"> asked </w:t>
      </w:r>
      <w:r w:rsidR="00F64818">
        <w:rPr>
          <w:sz w:val="24"/>
        </w:rPr>
        <w:t xml:space="preserve">for the email addresses </w:t>
      </w:r>
      <w:r w:rsidR="006C652D">
        <w:rPr>
          <w:sz w:val="24"/>
        </w:rPr>
        <w:t xml:space="preserve">and phone numbers </w:t>
      </w:r>
      <w:r w:rsidR="00F64818">
        <w:rPr>
          <w:sz w:val="24"/>
        </w:rPr>
        <w:t xml:space="preserve">of </w:t>
      </w:r>
      <w:r w:rsidRPr="00817F1B" w:rsidR="00442414">
        <w:rPr>
          <w:sz w:val="24"/>
        </w:rPr>
        <w:t>currently enrolled</w:t>
      </w:r>
      <w:r w:rsidR="00817F1B">
        <w:rPr>
          <w:sz w:val="24"/>
        </w:rPr>
        <w:t xml:space="preserve"> and</w:t>
      </w:r>
      <w:r w:rsidR="009237FB">
        <w:rPr>
          <w:sz w:val="24"/>
        </w:rPr>
        <w:t xml:space="preserve"> active</w:t>
      </w:r>
      <w:r w:rsidR="00442414">
        <w:rPr>
          <w:sz w:val="24"/>
        </w:rPr>
        <w:t xml:space="preserve"> </w:t>
      </w:r>
      <w:r w:rsidRPr="008364D2" w:rsidR="006F0947">
        <w:rPr>
          <w:sz w:val="24"/>
        </w:rPr>
        <w:t xml:space="preserve">Healthy Start participants. </w:t>
      </w:r>
      <w:r w:rsidR="008929AB">
        <w:rPr>
          <w:sz w:val="24"/>
        </w:rPr>
        <w:t>We will email</w:t>
      </w:r>
      <w:r w:rsidR="00F64818">
        <w:rPr>
          <w:sz w:val="24"/>
        </w:rPr>
        <w:t xml:space="preserve"> participants </w:t>
      </w:r>
      <w:r w:rsidR="008929AB">
        <w:rPr>
          <w:sz w:val="24"/>
        </w:rPr>
        <w:t>with</w:t>
      </w:r>
      <w:r w:rsidRPr="008364D2" w:rsidR="006F0947">
        <w:rPr>
          <w:sz w:val="24"/>
        </w:rPr>
        <w:t xml:space="preserve"> </w:t>
      </w:r>
      <w:r w:rsidR="00F64818">
        <w:rPr>
          <w:sz w:val="24"/>
        </w:rPr>
        <w:t>a</w:t>
      </w:r>
      <w:r w:rsidRPr="008364D2" w:rsidR="006F0947">
        <w:rPr>
          <w:sz w:val="24"/>
        </w:rPr>
        <w:t xml:space="preserve"> web survey link </w:t>
      </w:r>
      <w:r w:rsidR="00F64818">
        <w:rPr>
          <w:sz w:val="24"/>
        </w:rPr>
        <w:t xml:space="preserve">for completion, and the email </w:t>
      </w:r>
      <w:r w:rsidRPr="008364D2" w:rsidR="006F0947">
        <w:rPr>
          <w:sz w:val="24"/>
        </w:rPr>
        <w:t xml:space="preserve">will also </w:t>
      </w:r>
      <w:r w:rsidRPr="008364D2" w:rsidR="008F48D8">
        <w:rPr>
          <w:sz w:val="24"/>
        </w:rPr>
        <w:t xml:space="preserve">contain </w:t>
      </w:r>
      <w:r w:rsidR="008F48D8">
        <w:rPr>
          <w:sz w:val="24"/>
        </w:rPr>
        <w:t>contact</w:t>
      </w:r>
      <w:r w:rsidRPr="008364D2" w:rsidR="006F0947">
        <w:rPr>
          <w:sz w:val="24"/>
        </w:rPr>
        <w:t xml:space="preserve"> information (an email address and a telephone number) for assistance to complete the survey. </w:t>
      </w:r>
      <w:r w:rsidR="008929AB">
        <w:rPr>
          <w:sz w:val="24"/>
        </w:rPr>
        <w:t xml:space="preserve">If grantees do not wish to share participant email addresses, the program staff </w:t>
      </w:r>
      <w:r w:rsidR="008F48D8">
        <w:rPr>
          <w:sz w:val="24"/>
        </w:rPr>
        <w:t xml:space="preserve">will be asked </w:t>
      </w:r>
      <w:r w:rsidR="008929AB">
        <w:rPr>
          <w:sz w:val="24"/>
        </w:rPr>
        <w:t xml:space="preserve">to forward the email about the survey to participants. </w:t>
      </w:r>
      <w:r w:rsidRPr="008364D2" w:rsidR="00273F81">
        <w:rPr>
          <w:sz w:val="24"/>
        </w:rPr>
        <w:t xml:space="preserve">The survey is designed to be self-administered through a web-based application by </w:t>
      </w:r>
      <w:r w:rsidRPr="008364D2" w:rsidR="006F0947">
        <w:rPr>
          <w:sz w:val="24"/>
        </w:rPr>
        <w:t>Healthy Start participant</w:t>
      </w:r>
      <w:r w:rsidRPr="008364D2" w:rsidR="00273F81">
        <w:rPr>
          <w:sz w:val="24"/>
        </w:rPr>
        <w:t xml:space="preserve">s. The </w:t>
      </w:r>
      <w:r w:rsidRPr="008364D2" w:rsidR="00F94D3C">
        <w:rPr>
          <w:sz w:val="24"/>
        </w:rPr>
        <w:t xml:space="preserve">survey will take approximately </w:t>
      </w:r>
      <w:r w:rsidRPr="008364D2" w:rsidR="00811721">
        <w:rPr>
          <w:sz w:val="24"/>
        </w:rPr>
        <w:t>15</w:t>
      </w:r>
      <w:r w:rsidRPr="008364D2" w:rsidR="00273F81">
        <w:rPr>
          <w:sz w:val="24"/>
        </w:rPr>
        <w:t xml:space="preserve"> minutes to complete. The web-based application will allow respondents to stop, save the survey, and return to it </w:t>
      </w:r>
      <w:r w:rsidRPr="008364D2" w:rsidR="00273F81">
        <w:rPr>
          <w:sz w:val="24"/>
        </w:rPr>
        <w:t>at a later time</w:t>
      </w:r>
      <w:r w:rsidRPr="008364D2" w:rsidR="00273F81">
        <w:rPr>
          <w:sz w:val="24"/>
        </w:rPr>
        <w:t>, thus reducing burden as they may complete it at their convenience. In addition, internal skip patterns and range checks will be programmed into the survey to ensure the accuracy of data and that respondents do not answer questions unnecessarily.</w:t>
      </w:r>
      <w:r w:rsidRPr="008364D2" w:rsidR="006F0947">
        <w:rPr>
          <w:sz w:val="24"/>
        </w:rPr>
        <w:t xml:space="preserve"> For participants who have difficulty completing the survey over the web, assistance will be offered to help </w:t>
      </w:r>
      <w:r w:rsidRPr="008364D2" w:rsidR="00A321E2">
        <w:rPr>
          <w:sz w:val="24"/>
        </w:rPr>
        <w:t xml:space="preserve">them </w:t>
      </w:r>
      <w:r w:rsidRPr="008364D2" w:rsidR="006F0947">
        <w:rPr>
          <w:sz w:val="24"/>
        </w:rPr>
        <w:t>complete the survey over email or by telephone.</w:t>
      </w:r>
    </w:p>
    <w:p w:rsidR="006A6525" w:rsidRPr="008364D2" w:rsidP="006A6525" w14:paraId="49E0E716" w14:textId="77777777">
      <w:pPr>
        <w:rPr>
          <w:sz w:val="24"/>
        </w:rPr>
      </w:pPr>
    </w:p>
    <w:p w:rsidR="00AC360A" w:rsidRPr="008364D2" w:rsidP="00AC360A" w14:paraId="311D03F6" w14:textId="4493BA13">
      <w:pPr>
        <w:rPr>
          <w:b/>
          <w:bCs/>
          <w:iCs/>
          <w:sz w:val="24"/>
        </w:rPr>
      </w:pPr>
      <w:r w:rsidRPr="008364D2">
        <w:rPr>
          <w:b/>
          <w:bCs/>
          <w:iCs/>
          <w:sz w:val="24"/>
        </w:rPr>
        <w:t xml:space="preserve">Healthy Start </w:t>
      </w:r>
      <w:r w:rsidRPr="008364D2" w:rsidR="00060371">
        <w:rPr>
          <w:b/>
          <w:bCs/>
          <w:iCs/>
          <w:sz w:val="24"/>
        </w:rPr>
        <w:t>Stakeholder Interview Guide</w:t>
      </w:r>
    </w:p>
    <w:p w:rsidR="000E355E" w:rsidRPr="008364D2" w:rsidP="39679373" w14:paraId="4FAEFC46" w14:textId="4DE26CC4">
      <w:pPr>
        <w:ind w:firstLine="432"/>
        <w:rPr>
          <w:sz w:val="24"/>
        </w:rPr>
      </w:pPr>
      <w:r w:rsidRPr="39679373">
        <w:rPr>
          <w:sz w:val="24"/>
        </w:rPr>
        <w:t>Key informant interviews will be conducted using the Healthy Start Stakeholder Interview Guide during site</w:t>
      </w:r>
      <w:r w:rsidRPr="39679373" w:rsidR="504D51CA">
        <w:rPr>
          <w:sz w:val="24"/>
        </w:rPr>
        <w:t xml:space="preserve"> visits </w:t>
      </w:r>
      <w:r w:rsidRPr="39679373">
        <w:rPr>
          <w:sz w:val="24"/>
        </w:rPr>
        <w:t>to the</w:t>
      </w:r>
      <w:r w:rsidRPr="39679373" w:rsidR="05310895">
        <w:rPr>
          <w:sz w:val="24"/>
        </w:rPr>
        <w:t xml:space="preserve"> </w:t>
      </w:r>
      <w:r w:rsidRPr="39679373" w:rsidR="504D51CA">
        <w:rPr>
          <w:sz w:val="24"/>
        </w:rPr>
        <w:t>15 Healthy Start sites selected for the case studies</w:t>
      </w:r>
      <w:r w:rsidRPr="39679373" w:rsidR="00FBEEC6">
        <w:rPr>
          <w:sz w:val="24"/>
        </w:rPr>
        <w:t xml:space="preserve"> in the </w:t>
      </w:r>
      <w:r w:rsidRPr="39679373" w:rsidR="11B792A0">
        <w:rPr>
          <w:sz w:val="24"/>
        </w:rPr>
        <w:t>second and third year of the evaluation</w:t>
      </w:r>
      <w:r w:rsidRPr="39679373" w:rsidR="504D51CA">
        <w:rPr>
          <w:sz w:val="24"/>
        </w:rPr>
        <w:t xml:space="preserve">. At each site visit, we will schedule meetings to conduct </w:t>
      </w:r>
      <w:r w:rsidRPr="39679373" w:rsidR="05310895">
        <w:rPr>
          <w:sz w:val="24"/>
        </w:rPr>
        <w:t xml:space="preserve">individual or small group </w:t>
      </w:r>
      <w:r w:rsidRPr="39679373" w:rsidR="504D51CA">
        <w:rPr>
          <w:sz w:val="24"/>
        </w:rPr>
        <w:t xml:space="preserve">interviews with </w:t>
      </w:r>
      <w:r w:rsidRPr="39679373" w:rsidR="00FBEEC6">
        <w:rPr>
          <w:sz w:val="24"/>
        </w:rPr>
        <w:t xml:space="preserve">the </w:t>
      </w:r>
      <w:r w:rsidRPr="39679373" w:rsidR="11B792A0">
        <w:rPr>
          <w:sz w:val="24"/>
        </w:rPr>
        <w:t>program</w:t>
      </w:r>
      <w:r w:rsidRPr="39679373" w:rsidR="504D51CA">
        <w:rPr>
          <w:sz w:val="24"/>
        </w:rPr>
        <w:t xml:space="preserve"> director, </w:t>
      </w:r>
      <w:r w:rsidRPr="39679373" w:rsidR="60350C60">
        <w:rPr>
          <w:sz w:val="24"/>
        </w:rPr>
        <w:t xml:space="preserve">data/evaluation team members, </w:t>
      </w:r>
      <w:r w:rsidRPr="39679373" w:rsidR="504D51CA">
        <w:rPr>
          <w:sz w:val="24"/>
        </w:rPr>
        <w:t xml:space="preserve">case managers, fatherhood coordinator, CAN coordinator, </w:t>
      </w:r>
      <w:r w:rsidRPr="39679373" w:rsidR="7AE8A21D">
        <w:rPr>
          <w:sz w:val="24"/>
        </w:rPr>
        <w:t xml:space="preserve">outreach staff, </w:t>
      </w:r>
      <w:r w:rsidRPr="39679373" w:rsidR="71D3CD08">
        <w:rPr>
          <w:sz w:val="24"/>
        </w:rPr>
        <w:t xml:space="preserve">and </w:t>
      </w:r>
      <w:r w:rsidRPr="39679373" w:rsidR="7AE8A21D">
        <w:rPr>
          <w:sz w:val="24"/>
        </w:rPr>
        <w:t>o</w:t>
      </w:r>
      <w:r w:rsidRPr="39679373" w:rsidR="504D51CA">
        <w:rPr>
          <w:sz w:val="24"/>
        </w:rPr>
        <w:t xml:space="preserve">ther </w:t>
      </w:r>
      <w:r w:rsidRPr="39679373" w:rsidR="05310895">
        <w:rPr>
          <w:sz w:val="24"/>
        </w:rPr>
        <w:t xml:space="preserve">identified </w:t>
      </w:r>
      <w:r w:rsidRPr="39679373" w:rsidR="504D51CA">
        <w:rPr>
          <w:sz w:val="24"/>
        </w:rPr>
        <w:t xml:space="preserve">staff responsible for project </w:t>
      </w:r>
      <w:r w:rsidRPr="39679373" w:rsidR="05310895">
        <w:rPr>
          <w:sz w:val="24"/>
        </w:rPr>
        <w:t>activities</w:t>
      </w:r>
      <w:r w:rsidRPr="39679373" w:rsidR="504D51CA">
        <w:rPr>
          <w:sz w:val="24"/>
        </w:rPr>
        <w:t xml:space="preserve">. </w:t>
      </w:r>
      <w:r w:rsidRPr="39679373" w:rsidR="11B792A0">
        <w:rPr>
          <w:sz w:val="24"/>
        </w:rPr>
        <w:t>I</w:t>
      </w:r>
      <w:r w:rsidRPr="39679373" w:rsidR="504D51CA">
        <w:rPr>
          <w:sz w:val="24"/>
        </w:rPr>
        <w:t xml:space="preserve">nterviews </w:t>
      </w:r>
      <w:r w:rsidRPr="39679373" w:rsidR="11B792A0">
        <w:rPr>
          <w:sz w:val="24"/>
        </w:rPr>
        <w:t xml:space="preserve">lasting </w:t>
      </w:r>
      <w:r w:rsidRPr="39679373" w:rsidR="71D3CD08">
        <w:rPr>
          <w:sz w:val="24"/>
        </w:rPr>
        <w:t>approximately</w:t>
      </w:r>
      <w:r w:rsidRPr="39679373" w:rsidR="11B792A0">
        <w:rPr>
          <w:sz w:val="24"/>
        </w:rPr>
        <w:t xml:space="preserve"> 45 minutes </w:t>
      </w:r>
      <w:r w:rsidRPr="39679373" w:rsidR="504D51CA">
        <w:rPr>
          <w:sz w:val="24"/>
        </w:rPr>
        <w:t xml:space="preserve">will be conducted with these key informants at each site. We anticipate </w:t>
      </w:r>
      <w:r w:rsidRPr="39679373" w:rsidR="7AE8A21D">
        <w:rPr>
          <w:sz w:val="24"/>
        </w:rPr>
        <w:t>up to 10</w:t>
      </w:r>
      <w:r w:rsidRPr="39679373" w:rsidR="504D51CA">
        <w:rPr>
          <w:sz w:val="24"/>
        </w:rPr>
        <w:t xml:space="preserve"> </w:t>
      </w:r>
      <w:r w:rsidRPr="39679373" w:rsidR="11B792A0">
        <w:rPr>
          <w:sz w:val="24"/>
        </w:rPr>
        <w:t xml:space="preserve">interviews </w:t>
      </w:r>
      <w:r w:rsidRPr="39679373" w:rsidR="504D51CA">
        <w:rPr>
          <w:sz w:val="24"/>
        </w:rPr>
        <w:t xml:space="preserve">per site for a total of </w:t>
      </w:r>
      <w:r w:rsidRPr="39679373" w:rsidR="7AE8A21D">
        <w:rPr>
          <w:sz w:val="24"/>
        </w:rPr>
        <w:t>150</w:t>
      </w:r>
      <w:r w:rsidRPr="39679373" w:rsidR="504D51CA">
        <w:rPr>
          <w:sz w:val="24"/>
        </w:rPr>
        <w:t xml:space="preserve"> interviews across the 15 selected Healthy Start </w:t>
      </w:r>
      <w:r w:rsidRPr="39679373" w:rsidR="7AE8A21D">
        <w:rPr>
          <w:sz w:val="24"/>
        </w:rPr>
        <w:t xml:space="preserve">case study </w:t>
      </w:r>
      <w:r w:rsidRPr="39679373" w:rsidR="504D51CA">
        <w:rPr>
          <w:sz w:val="24"/>
        </w:rPr>
        <w:t xml:space="preserve">sites. At each site, we will attempt to schedule interviews to take place over two days and within regular work hours. The two-person interview team will include a senior team member to lead the interviews and a junior </w:t>
      </w:r>
      <w:r w:rsidRPr="39679373" w:rsidR="504D51CA">
        <w:rPr>
          <w:sz w:val="24"/>
        </w:rPr>
        <w:t>member to help schedule and facilitate the interviews. We will audio-record the interviews, if key informants agree, and transcribe the recordings.</w:t>
      </w:r>
      <w:r w:rsidRPr="39679373">
        <w:rPr>
          <w:sz w:val="24"/>
        </w:rPr>
        <w:t xml:space="preserve"> Interviews that cannot be scheduled during the site visits will be completed virtually at a time convenient to the interviewee.</w:t>
      </w:r>
    </w:p>
    <w:p w:rsidR="002D1683" w:rsidRPr="008364D2" w:rsidP="00AC360A" w14:paraId="3FF646DA" w14:textId="77777777">
      <w:pPr>
        <w:pStyle w:val="Heading4"/>
      </w:pPr>
    </w:p>
    <w:p w:rsidR="00FF2C7D" w:rsidRPr="008364D2" w:rsidP="00AA50FA" w14:paraId="5F97B871" w14:textId="50956637">
      <w:pPr>
        <w:pStyle w:val="Heading4"/>
      </w:pPr>
      <w:r w:rsidRPr="008364D2">
        <w:t xml:space="preserve">Information </w:t>
      </w:r>
      <w:r w:rsidRPr="008364D2" w:rsidR="00AA50FA">
        <w:t>c</w:t>
      </w:r>
      <w:r w:rsidRPr="008364D2">
        <w:t xml:space="preserve">ollection </w:t>
      </w:r>
      <w:r w:rsidRPr="008364D2" w:rsidR="00AA50FA">
        <w:t>s</w:t>
      </w:r>
      <w:r w:rsidRPr="008364D2">
        <w:t>chedule</w:t>
      </w:r>
    </w:p>
    <w:p w:rsidR="00FF2C7D" w:rsidRPr="008364D2" w:rsidP="00B26D7B" w14:paraId="5A8B9EA4" w14:textId="3FE256F6">
      <w:pPr>
        <w:pStyle w:val="NormalSS"/>
      </w:pPr>
      <w:r w:rsidRPr="008364D2">
        <w:t>Table B.</w:t>
      </w:r>
      <w:r w:rsidRPr="008364D2" w:rsidR="00EE33E2">
        <w:t xml:space="preserve">2 </w:t>
      </w:r>
      <w:r w:rsidRPr="008364D2" w:rsidR="007E6DF6">
        <w:t xml:space="preserve">summarizes </w:t>
      </w:r>
      <w:r w:rsidRPr="008364D2">
        <w:t xml:space="preserve">the </w:t>
      </w:r>
      <w:r w:rsidRPr="008364D2">
        <w:t>information collection</w:t>
      </w:r>
      <w:r w:rsidRPr="008364D2">
        <w:t xml:space="preserve"> schedule. After OMB approval is received, </w:t>
      </w:r>
      <w:r w:rsidR="008F48D8">
        <w:t>recruitment</w:t>
      </w:r>
      <w:r w:rsidRPr="008364D2" w:rsidR="008F48D8">
        <w:t xml:space="preserve"> </w:t>
      </w:r>
      <w:r w:rsidRPr="008364D2">
        <w:t xml:space="preserve">and consent procedures will be adapted </w:t>
      </w:r>
      <w:r w:rsidRPr="008364D2">
        <w:t xml:space="preserve">as needed for </w:t>
      </w:r>
      <w:r w:rsidRPr="008364D2">
        <w:t xml:space="preserve">each </w:t>
      </w:r>
      <w:r w:rsidRPr="008364D2">
        <w:t>site</w:t>
      </w:r>
      <w:r w:rsidR="005F5F37">
        <w:t>.</w:t>
      </w:r>
    </w:p>
    <w:p w:rsidR="00872DFF" w:rsidRPr="008364D2" w:rsidP="00B26D7B" w14:paraId="3951E061" w14:textId="7F5F8FF6">
      <w:pPr>
        <w:pStyle w:val="MarkforTableHeading"/>
        <w:rPr>
          <w:rFonts w:ascii="Times New Roman" w:hAnsi="Times New Roman"/>
          <w:sz w:val="24"/>
        </w:rPr>
      </w:pPr>
      <w:r w:rsidRPr="00BF47E8">
        <w:rPr>
          <w:rFonts w:ascii="Times New Roman" w:hAnsi="Times New Roman"/>
          <w:sz w:val="24"/>
        </w:rPr>
        <w:t xml:space="preserve">Table </w:t>
      </w:r>
      <w:r w:rsidRPr="00BF47E8" w:rsidR="00A7614B">
        <w:rPr>
          <w:rFonts w:ascii="Times New Roman" w:hAnsi="Times New Roman"/>
          <w:sz w:val="24"/>
        </w:rPr>
        <w:t>B.</w:t>
      </w:r>
      <w:r w:rsidRPr="00BF47E8" w:rsidR="00330B93">
        <w:rPr>
          <w:rFonts w:ascii="Times New Roman" w:hAnsi="Times New Roman"/>
          <w:sz w:val="24"/>
        </w:rPr>
        <w:t>2</w:t>
      </w:r>
      <w:r w:rsidRPr="00BF47E8" w:rsidR="00AA50FA">
        <w:rPr>
          <w:rFonts w:ascii="Times New Roman" w:hAnsi="Times New Roman"/>
          <w:sz w:val="24"/>
        </w:rPr>
        <w:t xml:space="preserve">. Information </w:t>
      </w:r>
      <w:r w:rsidR="00FC557F">
        <w:rPr>
          <w:rFonts w:ascii="Times New Roman" w:hAnsi="Times New Roman"/>
          <w:sz w:val="24"/>
        </w:rPr>
        <w:t>C</w:t>
      </w:r>
      <w:r w:rsidRPr="00BF47E8" w:rsidR="00AA50FA">
        <w:rPr>
          <w:rFonts w:ascii="Times New Roman" w:hAnsi="Times New Roman"/>
          <w:sz w:val="24"/>
        </w:rPr>
        <w:t>o</w:t>
      </w:r>
      <w:r w:rsidRPr="00BF47E8" w:rsidR="00A7614B">
        <w:rPr>
          <w:rFonts w:ascii="Times New Roman" w:hAnsi="Times New Roman"/>
          <w:sz w:val="24"/>
        </w:rPr>
        <w:t xml:space="preserve">llection </w:t>
      </w:r>
      <w:r w:rsidR="00FC557F">
        <w:rPr>
          <w:rFonts w:ascii="Times New Roman" w:hAnsi="Times New Roman"/>
          <w:sz w:val="24"/>
        </w:rPr>
        <w:t>S</w:t>
      </w:r>
      <w:r w:rsidRPr="00BF47E8" w:rsidR="00A7614B">
        <w:rPr>
          <w:rFonts w:ascii="Times New Roman" w:hAnsi="Times New Roman"/>
          <w:sz w:val="24"/>
        </w:rPr>
        <w:t>chedule</w:t>
      </w:r>
    </w:p>
    <w:tbl>
      <w:tblPr>
        <w:tblStyle w:val="LightList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0"/>
        <w:gridCol w:w="4258"/>
      </w:tblGrid>
      <w:tr w14:paraId="237EB7E1" w14:textId="77777777" w:rsidTr="00463270">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480" w:type="dxa"/>
            <w:shd w:val="clear" w:color="auto" w:fill="BFBFBF" w:themeFill="background1" w:themeFillShade="BF"/>
          </w:tcPr>
          <w:p w:rsidR="004A1892" w:rsidRPr="008364D2" w:rsidP="00463270" w14:paraId="34499D7B" w14:textId="77777777">
            <w:pPr>
              <w:tabs>
                <w:tab w:val="center" w:pos="3741"/>
              </w:tabs>
              <w:rPr>
                <w:rFonts w:ascii="Times New Roman" w:hAnsi="Times New Roman" w:cs="Times New Roman"/>
                <w:b w:val="0"/>
                <w:color w:val="auto"/>
                <w:sz w:val="24"/>
              </w:rPr>
            </w:pPr>
            <w:r w:rsidRPr="008364D2">
              <w:rPr>
                <w:rFonts w:ascii="Times New Roman" w:hAnsi="Times New Roman" w:cs="Times New Roman"/>
                <w:color w:val="auto"/>
                <w:sz w:val="24"/>
              </w:rPr>
              <w:tab/>
              <w:t>Task</w:t>
            </w:r>
          </w:p>
        </w:tc>
        <w:tc>
          <w:tcPr>
            <w:tcW w:w="4258" w:type="dxa"/>
            <w:shd w:val="clear" w:color="auto" w:fill="BFBFBF" w:themeFill="background1" w:themeFillShade="BF"/>
          </w:tcPr>
          <w:p w:rsidR="004A1892" w:rsidRPr="008364D2" w:rsidP="00463270" w14:paraId="072B4EE7" w14:textId="77777777">
            <w:pPr>
              <w:jc w:val="center"/>
              <w:rPr>
                <w:rFonts w:ascii="Times New Roman" w:hAnsi="Times New Roman" w:cs="Times New Roman"/>
                <w:b w:val="0"/>
                <w:color w:val="auto"/>
                <w:sz w:val="24"/>
              </w:rPr>
            </w:pPr>
            <w:r w:rsidRPr="008364D2">
              <w:rPr>
                <w:rFonts w:ascii="Times New Roman" w:hAnsi="Times New Roman" w:cs="Times New Roman"/>
                <w:color w:val="auto"/>
                <w:sz w:val="24"/>
              </w:rPr>
              <w:t>Time Schedule</w:t>
            </w:r>
          </w:p>
        </w:tc>
      </w:tr>
      <w:tr w14:paraId="57B98C1F" w14:textId="77777777" w:rsidTr="00463270">
        <w:tblPrEx>
          <w:tblW w:w="9738" w:type="dxa"/>
          <w:tblLook w:val="04A0"/>
        </w:tblPrEx>
        <w:tc>
          <w:tcPr>
            <w:tcW w:w="9738" w:type="dxa"/>
            <w:gridSpan w:val="2"/>
          </w:tcPr>
          <w:p w:rsidR="004A1892" w:rsidRPr="008364D2" w:rsidP="00463270" w14:paraId="4F6102E9" w14:textId="4F9AD783">
            <w:pPr>
              <w:rPr>
                <w:rFonts w:ascii="Times New Roman" w:hAnsi="Times New Roman" w:cs="Times New Roman"/>
                <w:color w:val="FF0000"/>
                <w:sz w:val="24"/>
              </w:rPr>
            </w:pPr>
            <w:r w:rsidRPr="008364D2">
              <w:rPr>
                <w:rFonts w:ascii="Times New Roman" w:hAnsi="Times New Roman" w:cs="Times New Roman"/>
                <w:sz w:val="24"/>
              </w:rPr>
              <w:t xml:space="preserve">Healthy Start </w:t>
            </w:r>
            <w:r w:rsidR="00497A34">
              <w:rPr>
                <w:rFonts w:ascii="Times New Roman" w:hAnsi="Times New Roman" w:cs="Times New Roman"/>
                <w:sz w:val="24"/>
              </w:rPr>
              <w:t>Participant</w:t>
            </w:r>
            <w:r w:rsidRPr="008364D2" w:rsidR="00497A34">
              <w:rPr>
                <w:rFonts w:ascii="Times New Roman" w:hAnsi="Times New Roman" w:cs="Times New Roman"/>
                <w:sz w:val="24"/>
              </w:rPr>
              <w:t xml:space="preserve"> </w:t>
            </w:r>
            <w:r w:rsidRPr="008364D2">
              <w:rPr>
                <w:rFonts w:ascii="Times New Roman" w:hAnsi="Times New Roman" w:cs="Times New Roman"/>
                <w:sz w:val="24"/>
              </w:rPr>
              <w:t xml:space="preserve">Survey </w:t>
            </w:r>
          </w:p>
        </w:tc>
      </w:tr>
      <w:tr w14:paraId="601298ED" w14:textId="77777777" w:rsidTr="00463270">
        <w:tblPrEx>
          <w:tblW w:w="9738" w:type="dxa"/>
          <w:tblLook w:val="04A0"/>
        </w:tblPrEx>
        <w:tc>
          <w:tcPr>
            <w:tcW w:w="5480" w:type="dxa"/>
          </w:tcPr>
          <w:p w:rsidR="004A1892" w:rsidRPr="008364D2" w:rsidP="00463270" w14:paraId="0441552F" w14:textId="77777777">
            <w:pPr>
              <w:rPr>
                <w:rFonts w:ascii="Times New Roman" w:hAnsi="Times New Roman" w:cs="Times New Roman"/>
                <w:b w:val="0"/>
                <w:sz w:val="24"/>
              </w:rPr>
            </w:pPr>
            <w:r w:rsidRPr="008364D2">
              <w:rPr>
                <w:rFonts w:ascii="Times New Roman" w:hAnsi="Times New Roman" w:cs="Times New Roman"/>
                <w:b w:val="0"/>
                <w:sz w:val="24"/>
              </w:rPr>
              <w:t xml:space="preserve">   Administer the survey to grantees </w:t>
            </w:r>
          </w:p>
        </w:tc>
        <w:tc>
          <w:tcPr>
            <w:tcW w:w="4258" w:type="dxa"/>
          </w:tcPr>
          <w:p w:rsidR="004A1892" w:rsidRPr="008364D2" w:rsidP="00C2303B" w14:paraId="596DB055" w14:textId="5C8AFEAD">
            <w:pPr>
              <w:rPr>
                <w:rFonts w:ascii="Times New Roman" w:hAnsi="Times New Roman" w:cs="Times New Roman"/>
                <w:sz w:val="24"/>
              </w:rPr>
            </w:pPr>
            <w:r>
              <w:rPr>
                <w:rFonts w:ascii="Times New Roman" w:hAnsi="Times New Roman" w:cs="Times New Roman"/>
                <w:sz w:val="24"/>
              </w:rPr>
              <w:t xml:space="preserve">September </w:t>
            </w:r>
            <w:r w:rsidR="00991382">
              <w:rPr>
                <w:rFonts w:ascii="Times New Roman" w:hAnsi="Times New Roman" w:cs="Times New Roman"/>
                <w:sz w:val="24"/>
              </w:rPr>
              <w:t xml:space="preserve">– </w:t>
            </w:r>
            <w:r>
              <w:rPr>
                <w:rFonts w:ascii="Times New Roman" w:hAnsi="Times New Roman" w:cs="Times New Roman"/>
                <w:sz w:val="24"/>
              </w:rPr>
              <w:t xml:space="preserve">November </w:t>
            </w:r>
            <w:r w:rsidR="00991382">
              <w:rPr>
                <w:rFonts w:ascii="Times New Roman" w:hAnsi="Times New Roman" w:cs="Times New Roman"/>
                <w:sz w:val="24"/>
              </w:rPr>
              <w:t>2023</w:t>
            </w:r>
          </w:p>
        </w:tc>
      </w:tr>
      <w:tr w14:paraId="7AE1BE76" w14:textId="77777777" w:rsidTr="00463270">
        <w:tblPrEx>
          <w:tblW w:w="9738" w:type="dxa"/>
          <w:tblLook w:val="04A0"/>
        </w:tblPrEx>
        <w:tc>
          <w:tcPr>
            <w:tcW w:w="5480" w:type="dxa"/>
            <w:tcBorders>
              <w:top w:val="none" w:sz="0" w:space="0" w:color="auto"/>
              <w:left w:val="none" w:sz="0" w:space="0" w:color="auto"/>
              <w:bottom w:val="none" w:sz="0" w:space="0" w:color="auto"/>
            </w:tcBorders>
          </w:tcPr>
          <w:p w:rsidR="004A1892" w:rsidRPr="008364D2" w:rsidP="00463270" w14:paraId="44819317" w14:textId="77777777">
            <w:pPr>
              <w:rPr>
                <w:rFonts w:ascii="Times New Roman" w:hAnsi="Times New Roman" w:cs="Times New Roman"/>
                <w:b w:val="0"/>
                <w:sz w:val="24"/>
              </w:rPr>
            </w:pPr>
            <w:r w:rsidRPr="008364D2">
              <w:rPr>
                <w:rFonts w:ascii="Times New Roman" w:hAnsi="Times New Roman" w:cs="Times New Roman"/>
                <w:b w:val="0"/>
                <w:sz w:val="24"/>
              </w:rPr>
              <w:t xml:space="preserve">   Analyze survey data</w:t>
            </w:r>
          </w:p>
        </w:tc>
        <w:tc>
          <w:tcPr>
            <w:tcW w:w="4258" w:type="dxa"/>
            <w:tcBorders>
              <w:top w:val="none" w:sz="0" w:space="0" w:color="auto"/>
              <w:bottom w:val="none" w:sz="0" w:space="0" w:color="auto"/>
              <w:right w:val="none" w:sz="0" w:space="0" w:color="auto"/>
            </w:tcBorders>
          </w:tcPr>
          <w:p w:rsidR="004A1892" w:rsidRPr="008364D2" w:rsidP="00C2303B" w14:paraId="39F4AEC6" w14:textId="69D08326">
            <w:pPr>
              <w:rPr>
                <w:rFonts w:ascii="Times New Roman" w:hAnsi="Times New Roman" w:cs="Times New Roman"/>
                <w:sz w:val="24"/>
              </w:rPr>
            </w:pPr>
            <w:r>
              <w:rPr>
                <w:rFonts w:ascii="Times New Roman" w:hAnsi="Times New Roman" w:cs="Times New Roman"/>
                <w:sz w:val="24"/>
              </w:rPr>
              <w:t>December</w:t>
            </w:r>
            <w:r w:rsidRPr="008364D2">
              <w:rPr>
                <w:rFonts w:ascii="Times New Roman" w:hAnsi="Times New Roman" w:cs="Times New Roman"/>
                <w:sz w:val="24"/>
              </w:rPr>
              <w:t xml:space="preserve"> </w:t>
            </w:r>
            <w:r w:rsidRPr="008364D2">
              <w:rPr>
                <w:rFonts w:ascii="Times New Roman" w:hAnsi="Times New Roman" w:cs="Times New Roman"/>
                <w:sz w:val="24"/>
              </w:rPr>
              <w:t>2023</w:t>
            </w:r>
            <w:r w:rsidR="00865266">
              <w:rPr>
                <w:rFonts w:ascii="Times New Roman" w:hAnsi="Times New Roman" w:cs="Times New Roman"/>
                <w:sz w:val="24"/>
              </w:rPr>
              <w:t xml:space="preserve"> – </w:t>
            </w:r>
            <w:r>
              <w:rPr>
                <w:rFonts w:ascii="Times New Roman" w:hAnsi="Times New Roman" w:cs="Times New Roman"/>
                <w:sz w:val="24"/>
              </w:rPr>
              <w:t>January 2024</w:t>
            </w:r>
          </w:p>
        </w:tc>
      </w:tr>
      <w:tr w14:paraId="0D67D57E" w14:textId="77777777" w:rsidTr="00463270">
        <w:tblPrEx>
          <w:tblW w:w="9738" w:type="dxa"/>
          <w:tblLook w:val="04A0"/>
        </w:tblPrEx>
        <w:tc>
          <w:tcPr>
            <w:tcW w:w="5480" w:type="dxa"/>
          </w:tcPr>
          <w:p w:rsidR="004A1892" w:rsidRPr="008364D2" w:rsidP="00463270" w14:paraId="4154C195" w14:textId="77777777">
            <w:pPr>
              <w:rPr>
                <w:rFonts w:ascii="Times New Roman" w:hAnsi="Times New Roman" w:cs="Times New Roman"/>
                <w:b w:val="0"/>
                <w:sz w:val="24"/>
              </w:rPr>
            </w:pPr>
            <w:r w:rsidRPr="008364D2">
              <w:rPr>
                <w:rFonts w:ascii="Times New Roman" w:hAnsi="Times New Roman" w:cs="Times New Roman"/>
                <w:b w:val="0"/>
                <w:sz w:val="24"/>
              </w:rPr>
              <w:t xml:space="preserve">   Prepare report and brief stakeholders</w:t>
            </w:r>
          </w:p>
        </w:tc>
        <w:tc>
          <w:tcPr>
            <w:tcW w:w="4258" w:type="dxa"/>
          </w:tcPr>
          <w:p w:rsidR="004A1892" w:rsidRPr="008364D2" w:rsidP="00463270" w14:paraId="6B934FC3" w14:textId="7F443838">
            <w:pPr>
              <w:rPr>
                <w:rFonts w:ascii="Times New Roman" w:hAnsi="Times New Roman" w:cs="Times New Roman"/>
                <w:sz w:val="24"/>
              </w:rPr>
            </w:pPr>
            <w:r>
              <w:rPr>
                <w:rFonts w:ascii="Times New Roman" w:hAnsi="Times New Roman" w:cs="Times New Roman"/>
                <w:sz w:val="24"/>
              </w:rPr>
              <w:t>February – March 2024</w:t>
            </w:r>
            <w:r w:rsidRPr="008364D2">
              <w:rPr>
                <w:rFonts w:ascii="Times New Roman" w:hAnsi="Times New Roman" w:cs="Times New Roman"/>
                <w:sz w:val="24"/>
              </w:rPr>
              <w:t xml:space="preserve"> </w:t>
            </w:r>
          </w:p>
        </w:tc>
      </w:tr>
      <w:tr w14:paraId="40213F2A" w14:textId="77777777" w:rsidTr="00463270">
        <w:tblPrEx>
          <w:tblW w:w="9738" w:type="dxa"/>
          <w:tblLook w:val="04A0"/>
        </w:tblPrEx>
        <w:tc>
          <w:tcPr>
            <w:tcW w:w="9738" w:type="dxa"/>
            <w:gridSpan w:val="2"/>
          </w:tcPr>
          <w:p w:rsidR="004A1892" w:rsidRPr="008364D2" w:rsidP="00463270" w14:paraId="6375FABE" w14:textId="77777777">
            <w:pPr>
              <w:rPr>
                <w:rFonts w:ascii="Times New Roman" w:hAnsi="Times New Roman" w:cs="Times New Roman"/>
                <w:sz w:val="24"/>
              </w:rPr>
            </w:pPr>
            <w:r w:rsidRPr="008364D2">
              <w:rPr>
                <w:rFonts w:ascii="Times New Roman" w:hAnsi="Times New Roman" w:cs="Times New Roman"/>
                <w:sz w:val="24"/>
              </w:rPr>
              <w:t>Healthy Start Network Survey</w:t>
            </w:r>
          </w:p>
        </w:tc>
      </w:tr>
      <w:tr w14:paraId="3F689317" w14:textId="77777777" w:rsidTr="00463270">
        <w:tblPrEx>
          <w:tblW w:w="9738" w:type="dxa"/>
          <w:tblLook w:val="04A0"/>
        </w:tblPrEx>
        <w:tc>
          <w:tcPr>
            <w:tcW w:w="5480" w:type="dxa"/>
          </w:tcPr>
          <w:p w:rsidR="004A1892" w:rsidRPr="008364D2" w:rsidP="00463270" w14:paraId="5680F690" w14:textId="77777777">
            <w:pPr>
              <w:rPr>
                <w:rFonts w:ascii="Times New Roman" w:hAnsi="Times New Roman" w:cs="Times New Roman"/>
                <w:sz w:val="24"/>
              </w:rPr>
            </w:pPr>
            <w:r w:rsidRPr="008364D2">
              <w:rPr>
                <w:rFonts w:ascii="Times New Roman" w:hAnsi="Times New Roman" w:cs="Times New Roman"/>
                <w:b w:val="0"/>
                <w:sz w:val="24"/>
              </w:rPr>
              <w:t xml:space="preserve">   Administer the survey </w:t>
            </w:r>
          </w:p>
        </w:tc>
        <w:tc>
          <w:tcPr>
            <w:tcW w:w="4258" w:type="dxa"/>
          </w:tcPr>
          <w:p w:rsidR="004A1892" w:rsidRPr="008364D2" w:rsidP="00C2303B" w14:paraId="2C7FD705" w14:textId="0D71CB0A">
            <w:pPr>
              <w:rPr>
                <w:rFonts w:ascii="Times New Roman" w:hAnsi="Times New Roman" w:cs="Times New Roman"/>
                <w:sz w:val="24"/>
              </w:rPr>
            </w:pPr>
            <w:r>
              <w:rPr>
                <w:rFonts w:ascii="Times New Roman" w:hAnsi="Times New Roman" w:cs="Times New Roman"/>
                <w:sz w:val="24"/>
              </w:rPr>
              <w:t>October 2023</w:t>
            </w:r>
            <w:r w:rsidRPr="008364D2">
              <w:rPr>
                <w:rFonts w:ascii="Times New Roman" w:hAnsi="Times New Roman" w:cs="Times New Roman"/>
                <w:sz w:val="24"/>
              </w:rPr>
              <w:t xml:space="preserve"> </w:t>
            </w:r>
            <w:r w:rsidRPr="008364D2">
              <w:rPr>
                <w:rFonts w:ascii="Times New Roman" w:hAnsi="Times New Roman" w:cs="Times New Roman"/>
                <w:sz w:val="24"/>
              </w:rPr>
              <w:t xml:space="preserve">– </w:t>
            </w:r>
            <w:r>
              <w:rPr>
                <w:rFonts w:ascii="Times New Roman" w:hAnsi="Times New Roman" w:cs="Times New Roman"/>
                <w:sz w:val="24"/>
              </w:rPr>
              <w:t>January</w:t>
            </w:r>
            <w:r w:rsidRPr="008364D2">
              <w:rPr>
                <w:rFonts w:ascii="Times New Roman" w:hAnsi="Times New Roman" w:cs="Times New Roman"/>
                <w:sz w:val="24"/>
              </w:rPr>
              <w:t xml:space="preserve"> </w:t>
            </w:r>
            <w:r>
              <w:rPr>
                <w:rFonts w:ascii="Times New Roman" w:hAnsi="Times New Roman" w:cs="Times New Roman"/>
                <w:sz w:val="24"/>
              </w:rPr>
              <w:t>2024</w:t>
            </w:r>
            <w:r w:rsidRPr="008364D2">
              <w:rPr>
                <w:rFonts w:ascii="Times New Roman" w:hAnsi="Times New Roman" w:cs="Times New Roman"/>
                <w:sz w:val="24"/>
              </w:rPr>
              <w:t xml:space="preserve"> </w:t>
            </w:r>
          </w:p>
        </w:tc>
      </w:tr>
      <w:tr w14:paraId="6147A80A" w14:textId="77777777" w:rsidTr="00463270">
        <w:tblPrEx>
          <w:tblW w:w="9738" w:type="dxa"/>
          <w:tblLook w:val="04A0"/>
        </w:tblPrEx>
        <w:tc>
          <w:tcPr>
            <w:tcW w:w="5480" w:type="dxa"/>
          </w:tcPr>
          <w:p w:rsidR="004A1892" w:rsidRPr="008364D2" w:rsidP="00463270" w14:paraId="29DF9CA5" w14:textId="77777777">
            <w:pPr>
              <w:rPr>
                <w:rFonts w:ascii="Times New Roman" w:hAnsi="Times New Roman" w:cs="Times New Roman"/>
                <w:sz w:val="24"/>
              </w:rPr>
            </w:pPr>
            <w:r w:rsidRPr="008364D2">
              <w:rPr>
                <w:rFonts w:ascii="Times New Roman" w:hAnsi="Times New Roman" w:cs="Times New Roman"/>
                <w:b w:val="0"/>
                <w:sz w:val="24"/>
              </w:rPr>
              <w:t xml:space="preserve">   Analyze survey data</w:t>
            </w:r>
          </w:p>
        </w:tc>
        <w:tc>
          <w:tcPr>
            <w:tcW w:w="4258" w:type="dxa"/>
          </w:tcPr>
          <w:p w:rsidR="004A1892" w:rsidRPr="008364D2" w:rsidP="00463270" w14:paraId="02891DC4" w14:textId="6186F853">
            <w:pPr>
              <w:rPr>
                <w:rFonts w:ascii="Times New Roman" w:hAnsi="Times New Roman" w:cs="Times New Roman"/>
                <w:sz w:val="24"/>
              </w:rPr>
            </w:pPr>
            <w:r>
              <w:rPr>
                <w:rFonts w:ascii="Times New Roman" w:hAnsi="Times New Roman" w:cs="Times New Roman"/>
                <w:sz w:val="24"/>
              </w:rPr>
              <w:t>February – April 2024</w:t>
            </w:r>
          </w:p>
        </w:tc>
      </w:tr>
      <w:tr w14:paraId="4A3F5FC0" w14:textId="77777777" w:rsidTr="00463270">
        <w:tblPrEx>
          <w:tblW w:w="9738" w:type="dxa"/>
          <w:tblLook w:val="04A0"/>
        </w:tblPrEx>
        <w:tc>
          <w:tcPr>
            <w:tcW w:w="5480" w:type="dxa"/>
          </w:tcPr>
          <w:p w:rsidR="004A1892" w:rsidRPr="008364D2" w:rsidP="00463270" w14:paraId="15067E8D" w14:textId="77777777">
            <w:pPr>
              <w:rPr>
                <w:rFonts w:ascii="Times New Roman" w:hAnsi="Times New Roman" w:cs="Times New Roman"/>
                <w:sz w:val="24"/>
              </w:rPr>
            </w:pPr>
            <w:r w:rsidRPr="008364D2">
              <w:rPr>
                <w:rFonts w:ascii="Times New Roman" w:hAnsi="Times New Roman" w:cs="Times New Roman"/>
                <w:b w:val="0"/>
                <w:sz w:val="24"/>
              </w:rPr>
              <w:t xml:space="preserve">   Prepare report and brief stakeholders</w:t>
            </w:r>
          </w:p>
        </w:tc>
        <w:tc>
          <w:tcPr>
            <w:tcW w:w="4258" w:type="dxa"/>
          </w:tcPr>
          <w:p w:rsidR="004A1892" w:rsidRPr="008364D2" w:rsidP="00463270" w14:paraId="35319574" w14:textId="11F1831D">
            <w:pPr>
              <w:rPr>
                <w:rFonts w:ascii="Times New Roman" w:hAnsi="Times New Roman" w:cs="Times New Roman"/>
                <w:sz w:val="24"/>
              </w:rPr>
            </w:pPr>
            <w:r>
              <w:rPr>
                <w:rFonts w:ascii="Times New Roman" w:hAnsi="Times New Roman" w:cs="Times New Roman"/>
                <w:sz w:val="24"/>
              </w:rPr>
              <w:t>May – June 2024</w:t>
            </w:r>
          </w:p>
        </w:tc>
      </w:tr>
      <w:tr w14:paraId="1FAC2AE8" w14:textId="77777777" w:rsidTr="00463270">
        <w:tblPrEx>
          <w:tblW w:w="9738" w:type="dxa"/>
          <w:tblLook w:val="04A0"/>
        </w:tblPrEx>
        <w:tc>
          <w:tcPr>
            <w:tcW w:w="9738" w:type="dxa"/>
            <w:gridSpan w:val="2"/>
          </w:tcPr>
          <w:p w:rsidR="004A1892" w:rsidRPr="008364D2" w:rsidP="00463270" w14:paraId="7C493611" w14:textId="228F0F43">
            <w:pPr>
              <w:rPr>
                <w:rFonts w:ascii="Times New Roman" w:hAnsi="Times New Roman" w:cs="Times New Roman"/>
                <w:sz w:val="24"/>
              </w:rPr>
            </w:pPr>
            <w:r w:rsidRPr="008364D2">
              <w:rPr>
                <w:rFonts w:ascii="Times New Roman" w:hAnsi="Times New Roman" w:cs="Times New Roman"/>
                <w:sz w:val="24"/>
              </w:rPr>
              <w:t xml:space="preserve">Healthy Start </w:t>
            </w:r>
            <w:r w:rsidR="00497A34">
              <w:rPr>
                <w:rFonts w:ascii="Times New Roman" w:hAnsi="Times New Roman" w:cs="Times New Roman"/>
                <w:sz w:val="24"/>
              </w:rPr>
              <w:t>Program</w:t>
            </w:r>
            <w:r w:rsidRPr="008364D2" w:rsidR="00497A34">
              <w:rPr>
                <w:rFonts w:ascii="Times New Roman" w:hAnsi="Times New Roman" w:cs="Times New Roman"/>
                <w:sz w:val="24"/>
              </w:rPr>
              <w:t xml:space="preserve"> </w:t>
            </w:r>
            <w:r w:rsidRPr="008364D2">
              <w:rPr>
                <w:rFonts w:ascii="Times New Roman" w:hAnsi="Times New Roman" w:cs="Times New Roman"/>
                <w:sz w:val="24"/>
              </w:rPr>
              <w:t>Survey</w:t>
            </w:r>
          </w:p>
        </w:tc>
      </w:tr>
      <w:tr w14:paraId="633BDCB2" w14:textId="77777777" w:rsidTr="00463270">
        <w:tblPrEx>
          <w:tblW w:w="9738" w:type="dxa"/>
          <w:tblLook w:val="04A0"/>
        </w:tblPrEx>
        <w:tc>
          <w:tcPr>
            <w:tcW w:w="5480" w:type="dxa"/>
          </w:tcPr>
          <w:p w:rsidR="004A1892" w:rsidRPr="008364D2" w:rsidP="00463270" w14:paraId="2AF6BC28" w14:textId="77777777">
            <w:pPr>
              <w:rPr>
                <w:rFonts w:ascii="Times New Roman" w:hAnsi="Times New Roman" w:cs="Times New Roman"/>
                <w:sz w:val="24"/>
              </w:rPr>
            </w:pPr>
            <w:r w:rsidRPr="008364D2">
              <w:rPr>
                <w:rFonts w:ascii="Times New Roman" w:hAnsi="Times New Roman" w:cs="Times New Roman"/>
                <w:b w:val="0"/>
                <w:sz w:val="24"/>
              </w:rPr>
              <w:t xml:space="preserve">   Administer survey</w:t>
            </w:r>
          </w:p>
        </w:tc>
        <w:tc>
          <w:tcPr>
            <w:tcW w:w="4258" w:type="dxa"/>
          </w:tcPr>
          <w:p w:rsidR="004A1892" w:rsidRPr="008364D2" w:rsidP="00426E53" w14:paraId="569D1502" w14:textId="7F3473C4">
            <w:pPr>
              <w:rPr>
                <w:rFonts w:ascii="Times New Roman" w:hAnsi="Times New Roman" w:cs="Times New Roman"/>
                <w:sz w:val="24"/>
              </w:rPr>
            </w:pPr>
            <w:r>
              <w:rPr>
                <w:rFonts w:ascii="Times New Roman" w:hAnsi="Times New Roman" w:cs="Times New Roman"/>
                <w:sz w:val="24"/>
              </w:rPr>
              <w:t>January</w:t>
            </w:r>
            <w:r w:rsidRPr="008364D2">
              <w:rPr>
                <w:rFonts w:ascii="Times New Roman" w:hAnsi="Times New Roman" w:cs="Times New Roman"/>
                <w:sz w:val="24"/>
              </w:rPr>
              <w:t xml:space="preserve"> 202</w:t>
            </w:r>
            <w:r>
              <w:rPr>
                <w:rFonts w:ascii="Times New Roman" w:hAnsi="Times New Roman" w:cs="Times New Roman"/>
                <w:sz w:val="24"/>
              </w:rPr>
              <w:t>4</w:t>
            </w:r>
            <w:r w:rsidRPr="008364D2">
              <w:rPr>
                <w:rFonts w:ascii="Times New Roman" w:hAnsi="Times New Roman" w:cs="Times New Roman"/>
                <w:sz w:val="24"/>
              </w:rPr>
              <w:t xml:space="preserve"> – February 2024 </w:t>
            </w:r>
          </w:p>
        </w:tc>
      </w:tr>
      <w:tr w14:paraId="64D4C29C" w14:textId="77777777" w:rsidTr="00463270">
        <w:tblPrEx>
          <w:tblW w:w="9738" w:type="dxa"/>
          <w:tblLook w:val="04A0"/>
        </w:tblPrEx>
        <w:tc>
          <w:tcPr>
            <w:tcW w:w="5480" w:type="dxa"/>
          </w:tcPr>
          <w:p w:rsidR="004A1892" w:rsidRPr="008364D2" w:rsidP="00463270" w14:paraId="0A8E72E2" w14:textId="77777777">
            <w:pPr>
              <w:rPr>
                <w:rFonts w:ascii="Times New Roman" w:hAnsi="Times New Roman" w:cs="Times New Roman"/>
                <w:sz w:val="24"/>
              </w:rPr>
            </w:pPr>
            <w:r w:rsidRPr="008364D2">
              <w:rPr>
                <w:rFonts w:ascii="Times New Roman" w:hAnsi="Times New Roman" w:cs="Times New Roman"/>
                <w:b w:val="0"/>
                <w:sz w:val="24"/>
              </w:rPr>
              <w:t xml:space="preserve">   Analyze survey data</w:t>
            </w:r>
          </w:p>
        </w:tc>
        <w:tc>
          <w:tcPr>
            <w:tcW w:w="4258" w:type="dxa"/>
          </w:tcPr>
          <w:p w:rsidR="004A1892" w:rsidRPr="008364D2" w:rsidP="00463270" w14:paraId="15D9EFE4" w14:textId="19C27751">
            <w:pPr>
              <w:rPr>
                <w:rFonts w:ascii="Times New Roman" w:hAnsi="Times New Roman" w:cs="Times New Roman"/>
                <w:sz w:val="24"/>
              </w:rPr>
            </w:pPr>
            <w:r>
              <w:rPr>
                <w:rFonts w:ascii="Times New Roman" w:hAnsi="Times New Roman" w:cs="Times New Roman"/>
                <w:sz w:val="24"/>
              </w:rPr>
              <w:t>March – May</w:t>
            </w:r>
            <w:r w:rsidRPr="008364D2">
              <w:rPr>
                <w:rFonts w:ascii="Times New Roman" w:hAnsi="Times New Roman" w:cs="Times New Roman"/>
                <w:sz w:val="24"/>
              </w:rPr>
              <w:t xml:space="preserve"> </w:t>
            </w:r>
            <w:r w:rsidRPr="008364D2">
              <w:rPr>
                <w:rFonts w:ascii="Times New Roman" w:hAnsi="Times New Roman" w:cs="Times New Roman"/>
                <w:sz w:val="24"/>
              </w:rPr>
              <w:t>2024</w:t>
            </w:r>
          </w:p>
        </w:tc>
      </w:tr>
      <w:tr w14:paraId="3E0000F7" w14:textId="77777777" w:rsidTr="00463270">
        <w:tblPrEx>
          <w:tblW w:w="9738" w:type="dxa"/>
          <w:tblLook w:val="04A0"/>
        </w:tblPrEx>
        <w:tc>
          <w:tcPr>
            <w:tcW w:w="5480" w:type="dxa"/>
          </w:tcPr>
          <w:p w:rsidR="004A1892" w:rsidRPr="008364D2" w:rsidP="00463270" w14:paraId="513AD122" w14:textId="77777777">
            <w:pPr>
              <w:rPr>
                <w:rFonts w:ascii="Times New Roman" w:hAnsi="Times New Roman" w:cs="Times New Roman"/>
                <w:sz w:val="24"/>
              </w:rPr>
            </w:pPr>
            <w:r w:rsidRPr="008364D2">
              <w:rPr>
                <w:rFonts w:ascii="Times New Roman" w:hAnsi="Times New Roman" w:cs="Times New Roman"/>
                <w:b w:val="0"/>
                <w:sz w:val="24"/>
              </w:rPr>
              <w:t xml:space="preserve">   Prepare report and brief stakeholders</w:t>
            </w:r>
          </w:p>
        </w:tc>
        <w:tc>
          <w:tcPr>
            <w:tcW w:w="4258" w:type="dxa"/>
          </w:tcPr>
          <w:p w:rsidR="004A1892" w:rsidRPr="008364D2" w:rsidP="00463270" w14:paraId="5875E5DC" w14:textId="0BCA1D5F">
            <w:pPr>
              <w:rPr>
                <w:rFonts w:ascii="Times New Roman" w:hAnsi="Times New Roman" w:cs="Times New Roman"/>
                <w:sz w:val="24"/>
              </w:rPr>
            </w:pPr>
            <w:r w:rsidRPr="008364D2">
              <w:rPr>
                <w:rFonts w:ascii="Times New Roman" w:hAnsi="Times New Roman" w:cs="Times New Roman"/>
                <w:sz w:val="24"/>
              </w:rPr>
              <w:t>June</w:t>
            </w:r>
            <w:r w:rsidR="00C2303B">
              <w:rPr>
                <w:rFonts w:ascii="Times New Roman" w:hAnsi="Times New Roman" w:cs="Times New Roman"/>
                <w:sz w:val="24"/>
              </w:rPr>
              <w:t xml:space="preserve"> – July</w:t>
            </w:r>
            <w:r w:rsidRPr="008364D2">
              <w:rPr>
                <w:rFonts w:ascii="Times New Roman" w:hAnsi="Times New Roman" w:cs="Times New Roman"/>
                <w:sz w:val="24"/>
              </w:rPr>
              <w:t xml:space="preserve"> 2024</w:t>
            </w:r>
          </w:p>
        </w:tc>
      </w:tr>
      <w:tr w14:paraId="0DC3C19B" w14:textId="77777777" w:rsidTr="00463270">
        <w:tblPrEx>
          <w:tblW w:w="9738" w:type="dxa"/>
          <w:tblLook w:val="04A0"/>
        </w:tblPrEx>
        <w:tc>
          <w:tcPr>
            <w:tcW w:w="9738" w:type="dxa"/>
            <w:gridSpan w:val="2"/>
          </w:tcPr>
          <w:p w:rsidR="004A1892" w:rsidRPr="008364D2" w:rsidP="00463270" w14:paraId="2131C79E" w14:textId="77777777">
            <w:pPr>
              <w:rPr>
                <w:rFonts w:ascii="Times New Roman" w:hAnsi="Times New Roman" w:cs="Times New Roman"/>
                <w:sz w:val="24"/>
              </w:rPr>
            </w:pPr>
            <w:r w:rsidRPr="008364D2">
              <w:rPr>
                <w:rFonts w:ascii="Times New Roman" w:hAnsi="Times New Roman" w:cs="Times New Roman"/>
                <w:sz w:val="24"/>
              </w:rPr>
              <w:t xml:space="preserve">Healthy Start Stakeholder Interviews </w:t>
            </w:r>
          </w:p>
        </w:tc>
      </w:tr>
      <w:tr w14:paraId="5F5971C7" w14:textId="77777777" w:rsidTr="00463270">
        <w:tblPrEx>
          <w:tblW w:w="9738" w:type="dxa"/>
          <w:tblLook w:val="04A0"/>
        </w:tblPrEx>
        <w:tc>
          <w:tcPr>
            <w:tcW w:w="5480" w:type="dxa"/>
          </w:tcPr>
          <w:p w:rsidR="004A1892" w:rsidRPr="008364D2" w:rsidP="00463270" w14:paraId="29E71C8B" w14:textId="77777777">
            <w:pPr>
              <w:rPr>
                <w:rFonts w:ascii="Times New Roman" w:hAnsi="Times New Roman" w:cs="Times New Roman"/>
                <w:b w:val="0"/>
                <w:sz w:val="24"/>
              </w:rPr>
            </w:pPr>
            <w:r w:rsidRPr="008364D2">
              <w:rPr>
                <w:rFonts w:ascii="Times New Roman" w:hAnsi="Times New Roman" w:cs="Times New Roman"/>
                <w:b w:val="0"/>
                <w:sz w:val="24"/>
              </w:rPr>
              <w:t xml:space="preserve">   Conduct key stakeholder interviews </w:t>
            </w:r>
          </w:p>
        </w:tc>
        <w:tc>
          <w:tcPr>
            <w:tcW w:w="4258" w:type="dxa"/>
          </w:tcPr>
          <w:p w:rsidR="004A1892" w:rsidRPr="008364D2" w:rsidP="00C2303B" w14:paraId="223ED40B" w14:textId="1C2CB9F8">
            <w:pPr>
              <w:rPr>
                <w:rFonts w:ascii="Times New Roman" w:hAnsi="Times New Roman" w:cs="Times New Roman"/>
                <w:sz w:val="24"/>
              </w:rPr>
            </w:pPr>
            <w:r>
              <w:rPr>
                <w:rFonts w:ascii="Times New Roman" w:hAnsi="Times New Roman" w:cs="Times New Roman"/>
                <w:sz w:val="24"/>
              </w:rPr>
              <w:t>September</w:t>
            </w:r>
            <w:r w:rsidRPr="008364D2">
              <w:rPr>
                <w:rFonts w:ascii="Times New Roman" w:hAnsi="Times New Roman" w:cs="Times New Roman"/>
                <w:sz w:val="24"/>
              </w:rPr>
              <w:t xml:space="preserve"> </w:t>
            </w:r>
            <w:r w:rsidRPr="008364D2">
              <w:rPr>
                <w:rFonts w:ascii="Times New Roman" w:hAnsi="Times New Roman" w:cs="Times New Roman"/>
                <w:sz w:val="24"/>
              </w:rPr>
              <w:t xml:space="preserve">2023 – </w:t>
            </w:r>
            <w:r>
              <w:rPr>
                <w:rFonts w:ascii="Times New Roman" w:hAnsi="Times New Roman" w:cs="Times New Roman"/>
                <w:sz w:val="24"/>
              </w:rPr>
              <w:t>April</w:t>
            </w:r>
            <w:r w:rsidRPr="008364D2">
              <w:rPr>
                <w:rFonts w:ascii="Times New Roman" w:hAnsi="Times New Roman" w:cs="Times New Roman"/>
                <w:sz w:val="24"/>
              </w:rPr>
              <w:t xml:space="preserve"> </w:t>
            </w:r>
            <w:r w:rsidRPr="008364D2">
              <w:rPr>
                <w:rFonts w:ascii="Times New Roman" w:hAnsi="Times New Roman" w:cs="Times New Roman"/>
                <w:sz w:val="24"/>
              </w:rPr>
              <w:t xml:space="preserve">2024 </w:t>
            </w:r>
          </w:p>
        </w:tc>
      </w:tr>
      <w:tr w14:paraId="38767DEA" w14:textId="77777777" w:rsidTr="00463270">
        <w:tblPrEx>
          <w:tblW w:w="9738" w:type="dxa"/>
          <w:tblLook w:val="04A0"/>
        </w:tblPrEx>
        <w:tc>
          <w:tcPr>
            <w:tcW w:w="5480" w:type="dxa"/>
          </w:tcPr>
          <w:p w:rsidR="004A1892" w:rsidRPr="008364D2" w:rsidP="00463270" w14:paraId="056EB996" w14:textId="77777777">
            <w:pPr>
              <w:rPr>
                <w:rFonts w:ascii="Times New Roman" w:hAnsi="Times New Roman" w:cs="Times New Roman"/>
                <w:b w:val="0"/>
                <w:sz w:val="24"/>
              </w:rPr>
            </w:pPr>
            <w:r w:rsidRPr="008364D2">
              <w:rPr>
                <w:rFonts w:ascii="Times New Roman" w:hAnsi="Times New Roman" w:cs="Times New Roman"/>
                <w:b w:val="0"/>
                <w:sz w:val="24"/>
              </w:rPr>
              <w:t xml:space="preserve">   Analyze interview data </w:t>
            </w:r>
          </w:p>
        </w:tc>
        <w:tc>
          <w:tcPr>
            <w:tcW w:w="4258" w:type="dxa"/>
          </w:tcPr>
          <w:p w:rsidR="004A1892" w:rsidRPr="008364D2" w:rsidP="00C2303B" w14:paraId="03D25E40" w14:textId="36E58BDB">
            <w:pPr>
              <w:rPr>
                <w:rFonts w:ascii="Times New Roman" w:hAnsi="Times New Roman" w:cs="Times New Roman"/>
                <w:sz w:val="24"/>
              </w:rPr>
            </w:pPr>
            <w:r>
              <w:rPr>
                <w:rFonts w:ascii="Times New Roman" w:hAnsi="Times New Roman" w:cs="Times New Roman"/>
                <w:sz w:val="24"/>
              </w:rPr>
              <w:t>September</w:t>
            </w:r>
            <w:r w:rsidRPr="008364D2">
              <w:rPr>
                <w:rFonts w:ascii="Times New Roman" w:hAnsi="Times New Roman" w:cs="Times New Roman"/>
                <w:sz w:val="24"/>
              </w:rPr>
              <w:t xml:space="preserve"> </w:t>
            </w:r>
            <w:r w:rsidRPr="008364D2">
              <w:rPr>
                <w:rFonts w:ascii="Times New Roman" w:hAnsi="Times New Roman" w:cs="Times New Roman"/>
                <w:sz w:val="24"/>
              </w:rPr>
              <w:t xml:space="preserve">2023 – </w:t>
            </w:r>
            <w:r>
              <w:rPr>
                <w:rFonts w:ascii="Times New Roman" w:hAnsi="Times New Roman" w:cs="Times New Roman"/>
                <w:sz w:val="24"/>
              </w:rPr>
              <w:t>June</w:t>
            </w:r>
            <w:r w:rsidRPr="008364D2">
              <w:rPr>
                <w:rFonts w:ascii="Times New Roman" w:hAnsi="Times New Roman" w:cs="Times New Roman"/>
                <w:sz w:val="24"/>
              </w:rPr>
              <w:t xml:space="preserve"> </w:t>
            </w:r>
            <w:r w:rsidRPr="008364D2">
              <w:rPr>
                <w:rFonts w:ascii="Times New Roman" w:hAnsi="Times New Roman" w:cs="Times New Roman"/>
                <w:sz w:val="24"/>
              </w:rPr>
              <w:t>2024</w:t>
            </w:r>
          </w:p>
        </w:tc>
      </w:tr>
      <w:tr w14:paraId="5E53E2EB" w14:textId="77777777" w:rsidTr="00463270">
        <w:tblPrEx>
          <w:tblW w:w="9738" w:type="dxa"/>
          <w:tblLook w:val="04A0"/>
        </w:tblPrEx>
        <w:tc>
          <w:tcPr>
            <w:tcW w:w="5480" w:type="dxa"/>
          </w:tcPr>
          <w:p w:rsidR="004A1892" w:rsidRPr="008364D2" w:rsidP="00463270" w14:paraId="34C94A7B" w14:textId="77777777">
            <w:pPr>
              <w:rPr>
                <w:rFonts w:ascii="Times New Roman" w:hAnsi="Times New Roman" w:cs="Times New Roman"/>
                <w:b w:val="0"/>
                <w:sz w:val="24"/>
              </w:rPr>
            </w:pPr>
            <w:r w:rsidRPr="008364D2">
              <w:rPr>
                <w:rFonts w:ascii="Times New Roman" w:hAnsi="Times New Roman" w:cs="Times New Roman"/>
                <w:b w:val="0"/>
                <w:sz w:val="24"/>
              </w:rPr>
              <w:t xml:space="preserve">   Prepare report and brief stakeholders</w:t>
            </w:r>
          </w:p>
        </w:tc>
        <w:tc>
          <w:tcPr>
            <w:tcW w:w="4258" w:type="dxa"/>
          </w:tcPr>
          <w:p w:rsidR="004A1892" w:rsidRPr="008364D2" w:rsidP="00463270" w14:paraId="293B2DAC" w14:textId="0849675A">
            <w:pPr>
              <w:rPr>
                <w:rFonts w:ascii="Times New Roman" w:hAnsi="Times New Roman" w:cs="Times New Roman"/>
                <w:sz w:val="24"/>
              </w:rPr>
            </w:pPr>
            <w:r w:rsidRPr="008364D2">
              <w:rPr>
                <w:rFonts w:ascii="Times New Roman" w:hAnsi="Times New Roman" w:cs="Times New Roman"/>
                <w:sz w:val="24"/>
              </w:rPr>
              <w:t>July</w:t>
            </w:r>
            <w:r w:rsidR="004D361F">
              <w:rPr>
                <w:rFonts w:ascii="Times New Roman" w:hAnsi="Times New Roman" w:cs="Times New Roman"/>
                <w:sz w:val="24"/>
              </w:rPr>
              <w:t xml:space="preserve"> - August</w:t>
            </w:r>
            <w:r w:rsidRPr="008364D2">
              <w:rPr>
                <w:rFonts w:ascii="Times New Roman" w:hAnsi="Times New Roman" w:cs="Times New Roman"/>
                <w:sz w:val="24"/>
              </w:rPr>
              <w:t xml:space="preserve"> 2024</w:t>
            </w:r>
          </w:p>
        </w:tc>
      </w:tr>
      <w:tr w14:paraId="3C84E8BC" w14:textId="77777777" w:rsidTr="00463270">
        <w:tblPrEx>
          <w:tblW w:w="9738" w:type="dxa"/>
          <w:tblLook w:val="04A0"/>
        </w:tblPrEx>
        <w:tc>
          <w:tcPr>
            <w:tcW w:w="9738" w:type="dxa"/>
            <w:gridSpan w:val="2"/>
          </w:tcPr>
          <w:p w:rsidR="004A1892" w:rsidRPr="008364D2" w:rsidP="00463270" w14:paraId="53353D7E" w14:textId="77777777">
            <w:pPr>
              <w:rPr>
                <w:rFonts w:ascii="Times New Roman" w:hAnsi="Times New Roman" w:cs="Times New Roman"/>
                <w:sz w:val="24"/>
              </w:rPr>
            </w:pPr>
            <w:r w:rsidRPr="008364D2">
              <w:rPr>
                <w:rFonts w:ascii="Times New Roman" w:hAnsi="Times New Roman" w:cs="Times New Roman"/>
                <w:sz w:val="24"/>
              </w:rPr>
              <w:t xml:space="preserve">Final Report </w:t>
            </w:r>
          </w:p>
        </w:tc>
      </w:tr>
      <w:tr w14:paraId="562C95D1" w14:textId="77777777" w:rsidTr="00463270">
        <w:tblPrEx>
          <w:tblW w:w="9738" w:type="dxa"/>
          <w:tblLook w:val="04A0"/>
        </w:tblPrEx>
        <w:tc>
          <w:tcPr>
            <w:tcW w:w="5480" w:type="dxa"/>
          </w:tcPr>
          <w:p w:rsidR="004A1892" w:rsidRPr="008364D2" w:rsidP="00463270" w14:paraId="51E14598" w14:textId="77777777">
            <w:pPr>
              <w:rPr>
                <w:rFonts w:ascii="Times New Roman" w:hAnsi="Times New Roman" w:cs="Times New Roman"/>
                <w:b w:val="0"/>
                <w:bCs w:val="0"/>
                <w:sz w:val="24"/>
              </w:rPr>
            </w:pPr>
            <w:r w:rsidRPr="008364D2">
              <w:rPr>
                <w:rFonts w:ascii="Times New Roman" w:hAnsi="Times New Roman" w:cs="Times New Roman"/>
                <w:b w:val="0"/>
                <w:bCs w:val="0"/>
                <w:sz w:val="24"/>
              </w:rPr>
              <w:t xml:space="preserve"> Prepare and submit final report  </w:t>
            </w:r>
          </w:p>
        </w:tc>
        <w:tc>
          <w:tcPr>
            <w:tcW w:w="4258" w:type="dxa"/>
          </w:tcPr>
          <w:p w:rsidR="004A1892" w:rsidRPr="008364D2" w:rsidP="00463270" w14:paraId="4A37B521" w14:textId="047650A8">
            <w:pPr>
              <w:rPr>
                <w:rFonts w:ascii="Times New Roman" w:eastAsia="Arial" w:hAnsi="Times New Roman" w:cs="Times New Roman"/>
                <w:sz w:val="24"/>
              </w:rPr>
            </w:pPr>
            <w:r w:rsidRPr="008364D2">
              <w:rPr>
                <w:rFonts w:ascii="Times New Roman" w:eastAsia="Arial" w:hAnsi="Times New Roman" w:cs="Times New Roman"/>
                <w:sz w:val="24"/>
              </w:rPr>
              <w:t xml:space="preserve">September </w:t>
            </w:r>
            <w:r w:rsidRPr="008364D2" w:rsidR="004E5785">
              <w:rPr>
                <w:rFonts w:ascii="Times New Roman" w:eastAsia="Arial" w:hAnsi="Times New Roman" w:cs="Times New Roman"/>
                <w:sz w:val="24"/>
              </w:rPr>
              <w:t>202</w:t>
            </w:r>
            <w:r w:rsidR="004E5785">
              <w:rPr>
                <w:rFonts w:ascii="Times New Roman" w:eastAsia="Arial" w:hAnsi="Times New Roman" w:cs="Times New Roman"/>
                <w:sz w:val="24"/>
              </w:rPr>
              <w:t>4</w:t>
            </w:r>
          </w:p>
        </w:tc>
      </w:tr>
      <w:tr w14:paraId="61933412" w14:textId="77777777" w:rsidTr="00463270">
        <w:tblPrEx>
          <w:tblW w:w="9738" w:type="dxa"/>
          <w:tblLook w:val="04A0"/>
        </w:tblPrEx>
        <w:tc>
          <w:tcPr>
            <w:tcW w:w="5480" w:type="dxa"/>
          </w:tcPr>
          <w:p w:rsidR="004A1892" w:rsidRPr="008364D2" w:rsidP="00463270" w14:paraId="077C632C" w14:textId="77777777">
            <w:pPr>
              <w:rPr>
                <w:rFonts w:ascii="Times New Roman" w:hAnsi="Times New Roman" w:cs="Times New Roman"/>
                <w:b w:val="0"/>
                <w:sz w:val="24"/>
              </w:rPr>
            </w:pPr>
            <w:r w:rsidRPr="008364D2">
              <w:rPr>
                <w:rFonts w:ascii="Times New Roman" w:hAnsi="Times New Roman" w:cs="Times New Roman"/>
                <w:b w:val="0"/>
                <w:sz w:val="24"/>
              </w:rPr>
              <w:t xml:space="preserve">Presentation of final report to HSRA </w:t>
            </w:r>
          </w:p>
        </w:tc>
        <w:tc>
          <w:tcPr>
            <w:tcW w:w="4258" w:type="dxa"/>
          </w:tcPr>
          <w:p w:rsidR="004A1892" w:rsidRPr="008364D2" w:rsidP="00463270" w14:paraId="49F54635" w14:textId="7BEB7494">
            <w:pPr>
              <w:rPr>
                <w:rFonts w:ascii="Times New Roman" w:hAnsi="Times New Roman" w:cs="Times New Roman"/>
                <w:sz w:val="24"/>
              </w:rPr>
            </w:pPr>
            <w:r w:rsidRPr="008364D2">
              <w:rPr>
                <w:rFonts w:ascii="Times New Roman" w:eastAsia="Arial" w:hAnsi="Times New Roman" w:cs="Times New Roman"/>
                <w:sz w:val="24"/>
              </w:rPr>
              <w:t xml:space="preserve">September </w:t>
            </w:r>
            <w:r w:rsidRPr="008364D2" w:rsidR="004E5785">
              <w:rPr>
                <w:rFonts w:ascii="Times New Roman" w:eastAsia="Arial" w:hAnsi="Times New Roman" w:cs="Times New Roman"/>
                <w:sz w:val="24"/>
              </w:rPr>
              <w:t>202</w:t>
            </w:r>
            <w:r w:rsidR="004E5785">
              <w:rPr>
                <w:rFonts w:ascii="Times New Roman" w:eastAsia="Arial" w:hAnsi="Times New Roman" w:cs="Times New Roman"/>
                <w:sz w:val="24"/>
              </w:rPr>
              <w:t>4</w:t>
            </w:r>
          </w:p>
        </w:tc>
      </w:tr>
    </w:tbl>
    <w:p w:rsidR="004A1892" w:rsidRPr="008364D2" w:rsidP="004A1892" w14:paraId="5A519DA2" w14:textId="77777777">
      <w:pPr>
        <w:rPr>
          <w:sz w:val="24"/>
        </w:rPr>
      </w:pPr>
    </w:p>
    <w:p w:rsidR="00BA1757" w:rsidRPr="008364D2" w:rsidP="00AF2FB8" w14:paraId="0CB96C4B" w14:textId="1947E2FF">
      <w:pPr>
        <w:pStyle w:val="Heading3"/>
        <w:rPr>
          <w:szCs w:val="24"/>
        </w:rPr>
      </w:pPr>
      <w:r w:rsidRPr="008364D2">
        <w:rPr>
          <w:szCs w:val="24"/>
          <w:u w:val="none"/>
        </w:rPr>
        <w:t>3.</w:t>
      </w:r>
      <w:r w:rsidRPr="008364D2" w:rsidR="00D3251C">
        <w:rPr>
          <w:szCs w:val="24"/>
          <w:u w:val="none"/>
        </w:rPr>
        <w:tab/>
      </w:r>
      <w:r w:rsidRPr="008364D2">
        <w:rPr>
          <w:szCs w:val="24"/>
        </w:rPr>
        <w:t>Methods to Maximize Response Rates and Deal with Nonresponse</w:t>
      </w:r>
    </w:p>
    <w:p w:rsidR="00843F6B" w:rsidRPr="008364D2" w:rsidP="00843F6B" w14:paraId="75DC12B8" w14:textId="34F67686">
      <w:pPr>
        <w:ind w:firstLine="432"/>
        <w:rPr>
          <w:sz w:val="24"/>
        </w:rPr>
      </w:pPr>
      <w:r w:rsidRPr="008364D2">
        <w:rPr>
          <w:sz w:val="24"/>
        </w:rPr>
        <w:t xml:space="preserve">The ability to gain the cooperation </w:t>
      </w:r>
      <w:r w:rsidR="00B45A0E">
        <w:rPr>
          <w:sz w:val="24"/>
        </w:rPr>
        <w:t xml:space="preserve">and participation </w:t>
      </w:r>
      <w:r w:rsidRPr="008364D2">
        <w:rPr>
          <w:sz w:val="24"/>
        </w:rPr>
        <w:t xml:space="preserve">of potential respondents is important to the success of the Healthy Start evaluation.  </w:t>
      </w:r>
      <w:r w:rsidRPr="008364D2" w:rsidR="00B87106">
        <w:rPr>
          <w:sz w:val="24"/>
        </w:rPr>
        <w:t>Me</w:t>
      </w:r>
      <w:r w:rsidRPr="008364D2" w:rsidR="00AC6B66">
        <w:rPr>
          <w:sz w:val="24"/>
        </w:rPr>
        <w:t xml:space="preserve">thods to maximize </w:t>
      </w:r>
      <w:r w:rsidRPr="008364D2" w:rsidR="00B87106">
        <w:rPr>
          <w:sz w:val="24"/>
        </w:rPr>
        <w:t xml:space="preserve">these </w:t>
      </w:r>
      <w:r w:rsidRPr="008364D2" w:rsidR="00AC6B66">
        <w:rPr>
          <w:sz w:val="24"/>
        </w:rPr>
        <w:t xml:space="preserve">response rates </w:t>
      </w:r>
      <w:r w:rsidRPr="008364D2" w:rsidR="009C5A4F">
        <w:rPr>
          <w:sz w:val="24"/>
        </w:rPr>
        <w:t xml:space="preserve">and minimize nonresponse </w:t>
      </w:r>
      <w:r w:rsidRPr="008364D2" w:rsidR="000433E5">
        <w:rPr>
          <w:sz w:val="24"/>
        </w:rPr>
        <w:t>are</w:t>
      </w:r>
      <w:r w:rsidRPr="008364D2" w:rsidR="00AC6B66">
        <w:rPr>
          <w:sz w:val="24"/>
        </w:rPr>
        <w:t xml:space="preserve"> presented below.</w:t>
      </w:r>
    </w:p>
    <w:p w:rsidR="00B87106" w:rsidRPr="008364D2" w:rsidP="00843F6B" w14:paraId="49E3C03B" w14:textId="77777777">
      <w:pPr>
        <w:ind w:firstLine="432"/>
        <w:rPr>
          <w:sz w:val="24"/>
        </w:rPr>
      </w:pPr>
    </w:p>
    <w:p w:rsidR="00C970C8" w:rsidRPr="008364D2" w:rsidP="00426E53" w14:paraId="77E6FEF2" w14:textId="1978BAD3">
      <w:pPr>
        <w:pStyle w:val="NormalSS"/>
        <w:spacing w:after="0"/>
        <w:ind w:firstLine="0"/>
        <w:rPr>
          <w:b/>
        </w:rPr>
      </w:pPr>
      <w:r w:rsidRPr="008364D2">
        <w:rPr>
          <w:b/>
        </w:rPr>
        <w:t>Engaging Grantees</w:t>
      </w:r>
      <w:r w:rsidRPr="008364D2">
        <w:rPr>
          <w:b/>
        </w:rPr>
        <w:t xml:space="preserve"> Prior </w:t>
      </w:r>
      <w:r w:rsidRPr="008364D2" w:rsidR="009C5A4F">
        <w:rPr>
          <w:b/>
        </w:rPr>
        <w:t xml:space="preserve">to </w:t>
      </w:r>
      <w:r w:rsidRPr="008364D2">
        <w:rPr>
          <w:b/>
        </w:rPr>
        <w:t>and During the Evaluation</w:t>
      </w:r>
    </w:p>
    <w:p w:rsidR="00C02B04" w:rsidRPr="008364D2" w:rsidP="00C970C8" w14:paraId="122D5B39" w14:textId="4C57ED68">
      <w:pPr>
        <w:pStyle w:val="NormalSS"/>
        <w:ind w:firstLine="0"/>
      </w:pPr>
      <w:r w:rsidRPr="008364D2">
        <w:tab/>
      </w:r>
      <w:r w:rsidRPr="008364D2" w:rsidR="00371E53">
        <w:t xml:space="preserve">To introduce </w:t>
      </w:r>
      <w:r w:rsidRPr="008364D2" w:rsidR="00371E53">
        <w:t>Healthy</w:t>
      </w:r>
      <w:r w:rsidRPr="008364D2" w:rsidR="00371E53">
        <w:t xml:space="preserve"> Start grantees to this evaluation, </w:t>
      </w:r>
      <w:r w:rsidRPr="008364D2" w:rsidR="008E75E9">
        <w:t xml:space="preserve">HRSA’s evaluation contractor presented </w:t>
      </w:r>
      <w:r w:rsidRPr="008364D2" w:rsidR="00371E53">
        <w:t xml:space="preserve">the overall design and the plan for the data collection activities at the annual </w:t>
      </w:r>
      <w:r w:rsidRPr="008364D2" w:rsidR="00525A03">
        <w:t xml:space="preserve">Healthy Start </w:t>
      </w:r>
      <w:r w:rsidRPr="008364D2" w:rsidR="00371E53">
        <w:t xml:space="preserve">grantee meeting held virtually in November 2021 by HRSA. Additional sessions on the evaluation will be presented to the grantees through HRSA’s Healthy Start </w:t>
      </w:r>
      <w:r w:rsidRPr="008364D2" w:rsidR="00395EBC">
        <w:t>Technical Assistance (</w:t>
      </w:r>
      <w:r w:rsidRPr="008364D2" w:rsidR="00371E53">
        <w:t>TA</w:t>
      </w:r>
      <w:r w:rsidRPr="008364D2" w:rsidR="00395EBC">
        <w:t>) and Support Center</w:t>
      </w:r>
      <w:r w:rsidRPr="008364D2" w:rsidR="00371E53">
        <w:t>.</w:t>
      </w:r>
      <w:r w:rsidRPr="008364D2" w:rsidR="00BD659C">
        <w:t xml:space="preserve"> </w:t>
      </w:r>
      <w:r w:rsidRPr="008364D2" w:rsidR="008E75E9">
        <w:t xml:space="preserve">The evaluation contractor will further provide ongoing findings from the evaluation and </w:t>
      </w:r>
      <w:r w:rsidRPr="008364D2" w:rsidR="00525A03">
        <w:t>evaluation technical assistance throughout the data collection period</w:t>
      </w:r>
      <w:r w:rsidRPr="008364D2" w:rsidR="008E75E9">
        <w:t xml:space="preserve">. The evaluation contractor will also </w:t>
      </w:r>
      <w:r w:rsidRPr="008364D2" w:rsidR="009C5A4F">
        <w:t>develop</w:t>
      </w:r>
      <w:r w:rsidRPr="008364D2" w:rsidR="008E75E9">
        <w:t xml:space="preserve"> communication products such as fact sheets of findings or infographics of key results to disseminate </w:t>
      </w:r>
      <w:r w:rsidRPr="008364D2" w:rsidR="00F616AA">
        <w:t>to</w:t>
      </w:r>
      <w:r w:rsidRPr="008364D2" w:rsidR="008E75E9">
        <w:t xml:space="preserve"> the grantees.</w:t>
      </w:r>
    </w:p>
    <w:p w:rsidR="00C02B04" w:rsidRPr="008364D2" w:rsidP="00426E53" w14:paraId="2F534D6A" w14:textId="273C7B2F">
      <w:pPr>
        <w:pStyle w:val="NormalSS"/>
        <w:spacing w:after="0"/>
        <w:ind w:firstLine="0"/>
      </w:pPr>
      <w:r w:rsidRPr="008364D2">
        <w:rPr>
          <w:b/>
        </w:rPr>
        <w:t xml:space="preserve">Request </w:t>
      </w:r>
      <w:r w:rsidRPr="008364D2">
        <w:rPr>
          <w:b/>
        </w:rPr>
        <w:t xml:space="preserve">Potential Respondents </w:t>
      </w:r>
      <w:r w:rsidRPr="008364D2">
        <w:rPr>
          <w:b/>
        </w:rPr>
        <w:t>to Participate in</w:t>
      </w:r>
      <w:r w:rsidRPr="008364D2">
        <w:rPr>
          <w:b/>
        </w:rPr>
        <w:t xml:space="preserve"> Surveys through Trustworthy Sources</w:t>
      </w:r>
    </w:p>
    <w:p w:rsidR="008C0C88" w:rsidRPr="008364D2" w:rsidP="008C0C88" w14:paraId="6A9DF6B4" w14:textId="3B79E35F">
      <w:pPr>
        <w:pStyle w:val="NormalSS"/>
        <w:spacing w:after="0"/>
        <w:ind w:firstLine="0"/>
      </w:pPr>
      <w:r w:rsidRPr="008364D2">
        <w:tab/>
      </w:r>
      <w:r w:rsidRPr="008364D2" w:rsidR="233D7A0C">
        <w:t xml:space="preserve">All potential respondents will be </w:t>
      </w:r>
      <w:r w:rsidRPr="008364D2" w:rsidR="67B3AB5A">
        <w:t>requested to participate</w:t>
      </w:r>
      <w:r w:rsidRPr="008364D2" w:rsidR="233D7A0C">
        <w:t xml:space="preserve"> </w:t>
      </w:r>
      <w:r w:rsidRPr="008364D2" w:rsidR="67B3AB5A">
        <w:t>in</w:t>
      </w:r>
      <w:r w:rsidRPr="008364D2" w:rsidR="233D7A0C">
        <w:t xml:space="preserve"> data collection activities </w:t>
      </w:r>
      <w:r w:rsidRPr="008364D2" w:rsidR="67B3AB5A">
        <w:t xml:space="preserve">by familiar and trustworthy individuals to </w:t>
      </w:r>
      <w:r w:rsidRPr="008364D2" w:rsidR="233D7A0C">
        <w:t>maximize response rates for each survey:</w:t>
      </w:r>
    </w:p>
    <w:p w:rsidR="008C0C88" w:rsidRPr="00EF3100" w:rsidP="008C0C88" w14:paraId="3F538207" w14:textId="47DF4A86">
      <w:pPr>
        <w:pStyle w:val="NormalSS"/>
        <w:numPr>
          <w:ilvl w:val="0"/>
          <w:numId w:val="26"/>
        </w:numPr>
        <w:spacing w:after="0"/>
      </w:pPr>
      <w:r w:rsidRPr="00EF3100">
        <w:t>For the Program Survey,</w:t>
      </w:r>
      <w:r w:rsidRPr="00EF3100" w:rsidR="1BF3B7B4">
        <w:t xml:space="preserve"> HRSA’s project officers will send an email to all Healthy Start </w:t>
      </w:r>
      <w:r w:rsidRPr="00EF3100" w:rsidR="7869C62A">
        <w:t>program</w:t>
      </w:r>
      <w:r w:rsidRPr="00EF3100" w:rsidR="1BF3B7B4">
        <w:t xml:space="preserve"> directors </w:t>
      </w:r>
      <w:r w:rsidRPr="00EF3100">
        <w:t>informing them</w:t>
      </w:r>
      <w:r w:rsidRPr="00EF3100" w:rsidR="1BF3B7B4">
        <w:t xml:space="preserve"> </w:t>
      </w:r>
      <w:r w:rsidRPr="00EF3100" w:rsidR="7B99DC9A">
        <w:t xml:space="preserve">that they </w:t>
      </w:r>
      <w:r w:rsidRPr="00EF3100" w:rsidR="7F0879FD">
        <w:t xml:space="preserve">will </w:t>
      </w:r>
      <w:r w:rsidRPr="00EF3100" w:rsidR="7B99DC9A">
        <w:t xml:space="preserve">receive </w:t>
      </w:r>
      <w:r w:rsidRPr="00EF3100">
        <w:t xml:space="preserve">this survey </w:t>
      </w:r>
      <w:r w:rsidRPr="00EF3100" w:rsidR="7B99DC9A">
        <w:t>from the evaluation contractor</w:t>
      </w:r>
      <w:r w:rsidRPr="00EF3100">
        <w:t xml:space="preserve"> and request </w:t>
      </w:r>
      <w:r w:rsidRPr="00EF3100" w:rsidR="6F6F4E00">
        <w:t>that they</w:t>
      </w:r>
      <w:r w:rsidRPr="00EF3100">
        <w:t xml:space="preserve"> participate</w:t>
      </w:r>
      <w:r w:rsidRPr="00EF3100" w:rsidR="1A16AFA9">
        <w:t>.</w:t>
      </w:r>
      <w:r w:rsidRPr="00EF3100" w:rsidR="7B99DC9A">
        <w:t xml:space="preserve"> </w:t>
      </w:r>
    </w:p>
    <w:p w:rsidR="008C0C88" w:rsidRPr="00EF3100" w:rsidP="008C0C88" w14:paraId="54D876BC" w14:textId="4088C8FD">
      <w:pPr>
        <w:pStyle w:val="NormalSS"/>
        <w:numPr>
          <w:ilvl w:val="0"/>
          <w:numId w:val="26"/>
        </w:numPr>
        <w:spacing w:after="0"/>
      </w:pPr>
      <w:r w:rsidRPr="00EF3100">
        <w:t xml:space="preserve">For the Network Survey, the </w:t>
      </w:r>
      <w:r w:rsidRPr="00EF3100" w:rsidR="67B3AB5A">
        <w:t xml:space="preserve">HRSA project officers of the selected case study sites will send an email to the Healthy Start </w:t>
      </w:r>
      <w:r w:rsidRPr="00EF3100" w:rsidR="7869C62A">
        <w:t>program</w:t>
      </w:r>
      <w:r w:rsidRPr="00EF3100">
        <w:t xml:space="preserve"> directors </w:t>
      </w:r>
      <w:r w:rsidRPr="00EF3100" w:rsidR="67B3AB5A">
        <w:t>requesting</w:t>
      </w:r>
      <w:r w:rsidRPr="00EF3100" w:rsidR="68231AE0">
        <w:t xml:space="preserve"> that they</w:t>
      </w:r>
      <w:r w:rsidRPr="00EF3100" w:rsidR="48EC7F5B">
        <w:t xml:space="preserve"> notify their</w:t>
      </w:r>
      <w:r w:rsidRPr="00EF3100">
        <w:t xml:space="preserve"> active CAN members </w:t>
      </w:r>
      <w:r w:rsidRPr="00EF3100" w:rsidR="165B1A78">
        <w:t xml:space="preserve">via email </w:t>
      </w:r>
      <w:r w:rsidRPr="00EF3100" w:rsidR="7869C62A">
        <w:t>about</w:t>
      </w:r>
      <w:r w:rsidRPr="00EF3100">
        <w:t xml:space="preserve"> the upcoming survey</w:t>
      </w:r>
      <w:r w:rsidRPr="00EF3100" w:rsidR="1DF997B9">
        <w:t xml:space="preserve">. </w:t>
      </w:r>
      <w:r w:rsidRPr="00EF3100" w:rsidR="34152DE0">
        <w:t>The evaluation contractor w</w:t>
      </w:r>
      <w:r w:rsidRPr="00EF3100" w:rsidR="1DF997B9">
        <w:t xml:space="preserve">ill </w:t>
      </w:r>
      <w:r w:rsidRPr="00EF3100" w:rsidR="53024CFA">
        <w:t>email the survey to the CAN members.</w:t>
      </w:r>
    </w:p>
    <w:p w:rsidR="0072217E" w:rsidRPr="00EF3100" w:rsidP="0072217E" w14:paraId="5DE4A03A" w14:textId="508B6812">
      <w:pPr>
        <w:pStyle w:val="ListParagraph"/>
        <w:numPr>
          <w:ilvl w:val="0"/>
          <w:numId w:val="26"/>
        </w:numPr>
        <w:rPr>
          <w:rFonts w:ascii="Times New Roman" w:eastAsia="Times New Roman" w:hAnsi="Times New Roman" w:cs="Times New Roman"/>
          <w:sz w:val="24"/>
          <w:szCs w:val="24"/>
        </w:rPr>
      </w:pPr>
      <w:r w:rsidRPr="00EF3100">
        <w:rPr>
          <w:rFonts w:ascii="Times New Roman" w:eastAsia="Times New Roman" w:hAnsi="Times New Roman" w:cs="Times New Roman"/>
          <w:sz w:val="24"/>
          <w:szCs w:val="24"/>
        </w:rPr>
        <w:t>For the Participant Survey, the evaluation contractor will contact the program directors of the selected 15 Healthy Start programs that constitute case studies to request the email addresses of their currently enrolled participants.</w:t>
      </w:r>
      <w:r w:rsidRPr="00EF3100" w:rsidR="005F5F37">
        <w:rPr>
          <w:rFonts w:ascii="Times New Roman" w:eastAsia="Times New Roman" w:hAnsi="Times New Roman" w:cs="Times New Roman"/>
          <w:sz w:val="24"/>
          <w:szCs w:val="24"/>
        </w:rPr>
        <w:t xml:space="preserve"> The contractor will also ask program directors or program staff to notify participants about the upcoming survey.</w:t>
      </w:r>
      <w:r w:rsidRPr="00EF3100">
        <w:rPr>
          <w:rFonts w:ascii="Times New Roman" w:eastAsia="Times New Roman" w:hAnsi="Times New Roman" w:cs="Times New Roman"/>
          <w:sz w:val="24"/>
          <w:szCs w:val="24"/>
        </w:rPr>
        <w:t xml:space="preserve"> The contractor will send the web survey link to the participant email addresses provided and track the survey responses for follow up reminders. Alternatively, if the program directors prefer that the program communicate directly with their participants, they or designated program staff will send the emails with the survey link to their Healthy Start participants, follow-up with the participants to remind them to complete the survey as needed and send confirmations to the contractor that they sent the survey link and conducted follow-up as needed.</w:t>
      </w:r>
      <w:r w:rsidRPr="00EF3100" w:rsidR="005219F7">
        <w:rPr>
          <w:rFonts w:ascii="Times New Roman" w:eastAsia="Times New Roman" w:hAnsi="Times New Roman" w:cs="Times New Roman"/>
          <w:sz w:val="24"/>
          <w:szCs w:val="24"/>
        </w:rPr>
        <w:t xml:space="preserve"> </w:t>
      </w:r>
    </w:p>
    <w:p w:rsidR="00D52599" w:rsidP="009754DC" w14:paraId="6C005844" w14:textId="4D5A29E7">
      <w:pPr>
        <w:pStyle w:val="NormalSS"/>
        <w:ind w:firstLine="0"/>
      </w:pPr>
    </w:p>
    <w:p w:rsidR="009754DC" w:rsidRPr="008364D2" w:rsidP="002A302B" w14:paraId="679EA0E5" w14:textId="1FA0F1BD">
      <w:pPr>
        <w:pStyle w:val="NormalSS"/>
        <w:ind w:firstLine="0"/>
      </w:pPr>
      <w:r>
        <w:t xml:space="preserve">The contractor will also work with </w:t>
      </w:r>
      <w:r w:rsidR="00E512E8">
        <w:t xml:space="preserve">trusted sources such as </w:t>
      </w:r>
      <w:r>
        <w:t>project directors</w:t>
      </w:r>
      <w:r w:rsidR="000D3292">
        <w:t>,</w:t>
      </w:r>
      <w:r>
        <w:t xml:space="preserve"> project officers</w:t>
      </w:r>
      <w:r w:rsidR="000D3292">
        <w:t>, and program staff</w:t>
      </w:r>
      <w:r>
        <w:t xml:space="preserve"> </w:t>
      </w:r>
      <w:r w:rsidR="00516198">
        <w:t>to</w:t>
      </w:r>
      <w:r w:rsidR="0093526D">
        <w:t xml:space="preserve"> overcome barriers to participation and</w:t>
      </w:r>
      <w:r w:rsidR="00516198">
        <w:t xml:space="preserve"> minimize</w:t>
      </w:r>
      <w:r w:rsidR="00633F11">
        <w:t xml:space="preserve"> non-</w:t>
      </w:r>
      <w:r w:rsidR="00516198">
        <w:t>response bias</w:t>
      </w:r>
      <w:r w:rsidR="00632CE1">
        <w:t xml:space="preserve">. Psychosocial factors, internet access, transportation, and life stressors are some of the many factors that may influence response rates. Other </w:t>
      </w:r>
      <w:r w:rsidR="00E512E8">
        <w:t xml:space="preserve">issues such as </w:t>
      </w:r>
      <w:r w:rsidR="00632CE1">
        <w:t xml:space="preserve">paternity, parole, and documentation status may </w:t>
      </w:r>
      <w:r w:rsidR="007050F9">
        <w:t>make certain individuals less likely to respon</w:t>
      </w:r>
      <w:r w:rsidR="00C50C30">
        <w:t>d</w:t>
      </w:r>
      <w:r w:rsidR="00632CE1">
        <w:t xml:space="preserve">. </w:t>
      </w:r>
      <w:r w:rsidRPr="0017152B" w:rsidR="0017152B">
        <w:t>The contractor and program staff will ensure respondents that any personal information collected (e.g., names, phone numbers, email addresses) will be used for the purposes of survey administration only and will be kept confidential. Personal information will be kept in secure and password-protected computers and will not be shared with anyone outside of the contractor. In addition, the contractor will not include any information in reports that can identify anyone who takes part in the surveys. Other personal information (e.g., home addresses) that are not needed for survey administration will not be collected.</w:t>
      </w:r>
    </w:p>
    <w:p w:rsidR="004A72E2" w:rsidRPr="008364D2" w:rsidP="39679373" w14:paraId="1DC5A493" w14:textId="24226BA8">
      <w:pPr>
        <w:pStyle w:val="NormalSS"/>
        <w:spacing w:after="0"/>
        <w:ind w:firstLine="0"/>
        <w:rPr>
          <w:b/>
          <w:bCs/>
        </w:rPr>
      </w:pPr>
      <w:r w:rsidRPr="39679373">
        <w:rPr>
          <w:b/>
          <w:bCs/>
        </w:rPr>
        <w:t xml:space="preserve">Minimizing Nonresponse </w:t>
      </w:r>
    </w:p>
    <w:p w:rsidR="00C970C8" w:rsidRPr="008364D2" w:rsidP="00C970C8" w14:paraId="36B6BCBC" w14:textId="5BDE3931">
      <w:pPr>
        <w:pStyle w:val="NormalSS"/>
      </w:pPr>
      <w:r w:rsidRPr="008364D2">
        <w:rPr>
          <w:b/>
        </w:rPr>
        <w:t xml:space="preserve">Healthy Start Program, Network, and Participant </w:t>
      </w:r>
      <w:r w:rsidRPr="008364D2" w:rsidR="009C5A4F">
        <w:rPr>
          <w:b/>
        </w:rPr>
        <w:t>Surveys</w:t>
      </w:r>
      <w:r w:rsidRPr="008364D2" w:rsidR="009C5A4F">
        <w:t xml:space="preserve">. </w:t>
      </w:r>
      <w:r w:rsidRPr="00817F1B" w:rsidR="00BC0BF5">
        <w:t>The</w:t>
      </w:r>
      <w:r w:rsidRPr="00817F1B">
        <w:t xml:space="preserve"> previous Healthy Start Program Survey </w:t>
      </w:r>
      <w:r w:rsidRPr="00817F1B" w:rsidR="00BC0BF5">
        <w:t>conducted with grantees (</w:t>
      </w:r>
      <w:r w:rsidRPr="00817F1B" w:rsidR="00AD55FC">
        <w:t>OMB #</w:t>
      </w:r>
      <w:r w:rsidRPr="00817F1B">
        <w:t>0915–0338</w:t>
      </w:r>
      <w:r w:rsidRPr="00817F1B" w:rsidR="00BC0BF5">
        <w:t>)</w:t>
      </w:r>
      <w:r w:rsidRPr="00817F1B">
        <w:t xml:space="preserve"> </w:t>
      </w:r>
      <w:r w:rsidRPr="00817F1B" w:rsidR="00BC0BF5">
        <w:t>had a response rate</w:t>
      </w:r>
      <w:r w:rsidRPr="00817F1B" w:rsidR="006909B5">
        <w:t xml:space="preserve"> of</w:t>
      </w:r>
      <w:r w:rsidRPr="00817F1B">
        <w:t xml:space="preserve"> 95 percent</w:t>
      </w:r>
      <w:r w:rsidRPr="00817F1B" w:rsidR="009C5A4F">
        <w:t>,</w:t>
      </w:r>
      <w:r>
        <w:rPr>
          <w:rStyle w:val="FootnoteReference"/>
        </w:rPr>
        <w:footnoteReference w:id="3"/>
      </w:r>
      <w:r w:rsidRPr="00817F1B" w:rsidR="009C5A4F">
        <w:t xml:space="preserve"> and </w:t>
      </w:r>
      <w:r w:rsidRPr="00817F1B" w:rsidR="006909B5">
        <w:t xml:space="preserve">we </w:t>
      </w:r>
      <w:r w:rsidRPr="00817F1B" w:rsidR="009C5A4F">
        <w:t>expect a similar response rate for the current survey as well.</w:t>
      </w:r>
      <w:r w:rsidRPr="00817F1B">
        <w:t xml:space="preserve"> Based on previous experiences conducting Network Surveys with organization </w:t>
      </w:r>
      <w:r w:rsidRPr="00817F1B">
        <w:t xml:space="preserve">partners, </w:t>
      </w:r>
      <w:r w:rsidR="00DE051B">
        <w:t>and</w:t>
      </w:r>
      <w:r w:rsidR="00A04770">
        <w:t xml:space="preserve"> taking into account the general reduction in survey response rates, </w:t>
      </w:r>
      <w:r w:rsidRPr="00817F1B">
        <w:t xml:space="preserve">we expect a response rate between </w:t>
      </w:r>
      <w:r w:rsidR="00733439">
        <w:t>5</w:t>
      </w:r>
      <w:r w:rsidRPr="00817F1B" w:rsidR="00A04770">
        <w:t xml:space="preserve">0 </w:t>
      </w:r>
      <w:r w:rsidRPr="00817F1B">
        <w:t xml:space="preserve">and </w:t>
      </w:r>
      <w:r w:rsidR="00A04770">
        <w:t>7</w:t>
      </w:r>
      <w:r w:rsidRPr="00817F1B" w:rsidR="00A04770">
        <w:t xml:space="preserve">0 </w:t>
      </w:r>
      <w:r w:rsidRPr="00817F1B">
        <w:t xml:space="preserve">percent for the Healthy Start Network Survey. </w:t>
      </w:r>
      <w:r w:rsidRPr="00817F1B" w:rsidR="004A72E2">
        <w:t xml:space="preserve">A previous Healthy Start participant survey had a </w:t>
      </w:r>
      <w:r w:rsidRPr="00817F1B" w:rsidR="004A72E2">
        <w:t>response rate of 66 percent.</w:t>
      </w:r>
      <w:r w:rsidRPr="008364D2" w:rsidR="009C5A4F">
        <w:rPr>
          <w:vertAlign w:val="superscript"/>
        </w:rPr>
        <w:t xml:space="preserve"> </w:t>
      </w:r>
      <w:r>
        <w:rPr>
          <w:vertAlign w:val="superscript"/>
        </w:rPr>
        <w:footnoteReference w:id="4"/>
      </w:r>
      <w:r w:rsidRPr="008364D2" w:rsidR="004A72E2">
        <w:t xml:space="preserve">  Based on that </w:t>
      </w:r>
      <w:r w:rsidRPr="008364D2" w:rsidR="004A72E2">
        <w:t>experience</w:t>
      </w:r>
      <w:r w:rsidR="00A04770">
        <w:t>, and</w:t>
      </w:r>
      <w:r w:rsidR="00A04770">
        <w:t xml:space="preserve"> taking into account the general reduction in survey response rates,</w:t>
      </w:r>
      <w:r w:rsidRPr="008364D2" w:rsidR="004A72E2">
        <w:t xml:space="preserve"> we are aiming for a response rate at Healthy Start sites of 80 </w:t>
      </w:r>
      <w:r w:rsidR="00733439">
        <w:t>40-</w:t>
      </w:r>
      <w:r w:rsidR="00A04770">
        <w:t>6</w:t>
      </w:r>
      <w:r w:rsidRPr="008364D2" w:rsidR="00A04770">
        <w:t xml:space="preserve">0 </w:t>
      </w:r>
      <w:r w:rsidRPr="008364D2" w:rsidR="004A72E2">
        <w:t xml:space="preserve">percent. We anticipate </w:t>
      </w:r>
      <w:r w:rsidR="00A04770">
        <w:t>this</w:t>
      </w:r>
      <w:r w:rsidRPr="008364D2" w:rsidR="004A72E2">
        <w:t xml:space="preserve"> response rate because we will use a mixed methods approach that includes contacting participants via email to complete the web-based survey</w:t>
      </w:r>
      <w:r w:rsidRPr="008364D2" w:rsidR="009C5A4F">
        <w:t xml:space="preserve"> and</w:t>
      </w:r>
      <w:r w:rsidRPr="008364D2" w:rsidR="004A72E2">
        <w:t xml:space="preserve"> providing opportunities to complete forms via email or phone.   </w:t>
      </w:r>
    </w:p>
    <w:p w:rsidR="00C970C8" w:rsidP="00C970C8" w14:paraId="65A6C4EB" w14:textId="5B3B9B84">
      <w:pPr>
        <w:pStyle w:val="NormalSS"/>
      </w:pPr>
      <w:r w:rsidRPr="008364D2">
        <w:t xml:space="preserve">Although we do not expect issues with responses, </w:t>
      </w:r>
      <w:r w:rsidRPr="008364D2" w:rsidR="004A72E2">
        <w:t xml:space="preserve">all three </w:t>
      </w:r>
      <w:r w:rsidRPr="008364D2">
        <w:t>self-administered web-based surveys will allow programs to stop</w:t>
      </w:r>
      <w:r w:rsidR="00817F1B">
        <w:t>, save their responses,</w:t>
      </w:r>
      <w:r w:rsidRPr="008364D2">
        <w:t xml:space="preserve"> and return to the survey at their convenience, encouraging completion. </w:t>
      </w:r>
      <w:r w:rsidRPr="008364D2" w:rsidR="00C13044">
        <w:t xml:space="preserve">Respondents will be able to complete the surveys on their computers, tablets, or phones. </w:t>
      </w:r>
      <w:r w:rsidRPr="008364D2">
        <w:t>In addition, clear instructions with an email and telephone number for a help desk will be provided to answer any questions that respondents may have.  Implementing the form in a web-based application will provide a way to collect high quality and consistent data and minimize burden by: (1) routing respondents through the form, thus avoiding pathing errors; (2) including range checks so that out-of-range values are checked and flagged for respondents to correct immediately; and (3) including consistency checks to ensure that the respondent’s answers are consistent throughout the questionnaire</w:t>
      </w:r>
      <w:r w:rsidRPr="008364D2" w:rsidR="009C5A4F">
        <w:t xml:space="preserve">.  </w:t>
      </w:r>
      <w:r w:rsidRPr="008364D2">
        <w:t xml:space="preserve">We will develop clear instructions and program the web-based application to be as intuitive as possible to minimize time </w:t>
      </w:r>
      <w:r w:rsidRPr="008364D2" w:rsidR="004A72E2">
        <w:t>for potential respondents to understand the process of completing the survey</w:t>
      </w:r>
      <w:r w:rsidRPr="008364D2">
        <w:t xml:space="preserve">. During the field period, the web-based application will automatically send </w:t>
      </w:r>
      <w:r w:rsidR="0072217E">
        <w:t>regular</w:t>
      </w:r>
      <w:r w:rsidRPr="008364D2" w:rsidR="0072217E">
        <w:t xml:space="preserve"> </w:t>
      </w:r>
      <w:r w:rsidRPr="008364D2">
        <w:t xml:space="preserve">reminders to those that have not completed the survey. </w:t>
      </w:r>
    </w:p>
    <w:p w:rsidR="006A3D51" w:rsidRPr="008364D2" w:rsidP="00C970C8" w14:paraId="71FF4109" w14:textId="3019563D">
      <w:pPr>
        <w:pStyle w:val="NormalSS"/>
      </w:pPr>
      <w:r w:rsidRPr="0072217E">
        <w:t>We expect that respondents to the Program Survey and Network Survey will have internet access and the equipment to complete the surveys online. For the Participant Survey, we will provide alternative methods to complete the web survey for enrolled Healthy Start participants without internet access or equipment. For participants with a landline or an unlimited cell phone plan, we will have a 1-800 toll-free phone number which they can call to complete the survey. For those without a landline or computer, and those with limited cell phone plans, we will work with the Healthy Start program directors</w:t>
      </w:r>
      <w:r w:rsidR="005F5F37">
        <w:t xml:space="preserve"> or program staff</w:t>
      </w:r>
      <w:r w:rsidRPr="0072217E">
        <w:t xml:space="preserve"> to enable participants to use computers at the Healthy Start sites to access the web survey when they come in for services. Participants may also use our 1-800 toll free line should they prefer to complete the survey over the phone using the landline from their Healthy Start site. We will request that the participants who access the survey on-line or by phone at their Healthy Start site be provided with space where they can confidentially complete the survey.</w:t>
      </w:r>
      <w:r w:rsidR="007B04EE">
        <w:t xml:space="preserve"> In addition, f</w:t>
      </w:r>
      <w:r w:rsidRPr="007B04EE" w:rsidR="007B04EE">
        <w:t xml:space="preserve">or the non-responsive </w:t>
      </w:r>
      <w:r w:rsidR="007B04EE">
        <w:t>participants</w:t>
      </w:r>
      <w:r w:rsidR="0024640D">
        <w:t xml:space="preserve"> who do not contact us for assistance with the survey</w:t>
      </w:r>
      <w:r w:rsidRPr="007B04EE" w:rsidR="007B04EE">
        <w:t xml:space="preserve">, </w:t>
      </w:r>
      <w:r w:rsidR="007B04EE">
        <w:t>we</w:t>
      </w:r>
      <w:r w:rsidRPr="007B04EE" w:rsidR="007B04EE">
        <w:t xml:space="preserve"> will attempt to reach them by phone </w:t>
      </w:r>
      <w:r w:rsidR="0024640D">
        <w:t xml:space="preserve">if their phone number is available, </w:t>
      </w:r>
      <w:r w:rsidRPr="007B04EE" w:rsidR="007B04EE">
        <w:t xml:space="preserve">and </w:t>
      </w:r>
      <w:r w:rsidR="0024640D">
        <w:t xml:space="preserve">we </w:t>
      </w:r>
      <w:r w:rsidRPr="007B04EE" w:rsidR="007B04EE">
        <w:t xml:space="preserve">will also ask the </w:t>
      </w:r>
      <w:r w:rsidR="007B04EE">
        <w:t>program staff</w:t>
      </w:r>
      <w:r w:rsidRPr="007B04EE" w:rsidR="007B04EE">
        <w:t xml:space="preserve"> for assistance with contacting the participants about the survey as needed.</w:t>
      </w:r>
      <w:r w:rsidR="007B04EE">
        <w:t xml:space="preserve"> Once we </w:t>
      </w:r>
      <w:r w:rsidR="007B04EE">
        <w:t>are able to</w:t>
      </w:r>
      <w:r w:rsidR="007B04EE">
        <w:t xml:space="preserve"> reach the participants, we will ask them about their pref</w:t>
      </w:r>
      <w:r w:rsidR="0024640D">
        <w:t>erred way to take the survey and will facilitate the completion of the survey</w:t>
      </w:r>
      <w:r w:rsidR="007B04EE">
        <w:t xml:space="preserve">. </w:t>
      </w:r>
    </w:p>
    <w:p w:rsidR="00C970C8" w:rsidRPr="008364D2" w:rsidP="006202CD" w14:paraId="556A23BC" w14:textId="0F913B04">
      <w:pPr>
        <w:pStyle w:val="NormalSS"/>
        <w:ind w:firstLine="0"/>
      </w:pPr>
      <w:r w:rsidRPr="008364D2">
        <w:rPr>
          <w:color w:val="FF0000"/>
        </w:rPr>
        <w:tab/>
      </w:r>
      <w:r w:rsidRPr="39679373" w:rsidR="6245AEDC">
        <w:rPr>
          <w:b/>
          <w:bCs/>
        </w:rPr>
        <w:t>Healthy Start Stakeholder Interviews</w:t>
      </w:r>
      <w:r w:rsidRPr="008364D2" w:rsidR="6245AEDC">
        <w:t xml:space="preserve">. The interviews will be completed during the visits to the </w:t>
      </w:r>
      <w:r w:rsidRPr="008364D2" w:rsidR="704F0F10">
        <w:t xml:space="preserve">15 </w:t>
      </w:r>
      <w:r w:rsidRPr="008364D2" w:rsidR="6245AEDC">
        <w:t>case study sites. Interviews will be scheduled at the convenience of the key informant. We will complete the interviews virtually</w:t>
      </w:r>
      <w:r w:rsidRPr="008364D2" w:rsidR="002007E3">
        <w:t>, or by phone,</w:t>
      </w:r>
      <w:r w:rsidRPr="008364D2" w:rsidR="6245AEDC">
        <w:t xml:space="preserve"> if travel logistics or unavailability of the key informant make it difficult to hold the interviews during the site visit. A response rate of </w:t>
      </w:r>
      <w:r w:rsidR="003950DD">
        <w:t>70-80</w:t>
      </w:r>
      <w:r w:rsidRPr="008364D2" w:rsidR="003950DD">
        <w:t xml:space="preserve"> </w:t>
      </w:r>
      <w:r w:rsidRPr="008364D2" w:rsidR="6245AEDC">
        <w:t xml:space="preserve">percent is expected for key informants during the site visits based on experience with similar </w:t>
      </w:r>
      <w:r w:rsidRPr="008364D2" w:rsidR="6245AEDC">
        <w:t xml:space="preserve">activities and a typically high level of motivation from the </w:t>
      </w:r>
      <w:r w:rsidR="00BC5016">
        <w:t xml:space="preserve">among </w:t>
      </w:r>
      <w:r w:rsidRPr="008364D2" w:rsidR="6245AEDC">
        <w:t>Healthy Start staff</w:t>
      </w:r>
      <w:r w:rsidR="0025057E">
        <w:t xml:space="preserve"> with heavy </w:t>
      </w:r>
      <w:r w:rsidR="0025057E">
        <w:t>workloads.</w:t>
      </w:r>
      <w:r w:rsidRPr="008364D2" w:rsidR="6245AEDC">
        <w:t>.</w:t>
      </w:r>
    </w:p>
    <w:p w:rsidR="00BA1757" w:rsidRPr="00AF2FB8" w:rsidP="00AF2FB8" w14:paraId="3B172AF3" w14:textId="57CE0D54">
      <w:pPr>
        <w:pStyle w:val="NormalSS"/>
        <w:spacing w:after="120"/>
        <w:ind w:firstLine="0"/>
        <w:rPr>
          <w:b/>
        </w:rPr>
      </w:pPr>
      <w:r w:rsidRPr="00AF2FB8">
        <w:rPr>
          <w:b/>
        </w:rPr>
        <w:t>4.</w:t>
      </w:r>
      <w:r w:rsidRPr="00AF2FB8" w:rsidR="00D3251C">
        <w:rPr>
          <w:b/>
        </w:rPr>
        <w:tab/>
      </w:r>
      <w:r w:rsidR="00FC557F">
        <w:rPr>
          <w:b/>
          <w:u w:val="single"/>
        </w:rPr>
        <w:t>Tests of P</w:t>
      </w:r>
      <w:r w:rsidRPr="00FC557F">
        <w:rPr>
          <w:b/>
          <w:u w:val="single"/>
        </w:rPr>
        <w:t xml:space="preserve">rocedures or </w:t>
      </w:r>
      <w:r w:rsidR="00FC557F">
        <w:rPr>
          <w:b/>
          <w:u w:val="single"/>
        </w:rPr>
        <w:t>M</w:t>
      </w:r>
      <w:r w:rsidRPr="00FC557F">
        <w:rPr>
          <w:b/>
          <w:u w:val="single"/>
        </w:rPr>
        <w:t xml:space="preserve">ethods </w:t>
      </w:r>
      <w:r w:rsidR="00FC557F">
        <w:rPr>
          <w:b/>
          <w:u w:val="single"/>
        </w:rPr>
        <w:t>U</w:t>
      </w:r>
      <w:r w:rsidRPr="00FC557F">
        <w:rPr>
          <w:b/>
          <w:u w:val="single"/>
        </w:rPr>
        <w:t>ndertaken</w:t>
      </w:r>
    </w:p>
    <w:p w:rsidR="00575BF6" w:rsidRPr="00C706DB" w:rsidP="00971649" w14:paraId="1DC306CB" w14:textId="5ACB5D83">
      <w:pPr>
        <w:pStyle w:val="NormalSS"/>
      </w:pPr>
      <w:r w:rsidRPr="008364D2">
        <w:t xml:space="preserve">The evaluation contractor </w:t>
      </w:r>
      <w:r w:rsidRPr="008364D2" w:rsidR="00565E1F">
        <w:t xml:space="preserve">carried out </w:t>
      </w:r>
      <w:r w:rsidRPr="008364D2">
        <w:t xml:space="preserve">pilot </w:t>
      </w:r>
      <w:r w:rsidRPr="008364D2" w:rsidR="00565E1F">
        <w:t>test</w:t>
      </w:r>
      <w:r w:rsidR="000F1DEF">
        <w:t>s</w:t>
      </w:r>
      <w:r w:rsidRPr="008364D2" w:rsidR="00565E1F">
        <w:t xml:space="preserve"> of the </w:t>
      </w:r>
      <w:r w:rsidRPr="008364D2">
        <w:t xml:space="preserve">Healthy Start Program, Network, and Participant </w:t>
      </w:r>
      <w:r w:rsidR="009441B7">
        <w:t>S</w:t>
      </w:r>
      <w:r w:rsidRPr="008364D2">
        <w:t xml:space="preserve">urveys and the Stakeholder Interview Guide with nine respondents for each instrument. </w:t>
      </w:r>
      <w:r w:rsidRPr="008364D2" w:rsidR="00565E1F">
        <w:t xml:space="preserve">Key findings </w:t>
      </w:r>
      <w:r w:rsidR="00C6509C">
        <w:t xml:space="preserve">from the pilot test </w:t>
      </w:r>
      <w:r w:rsidRPr="008364D2" w:rsidR="00565E1F">
        <w:t>for each instrument are discussed below.</w:t>
      </w:r>
      <w:r w:rsidRPr="008364D2" w:rsidR="00092FFF">
        <w:rPr>
          <w:color w:val="FF0000"/>
        </w:rPr>
        <w:t xml:space="preserve"> </w:t>
      </w:r>
      <w:r w:rsidRPr="006A1262" w:rsidR="00C706DB">
        <w:t xml:space="preserve">Attachment </w:t>
      </w:r>
      <w:r w:rsidRPr="006A1262" w:rsidR="00BE48EE">
        <w:t>B6</w:t>
      </w:r>
      <w:r w:rsidRPr="00C706DB" w:rsidR="00BE48EE">
        <w:t xml:space="preserve"> </w:t>
      </w:r>
      <w:r w:rsidRPr="00C706DB" w:rsidR="00C706DB">
        <w:t xml:space="preserve">provides details of </w:t>
      </w:r>
      <w:r w:rsidR="009B50FC">
        <w:t xml:space="preserve">the </w:t>
      </w:r>
      <w:r w:rsidRPr="00C706DB" w:rsidR="00C706DB">
        <w:t>pilot testing</w:t>
      </w:r>
      <w:r w:rsidR="009B50FC">
        <w:t xml:space="preserve"> results and recommended changes to the instruments</w:t>
      </w:r>
      <w:r w:rsidRPr="00C706DB" w:rsidR="00C706DB">
        <w:t>.</w:t>
      </w:r>
    </w:p>
    <w:p w:rsidR="00092FFF" w:rsidRPr="008364D2" w:rsidP="00971649" w14:paraId="3E2C9E3D" w14:textId="2BB45163">
      <w:pPr>
        <w:pStyle w:val="NormalSS"/>
        <w:ind w:firstLine="0"/>
        <w:rPr>
          <w:color w:val="FF0000"/>
        </w:rPr>
      </w:pPr>
      <w:r w:rsidRPr="008364D2">
        <w:rPr>
          <w:color w:val="FF0000"/>
        </w:rPr>
        <w:tab/>
      </w:r>
      <w:r w:rsidRPr="008364D2" w:rsidR="00C606BE">
        <w:rPr>
          <w:b/>
        </w:rPr>
        <w:t>Healthy Start Program Survey</w:t>
      </w:r>
      <w:r w:rsidRPr="008364D2">
        <w:rPr>
          <w:b/>
        </w:rPr>
        <w:t>.</w:t>
      </w:r>
      <w:r w:rsidRPr="008364D2">
        <w:t xml:space="preserve"> The tim</w:t>
      </w:r>
      <w:r w:rsidR="000347B4">
        <w:t xml:space="preserve">e to complete </w:t>
      </w:r>
      <w:r w:rsidRPr="008364D2">
        <w:t xml:space="preserve">the survey was </w:t>
      </w:r>
      <w:r w:rsidRPr="008364D2" w:rsidR="00211FD8">
        <w:t xml:space="preserve">an average of </w:t>
      </w:r>
      <w:r w:rsidRPr="008364D2" w:rsidR="00847763">
        <w:t>30 minutes</w:t>
      </w:r>
      <w:r w:rsidR="00CC33BB">
        <w:t xml:space="preserve"> during the pilot test. The respondents, however, noted that they would need time to gather some of the information requested to enter in the survey. We</w:t>
      </w:r>
      <w:r w:rsidRPr="008364D2" w:rsidR="00847763">
        <w:t>,</w:t>
      </w:r>
      <w:r w:rsidR="00CC33BB">
        <w:t xml:space="preserve"> therefore, increased the estimated time to 60 minutes so respondents can have an additional 30 minutes to gather information from their records, where needed</w:t>
      </w:r>
      <w:r w:rsidRPr="008364D2" w:rsidR="00847763">
        <w:t xml:space="preserve">. </w:t>
      </w:r>
      <w:r w:rsidRPr="008364D2" w:rsidR="00211FD8">
        <w:t xml:space="preserve">Based on feedback from the </w:t>
      </w:r>
      <w:r w:rsidRPr="008364D2" w:rsidR="00C606BE">
        <w:t>pilot</w:t>
      </w:r>
      <w:r w:rsidRPr="008364D2" w:rsidR="00F74E14">
        <w:t xml:space="preserve"> </w:t>
      </w:r>
      <w:r w:rsidRPr="008364D2" w:rsidR="00211FD8">
        <w:t xml:space="preserve">test, we </w:t>
      </w:r>
      <w:r w:rsidR="00CC33BB">
        <w:t xml:space="preserve">also </w:t>
      </w:r>
      <w:r w:rsidRPr="008364D2" w:rsidR="00F74E14">
        <w:t>made revisions to</w:t>
      </w:r>
      <w:r w:rsidRPr="008364D2" w:rsidR="00F74E14">
        <w:t xml:space="preserve"> </w:t>
      </w:r>
      <w:r w:rsidRPr="008364D2" w:rsidR="00211FD8">
        <w:t>improve flow</w:t>
      </w:r>
      <w:r w:rsidRPr="008364D2" w:rsidR="00F74E14">
        <w:t>,</w:t>
      </w:r>
      <w:r w:rsidRPr="008364D2" w:rsidR="00211FD8">
        <w:t xml:space="preserve"> </w:t>
      </w:r>
      <w:r w:rsidRPr="008364D2" w:rsidR="00847763">
        <w:t>clarity</w:t>
      </w:r>
      <w:r w:rsidRPr="008364D2" w:rsidR="00F74E14">
        <w:t>, and web navigation</w:t>
      </w:r>
      <w:r w:rsidRPr="008364D2" w:rsidR="00847763">
        <w:t>.</w:t>
      </w:r>
      <w:r w:rsidRPr="008364D2" w:rsidR="007E2E0D">
        <w:t xml:space="preserve"> For example, we revised programming instructions to freeze the top row of tables so that response options are visible as respondents scroll down. We increased the character limit for the open-ended responses,</w:t>
      </w:r>
      <w:r w:rsidRPr="008364D2" w:rsidR="00B7249B">
        <w:t xml:space="preserve"> as some respondents wanted to </w:t>
      </w:r>
      <w:r w:rsidRPr="008364D2" w:rsidR="007E7AA7">
        <w:t>provide detailed responses for some questions</w:t>
      </w:r>
      <w:r w:rsidRPr="008364D2" w:rsidR="00B7249B">
        <w:t>,</w:t>
      </w:r>
      <w:r w:rsidRPr="008364D2" w:rsidR="007E2E0D">
        <w:t xml:space="preserve"> and </w:t>
      </w:r>
      <w:r w:rsidRPr="008364D2" w:rsidR="00B7249B">
        <w:t>we added</w:t>
      </w:r>
      <w:r w:rsidRPr="008364D2" w:rsidR="007E2E0D">
        <w:t xml:space="preserve"> instructions directing respondents to select one response per row</w:t>
      </w:r>
      <w:r w:rsidRPr="008364D2" w:rsidR="00B7249B">
        <w:t xml:space="preserve"> </w:t>
      </w:r>
      <w:r w:rsidRPr="008364D2" w:rsidR="007E7AA7">
        <w:t xml:space="preserve">in tables with multiple response options </w:t>
      </w:r>
      <w:r w:rsidRPr="008364D2" w:rsidR="00B7249B">
        <w:t>to minimize skipping</w:t>
      </w:r>
      <w:r w:rsidRPr="008364D2" w:rsidR="007E7AA7">
        <w:t xml:space="preserve"> of</w:t>
      </w:r>
      <w:r w:rsidRPr="008364D2" w:rsidR="00B7249B">
        <w:t xml:space="preserve"> items</w:t>
      </w:r>
      <w:r w:rsidRPr="008364D2" w:rsidR="007E2E0D">
        <w:t>. We</w:t>
      </w:r>
      <w:r w:rsidRPr="008364D2" w:rsidR="00B7249B">
        <w:t xml:space="preserve"> also</w:t>
      </w:r>
      <w:r w:rsidRPr="008364D2" w:rsidR="007E2E0D">
        <w:t xml:space="preserve"> deleted </w:t>
      </w:r>
      <w:r w:rsidR="00CC33BB">
        <w:t>some</w:t>
      </w:r>
      <w:r w:rsidRPr="008364D2" w:rsidR="007E2E0D">
        <w:t xml:space="preserve"> questions</w:t>
      </w:r>
      <w:r w:rsidRPr="008364D2" w:rsidR="00B7249B">
        <w:t xml:space="preserve"> </w:t>
      </w:r>
      <w:r w:rsidRPr="008364D2" w:rsidR="007E2E0D">
        <w:t xml:space="preserve">and </w:t>
      </w:r>
      <w:r w:rsidRPr="008364D2" w:rsidR="009B3A1B">
        <w:t>added</w:t>
      </w:r>
      <w:r w:rsidRPr="008364D2" w:rsidR="00211FD8">
        <w:t xml:space="preserve"> a few </w:t>
      </w:r>
      <w:r w:rsidRPr="008364D2" w:rsidR="007E7AA7">
        <w:t>others</w:t>
      </w:r>
      <w:r w:rsidRPr="008364D2" w:rsidR="007E2E0D">
        <w:t>,</w:t>
      </w:r>
      <w:r w:rsidRPr="008364D2" w:rsidR="00B7249B">
        <w:t xml:space="preserve"> as recommended by respondents</w:t>
      </w:r>
      <w:r w:rsidRPr="008364D2" w:rsidR="00504472">
        <w:t xml:space="preserve">, such as the impact of COVID-19 on </w:t>
      </w:r>
      <w:r w:rsidRPr="008364D2" w:rsidR="005E764C">
        <w:t xml:space="preserve">Healthy Start </w:t>
      </w:r>
      <w:r w:rsidRPr="008364D2" w:rsidR="00504472">
        <w:t>activities</w:t>
      </w:r>
      <w:r w:rsidRPr="008364D2" w:rsidR="00B7249B">
        <w:t xml:space="preserve">. </w:t>
      </w:r>
      <w:r w:rsidRPr="008364D2" w:rsidR="007E2E0D">
        <w:t xml:space="preserve">We </w:t>
      </w:r>
      <w:r w:rsidRPr="008364D2" w:rsidR="009B3A1B">
        <w:t xml:space="preserve">made </w:t>
      </w:r>
      <w:r w:rsidRPr="008364D2" w:rsidR="00B7249B">
        <w:t>some</w:t>
      </w:r>
      <w:r w:rsidRPr="008364D2" w:rsidR="009B3A1B">
        <w:t xml:space="preserve"> wording changes to make questions and response options clear</w:t>
      </w:r>
      <w:r w:rsidR="000F1DEF">
        <w:t>er</w:t>
      </w:r>
      <w:r w:rsidRPr="008364D2" w:rsidR="007E2E0D">
        <w:t xml:space="preserve"> and used inclusive language, where appropriate</w:t>
      </w:r>
      <w:r w:rsidRPr="008364D2" w:rsidR="009B3A1B">
        <w:t>.</w:t>
      </w:r>
      <w:r w:rsidRPr="008364D2" w:rsidR="00B7249B">
        <w:t xml:space="preserve"> We have also developed a Frequently Asked Questions (FAQs) document to be sent in advance to the program directors</w:t>
      </w:r>
      <w:r w:rsidR="006A1262">
        <w:t xml:space="preserve"> (Attachment B7). R</w:t>
      </w:r>
      <w:r w:rsidRPr="008364D2" w:rsidR="00B7249B">
        <w:t>espondents requested to know about the type of questions they would be required to answer and the information they would need to extract from their data systems or through consultation with their program staff</w:t>
      </w:r>
      <w:r w:rsidRPr="008364D2" w:rsidR="007E7AA7">
        <w:t xml:space="preserve"> prior to responding to the survey</w:t>
      </w:r>
      <w:r w:rsidRPr="008364D2" w:rsidR="00B7249B">
        <w:t>. We also revised the survey introduction to include a hyperlink to the FAQs.</w:t>
      </w:r>
    </w:p>
    <w:p w:rsidR="005A4380" w:rsidRPr="008364D2" w:rsidP="004E44FE" w14:paraId="50BF5862" w14:textId="7F939E84">
      <w:pPr>
        <w:pStyle w:val="NormalSS"/>
      </w:pPr>
      <w:r w:rsidRPr="008364D2">
        <w:rPr>
          <w:b/>
        </w:rPr>
        <w:t>Healthy Start Network</w:t>
      </w:r>
      <w:r w:rsidRPr="008364D2">
        <w:rPr>
          <w:b/>
        </w:rPr>
        <w:t xml:space="preserve"> Survey.</w:t>
      </w:r>
      <w:r w:rsidRPr="008364D2" w:rsidR="003E1BC2">
        <w:t xml:space="preserve"> The tim</w:t>
      </w:r>
      <w:r w:rsidR="00517655">
        <w:t xml:space="preserve">e to complete the network survey </w:t>
      </w:r>
      <w:r w:rsidRPr="008364D2" w:rsidR="00E62C7A">
        <w:t xml:space="preserve">during the pilot test </w:t>
      </w:r>
      <w:r w:rsidRPr="008364D2">
        <w:t xml:space="preserve">was </w:t>
      </w:r>
      <w:r w:rsidR="00CC33BB">
        <w:t xml:space="preserve">fairly </w:t>
      </w:r>
      <w:r w:rsidRPr="008364D2" w:rsidR="005F0F8B">
        <w:t>consistent</w:t>
      </w:r>
      <w:r w:rsidRPr="008364D2">
        <w:t xml:space="preserve"> with the </w:t>
      </w:r>
      <w:r w:rsidRPr="008364D2" w:rsidR="00267747">
        <w:t>estimated</w:t>
      </w:r>
      <w:r w:rsidRPr="008364D2">
        <w:t xml:space="preserve"> survey length (</w:t>
      </w:r>
      <w:r w:rsidRPr="008364D2">
        <w:t>20</w:t>
      </w:r>
      <w:r w:rsidRPr="008364D2">
        <w:t xml:space="preserve"> minutes). </w:t>
      </w:r>
      <w:r w:rsidRPr="008364D2" w:rsidR="00DC70B3">
        <w:t xml:space="preserve">Based on </w:t>
      </w:r>
      <w:r w:rsidRPr="008364D2" w:rsidR="00267747">
        <w:t xml:space="preserve">the </w:t>
      </w:r>
      <w:r w:rsidRPr="008364D2" w:rsidR="00DC70B3">
        <w:t>feedback on the pilot test, w</w:t>
      </w:r>
      <w:r w:rsidRPr="008364D2" w:rsidR="00A26896">
        <w:t xml:space="preserve">e </w:t>
      </w:r>
      <w:r w:rsidRPr="008364D2" w:rsidR="00267747">
        <w:t>revised</w:t>
      </w:r>
      <w:r w:rsidRPr="008364D2" w:rsidR="00A26896">
        <w:t xml:space="preserve"> the survey to clarify concepts and questions. </w:t>
      </w:r>
      <w:r w:rsidRPr="008364D2" w:rsidR="00735039">
        <w:t xml:space="preserve">We </w:t>
      </w:r>
      <w:r w:rsidR="00517655">
        <w:t xml:space="preserve">added </w:t>
      </w:r>
      <w:r w:rsidRPr="008364D2" w:rsidR="00735039">
        <w:t xml:space="preserve">definitions of both the Community Action Network (CAN) and Healthy Start in the introduction of the survey </w:t>
      </w:r>
      <w:r w:rsidRPr="008364D2" w:rsidR="00A26896">
        <w:t xml:space="preserve">because </w:t>
      </w:r>
      <w:r w:rsidRPr="008364D2" w:rsidR="00267747">
        <w:t xml:space="preserve">grantees and their community partners may refer to </w:t>
      </w:r>
      <w:r w:rsidRPr="008364D2" w:rsidR="00E62C7A">
        <w:t>the CAN and Healthy Start</w:t>
      </w:r>
      <w:r w:rsidRPr="008364D2" w:rsidR="00735039">
        <w:t xml:space="preserve"> b</w:t>
      </w:r>
      <w:r w:rsidRPr="008364D2" w:rsidR="00A26896">
        <w:t>y different local names.</w:t>
      </w:r>
      <w:r w:rsidRPr="008364D2" w:rsidR="00735039">
        <w:t xml:space="preserve"> In addition, we developed FAQs and revised the survey introduction to include a hyperlink to the FAQs</w:t>
      </w:r>
      <w:r w:rsidR="006A1262">
        <w:t xml:space="preserve"> (Attachment B8)</w:t>
      </w:r>
      <w:r w:rsidRPr="008364D2" w:rsidR="00735039">
        <w:t>. Furthermore, w</w:t>
      </w:r>
      <w:r w:rsidRPr="008364D2" w:rsidR="00A26896">
        <w:t xml:space="preserve">e </w:t>
      </w:r>
      <w:r w:rsidR="00517655">
        <w:t xml:space="preserve">added a </w:t>
      </w:r>
      <w:r w:rsidRPr="008364D2" w:rsidR="00A26896">
        <w:t>“Don’t Know” option to certain questions</w:t>
      </w:r>
      <w:r w:rsidRPr="008364D2" w:rsidR="00DC70B3">
        <w:t xml:space="preserve"> so that respondents </w:t>
      </w:r>
      <w:r w:rsidR="00517655">
        <w:t xml:space="preserve">can </w:t>
      </w:r>
      <w:r w:rsidRPr="008364D2" w:rsidR="00735039">
        <w:t xml:space="preserve">select it if they do not have an answer to the question and </w:t>
      </w:r>
      <w:r w:rsidRPr="008364D2" w:rsidR="00DC70B3">
        <w:t xml:space="preserve">do not skip </w:t>
      </w:r>
      <w:r w:rsidRPr="008364D2" w:rsidR="00735039">
        <w:t xml:space="preserve">the </w:t>
      </w:r>
      <w:r w:rsidRPr="008364D2" w:rsidR="00DC70B3">
        <w:t xml:space="preserve">question. We have also added new questions at the beginning of the survey to confirm who </w:t>
      </w:r>
      <w:r w:rsidRPr="008364D2" w:rsidR="00267747">
        <w:t xml:space="preserve">the </w:t>
      </w:r>
      <w:r w:rsidRPr="008364D2" w:rsidR="00DC70B3">
        <w:t>respondent</w:t>
      </w:r>
      <w:r w:rsidRPr="008364D2" w:rsidR="00735039">
        <w:t>s</w:t>
      </w:r>
      <w:r w:rsidRPr="008364D2" w:rsidR="00DC70B3">
        <w:t xml:space="preserve"> represent in the CAN</w:t>
      </w:r>
      <w:r w:rsidRPr="008364D2" w:rsidR="00C6673B">
        <w:t xml:space="preserve"> (i.e., themselves or an organization)</w:t>
      </w:r>
      <w:r w:rsidRPr="008364D2" w:rsidR="00DC70B3">
        <w:t xml:space="preserve">, and respond to the survey questions from this perspective. We added programming instructions to direct respondents to </w:t>
      </w:r>
      <w:r w:rsidRPr="008364D2" w:rsidR="00E62C7A">
        <w:t xml:space="preserve">specific </w:t>
      </w:r>
      <w:r w:rsidRPr="008364D2" w:rsidR="00DC70B3">
        <w:t xml:space="preserve">questions based on this initial response. We also re-ordered </w:t>
      </w:r>
      <w:r w:rsidRPr="008364D2" w:rsidR="00267747">
        <w:t xml:space="preserve">some </w:t>
      </w:r>
      <w:r w:rsidRPr="008364D2" w:rsidR="00DC70B3">
        <w:t>questions</w:t>
      </w:r>
      <w:r w:rsidRPr="008364D2" w:rsidR="00267747">
        <w:t>,</w:t>
      </w:r>
      <w:r w:rsidRPr="008364D2" w:rsidR="00DC70B3">
        <w:t xml:space="preserve"> revised some response options</w:t>
      </w:r>
      <w:r w:rsidRPr="008364D2" w:rsidR="00AB238D">
        <w:t xml:space="preserve"> and wording of questions</w:t>
      </w:r>
      <w:r w:rsidRPr="008364D2" w:rsidR="00DC70B3">
        <w:t xml:space="preserve"> for greater flow and clarity. </w:t>
      </w:r>
    </w:p>
    <w:p w:rsidR="009E1B8F" w:rsidRPr="008364D2" w:rsidP="009E1B8F" w14:paraId="44BB096E" w14:textId="58864097">
      <w:pPr>
        <w:pStyle w:val="NormalSS"/>
        <w:rPr>
          <w:color w:val="000000" w:themeColor="text1"/>
        </w:rPr>
      </w:pPr>
      <w:r w:rsidRPr="008364D2">
        <w:rPr>
          <w:b/>
          <w:color w:val="000000" w:themeColor="text1"/>
        </w:rPr>
        <w:t>Healthy Start Participant Survey.</w:t>
      </w:r>
      <w:r w:rsidRPr="008364D2">
        <w:rPr>
          <w:color w:val="FF0000"/>
        </w:rPr>
        <w:t xml:space="preserve"> </w:t>
      </w:r>
      <w:r w:rsidRPr="008364D2">
        <w:rPr>
          <w:color w:val="000000" w:themeColor="text1"/>
        </w:rPr>
        <w:t>The tim</w:t>
      </w:r>
      <w:r w:rsidR="00517655">
        <w:rPr>
          <w:color w:val="000000" w:themeColor="text1"/>
        </w:rPr>
        <w:t xml:space="preserve">e it took to complete </w:t>
      </w:r>
      <w:r w:rsidRPr="008364D2">
        <w:rPr>
          <w:color w:val="000000" w:themeColor="text1"/>
        </w:rPr>
        <w:t xml:space="preserve">the survey was </w:t>
      </w:r>
      <w:r w:rsidRPr="008364D2">
        <w:t xml:space="preserve">consistent with the </w:t>
      </w:r>
      <w:r w:rsidRPr="008364D2" w:rsidR="00267747">
        <w:t>estimated survey length (15</w:t>
      </w:r>
      <w:r w:rsidRPr="008364D2">
        <w:t xml:space="preserve"> minutes). </w:t>
      </w:r>
      <w:r w:rsidRPr="008364D2" w:rsidR="008747EB">
        <w:rPr>
          <w:color w:val="000000" w:themeColor="text1"/>
        </w:rPr>
        <w:t>We revised some questions for greater clarity</w:t>
      </w:r>
      <w:r w:rsidRPr="008364D2" w:rsidR="00D25C59">
        <w:rPr>
          <w:color w:val="000000" w:themeColor="text1"/>
        </w:rPr>
        <w:t xml:space="preserve"> and changed </w:t>
      </w:r>
      <w:r w:rsidRPr="008364D2" w:rsidR="005E764C">
        <w:rPr>
          <w:color w:val="000000" w:themeColor="text1"/>
        </w:rPr>
        <w:t xml:space="preserve">the </w:t>
      </w:r>
      <w:r w:rsidRPr="008364D2" w:rsidR="00D25C59">
        <w:rPr>
          <w:color w:val="000000" w:themeColor="text1"/>
        </w:rPr>
        <w:t>wording in some questions to reflect inclusive language</w:t>
      </w:r>
      <w:r w:rsidRPr="008364D2" w:rsidR="008747EB">
        <w:rPr>
          <w:color w:val="000000" w:themeColor="text1"/>
        </w:rPr>
        <w:t>, where appropriate</w:t>
      </w:r>
      <w:r w:rsidRPr="008364D2" w:rsidR="00D25C59">
        <w:rPr>
          <w:color w:val="000000" w:themeColor="text1"/>
        </w:rPr>
        <w:t xml:space="preserve">. We also </w:t>
      </w:r>
      <w:r w:rsidRPr="008364D2" w:rsidR="00D25C59">
        <w:rPr>
          <w:color w:val="000000" w:themeColor="text1"/>
        </w:rPr>
        <w:t xml:space="preserve">added some questions on COVID-19 </w:t>
      </w:r>
      <w:r w:rsidRPr="008364D2" w:rsidR="00D25C59">
        <w:rPr>
          <w:color w:val="000000" w:themeColor="text1"/>
        </w:rPr>
        <w:t>with regard to</w:t>
      </w:r>
      <w:r w:rsidRPr="008364D2" w:rsidR="00D25C59">
        <w:rPr>
          <w:color w:val="000000" w:themeColor="text1"/>
        </w:rPr>
        <w:t xml:space="preserve"> </w:t>
      </w:r>
      <w:r w:rsidRPr="008364D2" w:rsidR="005E764C">
        <w:rPr>
          <w:color w:val="000000" w:themeColor="text1"/>
        </w:rPr>
        <w:t xml:space="preserve">participation in </w:t>
      </w:r>
      <w:r w:rsidRPr="008364D2" w:rsidR="00D25C59">
        <w:rPr>
          <w:color w:val="000000" w:themeColor="text1"/>
        </w:rPr>
        <w:t>Healthy Start-related activities.</w:t>
      </w:r>
    </w:p>
    <w:p w:rsidR="009E1B8F" w:rsidRPr="008364D2" w:rsidP="009E1B8F" w14:paraId="4AED642E" w14:textId="76B04861">
      <w:pPr>
        <w:pStyle w:val="NormalSS"/>
        <w:rPr>
          <w:color w:val="000000" w:themeColor="text1"/>
        </w:rPr>
      </w:pPr>
      <w:r w:rsidRPr="39679373">
        <w:rPr>
          <w:b/>
          <w:bCs/>
        </w:rPr>
        <w:t>Healthy Start Stakeholder Interview Guide</w:t>
      </w:r>
      <w:r>
        <w:t xml:space="preserve">. </w:t>
      </w:r>
      <w:r w:rsidRPr="39679373">
        <w:rPr>
          <w:color w:val="000000" w:themeColor="text1"/>
        </w:rPr>
        <w:t>The tim</w:t>
      </w:r>
      <w:r w:rsidRPr="39679373" w:rsidR="3BE204FC">
        <w:rPr>
          <w:color w:val="000000" w:themeColor="text1"/>
        </w:rPr>
        <w:t xml:space="preserve">e it took to complete the </w:t>
      </w:r>
      <w:r w:rsidRPr="39679373">
        <w:rPr>
          <w:color w:val="000000" w:themeColor="text1"/>
        </w:rPr>
        <w:t>interview</w:t>
      </w:r>
      <w:r w:rsidRPr="39679373" w:rsidR="3BE204FC">
        <w:rPr>
          <w:color w:val="000000" w:themeColor="text1"/>
        </w:rPr>
        <w:t>s</w:t>
      </w:r>
      <w:r w:rsidRPr="39679373" w:rsidR="2D4A8665">
        <w:rPr>
          <w:color w:val="000000" w:themeColor="text1"/>
        </w:rPr>
        <w:t xml:space="preserve"> </w:t>
      </w:r>
      <w:r w:rsidRPr="39679373" w:rsidR="6B480D0D">
        <w:rPr>
          <w:color w:val="000000" w:themeColor="text1"/>
        </w:rPr>
        <w:t xml:space="preserve"> </w:t>
      </w:r>
      <w:r w:rsidRPr="39679373">
        <w:rPr>
          <w:color w:val="000000" w:themeColor="text1"/>
        </w:rPr>
        <w:t xml:space="preserve"> was </w:t>
      </w:r>
      <w:r>
        <w:t xml:space="preserve">consistent with </w:t>
      </w:r>
      <w:r w:rsidR="3BE204FC">
        <w:t xml:space="preserve">the </w:t>
      </w:r>
      <w:r w:rsidR="22B0EB30">
        <w:t>estimated</w:t>
      </w:r>
      <w:r>
        <w:t xml:space="preserve"> </w:t>
      </w:r>
      <w:r w:rsidR="6B480D0D">
        <w:t xml:space="preserve">average </w:t>
      </w:r>
      <w:r>
        <w:t>length (4</w:t>
      </w:r>
      <w:r w:rsidR="22B0EB30">
        <w:t>5</w:t>
      </w:r>
      <w:r>
        <w:t xml:space="preserve"> minutes)</w:t>
      </w:r>
      <w:r w:rsidR="22B0EB30">
        <w:t xml:space="preserve"> of the </w:t>
      </w:r>
      <w:r w:rsidR="2D4A8665">
        <w:t xml:space="preserve">interviews. </w:t>
      </w:r>
      <w:r w:rsidR="4DB8E48A">
        <w:t xml:space="preserve">We deleted one question, as participants thought it </w:t>
      </w:r>
      <w:r w:rsidR="1A31CE3E">
        <w:t xml:space="preserve">covered </w:t>
      </w:r>
      <w:r w:rsidR="4DB8E48A">
        <w:t xml:space="preserve">the same topic as another question. The pilot test revealed that some stakeholders would not be able to answer questions if they were not directly engaged in program activities </w:t>
      </w:r>
      <w:r w:rsidR="0F330B3C">
        <w:t>related to the question</w:t>
      </w:r>
      <w:r w:rsidR="4DB8E48A">
        <w:t xml:space="preserve">. </w:t>
      </w:r>
      <w:r w:rsidR="145A9271">
        <w:t>In response, w</w:t>
      </w:r>
      <w:r w:rsidR="4DB8E48A">
        <w:t>e include</w:t>
      </w:r>
      <w:r w:rsidR="39C87EE8">
        <w:t>d</w:t>
      </w:r>
      <w:r w:rsidR="4DB8E48A">
        <w:t xml:space="preserve"> an instruction for the interviewer to skip such questions</w:t>
      </w:r>
      <w:r w:rsidR="39C87EE8">
        <w:t xml:space="preserve"> if they were not relevant to th</w:t>
      </w:r>
      <w:r w:rsidR="69EDD184">
        <w:t>at</w:t>
      </w:r>
      <w:r w:rsidR="39C87EE8">
        <w:t xml:space="preserve"> </w:t>
      </w:r>
      <w:r w:rsidR="39C87EE8">
        <w:t>particular stakeholder</w:t>
      </w:r>
      <w:r w:rsidR="4DB8E48A">
        <w:t>.</w:t>
      </w:r>
      <w:r w:rsidR="5DBDCE8C">
        <w:t xml:space="preserve"> We also revised a question for the interviewee to focus on key activities rather than all activities conducted to reduce </w:t>
      </w:r>
      <w:r w:rsidR="459FBF9E">
        <w:t>interview time.</w:t>
      </w:r>
    </w:p>
    <w:p w:rsidR="00092FFF" w:rsidRPr="008364D2" w:rsidP="009E1B8F" w14:paraId="57AE99B7" w14:textId="08C6FAF7">
      <w:pPr>
        <w:pStyle w:val="NormalSS"/>
        <w:rPr>
          <w:b/>
          <w:u w:val="single"/>
        </w:rPr>
      </w:pPr>
      <w:r w:rsidRPr="008364D2">
        <w:rPr>
          <w:b/>
          <w:u w:val="single"/>
        </w:rPr>
        <w:t>5.</w:t>
      </w:r>
      <w:r w:rsidRPr="008364D2">
        <w:rPr>
          <w:b/>
          <w:u w:val="single"/>
        </w:rPr>
        <w:tab/>
      </w:r>
      <w:r w:rsidRPr="008364D2">
        <w:rPr>
          <w:b/>
          <w:u w:val="single"/>
        </w:rPr>
        <w:t xml:space="preserve">Individuals </w:t>
      </w:r>
      <w:r w:rsidR="00FC557F">
        <w:rPr>
          <w:b/>
          <w:u w:val="single"/>
        </w:rPr>
        <w:t>Consulted on Statistical Aspects and Individuals Collecting and/o</w:t>
      </w:r>
      <w:r w:rsidRPr="008364D2" w:rsidR="00FC557F">
        <w:rPr>
          <w:b/>
          <w:u w:val="single"/>
        </w:rPr>
        <w:t>r Analyzing Data</w:t>
      </w:r>
    </w:p>
    <w:p w:rsidR="00E103DD" w:rsidRPr="004F0501" w:rsidP="39679373" w14:paraId="24031CAD" w14:textId="0AB5360F">
      <w:pPr>
        <w:pStyle w:val="NormalSS"/>
      </w:pPr>
      <w:r>
        <w:t xml:space="preserve">Consultations on the evaluation design, data collection instruments and protocols, survey and interview questions, data management, and analysis of this evaluation occurred throughout the planning phase of the project.  HRSA/MCHB staff were consulted about </w:t>
      </w:r>
      <w:r w:rsidR="00670150">
        <w:t xml:space="preserve">the </w:t>
      </w:r>
      <w:r w:rsidR="7869C62A">
        <w:t xml:space="preserve">evaluation design and </w:t>
      </w:r>
      <w:r w:rsidR="00670150">
        <w:t>methodology for t</w:t>
      </w:r>
      <w:r>
        <w:t xml:space="preserve">he study. </w:t>
      </w:r>
      <w:r w:rsidR="331D5CA3">
        <w:t>These consultations provided the opportunity to ensure the technical quality and appropriateness of the overall evaluation design and data analysis plans, obtain advice and recommendations concerning the data collection instruments, and structure the evaluation and instruments to minimize overall and i</w:t>
      </w:r>
      <w:r w:rsidR="00670150">
        <w:t xml:space="preserve">ndividual response burden. </w:t>
      </w:r>
      <w:r w:rsidR="331D5CA3">
        <w:t>Consultations</w:t>
      </w:r>
      <w:r w:rsidR="5C349144">
        <w:t xml:space="preserve"> </w:t>
      </w:r>
      <w:r w:rsidR="331D5CA3">
        <w:t>occurred with the following individuals in connection with this study (listed in alphabetical order in Table B</w:t>
      </w:r>
      <w:r w:rsidR="5C349144">
        <w:t>.3</w:t>
      </w:r>
      <w:r w:rsidR="331D5CA3">
        <w:t>)</w:t>
      </w:r>
      <w:r w:rsidR="459FBF9E">
        <w:t xml:space="preserve">. </w:t>
      </w:r>
      <w:r w:rsidR="5C349144">
        <w:t xml:space="preserve">The consultative roles that the individuals played in the evaluation also are included in parentheses. </w:t>
      </w:r>
      <w:r>
        <w:t xml:space="preserve">Their recommendations were incorporated into the study design and instruments on an ongoing </w:t>
      </w:r>
      <w:r w:rsidRPr="004F0501">
        <w:t xml:space="preserve">basis. The person responsible for receiving and approving the instruments and information collection is </w:t>
      </w:r>
      <w:r w:rsidRPr="004F0501" w:rsidR="4969C374">
        <w:t>Kimberly Burnett-Hoke (MCHB COR)</w:t>
      </w:r>
      <w:r w:rsidR="009441B7">
        <w:t>,</w:t>
      </w:r>
      <w:r w:rsidRPr="004F0501" w:rsidR="4969C374">
        <w:t xml:space="preserve"> with subject matter expertise input from</w:t>
      </w:r>
      <w:r w:rsidRPr="004F0501" w:rsidR="7872A15E">
        <w:t xml:space="preserve"> the following MCHB staff:</w:t>
      </w:r>
      <w:r w:rsidRPr="004F0501" w:rsidR="4969C374">
        <w:t xml:space="preserve"> Maura Dwyer, Ada Determan, Sarah </w:t>
      </w:r>
      <w:r w:rsidRPr="004F0501" w:rsidR="256A46CE">
        <w:t>Barrett, and Anne Leong.</w:t>
      </w:r>
    </w:p>
    <w:p w:rsidR="00092FFF" w:rsidRPr="004F0501" w:rsidP="004E44FE" w14:paraId="0A6E8C82" w14:textId="122411B1">
      <w:pPr>
        <w:pStyle w:val="MarkforTableHeading"/>
        <w:rPr>
          <w:rFonts w:ascii="Times New Roman" w:hAnsi="Times New Roman"/>
          <w:sz w:val="24"/>
        </w:rPr>
      </w:pPr>
      <w:r w:rsidRPr="004F0501">
        <w:rPr>
          <w:rFonts w:ascii="Times New Roman" w:hAnsi="Times New Roman"/>
          <w:sz w:val="24"/>
        </w:rPr>
        <w:t>Table B</w:t>
      </w:r>
      <w:r w:rsidRPr="004F0501" w:rsidR="0066691E">
        <w:rPr>
          <w:rFonts w:ascii="Times New Roman" w:hAnsi="Times New Roman"/>
          <w:sz w:val="24"/>
        </w:rPr>
        <w:t>.3</w:t>
      </w:r>
      <w:r w:rsidRPr="004F0501" w:rsidR="00702D67">
        <w:rPr>
          <w:rFonts w:ascii="Times New Roman" w:hAnsi="Times New Roman"/>
          <w:sz w:val="24"/>
        </w:rPr>
        <w:t xml:space="preserve">. Individuals </w:t>
      </w:r>
      <w:r w:rsidR="00FC557F">
        <w:rPr>
          <w:rFonts w:ascii="Times New Roman" w:hAnsi="Times New Roman"/>
          <w:sz w:val="24"/>
        </w:rPr>
        <w:t>C</w:t>
      </w:r>
      <w:r w:rsidRPr="004F0501" w:rsidR="00702D67">
        <w:rPr>
          <w:rFonts w:ascii="Times New Roman" w:hAnsi="Times New Roman"/>
          <w:sz w:val="24"/>
        </w:rPr>
        <w:t>onsulted</w:t>
      </w:r>
    </w:p>
    <w:tbl>
      <w:tblPr>
        <w:tblW w:w="9576" w:type="dxa"/>
        <w:tblCellMar>
          <w:left w:w="0" w:type="dxa"/>
          <w:right w:w="0" w:type="dxa"/>
        </w:tblCellMar>
        <w:tblLook w:val="04A0"/>
      </w:tblPr>
      <w:tblGrid>
        <w:gridCol w:w="3412"/>
        <w:gridCol w:w="6164"/>
      </w:tblGrid>
      <w:tr w14:paraId="1701AE54" w14:textId="77777777" w:rsidTr="39679373">
        <w:tblPrEx>
          <w:tblW w:w="9576" w:type="dxa"/>
          <w:tblCellMar>
            <w:left w:w="0" w:type="dxa"/>
            <w:right w:w="0" w:type="dxa"/>
          </w:tblCellMar>
          <w:tblLook w:val="04A0"/>
        </w:tblPrEx>
        <w:tc>
          <w:tcPr>
            <w:tcW w:w="3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18EF" w:rsidRPr="004F0501" w:rsidP="00B52E83" w14:paraId="4E110681" w14:textId="77777777">
            <w:pPr>
              <w:pStyle w:val="ListParagraph"/>
              <w:rPr>
                <w:rFonts w:ascii="Times New Roman" w:hAnsi="Times New Roman" w:cs="Times New Roman"/>
                <w:b/>
                <w:bCs/>
                <w:sz w:val="24"/>
                <w:szCs w:val="24"/>
              </w:rPr>
            </w:pPr>
            <w:r w:rsidRPr="004F0501">
              <w:rPr>
                <w:rFonts w:ascii="Times New Roman" w:hAnsi="Times New Roman" w:cs="Times New Roman"/>
                <w:b/>
                <w:bCs/>
                <w:sz w:val="24"/>
                <w:szCs w:val="24"/>
              </w:rPr>
              <w:t>Name</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518EF" w:rsidRPr="004F0501" w:rsidP="00B52E83" w14:paraId="7E33744D" w14:textId="77777777">
            <w:pPr>
              <w:pStyle w:val="ListParagraph"/>
              <w:rPr>
                <w:rFonts w:ascii="Times New Roman" w:hAnsi="Times New Roman" w:cs="Times New Roman"/>
                <w:b/>
                <w:bCs/>
                <w:sz w:val="24"/>
                <w:szCs w:val="24"/>
              </w:rPr>
            </w:pPr>
            <w:r w:rsidRPr="004F0501">
              <w:rPr>
                <w:rFonts w:ascii="Times New Roman" w:hAnsi="Times New Roman" w:cs="Times New Roman"/>
                <w:b/>
                <w:bCs/>
                <w:sz w:val="24"/>
                <w:szCs w:val="24"/>
              </w:rPr>
              <w:t>Affiliation</w:t>
            </w:r>
          </w:p>
        </w:tc>
      </w:tr>
      <w:tr w14:paraId="0B14B607"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39679373" w:rsidRPr="004F0501" w:rsidP="39679373" w14:paraId="02623E88" w14:textId="196ABB83">
            <w:pPr>
              <w:rPr>
                <w:sz w:val="24"/>
              </w:rPr>
            </w:pPr>
            <w:r w:rsidRPr="004F0501">
              <w:rPr>
                <w:sz w:val="24"/>
              </w:rPr>
              <w:t>Sarah Barrett, MPH</w:t>
            </w:r>
          </w:p>
          <w:p w:rsidR="39679373" w:rsidRPr="004F0501" w:rsidP="39679373" w14:paraId="2E5B98C4" w14:textId="0AA9D1FA">
            <w:pPr>
              <w:rPr>
                <w:sz w:val="24"/>
              </w:rPr>
            </w:pPr>
            <w:r w:rsidRPr="004F0501">
              <w:rPr>
                <w:sz w:val="24"/>
              </w:rPr>
              <w:t>(</w:t>
            </w:r>
            <w:r w:rsidRPr="004F0501" w:rsidR="3A012D70">
              <w:rPr>
                <w:sz w:val="24"/>
              </w:rPr>
              <w:t>evaluation</w:t>
            </w:r>
            <w:r w:rsidRPr="004F0501" w:rsidR="3A012D70">
              <w:rPr>
                <w:sz w:val="24"/>
              </w:rPr>
              <w:t xml:space="preserve"> </w:t>
            </w:r>
            <w:r w:rsidRPr="004F0501">
              <w:rPr>
                <w:sz w:val="24"/>
              </w:rPr>
              <w:t>design, data collection, and analysis)</w:t>
            </w:r>
          </w:p>
          <w:p w:rsidR="39679373" w:rsidRPr="004F0501" w:rsidP="39679373" w14:paraId="56D1A265" w14:textId="66459FE2">
            <w:pPr>
              <w:rPr>
                <w:sz w:val="24"/>
              </w:rPr>
            </w:pP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39679373" w:rsidRPr="004F0501" w:rsidP="39679373" w14:paraId="238D8B9D" w14:textId="1549F04A">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Division of Healthy Start and Perinatal Services (DHSPS)</w:t>
            </w:r>
          </w:p>
          <w:p w:rsidR="39679373" w:rsidRPr="004F0501" w:rsidP="39679373" w14:paraId="386AC212" w14:textId="6F3A85F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 (MCHB)</w:t>
            </w:r>
          </w:p>
          <w:p w:rsidR="39679373" w:rsidRPr="004F0501" w:rsidP="39679373" w14:paraId="613ED6A0" w14:textId="38857FDA">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 (HRSA)</w:t>
            </w:r>
          </w:p>
          <w:p w:rsidR="39679373" w:rsidRPr="004F0501" w:rsidP="39679373" w14:paraId="683BA2FB" w14:textId="4618CE4F">
            <w:pPr>
              <w:pStyle w:val="ListParagraph"/>
              <w:ind w:left="180"/>
              <w:rPr>
                <w:rFonts w:ascii="Calibri" w:eastAsia="Calibri" w:hAnsi="Calibri"/>
              </w:rPr>
            </w:pPr>
            <w:r w:rsidRPr="004F0501">
              <w:rPr>
                <w:rFonts w:ascii="Times New Roman" w:eastAsia="Calibri" w:hAnsi="Times New Roman" w:cs="Times New Roman"/>
                <w:sz w:val="24"/>
                <w:szCs w:val="24"/>
              </w:rPr>
              <w:t>Sbarrett@hrsa.gov</w:t>
            </w:r>
          </w:p>
        </w:tc>
      </w:tr>
      <w:tr w14:paraId="677C0E24"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3C518AF7" w:rsidRPr="004F0501" w:rsidP="39679373" w14:paraId="660E7BAB" w14:textId="73055318">
            <w:pPr>
              <w:rPr>
                <w:sz w:val="24"/>
              </w:rPr>
            </w:pPr>
            <w:r w:rsidRPr="004F0501">
              <w:rPr>
                <w:sz w:val="24"/>
              </w:rPr>
              <w:t>Kimberly Burnett-Hoke, COR</w:t>
            </w:r>
          </w:p>
          <w:p w:rsidR="3C518AF7" w:rsidRPr="004F0501" w:rsidP="39679373" w14:paraId="1DD39704" w14:textId="5348E028">
            <w:pPr>
              <w:rPr>
                <w:sz w:val="24"/>
              </w:rPr>
            </w:pPr>
            <w:r w:rsidRPr="004F0501">
              <w:rPr>
                <w:sz w:val="24"/>
              </w:rPr>
              <w:t>(</w:t>
            </w:r>
            <w:r w:rsidRPr="004F0501">
              <w:rPr>
                <w:sz w:val="24"/>
              </w:rPr>
              <w:t>contract</w:t>
            </w:r>
            <w:r w:rsidRPr="004F0501">
              <w:rPr>
                <w:sz w:val="24"/>
              </w:rPr>
              <w:t xml:space="preserve"> management &amp; approval of contract deliverables starting Sept</w:t>
            </w:r>
            <w:r w:rsidRPr="004F0501" w:rsidR="4DE18E0F">
              <w:rPr>
                <w:sz w:val="24"/>
              </w:rPr>
              <w:t xml:space="preserve"> </w:t>
            </w:r>
            <w:r w:rsidRPr="004F0501">
              <w:rPr>
                <w:sz w:val="24"/>
              </w:rPr>
              <w:t>2022)</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3C518AF7" w:rsidRPr="004F0501" w:rsidP="39679373" w14:paraId="51909718" w14:textId="1549F04A">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Division of Healthy Start and Perinatal Services (DHSPS)</w:t>
            </w:r>
          </w:p>
          <w:p w:rsidR="3C518AF7" w:rsidRPr="004F0501" w:rsidP="39679373" w14:paraId="108B0408" w14:textId="6F3A85F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 (MCHB)</w:t>
            </w:r>
          </w:p>
          <w:p w:rsidR="3C518AF7" w:rsidRPr="004F0501" w:rsidP="39679373" w14:paraId="1A7CED96" w14:textId="2917D9D6">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 (HRSA)</w:t>
            </w:r>
          </w:p>
          <w:p w:rsidR="3C518AF7" w:rsidRPr="004F0501" w:rsidP="39679373" w14:paraId="44A0952F" w14:textId="75A63E9B">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kburnett-hoke@hrsa.gov</w:t>
            </w:r>
          </w:p>
        </w:tc>
      </w:tr>
      <w:tr w14:paraId="6AE0E2C8"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2929D958" w:rsidRPr="004F0501" w:rsidP="39679373" w14:paraId="11F1D372" w14:textId="676FF9F2">
            <w:pPr>
              <w:rPr>
                <w:sz w:val="24"/>
              </w:rPr>
            </w:pPr>
            <w:r w:rsidRPr="004F0501">
              <w:rPr>
                <w:sz w:val="24"/>
              </w:rPr>
              <w:t xml:space="preserve">Clara </w:t>
            </w:r>
            <w:r w:rsidRPr="004F0501">
              <w:rPr>
                <w:sz w:val="24"/>
              </w:rPr>
              <w:t>Busse</w:t>
            </w:r>
            <w:r w:rsidRPr="004F0501">
              <w:rPr>
                <w:sz w:val="24"/>
              </w:rPr>
              <w:t>, PhD</w:t>
            </w:r>
          </w:p>
          <w:p w:rsidR="2929D958" w:rsidRPr="004F0501" w:rsidP="39679373" w14:paraId="0AE82772" w14:textId="12B1352C">
            <w:pPr>
              <w:rPr>
                <w:sz w:val="24"/>
              </w:rPr>
            </w:pPr>
            <w:r w:rsidRPr="004F0501">
              <w:rPr>
                <w:sz w:val="24"/>
              </w:rPr>
              <w:t>(ORISE intern supporting design, data collection and analysis until June 2022)</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2929D958" w:rsidRPr="004F0501" w:rsidP="39679373" w14:paraId="6CB38F2F" w14:textId="7777777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Office of Epidemiology and Research</w:t>
            </w:r>
          </w:p>
          <w:p w:rsidR="2929D958" w:rsidRPr="004F0501" w:rsidP="39679373" w14:paraId="386C1B95" w14:textId="7777777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w:t>
            </w:r>
          </w:p>
          <w:p w:rsidR="2929D958" w:rsidRPr="004F0501" w:rsidP="39679373" w14:paraId="56BC2977" w14:textId="7777777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w:t>
            </w:r>
          </w:p>
          <w:p w:rsidR="39679373" w:rsidRPr="004F0501" w:rsidP="39679373" w14:paraId="5909AFAE" w14:textId="54B66388">
            <w:pPr>
              <w:pStyle w:val="ListParagraph"/>
              <w:ind w:left="180"/>
              <w:rPr>
                <w:rFonts w:ascii="Calibri" w:eastAsia="Calibri" w:hAnsi="Calibri"/>
              </w:rPr>
            </w:pPr>
          </w:p>
        </w:tc>
      </w:tr>
      <w:tr w14:paraId="2D1C82BC"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37BF7" w:rsidRPr="004F0501" w:rsidP="00237BF7" w14:paraId="345E454A" w14:textId="6B438EBF">
            <w:pPr>
              <w:rPr>
                <w:sz w:val="24"/>
              </w:rPr>
            </w:pPr>
            <w:r w:rsidRPr="004F0501">
              <w:rPr>
                <w:sz w:val="24"/>
              </w:rPr>
              <w:t xml:space="preserve">Ada Determan, PhD, MPH </w:t>
            </w:r>
          </w:p>
          <w:p w:rsidR="00237BF7" w:rsidRPr="004F0501" w:rsidP="39679373" w14:paraId="551F304A" w14:textId="21778D79">
            <w:pPr>
              <w:rPr>
                <w:sz w:val="24"/>
              </w:rPr>
            </w:pPr>
            <w:r w:rsidRPr="004F0501">
              <w:rPr>
                <w:sz w:val="24"/>
              </w:rPr>
              <w:t>(</w:t>
            </w:r>
            <w:r w:rsidRPr="004F0501" w:rsidR="3A83D8DB">
              <w:rPr>
                <w:sz w:val="24"/>
              </w:rPr>
              <w:t>evaluation</w:t>
            </w:r>
            <w:r w:rsidRPr="004F0501" w:rsidR="3A83D8DB">
              <w:rPr>
                <w:sz w:val="24"/>
              </w:rPr>
              <w:t xml:space="preserve"> </w:t>
            </w:r>
            <w:r w:rsidRPr="004F0501">
              <w:rPr>
                <w:sz w:val="24"/>
              </w:rPr>
              <w:t>design</w:t>
            </w:r>
            <w:r w:rsidRPr="004F0501" w:rsidR="203D7CF3">
              <w:rPr>
                <w:sz w:val="24"/>
              </w:rPr>
              <w:t>,</w:t>
            </w:r>
            <w:r w:rsidRPr="004F0501">
              <w:rPr>
                <w:sz w:val="24"/>
              </w:rPr>
              <w:t xml:space="preserve"> data </w:t>
            </w:r>
            <w:r w:rsidRPr="004F0501">
              <w:rPr>
                <w:sz w:val="24"/>
              </w:rPr>
              <w:t>collection</w:t>
            </w:r>
            <w:r w:rsidRPr="004F0501" w:rsidR="203D7CF3">
              <w:rPr>
                <w:sz w:val="24"/>
              </w:rPr>
              <w:t>,</w:t>
            </w:r>
            <w:r w:rsidRPr="004F0501">
              <w:rPr>
                <w:sz w:val="24"/>
              </w:rPr>
              <w:t xml:space="preserve"> and analysis</w:t>
            </w:r>
            <w:r w:rsidRPr="004F0501" w:rsidR="37E730C6">
              <w:rPr>
                <w:sz w:val="24"/>
              </w:rPr>
              <w:t>)</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00237BF7" w:rsidRPr="004F0501" w:rsidP="39679373" w14:paraId="3F09553B" w14:textId="1549F04A">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 xml:space="preserve">Division of Healthy Start </w:t>
            </w:r>
            <w:r w:rsidRPr="004F0501" w:rsidR="27897253">
              <w:rPr>
                <w:rFonts w:ascii="Times New Roman" w:hAnsi="Times New Roman" w:cs="Times New Roman"/>
                <w:sz w:val="24"/>
                <w:szCs w:val="24"/>
              </w:rPr>
              <w:t>and</w:t>
            </w:r>
            <w:r w:rsidRPr="004F0501">
              <w:rPr>
                <w:rFonts w:ascii="Times New Roman" w:hAnsi="Times New Roman" w:cs="Times New Roman"/>
                <w:sz w:val="24"/>
                <w:szCs w:val="24"/>
              </w:rPr>
              <w:t xml:space="preserve"> Perinatal Services</w:t>
            </w:r>
            <w:r w:rsidRPr="004F0501" w:rsidR="16C3BFCD">
              <w:rPr>
                <w:rFonts w:ascii="Times New Roman" w:hAnsi="Times New Roman" w:cs="Times New Roman"/>
                <w:sz w:val="24"/>
                <w:szCs w:val="24"/>
              </w:rPr>
              <w:t xml:space="preserve"> (DHSPS)</w:t>
            </w:r>
          </w:p>
          <w:p w:rsidR="00237BF7" w:rsidRPr="004F0501" w:rsidP="39679373" w14:paraId="6417878E" w14:textId="6F3A85F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 xml:space="preserve">Maternal </w:t>
            </w:r>
            <w:r w:rsidRPr="004F0501" w:rsidR="65E12E09">
              <w:rPr>
                <w:rFonts w:ascii="Times New Roman" w:hAnsi="Times New Roman" w:cs="Times New Roman"/>
                <w:sz w:val="24"/>
                <w:szCs w:val="24"/>
              </w:rPr>
              <w:t xml:space="preserve">and </w:t>
            </w:r>
            <w:r w:rsidRPr="004F0501">
              <w:rPr>
                <w:rFonts w:ascii="Times New Roman" w:hAnsi="Times New Roman" w:cs="Times New Roman"/>
                <w:sz w:val="24"/>
                <w:szCs w:val="24"/>
              </w:rPr>
              <w:t>Child Health Bureau</w:t>
            </w:r>
            <w:r w:rsidRPr="004F0501" w:rsidR="6EA6FC92">
              <w:rPr>
                <w:rFonts w:ascii="Times New Roman" w:hAnsi="Times New Roman" w:cs="Times New Roman"/>
                <w:sz w:val="24"/>
                <w:szCs w:val="24"/>
              </w:rPr>
              <w:t xml:space="preserve"> (MCHB)</w:t>
            </w:r>
          </w:p>
          <w:p w:rsidR="00237BF7" w:rsidRPr="004F0501" w:rsidP="39679373" w14:paraId="533567CA" w14:textId="698F9B3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w:t>
            </w:r>
            <w:r w:rsidRPr="004F0501" w:rsidR="2E4807F2">
              <w:rPr>
                <w:rFonts w:ascii="Times New Roman" w:hAnsi="Times New Roman" w:cs="Times New Roman"/>
                <w:sz w:val="24"/>
                <w:szCs w:val="24"/>
              </w:rPr>
              <w:t xml:space="preserve"> (HRSA)</w:t>
            </w:r>
          </w:p>
          <w:p w:rsidR="00237BF7" w:rsidRPr="004F0501" w:rsidP="39679373" w14:paraId="288C6572" w14:textId="336230A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adeterman@hrsa.gov</w:t>
            </w:r>
          </w:p>
        </w:tc>
      </w:tr>
      <w:tr w14:paraId="3729465E"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40F7CB2F" w:rsidRPr="004F0501" w:rsidP="39679373" w14:paraId="2D11D29F" w14:textId="3080B992">
            <w:pPr>
              <w:rPr>
                <w:sz w:val="24"/>
              </w:rPr>
            </w:pPr>
            <w:r w:rsidRPr="004F0501">
              <w:rPr>
                <w:sz w:val="24"/>
              </w:rPr>
              <w:t>Maura Dwyer, DrPH, MPH</w:t>
            </w:r>
          </w:p>
          <w:p w:rsidR="40F7CB2F" w:rsidRPr="004F0501" w:rsidP="39679373" w14:paraId="3F55981B" w14:textId="7FD5CB29">
            <w:pPr>
              <w:rPr>
                <w:sz w:val="24"/>
              </w:rPr>
            </w:pPr>
            <w:r w:rsidRPr="004F0501">
              <w:rPr>
                <w:sz w:val="24"/>
              </w:rPr>
              <w:t>(</w:t>
            </w:r>
            <w:r w:rsidRPr="004F0501" w:rsidR="6F84496F">
              <w:rPr>
                <w:sz w:val="24"/>
              </w:rPr>
              <w:t>evaluation</w:t>
            </w:r>
            <w:r w:rsidRPr="004F0501" w:rsidR="6F84496F">
              <w:rPr>
                <w:sz w:val="24"/>
              </w:rPr>
              <w:t xml:space="preserve"> design</w:t>
            </w:r>
            <w:r w:rsidRPr="004F0501">
              <w:rPr>
                <w:sz w:val="24"/>
              </w:rPr>
              <w:t>, data collection, and analysis starting August 2022)</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40F7CB2F" w:rsidRPr="004F0501" w:rsidP="39679373" w14:paraId="779CCF6C" w14:textId="1549F04A">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Division of Healthy Start and Perinatal Services (DHSPS)</w:t>
            </w:r>
          </w:p>
          <w:p w:rsidR="40F7CB2F" w:rsidRPr="004F0501" w:rsidP="39679373" w14:paraId="1B3E17CB" w14:textId="6F3A85F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 (MCHB)</w:t>
            </w:r>
          </w:p>
          <w:p w:rsidR="40F7CB2F" w:rsidRPr="004F0501" w:rsidP="39679373" w14:paraId="536327D3" w14:textId="7260DE39">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 (HRSA)</w:t>
            </w:r>
          </w:p>
          <w:p w:rsidR="40F7CB2F" w:rsidRPr="004F0501" w:rsidP="39679373" w14:paraId="1A66D0E3" w14:textId="4A31AFCA">
            <w:pPr>
              <w:pStyle w:val="ListParagraph"/>
              <w:ind w:left="180"/>
              <w:rPr>
                <w:rFonts w:ascii="Calibri" w:eastAsia="Calibri" w:hAnsi="Calibri"/>
              </w:rPr>
            </w:pPr>
            <w:r w:rsidRPr="004F0501">
              <w:rPr>
                <w:rFonts w:ascii="Times New Roman" w:eastAsia="Calibri" w:hAnsi="Times New Roman" w:cs="Times New Roman"/>
                <w:sz w:val="24"/>
                <w:szCs w:val="24"/>
              </w:rPr>
              <w:t>Mdwyer@hrsa.gov</w:t>
            </w:r>
          </w:p>
        </w:tc>
      </w:tr>
      <w:tr w14:paraId="06BCFC81"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41B7" w:rsidP="39679373" w14:paraId="65BAC39D" w14:textId="4087228D">
            <w:pPr>
              <w:rPr>
                <w:sz w:val="24"/>
              </w:rPr>
            </w:pPr>
            <w:r w:rsidRPr="004F0501">
              <w:rPr>
                <w:sz w:val="24"/>
              </w:rPr>
              <w:t xml:space="preserve">Judy </w:t>
            </w:r>
            <w:r w:rsidRPr="004F0501">
              <w:rPr>
                <w:sz w:val="24"/>
              </w:rPr>
              <w:t>Harvilchuck</w:t>
            </w:r>
            <w:r w:rsidRPr="004F0501">
              <w:rPr>
                <w:sz w:val="24"/>
              </w:rPr>
              <w:t>, PhD</w:t>
            </w:r>
          </w:p>
          <w:p w:rsidR="39679373" w:rsidRPr="004F0501" w:rsidP="39679373" w14:paraId="61CCE7CE" w14:textId="48404C45">
            <w:pPr>
              <w:rPr>
                <w:sz w:val="24"/>
              </w:rPr>
            </w:pPr>
            <w:r w:rsidRPr="004F0501">
              <w:rPr>
                <w:sz w:val="24"/>
              </w:rPr>
              <w:t>(COR until July 2022)</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39679373" w:rsidRPr="004F0501" w:rsidP="39679373" w14:paraId="50E7ED9B" w14:textId="1BE6250D">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Division of Healthy Start and Perinatal Services</w:t>
            </w:r>
          </w:p>
          <w:p w:rsidR="39679373" w:rsidRPr="004F0501" w:rsidP="39679373" w14:paraId="51478B98" w14:textId="08E9C5C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w:t>
            </w:r>
          </w:p>
          <w:p w:rsidR="39679373" w:rsidRPr="004F0501" w:rsidP="39679373" w14:paraId="3BD26C47" w14:textId="5A268D63">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w:t>
            </w:r>
          </w:p>
        </w:tc>
      </w:tr>
      <w:tr w14:paraId="1330A0F7" w14:textId="77777777" w:rsidTr="3967937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2D9A" w:rsidRPr="004F0501" w:rsidP="00027C21" w14:paraId="367EBD43" w14:textId="36E309CA">
            <w:pPr>
              <w:rPr>
                <w:sz w:val="24"/>
              </w:rPr>
            </w:pPr>
            <w:r w:rsidRPr="004F0501">
              <w:rPr>
                <w:sz w:val="24"/>
              </w:rPr>
              <w:t>Anne Day Leong, PhD, MSW</w:t>
            </w:r>
          </w:p>
          <w:p w:rsidR="00D82D9A" w:rsidRPr="004F0501" w:rsidP="39679373" w14:paraId="372F71FB" w14:textId="2EF361F5">
            <w:pPr>
              <w:rPr>
                <w:sz w:val="24"/>
              </w:rPr>
            </w:pPr>
            <w:r w:rsidRPr="004F0501">
              <w:rPr>
                <w:sz w:val="24"/>
              </w:rPr>
              <w:t>(</w:t>
            </w:r>
            <w:r w:rsidRPr="004F0501" w:rsidR="59AD86F1">
              <w:rPr>
                <w:sz w:val="24"/>
              </w:rPr>
              <w:t>evaluation</w:t>
            </w:r>
            <w:r w:rsidRPr="004F0501" w:rsidR="59AD86F1">
              <w:rPr>
                <w:sz w:val="24"/>
              </w:rPr>
              <w:t xml:space="preserve"> </w:t>
            </w:r>
            <w:r w:rsidRPr="004F0501">
              <w:rPr>
                <w:sz w:val="24"/>
              </w:rPr>
              <w:t>design</w:t>
            </w:r>
            <w:r w:rsidRPr="004F0501" w:rsidR="1BD3AFD1">
              <w:rPr>
                <w:sz w:val="24"/>
              </w:rPr>
              <w:t>,</w:t>
            </w:r>
            <w:r w:rsidRPr="004F0501">
              <w:rPr>
                <w:sz w:val="24"/>
              </w:rPr>
              <w:t xml:space="preserve"> data collection and analysis) </w:t>
            </w:r>
          </w:p>
        </w:tc>
        <w:tc>
          <w:tcPr>
            <w:tcW w:w="6164" w:type="dxa"/>
            <w:tcBorders>
              <w:top w:val="nil"/>
              <w:left w:val="nil"/>
              <w:bottom w:val="single" w:sz="8" w:space="0" w:color="auto"/>
              <w:right w:val="single" w:sz="8" w:space="0" w:color="auto"/>
            </w:tcBorders>
            <w:tcMar>
              <w:top w:w="0" w:type="dxa"/>
              <w:left w:w="108" w:type="dxa"/>
              <w:bottom w:w="0" w:type="dxa"/>
              <w:right w:w="108" w:type="dxa"/>
            </w:tcMar>
          </w:tcPr>
          <w:p w:rsidR="00D82D9A" w:rsidRPr="004F0501" w:rsidP="39679373" w14:paraId="32347E54" w14:textId="0456C044">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Office of Epidemiology and Research</w:t>
            </w:r>
          </w:p>
          <w:p w:rsidR="00D82D9A" w:rsidRPr="004F0501" w:rsidP="39679373" w14:paraId="22DF35AF" w14:textId="7777777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Maternal and Child Health Bureau</w:t>
            </w:r>
          </w:p>
          <w:p w:rsidR="00D82D9A" w:rsidRPr="004F0501" w:rsidP="39679373" w14:paraId="681B33E4" w14:textId="77777777">
            <w:pPr>
              <w:pStyle w:val="ListParagraph"/>
              <w:ind w:left="180"/>
              <w:rPr>
                <w:rFonts w:ascii="Times New Roman" w:hAnsi="Times New Roman" w:cs="Times New Roman"/>
                <w:sz w:val="24"/>
                <w:szCs w:val="24"/>
              </w:rPr>
            </w:pPr>
            <w:r w:rsidRPr="004F0501">
              <w:rPr>
                <w:rFonts w:ascii="Times New Roman" w:hAnsi="Times New Roman" w:cs="Times New Roman"/>
                <w:sz w:val="24"/>
                <w:szCs w:val="24"/>
              </w:rPr>
              <w:t>Health Resources and Services Administration</w:t>
            </w:r>
          </w:p>
          <w:p w:rsidR="00D82D9A" w:rsidRPr="004F0501" w:rsidP="39679373" w14:paraId="2CA6B9BF" w14:textId="3325DE32">
            <w:pPr>
              <w:pStyle w:val="ListParagraph"/>
              <w:ind w:left="180"/>
              <w:rPr>
                <w:rFonts w:ascii="Times New Roman" w:hAnsi="Times New Roman" w:cs="Times New Roman"/>
                <w:sz w:val="24"/>
                <w:szCs w:val="24"/>
              </w:rPr>
            </w:pPr>
            <w:hyperlink r:id="rId9">
              <w:r w:rsidRPr="004F0501" w:rsidR="77649C49">
                <w:rPr>
                  <w:rFonts w:ascii="Times New Roman" w:hAnsi="Times New Roman" w:cs="Times New Roman"/>
                  <w:sz w:val="24"/>
                  <w:szCs w:val="24"/>
                </w:rPr>
                <w:t xml:space="preserve"> </w:t>
              </w:r>
              <w:r w:rsidRPr="004F0501" w:rsidR="77649C49">
                <w:rPr>
                  <w:rStyle w:val="Hyperlink"/>
                  <w:rFonts w:ascii="Times New Roman" w:hAnsi="Times New Roman" w:cs="Times New Roman"/>
                  <w:color w:val="auto"/>
                  <w:sz w:val="24"/>
                  <w:szCs w:val="24"/>
                  <w:u w:val="none"/>
                </w:rPr>
                <w:t>ALeong@hrsa.gov</w:t>
              </w:r>
            </w:hyperlink>
          </w:p>
        </w:tc>
      </w:tr>
    </w:tbl>
    <w:p w:rsidR="00B40F76" w:rsidP="002B393E" w14:paraId="1234C1A7" w14:textId="4EFA9149">
      <w:pPr>
        <w:pStyle w:val="Heading4"/>
        <w:rPr>
          <w:color w:val="FF0000"/>
        </w:rPr>
      </w:pPr>
    </w:p>
    <w:p w:rsidR="00AF2FB8" w:rsidRPr="008364D2" w:rsidP="39679373" w14:paraId="08A32370" w14:textId="41B510C8">
      <w:pPr>
        <w:pStyle w:val="NormalSS"/>
        <w:spacing w:after="0"/>
        <w:ind w:firstLine="0"/>
        <w:rPr>
          <w:b/>
          <w:bCs/>
        </w:rPr>
      </w:pPr>
      <w:r w:rsidRPr="39679373">
        <w:rPr>
          <w:b/>
          <w:bCs/>
        </w:rPr>
        <w:t xml:space="preserve">Individuals </w:t>
      </w:r>
      <w:r w:rsidR="00FC557F">
        <w:rPr>
          <w:b/>
          <w:bCs/>
        </w:rPr>
        <w:t>C</w:t>
      </w:r>
      <w:r w:rsidRPr="39679373">
        <w:rPr>
          <w:b/>
          <w:bCs/>
        </w:rPr>
        <w:t xml:space="preserve">ollecting and/or </w:t>
      </w:r>
      <w:r w:rsidR="00FC557F">
        <w:rPr>
          <w:b/>
          <w:bCs/>
        </w:rPr>
        <w:t>A</w:t>
      </w:r>
      <w:r w:rsidRPr="39679373">
        <w:rPr>
          <w:b/>
          <w:bCs/>
        </w:rPr>
        <w:t xml:space="preserve">nalyzing </w:t>
      </w:r>
      <w:r w:rsidR="00FC557F">
        <w:rPr>
          <w:b/>
          <w:bCs/>
        </w:rPr>
        <w:t>D</w:t>
      </w:r>
      <w:r w:rsidRPr="39679373">
        <w:rPr>
          <w:b/>
          <w:bCs/>
        </w:rPr>
        <w:t>ata</w:t>
      </w:r>
    </w:p>
    <w:p w:rsidR="00834F83" w:rsidP="00BE2D3B" w14:paraId="16C602E5" w14:textId="69739C84">
      <w:pPr>
        <w:pStyle w:val="NormalSS"/>
        <w:spacing w:after="0"/>
        <w:ind w:firstLine="0"/>
      </w:pPr>
      <w:r>
        <w:tab/>
      </w:r>
    </w:p>
    <w:p w:rsidR="00E878FD" w:rsidP="00E878FD" w14:paraId="679CCCCA" w14:textId="0B4A022C">
      <w:pPr>
        <w:pStyle w:val="NormalSS"/>
        <w:ind w:firstLine="0"/>
      </w:pPr>
      <w:r w:rsidRPr="00E878FD">
        <w:t xml:space="preserve">     </w:t>
      </w:r>
      <w:r w:rsidRPr="00E878FD">
        <w:t>Westat</w:t>
      </w:r>
      <w:r w:rsidRPr="00E878FD">
        <w:t xml:space="preserve"> is the evaluation contractor. </w:t>
      </w:r>
      <w:r w:rsidRPr="00E878FD">
        <w:t>Westat</w:t>
      </w:r>
      <w:r w:rsidRPr="00E878FD">
        <w:t xml:space="preserve"> staff and their consultants designed the </w:t>
      </w:r>
      <w:r w:rsidRPr="00E878FD">
        <w:t>evaluation</w:t>
      </w:r>
      <w:r w:rsidRPr="00E878FD">
        <w:t xml:space="preserve"> and the data collection instruments in consultation with HRSA/MCHB staff listed in Table B.3. </w:t>
      </w:r>
      <w:r w:rsidRPr="00E878FD">
        <w:t>Westat</w:t>
      </w:r>
      <w:r w:rsidRPr="00E878FD">
        <w:t xml:space="preserve"> staff will lead the data collection and analysis efforts presented in this OMB package, in collaboration with HRSA/MCHB’s staff. Table B.4 provides a list of </w:t>
      </w:r>
      <w:r w:rsidRPr="00E878FD">
        <w:t>Westat’s</w:t>
      </w:r>
      <w:r w:rsidRPr="00E878FD">
        <w:t xml:space="preserve"> evaluation team that will be involved in this effort and specifies each member’s role and contact information.</w:t>
      </w:r>
    </w:p>
    <w:p w:rsidR="00E878FD" w:rsidRPr="00ED65E5" w:rsidP="00E878FD" w14:paraId="7C3F0EC3" w14:textId="448E5E11">
      <w:pPr>
        <w:pStyle w:val="NormalSS"/>
        <w:ind w:firstLine="0"/>
        <w:rPr>
          <w:b/>
          <w:bCs/>
        </w:rPr>
      </w:pPr>
      <w:r w:rsidRPr="00ED65E5">
        <w:rPr>
          <w:b/>
          <w:bCs/>
        </w:rPr>
        <w:t xml:space="preserve">Table B.4. </w:t>
      </w:r>
      <w:r w:rsidRPr="00ED65E5">
        <w:rPr>
          <w:b/>
          <w:bCs/>
        </w:rPr>
        <w:t>Westat</w:t>
      </w:r>
      <w:r w:rsidRPr="00ED65E5">
        <w:rPr>
          <w:b/>
          <w:bCs/>
        </w:rPr>
        <w:t xml:space="preserve"> (</w:t>
      </w:r>
      <w:r w:rsidR="00FC557F">
        <w:rPr>
          <w:b/>
          <w:bCs/>
        </w:rPr>
        <w:t>C</w:t>
      </w:r>
      <w:r w:rsidRPr="00ED65E5">
        <w:rPr>
          <w:b/>
          <w:bCs/>
        </w:rPr>
        <w:t xml:space="preserve">ontractor) </w:t>
      </w:r>
      <w:r w:rsidR="00FC557F">
        <w:rPr>
          <w:b/>
          <w:bCs/>
        </w:rPr>
        <w:t>E</w:t>
      </w:r>
      <w:r w:rsidRPr="00ED65E5">
        <w:rPr>
          <w:b/>
          <w:bCs/>
        </w:rPr>
        <w:t xml:space="preserve">valuation </w:t>
      </w:r>
      <w:r w:rsidR="00FC557F">
        <w:rPr>
          <w:b/>
          <w:bCs/>
        </w:rPr>
        <w:t>T</w:t>
      </w:r>
      <w:r w:rsidRPr="00ED65E5">
        <w:rPr>
          <w:b/>
          <w:bCs/>
        </w:rPr>
        <w:t>eam</w:t>
      </w:r>
    </w:p>
    <w:tbl>
      <w:tblPr>
        <w:tblW w:w="9576" w:type="dxa"/>
        <w:tblCellMar>
          <w:left w:w="0" w:type="dxa"/>
          <w:right w:w="0" w:type="dxa"/>
        </w:tblCellMar>
        <w:tblLook w:val="04A0"/>
      </w:tblPr>
      <w:tblGrid>
        <w:gridCol w:w="3412"/>
        <w:gridCol w:w="6164"/>
      </w:tblGrid>
      <w:tr w14:paraId="7616424F" w14:textId="77777777" w:rsidTr="00AE21C3">
        <w:tblPrEx>
          <w:tblW w:w="9576" w:type="dxa"/>
          <w:tblCellMar>
            <w:left w:w="0" w:type="dxa"/>
            <w:right w:w="0" w:type="dxa"/>
          </w:tblCellMar>
          <w:tblLook w:val="04A0"/>
        </w:tblPrEx>
        <w:tc>
          <w:tcPr>
            <w:tcW w:w="3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3314DD7A" w14:textId="77777777">
            <w:pPr>
              <w:pStyle w:val="ListParagraph"/>
              <w:rPr>
                <w:rFonts w:ascii="Times New Roman" w:hAnsi="Times New Roman" w:cs="Times New Roman"/>
                <w:b/>
                <w:bCs/>
                <w:sz w:val="24"/>
                <w:szCs w:val="24"/>
              </w:rPr>
            </w:pPr>
            <w:r w:rsidRPr="00ED65E5">
              <w:rPr>
                <w:rFonts w:ascii="Times New Roman" w:hAnsi="Times New Roman" w:cs="Times New Roman"/>
                <w:b/>
                <w:bCs/>
                <w:sz w:val="24"/>
                <w:szCs w:val="24"/>
              </w:rPr>
              <w:t>Name and Role</w:t>
            </w:r>
          </w:p>
        </w:tc>
        <w:tc>
          <w:tcPr>
            <w:tcW w:w="61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4281513C" w14:textId="77777777">
            <w:pPr>
              <w:pStyle w:val="ListParagraph"/>
              <w:rPr>
                <w:rFonts w:ascii="Times New Roman" w:hAnsi="Times New Roman" w:cs="Times New Roman"/>
                <w:b/>
                <w:bCs/>
                <w:sz w:val="24"/>
                <w:szCs w:val="24"/>
              </w:rPr>
            </w:pPr>
            <w:r w:rsidRPr="00ED65E5">
              <w:rPr>
                <w:rFonts w:ascii="Times New Roman" w:hAnsi="Times New Roman" w:cs="Times New Roman"/>
                <w:b/>
                <w:bCs/>
                <w:sz w:val="24"/>
                <w:szCs w:val="24"/>
              </w:rPr>
              <w:t>Contact Information</w:t>
            </w:r>
          </w:p>
        </w:tc>
      </w:tr>
      <w:tr w14:paraId="53156A02"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4EFAD6E5" w14:textId="77777777">
            <w:pPr>
              <w:rPr>
                <w:sz w:val="24"/>
              </w:rPr>
            </w:pPr>
            <w:r w:rsidRPr="00ED65E5">
              <w:rPr>
                <w:sz w:val="24"/>
              </w:rPr>
              <w:t>Sarah Ball, ScD, MPH (evaluation design, data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0812F553"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5A5A145E"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240-314-2359</w:t>
            </w:r>
          </w:p>
          <w:p w:rsidR="00E878FD" w:rsidRPr="00ED65E5" w:rsidP="00AE21C3" w14:paraId="4CCC4239" w14:textId="77777777">
            <w:pPr>
              <w:pStyle w:val="ListParagraph"/>
              <w:ind w:left="180"/>
              <w:rPr>
                <w:rFonts w:ascii="Times New Roman" w:hAnsi="Times New Roman" w:cs="Times New Roman"/>
                <w:sz w:val="24"/>
                <w:szCs w:val="24"/>
              </w:rPr>
            </w:pPr>
            <w:hyperlink r:id="rId10" w:history="1">
              <w:r w:rsidRPr="00ED65E5">
                <w:rPr>
                  <w:rStyle w:val="Hyperlink"/>
                  <w:rFonts w:ascii="Times New Roman" w:hAnsi="Times New Roman" w:cs="Times New Roman"/>
                  <w:sz w:val="24"/>
                  <w:szCs w:val="24"/>
                </w:rPr>
                <w:t>sarahball@westat.com</w:t>
              </w:r>
            </w:hyperlink>
          </w:p>
        </w:tc>
      </w:tr>
      <w:tr w14:paraId="6A661D14"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441B7" w:rsidP="00AE21C3" w14:paraId="37AA766F" w14:textId="77777777">
            <w:pPr>
              <w:rPr>
                <w:sz w:val="24"/>
              </w:rPr>
            </w:pPr>
            <w:r w:rsidRPr="00ED65E5">
              <w:rPr>
                <w:sz w:val="24"/>
              </w:rPr>
              <w:t>Angela Cheung, MPH</w:t>
            </w:r>
            <w:r>
              <w:rPr>
                <w:sz w:val="24"/>
              </w:rPr>
              <w:t xml:space="preserve"> </w:t>
            </w:r>
          </w:p>
          <w:p w:rsidR="00E878FD" w:rsidRPr="00ED65E5" w:rsidP="00AE21C3" w14:paraId="7790BEBE" w14:textId="53EFF583">
            <w:pPr>
              <w:rPr>
                <w:sz w:val="24"/>
              </w:rPr>
            </w:pPr>
            <w:r w:rsidRPr="00ED65E5">
              <w:rPr>
                <w:sz w:val="24"/>
              </w:rPr>
              <w:t>(</w:t>
            </w:r>
            <w:r w:rsidRPr="00ED65E5">
              <w:rPr>
                <w:sz w:val="24"/>
              </w:rPr>
              <w:t>data</w:t>
            </w:r>
            <w:r w:rsidRPr="00ED65E5">
              <w:rPr>
                <w:sz w:val="24"/>
              </w:rPr>
              <w:t xml:space="preserve">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06F26E12"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1D756383"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404-383-0482</w:t>
            </w:r>
          </w:p>
          <w:p w:rsidR="00E878FD" w:rsidRPr="00ED65E5" w:rsidP="00AE21C3" w14:paraId="3B774A31" w14:textId="77777777">
            <w:pPr>
              <w:pStyle w:val="ListParagraph"/>
              <w:ind w:left="180"/>
              <w:rPr>
                <w:rFonts w:ascii="Times New Roman" w:hAnsi="Times New Roman" w:cs="Times New Roman"/>
                <w:sz w:val="24"/>
                <w:szCs w:val="24"/>
              </w:rPr>
            </w:pPr>
            <w:hyperlink r:id="rId11" w:history="1">
              <w:r w:rsidRPr="00ED65E5">
                <w:rPr>
                  <w:rStyle w:val="Hyperlink"/>
                  <w:rFonts w:ascii="Times New Roman" w:hAnsi="Times New Roman" w:cs="Times New Roman"/>
                  <w:sz w:val="24"/>
                  <w:szCs w:val="24"/>
                </w:rPr>
                <w:t>angelacheung@westat.com</w:t>
              </w:r>
            </w:hyperlink>
          </w:p>
        </w:tc>
      </w:tr>
      <w:tr w14:paraId="782AC6B8"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P="00AE21C3" w14:paraId="6A767BF4" w14:textId="77777777">
            <w:pPr>
              <w:rPr>
                <w:sz w:val="24"/>
              </w:rPr>
            </w:pPr>
            <w:r w:rsidRPr="00ED65E5">
              <w:rPr>
                <w:sz w:val="24"/>
              </w:rPr>
              <w:t xml:space="preserve">Robyn </w:t>
            </w:r>
            <w:r w:rsidRPr="00ED65E5">
              <w:rPr>
                <w:sz w:val="24"/>
              </w:rPr>
              <w:t>Ferg</w:t>
            </w:r>
            <w:r w:rsidRPr="00ED65E5">
              <w:rPr>
                <w:sz w:val="24"/>
              </w:rPr>
              <w:t>, PhD</w:t>
            </w:r>
          </w:p>
          <w:p w:rsidR="00E878FD" w:rsidRPr="00ED65E5" w:rsidP="00AE21C3" w14:paraId="5E7E2ADD" w14:textId="77777777">
            <w:pPr>
              <w:rPr>
                <w:sz w:val="24"/>
              </w:rPr>
            </w:pPr>
            <w:r w:rsidRPr="00ED65E5">
              <w:rPr>
                <w:sz w:val="24"/>
              </w:rPr>
              <w:t>(</w:t>
            </w:r>
            <w:r w:rsidRPr="00ED65E5">
              <w:rPr>
                <w:sz w:val="24"/>
              </w:rPr>
              <w:t>data</w:t>
            </w:r>
            <w:r w:rsidRPr="00ED65E5">
              <w:rPr>
                <w:sz w:val="24"/>
              </w:rPr>
              <w:t xml:space="preserve">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293F375B"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793B5414"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240-453-5642</w:t>
            </w:r>
          </w:p>
          <w:p w:rsidR="00E878FD" w:rsidRPr="00ED65E5" w:rsidP="00AE21C3" w14:paraId="7415820B" w14:textId="77777777">
            <w:pPr>
              <w:pStyle w:val="ListParagraph"/>
              <w:ind w:left="180"/>
              <w:rPr>
                <w:rFonts w:ascii="Times New Roman" w:hAnsi="Times New Roman" w:cs="Times New Roman"/>
                <w:sz w:val="24"/>
                <w:szCs w:val="24"/>
              </w:rPr>
            </w:pPr>
            <w:hyperlink r:id="rId12" w:history="1">
              <w:r w:rsidRPr="00ED65E5">
                <w:rPr>
                  <w:rStyle w:val="Hyperlink"/>
                  <w:rFonts w:ascii="Times New Roman" w:hAnsi="Times New Roman" w:cs="Times New Roman"/>
                  <w:sz w:val="24"/>
                  <w:szCs w:val="24"/>
                </w:rPr>
                <w:t>robynferg@westat.com</w:t>
              </w:r>
            </w:hyperlink>
          </w:p>
        </w:tc>
      </w:tr>
      <w:tr w14:paraId="342342FD"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1C16823F" w14:textId="77777777">
            <w:pPr>
              <w:rPr>
                <w:sz w:val="24"/>
              </w:rPr>
            </w:pPr>
            <w:r w:rsidRPr="00ED65E5">
              <w:rPr>
                <w:sz w:val="24"/>
              </w:rPr>
              <w:t xml:space="preserve">Katherine Flaherty, ScD, MA </w:t>
            </w:r>
          </w:p>
          <w:p w:rsidR="00E878FD" w:rsidRPr="00ED65E5" w:rsidP="00AE21C3" w14:paraId="268F790A" w14:textId="77777777">
            <w:pPr>
              <w:rPr>
                <w:sz w:val="24"/>
              </w:rPr>
            </w:pPr>
            <w:r w:rsidRPr="00ED65E5">
              <w:rPr>
                <w:sz w:val="24"/>
              </w:rPr>
              <w:t>(</w:t>
            </w:r>
            <w:r w:rsidRPr="00ED65E5">
              <w:rPr>
                <w:sz w:val="24"/>
              </w:rPr>
              <w:t>evaluation</w:t>
            </w:r>
            <w:r w:rsidRPr="00ED65E5">
              <w:rPr>
                <w:sz w:val="24"/>
              </w:rPr>
              <w:t xml:space="preserve"> design, data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6923396A"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075E8DF9"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508-613-5990</w:t>
            </w:r>
          </w:p>
          <w:p w:rsidR="00E878FD" w:rsidRPr="00ED65E5" w:rsidP="00AE21C3" w14:paraId="5179439A" w14:textId="77777777">
            <w:pPr>
              <w:pStyle w:val="ListParagraph"/>
              <w:ind w:left="180"/>
              <w:rPr>
                <w:rFonts w:ascii="Times New Roman" w:hAnsi="Times New Roman" w:cs="Times New Roman"/>
                <w:sz w:val="24"/>
                <w:szCs w:val="24"/>
              </w:rPr>
            </w:pPr>
            <w:hyperlink r:id="rId13" w:history="1">
              <w:r w:rsidRPr="00ED65E5">
                <w:rPr>
                  <w:rStyle w:val="Hyperlink"/>
                  <w:rFonts w:ascii="Times New Roman" w:hAnsi="Times New Roman" w:cs="Times New Roman"/>
                  <w:sz w:val="24"/>
                  <w:szCs w:val="24"/>
                </w:rPr>
                <w:t>katherineflaherty@westat.com</w:t>
              </w:r>
            </w:hyperlink>
          </w:p>
        </w:tc>
      </w:tr>
      <w:tr w14:paraId="49A30C2B"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47CDA7CC" w14:textId="77777777">
            <w:pPr>
              <w:rPr>
                <w:sz w:val="24"/>
              </w:rPr>
            </w:pPr>
            <w:r w:rsidRPr="00ED65E5">
              <w:rPr>
                <w:sz w:val="24"/>
              </w:rPr>
              <w:t>Carly Hallowell, MPH</w:t>
            </w:r>
          </w:p>
          <w:p w:rsidR="00E878FD" w:rsidRPr="00ED65E5" w:rsidP="00AE21C3" w14:paraId="37AB0651" w14:textId="77777777">
            <w:pPr>
              <w:rPr>
                <w:sz w:val="24"/>
              </w:rPr>
            </w:pPr>
            <w:r w:rsidRPr="00ED65E5">
              <w:rPr>
                <w:sz w:val="24"/>
              </w:rPr>
              <w:t>(</w:t>
            </w:r>
            <w:r w:rsidRPr="00ED65E5">
              <w:rPr>
                <w:sz w:val="24"/>
              </w:rPr>
              <w:t>data</w:t>
            </w:r>
            <w:r w:rsidRPr="00ED65E5">
              <w:rPr>
                <w:sz w:val="24"/>
              </w:rPr>
              <w:t xml:space="preserve">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371E16A9"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185824F1"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717-368-8851</w:t>
            </w:r>
          </w:p>
          <w:p w:rsidR="00E878FD" w:rsidRPr="00ED65E5" w:rsidP="00AE21C3" w14:paraId="088DF956" w14:textId="77777777">
            <w:pPr>
              <w:pStyle w:val="ListParagraph"/>
              <w:ind w:left="180"/>
              <w:rPr>
                <w:rFonts w:ascii="Times New Roman" w:hAnsi="Times New Roman" w:cs="Times New Roman"/>
                <w:sz w:val="24"/>
                <w:szCs w:val="24"/>
              </w:rPr>
            </w:pPr>
            <w:hyperlink r:id="rId14" w:history="1">
              <w:r w:rsidRPr="00ED65E5">
                <w:rPr>
                  <w:rStyle w:val="Hyperlink"/>
                  <w:rFonts w:ascii="Times New Roman" w:hAnsi="Times New Roman" w:cs="Times New Roman"/>
                  <w:sz w:val="24"/>
                  <w:szCs w:val="24"/>
                </w:rPr>
                <w:t>carlyhallowell@westat.com</w:t>
              </w:r>
            </w:hyperlink>
          </w:p>
        </w:tc>
      </w:tr>
      <w:tr w14:paraId="4BE601EC"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0F16A2BE" w14:textId="77777777">
            <w:pPr>
              <w:rPr>
                <w:sz w:val="24"/>
              </w:rPr>
            </w:pPr>
            <w:r w:rsidRPr="00ED65E5">
              <w:rPr>
                <w:sz w:val="24"/>
              </w:rPr>
              <w:t xml:space="preserve">Grace Huang, PhD, MPH </w:t>
            </w:r>
          </w:p>
          <w:p w:rsidR="00E878FD" w:rsidRPr="00ED65E5" w:rsidP="00AE21C3" w14:paraId="726E13AF" w14:textId="77777777">
            <w:pPr>
              <w:rPr>
                <w:sz w:val="24"/>
              </w:rPr>
            </w:pPr>
            <w:r w:rsidRPr="00ED65E5">
              <w:rPr>
                <w:sz w:val="24"/>
              </w:rPr>
              <w:t>(</w:t>
            </w:r>
            <w:r w:rsidRPr="00ED65E5">
              <w:rPr>
                <w:sz w:val="24"/>
              </w:rPr>
              <w:t>evaluation</w:t>
            </w:r>
            <w:r w:rsidRPr="00ED65E5">
              <w:rPr>
                <w:sz w:val="24"/>
              </w:rPr>
              <w:t xml:space="preserve"> design, data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03F6176A"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12ECF449"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301-517-4047</w:t>
            </w:r>
          </w:p>
          <w:p w:rsidR="00E878FD" w:rsidRPr="00ED65E5" w:rsidP="00AE21C3" w14:paraId="27643F88" w14:textId="77777777">
            <w:pPr>
              <w:pStyle w:val="ListParagraph"/>
              <w:ind w:left="180"/>
              <w:rPr>
                <w:rFonts w:ascii="Times New Roman" w:hAnsi="Times New Roman" w:cs="Times New Roman"/>
                <w:sz w:val="24"/>
                <w:szCs w:val="24"/>
              </w:rPr>
            </w:pPr>
            <w:hyperlink r:id="rId15" w:history="1">
              <w:r w:rsidRPr="00ED65E5">
                <w:rPr>
                  <w:rStyle w:val="Hyperlink"/>
                  <w:rFonts w:ascii="Times New Roman" w:hAnsi="Times New Roman" w:cs="Times New Roman"/>
                  <w:sz w:val="24"/>
                  <w:szCs w:val="24"/>
                </w:rPr>
                <w:t>gracehuang@westat.com</w:t>
              </w:r>
            </w:hyperlink>
          </w:p>
        </w:tc>
      </w:tr>
      <w:tr w14:paraId="3BF67204"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51E49971" w14:textId="77777777">
            <w:pPr>
              <w:rPr>
                <w:sz w:val="24"/>
              </w:rPr>
            </w:pPr>
            <w:r w:rsidRPr="00ED65E5">
              <w:rPr>
                <w:sz w:val="24"/>
              </w:rPr>
              <w:t>Kristen Keating, PhD, MPH</w:t>
            </w:r>
          </w:p>
          <w:p w:rsidR="00E878FD" w:rsidRPr="00ED65E5" w:rsidP="00AE21C3" w14:paraId="49DF74AB" w14:textId="77777777">
            <w:pPr>
              <w:rPr>
                <w:sz w:val="24"/>
              </w:rPr>
            </w:pPr>
            <w:r w:rsidRPr="00ED65E5">
              <w:rPr>
                <w:sz w:val="24"/>
              </w:rPr>
              <w:t>(</w:t>
            </w:r>
            <w:r w:rsidRPr="00ED65E5">
              <w:rPr>
                <w:sz w:val="24"/>
              </w:rPr>
              <w:t>data</w:t>
            </w:r>
            <w:r w:rsidRPr="00ED65E5">
              <w:rPr>
                <w:sz w:val="24"/>
              </w:rPr>
              <w:t xml:space="preserve">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1C8B9E30"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334057A7"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301-738-3591</w:t>
            </w:r>
          </w:p>
          <w:p w:rsidR="00E878FD" w:rsidRPr="00ED65E5" w:rsidP="00AE21C3" w14:paraId="466F6EB2" w14:textId="77777777">
            <w:pPr>
              <w:pStyle w:val="ListParagraph"/>
              <w:ind w:left="180"/>
              <w:rPr>
                <w:rFonts w:ascii="Times New Roman" w:hAnsi="Times New Roman" w:cs="Times New Roman"/>
                <w:sz w:val="24"/>
                <w:szCs w:val="24"/>
              </w:rPr>
            </w:pPr>
            <w:hyperlink r:id="rId16" w:history="1">
              <w:r w:rsidRPr="00ED65E5">
                <w:rPr>
                  <w:rStyle w:val="Hyperlink"/>
                  <w:rFonts w:ascii="Times New Roman" w:hAnsi="Times New Roman" w:cs="Times New Roman"/>
                  <w:sz w:val="24"/>
                  <w:szCs w:val="24"/>
                </w:rPr>
                <w:t>kristenkeating@westat.com</w:t>
              </w:r>
            </w:hyperlink>
          </w:p>
        </w:tc>
      </w:tr>
      <w:tr w14:paraId="694F852E"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7880C4A3" w14:textId="77777777">
            <w:pPr>
              <w:rPr>
                <w:sz w:val="24"/>
              </w:rPr>
            </w:pPr>
            <w:r w:rsidRPr="00ED65E5">
              <w:rPr>
                <w:sz w:val="24"/>
              </w:rPr>
              <w:t xml:space="preserve">Salome </w:t>
            </w:r>
            <w:r w:rsidRPr="00ED65E5">
              <w:rPr>
                <w:sz w:val="24"/>
              </w:rPr>
              <w:t>Kiduko</w:t>
            </w:r>
            <w:r w:rsidRPr="00ED65E5">
              <w:rPr>
                <w:sz w:val="24"/>
              </w:rPr>
              <w:t>, MPH</w:t>
            </w:r>
          </w:p>
          <w:p w:rsidR="00E878FD" w:rsidRPr="00ED65E5" w:rsidP="00AE21C3" w14:paraId="7F04A276" w14:textId="77777777">
            <w:pPr>
              <w:rPr>
                <w:sz w:val="24"/>
              </w:rPr>
            </w:pPr>
            <w:r w:rsidRPr="00ED65E5">
              <w:rPr>
                <w:sz w:val="24"/>
              </w:rPr>
              <w:t>(</w:t>
            </w:r>
            <w:r w:rsidRPr="00ED65E5">
              <w:rPr>
                <w:sz w:val="24"/>
              </w:rPr>
              <w:t>data</w:t>
            </w:r>
            <w:r w:rsidRPr="00ED65E5">
              <w:rPr>
                <w:sz w:val="24"/>
              </w:rPr>
              <w:t xml:space="preserve">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6FD995CE"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0954F34E"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404-777-9443</w:t>
            </w:r>
          </w:p>
          <w:p w:rsidR="00E878FD" w:rsidRPr="00ED65E5" w:rsidP="00AE21C3" w14:paraId="1B06A75E" w14:textId="77777777">
            <w:pPr>
              <w:pStyle w:val="ListParagraph"/>
              <w:ind w:left="180"/>
              <w:rPr>
                <w:rFonts w:ascii="Times New Roman" w:hAnsi="Times New Roman" w:cs="Times New Roman"/>
                <w:sz w:val="24"/>
                <w:szCs w:val="24"/>
              </w:rPr>
            </w:pPr>
            <w:hyperlink r:id="rId17" w:history="1">
              <w:r w:rsidRPr="00ED65E5">
                <w:rPr>
                  <w:rStyle w:val="Hyperlink"/>
                  <w:rFonts w:ascii="Times New Roman" w:hAnsi="Times New Roman" w:cs="Times New Roman"/>
                  <w:sz w:val="24"/>
                  <w:szCs w:val="24"/>
                </w:rPr>
                <w:t>salomekiduko@westat.com</w:t>
              </w:r>
            </w:hyperlink>
          </w:p>
        </w:tc>
      </w:tr>
      <w:tr w14:paraId="1A982F75"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2AB53338" w14:textId="77777777">
            <w:pPr>
              <w:rPr>
                <w:sz w:val="24"/>
              </w:rPr>
            </w:pPr>
            <w:r w:rsidRPr="00ED65E5">
              <w:rPr>
                <w:sz w:val="24"/>
              </w:rPr>
              <w:t xml:space="preserve">Milton </w:t>
            </w:r>
            <w:r w:rsidRPr="00ED65E5">
              <w:rPr>
                <w:sz w:val="24"/>
              </w:rPr>
              <w:t>Kotelchuck</w:t>
            </w:r>
            <w:r w:rsidRPr="00ED65E5">
              <w:rPr>
                <w:sz w:val="24"/>
              </w:rPr>
              <w:t>, PhD, MPH</w:t>
            </w:r>
          </w:p>
          <w:p w:rsidR="00E878FD" w:rsidRPr="00ED65E5" w:rsidP="00AE21C3" w14:paraId="047AA857" w14:textId="77777777">
            <w:pPr>
              <w:rPr>
                <w:sz w:val="24"/>
              </w:rPr>
            </w:pPr>
            <w:r w:rsidRPr="00ED65E5">
              <w:rPr>
                <w:sz w:val="24"/>
              </w:rPr>
              <w:t>(</w:t>
            </w:r>
            <w:r w:rsidRPr="00ED65E5">
              <w:rPr>
                <w:sz w:val="24"/>
              </w:rPr>
              <w:t>evaluation</w:t>
            </w:r>
            <w:r w:rsidRPr="00ED65E5">
              <w:rPr>
                <w:sz w:val="24"/>
              </w:rPr>
              <w:t xml:space="preserve"> design and data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7098BF89"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 </w:t>
            </w:r>
          </w:p>
          <w:p w:rsidR="00E878FD" w:rsidRPr="00ED65E5" w:rsidP="00AE21C3" w14:paraId="2EF8D1DF" w14:textId="77777777">
            <w:pPr>
              <w:pStyle w:val="ListParagraph"/>
              <w:ind w:left="180"/>
              <w:rPr>
                <w:rFonts w:ascii="Times New Roman" w:hAnsi="Times New Roman" w:cs="Times New Roman"/>
                <w:sz w:val="24"/>
                <w:szCs w:val="24"/>
              </w:rPr>
            </w:pPr>
            <w:hyperlink r:id="rId18" w:history="1">
              <w:r w:rsidRPr="00ED65E5">
                <w:rPr>
                  <w:rStyle w:val="Hyperlink"/>
                  <w:rFonts w:ascii="Times New Roman" w:hAnsi="Times New Roman" w:cs="Times New Roman"/>
                  <w:sz w:val="24"/>
                  <w:szCs w:val="24"/>
                </w:rPr>
                <w:t>617-877-4225</w:t>
              </w:r>
            </w:hyperlink>
            <w:r w:rsidRPr="00ED65E5">
              <w:rPr>
                <w:rFonts w:ascii="Times New Roman" w:hAnsi="Times New Roman" w:cs="Times New Roman"/>
                <w:sz w:val="24"/>
                <w:szCs w:val="24"/>
              </w:rPr>
              <w:t> </w:t>
            </w:r>
            <w:r w:rsidRPr="00ED65E5">
              <w:rPr>
                <w:rFonts w:ascii="Times New Roman" w:hAnsi="Times New Roman" w:cs="Times New Roman"/>
                <w:sz w:val="24"/>
                <w:szCs w:val="24"/>
              </w:rPr>
              <w:br/>
            </w:r>
            <w:hyperlink r:id="rId19" w:history="1">
              <w:r w:rsidRPr="00ED65E5">
                <w:rPr>
                  <w:rStyle w:val="Hyperlink"/>
                  <w:rFonts w:ascii="Times New Roman" w:hAnsi="Times New Roman" w:cs="Times New Roman"/>
                  <w:sz w:val="24"/>
                  <w:szCs w:val="24"/>
                </w:rPr>
                <w:t>mkotelchuck@pmgh.harvard.edu</w:t>
              </w:r>
            </w:hyperlink>
          </w:p>
        </w:tc>
      </w:tr>
      <w:tr w14:paraId="28DB0198"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5B614E01" w14:textId="77777777">
            <w:pPr>
              <w:rPr>
                <w:sz w:val="24"/>
              </w:rPr>
            </w:pPr>
            <w:r w:rsidRPr="00ED65E5">
              <w:rPr>
                <w:sz w:val="24"/>
              </w:rPr>
              <w:t xml:space="preserve">Jean </w:t>
            </w:r>
            <w:r w:rsidRPr="00ED65E5">
              <w:rPr>
                <w:sz w:val="24"/>
              </w:rPr>
              <w:t>Opsomer</w:t>
            </w:r>
            <w:r w:rsidRPr="00ED65E5">
              <w:rPr>
                <w:sz w:val="24"/>
              </w:rPr>
              <w:t>, PhD, MBA, MS</w:t>
            </w:r>
          </w:p>
          <w:p w:rsidR="00E878FD" w:rsidRPr="00ED65E5" w:rsidP="00AE21C3" w14:paraId="3EFA6689" w14:textId="77777777">
            <w:pPr>
              <w:rPr>
                <w:sz w:val="24"/>
              </w:rPr>
            </w:pPr>
            <w:r w:rsidRPr="00ED65E5">
              <w:rPr>
                <w:sz w:val="24"/>
              </w:rPr>
              <w:t>(</w:t>
            </w:r>
            <w:r w:rsidRPr="00ED65E5">
              <w:rPr>
                <w:sz w:val="24"/>
              </w:rPr>
              <w:t>data</w:t>
            </w:r>
            <w:r w:rsidRPr="00ED65E5">
              <w:rPr>
                <w:sz w:val="24"/>
              </w:rPr>
              <w:t xml:space="preserve">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273C7E5F"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Westat</w:t>
            </w:r>
            <w:r w:rsidRPr="00ED65E5">
              <w:rPr>
                <w:rFonts w:ascii="Times New Roman" w:hAnsi="Times New Roman" w:cs="Times New Roman"/>
                <w:sz w:val="24"/>
                <w:szCs w:val="24"/>
              </w:rPr>
              <w:t xml:space="preserve"> (contractor)</w:t>
            </w:r>
          </w:p>
          <w:p w:rsidR="00E878FD" w:rsidRPr="00ED65E5" w:rsidP="00AE21C3" w14:paraId="56C8CBDE" w14:textId="77777777">
            <w:pPr>
              <w:pStyle w:val="ListParagraph"/>
              <w:ind w:left="180"/>
              <w:rPr>
                <w:rFonts w:ascii="Times New Roman" w:hAnsi="Times New Roman" w:cs="Times New Roman"/>
                <w:sz w:val="24"/>
                <w:szCs w:val="24"/>
              </w:rPr>
            </w:pPr>
            <w:r w:rsidRPr="00ED65E5">
              <w:rPr>
                <w:rFonts w:ascii="Times New Roman" w:hAnsi="Times New Roman" w:cs="Times New Roman"/>
                <w:sz w:val="24"/>
                <w:szCs w:val="24"/>
              </w:rPr>
              <w:t>301-738-3577</w:t>
            </w:r>
          </w:p>
          <w:p w:rsidR="00E878FD" w:rsidRPr="00ED65E5" w:rsidP="00AE21C3" w14:paraId="7041D6D1" w14:textId="77777777">
            <w:pPr>
              <w:pStyle w:val="ListParagraph"/>
              <w:ind w:left="180"/>
              <w:rPr>
                <w:rFonts w:ascii="Times New Roman" w:hAnsi="Times New Roman" w:cs="Times New Roman"/>
                <w:sz w:val="24"/>
                <w:szCs w:val="24"/>
              </w:rPr>
            </w:pPr>
            <w:hyperlink r:id="rId20" w:history="1">
              <w:r w:rsidRPr="00ED65E5">
                <w:rPr>
                  <w:rStyle w:val="Hyperlink"/>
                  <w:rFonts w:ascii="Times New Roman" w:hAnsi="Times New Roman" w:cs="Times New Roman"/>
                  <w:sz w:val="24"/>
                  <w:szCs w:val="24"/>
                </w:rPr>
                <w:t>jeanopsomer@westat.com</w:t>
              </w:r>
            </w:hyperlink>
          </w:p>
        </w:tc>
      </w:tr>
      <w:tr w14:paraId="56241069"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74D8ECD2" w14:textId="77777777">
            <w:pPr>
              <w:rPr>
                <w:sz w:val="24"/>
              </w:rPr>
            </w:pPr>
            <w:r w:rsidRPr="00ED65E5">
              <w:rPr>
                <w:sz w:val="24"/>
              </w:rPr>
              <w:t xml:space="preserve">Saloni </w:t>
            </w:r>
            <w:r w:rsidRPr="00ED65E5">
              <w:rPr>
                <w:sz w:val="24"/>
              </w:rPr>
              <w:t>Sapru</w:t>
            </w:r>
            <w:r w:rsidRPr="00ED65E5">
              <w:rPr>
                <w:sz w:val="24"/>
              </w:rPr>
              <w:t xml:space="preserve">, PhD, MA </w:t>
            </w:r>
          </w:p>
          <w:p w:rsidR="00E878FD" w:rsidRPr="00ED65E5" w:rsidP="00AE21C3" w14:paraId="410234DE" w14:textId="77777777">
            <w:pPr>
              <w:rPr>
                <w:sz w:val="24"/>
              </w:rPr>
            </w:pPr>
            <w:r w:rsidRPr="00ED65E5">
              <w:rPr>
                <w:sz w:val="24"/>
              </w:rPr>
              <w:t>(</w:t>
            </w:r>
            <w:r w:rsidRPr="00ED65E5">
              <w:rPr>
                <w:sz w:val="24"/>
              </w:rPr>
              <w:t>evaluation</w:t>
            </w:r>
            <w:r w:rsidRPr="00ED65E5">
              <w:rPr>
                <w:sz w:val="24"/>
              </w:rPr>
              <w:t xml:space="preserve"> design, data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0CB2F6CD" w14:textId="77777777">
            <w:pPr>
              <w:ind w:left="180"/>
              <w:rPr>
                <w:sz w:val="24"/>
              </w:rPr>
            </w:pPr>
            <w:r w:rsidRPr="00ED65E5">
              <w:rPr>
                <w:sz w:val="24"/>
              </w:rPr>
              <w:t>Westat</w:t>
            </w:r>
            <w:r w:rsidRPr="00ED65E5">
              <w:rPr>
                <w:sz w:val="24"/>
              </w:rPr>
              <w:t xml:space="preserve"> (contractor)</w:t>
            </w:r>
          </w:p>
          <w:p w:rsidR="00E878FD" w:rsidRPr="00ED65E5" w:rsidP="00AE21C3" w14:paraId="48B2DB42" w14:textId="77777777">
            <w:pPr>
              <w:ind w:left="180"/>
              <w:rPr>
                <w:sz w:val="24"/>
              </w:rPr>
            </w:pPr>
            <w:r w:rsidRPr="00ED65E5">
              <w:rPr>
                <w:sz w:val="24"/>
              </w:rPr>
              <w:t>240-314-2363</w:t>
            </w:r>
          </w:p>
          <w:p w:rsidR="00E878FD" w:rsidRPr="00ED65E5" w:rsidP="00AE21C3" w14:paraId="10924314" w14:textId="77777777">
            <w:pPr>
              <w:ind w:left="180"/>
              <w:rPr>
                <w:sz w:val="24"/>
              </w:rPr>
            </w:pPr>
            <w:hyperlink r:id="rId21" w:history="1">
              <w:r w:rsidRPr="00ED65E5">
                <w:rPr>
                  <w:rStyle w:val="Hyperlink"/>
                  <w:sz w:val="24"/>
                </w:rPr>
                <w:t>salonisapru@westat.com</w:t>
              </w:r>
            </w:hyperlink>
          </w:p>
        </w:tc>
      </w:tr>
      <w:tr w14:paraId="1F2F298D"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40966430" w14:textId="77777777">
            <w:pPr>
              <w:rPr>
                <w:sz w:val="24"/>
              </w:rPr>
            </w:pPr>
            <w:r w:rsidRPr="00ED65E5">
              <w:rPr>
                <w:sz w:val="24"/>
              </w:rPr>
              <w:t>Mallorie Smith, BS</w:t>
            </w:r>
          </w:p>
          <w:p w:rsidR="00E878FD" w:rsidRPr="00ED65E5" w:rsidP="00AE21C3" w14:paraId="648E4952" w14:textId="77777777">
            <w:pPr>
              <w:rPr>
                <w:sz w:val="24"/>
              </w:rPr>
            </w:pPr>
            <w:r w:rsidRPr="00ED65E5">
              <w:rPr>
                <w:sz w:val="24"/>
              </w:rPr>
              <w:t>(</w:t>
            </w:r>
            <w:r w:rsidRPr="00ED65E5">
              <w:rPr>
                <w:sz w:val="24"/>
              </w:rPr>
              <w:t>data</w:t>
            </w:r>
            <w:r w:rsidRPr="00ED65E5">
              <w:rPr>
                <w:sz w:val="24"/>
              </w:rPr>
              <w:t xml:space="preserve"> collection and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419FBE5C" w14:textId="77777777">
            <w:pPr>
              <w:ind w:left="180"/>
              <w:rPr>
                <w:sz w:val="24"/>
              </w:rPr>
            </w:pPr>
            <w:r w:rsidRPr="00ED65E5">
              <w:rPr>
                <w:sz w:val="24"/>
              </w:rPr>
              <w:t>Westat</w:t>
            </w:r>
            <w:r w:rsidRPr="00ED65E5">
              <w:rPr>
                <w:sz w:val="24"/>
              </w:rPr>
              <w:t xml:space="preserve"> (contractor)</w:t>
            </w:r>
          </w:p>
          <w:p w:rsidR="00E878FD" w:rsidRPr="00ED65E5" w:rsidP="00AE21C3" w14:paraId="285694A8" w14:textId="77777777">
            <w:pPr>
              <w:ind w:left="180"/>
              <w:rPr>
                <w:sz w:val="24"/>
              </w:rPr>
            </w:pPr>
            <w:r w:rsidRPr="00ED65E5">
              <w:rPr>
                <w:sz w:val="24"/>
              </w:rPr>
              <w:t>240-314-2520</w:t>
            </w:r>
          </w:p>
          <w:p w:rsidR="00E878FD" w:rsidRPr="00ED65E5" w:rsidP="00AE21C3" w14:paraId="1C91C494" w14:textId="77777777">
            <w:pPr>
              <w:ind w:left="180"/>
              <w:rPr>
                <w:sz w:val="24"/>
              </w:rPr>
            </w:pPr>
            <w:hyperlink r:id="rId22" w:history="1">
              <w:r w:rsidRPr="00ED65E5">
                <w:rPr>
                  <w:rStyle w:val="Hyperlink"/>
                  <w:sz w:val="24"/>
                </w:rPr>
                <w:t>malloriesmith@westat.com</w:t>
              </w:r>
            </w:hyperlink>
          </w:p>
        </w:tc>
      </w:tr>
      <w:tr w14:paraId="34DBE529" w14:textId="77777777" w:rsidTr="00AE21C3">
        <w:tblPrEx>
          <w:tblW w:w="9576" w:type="dxa"/>
          <w:tblCellMar>
            <w:left w:w="0" w:type="dxa"/>
            <w:right w:w="0" w:type="dxa"/>
          </w:tblCellMar>
          <w:tblLook w:val="04A0"/>
        </w:tblPrEx>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78FD" w:rsidRPr="00ED65E5" w:rsidP="00AE21C3" w14:paraId="6F59BA25" w14:textId="77777777">
            <w:pPr>
              <w:rPr>
                <w:sz w:val="24"/>
              </w:rPr>
            </w:pPr>
            <w:r w:rsidRPr="00ED65E5">
              <w:rPr>
                <w:sz w:val="24"/>
              </w:rPr>
              <w:t xml:space="preserve">Zachary Weber, PhD, MS </w:t>
            </w:r>
          </w:p>
          <w:p w:rsidR="00E878FD" w:rsidRPr="00ED65E5" w:rsidP="00AE21C3" w14:paraId="604718EC" w14:textId="77777777">
            <w:pPr>
              <w:rPr>
                <w:sz w:val="24"/>
              </w:rPr>
            </w:pPr>
            <w:r w:rsidRPr="00ED65E5">
              <w:rPr>
                <w:sz w:val="24"/>
              </w:rPr>
              <w:t>(</w:t>
            </w:r>
            <w:r w:rsidRPr="00ED65E5">
              <w:rPr>
                <w:sz w:val="24"/>
              </w:rPr>
              <w:t>data</w:t>
            </w:r>
            <w:r w:rsidRPr="00ED65E5">
              <w:rPr>
                <w:sz w:val="24"/>
              </w:rPr>
              <w:t xml:space="preserve"> analysis)</w:t>
            </w:r>
          </w:p>
        </w:tc>
        <w:tc>
          <w:tcPr>
            <w:tcW w:w="6164" w:type="dxa"/>
            <w:tcBorders>
              <w:top w:val="nil"/>
              <w:left w:val="nil"/>
              <w:bottom w:val="single" w:sz="8" w:space="0" w:color="auto"/>
              <w:right w:val="single" w:sz="8" w:space="0" w:color="auto"/>
            </w:tcBorders>
            <w:tcMar>
              <w:top w:w="0" w:type="dxa"/>
              <w:left w:w="108" w:type="dxa"/>
              <w:bottom w:w="0" w:type="dxa"/>
              <w:right w:w="108" w:type="dxa"/>
            </w:tcMar>
            <w:hideMark/>
          </w:tcPr>
          <w:p w:rsidR="00E878FD" w:rsidRPr="00ED65E5" w:rsidP="00AE21C3" w14:paraId="2293FCC3" w14:textId="77777777">
            <w:pPr>
              <w:ind w:left="180"/>
              <w:rPr>
                <w:sz w:val="24"/>
              </w:rPr>
            </w:pPr>
            <w:r w:rsidRPr="00ED65E5">
              <w:rPr>
                <w:sz w:val="24"/>
              </w:rPr>
              <w:t>Westat</w:t>
            </w:r>
            <w:r w:rsidRPr="00ED65E5">
              <w:rPr>
                <w:sz w:val="24"/>
              </w:rPr>
              <w:t xml:space="preserve"> (contractor)</w:t>
            </w:r>
          </w:p>
          <w:p w:rsidR="00E878FD" w:rsidRPr="00ED65E5" w:rsidP="00AE21C3" w14:paraId="22549551" w14:textId="77777777">
            <w:pPr>
              <w:ind w:left="180"/>
              <w:rPr>
                <w:sz w:val="24"/>
              </w:rPr>
            </w:pPr>
            <w:r w:rsidRPr="00ED65E5">
              <w:rPr>
                <w:sz w:val="24"/>
              </w:rPr>
              <w:t>(240) 314-2576</w:t>
            </w:r>
          </w:p>
          <w:p w:rsidR="00E878FD" w:rsidRPr="00ED65E5" w:rsidP="00AE21C3" w14:paraId="21F0FB0D" w14:textId="77777777">
            <w:pPr>
              <w:ind w:left="180"/>
              <w:rPr>
                <w:sz w:val="24"/>
              </w:rPr>
            </w:pPr>
            <w:hyperlink r:id="rId23" w:history="1">
              <w:r w:rsidRPr="00ED65E5">
                <w:rPr>
                  <w:rStyle w:val="Hyperlink"/>
                  <w:sz w:val="24"/>
                </w:rPr>
                <w:t>zacharyweber@westat.com</w:t>
              </w:r>
            </w:hyperlink>
          </w:p>
        </w:tc>
      </w:tr>
    </w:tbl>
    <w:p w:rsidR="00E878FD" w:rsidP="00BE2D3B" w14:paraId="074380B5" w14:textId="77777777">
      <w:pPr>
        <w:pStyle w:val="NormalSS"/>
        <w:ind w:firstLine="0"/>
      </w:pPr>
    </w:p>
    <w:p w:rsidR="00834F83" w:rsidRPr="008364D2" w:rsidP="00434365" w14:paraId="6165F1F7" w14:textId="77777777">
      <w:pPr>
        <w:pStyle w:val="NormalSS"/>
        <w:ind w:firstLine="0"/>
      </w:pPr>
    </w:p>
    <w:p w:rsidR="00AF2FB8" w:rsidRPr="00AF2FB8" w:rsidP="00434365" w14:paraId="7DA47662" w14:textId="77777777"/>
    <w:sectPr w:rsidSect="00AC72D8">
      <w:headerReference w:type="default" r:id="rId24"/>
      <w:footerReference w:type="default" r:id="rId25"/>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EBC" w:rsidRPr="00E00237" w:rsidP="00E00237" w14:paraId="16C6A57E" w14:textId="77777777">
    <w:pPr>
      <w:rPr>
        <w:rFonts w:ascii="Arial" w:hAnsi="Arial" w:cs="Arial"/>
      </w:rPr>
    </w:pPr>
  </w:p>
  <w:p w:rsidR="00395EBC" w:rsidRPr="00E00237" w:rsidP="00E00237" w14:paraId="5DC7A0C6" w14:textId="77777777">
    <w:pPr>
      <w:pBdr>
        <w:top w:val="single" w:sz="2" w:space="1" w:color="auto"/>
      </w:pBdr>
      <w:rPr>
        <w:rFonts w:ascii="Arial" w:hAnsi="Arial" w:cs="Arial"/>
      </w:rPr>
    </w:pPr>
  </w:p>
  <w:sdt>
    <w:sdtPr>
      <w:rPr>
        <w:rFonts w:ascii="Arial" w:hAnsi="Arial" w:cs="Arial"/>
      </w:rPr>
      <w:id w:val="172755831"/>
      <w:docPartObj>
        <w:docPartGallery w:val="Page Numbers (Bottom of Page)"/>
        <w:docPartUnique/>
      </w:docPartObj>
    </w:sdtPr>
    <w:sdtContent>
      <w:p w:rsidR="00395EBC" w:rsidRPr="00E00237" w:rsidP="00AA50FA" w14:paraId="4E6FA924" w14:textId="15B684D8">
        <w:pPr>
          <w:tabs>
            <w:tab w:val="left" w:pos="4433"/>
            <w:tab w:val="center" w:pos="6480"/>
          </w:tabs>
          <w:jc w:val="center"/>
          <w:rPr>
            <w:rFonts w:ascii="Arial" w:hAnsi="Arial" w:cs="Arial"/>
          </w:rPr>
        </w:pPr>
        <w:r w:rsidRPr="00E00237">
          <w:rPr>
            <w:rFonts w:ascii="Arial" w:hAnsi="Arial" w:cs="Arial"/>
          </w:rPr>
          <w:fldChar w:fldCharType="begin"/>
        </w:r>
        <w:r w:rsidRPr="00E00237">
          <w:rPr>
            <w:rFonts w:ascii="Arial" w:hAnsi="Arial" w:cs="Arial"/>
          </w:rPr>
          <w:instrText xml:space="preserve"> PAGE   \* MERGEFORMAT </w:instrText>
        </w:r>
        <w:r w:rsidRPr="00E00237">
          <w:rPr>
            <w:rFonts w:ascii="Arial" w:hAnsi="Arial" w:cs="Arial"/>
          </w:rPr>
          <w:fldChar w:fldCharType="separate"/>
        </w:r>
        <w:r w:rsidR="00A76798">
          <w:rPr>
            <w:rFonts w:ascii="Arial" w:hAnsi="Arial" w:cs="Arial"/>
            <w:noProof/>
          </w:rPr>
          <w:t>16</w:t>
        </w:r>
        <w:r w:rsidRPr="00E00237">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73D6" w14:paraId="2FBDBFCD" w14:textId="77777777">
      <w:r>
        <w:separator/>
      </w:r>
    </w:p>
  </w:footnote>
  <w:footnote w:type="continuationSeparator" w:id="1">
    <w:p w:rsidR="00CB73D6" w14:paraId="041E152C" w14:textId="77777777">
      <w:r>
        <w:continuationSeparator/>
      </w:r>
    </w:p>
  </w:footnote>
  <w:footnote w:id="2">
    <w:p w:rsidR="008261CC" w14:paraId="5A0F85A9" w14:textId="318AA737">
      <w:pPr>
        <w:pStyle w:val="FootnoteText"/>
      </w:pPr>
      <w:r>
        <w:rPr>
          <w:rStyle w:val="FootnoteReference"/>
        </w:rPr>
        <w:footnoteRef/>
      </w:r>
      <w:r>
        <w:t xml:space="preserve"> </w:t>
      </w:r>
      <w:r w:rsidR="00A04770">
        <w:t>Secondary data from HRSA’s</w:t>
      </w:r>
      <w:r>
        <w:t xml:space="preserve"> Discretionary Grants Information System </w:t>
      </w:r>
      <w:r w:rsidR="00C07C27">
        <w:t xml:space="preserve">(DGIS) </w:t>
      </w:r>
      <w:r>
        <w:t>and the Health</w:t>
      </w:r>
      <w:r w:rsidR="00C07C27">
        <w:t xml:space="preserve">y Start Monitoring and Evaluation Data </w:t>
      </w:r>
      <w:r w:rsidR="00A04770">
        <w:t xml:space="preserve">system </w:t>
      </w:r>
      <w:r w:rsidR="00C07C27">
        <w:t>(HSMED) to which grantees report data on their programs</w:t>
      </w:r>
      <w:r w:rsidR="00A04770">
        <w:t>’ performance measures</w:t>
      </w:r>
      <w:r w:rsidR="00C07C27">
        <w:t xml:space="preserve"> and </w:t>
      </w:r>
      <w:r w:rsidR="00A04770">
        <w:t>on their clients/</w:t>
      </w:r>
      <w:r w:rsidR="00C07C27">
        <w:t xml:space="preserve">participants for other purposes </w:t>
      </w:r>
      <w:r w:rsidR="00A04770">
        <w:t>will be used to identify grantees that meet the criteria</w:t>
      </w:r>
      <w:r w:rsidR="00C07C27">
        <w:t>.</w:t>
      </w:r>
    </w:p>
  </w:footnote>
  <w:footnote w:id="3">
    <w:p w:rsidR="00395EBC" w14:paraId="4709F451" w14:textId="3282DA46">
      <w:pPr>
        <w:pStyle w:val="FootnoteText"/>
      </w:pPr>
      <w:r>
        <w:rPr>
          <w:rStyle w:val="FootnoteReference"/>
        </w:rPr>
        <w:footnoteRef/>
      </w:r>
      <w:r>
        <w:t xml:space="preserve"> </w:t>
      </w:r>
      <w:r w:rsidRPr="004A72E2">
        <w:t>Parasuraman, S.R., de la Cruz, D. Evaluation of the Implementation of the Healthy Start Program: Findings from the 2016 National Healthy Start Program Survey. Matern Child Health J 23, 220–227 (2019). https://doi.org/10.1007/s10995-018-2640-9</w:t>
      </w:r>
    </w:p>
  </w:footnote>
  <w:footnote w:id="4">
    <w:p w:rsidR="00395EBC" w:rsidRPr="00BA5A9A" w:rsidP="009C5A4F" w14:paraId="60163D48" w14:textId="77777777">
      <w:pPr>
        <w:pStyle w:val="FootnoteText"/>
        <w:spacing w:after="0"/>
      </w:pPr>
      <w:r w:rsidRPr="004E44FE">
        <w:rPr>
          <w:rStyle w:val="FootnoteReference"/>
        </w:rPr>
        <w:footnoteRef/>
      </w:r>
      <w:r w:rsidRPr="00BA5A9A">
        <w:t xml:space="preserve"> </w:t>
      </w:r>
      <w:r>
        <w:t xml:space="preserve">Rosenbach, M., S. O’Neil, B. Cook, L. Trebino, and D. Klein Walker. “Characteristics, Access, Utilization, Satisfaction, and Outcomes of Healthy Start Participants in Eight Sites.” </w:t>
      </w:r>
      <w:r w:rsidRPr="00DD0E4F">
        <w:rPr>
          <w:i/>
        </w:rPr>
        <w:t>Maternal and Child Health Journal</w:t>
      </w:r>
      <w:r>
        <w:t xml:space="preserve">, 2010, </w:t>
      </w:r>
      <w:r w:rsidRPr="00DD0E4F">
        <w:t>14(5):666</w:t>
      </w:r>
      <w:r>
        <w:t>–</w:t>
      </w:r>
      <w:r w:rsidRPr="00DD0E4F">
        <w:t>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EBC" w:rsidRPr="00841CF0" w:rsidP="00566DB7" w14:paraId="6A00A24B" w14:textId="623C7B3A">
    <w:pPr>
      <w:widowControl/>
      <w:pBdr>
        <w:bottom w:val="single" w:sz="2" w:space="3" w:color="auto"/>
      </w:pBdr>
      <w:autoSpaceDE/>
      <w:autoSpaceDN/>
      <w:adjustRightInd/>
      <w:rPr>
        <w:rFonts w:ascii="Arial" w:hAnsi="Arial"/>
        <w:caps/>
        <w:sz w:val="14"/>
        <w:szCs w:val="20"/>
      </w:rPr>
    </w:pPr>
    <w:r w:rsidRPr="003257A9">
      <w:rPr>
        <w:rFonts w:ascii="Arial" w:hAnsi="Arial"/>
        <w:caps/>
        <w:sz w:val="14"/>
        <w:szCs w:val="20"/>
      </w:rPr>
      <w:t xml:space="preserve">Supporting Statement Part </w:t>
    </w:r>
    <w:r>
      <w:rPr>
        <w:rFonts w:ascii="Arial" w:hAnsi="Arial"/>
        <w:caps/>
        <w:sz w:val="14"/>
        <w:szCs w:val="20"/>
      </w:rPr>
      <w:t xml:space="preserve">b: </w:t>
    </w:r>
    <w:r w:rsidRPr="003257A9">
      <w:rPr>
        <w:rFonts w:ascii="Arial" w:hAnsi="Arial"/>
        <w:caps/>
        <w:sz w:val="14"/>
        <w:szCs w:val="20"/>
      </w:rPr>
      <w:t>Healthy Start Evaluation</w:t>
    </w:r>
    <w:r>
      <w:rPr>
        <w:rFonts w:ascii="Arial" w:hAnsi="Arial"/>
        <w:caps/>
        <w:sz w:val="14"/>
        <w:szCs w:val="20"/>
      </w:rPr>
      <w:t xml:space="preserve"> and </w:t>
    </w:r>
    <w:r w:rsidRPr="00A82F99" w:rsidR="00A82F99">
      <w:rPr>
        <w:rFonts w:ascii="Arial" w:hAnsi="Arial"/>
        <w:caps/>
        <w:sz w:val="14"/>
        <w:szCs w:val="20"/>
      </w:rPr>
      <w:t>CAPICITY BUILDING SUPPORT</w:t>
    </w:r>
    <w:r w:rsidRPr="00A82F99">
      <w:rPr>
        <w:rFonts w:ascii="Arial" w:hAnsi="Arial"/>
        <w:caps/>
        <w:sz w:val="14"/>
        <w:szCs w:val="20"/>
      </w:rPr>
      <w:t xml:space="preserve"> </w:t>
    </w:r>
    <w:r w:rsidRPr="00A82F99">
      <w:rPr>
        <w:rFonts w:ascii="Arial" w:hAnsi="Arial"/>
        <w:caps/>
        <w:sz w:val="14"/>
        <w:szCs w:val="20"/>
      </w:rPr>
      <w:br/>
      <w:t>omb control no</w:t>
    </w:r>
    <w:r w:rsidRPr="00970832">
      <w:rPr>
        <w:rFonts w:ascii="Arial" w:hAnsi="Arial"/>
        <w:caps/>
        <w:sz w:val="14"/>
        <w:szCs w:val="20"/>
        <w:highlight w:val="yellow"/>
      </w:rPr>
      <w:t>. xxxx-xxxx</w:t>
    </w:r>
    <w:r w:rsidRPr="00841CF0">
      <w:rPr>
        <w:rFonts w:ascii="Arial" w:hAnsi="Arial"/>
        <w:caps/>
        <w:sz w:val="14"/>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E7E053E"/>
    <w:lvl w:ilvl="0">
      <w:start w:val="1"/>
      <w:numFmt w:val="decimal"/>
      <w:lvlText w:val="%1."/>
      <w:lvlJc w:val="left"/>
      <w:pPr>
        <w:tabs>
          <w:tab w:val="num" w:pos="1800"/>
        </w:tabs>
        <w:ind w:left="1800" w:hanging="360"/>
      </w:pPr>
    </w:lvl>
  </w:abstractNum>
  <w:abstractNum w:abstractNumId="2">
    <w:nsid w:val="FFFFFF7D"/>
    <w:multiLevelType w:val="singleLevel"/>
    <w:tmpl w:val="91284758"/>
    <w:lvl w:ilvl="0">
      <w:start w:val="1"/>
      <w:numFmt w:val="decimal"/>
      <w:lvlText w:val="%1."/>
      <w:lvlJc w:val="left"/>
      <w:pPr>
        <w:tabs>
          <w:tab w:val="num" w:pos="1440"/>
        </w:tabs>
        <w:ind w:left="1440" w:hanging="360"/>
      </w:pPr>
    </w:lvl>
  </w:abstractNum>
  <w:abstractNum w:abstractNumId="3">
    <w:nsid w:val="FFFFFF7E"/>
    <w:multiLevelType w:val="singleLevel"/>
    <w:tmpl w:val="2146C740"/>
    <w:lvl w:ilvl="0">
      <w:start w:val="1"/>
      <w:numFmt w:val="decimal"/>
      <w:lvlText w:val="%1."/>
      <w:lvlJc w:val="left"/>
      <w:pPr>
        <w:tabs>
          <w:tab w:val="num" w:pos="1080"/>
        </w:tabs>
        <w:ind w:left="1080" w:hanging="360"/>
      </w:pPr>
    </w:lvl>
  </w:abstractNum>
  <w:abstractNum w:abstractNumId="4">
    <w:nsid w:val="FFFFFF7F"/>
    <w:multiLevelType w:val="singleLevel"/>
    <w:tmpl w:val="5B02BBD2"/>
    <w:lvl w:ilvl="0">
      <w:start w:val="1"/>
      <w:numFmt w:val="decimal"/>
      <w:lvlText w:val="%1."/>
      <w:lvlJc w:val="left"/>
      <w:pPr>
        <w:tabs>
          <w:tab w:val="num" w:pos="720"/>
        </w:tabs>
        <w:ind w:left="720" w:hanging="360"/>
      </w:pPr>
    </w:lvl>
  </w:abstractNum>
  <w:abstractNum w:abstractNumId="5">
    <w:nsid w:val="FFFFFF80"/>
    <w:multiLevelType w:val="singleLevel"/>
    <w:tmpl w:val="61DE1B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6EA3A9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FE467D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60E17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7E2F64"/>
    <w:lvl w:ilvl="0">
      <w:start w:val="1"/>
      <w:numFmt w:val="decimal"/>
      <w:lvlText w:val="%1."/>
      <w:lvlJc w:val="left"/>
      <w:pPr>
        <w:tabs>
          <w:tab w:val="num" w:pos="360"/>
        </w:tabs>
        <w:ind w:left="360" w:hanging="360"/>
      </w:pPr>
    </w:lvl>
  </w:abstractNum>
  <w:abstractNum w:abstractNumId="10">
    <w:nsid w:val="FFFFFF89"/>
    <w:multiLevelType w:val="singleLevel"/>
    <w:tmpl w:val="C0203AAC"/>
    <w:lvl w:ilvl="0">
      <w:start w:val="1"/>
      <w:numFmt w:val="bullet"/>
      <w:lvlText w:val=""/>
      <w:lvlJc w:val="left"/>
      <w:pPr>
        <w:tabs>
          <w:tab w:val="num" w:pos="360"/>
        </w:tabs>
        <w:ind w:left="360" w:hanging="360"/>
      </w:pPr>
      <w:rPr>
        <w:rFonts w:ascii="Symbol" w:hAnsi="Symbol" w:hint="default"/>
      </w:rPr>
    </w:lvl>
  </w:abstractNum>
  <w:abstractNum w:abstractNumId="11">
    <w:nsid w:val="013156CC"/>
    <w:multiLevelType w:val="hybridMultilevel"/>
    <w:tmpl w:val="5F4655A8"/>
    <w:lvl w:ilvl="0">
      <w:start w:val="1"/>
      <w:numFmt w:val="decimal"/>
      <w:pStyle w:val="NumberedBulletLast"/>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2">
    <w:nsid w:val="0679727C"/>
    <w:multiLevelType w:val="hybridMultilevel"/>
    <w:tmpl w:val="987EA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690CDC"/>
    <w:multiLevelType w:val="hybridMultilevel"/>
    <w:tmpl w:val="1AFCB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912DC1"/>
    <w:multiLevelType w:val="hybridMultilevel"/>
    <w:tmpl w:val="9BAA35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C904B8"/>
    <w:multiLevelType w:val="hybridMultilevel"/>
    <w:tmpl w:val="91F27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7513D4"/>
    <w:multiLevelType w:val="hybridMultilevel"/>
    <w:tmpl w:val="C890F3BE"/>
    <w:lvl w:ilvl="0">
      <w:start w:val="1"/>
      <w:numFmt w:val="bullet"/>
      <w:pStyle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DB122F1"/>
    <w:multiLevelType w:val="hybridMultilevel"/>
    <w:tmpl w:val="61AEE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B24A2A"/>
    <w:multiLevelType w:val="hybridMultilevel"/>
    <w:tmpl w:val="DEFE65E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3E3E08CE"/>
    <w:multiLevelType w:val="hybridMultilevel"/>
    <w:tmpl w:val="10FCDD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20753AA"/>
    <w:multiLevelType w:val="hybridMultilevel"/>
    <w:tmpl w:val="B77CAAE0"/>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966960"/>
    <w:multiLevelType w:val="hybridMultilevel"/>
    <w:tmpl w:val="C280596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72550037"/>
    <w:multiLevelType w:val="hybridMultilevel"/>
    <w:tmpl w:val="B9EAEA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D346DA"/>
    <w:multiLevelType w:val="hybridMultilevel"/>
    <w:tmpl w:val="D6E2138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62343229">
    <w:abstractNumId w:val="17"/>
  </w:num>
  <w:num w:numId="2" w16cid:durableId="24643134">
    <w:abstractNumId w:val="16"/>
  </w:num>
  <w:num w:numId="3" w16cid:durableId="1379739516">
    <w:abstractNumId w:val="24"/>
  </w:num>
  <w:num w:numId="4" w16cid:durableId="1764521994">
    <w:abstractNumId w:val="19"/>
  </w:num>
  <w:num w:numId="5" w16cid:durableId="726030549">
    <w:abstractNumId w:val="13"/>
  </w:num>
  <w:num w:numId="6" w16cid:durableId="1951082383">
    <w:abstractNumId w:val="22"/>
  </w:num>
  <w:num w:numId="7" w16cid:durableId="128209063">
    <w:abstractNumId w:val="14"/>
  </w:num>
  <w:num w:numId="8" w16cid:durableId="893663598">
    <w:abstractNumId w:val="18"/>
  </w:num>
  <w:num w:numId="9" w16cid:durableId="1283073221">
    <w:abstractNumId w:val="21"/>
  </w:num>
  <w:num w:numId="10" w16cid:durableId="2100251698">
    <w:abstractNumId w:val="23"/>
  </w:num>
  <w:num w:numId="11" w16cid:durableId="1978335743">
    <w:abstractNumId w:val="12"/>
  </w:num>
  <w:num w:numId="12" w16cid:durableId="1424301446">
    <w:abstractNumId w:val="11"/>
  </w:num>
  <w:num w:numId="13" w16cid:durableId="853307445">
    <w:abstractNumId w:val="0"/>
  </w:num>
  <w:num w:numId="14" w16cid:durableId="2124496100">
    <w:abstractNumId w:val="11"/>
    <w:lvlOverride w:ilvl="0">
      <w:startOverride w:val="1"/>
    </w:lvlOverride>
  </w:num>
  <w:num w:numId="15" w16cid:durableId="2042582455">
    <w:abstractNumId w:val="10"/>
  </w:num>
  <w:num w:numId="16" w16cid:durableId="1646547025">
    <w:abstractNumId w:val="8"/>
  </w:num>
  <w:num w:numId="17" w16cid:durableId="486938548">
    <w:abstractNumId w:val="7"/>
  </w:num>
  <w:num w:numId="18" w16cid:durableId="973825865">
    <w:abstractNumId w:val="6"/>
  </w:num>
  <w:num w:numId="19" w16cid:durableId="15428549">
    <w:abstractNumId w:val="5"/>
  </w:num>
  <w:num w:numId="20" w16cid:durableId="1359963926">
    <w:abstractNumId w:val="9"/>
  </w:num>
  <w:num w:numId="21" w16cid:durableId="1012536692">
    <w:abstractNumId w:val="4"/>
  </w:num>
  <w:num w:numId="22" w16cid:durableId="869681973">
    <w:abstractNumId w:val="3"/>
  </w:num>
  <w:num w:numId="23" w16cid:durableId="2105294734">
    <w:abstractNumId w:val="2"/>
  </w:num>
  <w:num w:numId="24" w16cid:durableId="214508432">
    <w:abstractNumId w:val="1"/>
  </w:num>
  <w:num w:numId="25" w16cid:durableId="339545566">
    <w:abstractNumId w:val="15"/>
  </w:num>
  <w:num w:numId="26" w16cid:durableId="1770807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F3C"/>
    <w:rsid w:val="0001011F"/>
    <w:rsid w:val="000105DD"/>
    <w:rsid w:val="00012673"/>
    <w:rsid w:val="00013DD4"/>
    <w:rsid w:val="00014BD3"/>
    <w:rsid w:val="00022DC5"/>
    <w:rsid w:val="0002767F"/>
    <w:rsid w:val="000278AF"/>
    <w:rsid w:val="00027A79"/>
    <w:rsid w:val="00027C21"/>
    <w:rsid w:val="000301BB"/>
    <w:rsid w:val="000347B4"/>
    <w:rsid w:val="00035C1C"/>
    <w:rsid w:val="000419AD"/>
    <w:rsid w:val="00042B22"/>
    <w:rsid w:val="00042B3A"/>
    <w:rsid w:val="00043228"/>
    <w:rsid w:val="00043376"/>
    <w:rsid w:val="000433E5"/>
    <w:rsid w:val="00044C08"/>
    <w:rsid w:val="000461C5"/>
    <w:rsid w:val="00050E68"/>
    <w:rsid w:val="000518EF"/>
    <w:rsid w:val="000524AE"/>
    <w:rsid w:val="00053910"/>
    <w:rsid w:val="000548E3"/>
    <w:rsid w:val="0005679A"/>
    <w:rsid w:val="00060371"/>
    <w:rsid w:val="00062269"/>
    <w:rsid w:val="00067326"/>
    <w:rsid w:val="00070F25"/>
    <w:rsid w:val="00072C0D"/>
    <w:rsid w:val="000730F5"/>
    <w:rsid w:val="00073A6A"/>
    <w:rsid w:val="0007456C"/>
    <w:rsid w:val="000749D0"/>
    <w:rsid w:val="000839C5"/>
    <w:rsid w:val="00084A76"/>
    <w:rsid w:val="00085193"/>
    <w:rsid w:val="00085D29"/>
    <w:rsid w:val="00085F83"/>
    <w:rsid w:val="00086BA1"/>
    <w:rsid w:val="00087166"/>
    <w:rsid w:val="00090651"/>
    <w:rsid w:val="00091D9D"/>
    <w:rsid w:val="00092CE0"/>
    <w:rsid w:val="00092FFF"/>
    <w:rsid w:val="000933D0"/>
    <w:rsid w:val="00093C74"/>
    <w:rsid w:val="00094C4C"/>
    <w:rsid w:val="000969EB"/>
    <w:rsid w:val="000A0B63"/>
    <w:rsid w:val="000A2931"/>
    <w:rsid w:val="000A3AFE"/>
    <w:rsid w:val="000A4F17"/>
    <w:rsid w:val="000A6BF8"/>
    <w:rsid w:val="000A763C"/>
    <w:rsid w:val="000A7CE3"/>
    <w:rsid w:val="000B221D"/>
    <w:rsid w:val="000B48C5"/>
    <w:rsid w:val="000B78FF"/>
    <w:rsid w:val="000C02E1"/>
    <w:rsid w:val="000C0E59"/>
    <w:rsid w:val="000C1D0E"/>
    <w:rsid w:val="000C303A"/>
    <w:rsid w:val="000C3147"/>
    <w:rsid w:val="000C4C2B"/>
    <w:rsid w:val="000C5CC6"/>
    <w:rsid w:val="000D3292"/>
    <w:rsid w:val="000D3343"/>
    <w:rsid w:val="000D524E"/>
    <w:rsid w:val="000D5CCF"/>
    <w:rsid w:val="000D611E"/>
    <w:rsid w:val="000D7466"/>
    <w:rsid w:val="000E0AD3"/>
    <w:rsid w:val="000E1AD0"/>
    <w:rsid w:val="000E2E05"/>
    <w:rsid w:val="000E355E"/>
    <w:rsid w:val="000E5062"/>
    <w:rsid w:val="000E526C"/>
    <w:rsid w:val="000E696A"/>
    <w:rsid w:val="000E722E"/>
    <w:rsid w:val="000E79D1"/>
    <w:rsid w:val="000F077D"/>
    <w:rsid w:val="000F0B3B"/>
    <w:rsid w:val="000F131E"/>
    <w:rsid w:val="000F1DEF"/>
    <w:rsid w:val="000F2855"/>
    <w:rsid w:val="000F29AF"/>
    <w:rsid w:val="000F49E1"/>
    <w:rsid w:val="00100589"/>
    <w:rsid w:val="0010438F"/>
    <w:rsid w:val="00106212"/>
    <w:rsid w:val="00106E8E"/>
    <w:rsid w:val="0010743F"/>
    <w:rsid w:val="00111B4D"/>
    <w:rsid w:val="00112F08"/>
    <w:rsid w:val="00113F67"/>
    <w:rsid w:val="001145A4"/>
    <w:rsid w:val="00114958"/>
    <w:rsid w:val="00115A22"/>
    <w:rsid w:val="00117EC9"/>
    <w:rsid w:val="001210A0"/>
    <w:rsid w:val="00123842"/>
    <w:rsid w:val="00124348"/>
    <w:rsid w:val="001249C0"/>
    <w:rsid w:val="00124D58"/>
    <w:rsid w:val="00125580"/>
    <w:rsid w:val="001256FE"/>
    <w:rsid w:val="00125756"/>
    <w:rsid w:val="00133268"/>
    <w:rsid w:val="0013410F"/>
    <w:rsid w:val="00134EC8"/>
    <w:rsid w:val="00137469"/>
    <w:rsid w:val="0014268C"/>
    <w:rsid w:val="00142903"/>
    <w:rsid w:val="00143CE4"/>
    <w:rsid w:val="00144B3F"/>
    <w:rsid w:val="00146548"/>
    <w:rsid w:val="00150494"/>
    <w:rsid w:val="00150771"/>
    <w:rsid w:val="0015099D"/>
    <w:rsid w:val="00151C53"/>
    <w:rsid w:val="00152488"/>
    <w:rsid w:val="001545B5"/>
    <w:rsid w:val="001568CA"/>
    <w:rsid w:val="001608C4"/>
    <w:rsid w:val="001611AC"/>
    <w:rsid w:val="00161892"/>
    <w:rsid w:val="00161A2D"/>
    <w:rsid w:val="00162902"/>
    <w:rsid w:val="00162BE1"/>
    <w:rsid w:val="00162C84"/>
    <w:rsid w:val="00165F36"/>
    <w:rsid w:val="0016739F"/>
    <w:rsid w:val="00170F30"/>
    <w:rsid w:val="0017152B"/>
    <w:rsid w:val="0017162D"/>
    <w:rsid w:val="00172252"/>
    <w:rsid w:val="00174003"/>
    <w:rsid w:val="001746F8"/>
    <w:rsid w:val="001762E5"/>
    <w:rsid w:val="00177E3B"/>
    <w:rsid w:val="001805F0"/>
    <w:rsid w:val="00180926"/>
    <w:rsid w:val="00181A07"/>
    <w:rsid w:val="00182371"/>
    <w:rsid w:val="00183F17"/>
    <w:rsid w:val="001911E5"/>
    <w:rsid w:val="00192B2F"/>
    <w:rsid w:val="00195AFE"/>
    <w:rsid w:val="00195CCB"/>
    <w:rsid w:val="00196838"/>
    <w:rsid w:val="00197553"/>
    <w:rsid w:val="001A0731"/>
    <w:rsid w:val="001A1F9B"/>
    <w:rsid w:val="001A4253"/>
    <w:rsid w:val="001B00A6"/>
    <w:rsid w:val="001B054E"/>
    <w:rsid w:val="001B0867"/>
    <w:rsid w:val="001B1AA5"/>
    <w:rsid w:val="001B1B61"/>
    <w:rsid w:val="001B2B63"/>
    <w:rsid w:val="001B4518"/>
    <w:rsid w:val="001B4B18"/>
    <w:rsid w:val="001B73D8"/>
    <w:rsid w:val="001C2095"/>
    <w:rsid w:val="001C2177"/>
    <w:rsid w:val="001C23E2"/>
    <w:rsid w:val="001C24AD"/>
    <w:rsid w:val="001C2D99"/>
    <w:rsid w:val="001C39D3"/>
    <w:rsid w:val="001C7AFE"/>
    <w:rsid w:val="001D02E2"/>
    <w:rsid w:val="001D27C8"/>
    <w:rsid w:val="001D2C99"/>
    <w:rsid w:val="001D2DFD"/>
    <w:rsid w:val="001D4719"/>
    <w:rsid w:val="001D74E1"/>
    <w:rsid w:val="001E0B1E"/>
    <w:rsid w:val="001E1242"/>
    <w:rsid w:val="001E137E"/>
    <w:rsid w:val="001E20DC"/>
    <w:rsid w:val="001E2114"/>
    <w:rsid w:val="001E21E5"/>
    <w:rsid w:val="001E3CC6"/>
    <w:rsid w:val="001E6A67"/>
    <w:rsid w:val="001E6BD2"/>
    <w:rsid w:val="001E7DD2"/>
    <w:rsid w:val="001F05B4"/>
    <w:rsid w:val="001F1506"/>
    <w:rsid w:val="001F49D0"/>
    <w:rsid w:val="001F7314"/>
    <w:rsid w:val="002007E3"/>
    <w:rsid w:val="00201694"/>
    <w:rsid w:val="0020471F"/>
    <w:rsid w:val="002063B6"/>
    <w:rsid w:val="00207520"/>
    <w:rsid w:val="0020752D"/>
    <w:rsid w:val="00211FD8"/>
    <w:rsid w:val="0021481B"/>
    <w:rsid w:val="00215079"/>
    <w:rsid w:val="00216F6C"/>
    <w:rsid w:val="00217B95"/>
    <w:rsid w:val="00222868"/>
    <w:rsid w:val="0022462D"/>
    <w:rsid w:val="00224F07"/>
    <w:rsid w:val="00226DB6"/>
    <w:rsid w:val="00230407"/>
    <w:rsid w:val="00232D92"/>
    <w:rsid w:val="00233B1C"/>
    <w:rsid w:val="00234477"/>
    <w:rsid w:val="002345C1"/>
    <w:rsid w:val="00235911"/>
    <w:rsid w:val="00235C17"/>
    <w:rsid w:val="00237BF7"/>
    <w:rsid w:val="00240887"/>
    <w:rsid w:val="00241A71"/>
    <w:rsid w:val="00241EEA"/>
    <w:rsid w:val="002441ED"/>
    <w:rsid w:val="00244717"/>
    <w:rsid w:val="00245473"/>
    <w:rsid w:val="0024640D"/>
    <w:rsid w:val="00246576"/>
    <w:rsid w:val="0025057E"/>
    <w:rsid w:val="00250830"/>
    <w:rsid w:val="00254BEF"/>
    <w:rsid w:val="00263BF8"/>
    <w:rsid w:val="002646FC"/>
    <w:rsid w:val="002655F9"/>
    <w:rsid w:val="00267747"/>
    <w:rsid w:val="00267759"/>
    <w:rsid w:val="002724C0"/>
    <w:rsid w:val="00273653"/>
    <w:rsid w:val="002738E4"/>
    <w:rsid w:val="00273F81"/>
    <w:rsid w:val="002741C9"/>
    <w:rsid w:val="002745A5"/>
    <w:rsid w:val="002751CE"/>
    <w:rsid w:val="002765BE"/>
    <w:rsid w:val="00281882"/>
    <w:rsid w:val="00285E37"/>
    <w:rsid w:val="00285FA6"/>
    <w:rsid w:val="00286716"/>
    <w:rsid w:val="0028766A"/>
    <w:rsid w:val="0029087C"/>
    <w:rsid w:val="0029139E"/>
    <w:rsid w:val="0029148B"/>
    <w:rsid w:val="00292264"/>
    <w:rsid w:val="002960E0"/>
    <w:rsid w:val="002A1131"/>
    <w:rsid w:val="002A302B"/>
    <w:rsid w:val="002A6470"/>
    <w:rsid w:val="002A6A6C"/>
    <w:rsid w:val="002B393E"/>
    <w:rsid w:val="002B7D3F"/>
    <w:rsid w:val="002C069B"/>
    <w:rsid w:val="002C0DD3"/>
    <w:rsid w:val="002C304F"/>
    <w:rsid w:val="002C52A3"/>
    <w:rsid w:val="002C6259"/>
    <w:rsid w:val="002C7A57"/>
    <w:rsid w:val="002D08ED"/>
    <w:rsid w:val="002D1683"/>
    <w:rsid w:val="002D28B2"/>
    <w:rsid w:val="002D5B51"/>
    <w:rsid w:val="002D66BB"/>
    <w:rsid w:val="002D6C9B"/>
    <w:rsid w:val="002E4E23"/>
    <w:rsid w:val="002E4E41"/>
    <w:rsid w:val="002E5252"/>
    <w:rsid w:val="002F0C28"/>
    <w:rsid w:val="002F547E"/>
    <w:rsid w:val="002F5DBB"/>
    <w:rsid w:val="002F71E6"/>
    <w:rsid w:val="002F7A30"/>
    <w:rsid w:val="002F7DBE"/>
    <w:rsid w:val="00305680"/>
    <w:rsid w:val="00306FCA"/>
    <w:rsid w:val="00310A7B"/>
    <w:rsid w:val="003130C8"/>
    <w:rsid w:val="003160D1"/>
    <w:rsid w:val="0031661A"/>
    <w:rsid w:val="00320796"/>
    <w:rsid w:val="00321D77"/>
    <w:rsid w:val="00323CCC"/>
    <w:rsid w:val="003257A9"/>
    <w:rsid w:val="003265B3"/>
    <w:rsid w:val="00327FA4"/>
    <w:rsid w:val="00330B93"/>
    <w:rsid w:val="00331E55"/>
    <w:rsid w:val="0033464E"/>
    <w:rsid w:val="00335908"/>
    <w:rsid w:val="00336016"/>
    <w:rsid w:val="00336B91"/>
    <w:rsid w:val="00336F50"/>
    <w:rsid w:val="00337554"/>
    <w:rsid w:val="00340D92"/>
    <w:rsid w:val="00341180"/>
    <w:rsid w:val="00341C2A"/>
    <w:rsid w:val="00343C5F"/>
    <w:rsid w:val="00345443"/>
    <w:rsid w:val="0034731A"/>
    <w:rsid w:val="003522B4"/>
    <w:rsid w:val="003541C2"/>
    <w:rsid w:val="0035789A"/>
    <w:rsid w:val="00360511"/>
    <w:rsid w:val="0036295B"/>
    <w:rsid w:val="00363B8F"/>
    <w:rsid w:val="00365961"/>
    <w:rsid w:val="00366F2D"/>
    <w:rsid w:val="00367224"/>
    <w:rsid w:val="00370F01"/>
    <w:rsid w:val="00371E53"/>
    <w:rsid w:val="003724FB"/>
    <w:rsid w:val="00372C49"/>
    <w:rsid w:val="00375CDD"/>
    <w:rsid w:val="00375E46"/>
    <w:rsid w:val="0038003B"/>
    <w:rsid w:val="00380883"/>
    <w:rsid w:val="00380B42"/>
    <w:rsid w:val="00381A5A"/>
    <w:rsid w:val="00381C2D"/>
    <w:rsid w:val="00386A0D"/>
    <w:rsid w:val="00390C60"/>
    <w:rsid w:val="00391C24"/>
    <w:rsid w:val="00392BFB"/>
    <w:rsid w:val="003938CF"/>
    <w:rsid w:val="00394658"/>
    <w:rsid w:val="003950DD"/>
    <w:rsid w:val="003954D7"/>
    <w:rsid w:val="00395EBC"/>
    <w:rsid w:val="00397BC6"/>
    <w:rsid w:val="003A1159"/>
    <w:rsid w:val="003A4A26"/>
    <w:rsid w:val="003A7757"/>
    <w:rsid w:val="003A78B0"/>
    <w:rsid w:val="003B2047"/>
    <w:rsid w:val="003B281B"/>
    <w:rsid w:val="003B2A64"/>
    <w:rsid w:val="003B38BD"/>
    <w:rsid w:val="003B5465"/>
    <w:rsid w:val="003B6FEA"/>
    <w:rsid w:val="003B7BDF"/>
    <w:rsid w:val="003C1A4F"/>
    <w:rsid w:val="003C3BAD"/>
    <w:rsid w:val="003C4926"/>
    <w:rsid w:val="003C56FE"/>
    <w:rsid w:val="003C7060"/>
    <w:rsid w:val="003C7156"/>
    <w:rsid w:val="003D0077"/>
    <w:rsid w:val="003D1D72"/>
    <w:rsid w:val="003D3A01"/>
    <w:rsid w:val="003D43FA"/>
    <w:rsid w:val="003D68F3"/>
    <w:rsid w:val="003D7034"/>
    <w:rsid w:val="003D7B99"/>
    <w:rsid w:val="003E09B9"/>
    <w:rsid w:val="003E1BC2"/>
    <w:rsid w:val="003E23E6"/>
    <w:rsid w:val="003E3260"/>
    <w:rsid w:val="003E4AB9"/>
    <w:rsid w:val="003E6398"/>
    <w:rsid w:val="003E73DE"/>
    <w:rsid w:val="003E7A4D"/>
    <w:rsid w:val="003F29E2"/>
    <w:rsid w:val="003F42E9"/>
    <w:rsid w:val="00405086"/>
    <w:rsid w:val="00411CB3"/>
    <w:rsid w:val="004124F5"/>
    <w:rsid w:val="00415C14"/>
    <w:rsid w:val="0042178D"/>
    <w:rsid w:val="00423C18"/>
    <w:rsid w:val="00425C71"/>
    <w:rsid w:val="00426E53"/>
    <w:rsid w:val="00427440"/>
    <w:rsid w:val="00427ED2"/>
    <w:rsid w:val="004301DE"/>
    <w:rsid w:val="00434365"/>
    <w:rsid w:val="00434B4E"/>
    <w:rsid w:val="004409B5"/>
    <w:rsid w:val="00440E53"/>
    <w:rsid w:val="00442414"/>
    <w:rsid w:val="004451C7"/>
    <w:rsid w:val="00445E16"/>
    <w:rsid w:val="00447D54"/>
    <w:rsid w:val="00450881"/>
    <w:rsid w:val="004525F0"/>
    <w:rsid w:val="00460366"/>
    <w:rsid w:val="00460DE4"/>
    <w:rsid w:val="00463270"/>
    <w:rsid w:val="0046339C"/>
    <w:rsid w:val="0046577B"/>
    <w:rsid w:val="00465D84"/>
    <w:rsid w:val="00466547"/>
    <w:rsid w:val="0047159A"/>
    <w:rsid w:val="00471BB7"/>
    <w:rsid w:val="004736DE"/>
    <w:rsid w:val="00476379"/>
    <w:rsid w:val="0047658E"/>
    <w:rsid w:val="004767E7"/>
    <w:rsid w:val="00477239"/>
    <w:rsid w:val="00477380"/>
    <w:rsid w:val="00481BC3"/>
    <w:rsid w:val="00481FC6"/>
    <w:rsid w:val="00482CAC"/>
    <w:rsid w:val="00483517"/>
    <w:rsid w:val="00484A6F"/>
    <w:rsid w:val="004861E6"/>
    <w:rsid w:val="0049457E"/>
    <w:rsid w:val="0049732B"/>
    <w:rsid w:val="00497A34"/>
    <w:rsid w:val="004A04A2"/>
    <w:rsid w:val="004A04E2"/>
    <w:rsid w:val="004A0FBF"/>
    <w:rsid w:val="004A1892"/>
    <w:rsid w:val="004A21B7"/>
    <w:rsid w:val="004A42C3"/>
    <w:rsid w:val="004A7116"/>
    <w:rsid w:val="004A72E2"/>
    <w:rsid w:val="004B229D"/>
    <w:rsid w:val="004B29AF"/>
    <w:rsid w:val="004B3E96"/>
    <w:rsid w:val="004B4033"/>
    <w:rsid w:val="004B604B"/>
    <w:rsid w:val="004B6EC4"/>
    <w:rsid w:val="004C0D1A"/>
    <w:rsid w:val="004C125E"/>
    <w:rsid w:val="004C399D"/>
    <w:rsid w:val="004C3BF7"/>
    <w:rsid w:val="004C4B84"/>
    <w:rsid w:val="004C4F54"/>
    <w:rsid w:val="004C7359"/>
    <w:rsid w:val="004D22D4"/>
    <w:rsid w:val="004D361F"/>
    <w:rsid w:val="004D3ACD"/>
    <w:rsid w:val="004D4930"/>
    <w:rsid w:val="004D7758"/>
    <w:rsid w:val="004E293F"/>
    <w:rsid w:val="004E44FE"/>
    <w:rsid w:val="004E5785"/>
    <w:rsid w:val="004E6A3D"/>
    <w:rsid w:val="004F040D"/>
    <w:rsid w:val="004F0462"/>
    <w:rsid w:val="004F0501"/>
    <w:rsid w:val="004F102C"/>
    <w:rsid w:val="004F138E"/>
    <w:rsid w:val="004F2BE8"/>
    <w:rsid w:val="004F39DF"/>
    <w:rsid w:val="004F44CE"/>
    <w:rsid w:val="004F520E"/>
    <w:rsid w:val="00501518"/>
    <w:rsid w:val="005021CF"/>
    <w:rsid w:val="00502488"/>
    <w:rsid w:val="00503D06"/>
    <w:rsid w:val="00504472"/>
    <w:rsid w:val="005045ED"/>
    <w:rsid w:val="0050550C"/>
    <w:rsid w:val="00507CEF"/>
    <w:rsid w:val="00507D8F"/>
    <w:rsid w:val="005100EA"/>
    <w:rsid w:val="00516198"/>
    <w:rsid w:val="00517655"/>
    <w:rsid w:val="005178D4"/>
    <w:rsid w:val="005178E5"/>
    <w:rsid w:val="005200DA"/>
    <w:rsid w:val="00520C98"/>
    <w:rsid w:val="005219F7"/>
    <w:rsid w:val="00522217"/>
    <w:rsid w:val="005226D8"/>
    <w:rsid w:val="00522F4C"/>
    <w:rsid w:val="00525A03"/>
    <w:rsid w:val="0053021D"/>
    <w:rsid w:val="005316C3"/>
    <w:rsid w:val="00540BB9"/>
    <w:rsid w:val="00540C27"/>
    <w:rsid w:val="00541EF4"/>
    <w:rsid w:val="005436E1"/>
    <w:rsid w:val="00544380"/>
    <w:rsid w:val="005449A7"/>
    <w:rsid w:val="005472EB"/>
    <w:rsid w:val="00551E9E"/>
    <w:rsid w:val="0056051F"/>
    <w:rsid w:val="00560F06"/>
    <w:rsid w:val="00562A99"/>
    <w:rsid w:val="005645D2"/>
    <w:rsid w:val="00565E1F"/>
    <w:rsid w:val="00566418"/>
    <w:rsid w:val="00566DB7"/>
    <w:rsid w:val="005674F2"/>
    <w:rsid w:val="00572B13"/>
    <w:rsid w:val="00573673"/>
    <w:rsid w:val="00574A90"/>
    <w:rsid w:val="00575BF6"/>
    <w:rsid w:val="00583B06"/>
    <w:rsid w:val="00587CB3"/>
    <w:rsid w:val="00587F5B"/>
    <w:rsid w:val="00590DF2"/>
    <w:rsid w:val="00591315"/>
    <w:rsid w:val="0059374E"/>
    <w:rsid w:val="005963C1"/>
    <w:rsid w:val="005978D4"/>
    <w:rsid w:val="005A41D3"/>
    <w:rsid w:val="005A4380"/>
    <w:rsid w:val="005A4C69"/>
    <w:rsid w:val="005A6003"/>
    <w:rsid w:val="005A6241"/>
    <w:rsid w:val="005B2E13"/>
    <w:rsid w:val="005B3629"/>
    <w:rsid w:val="005B3F67"/>
    <w:rsid w:val="005B4824"/>
    <w:rsid w:val="005B4850"/>
    <w:rsid w:val="005B4D37"/>
    <w:rsid w:val="005B5924"/>
    <w:rsid w:val="005B723E"/>
    <w:rsid w:val="005C2532"/>
    <w:rsid w:val="005C2918"/>
    <w:rsid w:val="005C2FCA"/>
    <w:rsid w:val="005C3A9B"/>
    <w:rsid w:val="005C3CAD"/>
    <w:rsid w:val="005C5E9C"/>
    <w:rsid w:val="005C7336"/>
    <w:rsid w:val="005D0906"/>
    <w:rsid w:val="005D1196"/>
    <w:rsid w:val="005D3233"/>
    <w:rsid w:val="005D48C7"/>
    <w:rsid w:val="005D4993"/>
    <w:rsid w:val="005D7EE2"/>
    <w:rsid w:val="005E14FF"/>
    <w:rsid w:val="005E33F0"/>
    <w:rsid w:val="005E5FDC"/>
    <w:rsid w:val="005E6E69"/>
    <w:rsid w:val="005E764C"/>
    <w:rsid w:val="005F0F8B"/>
    <w:rsid w:val="005F15C1"/>
    <w:rsid w:val="005F18DD"/>
    <w:rsid w:val="005F296D"/>
    <w:rsid w:val="005F299E"/>
    <w:rsid w:val="005F4A7C"/>
    <w:rsid w:val="005F5F37"/>
    <w:rsid w:val="005F69A8"/>
    <w:rsid w:val="005F7FAD"/>
    <w:rsid w:val="00600064"/>
    <w:rsid w:val="0060209F"/>
    <w:rsid w:val="0060249B"/>
    <w:rsid w:val="00604735"/>
    <w:rsid w:val="0060716D"/>
    <w:rsid w:val="00610D06"/>
    <w:rsid w:val="006114D2"/>
    <w:rsid w:val="00612C8F"/>
    <w:rsid w:val="0061503A"/>
    <w:rsid w:val="0061673D"/>
    <w:rsid w:val="00617436"/>
    <w:rsid w:val="006202CD"/>
    <w:rsid w:val="006228AB"/>
    <w:rsid w:val="00622AB0"/>
    <w:rsid w:val="00624BBC"/>
    <w:rsid w:val="00624FB0"/>
    <w:rsid w:val="006255FC"/>
    <w:rsid w:val="006267F3"/>
    <w:rsid w:val="00627C51"/>
    <w:rsid w:val="006325D3"/>
    <w:rsid w:val="00632CE1"/>
    <w:rsid w:val="00633F11"/>
    <w:rsid w:val="0063601C"/>
    <w:rsid w:val="00636160"/>
    <w:rsid w:val="00637719"/>
    <w:rsid w:val="0064266D"/>
    <w:rsid w:val="0064433B"/>
    <w:rsid w:val="00644D22"/>
    <w:rsid w:val="00646CB5"/>
    <w:rsid w:val="006470C1"/>
    <w:rsid w:val="00650FF5"/>
    <w:rsid w:val="0065284A"/>
    <w:rsid w:val="00653514"/>
    <w:rsid w:val="00653A34"/>
    <w:rsid w:val="00653A95"/>
    <w:rsid w:val="006556F3"/>
    <w:rsid w:val="006561E4"/>
    <w:rsid w:val="0066117D"/>
    <w:rsid w:val="00662069"/>
    <w:rsid w:val="006622D1"/>
    <w:rsid w:val="00662E83"/>
    <w:rsid w:val="00663F84"/>
    <w:rsid w:val="0066691E"/>
    <w:rsid w:val="00670150"/>
    <w:rsid w:val="00670D84"/>
    <w:rsid w:val="006759AB"/>
    <w:rsid w:val="00675BAC"/>
    <w:rsid w:val="00681432"/>
    <w:rsid w:val="0068278D"/>
    <w:rsid w:val="00684F0E"/>
    <w:rsid w:val="00686D8F"/>
    <w:rsid w:val="006909B5"/>
    <w:rsid w:val="00691F8E"/>
    <w:rsid w:val="00693D99"/>
    <w:rsid w:val="0069457E"/>
    <w:rsid w:val="00694DAB"/>
    <w:rsid w:val="006963CA"/>
    <w:rsid w:val="00697211"/>
    <w:rsid w:val="006A0A82"/>
    <w:rsid w:val="006A0C66"/>
    <w:rsid w:val="006A1262"/>
    <w:rsid w:val="006A29AB"/>
    <w:rsid w:val="006A3D51"/>
    <w:rsid w:val="006A3F87"/>
    <w:rsid w:val="006A586A"/>
    <w:rsid w:val="006A5E72"/>
    <w:rsid w:val="006A6525"/>
    <w:rsid w:val="006A6BEB"/>
    <w:rsid w:val="006A6E14"/>
    <w:rsid w:val="006B0D63"/>
    <w:rsid w:val="006B11F6"/>
    <w:rsid w:val="006B144E"/>
    <w:rsid w:val="006B2A6C"/>
    <w:rsid w:val="006B2CBE"/>
    <w:rsid w:val="006B36FA"/>
    <w:rsid w:val="006B62CF"/>
    <w:rsid w:val="006B65FF"/>
    <w:rsid w:val="006B7FEE"/>
    <w:rsid w:val="006C0A0D"/>
    <w:rsid w:val="006C200C"/>
    <w:rsid w:val="006C2F12"/>
    <w:rsid w:val="006C3D62"/>
    <w:rsid w:val="006C3DA9"/>
    <w:rsid w:val="006C584A"/>
    <w:rsid w:val="006C652D"/>
    <w:rsid w:val="006C77F6"/>
    <w:rsid w:val="006D069F"/>
    <w:rsid w:val="006D085D"/>
    <w:rsid w:val="006D5904"/>
    <w:rsid w:val="006D62FC"/>
    <w:rsid w:val="006D640A"/>
    <w:rsid w:val="006E00D8"/>
    <w:rsid w:val="006E20C9"/>
    <w:rsid w:val="006E2878"/>
    <w:rsid w:val="006E2EC2"/>
    <w:rsid w:val="006F0947"/>
    <w:rsid w:val="006F0BF4"/>
    <w:rsid w:val="006F0CD5"/>
    <w:rsid w:val="006F1678"/>
    <w:rsid w:val="006F4326"/>
    <w:rsid w:val="006F5A61"/>
    <w:rsid w:val="006F7435"/>
    <w:rsid w:val="006F7968"/>
    <w:rsid w:val="00700A68"/>
    <w:rsid w:val="00701048"/>
    <w:rsid w:val="00701F22"/>
    <w:rsid w:val="00702D67"/>
    <w:rsid w:val="00704B6B"/>
    <w:rsid w:val="00704DB1"/>
    <w:rsid w:val="007050F9"/>
    <w:rsid w:val="00705BF3"/>
    <w:rsid w:val="0070698B"/>
    <w:rsid w:val="007076F3"/>
    <w:rsid w:val="007102FD"/>
    <w:rsid w:val="00710353"/>
    <w:rsid w:val="00710683"/>
    <w:rsid w:val="00710D3A"/>
    <w:rsid w:val="00715CE7"/>
    <w:rsid w:val="007167C0"/>
    <w:rsid w:val="0071688F"/>
    <w:rsid w:val="0071742C"/>
    <w:rsid w:val="00717D53"/>
    <w:rsid w:val="0072094B"/>
    <w:rsid w:val="00720B3E"/>
    <w:rsid w:val="0072217E"/>
    <w:rsid w:val="00723FB3"/>
    <w:rsid w:val="0072728B"/>
    <w:rsid w:val="00730395"/>
    <w:rsid w:val="007328C1"/>
    <w:rsid w:val="00733439"/>
    <w:rsid w:val="007340CB"/>
    <w:rsid w:val="00735039"/>
    <w:rsid w:val="007358A1"/>
    <w:rsid w:val="00735B8C"/>
    <w:rsid w:val="00737304"/>
    <w:rsid w:val="00737386"/>
    <w:rsid w:val="007402FE"/>
    <w:rsid w:val="00741DB1"/>
    <w:rsid w:val="007431D3"/>
    <w:rsid w:val="00743F8D"/>
    <w:rsid w:val="007446DB"/>
    <w:rsid w:val="00750EB0"/>
    <w:rsid w:val="00751306"/>
    <w:rsid w:val="00754B21"/>
    <w:rsid w:val="00757856"/>
    <w:rsid w:val="007663B4"/>
    <w:rsid w:val="007700CD"/>
    <w:rsid w:val="00772AC3"/>
    <w:rsid w:val="00772AF9"/>
    <w:rsid w:val="007737E9"/>
    <w:rsid w:val="00777AF5"/>
    <w:rsid w:val="0078286C"/>
    <w:rsid w:val="00782B83"/>
    <w:rsid w:val="00785050"/>
    <w:rsid w:val="007858CC"/>
    <w:rsid w:val="00787501"/>
    <w:rsid w:val="00787CCD"/>
    <w:rsid w:val="00790221"/>
    <w:rsid w:val="007918E8"/>
    <w:rsid w:val="007919D3"/>
    <w:rsid w:val="00791CC5"/>
    <w:rsid w:val="00793E8B"/>
    <w:rsid w:val="007949FD"/>
    <w:rsid w:val="00794CBB"/>
    <w:rsid w:val="00796A08"/>
    <w:rsid w:val="007971E1"/>
    <w:rsid w:val="007A1F1C"/>
    <w:rsid w:val="007A2B8A"/>
    <w:rsid w:val="007A7A94"/>
    <w:rsid w:val="007B0488"/>
    <w:rsid w:val="007B04EE"/>
    <w:rsid w:val="007B2D56"/>
    <w:rsid w:val="007B4F36"/>
    <w:rsid w:val="007B76D4"/>
    <w:rsid w:val="007C4B35"/>
    <w:rsid w:val="007C77A0"/>
    <w:rsid w:val="007D2212"/>
    <w:rsid w:val="007D2EE3"/>
    <w:rsid w:val="007D4E06"/>
    <w:rsid w:val="007D689D"/>
    <w:rsid w:val="007D79E7"/>
    <w:rsid w:val="007E0FB8"/>
    <w:rsid w:val="007E2E0D"/>
    <w:rsid w:val="007E3500"/>
    <w:rsid w:val="007E504A"/>
    <w:rsid w:val="007E5A6E"/>
    <w:rsid w:val="007E6DF6"/>
    <w:rsid w:val="007E7265"/>
    <w:rsid w:val="007E755F"/>
    <w:rsid w:val="007E7AA7"/>
    <w:rsid w:val="007E7C0F"/>
    <w:rsid w:val="007E7FC2"/>
    <w:rsid w:val="007F0100"/>
    <w:rsid w:val="007F33E0"/>
    <w:rsid w:val="007F4C71"/>
    <w:rsid w:val="007F5798"/>
    <w:rsid w:val="007F59A9"/>
    <w:rsid w:val="007F6635"/>
    <w:rsid w:val="007F6D56"/>
    <w:rsid w:val="00801C32"/>
    <w:rsid w:val="00801F3B"/>
    <w:rsid w:val="00802387"/>
    <w:rsid w:val="00803F83"/>
    <w:rsid w:val="008041EB"/>
    <w:rsid w:val="00806C93"/>
    <w:rsid w:val="00806F7E"/>
    <w:rsid w:val="00807883"/>
    <w:rsid w:val="00811655"/>
    <w:rsid w:val="00811721"/>
    <w:rsid w:val="00813073"/>
    <w:rsid w:val="008136D6"/>
    <w:rsid w:val="0081378A"/>
    <w:rsid w:val="00814C46"/>
    <w:rsid w:val="00814CB3"/>
    <w:rsid w:val="00814D65"/>
    <w:rsid w:val="0081612B"/>
    <w:rsid w:val="00816ADF"/>
    <w:rsid w:val="0081798F"/>
    <w:rsid w:val="00817F1B"/>
    <w:rsid w:val="00820478"/>
    <w:rsid w:val="0082189C"/>
    <w:rsid w:val="0082226B"/>
    <w:rsid w:val="00824C3E"/>
    <w:rsid w:val="008261CC"/>
    <w:rsid w:val="008276CE"/>
    <w:rsid w:val="008340DE"/>
    <w:rsid w:val="00834F83"/>
    <w:rsid w:val="00835D8D"/>
    <w:rsid w:val="008364D2"/>
    <w:rsid w:val="0083788D"/>
    <w:rsid w:val="00840FFE"/>
    <w:rsid w:val="00841CF0"/>
    <w:rsid w:val="0084396C"/>
    <w:rsid w:val="00843F6B"/>
    <w:rsid w:val="008453BD"/>
    <w:rsid w:val="0084635C"/>
    <w:rsid w:val="00847763"/>
    <w:rsid w:val="00851CF8"/>
    <w:rsid w:val="008536B6"/>
    <w:rsid w:val="008626AE"/>
    <w:rsid w:val="00865266"/>
    <w:rsid w:val="00870842"/>
    <w:rsid w:val="00870B87"/>
    <w:rsid w:val="0087112C"/>
    <w:rsid w:val="00871C92"/>
    <w:rsid w:val="00872561"/>
    <w:rsid w:val="00872DFF"/>
    <w:rsid w:val="008747EB"/>
    <w:rsid w:val="00880028"/>
    <w:rsid w:val="00881267"/>
    <w:rsid w:val="0088166C"/>
    <w:rsid w:val="008850B8"/>
    <w:rsid w:val="00886F46"/>
    <w:rsid w:val="008909EA"/>
    <w:rsid w:val="0089269D"/>
    <w:rsid w:val="008929AB"/>
    <w:rsid w:val="00892D1F"/>
    <w:rsid w:val="00894E69"/>
    <w:rsid w:val="008A1195"/>
    <w:rsid w:val="008A1821"/>
    <w:rsid w:val="008A58F7"/>
    <w:rsid w:val="008A5B6E"/>
    <w:rsid w:val="008A5E46"/>
    <w:rsid w:val="008A5F1E"/>
    <w:rsid w:val="008A79D4"/>
    <w:rsid w:val="008B25F5"/>
    <w:rsid w:val="008B2D46"/>
    <w:rsid w:val="008B2F84"/>
    <w:rsid w:val="008B4AB1"/>
    <w:rsid w:val="008C06DB"/>
    <w:rsid w:val="008C0C88"/>
    <w:rsid w:val="008C0DFD"/>
    <w:rsid w:val="008C41CF"/>
    <w:rsid w:val="008C4A05"/>
    <w:rsid w:val="008C69E2"/>
    <w:rsid w:val="008C791A"/>
    <w:rsid w:val="008D0664"/>
    <w:rsid w:val="008D0C8E"/>
    <w:rsid w:val="008D1552"/>
    <w:rsid w:val="008D7EA4"/>
    <w:rsid w:val="008E1E63"/>
    <w:rsid w:val="008E208F"/>
    <w:rsid w:val="008E2B92"/>
    <w:rsid w:val="008E7109"/>
    <w:rsid w:val="008E75E9"/>
    <w:rsid w:val="008E7925"/>
    <w:rsid w:val="008F05F2"/>
    <w:rsid w:val="008F0E1C"/>
    <w:rsid w:val="008F48D8"/>
    <w:rsid w:val="008F7F58"/>
    <w:rsid w:val="0090171A"/>
    <w:rsid w:val="00902E13"/>
    <w:rsid w:val="00905617"/>
    <w:rsid w:val="00907730"/>
    <w:rsid w:val="009104D8"/>
    <w:rsid w:val="00912A54"/>
    <w:rsid w:val="00921615"/>
    <w:rsid w:val="00921DA5"/>
    <w:rsid w:val="0092322F"/>
    <w:rsid w:val="00923734"/>
    <w:rsid w:val="009237FB"/>
    <w:rsid w:val="009243D5"/>
    <w:rsid w:val="00932069"/>
    <w:rsid w:val="0093526D"/>
    <w:rsid w:val="009413C9"/>
    <w:rsid w:val="00941448"/>
    <w:rsid w:val="00941B1C"/>
    <w:rsid w:val="00942D48"/>
    <w:rsid w:val="009441B7"/>
    <w:rsid w:val="00947A92"/>
    <w:rsid w:val="00950A21"/>
    <w:rsid w:val="0095227A"/>
    <w:rsid w:val="0096229A"/>
    <w:rsid w:val="00962F1F"/>
    <w:rsid w:val="00964426"/>
    <w:rsid w:val="009649FF"/>
    <w:rsid w:val="00966599"/>
    <w:rsid w:val="0096732B"/>
    <w:rsid w:val="00967AAA"/>
    <w:rsid w:val="00970832"/>
    <w:rsid w:val="0097131B"/>
    <w:rsid w:val="00971463"/>
    <w:rsid w:val="00971649"/>
    <w:rsid w:val="009731AA"/>
    <w:rsid w:val="009754DC"/>
    <w:rsid w:val="00982217"/>
    <w:rsid w:val="0098269C"/>
    <w:rsid w:val="00983016"/>
    <w:rsid w:val="00984A38"/>
    <w:rsid w:val="00987057"/>
    <w:rsid w:val="009879E4"/>
    <w:rsid w:val="00990C80"/>
    <w:rsid w:val="00991382"/>
    <w:rsid w:val="00993E31"/>
    <w:rsid w:val="00994CD8"/>
    <w:rsid w:val="0099517C"/>
    <w:rsid w:val="0099785D"/>
    <w:rsid w:val="00997AAD"/>
    <w:rsid w:val="00997DE7"/>
    <w:rsid w:val="009A101A"/>
    <w:rsid w:val="009A2D1A"/>
    <w:rsid w:val="009A4B1D"/>
    <w:rsid w:val="009A585D"/>
    <w:rsid w:val="009A602A"/>
    <w:rsid w:val="009A62CE"/>
    <w:rsid w:val="009B07B3"/>
    <w:rsid w:val="009B3A1B"/>
    <w:rsid w:val="009B446B"/>
    <w:rsid w:val="009B4BA0"/>
    <w:rsid w:val="009B50FC"/>
    <w:rsid w:val="009B61AD"/>
    <w:rsid w:val="009B6B1F"/>
    <w:rsid w:val="009B7012"/>
    <w:rsid w:val="009C0022"/>
    <w:rsid w:val="009C0AD2"/>
    <w:rsid w:val="009C1069"/>
    <w:rsid w:val="009C1273"/>
    <w:rsid w:val="009C35AE"/>
    <w:rsid w:val="009C3F13"/>
    <w:rsid w:val="009C5A4F"/>
    <w:rsid w:val="009D0B3D"/>
    <w:rsid w:val="009D2AE5"/>
    <w:rsid w:val="009D41FB"/>
    <w:rsid w:val="009D5A09"/>
    <w:rsid w:val="009D6868"/>
    <w:rsid w:val="009D706E"/>
    <w:rsid w:val="009E1A5F"/>
    <w:rsid w:val="009E1B8F"/>
    <w:rsid w:val="009E344D"/>
    <w:rsid w:val="009E4EBB"/>
    <w:rsid w:val="009E4FDD"/>
    <w:rsid w:val="009E524A"/>
    <w:rsid w:val="009E5836"/>
    <w:rsid w:val="009E62B4"/>
    <w:rsid w:val="009E639F"/>
    <w:rsid w:val="009E6B8A"/>
    <w:rsid w:val="009E74F3"/>
    <w:rsid w:val="009F0D22"/>
    <w:rsid w:val="009F16A3"/>
    <w:rsid w:val="009F399F"/>
    <w:rsid w:val="009F6B80"/>
    <w:rsid w:val="00A00FCC"/>
    <w:rsid w:val="00A02C9D"/>
    <w:rsid w:val="00A03248"/>
    <w:rsid w:val="00A04770"/>
    <w:rsid w:val="00A050E4"/>
    <w:rsid w:val="00A06BDA"/>
    <w:rsid w:val="00A104B1"/>
    <w:rsid w:val="00A14C18"/>
    <w:rsid w:val="00A167E4"/>
    <w:rsid w:val="00A21811"/>
    <w:rsid w:val="00A22479"/>
    <w:rsid w:val="00A231F9"/>
    <w:rsid w:val="00A25FF2"/>
    <w:rsid w:val="00A26896"/>
    <w:rsid w:val="00A2689F"/>
    <w:rsid w:val="00A26FD2"/>
    <w:rsid w:val="00A31169"/>
    <w:rsid w:val="00A321E2"/>
    <w:rsid w:val="00A34D14"/>
    <w:rsid w:val="00A34DB6"/>
    <w:rsid w:val="00A34E15"/>
    <w:rsid w:val="00A366A1"/>
    <w:rsid w:val="00A4250F"/>
    <w:rsid w:val="00A4364D"/>
    <w:rsid w:val="00A462C9"/>
    <w:rsid w:val="00A46C40"/>
    <w:rsid w:val="00A47801"/>
    <w:rsid w:val="00A505AE"/>
    <w:rsid w:val="00A510AD"/>
    <w:rsid w:val="00A52014"/>
    <w:rsid w:val="00A52F16"/>
    <w:rsid w:val="00A53801"/>
    <w:rsid w:val="00A554D9"/>
    <w:rsid w:val="00A61EA2"/>
    <w:rsid w:val="00A6362D"/>
    <w:rsid w:val="00A655C3"/>
    <w:rsid w:val="00A65998"/>
    <w:rsid w:val="00A65B62"/>
    <w:rsid w:val="00A668A2"/>
    <w:rsid w:val="00A67F6E"/>
    <w:rsid w:val="00A70DEB"/>
    <w:rsid w:val="00A71F68"/>
    <w:rsid w:val="00A72707"/>
    <w:rsid w:val="00A73293"/>
    <w:rsid w:val="00A7343E"/>
    <w:rsid w:val="00A73722"/>
    <w:rsid w:val="00A74C9C"/>
    <w:rsid w:val="00A74CBB"/>
    <w:rsid w:val="00A75E64"/>
    <w:rsid w:val="00A75FF6"/>
    <w:rsid w:val="00A7614B"/>
    <w:rsid w:val="00A76798"/>
    <w:rsid w:val="00A82F99"/>
    <w:rsid w:val="00A83BC9"/>
    <w:rsid w:val="00A876ED"/>
    <w:rsid w:val="00A87CF2"/>
    <w:rsid w:val="00A93BC8"/>
    <w:rsid w:val="00A97F46"/>
    <w:rsid w:val="00AA0A23"/>
    <w:rsid w:val="00AA0F8E"/>
    <w:rsid w:val="00AA21C3"/>
    <w:rsid w:val="00AA3EED"/>
    <w:rsid w:val="00AA50FA"/>
    <w:rsid w:val="00AA5F6D"/>
    <w:rsid w:val="00AA6192"/>
    <w:rsid w:val="00AA727C"/>
    <w:rsid w:val="00AA77E5"/>
    <w:rsid w:val="00AB238D"/>
    <w:rsid w:val="00AB2FD4"/>
    <w:rsid w:val="00AB59BA"/>
    <w:rsid w:val="00AB5BE8"/>
    <w:rsid w:val="00AB790D"/>
    <w:rsid w:val="00AC18F5"/>
    <w:rsid w:val="00AC360A"/>
    <w:rsid w:val="00AC6B66"/>
    <w:rsid w:val="00AC6FAF"/>
    <w:rsid w:val="00AC70E6"/>
    <w:rsid w:val="00AC72D8"/>
    <w:rsid w:val="00AD1C2B"/>
    <w:rsid w:val="00AD4F1A"/>
    <w:rsid w:val="00AD55FC"/>
    <w:rsid w:val="00AD6524"/>
    <w:rsid w:val="00AE21C3"/>
    <w:rsid w:val="00AE287D"/>
    <w:rsid w:val="00AE2B68"/>
    <w:rsid w:val="00AE4C5C"/>
    <w:rsid w:val="00AE5578"/>
    <w:rsid w:val="00AF17E8"/>
    <w:rsid w:val="00AF2FB8"/>
    <w:rsid w:val="00AF3595"/>
    <w:rsid w:val="00AF3EEF"/>
    <w:rsid w:val="00AF4B99"/>
    <w:rsid w:val="00AF5CE4"/>
    <w:rsid w:val="00B007C3"/>
    <w:rsid w:val="00B02BEC"/>
    <w:rsid w:val="00B05093"/>
    <w:rsid w:val="00B055B7"/>
    <w:rsid w:val="00B055E2"/>
    <w:rsid w:val="00B1014D"/>
    <w:rsid w:val="00B10B05"/>
    <w:rsid w:val="00B1235C"/>
    <w:rsid w:val="00B123FE"/>
    <w:rsid w:val="00B171C6"/>
    <w:rsid w:val="00B17CFE"/>
    <w:rsid w:val="00B235A1"/>
    <w:rsid w:val="00B25AF3"/>
    <w:rsid w:val="00B26D7B"/>
    <w:rsid w:val="00B313F2"/>
    <w:rsid w:val="00B31619"/>
    <w:rsid w:val="00B359A8"/>
    <w:rsid w:val="00B40F76"/>
    <w:rsid w:val="00B42BFF"/>
    <w:rsid w:val="00B44D38"/>
    <w:rsid w:val="00B45A0E"/>
    <w:rsid w:val="00B45EB8"/>
    <w:rsid w:val="00B45F4B"/>
    <w:rsid w:val="00B46757"/>
    <w:rsid w:val="00B468E3"/>
    <w:rsid w:val="00B47645"/>
    <w:rsid w:val="00B50CFB"/>
    <w:rsid w:val="00B52E83"/>
    <w:rsid w:val="00B547D8"/>
    <w:rsid w:val="00B570B8"/>
    <w:rsid w:val="00B627FF"/>
    <w:rsid w:val="00B6285B"/>
    <w:rsid w:val="00B62C8E"/>
    <w:rsid w:val="00B635DC"/>
    <w:rsid w:val="00B63A4F"/>
    <w:rsid w:val="00B63C1C"/>
    <w:rsid w:val="00B646DF"/>
    <w:rsid w:val="00B64E7D"/>
    <w:rsid w:val="00B672B9"/>
    <w:rsid w:val="00B67AF3"/>
    <w:rsid w:val="00B7249B"/>
    <w:rsid w:val="00B7607F"/>
    <w:rsid w:val="00B76FB9"/>
    <w:rsid w:val="00B82924"/>
    <w:rsid w:val="00B836B1"/>
    <w:rsid w:val="00B850B5"/>
    <w:rsid w:val="00B86357"/>
    <w:rsid w:val="00B87106"/>
    <w:rsid w:val="00B87903"/>
    <w:rsid w:val="00B9115E"/>
    <w:rsid w:val="00B9405C"/>
    <w:rsid w:val="00B95B49"/>
    <w:rsid w:val="00BA054A"/>
    <w:rsid w:val="00BA1757"/>
    <w:rsid w:val="00BA38B2"/>
    <w:rsid w:val="00BA421B"/>
    <w:rsid w:val="00BA5A9A"/>
    <w:rsid w:val="00BA6D0B"/>
    <w:rsid w:val="00BA7B6C"/>
    <w:rsid w:val="00BB00C1"/>
    <w:rsid w:val="00BB0774"/>
    <w:rsid w:val="00BB2BF7"/>
    <w:rsid w:val="00BB4326"/>
    <w:rsid w:val="00BB44D1"/>
    <w:rsid w:val="00BB562E"/>
    <w:rsid w:val="00BB62DF"/>
    <w:rsid w:val="00BB77E9"/>
    <w:rsid w:val="00BC0412"/>
    <w:rsid w:val="00BC0564"/>
    <w:rsid w:val="00BC0ADD"/>
    <w:rsid w:val="00BC0BF5"/>
    <w:rsid w:val="00BC2EC5"/>
    <w:rsid w:val="00BC5016"/>
    <w:rsid w:val="00BC536E"/>
    <w:rsid w:val="00BC653D"/>
    <w:rsid w:val="00BD60E9"/>
    <w:rsid w:val="00BD659C"/>
    <w:rsid w:val="00BD798A"/>
    <w:rsid w:val="00BE0431"/>
    <w:rsid w:val="00BE07F8"/>
    <w:rsid w:val="00BE2D3B"/>
    <w:rsid w:val="00BE48EE"/>
    <w:rsid w:val="00BE4CBE"/>
    <w:rsid w:val="00BE5719"/>
    <w:rsid w:val="00BE7649"/>
    <w:rsid w:val="00BF0B17"/>
    <w:rsid w:val="00BF1D09"/>
    <w:rsid w:val="00BF1D53"/>
    <w:rsid w:val="00BF3BD3"/>
    <w:rsid w:val="00BF47E8"/>
    <w:rsid w:val="00BF4993"/>
    <w:rsid w:val="00BF7ED9"/>
    <w:rsid w:val="00C02B04"/>
    <w:rsid w:val="00C0614A"/>
    <w:rsid w:val="00C06D29"/>
    <w:rsid w:val="00C07C27"/>
    <w:rsid w:val="00C1113B"/>
    <w:rsid w:val="00C13044"/>
    <w:rsid w:val="00C156AE"/>
    <w:rsid w:val="00C207E9"/>
    <w:rsid w:val="00C21E9B"/>
    <w:rsid w:val="00C22F73"/>
    <w:rsid w:val="00C2303B"/>
    <w:rsid w:val="00C278D7"/>
    <w:rsid w:val="00C27D4D"/>
    <w:rsid w:val="00C27D60"/>
    <w:rsid w:val="00C27E79"/>
    <w:rsid w:val="00C311C8"/>
    <w:rsid w:val="00C3574E"/>
    <w:rsid w:val="00C35BC1"/>
    <w:rsid w:val="00C366AF"/>
    <w:rsid w:val="00C379AC"/>
    <w:rsid w:val="00C4054A"/>
    <w:rsid w:val="00C4068B"/>
    <w:rsid w:val="00C4138F"/>
    <w:rsid w:val="00C41D8D"/>
    <w:rsid w:val="00C41DF4"/>
    <w:rsid w:val="00C43E58"/>
    <w:rsid w:val="00C44266"/>
    <w:rsid w:val="00C4455A"/>
    <w:rsid w:val="00C502A8"/>
    <w:rsid w:val="00C50C30"/>
    <w:rsid w:val="00C52778"/>
    <w:rsid w:val="00C5284E"/>
    <w:rsid w:val="00C52AC7"/>
    <w:rsid w:val="00C53076"/>
    <w:rsid w:val="00C56448"/>
    <w:rsid w:val="00C606BE"/>
    <w:rsid w:val="00C61C53"/>
    <w:rsid w:val="00C623FF"/>
    <w:rsid w:val="00C63A83"/>
    <w:rsid w:val="00C6509C"/>
    <w:rsid w:val="00C65456"/>
    <w:rsid w:val="00C6673B"/>
    <w:rsid w:val="00C706DB"/>
    <w:rsid w:val="00C71EE1"/>
    <w:rsid w:val="00C722B6"/>
    <w:rsid w:val="00C72613"/>
    <w:rsid w:val="00C74372"/>
    <w:rsid w:val="00C760F9"/>
    <w:rsid w:val="00C763CD"/>
    <w:rsid w:val="00C76708"/>
    <w:rsid w:val="00C777DB"/>
    <w:rsid w:val="00C857E0"/>
    <w:rsid w:val="00C85D46"/>
    <w:rsid w:val="00C86AC8"/>
    <w:rsid w:val="00C86F7D"/>
    <w:rsid w:val="00C87095"/>
    <w:rsid w:val="00C925AB"/>
    <w:rsid w:val="00C925AF"/>
    <w:rsid w:val="00C92EA2"/>
    <w:rsid w:val="00C92F04"/>
    <w:rsid w:val="00C93C5D"/>
    <w:rsid w:val="00C953C1"/>
    <w:rsid w:val="00C95649"/>
    <w:rsid w:val="00C96096"/>
    <w:rsid w:val="00C970C8"/>
    <w:rsid w:val="00CA0FD2"/>
    <w:rsid w:val="00CA2AA3"/>
    <w:rsid w:val="00CA2B71"/>
    <w:rsid w:val="00CA38C9"/>
    <w:rsid w:val="00CA56B1"/>
    <w:rsid w:val="00CA60D7"/>
    <w:rsid w:val="00CB014E"/>
    <w:rsid w:val="00CB0454"/>
    <w:rsid w:val="00CB13DC"/>
    <w:rsid w:val="00CB277E"/>
    <w:rsid w:val="00CB2F79"/>
    <w:rsid w:val="00CB6AD0"/>
    <w:rsid w:val="00CB6F6E"/>
    <w:rsid w:val="00CB73D6"/>
    <w:rsid w:val="00CC135F"/>
    <w:rsid w:val="00CC33BB"/>
    <w:rsid w:val="00CC404C"/>
    <w:rsid w:val="00CC4643"/>
    <w:rsid w:val="00CD17CC"/>
    <w:rsid w:val="00CD29BE"/>
    <w:rsid w:val="00CD3DF3"/>
    <w:rsid w:val="00CD4954"/>
    <w:rsid w:val="00CD4D21"/>
    <w:rsid w:val="00CD6847"/>
    <w:rsid w:val="00CD6F09"/>
    <w:rsid w:val="00CD73E8"/>
    <w:rsid w:val="00CE0F81"/>
    <w:rsid w:val="00CE0FDC"/>
    <w:rsid w:val="00CE4B38"/>
    <w:rsid w:val="00CE4EA0"/>
    <w:rsid w:val="00CE7035"/>
    <w:rsid w:val="00CE7373"/>
    <w:rsid w:val="00CF135B"/>
    <w:rsid w:val="00CF19E3"/>
    <w:rsid w:val="00CF2ADD"/>
    <w:rsid w:val="00CF457E"/>
    <w:rsid w:val="00D0333D"/>
    <w:rsid w:val="00D03EDF"/>
    <w:rsid w:val="00D0444C"/>
    <w:rsid w:val="00D04D04"/>
    <w:rsid w:val="00D05A32"/>
    <w:rsid w:val="00D069B1"/>
    <w:rsid w:val="00D06FA1"/>
    <w:rsid w:val="00D070B5"/>
    <w:rsid w:val="00D07301"/>
    <w:rsid w:val="00D108D6"/>
    <w:rsid w:val="00D1277D"/>
    <w:rsid w:val="00D161B0"/>
    <w:rsid w:val="00D22D31"/>
    <w:rsid w:val="00D23405"/>
    <w:rsid w:val="00D251EA"/>
    <w:rsid w:val="00D25C59"/>
    <w:rsid w:val="00D26949"/>
    <w:rsid w:val="00D26C68"/>
    <w:rsid w:val="00D319AD"/>
    <w:rsid w:val="00D3251C"/>
    <w:rsid w:val="00D33173"/>
    <w:rsid w:val="00D34D8E"/>
    <w:rsid w:val="00D35789"/>
    <w:rsid w:val="00D37590"/>
    <w:rsid w:val="00D40BA9"/>
    <w:rsid w:val="00D41DAA"/>
    <w:rsid w:val="00D42128"/>
    <w:rsid w:val="00D4273D"/>
    <w:rsid w:val="00D43B1E"/>
    <w:rsid w:val="00D52599"/>
    <w:rsid w:val="00D541C3"/>
    <w:rsid w:val="00D56B23"/>
    <w:rsid w:val="00D62DF4"/>
    <w:rsid w:val="00D6428E"/>
    <w:rsid w:val="00D64836"/>
    <w:rsid w:val="00D6670B"/>
    <w:rsid w:val="00D67223"/>
    <w:rsid w:val="00D67DA6"/>
    <w:rsid w:val="00D730A2"/>
    <w:rsid w:val="00D74139"/>
    <w:rsid w:val="00D77E24"/>
    <w:rsid w:val="00D809FD"/>
    <w:rsid w:val="00D82691"/>
    <w:rsid w:val="00D82D9A"/>
    <w:rsid w:val="00D838E6"/>
    <w:rsid w:val="00D84256"/>
    <w:rsid w:val="00D84E39"/>
    <w:rsid w:val="00D854E0"/>
    <w:rsid w:val="00D865EE"/>
    <w:rsid w:val="00D8712B"/>
    <w:rsid w:val="00D87D20"/>
    <w:rsid w:val="00D87ED4"/>
    <w:rsid w:val="00D90B4E"/>
    <w:rsid w:val="00D93C63"/>
    <w:rsid w:val="00D94D9F"/>
    <w:rsid w:val="00DA1DD2"/>
    <w:rsid w:val="00DA4061"/>
    <w:rsid w:val="00DA58B4"/>
    <w:rsid w:val="00DA63AC"/>
    <w:rsid w:val="00DA6B81"/>
    <w:rsid w:val="00DB15A0"/>
    <w:rsid w:val="00DB785A"/>
    <w:rsid w:val="00DC70B3"/>
    <w:rsid w:val="00DD0E4F"/>
    <w:rsid w:val="00DD1897"/>
    <w:rsid w:val="00DD327D"/>
    <w:rsid w:val="00DD3968"/>
    <w:rsid w:val="00DD46DC"/>
    <w:rsid w:val="00DD6173"/>
    <w:rsid w:val="00DD7678"/>
    <w:rsid w:val="00DD7C47"/>
    <w:rsid w:val="00DE02BD"/>
    <w:rsid w:val="00DE02FE"/>
    <w:rsid w:val="00DE051B"/>
    <w:rsid w:val="00DE0940"/>
    <w:rsid w:val="00DE1B7D"/>
    <w:rsid w:val="00DE4644"/>
    <w:rsid w:val="00DE7708"/>
    <w:rsid w:val="00DE77EC"/>
    <w:rsid w:val="00DE77F5"/>
    <w:rsid w:val="00DF0BC5"/>
    <w:rsid w:val="00DF14A6"/>
    <w:rsid w:val="00DF2022"/>
    <w:rsid w:val="00DF208E"/>
    <w:rsid w:val="00DF425C"/>
    <w:rsid w:val="00DF5B48"/>
    <w:rsid w:val="00DF6B97"/>
    <w:rsid w:val="00DF7505"/>
    <w:rsid w:val="00E00237"/>
    <w:rsid w:val="00E03692"/>
    <w:rsid w:val="00E0498A"/>
    <w:rsid w:val="00E060BD"/>
    <w:rsid w:val="00E103DD"/>
    <w:rsid w:val="00E1128E"/>
    <w:rsid w:val="00E119E6"/>
    <w:rsid w:val="00E143D0"/>
    <w:rsid w:val="00E1745B"/>
    <w:rsid w:val="00E20CCF"/>
    <w:rsid w:val="00E2341D"/>
    <w:rsid w:val="00E2544B"/>
    <w:rsid w:val="00E26024"/>
    <w:rsid w:val="00E30AE4"/>
    <w:rsid w:val="00E32166"/>
    <w:rsid w:val="00E328C4"/>
    <w:rsid w:val="00E32EE6"/>
    <w:rsid w:val="00E33AB5"/>
    <w:rsid w:val="00E34342"/>
    <w:rsid w:val="00E35482"/>
    <w:rsid w:val="00E42A94"/>
    <w:rsid w:val="00E43337"/>
    <w:rsid w:val="00E511B2"/>
    <w:rsid w:val="00E512E8"/>
    <w:rsid w:val="00E51BD2"/>
    <w:rsid w:val="00E56983"/>
    <w:rsid w:val="00E56F9C"/>
    <w:rsid w:val="00E60151"/>
    <w:rsid w:val="00E62AB0"/>
    <w:rsid w:val="00E62C7A"/>
    <w:rsid w:val="00E62ECE"/>
    <w:rsid w:val="00E638C9"/>
    <w:rsid w:val="00E66AA3"/>
    <w:rsid w:val="00E70497"/>
    <w:rsid w:val="00E72358"/>
    <w:rsid w:val="00E726B8"/>
    <w:rsid w:val="00E74F48"/>
    <w:rsid w:val="00E751BE"/>
    <w:rsid w:val="00E75579"/>
    <w:rsid w:val="00E76744"/>
    <w:rsid w:val="00E81725"/>
    <w:rsid w:val="00E84AC3"/>
    <w:rsid w:val="00E84EA6"/>
    <w:rsid w:val="00E86347"/>
    <w:rsid w:val="00E878FD"/>
    <w:rsid w:val="00E91A3D"/>
    <w:rsid w:val="00E9229F"/>
    <w:rsid w:val="00E92D93"/>
    <w:rsid w:val="00E93A22"/>
    <w:rsid w:val="00E9661C"/>
    <w:rsid w:val="00E97F13"/>
    <w:rsid w:val="00EA159D"/>
    <w:rsid w:val="00EA3920"/>
    <w:rsid w:val="00EA649E"/>
    <w:rsid w:val="00EB2109"/>
    <w:rsid w:val="00EB27DF"/>
    <w:rsid w:val="00EB2886"/>
    <w:rsid w:val="00EB61B7"/>
    <w:rsid w:val="00EC279D"/>
    <w:rsid w:val="00EC2A0E"/>
    <w:rsid w:val="00ED3765"/>
    <w:rsid w:val="00ED3AFC"/>
    <w:rsid w:val="00ED65E5"/>
    <w:rsid w:val="00ED6692"/>
    <w:rsid w:val="00EE1844"/>
    <w:rsid w:val="00EE2348"/>
    <w:rsid w:val="00EE33E2"/>
    <w:rsid w:val="00EE4C2C"/>
    <w:rsid w:val="00EE5D16"/>
    <w:rsid w:val="00EE7C35"/>
    <w:rsid w:val="00EF04C1"/>
    <w:rsid w:val="00EF0769"/>
    <w:rsid w:val="00EF3100"/>
    <w:rsid w:val="00EF3560"/>
    <w:rsid w:val="00EF3F1F"/>
    <w:rsid w:val="00EF416E"/>
    <w:rsid w:val="00EF41F3"/>
    <w:rsid w:val="00EF6D02"/>
    <w:rsid w:val="00EF6DF4"/>
    <w:rsid w:val="00F0038D"/>
    <w:rsid w:val="00F00654"/>
    <w:rsid w:val="00F01763"/>
    <w:rsid w:val="00F04A35"/>
    <w:rsid w:val="00F061C4"/>
    <w:rsid w:val="00F07201"/>
    <w:rsid w:val="00F10488"/>
    <w:rsid w:val="00F104A9"/>
    <w:rsid w:val="00F12B64"/>
    <w:rsid w:val="00F14215"/>
    <w:rsid w:val="00F1719B"/>
    <w:rsid w:val="00F173CD"/>
    <w:rsid w:val="00F17A09"/>
    <w:rsid w:val="00F20BEB"/>
    <w:rsid w:val="00F22DC5"/>
    <w:rsid w:val="00F23AD1"/>
    <w:rsid w:val="00F30239"/>
    <w:rsid w:val="00F3072E"/>
    <w:rsid w:val="00F31FAF"/>
    <w:rsid w:val="00F32658"/>
    <w:rsid w:val="00F326EA"/>
    <w:rsid w:val="00F408DD"/>
    <w:rsid w:val="00F44470"/>
    <w:rsid w:val="00F4482B"/>
    <w:rsid w:val="00F46EBF"/>
    <w:rsid w:val="00F538D0"/>
    <w:rsid w:val="00F5514E"/>
    <w:rsid w:val="00F562D8"/>
    <w:rsid w:val="00F56422"/>
    <w:rsid w:val="00F5773D"/>
    <w:rsid w:val="00F616AA"/>
    <w:rsid w:val="00F6191D"/>
    <w:rsid w:val="00F626F3"/>
    <w:rsid w:val="00F643BA"/>
    <w:rsid w:val="00F64698"/>
    <w:rsid w:val="00F64818"/>
    <w:rsid w:val="00F64C76"/>
    <w:rsid w:val="00F67762"/>
    <w:rsid w:val="00F7111B"/>
    <w:rsid w:val="00F71464"/>
    <w:rsid w:val="00F7233A"/>
    <w:rsid w:val="00F72418"/>
    <w:rsid w:val="00F74E14"/>
    <w:rsid w:val="00F74E97"/>
    <w:rsid w:val="00F776DE"/>
    <w:rsid w:val="00F77928"/>
    <w:rsid w:val="00F8043A"/>
    <w:rsid w:val="00F818A6"/>
    <w:rsid w:val="00F82CB8"/>
    <w:rsid w:val="00F84E52"/>
    <w:rsid w:val="00F87629"/>
    <w:rsid w:val="00F941C4"/>
    <w:rsid w:val="00F9478B"/>
    <w:rsid w:val="00F948D1"/>
    <w:rsid w:val="00F94D3C"/>
    <w:rsid w:val="00F966F2"/>
    <w:rsid w:val="00F97FE3"/>
    <w:rsid w:val="00FA30C4"/>
    <w:rsid w:val="00FA6835"/>
    <w:rsid w:val="00FA7645"/>
    <w:rsid w:val="00FB0E82"/>
    <w:rsid w:val="00FB0F4F"/>
    <w:rsid w:val="00FB3058"/>
    <w:rsid w:val="00FB5BEF"/>
    <w:rsid w:val="00FBEEC6"/>
    <w:rsid w:val="00FC3B35"/>
    <w:rsid w:val="00FC5476"/>
    <w:rsid w:val="00FC557F"/>
    <w:rsid w:val="00FC60D0"/>
    <w:rsid w:val="00FC610F"/>
    <w:rsid w:val="00FC6C0D"/>
    <w:rsid w:val="00FC7178"/>
    <w:rsid w:val="00FD3957"/>
    <w:rsid w:val="00FD5094"/>
    <w:rsid w:val="00FD7B07"/>
    <w:rsid w:val="00FE44AB"/>
    <w:rsid w:val="00FE50FF"/>
    <w:rsid w:val="00FE681B"/>
    <w:rsid w:val="00FE6EC4"/>
    <w:rsid w:val="00FF2C7D"/>
    <w:rsid w:val="00FF3D35"/>
    <w:rsid w:val="00FF48EE"/>
    <w:rsid w:val="00FF4A73"/>
    <w:rsid w:val="00FF5F8E"/>
    <w:rsid w:val="03E8F2D0"/>
    <w:rsid w:val="041F29CA"/>
    <w:rsid w:val="05310895"/>
    <w:rsid w:val="0566CB3B"/>
    <w:rsid w:val="05C33215"/>
    <w:rsid w:val="07DE8D85"/>
    <w:rsid w:val="087A89F6"/>
    <w:rsid w:val="0957E1DC"/>
    <w:rsid w:val="0AC6554B"/>
    <w:rsid w:val="0AF9DE92"/>
    <w:rsid w:val="0BEB43A5"/>
    <w:rsid w:val="0CC9CFB2"/>
    <w:rsid w:val="0D2B4B91"/>
    <w:rsid w:val="0F330B3C"/>
    <w:rsid w:val="0F43348F"/>
    <w:rsid w:val="0FBADB56"/>
    <w:rsid w:val="11B792A0"/>
    <w:rsid w:val="1268D783"/>
    <w:rsid w:val="12705387"/>
    <w:rsid w:val="132D1B8F"/>
    <w:rsid w:val="135560C1"/>
    <w:rsid w:val="13B64F56"/>
    <w:rsid w:val="145A9271"/>
    <w:rsid w:val="160907F2"/>
    <w:rsid w:val="163C9139"/>
    <w:rsid w:val="165B1A78"/>
    <w:rsid w:val="16C3BFCD"/>
    <w:rsid w:val="1743C4AA"/>
    <w:rsid w:val="1753C5F9"/>
    <w:rsid w:val="176DAA71"/>
    <w:rsid w:val="18447971"/>
    <w:rsid w:val="18662104"/>
    <w:rsid w:val="1A16AFA9"/>
    <w:rsid w:val="1A31CE3E"/>
    <w:rsid w:val="1A412840"/>
    <w:rsid w:val="1BD3AFD1"/>
    <w:rsid w:val="1BDCF8A1"/>
    <w:rsid w:val="1BF3B7B4"/>
    <w:rsid w:val="1DF997B9"/>
    <w:rsid w:val="1F92CA51"/>
    <w:rsid w:val="1F9B7DC5"/>
    <w:rsid w:val="203D7CF3"/>
    <w:rsid w:val="208A5053"/>
    <w:rsid w:val="22789679"/>
    <w:rsid w:val="22B0EB30"/>
    <w:rsid w:val="22EF7785"/>
    <w:rsid w:val="233D7A0C"/>
    <w:rsid w:val="23B3E66F"/>
    <w:rsid w:val="256A46CE"/>
    <w:rsid w:val="2579168C"/>
    <w:rsid w:val="25C60599"/>
    <w:rsid w:val="263E122A"/>
    <w:rsid w:val="26CDC4EF"/>
    <w:rsid w:val="27897253"/>
    <w:rsid w:val="27D74281"/>
    <w:rsid w:val="27E1F3C5"/>
    <w:rsid w:val="2929D958"/>
    <w:rsid w:val="29FC6181"/>
    <w:rsid w:val="2A316714"/>
    <w:rsid w:val="2A9976BC"/>
    <w:rsid w:val="2AA9780B"/>
    <w:rsid w:val="2B04ACD9"/>
    <w:rsid w:val="2B7C251B"/>
    <w:rsid w:val="2B9C4BF1"/>
    <w:rsid w:val="2BD66496"/>
    <w:rsid w:val="2BE960DE"/>
    <w:rsid w:val="2D17F57C"/>
    <w:rsid w:val="2D3CCC48"/>
    <w:rsid w:val="2D4A8665"/>
    <w:rsid w:val="2E24ECB6"/>
    <w:rsid w:val="2E4807F2"/>
    <w:rsid w:val="2E6284E6"/>
    <w:rsid w:val="2E80ACD0"/>
    <w:rsid w:val="2F6CE7DF"/>
    <w:rsid w:val="31DB6550"/>
    <w:rsid w:val="3225D6A1"/>
    <w:rsid w:val="32CA3CA6"/>
    <w:rsid w:val="330D88D5"/>
    <w:rsid w:val="331D5CA3"/>
    <w:rsid w:val="333AF596"/>
    <w:rsid w:val="33873700"/>
    <w:rsid w:val="34152DE0"/>
    <w:rsid w:val="34A95936"/>
    <w:rsid w:val="36D7EE31"/>
    <w:rsid w:val="37E730C6"/>
    <w:rsid w:val="3963A1FC"/>
    <w:rsid w:val="39679373"/>
    <w:rsid w:val="397CCA59"/>
    <w:rsid w:val="398ED521"/>
    <w:rsid w:val="39C87EE8"/>
    <w:rsid w:val="3A012D70"/>
    <w:rsid w:val="3A60767B"/>
    <w:rsid w:val="3A83D8DB"/>
    <w:rsid w:val="3B955ED8"/>
    <w:rsid w:val="3BE204FC"/>
    <w:rsid w:val="3C518AF7"/>
    <w:rsid w:val="3DEEC32C"/>
    <w:rsid w:val="3E59C636"/>
    <w:rsid w:val="3E6B5209"/>
    <w:rsid w:val="3EDC5FBC"/>
    <w:rsid w:val="3F3B0D94"/>
    <w:rsid w:val="40F7CB2F"/>
    <w:rsid w:val="41F8A36E"/>
    <w:rsid w:val="42DB6B1C"/>
    <w:rsid w:val="446C1629"/>
    <w:rsid w:val="457179E7"/>
    <w:rsid w:val="459A1796"/>
    <w:rsid w:val="459FBF9E"/>
    <w:rsid w:val="46598095"/>
    <w:rsid w:val="47237111"/>
    <w:rsid w:val="47485C56"/>
    <w:rsid w:val="476184B3"/>
    <w:rsid w:val="48EC7F5B"/>
    <w:rsid w:val="4969C374"/>
    <w:rsid w:val="4A7CED74"/>
    <w:rsid w:val="4A7FFD18"/>
    <w:rsid w:val="4AB41DD7"/>
    <w:rsid w:val="4BA3DF45"/>
    <w:rsid w:val="4C1BCD79"/>
    <w:rsid w:val="4C934685"/>
    <w:rsid w:val="4CA09A2B"/>
    <w:rsid w:val="4CA41D28"/>
    <w:rsid w:val="4D8F354B"/>
    <w:rsid w:val="4DB79DDA"/>
    <w:rsid w:val="4DB8E48A"/>
    <w:rsid w:val="4DE18E0F"/>
    <w:rsid w:val="4EB4D350"/>
    <w:rsid w:val="4FF74DEE"/>
    <w:rsid w:val="5013A7E7"/>
    <w:rsid w:val="504D51CA"/>
    <w:rsid w:val="51A8BA94"/>
    <w:rsid w:val="5231F9BB"/>
    <w:rsid w:val="52A4D2E8"/>
    <w:rsid w:val="52ACA56F"/>
    <w:rsid w:val="52CCAD52"/>
    <w:rsid w:val="53024CFA"/>
    <w:rsid w:val="536D6279"/>
    <w:rsid w:val="546D69E4"/>
    <w:rsid w:val="54E7190A"/>
    <w:rsid w:val="5572ABF8"/>
    <w:rsid w:val="55971303"/>
    <w:rsid w:val="586FD784"/>
    <w:rsid w:val="59AD86F1"/>
    <w:rsid w:val="59BA8A2D"/>
    <w:rsid w:val="5AAEBAD7"/>
    <w:rsid w:val="5B565A8E"/>
    <w:rsid w:val="5BB54328"/>
    <w:rsid w:val="5C349144"/>
    <w:rsid w:val="5D4C0AA1"/>
    <w:rsid w:val="5DA79641"/>
    <w:rsid w:val="5DBDCE8C"/>
    <w:rsid w:val="5DD79AEB"/>
    <w:rsid w:val="5E8DFB50"/>
    <w:rsid w:val="5EA5D53A"/>
    <w:rsid w:val="5EA85C3A"/>
    <w:rsid w:val="5EC18497"/>
    <w:rsid w:val="5FB179D1"/>
    <w:rsid w:val="5FD8B957"/>
    <w:rsid w:val="602D988B"/>
    <w:rsid w:val="60350C60"/>
    <w:rsid w:val="6095BC3F"/>
    <w:rsid w:val="61937752"/>
    <w:rsid w:val="6245AEDC"/>
    <w:rsid w:val="625B178C"/>
    <w:rsid w:val="6291C215"/>
    <w:rsid w:val="632CA663"/>
    <w:rsid w:val="6380731D"/>
    <w:rsid w:val="639EDEEF"/>
    <w:rsid w:val="645FE910"/>
    <w:rsid w:val="65E12E09"/>
    <w:rsid w:val="6618E528"/>
    <w:rsid w:val="67B3AB5A"/>
    <w:rsid w:val="68231AE0"/>
    <w:rsid w:val="683CCA21"/>
    <w:rsid w:val="69EDD184"/>
    <w:rsid w:val="69F15161"/>
    <w:rsid w:val="6A382EF8"/>
    <w:rsid w:val="6B480D0D"/>
    <w:rsid w:val="6C5D17FB"/>
    <w:rsid w:val="6E56C629"/>
    <w:rsid w:val="6EA6FC92"/>
    <w:rsid w:val="6EC06506"/>
    <w:rsid w:val="6F68179C"/>
    <w:rsid w:val="6F6F4E00"/>
    <w:rsid w:val="6F84496F"/>
    <w:rsid w:val="704F0F10"/>
    <w:rsid w:val="718E0FCD"/>
    <w:rsid w:val="71B56136"/>
    <w:rsid w:val="71D3CD08"/>
    <w:rsid w:val="72807FE9"/>
    <w:rsid w:val="733D0569"/>
    <w:rsid w:val="733FC9ED"/>
    <w:rsid w:val="74603D59"/>
    <w:rsid w:val="74D5E039"/>
    <w:rsid w:val="75D93307"/>
    <w:rsid w:val="76D17F6F"/>
    <w:rsid w:val="77649C49"/>
    <w:rsid w:val="7800F7E3"/>
    <w:rsid w:val="7869C62A"/>
    <w:rsid w:val="7872A15E"/>
    <w:rsid w:val="79424633"/>
    <w:rsid w:val="7AE8A21D"/>
    <w:rsid w:val="7B1053A2"/>
    <w:rsid w:val="7B99DC9A"/>
    <w:rsid w:val="7BBFE8F4"/>
    <w:rsid w:val="7C00DDEA"/>
    <w:rsid w:val="7C0C2A5E"/>
    <w:rsid w:val="7E7A3DC9"/>
    <w:rsid w:val="7F087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82BEA"/>
  <w15:docId w15:val="{7E84B8A2-A143-46BA-BF7C-BC395E9F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AC72D8"/>
    <w:pPr>
      <w:keepNext/>
      <w:widowControl/>
      <w:pBdr>
        <w:bottom w:val="single" w:sz="2" w:space="1" w:color="auto"/>
      </w:pBdr>
      <w:autoSpaceDE/>
      <w:autoSpaceDN/>
      <w:adjustRightInd/>
      <w:spacing w:before="240" w:after="240"/>
      <w:outlineLvl w:val="0"/>
    </w:pPr>
    <w:rPr>
      <w:rFonts w:ascii="Arial Black" w:hAnsi="Arial Black"/>
      <w:caps/>
      <w:sz w:val="22"/>
      <w:szCs w:val="20"/>
    </w:rPr>
  </w:style>
  <w:style w:type="paragraph" w:styleId="Heading2">
    <w:name w:val="heading 2"/>
    <w:basedOn w:val="Normal"/>
    <w:next w:val="NormalSS"/>
    <w:link w:val="Heading2Char"/>
    <w:qFormat/>
    <w:rsid w:val="00AC72D8"/>
    <w:pPr>
      <w:keepNext/>
      <w:widowControl/>
      <w:tabs>
        <w:tab w:val="left" w:pos="432"/>
      </w:tabs>
      <w:autoSpaceDE/>
      <w:autoSpaceDN/>
      <w:adjustRightInd/>
      <w:spacing w:after="120"/>
      <w:ind w:left="432" w:hanging="432"/>
      <w:outlineLvl w:val="1"/>
    </w:pPr>
    <w:rPr>
      <w:rFonts w:ascii="Arial Black" w:hAnsi="Arial Black"/>
      <w:sz w:val="22"/>
      <w:szCs w:val="20"/>
    </w:rPr>
  </w:style>
  <w:style w:type="paragraph" w:styleId="Heading3">
    <w:name w:val="heading 3"/>
    <w:basedOn w:val="Normal"/>
    <w:next w:val="Normal"/>
    <w:link w:val="Heading3Char"/>
    <w:unhideWhenUsed/>
    <w:qFormat/>
    <w:rsid w:val="00AC72D8"/>
    <w:pPr>
      <w:keepNext/>
      <w:widowControl/>
      <w:tabs>
        <w:tab w:val="left" w:pos="432"/>
      </w:tabs>
      <w:autoSpaceDE/>
      <w:autoSpaceDN/>
      <w:adjustRightInd/>
      <w:spacing w:after="120"/>
      <w:ind w:left="432" w:hanging="432"/>
      <w:outlineLvl w:val="2"/>
    </w:pPr>
    <w:rPr>
      <w:b/>
      <w:sz w:val="24"/>
      <w:szCs w:val="20"/>
      <w:u w:val="single"/>
    </w:rPr>
  </w:style>
  <w:style w:type="paragraph" w:styleId="Heading4">
    <w:name w:val="heading 4"/>
    <w:basedOn w:val="Normal"/>
    <w:next w:val="Normal"/>
    <w:link w:val="Heading4Char"/>
    <w:unhideWhenUsed/>
    <w:qFormat/>
    <w:rsid w:val="002738E4"/>
    <w:pPr>
      <w:keepNext/>
      <w:keepLines/>
      <w:spacing w:after="120"/>
      <w:ind w:left="432" w:hanging="432"/>
      <w:outlineLvl w:val="3"/>
    </w:pPr>
    <w:rPr>
      <w:rFonts w:eastAsiaTheme="majorEastAsia"/>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styleId="CommentReference">
    <w:name w:val="annotation reference"/>
    <w:basedOn w:val="DefaultParagraphFont"/>
    <w:rsid w:val="00520C98"/>
    <w:rPr>
      <w:sz w:val="16"/>
      <w:szCs w:val="16"/>
    </w:rPr>
  </w:style>
  <w:style w:type="paragraph" w:styleId="CommentText">
    <w:name w:val="annotation text"/>
    <w:basedOn w:val="Normal"/>
    <w:link w:val="CommentTextChar"/>
    <w:rsid w:val="00520C98"/>
    <w:rPr>
      <w:szCs w:val="20"/>
    </w:rPr>
  </w:style>
  <w:style w:type="character" w:customStyle="1" w:styleId="CommentTextChar">
    <w:name w:val="Comment Text Char"/>
    <w:basedOn w:val="DefaultParagraphFont"/>
    <w:link w:val="CommentText"/>
    <w:rsid w:val="00520C98"/>
  </w:style>
  <w:style w:type="paragraph" w:styleId="CommentSubject">
    <w:name w:val="annotation subject"/>
    <w:basedOn w:val="CommentText"/>
    <w:next w:val="CommentText"/>
    <w:link w:val="CommentSubjectChar"/>
    <w:rsid w:val="00520C98"/>
    <w:rPr>
      <w:b/>
      <w:bCs/>
    </w:rPr>
  </w:style>
  <w:style w:type="character" w:customStyle="1" w:styleId="CommentSubjectChar">
    <w:name w:val="Comment Subject Char"/>
    <w:basedOn w:val="CommentTextChar"/>
    <w:link w:val="CommentSubject"/>
    <w:rsid w:val="00520C98"/>
    <w:rPr>
      <w:b/>
      <w:bCs/>
    </w:rPr>
  </w:style>
  <w:style w:type="paragraph" w:customStyle="1" w:styleId="NormalSS">
    <w:name w:val="NormalSS"/>
    <w:basedOn w:val="Normal"/>
    <w:link w:val="NormalSSChar"/>
    <w:qFormat/>
    <w:rsid w:val="002738E4"/>
    <w:pPr>
      <w:widowControl/>
      <w:tabs>
        <w:tab w:val="left" w:pos="432"/>
      </w:tabs>
      <w:autoSpaceDE/>
      <w:autoSpaceDN/>
      <w:adjustRightInd/>
      <w:spacing w:after="240"/>
      <w:ind w:firstLine="432"/>
    </w:pPr>
    <w:rPr>
      <w:sz w:val="24"/>
    </w:rPr>
  </w:style>
  <w:style w:type="table" w:styleId="TableGrid">
    <w:name w:val="Table Grid"/>
    <w:basedOn w:val="TableNormal"/>
    <w:uiPriority w:val="59"/>
    <w:rsid w:val="00627C51"/>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AC72D8"/>
    <w:rPr>
      <w:b/>
      <w:sz w:val="24"/>
      <w:u w:val="single"/>
    </w:rPr>
  </w:style>
  <w:style w:type="paragraph" w:styleId="FootnoteText">
    <w:name w:val="footnote text"/>
    <w:basedOn w:val="Normal"/>
    <w:link w:val="FootnoteTextChar"/>
    <w:rsid w:val="006B11F6"/>
    <w:pPr>
      <w:widowControl/>
      <w:tabs>
        <w:tab w:val="left" w:pos="432"/>
      </w:tabs>
      <w:autoSpaceDE/>
      <w:autoSpaceDN/>
      <w:adjustRightInd/>
      <w:spacing w:after="120"/>
      <w:ind w:firstLine="432"/>
    </w:pPr>
  </w:style>
  <w:style w:type="character" w:customStyle="1" w:styleId="FootnoteTextChar">
    <w:name w:val="Footnote Text Char"/>
    <w:basedOn w:val="DefaultParagraphFont"/>
    <w:link w:val="FootnoteText"/>
    <w:rsid w:val="006B11F6"/>
    <w:rPr>
      <w:szCs w:val="24"/>
    </w:rPr>
  </w:style>
  <w:style w:type="character" w:styleId="FootnoteReference">
    <w:name w:val="footnote reference"/>
    <w:basedOn w:val="DefaultParagraphFont"/>
    <w:rsid w:val="006B11F6"/>
    <w:rPr>
      <w:rFonts w:ascii="Times New Roman" w:hAnsi="Times New Roman"/>
      <w:u w:color="000080"/>
      <w:vertAlign w:val="superscript"/>
    </w:rPr>
  </w:style>
  <w:style w:type="paragraph" w:customStyle="1" w:styleId="MarkforTableHeading">
    <w:name w:val="Mark for Table Heading"/>
    <w:basedOn w:val="Normal"/>
    <w:next w:val="Normal"/>
    <w:qFormat/>
    <w:rsid w:val="00E00237"/>
    <w:pPr>
      <w:keepNext/>
      <w:widowControl/>
      <w:tabs>
        <w:tab w:val="left" w:pos="432"/>
      </w:tabs>
      <w:autoSpaceDE/>
      <w:autoSpaceDN/>
      <w:adjustRightInd/>
      <w:spacing w:after="60"/>
    </w:pPr>
    <w:rPr>
      <w:rFonts w:ascii="Arial Black" w:hAnsi="Arial Black"/>
      <w:b/>
      <w:sz w:val="22"/>
    </w:rPr>
  </w:style>
  <w:style w:type="paragraph" w:customStyle="1" w:styleId="MarkforFigureHeading">
    <w:name w:val="Mark for Figure Heading"/>
    <w:basedOn w:val="MarkforTableHeading"/>
    <w:next w:val="Normal"/>
    <w:qFormat/>
    <w:rsid w:val="00AC72D8"/>
  </w:style>
  <w:style w:type="paragraph" w:customStyle="1" w:styleId="TableFootnoteCaption">
    <w:name w:val="Table Footnote_Caption"/>
    <w:basedOn w:val="NormalSS"/>
    <w:qFormat/>
    <w:rsid w:val="00717D53"/>
    <w:pPr>
      <w:spacing w:after="120"/>
      <w:ind w:firstLine="0"/>
    </w:pPr>
    <w:rPr>
      <w:rFonts w:ascii="Arial" w:hAnsi="Arial"/>
      <w:sz w:val="18"/>
    </w:rPr>
  </w:style>
  <w:style w:type="paragraph" w:customStyle="1" w:styleId="TableHeaderCenter">
    <w:name w:val="Table Header Center"/>
    <w:basedOn w:val="NormalSS"/>
    <w:qFormat/>
    <w:rsid w:val="00E00237"/>
    <w:pPr>
      <w:spacing w:before="120" w:after="60"/>
      <w:ind w:firstLine="0"/>
      <w:jc w:val="center"/>
    </w:pPr>
    <w:rPr>
      <w:rFonts w:ascii="Arial Black" w:hAnsi="Arial Black"/>
      <w:color w:val="FFFFFF" w:themeColor="background1"/>
      <w:sz w:val="18"/>
    </w:rPr>
  </w:style>
  <w:style w:type="paragraph" w:customStyle="1" w:styleId="TableHeaderLeft">
    <w:name w:val="Table Header Left"/>
    <w:basedOn w:val="NormalSS"/>
    <w:qFormat/>
    <w:rsid w:val="00E00237"/>
    <w:pPr>
      <w:spacing w:before="120" w:after="60"/>
      <w:ind w:firstLine="0"/>
    </w:pPr>
    <w:rPr>
      <w:rFonts w:ascii="Arial Black" w:hAnsi="Arial Black"/>
      <w:color w:val="FFFFFF" w:themeColor="background1"/>
      <w:sz w:val="18"/>
    </w:rPr>
  </w:style>
  <w:style w:type="paragraph" w:customStyle="1" w:styleId="TableText">
    <w:name w:val="Table Text"/>
    <w:basedOn w:val="NormalSS"/>
    <w:qFormat/>
    <w:rsid w:val="00717D53"/>
    <w:pPr>
      <w:tabs>
        <w:tab w:val="clear" w:pos="432"/>
      </w:tabs>
      <w:spacing w:after="0"/>
      <w:ind w:firstLine="0"/>
    </w:pPr>
    <w:rPr>
      <w:rFonts w:ascii="Arial" w:hAnsi="Arial"/>
      <w:sz w:val="18"/>
    </w:rPr>
  </w:style>
  <w:style w:type="paragraph" w:customStyle="1" w:styleId="TableSourceCaption">
    <w:name w:val="Table Source_Caption"/>
    <w:basedOn w:val="NormalSS"/>
    <w:qFormat/>
    <w:rsid w:val="00E00237"/>
    <w:pPr>
      <w:tabs>
        <w:tab w:val="clear" w:pos="432"/>
      </w:tabs>
      <w:spacing w:before="60" w:after="0"/>
      <w:ind w:left="1080" w:hanging="1080"/>
    </w:pPr>
    <w:rPr>
      <w:rFonts w:ascii="Arial" w:hAnsi="Arial"/>
      <w:sz w:val="18"/>
    </w:rPr>
  </w:style>
  <w:style w:type="paragraph" w:customStyle="1" w:styleId="Foonotet">
    <w:name w:val="Foonote t"/>
    <w:basedOn w:val="MarkforTableHeading"/>
    <w:rsid w:val="004E44FE"/>
    <w:pPr>
      <w:spacing w:after="0"/>
    </w:pPr>
    <w:rPr>
      <w:rFonts w:ascii="Times New Roman" w:hAnsi="Times New Roman"/>
    </w:rPr>
  </w:style>
  <w:style w:type="paragraph" w:customStyle="1" w:styleId="Heading2Black">
    <w:name w:val="Heading 2_Black"/>
    <w:basedOn w:val="Normal"/>
    <w:next w:val="Normal"/>
    <w:qFormat/>
    <w:rsid w:val="00717D53"/>
    <w:pPr>
      <w:keepNext/>
      <w:widowControl/>
      <w:tabs>
        <w:tab w:val="left" w:pos="432"/>
      </w:tabs>
      <w:autoSpaceDE/>
      <w:autoSpaceDN/>
      <w:adjustRightInd/>
      <w:spacing w:after="240"/>
      <w:ind w:left="432" w:hanging="432"/>
      <w:jc w:val="both"/>
      <w:outlineLvl w:val="1"/>
    </w:pPr>
    <w:rPr>
      <w:rFonts w:ascii="Arial" w:hAnsi="Arial"/>
      <w:b/>
      <w:sz w:val="24"/>
    </w:rPr>
  </w:style>
  <w:style w:type="character" w:customStyle="1" w:styleId="NormalSSChar">
    <w:name w:val="NormalSS Char"/>
    <w:basedOn w:val="DefaultParagraphFont"/>
    <w:link w:val="NormalSS"/>
    <w:rsid w:val="002738E4"/>
    <w:rPr>
      <w:sz w:val="24"/>
      <w:szCs w:val="24"/>
    </w:rPr>
  </w:style>
  <w:style w:type="paragraph" w:customStyle="1" w:styleId="TableSignificanceCaption">
    <w:name w:val="Table Significance_Caption"/>
    <w:basedOn w:val="TableSourceCaption"/>
    <w:qFormat/>
    <w:rsid w:val="00D1277D"/>
    <w:rPr>
      <w:rFonts w:ascii="Lucida Sans" w:hAnsi="Lucida Sans"/>
    </w:rPr>
  </w:style>
  <w:style w:type="paragraph" w:customStyle="1" w:styleId="TableSpace">
    <w:name w:val="TableSpace"/>
    <w:basedOn w:val="TableSourceCaption"/>
    <w:next w:val="TableFootnoteCaption"/>
    <w:semiHidden/>
    <w:qFormat/>
    <w:rsid w:val="00D1277D"/>
    <w:rPr>
      <w:rFonts w:ascii="Lucida Sans" w:hAnsi="Lucida Sans"/>
    </w:rPr>
  </w:style>
  <w:style w:type="paragraph" w:styleId="Revision">
    <w:name w:val="Revision"/>
    <w:hidden/>
    <w:uiPriority w:val="99"/>
    <w:semiHidden/>
    <w:rsid w:val="00D1277D"/>
    <w:rPr>
      <w:szCs w:val="24"/>
    </w:rPr>
  </w:style>
  <w:style w:type="table" w:customStyle="1" w:styleId="TableGrid1">
    <w:name w:val="Table Grid1"/>
    <w:basedOn w:val="TableNormal"/>
    <w:next w:val="TableGrid"/>
    <w:uiPriority w:val="59"/>
    <w:rsid w:val="00872DFF"/>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2D67"/>
    <w:rPr>
      <w:color w:val="0000FF" w:themeColor="hyperlink"/>
      <w:u w:val="single"/>
    </w:rPr>
  </w:style>
  <w:style w:type="character" w:styleId="FollowedHyperlink">
    <w:name w:val="FollowedHyperlink"/>
    <w:basedOn w:val="DefaultParagraphFont"/>
    <w:rsid w:val="006C77F6"/>
    <w:rPr>
      <w:color w:val="800080" w:themeColor="followedHyperlink"/>
      <w:u w:val="single"/>
    </w:rPr>
  </w:style>
  <w:style w:type="paragraph" w:styleId="DocumentMap">
    <w:name w:val="Document Map"/>
    <w:basedOn w:val="Normal"/>
    <w:link w:val="DocumentMapChar"/>
    <w:rsid w:val="00997AAD"/>
    <w:rPr>
      <w:rFonts w:ascii="Tahoma" w:hAnsi="Tahoma" w:cs="Tahoma"/>
      <w:sz w:val="16"/>
      <w:szCs w:val="16"/>
    </w:rPr>
  </w:style>
  <w:style w:type="character" w:customStyle="1" w:styleId="DocumentMapChar">
    <w:name w:val="Document Map Char"/>
    <w:basedOn w:val="DefaultParagraphFont"/>
    <w:link w:val="DocumentMap"/>
    <w:rsid w:val="00997AAD"/>
    <w:rPr>
      <w:rFonts w:ascii="Tahoma" w:hAnsi="Tahoma" w:cs="Tahoma"/>
      <w:sz w:val="16"/>
      <w:szCs w:val="16"/>
    </w:rPr>
  </w:style>
  <w:style w:type="character" w:customStyle="1" w:styleId="Heading2Char">
    <w:name w:val="Heading 2 Char"/>
    <w:basedOn w:val="DefaultParagraphFont"/>
    <w:link w:val="Heading2"/>
    <w:rsid w:val="00AC72D8"/>
    <w:rPr>
      <w:rFonts w:ascii="Arial Black" w:hAnsi="Arial Black"/>
      <w:sz w:val="22"/>
    </w:rPr>
  </w:style>
  <w:style w:type="paragraph" w:styleId="Header">
    <w:name w:val="header"/>
    <w:basedOn w:val="Normal"/>
    <w:link w:val="HeaderChar"/>
    <w:qFormat/>
    <w:rsid w:val="00AC72D8"/>
    <w:pPr>
      <w:tabs>
        <w:tab w:val="center" w:pos="4680"/>
        <w:tab w:val="right" w:pos="9360"/>
      </w:tabs>
    </w:pPr>
  </w:style>
  <w:style w:type="character" w:customStyle="1" w:styleId="HeaderChar">
    <w:name w:val="Header Char"/>
    <w:basedOn w:val="DefaultParagraphFont"/>
    <w:link w:val="Header"/>
    <w:rsid w:val="00AC72D8"/>
    <w:rPr>
      <w:szCs w:val="24"/>
    </w:rPr>
  </w:style>
  <w:style w:type="paragraph" w:styleId="Footer">
    <w:name w:val="footer"/>
    <w:basedOn w:val="Normal"/>
    <w:link w:val="FooterChar"/>
    <w:uiPriority w:val="99"/>
    <w:qFormat/>
    <w:rsid w:val="00AC72D8"/>
    <w:pPr>
      <w:tabs>
        <w:tab w:val="center" w:pos="4680"/>
        <w:tab w:val="right" w:pos="9360"/>
      </w:tabs>
    </w:pPr>
  </w:style>
  <w:style w:type="character" w:customStyle="1" w:styleId="FooterChar">
    <w:name w:val="Footer Char"/>
    <w:basedOn w:val="DefaultParagraphFont"/>
    <w:link w:val="Footer"/>
    <w:uiPriority w:val="99"/>
    <w:rsid w:val="00AC72D8"/>
    <w:rPr>
      <w:szCs w:val="24"/>
    </w:rPr>
  </w:style>
  <w:style w:type="character" w:customStyle="1" w:styleId="Heading4Char">
    <w:name w:val="Heading 4 Char"/>
    <w:basedOn w:val="DefaultParagraphFont"/>
    <w:link w:val="Heading4"/>
    <w:rsid w:val="002738E4"/>
    <w:rPr>
      <w:rFonts w:eastAsiaTheme="majorEastAsia"/>
      <w:b/>
      <w:bCs/>
      <w:iCs/>
      <w:sz w:val="24"/>
      <w:szCs w:val="24"/>
    </w:rPr>
  </w:style>
  <w:style w:type="paragraph" w:customStyle="1" w:styleId="NumberedBullet">
    <w:name w:val="Numbered Bullet"/>
    <w:basedOn w:val="NormalSS"/>
    <w:qFormat/>
    <w:rsid w:val="002738E4"/>
    <w:pPr>
      <w:spacing w:after="120"/>
      <w:ind w:left="432" w:hanging="432"/>
    </w:pPr>
  </w:style>
  <w:style w:type="paragraph" w:customStyle="1" w:styleId="NumberedBulletLast">
    <w:name w:val="Numbered Bullet (Last)"/>
    <w:basedOn w:val="NormalSS"/>
    <w:qFormat/>
    <w:rsid w:val="00E00237"/>
    <w:pPr>
      <w:numPr>
        <w:numId w:val="12"/>
      </w:numPr>
      <w:ind w:left="432" w:hanging="432"/>
    </w:pPr>
  </w:style>
  <w:style w:type="table" w:customStyle="1" w:styleId="Table">
    <w:name w:val="Table"/>
    <w:basedOn w:val="TableNormal"/>
    <w:uiPriority w:val="99"/>
    <w:qFormat/>
    <w:locked/>
    <w:rsid w:val="00E00237"/>
    <w:rPr>
      <w:rFonts w:ascii="Arial" w:hAnsi="Arial"/>
      <w:color w:val="000000" w:themeColor="text1"/>
      <w:sz w:val="18"/>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
    <w:name w:val="Bullet"/>
    <w:basedOn w:val="Normal"/>
    <w:qFormat/>
    <w:rsid w:val="00AA50FA"/>
    <w:pPr>
      <w:widowControl/>
      <w:numPr>
        <w:numId w:val="2"/>
      </w:numPr>
      <w:tabs>
        <w:tab w:val="left" w:pos="432"/>
      </w:tabs>
      <w:autoSpaceDE/>
      <w:autoSpaceDN/>
      <w:adjustRightInd/>
      <w:spacing w:after="120"/>
    </w:pPr>
    <w:rPr>
      <w:sz w:val="24"/>
    </w:rPr>
  </w:style>
  <w:style w:type="paragraph" w:customStyle="1" w:styleId="BulletLast">
    <w:name w:val="Bullet (Last)"/>
    <w:basedOn w:val="Normal"/>
    <w:qFormat/>
    <w:rsid w:val="00AA50FA"/>
    <w:pPr>
      <w:widowControl/>
      <w:tabs>
        <w:tab w:val="left" w:pos="432"/>
      </w:tabs>
      <w:autoSpaceDE/>
      <w:autoSpaceDN/>
      <w:adjustRightInd/>
      <w:spacing w:after="240"/>
      <w:ind w:left="432" w:hanging="432"/>
    </w:pPr>
    <w:rPr>
      <w:sz w:val="24"/>
    </w:rPr>
  </w:style>
  <w:style w:type="paragraph" w:styleId="ListParagraph">
    <w:name w:val="List Paragraph"/>
    <w:basedOn w:val="Normal"/>
    <w:uiPriority w:val="34"/>
    <w:qFormat/>
    <w:rsid w:val="000F0B3B"/>
    <w:pPr>
      <w:widowControl/>
      <w:autoSpaceDE/>
      <w:autoSpaceDN/>
      <w:adjustRightInd/>
      <w:ind w:left="720"/>
      <w:contextualSpacing/>
    </w:pPr>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0F0B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56641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56641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rsid w:val="007F6635"/>
    <w:rPr>
      <w:sz w:val="24"/>
    </w:rPr>
  </w:style>
  <w:style w:type="character" w:customStyle="1" w:styleId="BodyTextChar">
    <w:name w:val="Body Text Char"/>
    <w:basedOn w:val="DefaultParagraphFont"/>
    <w:link w:val="BodyText"/>
    <w:rsid w:val="007F6635"/>
    <w:rPr>
      <w:sz w:val="24"/>
      <w:szCs w:val="24"/>
    </w:rPr>
  </w:style>
  <w:style w:type="table" w:customStyle="1" w:styleId="TableGrid2">
    <w:name w:val="Table Grid2"/>
    <w:basedOn w:val="TableNormal"/>
    <w:next w:val="TableGrid"/>
    <w:rsid w:val="00DD3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arahball@westat.com" TargetMode="External" /><Relationship Id="rId11" Type="http://schemas.openxmlformats.org/officeDocument/2006/relationships/hyperlink" Target="mailto:angelacheung@westat.com" TargetMode="External" /><Relationship Id="rId12" Type="http://schemas.openxmlformats.org/officeDocument/2006/relationships/hyperlink" Target="mailto:robynferg@westat.com" TargetMode="External" /><Relationship Id="rId13" Type="http://schemas.openxmlformats.org/officeDocument/2006/relationships/hyperlink" Target="mailto:katherineflaherty@westat.com" TargetMode="External" /><Relationship Id="rId14" Type="http://schemas.openxmlformats.org/officeDocument/2006/relationships/hyperlink" Target="mailto:carlyhallowell@westat.com" TargetMode="External" /><Relationship Id="rId15" Type="http://schemas.openxmlformats.org/officeDocument/2006/relationships/hyperlink" Target="mailto:gracehuang@westat.com" TargetMode="External" /><Relationship Id="rId16" Type="http://schemas.openxmlformats.org/officeDocument/2006/relationships/hyperlink" Target="mailto:kristenkeating@westat.com" TargetMode="External" /><Relationship Id="rId17" Type="http://schemas.openxmlformats.org/officeDocument/2006/relationships/hyperlink" Target="mailto:salomekiduko@westat.com" TargetMode="External" /><Relationship Id="rId18" Type="http://schemas.openxmlformats.org/officeDocument/2006/relationships/hyperlink" Target="tel:617-724-3594" TargetMode="External" /><Relationship Id="rId19" Type="http://schemas.openxmlformats.org/officeDocument/2006/relationships/hyperlink" Target="mailto:mkotelchuck@pmgh.harvard.edu" TargetMode="External" /><Relationship Id="rId2" Type="http://schemas.openxmlformats.org/officeDocument/2006/relationships/settings" Target="settings.xml" /><Relationship Id="rId20" Type="http://schemas.openxmlformats.org/officeDocument/2006/relationships/hyperlink" Target="mailto:jeanopsomer@westat.com" TargetMode="External" /><Relationship Id="rId21" Type="http://schemas.openxmlformats.org/officeDocument/2006/relationships/hyperlink" Target="mailto:salonisapru@westat.com" TargetMode="External" /><Relationship Id="rId22" Type="http://schemas.openxmlformats.org/officeDocument/2006/relationships/hyperlink" Target="mailto:malloriesmith@westat.com" TargetMode="External" /><Relationship Id="rId23" Type="http://schemas.openxmlformats.org/officeDocument/2006/relationships/hyperlink" Target="mailto:zacharyweber@westat.com"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xxx@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9AF25DCB8AC4E8C8BECA78D3269B6" ma:contentTypeVersion="4" ma:contentTypeDescription="Create a new document." ma:contentTypeScope="" ma:versionID="09e87aea9fa870b2013ded19e34fa5bc">
  <xsd:schema xmlns:xsd="http://www.w3.org/2001/XMLSchema" xmlns:xs="http://www.w3.org/2001/XMLSchema" xmlns:p="http://schemas.microsoft.com/office/2006/metadata/properties" xmlns:ns2="58a56360-c1a7-43d4-bda0-498364e4f60c" xmlns:ns3="a36c8518-5540-4b85-9a88-2de7ee0c48a3" targetNamespace="http://schemas.microsoft.com/office/2006/metadata/properties" ma:root="true" ma:fieldsID="9cf9786623c0287adc84ad59fc784125" ns2:_="" ns3:_="">
    <xsd:import namespace="58a56360-c1a7-43d4-bda0-498364e4f60c"/>
    <xsd:import namespace="a36c8518-5540-4b85-9a88-2de7ee0c48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56360-c1a7-43d4-bda0-498364e4f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518-5540-4b85-9a88-2de7ee0c48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6c8518-5540-4b85-9a88-2de7ee0c48a3">
      <UserInfo>
        <DisplayName>Dwyer, Maura (HRSA)</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55233-151E-40EC-AFBA-FBFB8125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56360-c1a7-43d4-bda0-498364e4f60c"/>
    <ds:schemaRef ds:uri="a36c8518-5540-4b85-9a88-2de7ee0c4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278658-43C5-4488-9108-F2F28A722A6F}">
  <ds:schemaRefs>
    <ds:schemaRef ds:uri="http://schemas.microsoft.com/office/2006/metadata/properties"/>
    <ds:schemaRef ds:uri="http://schemas.microsoft.com/office/infopath/2007/PartnerControls"/>
    <ds:schemaRef ds:uri="a36c8518-5540-4b85-9a88-2de7ee0c48a3"/>
  </ds:schemaRefs>
</ds:datastoreItem>
</file>

<file path=customXml/itemProps3.xml><?xml version="1.0" encoding="utf-8"?>
<ds:datastoreItem xmlns:ds="http://schemas.openxmlformats.org/officeDocument/2006/customXml" ds:itemID="{9546A020-BE36-4F3D-866E-BCD6ED94BB57}">
  <ds:schemaRefs>
    <ds:schemaRef ds:uri="http://schemas.microsoft.com/sharepoint/v3/contenttype/forms"/>
  </ds:schemaRefs>
</ds:datastoreItem>
</file>

<file path=customXml/itemProps4.xml><?xml version="1.0" encoding="utf-8"?>
<ds:datastoreItem xmlns:ds="http://schemas.openxmlformats.org/officeDocument/2006/customXml" ds:itemID="{E2007BB8-4A76-46BB-A39C-0C7D803C68E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6911</Words>
  <Characters>39682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Moore, Tierra (HRSA)</cp:lastModifiedBy>
  <cp:revision>2</cp:revision>
  <cp:lastPrinted>2016-08-29T14:38:00Z</cp:lastPrinted>
  <dcterms:created xsi:type="dcterms:W3CDTF">2023-08-16T12:46:00Z</dcterms:created>
  <dcterms:modified xsi:type="dcterms:W3CDTF">2023-08-16T12:46:00Z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0x01010069F9AF25DCB8AC4E8C8BECA78D3269B6</vt:lpwstr>
  </property>
</Properties>
</file>